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BodyText"/>
        <w:ind w:left="497"/>
        <w:spacing w:before="215" w:line="218" w:lineRule="auto"/>
        <w:outlineLvl w:val="0"/>
        <w:rPr>
          <w:sz w:val="66"/>
          <w:szCs w:val="66"/>
        </w:rPr>
      </w:pPr>
      <w:r>
        <w:rPr>
          <w:sz w:val="66"/>
          <w:szCs w:val="66"/>
          <w:b/>
          <w:bCs/>
          <w:spacing w:val="43"/>
        </w:rPr>
        <w:t>建设项目环境影响报告表</w:t>
      </w:r>
    </w:p>
    <w:p>
      <w:pPr>
        <w:pStyle w:val="BodyText"/>
        <w:ind w:left="2995"/>
        <w:spacing w:before="232" w:line="219" w:lineRule="auto"/>
        <w:outlineLvl w:val="0"/>
        <w:rPr>
          <w:sz w:val="49"/>
          <w:szCs w:val="49"/>
        </w:rPr>
      </w:pPr>
      <w:r>
        <w:rPr>
          <w:sz w:val="49"/>
          <w:szCs w:val="49"/>
          <w:b/>
          <w:bCs/>
          <w:spacing w:val="-12"/>
        </w:rPr>
        <w:t>(污染影响类)</w:t>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BodyText"/>
        <w:spacing w:before="110" w:line="214" w:lineRule="auto"/>
        <w:jc w:val="right"/>
        <w:rPr/>
      </w:pPr>
      <w:r>
        <w:rPr>
          <w:spacing w:val="22"/>
        </w:rPr>
        <w:t>项目名称：</w:t>
      </w:r>
      <w:r>
        <w:rPr>
          <w:spacing w:val="78"/>
        </w:rPr>
        <w:t xml:space="preserve">  </w:t>
      </w:r>
      <w:r>
        <w:rPr>
          <w:u w:val="single" w:color="auto"/>
          <w:spacing w:val="-140"/>
        </w:rPr>
        <w:t xml:space="preserve"> </w:t>
      </w:r>
      <w:r>
        <w:rPr>
          <w:u w:val="single" w:color="auto"/>
          <w:spacing w:val="22"/>
        </w:rPr>
        <w:t>时代一汽二期年产20</w:t>
      </w:r>
      <w:r>
        <w:rPr>
          <w:u w:val="single" w:color="auto"/>
        </w:rPr>
        <w:t>gwh</w:t>
      </w:r>
      <w:r>
        <w:rPr>
          <w:u w:val="single" w:color="auto"/>
          <w:spacing w:val="22"/>
        </w:rPr>
        <w:t>动力电池扩建项</w:t>
      </w:r>
    </w:p>
    <w:p>
      <w:pPr>
        <w:pStyle w:val="BodyText"/>
        <w:ind w:left="78"/>
        <w:spacing w:before="185" w:line="219" w:lineRule="auto"/>
        <w:rPr/>
      </w:pPr>
      <w:r>
        <w:pict>
          <v:rect id="_x0000_s2" style="position:absolute;margin-left:0pt;margin-top:25.4093pt;mso-position-vertical-relative:text;mso-position-horizontal-relative:text;width:435.95pt;height:0.9pt;z-index:251658240;" fillcolor="#000000" filled="true" stroked="false"/>
        </w:pict>
      </w:r>
      <w:r>
        <w:rPr>
          <w:spacing w:val="-21"/>
        </w:rPr>
        <w:t>目</w:t>
      </w:r>
      <w:r>
        <w:rPr>
          <w:spacing w:val="-45"/>
        </w:rPr>
        <w:t xml:space="preserve"> </w:t>
      </w:r>
      <w:r>
        <w:rPr>
          <w:spacing w:val="-21"/>
        </w:rPr>
        <w:t>-</w:t>
      </w:r>
      <w:r>
        <w:rPr>
          <w:spacing w:val="-47"/>
        </w:rPr>
        <w:t xml:space="preserve"> </w:t>
      </w:r>
      <w:r>
        <w:rPr>
          <w:spacing w:val="-21"/>
        </w:rPr>
        <w:t>- 凹</w:t>
      </w:r>
      <w:r>
        <w:rPr>
          <w:spacing w:val="-42"/>
        </w:rPr>
        <w:t xml:space="preserve"> </w:t>
      </w:r>
      <w:r>
        <w:rPr>
          <w:spacing w:val="-21"/>
        </w:rPr>
        <w:t>版</w:t>
      </w:r>
      <w:r>
        <w:rPr>
          <w:spacing w:val="-40"/>
        </w:rPr>
        <w:t xml:space="preserve"> </w:t>
      </w:r>
      <w:r>
        <w:rPr>
          <w:spacing w:val="-21"/>
        </w:rPr>
        <w:t>厂</w:t>
      </w:r>
      <w:r>
        <w:rPr>
          <w:spacing w:val="-42"/>
        </w:rPr>
        <w:t xml:space="preserve"> </w:t>
      </w:r>
      <w:r>
        <w:rPr>
          <w:spacing w:val="-21"/>
        </w:rPr>
        <w:t>房</w:t>
      </w:r>
      <w:r>
        <w:rPr>
          <w:spacing w:val="-45"/>
        </w:rPr>
        <w:t xml:space="preserve"> </w:t>
      </w:r>
      <w:r>
        <w:rPr>
          <w:spacing w:val="-21"/>
        </w:rPr>
        <w:t>及 附</w:t>
      </w:r>
      <w:r>
        <w:rPr>
          <w:spacing w:val="-41"/>
        </w:rPr>
        <w:t xml:space="preserve"> </w:t>
      </w:r>
      <w:r>
        <w:rPr>
          <w:spacing w:val="-21"/>
        </w:rPr>
        <w:t>属</w:t>
      </w:r>
      <w:r>
        <w:rPr>
          <w:spacing w:val="-44"/>
        </w:rPr>
        <w:t xml:space="preserve"> </w:t>
      </w:r>
      <w:r>
        <w:rPr>
          <w:spacing w:val="-21"/>
        </w:rPr>
        <w:t>配</w:t>
      </w:r>
      <w:r>
        <w:rPr>
          <w:spacing w:val="-42"/>
        </w:rPr>
        <w:t xml:space="preserve"> </w:t>
      </w:r>
      <w:r>
        <w:rPr>
          <w:spacing w:val="-21"/>
        </w:rPr>
        <w:t>套</w:t>
      </w:r>
      <w:r>
        <w:rPr>
          <w:spacing w:val="-40"/>
        </w:rPr>
        <w:t xml:space="preserve"> </w:t>
      </w:r>
      <w:r>
        <w:rPr>
          <w:spacing w:val="-21"/>
        </w:rPr>
        <w:t>工</w:t>
      </w:r>
      <w:r>
        <w:rPr>
          <w:spacing w:val="-45"/>
        </w:rPr>
        <w:t xml:space="preserve"> </w:t>
      </w:r>
      <w:r>
        <w:rPr>
          <w:spacing w:val="-21"/>
        </w:rPr>
        <w:t>程</w:t>
      </w:r>
    </w:p>
    <w:p>
      <w:pPr>
        <w:pStyle w:val="BodyText"/>
        <w:ind w:left="78"/>
        <w:spacing w:before="136" w:line="305" w:lineRule="auto"/>
        <w:rPr/>
      </w:pPr>
      <w:r>
        <w:rPr>
          <w:spacing w:val="8"/>
        </w:rPr>
        <w:t>建设单位(盖章): </w:t>
      </w:r>
      <w:r>
        <w:rPr>
          <w:u w:val="single" w:color="auto"/>
          <w:spacing w:val="8"/>
        </w:rPr>
        <w:t>时</w:t>
      </w:r>
      <w:r>
        <w:rPr>
          <w:u w:val="single" w:color="auto"/>
          <w:spacing w:val="-62"/>
        </w:rPr>
        <w:t xml:space="preserve"> </w:t>
      </w:r>
      <w:r>
        <w:rPr>
          <w:u w:val="single" w:color="auto"/>
          <w:spacing w:val="8"/>
        </w:rPr>
        <w:t>代</w:t>
      </w:r>
      <w:r>
        <w:rPr>
          <w:u w:val="single" w:color="auto"/>
          <w:spacing w:val="-71"/>
        </w:rPr>
        <w:t xml:space="preserve"> </w:t>
      </w:r>
      <w:r>
        <w:rPr>
          <w:u w:val="single" w:color="auto"/>
          <w:spacing w:val="8"/>
        </w:rPr>
        <w:t>一</w:t>
      </w:r>
      <w:r>
        <w:rPr>
          <w:u w:val="single" w:color="auto"/>
          <w:spacing w:val="-76"/>
        </w:rPr>
        <w:t xml:space="preserve"> </w:t>
      </w:r>
      <w:r>
        <w:rPr>
          <w:u w:val="single" w:color="auto"/>
          <w:spacing w:val="8"/>
        </w:rPr>
        <w:t>汽</w:t>
      </w:r>
      <w:r>
        <w:rPr>
          <w:u w:val="single" w:color="auto"/>
          <w:spacing w:val="-74"/>
        </w:rPr>
        <w:t xml:space="preserve"> </w:t>
      </w:r>
      <w:r>
        <w:rPr>
          <w:u w:val="single" w:color="auto"/>
          <w:spacing w:val="8"/>
        </w:rPr>
        <w:t>动</w:t>
      </w:r>
      <w:r>
        <w:rPr>
          <w:u w:val="single" w:color="auto"/>
          <w:spacing w:val="-71"/>
        </w:rPr>
        <w:t xml:space="preserve"> </w:t>
      </w:r>
      <w:r>
        <w:rPr>
          <w:u w:val="single" w:color="auto"/>
          <w:spacing w:val="8"/>
        </w:rPr>
        <w:t>力</w:t>
      </w:r>
      <w:r>
        <w:rPr>
          <w:u w:val="single" w:color="auto"/>
          <w:spacing w:val="-36"/>
        </w:rPr>
        <w:t xml:space="preserve"> </w:t>
      </w:r>
      <w:r>
        <w:rPr>
          <w:u w:val="single" w:color="auto"/>
          <w:spacing w:val="8"/>
        </w:rPr>
        <w:t>电</w:t>
      </w:r>
      <w:r>
        <w:rPr>
          <w:u w:val="single" w:color="auto"/>
          <w:spacing w:val="-76"/>
        </w:rPr>
        <w:t xml:space="preserve"> </w:t>
      </w:r>
      <w:r>
        <w:rPr>
          <w:u w:val="single" w:color="auto"/>
          <w:spacing w:val="8"/>
        </w:rPr>
        <w:t>池</w:t>
      </w:r>
      <w:r>
        <w:rPr>
          <w:u w:val="single" w:color="auto"/>
          <w:spacing w:val="-75"/>
        </w:rPr>
        <w:t xml:space="preserve"> </w:t>
      </w:r>
      <w:r>
        <w:rPr>
          <w:u w:val="single" w:color="auto"/>
          <w:spacing w:val="8"/>
        </w:rPr>
        <w:t>有</w:t>
      </w:r>
      <w:r>
        <w:rPr>
          <w:u w:val="single" w:color="auto"/>
          <w:spacing w:val="-52"/>
        </w:rPr>
        <w:t xml:space="preserve"> </w:t>
      </w:r>
      <w:r>
        <w:rPr>
          <w:u w:val="single" w:color="auto"/>
          <w:spacing w:val="8"/>
        </w:rPr>
        <w:t>限</w:t>
      </w:r>
      <w:r>
        <w:rPr>
          <w:u w:val="single" w:color="auto"/>
          <w:spacing w:val="-66"/>
        </w:rPr>
        <w:t xml:space="preserve"> </w:t>
      </w:r>
      <w:r>
        <w:rPr>
          <w:u w:val="single" w:color="auto"/>
          <w:spacing w:val="8"/>
        </w:rPr>
        <w:t>公</w:t>
      </w:r>
      <w:r>
        <w:rPr>
          <w:u w:val="single" w:color="auto"/>
          <w:spacing w:val="-63"/>
        </w:rPr>
        <w:t xml:space="preserve"> </w:t>
      </w:r>
      <w:r>
        <w:rPr>
          <w:u w:val="single" w:color="auto"/>
          <w:spacing w:val="8"/>
        </w:rPr>
        <w:t>司   </w:t>
      </w:r>
    </w:p>
    <w:p>
      <w:pPr>
        <w:pStyle w:val="BodyText"/>
        <w:ind w:left="78"/>
        <w:spacing w:before="1" w:line="219" w:lineRule="auto"/>
        <w:rPr/>
      </w:pPr>
      <w:r>
        <w:rPr>
          <w:spacing w:val="-18"/>
        </w:rPr>
        <w:t>编制日期：</w:t>
      </w:r>
      <w:r>
        <w:rPr>
          <w:spacing w:val="82"/>
        </w:rPr>
        <w:t xml:space="preserve"> </w:t>
      </w:r>
      <w:r>
        <w:rPr>
          <w:u w:val="single" w:color="auto"/>
          <w:spacing w:val="6"/>
        </w:rPr>
        <w:t xml:space="preserve">  </w:t>
      </w:r>
      <w:r>
        <w:rPr>
          <w:u w:val="single" w:color="auto"/>
          <w:spacing w:val="-18"/>
        </w:rPr>
        <w:t>2 0</w:t>
      </w:r>
      <w:r>
        <w:rPr>
          <w:u w:val="single" w:color="auto"/>
          <w:spacing w:val="14"/>
        </w:rPr>
        <w:t xml:space="preserve"> </w:t>
      </w:r>
      <w:r>
        <w:rPr>
          <w:u w:val="single" w:color="auto"/>
          <w:spacing w:val="-18"/>
        </w:rPr>
        <w:t>2</w:t>
      </w:r>
      <w:r>
        <w:rPr>
          <w:u w:val="single" w:color="auto"/>
          <w:spacing w:val="7"/>
        </w:rPr>
        <w:t xml:space="preserve"> </w:t>
      </w:r>
      <w:r>
        <w:rPr>
          <w:u w:val="single" w:color="auto"/>
          <w:spacing w:val="-18"/>
        </w:rPr>
        <w:t>4</w:t>
      </w:r>
      <w:r>
        <w:rPr>
          <w:u w:val="single" w:color="auto"/>
          <w:spacing w:val="11"/>
        </w:rPr>
        <w:t xml:space="preserve"> </w:t>
      </w:r>
      <w:r>
        <w:rPr>
          <w:u w:val="single" w:color="auto"/>
          <w:spacing w:val="-18"/>
        </w:rPr>
        <w:t>年</w:t>
      </w:r>
      <w:r>
        <w:rPr>
          <w:u w:val="single" w:color="auto"/>
          <w:spacing w:val="12"/>
        </w:rPr>
        <w:t xml:space="preserve"> </w:t>
      </w:r>
      <w:r>
        <w:rPr>
          <w:u w:val="single" w:color="auto"/>
          <w:spacing w:val="-18"/>
        </w:rPr>
        <w:t>0</w:t>
      </w:r>
      <w:r>
        <w:rPr>
          <w:u w:val="single" w:color="auto"/>
          <w:spacing w:val="7"/>
        </w:rPr>
        <w:t xml:space="preserve"> </w:t>
      </w:r>
      <w:r>
        <w:rPr>
          <w:u w:val="single" w:color="auto"/>
          <w:spacing w:val="-18"/>
        </w:rPr>
        <w:t>4</w:t>
      </w:r>
      <w:r>
        <w:rPr>
          <w:u w:val="single" w:color="auto"/>
          <w:spacing w:val="17"/>
        </w:rPr>
        <w:t xml:space="preserve"> </w:t>
      </w:r>
      <w:r>
        <w:rPr>
          <w:u w:val="single" w:color="auto"/>
          <w:spacing w:val="-18"/>
        </w:rPr>
        <w:t>月                        </w:t>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pStyle w:val="BodyText"/>
        <w:ind w:left="2278"/>
        <w:spacing w:before="111" w:line="219" w:lineRule="auto"/>
        <w:rPr/>
      </w:pPr>
      <w:r>
        <w:rPr>
          <w:spacing w:val="14"/>
        </w:rPr>
        <w:t>中华人民共和国生态环境部</w:t>
      </w:r>
    </w:p>
    <w:p>
      <w:pPr>
        <w:spacing w:line="219" w:lineRule="auto"/>
        <w:sectPr>
          <w:pgSz w:w="11900" w:h="16840"/>
          <w:pgMar w:top="1431" w:right="1518" w:bottom="0" w:left="1641" w:header="0" w:footer="0" w:gutter="0"/>
        </w:sectPr>
        <w:rPr/>
      </w:pPr>
    </w:p>
    <w:p>
      <w:pPr>
        <w:pStyle w:val="BodyText"/>
        <w:ind w:left="2959"/>
        <w:spacing w:before="274" w:line="219" w:lineRule="auto"/>
        <w:outlineLvl w:val="0"/>
        <w:rPr>
          <w:sz w:val="30"/>
          <w:szCs w:val="30"/>
        </w:rPr>
      </w:pPr>
      <w:r>
        <w:rPr>
          <w:sz w:val="30"/>
          <w:szCs w:val="30"/>
          <w:b/>
          <w:bCs/>
          <w:spacing w:val="-5"/>
        </w:rPr>
        <w:t>一、建设项目基本情况</w:t>
      </w:r>
    </w:p>
    <w:p>
      <w:pPr>
        <w:spacing w:before="21"/>
        <w:rPr/>
      </w:pPr>
      <w:r/>
    </w:p>
    <w:tbl>
      <w:tblPr>
        <w:tblStyle w:val="TableNormal"/>
        <w:tblW w:w="88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34"/>
        <w:gridCol w:w="859"/>
        <w:gridCol w:w="400"/>
        <w:gridCol w:w="1628"/>
        <w:gridCol w:w="1748"/>
        <w:gridCol w:w="469"/>
        <w:gridCol w:w="1618"/>
        <w:gridCol w:w="1014"/>
      </w:tblGrid>
      <w:tr>
        <w:trPr>
          <w:trHeight w:val="635" w:hRule="atLeast"/>
        </w:trPr>
        <w:tc>
          <w:tcPr>
            <w:tcW w:w="1993" w:type="dxa"/>
            <w:vAlign w:val="top"/>
            <w:gridSpan w:val="2"/>
          </w:tcPr>
          <w:p>
            <w:pPr>
              <w:pStyle w:val="TableText"/>
              <w:ind w:left="295"/>
              <w:spacing w:before="205" w:line="220" w:lineRule="auto"/>
              <w:rPr/>
            </w:pPr>
            <w:r>
              <w:rPr>
                <w:spacing w:val="1"/>
              </w:rPr>
              <w:t>建设项目名称</w:t>
            </w:r>
          </w:p>
        </w:tc>
        <w:tc>
          <w:tcPr>
            <w:tcW w:w="6877" w:type="dxa"/>
            <w:vAlign w:val="top"/>
            <w:gridSpan w:val="6"/>
          </w:tcPr>
          <w:p>
            <w:pPr>
              <w:pStyle w:val="TableText"/>
              <w:ind w:left="3081" w:right="264" w:hanging="2819"/>
              <w:spacing w:before="66" w:line="224" w:lineRule="auto"/>
              <w:rPr/>
            </w:pPr>
            <w:r>
              <w:rPr/>
              <w:t>时代一汽二期年产20gwh动力电池扩建项目--凹版厂房及附属配</w:t>
            </w:r>
            <w:r>
              <w:rPr>
                <w:spacing w:val="14"/>
              </w:rPr>
              <w:t xml:space="preserve"> </w:t>
            </w:r>
            <w:r>
              <w:rPr>
                <w:spacing w:val="-3"/>
              </w:rPr>
              <w:t>套工程</w:t>
            </w:r>
          </w:p>
        </w:tc>
      </w:tr>
      <w:tr>
        <w:trPr>
          <w:trHeight w:val="529" w:hRule="atLeast"/>
        </w:trPr>
        <w:tc>
          <w:tcPr>
            <w:tcW w:w="1993" w:type="dxa"/>
            <w:vAlign w:val="top"/>
            <w:gridSpan w:val="2"/>
          </w:tcPr>
          <w:p>
            <w:pPr>
              <w:pStyle w:val="TableText"/>
              <w:ind w:left="525"/>
              <w:spacing w:before="149" w:line="219" w:lineRule="auto"/>
              <w:rPr/>
            </w:pPr>
            <w:r>
              <w:rPr>
                <w:spacing w:val="2"/>
              </w:rPr>
              <w:t>项目代码</w:t>
            </w:r>
          </w:p>
        </w:tc>
        <w:tc>
          <w:tcPr>
            <w:tcW w:w="6877" w:type="dxa"/>
            <w:vAlign w:val="top"/>
            <w:gridSpan w:val="6"/>
          </w:tcPr>
          <w:p>
            <w:pPr>
              <w:pStyle w:val="TableText"/>
              <w:ind w:left="2052"/>
              <w:spacing w:before="207" w:line="184" w:lineRule="auto"/>
              <w:rPr/>
            </w:pPr>
            <w:r>
              <w:rPr>
                <w:spacing w:val="-1"/>
              </w:rPr>
              <w:t>2206-350921-07-01-702031</w:t>
            </w:r>
          </w:p>
        </w:tc>
      </w:tr>
      <w:tr>
        <w:trPr>
          <w:trHeight w:val="510" w:hRule="atLeast"/>
        </w:trPr>
        <w:tc>
          <w:tcPr>
            <w:tcW w:w="1993" w:type="dxa"/>
            <w:vAlign w:val="top"/>
            <w:gridSpan w:val="2"/>
          </w:tcPr>
          <w:p>
            <w:pPr>
              <w:pStyle w:val="TableText"/>
              <w:ind w:left="185"/>
              <w:spacing w:before="141" w:line="220" w:lineRule="auto"/>
              <w:rPr/>
            </w:pPr>
            <w:r>
              <w:rPr>
                <w:spacing w:val="1"/>
              </w:rPr>
              <w:t>建设单位联系人</w:t>
            </w:r>
          </w:p>
        </w:tc>
        <w:tc>
          <w:tcPr>
            <w:tcW w:w="2028" w:type="dxa"/>
            <w:vAlign w:val="top"/>
            <w:gridSpan w:val="2"/>
          </w:tcPr>
          <w:p>
            <w:pPr>
              <w:pStyle w:val="TableText"/>
              <w:ind w:left="922"/>
              <w:spacing w:before="206" w:line="153" w:lineRule="exact"/>
              <w:rPr>
                <w:sz w:val="11"/>
                <w:szCs w:val="11"/>
              </w:rPr>
            </w:pPr>
            <w:r>
              <w:rPr>
                <w:sz w:val="11"/>
                <w:szCs w:val="11"/>
                <w:spacing w:val="-1"/>
                <w:position w:val="1"/>
              </w:rPr>
              <w:t>***</w:t>
            </w:r>
          </w:p>
        </w:tc>
        <w:tc>
          <w:tcPr>
            <w:tcW w:w="2217" w:type="dxa"/>
            <w:vAlign w:val="top"/>
            <w:gridSpan w:val="2"/>
          </w:tcPr>
          <w:p>
            <w:pPr>
              <w:pStyle w:val="TableText"/>
              <w:ind w:left="644"/>
              <w:spacing w:before="141" w:line="221" w:lineRule="auto"/>
              <w:rPr/>
            </w:pPr>
            <w:r>
              <w:rPr>
                <w:spacing w:val="-2"/>
              </w:rPr>
              <w:t>联系方式</w:t>
            </w:r>
          </w:p>
        </w:tc>
        <w:tc>
          <w:tcPr>
            <w:tcW w:w="2632" w:type="dxa"/>
            <w:vAlign w:val="top"/>
            <w:gridSpan w:val="2"/>
          </w:tcPr>
          <w:p>
            <w:pPr>
              <w:pStyle w:val="TableText"/>
              <w:ind w:left="1226"/>
              <w:spacing w:before="206" w:line="153" w:lineRule="exact"/>
              <w:rPr>
                <w:sz w:val="11"/>
                <w:szCs w:val="11"/>
              </w:rPr>
            </w:pPr>
            <w:r>
              <w:rPr>
                <w:sz w:val="11"/>
                <w:szCs w:val="11"/>
                <w:spacing w:val="-1"/>
                <w:position w:val="1"/>
              </w:rPr>
              <w:t>***</w:t>
            </w:r>
          </w:p>
        </w:tc>
      </w:tr>
      <w:tr>
        <w:trPr>
          <w:trHeight w:val="639" w:hRule="atLeast"/>
        </w:trPr>
        <w:tc>
          <w:tcPr>
            <w:tcW w:w="1993" w:type="dxa"/>
            <w:vAlign w:val="top"/>
            <w:gridSpan w:val="2"/>
          </w:tcPr>
          <w:p>
            <w:pPr>
              <w:pStyle w:val="TableText"/>
              <w:ind w:left="525"/>
              <w:spacing w:before="211" w:line="221" w:lineRule="auto"/>
              <w:rPr/>
            </w:pPr>
            <w:r>
              <w:rPr>
                <w:spacing w:val="5"/>
              </w:rPr>
              <w:t>建设地点</w:t>
            </w:r>
          </w:p>
        </w:tc>
        <w:tc>
          <w:tcPr>
            <w:tcW w:w="6877" w:type="dxa"/>
            <w:vAlign w:val="top"/>
            <w:gridSpan w:val="6"/>
          </w:tcPr>
          <w:p>
            <w:pPr>
              <w:pStyle w:val="TableText"/>
              <w:ind w:left="2332" w:right="34" w:hanging="2250"/>
              <w:spacing w:before="63" w:line="227" w:lineRule="auto"/>
              <w:rPr/>
            </w:pPr>
            <w:r>
              <w:rPr>
                <w:spacing w:val="-16"/>
              </w:rPr>
              <w:t>福</w:t>
            </w:r>
            <w:r>
              <w:rPr>
                <w:spacing w:val="-36"/>
              </w:rPr>
              <w:t xml:space="preserve"> </w:t>
            </w:r>
            <w:r>
              <w:rPr>
                <w:spacing w:val="-16"/>
              </w:rPr>
              <w:t>建</w:t>
            </w:r>
            <w:r>
              <w:rPr>
                <w:spacing w:val="-49"/>
              </w:rPr>
              <w:t xml:space="preserve"> </w:t>
            </w:r>
            <w:r>
              <w:rPr>
                <w:spacing w:val="-16"/>
              </w:rPr>
              <w:t>_</w:t>
            </w:r>
            <w:r>
              <w:rPr>
                <w:spacing w:val="-36"/>
              </w:rPr>
              <w:t xml:space="preserve"> </w:t>
            </w:r>
            <w:r>
              <w:rPr>
                <w:spacing w:val="-16"/>
              </w:rPr>
              <w:t>省 ( 自</w:t>
            </w:r>
            <w:r>
              <w:rPr>
                <w:spacing w:val="-34"/>
              </w:rPr>
              <w:t xml:space="preserve"> </w:t>
            </w:r>
            <w:r>
              <w:rPr>
                <w:spacing w:val="-16"/>
              </w:rPr>
              <w:t>治 区</w:t>
            </w:r>
            <w:r>
              <w:rPr>
                <w:spacing w:val="-39"/>
              </w:rPr>
              <w:t xml:space="preserve"> </w:t>
            </w:r>
            <w:r>
              <w:rPr>
                <w:spacing w:val="-16"/>
              </w:rPr>
              <w:t>)</w:t>
            </w:r>
            <w:r>
              <w:rPr>
                <w:spacing w:val="67"/>
              </w:rPr>
              <w:t xml:space="preserve"> </w:t>
            </w:r>
            <w:r>
              <w:rPr>
                <w:u w:val="single" w:color="auto"/>
                <w:spacing w:val="-16"/>
              </w:rPr>
              <w:t xml:space="preserve">  宁 德</w:t>
            </w:r>
            <w:r>
              <w:rPr>
                <w:spacing w:val="-16"/>
              </w:rPr>
              <w:t>市 </w:t>
            </w:r>
            <w:r>
              <w:rPr>
                <w:u w:val="single" w:color="auto"/>
                <w:spacing w:val="113"/>
              </w:rPr>
              <w:t xml:space="preserve"> </w:t>
            </w:r>
            <w:r>
              <w:rPr>
                <w:u w:val="single" w:color="auto"/>
                <w:spacing w:val="-16"/>
              </w:rPr>
              <w:t>霞 浦</w:t>
            </w:r>
            <w:r>
              <w:rPr>
                <w:spacing w:val="-16"/>
              </w:rPr>
              <w:t>县</w:t>
            </w:r>
            <w:r>
              <w:rPr>
                <w:spacing w:val="28"/>
              </w:rPr>
              <w:t xml:space="preserve"> </w:t>
            </w:r>
            <w:r>
              <w:rPr>
                <w:spacing w:val="-16"/>
              </w:rPr>
              <w:t>(</w:t>
            </w:r>
            <w:r>
              <w:rPr>
                <w:spacing w:val="5"/>
              </w:rPr>
              <w:t xml:space="preserve"> </w:t>
            </w:r>
            <w:r>
              <w:rPr>
                <w:spacing w:val="-17"/>
              </w:rPr>
              <w:t>区 </w:t>
            </w:r>
            <w:r>
              <w:rPr>
                <w:u w:val="single" w:color="auto"/>
                <w:spacing w:val="-17"/>
              </w:rPr>
              <w:t>)</w:t>
            </w:r>
            <w:r>
              <w:rPr>
                <w:u w:val="single" w:color="auto"/>
                <w:spacing w:val="14"/>
              </w:rPr>
              <w:t xml:space="preserve">  </w:t>
            </w:r>
            <w:r>
              <w:rPr>
                <w:spacing w:val="-17"/>
              </w:rPr>
              <w:t>乡</w:t>
            </w:r>
            <w:r>
              <w:rPr>
                <w:spacing w:val="28"/>
              </w:rPr>
              <w:t xml:space="preserve"> </w:t>
            </w:r>
            <w:r>
              <w:rPr>
                <w:spacing w:val="-17"/>
              </w:rPr>
              <w:t>( 街 道 )</w:t>
            </w:r>
            <w:r>
              <w:rPr/>
              <w:t xml:space="preserve"> </w:t>
            </w:r>
            <w:r>
              <w:rPr>
                <w:spacing w:val="1"/>
              </w:rPr>
              <w:t>经济开发区长富路6号</w:t>
            </w:r>
          </w:p>
        </w:tc>
      </w:tr>
      <w:tr>
        <w:trPr>
          <w:trHeight w:val="500" w:hRule="atLeast"/>
        </w:trPr>
        <w:tc>
          <w:tcPr>
            <w:tcW w:w="1993" w:type="dxa"/>
            <w:vAlign w:val="top"/>
            <w:gridSpan w:val="2"/>
          </w:tcPr>
          <w:p>
            <w:pPr>
              <w:pStyle w:val="TableText"/>
              <w:ind w:left="525"/>
              <w:spacing w:before="142" w:line="220" w:lineRule="auto"/>
              <w:rPr/>
            </w:pPr>
            <w:r>
              <w:rPr>
                <w:spacing w:val="-2"/>
              </w:rPr>
              <w:t>地理坐标</w:t>
            </w:r>
          </w:p>
        </w:tc>
        <w:tc>
          <w:tcPr>
            <w:tcW w:w="6877" w:type="dxa"/>
            <w:vAlign w:val="top"/>
            <w:gridSpan w:val="6"/>
          </w:tcPr>
          <w:p>
            <w:pPr>
              <w:pStyle w:val="TableText"/>
              <w:ind w:left="252"/>
              <w:spacing w:before="141" w:line="219" w:lineRule="auto"/>
              <w:rPr/>
            </w:pPr>
            <w:r>
              <w:rPr>
                <w:spacing w:val="-7"/>
              </w:rPr>
              <w:t>( 东 </w:t>
            </w:r>
            <w:r>
              <w:rPr>
                <w:u w:val="single" w:color="auto"/>
                <w:spacing w:val="-7"/>
              </w:rPr>
              <w:t>经</w:t>
            </w:r>
            <w:r>
              <w:rPr>
                <w:u w:val="single" w:color="auto"/>
                <w:spacing w:val="-7"/>
              </w:rPr>
              <w:t>120</w:t>
            </w:r>
            <w:r>
              <w:rPr>
                <w:spacing w:val="-7"/>
              </w:rPr>
              <w:t xml:space="preserve"> 度</w:t>
            </w:r>
            <w:r>
              <w:rPr>
                <w:spacing w:val="-47"/>
              </w:rPr>
              <w:t xml:space="preserve"> </w:t>
            </w:r>
            <w:r>
              <w:rPr>
                <w:u w:val="single" w:color="auto"/>
                <w:spacing w:val="-7"/>
              </w:rPr>
              <w:t>0</w:t>
            </w:r>
            <w:r>
              <w:rPr>
                <w:spacing w:val="-7"/>
              </w:rPr>
              <w:t>分</w:t>
            </w:r>
            <w:r>
              <w:rPr>
                <w:spacing w:val="-53"/>
              </w:rPr>
              <w:t xml:space="preserve"> </w:t>
            </w:r>
            <w:r>
              <w:rPr>
                <w:u w:val="single" w:color="auto"/>
                <w:spacing w:val="-7"/>
              </w:rPr>
              <w:t>51.692</w:t>
            </w:r>
            <w:r>
              <w:rPr>
                <w:spacing w:val="79"/>
              </w:rPr>
              <w:t xml:space="preserve"> </w:t>
            </w:r>
            <w:r>
              <w:rPr>
                <w:spacing w:val="-7"/>
              </w:rPr>
              <w:t>秒 ， 北 </w:t>
            </w:r>
            <w:r>
              <w:rPr>
                <w:u w:val="single" w:color="auto"/>
                <w:spacing w:val="-7"/>
              </w:rPr>
              <w:t>纬</w:t>
            </w:r>
            <w:r>
              <w:rPr>
                <w:u w:val="single" w:color="auto"/>
                <w:spacing w:val="-7"/>
              </w:rPr>
              <w:t>26</w:t>
            </w:r>
            <w:r>
              <w:rPr>
                <w:spacing w:val="-44"/>
              </w:rPr>
              <w:t xml:space="preserve"> </w:t>
            </w:r>
            <w:r>
              <w:rPr>
                <w:spacing w:val="-8"/>
              </w:rPr>
              <w:t>度</w:t>
            </w:r>
            <w:r>
              <w:rPr>
                <w:spacing w:val="-47"/>
              </w:rPr>
              <w:t xml:space="preserve"> </w:t>
            </w:r>
            <w:r>
              <w:rPr>
                <w:u w:val="single" w:color="auto"/>
                <w:spacing w:val="-8"/>
              </w:rPr>
              <w:t>51</w:t>
            </w:r>
            <w:r>
              <w:rPr>
                <w:spacing w:val="-41"/>
              </w:rPr>
              <w:t xml:space="preserve"> </w:t>
            </w:r>
            <w:r>
              <w:rPr>
                <w:spacing w:val="-8"/>
              </w:rPr>
              <w:t>分</w:t>
            </w:r>
            <w:r>
              <w:rPr>
                <w:spacing w:val="-53"/>
              </w:rPr>
              <w:t xml:space="preserve"> </w:t>
            </w:r>
            <w:r>
              <w:rPr>
                <w:u w:val="single" w:color="auto"/>
                <w:spacing w:val="-8"/>
              </w:rPr>
              <w:t>20.107</w:t>
            </w:r>
            <w:r>
              <w:rPr>
                <w:spacing w:val="76"/>
              </w:rPr>
              <w:t xml:space="preserve"> </w:t>
            </w:r>
            <w:r>
              <w:rPr>
                <w:spacing w:val="-8"/>
              </w:rPr>
              <w:t>秒</w:t>
            </w:r>
            <w:r>
              <w:rPr>
                <w:spacing w:val="49"/>
              </w:rPr>
              <w:t xml:space="preserve"> </w:t>
            </w:r>
            <w:r>
              <w:rPr>
                <w:spacing w:val="-8"/>
              </w:rPr>
              <w:t>)</w:t>
            </w:r>
          </w:p>
        </w:tc>
      </w:tr>
      <w:tr>
        <w:trPr>
          <w:trHeight w:val="949" w:hRule="atLeast"/>
        </w:trPr>
        <w:tc>
          <w:tcPr>
            <w:tcW w:w="1993" w:type="dxa"/>
            <w:vAlign w:val="top"/>
            <w:gridSpan w:val="2"/>
          </w:tcPr>
          <w:p>
            <w:pPr>
              <w:pStyle w:val="TableText"/>
              <w:ind w:left="525"/>
              <w:spacing w:before="222" w:line="309" w:lineRule="exact"/>
              <w:rPr/>
            </w:pPr>
            <w:r>
              <w:rPr>
                <w:spacing w:val="2"/>
                <w:position w:val="5"/>
              </w:rPr>
              <w:t>国民经济</w:t>
            </w:r>
          </w:p>
          <w:p>
            <w:pPr>
              <w:pStyle w:val="TableText"/>
              <w:ind w:left="525"/>
              <w:spacing w:line="219" w:lineRule="auto"/>
              <w:rPr/>
            </w:pPr>
            <w:r>
              <w:rPr>
                <w:spacing w:val="4"/>
              </w:rPr>
              <w:t>行业类别</w:t>
            </w:r>
          </w:p>
        </w:tc>
        <w:tc>
          <w:tcPr>
            <w:tcW w:w="2028" w:type="dxa"/>
            <w:vAlign w:val="top"/>
            <w:gridSpan w:val="2"/>
          </w:tcPr>
          <w:p>
            <w:pPr>
              <w:pStyle w:val="TableText"/>
              <w:ind w:left="771" w:right="158" w:hanging="629"/>
              <w:spacing w:before="233" w:line="234" w:lineRule="auto"/>
              <w:rPr/>
            </w:pPr>
            <w:r>
              <w:rPr>
                <w:spacing w:val="-1"/>
              </w:rPr>
              <w:t>C3841锂离子电池</w:t>
            </w:r>
            <w:r>
              <w:rPr>
                <w:spacing w:val="1"/>
              </w:rPr>
              <w:t xml:space="preserve"> </w:t>
            </w:r>
            <w:r>
              <w:rPr>
                <w:spacing w:val="-3"/>
              </w:rPr>
              <w:t>制造</w:t>
            </w:r>
          </w:p>
        </w:tc>
        <w:tc>
          <w:tcPr>
            <w:tcW w:w="2217" w:type="dxa"/>
            <w:vAlign w:val="top"/>
            <w:gridSpan w:val="2"/>
          </w:tcPr>
          <w:p>
            <w:pPr>
              <w:pStyle w:val="TableText"/>
              <w:ind w:left="644"/>
              <w:spacing w:before="252" w:line="224" w:lineRule="auto"/>
              <w:rPr/>
            </w:pPr>
            <w:r>
              <w:rPr>
                <w:spacing w:val="10"/>
              </w:rPr>
              <w:t>建设项目</w:t>
            </w:r>
          </w:p>
          <w:p>
            <w:pPr>
              <w:pStyle w:val="TableText"/>
              <w:ind w:left="644"/>
              <w:spacing w:line="219" w:lineRule="auto"/>
              <w:rPr/>
            </w:pPr>
            <w:r>
              <w:rPr>
                <w:spacing w:val="4"/>
              </w:rPr>
              <w:t>行业类别</w:t>
            </w:r>
          </w:p>
        </w:tc>
        <w:tc>
          <w:tcPr>
            <w:tcW w:w="2632" w:type="dxa"/>
            <w:vAlign w:val="top"/>
            <w:gridSpan w:val="2"/>
          </w:tcPr>
          <w:p>
            <w:pPr>
              <w:pStyle w:val="TableText"/>
              <w:ind w:left="46"/>
              <w:spacing w:before="79" w:line="219" w:lineRule="auto"/>
              <w:rPr/>
            </w:pPr>
            <w:r>
              <w:rPr>
                <w:spacing w:val="-1"/>
              </w:rPr>
              <w:t>三十五、电气机械和器材</w:t>
            </w:r>
          </w:p>
          <w:p>
            <w:pPr>
              <w:pStyle w:val="TableText"/>
              <w:ind w:left="847"/>
              <w:spacing w:before="29" w:line="220" w:lineRule="auto"/>
              <w:rPr/>
            </w:pPr>
            <w:r>
              <w:rPr>
                <w:spacing w:val="2"/>
              </w:rPr>
              <w:t>制造业38</w:t>
            </w:r>
          </w:p>
          <w:p>
            <w:pPr>
              <w:pStyle w:val="TableText"/>
              <w:ind w:left="447"/>
              <w:spacing w:before="55" w:line="182" w:lineRule="auto"/>
              <w:rPr/>
            </w:pPr>
            <w:r>
              <w:rPr>
                <w:spacing w:val="-2"/>
              </w:rPr>
              <w:t>77、电池制造384</w:t>
            </w:r>
          </w:p>
        </w:tc>
      </w:tr>
      <w:tr>
        <w:trPr>
          <w:trHeight w:val="1878" w:hRule="atLeast"/>
        </w:trPr>
        <w:tc>
          <w:tcPr>
            <w:tcW w:w="1993" w:type="dxa"/>
            <w:vAlign w:val="top"/>
            <w:gridSpan w:val="2"/>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525"/>
              <w:spacing w:before="75" w:line="220" w:lineRule="auto"/>
              <w:rPr/>
            </w:pPr>
            <w:r>
              <w:rPr>
                <w:spacing w:val="6"/>
              </w:rPr>
              <w:t>建设性质</w:t>
            </w:r>
          </w:p>
        </w:tc>
        <w:tc>
          <w:tcPr>
            <w:tcW w:w="2028" w:type="dxa"/>
            <w:vAlign w:val="top"/>
            <w:gridSpan w:val="2"/>
          </w:tcPr>
          <w:p>
            <w:pPr>
              <w:spacing w:line="326" w:lineRule="auto"/>
              <w:rPr>
                <w:rFonts w:ascii="Arial"/>
                <w:sz w:val="21"/>
              </w:rPr>
            </w:pPr>
            <w:r/>
          </w:p>
          <w:p>
            <w:pPr>
              <w:pStyle w:val="TableText"/>
              <w:ind w:left="42"/>
              <w:spacing w:before="75" w:line="232" w:lineRule="auto"/>
              <w:rPr/>
            </w:pPr>
            <w:r>
              <w:rPr>
                <w:spacing w:val="7"/>
              </w:rPr>
              <w:t>□新建(迁建)</w:t>
            </w:r>
          </w:p>
          <w:p>
            <w:pPr>
              <w:pStyle w:val="TableText"/>
              <w:ind w:left="22"/>
              <w:spacing w:line="219" w:lineRule="auto"/>
              <w:rPr/>
            </w:pPr>
            <w:r>
              <w:rPr>
                <w:spacing w:val="3"/>
              </w:rPr>
              <w:t>口改建</w:t>
            </w:r>
          </w:p>
          <w:p>
            <w:pPr>
              <w:pStyle w:val="TableText"/>
              <w:ind w:left="12"/>
              <w:spacing w:before="17" w:line="220" w:lineRule="auto"/>
              <w:rPr/>
            </w:pPr>
            <w:r>
              <w:rPr>
                <w:spacing w:val="-1"/>
              </w:rPr>
              <w:t>N扩建</w:t>
            </w:r>
          </w:p>
          <w:p>
            <w:pPr>
              <w:pStyle w:val="TableText"/>
              <w:ind w:left="32"/>
              <w:spacing w:before="55" w:line="219" w:lineRule="auto"/>
              <w:rPr/>
            </w:pPr>
            <w:r>
              <w:rPr>
                <w:spacing w:val="1"/>
              </w:rPr>
              <w:t>□技术改造</w:t>
            </w:r>
          </w:p>
        </w:tc>
        <w:tc>
          <w:tcPr>
            <w:tcW w:w="2217" w:type="dxa"/>
            <w:vAlign w:val="top"/>
            <w:gridSpan w:val="2"/>
          </w:tcPr>
          <w:p>
            <w:pPr>
              <w:spacing w:line="322" w:lineRule="auto"/>
              <w:rPr>
                <w:rFonts w:ascii="Arial"/>
                <w:sz w:val="21"/>
              </w:rPr>
            </w:pPr>
            <w:r/>
          </w:p>
          <w:p>
            <w:pPr>
              <w:spacing w:line="322" w:lineRule="auto"/>
              <w:rPr>
                <w:rFonts w:ascii="Arial"/>
                <w:sz w:val="21"/>
              </w:rPr>
            </w:pPr>
            <w:r/>
          </w:p>
          <w:p>
            <w:pPr>
              <w:pStyle w:val="TableText"/>
              <w:ind w:left="644"/>
              <w:spacing w:before="75"/>
              <w:rPr/>
            </w:pPr>
            <w:r>
              <w:rPr>
                <w:spacing w:val="10"/>
              </w:rPr>
              <w:t>建设项目</w:t>
            </w:r>
          </w:p>
          <w:p>
            <w:pPr>
              <w:pStyle w:val="TableText"/>
              <w:ind w:left="644"/>
              <w:spacing w:line="219" w:lineRule="auto"/>
              <w:rPr/>
            </w:pPr>
            <w:r>
              <w:rPr>
                <w:spacing w:val="2"/>
              </w:rPr>
              <w:t>申报情形</w:t>
            </w:r>
          </w:p>
        </w:tc>
        <w:tc>
          <w:tcPr>
            <w:tcW w:w="2632" w:type="dxa"/>
            <w:vAlign w:val="top"/>
            <w:gridSpan w:val="2"/>
          </w:tcPr>
          <w:p>
            <w:pPr>
              <w:pStyle w:val="TableText"/>
              <w:ind w:left="26"/>
              <w:spacing w:before="82" w:line="219" w:lineRule="auto"/>
              <w:rPr/>
            </w:pPr>
            <w:r>
              <w:rPr>
                <w:rFonts w:ascii="MS Gothic" w:hAnsi="MS Gothic" w:eastAsia="MS Gothic" w:cs="MS Gothic"/>
                <w:spacing w:val="4"/>
              </w:rPr>
              <w:t>☑</w:t>
            </w:r>
            <w:r>
              <w:rPr>
                <w:spacing w:val="4"/>
              </w:rPr>
              <w:t>首次申报项目</w:t>
            </w:r>
          </w:p>
          <w:p>
            <w:pPr>
              <w:pStyle w:val="TableText"/>
              <w:ind w:left="16" w:right="274" w:firstLine="19"/>
              <w:spacing w:before="46" w:line="231" w:lineRule="auto"/>
              <w:rPr/>
            </w:pPr>
            <w:r>
              <w:rPr>
                <w:spacing w:val="1"/>
              </w:rPr>
              <w:t>□不予批准后再次申报</w:t>
            </w:r>
            <w:r>
              <w:rPr/>
              <w:t xml:space="preserve"> </w:t>
            </w:r>
            <w:r>
              <w:rPr>
                <w:spacing w:val="-7"/>
              </w:rPr>
              <w:t>项 目</w:t>
            </w:r>
          </w:p>
          <w:p>
            <w:pPr>
              <w:pStyle w:val="TableText"/>
              <w:ind w:left="157"/>
              <w:spacing w:before="55" w:line="219" w:lineRule="auto"/>
              <w:rPr/>
            </w:pPr>
            <w:r>
              <w:rPr>
                <w:spacing w:val="4"/>
              </w:rPr>
              <w:t>□超五年重新审核项目</w:t>
            </w:r>
          </w:p>
          <w:p>
            <w:pPr>
              <w:pStyle w:val="TableText"/>
              <w:ind w:left="16" w:right="150" w:firstLine="140"/>
              <w:spacing w:before="36" w:line="211" w:lineRule="auto"/>
              <w:rPr/>
            </w:pPr>
            <w:r>
              <w:rPr>
                <w:spacing w:val="1"/>
              </w:rPr>
              <w:t>□重大变动重新报批项</w:t>
            </w:r>
            <w:r>
              <w:rPr>
                <w:spacing w:val="3"/>
              </w:rPr>
              <w:t xml:space="preserve"> </w:t>
            </w:r>
            <w:r>
              <w:rPr/>
              <w:t>目</w:t>
            </w:r>
          </w:p>
        </w:tc>
      </w:tr>
      <w:tr>
        <w:trPr>
          <w:trHeight w:val="869" w:hRule="atLeast"/>
        </w:trPr>
        <w:tc>
          <w:tcPr>
            <w:tcW w:w="1993" w:type="dxa"/>
            <w:vAlign w:val="top"/>
            <w:gridSpan w:val="2"/>
          </w:tcPr>
          <w:p>
            <w:pPr>
              <w:pStyle w:val="TableText"/>
              <w:ind w:left="125" w:right="87" w:firstLine="59"/>
              <w:spacing w:before="214" w:line="234" w:lineRule="auto"/>
              <w:rPr/>
            </w:pPr>
            <w:r>
              <w:rPr/>
              <w:t>项目审批(核准/ </w:t>
            </w:r>
            <w:r>
              <w:rPr>
                <w:spacing w:val="5"/>
              </w:rPr>
              <w:t>备案)部门(选填)</w:t>
            </w:r>
          </w:p>
        </w:tc>
        <w:tc>
          <w:tcPr>
            <w:tcW w:w="2028" w:type="dxa"/>
            <w:vAlign w:val="top"/>
            <w:gridSpan w:val="2"/>
          </w:tcPr>
          <w:p>
            <w:pPr>
              <w:pStyle w:val="TableText"/>
              <w:ind w:left="772" w:right="78" w:hanging="690"/>
              <w:spacing w:before="213" w:line="236" w:lineRule="auto"/>
              <w:rPr/>
            </w:pPr>
            <w:r>
              <w:rPr>
                <w:spacing w:val="2"/>
              </w:rPr>
              <w:t>霞浦县工业和信息</w:t>
            </w:r>
            <w:r>
              <w:rPr/>
              <w:t xml:space="preserve"> </w:t>
            </w:r>
            <w:r>
              <w:rPr>
                <w:spacing w:val="10"/>
              </w:rPr>
              <w:t>化局</w:t>
            </w:r>
          </w:p>
        </w:tc>
        <w:tc>
          <w:tcPr>
            <w:tcW w:w="2217" w:type="dxa"/>
            <w:vAlign w:val="top"/>
            <w:gridSpan w:val="2"/>
          </w:tcPr>
          <w:p>
            <w:pPr>
              <w:pStyle w:val="TableText"/>
              <w:ind w:left="234" w:right="192" w:firstLine="59"/>
              <w:spacing w:before="213" w:line="239" w:lineRule="auto"/>
              <w:rPr/>
            </w:pPr>
            <w:r>
              <w:rPr>
                <w:spacing w:val="1"/>
              </w:rPr>
              <w:t>项目审批(核准/</w:t>
            </w:r>
            <w:r>
              <w:rPr/>
              <w:t xml:space="preserve">  </w:t>
            </w:r>
            <w:r>
              <w:rPr>
                <w:spacing w:val="6"/>
              </w:rPr>
              <w:t>备案)文号(选填)</w:t>
            </w:r>
          </w:p>
        </w:tc>
        <w:tc>
          <w:tcPr>
            <w:tcW w:w="2632" w:type="dxa"/>
            <w:vAlign w:val="top"/>
            <w:gridSpan w:val="2"/>
          </w:tcPr>
          <w:p>
            <w:pPr>
              <w:pStyle w:val="TableText"/>
              <w:ind w:left="1196" w:right="92" w:hanging="1099"/>
              <w:spacing w:before="212" w:line="224" w:lineRule="auto"/>
              <w:rPr/>
            </w:pPr>
            <w:r>
              <w:rPr>
                <w:spacing w:val="1"/>
              </w:rPr>
              <w:t>闽工信备(2022)J040019</w:t>
            </w:r>
            <w:r>
              <w:rPr/>
              <w:t xml:space="preserve"> </w:t>
            </w:r>
            <w:r>
              <w:rPr/>
              <w:t>号</w:t>
            </w:r>
          </w:p>
        </w:tc>
      </w:tr>
      <w:tr>
        <w:trPr>
          <w:trHeight w:val="530" w:hRule="atLeast"/>
        </w:trPr>
        <w:tc>
          <w:tcPr>
            <w:tcW w:w="1993" w:type="dxa"/>
            <w:vAlign w:val="top"/>
            <w:gridSpan w:val="2"/>
          </w:tcPr>
          <w:p>
            <w:pPr>
              <w:pStyle w:val="TableText"/>
              <w:ind w:left="165"/>
              <w:spacing w:before="156" w:line="220" w:lineRule="auto"/>
              <w:rPr/>
            </w:pPr>
            <w:r>
              <w:rPr>
                <w:spacing w:val="7"/>
              </w:rPr>
              <w:t>总投资(万元)</w:t>
            </w:r>
          </w:p>
        </w:tc>
        <w:tc>
          <w:tcPr>
            <w:tcW w:w="2028" w:type="dxa"/>
            <w:vAlign w:val="top"/>
            <w:gridSpan w:val="2"/>
          </w:tcPr>
          <w:p>
            <w:pPr>
              <w:pStyle w:val="TableText"/>
              <w:ind w:left="542"/>
              <w:spacing w:before="214" w:line="183" w:lineRule="auto"/>
              <w:rPr/>
            </w:pPr>
            <w:r>
              <w:rPr>
                <w:spacing w:val="-2"/>
              </w:rPr>
              <w:t>26000.00</w:t>
            </w:r>
          </w:p>
        </w:tc>
        <w:tc>
          <w:tcPr>
            <w:tcW w:w="2217" w:type="dxa"/>
            <w:vAlign w:val="top"/>
            <w:gridSpan w:val="2"/>
          </w:tcPr>
          <w:p>
            <w:pPr>
              <w:pStyle w:val="TableText"/>
              <w:ind w:left="163"/>
              <w:spacing w:before="156" w:line="220" w:lineRule="auto"/>
              <w:rPr/>
            </w:pPr>
            <w:r>
              <w:rPr>
                <w:spacing w:val="6"/>
              </w:rPr>
              <w:t>环保投资(万元)</w:t>
            </w:r>
          </w:p>
        </w:tc>
        <w:tc>
          <w:tcPr>
            <w:tcW w:w="2632" w:type="dxa"/>
            <w:vAlign w:val="top"/>
            <w:gridSpan w:val="2"/>
          </w:tcPr>
          <w:p>
            <w:pPr>
              <w:pStyle w:val="TableText"/>
              <w:ind w:left="967"/>
              <w:spacing w:before="214" w:line="183" w:lineRule="auto"/>
              <w:rPr/>
            </w:pPr>
            <w:r>
              <w:rPr>
                <w:spacing w:val="-3"/>
              </w:rPr>
              <w:t>740.00</w:t>
            </w:r>
          </w:p>
        </w:tc>
      </w:tr>
      <w:tr>
        <w:trPr>
          <w:trHeight w:val="500" w:hRule="atLeast"/>
        </w:trPr>
        <w:tc>
          <w:tcPr>
            <w:tcW w:w="1993" w:type="dxa"/>
            <w:vAlign w:val="top"/>
            <w:gridSpan w:val="2"/>
          </w:tcPr>
          <w:p>
            <w:pPr>
              <w:pStyle w:val="TableText"/>
              <w:ind w:left="125"/>
              <w:spacing w:before="146" w:line="220" w:lineRule="auto"/>
              <w:rPr/>
            </w:pPr>
            <w:r>
              <w:rPr>
                <w:spacing w:val="5"/>
              </w:rPr>
              <w:t>环保投资占比(%)</w:t>
            </w:r>
          </w:p>
        </w:tc>
        <w:tc>
          <w:tcPr>
            <w:tcW w:w="2028" w:type="dxa"/>
            <w:vAlign w:val="top"/>
            <w:gridSpan w:val="2"/>
          </w:tcPr>
          <w:p>
            <w:pPr>
              <w:pStyle w:val="TableText"/>
              <w:ind w:left="772"/>
              <w:spacing w:before="204" w:line="183" w:lineRule="auto"/>
              <w:rPr/>
            </w:pPr>
            <w:r>
              <w:rPr>
                <w:spacing w:val="-3"/>
              </w:rPr>
              <w:t>2.85</w:t>
            </w:r>
          </w:p>
        </w:tc>
        <w:tc>
          <w:tcPr>
            <w:tcW w:w="2217" w:type="dxa"/>
            <w:vAlign w:val="top"/>
            <w:gridSpan w:val="2"/>
          </w:tcPr>
          <w:p>
            <w:pPr>
              <w:pStyle w:val="TableText"/>
              <w:ind w:left="644"/>
              <w:spacing w:before="146" w:line="220" w:lineRule="auto"/>
              <w:rPr/>
            </w:pPr>
            <w:r>
              <w:rPr>
                <w:spacing w:val="3"/>
              </w:rPr>
              <w:t>施工工期</w:t>
            </w:r>
          </w:p>
        </w:tc>
        <w:tc>
          <w:tcPr>
            <w:tcW w:w="2632" w:type="dxa"/>
            <w:vAlign w:val="top"/>
            <w:gridSpan w:val="2"/>
          </w:tcPr>
          <w:p>
            <w:pPr>
              <w:pStyle w:val="TableText"/>
              <w:ind w:left="967"/>
              <w:spacing w:before="145" w:line="219" w:lineRule="auto"/>
              <w:rPr/>
            </w:pPr>
            <w:r>
              <w:rPr>
                <w:spacing w:val="11"/>
              </w:rPr>
              <w:t>18个月</w:t>
            </w:r>
          </w:p>
        </w:tc>
      </w:tr>
      <w:tr>
        <w:trPr>
          <w:trHeight w:val="1259" w:hRule="atLeast"/>
        </w:trPr>
        <w:tc>
          <w:tcPr>
            <w:tcW w:w="1993" w:type="dxa"/>
            <w:vAlign w:val="top"/>
            <w:gridSpan w:val="2"/>
          </w:tcPr>
          <w:p>
            <w:pPr>
              <w:spacing w:line="448" w:lineRule="auto"/>
              <w:rPr>
                <w:rFonts w:ascii="Arial"/>
                <w:sz w:val="21"/>
              </w:rPr>
            </w:pPr>
            <w:r/>
          </w:p>
          <w:p>
            <w:pPr>
              <w:pStyle w:val="TableText"/>
              <w:ind w:left="294"/>
              <w:spacing w:before="75" w:line="220" w:lineRule="auto"/>
              <w:rPr/>
            </w:pPr>
            <w:r>
              <w:rPr>
                <w:spacing w:val="1"/>
              </w:rPr>
              <w:t>是否开工建设</w:t>
            </w:r>
          </w:p>
        </w:tc>
        <w:tc>
          <w:tcPr>
            <w:tcW w:w="2028" w:type="dxa"/>
            <w:vAlign w:val="top"/>
            <w:gridSpan w:val="2"/>
          </w:tcPr>
          <w:p>
            <w:pPr>
              <w:pStyle w:val="TableText"/>
              <w:ind w:left="32"/>
              <w:spacing w:before="76" w:line="220" w:lineRule="auto"/>
              <w:rPr/>
            </w:pPr>
            <w:r>
              <w:rPr>
                <w:spacing w:val="16"/>
              </w:rPr>
              <w:t>口否</w:t>
            </w:r>
          </w:p>
          <w:p>
            <w:pPr>
              <w:pStyle w:val="TableText"/>
              <w:ind w:left="82" w:right="68"/>
              <w:spacing w:before="53" w:line="226" w:lineRule="auto"/>
              <w:rPr/>
            </w:pPr>
            <w:r>
              <w:rPr>
                <w:rFonts w:ascii="MS Gothic" w:hAnsi="MS Gothic" w:eastAsia="MS Gothic" w:cs="MS Gothic"/>
                <w:spacing w:val="1"/>
              </w:rPr>
              <w:t>☑</w:t>
            </w:r>
            <w:r>
              <w:rPr>
                <w:spacing w:val="1"/>
              </w:rPr>
              <w:t>是：厂房主体结</w:t>
            </w:r>
            <w:r>
              <w:rPr/>
              <w:t xml:space="preserve"> </w:t>
            </w:r>
            <w:r>
              <w:rPr>
                <w:spacing w:val="1"/>
              </w:rPr>
              <w:t>构建设已完成，生 </w:t>
            </w:r>
            <w:r>
              <w:rPr>
                <w:spacing w:val="3"/>
              </w:rPr>
              <w:t>产设备未投入使用</w:t>
            </w:r>
          </w:p>
        </w:tc>
        <w:tc>
          <w:tcPr>
            <w:tcW w:w="2217" w:type="dxa"/>
            <w:vAlign w:val="top"/>
            <w:gridSpan w:val="2"/>
          </w:tcPr>
          <w:p>
            <w:pPr>
              <w:spacing w:line="310" w:lineRule="auto"/>
              <w:rPr>
                <w:rFonts w:ascii="Arial"/>
                <w:sz w:val="21"/>
              </w:rPr>
            </w:pPr>
            <w:r/>
          </w:p>
          <w:p>
            <w:pPr>
              <w:pStyle w:val="TableText"/>
              <w:ind w:left="524"/>
              <w:spacing w:before="75" w:line="319" w:lineRule="exact"/>
              <w:rPr/>
            </w:pPr>
            <w:r>
              <w:rPr>
                <w:spacing w:val="8"/>
                <w:position w:val="6"/>
              </w:rPr>
              <w:t>用地(用海)</w:t>
            </w:r>
          </w:p>
          <w:p>
            <w:pPr>
              <w:pStyle w:val="TableText"/>
              <w:ind w:left="584"/>
              <w:spacing w:line="220" w:lineRule="auto"/>
              <w:rPr/>
            </w:pPr>
            <w:r>
              <w:rPr>
                <w:spacing w:val="26"/>
              </w:rPr>
              <w:t>面积(m²)</w:t>
            </w:r>
          </w:p>
        </w:tc>
        <w:tc>
          <w:tcPr>
            <w:tcW w:w="2632" w:type="dxa"/>
            <w:vAlign w:val="top"/>
            <w:gridSpan w:val="2"/>
          </w:tcPr>
          <w:p>
            <w:pPr>
              <w:spacing w:line="252" w:lineRule="auto"/>
              <w:rPr>
                <w:rFonts w:ascii="Arial"/>
                <w:sz w:val="21"/>
              </w:rPr>
            </w:pPr>
            <w:r/>
          </w:p>
          <w:p>
            <w:pPr>
              <w:spacing w:line="253" w:lineRule="auto"/>
              <w:rPr>
                <w:rFonts w:ascii="Arial"/>
                <w:sz w:val="21"/>
              </w:rPr>
            </w:pPr>
            <w:r/>
          </w:p>
          <w:p>
            <w:pPr>
              <w:pStyle w:val="TableText"/>
              <w:ind w:left="906"/>
              <w:spacing w:before="75" w:line="184" w:lineRule="auto"/>
              <w:rPr/>
            </w:pPr>
            <w:r>
              <w:rPr>
                <w:spacing w:val="-2"/>
              </w:rPr>
              <w:t>31089.8</w:t>
            </w:r>
          </w:p>
        </w:tc>
      </w:tr>
      <w:tr>
        <w:trPr>
          <w:trHeight w:val="1409" w:hRule="atLeast"/>
        </w:trPr>
        <w:tc>
          <w:tcPr>
            <w:tcW w:w="1134"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TableText"/>
              <w:ind w:left="215"/>
              <w:spacing w:before="75" w:line="307" w:lineRule="exact"/>
              <w:rPr/>
            </w:pPr>
            <w:r>
              <w:rPr>
                <w:spacing w:val="-3"/>
                <w:position w:val="5"/>
              </w:rPr>
              <w:t>专项评</w:t>
            </w:r>
          </w:p>
          <w:p>
            <w:pPr>
              <w:pStyle w:val="TableText"/>
              <w:ind w:left="215"/>
              <w:spacing w:before="1" w:line="217" w:lineRule="auto"/>
              <w:rPr/>
            </w:pPr>
            <w:r>
              <w:rPr>
                <w:spacing w:val="-3"/>
              </w:rPr>
              <w:t>价设置</w:t>
            </w:r>
          </w:p>
          <w:p>
            <w:pPr>
              <w:pStyle w:val="TableText"/>
              <w:ind w:left="324"/>
              <w:spacing w:before="61" w:line="220" w:lineRule="auto"/>
              <w:rPr/>
            </w:pPr>
            <w:r>
              <w:rPr>
                <w:spacing w:val="-3"/>
              </w:rPr>
              <w:t>情况</w:t>
            </w:r>
          </w:p>
        </w:tc>
        <w:tc>
          <w:tcPr>
            <w:tcW w:w="7736" w:type="dxa"/>
            <w:vAlign w:val="top"/>
            <w:gridSpan w:val="7"/>
          </w:tcPr>
          <w:p>
            <w:pPr>
              <w:pStyle w:val="TableText"/>
              <w:ind w:left="581"/>
              <w:spacing w:before="54" w:line="218" w:lineRule="auto"/>
              <w:rPr/>
            </w:pPr>
            <w:r>
              <w:rPr>
                <w:spacing w:val="1"/>
              </w:rPr>
              <w:t>根据《建设项目环境影响报告表编制技术指南(污</w:t>
            </w:r>
            <w:r>
              <w:rPr/>
              <w:t>染影响类)  (试</w:t>
            </w:r>
          </w:p>
          <w:p>
            <w:pPr>
              <w:pStyle w:val="TableText"/>
              <w:ind w:left="181"/>
              <w:spacing w:before="218" w:line="218" w:lineRule="auto"/>
              <w:rPr/>
            </w:pPr>
            <w:r>
              <w:rPr>
                <w:spacing w:val="1"/>
              </w:rPr>
              <w:t>行)》表1专项评价设置原则表，本项目专</w:t>
            </w:r>
            <w:r>
              <w:rPr/>
              <w:t>项评价设置情况具体见表1.1-1。</w:t>
            </w:r>
          </w:p>
          <w:p>
            <w:pPr>
              <w:pStyle w:val="TableText"/>
              <w:ind w:left="2304"/>
              <w:spacing w:before="215" w:line="218" w:lineRule="auto"/>
              <w:rPr/>
            </w:pPr>
            <w:r>
              <w:rPr>
                <w:b/>
                <w:bCs/>
                <w:spacing w:val="-3"/>
              </w:rPr>
              <w:t>表1.1-1</w:t>
            </w:r>
            <w:r>
              <w:rPr>
                <w:spacing w:val="-3"/>
              </w:rPr>
              <w:t xml:space="preserve">  </w:t>
            </w:r>
            <w:r>
              <w:rPr>
                <w:b/>
                <w:bCs/>
                <w:spacing w:val="-3"/>
              </w:rPr>
              <w:t>项目专项评价设置表</w:t>
            </w:r>
          </w:p>
        </w:tc>
      </w:tr>
      <w:tr>
        <w:trPr>
          <w:trHeight w:val="550" w:hRule="atLeast"/>
        </w:trPr>
        <w:tc>
          <w:tcPr>
            <w:tcW w:w="1134" w:type="dxa"/>
            <w:vAlign w:val="top"/>
            <w:vMerge w:val="continue"/>
            <w:tcBorders>
              <w:top w:val="nil"/>
              <w:bottom w:val="nil"/>
            </w:tcBorders>
          </w:tcPr>
          <w:p>
            <w:pPr>
              <w:rPr>
                <w:rFonts w:ascii="Arial"/>
                <w:sz w:val="21"/>
              </w:rPr>
            </w:pPr>
            <w:r/>
          </w:p>
        </w:tc>
        <w:tc>
          <w:tcPr>
            <w:tcW w:w="1259" w:type="dxa"/>
            <w:vAlign w:val="top"/>
            <w:gridSpan w:val="2"/>
          </w:tcPr>
          <w:p>
            <w:pPr>
              <w:pStyle w:val="TableText"/>
              <w:ind w:left="474" w:right="73" w:hanging="460"/>
              <w:spacing w:before="72" w:line="196" w:lineRule="auto"/>
              <w:rPr>
                <w:sz w:val="22"/>
                <w:szCs w:val="22"/>
              </w:rPr>
            </w:pPr>
            <w:r>
              <w:rPr>
                <w:sz w:val="22"/>
                <w:szCs w:val="22"/>
                <w:b/>
                <w:bCs/>
                <w:spacing w:val="9"/>
              </w:rPr>
              <w:t>专项评价的</w:t>
            </w:r>
            <w:r>
              <w:rPr>
                <w:sz w:val="22"/>
                <w:szCs w:val="22"/>
                <w:spacing w:val="3"/>
              </w:rPr>
              <w:t xml:space="preserve"> </w:t>
            </w:r>
            <w:r>
              <w:rPr>
                <w:sz w:val="22"/>
                <w:szCs w:val="22"/>
                <w:b/>
                <w:bCs/>
                <w:spacing w:val="13"/>
              </w:rPr>
              <w:t>类别</w:t>
            </w:r>
          </w:p>
        </w:tc>
        <w:tc>
          <w:tcPr>
            <w:tcW w:w="3376" w:type="dxa"/>
            <w:vAlign w:val="top"/>
            <w:gridSpan w:val="2"/>
          </w:tcPr>
          <w:p>
            <w:pPr>
              <w:pStyle w:val="TableText"/>
              <w:ind w:left="1305"/>
              <w:spacing w:before="164" w:line="220" w:lineRule="auto"/>
              <w:rPr/>
            </w:pPr>
            <w:r>
              <w:rPr>
                <w:b/>
                <w:bCs/>
                <w:spacing w:val="1"/>
              </w:rPr>
              <w:t>设置原则</w:t>
            </w:r>
          </w:p>
        </w:tc>
        <w:tc>
          <w:tcPr>
            <w:tcW w:w="2087" w:type="dxa"/>
            <w:vAlign w:val="top"/>
            <w:gridSpan w:val="2"/>
          </w:tcPr>
          <w:p>
            <w:pPr>
              <w:pStyle w:val="TableText"/>
              <w:ind w:left="469"/>
              <w:spacing w:before="162" w:line="219" w:lineRule="auto"/>
              <w:rPr/>
            </w:pPr>
            <w:r>
              <w:rPr>
                <w:b/>
                <w:bCs/>
                <w:spacing w:val="-4"/>
              </w:rPr>
              <w:t>本项目情况</w:t>
            </w:r>
          </w:p>
        </w:tc>
        <w:tc>
          <w:tcPr>
            <w:tcW w:w="1014" w:type="dxa"/>
            <w:vAlign w:val="top"/>
          </w:tcPr>
          <w:p>
            <w:pPr>
              <w:pStyle w:val="TableText"/>
              <w:ind w:left="272" w:right="54" w:hanging="230"/>
              <w:spacing w:before="54" w:line="195" w:lineRule="auto"/>
              <w:rPr/>
            </w:pPr>
            <w:r>
              <w:rPr>
                <w:b/>
                <w:bCs/>
                <w:spacing w:val="-6"/>
              </w:rPr>
              <w:t>是否设置</w:t>
            </w:r>
            <w:r>
              <w:rPr/>
              <w:t xml:space="preserve"> </w:t>
            </w:r>
            <w:r>
              <w:rPr>
                <w:b/>
                <w:bCs/>
                <w:spacing w:val="-5"/>
              </w:rPr>
              <w:t>专项</w:t>
            </w:r>
          </w:p>
        </w:tc>
      </w:tr>
      <w:tr>
        <w:trPr>
          <w:trHeight w:val="1109" w:hRule="atLeast"/>
        </w:trPr>
        <w:tc>
          <w:tcPr>
            <w:tcW w:w="1134" w:type="dxa"/>
            <w:vAlign w:val="top"/>
            <w:vMerge w:val="continue"/>
            <w:tcBorders>
              <w:top w:val="nil"/>
              <w:bottom w:val="nil"/>
            </w:tcBorders>
          </w:tcPr>
          <w:p>
            <w:pPr>
              <w:rPr>
                <w:rFonts w:ascii="Arial"/>
                <w:sz w:val="21"/>
              </w:rPr>
            </w:pPr>
            <w:r/>
          </w:p>
        </w:tc>
        <w:tc>
          <w:tcPr>
            <w:tcW w:w="1259" w:type="dxa"/>
            <w:vAlign w:val="top"/>
            <w:gridSpan w:val="2"/>
          </w:tcPr>
          <w:p>
            <w:pPr>
              <w:spacing w:line="371" w:lineRule="auto"/>
              <w:rPr>
                <w:rFonts w:ascii="Arial"/>
                <w:sz w:val="21"/>
              </w:rPr>
            </w:pPr>
            <w:r/>
          </w:p>
          <w:p>
            <w:pPr>
              <w:pStyle w:val="TableText"/>
              <w:ind w:left="541"/>
              <w:spacing w:before="74" w:line="220" w:lineRule="auto"/>
              <w:rPr/>
            </w:pPr>
            <w:r>
              <w:rPr>
                <w:spacing w:val="7"/>
              </w:rPr>
              <w:t>大气</w:t>
            </w:r>
          </w:p>
        </w:tc>
        <w:tc>
          <w:tcPr>
            <w:tcW w:w="3376" w:type="dxa"/>
            <w:vAlign w:val="top"/>
            <w:gridSpan w:val="2"/>
          </w:tcPr>
          <w:p>
            <w:pPr>
              <w:pStyle w:val="TableText"/>
              <w:ind w:left="11" w:firstLine="9"/>
              <w:spacing w:before="57" w:line="209" w:lineRule="auto"/>
              <w:jc w:val="both"/>
              <w:rPr/>
            </w:pPr>
            <w:r>
              <w:rPr>
                <w:spacing w:val="-20"/>
                <w:w w:val="94"/>
              </w:rPr>
              <w:t>排放废气含有毒有害污染物、二噁英、</w:t>
            </w:r>
            <w:r>
              <w:rPr>
                <w:spacing w:val="7"/>
              </w:rPr>
              <w:t xml:space="preserve"> </w:t>
            </w:r>
            <w:r>
              <w:rPr>
                <w:spacing w:val="-22"/>
                <w:w w:val="94"/>
              </w:rPr>
              <w:t>苯并[a]芘、氰化物、氯气且厂界外500</w:t>
            </w:r>
            <w:r>
              <w:rPr>
                <w:spacing w:val="8"/>
              </w:rPr>
              <w:t xml:space="preserve">  </w:t>
            </w:r>
            <w:r>
              <w:rPr>
                <w:spacing w:val="-27"/>
              </w:rPr>
              <w:t>米范围内有环境空气保护目标的建设</w:t>
            </w:r>
            <w:r>
              <w:rPr>
                <w:spacing w:val="1"/>
              </w:rPr>
              <w:t xml:space="preserve">  </w:t>
            </w:r>
            <w:r>
              <w:rPr>
                <w:spacing w:val="-10"/>
              </w:rPr>
              <w:t>项</w:t>
            </w:r>
            <w:r>
              <w:rPr>
                <w:spacing w:val="-9"/>
              </w:rPr>
              <w:t xml:space="preserve"> </w:t>
            </w:r>
            <w:r>
              <w:rPr>
                <w:spacing w:val="-10"/>
              </w:rPr>
              <w:t>目</w:t>
            </w:r>
          </w:p>
        </w:tc>
        <w:tc>
          <w:tcPr>
            <w:tcW w:w="2087" w:type="dxa"/>
            <w:vAlign w:val="top"/>
            <w:gridSpan w:val="2"/>
          </w:tcPr>
          <w:p>
            <w:pPr>
              <w:pStyle w:val="TableText"/>
              <w:spacing w:before="55" w:line="219" w:lineRule="auto"/>
              <w:jc w:val="right"/>
              <w:rPr/>
            </w:pPr>
            <w:r>
              <w:rPr>
                <w:spacing w:val="-2"/>
              </w:rPr>
              <w:t>本项目排放废气不含</w:t>
            </w:r>
          </w:p>
          <w:p>
            <w:pPr>
              <w:pStyle w:val="TableText"/>
              <w:spacing w:before="7" w:line="216" w:lineRule="auto"/>
              <w:jc w:val="right"/>
              <w:rPr/>
            </w:pPr>
            <w:r>
              <w:rPr>
                <w:spacing w:val="-26"/>
              </w:rPr>
              <w:t>有毒有害污</w:t>
            </w:r>
            <w:r>
              <w:rPr>
                <w:spacing w:val="-25"/>
              </w:rPr>
              <w:t>染物、二</w:t>
            </w:r>
            <w:r>
              <w:rPr>
                <w:spacing w:val="-10"/>
              </w:rPr>
              <w:t>噁</w:t>
            </w:r>
          </w:p>
          <w:p>
            <w:pPr>
              <w:pStyle w:val="TableText"/>
              <w:spacing w:line="218" w:lineRule="auto"/>
              <w:jc w:val="right"/>
              <w:rPr>
                <w:sz w:val="21"/>
                <w:szCs w:val="21"/>
              </w:rPr>
            </w:pPr>
            <w:r>
              <w:rPr>
                <w:sz w:val="21"/>
                <w:szCs w:val="21"/>
                <w:spacing w:val="-24"/>
                <w:w w:val="98"/>
              </w:rPr>
              <w:t>英、苯并[a]芘、氰化物、</w:t>
            </w:r>
          </w:p>
          <w:p>
            <w:pPr>
              <w:pStyle w:val="TableText"/>
              <w:ind w:left="805"/>
              <w:spacing w:before="4" w:line="193" w:lineRule="auto"/>
              <w:rPr/>
            </w:pPr>
            <w:r>
              <w:rPr>
                <w:spacing w:val="7"/>
              </w:rPr>
              <w:t>氯气</w:t>
            </w:r>
          </w:p>
        </w:tc>
        <w:tc>
          <w:tcPr>
            <w:tcW w:w="1014" w:type="dxa"/>
            <w:vAlign w:val="top"/>
          </w:tcPr>
          <w:p>
            <w:pPr>
              <w:spacing w:line="371" w:lineRule="auto"/>
              <w:rPr>
                <w:rFonts w:ascii="Arial"/>
                <w:sz w:val="21"/>
              </w:rPr>
            </w:pPr>
            <w:r/>
          </w:p>
          <w:p>
            <w:pPr>
              <w:pStyle w:val="TableText"/>
              <w:ind w:left="389"/>
              <w:spacing w:before="74" w:line="220" w:lineRule="auto"/>
              <w:rPr/>
            </w:pPr>
            <w:r>
              <w:rPr/>
              <w:t>否</w:t>
            </w:r>
          </w:p>
        </w:tc>
      </w:tr>
      <w:tr>
        <w:trPr>
          <w:trHeight w:val="814" w:hRule="atLeast"/>
        </w:trPr>
        <w:tc>
          <w:tcPr>
            <w:tcW w:w="1134" w:type="dxa"/>
            <w:vAlign w:val="top"/>
            <w:vMerge w:val="continue"/>
            <w:tcBorders>
              <w:top w:val="nil"/>
            </w:tcBorders>
          </w:tcPr>
          <w:p>
            <w:pPr>
              <w:rPr>
                <w:rFonts w:ascii="Arial"/>
                <w:sz w:val="21"/>
              </w:rPr>
            </w:pPr>
            <w:r/>
          </w:p>
        </w:tc>
        <w:tc>
          <w:tcPr>
            <w:tcW w:w="1259" w:type="dxa"/>
            <w:vAlign w:val="top"/>
            <w:gridSpan w:val="2"/>
          </w:tcPr>
          <w:p>
            <w:pPr>
              <w:pStyle w:val="TableText"/>
              <w:ind w:left="311"/>
              <w:spacing w:before="298" w:line="219" w:lineRule="auto"/>
              <w:rPr/>
            </w:pPr>
            <w:r>
              <w:rPr>
                <w:spacing w:val="-2"/>
              </w:rPr>
              <w:t>地表水</w:t>
            </w:r>
          </w:p>
        </w:tc>
        <w:tc>
          <w:tcPr>
            <w:tcW w:w="3376" w:type="dxa"/>
            <w:vAlign w:val="top"/>
            <w:gridSpan w:val="2"/>
          </w:tcPr>
          <w:p>
            <w:pPr>
              <w:pStyle w:val="TableText"/>
              <w:ind w:left="11"/>
              <w:spacing w:before="56" w:line="200" w:lineRule="auto"/>
              <w:jc w:val="both"/>
              <w:rPr/>
            </w:pPr>
            <w:r>
              <w:rPr>
                <w:spacing w:val="-15"/>
              </w:rPr>
              <w:t>新增</w:t>
            </w:r>
            <w:r>
              <w:rPr>
                <w:spacing w:val="-14"/>
              </w:rPr>
              <w:t>工业废水直排建设项目(槽罐</w:t>
            </w:r>
            <w:r>
              <w:rPr>
                <w:spacing w:val="-12"/>
              </w:rPr>
              <w:t>车</w:t>
            </w:r>
            <w:r>
              <w:rPr>
                <w:spacing w:val="10"/>
              </w:rPr>
              <w:t xml:space="preserve"> </w:t>
            </w:r>
            <w:r>
              <w:rPr>
                <w:spacing w:val="-6"/>
              </w:rPr>
              <w:t>外送污水处理厂的除外);新增废水</w:t>
            </w:r>
            <w:r>
              <w:rPr/>
              <w:t xml:space="preserve"> </w:t>
            </w:r>
            <w:r>
              <w:rPr>
                <w:spacing w:val="2"/>
              </w:rPr>
              <w:t>直排的污水集中处理厂</w:t>
            </w:r>
          </w:p>
        </w:tc>
        <w:tc>
          <w:tcPr>
            <w:tcW w:w="2087" w:type="dxa"/>
            <w:vAlign w:val="top"/>
            <w:gridSpan w:val="2"/>
          </w:tcPr>
          <w:p>
            <w:pPr>
              <w:pStyle w:val="TableText"/>
              <w:ind w:left="16"/>
              <w:spacing w:before="56" w:line="200" w:lineRule="auto"/>
              <w:jc w:val="both"/>
              <w:rPr/>
            </w:pPr>
            <w:r>
              <w:rPr>
                <w:spacing w:val="-4"/>
              </w:rPr>
              <w:t>本项目废水为间接排</w:t>
            </w:r>
            <w:r>
              <w:rPr>
                <w:spacing w:val="4"/>
              </w:rPr>
              <w:t xml:space="preserve"> </w:t>
            </w:r>
            <w:r>
              <w:rPr>
                <w:spacing w:val="-26"/>
                <w:w w:val="99"/>
              </w:rPr>
              <w:t>放，</w:t>
            </w:r>
            <w:r>
              <w:rPr>
                <w:spacing w:val="-25"/>
                <w:w w:val="99"/>
              </w:rPr>
              <w:t>废水经厂区预处</w:t>
            </w:r>
            <w:r>
              <w:rPr>
                <w:spacing w:val="-23"/>
                <w:w w:val="99"/>
              </w:rPr>
              <w:t>理</w:t>
            </w:r>
            <w:r>
              <w:rPr>
                <w:spacing w:val="18"/>
              </w:rPr>
              <w:t xml:space="preserve"> </w:t>
            </w:r>
            <w:r>
              <w:rPr>
                <w:spacing w:val="-2"/>
              </w:rPr>
              <w:t>后经市政管网排入霞</w:t>
            </w:r>
          </w:p>
        </w:tc>
        <w:tc>
          <w:tcPr>
            <w:tcW w:w="1014" w:type="dxa"/>
            <w:vAlign w:val="top"/>
          </w:tcPr>
          <w:p>
            <w:pPr>
              <w:pStyle w:val="TableText"/>
              <w:ind w:left="389"/>
              <w:spacing w:before="299" w:line="220" w:lineRule="auto"/>
              <w:rPr/>
            </w:pPr>
            <w:r>
              <w:rPr/>
              <w:t>否</w:t>
            </w:r>
          </w:p>
        </w:tc>
      </w:tr>
    </w:tbl>
    <w:p>
      <w:pPr>
        <w:rPr>
          <w:rFonts w:ascii="Arial"/>
          <w:sz w:val="21"/>
        </w:rPr>
      </w:pPr>
      <w:r/>
    </w:p>
    <w:p>
      <w:pPr>
        <w:sectPr>
          <w:footerReference w:type="default" r:id="rId1"/>
          <w:pgSz w:w="11900" w:h="16840"/>
          <w:pgMar w:top="1431" w:right="1435" w:bottom="1218" w:left="1584" w:header="0" w:footer="1079" w:gutter="0"/>
        </w:sectPr>
        <w:rPr>
          <w:rFonts w:ascii="Arial" w:hAnsi="Arial" w:eastAsia="Arial" w:cs="Arial"/>
          <w:sz w:val="21"/>
          <w:szCs w:val="21"/>
        </w:rPr>
      </w:pPr>
    </w:p>
    <w:tbl>
      <w:tblPr>
        <w:tblStyle w:val="TableNormal"/>
        <w:tblW w:w="88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4"/>
        <w:gridCol w:w="1248"/>
        <w:gridCol w:w="3376"/>
        <w:gridCol w:w="2108"/>
        <w:gridCol w:w="994"/>
      </w:tblGrid>
      <w:tr>
        <w:trPr>
          <w:trHeight w:val="365" w:hRule="atLeast"/>
        </w:trPr>
        <w:tc>
          <w:tcPr>
            <w:tcW w:w="1154" w:type="dxa"/>
            <w:vAlign w:val="top"/>
            <w:vMerge w:val="restart"/>
            <w:tcBorders>
              <w:bottom w:val="nil"/>
            </w:tcBorders>
          </w:tcPr>
          <w:p>
            <w:pPr>
              <w:rPr>
                <w:rFonts w:ascii="Arial"/>
                <w:sz w:val="21"/>
              </w:rPr>
            </w:pPr>
            <w:r/>
          </w:p>
        </w:tc>
        <w:tc>
          <w:tcPr>
            <w:tcW w:w="1248" w:type="dxa"/>
            <w:vAlign w:val="top"/>
          </w:tcPr>
          <w:p>
            <w:pPr>
              <w:rPr>
                <w:rFonts w:ascii="Arial"/>
                <w:sz w:val="21"/>
              </w:rPr>
            </w:pPr>
            <w:r/>
          </w:p>
        </w:tc>
        <w:tc>
          <w:tcPr>
            <w:tcW w:w="3376" w:type="dxa"/>
            <w:vAlign w:val="top"/>
          </w:tcPr>
          <w:p>
            <w:pPr>
              <w:rPr>
                <w:rFonts w:ascii="Arial"/>
                <w:sz w:val="21"/>
              </w:rPr>
            </w:pPr>
            <w:r/>
          </w:p>
        </w:tc>
        <w:tc>
          <w:tcPr>
            <w:tcW w:w="2108" w:type="dxa"/>
            <w:vAlign w:val="top"/>
          </w:tcPr>
          <w:p>
            <w:pPr>
              <w:pStyle w:val="TableText"/>
              <w:ind w:left="247"/>
              <w:spacing w:before="44" w:line="219" w:lineRule="auto"/>
              <w:rPr/>
            </w:pPr>
            <w:r>
              <w:rPr>
                <w:spacing w:val="1"/>
              </w:rPr>
              <w:t>浦县污水处理厂</w:t>
            </w:r>
          </w:p>
        </w:tc>
        <w:tc>
          <w:tcPr>
            <w:tcW w:w="994" w:type="dxa"/>
            <w:vAlign w:val="top"/>
          </w:tcPr>
          <w:p>
            <w:pPr>
              <w:rPr>
                <w:rFonts w:ascii="Arial"/>
                <w:sz w:val="21"/>
              </w:rPr>
            </w:pPr>
            <w:r/>
          </w:p>
        </w:tc>
      </w:tr>
      <w:tr>
        <w:trPr>
          <w:trHeight w:val="550" w:hRule="atLeast"/>
        </w:trPr>
        <w:tc>
          <w:tcPr>
            <w:tcW w:w="1154" w:type="dxa"/>
            <w:vAlign w:val="top"/>
            <w:vMerge w:val="continue"/>
            <w:tcBorders>
              <w:top w:val="nil"/>
              <w:bottom w:val="nil"/>
            </w:tcBorders>
          </w:tcPr>
          <w:p>
            <w:pPr>
              <w:rPr>
                <w:rFonts w:ascii="Arial"/>
                <w:sz w:val="21"/>
              </w:rPr>
            </w:pPr>
            <w:r/>
          </w:p>
        </w:tc>
        <w:tc>
          <w:tcPr>
            <w:tcW w:w="1248" w:type="dxa"/>
            <w:vAlign w:val="top"/>
          </w:tcPr>
          <w:p>
            <w:pPr>
              <w:pStyle w:val="TableText"/>
              <w:ind w:left="151"/>
              <w:spacing w:before="160" w:line="220" w:lineRule="auto"/>
              <w:rPr/>
            </w:pPr>
            <w:r>
              <w:rPr>
                <w:spacing w:val="-2"/>
              </w:rPr>
              <w:t>环境风险</w:t>
            </w:r>
          </w:p>
        </w:tc>
        <w:tc>
          <w:tcPr>
            <w:tcW w:w="3376" w:type="dxa"/>
            <w:vAlign w:val="top"/>
          </w:tcPr>
          <w:p>
            <w:pPr>
              <w:pStyle w:val="TableText"/>
              <w:ind w:left="532" w:hanging="519"/>
              <w:spacing w:before="46" w:line="198" w:lineRule="auto"/>
              <w:rPr/>
            </w:pPr>
            <w:r>
              <w:rPr>
                <w:spacing w:val="-22"/>
              </w:rPr>
              <w:t>有毒有害和易燃易爆危险物</w:t>
            </w:r>
            <w:r>
              <w:rPr>
                <w:spacing w:val="-21"/>
              </w:rPr>
              <w:t>质存储</w:t>
            </w:r>
            <w:r>
              <w:rPr>
                <w:spacing w:val="-9"/>
              </w:rPr>
              <w:t>量</w:t>
            </w:r>
            <w:r>
              <w:rPr>
                <w:spacing w:val="7"/>
              </w:rPr>
              <w:t xml:space="preserve"> </w:t>
            </w:r>
            <w:r>
              <w:rPr>
                <w:spacing w:val="4"/>
              </w:rPr>
              <w:t>超过临界量的建设项目</w:t>
            </w:r>
          </w:p>
        </w:tc>
        <w:tc>
          <w:tcPr>
            <w:tcW w:w="2108" w:type="dxa"/>
            <w:vAlign w:val="top"/>
          </w:tcPr>
          <w:p>
            <w:pPr>
              <w:pStyle w:val="TableText"/>
              <w:ind w:left="356" w:right="20" w:hanging="339"/>
              <w:spacing w:before="29" w:line="205" w:lineRule="auto"/>
              <w:rPr/>
            </w:pPr>
            <w:r>
              <w:rPr>
                <w:spacing w:val="-2"/>
              </w:rPr>
              <w:t>本项目危险物质存储</w:t>
            </w:r>
            <w:r>
              <w:rPr>
                <w:spacing w:val="7"/>
              </w:rPr>
              <w:t xml:space="preserve"> </w:t>
            </w:r>
            <w:r>
              <w:rPr>
                <w:spacing w:val="-2"/>
              </w:rPr>
              <w:t>量超过临界量</w:t>
            </w:r>
          </w:p>
        </w:tc>
        <w:tc>
          <w:tcPr>
            <w:tcW w:w="994" w:type="dxa"/>
            <w:vAlign w:val="top"/>
          </w:tcPr>
          <w:p>
            <w:pPr>
              <w:pStyle w:val="TableText"/>
              <w:ind w:left="379"/>
              <w:spacing w:before="163" w:line="223" w:lineRule="auto"/>
              <w:rPr/>
            </w:pPr>
            <w:r>
              <w:rPr/>
              <w:t>是</w:t>
            </w:r>
          </w:p>
        </w:tc>
      </w:tr>
      <w:tr>
        <w:trPr>
          <w:trHeight w:val="1069" w:hRule="atLeast"/>
        </w:trPr>
        <w:tc>
          <w:tcPr>
            <w:tcW w:w="1154" w:type="dxa"/>
            <w:vAlign w:val="top"/>
            <w:vMerge w:val="continue"/>
            <w:tcBorders>
              <w:top w:val="nil"/>
              <w:bottom w:val="nil"/>
            </w:tcBorders>
          </w:tcPr>
          <w:p>
            <w:pPr>
              <w:rPr>
                <w:rFonts w:ascii="Arial"/>
                <w:sz w:val="21"/>
              </w:rPr>
            </w:pPr>
            <w:r/>
          </w:p>
        </w:tc>
        <w:tc>
          <w:tcPr>
            <w:tcW w:w="1248" w:type="dxa"/>
            <w:vAlign w:val="top"/>
          </w:tcPr>
          <w:p>
            <w:pPr>
              <w:spacing w:line="349" w:lineRule="auto"/>
              <w:rPr>
                <w:rFonts w:ascii="Arial"/>
                <w:sz w:val="21"/>
              </w:rPr>
            </w:pPr>
            <w:r/>
          </w:p>
          <w:p>
            <w:pPr>
              <w:pStyle w:val="TableText"/>
              <w:ind w:left="381"/>
              <w:spacing w:before="75" w:line="224" w:lineRule="auto"/>
              <w:rPr/>
            </w:pPr>
            <w:r>
              <w:rPr>
                <w:spacing w:val="5"/>
              </w:rPr>
              <w:t>生态</w:t>
            </w:r>
          </w:p>
        </w:tc>
        <w:tc>
          <w:tcPr>
            <w:tcW w:w="3376" w:type="dxa"/>
            <w:vAlign w:val="top"/>
          </w:tcPr>
          <w:p>
            <w:pPr>
              <w:pStyle w:val="TableText"/>
              <w:ind w:left="13"/>
              <w:spacing w:before="40" w:line="209" w:lineRule="auto"/>
              <w:jc w:val="both"/>
              <w:rPr>
                <w:sz w:val="22"/>
                <w:szCs w:val="22"/>
              </w:rPr>
            </w:pPr>
            <w:r>
              <w:rPr>
                <w:spacing w:val="-13"/>
              </w:rPr>
              <w:t>取水口下游500米范围内有重要水生</w:t>
            </w:r>
            <w:r>
              <w:rPr>
                <w:spacing w:val="5"/>
              </w:rPr>
              <w:t xml:space="preserve"> </w:t>
            </w:r>
            <w:r>
              <w:rPr>
                <w:spacing w:val="-22"/>
              </w:rPr>
              <w:t>生物的自然产</w:t>
            </w:r>
            <w:r>
              <w:rPr>
                <w:spacing w:val="-21"/>
              </w:rPr>
              <w:t>卵场、索饵场、越冬</w:t>
            </w:r>
            <w:r>
              <w:rPr>
                <w:spacing w:val="-15"/>
              </w:rPr>
              <w:t>场</w:t>
            </w:r>
            <w:r>
              <w:rPr>
                <w:spacing w:val="7"/>
              </w:rPr>
              <w:t xml:space="preserve"> </w:t>
            </w:r>
            <w:r>
              <w:rPr>
                <w:sz w:val="22"/>
                <w:szCs w:val="22"/>
                <w:spacing w:val="-11"/>
              </w:rPr>
              <w:t>和洄游通道的新增河道取水的污染类</w:t>
            </w:r>
            <w:r>
              <w:rPr>
                <w:sz w:val="22"/>
                <w:szCs w:val="22"/>
                <w:spacing w:val="3"/>
              </w:rPr>
              <w:t xml:space="preserve"> </w:t>
            </w:r>
            <w:r>
              <w:rPr>
                <w:sz w:val="22"/>
                <w:szCs w:val="22"/>
                <w:spacing w:val="24"/>
              </w:rPr>
              <w:t>建设项目</w:t>
            </w:r>
          </w:p>
        </w:tc>
        <w:tc>
          <w:tcPr>
            <w:tcW w:w="2108" w:type="dxa"/>
            <w:vAlign w:val="top"/>
          </w:tcPr>
          <w:p>
            <w:pPr>
              <w:spacing w:line="341" w:lineRule="auto"/>
              <w:rPr>
                <w:rFonts w:ascii="Arial"/>
                <w:sz w:val="21"/>
              </w:rPr>
            </w:pPr>
            <w:r/>
          </w:p>
          <w:p>
            <w:pPr>
              <w:pStyle w:val="TableText"/>
              <w:spacing w:before="75" w:line="219" w:lineRule="auto"/>
              <w:jc w:val="right"/>
              <w:rPr/>
            </w:pPr>
            <w:r>
              <w:rPr>
                <w:spacing w:val="1"/>
              </w:rPr>
              <w:t>本项目不设置取水口</w:t>
            </w:r>
          </w:p>
        </w:tc>
        <w:tc>
          <w:tcPr>
            <w:tcW w:w="994" w:type="dxa"/>
            <w:vAlign w:val="top"/>
          </w:tcPr>
          <w:p>
            <w:pPr>
              <w:spacing w:line="343" w:lineRule="auto"/>
              <w:rPr>
                <w:rFonts w:ascii="Arial"/>
                <w:sz w:val="21"/>
              </w:rPr>
            </w:pPr>
            <w:r/>
          </w:p>
          <w:p>
            <w:pPr>
              <w:pStyle w:val="TableText"/>
              <w:ind w:left="379"/>
              <w:spacing w:before="75" w:line="220" w:lineRule="auto"/>
              <w:rPr/>
            </w:pPr>
            <w:r>
              <w:rPr/>
              <w:t>否</w:t>
            </w:r>
          </w:p>
        </w:tc>
      </w:tr>
      <w:tr>
        <w:trPr>
          <w:trHeight w:val="569" w:hRule="atLeast"/>
        </w:trPr>
        <w:tc>
          <w:tcPr>
            <w:tcW w:w="1154" w:type="dxa"/>
            <w:vAlign w:val="top"/>
            <w:vMerge w:val="continue"/>
            <w:tcBorders>
              <w:top w:val="nil"/>
              <w:bottom w:val="nil"/>
            </w:tcBorders>
          </w:tcPr>
          <w:p>
            <w:pPr>
              <w:rPr>
                <w:rFonts w:ascii="Arial"/>
                <w:sz w:val="21"/>
              </w:rPr>
            </w:pPr>
            <w:r/>
          </w:p>
        </w:tc>
        <w:tc>
          <w:tcPr>
            <w:tcW w:w="1248" w:type="dxa"/>
            <w:vAlign w:val="top"/>
          </w:tcPr>
          <w:p>
            <w:pPr>
              <w:pStyle w:val="TableText"/>
              <w:ind w:left="381"/>
              <w:spacing w:before="171" w:line="220" w:lineRule="auto"/>
              <w:rPr/>
            </w:pPr>
            <w:r>
              <w:rPr>
                <w:spacing w:val="-3"/>
              </w:rPr>
              <w:t>海洋</w:t>
            </w:r>
          </w:p>
        </w:tc>
        <w:tc>
          <w:tcPr>
            <w:tcW w:w="3376" w:type="dxa"/>
            <w:vAlign w:val="top"/>
          </w:tcPr>
          <w:p>
            <w:pPr>
              <w:pStyle w:val="TableText"/>
              <w:ind w:left="1449" w:hanging="1436"/>
              <w:spacing w:before="60" w:line="200" w:lineRule="auto"/>
              <w:rPr/>
            </w:pPr>
            <w:r>
              <w:rPr>
                <w:spacing w:val="-22"/>
              </w:rPr>
              <w:t>直接向海排放污染物的</w:t>
            </w:r>
            <w:r>
              <w:rPr>
                <w:spacing w:val="-21"/>
              </w:rPr>
              <w:t>海洋工程建</w:t>
            </w:r>
            <w:r>
              <w:rPr>
                <w:spacing w:val="-11"/>
              </w:rPr>
              <w:t>设</w:t>
            </w:r>
            <w:r>
              <w:rPr>
                <w:spacing w:val="7"/>
              </w:rPr>
              <w:t xml:space="preserve"> </w:t>
            </w:r>
            <w:r>
              <w:rPr>
                <w:spacing w:val="-7"/>
              </w:rPr>
              <w:t>项 目</w:t>
            </w:r>
          </w:p>
        </w:tc>
        <w:tc>
          <w:tcPr>
            <w:tcW w:w="2108" w:type="dxa"/>
            <w:vAlign w:val="top"/>
          </w:tcPr>
          <w:p>
            <w:pPr>
              <w:pStyle w:val="TableText"/>
              <w:ind w:left="936" w:hanging="919"/>
              <w:spacing w:before="70" w:line="196" w:lineRule="auto"/>
              <w:rPr/>
            </w:pPr>
            <w:r>
              <w:rPr>
                <w:spacing w:val="1"/>
              </w:rPr>
              <w:t>本项目不属于海洋工</w:t>
            </w:r>
            <w:r>
              <w:rPr/>
              <w:t xml:space="preserve"> </w:t>
            </w:r>
            <w:r>
              <w:rPr/>
              <w:t>程</w:t>
            </w:r>
          </w:p>
        </w:tc>
        <w:tc>
          <w:tcPr>
            <w:tcW w:w="994" w:type="dxa"/>
            <w:vAlign w:val="top"/>
          </w:tcPr>
          <w:p>
            <w:pPr>
              <w:pStyle w:val="TableText"/>
              <w:ind w:left="379"/>
              <w:spacing w:before="171" w:line="220" w:lineRule="auto"/>
              <w:rPr/>
            </w:pPr>
            <w:r>
              <w:rPr/>
              <w:t>否</w:t>
            </w:r>
          </w:p>
        </w:tc>
      </w:tr>
      <w:tr>
        <w:trPr>
          <w:trHeight w:val="330" w:hRule="atLeast"/>
        </w:trPr>
        <w:tc>
          <w:tcPr>
            <w:tcW w:w="1154" w:type="dxa"/>
            <w:vAlign w:val="top"/>
            <w:vMerge w:val="continue"/>
            <w:tcBorders>
              <w:top w:val="nil"/>
            </w:tcBorders>
          </w:tcPr>
          <w:p>
            <w:pPr>
              <w:rPr>
                <w:rFonts w:ascii="Arial"/>
                <w:sz w:val="21"/>
              </w:rPr>
            </w:pPr>
            <w:r/>
          </w:p>
        </w:tc>
        <w:tc>
          <w:tcPr>
            <w:tcW w:w="7726" w:type="dxa"/>
            <w:vAlign w:val="top"/>
            <w:gridSpan w:val="4"/>
          </w:tcPr>
          <w:p>
            <w:pPr>
              <w:pStyle w:val="TableText"/>
              <w:ind w:left="611"/>
              <w:spacing w:before="48" w:line="216" w:lineRule="auto"/>
              <w:rPr/>
            </w:pPr>
            <w:r>
              <w:rPr>
                <w:spacing w:val="-1"/>
              </w:rPr>
              <w:t>根据表1-1,项目需设置环境风险专项评价。</w:t>
            </w:r>
          </w:p>
        </w:tc>
      </w:tr>
      <w:tr>
        <w:trPr>
          <w:trHeight w:val="7414" w:hRule="atLeast"/>
        </w:trPr>
        <w:tc>
          <w:tcPr>
            <w:tcW w:w="1154" w:type="dxa"/>
            <w:vAlign w:val="top"/>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455" w:right="218" w:hanging="230"/>
              <w:spacing w:before="75" w:line="238" w:lineRule="auto"/>
              <w:rPr/>
            </w:pPr>
            <w:r>
              <w:rPr>
                <w:spacing w:val="3"/>
              </w:rPr>
              <w:t>规划情</w:t>
            </w:r>
            <w:r>
              <w:rPr/>
              <w:t xml:space="preserve"> </w:t>
            </w:r>
            <w:r>
              <w:rPr/>
              <w:t>况</w:t>
            </w:r>
          </w:p>
        </w:tc>
        <w:tc>
          <w:tcPr>
            <w:tcW w:w="7726" w:type="dxa"/>
            <w:vAlign w:val="top"/>
            <w:gridSpan w:val="4"/>
          </w:tcPr>
          <w:p>
            <w:pPr>
              <w:pStyle w:val="TableText"/>
              <w:ind w:left="101"/>
              <w:spacing w:before="61" w:line="219" w:lineRule="auto"/>
              <w:rPr/>
            </w:pPr>
            <w:r>
              <w:rPr>
                <w:spacing w:val="-8"/>
              </w:rPr>
              <w:t>规划名称：</w:t>
            </w:r>
            <w:r>
              <w:rPr>
                <w:spacing w:val="17"/>
              </w:rPr>
              <w:t xml:space="preserve">    </w:t>
            </w:r>
            <w:r>
              <w:rPr>
                <w:spacing w:val="-8"/>
              </w:rPr>
              <w:t>《霞浦经济开发区控制性详细规划》(2010-2030)</w:t>
            </w:r>
          </w:p>
          <w:p>
            <w:pPr>
              <w:pStyle w:val="TableText"/>
              <w:ind w:left="101"/>
              <w:spacing w:before="195" w:line="219" w:lineRule="auto"/>
              <w:rPr/>
            </w:pPr>
            <w:r>
              <w:rPr/>
              <w:t>审批机关：福建省人民政府</w:t>
            </w:r>
          </w:p>
          <w:p>
            <w:pPr>
              <w:pStyle w:val="TableText"/>
              <w:ind w:left="141"/>
              <w:spacing w:before="177" w:line="467" w:lineRule="exact"/>
              <w:rPr/>
            </w:pPr>
            <w:r>
              <w:rPr>
                <w:spacing w:val="-10"/>
                <w:position w:val="18"/>
              </w:rPr>
              <w:t>审批文件名称及文号：</w:t>
            </w:r>
            <w:r>
              <w:rPr>
                <w:spacing w:val="21"/>
                <w:position w:val="18"/>
              </w:rPr>
              <w:t xml:space="preserve">    </w:t>
            </w:r>
            <w:r>
              <w:rPr>
                <w:spacing w:val="-10"/>
                <w:position w:val="18"/>
              </w:rPr>
              <w:t>《福建省人民政府关于设立霞浦经济开发区的批</w:t>
            </w:r>
          </w:p>
          <w:p>
            <w:pPr>
              <w:pStyle w:val="TableText"/>
              <w:ind w:left="101"/>
              <w:spacing w:line="216" w:lineRule="auto"/>
              <w:rPr/>
            </w:pPr>
            <w:r>
              <w:rPr>
                <w:spacing w:val="1"/>
              </w:rPr>
              <w:t>复》,闽政文〔2014〕9号</w:t>
            </w:r>
          </w:p>
          <w:p>
            <w:pPr>
              <w:spacing w:line="262" w:lineRule="auto"/>
              <w:rPr>
                <w:rFonts w:ascii="Arial"/>
                <w:sz w:val="21"/>
              </w:rPr>
            </w:pPr>
            <w:r/>
          </w:p>
          <w:p>
            <w:pPr>
              <w:spacing w:line="263" w:lineRule="auto"/>
              <w:rPr>
                <w:rFonts w:ascii="Arial"/>
                <w:sz w:val="21"/>
              </w:rPr>
            </w:pPr>
            <w:r/>
          </w:p>
          <w:p>
            <w:pPr>
              <w:pStyle w:val="TableText"/>
              <w:ind w:left="131"/>
              <w:spacing w:before="76" w:line="460" w:lineRule="exact"/>
              <w:rPr/>
            </w:pPr>
            <w:r>
              <w:rPr>
                <w:position w:val="17"/>
              </w:rPr>
              <w:t>规划名称：霞浦县福宁工业园区(福建省霞浦县经济开发区)控制性详</w:t>
            </w:r>
          </w:p>
          <w:p>
            <w:pPr>
              <w:pStyle w:val="TableText"/>
              <w:ind w:left="101"/>
              <w:spacing w:line="219" w:lineRule="auto"/>
              <w:rPr/>
            </w:pPr>
            <w:r>
              <w:rPr>
                <w:spacing w:val="7"/>
              </w:rPr>
              <w:t>细规划(修编)</w:t>
            </w:r>
          </w:p>
          <w:p>
            <w:pPr>
              <w:pStyle w:val="TableText"/>
              <w:ind w:left="101"/>
              <w:spacing w:before="226" w:line="219" w:lineRule="auto"/>
              <w:rPr/>
            </w:pPr>
            <w:r>
              <w:rPr/>
              <w:t>审批机关：霞浦县人民政府</w:t>
            </w:r>
          </w:p>
          <w:p>
            <w:pPr>
              <w:pStyle w:val="TableText"/>
              <w:ind w:left="141" w:right="205" w:firstLine="9"/>
              <w:spacing w:before="178" w:line="378" w:lineRule="auto"/>
              <w:rPr/>
            </w:pPr>
            <w:r>
              <w:rPr>
                <w:spacing w:val="-9"/>
              </w:rPr>
              <w:t>审批文件名称及文号：</w:t>
            </w:r>
            <w:r>
              <w:rPr>
                <w:spacing w:val="16"/>
              </w:rPr>
              <w:t xml:space="preserve">    </w:t>
            </w:r>
            <w:r>
              <w:rPr>
                <w:spacing w:val="-9"/>
              </w:rPr>
              <w:t>《霞浦县人民政府关于&lt;霞</w:t>
            </w:r>
            <w:r>
              <w:rPr>
                <w:spacing w:val="-10"/>
              </w:rPr>
              <w:t>浦县福宁工业园区(福</w:t>
            </w:r>
            <w:r>
              <w:rPr>
                <w:spacing w:val="2"/>
              </w:rPr>
              <w:t xml:space="preserve"> </w:t>
            </w:r>
            <w:r>
              <w:rPr>
                <w:spacing w:val="1"/>
              </w:rPr>
              <w:t>建省霞浦县经济开发区)控制性详细规划(修编)的批复》,霞政文(2022)</w:t>
            </w:r>
          </w:p>
          <w:p>
            <w:pPr>
              <w:pStyle w:val="TableText"/>
              <w:ind w:left="101"/>
              <w:spacing w:before="1" w:line="220" w:lineRule="auto"/>
              <w:rPr/>
            </w:pPr>
            <w:r>
              <w:rPr>
                <w:spacing w:val="2"/>
              </w:rPr>
              <w:t>161号</w:t>
            </w:r>
          </w:p>
          <w:p>
            <w:pPr>
              <w:spacing w:line="292" w:lineRule="auto"/>
              <w:rPr>
                <w:rFonts w:ascii="Arial"/>
                <w:sz w:val="21"/>
              </w:rPr>
            </w:pPr>
            <w:r/>
          </w:p>
          <w:p>
            <w:pPr>
              <w:spacing w:line="293" w:lineRule="auto"/>
              <w:rPr>
                <w:rFonts w:ascii="Arial"/>
                <w:sz w:val="21"/>
              </w:rPr>
            </w:pPr>
            <w:r/>
          </w:p>
          <w:p>
            <w:pPr>
              <w:pStyle w:val="TableText"/>
              <w:ind w:left="101"/>
              <w:spacing w:before="75" w:line="219" w:lineRule="auto"/>
              <w:rPr/>
            </w:pPr>
            <w:r>
              <w:rPr/>
              <w:t>规划名称：霞浦新能源产业园控制性详细规划</w:t>
            </w:r>
          </w:p>
          <w:p>
            <w:pPr>
              <w:pStyle w:val="TableText"/>
              <w:ind w:left="101"/>
              <w:spacing w:before="206" w:line="219" w:lineRule="auto"/>
              <w:rPr/>
            </w:pPr>
            <w:r>
              <w:rPr/>
              <w:t>审批机关：霞浦县人民政府</w:t>
            </w:r>
          </w:p>
          <w:p>
            <w:pPr>
              <w:pStyle w:val="TableText"/>
              <w:ind w:left="141"/>
              <w:spacing w:before="177" w:line="457" w:lineRule="exact"/>
              <w:rPr/>
            </w:pPr>
            <w:r>
              <w:rPr>
                <w:position w:val="17"/>
              </w:rPr>
              <w:t>审批文件名称及文号：《霞浦县人民政府关于&lt;霞浦新能源产业园控制性</w:t>
            </w:r>
          </w:p>
          <w:p>
            <w:pPr>
              <w:pStyle w:val="TableText"/>
              <w:ind w:left="101"/>
              <w:spacing w:before="1" w:line="216" w:lineRule="auto"/>
              <w:rPr/>
            </w:pPr>
            <w:r>
              <w:rPr/>
              <w:t>详细规划的批复》,霞政文〔2023〕179号</w:t>
            </w:r>
          </w:p>
        </w:tc>
      </w:tr>
      <w:tr>
        <w:trPr>
          <w:trHeight w:val="1849" w:hRule="atLeast"/>
        </w:trPr>
        <w:tc>
          <w:tcPr>
            <w:tcW w:w="1154" w:type="dxa"/>
            <w:vAlign w:val="top"/>
          </w:tcPr>
          <w:p>
            <w:pPr>
              <w:spacing w:line="294" w:lineRule="auto"/>
              <w:rPr>
                <w:rFonts w:ascii="Arial"/>
                <w:sz w:val="21"/>
              </w:rPr>
            </w:pPr>
            <w:r/>
          </w:p>
          <w:p>
            <w:pPr>
              <w:pStyle w:val="TableText"/>
              <w:ind w:left="225"/>
              <w:spacing w:before="74" w:line="221" w:lineRule="auto"/>
              <w:rPr/>
            </w:pPr>
            <w:r>
              <w:rPr>
                <w:spacing w:val="3"/>
              </w:rPr>
              <w:t>规划环</w:t>
            </w:r>
          </w:p>
          <w:p>
            <w:pPr>
              <w:pStyle w:val="TableText"/>
              <w:ind w:left="225"/>
              <w:spacing w:before="32" w:line="220" w:lineRule="auto"/>
              <w:rPr/>
            </w:pPr>
            <w:r>
              <w:rPr>
                <w:spacing w:val="6"/>
              </w:rPr>
              <w:t>境影响</w:t>
            </w:r>
          </w:p>
          <w:p>
            <w:pPr>
              <w:pStyle w:val="TableText"/>
              <w:ind w:left="225"/>
              <w:spacing w:before="33" w:line="218" w:lineRule="auto"/>
              <w:rPr/>
            </w:pPr>
            <w:r>
              <w:rPr>
                <w:spacing w:val="-2"/>
              </w:rPr>
              <w:t>评价情</w:t>
            </w:r>
          </w:p>
          <w:p>
            <w:pPr>
              <w:pStyle w:val="TableText"/>
              <w:ind w:left="455"/>
              <w:spacing w:before="51" w:line="220" w:lineRule="auto"/>
              <w:rPr/>
            </w:pPr>
            <w:r>
              <w:rPr/>
              <w:t>况</w:t>
            </w:r>
          </w:p>
        </w:tc>
        <w:tc>
          <w:tcPr>
            <w:tcW w:w="7726" w:type="dxa"/>
            <w:vAlign w:val="top"/>
            <w:gridSpan w:val="4"/>
          </w:tcPr>
          <w:p>
            <w:pPr>
              <w:pStyle w:val="TableText"/>
              <w:ind w:left="101"/>
              <w:spacing w:before="55" w:line="218" w:lineRule="auto"/>
              <w:rPr/>
            </w:pPr>
            <w:r>
              <w:rPr>
                <w:spacing w:val="-10"/>
              </w:rPr>
              <w:t>规划环评名称：</w:t>
            </w:r>
            <w:r>
              <w:rPr>
                <w:spacing w:val="15"/>
              </w:rPr>
              <w:t xml:space="preserve">    </w:t>
            </w:r>
            <w:r>
              <w:rPr>
                <w:spacing w:val="-10"/>
              </w:rPr>
              <w:t>《福建省霞浦经济开发区总体规划环</w:t>
            </w:r>
            <w:r>
              <w:rPr>
                <w:spacing w:val="-11"/>
              </w:rPr>
              <w:t>境影响报告书》</w:t>
            </w:r>
          </w:p>
          <w:p>
            <w:pPr>
              <w:pStyle w:val="TableText"/>
              <w:ind w:left="101"/>
              <w:spacing w:before="200" w:line="219" w:lineRule="auto"/>
              <w:rPr/>
            </w:pPr>
            <w:r>
              <w:rPr/>
              <w:t>审批单位：福建省环境保护厅</w:t>
            </w:r>
          </w:p>
          <w:p>
            <w:pPr>
              <w:pStyle w:val="TableText"/>
              <w:ind w:left="141"/>
              <w:spacing w:before="196" w:line="459" w:lineRule="exact"/>
              <w:rPr/>
            </w:pPr>
            <w:r>
              <w:rPr>
                <w:position w:val="17"/>
              </w:rPr>
              <w:t>审批文件名称及文号：福建省环保厅关于《福建省霞浦经济开发区总体</w:t>
            </w:r>
          </w:p>
          <w:p>
            <w:pPr>
              <w:pStyle w:val="TableText"/>
              <w:ind w:left="101"/>
              <w:spacing w:before="1" w:line="217" w:lineRule="auto"/>
              <w:rPr/>
            </w:pPr>
            <w:r>
              <w:rPr/>
              <w:t>规划环境影响报告书》的审查意见，闽环保评〔2012〕94号</w:t>
            </w:r>
          </w:p>
        </w:tc>
      </w:tr>
      <w:tr>
        <w:trPr>
          <w:trHeight w:val="1574" w:hRule="atLeast"/>
        </w:trPr>
        <w:tc>
          <w:tcPr>
            <w:tcW w:w="1154" w:type="dxa"/>
            <w:vAlign w:val="top"/>
          </w:tcPr>
          <w:p>
            <w:pPr>
              <w:pStyle w:val="TableText"/>
              <w:ind w:left="225" w:right="210"/>
              <w:spacing w:before="69"/>
              <w:jc w:val="both"/>
              <w:rPr/>
            </w:pPr>
            <w:r>
              <w:rPr>
                <w:spacing w:val="4"/>
              </w:rPr>
              <w:t>规划及</w:t>
            </w:r>
            <w:r>
              <w:rPr/>
              <w:t xml:space="preserve"> </w:t>
            </w:r>
            <w:r>
              <w:rPr>
                <w:spacing w:val="3"/>
              </w:rPr>
              <w:t>规划环</w:t>
            </w:r>
            <w:r>
              <w:rPr>
                <w:spacing w:val="1"/>
              </w:rPr>
              <w:t xml:space="preserve"> </w:t>
            </w:r>
            <w:r>
              <w:rPr>
                <w:spacing w:val="6"/>
              </w:rPr>
              <w:t>境影响</w:t>
            </w:r>
            <w:r>
              <w:rPr/>
              <w:t xml:space="preserve"> </w:t>
            </w:r>
            <w:r>
              <w:rPr>
                <w:spacing w:val="-3"/>
              </w:rPr>
              <w:t>评价符</w:t>
            </w:r>
            <w:r>
              <w:rPr/>
              <w:t xml:space="preserve"> </w:t>
            </w:r>
            <w:r>
              <w:rPr>
                <w:spacing w:val="-3"/>
              </w:rPr>
              <w:t>合性分</w:t>
            </w:r>
          </w:p>
        </w:tc>
        <w:tc>
          <w:tcPr>
            <w:tcW w:w="7726" w:type="dxa"/>
            <w:vAlign w:val="top"/>
            <w:gridSpan w:val="4"/>
          </w:tcPr>
          <w:p>
            <w:pPr>
              <w:pStyle w:val="TableText"/>
              <w:ind w:left="121" w:right="642" w:firstLine="499"/>
              <w:spacing w:before="148" w:line="377" w:lineRule="auto"/>
              <w:rPr/>
            </w:pPr>
            <w:r>
              <w:rPr/>
              <w:t>根据《霞浦县福宁工业园区(福建省霞浦县经济开发区)控制性详</w:t>
            </w:r>
            <w:r>
              <w:rPr>
                <w:spacing w:val="11"/>
              </w:rPr>
              <w:t xml:space="preserve"> </w:t>
            </w:r>
            <w:r>
              <w:rPr/>
              <w:t>细规划(修编)》,时代一汽动力电池有限公</w:t>
            </w:r>
            <w:r>
              <w:rPr>
                <w:spacing w:val="-1"/>
              </w:rPr>
              <w:t>司现有工程厂区东侧部分</w:t>
            </w:r>
          </w:p>
          <w:p>
            <w:pPr>
              <w:pStyle w:val="TableText"/>
              <w:ind w:left="141"/>
              <w:spacing w:line="218" w:lineRule="auto"/>
              <w:rPr/>
            </w:pPr>
            <w:r>
              <w:rPr/>
              <w:t>位于该规划范围内(见附图10);根据《霞浦新</w:t>
            </w:r>
            <w:r>
              <w:rPr>
                <w:spacing w:val="-1"/>
              </w:rPr>
              <w:t>能源产业园控制性详细</w:t>
            </w:r>
          </w:p>
        </w:tc>
      </w:tr>
    </w:tbl>
    <w:p>
      <w:pPr>
        <w:rPr>
          <w:rFonts w:ascii="Arial"/>
          <w:sz w:val="21"/>
        </w:rPr>
      </w:pPr>
      <w:r/>
    </w:p>
    <w:p>
      <w:pPr>
        <w:sectPr>
          <w:footerReference w:type="default" r:id="rId2"/>
          <w:pgSz w:w="11900" w:h="16840"/>
          <w:pgMar w:top="1384" w:right="1415" w:bottom="1218" w:left="1594" w:header="0" w:footer="1079" w:gutter="0"/>
        </w:sectPr>
        <w:rPr>
          <w:rFonts w:ascii="Arial" w:hAnsi="Arial" w:eastAsia="Arial" w:cs="Arial"/>
          <w:sz w:val="21"/>
          <w:szCs w:val="21"/>
        </w:rPr>
      </w:pPr>
    </w:p>
    <w:tbl>
      <w:tblPr>
        <w:tblStyle w:val="TableNormal"/>
        <w:tblW w:w="88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4"/>
        <w:gridCol w:w="7726"/>
      </w:tblGrid>
      <w:tr>
        <w:trPr>
          <w:trHeight w:val="13979" w:hRule="atLeast"/>
        </w:trPr>
        <w:tc>
          <w:tcPr>
            <w:tcW w:w="1154" w:type="dxa"/>
            <w:vAlign w:val="top"/>
          </w:tcPr>
          <w:p>
            <w:pPr>
              <w:pStyle w:val="TableText"/>
              <w:ind w:left="455"/>
              <w:spacing w:before="35" w:line="220" w:lineRule="auto"/>
              <w:rPr>
                <w:sz w:val="24"/>
                <w:szCs w:val="24"/>
              </w:rPr>
            </w:pPr>
            <w:r>
              <w:rPr>
                <w:sz w:val="24"/>
                <w:szCs w:val="24"/>
              </w:rPr>
              <w:t>析</w:t>
            </w:r>
          </w:p>
        </w:tc>
        <w:tc>
          <w:tcPr>
            <w:tcW w:w="7726" w:type="dxa"/>
            <w:vAlign w:val="top"/>
          </w:tcPr>
          <w:p>
            <w:pPr>
              <w:pStyle w:val="TableText"/>
              <w:ind w:left="131"/>
              <w:spacing w:before="41" w:line="462" w:lineRule="exact"/>
              <w:rPr>
                <w:sz w:val="24"/>
                <w:szCs w:val="24"/>
              </w:rPr>
            </w:pPr>
            <w:r>
              <w:rPr>
                <w:sz w:val="24"/>
                <w:szCs w:val="24"/>
                <w:spacing w:val="1"/>
                <w:position w:val="17"/>
              </w:rPr>
              <w:t>规划》,时代一汽动力电池有限公司现有工程厂区西侧部分及</w:t>
            </w:r>
            <w:r>
              <w:rPr>
                <w:sz w:val="24"/>
                <w:szCs w:val="24"/>
                <w:position w:val="17"/>
              </w:rPr>
              <w:t>本项目用</w:t>
            </w:r>
          </w:p>
          <w:p>
            <w:pPr>
              <w:pStyle w:val="TableText"/>
              <w:ind w:left="131"/>
              <w:spacing w:line="218" w:lineRule="auto"/>
              <w:rPr>
                <w:sz w:val="24"/>
                <w:szCs w:val="24"/>
              </w:rPr>
            </w:pPr>
            <w:r>
              <w:rPr>
                <w:sz w:val="24"/>
                <w:szCs w:val="24"/>
              </w:rPr>
              <w:t>地(凹版厂房)位于该规划范围内。本项目用地属于工业用地，因此，</w:t>
            </w:r>
          </w:p>
          <w:p>
            <w:pPr>
              <w:pStyle w:val="TableText"/>
              <w:ind w:left="151"/>
              <w:spacing w:before="195" w:line="219" w:lineRule="auto"/>
              <w:rPr>
                <w:sz w:val="24"/>
                <w:szCs w:val="24"/>
              </w:rPr>
            </w:pPr>
            <w:r>
              <w:rPr>
                <w:sz w:val="24"/>
                <w:szCs w:val="24"/>
                <w:spacing w:val="-1"/>
              </w:rPr>
              <w:t>本项目用地符合规划要求。</w:t>
            </w:r>
          </w:p>
          <w:p>
            <w:pPr>
              <w:pStyle w:val="TableText"/>
              <w:ind w:left="154"/>
              <w:spacing w:before="183" w:line="219" w:lineRule="auto"/>
              <w:rPr>
                <w:sz w:val="24"/>
                <w:szCs w:val="24"/>
              </w:rPr>
            </w:pPr>
            <w:r>
              <w:rPr>
                <w:sz w:val="24"/>
                <w:szCs w:val="24"/>
                <w:b/>
                <w:bCs/>
                <w:spacing w:val="-3"/>
              </w:rPr>
              <w:t>1、规划符合性分析</w:t>
            </w:r>
          </w:p>
          <w:p>
            <w:pPr>
              <w:pStyle w:val="TableText"/>
              <w:ind w:left="141" w:right="112" w:firstLine="489"/>
              <w:spacing w:before="178" w:line="358" w:lineRule="auto"/>
              <w:rPr>
                <w:sz w:val="24"/>
                <w:szCs w:val="24"/>
              </w:rPr>
            </w:pPr>
            <w:r>
              <w:rPr>
                <w:sz w:val="24"/>
                <w:szCs w:val="24"/>
              </w:rPr>
              <w:t>本项目用地在霞浦新能源产业园控制性详细规划范围内，霞浦新能</w:t>
            </w:r>
            <w:r>
              <w:rPr>
                <w:sz w:val="24"/>
                <w:szCs w:val="24"/>
                <w:spacing w:val="11"/>
              </w:rPr>
              <w:t xml:space="preserve"> </w:t>
            </w:r>
            <w:r>
              <w:rPr>
                <w:sz w:val="24"/>
                <w:szCs w:val="24"/>
              </w:rPr>
              <w:t>源产业园位于霞浦县西南侧北起赛下山，西至南峰山，东至赤岸大</w:t>
            </w:r>
            <w:r>
              <w:rPr>
                <w:sz w:val="24"/>
                <w:szCs w:val="24"/>
                <w:spacing w:val="-1"/>
              </w:rPr>
              <w:t>道，</w:t>
            </w:r>
          </w:p>
          <w:p>
            <w:pPr>
              <w:pStyle w:val="TableText"/>
              <w:ind w:left="141"/>
              <w:spacing w:before="1" w:line="220" w:lineRule="auto"/>
              <w:rPr>
                <w:sz w:val="24"/>
                <w:szCs w:val="24"/>
              </w:rPr>
            </w:pPr>
            <w:r>
              <w:rPr>
                <w:sz w:val="24"/>
                <w:szCs w:val="24"/>
              </w:rPr>
              <w:t>南至南岐山，总用地面积约410.74公顷。</w:t>
            </w:r>
          </w:p>
          <w:p>
            <w:pPr>
              <w:pStyle w:val="TableText"/>
              <w:ind w:left="630"/>
              <w:spacing w:before="173" w:line="460" w:lineRule="exact"/>
              <w:rPr>
                <w:sz w:val="24"/>
                <w:szCs w:val="24"/>
              </w:rPr>
            </w:pPr>
            <w:r>
              <w:rPr>
                <w:sz w:val="24"/>
                <w:szCs w:val="24"/>
                <w:position w:val="16"/>
              </w:rPr>
              <w:t>园区发展目标：打造霞浦县重要的产业集中发展区，作为霞浦产业</w:t>
            </w:r>
          </w:p>
          <w:p>
            <w:pPr>
              <w:pStyle w:val="TableText"/>
              <w:ind w:left="131"/>
              <w:spacing w:line="219" w:lineRule="auto"/>
              <w:rPr>
                <w:sz w:val="24"/>
                <w:szCs w:val="24"/>
              </w:rPr>
            </w:pPr>
            <w:r>
              <w:rPr>
                <w:sz w:val="24"/>
                <w:szCs w:val="24"/>
              </w:rPr>
              <w:t>转型的示范区，打造宜居的工业园区，最终成为节能环保创新园区。</w:t>
            </w:r>
          </w:p>
          <w:p>
            <w:pPr>
              <w:pStyle w:val="TableText"/>
              <w:spacing w:before="195" w:line="459" w:lineRule="exact"/>
              <w:jc w:val="right"/>
              <w:rPr>
                <w:sz w:val="24"/>
                <w:szCs w:val="24"/>
              </w:rPr>
            </w:pPr>
            <w:r>
              <w:rPr>
                <w:sz w:val="24"/>
                <w:szCs w:val="24"/>
                <w:position w:val="16"/>
              </w:rPr>
              <w:t>园区功能定位：(1)职能定位：霞浦经济发展产业集聚新的增长点、</w:t>
            </w:r>
          </w:p>
          <w:p>
            <w:pPr>
              <w:pStyle w:val="TableText"/>
              <w:ind w:left="141"/>
              <w:spacing w:before="1" w:line="218" w:lineRule="auto"/>
              <w:rPr>
                <w:sz w:val="24"/>
                <w:szCs w:val="24"/>
              </w:rPr>
            </w:pPr>
            <w:r>
              <w:rPr>
                <w:sz w:val="24"/>
                <w:szCs w:val="24"/>
                <w:spacing w:val="-4"/>
              </w:rPr>
              <w:t>促进霞浦产业升级的示范基地与展示现代化新霞浦风貌的窗口。</w:t>
            </w:r>
          </w:p>
          <w:p>
            <w:pPr>
              <w:pStyle w:val="TableText"/>
              <w:ind w:left="131" w:right="24" w:firstLine="619"/>
              <w:spacing w:before="187" w:line="363" w:lineRule="auto"/>
              <w:rPr>
                <w:sz w:val="24"/>
                <w:szCs w:val="24"/>
              </w:rPr>
            </w:pPr>
            <w:r>
              <w:rPr>
                <w:sz w:val="24"/>
                <w:szCs w:val="24"/>
                <w:spacing w:val="2"/>
              </w:rPr>
              <w:t>(2)产业发展方向：①近中期应重点发展以</w:t>
            </w:r>
            <w:r>
              <w:rPr>
                <w:sz w:val="24"/>
                <w:szCs w:val="24"/>
                <w:spacing w:val="1"/>
              </w:rPr>
              <w:t>下产业：食品(水产品)</w:t>
            </w:r>
            <w:r>
              <w:rPr>
                <w:sz w:val="24"/>
                <w:szCs w:val="24"/>
              </w:rPr>
              <w:t xml:space="preserve"> </w:t>
            </w:r>
            <w:r>
              <w:rPr>
                <w:sz w:val="24"/>
                <w:szCs w:val="24"/>
                <w:spacing w:val="1"/>
              </w:rPr>
              <w:t>加工，机械制造，新能源制造业等新型节能</w:t>
            </w:r>
            <w:r>
              <w:rPr>
                <w:sz w:val="24"/>
                <w:szCs w:val="24"/>
              </w:rPr>
              <w:t>环保、智能制造产业，并结 </w:t>
            </w:r>
            <w:r>
              <w:rPr>
                <w:sz w:val="24"/>
                <w:szCs w:val="24"/>
              </w:rPr>
              <w:t>合“互联网+”、“物联网”等先进技术，发展工业4.0。②允许产业：</w:t>
            </w:r>
            <w:r>
              <w:rPr>
                <w:sz w:val="24"/>
                <w:szCs w:val="24"/>
                <w:spacing w:val="9"/>
              </w:rPr>
              <w:t xml:space="preserve">  </w:t>
            </w:r>
            <w:r>
              <w:rPr>
                <w:sz w:val="24"/>
                <w:szCs w:val="24"/>
                <w:spacing w:val="1"/>
              </w:rPr>
              <w:t>除上述主导产业外，为丰富园区产业功能，引导产业全方位发展，基于</w:t>
            </w:r>
            <w:r>
              <w:rPr>
                <w:sz w:val="24"/>
                <w:szCs w:val="24"/>
                <w:spacing w:val="12"/>
              </w:rPr>
              <w:t xml:space="preserve"> </w:t>
            </w:r>
            <w:r>
              <w:rPr>
                <w:sz w:val="24"/>
                <w:szCs w:val="24"/>
                <w:spacing w:val="4"/>
              </w:rPr>
              <w:t>现状产业发张情况，允许纺织化纤、塑料制品、建筑材料、</w:t>
            </w:r>
            <w:r>
              <w:rPr>
                <w:sz w:val="24"/>
                <w:szCs w:val="24"/>
                <w:spacing w:val="3"/>
              </w:rPr>
              <w:t>汽摩配件、</w:t>
            </w:r>
          </w:p>
          <w:p>
            <w:pPr>
              <w:pStyle w:val="TableText"/>
              <w:ind w:left="171"/>
              <w:spacing w:line="219" w:lineRule="auto"/>
              <w:rPr>
                <w:sz w:val="24"/>
                <w:szCs w:val="24"/>
              </w:rPr>
            </w:pPr>
            <w:r>
              <w:rPr>
                <w:sz w:val="24"/>
                <w:szCs w:val="24"/>
              </w:rPr>
              <w:t>电子电气、金属制品等产品进入园区。</w:t>
            </w:r>
          </w:p>
          <w:p>
            <w:pPr>
              <w:pStyle w:val="TableText"/>
              <w:ind w:left="151" w:right="112" w:firstLine="479"/>
              <w:spacing w:before="155" w:line="362" w:lineRule="auto"/>
              <w:rPr>
                <w:sz w:val="24"/>
                <w:szCs w:val="24"/>
              </w:rPr>
            </w:pPr>
            <w:r>
              <w:rPr>
                <w:sz w:val="24"/>
                <w:szCs w:val="24"/>
                <w:spacing w:val="-6"/>
              </w:rPr>
              <w:t>规划结构：规划形成“一轴六区”的空间布局结构。</w:t>
            </w:r>
            <w:r>
              <w:rPr>
                <w:sz w:val="24"/>
                <w:szCs w:val="24"/>
                <w:spacing w:val="48"/>
              </w:rPr>
              <w:t xml:space="preserve"> </w:t>
            </w:r>
            <w:r>
              <w:rPr>
                <w:sz w:val="24"/>
                <w:szCs w:val="24"/>
                <w:spacing w:val="-7"/>
              </w:rPr>
              <w:t>一轴：为依托</w:t>
            </w:r>
            <w:r>
              <w:rPr>
                <w:sz w:val="24"/>
                <w:szCs w:val="24"/>
              </w:rPr>
              <w:t xml:space="preserve"> </w:t>
            </w:r>
            <w:r>
              <w:rPr>
                <w:sz w:val="24"/>
                <w:szCs w:val="24"/>
              </w:rPr>
              <w:t>赤岸大道联通老城区与未来滨海新城的区域交通发展轴。六区：分别为</w:t>
            </w:r>
          </w:p>
          <w:p>
            <w:pPr>
              <w:pStyle w:val="TableText"/>
              <w:ind w:left="141"/>
              <w:spacing w:line="220" w:lineRule="auto"/>
              <w:rPr>
                <w:sz w:val="24"/>
                <w:szCs w:val="24"/>
              </w:rPr>
            </w:pPr>
            <w:r>
              <w:rPr>
                <w:sz w:val="24"/>
                <w:szCs w:val="24"/>
              </w:rPr>
              <w:t>小沙工业区、大沙工业区、长沙工业区及三处生活配套</w:t>
            </w:r>
            <w:r>
              <w:rPr>
                <w:sz w:val="24"/>
                <w:szCs w:val="24"/>
                <w:spacing w:val="-1"/>
              </w:rPr>
              <w:t>区。</w:t>
            </w:r>
          </w:p>
          <w:p>
            <w:pPr>
              <w:pStyle w:val="TableText"/>
              <w:ind w:left="630"/>
              <w:spacing w:before="192" w:line="451" w:lineRule="exact"/>
              <w:rPr>
                <w:sz w:val="24"/>
                <w:szCs w:val="24"/>
              </w:rPr>
            </w:pPr>
            <w:r>
              <w:rPr>
                <w:sz w:val="24"/>
                <w:szCs w:val="24"/>
                <w:spacing w:val="-1"/>
                <w:position w:val="15"/>
              </w:rPr>
              <w:t>本项目位于大沙工业区，产品为锂离子电池，属于新能源制造业</w:t>
            </w:r>
          </w:p>
          <w:p>
            <w:pPr>
              <w:pStyle w:val="TableText"/>
              <w:ind w:left="151"/>
              <w:spacing w:before="1" w:line="219" w:lineRule="auto"/>
              <w:rPr>
                <w:sz w:val="24"/>
                <w:szCs w:val="24"/>
              </w:rPr>
            </w:pPr>
            <w:r>
              <w:rPr>
                <w:sz w:val="24"/>
                <w:szCs w:val="24"/>
              </w:rPr>
              <w:t>属于霞浦新能源产业园重点发展产业，符合霞浦新能源产业园规</w:t>
            </w:r>
            <w:r>
              <w:rPr>
                <w:sz w:val="24"/>
                <w:szCs w:val="24"/>
                <w:spacing w:val="-1"/>
              </w:rPr>
              <w:t>划。</w:t>
            </w:r>
          </w:p>
          <w:p>
            <w:pPr>
              <w:pStyle w:val="TableText"/>
              <w:ind w:left="144"/>
              <w:spacing w:before="201" w:line="219" w:lineRule="auto"/>
              <w:rPr>
                <w:sz w:val="24"/>
                <w:szCs w:val="24"/>
              </w:rPr>
            </w:pPr>
            <w:r>
              <w:rPr>
                <w:sz w:val="24"/>
                <w:szCs w:val="24"/>
                <w:b/>
                <w:bCs/>
                <w:spacing w:val="-4"/>
              </w:rPr>
              <w:t>2、土地利用规划符合性分析</w:t>
            </w:r>
          </w:p>
          <w:p>
            <w:pPr>
              <w:pStyle w:val="TableText"/>
              <w:ind w:left="151" w:right="110" w:firstLine="479"/>
              <w:spacing w:before="169" w:line="364" w:lineRule="auto"/>
              <w:jc w:val="both"/>
              <w:rPr>
                <w:sz w:val="24"/>
                <w:szCs w:val="24"/>
              </w:rPr>
            </w:pPr>
            <w:r>
              <w:rPr>
                <w:sz w:val="24"/>
                <w:szCs w:val="24"/>
              </w:rPr>
              <w:t>根据项目的不动产权证，项目用地的土地用途为工矿仓储用地一工</w:t>
            </w:r>
            <w:r>
              <w:rPr>
                <w:sz w:val="24"/>
                <w:szCs w:val="24"/>
                <w:spacing w:val="12"/>
              </w:rPr>
              <w:t xml:space="preserve"> </w:t>
            </w:r>
            <w:r>
              <w:rPr>
                <w:sz w:val="24"/>
                <w:szCs w:val="24"/>
                <w:spacing w:val="-6"/>
              </w:rPr>
              <w:t>业用地。根据本项目在《霞浦县国土空间控制线规划图》</w:t>
            </w:r>
            <w:r>
              <w:rPr>
                <w:sz w:val="24"/>
                <w:szCs w:val="24"/>
                <w:spacing w:val="20"/>
              </w:rPr>
              <w:t xml:space="preserve">   </w:t>
            </w:r>
            <w:r>
              <w:rPr>
                <w:sz w:val="24"/>
                <w:szCs w:val="24"/>
                <w:spacing w:val="-6"/>
              </w:rPr>
              <w:t>(附图13)可</w:t>
            </w:r>
            <w:r>
              <w:rPr>
                <w:sz w:val="24"/>
                <w:szCs w:val="24"/>
                <w:spacing w:val="2"/>
              </w:rPr>
              <w:t xml:space="preserve"> </w:t>
            </w:r>
            <w:r>
              <w:rPr>
                <w:sz w:val="24"/>
                <w:szCs w:val="24"/>
              </w:rPr>
              <w:t>知，本项目用地在城镇开发边界内，不涉及生态保护红线及永久基本农</w:t>
            </w:r>
          </w:p>
          <w:p>
            <w:pPr>
              <w:pStyle w:val="TableText"/>
              <w:ind w:left="171"/>
              <w:spacing w:line="219" w:lineRule="auto"/>
              <w:rPr>
                <w:sz w:val="24"/>
                <w:szCs w:val="24"/>
              </w:rPr>
            </w:pPr>
            <w:r>
              <w:rPr>
                <w:sz w:val="24"/>
                <w:szCs w:val="24"/>
              </w:rPr>
              <w:t>田，选址符合“三区三线”要求。</w:t>
            </w:r>
          </w:p>
          <w:p>
            <w:pPr>
              <w:pStyle w:val="TableText"/>
              <w:ind w:left="134"/>
              <w:spacing w:before="160" w:line="218" w:lineRule="auto"/>
              <w:rPr>
                <w:sz w:val="24"/>
                <w:szCs w:val="24"/>
              </w:rPr>
            </w:pPr>
            <w:r>
              <w:rPr>
                <w:sz w:val="24"/>
                <w:szCs w:val="24"/>
                <w:b/>
                <w:bCs/>
                <w:spacing w:val="-4"/>
              </w:rPr>
              <w:t>3、与规划环境影响评价审查意见的符合性分析</w:t>
            </w:r>
          </w:p>
          <w:p>
            <w:pPr>
              <w:pStyle w:val="TableText"/>
              <w:spacing w:before="180" w:line="480" w:lineRule="exact"/>
              <w:jc w:val="right"/>
              <w:rPr>
                <w:sz w:val="24"/>
                <w:szCs w:val="24"/>
              </w:rPr>
            </w:pPr>
            <w:r>
              <w:rPr>
                <w:sz w:val="24"/>
                <w:szCs w:val="24"/>
                <w:position w:val="18"/>
              </w:rPr>
              <w:t>本报告参照《福建省环保厅关于&lt;福建省霞浦经济开发区总体规划环</w:t>
            </w:r>
          </w:p>
          <w:p>
            <w:pPr>
              <w:pStyle w:val="TableText"/>
              <w:ind w:left="151"/>
              <w:spacing w:before="1" w:line="217" w:lineRule="auto"/>
              <w:rPr>
                <w:sz w:val="24"/>
                <w:szCs w:val="24"/>
              </w:rPr>
            </w:pPr>
            <w:r>
              <w:rPr>
                <w:sz w:val="24"/>
                <w:szCs w:val="24"/>
              </w:rPr>
              <w:t>境影响报告书&gt;的审查意见》(闽环保评〔2012〕94号)分析本项目与</w:t>
            </w:r>
          </w:p>
        </w:tc>
      </w:tr>
    </w:tbl>
    <w:p>
      <w:pPr>
        <w:spacing w:line="219" w:lineRule="exact"/>
        <w:rPr>
          <w:rFonts w:ascii="Arial"/>
          <w:sz w:val="19"/>
        </w:rPr>
      </w:pPr>
      <w:r/>
    </w:p>
    <w:p>
      <w:pPr>
        <w:spacing w:line="219" w:lineRule="exact"/>
        <w:sectPr>
          <w:footerReference w:type="default" r:id="rId3"/>
          <w:pgSz w:w="11900" w:h="16840"/>
          <w:pgMar w:top="1384" w:right="1415" w:bottom="1225" w:left="1594" w:header="0" w:footer="1076" w:gutter="0"/>
        </w:sectPr>
        <w:rPr>
          <w:rFonts w:ascii="Arial" w:hAnsi="Arial" w:eastAsia="Arial" w:cs="Arial"/>
          <w:sz w:val="19"/>
          <w:szCs w:val="19"/>
        </w:rPr>
      </w:pPr>
    </w:p>
    <w:tbl>
      <w:tblPr>
        <w:tblStyle w:val="TableNormal"/>
        <w:tblW w:w="88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44"/>
        <w:gridCol w:w="869"/>
        <w:gridCol w:w="3766"/>
        <w:gridCol w:w="2097"/>
        <w:gridCol w:w="984"/>
      </w:tblGrid>
      <w:tr>
        <w:trPr>
          <w:trHeight w:val="934" w:hRule="atLeast"/>
        </w:trPr>
        <w:tc>
          <w:tcPr>
            <w:tcW w:w="1144" w:type="dxa"/>
            <w:vAlign w:val="top"/>
            <w:vMerge w:val="restart"/>
            <w:tcBorders>
              <w:bottom w:val="nil"/>
            </w:tcBorders>
          </w:tcPr>
          <w:p>
            <w:pPr>
              <w:rPr>
                <w:rFonts w:ascii="Arial"/>
                <w:sz w:val="21"/>
              </w:rPr>
            </w:pPr>
            <w:r/>
          </w:p>
        </w:tc>
        <w:tc>
          <w:tcPr>
            <w:tcW w:w="7716" w:type="dxa"/>
            <w:vAlign w:val="top"/>
            <w:gridSpan w:val="4"/>
          </w:tcPr>
          <w:p>
            <w:pPr>
              <w:pStyle w:val="TableText"/>
              <w:ind w:left="141"/>
              <w:spacing w:before="53" w:line="219" w:lineRule="auto"/>
              <w:rPr>
                <w:sz w:val="21"/>
                <w:szCs w:val="21"/>
              </w:rPr>
            </w:pPr>
            <w:r>
              <w:rPr>
                <w:sz w:val="21"/>
                <w:szCs w:val="21"/>
                <w:spacing w:val="1"/>
              </w:rPr>
              <w:t>其的符合性，见表1.1-2。</w:t>
            </w:r>
          </w:p>
          <w:p>
            <w:pPr>
              <w:pStyle w:val="TableText"/>
              <w:ind w:left="1054"/>
              <w:spacing w:before="217" w:line="219" w:lineRule="auto"/>
              <w:rPr>
                <w:sz w:val="21"/>
                <w:szCs w:val="21"/>
              </w:rPr>
            </w:pPr>
            <w:r>
              <w:rPr>
                <w:sz w:val="21"/>
                <w:szCs w:val="21"/>
                <w:b/>
                <w:bCs/>
                <w:spacing w:val="25"/>
              </w:rPr>
              <w:t>表1</w:t>
            </w:r>
            <w:r>
              <w:rPr>
                <w:sz w:val="21"/>
                <w:szCs w:val="21"/>
                <w:spacing w:val="-53"/>
              </w:rPr>
              <w:t xml:space="preserve"> </w:t>
            </w:r>
            <w:r>
              <w:rPr>
                <w:sz w:val="21"/>
                <w:szCs w:val="21"/>
                <w:b/>
                <w:bCs/>
                <w:spacing w:val="25"/>
              </w:rPr>
              <w:t>.</w:t>
            </w:r>
            <w:r>
              <w:rPr>
                <w:sz w:val="21"/>
                <w:szCs w:val="21"/>
                <w:spacing w:val="-47"/>
              </w:rPr>
              <w:t xml:space="preserve"> </w:t>
            </w:r>
            <w:r>
              <w:rPr>
                <w:sz w:val="21"/>
                <w:szCs w:val="21"/>
                <w:b/>
                <w:bCs/>
                <w:spacing w:val="25"/>
              </w:rPr>
              <w:t>1-</w:t>
            </w:r>
            <w:r>
              <w:rPr>
                <w:sz w:val="21"/>
                <w:szCs w:val="21"/>
                <w:spacing w:val="-59"/>
              </w:rPr>
              <w:t xml:space="preserve"> </w:t>
            </w:r>
            <w:r>
              <w:rPr>
                <w:sz w:val="21"/>
                <w:szCs w:val="21"/>
                <w:b/>
                <w:bCs/>
                <w:spacing w:val="25"/>
              </w:rPr>
              <w:t>2项目与闽环保评〔2012〕94号符合性分析表</w:t>
            </w:r>
          </w:p>
        </w:tc>
      </w:tr>
      <w:tr>
        <w:trPr>
          <w:trHeight w:val="350" w:hRule="atLeast"/>
        </w:trPr>
        <w:tc>
          <w:tcPr>
            <w:tcW w:w="1144" w:type="dxa"/>
            <w:vAlign w:val="top"/>
            <w:vMerge w:val="continue"/>
            <w:tcBorders>
              <w:top w:val="nil"/>
              <w:bottom w:val="nil"/>
            </w:tcBorders>
          </w:tcPr>
          <w:p>
            <w:pPr>
              <w:rPr>
                <w:rFonts w:ascii="Arial"/>
                <w:sz w:val="21"/>
              </w:rPr>
            </w:pPr>
            <w:r/>
          </w:p>
        </w:tc>
        <w:tc>
          <w:tcPr>
            <w:tcW w:w="869" w:type="dxa"/>
            <w:vAlign w:val="top"/>
          </w:tcPr>
          <w:p>
            <w:pPr>
              <w:pStyle w:val="TableText"/>
              <w:ind w:left="214"/>
              <w:spacing w:before="67" w:line="221" w:lineRule="auto"/>
              <w:rPr>
                <w:sz w:val="21"/>
                <w:szCs w:val="21"/>
              </w:rPr>
            </w:pPr>
            <w:r>
              <w:rPr>
                <w:sz w:val="21"/>
                <w:szCs w:val="21"/>
                <w:b/>
                <w:bCs/>
                <w:spacing w:val="-5"/>
              </w:rPr>
              <w:t>序号</w:t>
            </w:r>
          </w:p>
        </w:tc>
        <w:tc>
          <w:tcPr>
            <w:tcW w:w="3766" w:type="dxa"/>
            <w:vAlign w:val="top"/>
          </w:tcPr>
          <w:p>
            <w:pPr>
              <w:pStyle w:val="TableText"/>
              <w:ind w:left="1485"/>
              <w:spacing w:before="66" w:line="219" w:lineRule="auto"/>
              <w:rPr>
                <w:sz w:val="21"/>
                <w:szCs w:val="21"/>
              </w:rPr>
            </w:pPr>
            <w:r>
              <w:rPr>
                <w:sz w:val="21"/>
                <w:szCs w:val="21"/>
                <w:b/>
                <w:bCs/>
                <w:spacing w:val="-2"/>
              </w:rPr>
              <w:t>审查意见</w:t>
            </w:r>
          </w:p>
        </w:tc>
        <w:tc>
          <w:tcPr>
            <w:tcW w:w="2097" w:type="dxa"/>
            <w:vAlign w:val="top"/>
          </w:tcPr>
          <w:p>
            <w:pPr>
              <w:pStyle w:val="TableText"/>
              <w:ind w:left="519"/>
              <w:spacing w:before="65" w:line="219" w:lineRule="auto"/>
              <w:rPr>
                <w:sz w:val="21"/>
                <w:szCs w:val="21"/>
              </w:rPr>
            </w:pPr>
            <w:r>
              <w:rPr>
                <w:sz w:val="21"/>
                <w:szCs w:val="21"/>
                <w:b/>
                <w:bCs/>
                <w:spacing w:val="-4"/>
              </w:rPr>
              <w:t>本项目情况</w:t>
            </w:r>
          </w:p>
        </w:tc>
        <w:tc>
          <w:tcPr>
            <w:tcW w:w="984" w:type="dxa"/>
            <w:vAlign w:val="top"/>
          </w:tcPr>
          <w:p>
            <w:pPr>
              <w:pStyle w:val="TableText"/>
              <w:ind w:left="171"/>
              <w:spacing w:before="66" w:line="219" w:lineRule="auto"/>
              <w:rPr>
                <w:sz w:val="21"/>
                <w:szCs w:val="21"/>
              </w:rPr>
            </w:pPr>
            <w:r>
              <w:rPr>
                <w:sz w:val="21"/>
                <w:szCs w:val="21"/>
                <w:b/>
                <w:bCs/>
                <w:spacing w:val="-5"/>
              </w:rPr>
              <w:t>符合性</w:t>
            </w:r>
          </w:p>
        </w:tc>
      </w:tr>
      <w:tr>
        <w:trPr>
          <w:trHeight w:val="350" w:hRule="atLeast"/>
        </w:trPr>
        <w:tc>
          <w:tcPr>
            <w:tcW w:w="1144" w:type="dxa"/>
            <w:vAlign w:val="top"/>
            <w:vMerge w:val="continue"/>
            <w:tcBorders>
              <w:top w:val="nil"/>
              <w:bottom w:val="nil"/>
            </w:tcBorders>
          </w:tcPr>
          <w:p>
            <w:pPr>
              <w:rPr>
                <w:rFonts w:ascii="Arial"/>
                <w:sz w:val="21"/>
              </w:rPr>
            </w:pPr>
            <w:r/>
          </w:p>
        </w:tc>
        <w:tc>
          <w:tcPr>
            <w:tcW w:w="869"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pStyle w:val="TableText"/>
              <w:ind w:left="370"/>
              <w:spacing w:before="69" w:line="184" w:lineRule="auto"/>
              <w:rPr>
                <w:sz w:val="21"/>
                <w:szCs w:val="21"/>
              </w:rPr>
            </w:pPr>
            <w:r>
              <w:rPr>
                <w:sz w:val="21"/>
                <w:szCs w:val="21"/>
              </w:rPr>
              <w:t>1</w:t>
            </w:r>
          </w:p>
        </w:tc>
        <w:tc>
          <w:tcPr>
            <w:tcW w:w="6847" w:type="dxa"/>
            <w:vAlign w:val="top"/>
            <w:gridSpan w:val="3"/>
          </w:tcPr>
          <w:p>
            <w:pPr>
              <w:pStyle w:val="TableText"/>
              <w:ind w:left="32"/>
              <w:spacing w:before="68" w:line="219" w:lineRule="auto"/>
              <w:rPr>
                <w:sz w:val="21"/>
                <w:szCs w:val="21"/>
              </w:rPr>
            </w:pPr>
            <w:r>
              <w:rPr>
                <w:sz w:val="21"/>
                <w:szCs w:val="21"/>
                <w:spacing w:val="1"/>
              </w:rPr>
              <w:t>(一)进一步优化区内空间布局</w:t>
            </w:r>
          </w:p>
        </w:tc>
      </w:tr>
      <w:tr>
        <w:trPr>
          <w:trHeight w:val="1359" w:hRule="atLeast"/>
        </w:trPr>
        <w:tc>
          <w:tcPr>
            <w:tcW w:w="1144" w:type="dxa"/>
            <w:vAlign w:val="top"/>
            <w:vMerge w:val="continue"/>
            <w:tcBorders>
              <w:top w:val="nil"/>
              <w:bottom w:val="nil"/>
            </w:tcBorders>
          </w:tcPr>
          <w:p>
            <w:pPr>
              <w:rPr>
                <w:rFonts w:ascii="Arial"/>
                <w:sz w:val="21"/>
              </w:rPr>
            </w:pPr>
            <w:r/>
          </w:p>
        </w:tc>
        <w:tc>
          <w:tcPr>
            <w:tcW w:w="869" w:type="dxa"/>
            <w:vAlign w:val="top"/>
            <w:vMerge w:val="continue"/>
            <w:tcBorders>
              <w:top w:val="nil"/>
            </w:tcBorders>
          </w:tcPr>
          <w:p>
            <w:pPr>
              <w:rPr>
                <w:rFonts w:ascii="Arial"/>
                <w:sz w:val="21"/>
              </w:rPr>
            </w:pPr>
            <w:r/>
          </w:p>
        </w:tc>
        <w:tc>
          <w:tcPr>
            <w:tcW w:w="3766" w:type="dxa"/>
            <w:vAlign w:val="top"/>
          </w:tcPr>
          <w:p>
            <w:pPr>
              <w:pStyle w:val="TableText"/>
              <w:ind w:left="12"/>
              <w:spacing w:before="6" w:line="236" w:lineRule="auto"/>
              <w:rPr>
                <w:sz w:val="21"/>
                <w:szCs w:val="21"/>
              </w:rPr>
            </w:pPr>
            <w:r>
              <w:rPr>
                <w:sz w:val="21"/>
                <w:szCs w:val="21"/>
                <w:spacing w:val="-1"/>
              </w:rPr>
              <w:t>小沙片区北部规划工业用地应调整为绿  </w:t>
            </w:r>
            <w:r>
              <w:rPr>
                <w:sz w:val="21"/>
                <w:szCs w:val="21"/>
                <w:spacing w:val="-3"/>
              </w:rPr>
              <w:t>地。规划区工业用地与居住用地之间应设</w:t>
            </w:r>
            <w:r>
              <w:rPr>
                <w:sz w:val="21"/>
                <w:szCs w:val="21"/>
                <w:spacing w:val="11"/>
              </w:rPr>
              <w:t xml:space="preserve"> </w:t>
            </w:r>
            <w:r>
              <w:rPr>
                <w:sz w:val="21"/>
                <w:szCs w:val="21"/>
                <w:spacing w:val="-3"/>
              </w:rPr>
              <w:t>置足够的环保隔离带，其中大沙片区规划</w:t>
            </w:r>
            <w:r>
              <w:rPr>
                <w:sz w:val="21"/>
                <w:szCs w:val="21"/>
                <w:spacing w:val="16"/>
              </w:rPr>
              <w:t xml:space="preserve"> </w:t>
            </w:r>
            <w:r>
              <w:rPr>
                <w:sz w:val="21"/>
                <w:szCs w:val="21"/>
                <w:spacing w:val="-1"/>
              </w:rPr>
              <w:t>的金属制品区西侧与居民之间的环保隔  </w:t>
            </w:r>
            <w:r>
              <w:rPr>
                <w:sz w:val="21"/>
                <w:szCs w:val="21"/>
                <w:spacing w:val="-1"/>
              </w:rPr>
              <w:t>离带应不小于50米。</w:t>
            </w:r>
          </w:p>
        </w:tc>
        <w:tc>
          <w:tcPr>
            <w:tcW w:w="2097" w:type="dxa"/>
            <w:vAlign w:val="top"/>
          </w:tcPr>
          <w:p>
            <w:pPr>
              <w:pStyle w:val="TableText"/>
              <w:ind w:left="36"/>
              <w:spacing w:before="178" w:line="235" w:lineRule="auto"/>
              <w:rPr>
                <w:sz w:val="21"/>
                <w:szCs w:val="21"/>
              </w:rPr>
            </w:pPr>
            <w:r>
              <w:rPr>
                <w:sz w:val="21"/>
                <w:szCs w:val="21"/>
                <w:spacing w:val="-5"/>
              </w:rPr>
              <w:t>本项目位于大沙片区，</w:t>
            </w:r>
            <w:r>
              <w:rPr>
                <w:sz w:val="21"/>
                <w:szCs w:val="21"/>
              </w:rPr>
              <w:t xml:space="preserve"> </w:t>
            </w:r>
            <w:r>
              <w:rPr>
                <w:sz w:val="21"/>
                <w:szCs w:val="21"/>
                <w:spacing w:val="-6"/>
              </w:rPr>
              <w:t>项目地块与周边最近</w:t>
            </w:r>
            <w:r>
              <w:rPr>
                <w:sz w:val="21"/>
                <w:szCs w:val="21"/>
              </w:rPr>
              <w:t xml:space="preserve">   </w:t>
            </w:r>
            <w:r>
              <w:rPr>
                <w:sz w:val="21"/>
                <w:szCs w:val="21"/>
                <w:spacing w:val="-2"/>
              </w:rPr>
              <w:t>居住用地的距离约</w:t>
            </w:r>
          </w:p>
          <w:p>
            <w:pPr>
              <w:pStyle w:val="TableText"/>
              <w:ind w:left="36"/>
              <w:spacing w:before="43" w:line="232" w:lineRule="auto"/>
              <w:rPr>
                <w:sz w:val="21"/>
                <w:szCs w:val="21"/>
              </w:rPr>
            </w:pPr>
            <w:r>
              <w:rPr>
                <w:sz w:val="21"/>
                <w:szCs w:val="21"/>
                <w:spacing w:val="-1"/>
              </w:rPr>
              <w:t>290m上。</w:t>
            </w:r>
          </w:p>
        </w:tc>
        <w:tc>
          <w:tcPr>
            <w:tcW w:w="984" w:type="dxa"/>
            <w:vAlign w:val="top"/>
          </w:tcPr>
          <w:p>
            <w:pPr>
              <w:spacing w:line="254" w:lineRule="auto"/>
              <w:rPr>
                <w:rFonts w:ascii="Arial"/>
                <w:sz w:val="21"/>
              </w:rPr>
            </w:pPr>
            <w:r/>
          </w:p>
          <w:p>
            <w:pPr>
              <w:spacing w:line="254" w:lineRule="auto"/>
              <w:rPr>
                <w:rFonts w:ascii="Arial"/>
                <w:sz w:val="21"/>
              </w:rPr>
            </w:pPr>
            <w:r/>
          </w:p>
          <w:p>
            <w:pPr>
              <w:pStyle w:val="TableText"/>
              <w:ind w:left="279"/>
              <w:spacing w:before="68" w:line="219" w:lineRule="auto"/>
              <w:rPr>
                <w:sz w:val="21"/>
                <w:szCs w:val="21"/>
              </w:rPr>
            </w:pPr>
            <w:r>
              <w:rPr>
                <w:sz w:val="21"/>
                <w:szCs w:val="21"/>
                <w:spacing w:val="-3"/>
              </w:rPr>
              <w:t>符合</w:t>
            </w:r>
          </w:p>
        </w:tc>
      </w:tr>
      <w:tr>
        <w:trPr>
          <w:trHeight w:val="350" w:hRule="atLeast"/>
        </w:trPr>
        <w:tc>
          <w:tcPr>
            <w:tcW w:w="1144" w:type="dxa"/>
            <w:vAlign w:val="top"/>
            <w:vMerge w:val="continue"/>
            <w:tcBorders>
              <w:top w:val="nil"/>
              <w:bottom w:val="nil"/>
            </w:tcBorders>
          </w:tcPr>
          <w:p>
            <w:pPr>
              <w:rPr>
                <w:rFonts w:ascii="Arial"/>
                <w:sz w:val="21"/>
              </w:rPr>
            </w:pPr>
            <w:r/>
          </w:p>
        </w:tc>
        <w:tc>
          <w:tcPr>
            <w:tcW w:w="869" w:type="dxa"/>
            <w:vAlign w:val="top"/>
            <w:vMerge w:val="restart"/>
            <w:tcBorders>
              <w:bottom w:val="nil"/>
            </w:tcBorders>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pStyle w:val="TableText"/>
              <w:ind w:left="370"/>
              <w:spacing w:before="69" w:line="183" w:lineRule="auto"/>
              <w:rPr>
                <w:sz w:val="21"/>
                <w:szCs w:val="21"/>
              </w:rPr>
            </w:pPr>
            <w:r>
              <w:rPr>
                <w:sz w:val="21"/>
                <w:szCs w:val="21"/>
              </w:rPr>
              <w:t>2</w:t>
            </w:r>
          </w:p>
        </w:tc>
        <w:tc>
          <w:tcPr>
            <w:tcW w:w="6847" w:type="dxa"/>
            <w:vAlign w:val="top"/>
            <w:gridSpan w:val="3"/>
          </w:tcPr>
          <w:p>
            <w:pPr>
              <w:pStyle w:val="TableText"/>
              <w:ind w:left="32"/>
              <w:spacing w:before="70" w:line="219" w:lineRule="auto"/>
              <w:rPr>
                <w:sz w:val="21"/>
                <w:szCs w:val="21"/>
              </w:rPr>
            </w:pPr>
            <w:r>
              <w:rPr>
                <w:sz w:val="21"/>
                <w:szCs w:val="21"/>
              </w:rPr>
              <w:t>(二)严格开发区项目环保准入</w:t>
            </w:r>
          </w:p>
        </w:tc>
      </w:tr>
      <w:tr>
        <w:trPr>
          <w:trHeight w:val="1349" w:hRule="atLeast"/>
        </w:trPr>
        <w:tc>
          <w:tcPr>
            <w:tcW w:w="1144" w:type="dxa"/>
            <w:vAlign w:val="top"/>
            <w:vMerge w:val="continue"/>
            <w:tcBorders>
              <w:top w:val="nil"/>
              <w:bottom w:val="nil"/>
            </w:tcBorders>
          </w:tcPr>
          <w:p>
            <w:pPr>
              <w:rPr>
                <w:rFonts w:ascii="Arial"/>
                <w:sz w:val="21"/>
              </w:rPr>
            </w:pPr>
            <w:r/>
          </w:p>
        </w:tc>
        <w:tc>
          <w:tcPr>
            <w:tcW w:w="869" w:type="dxa"/>
            <w:vAlign w:val="top"/>
            <w:vMerge w:val="continue"/>
            <w:tcBorders>
              <w:top w:val="nil"/>
              <w:bottom w:val="nil"/>
            </w:tcBorders>
          </w:tcPr>
          <w:p>
            <w:pPr>
              <w:rPr>
                <w:rFonts w:ascii="Arial"/>
                <w:sz w:val="21"/>
              </w:rPr>
            </w:pPr>
            <w:r/>
          </w:p>
        </w:tc>
        <w:tc>
          <w:tcPr>
            <w:tcW w:w="3766" w:type="dxa"/>
            <w:vAlign w:val="top"/>
          </w:tcPr>
          <w:p>
            <w:pPr>
              <w:pStyle w:val="TableText"/>
              <w:ind w:left="12" w:firstLine="9"/>
              <w:spacing w:before="42" w:line="228" w:lineRule="auto"/>
              <w:rPr>
                <w:sz w:val="21"/>
                <w:szCs w:val="21"/>
              </w:rPr>
            </w:pPr>
            <w:r>
              <w:rPr>
                <w:sz w:val="21"/>
                <w:szCs w:val="21"/>
                <w:spacing w:val="-2"/>
              </w:rPr>
              <w:t>1.园区规划的纺织服装行业禁止引入印  </w:t>
            </w:r>
            <w:r>
              <w:rPr>
                <w:sz w:val="21"/>
                <w:szCs w:val="21"/>
                <w:spacing w:val="-4"/>
              </w:rPr>
              <w:t>染工序，电子电气行业禁止引入印制电路</w:t>
            </w:r>
            <w:r>
              <w:rPr>
                <w:sz w:val="21"/>
                <w:szCs w:val="21"/>
                <w:spacing w:val="11"/>
              </w:rPr>
              <w:t xml:space="preserve"> </w:t>
            </w:r>
            <w:r>
              <w:rPr>
                <w:sz w:val="21"/>
                <w:szCs w:val="21"/>
                <w:spacing w:val="-4"/>
              </w:rPr>
              <w:t>板等污染较为严重的项目；金属制品行业</w:t>
            </w:r>
            <w:r>
              <w:rPr>
                <w:sz w:val="21"/>
                <w:szCs w:val="21"/>
                <w:spacing w:val="10"/>
              </w:rPr>
              <w:t xml:space="preserve"> </w:t>
            </w:r>
            <w:r>
              <w:rPr>
                <w:sz w:val="21"/>
                <w:szCs w:val="21"/>
                <w:spacing w:val="-3"/>
              </w:rPr>
              <w:t>禁止引入电镀、铸铁金属件制造，现有的</w:t>
            </w:r>
            <w:r>
              <w:rPr>
                <w:sz w:val="21"/>
                <w:szCs w:val="21"/>
                <w:spacing w:val="16"/>
              </w:rPr>
              <w:t xml:space="preserve"> </w:t>
            </w:r>
            <w:r>
              <w:rPr>
                <w:sz w:val="21"/>
                <w:szCs w:val="21"/>
                <w:spacing w:val="-2"/>
              </w:rPr>
              <w:t>不锈钢制品制造业规模不应扩大。</w:t>
            </w:r>
          </w:p>
        </w:tc>
        <w:tc>
          <w:tcPr>
            <w:tcW w:w="2097" w:type="dxa"/>
            <w:vAlign w:val="top"/>
          </w:tcPr>
          <w:p>
            <w:pPr>
              <w:pStyle w:val="TableText"/>
              <w:ind w:left="36"/>
              <w:spacing w:before="309" w:line="219" w:lineRule="auto"/>
              <w:rPr>
                <w:sz w:val="21"/>
                <w:szCs w:val="21"/>
              </w:rPr>
            </w:pPr>
            <w:r>
              <w:rPr>
                <w:sz w:val="21"/>
                <w:szCs w:val="21"/>
                <w:spacing w:val="-1"/>
              </w:rPr>
              <w:t>本项目为锂离子电池</w:t>
            </w:r>
          </w:p>
          <w:p>
            <w:pPr>
              <w:pStyle w:val="TableText"/>
              <w:ind w:left="35" w:hanging="19"/>
              <w:spacing w:before="32" w:line="215" w:lineRule="auto"/>
              <w:rPr>
                <w:sz w:val="21"/>
                <w:szCs w:val="21"/>
              </w:rPr>
            </w:pPr>
            <w:r>
              <w:rPr>
                <w:sz w:val="21"/>
                <w:szCs w:val="21"/>
                <w:spacing w:val="-3"/>
              </w:rPr>
              <w:t>配套项目，不属于左侧</w:t>
            </w:r>
            <w:r>
              <w:rPr>
                <w:sz w:val="21"/>
                <w:szCs w:val="21"/>
              </w:rPr>
              <w:t xml:space="preserve"> </w:t>
            </w:r>
            <w:r>
              <w:rPr>
                <w:sz w:val="21"/>
                <w:szCs w:val="21"/>
                <w:spacing w:val="4"/>
              </w:rPr>
              <w:t>禁止引入项目</w:t>
            </w:r>
          </w:p>
        </w:tc>
        <w:tc>
          <w:tcPr>
            <w:tcW w:w="984" w:type="dxa"/>
            <w:vAlign w:val="top"/>
          </w:tcPr>
          <w:p>
            <w:pPr>
              <w:spacing w:line="249" w:lineRule="auto"/>
              <w:rPr>
                <w:rFonts w:ascii="Arial"/>
                <w:sz w:val="21"/>
              </w:rPr>
            </w:pPr>
            <w:r/>
          </w:p>
          <w:p>
            <w:pPr>
              <w:spacing w:line="250" w:lineRule="auto"/>
              <w:rPr>
                <w:rFonts w:ascii="Arial"/>
                <w:sz w:val="21"/>
              </w:rPr>
            </w:pPr>
            <w:r/>
          </w:p>
          <w:p>
            <w:pPr>
              <w:pStyle w:val="TableText"/>
              <w:ind w:left="279"/>
              <w:spacing w:before="68" w:line="219" w:lineRule="auto"/>
              <w:rPr>
                <w:sz w:val="21"/>
                <w:szCs w:val="21"/>
              </w:rPr>
            </w:pPr>
            <w:r>
              <w:rPr>
                <w:sz w:val="21"/>
                <w:szCs w:val="21"/>
                <w:spacing w:val="-3"/>
              </w:rPr>
              <w:t>符合</w:t>
            </w:r>
          </w:p>
        </w:tc>
      </w:tr>
      <w:tr>
        <w:trPr>
          <w:trHeight w:val="1359" w:hRule="atLeast"/>
        </w:trPr>
        <w:tc>
          <w:tcPr>
            <w:tcW w:w="1144" w:type="dxa"/>
            <w:vAlign w:val="top"/>
            <w:vMerge w:val="continue"/>
            <w:tcBorders>
              <w:top w:val="nil"/>
              <w:bottom w:val="nil"/>
            </w:tcBorders>
          </w:tcPr>
          <w:p>
            <w:pPr>
              <w:rPr>
                <w:rFonts w:ascii="Arial"/>
                <w:sz w:val="21"/>
              </w:rPr>
            </w:pPr>
            <w:r/>
          </w:p>
        </w:tc>
        <w:tc>
          <w:tcPr>
            <w:tcW w:w="869" w:type="dxa"/>
            <w:vAlign w:val="top"/>
            <w:vMerge w:val="continue"/>
            <w:tcBorders>
              <w:top w:val="nil"/>
            </w:tcBorders>
          </w:tcPr>
          <w:p>
            <w:pPr>
              <w:rPr>
                <w:rFonts w:ascii="Arial"/>
                <w:sz w:val="21"/>
              </w:rPr>
            </w:pPr>
            <w:r/>
          </w:p>
        </w:tc>
        <w:tc>
          <w:tcPr>
            <w:tcW w:w="3766" w:type="dxa"/>
            <w:vAlign w:val="top"/>
          </w:tcPr>
          <w:p>
            <w:pPr>
              <w:pStyle w:val="TableText"/>
              <w:ind w:left="12"/>
              <w:spacing w:before="191" w:line="219" w:lineRule="auto"/>
              <w:rPr>
                <w:sz w:val="21"/>
                <w:szCs w:val="21"/>
              </w:rPr>
            </w:pPr>
            <w:r>
              <w:rPr>
                <w:sz w:val="21"/>
                <w:szCs w:val="21"/>
                <w:spacing w:val="-1"/>
              </w:rPr>
              <w:t>2.入区项目的清洁生产应达到国内先进</w:t>
            </w:r>
          </w:p>
          <w:p>
            <w:pPr>
              <w:pStyle w:val="TableText"/>
              <w:ind w:left="12"/>
              <w:spacing w:before="21" w:line="234" w:lineRule="auto"/>
              <w:rPr>
                <w:sz w:val="21"/>
                <w:szCs w:val="21"/>
              </w:rPr>
            </w:pPr>
            <w:r>
              <w:rPr>
                <w:sz w:val="21"/>
                <w:szCs w:val="21"/>
                <w:spacing w:val="-3"/>
              </w:rPr>
              <w:t>水平，鼓励使用清洁能源。积极开展水资</w:t>
            </w:r>
            <w:r>
              <w:rPr>
                <w:sz w:val="21"/>
                <w:szCs w:val="21"/>
                <w:spacing w:val="13"/>
              </w:rPr>
              <w:t xml:space="preserve"> </w:t>
            </w:r>
            <w:r>
              <w:rPr>
                <w:sz w:val="21"/>
                <w:szCs w:val="21"/>
                <w:spacing w:val="-3"/>
              </w:rPr>
              <w:t>源综合利用，提高企业工业用水循环利用</w:t>
            </w:r>
            <w:r>
              <w:rPr>
                <w:sz w:val="21"/>
                <w:szCs w:val="21"/>
                <w:spacing w:val="16"/>
              </w:rPr>
              <w:t xml:space="preserve"> </w:t>
            </w:r>
            <w:r>
              <w:rPr>
                <w:sz w:val="21"/>
                <w:szCs w:val="21"/>
                <w:spacing w:val="-2"/>
              </w:rPr>
              <w:t>率。</w:t>
            </w:r>
          </w:p>
        </w:tc>
        <w:tc>
          <w:tcPr>
            <w:tcW w:w="2097" w:type="dxa"/>
            <w:vAlign w:val="top"/>
          </w:tcPr>
          <w:p>
            <w:pPr>
              <w:pStyle w:val="TableText"/>
              <w:ind w:left="36"/>
              <w:spacing w:before="18" w:line="234" w:lineRule="auto"/>
              <w:rPr>
                <w:sz w:val="21"/>
                <w:szCs w:val="21"/>
              </w:rPr>
            </w:pPr>
            <w:r>
              <w:rPr>
                <w:sz w:val="21"/>
                <w:szCs w:val="21"/>
                <w:spacing w:val="-6"/>
              </w:rPr>
              <w:t>本项目清洁生产水平</w:t>
            </w:r>
            <w:r>
              <w:rPr>
                <w:sz w:val="21"/>
                <w:szCs w:val="21"/>
                <w:spacing w:val="1"/>
              </w:rPr>
              <w:t xml:space="preserve">   </w:t>
            </w:r>
            <w:r>
              <w:rPr>
                <w:sz w:val="21"/>
                <w:szCs w:val="21"/>
                <w:spacing w:val="-6"/>
              </w:rPr>
              <w:t>可达到国内先进水平</w:t>
            </w:r>
            <w:r>
              <w:rPr>
                <w:sz w:val="21"/>
                <w:szCs w:val="21"/>
                <w:spacing w:val="1"/>
              </w:rPr>
              <w:t xml:space="preserve">   </w:t>
            </w:r>
            <w:r>
              <w:rPr>
                <w:sz w:val="21"/>
                <w:szCs w:val="21"/>
                <w:spacing w:val="-4"/>
              </w:rPr>
              <w:t>营运期所使用的能源</w:t>
            </w:r>
            <w:r>
              <w:rPr>
                <w:sz w:val="21"/>
                <w:szCs w:val="21"/>
                <w:spacing w:val="1"/>
              </w:rPr>
              <w:t xml:space="preserve">   </w:t>
            </w:r>
            <w:r>
              <w:rPr>
                <w:sz w:val="21"/>
                <w:szCs w:val="21"/>
                <w:spacing w:val="-5"/>
              </w:rPr>
              <w:t>主要为电能、天然气，</w:t>
            </w:r>
            <w:r>
              <w:rPr>
                <w:sz w:val="21"/>
                <w:szCs w:val="21"/>
              </w:rPr>
              <w:t xml:space="preserve"> </w:t>
            </w:r>
            <w:r>
              <w:rPr>
                <w:sz w:val="21"/>
                <w:szCs w:val="21"/>
                <w:spacing w:val="-5"/>
              </w:rPr>
              <w:t>属于清洁能源。</w:t>
            </w:r>
          </w:p>
        </w:tc>
        <w:tc>
          <w:tcPr>
            <w:tcW w:w="984" w:type="dxa"/>
            <w:vAlign w:val="top"/>
          </w:tcPr>
          <w:p>
            <w:pPr>
              <w:spacing w:line="255" w:lineRule="auto"/>
              <w:rPr>
                <w:rFonts w:ascii="Arial"/>
                <w:sz w:val="21"/>
              </w:rPr>
            </w:pPr>
            <w:r/>
          </w:p>
          <w:p>
            <w:pPr>
              <w:spacing w:line="255" w:lineRule="auto"/>
              <w:rPr>
                <w:rFonts w:ascii="Arial"/>
                <w:sz w:val="21"/>
              </w:rPr>
            </w:pPr>
            <w:r/>
          </w:p>
          <w:p>
            <w:pPr>
              <w:pStyle w:val="TableText"/>
              <w:ind w:left="279"/>
              <w:spacing w:before="68" w:line="219" w:lineRule="auto"/>
              <w:rPr>
                <w:sz w:val="21"/>
                <w:szCs w:val="21"/>
              </w:rPr>
            </w:pPr>
            <w:r>
              <w:rPr>
                <w:sz w:val="21"/>
                <w:szCs w:val="21"/>
                <w:spacing w:val="-3"/>
              </w:rPr>
              <w:t>符合</w:t>
            </w:r>
          </w:p>
        </w:tc>
      </w:tr>
      <w:tr>
        <w:trPr>
          <w:trHeight w:val="350" w:hRule="atLeast"/>
        </w:trPr>
        <w:tc>
          <w:tcPr>
            <w:tcW w:w="1144" w:type="dxa"/>
            <w:vAlign w:val="top"/>
            <w:vMerge w:val="continue"/>
            <w:tcBorders>
              <w:top w:val="nil"/>
              <w:bottom w:val="nil"/>
            </w:tcBorders>
          </w:tcPr>
          <w:p>
            <w:pPr>
              <w:rPr>
                <w:rFonts w:ascii="Arial"/>
                <w:sz w:val="21"/>
              </w:rPr>
            </w:pPr>
            <w:r/>
          </w:p>
        </w:tc>
        <w:tc>
          <w:tcPr>
            <w:tcW w:w="869" w:type="dxa"/>
            <w:vAlign w:val="top"/>
            <w:vMerge w:val="restart"/>
            <w:tcBorders>
              <w:bottom w:val="nil"/>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370"/>
              <w:spacing w:before="68" w:line="183" w:lineRule="auto"/>
              <w:rPr>
                <w:sz w:val="21"/>
                <w:szCs w:val="21"/>
              </w:rPr>
            </w:pPr>
            <w:r>
              <w:rPr>
                <w:sz w:val="21"/>
                <w:szCs w:val="21"/>
              </w:rPr>
              <w:t>3</w:t>
            </w:r>
          </w:p>
        </w:tc>
        <w:tc>
          <w:tcPr>
            <w:tcW w:w="6847" w:type="dxa"/>
            <w:vAlign w:val="top"/>
            <w:gridSpan w:val="3"/>
          </w:tcPr>
          <w:p>
            <w:pPr>
              <w:pStyle w:val="TableText"/>
              <w:ind w:left="32"/>
              <w:spacing w:before="72" w:line="219" w:lineRule="auto"/>
              <w:rPr>
                <w:sz w:val="21"/>
                <w:szCs w:val="21"/>
              </w:rPr>
            </w:pPr>
            <w:r>
              <w:rPr>
                <w:sz w:val="21"/>
                <w:szCs w:val="21"/>
              </w:rPr>
              <w:t>(三)加快建设各类环保基础设施</w:t>
            </w:r>
          </w:p>
        </w:tc>
      </w:tr>
      <w:tr>
        <w:trPr>
          <w:trHeight w:val="2468" w:hRule="atLeast"/>
        </w:trPr>
        <w:tc>
          <w:tcPr>
            <w:tcW w:w="1144" w:type="dxa"/>
            <w:vAlign w:val="top"/>
            <w:vMerge w:val="continue"/>
            <w:tcBorders>
              <w:top w:val="nil"/>
              <w:bottom w:val="nil"/>
            </w:tcBorders>
          </w:tcPr>
          <w:p>
            <w:pPr>
              <w:rPr>
                <w:rFonts w:ascii="Arial"/>
                <w:sz w:val="21"/>
              </w:rPr>
            </w:pPr>
            <w:r/>
          </w:p>
        </w:tc>
        <w:tc>
          <w:tcPr>
            <w:tcW w:w="869" w:type="dxa"/>
            <w:vAlign w:val="top"/>
            <w:vMerge w:val="continue"/>
            <w:tcBorders>
              <w:top w:val="nil"/>
              <w:bottom w:val="nil"/>
            </w:tcBorders>
          </w:tcPr>
          <w:p>
            <w:pPr>
              <w:rPr>
                <w:rFonts w:ascii="Arial"/>
                <w:sz w:val="21"/>
              </w:rPr>
            </w:pPr>
            <w:r/>
          </w:p>
        </w:tc>
        <w:tc>
          <w:tcPr>
            <w:tcW w:w="3766" w:type="dxa"/>
            <w:vAlign w:val="top"/>
          </w:tcPr>
          <w:p>
            <w:pPr>
              <w:pStyle w:val="TableText"/>
              <w:ind w:left="12" w:firstLine="39"/>
              <w:spacing w:before="61" w:line="236" w:lineRule="auto"/>
              <w:rPr>
                <w:sz w:val="21"/>
                <w:szCs w:val="21"/>
              </w:rPr>
            </w:pPr>
            <w:r>
              <w:rPr>
                <w:sz w:val="21"/>
                <w:szCs w:val="21"/>
                <w:spacing w:val="-6"/>
              </w:rPr>
              <w:t>1.开发区排水应实行雨污分流。加快园区</w:t>
            </w:r>
            <w:r>
              <w:rPr>
                <w:sz w:val="21"/>
                <w:szCs w:val="21"/>
                <w:spacing w:val="13"/>
              </w:rPr>
              <w:t xml:space="preserve"> </w:t>
            </w:r>
            <w:r>
              <w:rPr>
                <w:sz w:val="21"/>
                <w:szCs w:val="21"/>
                <w:spacing w:val="4"/>
              </w:rPr>
              <w:t>配套的集中污水处理厂和污水收集管网</w:t>
            </w:r>
            <w:r>
              <w:rPr>
                <w:sz w:val="21"/>
                <w:szCs w:val="21"/>
                <w:spacing w:val="7"/>
              </w:rPr>
              <w:t xml:space="preserve">  </w:t>
            </w:r>
            <w:r>
              <w:rPr>
                <w:sz w:val="21"/>
                <w:szCs w:val="21"/>
                <w:spacing w:val="4"/>
              </w:rPr>
              <w:t>的建设进度，尽快实现园区污水集中收</w:t>
            </w:r>
            <w:r>
              <w:rPr>
                <w:sz w:val="21"/>
                <w:szCs w:val="21"/>
                <w:spacing w:val="1"/>
              </w:rPr>
              <w:t xml:space="preserve">  </w:t>
            </w:r>
            <w:r>
              <w:rPr>
                <w:sz w:val="21"/>
                <w:szCs w:val="21"/>
                <w:spacing w:val="-3"/>
              </w:rPr>
              <w:t>集、集中处理，进一步优化园区配套集中</w:t>
            </w:r>
            <w:r>
              <w:rPr>
                <w:sz w:val="21"/>
                <w:szCs w:val="21"/>
                <w:spacing w:val="16"/>
              </w:rPr>
              <w:t xml:space="preserve"> </w:t>
            </w:r>
            <w:r>
              <w:rPr>
                <w:sz w:val="21"/>
                <w:szCs w:val="21"/>
                <w:spacing w:val="-4"/>
              </w:rPr>
              <w:t>污水处理厂设置，经处理达标的废水应通</w:t>
            </w:r>
            <w:r>
              <w:rPr>
                <w:sz w:val="21"/>
                <w:szCs w:val="21"/>
                <w:spacing w:val="1"/>
              </w:rPr>
              <w:t xml:space="preserve"> </w:t>
            </w:r>
            <w:r>
              <w:rPr>
                <w:sz w:val="21"/>
                <w:szCs w:val="21"/>
                <w:spacing w:val="2"/>
              </w:rPr>
              <w:t>过专用管道引至县城生活污水处理厂排</w:t>
            </w:r>
            <w:r>
              <w:rPr>
                <w:sz w:val="21"/>
                <w:szCs w:val="21"/>
                <w:spacing w:val="4"/>
              </w:rPr>
              <w:t xml:space="preserve">  </w:t>
            </w:r>
            <w:r>
              <w:rPr>
                <w:sz w:val="21"/>
                <w:szCs w:val="21"/>
                <w:spacing w:val="-4"/>
              </w:rPr>
              <w:t>放口合并排放。若开发区工业废水依托县</w:t>
            </w:r>
          </w:p>
          <w:p>
            <w:pPr>
              <w:pStyle w:val="TableText"/>
              <w:ind w:left="101"/>
              <w:spacing w:before="22" w:line="219" w:lineRule="auto"/>
              <w:rPr>
                <w:sz w:val="21"/>
                <w:szCs w:val="21"/>
              </w:rPr>
            </w:pPr>
            <w:r>
              <w:rPr>
                <w:sz w:val="21"/>
                <w:szCs w:val="21"/>
              </w:rPr>
              <w:t>城生活污水处理厂处理应由住建部门充</w:t>
            </w:r>
          </w:p>
          <w:p>
            <w:pPr>
              <w:pStyle w:val="TableText"/>
              <w:ind w:left="642"/>
              <w:spacing w:before="31" w:line="189" w:lineRule="auto"/>
              <w:rPr>
                <w:sz w:val="21"/>
                <w:szCs w:val="21"/>
              </w:rPr>
            </w:pPr>
            <w:r>
              <w:rPr>
                <w:sz w:val="21"/>
                <w:szCs w:val="21"/>
                <w:spacing w:val="-1"/>
              </w:rPr>
              <w:t>分论证其可行性和可靠性。</w:t>
            </w:r>
          </w:p>
        </w:tc>
        <w:tc>
          <w:tcPr>
            <w:tcW w:w="2097" w:type="dxa"/>
            <w:vAlign w:val="top"/>
          </w:tcPr>
          <w:p>
            <w:pPr>
              <w:spacing w:line="251" w:lineRule="auto"/>
              <w:rPr>
                <w:rFonts w:ascii="Arial"/>
                <w:sz w:val="21"/>
              </w:rPr>
            </w:pPr>
            <w:r/>
          </w:p>
          <w:p>
            <w:pPr>
              <w:pStyle w:val="TableText"/>
              <w:ind w:left="36"/>
              <w:spacing w:before="68" w:line="219" w:lineRule="auto"/>
              <w:rPr>
                <w:sz w:val="21"/>
                <w:szCs w:val="21"/>
              </w:rPr>
            </w:pPr>
            <w:r>
              <w:rPr>
                <w:sz w:val="21"/>
                <w:szCs w:val="21"/>
                <w:spacing w:val="-1"/>
              </w:rPr>
              <w:t>本项目厂区实行雨污</w:t>
            </w:r>
          </w:p>
          <w:p>
            <w:pPr>
              <w:pStyle w:val="TableText"/>
              <w:ind w:left="16"/>
              <w:spacing w:before="20" w:line="238" w:lineRule="auto"/>
              <w:rPr>
                <w:sz w:val="21"/>
                <w:szCs w:val="21"/>
              </w:rPr>
            </w:pPr>
            <w:r>
              <w:rPr>
                <w:sz w:val="21"/>
                <w:szCs w:val="21"/>
                <w:spacing w:val="-4"/>
              </w:rPr>
              <w:t>分流；项目营运期生产</w:t>
            </w:r>
            <w:r>
              <w:rPr>
                <w:sz w:val="21"/>
                <w:szCs w:val="21"/>
                <w:spacing w:val="6"/>
              </w:rPr>
              <w:t xml:space="preserve"> </w:t>
            </w:r>
            <w:r>
              <w:rPr>
                <w:sz w:val="21"/>
                <w:szCs w:val="21"/>
                <w:spacing w:val="-3"/>
              </w:rPr>
              <w:t>废水、生活污水均经处</w:t>
            </w:r>
            <w:r>
              <w:rPr>
                <w:sz w:val="21"/>
                <w:szCs w:val="21"/>
              </w:rPr>
              <w:t xml:space="preserve"> </w:t>
            </w:r>
            <w:r>
              <w:rPr>
                <w:sz w:val="21"/>
                <w:szCs w:val="21"/>
                <w:spacing w:val="-2"/>
              </w:rPr>
              <w:t>理达到相应标准后接</w:t>
            </w:r>
          </w:p>
          <w:p>
            <w:pPr>
              <w:pStyle w:val="TableText"/>
              <w:ind w:left="36"/>
              <w:spacing w:before="20" w:line="231" w:lineRule="auto"/>
              <w:rPr>
                <w:sz w:val="21"/>
                <w:szCs w:val="21"/>
              </w:rPr>
            </w:pPr>
            <w:r>
              <w:rPr>
                <w:sz w:val="21"/>
                <w:szCs w:val="21"/>
                <w:spacing w:val="-5"/>
              </w:rPr>
              <w:t>入市政污水管网，纳入</w:t>
            </w:r>
            <w:r>
              <w:rPr>
                <w:sz w:val="21"/>
                <w:szCs w:val="21"/>
              </w:rPr>
              <w:t xml:space="preserve"> </w:t>
            </w:r>
            <w:r>
              <w:rPr>
                <w:sz w:val="21"/>
                <w:szCs w:val="21"/>
              </w:rPr>
              <w:t>霞浦县污水处理厂进  </w:t>
            </w:r>
            <w:r>
              <w:rPr>
                <w:sz w:val="21"/>
                <w:szCs w:val="21"/>
                <w:spacing w:val="-2"/>
              </w:rPr>
              <w:t>一步处理。</w:t>
            </w:r>
          </w:p>
        </w:tc>
        <w:tc>
          <w:tcPr>
            <w:tcW w:w="984" w:type="dxa"/>
            <w:vAlign w:val="top"/>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pStyle w:val="TableText"/>
              <w:ind w:left="279"/>
              <w:spacing w:before="69" w:line="219" w:lineRule="auto"/>
              <w:rPr>
                <w:sz w:val="21"/>
                <w:szCs w:val="21"/>
              </w:rPr>
            </w:pPr>
            <w:r>
              <w:rPr>
                <w:sz w:val="21"/>
                <w:szCs w:val="21"/>
                <w:spacing w:val="-3"/>
              </w:rPr>
              <w:t>符合</w:t>
            </w:r>
          </w:p>
        </w:tc>
      </w:tr>
      <w:tr>
        <w:trPr>
          <w:trHeight w:val="1079" w:hRule="atLeast"/>
        </w:trPr>
        <w:tc>
          <w:tcPr>
            <w:tcW w:w="1144" w:type="dxa"/>
            <w:vAlign w:val="top"/>
            <w:vMerge w:val="continue"/>
            <w:tcBorders>
              <w:top w:val="nil"/>
              <w:bottom w:val="nil"/>
            </w:tcBorders>
          </w:tcPr>
          <w:p>
            <w:pPr>
              <w:rPr>
                <w:rFonts w:ascii="Arial"/>
                <w:sz w:val="21"/>
              </w:rPr>
            </w:pPr>
            <w:r/>
          </w:p>
        </w:tc>
        <w:tc>
          <w:tcPr>
            <w:tcW w:w="869" w:type="dxa"/>
            <w:vAlign w:val="top"/>
            <w:vMerge w:val="continue"/>
            <w:tcBorders>
              <w:top w:val="nil"/>
            </w:tcBorders>
          </w:tcPr>
          <w:p>
            <w:pPr>
              <w:rPr>
                <w:rFonts w:ascii="Arial"/>
                <w:sz w:val="21"/>
              </w:rPr>
            </w:pPr>
            <w:r/>
          </w:p>
        </w:tc>
        <w:tc>
          <w:tcPr>
            <w:tcW w:w="3766" w:type="dxa"/>
            <w:vAlign w:val="top"/>
          </w:tcPr>
          <w:p>
            <w:pPr>
              <w:pStyle w:val="TableText"/>
              <w:ind w:left="12"/>
              <w:spacing w:before="184" w:line="219" w:lineRule="auto"/>
              <w:rPr>
                <w:sz w:val="21"/>
                <w:szCs w:val="21"/>
              </w:rPr>
            </w:pPr>
            <w:r>
              <w:rPr>
                <w:sz w:val="21"/>
                <w:szCs w:val="21"/>
                <w:spacing w:val="-1"/>
              </w:rPr>
              <w:t>2.在开发区配套集中污水处理设施未建</w:t>
            </w:r>
          </w:p>
          <w:p>
            <w:pPr>
              <w:pStyle w:val="TableText"/>
              <w:ind w:left="22"/>
              <w:spacing w:before="30" w:line="224" w:lineRule="auto"/>
              <w:rPr>
                <w:sz w:val="21"/>
                <w:szCs w:val="21"/>
              </w:rPr>
            </w:pPr>
            <w:r>
              <w:rPr>
                <w:sz w:val="21"/>
                <w:szCs w:val="21"/>
                <w:spacing w:val="-3"/>
              </w:rPr>
              <w:t>成并具备接纳处理污水能力前，区内应暂</w:t>
            </w:r>
            <w:r>
              <w:rPr>
                <w:sz w:val="21"/>
                <w:szCs w:val="21"/>
                <w:spacing w:val="6"/>
              </w:rPr>
              <w:t xml:space="preserve"> </w:t>
            </w:r>
            <w:r>
              <w:rPr>
                <w:sz w:val="21"/>
                <w:szCs w:val="21"/>
                <w:spacing w:val="2"/>
              </w:rPr>
              <w:t>停审批、建设新增水污染物排放的项目</w:t>
            </w:r>
          </w:p>
        </w:tc>
        <w:tc>
          <w:tcPr>
            <w:tcW w:w="2097" w:type="dxa"/>
            <w:vAlign w:val="top"/>
          </w:tcPr>
          <w:p>
            <w:pPr>
              <w:pStyle w:val="TableText"/>
              <w:ind w:left="35" w:hanging="19"/>
              <w:spacing w:before="54" w:line="223" w:lineRule="auto"/>
              <w:rPr>
                <w:sz w:val="21"/>
                <w:szCs w:val="21"/>
              </w:rPr>
            </w:pPr>
            <w:r>
              <w:rPr>
                <w:sz w:val="21"/>
                <w:szCs w:val="21"/>
                <w:spacing w:val="-3"/>
              </w:rPr>
              <w:t>根据分析，霞浦县污水</w:t>
            </w:r>
            <w:r>
              <w:rPr>
                <w:sz w:val="21"/>
                <w:szCs w:val="21"/>
              </w:rPr>
              <w:t xml:space="preserve"> </w:t>
            </w:r>
            <w:r>
              <w:rPr>
                <w:sz w:val="21"/>
                <w:szCs w:val="21"/>
                <w:spacing w:val="2"/>
              </w:rPr>
              <w:t>处理厂可接纳本项目</w:t>
            </w:r>
            <w:r>
              <w:rPr>
                <w:sz w:val="21"/>
                <w:szCs w:val="21"/>
              </w:rPr>
              <w:t xml:space="preserve">  </w:t>
            </w:r>
            <w:r>
              <w:rPr>
                <w:sz w:val="21"/>
                <w:szCs w:val="21"/>
                <w:spacing w:val="5"/>
              </w:rPr>
              <w:t>废水，具体见报告§</w:t>
            </w:r>
            <w:r>
              <w:rPr>
                <w:sz w:val="21"/>
                <w:szCs w:val="21"/>
              </w:rPr>
              <w:t xml:space="preserve">  </w:t>
            </w:r>
            <w:r>
              <w:rPr>
                <w:sz w:val="21"/>
                <w:szCs w:val="21"/>
                <w:spacing w:val="-3"/>
              </w:rPr>
              <w:t>4.3.3小节分析</w:t>
            </w:r>
          </w:p>
        </w:tc>
        <w:tc>
          <w:tcPr>
            <w:tcW w:w="984" w:type="dxa"/>
            <w:vAlign w:val="top"/>
          </w:tcPr>
          <w:p>
            <w:pPr>
              <w:spacing w:line="374" w:lineRule="auto"/>
              <w:rPr>
                <w:rFonts w:ascii="Arial"/>
                <w:sz w:val="21"/>
              </w:rPr>
            </w:pPr>
            <w:r/>
          </w:p>
          <w:p>
            <w:pPr>
              <w:pStyle w:val="TableText"/>
              <w:ind w:left="279"/>
              <w:spacing w:before="68" w:line="219" w:lineRule="auto"/>
              <w:rPr>
                <w:sz w:val="21"/>
                <w:szCs w:val="21"/>
              </w:rPr>
            </w:pPr>
            <w:r>
              <w:rPr>
                <w:sz w:val="21"/>
                <w:szCs w:val="21"/>
                <w:spacing w:val="-3"/>
              </w:rPr>
              <w:t>符合</w:t>
            </w:r>
          </w:p>
        </w:tc>
      </w:tr>
      <w:tr>
        <w:trPr>
          <w:trHeight w:val="1639" w:hRule="atLeast"/>
        </w:trPr>
        <w:tc>
          <w:tcPr>
            <w:tcW w:w="1144" w:type="dxa"/>
            <w:vAlign w:val="top"/>
            <w:vMerge w:val="continue"/>
            <w:tcBorders>
              <w:top w:val="nil"/>
              <w:bottom w:val="nil"/>
            </w:tcBorders>
          </w:tcPr>
          <w:p>
            <w:pPr>
              <w:rPr>
                <w:rFonts w:ascii="Arial"/>
                <w:sz w:val="21"/>
              </w:rPr>
            </w:pPr>
            <w:r/>
          </w:p>
        </w:tc>
        <w:tc>
          <w:tcPr>
            <w:tcW w:w="869" w:type="dxa"/>
            <w:vAlign w:val="top"/>
          </w:tcPr>
          <w:p>
            <w:pPr>
              <w:spacing w:line="353" w:lineRule="auto"/>
              <w:rPr>
                <w:rFonts w:ascii="Arial"/>
                <w:sz w:val="21"/>
              </w:rPr>
            </w:pPr>
            <w:r/>
          </w:p>
          <w:p>
            <w:pPr>
              <w:spacing w:line="354" w:lineRule="auto"/>
              <w:rPr>
                <w:rFonts w:ascii="Arial"/>
                <w:sz w:val="21"/>
              </w:rPr>
            </w:pPr>
            <w:r/>
          </w:p>
          <w:p>
            <w:pPr>
              <w:pStyle w:val="TableText"/>
              <w:ind w:left="370"/>
              <w:spacing w:before="68" w:line="183" w:lineRule="auto"/>
              <w:rPr>
                <w:sz w:val="21"/>
                <w:szCs w:val="21"/>
              </w:rPr>
            </w:pPr>
            <w:r>
              <w:rPr>
                <w:sz w:val="21"/>
                <w:szCs w:val="21"/>
              </w:rPr>
              <w:t>4</w:t>
            </w:r>
          </w:p>
        </w:tc>
        <w:tc>
          <w:tcPr>
            <w:tcW w:w="3766" w:type="dxa"/>
            <w:vAlign w:val="top"/>
          </w:tcPr>
          <w:p>
            <w:pPr>
              <w:pStyle w:val="TableText"/>
              <w:ind w:left="12"/>
              <w:spacing w:before="203" w:line="233" w:lineRule="auto"/>
              <w:jc w:val="both"/>
              <w:rPr>
                <w:sz w:val="21"/>
                <w:szCs w:val="21"/>
              </w:rPr>
            </w:pPr>
            <w:r>
              <w:rPr>
                <w:sz w:val="21"/>
                <w:szCs w:val="21"/>
                <w:spacing w:val="-3"/>
              </w:rPr>
              <w:t>(四)建立健全环境管理机构，加强区内污</w:t>
            </w:r>
            <w:r>
              <w:rPr>
                <w:sz w:val="21"/>
                <w:szCs w:val="21"/>
                <w:spacing w:val="1"/>
              </w:rPr>
              <w:t xml:space="preserve"> </w:t>
            </w:r>
            <w:r>
              <w:rPr>
                <w:sz w:val="21"/>
                <w:szCs w:val="21"/>
                <w:spacing w:val="-3"/>
              </w:rPr>
              <w:t>水处理设施的运行管理和监控，做好一般</w:t>
            </w:r>
            <w:r>
              <w:rPr>
                <w:sz w:val="21"/>
                <w:szCs w:val="21"/>
                <w:spacing w:val="12"/>
              </w:rPr>
              <w:t xml:space="preserve"> </w:t>
            </w:r>
            <w:r>
              <w:rPr>
                <w:sz w:val="21"/>
                <w:szCs w:val="21"/>
                <w:spacing w:val="-3"/>
              </w:rPr>
              <w:t>固体废物和危险废物的处理和处置。加强</w:t>
            </w:r>
            <w:r>
              <w:rPr>
                <w:sz w:val="21"/>
                <w:szCs w:val="21"/>
                <w:spacing w:val="16"/>
              </w:rPr>
              <w:t xml:space="preserve"> </w:t>
            </w:r>
            <w:r>
              <w:rPr>
                <w:sz w:val="21"/>
                <w:szCs w:val="21"/>
                <w:spacing w:val="-3"/>
              </w:rPr>
              <w:t>环境管理，限期淘汰不符合产业政策的设</w:t>
            </w:r>
            <w:r>
              <w:rPr>
                <w:sz w:val="21"/>
                <w:szCs w:val="21"/>
                <w:spacing w:val="13"/>
              </w:rPr>
              <w:t xml:space="preserve"> </w:t>
            </w:r>
            <w:r>
              <w:rPr>
                <w:sz w:val="21"/>
                <w:szCs w:val="21"/>
                <w:spacing w:val="-2"/>
              </w:rPr>
              <w:t>备。</w:t>
            </w:r>
          </w:p>
        </w:tc>
        <w:tc>
          <w:tcPr>
            <w:tcW w:w="2097" w:type="dxa"/>
            <w:vAlign w:val="top"/>
          </w:tcPr>
          <w:p>
            <w:pPr>
              <w:pStyle w:val="TableText"/>
              <w:ind w:left="36"/>
              <w:spacing w:before="66" w:line="210" w:lineRule="auto"/>
              <w:rPr>
                <w:sz w:val="21"/>
                <w:szCs w:val="21"/>
              </w:rPr>
            </w:pPr>
            <w:r>
              <w:rPr>
                <w:sz w:val="21"/>
                <w:szCs w:val="21"/>
                <w:spacing w:val="1"/>
              </w:rPr>
              <w:t>建设单位设有安全环</w:t>
            </w:r>
          </w:p>
          <w:p>
            <w:pPr>
              <w:pStyle w:val="TableText"/>
              <w:ind w:left="16" w:firstLine="19"/>
              <w:spacing w:before="4" w:line="232" w:lineRule="auto"/>
              <w:rPr>
                <w:sz w:val="21"/>
                <w:szCs w:val="21"/>
              </w:rPr>
            </w:pPr>
            <w:r>
              <w:rPr>
                <w:sz w:val="21"/>
                <w:szCs w:val="21"/>
                <w:spacing w:val="-5"/>
              </w:rPr>
              <w:t>保部门，有专职人员负</w:t>
            </w:r>
            <w:r>
              <w:rPr>
                <w:sz w:val="21"/>
                <w:szCs w:val="21"/>
              </w:rPr>
              <w:t xml:space="preserve"> </w:t>
            </w:r>
            <w:r>
              <w:rPr>
                <w:sz w:val="21"/>
                <w:szCs w:val="21"/>
                <w:spacing w:val="-3"/>
              </w:rPr>
              <w:t>责厂区环境管理，项目</w:t>
            </w:r>
            <w:r>
              <w:rPr>
                <w:sz w:val="21"/>
                <w:szCs w:val="21"/>
              </w:rPr>
              <w:t xml:space="preserve"> </w:t>
            </w:r>
            <w:r>
              <w:rPr>
                <w:sz w:val="21"/>
                <w:szCs w:val="21"/>
                <w:spacing w:val="-5"/>
              </w:rPr>
              <w:t>废水、废气、固体废物</w:t>
            </w:r>
            <w:r>
              <w:rPr>
                <w:sz w:val="21"/>
                <w:szCs w:val="21"/>
                <w:spacing w:val="1"/>
              </w:rPr>
              <w:t xml:space="preserve"> </w:t>
            </w:r>
            <w:r>
              <w:rPr>
                <w:sz w:val="21"/>
                <w:szCs w:val="21"/>
                <w:spacing w:val="-5"/>
              </w:rPr>
              <w:t>均得到有效处理。项目</w:t>
            </w:r>
            <w:r>
              <w:rPr>
                <w:sz w:val="21"/>
                <w:szCs w:val="21"/>
              </w:rPr>
              <w:t xml:space="preserve"> </w:t>
            </w:r>
            <w:r>
              <w:rPr>
                <w:sz w:val="21"/>
                <w:szCs w:val="21"/>
                <w:spacing w:val="-2"/>
              </w:rPr>
              <w:t>不涉及淘汰类设备。</w:t>
            </w:r>
          </w:p>
        </w:tc>
        <w:tc>
          <w:tcPr>
            <w:tcW w:w="984" w:type="dxa"/>
            <w:vAlign w:val="top"/>
          </w:tcPr>
          <w:p>
            <w:pPr>
              <w:spacing w:line="326" w:lineRule="auto"/>
              <w:rPr>
                <w:rFonts w:ascii="Arial"/>
                <w:sz w:val="21"/>
              </w:rPr>
            </w:pPr>
            <w:r/>
          </w:p>
          <w:p>
            <w:pPr>
              <w:spacing w:line="327" w:lineRule="auto"/>
              <w:rPr>
                <w:rFonts w:ascii="Arial"/>
                <w:sz w:val="21"/>
              </w:rPr>
            </w:pPr>
            <w:r/>
          </w:p>
          <w:p>
            <w:pPr>
              <w:pStyle w:val="TableText"/>
              <w:ind w:left="279"/>
              <w:spacing w:before="68" w:line="219" w:lineRule="auto"/>
              <w:rPr>
                <w:sz w:val="21"/>
                <w:szCs w:val="21"/>
              </w:rPr>
            </w:pPr>
            <w:r>
              <w:rPr>
                <w:sz w:val="21"/>
                <w:szCs w:val="21"/>
                <w:spacing w:val="-3"/>
              </w:rPr>
              <w:t>符合</w:t>
            </w:r>
          </w:p>
        </w:tc>
      </w:tr>
      <w:tr>
        <w:trPr>
          <w:trHeight w:val="1629" w:hRule="atLeast"/>
        </w:trPr>
        <w:tc>
          <w:tcPr>
            <w:tcW w:w="1144" w:type="dxa"/>
            <w:vAlign w:val="top"/>
            <w:vMerge w:val="continue"/>
            <w:tcBorders>
              <w:top w:val="nil"/>
              <w:bottom w:val="nil"/>
            </w:tcBorders>
          </w:tcPr>
          <w:p>
            <w:pPr>
              <w:rPr>
                <w:rFonts w:ascii="Arial"/>
                <w:sz w:val="21"/>
              </w:rPr>
            </w:pPr>
            <w:r/>
          </w:p>
        </w:tc>
        <w:tc>
          <w:tcPr>
            <w:tcW w:w="869" w:type="dxa"/>
            <w:vAlign w:val="top"/>
          </w:tcPr>
          <w:p>
            <w:pPr>
              <w:spacing w:line="349" w:lineRule="auto"/>
              <w:rPr>
                <w:rFonts w:ascii="Arial"/>
                <w:sz w:val="21"/>
              </w:rPr>
            </w:pPr>
            <w:r/>
          </w:p>
          <w:p>
            <w:pPr>
              <w:spacing w:line="350" w:lineRule="auto"/>
              <w:rPr>
                <w:rFonts w:ascii="Arial"/>
                <w:sz w:val="21"/>
              </w:rPr>
            </w:pPr>
            <w:r/>
          </w:p>
          <w:p>
            <w:pPr>
              <w:pStyle w:val="TableText"/>
              <w:ind w:left="370"/>
              <w:spacing w:before="68" w:line="182" w:lineRule="auto"/>
              <w:rPr>
                <w:sz w:val="21"/>
                <w:szCs w:val="21"/>
              </w:rPr>
            </w:pPr>
            <w:r>
              <w:rPr>
                <w:sz w:val="21"/>
                <w:szCs w:val="21"/>
              </w:rPr>
              <w:t>5</w:t>
            </w:r>
          </w:p>
        </w:tc>
        <w:tc>
          <w:tcPr>
            <w:tcW w:w="3766" w:type="dxa"/>
            <w:vAlign w:val="top"/>
          </w:tcPr>
          <w:p>
            <w:pPr>
              <w:spacing w:line="272" w:lineRule="auto"/>
              <w:rPr>
                <w:rFonts w:ascii="Arial"/>
                <w:sz w:val="21"/>
              </w:rPr>
            </w:pPr>
            <w:r/>
          </w:p>
          <w:p>
            <w:pPr>
              <w:spacing w:line="273" w:lineRule="auto"/>
              <w:rPr>
                <w:rFonts w:ascii="Arial"/>
                <w:sz w:val="21"/>
              </w:rPr>
            </w:pPr>
            <w:r/>
          </w:p>
          <w:p>
            <w:pPr>
              <w:pStyle w:val="TableText"/>
              <w:ind w:left="22" w:right="115" w:firstLine="29"/>
              <w:spacing w:before="68" w:line="228" w:lineRule="auto"/>
              <w:rPr>
                <w:sz w:val="21"/>
                <w:szCs w:val="21"/>
              </w:rPr>
            </w:pPr>
            <w:r>
              <w:rPr>
                <w:sz w:val="21"/>
                <w:szCs w:val="21"/>
                <w:spacing w:val="1"/>
              </w:rPr>
              <w:t>(五)因规划实施而新增的污染物排放总</w:t>
            </w:r>
            <w:r>
              <w:rPr>
                <w:sz w:val="21"/>
                <w:szCs w:val="21"/>
              </w:rPr>
              <w:t xml:space="preserve"> </w:t>
            </w:r>
            <w:r>
              <w:rPr>
                <w:sz w:val="21"/>
                <w:szCs w:val="21"/>
                <w:spacing w:val="-1"/>
              </w:rPr>
              <w:t>量，应符合国家总量控制的要求。</w:t>
            </w:r>
          </w:p>
        </w:tc>
        <w:tc>
          <w:tcPr>
            <w:tcW w:w="2097" w:type="dxa"/>
            <w:vAlign w:val="top"/>
          </w:tcPr>
          <w:p>
            <w:pPr>
              <w:pStyle w:val="TableText"/>
              <w:ind w:left="36"/>
              <w:spacing w:before="77" w:line="220" w:lineRule="auto"/>
              <w:rPr>
                <w:sz w:val="21"/>
                <w:szCs w:val="21"/>
              </w:rPr>
            </w:pPr>
            <w:r>
              <w:rPr>
                <w:sz w:val="21"/>
                <w:szCs w:val="21"/>
                <w:spacing w:val="-2"/>
              </w:rPr>
              <w:t>项目新增的污染物排</w:t>
            </w:r>
          </w:p>
          <w:p>
            <w:pPr>
              <w:pStyle w:val="TableText"/>
              <w:ind w:left="36"/>
              <w:spacing w:before="19" w:line="219" w:lineRule="auto"/>
              <w:rPr>
                <w:sz w:val="21"/>
                <w:szCs w:val="21"/>
              </w:rPr>
            </w:pPr>
            <w:r>
              <w:rPr>
                <w:sz w:val="21"/>
                <w:szCs w:val="21"/>
                <w:spacing w:val="-1"/>
              </w:rPr>
              <w:t>放总量经生态环境管</w:t>
            </w:r>
          </w:p>
          <w:p>
            <w:pPr>
              <w:pStyle w:val="TableText"/>
              <w:ind w:left="16"/>
              <w:spacing w:before="22" w:line="220" w:lineRule="auto"/>
              <w:rPr>
                <w:sz w:val="21"/>
                <w:szCs w:val="21"/>
              </w:rPr>
            </w:pPr>
            <w:r>
              <w:rPr>
                <w:sz w:val="21"/>
                <w:szCs w:val="21"/>
                <w:spacing w:val="-4"/>
              </w:rPr>
              <w:t>理部门确认后，经排污</w:t>
            </w:r>
            <w:r>
              <w:rPr>
                <w:sz w:val="21"/>
                <w:szCs w:val="21"/>
                <w:spacing w:val="8"/>
              </w:rPr>
              <w:t xml:space="preserve"> </w:t>
            </w:r>
            <w:r>
              <w:rPr>
                <w:sz w:val="21"/>
                <w:szCs w:val="21"/>
                <w:spacing w:val="2"/>
              </w:rPr>
              <w:t>权购买或进行区域调</w:t>
            </w:r>
            <w:r>
              <w:rPr>
                <w:sz w:val="21"/>
                <w:szCs w:val="21"/>
              </w:rPr>
              <w:t xml:space="preserve">  </w:t>
            </w:r>
            <w:r>
              <w:rPr>
                <w:sz w:val="21"/>
                <w:szCs w:val="21"/>
                <w:spacing w:val="-3"/>
              </w:rPr>
              <w:t>剂，符合国家总量控制</w:t>
            </w:r>
            <w:r>
              <w:rPr>
                <w:sz w:val="21"/>
                <w:szCs w:val="21"/>
              </w:rPr>
              <w:t xml:space="preserve"> </w:t>
            </w:r>
            <w:r>
              <w:rPr>
                <w:sz w:val="21"/>
                <w:szCs w:val="21"/>
                <w:spacing w:val="1"/>
              </w:rPr>
              <w:t>的要求。</w:t>
            </w:r>
          </w:p>
        </w:tc>
        <w:tc>
          <w:tcPr>
            <w:tcW w:w="984" w:type="dxa"/>
            <w:vAlign w:val="top"/>
          </w:tcPr>
          <w:p>
            <w:pPr>
              <w:spacing w:line="322" w:lineRule="auto"/>
              <w:rPr>
                <w:rFonts w:ascii="Arial"/>
                <w:sz w:val="21"/>
              </w:rPr>
            </w:pPr>
            <w:r/>
          </w:p>
          <w:p>
            <w:pPr>
              <w:spacing w:line="322" w:lineRule="auto"/>
              <w:rPr>
                <w:rFonts w:ascii="Arial"/>
                <w:sz w:val="21"/>
              </w:rPr>
            </w:pPr>
            <w:r/>
          </w:p>
          <w:p>
            <w:pPr>
              <w:pStyle w:val="TableText"/>
              <w:ind w:left="279"/>
              <w:spacing w:before="68" w:line="219" w:lineRule="auto"/>
              <w:rPr>
                <w:sz w:val="21"/>
                <w:szCs w:val="21"/>
              </w:rPr>
            </w:pPr>
            <w:r>
              <w:rPr>
                <w:sz w:val="21"/>
                <w:szCs w:val="21"/>
                <w:spacing w:val="-3"/>
              </w:rPr>
              <w:t>符合</w:t>
            </w:r>
          </w:p>
        </w:tc>
      </w:tr>
      <w:tr>
        <w:trPr>
          <w:trHeight w:val="554" w:hRule="atLeast"/>
        </w:trPr>
        <w:tc>
          <w:tcPr>
            <w:tcW w:w="1144" w:type="dxa"/>
            <w:vAlign w:val="top"/>
            <w:vMerge w:val="continue"/>
            <w:tcBorders>
              <w:top w:val="nil"/>
            </w:tcBorders>
          </w:tcPr>
          <w:p>
            <w:pPr>
              <w:rPr>
                <w:rFonts w:ascii="Arial"/>
                <w:sz w:val="21"/>
              </w:rPr>
            </w:pPr>
            <w:r/>
          </w:p>
        </w:tc>
        <w:tc>
          <w:tcPr>
            <w:tcW w:w="869" w:type="dxa"/>
            <w:vAlign w:val="top"/>
          </w:tcPr>
          <w:p>
            <w:pPr>
              <w:pStyle w:val="TableText"/>
              <w:ind w:left="370"/>
              <w:spacing w:before="231" w:line="183" w:lineRule="auto"/>
              <w:rPr>
                <w:sz w:val="21"/>
                <w:szCs w:val="21"/>
              </w:rPr>
            </w:pPr>
            <w:r>
              <w:rPr>
                <w:sz w:val="21"/>
                <w:szCs w:val="21"/>
              </w:rPr>
              <w:t>6</w:t>
            </w:r>
          </w:p>
        </w:tc>
        <w:tc>
          <w:tcPr>
            <w:tcW w:w="3766" w:type="dxa"/>
            <w:vAlign w:val="top"/>
          </w:tcPr>
          <w:p>
            <w:pPr>
              <w:pStyle w:val="TableText"/>
              <w:ind w:left="22" w:firstLine="29"/>
              <w:spacing w:before="68" w:line="209" w:lineRule="auto"/>
              <w:rPr>
                <w:sz w:val="21"/>
                <w:szCs w:val="21"/>
              </w:rPr>
            </w:pPr>
            <w:r>
              <w:rPr>
                <w:sz w:val="21"/>
                <w:szCs w:val="21"/>
              </w:rPr>
              <w:t>(六)开发区应建立环境风险三级防控体  </w:t>
            </w:r>
            <w:r>
              <w:rPr>
                <w:sz w:val="21"/>
                <w:szCs w:val="21"/>
                <w:spacing w:val="-3"/>
              </w:rPr>
              <w:t>系，加强区域环境风险防范，确保环境安</w:t>
            </w:r>
          </w:p>
        </w:tc>
        <w:tc>
          <w:tcPr>
            <w:tcW w:w="2097" w:type="dxa"/>
            <w:vAlign w:val="top"/>
          </w:tcPr>
          <w:p>
            <w:pPr>
              <w:pStyle w:val="TableText"/>
              <w:ind w:left="36" w:right="150"/>
              <w:spacing w:before="66" w:line="210" w:lineRule="auto"/>
              <w:rPr>
                <w:sz w:val="21"/>
                <w:szCs w:val="21"/>
              </w:rPr>
            </w:pPr>
            <w:r>
              <w:rPr>
                <w:sz w:val="21"/>
                <w:szCs w:val="21"/>
                <w:spacing w:val="-2"/>
              </w:rPr>
              <w:t>本项目建成后将按要</w:t>
            </w:r>
            <w:r>
              <w:rPr>
                <w:sz w:val="21"/>
                <w:szCs w:val="21"/>
                <w:spacing w:val="7"/>
              </w:rPr>
              <w:t xml:space="preserve"> </w:t>
            </w:r>
            <w:r>
              <w:rPr>
                <w:sz w:val="21"/>
                <w:szCs w:val="21"/>
                <w:spacing w:val="1"/>
              </w:rPr>
              <w:t>求修编制厂区突发环</w:t>
            </w:r>
          </w:p>
        </w:tc>
        <w:tc>
          <w:tcPr>
            <w:tcW w:w="984" w:type="dxa"/>
            <w:vAlign w:val="top"/>
          </w:tcPr>
          <w:p>
            <w:pPr>
              <w:pStyle w:val="TableText"/>
              <w:ind w:left="279"/>
              <w:spacing w:before="177" w:line="219" w:lineRule="auto"/>
              <w:rPr>
                <w:sz w:val="21"/>
                <w:szCs w:val="21"/>
              </w:rPr>
            </w:pPr>
            <w:r>
              <w:rPr>
                <w:sz w:val="21"/>
                <w:szCs w:val="21"/>
                <w:spacing w:val="-3"/>
              </w:rPr>
              <w:t>符合</w:t>
            </w:r>
          </w:p>
        </w:tc>
      </w:tr>
    </w:tbl>
    <w:p>
      <w:pPr>
        <w:rPr>
          <w:rFonts w:ascii="Arial"/>
          <w:sz w:val="21"/>
        </w:rPr>
      </w:pPr>
      <w:r/>
    </w:p>
    <w:p>
      <w:pPr>
        <w:sectPr>
          <w:footerReference w:type="default" r:id="rId4"/>
          <w:pgSz w:w="11900" w:h="16840"/>
          <w:pgMar w:top="1384" w:right="1445" w:bottom="1218" w:left="1584" w:header="0" w:footer="1079" w:gutter="0"/>
        </w:sectPr>
        <w:rPr>
          <w:rFonts w:ascii="Arial" w:hAnsi="Arial" w:eastAsia="Arial" w:cs="Arial"/>
          <w:sz w:val="21"/>
          <w:szCs w:val="21"/>
        </w:rPr>
      </w:pPr>
    </w:p>
    <w:tbl>
      <w:tblPr>
        <w:tblStyle w:val="TableNormal"/>
        <w:tblW w:w="88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4"/>
        <w:gridCol w:w="869"/>
        <w:gridCol w:w="3776"/>
        <w:gridCol w:w="2077"/>
        <w:gridCol w:w="994"/>
      </w:tblGrid>
      <w:tr>
        <w:trPr>
          <w:trHeight w:val="844" w:hRule="atLeast"/>
        </w:trPr>
        <w:tc>
          <w:tcPr>
            <w:tcW w:w="1154" w:type="dxa"/>
            <w:vAlign w:val="top"/>
            <w:vMerge w:val="restart"/>
            <w:tcBorders>
              <w:bottom w:val="nil"/>
            </w:tcBorders>
          </w:tcPr>
          <w:p>
            <w:pPr>
              <w:rPr>
                <w:rFonts w:ascii="Arial"/>
                <w:sz w:val="21"/>
              </w:rPr>
            </w:pPr>
            <w:r/>
          </w:p>
        </w:tc>
        <w:tc>
          <w:tcPr>
            <w:tcW w:w="869" w:type="dxa"/>
            <w:vAlign w:val="top"/>
          </w:tcPr>
          <w:p>
            <w:pPr>
              <w:rPr>
                <w:rFonts w:ascii="Arial"/>
                <w:sz w:val="21"/>
              </w:rPr>
            </w:pPr>
            <w:r/>
          </w:p>
        </w:tc>
        <w:tc>
          <w:tcPr>
            <w:tcW w:w="3776" w:type="dxa"/>
            <w:vAlign w:val="top"/>
          </w:tcPr>
          <w:p>
            <w:pPr>
              <w:pStyle w:val="TableText"/>
              <w:ind w:left="22"/>
              <w:spacing w:before="45" w:line="227" w:lineRule="auto"/>
              <w:rPr>
                <w:sz w:val="24"/>
                <w:szCs w:val="24"/>
              </w:rPr>
            </w:pPr>
            <w:r>
              <w:rPr>
                <w:sz w:val="24"/>
                <w:szCs w:val="24"/>
                <w:spacing w:val="-1"/>
              </w:rPr>
              <w:t>全。</w:t>
            </w:r>
          </w:p>
        </w:tc>
        <w:tc>
          <w:tcPr>
            <w:tcW w:w="2077" w:type="dxa"/>
            <w:vAlign w:val="top"/>
          </w:tcPr>
          <w:p>
            <w:pPr>
              <w:pStyle w:val="TableText"/>
              <w:ind w:left="16"/>
              <w:spacing w:before="45" w:line="205" w:lineRule="auto"/>
              <w:jc w:val="both"/>
              <w:rPr>
                <w:sz w:val="24"/>
                <w:szCs w:val="24"/>
              </w:rPr>
            </w:pPr>
            <w:r>
              <w:rPr>
                <w:spacing w:val="-25"/>
                <w:w w:val="99"/>
              </w:rPr>
              <w:t>境事件应急</w:t>
            </w:r>
            <w:r>
              <w:rPr>
                <w:spacing w:val="-24"/>
                <w:w w:val="99"/>
              </w:rPr>
              <w:t>预案，与</w:t>
            </w:r>
            <w:r>
              <w:rPr>
                <w:spacing w:val="-19"/>
                <w:w w:val="99"/>
              </w:rPr>
              <w:t>相</w:t>
            </w:r>
            <w:r>
              <w:rPr>
                <w:spacing w:val="12"/>
              </w:rPr>
              <w:t xml:space="preserve"> </w:t>
            </w:r>
            <w:r>
              <w:rPr>
                <w:sz w:val="24"/>
                <w:szCs w:val="24"/>
                <w:spacing w:val="-13"/>
              </w:rPr>
              <w:t>邻企业及园区形成应</w:t>
            </w:r>
            <w:r>
              <w:rPr>
                <w:sz w:val="24"/>
                <w:szCs w:val="24"/>
              </w:rPr>
              <w:t xml:space="preserve"> </w:t>
            </w:r>
            <w:r>
              <w:rPr>
                <w:sz w:val="24"/>
                <w:szCs w:val="24"/>
                <w:spacing w:val="-2"/>
              </w:rPr>
              <w:t>急联动。</w:t>
            </w:r>
          </w:p>
        </w:tc>
        <w:tc>
          <w:tcPr>
            <w:tcW w:w="994" w:type="dxa"/>
            <w:vAlign w:val="top"/>
          </w:tcPr>
          <w:p>
            <w:pPr>
              <w:rPr>
                <w:rFonts w:ascii="Arial"/>
                <w:sz w:val="21"/>
              </w:rPr>
            </w:pPr>
            <w:r/>
          </w:p>
        </w:tc>
      </w:tr>
      <w:tr>
        <w:trPr>
          <w:trHeight w:val="1079" w:hRule="atLeast"/>
        </w:trPr>
        <w:tc>
          <w:tcPr>
            <w:tcW w:w="1154" w:type="dxa"/>
            <w:vAlign w:val="top"/>
            <w:vMerge w:val="continue"/>
            <w:tcBorders>
              <w:top w:val="nil"/>
              <w:bottom w:val="nil"/>
            </w:tcBorders>
          </w:tcPr>
          <w:p>
            <w:pPr>
              <w:rPr>
                <w:rFonts w:ascii="Arial"/>
                <w:sz w:val="21"/>
              </w:rPr>
            </w:pPr>
            <w:r/>
          </w:p>
        </w:tc>
        <w:tc>
          <w:tcPr>
            <w:tcW w:w="869" w:type="dxa"/>
            <w:vAlign w:val="top"/>
          </w:tcPr>
          <w:p>
            <w:pPr>
              <w:spacing w:line="403" w:lineRule="auto"/>
              <w:rPr>
                <w:rFonts w:ascii="Arial"/>
                <w:sz w:val="21"/>
              </w:rPr>
            </w:pPr>
            <w:r/>
          </w:p>
          <w:p>
            <w:pPr>
              <w:pStyle w:val="TableText"/>
              <w:ind w:left="411"/>
              <w:spacing w:before="78" w:line="182" w:lineRule="auto"/>
              <w:rPr>
                <w:sz w:val="24"/>
                <w:szCs w:val="24"/>
              </w:rPr>
            </w:pPr>
            <w:r>
              <w:rPr>
                <w:sz w:val="24"/>
                <w:szCs w:val="24"/>
              </w:rPr>
              <w:t>7</w:t>
            </w:r>
          </w:p>
        </w:tc>
        <w:tc>
          <w:tcPr>
            <w:tcW w:w="3776" w:type="dxa"/>
            <w:vAlign w:val="top"/>
          </w:tcPr>
          <w:p>
            <w:pPr>
              <w:pStyle w:val="TableText"/>
              <w:ind w:left="22"/>
              <w:spacing w:before="40" w:line="202" w:lineRule="auto"/>
              <w:jc w:val="both"/>
              <w:rPr/>
            </w:pPr>
            <w:r>
              <w:rPr>
                <w:sz w:val="24"/>
                <w:szCs w:val="24"/>
                <w:spacing w:val="-19"/>
              </w:rPr>
              <w:t>(七)建立健全跟踪监测与环境质量监测</w:t>
            </w:r>
            <w:r>
              <w:rPr>
                <w:sz w:val="24"/>
                <w:szCs w:val="24"/>
                <w:spacing w:val="4"/>
              </w:rPr>
              <w:t xml:space="preserve"> </w:t>
            </w:r>
            <w:r>
              <w:rPr>
                <w:sz w:val="24"/>
                <w:szCs w:val="24"/>
                <w:spacing w:val="-27"/>
                <w:w w:val="97"/>
              </w:rPr>
              <w:t>体系，在规</w:t>
            </w:r>
            <w:r>
              <w:rPr>
                <w:sz w:val="24"/>
                <w:szCs w:val="24"/>
                <w:spacing w:val="-26"/>
                <w:w w:val="97"/>
              </w:rPr>
              <w:t>划实施过程中，每隔五年左</w:t>
            </w:r>
            <w:r>
              <w:rPr>
                <w:sz w:val="24"/>
                <w:szCs w:val="24"/>
                <w:spacing w:val="-21"/>
                <w:w w:val="97"/>
              </w:rPr>
              <w:t>右</w:t>
            </w:r>
            <w:r>
              <w:rPr>
                <w:sz w:val="24"/>
                <w:szCs w:val="24"/>
                <w:spacing w:val="14"/>
              </w:rPr>
              <w:t xml:space="preserve"> </w:t>
            </w:r>
            <w:r>
              <w:rPr>
                <w:spacing w:val="-24"/>
              </w:rPr>
              <w:t>进行一</w:t>
            </w:r>
            <w:r>
              <w:rPr>
                <w:spacing w:val="-23"/>
              </w:rPr>
              <w:t>次环境影响跟踪评价，规划修编</w:t>
            </w:r>
            <w:r>
              <w:rPr>
                <w:spacing w:val="-20"/>
              </w:rPr>
              <w:t>时</w:t>
            </w:r>
            <w:r>
              <w:rPr>
                <w:spacing w:val="10"/>
              </w:rPr>
              <w:t xml:space="preserve"> </w:t>
            </w:r>
            <w:r>
              <w:rPr>
                <w:spacing w:val="8"/>
              </w:rPr>
              <w:t>应重新编制环境影响报告书。</w:t>
            </w:r>
          </w:p>
        </w:tc>
        <w:tc>
          <w:tcPr>
            <w:tcW w:w="2077" w:type="dxa"/>
            <w:vAlign w:val="top"/>
          </w:tcPr>
          <w:p>
            <w:pPr>
              <w:pStyle w:val="TableText"/>
              <w:spacing w:before="190" w:line="201" w:lineRule="auto"/>
              <w:jc w:val="right"/>
              <w:rPr>
                <w:sz w:val="24"/>
                <w:szCs w:val="24"/>
              </w:rPr>
            </w:pPr>
            <w:r>
              <w:rPr>
                <w:sz w:val="24"/>
                <w:szCs w:val="24"/>
                <w:spacing w:val="-13"/>
              </w:rPr>
              <w:t>本项目按规范建立日</w:t>
            </w:r>
          </w:p>
          <w:p>
            <w:pPr>
              <w:pStyle w:val="TableText"/>
              <w:spacing w:line="200" w:lineRule="auto"/>
              <w:jc w:val="right"/>
              <w:rPr>
                <w:sz w:val="24"/>
                <w:szCs w:val="24"/>
              </w:rPr>
            </w:pPr>
            <w:r>
              <w:rPr>
                <w:sz w:val="24"/>
                <w:szCs w:val="24"/>
                <w:spacing w:val="-14"/>
              </w:rPr>
              <w:t>常监</w:t>
            </w:r>
            <w:r>
              <w:rPr>
                <w:sz w:val="24"/>
                <w:szCs w:val="24"/>
                <w:spacing w:val="-13"/>
              </w:rPr>
              <w:t>测计划和跟踪</w:t>
            </w:r>
            <w:r>
              <w:rPr>
                <w:sz w:val="24"/>
                <w:szCs w:val="24"/>
                <w:spacing w:val="-11"/>
              </w:rPr>
              <w:t>监</w:t>
            </w:r>
          </w:p>
          <w:p>
            <w:pPr>
              <w:pStyle w:val="TableText"/>
              <w:ind w:left="616"/>
              <w:spacing w:before="1" w:line="220" w:lineRule="auto"/>
              <w:rPr>
                <w:sz w:val="24"/>
                <w:szCs w:val="24"/>
              </w:rPr>
            </w:pPr>
            <w:r>
              <w:rPr>
                <w:sz w:val="24"/>
                <w:szCs w:val="24"/>
              </w:rPr>
              <w:t>测计划。</w:t>
            </w:r>
          </w:p>
        </w:tc>
        <w:tc>
          <w:tcPr>
            <w:tcW w:w="994" w:type="dxa"/>
            <w:vAlign w:val="top"/>
          </w:tcPr>
          <w:p>
            <w:pPr>
              <w:spacing w:line="340" w:lineRule="auto"/>
              <w:rPr>
                <w:rFonts w:ascii="Arial"/>
                <w:sz w:val="21"/>
              </w:rPr>
            </w:pPr>
            <w:r/>
          </w:p>
          <w:p>
            <w:pPr>
              <w:pStyle w:val="TableText"/>
              <w:ind w:left="239"/>
              <w:spacing w:before="78" w:line="219" w:lineRule="auto"/>
              <w:rPr>
                <w:sz w:val="24"/>
                <w:szCs w:val="24"/>
              </w:rPr>
            </w:pPr>
            <w:r>
              <w:rPr>
                <w:sz w:val="24"/>
                <w:szCs w:val="24"/>
                <w:spacing w:val="5"/>
              </w:rPr>
              <w:t>符合</w:t>
            </w:r>
          </w:p>
        </w:tc>
      </w:tr>
      <w:tr>
        <w:trPr>
          <w:trHeight w:val="1349" w:hRule="atLeast"/>
        </w:trPr>
        <w:tc>
          <w:tcPr>
            <w:tcW w:w="1154" w:type="dxa"/>
            <w:vAlign w:val="top"/>
            <w:vMerge w:val="continue"/>
            <w:tcBorders>
              <w:top w:val="nil"/>
            </w:tcBorders>
          </w:tcPr>
          <w:p>
            <w:pPr>
              <w:rPr>
                <w:rFonts w:ascii="Arial"/>
                <w:sz w:val="21"/>
              </w:rPr>
            </w:pPr>
            <w:r/>
          </w:p>
        </w:tc>
        <w:tc>
          <w:tcPr>
            <w:tcW w:w="7716" w:type="dxa"/>
            <w:vAlign w:val="top"/>
            <w:gridSpan w:val="4"/>
          </w:tcPr>
          <w:p>
            <w:pPr>
              <w:spacing w:line="410" w:lineRule="auto"/>
              <w:rPr>
                <w:rFonts w:ascii="Arial"/>
                <w:sz w:val="21"/>
              </w:rPr>
            </w:pPr>
            <w:r/>
          </w:p>
          <w:p>
            <w:pPr>
              <w:pStyle w:val="TableText"/>
              <w:spacing w:before="78" w:line="469" w:lineRule="exact"/>
              <w:jc w:val="right"/>
              <w:rPr>
                <w:sz w:val="24"/>
                <w:szCs w:val="24"/>
              </w:rPr>
            </w:pPr>
            <w:r>
              <w:rPr>
                <w:sz w:val="24"/>
                <w:szCs w:val="24"/>
                <w:position w:val="17"/>
              </w:rPr>
              <w:t>可见，本项目符合《福建省环保厅关于&lt;福建省霞浦经济开发区总体</w:t>
            </w:r>
          </w:p>
          <w:p>
            <w:pPr>
              <w:pStyle w:val="TableText"/>
              <w:ind w:left="121"/>
              <w:spacing w:before="1" w:line="217" w:lineRule="auto"/>
              <w:rPr>
                <w:sz w:val="24"/>
                <w:szCs w:val="24"/>
              </w:rPr>
            </w:pPr>
            <w:r>
              <w:rPr>
                <w:sz w:val="24"/>
                <w:szCs w:val="24"/>
                <w:spacing w:val="-5"/>
              </w:rPr>
              <w:t>规划环境影响报告书&gt;的审查意见》</w:t>
            </w:r>
            <w:r>
              <w:rPr>
                <w:sz w:val="24"/>
                <w:szCs w:val="24"/>
                <w:spacing w:val="21"/>
              </w:rPr>
              <w:t xml:space="preserve">   </w:t>
            </w:r>
            <w:r>
              <w:rPr>
                <w:sz w:val="24"/>
                <w:szCs w:val="24"/>
                <w:spacing w:val="-5"/>
              </w:rPr>
              <w:t>(闽环保评(20</w:t>
            </w:r>
            <w:r>
              <w:rPr>
                <w:sz w:val="24"/>
                <w:szCs w:val="24"/>
                <w:spacing w:val="-6"/>
              </w:rPr>
              <w:t>12)94号)的要求。</w:t>
            </w:r>
          </w:p>
        </w:tc>
      </w:tr>
      <w:tr>
        <w:trPr>
          <w:trHeight w:val="10308" w:hRule="atLeast"/>
        </w:trPr>
        <w:tc>
          <w:tcPr>
            <w:tcW w:w="1154"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205"/>
              <w:spacing w:before="78" w:line="219" w:lineRule="auto"/>
              <w:rPr>
                <w:sz w:val="24"/>
                <w:szCs w:val="24"/>
              </w:rPr>
            </w:pPr>
            <w:r>
              <w:rPr>
                <w:sz w:val="24"/>
                <w:szCs w:val="24"/>
                <w:spacing w:val="-3"/>
              </w:rPr>
              <w:t>其他符</w:t>
            </w:r>
          </w:p>
          <w:p>
            <w:pPr>
              <w:pStyle w:val="TableText"/>
              <w:ind w:left="205"/>
              <w:spacing w:before="35" w:line="220" w:lineRule="auto"/>
              <w:rPr>
                <w:sz w:val="24"/>
                <w:szCs w:val="24"/>
              </w:rPr>
            </w:pPr>
            <w:r>
              <w:rPr>
                <w:sz w:val="24"/>
                <w:szCs w:val="24"/>
                <w:spacing w:val="3"/>
              </w:rPr>
              <w:t>合性分</w:t>
            </w:r>
          </w:p>
          <w:p>
            <w:pPr>
              <w:pStyle w:val="TableText"/>
              <w:ind w:left="445"/>
              <w:spacing w:before="24" w:line="220" w:lineRule="auto"/>
              <w:rPr>
                <w:sz w:val="24"/>
                <w:szCs w:val="24"/>
              </w:rPr>
            </w:pPr>
            <w:r>
              <w:rPr>
                <w:sz w:val="24"/>
                <w:szCs w:val="24"/>
              </w:rPr>
              <w:t>析</w:t>
            </w:r>
          </w:p>
        </w:tc>
        <w:tc>
          <w:tcPr>
            <w:tcW w:w="7716" w:type="dxa"/>
            <w:vAlign w:val="top"/>
            <w:gridSpan w:val="4"/>
          </w:tcPr>
          <w:p>
            <w:pPr>
              <w:pStyle w:val="TableText"/>
              <w:ind w:left="134"/>
              <w:spacing w:before="69" w:line="219" w:lineRule="auto"/>
              <w:rPr>
                <w:sz w:val="24"/>
                <w:szCs w:val="24"/>
              </w:rPr>
            </w:pPr>
            <w:r>
              <w:rPr>
                <w:sz w:val="24"/>
                <w:szCs w:val="24"/>
                <w:b/>
                <w:bCs/>
                <w:spacing w:val="-3"/>
              </w:rPr>
              <w:t>1、产业政策符合性分析</w:t>
            </w:r>
          </w:p>
          <w:p>
            <w:pPr>
              <w:pStyle w:val="TableText"/>
              <w:ind w:left="611"/>
              <w:spacing w:before="176" w:line="219" w:lineRule="auto"/>
              <w:rPr>
                <w:sz w:val="24"/>
                <w:szCs w:val="24"/>
              </w:rPr>
            </w:pPr>
            <w:r>
              <w:rPr>
                <w:sz w:val="24"/>
                <w:szCs w:val="24"/>
                <w:spacing w:val="-1"/>
              </w:rPr>
              <w:t>根据国家发改委第29号令《产业结构调整指导目录(2019年本)》</w:t>
            </w:r>
          </w:p>
          <w:p>
            <w:pPr>
              <w:pStyle w:val="TableText"/>
              <w:spacing w:before="176" w:line="470" w:lineRule="exact"/>
              <w:jc w:val="right"/>
              <w:rPr>
                <w:sz w:val="24"/>
                <w:szCs w:val="24"/>
              </w:rPr>
            </w:pPr>
            <w:r>
              <w:rPr>
                <w:sz w:val="24"/>
                <w:szCs w:val="24"/>
                <w:spacing w:val="-10"/>
                <w:position w:val="17"/>
              </w:rPr>
              <w:t>其中，第一类鼓励类第十九项“轻工”第13条为：    “锂二硫化铁、锂亚</w:t>
            </w:r>
          </w:p>
          <w:p>
            <w:pPr>
              <w:pStyle w:val="TableText"/>
              <w:ind w:left="141"/>
              <w:spacing w:line="219" w:lineRule="auto"/>
              <w:rPr>
                <w:sz w:val="24"/>
                <w:szCs w:val="24"/>
              </w:rPr>
            </w:pPr>
            <w:r>
              <w:rPr>
                <w:sz w:val="24"/>
                <w:szCs w:val="24"/>
                <w:spacing w:val="4"/>
              </w:rPr>
              <w:t>硫酰氯等新型锂原电池；锂离子电池、氢镍</w:t>
            </w:r>
            <w:r>
              <w:rPr>
                <w:sz w:val="24"/>
                <w:szCs w:val="24"/>
                <w:spacing w:val="3"/>
              </w:rPr>
              <w:t>电池、新型结构(双极性、</w:t>
            </w:r>
          </w:p>
          <w:p>
            <w:pPr>
              <w:pStyle w:val="TableText"/>
              <w:ind w:left="141"/>
              <w:spacing w:before="194" w:line="461" w:lineRule="exact"/>
              <w:rPr>
                <w:sz w:val="24"/>
                <w:szCs w:val="24"/>
              </w:rPr>
            </w:pPr>
            <w:r>
              <w:rPr>
                <w:sz w:val="24"/>
                <w:szCs w:val="24"/>
                <w:position w:val="16"/>
              </w:rPr>
              <w:t>铅布水平、卷绕式、管式等)密封铅蓄电池、</w:t>
            </w:r>
            <w:r>
              <w:rPr>
                <w:sz w:val="24"/>
                <w:szCs w:val="24"/>
                <w:spacing w:val="-1"/>
                <w:position w:val="16"/>
              </w:rPr>
              <w:t>铅碳电池、超级电池、燃</w:t>
            </w:r>
          </w:p>
          <w:p>
            <w:pPr>
              <w:pStyle w:val="TableText"/>
              <w:ind w:left="131"/>
              <w:spacing w:line="219" w:lineRule="auto"/>
              <w:rPr>
                <w:sz w:val="24"/>
                <w:szCs w:val="24"/>
              </w:rPr>
            </w:pPr>
            <w:r>
              <w:rPr>
                <w:sz w:val="24"/>
                <w:szCs w:val="24"/>
              </w:rPr>
              <w:t>料电池、锂/氟化碳电池等新型电池和超级电容器</w:t>
            </w:r>
            <w:r>
              <w:rPr>
                <w:sz w:val="24"/>
                <w:szCs w:val="24"/>
                <w:spacing w:val="-1"/>
              </w:rPr>
              <w:t>”。</w:t>
            </w:r>
          </w:p>
          <w:p>
            <w:pPr>
              <w:pStyle w:val="TableText"/>
              <w:ind w:left="621"/>
              <w:spacing w:before="185" w:line="469" w:lineRule="exact"/>
              <w:rPr>
                <w:sz w:val="24"/>
                <w:szCs w:val="24"/>
              </w:rPr>
            </w:pPr>
            <w:r>
              <w:rPr>
                <w:sz w:val="24"/>
                <w:szCs w:val="24"/>
                <w:position w:val="17"/>
              </w:rPr>
              <w:t>项目于2023年10月10日在霞浦县工业和信息化局进行了备案，备案</w:t>
            </w:r>
          </w:p>
          <w:p>
            <w:pPr>
              <w:pStyle w:val="TableText"/>
              <w:ind w:left="171"/>
              <w:spacing w:before="1" w:line="217" w:lineRule="auto"/>
              <w:rPr>
                <w:sz w:val="24"/>
                <w:szCs w:val="24"/>
              </w:rPr>
            </w:pPr>
            <w:r>
              <w:rPr>
                <w:sz w:val="24"/>
                <w:szCs w:val="24"/>
              </w:rPr>
              <w:t>号为闽工信备〔2022〕J040019号。</w:t>
            </w:r>
          </w:p>
          <w:p>
            <w:pPr>
              <w:pStyle w:val="TableText"/>
              <w:ind w:left="621"/>
              <w:spacing w:before="197" w:line="461" w:lineRule="exact"/>
              <w:rPr>
                <w:sz w:val="24"/>
                <w:szCs w:val="24"/>
              </w:rPr>
            </w:pPr>
            <w:r>
              <w:rPr>
                <w:sz w:val="24"/>
                <w:szCs w:val="24"/>
                <w:spacing w:val="-1"/>
                <w:position w:val="16"/>
              </w:rPr>
              <w:t>本项目为锂离子电池生产配套项目，生产极片及凹版，属于国家鼓</w:t>
            </w:r>
          </w:p>
          <w:p>
            <w:pPr>
              <w:pStyle w:val="TableText"/>
              <w:ind w:left="141"/>
              <w:spacing w:before="1" w:line="219" w:lineRule="auto"/>
              <w:rPr>
                <w:sz w:val="24"/>
                <w:szCs w:val="24"/>
              </w:rPr>
            </w:pPr>
            <w:r>
              <w:rPr>
                <w:sz w:val="24"/>
                <w:szCs w:val="24"/>
                <w:spacing w:val="-1"/>
              </w:rPr>
              <w:t>励类，符合国家的产业政策。</w:t>
            </w:r>
          </w:p>
          <w:p>
            <w:pPr>
              <w:pStyle w:val="TableText"/>
              <w:ind w:left="144"/>
              <w:spacing w:before="171" w:line="219" w:lineRule="auto"/>
              <w:rPr>
                <w:sz w:val="24"/>
                <w:szCs w:val="24"/>
              </w:rPr>
            </w:pPr>
            <w:r>
              <w:rPr>
                <w:sz w:val="24"/>
                <w:szCs w:val="24"/>
                <w:b/>
                <w:bCs/>
                <w:spacing w:val="-4"/>
              </w:rPr>
              <w:t>2、与“三线一单”符合性分析</w:t>
            </w:r>
          </w:p>
          <w:p>
            <w:pPr>
              <w:pStyle w:val="TableText"/>
              <w:ind w:left="754"/>
              <w:spacing w:before="206" w:line="219" w:lineRule="auto"/>
              <w:rPr>
                <w:sz w:val="24"/>
                <w:szCs w:val="24"/>
              </w:rPr>
            </w:pPr>
            <w:r>
              <w:rPr>
                <w:sz w:val="24"/>
                <w:szCs w:val="24"/>
                <w:b/>
                <w:bCs/>
                <w:spacing w:val="-3"/>
              </w:rPr>
              <w:t>(1)项目与生态保护红线符合性</w:t>
            </w:r>
          </w:p>
          <w:p>
            <w:pPr>
              <w:pStyle w:val="TableText"/>
              <w:ind w:left="630"/>
              <w:spacing w:before="168" w:line="219" w:lineRule="auto"/>
              <w:rPr>
                <w:sz w:val="24"/>
                <w:szCs w:val="24"/>
              </w:rPr>
            </w:pPr>
            <w:r>
              <w:rPr>
                <w:sz w:val="24"/>
                <w:szCs w:val="24"/>
                <w:spacing w:val="1"/>
              </w:rPr>
              <w:t>项目位于霞浦经济开发区长富路6号，位于已规划的工业园区内</w:t>
            </w:r>
          </w:p>
          <w:p>
            <w:pPr>
              <w:pStyle w:val="TableText"/>
              <w:ind w:left="131" w:right="4" w:firstLine="9"/>
              <w:spacing w:before="175" w:line="362" w:lineRule="auto"/>
              <w:rPr>
                <w:sz w:val="24"/>
                <w:szCs w:val="24"/>
              </w:rPr>
            </w:pPr>
            <w:r>
              <w:rPr>
                <w:sz w:val="24"/>
                <w:szCs w:val="24"/>
                <w:spacing w:val="4"/>
              </w:rPr>
              <w:t>用地为工业用地。本项目所在区域不涉及水源涵养、生物多</w:t>
            </w:r>
            <w:r>
              <w:rPr>
                <w:sz w:val="24"/>
                <w:szCs w:val="24"/>
                <w:spacing w:val="3"/>
              </w:rPr>
              <w:t>样性维护、</w:t>
            </w:r>
            <w:r>
              <w:rPr>
                <w:sz w:val="24"/>
                <w:szCs w:val="24"/>
              </w:rPr>
              <w:t xml:space="preserve"> </w:t>
            </w:r>
            <w:r>
              <w:rPr>
                <w:sz w:val="24"/>
                <w:szCs w:val="24"/>
                <w:spacing w:val="1"/>
              </w:rPr>
              <w:t>水土保持、海岸防护等生态功能极重要区域，水土流失</w:t>
            </w:r>
            <w:r>
              <w:rPr>
                <w:sz w:val="24"/>
                <w:szCs w:val="24"/>
              </w:rPr>
              <w:t>、海岸侵蚀及沙  </w:t>
            </w:r>
            <w:r>
              <w:rPr>
                <w:sz w:val="24"/>
                <w:szCs w:val="24"/>
              </w:rPr>
              <w:t>源流失等生态极脆弱区域，以及其他具有潜在重要生态价值的区域，不</w:t>
            </w:r>
            <w:r>
              <w:rPr>
                <w:sz w:val="24"/>
                <w:szCs w:val="24"/>
                <w:spacing w:val="6"/>
              </w:rPr>
              <w:t xml:space="preserve">  </w:t>
            </w:r>
            <w:r>
              <w:rPr>
                <w:sz w:val="24"/>
                <w:szCs w:val="24"/>
              </w:rPr>
              <w:t>在宁德市生态保护红线范围内，从选址上符合生态保护红线划定的相关</w:t>
            </w:r>
          </w:p>
          <w:p>
            <w:pPr>
              <w:pStyle w:val="TableText"/>
              <w:ind w:left="131"/>
              <w:spacing w:before="1" w:line="220" w:lineRule="auto"/>
              <w:rPr>
                <w:sz w:val="24"/>
                <w:szCs w:val="24"/>
              </w:rPr>
            </w:pPr>
            <w:r>
              <w:rPr>
                <w:sz w:val="24"/>
                <w:szCs w:val="24"/>
              </w:rPr>
              <w:t>要求。</w:t>
            </w:r>
          </w:p>
          <w:p>
            <w:pPr>
              <w:pStyle w:val="TableText"/>
              <w:ind w:left="744"/>
              <w:spacing w:before="178" w:line="219" w:lineRule="auto"/>
              <w:rPr>
                <w:sz w:val="24"/>
                <w:szCs w:val="24"/>
              </w:rPr>
            </w:pPr>
            <w:r>
              <w:rPr>
                <w:sz w:val="24"/>
                <w:szCs w:val="24"/>
                <w:b/>
                <w:bCs/>
                <w:spacing w:val="-3"/>
              </w:rPr>
              <w:t>(2)项目与环境质量底线符合性</w:t>
            </w:r>
          </w:p>
          <w:p>
            <w:pPr>
              <w:pStyle w:val="TableText"/>
              <w:ind w:left="141" w:right="109" w:firstLine="479"/>
              <w:spacing w:before="190" w:line="353" w:lineRule="auto"/>
              <w:rPr>
                <w:sz w:val="24"/>
                <w:szCs w:val="24"/>
              </w:rPr>
            </w:pPr>
            <w:r>
              <w:rPr>
                <w:sz w:val="24"/>
                <w:szCs w:val="24"/>
              </w:rPr>
              <w:t>项目所在区域的环境质量底线为：环境空气质量目标为《环境空气</w:t>
            </w:r>
            <w:r>
              <w:rPr>
                <w:sz w:val="24"/>
                <w:szCs w:val="24"/>
                <w:spacing w:val="14"/>
              </w:rPr>
              <w:t xml:space="preserve"> </w:t>
            </w:r>
            <w:r>
              <w:rPr>
                <w:sz w:val="24"/>
                <w:szCs w:val="24"/>
                <w:spacing w:val="-5"/>
              </w:rPr>
              <w:t>质量标准》</w:t>
            </w:r>
            <w:r>
              <w:rPr>
                <w:sz w:val="24"/>
                <w:szCs w:val="24"/>
                <w:spacing w:val="27"/>
              </w:rPr>
              <w:t xml:space="preserve">   </w:t>
            </w:r>
            <w:r>
              <w:rPr>
                <w:sz w:val="24"/>
                <w:szCs w:val="24"/>
                <w:spacing w:val="-5"/>
              </w:rPr>
              <w:t>(GB3095-2012)及2018年修改单中的二级标准；厂界声环</w:t>
            </w:r>
          </w:p>
          <w:p>
            <w:pPr>
              <w:pStyle w:val="TableText"/>
              <w:ind w:left="121"/>
              <w:spacing w:before="1" w:line="219" w:lineRule="auto"/>
              <w:rPr>
                <w:sz w:val="24"/>
                <w:szCs w:val="24"/>
              </w:rPr>
            </w:pPr>
            <w:r>
              <w:rPr>
                <w:sz w:val="24"/>
                <w:szCs w:val="24"/>
              </w:rPr>
              <w:t>境质量目标为《声环境质量标准》(GB3096-2008)3类标准，敏感点声</w:t>
            </w:r>
          </w:p>
        </w:tc>
      </w:tr>
    </w:tbl>
    <w:p>
      <w:pPr>
        <w:rPr>
          <w:rFonts w:ascii="Arial"/>
          <w:sz w:val="21"/>
        </w:rPr>
      </w:pPr>
      <w:r/>
    </w:p>
    <w:p>
      <w:pPr>
        <w:sectPr>
          <w:footerReference w:type="default" r:id="rId5"/>
          <w:pgSz w:w="11900" w:h="16840"/>
          <w:pgMar w:top="1375" w:right="1445" w:bottom="1224" w:left="1574" w:header="0" w:footer="1076" w:gutter="0"/>
        </w:sectPr>
        <w:rPr>
          <w:rFonts w:ascii="Arial" w:hAnsi="Arial" w:eastAsia="Arial" w:cs="Arial"/>
          <w:sz w:val="21"/>
          <w:szCs w:val="21"/>
        </w:rPr>
      </w:pPr>
    </w:p>
    <w:tbl>
      <w:tblPr>
        <w:tblStyle w:val="TableNormal"/>
        <w:tblW w:w="88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4"/>
        <w:gridCol w:w="879"/>
        <w:gridCol w:w="759"/>
        <w:gridCol w:w="809"/>
        <w:gridCol w:w="869"/>
        <w:gridCol w:w="2527"/>
        <w:gridCol w:w="1893"/>
      </w:tblGrid>
      <w:tr>
        <w:trPr>
          <w:trHeight w:val="9308" w:hRule="atLeast"/>
        </w:trPr>
        <w:tc>
          <w:tcPr>
            <w:tcW w:w="1154" w:type="dxa"/>
            <w:vAlign w:val="top"/>
            <w:vMerge w:val="restart"/>
            <w:tcBorders>
              <w:bottom w:val="nil"/>
            </w:tcBorders>
          </w:tcPr>
          <w:p>
            <w:pPr>
              <w:rPr>
                <w:rFonts w:ascii="Arial"/>
                <w:sz w:val="21"/>
              </w:rPr>
            </w:pPr>
            <w:r/>
          </w:p>
        </w:tc>
        <w:tc>
          <w:tcPr>
            <w:tcW w:w="7736" w:type="dxa"/>
            <w:vAlign w:val="top"/>
            <w:gridSpan w:val="6"/>
          </w:tcPr>
          <w:p>
            <w:pPr>
              <w:pStyle w:val="TableText"/>
              <w:ind w:left="131"/>
              <w:spacing w:before="44" w:line="219" w:lineRule="auto"/>
              <w:rPr/>
            </w:pPr>
            <w:r>
              <w:rPr/>
              <w:t>环境质量目标为《声环境质量标准》(GB3096-200</w:t>
            </w:r>
            <w:r>
              <w:rPr>
                <w:spacing w:val="-1"/>
              </w:rPr>
              <w:t>8)2类标准；地下水</w:t>
            </w:r>
          </w:p>
          <w:p>
            <w:pPr>
              <w:pStyle w:val="TableText"/>
              <w:ind w:left="131"/>
              <w:spacing w:before="187" w:line="219" w:lineRule="auto"/>
              <w:rPr/>
            </w:pPr>
            <w:r>
              <w:rPr>
                <w:spacing w:val="3"/>
              </w:rPr>
              <w:t>环境质量目标为《地下水质量标准》(</w:t>
            </w:r>
            <w:r>
              <w:rPr/>
              <w:t>GB</w:t>
            </w:r>
            <w:r>
              <w:rPr>
                <w:spacing w:val="3"/>
              </w:rPr>
              <w:t>/T14848-2017)的Ⅲ类标准；</w:t>
            </w:r>
          </w:p>
          <w:p>
            <w:pPr>
              <w:pStyle w:val="TableText"/>
              <w:ind w:left="141"/>
              <w:spacing w:before="196" w:line="460" w:lineRule="exact"/>
              <w:rPr/>
            </w:pPr>
            <w:r>
              <w:rPr>
                <w:position w:val="17"/>
              </w:rPr>
              <w:t>土壤环境质量目标为《土壤环境质量建设用地土</w:t>
            </w:r>
            <w:r>
              <w:rPr>
                <w:spacing w:val="-1"/>
                <w:position w:val="17"/>
              </w:rPr>
              <w:t>壤污染风险管控标准(试</w:t>
            </w:r>
          </w:p>
          <w:p>
            <w:pPr>
              <w:pStyle w:val="TableText"/>
              <w:ind w:left="141"/>
              <w:spacing w:line="219" w:lineRule="auto"/>
              <w:rPr/>
            </w:pPr>
            <w:r>
              <w:rPr>
                <w:spacing w:val="-4"/>
              </w:rPr>
              <w:t>行)》   (GB36600-2018)中第二类用地筛选值标准。</w:t>
            </w:r>
          </w:p>
          <w:p>
            <w:pPr>
              <w:pStyle w:val="TableText"/>
              <w:ind w:left="141" w:right="443" w:firstLine="479"/>
              <w:spacing w:before="216" w:line="372" w:lineRule="auto"/>
              <w:rPr/>
            </w:pPr>
            <w:r>
              <w:rPr/>
              <w:t>根据对项目周边的大气环境质量、声环境质</w:t>
            </w:r>
            <w:r>
              <w:rPr>
                <w:spacing w:val="-1"/>
              </w:rPr>
              <w:t>量、地下水环境质量进</w:t>
            </w:r>
            <w:r>
              <w:rPr/>
              <w:t xml:space="preserve"> </w:t>
            </w:r>
            <w:r>
              <w:rPr/>
              <w:t>行调查监测可知，各环境要素的监测值均能满足对应的</w:t>
            </w:r>
            <w:r>
              <w:rPr>
                <w:spacing w:val="-1"/>
              </w:rPr>
              <w:t>环境质量标准。</w:t>
            </w:r>
            <w:r>
              <w:rPr/>
              <w:t xml:space="preserve"> </w:t>
            </w:r>
            <w:r>
              <w:rPr/>
              <w:t>项目投产后采取本评价提出的相关环保措施后，本项目排放的各类污染</w:t>
            </w:r>
          </w:p>
          <w:p>
            <w:pPr>
              <w:pStyle w:val="TableText"/>
              <w:ind w:left="121"/>
              <w:spacing w:line="219" w:lineRule="auto"/>
              <w:rPr/>
            </w:pPr>
            <w:r>
              <w:rPr/>
              <w:t>物对环境的贡献浓度值叠加现状背景值没有超过相应的环</w:t>
            </w:r>
            <w:r>
              <w:rPr>
                <w:spacing w:val="-1"/>
              </w:rPr>
              <w:t>境标准限值。</w:t>
            </w:r>
          </w:p>
          <w:p>
            <w:pPr>
              <w:pStyle w:val="TableText"/>
              <w:ind w:left="724"/>
              <w:spacing w:before="184" w:line="219" w:lineRule="auto"/>
              <w:rPr/>
            </w:pPr>
            <w:r>
              <w:rPr>
                <w:b/>
                <w:bCs/>
                <w:spacing w:val="-3"/>
              </w:rPr>
              <w:t>(3)项目符合资源利用上线的管控要求</w:t>
            </w:r>
          </w:p>
          <w:p>
            <w:pPr>
              <w:pStyle w:val="TableText"/>
              <w:ind w:left="621"/>
              <w:spacing w:before="209" w:line="460" w:lineRule="exact"/>
              <w:rPr/>
            </w:pPr>
            <w:r>
              <w:rPr>
                <w:spacing w:val="1"/>
                <w:position w:val="17"/>
              </w:rPr>
              <w:t>项目用水、用电、用气为区域集中供应。项目运行过程通过加强内</w:t>
            </w:r>
          </w:p>
          <w:p>
            <w:pPr>
              <w:pStyle w:val="TableText"/>
              <w:ind w:left="131"/>
              <w:spacing w:before="1" w:line="218" w:lineRule="auto"/>
              <w:rPr/>
            </w:pPr>
            <w:r>
              <w:rPr>
                <w:spacing w:val="-1"/>
              </w:rPr>
              <w:t>部管理、设备选择、原辅材料的选用和管理、废物回收利用、污染治理</w:t>
            </w:r>
          </w:p>
          <w:p>
            <w:pPr>
              <w:pStyle w:val="TableText"/>
              <w:ind w:left="131"/>
              <w:spacing w:before="188" w:line="470" w:lineRule="exact"/>
              <w:rPr/>
            </w:pPr>
            <w:r>
              <w:rPr>
                <w:position w:val="18"/>
              </w:rPr>
              <w:t>等多方面采取合理可行的防治措施，以“节能、降耗、减污”为目标，有</w:t>
            </w:r>
          </w:p>
          <w:p>
            <w:pPr>
              <w:pStyle w:val="TableText"/>
              <w:ind w:left="141"/>
              <w:spacing w:before="1" w:line="218" w:lineRule="auto"/>
              <w:rPr/>
            </w:pPr>
            <w:r>
              <w:rPr/>
              <w:t>效的控制污染。项目的水、气、能源等资源利用不会突破区域的资源利</w:t>
            </w:r>
          </w:p>
          <w:p>
            <w:pPr>
              <w:pStyle w:val="TableText"/>
              <w:ind w:left="111"/>
              <w:spacing w:before="189" w:line="220" w:lineRule="auto"/>
              <w:rPr/>
            </w:pPr>
            <w:r>
              <w:rPr>
                <w:spacing w:val="-1"/>
              </w:rPr>
              <w:t>用上线。</w:t>
            </w:r>
          </w:p>
          <w:p>
            <w:pPr>
              <w:pStyle w:val="TableText"/>
              <w:ind w:left="744"/>
              <w:spacing w:before="222" w:line="219" w:lineRule="auto"/>
              <w:rPr/>
            </w:pPr>
            <w:r>
              <w:rPr>
                <w:b/>
                <w:bCs/>
                <w:spacing w:val="-3"/>
              </w:rPr>
              <w:t>(4)生态环境准入清单符合性</w:t>
            </w:r>
          </w:p>
          <w:p>
            <w:pPr>
              <w:pStyle w:val="TableText"/>
              <w:ind w:left="131" w:right="449" w:firstLine="469"/>
              <w:spacing w:before="170" w:line="375" w:lineRule="auto"/>
              <w:rPr/>
            </w:pPr>
            <w:r>
              <w:rPr>
                <w:spacing w:val="-6"/>
              </w:rPr>
              <w:t>根据《宁德市生态环境准入清单(报批稿)》</w:t>
            </w:r>
            <w:r>
              <w:rPr>
                <w:spacing w:val="24"/>
              </w:rPr>
              <w:t xml:space="preserve">   </w:t>
            </w:r>
            <w:r>
              <w:rPr>
                <w:spacing w:val="-6"/>
              </w:rPr>
              <w:t>(2023.11)中《宁德</w:t>
            </w:r>
            <w:r>
              <w:rPr/>
              <w:t xml:space="preserve">  </w:t>
            </w:r>
            <w:r>
              <w:rPr/>
              <w:t>市生态环境总体准入要求》,本项目符合陆域生态的空</w:t>
            </w:r>
            <w:r>
              <w:rPr>
                <w:spacing w:val="-1"/>
              </w:rPr>
              <w:t>间布局要求；符</w:t>
            </w:r>
            <w:r>
              <w:rPr/>
              <w:t xml:space="preserve">  </w:t>
            </w:r>
            <w:r>
              <w:rPr/>
              <w:t>合《环境管控单元准入要求》中霞浦经济开发区的环境管控要求，见下</w:t>
            </w:r>
          </w:p>
          <w:p>
            <w:pPr>
              <w:pStyle w:val="TableText"/>
              <w:ind w:left="111"/>
              <w:spacing w:before="1" w:line="220" w:lineRule="auto"/>
              <w:rPr/>
            </w:pPr>
            <w:r>
              <w:rPr>
                <w:spacing w:val="-2"/>
              </w:rPr>
              <w:t>表。</w:t>
            </w:r>
          </w:p>
          <w:p>
            <w:pPr>
              <w:pStyle w:val="TableText"/>
              <w:ind w:left="884"/>
              <w:spacing w:before="199" w:line="219" w:lineRule="auto"/>
              <w:rPr/>
            </w:pPr>
            <w:r>
              <w:rPr>
                <w:b/>
                <w:bCs/>
                <w:spacing w:val="-3"/>
              </w:rPr>
              <w:t>表1.1-3</w:t>
            </w:r>
            <w:r>
              <w:rPr>
                <w:spacing w:val="-3"/>
              </w:rPr>
              <w:t xml:space="preserve">   </w:t>
            </w:r>
            <w:r>
              <w:rPr>
                <w:b/>
                <w:bCs/>
                <w:spacing w:val="-3"/>
              </w:rPr>
              <w:t>本项目与宁德市环境管控单元准入要求清单对比表</w:t>
            </w:r>
          </w:p>
        </w:tc>
      </w:tr>
      <w:tr>
        <w:trPr>
          <w:trHeight w:val="1079" w:hRule="atLeast"/>
        </w:trPr>
        <w:tc>
          <w:tcPr>
            <w:tcW w:w="1154" w:type="dxa"/>
            <w:vAlign w:val="top"/>
            <w:vMerge w:val="continue"/>
            <w:tcBorders>
              <w:top w:val="nil"/>
              <w:bottom w:val="nil"/>
            </w:tcBorders>
          </w:tcPr>
          <w:p>
            <w:pPr>
              <w:rPr>
                <w:rFonts w:ascii="Arial"/>
                <w:sz w:val="21"/>
              </w:rPr>
            </w:pPr>
            <w:r/>
          </w:p>
        </w:tc>
        <w:tc>
          <w:tcPr>
            <w:tcW w:w="879" w:type="dxa"/>
            <w:vAlign w:val="top"/>
          </w:tcPr>
          <w:p>
            <w:pPr>
              <w:pStyle w:val="TableText"/>
              <w:ind w:left="244" w:right="173"/>
              <w:spacing w:before="42" w:line="206" w:lineRule="auto"/>
              <w:jc w:val="both"/>
              <w:rPr/>
            </w:pPr>
            <w:r>
              <w:rPr>
                <w:b/>
                <w:bCs/>
                <w:spacing w:val="-7"/>
              </w:rPr>
              <w:t>环境</w:t>
            </w:r>
            <w:r>
              <w:rPr/>
              <w:t xml:space="preserve"> </w:t>
            </w:r>
            <w:r>
              <w:rPr>
                <w:b/>
                <w:bCs/>
                <w:spacing w:val="-10"/>
              </w:rPr>
              <w:t>管控</w:t>
            </w:r>
            <w:r>
              <w:rPr/>
              <w:t xml:space="preserve"> </w:t>
            </w:r>
            <w:r>
              <w:rPr>
                <w:b/>
                <w:bCs/>
                <w:spacing w:val="-8"/>
              </w:rPr>
              <w:t>单元</w:t>
            </w:r>
            <w:r>
              <w:rPr/>
              <w:t xml:space="preserve"> </w:t>
            </w:r>
            <w:r>
              <w:rPr>
                <w:b/>
                <w:bCs/>
                <w:spacing w:val="-8"/>
              </w:rPr>
              <w:t>编码</w:t>
            </w:r>
          </w:p>
        </w:tc>
        <w:tc>
          <w:tcPr>
            <w:tcW w:w="759" w:type="dxa"/>
            <w:vAlign w:val="top"/>
          </w:tcPr>
          <w:p>
            <w:pPr>
              <w:pStyle w:val="TableText"/>
              <w:ind w:left="145"/>
              <w:spacing w:before="63" w:line="192" w:lineRule="auto"/>
              <w:rPr/>
            </w:pPr>
            <w:r>
              <w:rPr>
                <w:b/>
                <w:bCs/>
                <w:spacing w:val="-5"/>
              </w:rPr>
              <w:t>环境</w:t>
            </w:r>
          </w:p>
          <w:p>
            <w:pPr>
              <w:pStyle w:val="TableText"/>
              <w:ind w:left="145"/>
              <w:spacing w:line="219" w:lineRule="auto"/>
              <w:rPr/>
            </w:pPr>
            <w:r>
              <w:rPr>
                <w:b/>
                <w:bCs/>
                <w:spacing w:val="-7"/>
              </w:rPr>
              <w:t>管控</w:t>
            </w:r>
          </w:p>
          <w:p>
            <w:pPr>
              <w:pStyle w:val="TableText"/>
              <w:ind w:left="145"/>
              <w:spacing w:before="7" w:line="194" w:lineRule="auto"/>
              <w:rPr/>
            </w:pPr>
            <w:r>
              <w:rPr>
                <w:b/>
                <w:bCs/>
                <w:spacing w:val="-6"/>
              </w:rPr>
              <w:t>单元</w:t>
            </w:r>
          </w:p>
          <w:p>
            <w:pPr>
              <w:pStyle w:val="TableText"/>
              <w:ind w:left="145"/>
              <w:spacing w:line="195" w:lineRule="auto"/>
              <w:rPr/>
            </w:pPr>
            <w:r>
              <w:rPr>
                <w:b/>
                <w:bCs/>
                <w:spacing w:val="-6"/>
              </w:rPr>
              <w:t>名称</w:t>
            </w:r>
          </w:p>
        </w:tc>
        <w:tc>
          <w:tcPr>
            <w:tcW w:w="809" w:type="dxa"/>
            <w:vAlign w:val="top"/>
          </w:tcPr>
          <w:p>
            <w:pPr>
              <w:pStyle w:val="TableText"/>
              <w:ind w:left="163"/>
              <w:spacing w:before="185" w:line="199" w:lineRule="auto"/>
              <w:rPr/>
            </w:pPr>
            <w:r>
              <w:rPr>
                <w:spacing w:val="4"/>
              </w:rPr>
              <w:t>管控</w:t>
            </w:r>
          </w:p>
          <w:p>
            <w:pPr>
              <w:pStyle w:val="TableText"/>
              <w:ind w:left="166"/>
              <w:spacing w:line="224" w:lineRule="auto"/>
              <w:rPr/>
            </w:pPr>
            <w:r>
              <w:rPr>
                <w:b/>
                <w:bCs/>
                <w:spacing w:val="-6"/>
              </w:rPr>
              <w:t>单元</w:t>
            </w:r>
          </w:p>
          <w:p>
            <w:pPr>
              <w:pStyle w:val="TableText"/>
              <w:ind w:left="166"/>
              <w:spacing w:line="219" w:lineRule="auto"/>
              <w:rPr/>
            </w:pPr>
            <w:r>
              <w:rPr>
                <w:b/>
                <w:bCs/>
                <w:spacing w:val="3"/>
              </w:rPr>
              <w:t>类别</w:t>
            </w:r>
          </w:p>
        </w:tc>
        <w:tc>
          <w:tcPr>
            <w:tcW w:w="3396" w:type="dxa"/>
            <w:vAlign w:val="top"/>
            <w:gridSpan w:val="2"/>
          </w:tcPr>
          <w:p>
            <w:pPr>
              <w:spacing w:line="356" w:lineRule="auto"/>
              <w:rPr>
                <w:rFonts w:ascii="Arial"/>
                <w:sz w:val="21"/>
              </w:rPr>
            </w:pPr>
            <w:r/>
          </w:p>
          <w:p>
            <w:pPr>
              <w:pStyle w:val="TableText"/>
              <w:ind w:left="1297"/>
              <w:spacing w:before="75" w:line="219" w:lineRule="auto"/>
              <w:rPr/>
            </w:pPr>
            <w:r>
              <w:rPr>
                <w:b/>
                <w:bCs/>
                <w:spacing w:val="-6"/>
              </w:rPr>
              <w:t>管控要求</w:t>
            </w:r>
          </w:p>
        </w:tc>
        <w:tc>
          <w:tcPr>
            <w:tcW w:w="1893" w:type="dxa"/>
            <w:vAlign w:val="top"/>
          </w:tcPr>
          <w:p>
            <w:pPr>
              <w:spacing w:line="354" w:lineRule="auto"/>
              <w:rPr>
                <w:rFonts w:ascii="Arial"/>
                <w:sz w:val="21"/>
              </w:rPr>
            </w:pPr>
            <w:r/>
          </w:p>
          <w:p>
            <w:pPr>
              <w:pStyle w:val="TableText"/>
              <w:ind w:left="141"/>
              <w:spacing w:before="75" w:line="219" w:lineRule="auto"/>
              <w:rPr/>
            </w:pPr>
            <w:r>
              <w:rPr>
                <w:b/>
                <w:bCs/>
                <w:spacing w:val="-4"/>
              </w:rPr>
              <w:t>本项目落实情况</w:t>
            </w:r>
          </w:p>
        </w:tc>
      </w:tr>
      <w:tr>
        <w:trPr>
          <w:trHeight w:val="2738" w:hRule="atLeast"/>
        </w:trPr>
        <w:tc>
          <w:tcPr>
            <w:tcW w:w="1154" w:type="dxa"/>
            <w:vAlign w:val="top"/>
            <w:vMerge w:val="continue"/>
            <w:tcBorders>
              <w:top w:val="nil"/>
              <w:bottom w:val="nil"/>
            </w:tcBorders>
          </w:tcPr>
          <w:p>
            <w:pPr>
              <w:rPr>
                <w:rFonts w:ascii="Arial"/>
                <w:sz w:val="21"/>
              </w:rPr>
            </w:pPr>
            <w:r/>
          </w:p>
        </w:tc>
        <w:tc>
          <w:tcPr>
            <w:tcW w:w="879"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241"/>
              <w:spacing w:before="75" w:line="192" w:lineRule="auto"/>
              <w:rPr/>
            </w:pPr>
            <w:r>
              <w:rPr>
                <w:spacing w:val="-2"/>
              </w:rPr>
              <w:t>ZH35</w:t>
            </w:r>
          </w:p>
          <w:p>
            <w:pPr>
              <w:pStyle w:val="TableText"/>
              <w:ind w:left="121"/>
              <w:spacing w:line="183" w:lineRule="auto"/>
              <w:rPr/>
            </w:pPr>
            <w:r>
              <w:rPr>
                <w:spacing w:val="-2"/>
              </w:rPr>
              <w:t>09212</w:t>
            </w:r>
          </w:p>
          <w:p>
            <w:pPr>
              <w:pStyle w:val="TableText"/>
              <w:ind w:left="241"/>
              <w:spacing w:before="10" w:line="184" w:lineRule="auto"/>
              <w:rPr/>
            </w:pPr>
            <w:r>
              <w:rPr>
                <w:spacing w:val="-3"/>
              </w:rPr>
              <w:t>0001</w:t>
            </w:r>
          </w:p>
        </w:tc>
        <w:tc>
          <w:tcPr>
            <w:tcW w:w="759" w:type="dxa"/>
            <w:vAlign w:val="top"/>
            <w:vMerge w:val="restart"/>
            <w:tcBorders>
              <w:bottom w:val="nil"/>
            </w:tcBorders>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pStyle w:val="TableText"/>
              <w:ind w:left="142" w:right="127"/>
              <w:spacing w:before="75" w:line="214" w:lineRule="auto"/>
              <w:jc w:val="both"/>
              <w:rPr/>
            </w:pPr>
            <w:r>
              <w:rPr>
                <w:spacing w:val="-5"/>
              </w:rPr>
              <w:t>福建</w:t>
            </w:r>
            <w:r>
              <w:rPr/>
              <w:t xml:space="preserve"> </w:t>
            </w:r>
            <w:r>
              <w:rPr>
                <w:spacing w:val="5"/>
              </w:rPr>
              <w:t>省霞</w:t>
            </w:r>
            <w:r>
              <w:rPr/>
              <w:t xml:space="preserve"> </w:t>
            </w:r>
            <w:r>
              <w:rPr>
                <w:spacing w:val="-5"/>
              </w:rPr>
              <w:t>浦经</w:t>
            </w:r>
            <w:r>
              <w:rPr/>
              <w:t xml:space="preserve"> </w:t>
            </w:r>
            <w:r>
              <w:rPr>
                <w:spacing w:val="-5"/>
              </w:rPr>
              <w:t>济开</w:t>
            </w:r>
            <w:r>
              <w:rPr/>
              <w:t xml:space="preserve"> </w:t>
            </w:r>
            <w:r>
              <w:rPr>
                <w:spacing w:val="9"/>
              </w:rPr>
              <w:t>发区</w:t>
            </w:r>
          </w:p>
        </w:tc>
        <w:tc>
          <w:tcPr>
            <w:tcW w:w="809" w:type="dxa"/>
            <w:vAlign w:val="top"/>
            <w:vMerge w:val="restart"/>
            <w:tcBorders>
              <w:bottom w:val="nil"/>
            </w:tcBorders>
          </w:tcPr>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163" w:right="155"/>
              <w:spacing w:before="74" w:line="217" w:lineRule="auto"/>
              <w:jc w:val="both"/>
              <w:rPr/>
            </w:pPr>
            <w:r>
              <w:rPr>
                <w:spacing w:val="10"/>
              </w:rPr>
              <w:t>重点</w:t>
            </w:r>
            <w:r>
              <w:rPr/>
              <w:t xml:space="preserve"> </w:t>
            </w:r>
            <w:r>
              <w:rPr>
                <w:spacing w:val="4"/>
              </w:rPr>
              <w:t>管控</w:t>
            </w:r>
            <w:r>
              <w:rPr/>
              <w:t xml:space="preserve"> </w:t>
            </w:r>
            <w:r>
              <w:rPr>
                <w:spacing w:val="4"/>
              </w:rPr>
              <w:t>单元</w:t>
            </w:r>
          </w:p>
        </w:tc>
        <w:tc>
          <w:tcPr>
            <w:tcW w:w="869" w:type="dxa"/>
            <w:vAlign w:val="top"/>
          </w:tcPr>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TableText"/>
              <w:ind w:left="84" w:right="73"/>
              <w:spacing w:before="75" w:line="218" w:lineRule="auto"/>
              <w:rPr/>
            </w:pPr>
            <w:r>
              <w:rPr>
                <w:spacing w:val="3"/>
              </w:rPr>
              <w:t>空间布</w:t>
            </w:r>
            <w:r>
              <w:rPr>
                <w:spacing w:val="1"/>
              </w:rPr>
              <w:t xml:space="preserve"> </w:t>
            </w:r>
            <w:r>
              <w:rPr>
                <w:spacing w:val="3"/>
              </w:rPr>
              <w:t>局约束</w:t>
            </w:r>
          </w:p>
        </w:tc>
        <w:tc>
          <w:tcPr>
            <w:tcW w:w="2527" w:type="dxa"/>
            <w:vAlign w:val="top"/>
          </w:tcPr>
          <w:p>
            <w:pPr>
              <w:pStyle w:val="TableText"/>
              <w:ind w:left="135" w:firstLine="9"/>
              <w:spacing w:before="67" w:line="214" w:lineRule="auto"/>
              <w:rPr/>
            </w:pPr>
            <w:r>
              <w:rPr>
                <w:spacing w:val="-15"/>
              </w:rPr>
              <w:t>1.服装纺</w:t>
            </w:r>
            <w:r>
              <w:rPr>
                <w:spacing w:val="-14"/>
              </w:rPr>
              <w:t>织行业禁止引</w:t>
            </w:r>
            <w:r>
              <w:rPr>
                <w:spacing w:val="-9"/>
              </w:rPr>
              <w:t>进</w:t>
            </w:r>
            <w:r>
              <w:rPr>
                <w:spacing w:val="8"/>
              </w:rPr>
              <w:t xml:space="preserve"> </w:t>
            </w:r>
            <w:r>
              <w:rPr>
                <w:spacing w:val="-2"/>
              </w:rPr>
              <w:t>印染工序项目。</w:t>
            </w:r>
          </w:p>
          <w:p>
            <w:pPr>
              <w:pStyle w:val="TableText"/>
              <w:ind w:left="123" w:hanging="109"/>
              <w:spacing w:before="17" w:line="213" w:lineRule="auto"/>
              <w:rPr/>
            </w:pPr>
            <w:r>
              <w:rPr>
                <w:spacing w:val="-3"/>
              </w:rPr>
              <w:t>2.电子电气行业禁止引入</w:t>
            </w:r>
            <w:r>
              <w:rPr>
                <w:spacing w:val="7"/>
              </w:rPr>
              <w:t xml:space="preserve"> </w:t>
            </w:r>
            <w:r>
              <w:rPr>
                <w:spacing w:val="-2"/>
              </w:rPr>
              <w:t>印刷电路板项目。</w:t>
            </w:r>
          </w:p>
          <w:p>
            <w:pPr>
              <w:pStyle w:val="TableText"/>
              <w:ind w:left="14"/>
              <w:spacing w:before="9" w:line="210" w:lineRule="auto"/>
              <w:jc w:val="both"/>
              <w:rPr/>
            </w:pPr>
            <w:r>
              <w:rPr>
                <w:spacing w:val="-7"/>
              </w:rPr>
              <w:t>3.金属制品行业禁止引入</w:t>
            </w:r>
            <w:r>
              <w:rPr>
                <w:spacing w:val="7"/>
              </w:rPr>
              <w:t xml:space="preserve"> </w:t>
            </w:r>
            <w:r>
              <w:rPr>
                <w:spacing w:val="-3"/>
              </w:rPr>
              <w:t>电镀、铸铁金属件制造。</w:t>
            </w:r>
            <w:r>
              <w:rPr>
                <w:spacing w:val="4"/>
              </w:rPr>
              <w:t xml:space="preserve"> </w:t>
            </w:r>
            <w:r>
              <w:rPr>
                <w:spacing w:val="-6"/>
              </w:rPr>
              <w:t>4.机械制造行业禁止引入</w:t>
            </w:r>
            <w:r>
              <w:rPr/>
              <w:t xml:space="preserve"> </w:t>
            </w:r>
            <w:r>
              <w:rPr>
                <w:spacing w:val="-3"/>
              </w:rPr>
              <w:t>电镀、铸铁金属件制造，</w:t>
            </w:r>
            <w:r>
              <w:rPr>
                <w:spacing w:val="4"/>
              </w:rPr>
              <w:t xml:space="preserve"> </w:t>
            </w:r>
            <w:r>
              <w:rPr>
                <w:spacing w:val="-8"/>
              </w:rPr>
              <w:t>锂电新能源隔膜材料产业</w:t>
            </w:r>
            <w:r>
              <w:rPr>
                <w:spacing w:val="3"/>
              </w:rPr>
              <w:t xml:space="preserve"> </w:t>
            </w:r>
            <w:r>
              <w:rPr>
                <w:spacing w:val="6"/>
              </w:rPr>
              <w:t>禁止引入电镀工序。</w:t>
            </w:r>
          </w:p>
        </w:tc>
        <w:tc>
          <w:tcPr>
            <w:tcW w:w="1893" w:type="dxa"/>
            <w:vAlign w:val="top"/>
          </w:tcPr>
          <w:p>
            <w:pPr>
              <w:spacing w:line="269" w:lineRule="auto"/>
              <w:rPr>
                <w:rFonts w:ascii="Arial"/>
                <w:sz w:val="21"/>
              </w:rPr>
            </w:pPr>
            <w:r/>
          </w:p>
          <w:p>
            <w:pPr>
              <w:spacing w:line="270" w:lineRule="auto"/>
              <w:rPr>
                <w:rFonts w:ascii="Arial"/>
                <w:sz w:val="21"/>
              </w:rPr>
            </w:pPr>
            <w:r/>
          </w:p>
          <w:p>
            <w:pPr>
              <w:pStyle w:val="TableText"/>
              <w:ind w:left="137" w:right="115"/>
              <w:spacing w:before="75" w:line="217" w:lineRule="auto"/>
              <w:jc w:val="both"/>
              <w:rPr/>
            </w:pPr>
            <w:r>
              <w:rPr>
                <w:spacing w:val="2"/>
              </w:rPr>
              <w:t>本项目为电池制</w:t>
            </w:r>
            <w:r>
              <w:rPr>
                <w:spacing w:val="4"/>
              </w:rPr>
              <w:t xml:space="preserve"> </w:t>
            </w:r>
            <w:r>
              <w:rPr>
                <w:spacing w:val="1"/>
              </w:rPr>
              <w:t>造行业，不涉及</w:t>
            </w:r>
            <w:r>
              <w:rPr>
                <w:spacing w:val="4"/>
              </w:rPr>
              <w:t xml:space="preserve"> </w:t>
            </w:r>
            <w:r>
              <w:rPr>
                <w:spacing w:val="1"/>
              </w:rPr>
              <w:t>左侧禁止引入工</w:t>
            </w:r>
            <w:r>
              <w:rPr>
                <w:spacing w:val="4"/>
              </w:rPr>
              <w:t xml:space="preserve"> </w:t>
            </w:r>
            <w:r>
              <w:rPr>
                <w:spacing w:val="-1"/>
              </w:rPr>
              <w:t>序，符合空间布</w:t>
            </w:r>
          </w:p>
          <w:p>
            <w:pPr>
              <w:pStyle w:val="TableText"/>
              <w:ind w:left="118" w:right="243" w:firstLine="130"/>
              <w:spacing w:before="9" w:line="211" w:lineRule="auto"/>
              <w:rPr/>
            </w:pPr>
            <w:r>
              <w:rPr>
                <w:spacing w:val="1"/>
              </w:rPr>
              <w:t>局约束管控要</w:t>
            </w:r>
            <w:r>
              <w:rPr>
                <w:spacing w:val="4"/>
              </w:rPr>
              <w:t xml:space="preserve"> </w:t>
            </w:r>
            <w:r>
              <w:rPr>
                <w:spacing w:val="-2"/>
              </w:rPr>
              <w:t>求。</w:t>
            </w:r>
          </w:p>
        </w:tc>
      </w:tr>
      <w:tr>
        <w:trPr>
          <w:trHeight w:val="824" w:hRule="atLeast"/>
        </w:trPr>
        <w:tc>
          <w:tcPr>
            <w:tcW w:w="1154" w:type="dxa"/>
            <w:vAlign w:val="top"/>
            <w:vMerge w:val="continue"/>
            <w:tcBorders>
              <w:top w:val="nil"/>
            </w:tcBorders>
          </w:tcPr>
          <w:p>
            <w:pPr>
              <w:rPr>
                <w:rFonts w:ascii="Arial"/>
                <w:sz w:val="21"/>
              </w:rPr>
            </w:pPr>
            <w:r/>
          </w:p>
        </w:tc>
        <w:tc>
          <w:tcPr>
            <w:tcW w:w="879" w:type="dxa"/>
            <w:vAlign w:val="top"/>
            <w:vMerge w:val="continue"/>
            <w:tcBorders>
              <w:top w:val="nil"/>
            </w:tcBorders>
          </w:tcPr>
          <w:p>
            <w:pPr>
              <w:rPr>
                <w:rFonts w:ascii="Arial"/>
                <w:sz w:val="21"/>
              </w:rPr>
            </w:pPr>
            <w:r/>
          </w:p>
        </w:tc>
        <w:tc>
          <w:tcPr>
            <w:tcW w:w="759" w:type="dxa"/>
            <w:vAlign w:val="top"/>
            <w:vMerge w:val="continue"/>
            <w:tcBorders>
              <w:top w:val="nil"/>
            </w:tcBorders>
          </w:tcPr>
          <w:p>
            <w:pPr>
              <w:rPr>
                <w:rFonts w:ascii="Arial"/>
                <w:sz w:val="21"/>
              </w:rPr>
            </w:pPr>
            <w:r/>
          </w:p>
        </w:tc>
        <w:tc>
          <w:tcPr>
            <w:tcW w:w="809" w:type="dxa"/>
            <w:vAlign w:val="top"/>
            <w:vMerge w:val="continue"/>
            <w:tcBorders>
              <w:top w:val="nil"/>
            </w:tcBorders>
          </w:tcPr>
          <w:p>
            <w:pPr>
              <w:rPr>
                <w:rFonts w:ascii="Arial"/>
                <w:sz w:val="21"/>
              </w:rPr>
            </w:pPr>
            <w:r/>
          </w:p>
        </w:tc>
        <w:tc>
          <w:tcPr>
            <w:tcW w:w="869" w:type="dxa"/>
            <w:vAlign w:val="top"/>
          </w:tcPr>
          <w:p>
            <w:pPr>
              <w:pStyle w:val="TableText"/>
              <w:ind w:left="84"/>
              <w:spacing w:before="50" w:line="216" w:lineRule="auto"/>
              <w:rPr/>
            </w:pPr>
            <w:r>
              <w:rPr>
                <w:spacing w:val="3"/>
              </w:rPr>
              <w:t>污染物</w:t>
            </w:r>
          </w:p>
          <w:p>
            <w:pPr>
              <w:pStyle w:val="TableText"/>
              <w:ind w:left="84"/>
              <w:spacing w:line="201" w:lineRule="auto"/>
              <w:rPr/>
            </w:pPr>
            <w:r>
              <w:rPr>
                <w:spacing w:val="4"/>
              </w:rPr>
              <w:t>排放管</w:t>
            </w:r>
          </w:p>
          <w:p>
            <w:pPr>
              <w:pStyle w:val="TableText"/>
              <w:ind w:left="313"/>
              <w:spacing w:line="195" w:lineRule="auto"/>
              <w:rPr/>
            </w:pPr>
            <w:r>
              <w:rPr/>
              <w:t>控</w:t>
            </w:r>
          </w:p>
        </w:tc>
        <w:tc>
          <w:tcPr>
            <w:tcW w:w="2527" w:type="dxa"/>
            <w:vAlign w:val="top"/>
          </w:tcPr>
          <w:p>
            <w:pPr>
              <w:pStyle w:val="TableText"/>
              <w:ind w:left="105"/>
              <w:spacing w:before="60" w:line="220" w:lineRule="auto"/>
              <w:rPr/>
            </w:pPr>
            <w:r>
              <w:rPr>
                <w:spacing w:val="2"/>
              </w:rPr>
              <w:t>新建涉</w:t>
            </w:r>
            <w:r>
              <w:rPr/>
              <w:t>VOCs</w:t>
            </w:r>
            <w:r>
              <w:rPr>
                <w:spacing w:val="2"/>
              </w:rPr>
              <w:t>项目，</w:t>
            </w:r>
            <w:r>
              <w:rPr/>
              <w:t>VOCs</w:t>
            </w:r>
          </w:p>
          <w:p>
            <w:pPr>
              <w:pStyle w:val="TableText"/>
              <w:ind w:left="133" w:hanging="119"/>
              <w:spacing w:before="3" w:line="191" w:lineRule="auto"/>
              <w:rPr/>
            </w:pPr>
            <w:r>
              <w:rPr>
                <w:spacing w:val="-3"/>
              </w:rPr>
              <w:t>排放按照福建省相关政策</w:t>
            </w:r>
            <w:r>
              <w:rPr>
                <w:spacing w:val="4"/>
              </w:rPr>
              <w:t xml:space="preserve"> </w:t>
            </w:r>
            <w:r>
              <w:rPr>
                <w:spacing w:val="-3"/>
              </w:rPr>
              <w:t>要求落实。</w:t>
            </w:r>
          </w:p>
        </w:tc>
        <w:tc>
          <w:tcPr>
            <w:tcW w:w="1893" w:type="dxa"/>
            <w:vAlign w:val="top"/>
          </w:tcPr>
          <w:p>
            <w:pPr>
              <w:pStyle w:val="TableText"/>
              <w:ind w:left="118" w:right="124" w:firstLine="19"/>
              <w:spacing w:before="59" w:line="202" w:lineRule="auto"/>
              <w:jc w:val="both"/>
              <w:rPr/>
            </w:pPr>
            <w:r>
              <w:rPr>
                <w:spacing w:val="-2"/>
              </w:rPr>
              <w:t>本项目为改扩建</w:t>
            </w:r>
            <w:r>
              <w:rPr>
                <w:spacing w:val="3"/>
              </w:rPr>
              <w:t xml:space="preserve"> </w:t>
            </w:r>
            <w:r>
              <w:rPr>
                <w:spacing w:val="4"/>
              </w:rPr>
              <w:t>项目，应按要求</w:t>
            </w:r>
            <w:r>
              <w:rPr>
                <w:spacing w:val="1"/>
              </w:rPr>
              <w:t xml:space="preserve"> </w:t>
            </w:r>
            <w:r>
              <w:rPr>
                <w:spacing w:val="2"/>
              </w:rPr>
              <w:t>实行</w:t>
            </w:r>
            <w:r>
              <w:rPr/>
              <w:t>VOCs</w:t>
            </w:r>
            <w:r>
              <w:rPr>
                <w:spacing w:val="2"/>
              </w:rPr>
              <w:t>区域</w:t>
            </w:r>
          </w:p>
        </w:tc>
      </w:tr>
    </w:tbl>
    <w:p>
      <w:pPr>
        <w:spacing w:line="226" w:lineRule="exact"/>
        <w:rPr>
          <w:rFonts w:ascii="Arial"/>
          <w:sz w:val="19"/>
        </w:rPr>
      </w:pPr>
      <w:r/>
    </w:p>
    <w:p>
      <w:pPr>
        <w:spacing w:line="226" w:lineRule="exact"/>
        <w:sectPr>
          <w:footerReference w:type="default" r:id="rId6"/>
          <w:pgSz w:w="11900" w:h="16840"/>
          <w:pgMar w:top="1384" w:right="1425" w:bottom="1218" w:left="1574" w:header="0" w:footer="1079" w:gutter="0"/>
        </w:sectPr>
        <w:rPr>
          <w:rFonts w:ascii="Arial" w:hAnsi="Arial" w:eastAsia="Arial" w:cs="Arial"/>
          <w:sz w:val="19"/>
          <w:szCs w:val="19"/>
        </w:rPr>
      </w:pPr>
    </w:p>
    <w:tbl>
      <w:tblPr>
        <w:tblStyle w:val="TableNormal"/>
        <w:tblW w:w="88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4"/>
        <w:gridCol w:w="859"/>
        <w:gridCol w:w="769"/>
        <w:gridCol w:w="799"/>
        <w:gridCol w:w="879"/>
        <w:gridCol w:w="2537"/>
        <w:gridCol w:w="1863"/>
      </w:tblGrid>
      <w:tr>
        <w:trPr>
          <w:trHeight w:val="275" w:hRule="atLeast"/>
        </w:trPr>
        <w:tc>
          <w:tcPr>
            <w:tcW w:w="1154" w:type="dxa"/>
            <w:vAlign w:val="top"/>
            <w:vMerge w:val="restart"/>
            <w:tcBorders>
              <w:bottom w:val="nil"/>
            </w:tcBorders>
          </w:tcPr>
          <w:p>
            <w:pPr>
              <w:rPr>
                <w:rFonts w:ascii="Arial"/>
                <w:sz w:val="21"/>
              </w:rPr>
            </w:pPr>
            <w:r/>
          </w:p>
        </w:tc>
        <w:tc>
          <w:tcPr>
            <w:tcW w:w="859" w:type="dxa"/>
            <w:vAlign w:val="top"/>
            <w:vMerge w:val="restart"/>
            <w:tcBorders>
              <w:bottom w:val="nil"/>
            </w:tcBorders>
          </w:tcPr>
          <w:p>
            <w:pPr>
              <w:rPr>
                <w:rFonts w:ascii="Arial"/>
                <w:sz w:val="21"/>
              </w:rPr>
            </w:pPr>
            <w:r/>
          </w:p>
        </w:tc>
        <w:tc>
          <w:tcPr>
            <w:tcW w:w="769" w:type="dxa"/>
            <w:vAlign w:val="top"/>
            <w:vMerge w:val="restart"/>
            <w:tcBorders>
              <w:bottom w:val="nil"/>
            </w:tcBorders>
          </w:tcPr>
          <w:p>
            <w:pPr>
              <w:rPr>
                <w:rFonts w:ascii="Arial"/>
                <w:sz w:val="21"/>
              </w:rPr>
            </w:pPr>
            <w:r/>
          </w:p>
        </w:tc>
        <w:tc>
          <w:tcPr>
            <w:tcW w:w="799" w:type="dxa"/>
            <w:vAlign w:val="top"/>
            <w:vMerge w:val="restart"/>
            <w:tcBorders>
              <w:bottom w:val="nil"/>
            </w:tcBorders>
          </w:tcPr>
          <w:p>
            <w:pPr>
              <w:rPr>
                <w:rFonts w:ascii="Arial"/>
                <w:sz w:val="21"/>
              </w:rPr>
            </w:pPr>
            <w:r/>
          </w:p>
        </w:tc>
        <w:tc>
          <w:tcPr>
            <w:tcW w:w="879" w:type="dxa"/>
            <w:vAlign w:val="top"/>
          </w:tcPr>
          <w:p>
            <w:pPr>
              <w:rPr>
                <w:rFonts w:ascii="Arial"/>
                <w:sz w:val="21"/>
              </w:rPr>
            </w:pPr>
            <w:r/>
          </w:p>
        </w:tc>
        <w:tc>
          <w:tcPr>
            <w:tcW w:w="2537" w:type="dxa"/>
            <w:vAlign w:val="top"/>
          </w:tcPr>
          <w:p>
            <w:pPr>
              <w:rPr>
                <w:rFonts w:ascii="Arial"/>
                <w:sz w:val="21"/>
              </w:rPr>
            </w:pPr>
            <w:r/>
          </w:p>
        </w:tc>
        <w:tc>
          <w:tcPr>
            <w:tcW w:w="1863" w:type="dxa"/>
            <w:vAlign w:val="top"/>
          </w:tcPr>
          <w:p>
            <w:pPr>
              <w:pStyle w:val="TableText"/>
              <w:ind w:left="88"/>
              <w:spacing w:before="32" w:line="204" w:lineRule="auto"/>
              <w:rPr>
                <w:sz w:val="21"/>
                <w:szCs w:val="21"/>
              </w:rPr>
            </w:pPr>
            <w:r>
              <w:rPr>
                <w:sz w:val="21"/>
                <w:szCs w:val="21"/>
                <w:spacing w:val="-1"/>
              </w:rPr>
              <w:t>内等量替代，</w:t>
            </w:r>
          </w:p>
        </w:tc>
      </w:tr>
      <w:tr>
        <w:trPr>
          <w:trHeight w:val="3265" w:hRule="atLeast"/>
        </w:trPr>
        <w:tc>
          <w:tcPr>
            <w:tcW w:w="1154" w:type="dxa"/>
            <w:vAlign w:val="top"/>
            <w:vMerge w:val="continue"/>
            <w:tcBorders>
              <w:top w:val="nil"/>
              <w:bottom w:val="nil"/>
            </w:tcBorders>
          </w:tcPr>
          <w:p>
            <w:pPr>
              <w:rPr>
                <w:rFonts w:ascii="Arial"/>
                <w:sz w:val="21"/>
              </w:rPr>
            </w:pPr>
            <w:r/>
          </w:p>
        </w:tc>
        <w:tc>
          <w:tcPr>
            <w:tcW w:w="859" w:type="dxa"/>
            <w:vAlign w:val="top"/>
            <w:vMerge w:val="continue"/>
            <w:tcBorders>
              <w:top w:val="nil"/>
              <w:bottom w:val="nil"/>
            </w:tcBorders>
          </w:tcPr>
          <w:p>
            <w:pPr>
              <w:rPr>
                <w:rFonts w:ascii="Arial"/>
                <w:sz w:val="21"/>
              </w:rPr>
            </w:pPr>
            <w:r/>
          </w:p>
        </w:tc>
        <w:tc>
          <w:tcPr>
            <w:tcW w:w="769" w:type="dxa"/>
            <w:vAlign w:val="top"/>
            <w:vMerge w:val="continue"/>
            <w:tcBorders>
              <w:top w:val="nil"/>
              <w:bottom w:val="nil"/>
            </w:tcBorders>
          </w:tcPr>
          <w:p>
            <w:pPr>
              <w:rPr>
                <w:rFonts w:ascii="Arial"/>
                <w:sz w:val="21"/>
              </w:rPr>
            </w:pPr>
            <w:r/>
          </w:p>
        </w:tc>
        <w:tc>
          <w:tcPr>
            <w:tcW w:w="799" w:type="dxa"/>
            <w:vAlign w:val="top"/>
            <w:vMerge w:val="continue"/>
            <w:tcBorders>
              <w:top w:val="nil"/>
              <w:bottom w:val="nil"/>
            </w:tcBorders>
          </w:tcPr>
          <w:p>
            <w:pPr>
              <w:rPr>
                <w:rFonts w:ascii="Arial"/>
                <w:sz w:val="21"/>
              </w:rPr>
            </w:pPr>
            <w:r/>
          </w:p>
        </w:tc>
        <w:tc>
          <w:tcPr>
            <w:tcW w:w="879" w:type="dxa"/>
            <w:vAlign w:val="top"/>
          </w:tcPr>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114" w:right="115"/>
              <w:spacing w:before="68" w:line="233" w:lineRule="auto"/>
              <w:rPr>
                <w:sz w:val="21"/>
                <w:szCs w:val="21"/>
              </w:rPr>
            </w:pPr>
            <w:r>
              <w:rPr>
                <w:sz w:val="21"/>
                <w:szCs w:val="21"/>
                <w:spacing w:val="-3"/>
              </w:rPr>
              <w:t>环境风</w:t>
            </w:r>
            <w:r>
              <w:rPr>
                <w:sz w:val="21"/>
                <w:szCs w:val="21"/>
              </w:rPr>
              <w:t xml:space="preserve"> </w:t>
            </w:r>
            <w:r>
              <w:rPr>
                <w:sz w:val="21"/>
                <w:szCs w:val="21"/>
                <w:spacing w:val="3"/>
              </w:rPr>
              <w:t>险防控</w:t>
            </w:r>
          </w:p>
        </w:tc>
        <w:tc>
          <w:tcPr>
            <w:tcW w:w="2537" w:type="dxa"/>
            <w:vAlign w:val="top"/>
          </w:tcPr>
          <w:p>
            <w:pPr>
              <w:spacing w:line="260" w:lineRule="auto"/>
              <w:rPr>
                <w:rFonts w:ascii="Arial"/>
                <w:sz w:val="21"/>
              </w:rPr>
            </w:pPr>
            <w:r/>
          </w:p>
          <w:p>
            <w:pPr>
              <w:spacing w:line="260" w:lineRule="auto"/>
              <w:rPr>
                <w:rFonts w:ascii="Arial"/>
                <w:sz w:val="21"/>
              </w:rPr>
            </w:pPr>
            <w:r/>
          </w:p>
          <w:p>
            <w:pPr>
              <w:pStyle w:val="TableText"/>
              <w:ind w:left="95" w:right="56" w:firstLine="9"/>
              <w:spacing w:before="68" w:line="236" w:lineRule="auto"/>
              <w:jc w:val="both"/>
              <w:rPr>
                <w:sz w:val="21"/>
                <w:szCs w:val="21"/>
              </w:rPr>
            </w:pPr>
            <w:r>
              <w:rPr>
                <w:sz w:val="21"/>
                <w:szCs w:val="21"/>
                <w:spacing w:val="-1"/>
              </w:rPr>
              <w:t>建立健全环境风险防控体</w:t>
            </w:r>
            <w:r>
              <w:rPr>
                <w:sz w:val="21"/>
                <w:szCs w:val="21"/>
              </w:rPr>
              <w:t xml:space="preserve"> </w:t>
            </w:r>
            <w:r>
              <w:rPr>
                <w:sz w:val="21"/>
                <w:szCs w:val="21"/>
                <w:spacing w:val="1"/>
              </w:rPr>
              <w:t>系，制定环境风险应急预</w:t>
            </w:r>
            <w:r>
              <w:rPr>
                <w:sz w:val="21"/>
                <w:szCs w:val="21"/>
                <w:spacing w:val="7"/>
              </w:rPr>
              <w:t xml:space="preserve"> </w:t>
            </w:r>
            <w:r>
              <w:rPr>
                <w:sz w:val="21"/>
                <w:szCs w:val="21"/>
              </w:rPr>
              <w:t>案，建立完善有效的环境 </w:t>
            </w:r>
            <w:r>
              <w:rPr>
                <w:sz w:val="21"/>
                <w:szCs w:val="21"/>
              </w:rPr>
              <w:t>风险防控设施和有效的拦 </w:t>
            </w:r>
            <w:r>
              <w:rPr>
                <w:sz w:val="21"/>
                <w:szCs w:val="21"/>
                <w:spacing w:val="5"/>
              </w:rPr>
              <w:t>截、降污、导流等措施，</w:t>
            </w:r>
            <w:r>
              <w:rPr>
                <w:sz w:val="21"/>
                <w:szCs w:val="21"/>
                <w:spacing w:val="8"/>
              </w:rPr>
              <w:t xml:space="preserve"> </w:t>
            </w:r>
            <w:r>
              <w:rPr>
                <w:sz w:val="21"/>
                <w:szCs w:val="21"/>
                <w:spacing w:val="1"/>
              </w:rPr>
              <w:t>防止泄漏物和事故废水污</w:t>
            </w:r>
            <w:r>
              <w:rPr>
                <w:sz w:val="21"/>
                <w:szCs w:val="21"/>
                <w:spacing w:val="8"/>
              </w:rPr>
              <w:t xml:space="preserve"> </w:t>
            </w:r>
            <w:r>
              <w:rPr>
                <w:sz w:val="21"/>
                <w:szCs w:val="21"/>
                <w:spacing w:val="1"/>
              </w:rPr>
              <w:t>染地表水、地下水和土壤</w:t>
            </w:r>
            <w:r>
              <w:rPr>
                <w:sz w:val="21"/>
                <w:szCs w:val="21"/>
                <w:spacing w:val="7"/>
              </w:rPr>
              <w:t xml:space="preserve"> </w:t>
            </w:r>
            <w:r>
              <w:rPr>
                <w:sz w:val="21"/>
                <w:szCs w:val="21"/>
                <w:spacing w:val="-2"/>
              </w:rPr>
              <w:t>环境。</w:t>
            </w:r>
          </w:p>
        </w:tc>
        <w:tc>
          <w:tcPr>
            <w:tcW w:w="1863" w:type="dxa"/>
            <w:vAlign w:val="top"/>
          </w:tcPr>
          <w:p>
            <w:pPr>
              <w:pStyle w:val="TableText"/>
              <w:ind w:left="118" w:right="203" w:firstLine="70"/>
              <w:spacing w:before="38" w:line="229" w:lineRule="auto"/>
              <w:rPr>
                <w:sz w:val="21"/>
                <w:szCs w:val="21"/>
              </w:rPr>
            </w:pPr>
            <w:r>
              <w:rPr>
                <w:sz w:val="21"/>
                <w:szCs w:val="21"/>
                <w:spacing w:val="-2"/>
              </w:rPr>
              <w:t>本项目为改扩建</w:t>
            </w:r>
            <w:r>
              <w:rPr>
                <w:sz w:val="21"/>
                <w:szCs w:val="21"/>
                <w:spacing w:val="3"/>
              </w:rPr>
              <w:t xml:space="preserve"> </w:t>
            </w:r>
            <w:r>
              <w:rPr>
                <w:sz w:val="21"/>
                <w:szCs w:val="21"/>
                <w:spacing w:val="-1"/>
              </w:rPr>
              <w:t>项目，建成后，</w:t>
            </w:r>
          </w:p>
          <w:p>
            <w:pPr>
              <w:pStyle w:val="TableText"/>
              <w:ind w:left="108" w:right="176" w:firstLine="80"/>
              <w:spacing w:before="33" w:line="234" w:lineRule="auto"/>
              <w:rPr>
                <w:sz w:val="21"/>
                <w:szCs w:val="21"/>
              </w:rPr>
            </w:pPr>
            <w:r>
              <w:rPr>
                <w:sz w:val="21"/>
                <w:szCs w:val="21"/>
                <w:spacing w:val="-2"/>
              </w:rPr>
              <w:t>建设单位拟建立</w:t>
            </w:r>
            <w:r>
              <w:rPr>
                <w:sz w:val="21"/>
                <w:szCs w:val="21"/>
                <w:spacing w:val="2"/>
              </w:rPr>
              <w:t xml:space="preserve"> </w:t>
            </w:r>
            <w:r>
              <w:rPr>
                <w:sz w:val="21"/>
                <w:szCs w:val="21"/>
                <w:spacing w:val="10"/>
              </w:rPr>
              <w:t>环境风险防控体</w:t>
            </w:r>
            <w:r>
              <w:rPr>
                <w:sz w:val="21"/>
                <w:szCs w:val="21"/>
              </w:rPr>
              <w:t xml:space="preserve"> </w:t>
            </w:r>
            <w:r>
              <w:rPr>
                <w:sz w:val="21"/>
                <w:szCs w:val="21"/>
                <w:spacing w:val="12"/>
              </w:rPr>
              <w:t>系，修编环境风</w:t>
            </w:r>
            <w:r>
              <w:rPr>
                <w:sz w:val="21"/>
                <w:szCs w:val="21"/>
                <w:spacing w:val="4"/>
              </w:rPr>
              <w:t xml:space="preserve"> </w:t>
            </w:r>
            <w:r>
              <w:rPr>
                <w:sz w:val="21"/>
                <w:szCs w:val="21"/>
                <w:spacing w:val="12"/>
              </w:rPr>
              <w:t>险应急预案，设</w:t>
            </w:r>
            <w:r>
              <w:rPr>
                <w:sz w:val="21"/>
                <w:szCs w:val="21"/>
                <w:spacing w:val="4"/>
              </w:rPr>
              <w:t xml:space="preserve"> </w:t>
            </w:r>
            <w:r>
              <w:rPr>
                <w:sz w:val="21"/>
                <w:szCs w:val="21"/>
                <w:spacing w:val="10"/>
              </w:rPr>
              <w:t>置应急池、雨水</w:t>
            </w:r>
            <w:r>
              <w:rPr>
                <w:sz w:val="21"/>
                <w:szCs w:val="21"/>
                <w:spacing w:val="2"/>
              </w:rPr>
              <w:t xml:space="preserve"> </w:t>
            </w:r>
            <w:r>
              <w:rPr>
                <w:sz w:val="21"/>
                <w:szCs w:val="21"/>
                <w:spacing w:val="12"/>
              </w:rPr>
              <w:t>口总阀，可有效</w:t>
            </w:r>
            <w:r>
              <w:rPr>
                <w:sz w:val="21"/>
                <w:szCs w:val="21"/>
                <w:spacing w:val="4"/>
              </w:rPr>
              <w:t xml:space="preserve"> </w:t>
            </w:r>
            <w:r>
              <w:rPr>
                <w:sz w:val="21"/>
                <w:szCs w:val="21"/>
                <w:spacing w:val="12"/>
              </w:rPr>
              <w:t>防止泄漏物和事</w:t>
            </w:r>
            <w:r>
              <w:rPr>
                <w:sz w:val="21"/>
                <w:szCs w:val="21"/>
                <w:spacing w:val="4"/>
              </w:rPr>
              <w:t xml:space="preserve"> </w:t>
            </w:r>
            <w:r>
              <w:rPr>
                <w:sz w:val="21"/>
                <w:szCs w:val="21"/>
                <w:spacing w:val="14"/>
              </w:rPr>
              <w:t>故废水进入厂区</w:t>
            </w:r>
            <w:r>
              <w:rPr>
                <w:sz w:val="21"/>
                <w:szCs w:val="21"/>
              </w:rPr>
              <w:t xml:space="preserve"> </w:t>
            </w:r>
            <w:r>
              <w:rPr>
                <w:sz w:val="21"/>
                <w:szCs w:val="21"/>
                <w:spacing w:val="12"/>
              </w:rPr>
              <w:t>外环境，确保风</w:t>
            </w:r>
            <w:r>
              <w:rPr>
                <w:sz w:val="21"/>
                <w:szCs w:val="21"/>
                <w:spacing w:val="4"/>
              </w:rPr>
              <w:t xml:space="preserve"> </w:t>
            </w:r>
            <w:r>
              <w:rPr>
                <w:sz w:val="21"/>
                <w:szCs w:val="21"/>
                <w:spacing w:val="-1"/>
              </w:rPr>
              <w:t>险有效控制。</w:t>
            </w:r>
          </w:p>
        </w:tc>
      </w:tr>
      <w:tr>
        <w:trPr>
          <w:trHeight w:val="1088" w:hRule="atLeast"/>
        </w:trPr>
        <w:tc>
          <w:tcPr>
            <w:tcW w:w="1154" w:type="dxa"/>
            <w:vAlign w:val="top"/>
            <w:vMerge w:val="continue"/>
            <w:tcBorders>
              <w:top w:val="nil"/>
              <w:bottom w:val="nil"/>
            </w:tcBorders>
          </w:tcPr>
          <w:p>
            <w:pPr>
              <w:rPr>
                <w:rFonts w:ascii="Arial"/>
                <w:sz w:val="21"/>
              </w:rPr>
            </w:pPr>
            <w:r/>
          </w:p>
        </w:tc>
        <w:tc>
          <w:tcPr>
            <w:tcW w:w="859" w:type="dxa"/>
            <w:vAlign w:val="top"/>
            <w:vMerge w:val="continue"/>
            <w:tcBorders>
              <w:top w:val="nil"/>
            </w:tcBorders>
          </w:tcPr>
          <w:p>
            <w:pPr>
              <w:rPr>
                <w:rFonts w:ascii="Arial"/>
                <w:sz w:val="21"/>
              </w:rPr>
            </w:pPr>
            <w:r/>
          </w:p>
        </w:tc>
        <w:tc>
          <w:tcPr>
            <w:tcW w:w="769" w:type="dxa"/>
            <w:vAlign w:val="top"/>
            <w:vMerge w:val="continue"/>
            <w:tcBorders>
              <w:top w:val="nil"/>
            </w:tcBorders>
          </w:tcPr>
          <w:p>
            <w:pPr>
              <w:rPr>
                <w:rFonts w:ascii="Arial"/>
                <w:sz w:val="21"/>
              </w:rPr>
            </w:pPr>
            <w:r/>
          </w:p>
        </w:tc>
        <w:tc>
          <w:tcPr>
            <w:tcW w:w="799" w:type="dxa"/>
            <w:vAlign w:val="top"/>
            <w:vMerge w:val="continue"/>
            <w:tcBorders>
              <w:top w:val="nil"/>
            </w:tcBorders>
          </w:tcPr>
          <w:p>
            <w:pPr>
              <w:rPr>
                <w:rFonts w:ascii="Arial"/>
                <w:sz w:val="21"/>
              </w:rPr>
            </w:pPr>
            <w:r/>
          </w:p>
        </w:tc>
        <w:tc>
          <w:tcPr>
            <w:tcW w:w="879" w:type="dxa"/>
            <w:vAlign w:val="top"/>
          </w:tcPr>
          <w:p>
            <w:pPr>
              <w:pStyle w:val="TableText"/>
              <w:ind w:left="114"/>
              <w:spacing w:before="194" w:line="221" w:lineRule="auto"/>
              <w:rPr>
                <w:sz w:val="21"/>
                <w:szCs w:val="21"/>
              </w:rPr>
            </w:pPr>
            <w:r>
              <w:rPr>
                <w:sz w:val="21"/>
                <w:szCs w:val="21"/>
                <w:spacing w:val="3"/>
              </w:rPr>
              <w:t>资源开</w:t>
            </w:r>
          </w:p>
          <w:p>
            <w:pPr>
              <w:pStyle w:val="TableText"/>
              <w:ind w:left="114"/>
              <w:spacing w:before="17" w:line="212" w:lineRule="auto"/>
              <w:rPr>
                <w:sz w:val="21"/>
                <w:szCs w:val="21"/>
              </w:rPr>
            </w:pPr>
            <w:r>
              <w:rPr>
                <w:sz w:val="21"/>
                <w:szCs w:val="21"/>
                <w:spacing w:val="3"/>
              </w:rPr>
              <w:t>发效率</w:t>
            </w:r>
          </w:p>
          <w:p>
            <w:pPr>
              <w:pStyle w:val="TableText"/>
              <w:ind w:left="224"/>
              <w:spacing w:line="220" w:lineRule="auto"/>
              <w:rPr>
                <w:sz w:val="21"/>
                <w:szCs w:val="21"/>
              </w:rPr>
            </w:pPr>
            <w:r>
              <w:rPr>
                <w:sz w:val="21"/>
                <w:szCs w:val="21"/>
                <w:spacing w:val="-3"/>
              </w:rPr>
              <w:t>要求</w:t>
            </w:r>
          </w:p>
        </w:tc>
        <w:tc>
          <w:tcPr>
            <w:tcW w:w="2537" w:type="dxa"/>
            <w:vAlign w:val="top"/>
          </w:tcPr>
          <w:p>
            <w:pPr>
              <w:pStyle w:val="TableText"/>
              <w:ind w:left="14" w:firstLine="86"/>
              <w:spacing w:before="54" w:line="225" w:lineRule="auto"/>
              <w:rPr>
                <w:sz w:val="21"/>
                <w:szCs w:val="21"/>
              </w:rPr>
            </w:pPr>
            <w:r>
              <w:rPr>
                <w:sz w:val="21"/>
                <w:szCs w:val="21"/>
                <w:spacing w:val="-10"/>
              </w:rPr>
              <w:t>禁燃区内，禁止销售、燃</w:t>
            </w:r>
            <w:r>
              <w:rPr>
                <w:sz w:val="21"/>
                <w:szCs w:val="21"/>
              </w:rPr>
              <w:t xml:space="preserve">   </w:t>
            </w:r>
            <w:r>
              <w:rPr>
                <w:sz w:val="21"/>
                <w:szCs w:val="21"/>
                <w:spacing w:val="-1"/>
              </w:rPr>
              <w:t>用高污染燃料，禁止新建、</w:t>
            </w:r>
            <w:r>
              <w:rPr>
                <w:sz w:val="21"/>
                <w:szCs w:val="21"/>
                <w:spacing w:val="3"/>
              </w:rPr>
              <w:t xml:space="preserve"> </w:t>
            </w:r>
            <w:r>
              <w:rPr>
                <w:sz w:val="21"/>
                <w:szCs w:val="21"/>
                <w:spacing w:val="-1"/>
              </w:rPr>
              <w:t>改建、扩建燃用高污染燃</w:t>
            </w:r>
            <w:r>
              <w:rPr>
                <w:sz w:val="21"/>
                <w:szCs w:val="21"/>
                <w:spacing w:val="1"/>
              </w:rPr>
              <w:t xml:space="preserve">   </w:t>
            </w:r>
            <w:r>
              <w:rPr>
                <w:sz w:val="21"/>
                <w:szCs w:val="21"/>
                <w:spacing w:val="10"/>
              </w:rPr>
              <w:t>料的设施</w:t>
            </w:r>
          </w:p>
        </w:tc>
        <w:tc>
          <w:tcPr>
            <w:tcW w:w="1863" w:type="dxa"/>
            <w:vAlign w:val="top"/>
          </w:tcPr>
          <w:p>
            <w:pPr>
              <w:pStyle w:val="TableText"/>
              <w:ind w:left="88" w:right="165" w:firstLine="100"/>
              <w:spacing w:before="191" w:line="228" w:lineRule="auto"/>
              <w:jc w:val="both"/>
              <w:rPr>
                <w:sz w:val="21"/>
                <w:szCs w:val="21"/>
              </w:rPr>
            </w:pPr>
            <w:r>
              <w:rPr>
                <w:sz w:val="21"/>
                <w:szCs w:val="21"/>
                <w:spacing w:val="-2"/>
              </w:rPr>
              <w:t>本项目不涉及高</w:t>
            </w:r>
            <w:r>
              <w:rPr>
                <w:sz w:val="21"/>
                <w:szCs w:val="21"/>
                <w:spacing w:val="3"/>
              </w:rPr>
              <w:t xml:space="preserve"> </w:t>
            </w:r>
            <w:r>
              <w:rPr>
                <w:sz w:val="21"/>
                <w:szCs w:val="21"/>
                <w:spacing w:val="2"/>
              </w:rPr>
              <w:t>污</w:t>
            </w:r>
            <w:r>
              <w:rPr>
                <w:sz w:val="21"/>
                <w:szCs w:val="21"/>
                <w:spacing w:val="-41"/>
              </w:rPr>
              <w:t xml:space="preserve"> </w:t>
            </w:r>
            <w:r>
              <w:rPr>
                <w:sz w:val="21"/>
                <w:szCs w:val="21"/>
                <w:spacing w:val="2"/>
              </w:rPr>
              <w:t>染</w:t>
            </w:r>
            <w:r>
              <w:rPr>
                <w:sz w:val="21"/>
                <w:szCs w:val="21"/>
                <w:spacing w:val="-44"/>
              </w:rPr>
              <w:t xml:space="preserve"> </w:t>
            </w:r>
            <w:r>
              <w:rPr>
                <w:sz w:val="21"/>
                <w:szCs w:val="21"/>
                <w:spacing w:val="2"/>
              </w:rPr>
              <w:t>燃</w:t>
            </w:r>
            <w:r>
              <w:rPr>
                <w:sz w:val="21"/>
                <w:szCs w:val="21"/>
                <w:spacing w:val="-44"/>
              </w:rPr>
              <w:t xml:space="preserve"> </w:t>
            </w:r>
            <w:r>
              <w:rPr>
                <w:sz w:val="21"/>
                <w:szCs w:val="21"/>
                <w:spacing w:val="2"/>
              </w:rPr>
              <w:t>料</w:t>
            </w:r>
            <w:r>
              <w:rPr>
                <w:sz w:val="21"/>
                <w:szCs w:val="21"/>
                <w:spacing w:val="-28"/>
              </w:rPr>
              <w:t xml:space="preserve"> </w:t>
            </w:r>
            <w:r>
              <w:rPr>
                <w:sz w:val="21"/>
                <w:szCs w:val="21"/>
                <w:spacing w:val="2"/>
              </w:rPr>
              <w:t>的</w:t>
            </w:r>
            <w:r>
              <w:rPr>
                <w:sz w:val="21"/>
                <w:szCs w:val="21"/>
                <w:spacing w:val="-42"/>
              </w:rPr>
              <w:t xml:space="preserve"> </w:t>
            </w:r>
            <w:r>
              <w:rPr>
                <w:sz w:val="21"/>
                <w:szCs w:val="21"/>
                <w:spacing w:val="2"/>
              </w:rPr>
              <w:t>设</w:t>
            </w:r>
            <w:r>
              <w:rPr>
                <w:sz w:val="21"/>
                <w:szCs w:val="21"/>
              </w:rPr>
              <w:t xml:space="preserve"> </w:t>
            </w:r>
            <w:r>
              <w:rPr>
                <w:sz w:val="21"/>
                <w:szCs w:val="21"/>
                <w:spacing w:val="-2"/>
              </w:rPr>
              <w:t>施。</w:t>
            </w:r>
          </w:p>
        </w:tc>
      </w:tr>
      <w:tr>
        <w:trPr>
          <w:trHeight w:val="2921" w:hRule="atLeast"/>
        </w:trPr>
        <w:tc>
          <w:tcPr>
            <w:tcW w:w="1154" w:type="dxa"/>
            <w:vAlign w:val="top"/>
            <w:vMerge w:val="continue"/>
            <w:tcBorders>
              <w:top w:val="nil"/>
            </w:tcBorders>
          </w:tcPr>
          <w:p>
            <w:pPr>
              <w:rPr>
                <w:rFonts w:ascii="Arial"/>
                <w:sz w:val="21"/>
              </w:rPr>
            </w:pPr>
            <w:r/>
          </w:p>
        </w:tc>
        <w:tc>
          <w:tcPr>
            <w:tcW w:w="7706" w:type="dxa"/>
            <w:vAlign w:val="top"/>
            <w:gridSpan w:val="6"/>
          </w:tcPr>
          <w:p>
            <w:pPr>
              <w:rPr>
                <w:rFonts w:ascii="Arial"/>
                <w:sz w:val="21"/>
              </w:rPr>
            </w:pPr>
            <w:r/>
          </w:p>
        </w:tc>
      </w:tr>
    </w:tbl>
    <w:p>
      <w:pPr>
        <w:rPr>
          <w:rFonts w:ascii="Arial"/>
          <w:sz w:val="21"/>
        </w:rPr>
      </w:pPr>
      <w:r/>
    </w:p>
    <w:p>
      <w:pPr>
        <w:sectPr>
          <w:footerReference w:type="default" r:id="rId7"/>
          <w:pgSz w:w="11900" w:h="16840"/>
          <w:pgMar w:top="1384" w:right="1435" w:bottom="1217" w:left="1594" w:header="0" w:footer="1079" w:gutter="0"/>
        </w:sectPr>
        <w:rPr>
          <w:rFonts w:ascii="Arial" w:hAnsi="Arial" w:eastAsia="Arial" w:cs="Arial"/>
          <w:sz w:val="21"/>
          <w:szCs w:val="21"/>
        </w:rPr>
      </w:pPr>
    </w:p>
    <w:p>
      <w:pPr>
        <w:pStyle w:val="BodyText"/>
        <w:ind w:left="2979"/>
        <w:spacing w:before="327" w:line="220" w:lineRule="auto"/>
        <w:outlineLvl w:val="0"/>
        <w:rPr>
          <w:sz w:val="30"/>
          <w:szCs w:val="30"/>
        </w:rPr>
      </w:pPr>
      <w:r>
        <w:rPr>
          <w:sz w:val="30"/>
          <w:szCs w:val="30"/>
          <w:b/>
          <w:bCs/>
          <w:spacing w:val="-10"/>
        </w:rPr>
        <w:t>二、建设项目工程分析</w:t>
      </w:r>
    </w:p>
    <w:p>
      <w:pPr>
        <w:spacing w:before="17"/>
        <w:rPr/>
      </w:pPr>
      <w:r/>
    </w:p>
    <w:tbl>
      <w:tblPr>
        <w:tblStyle w:val="TableNormal"/>
        <w:tblW w:w="88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05"/>
        <w:gridCol w:w="8485"/>
      </w:tblGrid>
      <w:tr>
        <w:trPr>
          <w:trHeight w:val="12660" w:hRule="atLeast"/>
        </w:trPr>
        <w:tc>
          <w:tcPr>
            <w:tcW w:w="405" w:type="dxa"/>
            <w:vAlign w:val="top"/>
            <w:textDirection w:val="tbRlV"/>
          </w:tcPr>
          <w:p>
            <w:pPr>
              <w:pStyle w:val="TableText"/>
              <w:ind w:left="5615"/>
              <w:spacing w:before="120" w:line="216" w:lineRule="auto"/>
              <w:rPr>
                <w:sz w:val="18"/>
                <w:szCs w:val="18"/>
              </w:rPr>
            </w:pPr>
            <w:r>
              <w:rPr>
                <w:sz w:val="18"/>
                <w:szCs w:val="18"/>
              </w:rPr>
              <w:t>建</w:t>
            </w:r>
            <w:r>
              <w:rPr>
                <w:sz w:val="18"/>
                <w:szCs w:val="18"/>
                <w:spacing w:val="25"/>
              </w:rPr>
              <w:t xml:space="preserve">  </w:t>
            </w:r>
            <w:r>
              <w:rPr>
                <w:sz w:val="18"/>
                <w:szCs w:val="18"/>
              </w:rPr>
              <w:t>设</w:t>
            </w:r>
            <w:r>
              <w:rPr>
                <w:sz w:val="18"/>
                <w:szCs w:val="18"/>
                <w:spacing w:val="25"/>
              </w:rPr>
              <w:t xml:space="preserve">  </w:t>
            </w:r>
            <w:r>
              <w:rPr>
                <w:sz w:val="18"/>
                <w:szCs w:val="18"/>
              </w:rPr>
              <w:t>内</w:t>
            </w:r>
            <w:r>
              <w:rPr>
                <w:sz w:val="18"/>
                <w:szCs w:val="18"/>
                <w:spacing w:val="26"/>
              </w:rPr>
              <w:t xml:space="preserve">  </w:t>
            </w:r>
            <w:r>
              <w:rPr>
                <w:sz w:val="18"/>
                <w:szCs w:val="18"/>
              </w:rPr>
              <w:t>容</w:t>
            </w:r>
          </w:p>
        </w:tc>
        <w:tc>
          <w:tcPr>
            <w:tcW w:w="8485" w:type="dxa"/>
            <w:vAlign w:val="top"/>
          </w:tcPr>
          <w:p>
            <w:pPr>
              <w:pStyle w:val="TableText"/>
              <w:ind w:left="133"/>
              <w:spacing w:before="81" w:line="219" w:lineRule="auto"/>
              <w:rPr>
                <w:sz w:val="24"/>
                <w:szCs w:val="24"/>
              </w:rPr>
            </w:pPr>
            <w:r>
              <w:rPr>
                <w:sz w:val="24"/>
                <w:szCs w:val="24"/>
                <w:b/>
                <w:bCs/>
                <w:spacing w:val="-5"/>
              </w:rPr>
              <w:t>2.1项目由来</w:t>
            </w:r>
          </w:p>
          <w:p>
            <w:pPr>
              <w:pStyle w:val="TableText"/>
              <w:ind w:left="630"/>
              <w:spacing w:before="228" w:line="480" w:lineRule="exact"/>
              <w:rPr>
                <w:sz w:val="24"/>
                <w:szCs w:val="24"/>
              </w:rPr>
            </w:pPr>
            <w:r>
              <w:rPr>
                <w:sz w:val="24"/>
                <w:szCs w:val="24"/>
                <w:position w:val="18"/>
              </w:rPr>
              <w:t>时代一汽动力电池有限公司是由宁德时代和一汽集团共同出资组建的一家</w:t>
            </w:r>
          </w:p>
          <w:p>
            <w:pPr>
              <w:pStyle w:val="TableText"/>
              <w:ind w:left="160"/>
              <w:spacing w:line="219" w:lineRule="auto"/>
              <w:rPr>
                <w:sz w:val="24"/>
                <w:szCs w:val="24"/>
              </w:rPr>
            </w:pPr>
            <w:r>
              <w:rPr>
                <w:sz w:val="24"/>
                <w:szCs w:val="24"/>
              </w:rPr>
              <w:t>新能源公司，成立于2019年1月31日，主要从事锂离子电池、动力电池、超</w:t>
            </w:r>
          </w:p>
          <w:p>
            <w:pPr>
              <w:pStyle w:val="TableText"/>
              <w:ind w:left="150"/>
              <w:spacing w:before="174" w:line="450" w:lineRule="exact"/>
              <w:rPr>
                <w:sz w:val="24"/>
                <w:szCs w:val="24"/>
              </w:rPr>
            </w:pPr>
            <w:r>
              <w:rPr>
                <w:sz w:val="24"/>
                <w:szCs w:val="24"/>
                <w:position w:val="15"/>
              </w:rPr>
              <w:t>大容量储能电池及电池系统的开发、生产、销售以及提供相关售后和技术咨询</w:t>
            </w:r>
          </w:p>
          <w:p>
            <w:pPr>
              <w:pStyle w:val="TableText"/>
              <w:ind w:left="120"/>
              <w:spacing w:line="219" w:lineRule="auto"/>
              <w:rPr>
                <w:sz w:val="24"/>
                <w:szCs w:val="24"/>
              </w:rPr>
            </w:pPr>
            <w:r>
              <w:rPr>
                <w:sz w:val="24"/>
                <w:szCs w:val="24"/>
              </w:rPr>
              <w:t>服务。</w:t>
            </w:r>
          </w:p>
          <w:p>
            <w:pPr>
              <w:pStyle w:val="TableText"/>
              <w:ind w:left="630"/>
              <w:spacing w:before="205" w:line="463" w:lineRule="exact"/>
              <w:rPr>
                <w:sz w:val="24"/>
                <w:szCs w:val="24"/>
              </w:rPr>
            </w:pPr>
            <w:r>
              <w:rPr>
                <w:sz w:val="24"/>
                <w:szCs w:val="24"/>
                <w:spacing w:val="1"/>
                <w:position w:val="16"/>
              </w:rPr>
              <w:t>时代一汽动力电池有限公司已在霞浦县经济开发区长富路</w:t>
            </w:r>
            <w:r>
              <w:rPr>
                <w:sz w:val="24"/>
                <w:szCs w:val="24"/>
                <w:position w:val="16"/>
              </w:rPr>
              <w:t>6号建设时代一</w:t>
            </w:r>
          </w:p>
          <w:p>
            <w:pPr>
              <w:pStyle w:val="TableText"/>
              <w:ind w:left="140"/>
              <w:spacing w:line="213" w:lineRule="auto"/>
              <w:rPr>
                <w:sz w:val="24"/>
                <w:szCs w:val="24"/>
              </w:rPr>
            </w:pPr>
            <w:r>
              <w:rPr>
                <w:sz w:val="24"/>
                <w:szCs w:val="24"/>
              </w:rPr>
              <w:t>汽动力电池项目(年产10GWh)(以下称“一期工程”)和</w:t>
            </w:r>
            <w:r>
              <w:rPr>
                <w:sz w:val="24"/>
                <w:szCs w:val="24"/>
                <w:spacing w:val="-1"/>
              </w:rPr>
              <w:t>时代一汽年产20gwh</w:t>
            </w:r>
          </w:p>
          <w:p>
            <w:pPr>
              <w:pStyle w:val="TableText"/>
              <w:ind w:left="150"/>
              <w:spacing w:before="191" w:line="219" w:lineRule="auto"/>
              <w:rPr>
                <w:sz w:val="24"/>
                <w:szCs w:val="24"/>
              </w:rPr>
            </w:pPr>
            <w:r>
              <w:rPr>
                <w:sz w:val="24"/>
                <w:szCs w:val="24"/>
              </w:rPr>
              <w:t>动力电池生产线扩建项目(以下称“二期工程”)。</w:t>
            </w:r>
          </w:p>
          <w:p>
            <w:pPr>
              <w:pStyle w:val="TableText"/>
              <w:ind w:left="630"/>
              <w:spacing w:before="181" w:line="473" w:lineRule="exact"/>
              <w:rPr>
                <w:sz w:val="24"/>
                <w:szCs w:val="24"/>
              </w:rPr>
            </w:pPr>
            <w:r>
              <w:rPr>
                <w:sz w:val="24"/>
                <w:szCs w:val="24"/>
                <w:spacing w:val="6"/>
                <w:position w:val="18"/>
              </w:rPr>
              <w:t>一期工程厂区总用地面积429436.30m²,总建筑面积240501</w:t>
            </w:r>
            <w:r>
              <w:rPr>
                <w:sz w:val="24"/>
                <w:szCs w:val="24"/>
                <w:spacing w:val="5"/>
                <w:position w:val="18"/>
              </w:rPr>
              <w:t>.79m²,环评建</w:t>
            </w:r>
          </w:p>
          <w:p>
            <w:pPr>
              <w:pStyle w:val="TableText"/>
              <w:ind w:left="160"/>
              <w:spacing w:before="1" w:line="219" w:lineRule="auto"/>
              <w:rPr>
                <w:sz w:val="24"/>
                <w:szCs w:val="24"/>
              </w:rPr>
            </w:pPr>
            <w:r>
              <w:rPr>
                <w:sz w:val="24"/>
                <w:szCs w:val="24"/>
              </w:rPr>
              <w:t>设内容为建设8条电芯生产线及10条模组线，年产锂离子电池10GWh;现实</w:t>
            </w:r>
          </w:p>
          <w:p>
            <w:pPr>
              <w:pStyle w:val="TableText"/>
              <w:ind w:left="170"/>
              <w:spacing w:before="175" w:line="219" w:lineRule="auto"/>
              <w:rPr>
                <w:sz w:val="24"/>
                <w:szCs w:val="24"/>
              </w:rPr>
            </w:pPr>
            <w:r>
              <w:rPr>
                <w:sz w:val="24"/>
                <w:szCs w:val="24"/>
              </w:rPr>
              <w:t>际建设6条电芯生产线及6条模组线，年产锂离子电池10GWh。已于2022年8</w:t>
            </w:r>
          </w:p>
          <w:p>
            <w:pPr>
              <w:pStyle w:val="TableText"/>
              <w:ind w:left="170"/>
              <w:spacing w:before="175" w:line="219" w:lineRule="auto"/>
              <w:rPr>
                <w:sz w:val="24"/>
                <w:szCs w:val="24"/>
              </w:rPr>
            </w:pPr>
            <w:r>
              <w:rPr>
                <w:sz w:val="24"/>
                <w:szCs w:val="24"/>
              </w:rPr>
              <w:t>月25日通过竣工环境保护自主验收，其验收范围与内容：X1厂房6条电芯生</w:t>
            </w:r>
          </w:p>
          <w:p>
            <w:pPr>
              <w:pStyle w:val="TableText"/>
              <w:ind w:left="209" w:right="214"/>
              <w:spacing w:before="196" w:line="364" w:lineRule="auto"/>
              <w:rPr>
                <w:sz w:val="24"/>
                <w:szCs w:val="24"/>
              </w:rPr>
            </w:pPr>
            <w:r>
              <w:rPr>
                <w:sz w:val="24"/>
                <w:szCs w:val="24"/>
              </w:rPr>
              <w:t>产线、X3厂房对应6条模组线及配套污水处理站、危</w:t>
            </w:r>
            <w:r>
              <w:rPr>
                <w:sz w:val="24"/>
                <w:szCs w:val="24"/>
                <w:spacing w:val="-1"/>
              </w:rPr>
              <w:t>废间等辅助设施，年产锂</w:t>
            </w:r>
            <w:r>
              <w:rPr>
                <w:sz w:val="24"/>
                <w:szCs w:val="24"/>
              </w:rPr>
              <w:t xml:space="preserve"> </w:t>
            </w:r>
            <w:r>
              <w:rPr>
                <w:sz w:val="24"/>
                <w:szCs w:val="24"/>
              </w:rPr>
              <w:t>离子电池10GWh。目前一期工期已达到环评规划的产能，若日后继续建设剩余</w:t>
            </w:r>
            <w:r>
              <w:rPr>
                <w:sz w:val="24"/>
                <w:szCs w:val="24"/>
                <w:spacing w:val="9"/>
              </w:rPr>
              <w:t xml:space="preserve"> </w:t>
            </w:r>
            <w:r>
              <w:rPr>
                <w:sz w:val="24"/>
                <w:szCs w:val="24"/>
                <w:spacing w:val="2"/>
              </w:rPr>
              <w:t>的2条电芯生产线及4条模组线，建设单位将根据环评要求，向生态环境主管</w:t>
            </w:r>
          </w:p>
          <w:p>
            <w:pPr>
              <w:pStyle w:val="TableText"/>
              <w:ind w:left="160"/>
              <w:spacing w:line="219" w:lineRule="auto"/>
              <w:rPr>
                <w:sz w:val="24"/>
                <w:szCs w:val="24"/>
              </w:rPr>
            </w:pPr>
            <w:r>
              <w:rPr>
                <w:sz w:val="24"/>
                <w:szCs w:val="24"/>
                <w:spacing w:val="-1"/>
              </w:rPr>
              <w:t>部门申报相关手续。</w:t>
            </w:r>
          </w:p>
          <w:p>
            <w:pPr>
              <w:pStyle w:val="TableText"/>
              <w:ind w:left="630"/>
              <w:spacing w:before="165" w:line="219" w:lineRule="auto"/>
              <w:rPr>
                <w:sz w:val="24"/>
                <w:szCs w:val="24"/>
              </w:rPr>
            </w:pPr>
            <w:r>
              <w:rPr>
                <w:sz w:val="24"/>
                <w:szCs w:val="24"/>
              </w:rPr>
              <w:t>二期工程利用原厂址闲置土地，建设厂房、办公室、宿舍楼等，总建筑面</w:t>
            </w:r>
          </w:p>
          <w:p>
            <w:pPr>
              <w:pStyle w:val="TableText"/>
              <w:ind w:left="209" w:right="216" w:firstLine="60"/>
              <w:spacing w:before="181" w:line="363" w:lineRule="auto"/>
              <w:rPr>
                <w:sz w:val="24"/>
                <w:szCs w:val="24"/>
              </w:rPr>
            </w:pPr>
            <w:r>
              <w:rPr>
                <w:sz w:val="24"/>
                <w:szCs w:val="24"/>
                <w:spacing w:val="4"/>
              </w:rPr>
              <w:t>积25万m²,建设动力电池电芯生产线6条，模组生产</w:t>
            </w:r>
            <w:r>
              <w:rPr>
                <w:sz w:val="24"/>
                <w:szCs w:val="24"/>
                <w:spacing w:val="3"/>
              </w:rPr>
              <w:t>线5条；改造一期工程锅</w:t>
            </w:r>
            <w:r>
              <w:rPr>
                <w:sz w:val="24"/>
                <w:szCs w:val="24"/>
              </w:rPr>
              <w:t xml:space="preserve"> </w:t>
            </w:r>
            <w:r>
              <w:rPr>
                <w:sz w:val="24"/>
                <w:szCs w:val="24"/>
              </w:rPr>
              <w:t>炉房(锅炉房供热设备调整为9台15t/h天然气锅炉，用于一期工程和二期工程</w:t>
            </w:r>
          </w:p>
          <w:p>
            <w:pPr>
              <w:pStyle w:val="TableText"/>
              <w:ind w:left="160"/>
              <w:spacing w:before="1" w:line="218" w:lineRule="auto"/>
              <w:rPr>
                <w:sz w:val="24"/>
                <w:szCs w:val="24"/>
              </w:rPr>
            </w:pPr>
            <w:r>
              <w:rPr>
                <w:sz w:val="24"/>
                <w:szCs w:val="24"/>
              </w:rPr>
              <w:t>生产线的供热)。二期工程于2022年2月开工建设，因部分电芯生产线及5条</w:t>
            </w:r>
          </w:p>
          <w:p>
            <w:pPr>
              <w:pStyle w:val="TableText"/>
              <w:ind w:left="160"/>
              <w:spacing w:before="177" w:line="219" w:lineRule="auto"/>
              <w:rPr>
                <w:sz w:val="24"/>
                <w:szCs w:val="24"/>
              </w:rPr>
            </w:pPr>
            <w:r>
              <w:rPr>
                <w:sz w:val="24"/>
                <w:szCs w:val="24"/>
              </w:rPr>
              <w:t>模组生产线暂未建设，于2023年4月15日通过了竣工</w:t>
            </w:r>
            <w:r>
              <w:rPr>
                <w:sz w:val="24"/>
                <w:szCs w:val="24"/>
                <w:spacing w:val="-1"/>
              </w:rPr>
              <w:t>环境保护自主阶段性验</w:t>
            </w:r>
          </w:p>
          <w:p>
            <w:pPr>
              <w:pStyle w:val="TableText"/>
              <w:ind w:left="150" w:right="150"/>
              <w:spacing w:before="174" w:line="362" w:lineRule="auto"/>
              <w:rPr>
                <w:sz w:val="24"/>
                <w:szCs w:val="24"/>
              </w:rPr>
            </w:pPr>
            <w:r>
              <w:rPr>
                <w:sz w:val="24"/>
                <w:szCs w:val="24"/>
              </w:rPr>
              <w:t>收，验收范围为动力电池电芯生产线前工序6条，动力电池电芯生产线后工序2</w:t>
            </w:r>
            <w:r>
              <w:rPr>
                <w:sz w:val="24"/>
                <w:szCs w:val="24"/>
                <w:spacing w:val="13"/>
              </w:rPr>
              <w:t xml:space="preserve"> </w:t>
            </w:r>
            <w:r>
              <w:rPr>
                <w:sz w:val="24"/>
                <w:szCs w:val="24"/>
              </w:rPr>
              <w:t>条，改造一期项目锅炉房，锅炉房供热设备由原本的5台15t/h天然气锅炉调整</w:t>
            </w:r>
          </w:p>
          <w:p>
            <w:pPr>
              <w:pStyle w:val="TableText"/>
              <w:ind w:left="150"/>
              <w:spacing w:line="220" w:lineRule="auto"/>
              <w:rPr>
                <w:sz w:val="24"/>
                <w:szCs w:val="24"/>
              </w:rPr>
            </w:pPr>
            <w:r>
              <w:rPr>
                <w:sz w:val="24"/>
                <w:szCs w:val="24"/>
              </w:rPr>
              <w:t>为5台15t/h天然气锅炉和2台12t/h天然气锅炉，7台天然气锅炉分别为5台锅</w:t>
            </w:r>
          </w:p>
          <w:p>
            <w:pPr>
              <w:pStyle w:val="TableText"/>
              <w:ind w:left="160"/>
              <w:spacing w:before="180" w:line="471" w:lineRule="exact"/>
              <w:rPr>
                <w:sz w:val="24"/>
                <w:szCs w:val="24"/>
              </w:rPr>
            </w:pPr>
            <w:r>
              <w:rPr>
                <w:sz w:val="24"/>
                <w:szCs w:val="24"/>
                <w:position w:val="17"/>
              </w:rPr>
              <w:t>炉用于一期工程(产能10GWh),2台锅炉用于二期工程已建生产线(产能</w:t>
            </w:r>
          </w:p>
          <w:p>
            <w:pPr>
              <w:pStyle w:val="TableText"/>
              <w:ind w:left="150"/>
              <w:spacing w:line="218" w:lineRule="auto"/>
              <w:rPr>
                <w:sz w:val="24"/>
                <w:szCs w:val="24"/>
              </w:rPr>
            </w:pPr>
            <w:r>
              <w:rPr>
                <w:sz w:val="24"/>
                <w:szCs w:val="24"/>
                <w:spacing w:val="-2"/>
              </w:rPr>
              <w:t>6.7GWh)的供热。</w:t>
            </w:r>
            <w:r>
              <w:rPr>
                <w:sz w:val="24"/>
                <w:szCs w:val="24"/>
                <w:b/>
                <w:bCs/>
                <w:spacing w:val="-2"/>
              </w:rPr>
              <w:t>不涉及凹版工序。</w:t>
            </w:r>
          </w:p>
          <w:p>
            <w:pPr>
              <w:pStyle w:val="TableText"/>
              <w:ind w:right="31"/>
              <w:spacing w:before="289" w:line="196" w:lineRule="auto"/>
              <w:jc w:val="right"/>
              <w:rPr>
                <w:sz w:val="24"/>
                <w:szCs w:val="24"/>
              </w:rPr>
            </w:pPr>
            <w:r>
              <w:rPr>
                <w:sz w:val="24"/>
                <w:szCs w:val="24"/>
              </w:rPr>
              <w:t>现因生产产品工艺要求，二期工程部分产品需要预涂一层导电炭黑(凹版工</w:t>
            </w:r>
          </w:p>
        </w:tc>
      </w:tr>
    </w:tbl>
    <w:p>
      <w:pPr>
        <w:rPr>
          <w:rFonts w:ascii="Arial"/>
          <w:sz w:val="21"/>
        </w:rPr>
      </w:pPr>
      <w:r/>
    </w:p>
    <w:p>
      <w:pPr>
        <w:sectPr>
          <w:footerReference w:type="default" r:id="rId8"/>
          <w:pgSz w:w="11900" w:h="16840"/>
          <w:pgMar w:top="1431" w:right="1415" w:bottom="1218" w:left="1584" w:header="0" w:footer="1079" w:gutter="0"/>
        </w:sectPr>
        <w:rPr>
          <w:rFonts w:ascii="Arial" w:hAnsi="Arial" w:eastAsia="Arial" w:cs="Arial"/>
          <w:sz w:val="21"/>
          <w:szCs w:val="21"/>
        </w:rPr>
      </w:pPr>
    </w:p>
    <w:tbl>
      <w:tblPr>
        <w:tblStyle w:val="TableNormal"/>
        <w:tblW w:w="8939" w:type="dxa"/>
        <w:tblInd w:w="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54"/>
        <w:gridCol w:w="2862"/>
        <w:gridCol w:w="2657"/>
        <w:gridCol w:w="1798"/>
        <w:gridCol w:w="1168"/>
      </w:tblGrid>
      <w:tr>
        <w:trPr>
          <w:trHeight w:val="5803" w:hRule="atLeast"/>
        </w:trPr>
        <w:tc>
          <w:tcPr>
            <w:tcW w:w="454" w:type="dxa"/>
            <w:vAlign w:val="top"/>
            <w:vMerge w:val="restart"/>
            <w:tcBorders>
              <w:left w:val="single" w:color="000000" w:sz="2" w:space="0"/>
              <w:bottom w:val="nil"/>
              <w:right w:val="single" w:color="000000" w:sz="2" w:space="0"/>
              <w:top w:val="single" w:color="000000" w:sz="2" w:space="0"/>
            </w:tcBorders>
          </w:tcPr>
          <w:p>
            <w:pPr>
              <w:rPr>
                <w:rFonts w:ascii="Arial"/>
                <w:sz w:val="21"/>
              </w:rPr>
            </w:pPr>
            <w:r/>
          </w:p>
        </w:tc>
        <w:tc>
          <w:tcPr>
            <w:tcW w:w="8485" w:type="dxa"/>
            <w:vAlign w:val="top"/>
            <w:gridSpan w:val="4"/>
            <w:tcBorders>
              <w:left w:val="single" w:color="000000" w:sz="2" w:space="0"/>
              <w:top w:val="single" w:color="000000" w:sz="2" w:space="0"/>
              <w:right w:val="single" w:color="000000" w:sz="6" w:space="0"/>
            </w:tcBorders>
          </w:tcPr>
          <w:p>
            <w:pPr>
              <w:pStyle w:val="TableText"/>
              <w:ind w:left="101" w:right="124"/>
              <w:spacing w:before="185" w:line="338" w:lineRule="auto"/>
              <w:jc w:val="both"/>
              <w:rPr>
                <w:sz w:val="24"/>
                <w:szCs w:val="24"/>
              </w:rPr>
            </w:pPr>
            <w:r>
              <w:rPr>
                <w:sz w:val="24"/>
                <w:szCs w:val="24"/>
                <w:spacing w:val="-2"/>
              </w:rPr>
              <w:t>艺)加强阴、阳极粉末材料附着性，同时为了优化生产节拍，加快生产节奏，避</w:t>
            </w:r>
            <w:r>
              <w:rPr>
                <w:sz w:val="24"/>
                <w:szCs w:val="24"/>
                <w:spacing w:val="18"/>
              </w:rPr>
              <w:t xml:space="preserve"> </w:t>
            </w:r>
            <w:r>
              <w:rPr>
                <w:sz w:val="24"/>
                <w:szCs w:val="24"/>
                <w:spacing w:val="-1"/>
              </w:rPr>
              <w:t>免因转运过程增加凹版报废率，拟将凹版生产和阴、阳极片生产在同一</w:t>
            </w:r>
            <w:r>
              <w:rPr>
                <w:sz w:val="24"/>
                <w:szCs w:val="24"/>
                <w:spacing w:val="-2"/>
              </w:rPr>
              <w:t>厂房(凹</w:t>
            </w:r>
            <w:r>
              <w:rPr>
                <w:sz w:val="24"/>
                <w:szCs w:val="24"/>
              </w:rPr>
              <w:t xml:space="preserve"> </w:t>
            </w:r>
            <w:r>
              <w:rPr>
                <w:sz w:val="24"/>
                <w:szCs w:val="24"/>
                <w:spacing w:val="9"/>
              </w:rPr>
              <w:t>版车间)内，因此建设单位拟在现有工程厂区的西北侧(与现有厂区相隔南一</w:t>
            </w:r>
            <w:r>
              <w:rPr>
                <w:sz w:val="24"/>
                <w:szCs w:val="24"/>
                <w:spacing w:val="6"/>
              </w:rPr>
              <w:t xml:space="preserve"> </w:t>
            </w:r>
            <w:r>
              <w:rPr>
                <w:sz w:val="24"/>
                <w:szCs w:val="24"/>
                <w:spacing w:val="12"/>
              </w:rPr>
              <w:t>路),投资26000万元建设时代一汽二期年产20</w:t>
            </w:r>
            <w:r>
              <w:rPr>
                <w:rFonts w:ascii="Times New Roman" w:hAnsi="Times New Roman" w:eastAsia="Times New Roman" w:cs="Times New Roman"/>
                <w:sz w:val="24"/>
                <w:szCs w:val="24"/>
              </w:rPr>
              <w:t>gwh</w:t>
            </w:r>
            <w:r>
              <w:rPr>
                <w:rFonts w:ascii="Times New Roman" w:hAnsi="Times New Roman" w:eastAsia="Times New Roman" w:cs="Times New Roman"/>
                <w:sz w:val="24"/>
                <w:szCs w:val="24"/>
                <w:spacing w:val="24"/>
                <w:w w:val="101"/>
              </w:rPr>
              <w:t xml:space="preserve"> </w:t>
            </w:r>
            <w:r>
              <w:rPr>
                <w:sz w:val="24"/>
                <w:szCs w:val="24"/>
                <w:spacing w:val="12"/>
              </w:rPr>
              <w:t>动力电池扩建项目--</w:t>
            </w:r>
            <w:r>
              <w:rPr>
                <w:sz w:val="24"/>
                <w:szCs w:val="24"/>
                <w:spacing w:val="11"/>
              </w:rPr>
              <w:t>凹版</w:t>
            </w:r>
            <w:r>
              <w:rPr>
                <w:sz w:val="24"/>
                <w:szCs w:val="24"/>
              </w:rPr>
              <w:t xml:space="preserve"> </w:t>
            </w:r>
            <w:r>
              <w:rPr>
                <w:sz w:val="24"/>
                <w:szCs w:val="24"/>
                <w:spacing w:val="8"/>
              </w:rPr>
              <w:t>厂房及附属配套工程，本项目于2023年10月10日在霞浦县工业和信息化局进</w:t>
            </w:r>
          </w:p>
          <w:p>
            <w:pPr>
              <w:pStyle w:val="TableText"/>
              <w:ind w:left="101"/>
              <w:spacing w:before="1" w:line="217" w:lineRule="auto"/>
              <w:rPr>
                <w:sz w:val="24"/>
                <w:szCs w:val="24"/>
              </w:rPr>
            </w:pPr>
            <w:r>
              <w:rPr>
                <w:sz w:val="24"/>
                <w:szCs w:val="24"/>
                <w:spacing w:val="4"/>
              </w:rPr>
              <w:t>行了备案，备案号为闽工信备(2022)</w:t>
            </w:r>
            <w:r>
              <w:rPr>
                <w:sz w:val="24"/>
                <w:szCs w:val="24"/>
                <w:spacing w:val="-52"/>
              </w:rPr>
              <w:t xml:space="preserve"> </w:t>
            </w:r>
            <w:r>
              <w:rPr>
                <w:sz w:val="24"/>
                <w:szCs w:val="24"/>
                <w:spacing w:val="4"/>
              </w:rPr>
              <w:t>J040019</w:t>
            </w:r>
            <w:r>
              <w:rPr>
                <w:sz w:val="24"/>
                <w:szCs w:val="24"/>
                <w:spacing w:val="-41"/>
              </w:rPr>
              <w:t xml:space="preserve"> </w:t>
            </w:r>
            <w:r>
              <w:rPr>
                <w:sz w:val="24"/>
                <w:szCs w:val="24"/>
                <w:spacing w:val="4"/>
              </w:rPr>
              <w:t>号。</w:t>
            </w:r>
          </w:p>
          <w:p>
            <w:pPr>
              <w:pStyle w:val="TableText"/>
              <w:ind w:left="101" w:right="37" w:firstLine="490"/>
              <w:spacing w:before="158" w:line="330" w:lineRule="auto"/>
              <w:jc w:val="both"/>
              <w:rPr>
                <w:sz w:val="24"/>
                <w:szCs w:val="24"/>
              </w:rPr>
            </w:pPr>
            <w:r>
              <w:rPr>
                <w:sz w:val="24"/>
                <w:szCs w:val="24"/>
                <w:spacing w:val="2"/>
              </w:rPr>
              <w:t>本项目为锂离子电池生产配套项目，生产极片及凹版，根据《国民</w:t>
            </w:r>
            <w:r>
              <w:rPr>
                <w:sz w:val="24"/>
                <w:szCs w:val="24"/>
                <w:spacing w:val="1"/>
              </w:rPr>
              <w:t>经济行</w:t>
            </w:r>
            <w:r>
              <w:rPr>
                <w:sz w:val="24"/>
                <w:szCs w:val="24"/>
              </w:rPr>
              <w:t xml:space="preserve">  </w:t>
            </w:r>
            <w:r>
              <w:rPr>
                <w:sz w:val="24"/>
                <w:szCs w:val="24"/>
                <w:spacing w:val="-1"/>
              </w:rPr>
              <w:t>业分类》</w:t>
            </w:r>
            <w:r>
              <w:rPr>
                <w:sz w:val="24"/>
                <w:szCs w:val="24"/>
                <w:spacing w:val="67"/>
              </w:rPr>
              <w:t xml:space="preserve"> </w:t>
            </w:r>
            <w:r>
              <w:rPr>
                <w:sz w:val="24"/>
                <w:szCs w:val="24"/>
                <w:spacing w:val="-1"/>
              </w:rPr>
              <w:t>(GB/T4754-2017)</w:t>
            </w:r>
            <w:r>
              <w:rPr>
                <w:sz w:val="24"/>
                <w:szCs w:val="24"/>
                <w:spacing w:val="42"/>
              </w:rPr>
              <w:t xml:space="preserve"> </w:t>
            </w:r>
            <w:r>
              <w:rPr>
                <w:sz w:val="24"/>
                <w:szCs w:val="24"/>
                <w:spacing w:val="-1"/>
              </w:rPr>
              <w:t>及第1号修改单，本项</w:t>
            </w:r>
            <w:r>
              <w:rPr>
                <w:sz w:val="24"/>
                <w:szCs w:val="24"/>
                <w:spacing w:val="-2"/>
              </w:rPr>
              <w:t>目属于C3841 锂离子电池制</w:t>
            </w:r>
            <w:r>
              <w:rPr>
                <w:sz w:val="24"/>
                <w:szCs w:val="24"/>
              </w:rPr>
              <w:t xml:space="preserve">  </w:t>
            </w:r>
            <w:r>
              <w:rPr>
                <w:sz w:val="24"/>
                <w:szCs w:val="24"/>
                <w:spacing w:val="2"/>
              </w:rPr>
              <w:t>造。根据《建设项目环境影响评价分类管理名录》  (2021年版)的规定，</w:t>
            </w:r>
            <w:r>
              <w:rPr>
                <w:sz w:val="24"/>
                <w:szCs w:val="24"/>
                <w:spacing w:val="1"/>
              </w:rPr>
              <w:t>本项 </w:t>
            </w:r>
            <w:r>
              <w:rPr>
                <w:sz w:val="24"/>
                <w:szCs w:val="24"/>
                <w:spacing w:val="-5"/>
              </w:rPr>
              <w:t>目属于“三十五、电气机械和器材制造业38中77</w:t>
            </w:r>
            <w:r>
              <w:rPr>
                <w:sz w:val="24"/>
                <w:szCs w:val="24"/>
                <w:spacing w:val="-6"/>
              </w:rPr>
              <w:t>电池制造”中的</w:t>
            </w:r>
            <w:r>
              <w:rPr>
                <w:sz w:val="24"/>
                <w:szCs w:val="24"/>
                <w:b/>
                <w:bCs/>
                <w:spacing w:val="-6"/>
              </w:rPr>
              <w:t>“其他(仅分割、</w:t>
            </w:r>
            <w:r>
              <w:rPr>
                <w:sz w:val="24"/>
                <w:szCs w:val="24"/>
              </w:rPr>
              <w:t xml:space="preserve"> </w:t>
            </w:r>
            <w:r>
              <w:rPr>
                <w:sz w:val="24"/>
                <w:szCs w:val="24"/>
                <w:b/>
                <w:bCs/>
                <w:spacing w:val="6"/>
              </w:rPr>
              <w:t>焊接、组装的除外；年用非溶剂型低</w:t>
            </w:r>
            <w:r>
              <w:rPr>
                <w:sz w:val="24"/>
                <w:szCs w:val="24"/>
                <w:spacing w:val="-43"/>
              </w:rPr>
              <w:t xml:space="preserve"> </w:t>
            </w:r>
            <w:r>
              <w:rPr>
                <w:rFonts w:ascii="Times New Roman" w:hAnsi="Times New Roman" w:eastAsia="Times New Roman" w:cs="Times New Roman"/>
                <w:sz w:val="24"/>
                <w:szCs w:val="24"/>
                <w:b/>
                <w:bCs/>
              </w:rPr>
              <w:t>VOCs</w:t>
            </w:r>
            <w:r>
              <w:rPr>
                <w:rFonts w:ascii="Times New Roman" w:hAnsi="Times New Roman" w:eastAsia="Times New Roman" w:cs="Times New Roman"/>
                <w:sz w:val="24"/>
                <w:szCs w:val="24"/>
                <w:b/>
                <w:bCs/>
                <w:spacing w:val="6"/>
              </w:rPr>
              <w:t xml:space="preserve"> </w:t>
            </w:r>
            <w:r>
              <w:rPr>
                <w:sz w:val="24"/>
                <w:szCs w:val="24"/>
                <w:b/>
                <w:bCs/>
                <w:spacing w:val="6"/>
              </w:rPr>
              <w:t>含量涂料</w:t>
            </w:r>
            <w:r>
              <w:rPr>
                <w:sz w:val="24"/>
                <w:szCs w:val="24"/>
                <w:b/>
                <w:bCs/>
                <w:spacing w:val="5"/>
              </w:rPr>
              <w:t>10吨以下的除外)”,需</w:t>
            </w:r>
          </w:p>
          <w:p>
            <w:pPr>
              <w:pStyle w:val="TableText"/>
              <w:ind w:left="101"/>
              <w:spacing w:before="1" w:line="217" w:lineRule="auto"/>
              <w:rPr>
                <w:sz w:val="24"/>
                <w:szCs w:val="24"/>
              </w:rPr>
            </w:pPr>
            <w:r>
              <w:rPr>
                <w:sz w:val="24"/>
                <w:szCs w:val="24"/>
                <w:spacing w:val="3"/>
              </w:rPr>
              <w:t>实行环境影响</w:t>
            </w:r>
            <w:r>
              <w:rPr>
                <w:sz w:val="24"/>
                <w:szCs w:val="24"/>
                <w:b/>
                <w:bCs/>
                <w:spacing w:val="3"/>
              </w:rPr>
              <w:t>报告表审批管理(见表2.1-1)。</w:t>
            </w:r>
          </w:p>
          <w:p>
            <w:pPr>
              <w:pStyle w:val="TableText"/>
              <w:ind w:left="2054"/>
              <w:spacing w:before="86" w:line="218" w:lineRule="auto"/>
              <w:rPr>
                <w:sz w:val="24"/>
                <w:szCs w:val="24"/>
              </w:rPr>
            </w:pPr>
            <w:r>
              <w:rPr>
                <w:sz w:val="24"/>
                <w:szCs w:val="24"/>
                <w:b/>
                <w:bCs/>
                <w:spacing w:val="-5"/>
              </w:rPr>
              <w:t>表2.1-1</w:t>
            </w:r>
            <w:r>
              <w:rPr>
                <w:sz w:val="24"/>
                <w:szCs w:val="24"/>
                <w:spacing w:val="-5"/>
              </w:rPr>
              <w:t xml:space="preserve">  </w:t>
            </w:r>
            <w:r>
              <w:rPr>
                <w:sz w:val="24"/>
                <w:szCs w:val="24"/>
                <w:b/>
                <w:bCs/>
                <w:spacing w:val="-5"/>
              </w:rPr>
              <w:t>建设项目环境影响评价分类管理名录</w:t>
            </w:r>
          </w:p>
        </w:tc>
      </w:tr>
      <w:tr>
        <w:trPr>
          <w:trHeight w:val="550" w:hRule="atLeast"/>
        </w:trPr>
        <w:tc>
          <w:tcPr>
            <w:tcW w:w="454" w:type="dxa"/>
            <w:vAlign w:val="top"/>
            <w:vMerge w:val="continue"/>
            <w:tcBorders>
              <w:left w:val="single" w:color="000000" w:sz="2" w:space="0"/>
              <w:bottom w:val="nil"/>
              <w:right w:val="single" w:color="000000" w:sz="2" w:space="0"/>
              <w:top w:val="nil"/>
            </w:tcBorders>
          </w:tcPr>
          <w:p>
            <w:pPr>
              <w:rPr>
                <w:rFonts w:ascii="Arial"/>
                <w:sz w:val="21"/>
              </w:rPr>
            </w:pPr>
            <w:r/>
          </w:p>
        </w:tc>
        <w:tc>
          <w:tcPr>
            <w:tcW w:w="2862" w:type="dxa"/>
            <w:vAlign w:val="top"/>
            <w:tcBorders>
              <w:left w:val="single" w:color="000000" w:sz="2" w:space="0"/>
            </w:tcBorders>
          </w:tcPr>
          <w:p>
            <w:pPr>
              <w:pStyle w:val="TableText"/>
              <w:ind w:left="1471"/>
              <w:spacing w:before="10" w:line="219" w:lineRule="auto"/>
              <w:rPr>
                <w:sz w:val="20"/>
                <w:szCs w:val="20"/>
              </w:rPr>
            </w:pPr>
            <w:r>
              <w:rPr>
                <w:sz w:val="20"/>
                <w:szCs w:val="20"/>
                <w:spacing w:val="4"/>
              </w:rPr>
              <w:t>环评类别</w:t>
            </w:r>
          </w:p>
          <w:p>
            <w:pPr>
              <w:pStyle w:val="TableText"/>
              <w:ind w:left="231"/>
              <w:spacing w:before="72" w:line="203" w:lineRule="auto"/>
              <w:rPr>
                <w:sz w:val="20"/>
                <w:szCs w:val="20"/>
              </w:rPr>
            </w:pPr>
            <w:r>
              <w:rPr>
                <w:sz w:val="20"/>
                <w:szCs w:val="20"/>
                <w:spacing w:val="4"/>
              </w:rPr>
              <w:t>项目类别</w:t>
            </w:r>
          </w:p>
        </w:tc>
        <w:tc>
          <w:tcPr>
            <w:tcW w:w="2657" w:type="dxa"/>
            <w:vAlign w:val="top"/>
          </w:tcPr>
          <w:p>
            <w:pPr>
              <w:pStyle w:val="TableText"/>
              <w:ind w:left="1006"/>
              <w:spacing w:before="178" w:line="218" w:lineRule="auto"/>
              <w:rPr>
                <w:sz w:val="20"/>
                <w:szCs w:val="20"/>
              </w:rPr>
            </w:pPr>
            <w:r>
              <w:rPr>
                <w:sz w:val="20"/>
                <w:szCs w:val="20"/>
                <w:spacing w:val="-2"/>
              </w:rPr>
              <w:t>报告书</w:t>
            </w:r>
          </w:p>
        </w:tc>
        <w:tc>
          <w:tcPr>
            <w:tcW w:w="1798" w:type="dxa"/>
            <w:vAlign w:val="top"/>
          </w:tcPr>
          <w:p>
            <w:pPr>
              <w:pStyle w:val="TableText"/>
              <w:ind w:left="569"/>
              <w:spacing w:before="178" w:line="218" w:lineRule="auto"/>
              <w:rPr>
                <w:sz w:val="20"/>
                <w:szCs w:val="20"/>
              </w:rPr>
            </w:pPr>
            <w:r>
              <w:rPr>
                <w:sz w:val="20"/>
                <w:szCs w:val="20"/>
                <w:spacing w:val="-2"/>
              </w:rPr>
              <w:t>报告表</w:t>
            </w:r>
          </w:p>
        </w:tc>
        <w:tc>
          <w:tcPr>
            <w:tcW w:w="1168" w:type="dxa"/>
            <w:vAlign w:val="top"/>
            <w:tcBorders>
              <w:right w:val="single" w:color="000000" w:sz="6" w:space="0"/>
            </w:tcBorders>
          </w:tcPr>
          <w:p>
            <w:pPr>
              <w:pStyle w:val="TableText"/>
              <w:ind w:left="211"/>
              <w:spacing w:before="181" w:line="221" w:lineRule="auto"/>
              <w:rPr>
                <w:sz w:val="20"/>
                <w:szCs w:val="20"/>
              </w:rPr>
            </w:pPr>
            <w:r>
              <w:rPr>
                <w:sz w:val="20"/>
                <w:szCs w:val="20"/>
                <w:spacing w:val="3"/>
              </w:rPr>
              <w:t>登记表</w:t>
            </w:r>
          </w:p>
        </w:tc>
      </w:tr>
      <w:tr>
        <w:trPr>
          <w:trHeight w:val="289" w:hRule="atLeast"/>
        </w:trPr>
        <w:tc>
          <w:tcPr>
            <w:tcW w:w="454" w:type="dxa"/>
            <w:vAlign w:val="top"/>
            <w:vMerge w:val="continue"/>
            <w:tcBorders>
              <w:left w:val="single" w:color="000000" w:sz="2" w:space="0"/>
              <w:bottom w:val="nil"/>
              <w:right w:val="single" w:color="000000" w:sz="2" w:space="0"/>
              <w:top w:val="nil"/>
            </w:tcBorders>
          </w:tcPr>
          <w:p>
            <w:pPr>
              <w:rPr>
                <w:rFonts w:ascii="Arial"/>
                <w:sz w:val="21"/>
              </w:rPr>
            </w:pPr>
            <w:r/>
          </w:p>
        </w:tc>
        <w:tc>
          <w:tcPr>
            <w:tcW w:w="8485" w:type="dxa"/>
            <w:vAlign w:val="top"/>
            <w:gridSpan w:val="4"/>
            <w:tcBorders>
              <w:left w:val="single" w:color="000000" w:sz="2" w:space="0"/>
              <w:right w:val="single" w:color="000000" w:sz="6" w:space="0"/>
            </w:tcBorders>
          </w:tcPr>
          <w:p>
            <w:pPr>
              <w:pStyle w:val="TableText"/>
              <w:ind w:left="241"/>
              <w:spacing w:before="69" w:line="184" w:lineRule="auto"/>
              <w:rPr>
                <w:sz w:val="21"/>
                <w:szCs w:val="21"/>
              </w:rPr>
            </w:pPr>
            <w:r>
              <w:rPr>
                <w:sz w:val="21"/>
                <w:szCs w:val="21"/>
              </w:rPr>
              <w:t>三十五、电气机械和器材制造业38</w:t>
            </w:r>
          </w:p>
        </w:tc>
      </w:tr>
      <w:tr>
        <w:trPr>
          <w:trHeight w:val="2199" w:hRule="atLeast"/>
        </w:trPr>
        <w:tc>
          <w:tcPr>
            <w:tcW w:w="454" w:type="dxa"/>
            <w:vAlign w:val="top"/>
            <w:vMerge w:val="continue"/>
            <w:tcBorders>
              <w:left w:val="single" w:color="000000" w:sz="2" w:space="0"/>
              <w:bottom w:val="nil"/>
              <w:right w:val="single" w:color="000000" w:sz="2" w:space="0"/>
              <w:top w:val="nil"/>
            </w:tcBorders>
          </w:tcPr>
          <w:p>
            <w:pPr>
              <w:rPr>
                <w:rFonts w:ascii="Arial"/>
                <w:sz w:val="21"/>
              </w:rPr>
            </w:pPr>
            <w:r/>
          </w:p>
        </w:tc>
        <w:tc>
          <w:tcPr>
            <w:tcW w:w="2862" w:type="dxa"/>
            <w:vAlign w:val="top"/>
            <w:tcBorders>
              <w:left w:val="single" w:color="000000" w:sz="2" w:space="0"/>
            </w:tcBorders>
          </w:tcPr>
          <w:p>
            <w:pPr>
              <w:pStyle w:val="TableText"/>
              <w:ind w:left="231" w:firstLine="109"/>
              <w:spacing w:before="41" w:line="237" w:lineRule="auto"/>
              <w:jc w:val="both"/>
              <w:rPr>
                <w:sz w:val="21"/>
                <w:szCs w:val="21"/>
              </w:rPr>
            </w:pPr>
            <w:r>
              <w:rPr>
                <w:sz w:val="21"/>
                <w:szCs w:val="21"/>
              </w:rPr>
              <w:t>77、电机制造381;输配电</w:t>
            </w:r>
            <w:r>
              <w:rPr>
                <w:sz w:val="21"/>
                <w:szCs w:val="21"/>
                <w:spacing w:val="3"/>
              </w:rPr>
              <w:t xml:space="preserve">   </w:t>
            </w:r>
            <w:r>
              <w:rPr>
                <w:sz w:val="21"/>
                <w:szCs w:val="21"/>
                <w:spacing w:val="7"/>
              </w:rPr>
              <w:t>及控制设备制造382;电线、</w:t>
            </w:r>
            <w:r>
              <w:rPr>
                <w:sz w:val="21"/>
                <w:szCs w:val="21"/>
                <w:spacing w:val="4"/>
              </w:rPr>
              <w:t xml:space="preserve"> </w:t>
            </w:r>
            <w:r>
              <w:rPr>
                <w:sz w:val="21"/>
                <w:szCs w:val="21"/>
              </w:rPr>
              <w:t>电缆、光缆及电工器材制造</w:t>
            </w:r>
            <w:r>
              <w:rPr>
                <w:sz w:val="21"/>
                <w:szCs w:val="21"/>
                <w:spacing w:val="2"/>
              </w:rPr>
              <w:t xml:space="preserve">  </w:t>
            </w:r>
            <w:r>
              <w:rPr>
                <w:sz w:val="21"/>
                <w:szCs w:val="21"/>
                <w:b/>
                <w:bCs/>
                <w:spacing w:val="-1"/>
              </w:rPr>
              <w:t>383;电池制造384;</w:t>
            </w:r>
            <w:r>
              <w:rPr>
                <w:sz w:val="21"/>
                <w:szCs w:val="21"/>
                <w:spacing w:val="-1"/>
              </w:rPr>
              <w:t>家用电</w:t>
            </w:r>
          </w:p>
          <w:p>
            <w:pPr>
              <w:pStyle w:val="TableText"/>
              <w:ind w:left="341"/>
              <w:spacing w:before="12" w:line="219" w:lineRule="auto"/>
              <w:rPr>
                <w:sz w:val="21"/>
                <w:szCs w:val="21"/>
              </w:rPr>
            </w:pPr>
            <w:r>
              <w:rPr>
                <w:sz w:val="21"/>
                <w:szCs w:val="21"/>
              </w:rPr>
              <w:t>力器具制造385;非电力家</w:t>
            </w:r>
          </w:p>
          <w:p>
            <w:pPr>
              <w:pStyle w:val="TableText"/>
              <w:ind w:left="341"/>
              <w:spacing w:before="40" w:line="219" w:lineRule="auto"/>
              <w:rPr>
                <w:sz w:val="21"/>
                <w:szCs w:val="21"/>
              </w:rPr>
            </w:pPr>
            <w:r>
              <w:rPr>
                <w:sz w:val="21"/>
                <w:szCs w:val="21"/>
              </w:rPr>
              <w:t>用器具制造386;照明器具</w:t>
            </w:r>
          </w:p>
          <w:p>
            <w:pPr>
              <w:pStyle w:val="TableText"/>
              <w:ind w:left="341"/>
              <w:spacing w:before="19" w:line="219" w:lineRule="auto"/>
              <w:rPr>
                <w:sz w:val="21"/>
                <w:szCs w:val="21"/>
              </w:rPr>
            </w:pPr>
            <w:r>
              <w:rPr>
                <w:sz w:val="21"/>
                <w:szCs w:val="21"/>
              </w:rPr>
              <w:t>制造387;其他电气机械及</w:t>
            </w:r>
          </w:p>
          <w:p>
            <w:pPr>
              <w:pStyle w:val="TableText"/>
              <w:ind w:left="911"/>
              <w:spacing w:before="31" w:line="192" w:lineRule="auto"/>
              <w:rPr>
                <w:sz w:val="21"/>
                <w:szCs w:val="21"/>
              </w:rPr>
            </w:pPr>
            <w:r>
              <w:rPr>
                <w:sz w:val="21"/>
                <w:szCs w:val="21"/>
                <w:spacing w:val="2"/>
              </w:rPr>
              <w:t>器材制造389</w:t>
            </w:r>
          </w:p>
        </w:tc>
        <w:tc>
          <w:tcPr>
            <w:tcW w:w="2657" w:type="dxa"/>
            <w:vAlign w:val="top"/>
          </w:tcPr>
          <w:p>
            <w:pPr>
              <w:spacing w:line="250" w:lineRule="auto"/>
              <w:rPr>
                <w:rFonts w:ascii="Arial"/>
                <w:sz w:val="21"/>
              </w:rPr>
            </w:pPr>
            <w:r/>
          </w:p>
          <w:p>
            <w:pPr>
              <w:spacing w:line="250" w:lineRule="auto"/>
              <w:rPr>
                <w:rFonts w:ascii="Arial"/>
                <w:sz w:val="21"/>
              </w:rPr>
            </w:pPr>
            <w:r/>
          </w:p>
          <w:p>
            <w:pPr>
              <w:pStyle w:val="TableText"/>
              <w:ind w:left="66"/>
              <w:spacing w:before="68" w:line="219" w:lineRule="auto"/>
              <w:rPr>
                <w:sz w:val="21"/>
                <w:szCs w:val="21"/>
              </w:rPr>
            </w:pPr>
            <w:r>
              <w:rPr>
                <w:sz w:val="21"/>
                <w:szCs w:val="21"/>
                <w:spacing w:val="-1"/>
              </w:rPr>
              <w:t>铅蓄电池制造；太阳能电池</w:t>
            </w:r>
          </w:p>
          <w:p>
            <w:pPr>
              <w:pStyle w:val="TableText"/>
              <w:ind w:left="66"/>
              <w:spacing w:before="59" w:line="219" w:lineRule="auto"/>
              <w:rPr>
                <w:sz w:val="21"/>
                <w:szCs w:val="21"/>
              </w:rPr>
            </w:pPr>
            <w:r>
              <w:rPr>
                <w:sz w:val="21"/>
                <w:szCs w:val="21"/>
              </w:rPr>
              <w:t>片生产；有电镀工艺的；年</w:t>
            </w:r>
          </w:p>
          <w:p>
            <w:pPr>
              <w:pStyle w:val="TableText"/>
              <w:ind w:left="166"/>
              <w:spacing w:before="10" w:line="219" w:lineRule="auto"/>
              <w:rPr>
                <w:sz w:val="21"/>
                <w:szCs w:val="21"/>
              </w:rPr>
            </w:pPr>
            <w:r>
              <w:rPr>
                <w:sz w:val="21"/>
                <w:szCs w:val="21"/>
                <w:spacing w:val="3"/>
              </w:rPr>
              <w:t>用溶剂型涂料(含稀释剂)</w:t>
            </w:r>
          </w:p>
          <w:p>
            <w:pPr>
              <w:pStyle w:val="TableText"/>
              <w:ind w:left="696"/>
              <w:spacing w:before="15" w:line="222" w:lineRule="auto"/>
              <w:rPr>
                <w:sz w:val="21"/>
                <w:szCs w:val="21"/>
              </w:rPr>
            </w:pPr>
            <w:r>
              <w:rPr>
                <w:sz w:val="21"/>
                <w:szCs w:val="21"/>
                <w:spacing w:val="2"/>
              </w:rPr>
              <w:t>10吨及以上的</w:t>
            </w:r>
          </w:p>
        </w:tc>
        <w:tc>
          <w:tcPr>
            <w:tcW w:w="1798" w:type="dxa"/>
            <w:vAlign w:val="top"/>
          </w:tcPr>
          <w:p>
            <w:pPr>
              <w:pStyle w:val="TableText"/>
              <w:ind w:left="212"/>
              <w:spacing w:before="299" w:line="220" w:lineRule="auto"/>
              <w:rPr>
                <w:sz w:val="21"/>
                <w:szCs w:val="21"/>
              </w:rPr>
            </w:pPr>
            <w:r>
              <w:rPr>
                <w:sz w:val="21"/>
                <w:szCs w:val="21"/>
                <w:b/>
                <w:bCs/>
                <w:spacing w:val="12"/>
              </w:rPr>
              <w:t>其他(仅分割、</w:t>
            </w:r>
          </w:p>
          <w:p>
            <w:pPr>
              <w:pStyle w:val="TableText"/>
              <w:ind w:left="162"/>
              <w:spacing w:before="39" w:line="219" w:lineRule="auto"/>
              <w:rPr>
                <w:sz w:val="21"/>
                <w:szCs w:val="21"/>
              </w:rPr>
            </w:pPr>
            <w:r>
              <w:rPr>
                <w:sz w:val="21"/>
                <w:szCs w:val="21"/>
                <w:b/>
                <w:bCs/>
                <w:spacing w:val="-4"/>
              </w:rPr>
              <w:t>焊接、组装的除</w:t>
            </w:r>
          </w:p>
          <w:p>
            <w:pPr>
              <w:pStyle w:val="TableText"/>
              <w:ind w:left="162"/>
              <w:spacing w:before="29" w:line="219" w:lineRule="auto"/>
              <w:rPr>
                <w:sz w:val="21"/>
                <w:szCs w:val="21"/>
              </w:rPr>
            </w:pPr>
            <w:r>
              <w:rPr>
                <w:sz w:val="21"/>
                <w:szCs w:val="21"/>
                <w:b/>
                <w:bCs/>
                <w:spacing w:val="-4"/>
              </w:rPr>
              <w:t>外；年用非溶剂</w:t>
            </w:r>
          </w:p>
          <w:p>
            <w:pPr>
              <w:pStyle w:val="TableText"/>
              <w:ind w:left="272"/>
              <w:spacing w:before="22" w:line="219" w:lineRule="auto"/>
              <w:rPr>
                <w:sz w:val="21"/>
                <w:szCs w:val="21"/>
              </w:rPr>
            </w:pPr>
            <w:r>
              <w:rPr>
                <w:sz w:val="21"/>
                <w:szCs w:val="21"/>
                <w:b/>
                <w:bCs/>
                <w:spacing w:val="-5"/>
              </w:rPr>
              <w:t>型低VOCs含量</w:t>
            </w:r>
          </w:p>
          <w:p>
            <w:pPr>
              <w:pStyle w:val="TableText"/>
              <w:ind w:left="162"/>
              <w:spacing w:before="31" w:line="220" w:lineRule="auto"/>
              <w:rPr>
                <w:sz w:val="21"/>
                <w:szCs w:val="21"/>
              </w:rPr>
            </w:pPr>
            <w:r>
              <w:rPr>
                <w:sz w:val="21"/>
                <w:szCs w:val="21"/>
                <w:b/>
                <w:bCs/>
                <w:spacing w:val="-1"/>
              </w:rPr>
              <w:t>涂料10吨以下的</w:t>
            </w:r>
          </w:p>
          <w:p>
            <w:pPr>
              <w:pStyle w:val="TableText"/>
              <w:ind w:left="632"/>
              <w:spacing w:before="19" w:line="219" w:lineRule="auto"/>
              <w:rPr>
                <w:sz w:val="21"/>
                <w:szCs w:val="21"/>
              </w:rPr>
            </w:pPr>
            <w:r>
              <w:rPr>
                <w:sz w:val="21"/>
                <w:szCs w:val="21"/>
                <w:b/>
                <w:bCs/>
                <w:spacing w:val="12"/>
              </w:rPr>
              <w:t>除外)</w:t>
            </w:r>
          </w:p>
        </w:tc>
        <w:tc>
          <w:tcPr>
            <w:tcW w:w="1168" w:type="dxa"/>
            <w:vAlign w:val="top"/>
            <w:tcBorders>
              <w:right w:val="single" w:color="000000" w:sz="6" w:space="0"/>
            </w:tcBorders>
          </w:tcPr>
          <w:p>
            <w:pPr>
              <w:spacing w:line="311" w:lineRule="auto"/>
              <w:rPr>
                <w:rFonts w:ascii="Arial"/>
                <w:sz w:val="21"/>
              </w:rPr>
            </w:pPr>
            <w:r/>
          </w:p>
          <w:p>
            <w:pPr>
              <w:spacing w:line="311" w:lineRule="auto"/>
              <w:rPr>
                <w:rFonts w:ascii="Arial"/>
                <w:sz w:val="21"/>
              </w:rPr>
            </w:pPr>
            <w:r/>
          </w:p>
          <w:p>
            <w:pPr>
              <w:spacing w:line="311" w:lineRule="auto"/>
              <w:rPr>
                <w:rFonts w:ascii="Arial"/>
                <w:sz w:val="21"/>
              </w:rPr>
            </w:pPr>
            <w:r/>
          </w:p>
          <w:p>
            <w:pPr>
              <w:pStyle w:val="TableText"/>
              <w:ind w:left="451"/>
              <w:spacing w:before="68" w:line="224" w:lineRule="auto"/>
              <w:rPr>
                <w:sz w:val="21"/>
                <w:szCs w:val="21"/>
              </w:rPr>
            </w:pPr>
            <w:r>
              <w:rPr>
                <w:sz w:val="21"/>
                <w:szCs w:val="21"/>
              </w:rPr>
              <w:t>/</w:t>
            </w:r>
          </w:p>
        </w:tc>
      </w:tr>
      <w:tr>
        <w:trPr>
          <w:trHeight w:val="5078" w:hRule="atLeast"/>
        </w:trPr>
        <w:tc>
          <w:tcPr>
            <w:tcW w:w="454" w:type="dxa"/>
            <w:vAlign w:val="top"/>
            <w:vMerge w:val="continue"/>
            <w:tcBorders>
              <w:left w:val="single" w:color="000000" w:sz="2" w:space="0"/>
              <w:bottom w:val="single" w:color="000000" w:sz="2" w:space="0"/>
              <w:right w:val="single" w:color="000000" w:sz="2" w:space="0"/>
              <w:top w:val="nil"/>
            </w:tcBorders>
          </w:tcPr>
          <w:p>
            <w:pPr>
              <w:rPr>
                <w:rFonts w:ascii="Arial"/>
                <w:sz w:val="21"/>
              </w:rPr>
            </w:pPr>
            <w:r/>
          </w:p>
        </w:tc>
        <w:tc>
          <w:tcPr>
            <w:tcW w:w="8485" w:type="dxa"/>
            <w:vAlign w:val="top"/>
            <w:gridSpan w:val="4"/>
            <w:tcBorders>
              <w:left w:val="single" w:color="000000" w:sz="2" w:space="0"/>
              <w:bottom w:val="single" w:color="000000" w:sz="2" w:space="0"/>
              <w:right w:val="single" w:color="000000" w:sz="6" w:space="0"/>
            </w:tcBorders>
          </w:tcPr>
          <w:p>
            <w:pPr>
              <w:pStyle w:val="TableText"/>
              <w:ind w:left="591"/>
              <w:spacing w:before="131" w:line="422" w:lineRule="exact"/>
              <w:rPr>
                <w:sz w:val="24"/>
                <w:szCs w:val="24"/>
              </w:rPr>
            </w:pPr>
            <w:r>
              <w:rPr>
                <w:sz w:val="24"/>
                <w:szCs w:val="24"/>
                <w:spacing w:val="2"/>
                <w:position w:val="13"/>
              </w:rPr>
              <w:t>编制单位依照相关规定编制本环境影响报告表，供建设单位报生态环</w:t>
            </w:r>
            <w:r>
              <w:rPr>
                <w:sz w:val="24"/>
                <w:szCs w:val="24"/>
                <w:spacing w:val="1"/>
                <w:position w:val="13"/>
              </w:rPr>
              <w:t>境主</w:t>
            </w:r>
          </w:p>
          <w:p>
            <w:pPr>
              <w:pStyle w:val="TableText"/>
              <w:ind w:left="101"/>
              <w:spacing w:line="219" w:lineRule="auto"/>
              <w:rPr>
                <w:sz w:val="24"/>
                <w:szCs w:val="24"/>
              </w:rPr>
            </w:pPr>
            <w:r>
              <w:rPr>
                <w:sz w:val="24"/>
                <w:szCs w:val="24"/>
                <w:spacing w:val="2"/>
              </w:rPr>
              <w:t>管部门审批和作为建设单位落实环保“三同时”制度、配套建设污染防治设施</w:t>
            </w:r>
          </w:p>
          <w:p>
            <w:pPr>
              <w:pStyle w:val="TableText"/>
              <w:ind w:left="101"/>
              <w:spacing w:before="133" w:line="219" w:lineRule="auto"/>
              <w:rPr>
                <w:sz w:val="24"/>
                <w:szCs w:val="24"/>
              </w:rPr>
            </w:pPr>
            <w:r>
              <w:rPr>
                <w:sz w:val="24"/>
                <w:szCs w:val="24"/>
                <w:spacing w:val="-12"/>
              </w:rPr>
              <w:t>的依据。</w:t>
            </w:r>
          </w:p>
          <w:p>
            <w:pPr>
              <w:pStyle w:val="TableText"/>
              <w:ind w:left="105"/>
              <w:spacing w:before="84" w:line="469" w:lineRule="exact"/>
              <w:rPr>
                <w:sz w:val="28"/>
                <w:szCs w:val="28"/>
              </w:rPr>
            </w:pPr>
            <w:r>
              <w:rPr>
                <w:sz w:val="28"/>
                <w:szCs w:val="28"/>
                <w:b/>
                <w:bCs/>
                <w:spacing w:val="-5"/>
                <w:position w:val="13"/>
              </w:rPr>
              <w:t>2.2项目概况与组成</w:t>
            </w:r>
          </w:p>
          <w:p>
            <w:pPr>
              <w:pStyle w:val="TableText"/>
              <w:ind w:left="103"/>
              <w:spacing w:line="219" w:lineRule="auto"/>
              <w:rPr>
                <w:sz w:val="24"/>
                <w:szCs w:val="24"/>
              </w:rPr>
            </w:pPr>
            <w:r>
              <w:rPr>
                <w:sz w:val="24"/>
                <w:szCs w:val="24"/>
                <w:b/>
                <w:bCs/>
                <w:spacing w:val="-20"/>
              </w:rPr>
              <w:t>2.2.1</w:t>
            </w:r>
            <w:r>
              <w:rPr>
                <w:sz w:val="24"/>
                <w:szCs w:val="24"/>
                <w:spacing w:val="-33"/>
              </w:rPr>
              <w:t xml:space="preserve"> </w:t>
            </w:r>
            <w:r>
              <w:rPr>
                <w:sz w:val="24"/>
                <w:szCs w:val="24"/>
                <w:b/>
                <w:bCs/>
                <w:spacing w:val="-20"/>
              </w:rPr>
              <w:t>项目概况</w:t>
            </w:r>
          </w:p>
          <w:p>
            <w:pPr>
              <w:pStyle w:val="TableText"/>
              <w:ind w:left="591"/>
              <w:spacing w:before="121" w:line="212" w:lineRule="auto"/>
              <w:rPr>
                <w:sz w:val="24"/>
                <w:szCs w:val="24"/>
              </w:rPr>
            </w:pPr>
            <w:r>
              <w:rPr>
                <w:sz w:val="24"/>
                <w:szCs w:val="24"/>
                <w:spacing w:val="1"/>
              </w:rPr>
              <w:t>1)项目名称：时代一汽二期年产20</w:t>
            </w:r>
            <w:r>
              <w:rPr>
                <w:rFonts w:ascii="Times New Roman" w:hAnsi="Times New Roman" w:eastAsia="Times New Roman" w:cs="Times New Roman"/>
                <w:sz w:val="24"/>
                <w:szCs w:val="24"/>
              </w:rPr>
              <w:t>gwh</w:t>
            </w:r>
            <w:r>
              <w:rPr>
                <w:rFonts w:ascii="Times New Roman" w:hAnsi="Times New Roman" w:eastAsia="Times New Roman" w:cs="Times New Roman"/>
                <w:sz w:val="24"/>
                <w:szCs w:val="24"/>
                <w:spacing w:val="37"/>
              </w:rPr>
              <w:t xml:space="preserve"> </w:t>
            </w:r>
            <w:r>
              <w:rPr>
                <w:sz w:val="24"/>
                <w:szCs w:val="24"/>
                <w:spacing w:val="1"/>
              </w:rPr>
              <w:t>动力电池扩建项目--凹版厂房及附</w:t>
            </w:r>
          </w:p>
          <w:p>
            <w:pPr>
              <w:pStyle w:val="TableText"/>
              <w:ind w:left="101"/>
              <w:spacing w:before="162" w:line="219" w:lineRule="auto"/>
              <w:rPr>
                <w:sz w:val="24"/>
                <w:szCs w:val="24"/>
              </w:rPr>
            </w:pPr>
            <w:r>
              <w:rPr>
                <w:sz w:val="24"/>
                <w:szCs w:val="24"/>
              </w:rPr>
              <w:t>属配套工程(项目代码：2206-350921-</w:t>
            </w:r>
            <w:r>
              <w:rPr>
                <w:sz w:val="24"/>
                <w:szCs w:val="24"/>
                <w:spacing w:val="-1"/>
              </w:rPr>
              <w:t>07-01-702031)</w:t>
            </w:r>
          </w:p>
          <w:p>
            <w:pPr>
              <w:pStyle w:val="TableText"/>
              <w:ind w:left="591"/>
              <w:spacing w:before="135" w:line="219" w:lineRule="auto"/>
              <w:rPr>
                <w:sz w:val="24"/>
                <w:szCs w:val="24"/>
              </w:rPr>
            </w:pPr>
            <w:r>
              <w:rPr>
                <w:sz w:val="24"/>
                <w:szCs w:val="24"/>
                <w:spacing w:val="6"/>
              </w:rPr>
              <w:t>2)建设单位：时代一汽动力电池有限公司</w:t>
            </w:r>
          </w:p>
          <w:p>
            <w:pPr>
              <w:pStyle w:val="TableText"/>
              <w:ind w:left="591"/>
              <w:spacing w:before="135" w:line="400" w:lineRule="exact"/>
              <w:rPr>
                <w:sz w:val="24"/>
                <w:szCs w:val="24"/>
              </w:rPr>
            </w:pPr>
            <w:r>
              <w:rPr>
                <w:sz w:val="24"/>
                <w:szCs w:val="24"/>
                <w:spacing w:val="9"/>
                <w:position w:val="11"/>
              </w:rPr>
              <w:t>3)建设地点：宁德市霞浦县经济开发区长富路6号</w:t>
            </w:r>
          </w:p>
          <w:p>
            <w:pPr>
              <w:pStyle w:val="TableText"/>
              <w:ind w:left="591"/>
              <w:spacing w:line="219" w:lineRule="auto"/>
              <w:rPr>
                <w:sz w:val="24"/>
                <w:szCs w:val="24"/>
              </w:rPr>
            </w:pPr>
            <w:r>
              <w:rPr>
                <w:sz w:val="24"/>
                <w:szCs w:val="24"/>
                <w:spacing w:val="9"/>
              </w:rPr>
              <w:t>4)建设性质：改扩建</w:t>
            </w:r>
          </w:p>
          <w:p>
            <w:pPr>
              <w:pStyle w:val="TableText"/>
              <w:ind w:left="591"/>
              <w:spacing w:before="156" w:line="220" w:lineRule="auto"/>
              <w:rPr>
                <w:sz w:val="24"/>
                <w:szCs w:val="24"/>
              </w:rPr>
            </w:pPr>
            <w:r>
              <w:rPr>
                <w:sz w:val="24"/>
                <w:szCs w:val="24"/>
                <w:spacing w:val="11"/>
              </w:rPr>
              <w:t>5)总投资：26000万元</w:t>
            </w:r>
          </w:p>
          <w:p>
            <w:pPr>
              <w:pStyle w:val="TableText"/>
              <w:ind w:left="591"/>
              <w:spacing w:before="134" w:line="219" w:lineRule="auto"/>
              <w:rPr>
                <w:sz w:val="24"/>
                <w:szCs w:val="24"/>
              </w:rPr>
            </w:pPr>
            <w:r>
              <w:rPr>
                <w:sz w:val="24"/>
                <w:szCs w:val="24"/>
                <w:spacing w:val="7"/>
              </w:rPr>
              <w:t>6)建设内容及生产规模：用地49亩，总建筑面积38183.29</w:t>
            </w:r>
            <w:r>
              <w:rPr>
                <w:rFonts w:ascii="Times New Roman" w:hAnsi="Times New Roman" w:eastAsia="Times New Roman" w:cs="Times New Roman"/>
                <w:sz w:val="24"/>
                <w:szCs w:val="24"/>
                <w:spacing w:val="7"/>
              </w:rPr>
              <w:t>m²</w:t>
            </w:r>
            <w:r>
              <w:rPr>
                <w:sz w:val="24"/>
                <w:szCs w:val="24"/>
                <w:spacing w:val="7"/>
              </w:rPr>
              <w:t>。主要建设</w:t>
            </w:r>
          </w:p>
        </w:tc>
      </w:tr>
    </w:tbl>
    <w:p>
      <w:pPr>
        <w:spacing w:line="231" w:lineRule="exact"/>
        <w:rPr>
          <w:rFonts w:ascii="Arial"/>
          <w:sz w:val="20"/>
        </w:rPr>
      </w:pPr>
      <w:r/>
    </w:p>
    <w:p>
      <w:pPr>
        <w:spacing w:line="231" w:lineRule="exact"/>
        <w:sectPr>
          <w:footerReference w:type="default" r:id="rId9"/>
          <w:pgSz w:w="11900" w:h="16840"/>
          <w:pgMar w:top="1410" w:right="1400" w:bottom="1218" w:left="1549" w:header="0" w:footer="1079" w:gutter="0"/>
        </w:sectPr>
        <w:rPr>
          <w:rFonts w:ascii="Arial" w:hAnsi="Arial" w:eastAsia="Arial" w:cs="Arial"/>
          <w:sz w:val="20"/>
          <w:szCs w:val="20"/>
        </w:rPr>
      </w:pPr>
    </w:p>
    <w:p>
      <w:pPr>
        <w:spacing w:line="37" w:lineRule="auto"/>
        <w:rPr>
          <w:rFonts w:ascii="Arial"/>
          <w:sz w:val="2"/>
        </w:rPr>
      </w:pPr>
      <w:r>
        <w:rPr>
          <w:rFonts w:ascii="Arial"/>
          <w:sz w:val="2"/>
        </w:rPr>
      </w:r>
    </w:p>
    <w:tbl>
      <w:tblPr>
        <w:tblStyle w:val="TableNormal"/>
        <w:tblW w:w="88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15"/>
        <w:gridCol w:w="579"/>
        <w:gridCol w:w="490"/>
        <w:gridCol w:w="709"/>
        <w:gridCol w:w="1848"/>
        <w:gridCol w:w="1478"/>
        <w:gridCol w:w="1488"/>
        <w:gridCol w:w="1863"/>
      </w:tblGrid>
      <w:tr>
        <w:trPr>
          <w:trHeight w:val="7190" w:hRule="atLeast"/>
        </w:trPr>
        <w:tc>
          <w:tcPr>
            <w:tcW w:w="415" w:type="dxa"/>
            <w:vAlign w:val="top"/>
            <w:vMerge w:val="restart"/>
            <w:tcBorders>
              <w:bottom w:val="nil"/>
            </w:tcBorders>
          </w:tcPr>
          <w:p>
            <w:pPr>
              <w:rPr>
                <w:rFonts w:ascii="Arial"/>
                <w:sz w:val="21"/>
              </w:rPr>
            </w:pPr>
            <w:r/>
          </w:p>
        </w:tc>
        <w:tc>
          <w:tcPr>
            <w:tcW w:w="8455" w:type="dxa"/>
            <w:vAlign w:val="top"/>
            <w:gridSpan w:val="7"/>
          </w:tcPr>
          <w:p>
            <w:pPr>
              <w:pStyle w:val="TableText"/>
              <w:ind w:left="150"/>
              <w:spacing w:before="144" w:line="420" w:lineRule="exact"/>
              <w:rPr/>
            </w:pPr>
            <w:r>
              <w:rPr>
                <w:position w:val="14"/>
              </w:rPr>
              <w:t>凹版车间、凹版设施房、门卫房、厂区风雨连廊、NMP罐区C(丙类防火等级，</w:t>
            </w:r>
          </w:p>
          <w:p>
            <w:pPr>
              <w:pStyle w:val="TableText"/>
              <w:ind w:left="140"/>
              <w:spacing w:line="219" w:lineRule="auto"/>
              <w:rPr/>
            </w:pPr>
            <w:r>
              <w:rPr>
                <w:spacing w:val="7"/>
              </w:rPr>
              <w:t>设有容积101.7m³</w:t>
            </w:r>
            <w:r>
              <w:rPr/>
              <w:t>NMP</w:t>
            </w:r>
            <w:r>
              <w:rPr>
                <w:spacing w:val="7"/>
              </w:rPr>
              <w:t>原料储罐2个，容积101.</w:t>
            </w:r>
            <w:r>
              <w:rPr>
                <w:spacing w:val="6"/>
              </w:rPr>
              <w:t>7m³</w:t>
            </w:r>
            <w:r>
              <w:rPr/>
              <w:t>NMP</w:t>
            </w:r>
            <w:r>
              <w:rPr>
                <w:spacing w:val="6"/>
              </w:rPr>
              <w:t>废料罐2个，配套泵</w:t>
            </w:r>
          </w:p>
          <w:p>
            <w:pPr>
              <w:pStyle w:val="TableText"/>
              <w:ind w:left="130"/>
              <w:spacing w:before="156" w:line="410" w:lineRule="exact"/>
              <w:rPr/>
            </w:pPr>
            <w:r>
              <w:rPr>
                <w:spacing w:val="1"/>
                <w:position w:val="13"/>
              </w:rPr>
              <w:t>机计量系统)、</w:t>
            </w:r>
            <w:r>
              <w:rPr>
                <w:position w:val="13"/>
              </w:rPr>
              <w:t>NMP</w:t>
            </w:r>
            <w:r>
              <w:rPr>
                <w:spacing w:val="1"/>
                <w:position w:val="13"/>
              </w:rPr>
              <w:t>泵房二、给水管网等，主要购</w:t>
            </w:r>
            <w:r>
              <w:rPr>
                <w:position w:val="13"/>
              </w:rPr>
              <w:t>置包括搅拌机、涂布机、凹</w:t>
            </w:r>
          </w:p>
          <w:p>
            <w:pPr>
              <w:pStyle w:val="TableText"/>
              <w:ind w:left="130"/>
              <w:spacing w:line="218" w:lineRule="auto"/>
              <w:rPr/>
            </w:pPr>
            <w:r>
              <w:rPr/>
              <w:t>版印刷机、锅炉等设备，建设阴、阳极片生产线各4条(生产的</w:t>
            </w:r>
            <w:r>
              <w:rPr>
                <w:spacing w:val="-1"/>
              </w:rPr>
              <w:t>阴、阳极片，</w:t>
            </w:r>
          </w:p>
          <w:p>
            <w:pPr>
              <w:pStyle w:val="TableText"/>
              <w:ind w:left="130"/>
              <w:spacing w:before="145" w:line="216" w:lineRule="auto"/>
              <w:rPr/>
            </w:pPr>
            <w:r>
              <w:rPr>
                <w:spacing w:val="1"/>
              </w:rPr>
              <w:t>用于二期工程年产20</w:t>
            </w:r>
            <w:r>
              <w:rPr/>
              <w:t>GWh</w:t>
            </w:r>
            <w:r>
              <w:rPr>
                <w:spacing w:val="1"/>
              </w:rPr>
              <w:t>动力电池项目),阴、阳凹版生产线各1条。本项目</w:t>
            </w:r>
          </w:p>
          <w:p>
            <w:pPr>
              <w:pStyle w:val="TableText"/>
              <w:ind w:left="130"/>
              <w:spacing w:before="143" w:line="410" w:lineRule="exact"/>
              <w:rPr/>
            </w:pPr>
            <w:r>
              <w:rPr>
                <w:position w:val="13"/>
              </w:rPr>
              <w:t>生产的阴、阳凹版仅提供给本厂区生产，不外售。项目建成后全厂整体产能不</w:t>
            </w:r>
          </w:p>
          <w:p>
            <w:pPr>
              <w:pStyle w:val="TableText"/>
              <w:ind w:left="120"/>
              <w:spacing w:before="1" w:line="219" w:lineRule="auto"/>
              <w:rPr/>
            </w:pPr>
            <w:r>
              <w:rPr/>
              <w:t>变，仍为30GWh动力电池。</w:t>
            </w:r>
          </w:p>
          <w:p>
            <w:pPr>
              <w:pStyle w:val="TableText"/>
              <w:ind w:left="130" w:right="480" w:firstLine="410"/>
              <w:spacing w:before="162" w:line="341" w:lineRule="auto"/>
              <w:jc w:val="both"/>
              <w:rPr/>
            </w:pPr>
            <w:r>
              <w:rPr/>
              <w:t>改扩建一期工程工业污水处理站：新建阴极废水预处理系统20t/d,阴极生</w:t>
            </w:r>
            <w:r>
              <w:rPr>
                <w:spacing w:val="9"/>
              </w:rPr>
              <w:t xml:space="preserve"> </w:t>
            </w:r>
            <w:r>
              <w:rPr/>
              <w:t>化处理系统100t/d,阳极预处理系统20t/d;将一期工程污水处理站生化系统(已</w:t>
            </w:r>
            <w:r>
              <w:rPr>
                <w:spacing w:val="13"/>
              </w:rPr>
              <w:t xml:space="preserve"> </w:t>
            </w:r>
            <w:r>
              <w:rPr>
                <w:spacing w:val="4"/>
              </w:rPr>
              <w:t>建)改造为阳极废水生化处理系统110t/d</w:t>
            </w:r>
            <w:r>
              <w:rPr>
                <w:spacing w:val="3"/>
              </w:rPr>
              <w:t>;新增50m³的事故池。改扩建后厂区</w:t>
            </w:r>
          </w:p>
          <w:p>
            <w:pPr>
              <w:pStyle w:val="TableText"/>
              <w:ind w:left="140"/>
              <w:spacing w:line="219" w:lineRule="auto"/>
              <w:rPr/>
            </w:pPr>
            <w:r>
              <w:rPr>
                <w:spacing w:val="-1"/>
              </w:rPr>
              <w:t>内产生的阴极、阳极废水分质分流处理。</w:t>
            </w:r>
          </w:p>
          <w:p>
            <w:pPr>
              <w:pStyle w:val="TableText"/>
              <w:ind w:left="600"/>
              <w:spacing w:before="144" w:line="440" w:lineRule="exact"/>
              <w:rPr/>
            </w:pPr>
            <w:r>
              <w:rPr>
                <w:position w:val="16"/>
              </w:rPr>
              <w:t>7)工作制度：本项目新增劳动定员300人；年生产天数300d,每日工作</w:t>
            </w:r>
          </w:p>
          <w:p>
            <w:pPr>
              <w:pStyle w:val="TableText"/>
              <w:ind w:left="140"/>
              <w:spacing w:line="216" w:lineRule="auto"/>
              <w:rPr/>
            </w:pPr>
            <w:r>
              <w:rPr>
                <w:spacing w:val="-1"/>
              </w:rPr>
              <w:t>22h,共计6600h/a。</w:t>
            </w:r>
          </w:p>
          <w:p>
            <w:pPr>
              <w:pStyle w:val="TableText"/>
              <w:ind w:left="610"/>
              <w:spacing w:before="134" w:line="440" w:lineRule="exact"/>
              <w:rPr/>
            </w:pPr>
            <w:r>
              <w:rPr>
                <w:position w:val="15"/>
              </w:rPr>
              <w:t>8)建设工期：2022年6月~2024年4月，累计22个月。</w:t>
            </w:r>
          </w:p>
          <w:p>
            <w:pPr>
              <w:pStyle w:val="TableText"/>
              <w:ind w:left="610"/>
              <w:spacing w:line="219" w:lineRule="auto"/>
              <w:rPr/>
            </w:pPr>
            <w:r>
              <w:rPr>
                <w:spacing w:val="1"/>
              </w:rPr>
              <w:t>9)产品方案</w:t>
            </w:r>
          </w:p>
          <w:p>
            <w:pPr>
              <w:pStyle w:val="TableText"/>
              <w:ind w:left="640"/>
              <w:spacing w:before="147" w:line="219" w:lineRule="auto"/>
              <w:rPr/>
            </w:pPr>
            <w:r>
              <w:rPr>
                <w:spacing w:val="1"/>
              </w:rPr>
              <w:t>建设项目产品方案详见表2.2-1。</w:t>
            </w:r>
          </w:p>
          <w:p>
            <w:pPr>
              <w:pStyle w:val="TableText"/>
              <w:ind w:left="2623"/>
              <w:spacing w:before="54" w:line="219" w:lineRule="auto"/>
              <w:rPr/>
            </w:pPr>
            <w:r>
              <w:rPr>
                <w:b/>
                <w:bCs/>
                <w:spacing w:val="-3"/>
              </w:rPr>
              <w:t>表2.2-1</w:t>
            </w:r>
            <w:r>
              <w:rPr>
                <w:spacing w:val="-3"/>
              </w:rPr>
              <w:t xml:space="preserve">  </w:t>
            </w:r>
            <w:r>
              <w:rPr>
                <w:b/>
                <w:bCs/>
                <w:spacing w:val="-3"/>
              </w:rPr>
              <w:t>建设项目产品方案</w:t>
            </w:r>
          </w:p>
        </w:tc>
      </w:tr>
      <w:tr>
        <w:trPr>
          <w:trHeight w:val="550" w:hRule="atLeast"/>
        </w:trPr>
        <w:tc>
          <w:tcPr>
            <w:tcW w:w="415" w:type="dxa"/>
            <w:vAlign w:val="top"/>
            <w:vMerge w:val="continue"/>
            <w:tcBorders>
              <w:top w:val="nil"/>
              <w:bottom w:val="nil"/>
            </w:tcBorders>
          </w:tcPr>
          <w:p>
            <w:pPr>
              <w:rPr>
                <w:rFonts w:ascii="Arial"/>
                <w:sz w:val="21"/>
              </w:rPr>
            </w:pPr>
            <w:r/>
          </w:p>
        </w:tc>
        <w:tc>
          <w:tcPr>
            <w:tcW w:w="579" w:type="dxa"/>
            <w:vAlign w:val="top"/>
            <w:textDirection w:val="tbRlV"/>
          </w:tcPr>
          <w:p>
            <w:pPr>
              <w:pStyle w:val="TableText"/>
              <w:ind w:left="32"/>
              <w:spacing w:before="179" w:line="217" w:lineRule="auto"/>
              <w:rPr/>
            </w:pPr>
            <w:r>
              <w:rPr/>
              <w:t>序号</w:t>
            </w:r>
          </w:p>
        </w:tc>
        <w:tc>
          <w:tcPr>
            <w:tcW w:w="1199" w:type="dxa"/>
            <w:vAlign w:val="top"/>
            <w:gridSpan w:val="2"/>
          </w:tcPr>
          <w:p>
            <w:pPr>
              <w:pStyle w:val="TableText"/>
              <w:ind w:left="361"/>
              <w:spacing w:before="165" w:line="220" w:lineRule="auto"/>
              <w:rPr/>
            </w:pPr>
            <w:r>
              <w:rPr>
                <w:spacing w:val="-3"/>
              </w:rPr>
              <w:t>工程</w:t>
            </w:r>
          </w:p>
        </w:tc>
        <w:tc>
          <w:tcPr>
            <w:tcW w:w="1848" w:type="dxa"/>
            <w:vAlign w:val="top"/>
          </w:tcPr>
          <w:p>
            <w:pPr>
              <w:pStyle w:val="TableText"/>
              <w:ind w:left="801" w:right="106" w:hanging="689"/>
              <w:spacing w:before="54" w:line="195" w:lineRule="auto"/>
              <w:rPr/>
            </w:pPr>
            <w:r>
              <w:rPr>
                <w:spacing w:val="1"/>
              </w:rPr>
              <w:t>生产线名称及数 </w:t>
            </w:r>
            <w:r>
              <w:rPr/>
              <w:t>量</w:t>
            </w:r>
          </w:p>
        </w:tc>
        <w:tc>
          <w:tcPr>
            <w:tcW w:w="1478" w:type="dxa"/>
            <w:vAlign w:val="top"/>
          </w:tcPr>
          <w:p>
            <w:pPr>
              <w:pStyle w:val="TableText"/>
              <w:ind w:left="274"/>
              <w:spacing w:before="164" w:line="219" w:lineRule="auto"/>
              <w:rPr/>
            </w:pPr>
            <w:r>
              <w:rPr>
                <w:spacing w:val="2"/>
              </w:rPr>
              <w:t>产品名称</w:t>
            </w:r>
          </w:p>
        </w:tc>
        <w:tc>
          <w:tcPr>
            <w:tcW w:w="1488" w:type="dxa"/>
            <w:vAlign w:val="top"/>
          </w:tcPr>
          <w:p>
            <w:pPr>
              <w:pStyle w:val="TableText"/>
              <w:ind w:left="506"/>
              <w:spacing w:before="164" w:line="219" w:lineRule="auto"/>
              <w:rPr/>
            </w:pPr>
            <w:r>
              <w:rPr>
                <w:spacing w:val="5"/>
              </w:rPr>
              <w:t>产能</w:t>
            </w:r>
          </w:p>
        </w:tc>
        <w:tc>
          <w:tcPr>
            <w:tcW w:w="1863" w:type="dxa"/>
            <w:vAlign w:val="top"/>
          </w:tcPr>
          <w:p>
            <w:pPr>
              <w:pStyle w:val="TableText"/>
              <w:ind w:left="698"/>
              <w:spacing w:before="165" w:line="221" w:lineRule="auto"/>
              <w:rPr/>
            </w:pPr>
            <w:r>
              <w:rPr>
                <w:spacing w:val="5"/>
              </w:rPr>
              <w:t>备注</w:t>
            </w:r>
          </w:p>
        </w:tc>
      </w:tr>
      <w:tr>
        <w:trPr>
          <w:trHeight w:val="559" w:hRule="atLeast"/>
        </w:trPr>
        <w:tc>
          <w:tcPr>
            <w:tcW w:w="415" w:type="dxa"/>
            <w:vAlign w:val="top"/>
            <w:vMerge w:val="continue"/>
            <w:tcBorders>
              <w:top w:val="nil"/>
              <w:bottom w:val="nil"/>
            </w:tcBorders>
          </w:tcPr>
          <w:p>
            <w:pPr>
              <w:rPr>
                <w:rFonts w:ascii="Arial"/>
                <w:sz w:val="21"/>
              </w:rPr>
            </w:pPr>
            <w:r/>
          </w:p>
        </w:tc>
        <w:tc>
          <w:tcPr>
            <w:tcW w:w="579" w:type="dxa"/>
            <w:vAlign w:val="top"/>
            <w:vMerge w:val="restart"/>
            <w:tcBorders>
              <w:bottom w:val="nil"/>
            </w:tcBorders>
          </w:tcPr>
          <w:p>
            <w:pPr>
              <w:spacing w:line="287" w:lineRule="auto"/>
              <w:rPr>
                <w:rFonts w:ascii="Arial"/>
                <w:sz w:val="21"/>
              </w:rPr>
            </w:pPr>
            <w:r/>
          </w:p>
          <w:p>
            <w:pPr>
              <w:spacing w:line="287" w:lineRule="auto"/>
              <w:rPr>
                <w:rFonts w:ascii="Arial"/>
                <w:sz w:val="21"/>
              </w:rPr>
            </w:pPr>
            <w:r/>
          </w:p>
          <w:p>
            <w:pPr>
              <w:spacing w:line="288" w:lineRule="auto"/>
              <w:rPr>
                <w:rFonts w:ascii="Arial"/>
                <w:sz w:val="21"/>
              </w:rPr>
            </w:pPr>
            <w:r/>
          </w:p>
          <w:p>
            <w:pPr>
              <w:pStyle w:val="TableText"/>
              <w:ind w:left="219"/>
              <w:spacing w:before="75" w:line="184" w:lineRule="auto"/>
              <w:rPr/>
            </w:pPr>
            <w:r>
              <w:rPr/>
              <w:t>1</w:t>
            </w:r>
          </w:p>
        </w:tc>
        <w:tc>
          <w:tcPr>
            <w:tcW w:w="490" w:type="dxa"/>
            <w:vAlign w:val="top"/>
            <w:vMerge w:val="restart"/>
            <w:textDirection w:val="tbRlV"/>
            <w:tcBorders>
              <w:bottom w:val="nil"/>
            </w:tcBorders>
          </w:tcPr>
          <w:p>
            <w:pPr>
              <w:pStyle w:val="TableText"/>
              <w:ind w:left="631"/>
              <w:spacing w:before="98" w:line="217" w:lineRule="auto"/>
              <w:rPr/>
            </w:pPr>
            <w:r>
              <w:rPr/>
              <w:t>期工程</w:t>
            </w:r>
          </w:p>
        </w:tc>
        <w:tc>
          <w:tcPr>
            <w:tcW w:w="709" w:type="dxa"/>
            <w:vAlign w:val="top"/>
          </w:tcPr>
          <w:p>
            <w:pPr>
              <w:pStyle w:val="TableText"/>
              <w:ind w:left="111" w:right="136"/>
              <w:spacing w:before="55" w:line="198" w:lineRule="auto"/>
              <w:rPr/>
            </w:pPr>
            <w:r>
              <w:rPr>
                <w:spacing w:val="-5"/>
              </w:rPr>
              <w:t>环评</w:t>
            </w:r>
            <w:r>
              <w:rPr/>
              <w:t xml:space="preserve"> </w:t>
            </w:r>
            <w:r>
              <w:rPr>
                <w:spacing w:val="-5"/>
              </w:rPr>
              <w:t>规模</w:t>
            </w:r>
          </w:p>
        </w:tc>
        <w:tc>
          <w:tcPr>
            <w:tcW w:w="3326" w:type="dxa"/>
            <w:vAlign w:val="top"/>
            <w:gridSpan w:val="2"/>
          </w:tcPr>
          <w:p>
            <w:pPr>
              <w:pStyle w:val="TableText"/>
              <w:ind w:left="442"/>
              <w:spacing w:before="174" w:line="219" w:lineRule="auto"/>
              <w:rPr/>
            </w:pPr>
            <w:r>
              <w:rPr>
                <w:spacing w:val="1"/>
              </w:rPr>
              <w:t>8条电芯线、10条模组线</w:t>
            </w:r>
          </w:p>
        </w:tc>
        <w:tc>
          <w:tcPr>
            <w:tcW w:w="1488" w:type="dxa"/>
            <w:vAlign w:val="top"/>
          </w:tcPr>
          <w:p>
            <w:pPr>
              <w:pStyle w:val="TableText"/>
              <w:ind w:left="106" w:right="61" w:firstLine="59"/>
              <w:spacing w:before="25" w:line="210" w:lineRule="auto"/>
              <w:rPr/>
            </w:pPr>
            <w:r>
              <w:rPr/>
              <w:t>10GWh(折合 </w:t>
            </w:r>
            <w:r>
              <w:rPr>
                <w:spacing w:val="5"/>
              </w:rPr>
              <w:t>270000万</w:t>
            </w:r>
            <w:r>
              <w:rPr/>
              <w:t>Ah</w:t>
            </w:r>
            <w:r>
              <w:rPr>
                <w:spacing w:val="5"/>
              </w:rPr>
              <w:t>)</w:t>
            </w:r>
          </w:p>
        </w:tc>
        <w:tc>
          <w:tcPr>
            <w:tcW w:w="1863" w:type="dxa"/>
            <w:vAlign w:val="top"/>
          </w:tcPr>
          <w:p>
            <w:pPr>
              <w:rPr>
                <w:rFonts w:ascii="Arial"/>
                <w:sz w:val="21"/>
              </w:rPr>
            </w:pPr>
            <w:r/>
          </w:p>
        </w:tc>
      </w:tr>
      <w:tr>
        <w:trPr>
          <w:trHeight w:val="260" w:hRule="atLeast"/>
        </w:trPr>
        <w:tc>
          <w:tcPr>
            <w:tcW w:w="415" w:type="dxa"/>
            <w:vAlign w:val="top"/>
            <w:vMerge w:val="continue"/>
            <w:tcBorders>
              <w:top w:val="nil"/>
              <w:bottom w:val="nil"/>
            </w:tcBorders>
          </w:tcPr>
          <w:p>
            <w:pPr>
              <w:rPr>
                <w:rFonts w:ascii="Arial"/>
                <w:sz w:val="21"/>
              </w:rPr>
            </w:pPr>
            <w:r/>
          </w:p>
        </w:tc>
        <w:tc>
          <w:tcPr>
            <w:tcW w:w="579" w:type="dxa"/>
            <w:vAlign w:val="top"/>
            <w:vMerge w:val="continue"/>
            <w:tcBorders>
              <w:top w:val="nil"/>
              <w:bottom w:val="nil"/>
            </w:tcBorders>
          </w:tcPr>
          <w:p>
            <w:pPr>
              <w:rPr>
                <w:rFonts w:ascii="Arial"/>
                <w:sz w:val="21"/>
              </w:rPr>
            </w:pPr>
            <w:r/>
          </w:p>
        </w:tc>
        <w:tc>
          <w:tcPr>
            <w:tcW w:w="490" w:type="dxa"/>
            <w:vAlign w:val="top"/>
            <w:vMerge w:val="continue"/>
            <w:textDirection w:val="tbRlV"/>
            <w:tcBorders>
              <w:top w:val="nil"/>
              <w:bottom w:val="nil"/>
            </w:tcBorders>
          </w:tcPr>
          <w:p>
            <w:pPr>
              <w:rPr>
                <w:rFonts w:ascii="Arial"/>
                <w:sz w:val="21"/>
              </w:rPr>
            </w:pPr>
            <w:r/>
          </w:p>
        </w:tc>
        <w:tc>
          <w:tcPr>
            <w:tcW w:w="709" w:type="dxa"/>
            <w:vAlign w:val="top"/>
            <w:vMerge w:val="restart"/>
            <w:tcBorders>
              <w:bottom w:val="nil"/>
            </w:tcBorders>
          </w:tcPr>
          <w:p>
            <w:pPr>
              <w:pStyle w:val="TableText"/>
              <w:ind w:left="111"/>
              <w:spacing w:before="176" w:line="221" w:lineRule="auto"/>
              <w:rPr/>
            </w:pPr>
            <w:r>
              <w:rPr>
                <w:spacing w:val="4"/>
              </w:rPr>
              <w:t>已建</w:t>
            </w:r>
          </w:p>
        </w:tc>
        <w:tc>
          <w:tcPr>
            <w:tcW w:w="1848" w:type="dxa"/>
            <w:vAlign w:val="top"/>
          </w:tcPr>
          <w:p>
            <w:pPr>
              <w:pStyle w:val="TableText"/>
              <w:ind w:left="395"/>
              <w:spacing w:before="22" w:line="183" w:lineRule="auto"/>
              <w:rPr/>
            </w:pPr>
            <w:r>
              <w:rPr>
                <w:b/>
                <w:bCs/>
              </w:rPr>
              <w:t>6条电芯线</w:t>
            </w:r>
          </w:p>
        </w:tc>
        <w:tc>
          <w:tcPr>
            <w:tcW w:w="1478" w:type="dxa"/>
            <w:vAlign w:val="top"/>
          </w:tcPr>
          <w:p>
            <w:pPr>
              <w:pStyle w:val="TableText"/>
              <w:ind w:left="384"/>
              <w:spacing w:before="25" w:line="180" w:lineRule="auto"/>
              <w:rPr/>
            </w:pPr>
            <w:r>
              <w:rPr>
                <w:spacing w:val="3"/>
              </w:rPr>
              <w:t>裸电芯</w:t>
            </w:r>
          </w:p>
        </w:tc>
        <w:tc>
          <w:tcPr>
            <w:tcW w:w="1488" w:type="dxa"/>
            <w:vAlign w:val="top"/>
            <w:vMerge w:val="restart"/>
            <w:tcBorders>
              <w:bottom w:val="nil"/>
            </w:tcBorders>
          </w:tcPr>
          <w:p>
            <w:pPr>
              <w:pStyle w:val="TableText"/>
              <w:ind w:left="106" w:right="61" w:firstLine="59"/>
              <w:spacing w:before="66" w:line="194" w:lineRule="auto"/>
              <w:rPr/>
            </w:pPr>
            <w:r>
              <w:rPr/>
              <w:t>10GWh(折合 </w:t>
            </w:r>
            <w:r>
              <w:rPr>
                <w:spacing w:val="5"/>
              </w:rPr>
              <w:t>270000万</w:t>
            </w:r>
            <w:r>
              <w:rPr/>
              <w:t>Ah</w:t>
            </w:r>
            <w:r>
              <w:rPr>
                <w:spacing w:val="5"/>
              </w:rPr>
              <w:t>)</w:t>
            </w:r>
          </w:p>
        </w:tc>
        <w:tc>
          <w:tcPr>
            <w:tcW w:w="1863" w:type="dxa"/>
            <w:vAlign w:val="top"/>
            <w:vMerge w:val="restart"/>
            <w:tcBorders>
              <w:bottom w:val="nil"/>
            </w:tcBorders>
          </w:tcPr>
          <w:p>
            <w:pPr>
              <w:pStyle w:val="TableText"/>
              <w:ind w:left="467" w:right="116" w:hanging="349"/>
              <w:spacing w:before="74" w:line="191" w:lineRule="auto"/>
              <w:rPr/>
            </w:pPr>
            <w:r>
              <w:rPr>
                <w:spacing w:val="1"/>
              </w:rPr>
              <w:t>已完成竣工环保</w:t>
            </w:r>
            <w:r>
              <w:rPr/>
              <w:t xml:space="preserve"> </w:t>
            </w:r>
            <w:r>
              <w:rPr>
                <w:spacing w:val="2"/>
              </w:rPr>
              <w:t>自主验收</w:t>
            </w:r>
          </w:p>
        </w:tc>
      </w:tr>
      <w:tr>
        <w:trPr>
          <w:trHeight w:val="290" w:hRule="atLeast"/>
        </w:trPr>
        <w:tc>
          <w:tcPr>
            <w:tcW w:w="415" w:type="dxa"/>
            <w:vAlign w:val="top"/>
            <w:vMerge w:val="continue"/>
            <w:tcBorders>
              <w:top w:val="nil"/>
              <w:bottom w:val="nil"/>
            </w:tcBorders>
          </w:tcPr>
          <w:p>
            <w:pPr>
              <w:rPr>
                <w:rFonts w:ascii="Arial"/>
                <w:sz w:val="21"/>
              </w:rPr>
            </w:pPr>
            <w:r/>
          </w:p>
        </w:tc>
        <w:tc>
          <w:tcPr>
            <w:tcW w:w="579" w:type="dxa"/>
            <w:vAlign w:val="top"/>
            <w:vMerge w:val="continue"/>
            <w:tcBorders>
              <w:top w:val="nil"/>
              <w:bottom w:val="nil"/>
            </w:tcBorders>
          </w:tcPr>
          <w:p>
            <w:pPr>
              <w:rPr>
                <w:rFonts w:ascii="Arial"/>
                <w:sz w:val="21"/>
              </w:rPr>
            </w:pPr>
            <w:r/>
          </w:p>
        </w:tc>
        <w:tc>
          <w:tcPr>
            <w:tcW w:w="490" w:type="dxa"/>
            <w:vAlign w:val="top"/>
            <w:vMerge w:val="continue"/>
            <w:textDirection w:val="tbRlV"/>
            <w:tcBorders>
              <w:top w:val="nil"/>
              <w:bottom w:val="nil"/>
            </w:tcBorders>
          </w:tcPr>
          <w:p>
            <w:pPr>
              <w:rPr>
                <w:rFonts w:ascii="Arial"/>
                <w:sz w:val="21"/>
              </w:rPr>
            </w:pPr>
            <w:r/>
          </w:p>
        </w:tc>
        <w:tc>
          <w:tcPr>
            <w:tcW w:w="709" w:type="dxa"/>
            <w:vAlign w:val="top"/>
            <w:vMerge w:val="continue"/>
            <w:tcBorders>
              <w:top w:val="nil"/>
            </w:tcBorders>
          </w:tcPr>
          <w:p>
            <w:pPr>
              <w:rPr>
                <w:rFonts w:ascii="Arial"/>
                <w:sz w:val="21"/>
              </w:rPr>
            </w:pPr>
            <w:r/>
          </w:p>
        </w:tc>
        <w:tc>
          <w:tcPr>
            <w:tcW w:w="1848" w:type="dxa"/>
            <w:vAlign w:val="top"/>
          </w:tcPr>
          <w:p>
            <w:pPr>
              <w:pStyle w:val="TableText"/>
              <w:ind w:left="395"/>
              <w:spacing w:before="32" w:line="199" w:lineRule="auto"/>
              <w:rPr/>
            </w:pPr>
            <w:r>
              <w:rPr>
                <w:b/>
                <w:bCs/>
              </w:rPr>
              <w:t>6条模组线</w:t>
            </w:r>
          </w:p>
        </w:tc>
        <w:tc>
          <w:tcPr>
            <w:tcW w:w="1478" w:type="dxa"/>
            <w:vAlign w:val="top"/>
          </w:tcPr>
          <w:p>
            <w:pPr>
              <w:pStyle w:val="TableText"/>
              <w:ind w:left="324"/>
              <w:spacing w:before="35" w:line="196" w:lineRule="auto"/>
              <w:rPr/>
            </w:pPr>
            <w:r>
              <w:rPr>
                <w:spacing w:val="-1"/>
              </w:rPr>
              <w:t>NCM模组</w:t>
            </w:r>
          </w:p>
        </w:tc>
        <w:tc>
          <w:tcPr>
            <w:tcW w:w="1488" w:type="dxa"/>
            <w:vAlign w:val="top"/>
            <w:vMerge w:val="continue"/>
            <w:tcBorders>
              <w:top w:val="nil"/>
            </w:tcBorders>
          </w:tcPr>
          <w:p>
            <w:pPr>
              <w:rPr>
                <w:rFonts w:ascii="Arial"/>
                <w:sz w:val="21"/>
              </w:rPr>
            </w:pPr>
            <w:r/>
          </w:p>
        </w:tc>
        <w:tc>
          <w:tcPr>
            <w:tcW w:w="1863" w:type="dxa"/>
            <w:vAlign w:val="top"/>
            <w:vMerge w:val="continue"/>
            <w:tcBorders>
              <w:top w:val="nil"/>
            </w:tcBorders>
          </w:tcPr>
          <w:p>
            <w:pPr>
              <w:rPr>
                <w:rFonts w:ascii="Arial"/>
                <w:sz w:val="21"/>
              </w:rPr>
            </w:pPr>
            <w:r/>
          </w:p>
        </w:tc>
      </w:tr>
      <w:tr>
        <w:trPr>
          <w:trHeight w:val="300" w:hRule="atLeast"/>
        </w:trPr>
        <w:tc>
          <w:tcPr>
            <w:tcW w:w="415" w:type="dxa"/>
            <w:vAlign w:val="top"/>
            <w:vMerge w:val="continue"/>
            <w:tcBorders>
              <w:top w:val="nil"/>
              <w:bottom w:val="nil"/>
            </w:tcBorders>
          </w:tcPr>
          <w:p>
            <w:pPr>
              <w:rPr>
                <w:rFonts w:ascii="Arial"/>
                <w:sz w:val="21"/>
              </w:rPr>
            </w:pPr>
            <w:r/>
          </w:p>
        </w:tc>
        <w:tc>
          <w:tcPr>
            <w:tcW w:w="579" w:type="dxa"/>
            <w:vAlign w:val="top"/>
            <w:vMerge w:val="continue"/>
            <w:tcBorders>
              <w:top w:val="nil"/>
              <w:bottom w:val="nil"/>
            </w:tcBorders>
          </w:tcPr>
          <w:p>
            <w:pPr>
              <w:rPr>
                <w:rFonts w:ascii="Arial"/>
                <w:sz w:val="21"/>
              </w:rPr>
            </w:pPr>
            <w:r/>
          </w:p>
        </w:tc>
        <w:tc>
          <w:tcPr>
            <w:tcW w:w="490" w:type="dxa"/>
            <w:vAlign w:val="top"/>
            <w:vMerge w:val="continue"/>
            <w:textDirection w:val="tbRlV"/>
            <w:tcBorders>
              <w:top w:val="nil"/>
              <w:bottom w:val="nil"/>
            </w:tcBorders>
          </w:tcPr>
          <w:p>
            <w:pPr>
              <w:rPr>
                <w:rFonts w:ascii="Arial"/>
                <w:sz w:val="21"/>
              </w:rPr>
            </w:pPr>
            <w:r/>
          </w:p>
        </w:tc>
        <w:tc>
          <w:tcPr>
            <w:tcW w:w="709" w:type="dxa"/>
            <w:vAlign w:val="top"/>
            <w:vMerge w:val="restart"/>
            <w:tcBorders>
              <w:bottom w:val="nil"/>
            </w:tcBorders>
          </w:tcPr>
          <w:p>
            <w:pPr>
              <w:pStyle w:val="TableText"/>
              <w:ind w:left="111"/>
              <w:spacing w:before="316" w:line="220" w:lineRule="auto"/>
              <w:rPr/>
            </w:pPr>
            <w:r>
              <w:rPr>
                <w:spacing w:val="4"/>
              </w:rPr>
              <w:t>未建</w:t>
            </w:r>
          </w:p>
        </w:tc>
        <w:tc>
          <w:tcPr>
            <w:tcW w:w="1848" w:type="dxa"/>
            <w:vAlign w:val="top"/>
          </w:tcPr>
          <w:p>
            <w:pPr>
              <w:pStyle w:val="TableText"/>
              <w:ind w:left="392"/>
              <w:spacing w:before="45" w:line="196" w:lineRule="auto"/>
              <w:rPr/>
            </w:pPr>
            <w:r>
              <w:rPr>
                <w:spacing w:val="4"/>
              </w:rPr>
              <w:t>2条电芯线</w:t>
            </w:r>
          </w:p>
        </w:tc>
        <w:tc>
          <w:tcPr>
            <w:tcW w:w="1478" w:type="dxa"/>
            <w:vAlign w:val="top"/>
          </w:tcPr>
          <w:p>
            <w:pPr>
              <w:pStyle w:val="TableText"/>
              <w:ind w:left="384"/>
              <w:spacing w:before="45" w:line="196" w:lineRule="auto"/>
              <w:rPr/>
            </w:pPr>
            <w:r>
              <w:rPr>
                <w:spacing w:val="3"/>
              </w:rPr>
              <w:t>裸电芯</w:t>
            </w:r>
          </w:p>
        </w:tc>
        <w:tc>
          <w:tcPr>
            <w:tcW w:w="1488" w:type="dxa"/>
            <w:vAlign w:val="top"/>
            <w:vMerge w:val="restart"/>
            <w:tcBorders>
              <w:bottom w:val="nil"/>
            </w:tcBorders>
          </w:tcPr>
          <w:p>
            <w:pPr>
              <w:spacing w:line="245" w:lineRule="auto"/>
              <w:rPr>
                <w:rFonts w:ascii="Arial"/>
                <w:sz w:val="21"/>
              </w:rPr>
            </w:pPr>
            <w:r/>
          </w:p>
          <w:p>
            <w:pPr>
              <w:pStyle w:val="TableText"/>
              <w:ind w:left="676"/>
              <w:spacing w:before="75" w:line="224" w:lineRule="auto"/>
              <w:rPr/>
            </w:pPr>
            <w:r>
              <w:rPr/>
              <w:t>/</w:t>
            </w:r>
          </w:p>
        </w:tc>
        <w:tc>
          <w:tcPr>
            <w:tcW w:w="1863" w:type="dxa"/>
            <w:vAlign w:val="top"/>
            <w:vMerge w:val="restart"/>
            <w:tcBorders>
              <w:bottom w:val="nil"/>
            </w:tcBorders>
          </w:tcPr>
          <w:p>
            <w:pPr>
              <w:pStyle w:val="TableText"/>
              <w:ind w:left="18"/>
              <w:spacing w:before="56" w:line="220" w:lineRule="auto"/>
              <w:rPr/>
            </w:pPr>
            <w:r>
              <w:rPr>
                <w:spacing w:val="-2"/>
              </w:rPr>
              <w:t>若继续建设，需根</w:t>
            </w:r>
          </w:p>
          <w:p>
            <w:pPr>
              <w:pStyle w:val="TableText"/>
              <w:ind w:left="467" w:right="133" w:hanging="349"/>
              <w:spacing w:before="13" w:line="195" w:lineRule="auto"/>
              <w:rPr/>
            </w:pPr>
            <w:r>
              <w:rPr>
                <w:spacing w:val="-2"/>
              </w:rPr>
              <w:t>据环评要求重新</w:t>
            </w:r>
            <w:r>
              <w:rPr>
                <w:spacing w:val="4"/>
              </w:rPr>
              <w:t xml:space="preserve"> </w:t>
            </w:r>
            <w:r>
              <w:rPr>
                <w:spacing w:val="2"/>
              </w:rPr>
              <w:t>申报产能</w:t>
            </w:r>
          </w:p>
        </w:tc>
      </w:tr>
      <w:tr>
        <w:trPr>
          <w:trHeight w:val="530" w:hRule="atLeast"/>
        </w:trPr>
        <w:tc>
          <w:tcPr>
            <w:tcW w:w="415" w:type="dxa"/>
            <w:vAlign w:val="top"/>
            <w:vMerge w:val="continue"/>
            <w:tcBorders>
              <w:top w:val="nil"/>
              <w:bottom w:val="nil"/>
            </w:tcBorders>
          </w:tcPr>
          <w:p>
            <w:pPr>
              <w:rPr>
                <w:rFonts w:ascii="Arial"/>
                <w:sz w:val="21"/>
              </w:rPr>
            </w:pPr>
            <w:r/>
          </w:p>
        </w:tc>
        <w:tc>
          <w:tcPr>
            <w:tcW w:w="579" w:type="dxa"/>
            <w:vAlign w:val="top"/>
            <w:vMerge w:val="continue"/>
            <w:tcBorders>
              <w:top w:val="nil"/>
            </w:tcBorders>
          </w:tcPr>
          <w:p>
            <w:pPr>
              <w:rPr>
                <w:rFonts w:ascii="Arial"/>
                <w:sz w:val="21"/>
              </w:rPr>
            </w:pPr>
            <w:r/>
          </w:p>
        </w:tc>
        <w:tc>
          <w:tcPr>
            <w:tcW w:w="490" w:type="dxa"/>
            <w:vAlign w:val="top"/>
            <w:vMerge w:val="continue"/>
            <w:textDirection w:val="tbRlV"/>
            <w:tcBorders>
              <w:top w:val="nil"/>
            </w:tcBorders>
          </w:tcPr>
          <w:p>
            <w:pPr>
              <w:rPr>
                <w:rFonts w:ascii="Arial"/>
                <w:sz w:val="21"/>
              </w:rPr>
            </w:pPr>
            <w:r/>
          </w:p>
        </w:tc>
        <w:tc>
          <w:tcPr>
            <w:tcW w:w="709" w:type="dxa"/>
            <w:vAlign w:val="top"/>
            <w:vMerge w:val="continue"/>
            <w:tcBorders>
              <w:top w:val="nil"/>
            </w:tcBorders>
          </w:tcPr>
          <w:p>
            <w:pPr>
              <w:rPr>
                <w:rFonts w:ascii="Arial"/>
                <w:sz w:val="21"/>
              </w:rPr>
            </w:pPr>
            <w:r/>
          </w:p>
        </w:tc>
        <w:tc>
          <w:tcPr>
            <w:tcW w:w="1848" w:type="dxa"/>
            <w:vAlign w:val="top"/>
          </w:tcPr>
          <w:p>
            <w:pPr>
              <w:pStyle w:val="TableText"/>
              <w:ind w:left="392"/>
              <w:spacing w:before="155" w:line="219" w:lineRule="auto"/>
              <w:rPr/>
            </w:pPr>
            <w:r>
              <w:rPr>
                <w:spacing w:val="4"/>
              </w:rPr>
              <w:t>4条模组线</w:t>
            </w:r>
          </w:p>
        </w:tc>
        <w:tc>
          <w:tcPr>
            <w:tcW w:w="1478" w:type="dxa"/>
            <w:vAlign w:val="top"/>
          </w:tcPr>
          <w:p>
            <w:pPr>
              <w:pStyle w:val="TableText"/>
              <w:ind w:left="324"/>
              <w:spacing w:before="155" w:line="219" w:lineRule="auto"/>
              <w:rPr/>
            </w:pPr>
            <w:r>
              <w:rPr>
                <w:spacing w:val="-1"/>
              </w:rPr>
              <w:t>NCM模组</w:t>
            </w:r>
          </w:p>
        </w:tc>
        <w:tc>
          <w:tcPr>
            <w:tcW w:w="1488" w:type="dxa"/>
            <w:vAlign w:val="top"/>
            <w:vMerge w:val="continue"/>
            <w:tcBorders>
              <w:top w:val="nil"/>
            </w:tcBorders>
          </w:tcPr>
          <w:p>
            <w:pPr>
              <w:rPr>
                <w:rFonts w:ascii="Arial"/>
                <w:sz w:val="21"/>
              </w:rPr>
            </w:pPr>
            <w:r/>
          </w:p>
        </w:tc>
        <w:tc>
          <w:tcPr>
            <w:tcW w:w="1863" w:type="dxa"/>
            <w:vAlign w:val="top"/>
            <w:vMerge w:val="continue"/>
            <w:tcBorders>
              <w:top w:val="nil"/>
            </w:tcBorders>
          </w:tcPr>
          <w:p>
            <w:pPr>
              <w:rPr>
                <w:rFonts w:ascii="Arial"/>
                <w:sz w:val="21"/>
              </w:rPr>
            </w:pPr>
            <w:r/>
          </w:p>
        </w:tc>
      </w:tr>
      <w:tr>
        <w:trPr>
          <w:trHeight w:val="539" w:hRule="atLeast"/>
        </w:trPr>
        <w:tc>
          <w:tcPr>
            <w:tcW w:w="415" w:type="dxa"/>
            <w:vAlign w:val="top"/>
            <w:vMerge w:val="continue"/>
            <w:tcBorders>
              <w:top w:val="nil"/>
              <w:bottom w:val="nil"/>
            </w:tcBorders>
          </w:tcPr>
          <w:p>
            <w:pPr>
              <w:rPr>
                <w:rFonts w:ascii="Arial"/>
                <w:sz w:val="21"/>
              </w:rPr>
            </w:pPr>
            <w:r/>
          </w:p>
        </w:tc>
        <w:tc>
          <w:tcPr>
            <w:tcW w:w="579" w:type="dxa"/>
            <w:vAlign w:val="top"/>
            <w:vMerge w:val="restart"/>
            <w:tcBorders>
              <w:bottom w:val="nil"/>
            </w:tcBorders>
          </w:tcPr>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219"/>
              <w:spacing w:before="75" w:line="183" w:lineRule="auto"/>
              <w:rPr/>
            </w:pPr>
            <w:r>
              <w:rPr/>
              <w:t>2</w:t>
            </w:r>
          </w:p>
        </w:tc>
        <w:tc>
          <w:tcPr>
            <w:tcW w:w="490" w:type="dxa"/>
            <w:vAlign w:val="top"/>
            <w:vMerge w:val="restart"/>
            <w:textDirection w:val="tbRlV"/>
            <w:tcBorders>
              <w:bottom w:val="nil"/>
            </w:tcBorders>
          </w:tcPr>
          <w:p>
            <w:pPr>
              <w:pStyle w:val="TableText"/>
              <w:ind w:left="598"/>
              <w:spacing w:before="98" w:line="217" w:lineRule="auto"/>
              <w:rPr/>
            </w:pPr>
            <w:r>
              <w:rPr>
                <w:spacing w:val="13"/>
              </w:rPr>
              <w:t>二期工程</w:t>
            </w:r>
          </w:p>
        </w:tc>
        <w:tc>
          <w:tcPr>
            <w:tcW w:w="709" w:type="dxa"/>
            <w:vAlign w:val="top"/>
          </w:tcPr>
          <w:p>
            <w:pPr>
              <w:pStyle w:val="TableText"/>
              <w:ind w:left="111" w:right="136"/>
              <w:spacing w:before="55" w:line="190" w:lineRule="auto"/>
              <w:rPr/>
            </w:pPr>
            <w:r>
              <w:rPr>
                <w:spacing w:val="-5"/>
              </w:rPr>
              <w:t>环评</w:t>
            </w:r>
            <w:r>
              <w:rPr/>
              <w:t xml:space="preserve"> </w:t>
            </w:r>
            <w:r>
              <w:rPr>
                <w:spacing w:val="-5"/>
              </w:rPr>
              <w:t>规模</w:t>
            </w:r>
          </w:p>
        </w:tc>
        <w:tc>
          <w:tcPr>
            <w:tcW w:w="3326" w:type="dxa"/>
            <w:vAlign w:val="top"/>
            <w:gridSpan w:val="2"/>
          </w:tcPr>
          <w:p>
            <w:pPr>
              <w:pStyle w:val="TableText"/>
              <w:ind w:left="505"/>
              <w:spacing w:before="162" w:line="219" w:lineRule="auto"/>
              <w:rPr/>
            </w:pPr>
            <w:r>
              <w:rPr>
                <w:b/>
                <w:bCs/>
                <w:spacing w:val="-2"/>
              </w:rPr>
              <w:t>6条电芯线、5条模组线</w:t>
            </w:r>
          </w:p>
        </w:tc>
        <w:tc>
          <w:tcPr>
            <w:tcW w:w="1488" w:type="dxa"/>
            <w:vAlign w:val="top"/>
          </w:tcPr>
          <w:p>
            <w:pPr>
              <w:pStyle w:val="TableText"/>
              <w:ind w:left="106" w:right="61" w:firstLine="59"/>
              <w:spacing w:before="45" w:line="194" w:lineRule="auto"/>
              <w:rPr/>
            </w:pPr>
            <w:r>
              <w:rPr/>
              <w:t>20GWh(折合 </w:t>
            </w:r>
            <w:r>
              <w:rPr>
                <w:spacing w:val="5"/>
              </w:rPr>
              <w:t>540000万</w:t>
            </w:r>
            <w:r>
              <w:rPr/>
              <w:t>Ah</w:t>
            </w:r>
            <w:r>
              <w:rPr>
                <w:spacing w:val="5"/>
              </w:rPr>
              <w:t>)</w:t>
            </w:r>
          </w:p>
        </w:tc>
        <w:tc>
          <w:tcPr>
            <w:tcW w:w="1863" w:type="dxa"/>
            <w:vAlign w:val="top"/>
          </w:tcPr>
          <w:p>
            <w:pPr>
              <w:rPr>
                <w:rFonts w:ascii="Arial"/>
                <w:sz w:val="21"/>
              </w:rPr>
            </w:pPr>
            <w:r/>
          </w:p>
        </w:tc>
      </w:tr>
      <w:tr>
        <w:trPr>
          <w:trHeight w:val="819" w:hRule="atLeast"/>
        </w:trPr>
        <w:tc>
          <w:tcPr>
            <w:tcW w:w="415" w:type="dxa"/>
            <w:vAlign w:val="top"/>
            <w:vMerge w:val="continue"/>
            <w:tcBorders>
              <w:top w:val="nil"/>
              <w:bottom w:val="nil"/>
            </w:tcBorders>
          </w:tcPr>
          <w:p>
            <w:pPr>
              <w:rPr>
                <w:rFonts w:ascii="Arial"/>
                <w:sz w:val="21"/>
              </w:rPr>
            </w:pPr>
            <w:r/>
          </w:p>
        </w:tc>
        <w:tc>
          <w:tcPr>
            <w:tcW w:w="579" w:type="dxa"/>
            <w:vAlign w:val="top"/>
            <w:vMerge w:val="continue"/>
            <w:tcBorders>
              <w:top w:val="nil"/>
              <w:bottom w:val="nil"/>
            </w:tcBorders>
          </w:tcPr>
          <w:p>
            <w:pPr>
              <w:rPr>
                <w:rFonts w:ascii="Arial"/>
                <w:sz w:val="21"/>
              </w:rPr>
            </w:pPr>
            <w:r/>
          </w:p>
        </w:tc>
        <w:tc>
          <w:tcPr>
            <w:tcW w:w="490" w:type="dxa"/>
            <w:vAlign w:val="top"/>
            <w:vMerge w:val="continue"/>
            <w:textDirection w:val="tbRlV"/>
            <w:tcBorders>
              <w:top w:val="nil"/>
              <w:bottom w:val="nil"/>
            </w:tcBorders>
          </w:tcPr>
          <w:p>
            <w:pPr>
              <w:rPr>
                <w:rFonts w:ascii="Arial"/>
                <w:sz w:val="21"/>
              </w:rPr>
            </w:pPr>
            <w:r/>
          </w:p>
        </w:tc>
        <w:tc>
          <w:tcPr>
            <w:tcW w:w="709" w:type="dxa"/>
            <w:vAlign w:val="top"/>
          </w:tcPr>
          <w:p>
            <w:pPr>
              <w:pStyle w:val="TableText"/>
              <w:ind w:left="111"/>
              <w:spacing w:before="307" w:line="221" w:lineRule="auto"/>
              <w:rPr/>
            </w:pPr>
            <w:r>
              <w:rPr>
                <w:spacing w:val="4"/>
              </w:rPr>
              <w:t>已建</w:t>
            </w:r>
          </w:p>
        </w:tc>
        <w:tc>
          <w:tcPr>
            <w:tcW w:w="1848" w:type="dxa"/>
            <w:vAlign w:val="top"/>
          </w:tcPr>
          <w:p>
            <w:pPr>
              <w:pStyle w:val="TableText"/>
              <w:ind w:left="112"/>
              <w:spacing w:before="45" w:line="209" w:lineRule="auto"/>
              <w:rPr/>
            </w:pPr>
            <w:r>
              <w:rPr>
                <w:spacing w:val="1"/>
              </w:rPr>
              <w:t>电芯生产线前工</w:t>
            </w:r>
          </w:p>
          <w:p>
            <w:pPr>
              <w:pStyle w:val="TableText"/>
              <w:ind w:left="52"/>
              <w:spacing w:line="208" w:lineRule="auto"/>
              <w:rPr/>
            </w:pPr>
            <w:r>
              <w:rPr>
                <w:spacing w:val="-1"/>
              </w:rPr>
              <w:t>序6条，电芯生产</w:t>
            </w:r>
          </w:p>
          <w:p>
            <w:pPr>
              <w:pStyle w:val="TableText"/>
              <w:ind w:left="282"/>
              <w:spacing w:before="1" w:line="194" w:lineRule="auto"/>
              <w:rPr/>
            </w:pPr>
            <w:r>
              <w:rPr>
                <w:spacing w:val="-2"/>
              </w:rPr>
              <w:t>线后工序2条</w:t>
            </w:r>
          </w:p>
        </w:tc>
        <w:tc>
          <w:tcPr>
            <w:tcW w:w="1478" w:type="dxa"/>
            <w:vAlign w:val="top"/>
          </w:tcPr>
          <w:p>
            <w:pPr>
              <w:pStyle w:val="TableText"/>
              <w:ind w:left="384"/>
              <w:spacing w:before="307" w:line="220" w:lineRule="auto"/>
              <w:rPr/>
            </w:pPr>
            <w:r>
              <w:rPr>
                <w:spacing w:val="3"/>
              </w:rPr>
              <w:t>裸电芯</w:t>
            </w:r>
          </w:p>
        </w:tc>
        <w:tc>
          <w:tcPr>
            <w:tcW w:w="1488" w:type="dxa"/>
            <w:vAlign w:val="top"/>
          </w:tcPr>
          <w:p>
            <w:pPr>
              <w:pStyle w:val="TableText"/>
              <w:ind w:left="106" w:right="61"/>
              <w:spacing w:before="188" w:line="222" w:lineRule="auto"/>
              <w:rPr/>
            </w:pPr>
            <w:r>
              <w:rPr>
                <w:spacing w:val="-2"/>
              </w:rPr>
              <w:t>6.7GWh(折合</w:t>
            </w:r>
            <w:r>
              <w:rPr>
                <w:spacing w:val="6"/>
              </w:rPr>
              <w:t xml:space="preserve"> </w:t>
            </w:r>
            <w:r>
              <w:rPr>
                <w:spacing w:val="5"/>
              </w:rPr>
              <w:t>180900万</w:t>
            </w:r>
            <w:r>
              <w:rPr/>
              <w:t>Ah</w:t>
            </w:r>
            <w:r>
              <w:rPr>
                <w:spacing w:val="5"/>
              </w:rPr>
              <w:t>)</w:t>
            </w:r>
          </w:p>
        </w:tc>
        <w:tc>
          <w:tcPr>
            <w:tcW w:w="1863" w:type="dxa"/>
            <w:vAlign w:val="top"/>
          </w:tcPr>
          <w:p>
            <w:pPr>
              <w:pStyle w:val="TableText"/>
              <w:ind w:left="467" w:right="116" w:hanging="349"/>
              <w:spacing w:before="196" w:line="218" w:lineRule="auto"/>
              <w:rPr/>
            </w:pPr>
            <w:r>
              <w:rPr>
                <w:spacing w:val="1"/>
              </w:rPr>
              <w:t>已完成竣工环保</w:t>
            </w:r>
            <w:r>
              <w:rPr/>
              <w:t xml:space="preserve"> </w:t>
            </w:r>
            <w:r>
              <w:rPr>
                <w:spacing w:val="2"/>
              </w:rPr>
              <w:t>自主验收</w:t>
            </w:r>
          </w:p>
        </w:tc>
      </w:tr>
      <w:tr>
        <w:trPr>
          <w:trHeight w:val="539" w:hRule="atLeast"/>
        </w:trPr>
        <w:tc>
          <w:tcPr>
            <w:tcW w:w="415" w:type="dxa"/>
            <w:vAlign w:val="top"/>
            <w:vMerge w:val="continue"/>
            <w:tcBorders>
              <w:top w:val="nil"/>
              <w:bottom w:val="nil"/>
            </w:tcBorders>
          </w:tcPr>
          <w:p>
            <w:pPr>
              <w:rPr>
                <w:rFonts w:ascii="Arial"/>
                <w:sz w:val="21"/>
              </w:rPr>
            </w:pPr>
            <w:r/>
          </w:p>
        </w:tc>
        <w:tc>
          <w:tcPr>
            <w:tcW w:w="579" w:type="dxa"/>
            <w:vAlign w:val="top"/>
            <w:vMerge w:val="continue"/>
            <w:tcBorders>
              <w:top w:val="nil"/>
              <w:bottom w:val="nil"/>
            </w:tcBorders>
          </w:tcPr>
          <w:p>
            <w:pPr>
              <w:rPr>
                <w:rFonts w:ascii="Arial"/>
                <w:sz w:val="21"/>
              </w:rPr>
            </w:pPr>
            <w:r/>
          </w:p>
        </w:tc>
        <w:tc>
          <w:tcPr>
            <w:tcW w:w="490" w:type="dxa"/>
            <w:vAlign w:val="top"/>
            <w:vMerge w:val="continue"/>
            <w:textDirection w:val="tbRlV"/>
            <w:tcBorders>
              <w:top w:val="nil"/>
              <w:bottom w:val="nil"/>
            </w:tcBorders>
          </w:tcPr>
          <w:p>
            <w:pPr>
              <w:rPr>
                <w:rFonts w:ascii="Arial"/>
                <w:sz w:val="21"/>
              </w:rPr>
            </w:pPr>
            <w:r/>
          </w:p>
        </w:tc>
        <w:tc>
          <w:tcPr>
            <w:tcW w:w="709" w:type="dxa"/>
            <w:vAlign w:val="top"/>
            <w:vMerge w:val="restart"/>
            <w:tcBorders>
              <w:bottom w:val="nil"/>
            </w:tcBorders>
          </w:tcPr>
          <w:p>
            <w:pPr>
              <w:spacing w:line="242" w:lineRule="auto"/>
              <w:rPr>
                <w:rFonts w:ascii="Arial"/>
                <w:sz w:val="21"/>
              </w:rPr>
            </w:pPr>
            <w:r/>
          </w:p>
          <w:p>
            <w:pPr>
              <w:pStyle w:val="TableText"/>
              <w:ind w:left="111"/>
              <w:spacing w:before="75" w:line="221" w:lineRule="auto"/>
              <w:rPr/>
            </w:pPr>
            <w:r>
              <w:rPr>
                <w:spacing w:val="-3"/>
              </w:rPr>
              <w:t>在建</w:t>
            </w:r>
          </w:p>
        </w:tc>
        <w:tc>
          <w:tcPr>
            <w:tcW w:w="1848" w:type="dxa"/>
            <w:vAlign w:val="top"/>
          </w:tcPr>
          <w:p>
            <w:pPr>
              <w:pStyle w:val="TableText"/>
              <w:ind w:left="161" w:right="105" w:hanging="49"/>
              <w:spacing w:before="48" w:line="193" w:lineRule="auto"/>
              <w:rPr/>
            </w:pPr>
            <w:r>
              <w:rPr>
                <w:spacing w:val="1"/>
              </w:rPr>
              <w:t>动力电池电芯生</w:t>
            </w:r>
            <w:r>
              <w:rPr>
                <w:spacing w:val="2"/>
              </w:rPr>
              <w:t xml:space="preserve"> </w:t>
            </w:r>
            <w:r>
              <w:rPr>
                <w:spacing w:val="2"/>
              </w:rPr>
              <w:t>产线后工序4条</w:t>
            </w:r>
          </w:p>
        </w:tc>
        <w:tc>
          <w:tcPr>
            <w:tcW w:w="1478" w:type="dxa"/>
            <w:vAlign w:val="top"/>
          </w:tcPr>
          <w:p>
            <w:pPr>
              <w:pStyle w:val="TableText"/>
              <w:ind w:left="384"/>
              <w:spacing w:before="168" w:line="220" w:lineRule="auto"/>
              <w:rPr/>
            </w:pPr>
            <w:r>
              <w:rPr>
                <w:spacing w:val="3"/>
              </w:rPr>
              <w:t>裸电芯</w:t>
            </w:r>
          </w:p>
        </w:tc>
        <w:tc>
          <w:tcPr>
            <w:tcW w:w="1488" w:type="dxa"/>
            <w:vAlign w:val="top"/>
            <w:vMerge w:val="restart"/>
            <w:tcBorders>
              <w:bottom w:val="nil"/>
            </w:tcBorders>
          </w:tcPr>
          <w:p>
            <w:pPr>
              <w:pStyle w:val="TableText"/>
              <w:ind w:left="165"/>
              <w:spacing w:before="77" w:line="217" w:lineRule="auto"/>
              <w:rPr/>
            </w:pPr>
            <w:r>
              <w:rPr>
                <w:spacing w:val="1"/>
              </w:rPr>
              <w:t>13.3</w:t>
            </w:r>
            <w:r>
              <w:rPr/>
              <w:t>GWh</w:t>
            </w:r>
            <w:r>
              <w:rPr>
                <w:spacing w:val="1"/>
              </w:rPr>
              <w:t>(折</w:t>
            </w:r>
          </w:p>
          <w:p>
            <w:pPr>
              <w:pStyle w:val="TableText"/>
              <w:ind w:left="165"/>
              <w:spacing w:before="1" w:line="194" w:lineRule="auto"/>
              <w:rPr/>
            </w:pPr>
            <w:r>
              <w:rPr>
                <w:spacing w:val="1"/>
              </w:rPr>
              <w:t>合359100万</w:t>
            </w:r>
          </w:p>
          <w:p>
            <w:pPr>
              <w:pStyle w:val="TableText"/>
              <w:ind w:left="566"/>
              <w:spacing w:line="191" w:lineRule="auto"/>
              <w:rPr/>
            </w:pPr>
            <w:r>
              <w:rPr>
                <w:spacing w:val="-1"/>
              </w:rPr>
              <w:t>Ah)</w:t>
            </w:r>
          </w:p>
        </w:tc>
        <w:tc>
          <w:tcPr>
            <w:tcW w:w="1863" w:type="dxa"/>
            <w:vAlign w:val="top"/>
            <w:vMerge w:val="restart"/>
            <w:tcBorders>
              <w:bottom w:val="nil"/>
            </w:tcBorders>
          </w:tcPr>
          <w:p>
            <w:pPr>
              <w:spacing w:line="247" w:lineRule="auto"/>
              <w:rPr>
                <w:rFonts w:ascii="Arial"/>
                <w:sz w:val="21"/>
              </w:rPr>
            </w:pPr>
            <w:r/>
          </w:p>
          <w:p>
            <w:pPr>
              <w:pStyle w:val="TableText"/>
              <w:ind w:left="868"/>
              <w:spacing w:before="75" w:line="224" w:lineRule="auto"/>
              <w:rPr/>
            </w:pPr>
            <w:r>
              <w:rPr/>
              <w:t>/</w:t>
            </w:r>
          </w:p>
        </w:tc>
      </w:tr>
      <w:tr>
        <w:trPr>
          <w:trHeight w:val="290" w:hRule="atLeast"/>
        </w:trPr>
        <w:tc>
          <w:tcPr>
            <w:tcW w:w="415" w:type="dxa"/>
            <w:vAlign w:val="top"/>
            <w:vMerge w:val="continue"/>
            <w:tcBorders>
              <w:top w:val="nil"/>
              <w:bottom w:val="nil"/>
            </w:tcBorders>
          </w:tcPr>
          <w:p>
            <w:pPr>
              <w:rPr>
                <w:rFonts w:ascii="Arial"/>
                <w:sz w:val="21"/>
              </w:rPr>
            </w:pPr>
            <w:r/>
          </w:p>
        </w:tc>
        <w:tc>
          <w:tcPr>
            <w:tcW w:w="579" w:type="dxa"/>
            <w:vAlign w:val="top"/>
            <w:vMerge w:val="continue"/>
            <w:tcBorders>
              <w:top w:val="nil"/>
            </w:tcBorders>
          </w:tcPr>
          <w:p>
            <w:pPr>
              <w:rPr>
                <w:rFonts w:ascii="Arial"/>
                <w:sz w:val="21"/>
              </w:rPr>
            </w:pPr>
            <w:r/>
          </w:p>
        </w:tc>
        <w:tc>
          <w:tcPr>
            <w:tcW w:w="490" w:type="dxa"/>
            <w:vAlign w:val="top"/>
            <w:vMerge w:val="continue"/>
            <w:textDirection w:val="tbRlV"/>
            <w:tcBorders>
              <w:top w:val="nil"/>
            </w:tcBorders>
          </w:tcPr>
          <w:p>
            <w:pPr>
              <w:rPr>
                <w:rFonts w:ascii="Arial"/>
                <w:sz w:val="21"/>
              </w:rPr>
            </w:pPr>
            <w:r/>
          </w:p>
        </w:tc>
        <w:tc>
          <w:tcPr>
            <w:tcW w:w="709" w:type="dxa"/>
            <w:vAlign w:val="top"/>
            <w:vMerge w:val="continue"/>
            <w:tcBorders>
              <w:top w:val="nil"/>
            </w:tcBorders>
          </w:tcPr>
          <w:p>
            <w:pPr>
              <w:rPr>
                <w:rFonts w:ascii="Arial"/>
                <w:sz w:val="21"/>
              </w:rPr>
            </w:pPr>
            <w:r/>
          </w:p>
        </w:tc>
        <w:tc>
          <w:tcPr>
            <w:tcW w:w="1848" w:type="dxa"/>
            <w:vAlign w:val="top"/>
          </w:tcPr>
          <w:p>
            <w:pPr>
              <w:pStyle w:val="TableText"/>
              <w:ind w:left="392"/>
              <w:spacing w:before="38" w:line="194" w:lineRule="auto"/>
              <w:rPr/>
            </w:pPr>
            <w:r>
              <w:rPr>
                <w:spacing w:val="4"/>
              </w:rPr>
              <w:t>5条模组线</w:t>
            </w:r>
          </w:p>
        </w:tc>
        <w:tc>
          <w:tcPr>
            <w:tcW w:w="1478" w:type="dxa"/>
            <w:vAlign w:val="top"/>
          </w:tcPr>
          <w:p>
            <w:pPr>
              <w:pStyle w:val="TableText"/>
              <w:ind w:left="324"/>
              <w:spacing w:before="38" w:line="194" w:lineRule="auto"/>
              <w:rPr/>
            </w:pPr>
            <w:r>
              <w:rPr>
                <w:spacing w:val="-1"/>
              </w:rPr>
              <w:t>NCM模组</w:t>
            </w:r>
          </w:p>
        </w:tc>
        <w:tc>
          <w:tcPr>
            <w:tcW w:w="1488" w:type="dxa"/>
            <w:vAlign w:val="top"/>
            <w:vMerge w:val="continue"/>
            <w:tcBorders>
              <w:top w:val="nil"/>
            </w:tcBorders>
          </w:tcPr>
          <w:p>
            <w:pPr>
              <w:rPr>
                <w:rFonts w:ascii="Arial"/>
                <w:sz w:val="21"/>
              </w:rPr>
            </w:pPr>
            <w:r/>
          </w:p>
        </w:tc>
        <w:tc>
          <w:tcPr>
            <w:tcW w:w="1863" w:type="dxa"/>
            <w:vAlign w:val="top"/>
            <w:vMerge w:val="continue"/>
            <w:tcBorders>
              <w:top w:val="nil"/>
            </w:tcBorders>
          </w:tcPr>
          <w:p>
            <w:pPr>
              <w:rPr>
                <w:rFonts w:ascii="Arial"/>
                <w:sz w:val="21"/>
              </w:rPr>
            </w:pPr>
            <w:r/>
          </w:p>
        </w:tc>
      </w:tr>
      <w:tr>
        <w:trPr>
          <w:trHeight w:val="559" w:hRule="atLeast"/>
        </w:trPr>
        <w:tc>
          <w:tcPr>
            <w:tcW w:w="415" w:type="dxa"/>
            <w:vAlign w:val="top"/>
            <w:vMerge w:val="continue"/>
            <w:tcBorders>
              <w:top w:val="nil"/>
              <w:bottom w:val="nil"/>
            </w:tcBorders>
          </w:tcPr>
          <w:p>
            <w:pPr>
              <w:rPr>
                <w:rFonts w:ascii="Arial"/>
                <w:sz w:val="21"/>
              </w:rPr>
            </w:pPr>
            <w:r/>
          </w:p>
        </w:tc>
        <w:tc>
          <w:tcPr>
            <w:tcW w:w="579" w:type="dxa"/>
            <w:vAlign w:val="top"/>
            <w:vMerge w:val="restart"/>
            <w:tcBorders>
              <w:bottom w:val="nil"/>
            </w:tcBorders>
          </w:tcPr>
          <w:p>
            <w:pPr>
              <w:spacing w:line="354" w:lineRule="auto"/>
              <w:rPr>
                <w:rFonts w:ascii="Arial"/>
                <w:sz w:val="21"/>
              </w:rPr>
            </w:pPr>
            <w:r/>
          </w:p>
          <w:p>
            <w:pPr>
              <w:spacing w:line="354" w:lineRule="auto"/>
              <w:rPr>
                <w:rFonts w:ascii="Arial"/>
                <w:sz w:val="21"/>
              </w:rPr>
            </w:pPr>
            <w:r/>
          </w:p>
          <w:p>
            <w:pPr>
              <w:pStyle w:val="TableText"/>
              <w:ind w:left="219"/>
              <w:spacing w:before="75" w:line="183" w:lineRule="auto"/>
              <w:rPr/>
            </w:pPr>
            <w:r>
              <w:rPr/>
              <w:t>3</w:t>
            </w:r>
          </w:p>
        </w:tc>
        <w:tc>
          <w:tcPr>
            <w:tcW w:w="1199" w:type="dxa"/>
            <w:vAlign w:val="top"/>
            <w:gridSpan w:val="2"/>
            <w:vMerge w:val="restart"/>
            <w:tcBorders>
              <w:bottom w:val="nil"/>
            </w:tcBorders>
          </w:tcPr>
          <w:p>
            <w:pPr>
              <w:spacing w:line="324" w:lineRule="auto"/>
              <w:rPr>
                <w:rFonts w:ascii="Arial"/>
                <w:sz w:val="21"/>
              </w:rPr>
            </w:pPr>
            <w:r/>
          </w:p>
          <w:p>
            <w:pPr>
              <w:spacing w:line="324" w:lineRule="auto"/>
              <w:rPr>
                <w:rFonts w:ascii="Arial"/>
                <w:sz w:val="21"/>
              </w:rPr>
            </w:pPr>
            <w:r/>
          </w:p>
          <w:p>
            <w:pPr>
              <w:pStyle w:val="TableText"/>
              <w:ind w:left="240"/>
              <w:spacing w:before="75" w:line="219" w:lineRule="auto"/>
              <w:rPr/>
            </w:pPr>
            <w:r>
              <w:rPr>
                <w:spacing w:val="14"/>
              </w:rPr>
              <w:t>本项目</w:t>
            </w:r>
          </w:p>
        </w:tc>
        <w:tc>
          <w:tcPr>
            <w:tcW w:w="1848" w:type="dxa"/>
            <w:vAlign w:val="top"/>
          </w:tcPr>
          <w:p>
            <w:pPr>
              <w:pStyle w:val="TableText"/>
              <w:ind w:left="618" w:hanging="606"/>
              <w:spacing w:before="68" w:line="193" w:lineRule="auto"/>
              <w:rPr/>
            </w:pPr>
            <w:r>
              <w:rPr>
                <w:spacing w:val="-2"/>
              </w:rPr>
              <w:t>阴、阳凹版生产线</w:t>
            </w:r>
            <w:r>
              <w:rPr/>
              <w:t xml:space="preserve"> </w:t>
            </w:r>
            <w:r>
              <w:rPr>
                <w:spacing w:val="3"/>
              </w:rPr>
              <w:t>各1条</w:t>
            </w:r>
          </w:p>
        </w:tc>
        <w:tc>
          <w:tcPr>
            <w:tcW w:w="1478" w:type="dxa"/>
            <w:vAlign w:val="top"/>
          </w:tcPr>
          <w:p>
            <w:pPr>
              <w:pStyle w:val="TableText"/>
              <w:ind w:left="153"/>
              <w:spacing w:before="178" w:line="219" w:lineRule="auto"/>
              <w:rPr/>
            </w:pPr>
            <w:r>
              <w:rPr>
                <w:spacing w:val="2"/>
              </w:rPr>
              <w:t>铜箔、铝箔</w:t>
            </w:r>
          </w:p>
        </w:tc>
        <w:tc>
          <w:tcPr>
            <w:tcW w:w="1488" w:type="dxa"/>
            <w:vAlign w:val="top"/>
          </w:tcPr>
          <w:p>
            <w:pPr>
              <w:pStyle w:val="TableText"/>
              <w:ind w:left="676"/>
              <w:spacing w:before="185" w:line="224" w:lineRule="auto"/>
              <w:rPr/>
            </w:pPr>
            <w:r>
              <w:rPr/>
              <w:t>/</w:t>
            </w:r>
          </w:p>
        </w:tc>
        <w:tc>
          <w:tcPr>
            <w:tcW w:w="1863" w:type="dxa"/>
            <w:vAlign w:val="top"/>
          </w:tcPr>
          <w:p>
            <w:pPr>
              <w:pStyle w:val="TableText"/>
              <w:ind w:left="348" w:right="114" w:hanging="230"/>
              <w:spacing w:before="68" w:line="193" w:lineRule="auto"/>
              <w:rPr/>
            </w:pPr>
            <w:r>
              <w:rPr>
                <w:spacing w:val="1"/>
              </w:rPr>
              <w:t>提供给本厂区生</w:t>
            </w:r>
            <w:r>
              <w:rPr>
                <w:spacing w:val="2"/>
              </w:rPr>
              <w:t xml:space="preserve"> </w:t>
            </w:r>
            <w:r>
              <w:rPr>
                <w:spacing w:val="2"/>
              </w:rPr>
              <w:t>产，不外售</w:t>
            </w:r>
          </w:p>
        </w:tc>
      </w:tr>
      <w:tr>
        <w:trPr>
          <w:trHeight w:val="1104" w:hRule="atLeast"/>
        </w:trPr>
        <w:tc>
          <w:tcPr>
            <w:tcW w:w="415" w:type="dxa"/>
            <w:vAlign w:val="top"/>
            <w:vMerge w:val="continue"/>
            <w:tcBorders>
              <w:top w:val="nil"/>
            </w:tcBorders>
          </w:tcPr>
          <w:p>
            <w:pPr>
              <w:rPr>
                <w:rFonts w:ascii="Arial"/>
                <w:sz w:val="21"/>
              </w:rPr>
            </w:pPr>
            <w:r/>
          </w:p>
        </w:tc>
        <w:tc>
          <w:tcPr>
            <w:tcW w:w="579" w:type="dxa"/>
            <w:vAlign w:val="top"/>
            <w:vMerge w:val="continue"/>
            <w:tcBorders>
              <w:top w:val="nil"/>
            </w:tcBorders>
          </w:tcPr>
          <w:p>
            <w:pPr>
              <w:rPr>
                <w:rFonts w:ascii="Arial"/>
                <w:sz w:val="21"/>
              </w:rPr>
            </w:pPr>
            <w:r/>
          </w:p>
        </w:tc>
        <w:tc>
          <w:tcPr>
            <w:tcW w:w="1199" w:type="dxa"/>
            <w:vAlign w:val="top"/>
            <w:gridSpan w:val="2"/>
            <w:vMerge w:val="continue"/>
            <w:tcBorders>
              <w:top w:val="nil"/>
            </w:tcBorders>
          </w:tcPr>
          <w:p>
            <w:pPr>
              <w:rPr>
                <w:rFonts w:ascii="Arial"/>
                <w:sz w:val="21"/>
              </w:rPr>
            </w:pPr>
            <w:r/>
          </w:p>
        </w:tc>
        <w:tc>
          <w:tcPr>
            <w:tcW w:w="1848" w:type="dxa"/>
            <w:vAlign w:val="top"/>
          </w:tcPr>
          <w:p>
            <w:pPr>
              <w:pStyle w:val="TableText"/>
              <w:ind w:left="509" w:hanging="497"/>
              <w:spacing w:before="309" w:line="230" w:lineRule="auto"/>
              <w:rPr/>
            </w:pPr>
            <w:r>
              <w:rPr>
                <w:spacing w:val="-2"/>
              </w:rPr>
              <w:t>阴、阳极极片生产</w:t>
            </w:r>
            <w:r>
              <w:rPr/>
              <w:t xml:space="preserve"> </w:t>
            </w:r>
            <w:r>
              <w:rPr>
                <w:spacing w:val="-3"/>
              </w:rPr>
              <w:t>线各4条</w:t>
            </w:r>
          </w:p>
        </w:tc>
        <w:tc>
          <w:tcPr>
            <w:tcW w:w="1478" w:type="dxa"/>
            <w:vAlign w:val="top"/>
          </w:tcPr>
          <w:p>
            <w:pPr>
              <w:spacing w:line="254" w:lineRule="auto"/>
              <w:rPr>
                <w:rFonts w:ascii="Arial"/>
                <w:sz w:val="21"/>
              </w:rPr>
            </w:pPr>
            <w:r/>
          </w:p>
          <w:p>
            <w:pPr>
              <w:pStyle w:val="TableText"/>
              <w:ind w:left="613" w:right="154" w:hanging="460"/>
              <w:spacing w:before="75" w:line="214" w:lineRule="auto"/>
              <w:rPr/>
            </w:pPr>
            <w:r>
              <w:rPr>
                <w:spacing w:val="1"/>
              </w:rPr>
              <w:t>阴极片阳极</w:t>
            </w:r>
            <w:r>
              <w:rPr>
                <w:spacing w:val="3"/>
              </w:rPr>
              <w:t xml:space="preserve"> </w:t>
            </w:r>
            <w:r>
              <w:rPr/>
              <w:t>片</w:t>
            </w:r>
          </w:p>
        </w:tc>
        <w:tc>
          <w:tcPr>
            <w:tcW w:w="1488" w:type="dxa"/>
            <w:vAlign w:val="top"/>
          </w:tcPr>
          <w:p>
            <w:pPr>
              <w:pStyle w:val="TableText"/>
              <w:spacing w:before="69" w:line="217" w:lineRule="auto"/>
              <w:jc w:val="right"/>
              <w:rPr/>
            </w:pPr>
            <w:r>
              <w:rPr>
                <w:spacing w:val="-22"/>
              </w:rPr>
              <w:t>阴、阳极极片，</w:t>
            </w:r>
          </w:p>
          <w:p>
            <w:pPr>
              <w:pStyle w:val="TableText"/>
              <w:ind w:left="46"/>
              <w:spacing w:line="210" w:lineRule="auto"/>
              <w:rPr/>
            </w:pPr>
            <w:r>
              <w:rPr>
                <w:spacing w:val="-2"/>
              </w:rPr>
              <w:t>配套二期工程</w:t>
            </w:r>
          </w:p>
          <w:p>
            <w:pPr>
              <w:pStyle w:val="TableText"/>
              <w:ind w:left="106"/>
              <w:spacing w:line="198" w:lineRule="auto"/>
              <w:rPr/>
            </w:pPr>
            <w:r>
              <w:rPr>
                <w:spacing w:val="2"/>
              </w:rPr>
              <w:t>年产20</w:t>
            </w:r>
            <w:r>
              <w:rPr/>
              <w:t>gwh</w:t>
            </w:r>
            <w:r>
              <w:rPr>
                <w:spacing w:val="2"/>
              </w:rPr>
              <w:t>动</w:t>
            </w:r>
          </w:p>
          <w:p>
            <w:pPr>
              <w:pStyle w:val="TableText"/>
              <w:ind w:left="165"/>
              <w:spacing w:line="196" w:lineRule="auto"/>
              <w:rPr/>
            </w:pPr>
            <w:r>
              <w:rPr>
                <w:spacing w:val="2"/>
              </w:rPr>
              <w:t>力电池产能</w:t>
            </w:r>
          </w:p>
        </w:tc>
        <w:tc>
          <w:tcPr>
            <w:tcW w:w="1863" w:type="dxa"/>
            <w:vAlign w:val="top"/>
          </w:tcPr>
          <w:p>
            <w:pPr>
              <w:pStyle w:val="TableText"/>
              <w:ind w:right="1"/>
              <w:spacing w:before="69" w:line="219" w:lineRule="auto"/>
              <w:jc w:val="right"/>
              <w:rPr/>
            </w:pPr>
            <w:r>
              <w:rPr>
                <w:spacing w:val="-1"/>
              </w:rPr>
              <w:t>仅生产极片，产量</w:t>
            </w:r>
          </w:p>
          <w:p>
            <w:pPr>
              <w:pStyle w:val="TableText"/>
              <w:ind w:left="177"/>
              <w:spacing w:line="213" w:lineRule="auto"/>
              <w:rPr/>
            </w:pPr>
            <w:r>
              <w:rPr>
                <w:spacing w:val="1"/>
              </w:rPr>
              <w:t>为20</w:t>
            </w:r>
            <w:r>
              <w:rPr/>
              <w:t>gwh</w:t>
            </w:r>
            <w:r>
              <w:rPr>
                <w:spacing w:val="1"/>
              </w:rPr>
              <w:t>动力电</w:t>
            </w:r>
          </w:p>
          <w:p>
            <w:pPr>
              <w:pStyle w:val="TableText"/>
              <w:ind w:left="238"/>
              <w:spacing w:before="11" w:line="183" w:lineRule="auto"/>
              <w:rPr/>
            </w:pPr>
            <w:r>
              <w:rPr>
                <w:spacing w:val="2"/>
              </w:rPr>
              <w:t>池所需极片的</w:t>
            </w:r>
          </w:p>
          <w:p>
            <w:pPr>
              <w:pStyle w:val="TableText"/>
              <w:ind w:left="118"/>
              <w:spacing w:line="197" w:lineRule="auto"/>
              <w:rPr/>
            </w:pPr>
            <w:r>
              <w:rPr>
                <w:spacing w:val="1"/>
              </w:rPr>
              <w:t>40%,不含后工序</w:t>
            </w:r>
          </w:p>
        </w:tc>
      </w:tr>
    </w:tbl>
    <w:p>
      <w:pPr>
        <w:rPr>
          <w:rFonts w:ascii="Arial"/>
          <w:sz w:val="21"/>
        </w:rPr>
      </w:pPr>
      <w:r/>
    </w:p>
    <w:p>
      <w:pPr>
        <w:sectPr>
          <w:footerReference w:type="default" r:id="rId10"/>
          <w:pgSz w:w="11900" w:h="16840"/>
          <w:pgMar w:top="1431" w:right="1445" w:bottom="1218" w:left="1574" w:header="0" w:footer="1079" w:gutter="0"/>
        </w:sectPr>
        <w:rPr>
          <w:rFonts w:ascii="Arial" w:hAnsi="Arial" w:eastAsia="Arial" w:cs="Arial"/>
          <w:sz w:val="21"/>
          <w:szCs w:val="21"/>
        </w:rPr>
      </w:pPr>
    </w:p>
    <w:p>
      <w:pPr>
        <w:spacing w:line="23" w:lineRule="exact"/>
        <w:rPr/>
      </w:pPr>
      <w:r/>
    </w:p>
    <w:tbl>
      <w:tblPr>
        <w:tblStyle w:val="TableNormal"/>
        <w:tblW w:w="88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35"/>
        <w:gridCol w:w="569"/>
        <w:gridCol w:w="1219"/>
        <w:gridCol w:w="520"/>
        <w:gridCol w:w="1309"/>
        <w:gridCol w:w="719"/>
        <w:gridCol w:w="759"/>
        <w:gridCol w:w="959"/>
        <w:gridCol w:w="539"/>
        <w:gridCol w:w="439"/>
        <w:gridCol w:w="1423"/>
      </w:tblGrid>
      <w:tr>
        <w:trPr>
          <w:trHeight w:val="314" w:hRule="atLeast"/>
        </w:trPr>
        <w:tc>
          <w:tcPr>
            <w:tcW w:w="435" w:type="dxa"/>
            <w:vAlign w:val="top"/>
            <w:vMerge w:val="restart"/>
            <w:tcBorders>
              <w:bottom w:val="nil"/>
            </w:tcBorders>
          </w:tcPr>
          <w:p>
            <w:pPr>
              <w:rPr>
                <w:rFonts w:ascii="Arial"/>
                <w:sz w:val="21"/>
              </w:rPr>
            </w:pPr>
            <w:r/>
          </w:p>
        </w:tc>
        <w:tc>
          <w:tcPr>
            <w:tcW w:w="569" w:type="dxa"/>
            <w:vAlign w:val="top"/>
            <w:vMerge w:val="restart"/>
            <w:tcBorders>
              <w:bottom w:val="nil"/>
            </w:tcBorders>
          </w:tcPr>
          <w:p>
            <w:pPr>
              <w:pStyle w:val="TableText"/>
              <w:ind w:left="230"/>
              <w:spacing w:before="257" w:line="183" w:lineRule="auto"/>
              <w:rPr>
                <w:sz w:val="21"/>
                <w:szCs w:val="21"/>
              </w:rPr>
            </w:pPr>
            <w:r>
              <w:rPr>
                <w:sz w:val="21"/>
                <w:szCs w:val="21"/>
              </w:rPr>
              <w:t>4</w:t>
            </w:r>
          </w:p>
        </w:tc>
        <w:tc>
          <w:tcPr>
            <w:tcW w:w="1219" w:type="dxa"/>
            <w:vAlign w:val="top"/>
            <w:vMerge w:val="restart"/>
            <w:tcBorders>
              <w:bottom w:val="nil"/>
            </w:tcBorders>
          </w:tcPr>
          <w:p>
            <w:pPr>
              <w:pStyle w:val="TableText"/>
              <w:ind w:left="281" w:right="196" w:hanging="100"/>
              <w:spacing w:before="74" w:line="224" w:lineRule="auto"/>
              <w:rPr>
                <w:sz w:val="21"/>
                <w:szCs w:val="21"/>
              </w:rPr>
            </w:pPr>
            <w:r>
              <w:rPr>
                <w:sz w:val="21"/>
                <w:szCs w:val="21"/>
                <w:spacing w:val="-3"/>
              </w:rPr>
              <w:t>扩建后整</w:t>
            </w:r>
            <w:r>
              <w:rPr>
                <w:sz w:val="21"/>
                <w:szCs w:val="21"/>
                <w:spacing w:val="2"/>
              </w:rPr>
              <w:t xml:space="preserve"> </w:t>
            </w:r>
            <w:r>
              <w:rPr>
                <w:sz w:val="21"/>
                <w:szCs w:val="21"/>
                <w:spacing w:val="-2"/>
              </w:rPr>
              <w:t>体工程</w:t>
            </w:r>
          </w:p>
        </w:tc>
        <w:tc>
          <w:tcPr>
            <w:tcW w:w="1829" w:type="dxa"/>
            <w:vAlign w:val="top"/>
            <w:gridSpan w:val="2"/>
          </w:tcPr>
          <w:p>
            <w:pPr>
              <w:pStyle w:val="TableText"/>
              <w:ind w:left="385"/>
              <w:spacing w:before="50" w:line="219" w:lineRule="auto"/>
              <w:rPr>
                <w:sz w:val="21"/>
                <w:szCs w:val="21"/>
              </w:rPr>
            </w:pPr>
            <w:r>
              <w:rPr>
                <w:sz w:val="21"/>
                <w:szCs w:val="21"/>
                <w:b/>
                <w:bCs/>
                <w:spacing w:val="-1"/>
              </w:rPr>
              <w:t>12条电芯线</w:t>
            </w:r>
          </w:p>
        </w:tc>
        <w:tc>
          <w:tcPr>
            <w:tcW w:w="1478" w:type="dxa"/>
            <w:vAlign w:val="top"/>
            <w:gridSpan w:val="2"/>
          </w:tcPr>
          <w:p>
            <w:pPr>
              <w:pStyle w:val="TableText"/>
              <w:ind w:left="412"/>
              <w:spacing w:before="53" w:line="220" w:lineRule="auto"/>
              <w:rPr>
                <w:sz w:val="21"/>
                <w:szCs w:val="21"/>
              </w:rPr>
            </w:pPr>
            <w:r>
              <w:rPr>
                <w:sz w:val="21"/>
                <w:szCs w:val="21"/>
                <w:spacing w:val="-2"/>
              </w:rPr>
              <w:t>裸电芯</w:t>
            </w:r>
          </w:p>
        </w:tc>
        <w:tc>
          <w:tcPr>
            <w:tcW w:w="1498" w:type="dxa"/>
            <w:vAlign w:val="top"/>
            <w:gridSpan w:val="2"/>
            <w:vMerge w:val="restart"/>
            <w:tcBorders>
              <w:bottom w:val="nil"/>
            </w:tcBorders>
          </w:tcPr>
          <w:p>
            <w:pPr>
              <w:pStyle w:val="TableText"/>
              <w:ind w:left="165" w:right="93" w:hanging="60"/>
              <w:spacing w:before="63" w:line="237" w:lineRule="auto"/>
              <w:rPr>
                <w:sz w:val="21"/>
                <w:szCs w:val="21"/>
              </w:rPr>
            </w:pPr>
            <w:r>
              <w:rPr>
                <w:sz w:val="21"/>
                <w:szCs w:val="21"/>
                <w:spacing w:val="40"/>
              </w:rPr>
              <w:t>30</w:t>
            </w:r>
            <w:r>
              <w:rPr>
                <w:sz w:val="21"/>
                <w:szCs w:val="21"/>
              </w:rPr>
              <w:t>G</w:t>
            </w:r>
            <w:r>
              <w:rPr>
                <w:sz w:val="21"/>
                <w:szCs w:val="21"/>
                <w:spacing w:val="-67"/>
              </w:rPr>
              <w:t xml:space="preserve"> </w:t>
            </w:r>
            <w:r>
              <w:rPr>
                <w:sz w:val="21"/>
                <w:szCs w:val="21"/>
              </w:rPr>
              <w:t>Wh</w:t>
            </w:r>
            <w:r>
              <w:rPr>
                <w:sz w:val="21"/>
                <w:szCs w:val="21"/>
                <w:spacing w:val="40"/>
              </w:rPr>
              <w:t>(折合</w:t>
            </w:r>
            <w:r>
              <w:rPr>
                <w:sz w:val="21"/>
                <w:szCs w:val="21"/>
              </w:rPr>
              <w:t xml:space="preserve"> </w:t>
            </w:r>
            <w:r>
              <w:rPr>
                <w:sz w:val="21"/>
                <w:szCs w:val="21"/>
                <w:spacing w:val="5"/>
              </w:rPr>
              <w:t>810000万</w:t>
            </w:r>
            <w:r>
              <w:rPr>
                <w:sz w:val="21"/>
                <w:szCs w:val="21"/>
              </w:rPr>
              <w:t>Ah</w:t>
            </w:r>
            <w:r>
              <w:rPr>
                <w:sz w:val="21"/>
                <w:szCs w:val="21"/>
                <w:spacing w:val="5"/>
              </w:rPr>
              <w:t>)</w:t>
            </w:r>
          </w:p>
        </w:tc>
        <w:tc>
          <w:tcPr>
            <w:tcW w:w="1862" w:type="dxa"/>
            <w:vAlign w:val="top"/>
            <w:gridSpan w:val="2"/>
            <w:vMerge w:val="restart"/>
            <w:tcBorders>
              <w:bottom w:val="nil"/>
            </w:tcBorders>
          </w:tcPr>
          <w:p>
            <w:pPr>
              <w:pStyle w:val="TableText"/>
              <w:ind w:left="287"/>
              <w:spacing w:before="203" w:line="219" w:lineRule="auto"/>
              <w:rPr>
                <w:sz w:val="21"/>
                <w:szCs w:val="21"/>
              </w:rPr>
            </w:pPr>
            <w:r>
              <w:rPr>
                <w:sz w:val="21"/>
                <w:szCs w:val="21"/>
                <w:spacing w:val="-2"/>
              </w:rPr>
              <w:t>整体产能不变</w:t>
            </w:r>
          </w:p>
        </w:tc>
      </w:tr>
      <w:tr>
        <w:trPr>
          <w:trHeight w:val="289" w:hRule="atLeast"/>
        </w:trPr>
        <w:tc>
          <w:tcPr>
            <w:tcW w:w="435" w:type="dxa"/>
            <w:vAlign w:val="top"/>
            <w:vMerge w:val="continue"/>
            <w:tcBorders>
              <w:top w:val="nil"/>
              <w:bottom w:val="nil"/>
            </w:tcBorders>
          </w:tcPr>
          <w:p>
            <w:pPr>
              <w:rPr>
                <w:rFonts w:ascii="Arial"/>
                <w:sz w:val="21"/>
              </w:rPr>
            </w:pPr>
            <w:r/>
          </w:p>
        </w:tc>
        <w:tc>
          <w:tcPr>
            <w:tcW w:w="569" w:type="dxa"/>
            <w:vAlign w:val="top"/>
            <w:vMerge w:val="continue"/>
            <w:tcBorders>
              <w:top w:val="nil"/>
            </w:tcBorders>
          </w:tcPr>
          <w:p>
            <w:pPr>
              <w:rPr>
                <w:rFonts w:ascii="Arial"/>
                <w:sz w:val="21"/>
              </w:rPr>
            </w:pPr>
            <w:r/>
          </w:p>
        </w:tc>
        <w:tc>
          <w:tcPr>
            <w:tcW w:w="1219" w:type="dxa"/>
            <w:vAlign w:val="top"/>
            <w:vMerge w:val="continue"/>
            <w:tcBorders>
              <w:top w:val="nil"/>
            </w:tcBorders>
          </w:tcPr>
          <w:p>
            <w:pPr>
              <w:rPr>
                <w:rFonts w:ascii="Arial"/>
                <w:sz w:val="21"/>
              </w:rPr>
            </w:pPr>
            <w:r/>
          </w:p>
        </w:tc>
        <w:tc>
          <w:tcPr>
            <w:tcW w:w="1829" w:type="dxa"/>
            <w:vAlign w:val="top"/>
            <w:gridSpan w:val="2"/>
          </w:tcPr>
          <w:p>
            <w:pPr>
              <w:pStyle w:val="TableText"/>
              <w:ind w:left="385"/>
              <w:spacing w:before="36" w:line="213" w:lineRule="auto"/>
              <w:rPr>
                <w:sz w:val="21"/>
                <w:szCs w:val="21"/>
              </w:rPr>
            </w:pPr>
            <w:r>
              <w:rPr>
                <w:sz w:val="21"/>
                <w:szCs w:val="21"/>
                <w:b/>
                <w:bCs/>
                <w:spacing w:val="-1"/>
              </w:rPr>
              <w:t>11条模组线</w:t>
            </w:r>
          </w:p>
        </w:tc>
        <w:tc>
          <w:tcPr>
            <w:tcW w:w="1478" w:type="dxa"/>
            <w:vAlign w:val="top"/>
            <w:gridSpan w:val="2"/>
          </w:tcPr>
          <w:p>
            <w:pPr>
              <w:pStyle w:val="TableText"/>
              <w:ind w:left="273"/>
              <w:spacing w:before="38" w:line="211" w:lineRule="auto"/>
              <w:rPr>
                <w:sz w:val="21"/>
                <w:szCs w:val="21"/>
              </w:rPr>
            </w:pPr>
            <w:r>
              <w:rPr>
                <w:sz w:val="21"/>
                <w:szCs w:val="21"/>
                <w:spacing w:val="-4"/>
              </w:rPr>
              <w:t>N</w:t>
            </w:r>
            <w:r>
              <w:rPr>
                <w:sz w:val="21"/>
                <w:szCs w:val="21"/>
                <w:spacing w:val="-49"/>
              </w:rPr>
              <w:t xml:space="preserve"> </w:t>
            </w:r>
            <w:r>
              <w:rPr>
                <w:sz w:val="21"/>
                <w:szCs w:val="21"/>
                <w:spacing w:val="-4"/>
              </w:rPr>
              <w:t>C</w:t>
            </w:r>
            <w:r>
              <w:rPr>
                <w:sz w:val="21"/>
                <w:szCs w:val="21"/>
                <w:spacing w:val="-55"/>
              </w:rPr>
              <w:t xml:space="preserve"> </w:t>
            </w:r>
            <w:r>
              <w:rPr>
                <w:sz w:val="21"/>
                <w:szCs w:val="21"/>
                <w:spacing w:val="-4"/>
              </w:rPr>
              <w:t>M</w:t>
            </w:r>
            <w:r>
              <w:rPr>
                <w:sz w:val="21"/>
                <w:szCs w:val="21"/>
                <w:spacing w:val="-49"/>
              </w:rPr>
              <w:t xml:space="preserve"> </w:t>
            </w:r>
            <w:r>
              <w:rPr>
                <w:sz w:val="21"/>
                <w:szCs w:val="21"/>
                <w:spacing w:val="-4"/>
              </w:rPr>
              <w:t>模</w:t>
            </w:r>
            <w:r>
              <w:rPr>
                <w:sz w:val="21"/>
                <w:szCs w:val="21"/>
                <w:spacing w:val="-45"/>
              </w:rPr>
              <w:t xml:space="preserve"> </w:t>
            </w:r>
            <w:r>
              <w:rPr>
                <w:sz w:val="21"/>
                <w:szCs w:val="21"/>
                <w:spacing w:val="-4"/>
              </w:rPr>
              <w:t>组</w:t>
            </w:r>
          </w:p>
        </w:tc>
        <w:tc>
          <w:tcPr>
            <w:tcW w:w="1498" w:type="dxa"/>
            <w:vAlign w:val="top"/>
            <w:gridSpan w:val="2"/>
            <w:vMerge w:val="continue"/>
            <w:tcBorders>
              <w:top w:val="nil"/>
            </w:tcBorders>
          </w:tcPr>
          <w:p>
            <w:pPr>
              <w:rPr>
                <w:rFonts w:ascii="Arial"/>
                <w:sz w:val="21"/>
              </w:rPr>
            </w:pPr>
            <w:r/>
          </w:p>
        </w:tc>
        <w:tc>
          <w:tcPr>
            <w:tcW w:w="1862" w:type="dxa"/>
            <w:vAlign w:val="top"/>
            <w:gridSpan w:val="2"/>
            <w:vMerge w:val="continue"/>
            <w:tcBorders>
              <w:top w:val="nil"/>
            </w:tcBorders>
          </w:tcPr>
          <w:p>
            <w:pPr>
              <w:rPr>
                <w:rFonts w:ascii="Arial"/>
                <w:sz w:val="21"/>
              </w:rPr>
            </w:pPr>
            <w:r/>
          </w:p>
        </w:tc>
      </w:tr>
      <w:tr>
        <w:trPr>
          <w:trHeight w:val="1417" w:hRule="atLeast"/>
        </w:trPr>
        <w:tc>
          <w:tcPr>
            <w:tcW w:w="435" w:type="dxa"/>
            <w:vAlign w:val="top"/>
            <w:vMerge w:val="continue"/>
            <w:tcBorders>
              <w:top w:val="nil"/>
              <w:bottom w:val="nil"/>
            </w:tcBorders>
          </w:tcPr>
          <w:p>
            <w:pPr>
              <w:rPr>
                <w:rFonts w:ascii="Arial"/>
                <w:sz w:val="21"/>
              </w:rPr>
            </w:pPr>
            <w:r/>
          </w:p>
        </w:tc>
        <w:tc>
          <w:tcPr>
            <w:tcW w:w="8455" w:type="dxa"/>
            <w:vAlign w:val="top"/>
            <w:gridSpan w:val="10"/>
          </w:tcPr>
          <w:p>
            <w:pPr>
              <w:pStyle w:val="TableText"/>
              <w:ind w:left="103"/>
              <w:spacing w:before="77" w:line="219" w:lineRule="auto"/>
              <w:rPr>
                <w:sz w:val="21"/>
                <w:szCs w:val="21"/>
              </w:rPr>
            </w:pPr>
            <w:r>
              <w:rPr>
                <w:sz w:val="21"/>
                <w:szCs w:val="21"/>
                <w:b/>
                <w:bCs/>
                <w:spacing w:val="-4"/>
              </w:rPr>
              <w:t>2.2.2主要技术经济指标</w:t>
            </w:r>
          </w:p>
          <w:p>
            <w:pPr>
              <w:pStyle w:val="TableText"/>
              <w:ind w:left="620"/>
              <w:spacing w:before="232" w:line="219" w:lineRule="auto"/>
              <w:rPr>
                <w:sz w:val="21"/>
                <w:szCs w:val="21"/>
              </w:rPr>
            </w:pPr>
            <w:r>
              <w:rPr>
                <w:sz w:val="21"/>
                <w:szCs w:val="21"/>
              </w:rPr>
              <w:t>本项目主要建筑单体详见表2.2-2。</w:t>
            </w:r>
          </w:p>
          <w:p>
            <w:pPr>
              <w:pStyle w:val="TableText"/>
              <w:ind w:left="2463"/>
              <w:spacing w:before="199" w:line="220" w:lineRule="auto"/>
              <w:rPr>
                <w:sz w:val="21"/>
                <w:szCs w:val="21"/>
              </w:rPr>
            </w:pPr>
            <w:r>
              <w:rPr>
                <w:sz w:val="21"/>
                <w:szCs w:val="21"/>
                <w:b/>
                <w:bCs/>
                <w:spacing w:val="11"/>
              </w:rPr>
              <w:t>表2</w:t>
            </w:r>
            <w:r>
              <w:rPr>
                <w:sz w:val="21"/>
                <w:szCs w:val="21"/>
                <w:spacing w:val="-51"/>
              </w:rPr>
              <w:t xml:space="preserve"> </w:t>
            </w:r>
            <w:r>
              <w:rPr>
                <w:sz w:val="21"/>
                <w:szCs w:val="21"/>
                <w:b/>
                <w:bCs/>
                <w:spacing w:val="11"/>
              </w:rPr>
              <w:t>.</w:t>
            </w:r>
            <w:r>
              <w:rPr>
                <w:sz w:val="21"/>
                <w:szCs w:val="21"/>
                <w:spacing w:val="-53"/>
              </w:rPr>
              <w:t xml:space="preserve"> </w:t>
            </w:r>
            <w:r>
              <w:rPr>
                <w:sz w:val="21"/>
                <w:szCs w:val="21"/>
                <w:b/>
                <w:bCs/>
                <w:spacing w:val="11"/>
              </w:rPr>
              <w:t>2</w:t>
            </w:r>
            <w:r>
              <w:rPr>
                <w:sz w:val="21"/>
                <w:szCs w:val="21"/>
                <w:spacing w:val="-57"/>
              </w:rPr>
              <w:t xml:space="preserve"> </w:t>
            </w:r>
            <w:r>
              <w:rPr>
                <w:sz w:val="21"/>
                <w:szCs w:val="21"/>
                <w:b/>
                <w:bCs/>
                <w:spacing w:val="11"/>
              </w:rPr>
              <w:t>-</w:t>
            </w:r>
            <w:r>
              <w:rPr>
                <w:sz w:val="21"/>
                <w:szCs w:val="21"/>
                <w:spacing w:val="-54"/>
              </w:rPr>
              <w:t xml:space="preserve"> </w:t>
            </w:r>
            <w:r>
              <w:rPr>
                <w:sz w:val="21"/>
                <w:szCs w:val="21"/>
                <w:b/>
                <w:bCs/>
                <w:spacing w:val="11"/>
              </w:rPr>
              <w:t>2</w:t>
            </w:r>
            <w:r>
              <w:rPr>
                <w:sz w:val="21"/>
                <w:szCs w:val="21"/>
                <w:spacing w:val="11"/>
              </w:rPr>
              <w:t xml:space="preserve">   </w:t>
            </w:r>
            <w:r>
              <w:rPr>
                <w:sz w:val="21"/>
                <w:szCs w:val="21"/>
                <w:b/>
                <w:bCs/>
                <w:spacing w:val="11"/>
              </w:rPr>
              <w:t>项目建筑单体</w:t>
            </w:r>
            <w:r>
              <w:rPr>
                <w:sz w:val="21"/>
                <w:szCs w:val="21"/>
                <w:spacing w:val="-52"/>
              </w:rPr>
              <w:t xml:space="preserve"> </w:t>
            </w:r>
            <w:r>
              <w:rPr>
                <w:sz w:val="21"/>
                <w:szCs w:val="21"/>
                <w:b/>
                <w:bCs/>
                <w:spacing w:val="11"/>
              </w:rPr>
              <w:t>一</w:t>
            </w:r>
            <w:r>
              <w:rPr>
                <w:sz w:val="21"/>
                <w:szCs w:val="21"/>
                <w:spacing w:val="-52"/>
              </w:rPr>
              <w:t xml:space="preserve"> </w:t>
            </w:r>
            <w:r>
              <w:rPr>
                <w:sz w:val="21"/>
                <w:szCs w:val="21"/>
                <w:b/>
                <w:bCs/>
                <w:spacing w:val="11"/>
              </w:rPr>
              <w:t>览表</w:t>
            </w:r>
          </w:p>
        </w:tc>
      </w:tr>
      <w:tr>
        <w:trPr>
          <w:trHeight w:val="309" w:hRule="atLeast"/>
        </w:trPr>
        <w:tc>
          <w:tcPr>
            <w:tcW w:w="435" w:type="dxa"/>
            <w:vAlign w:val="top"/>
            <w:vMerge w:val="continue"/>
            <w:tcBorders>
              <w:top w:val="nil"/>
              <w:bottom w:val="nil"/>
            </w:tcBorders>
          </w:tcPr>
          <w:p>
            <w:pPr>
              <w:rPr>
                <w:rFonts w:ascii="Arial"/>
                <w:sz w:val="21"/>
              </w:rPr>
            </w:pPr>
            <w:r/>
          </w:p>
        </w:tc>
        <w:tc>
          <w:tcPr>
            <w:tcW w:w="2308" w:type="dxa"/>
            <w:vAlign w:val="top"/>
            <w:gridSpan w:val="3"/>
          </w:tcPr>
          <w:p>
            <w:pPr>
              <w:pStyle w:val="TableText"/>
              <w:ind w:left="930"/>
              <w:spacing w:before="54" w:line="215" w:lineRule="auto"/>
              <w:rPr>
                <w:sz w:val="21"/>
                <w:szCs w:val="21"/>
              </w:rPr>
            </w:pPr>
            <w:r>
              <w:rPr>
                <w:sz w:val="21"/>
                <w:szCs w:val="21"/>
                <w:spacing w:val="-6"/>
              </w:rPr>
              <w:t>项 目</w:t>
            </w:r>
          </w:p>
        </w:tc>
        <w:tc>
          <w:tcPr>
            <w:tcW w:w="2028" w:type="dxa"/>
            <w:vAlign w:val="top"/>
            <w:gridSpan w:val="2"/>
          </w:tcPr>
          <w:p>
            <w:pPr>
              <w:pStyle w:val="TableText"/>
              <w:ind w:left="372"/>
              <w:spacing w:before="54" w:line="215" w:lineRule="auto"/>
              <w:rPr>
                <w:sz w:val="21"/>
                <w:szCs w:val="21"/>
              </w:rPr>
            </w:pPr>
            <w:r>
              <w:rPr>
                <w:sz w:val="21"/>
                <w:szCs w:val="21"/>
                <w:spacing w:val="21"/>
              </w:rPr>
              <w:t>占地面积/m²</w:t>
            </w:r>
          </w:p>
        </w:tc>
        <w:tc>
          <w:tcPr>
            <w:tcW w:w="1718" w:type="dxa"/>
            <w:vAlign w:val="top"/>
            <w:gridSpan w:val="2"/>
          </w:tcPr>
          <w:p>
            <w:pPr>
              <w:pStyle w:val="TableText"/>
              <w:ind w:left="164"/>
              <w:spacing w:before="54" w:line="215" w:lineRule="auto"/>
              <w:rPr>
                <w:sz w:val="21"/>
                <w:szCs w:val="21"/>
              </w:rPr>
            </w:pPr>
            <w:r>
              <w:rPr>
                <w:sz w:val="21"/>
                <w:szCs w:val="21"/>
                <w:spacing w:val="1"/>
              </w:rPr>
              <w:t>总建筑面积/m?</w:t>
            </w:r>
          </w:p>
        </w:tc>
        <w:tc>
          <w:tcPr>
            <w:tcW w:w="978" w:type="dxa"/>
            <w:vAlign w:val="top"/>
            <w:gridSpan w:val="2"/>
          </w:tcPr>
          <w:p>
            <w:pPr>
              <w:pStyle w:val="TableText"/>
              <w:ind w:left="166"/>
              <w:spacing w:before="53" w:line="216" w:lineRule="auto"/>
              <w:rPr>
                <w:sz w:val="21"/>
                <w:szCs w:val="21"/>
              </w:rPr>
            </w:pPr>
            <w:r>
              <w:rPr>
                <w:sz w:val="21"/>
                <w:szCs w:val="21"/>
                <w:spacing w:val="-2"/>
              </w:rPr>
              <w:t>层数/F</w:t>
            </w:r>
          </w:p>
        </w:tc>
        <w:tc>
          <w:tcPr>
            <w:tcW w:w="1423" w:type="dxa"/>
            <w:vAlign w:val="top"/>
          </w:tcPr>
          <w:p>
            <w:pPr>
              <w:pStyle w:val="TableText"/>
              <w:ind w:left="388"/>
              <w:spacing w:before="53" w:line="216" w:lineRule="auto"/>
              <w:rPr>
                <w:sz w:val="21"/>
                <w:szCs w:val="21"/>
              </w:rPr>
            </w:pPr>
            <w:r>
              <w:rPr>
                <w:sz w:val="21"/>
                <w:szCs w:val="21"/>
                <w:spacing w:val="-2"/>
              </w:rPr>
              <w:t>层高/m</w:t>
            </w:r>
          </w:p>
        </w:tc>
      </w:tr>
      <w:tr>
        <w:trPr>
          <w:trHeight w:val="280" w:hRule="atLeast"/>
        </w:trPr>
        <w:tc>
          <w:tcPr>
            <w:tcW w:w="435" w:type="dxa"/>
            <w:vAlign w:val="top"/>
            <w:vMerge w:val="continue"/>
            <w:tcBorders>
              <w:top w:val="nil"/>
              <w:bottom w:val="nil"/>
            </w:tcBorders>
          </w:tcPr>
          <w:p>
            <w:pPr>
              <w:rPr>
                <w:rFonts w:ascii="Arial"/>
                <w:sz w:val="21"/>
              </w:rPr>
            </w:pPr>
            <w:r/>
          </w:p>
        </w:tc>
        <w:tc>
          <w:tcPr>
            <w:tcW w:w="2308" w:type="dxa"/>
            <w:vAlign w:val="top"/>
            <w:gridSpan w:val="3"/>
          </w:tcPr>
          <w:p>
            <w:pPr>
              <w:pStyle w:val="TableText"/>
              <w:ind w:left="199"/>
              <w:spacing w:before="44" w:line="198" w:lineRule="auto"/>
              <w:rPr>
                <w:sz w:val="21"/>
                <w:szCs w:val="21"/>
              </w:rPr>
            </w:pPr>
            <w:r>
              <w:rPr>
                <w:sz w:val="21"/>
                <w:szCs w:val="21"/>
                <w:spacing w:val="4"/>
              </w:rPr>
              <w:t>凹版车间(含设施房)</w:t>
            </w:r>
          </w:p>
        </w:tc>
        <w:tc>
          <w:tcPr>
            <w:tcW w:w="2028" w:type="dxa"/>
            <w:vAlign w:val="top"/>
            <w:gridSpan w:val="2"/>
          </w:tcPr>
          <w:p>
            <w:pPr>
              <w:pStyle w:val="TableText"/>
              <w:ind w:left="582"/>
              <w:spacing w:before="97" w:line="172" w:lineRule="exact"/>
              <w:rPr>
                <w:sz w:val="21"/>
                <w:szCs w:val="21"/>
              </w:rPr>
            </w:pPr>
            <w:r>
              <w:rPr>
                <w:sz w:val="21"/>
                <w:szCs w:val="21"/>
                <w:spacing w:val="-3"/>
                <w:position w:val="-2"/>
              </w:rPr>
              <w:t>12631.80</w:t>
            </w:r>
          </w:p>
        </w:tc>
        <w:tc>
          <w:tcPr>
            <w:tcW w:w="1718" w:type="dxa"/>
            <w:vAlign w:val="top"/>
            <w:gridSpan w:val="2"/>
          </w:tcPr>
          <w:p>
            <w:pPr>
              <w:pStyle w:val="TableText"/>
              <w:ind w:left="434"/>
              <w:spacing w:before="98" w:line="172" w:lineRule="exact"/>
              <w:rPr>
                <w:sz w:val="21"/>
                <w:szCs w:val="21"/>
              </w:rPr>
            </w:pPr>
            <w:r>
              <w:rPr>
                <w:sz w:val="21"/>
                <w:szCs w:val="21"/>
                <w:spacing w:val="-2"/>
                <w:position w:val="-2"/>
              </w:rPr>
              <w:t>37368.54</w:t>
            </w:r>
          </w:p>
        </w:tc>
        <w:tc>
          <w:tcPr>
            <w:tcW w:w="978" w:type="dxa"/>
            <w:vAlign w:val="top"/>
            <w:gridSpan w:val="2"/>
          </w:tcPr>
          <w:p>
            <w:pPr>
              <w:pStyle w:val="TableText"/>
              <w:ind w:left="326"/>
              <w:spacing w:before="97" w:line="172" w:lineRule="exact"/>
              <w:rPr>
                <w:sz w:val="21"/>
                <w:szCs w:val="21"/>
              </w:rPr>
            </w:pPr>
            <w:r>
              <w:rPr>
                <w:sz w:val="21"/>
                <w:szCs w:val="21"/>
                <w:spacing w:val="-8"/>
                <w:position w:val="-2"/>
              </w:rPr>
              <w:t>1-3</w:t>
            </w:r>
          </w:p>
        </w:tc>
        <w:tc>
          <w:tcPr>
            <w:tcW w:w="1423" w:type="dxa"/>
            <w:vAlign w:val="top"/>
          </w:tcPr>
          <w:p>
            <w:pPr>
              <w:pStyle w:val="TableText"/>
              <w:ind w:left="498"/>
              <w:spacing w:before="98" w:line="172" w:lineRule="exact"/>
              <w:rPr>
                <w:sz w:val="21"/>
                <w:szCs w:val="21"/>
              </w:rPr>
            </w:pPr>
            <w:r>
              <w:rPr>
                <w:sz w:val="21"/>
                <w:szCs w:val="21"/>
                <w:spacing w:val="-3"/>
                <w:position w:val="-2"/>
              </w:rPr>
              <w:t>23.8</w:t>
            </w:r>
          </w:p>
        </w:tc>
      </w:tr>
      <w:tr>
        <w:trPr>
          <w:trHeight w:val="269" w:hRule="atLeast"/>
        </w:trPr>
        <w:tc>
          <w:tcPr>
            <w:tcW w:w="435" w:type="dxa"/>
            <w:vAlign w:val="top"/>
            <w:vMerge w:val="continue"/>
            <w:tcBorders>
              <w:top w:val="nil"/>
              <w:bottom w:val="nil"/>
            </w:tcBorders>
          </w:tcPr>
          <w:p>
            <w:pPr>
              <w:rPr>
                <w:rFonts w:ascii="Arial"/>
                <w:sz w:val="21"/>
              </w:rPr>
            </w:pPr>
            <w:r/>
          </w:p>
        </w:tc>
        <w:tc>
          <w:tcPr>
            <w:tcW w:w="2308" w:type="dxa"/>
            <w:vAlign w:val="top"/>
            <w:gridSpan w:val="3"/>
          </w:tcPr>
          <w:p>
            <w:pPr>
              <w:pStyle w:val="TableText"/>
              <w:ind w:left="670"/>
              <w:spacing w:before="34" w:line="197" w:lineRule="auto"/>
              <w:rPr>
                <w:sz w:val="21"/>
                <w:szCs w:val="21"/>
              </w:rPr>
            </w:pPr>
            <w:r>
              <w:rPr>
                <w:sz w:val="21"/>
                <w:szCs w:val="21"/>
                <w:spacing w:val="-1"/>
              </w:rPr>
              <w:t>NMP泵房二</w:t>
            </w:r>
          </w:p>
        </w:tc>
        <w:tc>
          <w:tcPr>
            <w:tcW w:w="2028" w:type="dxa"/>
            <w:vAlign w:val="top"/>
            <w:gridSpan w:val="2"/>
          </w:tcPr>
          <w:p>
            <w:pPr>
              <w:pStyle w:val="TableText"/>
              <w:ind w:left="742"/>
              <w:spacing w:before="88" w:line="171" w:lineRule="exact"/>
              <w:rPr>
                <w:sz w:val="21"/>
                <w:szCs w:val="21"/>
              </w:rPr>
            </w:pPr>
            <w:r>
              <w:rPr>
                <w:sz w:val="21"/>
                <w:szCs w:val="21"/>
                <w:spacing w:val="-2"/>
                <w:position w:val="-2"/>
              </w:rPr>
              <w:t>89.70</w:t>
            </w:r>
          </w:p>
        </w:tc>
        <w:tc>
          <w:tcPr>
            <w:tcW w:w="1718" w:type="dxa"/>
            <w:vAlign w:val="top"/>
            <w:gridSpan w:val="2"/>
          </w:tcPr>
          <w:p>
            <w:pPr>
              <w:pStyle w:val="TableText"/>
              <w:ind w:left="583"/>
              <w:spacing w:before="88" w:line="171" w:lineRule="exact"/>
              <w:rPr>
                <w:sz w:val="21"/>
                <w:szCs w:val="21"/>
              </w:rPr>
            </w:pPr>
            <w:r>
              <w:rPr>
                <w:sz w:val="21"/>
                <w:szCs w:val="21"/>
                <w:spacing w:val="-2"/>
                <w:position w:val="-2"/>
              </w:rPr>
              <w:t>89.70</w:t>
            </w:r>
          </w:p>
        </w:tc>
        <w:tc>
          <w:tcPr>
            <w:tcW w:w="978" w:type="dxa"/>
            <w:vAlign w:val="top"/>
            <w:gridSpan w:val="2"/>
          </w:tcPr>
          <w:p>
            <w:pPr>
              <w:pStyle w:val="TableText"/>
              <w:ind w:left="426"/>
              <w:spacing w:before="87" w:line="172" w:lineRule="exact"/>
              <w:rPr>
                <w:sz w:val="21"/>
                <w:szCs w:val="21"/>
              </w:rPr>
            </w:pPr>
            <w:r>
              <w:rPr>
                <w:sz w:val="21"/>
                <w:szCs w:val="21"/>
                <w:position w:val="-2"/>
              </w:rPr>
              <w:t>1</w:t>
            </w:r>
          </w:p>
        </w:tc>
        <w:tc>
          <w:tcPr>
            <w:tcW w:w="1423" w:type="dxa"/>
            <w:vAlign w:val="top"/>
          </w:tcPr>
          <w:p>
            <w:pPr>
              <w:pStyle w:val="TableText"/>
              <w:ind w:left="548"/>
              <w:spacing w:before="88" w:line="171" w:lineRule="exact"/>
              <w:rPr>
                <w:sz w:val="21"/>
                <w:szCs w:val="21"/>
              </w:rPr>
            </w:pPr>
            <w:r>
              <w:rPr>
                <w:sz w:val="21"/>
                <w:szCs w:val="21"/>
                <w:spacing w:val="-2"/>
                <w:position w:val="-2"/>
              </w:rPr>
              <w:t>4.9</w:t>
            </w:r>
          </w:p>
        </w:tc>
      </w:tr>
      <w:tr>
        <w:trPr>
          <w:trHeight w:val="279" w:hRule="atLeast"/>
        </w:trPr>
        <w:tc>
          <w:tcPr>
            <w:tcW w:w="435" w:type="dxa"/>
            <w:vAlign w:val="top"/>
            <w:vMerge w:val="continue"/>
            <w:tcBorders>
              <w:top w:val="nil"/>
              <w:bottom w:val="nil"/>
            </w:tcBorders>
          </w:tcPr>
          <w:p>
            <w:pPr>
              <w:rPr>
                <w:rFonts w:ascii="Arial"/>
                <w:sz w:val="21"/>
              </w:rPr>
            </w:pPr>
            <w:r/>
          </w:p>
        </w:tc>
        <w:tc>
          <w:tcPr>
            <w:tcW w:w="2308" w:type="dxa"/>
            <w:vAlign w:val="top"/>
            <w:gridSpan w:val="3"/>
          </w:tcPr>
          <w:p>
            <w:pPr>
              <w:pStyle w:val="TableText"/>
              <w:ind w:left="580"/>
              <w:spacing w:before="44" w:line="197" w:lineRule="auto"/>
              <w:rPr>
                <w:sz w:val="21"/>
                <w:szCs w:val="21"/>
              </w:rPr>
            </w:pPr>
            <w:r>
              <w:rPr>
                <w:sz w:val="21"/>
                <w:szCs w:val="21"/>
                <w:spacing w:val="-7"/>
              </w:rPr>
              <w:t>N</w:t>
            </w:r>
            <w:r>
              <w:rPr>
                <w:sz w:val="21"/>
                <w:szCs w:val="21"/>
                <w:spacing w:val="-46"/>
              </w:rPr>
              <w:t xml:space="preserve"> </w:t>
            </w:r>
            <w:r>
              <w:rPr>
                <w:sz w:val="21"/>
                <w:szCs w:val="21"/>
                <w:spacing w:val="-7"/>
              </w:rPr>
              <w:t>M</w:t>
            </w:r>
            <w:r>
              <w:rPr>
                <w:sz w:val="21"/>
                <w:szCs w:val="21"/>
                <w:spacing w:val="-43"/>
              </w:rPr>
              <w:t xml:space="preserve"> </w:t>
            </w:r>
            <w:r>
              <w:rPr>
                <w:sz w:val="21"/>
                <w:szCs w:val="21"/>
                <w:spacing w:val="-7"/>
              </w:rPr>
              <w:t>P</w:t>
            </w:r>
            <w:r>
              <w:rPr>
                <w:sz w:val="21"/>
                <w:szCs w:val="21"/>
                <w:spacing w:val="-37"/>
              </w:rPr>
              <w:t xml:space="preserve"> </w:t>
            </w:r>
            <w:r>
              <w:rPr>
                <w:sz w:val="21"/>
                <w:szCs w:val="21"/>
                <w:spacing w:val="-7"/>
              </w:rPr>
              <w:t>罐</w:t>
            </w:r>
            <w:r>
              <w:rPr>
                <w:sz w:val="21"/>
                <w:szCs w:val="21"/>
                <w:spacing w:val="-24"/>
              </w:rPr>
              <w:t xml:space="preserve"> </w:t>
            </w:r>
            <w:r>
              <w:rPr>
                <w:sz w:val="21"/>
                <w:szCs w:val="21"/>
                <w:spacing w:val="-7"/>
              </w:rPr>
              <w:t>区</w:t>
            </w:r>
            <w:r>
              <w:rPr>
                <w:sz w:val="21"/>
                <w:szCs w:val="21"/>
                <w:spacing w:val="-41"/>
              </w:rPr>
              <w:t xml:space="preserve"> </w:t>
            </w:r>
            <w:r>
              <w:rPr>
                <w:sz w:val="21"/>
                <w:szCs w:val="21"/>
                <w:spacing w:val="-7"/>
              </w:rPr>
              <w:t>C</w:t>
            </w:r>
          </w:p>
        </w:tc>
        <w:tc>
          <w:tcPr>
            <w:tcW w:w="2028" w:type="dxa"/>
            <w:vAlign w:val="top"/>
            <w:gridSpan w:val="2"/>
          </w:tcPr>
          <w:p>
            <w:pPr>
              <w:pStyle w:val="TableText"/>
              <w:ind w:left="632"/>
              <w:spacing w:before="98" w:line="171" w:lineRule="exact"/>
              <w:rPr>
                <w:sz w:val="21"/>
                <w:szCs w:val="21"/>
              </w:rPr>
            </w:pPr>
            <w:r>
              <w:rPr>
                <w:sz w:val="21"/>
                <w:szCs w:val="21"/>
                <w:spacing w:val="-2"/>
                <w:position w:val="-2"/>
              </w:rPr>
              <w:t>527.140</w:t>
            </w:r>
          </w:p>
        </w:tc>
        <w:tc>
          <w:tcPr>
            <w:tcW w:w="1718" w:type="dxa"/>
            <w:vAlign w:val="top"/>
            <w:gridSpan w:val="2"/>
          </w:tcPr>
          <w:p>
            <w:pPr>
              <w:rPr>
                <w:rFonts w:ascii="Arial"/>
                <w:sz w:val="21"/>
              </w:rPr>
            </w:pPr>
            <w:r/>
          </w:p>
        </w:tc>
        <w:tc>
          <w:tcPr>
            <w:tcW w:w="978" w:type="dxa"/>
            <w:vAlign w:val="top"/>
            <w:gridSpan w:val="2"/>
          </w:tcPr>
          <w:p>
            <w:pPr>
              <w:rPr>
                <w:rFonts w:ascii="Arial"/>
                <w:sz w:val="21"/>
              </w:rPr>
            </w:pPr>
            <w:r/>
          </w:p>
        </w:tc>
        <w:tc>
          <w:tcPr>
            <w:tcW w:w="1423" w:type="dxa"/>
            <w:vAlign w:val="top"/>
          </w:tcPr>
          <w:p>
            <w:pPr>
              <w:rPr>
                <w:rFonts w:ascii="Arial"/>
                <w:sz w:val="21"/>
              </w:rPr>
            </w:pPr>
            <w:r/>
          </w:p>
        </w:tc>
      </w:tr>
      <w:tr>
        <w:trPr>
          <w:trHeight w:val="279" w:hRule="atLeast"/>
        </w:trPr>
        <w:tc>
          <w:tcPr>
            <w:tcW w:w="435" w:type="dxa"/>
            <w:vAlign w:val="top"/>
            <w:vMerge w:val="continue"/>
            <w:tcBorders>
              <w:top w:val="nil"/>
              <w:bottom w:val="nil"/>
            </w:tcBorders>
          </w:tcPr>
          <w:p>
            <w:pPr>
              <w:rPr>
                <w:rFonts w:ascii="Arial"/>
                <w:sz w:val="21"/>
              </w:rPr>
            </w:pPr>
            <w:r/>
          </w:p>
        </w:tc>
        <w:tc>
          <w:tcPr>
            <w:tcW w:w="2308" w:type="dxa"/>
            <w:vAlign w:val="top"/>
            <w:gridSpan w:val="3"/>
          </w:tcPr>
          <w:p>
            <w:pPr>
              <w:pStyle w:val="TableText"/>
              <w:ind w:left="830"/>
              <w:spacing w:before="50" w:line="192" w:lineRule="auto"/>
              <w:rPr>
                <w:sz w:val="21"/>
                <w:szCs w:val="21"/>
              </w:rPr>
            </w:pPr>
            <w:r>
              <w:rPr>
                <w:sz w:val="21"/>
                <w:szCs w:val="21"/>
                <w:spacing w:val="3"/>
              </w:rPr>
              <w:t>门卫五</w:t>
            </w:r>
          </w:p>
        </w:tc>
        <w:tc>
          <w:tcPr>
            <w:tcW w:w="2028" w:type="dxa"/>
            <w:vAlign w:val="top"/>
            <w:gridSpan w:val="2"/>
          </w:tcPr>
          <w:p>
            <w:pPr>
              <w:pStyle w:val="TableText"/>
              <w:ind w:left="742"/>
              <w:spacing w:before="99" w:line="170" w:lineRule="exact"/>
              <w:rPr>
                <w:sz w:val="21"/>
                <w:szCs w:val="21"/>
              </w:rPr>
            </w:pPr>
            <w:r>
              <w:rPr>
                <w:sz w:val="21"/>
                <w:szCs w:val="21"/>
                <w:spacing w:val="-2"/>
                <w:position w:val="-2"/>
              </w:rPr>
              <w:t>40.01</w:t>
            </w:r>
          </w:p>
        </w:tc>
        <w:tc>
          <w:tcPr>
            <w:tcW w:w="1718" w:type="dxa"/>
            <w:vAlign w:val="top"/>
            <w:gridSpan w:val="2"/>
          </w:tcPr>
          <w:p>
            <w:pPr>
              <w:pStyle w:val="TableText"/>
              <w:ind w:left="583"/>
              <w:spacing w:before="100" w:line="169" w:lineRule="exact"/>
              <w:rPr>
                <w:sz w:val="21"/>
                <w:szCs w:val="21"/>
              </w:rPr>
            </w:pPr>
            <w:r>
              <w:rPr>
                <w:sz w:val="21"/>
                <w:szCs w:val="21"/>
                <w:spacing w:val="-2"/>
                <w:position w:val="-2"/>
              </w:rPr>
              <w:t>46.34</w:t>
            </w:r>
          </w:p>
        </w:tc>
        <w:tc>
          <w:tcPr>
            <w:tcW w:w="978" w:type="dxa"/>
            <w:vAlign w:val="top"/>
            <w:gridSpan w:val="2"/>
          </w:tcPr>
          <w:p>
            <w:pPr>
              <w:rPr>
                <w:rFonts w:ascii="Arial"/>
                <w:sz w:val="21"/>
              </w:rPr>
            </w:pPr>
            <w:r/>
          </w:p>
        </w:tc>
        <w:tc>
          <w:tcPr>
            <w:tcW w:w="1423" w:type="dxa"/>
            <w:vAlign w:val="top"/>
          </w:tcPr>
          <w:p>
            <w:pPr>
              <w:rPr>
                <w:rFonts w:ascii="Arial"/>
                <w:sz w:val="21"/>
              </w:rPr>
            </w:pPr>
            <w:r/>
          </w:p>
        </w:tc>
      </w:tr>
      <w:tr>
        <w:trPr>
          <w:trHeight w:val="280" w:hRule="atLeast"/>
        </w:trPr>
        <w:tc>
          <w:tcPr>
            <w:tcW w:w="435" w:type="dxa"/>
            <w:vAlign w:val="top"/>
            <w:vMerge w:val="continue"/>
            <w:tcBorders>
              <w:top w:val="nil"/>
              <w:bottom w:val="nil"/>
            </w:tcBorders>
          </w:tcPr>
          <w:p>
            <w:pPr>
              <w:rPr>
                <w:rFonts w:ascii="Arial"/>
                <w:sz w:val="21"/>
              </w:rPr>
            </w:pPr>
            <w:r/>
          </w:p>
        </w:tc>
        <w:tc>
          <w:tcPr>
            <w:tcW w:w="2308" w:type="dxa"/>
            <w:vAlign w:val="top"/>
            <w:gridSpan w:val="3"/>
          </w:tcPr>
          <w:p>
            <w:pPr>
              <w:pStyle w:val="TableText"/>
              <w:ind w:left="560"/>
              <w:spacing w:before="47" w:line="196" w:lineRule="auto"/>
              <w:rPr>
                <w:sz w:val="21"/>
                <w:szCs w:val="21"/>
              </w:rPr>
            </w:pPr>
            <w:r>
              <w:rPr>
                <w:sz w:val="21"/>
                <w:szCs w:val="21"/>
                <w:spacing w:val="2"/>
              </w:rPr>
              <w:t>污水处理池B</w:t>
            </w:r>
          </w:p>
        </w:tc>
        <w:tc>
          <w:tcPr>
            <w:tcW w:w="2028" w:type="dxa"/>
            <w:vAlign w:val="top"/>
            <w:gridSpan w:val="2"/>
          </w:tcPr>
          <w:p>
            <w:pPr>
              <w:pStyle w:val="TableText"/>
              <w:ind w:left="692"/>
              <w:spacing w:before="100" w:line="170" w:lineRule="exact"/>
              <w:rPr>
                <w:sz w:val="21"/>
                <w:szCs w:val="21"/>
              </w:rPr>
            </w:pPr>
            <w:r>
              <w:rPr>
                <w:sz w:val="21"/>
                <w:szCs w:val="21"/>
                <w:spacing w:val="-4"/>
                <w:position w:val="-2"/>
              </w:rPr>
              <w:t>138.71</w:t>
            </w:r>
          </w:p>
        </w:tc>
        <w:tc>
          <w:tcPr>
            <w:tcW w:w="1718" w:type="dxa"/>
            <w:vAlign w:val="top"/>
            <w:gridSpan w:val="2"/>
          </w:tcPr>
          <w:p>
            <w:pPr>
              <w:pStyle w:val="TableText"/>
              <w:ind w:left="534"/>
              <w:spacing w:before="100" w:line="170" w:lineRule="exact"/>
              <w:rPr>
                <w:sz w:val="21"/>
                <w:szCs w:val="21"/>
              </w:rPr>
            </w:pPr>
            <w:r>
              <w:rPr>
                <w:sz w:val="21"/>
                <w:szCs w:val="21"/>
                <w:spacing w:val="-4"/>
                <w:position w:val="-2"/>
              </w:rPr>
              <w:t>138.71</w:t>
            </w:r>
          </w:p>
        </w:tc>
        <w:tc>
          <w:tcPr>
            <w:tcW w:w="978" w:type="dxa"/>
            <w:vAlign w:val="top"/>
            <w:gridSpan w:val="2"/>
          </w:tcPr>
          <w:p>
            <w:pPr>
              <w:rPr>
                <w:rFonts w:ascii="Arial"/>
                <w:sz w:val="21"/>
              </w:rPr>
            </w:pPr>
            <w:r/>
          </w:p>
        </w:tc>
        <w:tc>
          <w:tcPr>
            <w:tcW w:w="1423" w:type="dxa"/>
            <w:vAlign w:val="top"/>
          </w:tcPr>
          <w:p>
            <w:pPr>
              <w:rPr>
                <w:rFonts w:ascii="Arial"/>
                <w:sz w:val="21"/>
              </w:rPr>
            </w:pPr>
            <w:r/>
          </w:p>
        </w:tc>
      </w:tr>
      <w:tr>
        <w:trPr>
          <w:trHeight w:val="269" w:hRule="atLeast"/>
        </w:trPr>
        <w:tc>
          <w:tcPr>
            <w:tcW w:w="435" w:type="dxa"/>
            <w:vAlign w:val="top"/>
            <w:vMerge w:val="continue"/>
            <w:tcBorders>
              <w:top w:val="nil"/>
              <w:bottom w:val="nil"/>
            </w:tcBorders>
          </w:tcPr>
          <w:p>
            <w:pPr>
              <w:rPr>
                <w:rFonts w:ascii="Arial"/>
                <w:sz w:val="21"/>
              </w:rPr>
            </w:pPr>
            <w:r/>
          </w:p>
        </w:tc>
        <w:tc>
          <w:tcPr>
            <w:tcW w:w="2308" w:type="dxa"/>
            <w:vAlign w:val="top"/>
            <w:gridSpan w:val="3"/>
          </w:tcPr>
          <w:p>
            <w:pPr>
              <w:pStyle w:val="TableText"/>
              <w:ind w:left="510"/>
              <w:spacing w:before="38" w:line="194" w:lineRule="auto"/>
              <w:rPr>
                <w:sz w:val="21"/>
                <w:szCs w:val="21"/>
              </w:rPr>
            </w:pPr>
            <w:r>
              <w:rPr>
                <w:sz w:val="21"/>
                <w:szCs w:val="21"/>
                <w:spacing w:val="2"/>
              </w:rPr>
              <w:t>厂区风雨连廊</w:t>
            </w:r>
          </w:p>
        </w:tc>
        <w:tc>
          <w:tcPr>
            <w:tcW w:w="2028" w:type="dxa"/>
            <w:vAlign w:val="top"/>
            <w:gridSpan w:val="2"/>
          </w:tcPr>
          <w:p>
            <w:pPr>
              <w:pStyle w:val="TableText"/>
              <w:ind w:left="632"/>
              <w:spacing w:before="90" w:line="169" w:lineRule="exact"/>
              <w:rPr>
                <w:sz w:val="21"/>
                <w:szCs w:val="21"/>
              </w:rPr>
            </w:pPr>
            <w:r>
              <w:rPr>
                <w:sz w:val="21"/>
                <w:szCs w:val="21"/>
                <w:spacing w:val="-3"/>
                <w:position w:val="-2"/>
              </w:rPr>
              <w:t>1080.00</w:t>
            </w:r>
          </w:p>
        </w:tc>
        <w:tc>
          <w:tcPr>
            <w:tcW w:w="1718" w:type="dxa"/>
            <w:vAlign w:val="top"/>
            <w:gridSpan w:val="2"/>
          </w:tcPr>
          <w:p>
            <w:pPr>
              <w:pStyle w:val="TableText"/>
              <w:ind w:left="534"/>
              <w:spacing w:before="91" w:line="168" w:lineRule="exact"/>
              <w:rPr>
                <w:sz w:val="21"/>
                <w:szCs w:val="21"/>
              </w:rPr>
            </w:pPr>
            <w:r>
              <w:rPr>
                <w:sz w:val="21"/>
                <w:szCs w:val="21"/>
                <w:spacing w:val="-2"/>
                <w:position w:val="-2"/>
              </w:rPr>
              <w:t>540.00</w:t>
            </w:r>
          </w:p>
        </w:tc>
        <w:tc>
          <w:tcPr>
            <w:tcW w:w="978" w:type="dxa"/>
            <w:vAlign w:val="top"/>
            <w:gridSpan w:val="2"/>
          </w:tcPr>
          <w:p>
            <w:pPr>
              <w:rPr>
                <w:rFonts w:ascii="Arial"/>
                <w:sz w:val="21"/>
              </w:rPr>
            </w:pPr>
            <w:r/>
          </w:p>
        </w:tc>
        <w:tc>
          <w:tcPr>
            <w:tcW w:w="1423" w:type="dxa"/>
            <w:vAlign w:val="top"/>
          </w:tcPr>
          <w:p>
            <w:pPr>
              <w:rPr>
                <w:rFonts w:ascii="Arial"/>
                <w:sz w:val="21"/>
              </w:rPr>
            </w:pPr>
            <w:r/>
          </w:p>
        </w:tc>
      </w:tr>
      <w:tr>
        <w:trPr>
          <w:trHeight w:val="290" w:hRule="atLeast"/>
        </w:trPr>
        <w:tc>
          <w:tcPr>
            <w:tcW w:w="435" w:type="dxa"/>
            <w:vAlign w:val="top"/>
            <w:vMerge w:val="continue"/>
            <w:tcBorders>
              <w:top w:val="nil"/>
              <w:bottom w:val="nil"/>
            </w:tcBorders>
          </w:tcPr>
          <w:p>
            <w:pPr>
              <w:rPr>
                <w:rFonts w:ascii="Arial"/>
                <w:sz w:val="21"/>
              </w:rPr>
            </w:pPr>
            <w:r/>
          </w:p>
        </w:tc>
        <w:tc>
          <w:tcPr>
            <w:tcW w:w="2308" w:type="dxa"/>
            <w:vAlign w:val="top"/>
            <w:gridSpan w:val="3"/>
          </w:tcPr>
          <w:p>
            <w:pPr>
              <w:pStyle w:val="TableText"/>
              <w:ind w:left="930"/>
              <w:spacing w:before="50" w:line="202" w:lineRule="auto"/>
              <w:rPr>
                <w:sz w:val="21"/>
                <w:szCs w:val="21"/>
              </w:rPr>
            </w:pPr>
            <w:r>
              <w:rPr>
                <w:sz w:val="21"/>
                <w:szCs w:val="21"/>
                <w:spacing w:val="-3"/>
              </w:rPr>
              <w:t>合计</w:t>
            </w:r>
          </w:p>
        </w:tc>
        <w:tc>
          <w:tcPr>
            <w:tcW w:w="2028" w:type="dxa"/>
            <w:vAlign w:val="top"/>
            <w:gridSpan w:val="2"/>
          </w:tcPr>
          <w:p>
            <w:pPr>
              <w:pStyle w:val="TableText"/>
              <w:ind w:left="531"/>
              <w:spacing w:before="101" w:line="157" w:lineRule="auto"/>
              <w:rPr>
                <w:sz w:val="21"/>
                <w:szCs w:val="21"/>
              </w:rPr>
            </w:pPr>
            <w:r>
              <w:rPr>
                <w:sz w:val="21"/>
                <w:szCs w:val="21"/>
                <w:spacing w:val="-3"/>
              </w:rPr>
              <w:t>14507.360</w:t>
            </w:r>
          </w:p>
        </w:tc>
        <w:tc>
          <w:tcPr>
            <w:tcW w:w="1718" w:type="dxa"/>
            <w:vAlign w:val="top"/>
            <w:gridSpan w:val="2"/>
          </w:tcPr>
          <w:p>
            <w:pPr>
              <w:pStyle w:val="TableText"/>
              <w:ind w:left="374"/>
              <w:spacing w:before="101" w:line="157" w:lineRule="auto"/>
              <w:rPr>
                <w:sz w:val="21"/>
                <w:szCs w:val="21"/>
              </w:rPr>
            </w:pPr>
            <w:r>
              <w:rPr>
                <w:sz w:val="21"/>
                <w:szCs w:val="21"/>
                <w:spacing w:val="-2"/>
              </w:rPr>
              <w:t>38183.290</w:t>
            </w:r>
          </w:p>
        </w:tc>
        <w:tc>
          <w:tcPr>
            <w:tcW w:w="978" w:type="dxa"/>
            <w:vAlign w:val="top"/>
            <w:gridSpan w:val="2"/>
          </w:tcPr>
          <w:p>
            <w:pPr>
              <w:rPr>
                <w:rFonts w:ascii="Arial"/>
                <w:sz w:val="21"/>
              </w:rPr>
            </w:pPr>
            <w:r/>
          </w:p>
        </w:tc>
        <w:tc>
          <w:tcPr>
            <w:tcW w:w="1423" w:type="dxa"/>
            <w:vAlign w:val="top"/>
          </w:tcPr>
          <w:p>
            <w:pPr>
              <w:rPr>
                <w:rFonts w:ascii="Arial"/>
                <w:sz w:val="21"/>
              </w:rPr>
            </w:pPr>
            <w:r/>
          </w:p>
        </w:tc>
      </w:tr>
      <w:tr>
        <w:trPr>
          <w:trHeight w:val="484" w:hRule="atLeast"/>
        </w:trPr>
        <w:tc>
          <w:tcPr>
            <w:tcW w:w="435" w:type="dxa"/>
            <w:vAlign w:val="top"/>
            <w:vMerge w:val="continue"/>
            <w:tcBorders>
              <w:top w:val="nil"/>
            </w:tcBorders>
          </w:tcPr>
          <w:p>
            <w:pPr>
              <w:rPr>
                <w:rFonts w:ascii="Arial"/>
                <w:sz w:val="21"/>
              </w:rPr>
            </w:pPr>
            <w:r/>
          </w:p>
        </w:tc>
        <w:tc>
          <w:tcPr>
            <w:tcW w:w="8455" w:type="dxa"/>
            <w:vAlign w:val="top"/>
            <w:gridSpan w:val="10"/>
          </w:tcPr>
          <w:p>
            <w:pPr>
              <w:pStyle w:val="TableText"/>
              <w:ind w:left="103"/>
              <w:spacing w:before="86" w:line="220" w:lineRule="auto"/>
              <w:rPr>
                <w:sz w:val="21"/>
                <w:szCs w:val="21"/>
              </w:rPr>
            </w:pPr>
            <w:r>
              <w:rPr>
                <w:sz w:val="21"/>
                <w:szCs w:val="21"/>
                <w:b/>
                <w:bCs/>
                <w:spacing w:val="-4"/>
              </w:rPr>
              <w:t>2.2.3项目组成</w:t>
            </w:r>
          </w:p>
        </w:tc>
      </w:tr>
    </w:tbl>
    <w:p>
      <w:pPr>
        <w:rPr>
          <w:rFonts w:ascii="Arial"/>
          <w:sz w:val="21"/>
        </w:rPr>
      </w:pPr>
      <w:r/>
    </w:p>
    <w:p>
      <w:pPr>
        <w:sectPr>
          <w:footerReference w:type="default" r:id="rId11"/>
          <w:pgSz w:w="11900" w:h="16840"/>
          <w:pgMar w:top="1431" w:right="1415" w:bottom="1218" w:left="1584" w:header="0" w:footer="1079" w:gutter="0"/>
        </w:sectPr>
        <w:rPr>
          <w:rFonts w:ascii="Arial" w:hAnsi="Arial" w:eastAsia="Arial" w:cs="Arial"/>
          <w:sz w:val="21"/>
          <w:szCs w:val="21"/>
        </w:rPr>
      </w:pPr>
    </w:p>
    <w:p>
      <w:pPr>
        <w:pStyle w:val="BodyText"/>
        <w:ind w:left="5588"/>
        <w:spacing w:before="275" w:line="220" w:lineRule="auto"/>
        <w:rPr>
          <w:sz w:val="25"/>
          <w:szCs w:val="25"/>
        </w:rPr>
      </w:pPr>
      <w:r>
        <w:rPr>
          <w:sz w:val="25"/>
          <w:szCs w:val="25"/>
          <w:b/>
          <w:bCs/>
          <w:spacing w:val="5"/>
        </w:rPr>
        <w:t>表2.2-3</w:t>
      </w:r>
      <w:r>
        <w:rPr>
          <w:sz w:val="25"/>
          <w:szCs w:val="25"/>
          <w:spacing w:val="5"/>
        </w:rPr>
        <w:t xml:space="preserve">  </w:t>
      </w:r>
      <w:r>
        <w:rPr>
          <w:sz w:val="25"/>
          <w:szCs w:val="25"/>
          <w:b/>
          <w:bCs/>
          <w:spacing w:val="5"/>
        </w:rPr>
        <w:t>项目组成一览表</w:t>
      </w:r>
    </w:p>
    <w:p>
      <w:pPr>
        <w:spacing w:line="139" w:lineRule="exact"/>
        <w:rPr/>
      </w:pPr>
      <w:r/>
    </w:p>
    <w:tbl>
      <w:tblPr>
        <w:tblStyle w:val="TableNormal"/>
        <w:tblW w:w="141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34"/>
        <w:gridCol w:w="1899"/>
        <w:gridCol w:w="8234"/>
        <w:gridCol w:w="2873"/>
      </w:tblGrid>
      <w:tr>
        <w:trPr>
          <w:trHeight w:val="304" w:hRule="atLeast"/>
        </w:trPr>
        <w:tc>
          <w:tcPr>
            <w:tcW w:w="1134" w:type="dxa"/>
            <w:vAlign w:val="top"/>
          </w:tcPr>
          <w:p>
            <w:pPr>
              <w:pStyle w:val="TableText"/>
              <w:ind w:left="135"/>
              <w:spacing w:before="52" w:line="212" w:lineRule="auto"/>
              <w:rPr>
                <w:sz w:val="21"/>
                <w:szCs w:val="21"/>
              </w:rPr>
            </w:pPr>
            <w:r>
              <w:rPr>
                <w:sz w:val="21"/>
                <w:szCs w:val="21"/>
                <w:spacing w:val="4"/>
              </w:rPr>
              <w:t>工程类别</w:t>
            </w:r>
          </w:p>
        </w:tc>
        <w:tc>
          <w:tcPr>
            <w:tcW w:w="1899" w:type="dxa"/>
            <w:vAlign w:val="top"/>
          </w:tcPr>
          <w:p>
            <w:pPr>
              <w:pStyle w:val="TableText"/>
              <w:ind w:left="521"/>
              <w:spacing w:before="55" w:line="210" w:lineRule="auto"/>
              <w:rPr>
                <w:sz w:val="21"/>
                <w:szCs w:val="21"/>
              </w:rPr>
            </w:pPr>
            <w:r>
              <w:rPr>
                <w:sz w:val="21"/>
                <w:szCs w:val="21"/>
                <w:spacing w:val="-2"/>
              </w:rPr>
              <w:t>主要组成</w:t>
            </w:r>
          </w:p>
        </w:tc>
        <w:tc>
          <w:tcPr>
            <w:tcW w:w="8234" w:type="dxa"/>
            <w:vAlign w:val="top"/>
          </w:tcPr>
          <w:p>
            <w:pPr>
              <w:pStyle w:val="TableText"/>
              <w:ind w:left="3522"/>
              <w:spacing w:before="52" w:line="212" w:lineRule="auto"/>
              <w:rPr>
                <w:sz w:val="21"/>
                <w:szCs w:val="21"/>
              </w:rPr>
            </w:pPr>
            <w:r>
              <w:rPr>
                <w:sz w:val="21"/>
                <w:szCs w:val="21"/>
                <w:spacing w:val="1"/>
              </w:rPr>
              <w:t>主要建设内容</w:t>
            </w:r>
          </w:p>
        </w:tc>
        <w:tc>
          <w:tcPr>
            <w:tcW w:w="2873" w:type="dxa"/>
            <w:vAlign w:val="top"/>
          </w:tcPr>
          <w:p>
            <w:pPr>
              <w:pStyle w:val="TableText"/>
              <w:ind w:left="1218"/>
              <w:spacing w:before="55" w:line="210" w:lineRule="auto"/>
              <w:rPr>
                <w:sz w:val="21"/>
                <w:szCs w:val="21"/>
              </w:rPr>
            </w:pPr>
            <w:r>
              <w:rPr>
                <w:sz w:val="21"/>
                <w:szCs w:val="21"/>
                <w:spacing w:val="5"/>
              </w:rPr>
              <w:t>备注</w:t>
            </w:r>
          </w:p>
        </w:tc>
      </w:tr>
      <w:tr>
        <w:trPr>
          <w:trHeight w:val="1069" w:hRule="atLeast"/>
        </w:trPr>
        <w:tc>
          <w:tcPr>
            <w:tcW w:w="1134" w:type="dxa"/>
            <w:vAlign w:val="top"/>
          </w:tcPr>
          <w:p>
            <w:pPr>
              <w:spacing w:line="359" w:lineRule="auto"/>
              <w:rPr>
                <w:rFonts w:ascii="Arial"/>
                <w:sz w:val="21"/>
              </w:rPr>
            </w:pPr>
            <w:r/>
          </w:p>
          <w:p>
            <w:pPr>
              <w:pStyle w:val="TableText"/>
              <w:ind w:left="135"/>
              <w:spacing w:before="69" w:line="220" w:lineRule="auto"/>
              <w:rPr>
                <w:sz w:val="21"/>
                <w:szCs w:val="21"/>
              </w:rPr>
            </w:pPr>
            <w:r>
              <w:rPr>
                <w:sz w:val="21"/>
                <w:szCs w:val="21"/>
                <w:spacing w:val="-2"/>
              </w:rPr>
              <w:t>主体工程</w:t>
            </w:r>
          </w:p>
        </w:tc>
        <w:tc>
          <w:tcPr>
            <w:tcW w:w="1899" w:type="dxa"/>
            <w:vAlign w:val="top"/>
          </w:tcPr>
          <w:p>
            <w:pPr>
              <w:spacing w:line="359" w:lineRule="auto"/>
              <w:rPr>
                <w:rFonts w:ascii="Arial"/>
                <w:sz w:val="21"/>
              </w:rPr>
            </w:pPr>
            <w:r/>
          </w:p>
          <w:p>
            <w:pPr>
              <w:pStyle w:val="TableText"/>
              <w:ind w:left="521"/>
              <w:spacing w:before="68" w:line="219" w:lineRule="auto"/>
              <w:rPr>
                <w:sz w:val="21"/>
                <w:szCs w:val="21"/>
              </w:rPr>
            </w:pPr>
            <w:r>
              <w:rPr>
                <w:sz w:val="21"/>
                <w:szCs w:val="21"/>
                <w:spacing w:val="5"/>
              </w:rPr>
              <w:t>凹版车间</w:t>
            </w:r>
          </w:p>
        </w:tc>
        <w:tc>
          <w:tcPr>
            <w:tcW w:w="8234" w:type="dxa"/>
            <w:vAlign w:val="top"/>
          </w:tcPr>
          <w:p>
            <w:pPr>
              <w:pStyle w:val="TableText"/>
              <w:ind w:left="132" w:right="107" w:firstLine="19"/>
              <w:spacing w:before="17" w:line="229" w:lineRule="auto"/>
              <w:jc w:val="both"/>
              <w:rPr>
                <w:sz w:val="21"/>
                <w:szCs w:val="21"/>
              </w:rPr>
            </w:pPr>
            <w:r>
              <w:rPr>
                <w:sz w:val="21"/>
                <w:szCs w:val="21"/>
                <w:spacing w:val="4"/>
              </w:rPr>
              <w:t>共3层，建筑面积为37368.54m²,包含设备平台面积30875.57m²,1层自东向西，自南  </w:t>
            </w:r>
            <w:r>
              <w:rPr>
                <w:sz w:val="21"/>
                <w:szCs w:val="21"/>
                <w:spacing w:val="3"/>
              </w:rPr>
              <w:t>向北布置有阴极搅拌制浆、涂布烘干，阳极搅拌、涂布烘干等工艺；2层</w:t>
            </w:r>
            <w:r>
              <w:rPr>
                <w:sz w:val="21"/>
                <w:szCs w:val="21"/>
                <w:spacing w:val="2"/>
              </w:rPr>
              <w:t>布置有阴极、</w:t>
            </w:r>
            <w:r>
              <w:rPr>
                <w:sz w:val="21"/>
                <w:szCs w:val="21"/>
              </w:rPr>
              <w:t xml:space="preserve"> </w:t>
            </w:r>
            <w:r>
              <w:rPr>
                <w:sz w:val="21"/>
                <w:szCs w:val="21"/>
              </w:rPr>
              <w:t>阳极溶剂房及除湿机房、除湿机设备平台；3层布置有阴极、阳极粉料车间，阴、阳极</w:t>
            </w:r>
            <w:r>
              <w:rPr>
                <w:sz w:val="21"/>
                <w:szCs w:val="21"/>
                <w:spacing w:val="1"/>
              </w:rPr>
              <w:t xml:space="preserve">  </w:t>
            </w:r>
            <w:r>
              <w:rPr>
                <w:sz w:val="21"/>
                <w:szCs w:val="21"/>
                <w:spacing w:val="1"/>
              </w:rPr>
              <w:t>凹版车间、除湿机、</w:t>
            </w:r>
            <w:r>
              <w:rPr>
                <w:sz w:val="21"/>
                <w:szCs w:val="21"/>
              </w:rPr>
              <w:t>NMP</w:t>
            </w:r>
            <w:r>
              <w:rPr>
                <w:sz w:val="21"/>
                <w:szCs w:val="21"/>
                <w:spacing w:val="1"/>
              </w:rPr>
              <w:t>回收设备平台。</w:t>
            </w:r>
          </w:p>
        </w:tc>
        <w:tc>
          <w:tcPr>
            <w:tcW w:w="2873" w:type="dxa"/>
            <w:vAlign w:val="top"/>
          </w:tcPr>
          <w:p>
            <w:pPr>
              <w:pStyle w:val="TableText"/>
              <w:ind w:left="68"/>
              <w:spacing w:before="30" w:line="220" w:lineRule="auto"/>
              <w:rPr>
                <w:sz w:val="21"/>
                <w:szCs w:val="21"/>
              </w:rPr>
            </w:pPr>
            <w:r>
              <w:rPr>
                <w:sz w:val="21"/>
                <w:szCs w:val="21"/>
                <w:spacing w:val="1"/>
              </w:rPr>
              <w:t>新增，主体已建成；阴、阳凹</w:t>
            </w:r>
          </w:p>
          <w:p>
            <w:pPr>
              <w:pStyle w:val="TableText"/>
              <w:ind w:left="118"/>
              <w:spacing w:before="29" w:line="219" w:lineRule="auto"/>
              <w:rPr>
                <w:sz w:val="21"/>
                <w:szCs w:val="21"/>
              </w:rPr>
            </w:pPr>
            <w:r>
              <w:rPr>
                <w:sz w:val="21"/>
                <w:szCs w:val="21"/>
                <w:spacing w:val="7"/>
              </w:rPr>
              <w:t>版生产线各1条在三楼，阴、</w:t>
            </w:r>
          </w:p>
          <w:p>
            <w:pPr>
              <w:pStyle w:val="TableText"/>
              <w:ind w:left="218"/>
              <w:spacing w:line="219" w:lineRule="auto"/>
              <w:rPr>
                <w:sz w:val="21"/>
                <w:szCs w:val="21"/>
              </w:rPr>
            </w:pPr>
            <w:r>
              <w:rPr>
                <w:sz w:val="21"/>
                <w:szCs w:val="21"/>
                <w:spacing w:val="2"/>
              </w:rPr>
              <w:t>阳极极片生产线各4条在一</w:t>
            </w:r>
          </w:p>
          <w:p>
            <w:pPr>
              <w:pStyle w:val="TableText"/>
              <w:ind w:left="1328"/>
              <w:spacing w:line="219" w:lineRule="auto"/>
              <w:rPr>
                <w:sz w:val="21"/>
                <w:szCs w:val="21"/>
              </w:rPr>
            </w:pPr>
            <w:r>
              <w:rPr>
                <w:sz w:val="21"/>
                <w:szCs w:val="21"/>
              </w:rPr>
              <w:t>楼</w:t>
            </w:r>
          </w:p>
        </w:tc>
      </w:tr>
      <w:tr>
        <w:trPr>
          <w:trHeight w:val="559" w:hRule="atLeast"/>
        </w:trPr>
        <w:tc>
          <w:tcPr>
            <w:tcW w:w="1134" w:type="dxa"/>
            <w:vAlign w:val="top"/>
            <w:vMerge w:val="restart"/>
            <w:tcBorders>
              <w:bottom w:val="nil"/>
            </w:tcBorders>
          </w:tcPr>
          <w:p>
            <w:pPr>
              <w:spacing w:line="390" w:lineRule="auto"/>
              <w:rPr>
                <w:rFonts w:ascii="Arial"/>
                <w:sz w:val="21"/>
              </w:rPr>
            </w:pPr>
            <w:r/>
          </w:p>
          <w:p>
            <w:pPr>
              <w:pStyle w:val="TableText"/>
              <w:ind w:left="135"/>
              <w:spacing w:before="68" w:line="220" w:lineRule="auto"/>
              <w:rPr>
                <w:sz w:val="21"/>
                <w:szCs w:val="21"/>
              </w:rPr>
            </w:pPr>
            <w:r>
              <w:rPr>
                <w:sz w:val="21"/>
                <w:szCs w:val="21"/>
                <w:spacing w:val="-2"/>
              </w:rPr>
              <w:t>辅助工程</w:t>
            </w:r>
          </w:p>
        </w:tc>
        <w:tc>
          <w:tcPr>
            <w:tcW w:w="1899" w:type="dxa"/>
            <w:vAlign w:val="top"/>
          </w:tcPr>
          <w:p>
            <w:pPr>
              <w:pStyle w:val="TableText"/>
              <w:ind w:left="411"/>
              <w:spacing w:before="181" w:line="220" w:lineRule="auto"/>
              <w:rPr>
                <w:sz w:val="21"/>
                <w:szCs w:val="21"/>
              </w:rPr>
            </w:pPr>
            <w:r>
              <w:rPr>
                <w:sz w:val="21"/>
                <w:szCs w:val="21"/>
                <w:spacing w:val="2"/>
              </w:rPr>
              <w:t>凹版设施房</w:t>
            </w:r>
          </w:p>
        </w:tc>
        <w:tc>
          <w:tcPr>
            <w:tcW w:w="8234" w:type="dxa"/>
            <w:vAlign w:val="top"/>
          </w:tcPr>
          <w:p>
            <w:pPr>
              <w:pStyle w:val="TableText"/>
              <w:ind w:left="152" w:right="194" w:firstLine="10"/>
              <w:spacing w:before="30" w:line="228" w:lineRule="auto"/>
              <w:rPr>
                <w:sz w:val="21"/>
                <w:szCs w:val="21"/>
              </w:rPr>
            </w:pPr>
            <w:r>
              <w:rPr>
                <w:sz w:val="21"/>
                <w:szCs w:val="21"/>
              </w:rPr>
              <w:t>共2层，1层有冷冻机房、锅炉房及纯水水箱，其中配置10t/h燃气蒸汽锅</w:t>
            </w:r>
            <w:r>
              <w:rPr>
                <w:sz w:val="21"/>
                <w:szCs w:val="21"/>
                <w:spacing w:val="-1"/>
              </w:rPr>
              <w:t>炉2台，15t/h</w:t>
            </w:r>
            <w:r>
              <w:rPr>
                <w:sz w:val="21"/>
                <w:szCs w:val="21"/>
              </w:rPr>
              <w:t xml:space="preserve"> </w:t>
            </w:r>
            <w:r>
              <w:rPr>
                <w:sz w:val="21"/>
                <w:szCs w:val="21"/>
              </w:rPr>
              <w:t>燃气蒸汽锅炉2台(1用1备);2层为纯水制备制水系统</w:t>
            </w:r>
            <w:r>
              <w:rPr>
                <w:sz w:val="21"/>
                <w:szCs w:val="21"/>
                <w:spacing w:val="-1"/>
              </w:rPr>
              <w:t>、空压机房、变配电房</w:t>
            </w:r>
          </w:p>
        </w:tc>
        <w:tc>
          <w:tcPr>
            <w:tcW w:w="2873" w:type="dxa"/>
            <w:vAlign w:val="top"/>
            <w:vMerge w:val="restart"/>
            <w:tcBorders>
              <w:bottom w:val="nil"/>
            </w:tcBorders>
          </w:tcPr>
          <w:p>
            <w:pPr>
              <w:spacing w:line="390" w:lineRule="auto"/>
              <w:rPr>
                <w:rFonts w:ascii="Arial"/>
                <w:sz w:val="21"/>
              </w:rPr>
            </w:pPr>
            <w:r/>
          </w:p>
          <w:p>
            <w:pPr>
              <w:pStyle w:val="TableText"/>
              <w:ind w:left="588"/>
              <w:spacing w:before="68" w:line="220" w:lineRule="auto"/>
              <w:rPr>
                <w:sz w:val="21"/>
                <w:szCs w:val="21"/>
              </w:rPr>
            </w:pPr>
            <w:r>
              <w:rPr>
                <w:sz w:val="21"/>
                <w:szCs w:val="21"/>
                <w:spacing w:val="-1"/>
              </w:rPr>
              <w:t>新增，主体已建成</w:t>
            </w:r>
          </w:p>
        </w:tc>
      </w:tr>
      <w:tr>
        <w:trPr>
          <w:trHeight w:val="280" w:hRule="atLeast"/>
        </w:trPr>
        <w:tc>
          <w:tcPr>
            <w:tcW w:w="1134" w:type="dxa"/>
            <w:vAlign w:val="top"/>
            <w:vMerge w:val="continue"/>
            <w:tcBorders>
              <w:top w:val="nil"/>
              <w:bottom w:val="nil"/>
            </w:tcBorders>
          </w:tcPr>
          <w:p>
            <w:pPr>
              <w:rPr>
                <w:rFonts w:ascii="Arial"/>
                <w:sz w:val="21"/>
              </w:rPr>
            </w:pPr>
            <w:r/>
          </w:p>
        </w:tc>
        <w:tc>
          <w:tcPr>
            <w:tcW w:w="1899" w:type="dxa"/>
            <w:vAlign w:val="top"/>
          </w:tcPr>
          <w:p>
            <w:pPr>
              <w:pStyle w:val="TableText"/>
              <w:ind w:left="621"/>
              <w:spacing w:before="45" w:line="197" w:lineRule="auto"/>
              <w:rPr>
                <w:sz w:val="21"/>
                <w:szCs w:val="21"/>
              </w:rPr>
            </w:pPr>
            <w:r>
              <w:rPr>
                <w:sz w:val="21"/>
                <w:szCs w:val="21"/>
                <w:spacing w:val="3"/>
              </w:rPr>
              <w:t>门卫五</w:t>
            </w:r>
          </w:p>
        </w:tc>
        <w:tc>
          <w:tcPr>
            <w:tcW w:w="8234" w:type="dxa"/>
            <w:vAlign w:val="top"/>
          </w:tcPr>
          <w:p>
            <w:pPr>
              <w:pStyle w:val="TableText"/>
              <w:ind w:left="152"/>
              <w:spacing w:before="37" w:line="204" w:lineRule="auto"/>
              <w:rPr>
                <w:sz w:val="21"/>
                <w:szCs w:val="21"/>
              </w:rPr>
            </w:pPr>
            <w:r>
              <w:rPr>
                <w:sz w:val="21"/>
                <w:szCs w:val="21"/>
                <w:spacing w:val="9"/>
              </w:rPr>
              <w:t>1层，占地面积40.01m²,建筑面积为46.34m²</w:t>
            </w:r>
          </w:p>
        </w:tc>
        <w:tc>
          <w:tcPr>
            <w:tcW w:w="2873" w:type="dxa"/>
            <w:vAlign w:val="top"/>
            <w:vMerge w:val="continue"/>
            <w:tcBorders>
              <w:top w:val="nil"/>
              <w:bottom w:val="nil"/>
            </w:tcBorders>
          </w:tcPr>
          <w:p>
            <w:pPr>
              <w:rPr>
                <w:rFonts w:ascii="Arial"/>
                <w:sz w:val="21"/>
              </w:rPr>
            </w:pPr>
            <w:r/>
          </w:p>
        </w:tc>
      </w:tr>
      <w:tr>
        <w:trPr>
          <w:trHeight w:val="270" w:hRule="atLeast"/>
        </w:trPr>
        <w:tc>
          <w:tcPr>
            <w:tcW w:w="1134" w:type="dxa"/>
            <w:vAlign w:val="top"/>
            <w:vMerge w:val="continue"/>
            <w:tcBorders>
              <w:top w:val="nil"/>
            </w:tcBorders>
          </w:tcPr>
          <w:p>
            <w:pPr>
              <w:rPr>
                <w:rFonts w:ascii="Arial"/>
                <w:sz w:val="21"/>
              </w:rPr>
            </w:pPr>
            <w:r/>
          </w:p>
        </w:tc>
        <w:tc>
          <w:tcPr>
            <w:tcW w:w="1899" w:type="dxa"/>
            <w:vAlign w:val="top"/>
          </w:tcPr>
          <w:p>
            <w:pPr>
              <w:pStyle w:val="TableText"/>
              <w:ind w:left="311"/>
              <w:spacing w:before="32" w:line="200" w:lineRule="auto"/>
              <w:rPr>
                <w:sz w:val="21"/>
                <w:szCs w:val="21"/>
              </w:rPr>
            </w:pPr>
            <w:r>
              <w:rPr>
                <w:sz w:val="21"/>
                <w:szCs w:val="21"/>
                <w:spacing w:val="2"/>
              </w:rPr>
              <w:t>厂区风雨连廊</w:t>
            </w:r>
          </w:p>
        </w:tc>
        <w:tc>
          <w:tcPr>
            <w:tcW w:w="8234" w:type="dxa"/>
            <w:vAlign w:val="top"/>
          </w:tcPr>
          <w:p>
            <w:pPr>
              <w:pStyle w:val="TableText"/>
              <w:ind w:left="152"/>
              <w:spacing w:before="27" w:line="204" w:lineRule="auto"/>
              <w:rPr>
                <w:sz w:val="21"/>
                <w:szCs w:val="21"/>
              </w:rPr>
            </w:pPr>
            <w:r>
              <w:rPr>
                <w:sz w:val="21"/>
                <w:szCs w:val="21"/>
                <w:spacing w:val="10"/>
              </w:rPr>
              <w:t>1层，占地面积1080m²,建筑面积为540m²</w:t>
            </w:r>
          </w:p>
        </w:tc>
        <w:tc>
          <w:tcPr>
            <w:tcW w:w="2873" w:type="dxa"/>
            <w:vAlign w:val="top"/>
            <w:vMerge w:val="continue"/>
            <w:tcBorders>
              <w:top w:val="nil"/>
            </w:tcBorders>
          </w:tcPr>
          <w:p>
            <w:pPr>
              <w:rPr>
                <w:rFonts w:ascii="Arial"/>
                <w:sz w:val="21"/>
              </w:rPr>
            </w:pPr>
            <w:r/>
          </w:p>
        </w:tc>
      </w:tr>
      <w:tr>
        <w:trPr>
          <w:trHeight w:val="559" w:hRule="atLeast"/>
        </w:trPr>
        <w:tc>
          <w:tcPr>
            <w:tcW w:w="1134" w:type="dxa"/>
            <w:vAlign w:val="top"/>
            <w:vMerge w:val="restart"/>
            <w:tcBorders>
              <w:bottom w:val="nil"/>
            </w:tcBorders>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pStyle w:val="TableText"/>
              <w:ind w:left="135"/>
              <w:spacing w:before="68" w:line="220" w:lineRule="auto"/>
              <w:rPr>
                <w:sz w:val="21"/>
                <w:szCs w:val="21"/>
              </w:rPr>
            </w:pPr>
            <w:r>
              <w:rPr>
                <w:sz w:val="21"/>
                <w:szCs w:val="21"/>
                <w:spacing w:val="-2"/>
              </w:rPr>
              <w:t>储运工程</w:t>
            </w:r>
          </w:p>
        </w:tc>
        <w:tc>
          <w:tcPr>
            <w:tcW w:w="1899" w:type="dxa"/>
            <w:vAlign w:val="top"/>
          </w:tcPr>
          <w:p>
            <w:pPr>
              <w:pStyle w:val="TableText"/>
              <w:ind w:left="381"/>
              <w:spacing w:before="181" w:line="219" w:lineRule="auto"/>
              <w:rPr>
                <w:sz w:val="21"/>
                <w:szCs w:val="21"/>
              </w:rPr>
            </w:pPr>
            <w:r>
              <w:rPr>
                <w:sz w:val="21"/>
                <w:szCs w:val="21"/>
                <w:spacing w:val="-7"/>
              </w:rPr>
              <w:t>N</w:t>
            </w:r>
            <w:r>
              <w:rPr>
                <w:sz w:val="21"/>
                <w:szCs w:val="21"/>
                <w:spacing w:val="-46"/>
              </w:rPr>
              <w:t xml:space="preserve"> </w:t>
            </w:r>
            <w:r>
              <w:rPr>
                <w:sz w:val="21"/>
                <w:szCs w:val="21"/>
                <w:spacing w:val="-7"/>
              </w:rPr>
              <w:t>M</w:t>
            </w:r>
            <w:r>
              <w:rPr>
                <w:sz w:val="21"/>
                <w:szCs w:val="21"/>
                <w:spacing w:val="-43"/>
              </w:rPr>
              <w:t xml:space="preserve"> </w:t>
            </w:r>
            <w:r>
              <w:rPr>
                <w:sz w:val="21"/>
                <w:szCs w:val="21"/>
                <w:spacing w:val="-7"/>
              </w:rPr>
              <w:t>P</w:t>
            </w:r>
            <w:r>
              <w:rPr>
                <w:sz w:val="21"/>
                <w:szCs w:val="21"/>
                <w:spacing w:val="-38"/>
              </w:rPr>
              <w:t xml:space="preserve"> </w:t>
            </w:r>
            <w:r>
              <w:rPr>
                <w:sz w:val="21"/>
                <w:szCs w:val="21"/>
                <w:spacing w:val="-7"/>
              </w:rPr>
              <w:t>罐</w:t>
            </w:r>
            <w:r>
              <w:rPr>
                <w:sz w:val="21"/>
                <w:szCs w:val="21"/>
                <w:spacing w:val="-23"/>
              </w:rPr>
              <w:t xml:space="preserve"> </w:t>
            </w:r>
            <w:r>
              <w:rPr>
                <w:sz w:val="21"/>
                <w:szCs w:val="21"/>
                <w:spacing w:val="-7"/>
              </w:rPr>
              <w:t>区</w:t>
            </w:r>
            <w:r>
              <w:rPr>
                <w:sz w:val="21"/>
                <w:szCs w:val="21"/>
                <w:spacing w:val="-41"/>
              </w:rPr>
              <w:t xml:space="preserve"> </w:t>
            </w:r>
            <w:r>
              <w:rPr>
                <w:sz w:val="21"/>
                <w:szCs w:val="21"/>
                <w:spacing w:val="-7"/>
              </w:rPr>
              <w:t>C</w:t>
            </w:r>
          </w:p>
        </w:tc>
        <w:tc>
          <w:tcPr>
            <w:tcW w:w="8234" w:type="dxa"/>
            <w:vAlign w:val="top"/>
          </w:tcPr>
          <w:p>
            <w:pPr>
              <w:pStyle w:val="TableText"/>
              <w:ind w:left="152" w:right="516"/>
              <w:spacing w:before="41" w:line="223" w:lineRule="auto"/>
              <w:rPr>
                <w:sz w:val="21"/>
                <w:szCs w:val="21"/>
              </w:rPr>
            </w:pPr>
            <w:r>
              <w:rPr>
                <w:sz w:val="21"/>
                <w:szCs w:val="21"/>
                <w:spacing w:val="3"/>
              </w:rPr>
              <w:t>丙类防火等级，地上，设有容积均为101.7m³的</w:t>
            </w:r>
            <w:r>
              <w:rPr>
                <w:sz w:val="21"/>
                <w:szCs w:val="21"/>
              </w:rPr>
              <w:t>NMP</w:t>
            </w:r>
            <w:r>
              <w:rPr>
                <w:sz w:val="21"/>
                <w:szCs w:val="21"/>
                <w:spacing w:val="3"/>
              </w:rPr>
              <w:t>储</w:t>
            </w:r>
            <w:r>
              <w:rPr>
                <w:sz w:val="21"/>
                <w:szCs w:val="21"/>
                <w:spacing w:val="2"/>
              </w:rPr>
              <w:t>罐4个，其中</w:t>
            </w:r>
            <w:r>
              <w:rPr>
                <w:sz w:val="21"/>
                <w:szCs w:val="21"/>
              </w:rPr>
              <w:t>NMP</w:t>
            </w:r>
            <w:r>
              <w:rPr>
                <w:sz w:val="21"/>
                <w:szCs w:val="21"/>
                <w:spacing w:val="2"/>
              </w:rPr>
              <w:t>原料罐2个，</w:t>
            </w:r>
            <w:r>
              <w:rPr>
                <w:sz w:val="21"/>
                <w:szCs w:val="21"/>
              </w:rPr>
              <w:t xml:space="preserve"> </w:t>
            </w:r>
            <w:r>
              <w:rPr>
                <w:sz w:val="21"/>
                <w:szCs w:val="21"/>
                <w:spacing w:val="-1"/>
              </w:rPr>
              <w:t>NMP废液罐2个，配套泵及计量系统。</w:t>
            </w:r>
          </w:p>
        </w:tc>
        <w:tc>
          <w:tcPr>
            <w:tcW w:w="2873" w:type="dxa"/>
            <w:vAlign w:val="top"/>
            <w:vMerge w:val="restart"/>
            <w:tcBorders>
              <w:bottom w:val="nil"/>
            </w:tcBorders>
          </w:tcPr>
          <w:p>
            <w:pPr>
              <w:pStyle w:val="TableText"/>
              <w:ind w:left="1327" w:right="73" w:hanging="1259"/>
              <w:spacing w:before="211" w:line="224" w:lineRule="auto"/>
              <w:rPr>
                <w:sz w:val="21"/>
                <w:szCs w:val="21"/>
              </w:rPr>
            </w:pPr>
            <w:r>
              <w:rPr>
                <w:sz w:val="21"/>
                <w:szCs w:val="21"/>
                <w:spacing w:val="-1"/>
              </w:rPr>
              <w:t>新增，已建成，仅为本项目服</w:t>
            </w:r>
            <w:r>
              <w:rPr>
                <w:sz w:val="21"/>
                <w:szCs w:val="21"/>
                <w:spacing w:val="2"/>
              </w:rPr>
              <w:t xml:space="preserve"> </w:t>
            </w:r>
            <w:r>
              <w:rPr>
                <w:sz w:val="21"/>
                <w:szCs w:val="21"/>
              </w:rPr>
              <w:t>务</w:t>
            </w:r>
          </w:p>
        </w:tc>
      </w:tr>
      <w:tr>
        <w:trPr>
          <w:trHeight w:val="280" w:hRule="atLeast"/>
        </w:trPr>
        <w:tc>
          <w:tcPr>
            <w:tcW w:w="1134" w:type="dxa"/>
            <w:vAlign w:val="top"/>
            <w:vMerge w:val="continue"/>
            <w:tcBorders>
              <w:top w:val="nil"/>
              <w:bottom w:val="nil"/>
            </w:tcBorders>
          </w:tcPr>
          <w:p>
            <w:pPr>
              <w:rPr>
                <w:rFonts w:ascii="Arial"/>
                <w:sz w:val="21"/>
              </w:rPr>
            </w:pPr>
            <w:r/>
          </w:p>
        </w:tc>
        <w:tc>
          <w:tcPr>
            <w:tcW w:w="1899" w:type="dxa"/>
            <w:vAlign w:val="top"/>
          </w:tcPr>
          <w:p>
            <w:pPr>
              <w:pStyle w:val="TableText"/>
              <w:ind w:left="461"/>
              <w:spacing w:before="42" w:line="200" w:lineRule="auto"/>
              <w:rPr>
                <w:sz w:val="21"/>
                <w:szCs w:val="21"/>
              </w:rPr>
            </w:pPr>
            <w:r>
              <w:rPr>
                <w:sz w:val="21"/>
                <w:szCs w:val="21"/>
                <w:spacing w:val="-1"/>
              </w:rPr>
              <w:t>NMP泵房二</w:t>
            </w:r>
          </w:p>
        </w:tc>
        <w:tc>
          <w:tcPr>
            <w:tcW w:w="8234" w:type="dxa"/>
            <w:vAlign w:val="top"/>
          </w:tcPr>
          <w:p>
            <w:pPr>
              <w:pStyle w:val="TableText"/>
              <w:ind w:left="152"/>
              <w:spacing w:before="39" w:line="203" w:lineRule="auto"/>
              <w:rPr>
                <w:sz w:val="21"/>
                <w:szCs w:val="21"/>
              </w:rPr>
            </w:pPr>
            <w:r>
              <w:rPr>
                <w:sz w:val="21"/>
                <w:szCs w:val="21"/>
                <w:spacing w:val="9"/>
              </w:rPr>
              <w:t>1层，占地面积89.70 m²,建筑面积为89</w:t>
            </w:r>
            <w:r>
              <w:rPr>
                <w:sz w:val="21"/>
                <w:szCs w:val="21"/>
                <w:spacing w:val="8"/>
              </w:rPr>
              <w:t>.70 m²</w:t>
            </w:r>
          </w:p>
        </w:tc>
        <w:tc>
          <w:tcPr>
            <w:tcW w:w="2873" w:type="dxa"/>
            <w:vAlign w:val="top"/>
            <w:vMerge w:val="continue"/>
            <w:tcBorders>
              <w:top w:val="nil"/>
            </w:tcBorders>
          </w:tcPr>
          <w:p>
            <w:pPr>
              <w:rPr>
                <w:rFonts w:ascii="Arial"/>
                <w:sz w:val="21"/>
              </w:rPr>
            </w:pPr>
            <w:r/>
          </w:p>
        </w:tc>
      </w:tr>
      <w:tr>
        <w:trPr>
          <w:trHeight w:val="529" w:hRule="atLeast"/>
        </w:trPr>
        <w:tc>
          <w:tcPr>
            <w:tcW w:w="1134" w:type="dxa"/>
            <w:vAlign w:val="top"/>
            <w:vMerge w:val="continue"/>
            <w:tcBorders>
              <w:top w:val="nil"/>
              <w:bottom w:val="nil"/>
            </w:tcBorders>
          </w:tcPr>
          <w:p>
            <w:pPr>
              <w:rPr>
                <w:rFonts w:ascii="Arial"/>
                <w:sz w:val="21"/>
              </w:rPr>
            </w:pPr>
            <w:r/>
          </w:p>
        </w:tc>
        <w:tc>
          <w:tcPr>
            <w:tcW w:w="1899" w:type="dxa"/>
            <w:vAlign w:val="top"/>
          </w:tcPr>
          <w:p>
            <w:pPr>
              <w:pStyle w:val="TableText"/>
              <w:ind w:left="521"/>
              <w:spacing w:before="163" w:line="220" w:lineRule="auto"/>
              <w:rPr>
                <w:sz w:val="21"/>
                <w:szCs w:val="21"/>
              </w:rPr>
            </w:pPr>
            <w:r>
              <w:rPr>
                <w:sz w:val="21"/>
                <w:szCs w:val="21"/>
                <w:spacing w:val="2"/>
              </w:rPr>
              <w:t>原料仓X7</w:t>
            </w:r>
          </w:p>
        </w:tc>
        <w:tc>
          <w:tcPr>
            <w:tcW w:w="8234" w:type="dxa"/>
            <w:vAlign w:val="top"/>
          </w:tcPr>
          <w:p>
            <w:pPr>
              <w:pStyle w:val="TableText"/>
              <w:ind w:left="151" w:right="756" w:hanging="29"/>
              <w:spacing w:before="32" w:line="214" w:lineRule="auto"/>
              <w:rPr>
                <w:sz w:val="21"/>
                <w:szCs w:val="21"/>
              </w:rPr>
            </w:pPr>
            <w:r>
              <w:rPr>
                <w:sz w:val="21"/>
                <w:szCs w:val="21"/>
                <w:spacing w:val="3"/>
              </w:rPr>
              <w:t>用于存放三元材料(</w:t>
            </w:r>
            <w:r>
              <w:rPr>
                <w:sz w:val="21"/>
                <w:szCs w:val="21"/>
              </w:rPr>
              <w:t>NMC</w:t>
            </w:r>
            <w:r>
              <w:rPr>
                <w:sz w:val="21"/>
                <w:szCs w:val="21"/>
                <w:spacing w:val="3"/>
              </w:rPr>
              <w:t>)、聚偏二氟乙烯(</w:t>
            </w:r>
            <w:r>
              <w:rPr>
                <w:sz w:val="21"/>
                <w:szCs w:val="21"/>
              </w:rPr>
              <w:t>PVDF</w:t>
            </w:r>
            <w:r>
              <w:rPr>
                <w:sz w:val="21"/>
                <w:szCs w:val="21"/>
                <w:spacing w:val="3"/>
              </w:rPr>
              <w:t>)、导电浆料、导电炭黑、石墨、</w:t>
            </w:r>
            <w:r>
              <w:rPr>
                <w:sz w:val="21"/>
                <w:szCs w:val="21"/>
              </w:rPr>
              <w:t xml:space="preserve"> </w:t>
            </w:r>
            <w:r>
              <w:rPr>
                <w:sz w:val="21"/>
                <w:szCs w:val="21"/>
                <w:spacing w:val="-1"/>
              </w:rPr>
              <w:t>羧甲基纤维素钠(CMC)、苯乙烯聚丁橡胶(SBR)等原料</w:t>
            </w:r>
          </w:p>
        </w:tc>
        <w:tc>
          <w:tcPr>
            <w:tcW w:w="2873" w:type="dxa"/>
            <w:vAlign w:val="top"/>
            <w:vMerge w:val="restart"/>
            <w:tcBorders>
              <w:bottom w:val="nil"/>
            </w:tcBorders>
          </w:tcPr>
          <w:p>
            <w:pPr>
              <w:spacing w:line="344" w:lineRule="auto"/>
              <w:rPr>
                <w:rFonts w:ascii="Arial"/>
                <w:sz w:val="21"/>
              </w:rPr>
            </w:pPr>
            <w:r/>
          </w:p>
          <w:p>
            <w:pPr>
              <w:spacing w:line="344" w:lineRule="auto"/>
              <w:rPr>
                <w:rFonts w:ascii="Arial"/>
                <w:sz w:val="21"/>
              </w:rPr>
            </w:pPr>
            <w:r/>
          </w:p>
          <w:p>
            <w:pPr>
              <w:pStyle w:val="TableText"/>
              <w:ind w:left="488"/>
              <w:spacing w:before="69" w:line="219" w:lineRule="auto"/>
              <w:rPr>
                <w:sz w:val="21"/>
                <w:szCs w:val="21"/>
              </w:rPr>
            </w:pPr>
            <w:r>
              <w:rPr>
                <w:sz w:val="21"/>
                <w:szCs w:val="21"/>
              </w:rPr>
              <w:t>已建，依托现有工程</w:t>
            </w:r>
          </w:p>
        </w:tc>
      </w:tr>
      <w:tr>
        <w:trPr>
          <w:trHeight w:val="309" w:hRule="atLeast"/>
        </w:trPr>
        <w:tc>
          <w:tcPr>
            <w:tcW w:w="1134" w:type="dxa"/>
            <w:vAlign w:val="top"/>
            <w:vMerge w:val="continue"/>
            <w:tcBorders>
              <w:top w:val="nil"/>
              <w:bottom w:val="nil"/>
            </w:tcBorders>
          </w:tcPr>
          <w:p>
            <w:pPr>
              <w:rPr>
                <w:rFonts w:ascii="Arial"/>
                <w:sz w:val="21"/>
              </w:rPr>
            </w:pPr>
            <w:r/>
          </w:p>
        </w:tc>
        <w:tc>
          <w:tcPr>
            <w:tcW w:w="1899" w:type="dxa"/>
            <w:vAlign w:val="top"/>
          </w:tcPr>
          <w:p>
            <w:pPr>
              <w:pStyle w:val="TableText"/>
              <w:ind w:left="521"/>
              <w:spacing w:before="55" w:line="214" w:lineRule="auto"/>
              <w:rPr>
                <w:sz w:val="21"/>
                <w:szCs w:val="21"/>
              </w:rPr>
            </w:pPr>
            <w:r>
              <w:rPr>
                <w:sz w:val="21"/>
                <w:szCs w:val="21"/>
                <w:spacing w:val="2"/>
              </w:rPr>
              <w:t>成品仓X8</w:t>
            </w:r>
          </w:p>
        </w:tc>
        <w:tc>
          <w:tcPr>
            <w:tcW w:w="8234" w:type="dxa"/>
            <w:vAlign w:val="top"/>
          </w:tcPr>
          <w:p>
            <w:pPr>
              <w:pStyle w:val="TableText"/>
              <w:ind w:left="152"/>
              <w:spacing w:before="53" w:line="216" w:lineRule="auto"/>
              <w:rPr>
                <w:sz w:val="21"/>
                <w:szCs w:val="21"/>
              </w:rPr>
            </w:pPr>
            <w:r>
              <w:rPr>
                <w:sz w:val="21"/>
                <w:szCs w:val="21"/>
                <w:spacing w:val="-1"/>
              </w:rPr>
              <w:t>存放锂离子电池成品等</w:t>
            </w:r>
          </w:p>
        </w:tc>
        <w:tc>
          <w:tcPr>
            <w:tcW w:w="2873" w:type="dxa"/>
            <w:vAlign w:val="top"/>
            <w:vMerge w:val="continue"/>
            <w:tcBorders>
              <w:top w:val="nil"/>
              <w:bottom w:val="nil"/>
            </w:tcBorders>
          </w:tcPr>
          <w:p>
            <w:pPr>
              <w:rPr>
                <w:rFonts w:ascii="Arial"/>
                <w:sz w:val="21"/>
              </w:rPr>
            </w:pPr>
            <w:r/>
          </w:p>
        </w:tc>
      </w:tr>
      <w:tr>
        <w:trPr>
          <w:trHeight w:val="270" w:hRule="atLeast"/>
        </w:trPr>
        <w:tc>
          <w:tcPr>
            <w:tcW w:w="1134" w:type="dxa"/>
            <w:vAlign w:val="top"/>
            <w:vMerge w:val="continue"/>
            <w:tcBorders>
              <w:top w:val="nil"/>
              <w:bottom w:val="nil"/>
            </w:tcBorders>
          </w:tcPr>
          <w:p>
            <w:pPr>
              <w:rPr>
                <w:rFonts w:ascii="Arial"/>
                <w:sz w:val="21"/>
              </w:rPr>
            </w:pPr>
            <w:r/>
          </w:p>
        </w:tc>
        <w:tc>
          <w:tcPr>
            <w:tcW w:w="1899" w:type="dxa"/>
            <w:vAlign w:val="top"/>
          </w:tcPr>
          <w:p>
            <w:pPr>
              <w:pStyle w:val="TableText"/>
              <w:ind w:left="521"/>
              <w:spacing w:before="35" w:line="197" w:lineRule="auto"/>
              <w:rPr>
                <w:sz w:val="21"/>
                <w:szCs w:val="21"/>
              </w:rPr>
            </w:pPr>
            <w:r>
              <w:rPr>
                <w:sz w:val="21"/>
                <w:szCs w:val="21"/>
                <w:spacing w:val="-2"/>
              </w:rPr>
              <w:t>化学品仓</w:t>
            </w:r>
          </w:p>
        </w:tc>
        <w:tc>
          <w:tcPr>
            <w:tcW w:w="8234" w:type="dxa"/>
            <w:vAlign w:val="top"/>
          </w:tcPr>
          <w:p>
            <w:pPr>
              <w:pStyle w:val="TableText"/>
              <w:ind w:left="152"/>
              <w:spacing w:before="34" w:line="198" w:lineRule="auto"/>
              <w:rPr>
                <w:sz w:val="21"/>
                <w:szCs w:val="21"/>
              </w:rPr>
            </w:pPr>
            <w:r>
              <w:rPr>
                <w:sz w:val="21"/>
                <w:szCs w:val="21"/>
                <w:spacing w:val="-2"/>
              </w:rPr>
              <w:t>设于电解液仓X13</w:t>
            </w:r>
          </w:p>
        </w:tc>
        <w:tc>
          <w:tcPr>
            <w:tcW w:w="2873" w:type="dxa"/>
            <w:vAlign w:val="top"/>
            <w:vMerge w:val="continue"/>
            <w:tcBorders>
              <w:top w:val="nil"/>
              <w:bottom w:val="nil"/>
            </w:tcBorders>
          </w:tcPr>
          <w:p>
            <w:pPr>
              <w:rPr>
                <w:rFonts w:ascii="Arial"/>
                <w:sz w:val="21"/>
              </w:rPr>
            </w:pPr>
            <w:r/>
          </w:p>
        </w:tc>
      </w:tr>
      <w:tr>
        <w:trPr>
          <w:trHeight w:val="280" w:hRule="atLeast"/>
        </w:trPr>
        <w:tc>
          <w:tcPr>
            <w:tcW w:w="1134" w:type="dxa"/>
            <w:vAlign w:val="top"/>
            <w:vMerge w:val="continue"/>
            <w:tcBorders>
              <w:top w:val="nil"/>
              <w:bottom w:val="nil"/>
            </w:tcBorders>
          </w:tcPr>
          <w:p>
            <w:pPr>
              <w:rPr>
                <w:rFonts w:ascii="Arial"/>
                <w:sz w:val="21"/>
              </w:rPr>
            </w:pPr>
            <w:r/>
          </w:p>
        </w:tc>
        <w:tc>
          <w:tcPr>
            <w:tcW w:w="1899" w:type="dxa"/>
            <w:vAlign w:val="top"/>
          </w:tcPr>
          <w:p>
            <w:pPr>
              <w:pStyle w:val="TableText"/>
              <w:ind w:left="411"/>
              <w:spacing w:before="44" w:line="198" w:lineRule="auto"/>
              <w:rPr>
                <w:sz w:val="21"/>
                <w:szCs w:val="21"/>
              </w:rPr>
            </w:pPr>
            <w:r>
              <w:rPr>
                <w:sz w:val="21"/>
                <w:szCs w:val="21"/>
                <w:spacing w:val="4"/>
              </w:rPr>
              <w:t>危废暂存间</w:t>
            </w:r>
          </w:p>
        </w:tc>
        <w:tc>
          <w:tcPr>
            <w:tcW w:w="8234" w:type="dxa"/>
            <w:vAlign w:val="top"/>
          </w:tcPr>
          <w:p>
            <w:pPr>
              <w:pStyle w:val="TableText"/>
              <w:ind w:left="152"/>
              <w:spacing w:before="44" w:line="198" w:lineRule="auto"/>
              <w:rPr>
                <w:sz w:val="21"/>
                <w:szCs w:val="21"/>
              </w:rPr>
            </w:pPr>
            <w:r>
              <w:rPr>
                <w:sz w:val="21"/>
                <w:szCs w:val="21"/>
                <w:spacing w:val="-2"/>
              </w:rPr>
              <w:t>设于电解液仓X13</w:t>
            </w:r>
          </w:p>
        </w:tc>
        <w:tc>
          <w:tcPr>
            <w:tcW w:w="2873" w:type="dxa"/>
            <w:vAlign w:val="top"/>
            <w:vMerge w:val="continue"/>
            <w:tcBorders>
              <w:top w:val="nil"/>
              <w:bottom w:val="nil"/>
            </w:tcBorders>
          </w:tcPr>
          <w:p>
            <w:pPr>
              <w:rPr>
                <w:rFonts w:ascii="Arial"/>
                <w:sz w:val="21"/>
              </w:rPr>
            </w:pPr>
            <w:r/>
          </w:p>
        </w:tc>
      </w:tr>
      <w:tr>
        <w:trPr>
          <w:trHeight w:val="300" w:hRule="atLeast"/>
        </w:trPr>
        <w:tc>
          <w:tcPr>
            <w:tcW w:w="1134" w:type="dxa"/>
            <w:vAlign w:val="top"/>
            <w:vMerge w:val="continue"/>
            <w:tcBorders>
              <w:top w:val="nil"/>
            </w:tcBorders>
          </w:tcPr>
          <w:p>
            <w:pPr>
              <w:rPr>
                <w:rFonts w:ascii="Arial"/>
                <w:sz w:val="21"/>
              </w:rPr>
            </w:pPr>
            <w:r/>
          </w:p>
        </w:tc>
        <w:tc>
          <w:tcPr>
            <w:tcW w:w="1899" w:type="dxa"/>
            <w:vAlign w:val="top"/>
          </w:tcPr>
          <w:p>
            <w:pPr>
              <w:pStyle w:val="TableText"/>
              <w:ind w:left="111"/>
              <w:spacing w:before="54" w:line="207" w:lineRule="auto"/>
              <w:rPr>
                <w:sz w:val="21"/>
                <w:szCs w:val="21"/>
              </w:rPr>
            </w:pPr>
            <w:r>
              <w:rPr>
                <w:sz w:val="21"/>
                <w:szCs w:val="21"/>
                <w:spacing w:val="5"/>
              </w:rPr>
              <w:t>废弃物仓(X9)</w:t>
            </w:r>
          </w:p>
        </w:tc>
        <w:tc>
          <w:tcPr>
            <w:tcW w:w="8234" w:type="dxa"/>
            <w:vAlign w:val="top"/>
          </w:tcPr>
          <w:p>
            <w:pPr>
              <w:pStyle w:val="TableText"/>
              <w:ind w:left="152"/>
              <w:spacing w:before="54" w:line="207" w:lineRule="auto"/>
              <w:rPr>
                <w:sz w:val="21"/>
                <w:szCs w:val="21"/>
              </w:rPr>
            </w:pPr>
            <w:r>
              <w:rPr>
                <w:sz w:val="21"/>
                <w:szCs w:val="21"/>
              </w:rPr>
              <w:t>含一般工业固体废物暂存间、生活垃圾房</w:t>
            </w:r>
          </w:p>
        </w:tc>
        <w:tc>
          <w:tcPr>
            <w:tcW w:w="2873" w:type="dxa"/>
            <w:vAlign w:val="top"/>
            <w:vMerge w:val="continue"/>
            <w:tcBorders>
              <w:top w:val="nil"/>
            </w:tcBorders>
          </w:tcPr>
          <w:p>
            <w:pPr>
              <w:rPr>
                <w:rFonts w:ascii="Arial"/>
                <w:sz w:val="21"/>
              </w:rPr>
            </w:pPr>
            <w:r/>
          </w:p>
        </w:tc>
      </w:tr>
      <w:tr>
        <w:trPr>
          <w:trHeight w:val="529" w:hRule="atLeast"/>
        </w:trPr>
        <w:tc>
          <w:tcPr>
            <w:tcW w:w="1134" w:type="dxa"/>
            <w:vAlign w:val="top"/>
            <w:vMerge w:val="restart"/>
            <w:tcBorders>
              <w:bottom w:val="nil"/>
            </w:tcBorders>
          </w:tcPr>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135"/>
              <w:spacing w:before="69" w:line="220" w:lineRule="auto"/>
              <w:rPr>
                <w:sz w:val="21"/>
                <w:szCs w:val="21"/>
              </w:rPr>
            </w:pPr>
            <w:r>
              <w:rPr>
                <w:sz w:val="21"/>
                <w:szCs w:val="21"/>
                <w:spacing w:val="1"/>
              </w:rPr>
              <w:t>公用工程</w:t>
            </w:r>
          </w:p>
        </w:tc>
        <w:tc>
          <w:tcPr>
            <w:tcW w:w="1899" w:type="dxa"/>
            <w:vAlign w:val="top"/>
          </w:tcPr>
          <w:p>
            <w:pPr>
              <w:pStyle w:val="TableText"/>
              <w:ind w:left="731"/>
              <w:spacing w:before="164" w:line="219" w:lineRule="auto"/>
              <w:rPr>
                <w:sz w:val="21"/>
                <w:szCs w:val="21"/>
              </w:rPr>
            </w:pPr>
            <w:r>
              <w:rPr>
                <w:sz w:val="21"/>
                <w:szCs w:val="21"/>
                <w:spacing w:val="-3"/>
              </w:rPr>
              <w:t>给水</w:t>
            </w:r>
          </w:p>
        </w:tc>
        <w:tc>
          <w:tcPr>
            <w:tcW w:w="8234" w:type="dxa"/>
            <w:vAlign w:val="top"/>
          </w:tcPr>
          <w:p>
            <w:pPr>
              <w:pStyle w:val="TableText"/>
              <w:ind w:left="151" w:right="223" w:hanging="29"/>
              <w:spacing w:before="34" w:line="213" w:lineRule="auto"/>
              <w:rPr>
                <w:sz w:val="21"/>
                <w:szCs w:val="21"/>
              </w:rPr>
            </w:pPr>
            <w:r>
              <w:rPr>
                <w:sz w:val="21"/>
                <w:szCs w:val="21"/>
              </w:rPr>
              <w:t>由市政给水管网供水，生产、生活输水管网开建设，设生活用水、RO/DI水和消防水三</w:t>
            </w:r>
            <w:r>
              <w:rPr>
                <w:sz w:val="21"/>
                <w:szCs w:val="21"/>
                <w:spacing w:val="2"/>
              </w:rPr>
              <w:t xml:space="preserve"> </w:t>
            </w:r>
            <w:r>
              <w:rPr>
                <w:sz w:val="21"/>
                <w:szCs w:val="21"/>
                <w:spacing w:val="-1"/>
              </w:rPr>
              <w:t>个系统。</w:t>
            </w:r>
          </w:p>
        </w:tc>
        <w:tc>
          <w:tcPr>
            <w:tcW w:w="2873" w:type="dxa"/>
            <w:vAlign w:val="top"/>
          </w:tcPr>
          <w:p>
            <w:pPr>
              <w:pStyle w:val="TableText"/>
              <w:ind w:left="1218"/>
              <w:spacing w:before="35" w:line="220" w:lineRule="auto"/>
              <w:rPr>
                <w:sz w:val="21"/>
                <w:szCs w:val="21"/>
              </w:rPr>
            </w:pPr>
            <w:r>
              <w:rPr>
                <w:sz w:val="21"/>
                <w:szCs w:val="21"/>
                <w:spacing w:val="8"/>
              </w:rPr>
              <w:t>新增</w:t>
            </w:r>
          </w:p>
        </w:tc>
      </w:tr>
      <w:tr>
        <w:trPr>
          <w:trHeight w:val="1109" w:hRule="atLeast"/>
        </w:trPr>
        <w:tc>
          <w:tcPr>
            <w:tcW w:w="1134" w:type="dxa"/>
            <w:vAlign w:val="top"/>
            <w:vMerge w:val="continue"/>
            <w:tcBorders>
              <w:top w:val="nil"/>
              <w:bottom w:val="nil"/>
            </w:tcBorders>
          </w:tcPr>
          <w:p>
            <w:pPr>
              <w:rPr>
                <w:rFonts w:ascii="Arial"/>
                <w:sz w:val="21"/>
              </w:rPr>
            </w:pPr>
            <w:r/>
          </w:p>
        </w:tc>
        <w:tc>
          <w:tcPr>
            <w:tcW w:w="1899" w:type="dxa"/>
            <w:vAlign w:val="top"/>
          </w:tcPr>
          <w:p>
            <w:pPr>
              <w:spacing w:line="385" w:lineRule="auto"/>
              <w:rPr>
                <w:rFonts w:ascii="Arial"/>
                <w:sz w:val="21"/>
              </w:rPr>
            </w:pPr>
            <w:r/>
          </w:p>
          <w:p>
            <w:pPr>
              <w:pStyle w:val="TableText"/>
              <w:ind w:left="731"/>
              <w:spacing w:before="68" w:line="219" w:lineRule="auto"/>
              <w:rPr>
                <w:sz w:val="21"/>
                <w:szCs w:val="21"/>
              </w:rPr>
            </w:pPr>
            <w:r>
              <w:rPr>
                <w:sz w:val="21"/>
                <w:szCs w:val="21"/>
                <w:spacing w:val="-3"/>
              </w:rPr>
              <w:t>排水</w:t>
            </w:r>
          </w:p>
        </w:tc>
        <w:tc>
          <w:tcPr>
            <w:tcW w:w="8234" w:type="dxa"/>
            <w:vAlign w:val="top"/>
          </w:tcPr>
          <w:p>
            <w:pPr>
              <w:pStyle w:val="TableText"/>
              <w:ind w:left="151" w:right="82" w:hanging="29"/>
              <w:spacing w:before="203" w:line="232" w:lineRule="auto"/>
              <w:jc w:val="both"/>
              <w:rPr>
                <w:sz w:val="21"/>
                <w:szCs w:val="21"/>
              </w:rPr>
            </w:pPr>
            <w:r>
              <w:rPr>
                <w:sz w:val="21"/>
                <w:szCs w:val="21"/>
              </w:rPr>
              <w:t>采用雨污分流、清污分流制。雨水、清净下水排入市政雨水管网；</w:t>
            </w:r>
            <w:r>
              <w:rPr>
                <w:sz w:val="21"/>
                <w:szCs w:val="21"/>
                <w:spacing w:val="-1"/>
              </w:rPr>
              <w:t>生产废水经厂内污水</w:t>
            </w:r>
            <w:r>
              <w:rPr>
                <w:sz w:val="21"/>
                <w:szCs w:val="21"/>
              </w:rPr>
              <w:t xml:space="preserve"> </w:t>
            </w:r>
            <w:r>
              <w:rPr>
                <w:sz w:val="21"/>
                <w:szCs w:val="21"/>
              </w:rPr>
              <w:t>处理站处理后排入霞浦县污水处理厂；食堂废水经隔油池处理后与其他生活污水一起经</w:t>
            </w:r>
            <w:r>
              <w:rPr>
                <w:sz w:val="21"/>
                <w:szCs w:val="21"/>
                <w:spacing w:val="8"/>
              </w:rPr>
              <w:t xml:space="preserve"> </w:t>
            </w:r>
            <w:r>
              <w:rPr>
                <w:sz w:val="21"/>
                <w:szCs w:val="21"/>
                <w:spacing w:val="-1"/>
              </w:rPr>
              <w:t>化粪池处理后排入霞浦县污水处理厂。</w:t>
            </w:r>
          </w:p>
        </w:tc>
        <w:tc>
          <w:tcPr>
            <w:tcW w:w="2873" w:type="dxa"/>
            <w:vAlign w:val="top"/>
          </w:tcPr>
          <w:p>
            <w:pPr>
              <w:pStyle w:val="TableText"/>
              <w:ind w:left="168"/>
              <w:spacing w:before="55" w:line="219" w:lineRule="auto"/>
              <w:rPr>
                <w:sz w:val="21"/>
                <w:szCs w:val="21"/>
              </w:rPr>
            </w:pPr>
            <w:r>
              <w:rPr>
                <w:sz w:val="21"/>
                <w:szCs w:val="21"/>
              </w:rPr>
              <w:t>除管网、厂房旁的三级化粪</w:t>
            </w:r>
          </w:p>
          <w:p>
            <w:pPr>
              <w:pStyle w:val="TableText"/>
              <w:ind w:left="68"/>
              <w:spacing w:before="30" w:line="219" w:lineRule="auto"/>
              <w:rPr>
                <w:sz w:val="21"/>
                <w:szCs w:val="21"/>
              </w:rPr>
            </w:pPr>
            <w:r>
              <w:rPr>
                <w:sz w:val="21"/>
                <w:szCs w:val="21"/>
                <w:spacing w:val="-1"/>
              </w:rPr>
              <w:t>池、沉淀池新建、工业污水处</w:t>
            </w:r>
          </w:p>
          <w:p>
            <w:pPr>
              <w:pStyle w:val="TableText"/>
              <w:ind w:left="68"/>
              <w:spacing w:before="39" w:line="219" w:lineRule="auto"/>
              <w:rPr>
                <w:sz w:val="21"/>
                <w:szCs w:val="21"/>
              </w:rPr>
            </w:pPr>
            <w:r>
              <w:rPr>
                <w:sz w:val="21"/>
                <w:szCs w:val="21"/>
                <w:spacing w:val="-1"/>
              </w:rPr>
              <w:t>理站改扩建外，其他的均依托</w:t>
            </w:r>
          </w:p>
          <w:p>
            <w:pPr>
              <w:pStyle w:val="TableText"/>
              <w:ind w:left="1008"/>
              <w:spacing w:before="23" w:line="178" w:lineRule="auto"/>
              <w:rPr>
                <w:sz w:val="21"/>
                <w:szCs w:val="21"/>
              </w:rPr>
            </w:pPr>
            <w:r>
              <w:rPr>
                <w:sz w:val="21"/>
                <w:szCs w:val="21"/>
                <w:spacing w:val="-2"/>
              </w:rPr>
              <w:t>现有工程</w:t>
            </w:r>
          </w:p>
        </w:tc>
      </w:tr>
      <w:tr>
        <w:trPr>
          <w:trHeight w:val="529" w:hRule="atLeast"/>
        </w:trPr>
        <w:tc>
          <w:tcPr>
            <w:tcW w:w="1134" w:type="dxa"/>
            <w:vAlign w:val="top"/>
            <w:vMerge w:val="continue"/>
            <w:tcBorders>
              <w:top w:val="nil"/>
              <w:bottom w:val="nil"/>
            </w:tcBorders>
          </w:tcPr>
          <w:p>
            <w:pPr>
              <w:rPr>
                <w:rFonts w:ascii="Arial"/>
                <w:sz w:val="21"/>
              </w:rPr>
            </w:pPr>
            <w:r/>
          </w:p>
        </w:tc>
        <w:tc>
          <w:tcPr>
            <w:tcW w:w="1899" w:type="dxa"/>
            <w:vAlign w:val="top"/>
          </w:tcPr>
          <w:p>
            <w:pPr>
              <w:pStyle w:val="TableText"/>
              <w:ind w:left="411"/>
              <w:spacing w:before="165" w:line="219" w:lineRule="auto"/>
              <w:rPr>
                <w:sz w:val="21"/>
                <w:szCs w:val="21"/>
              </w:rPr>
            </w:pPr>
            <w:r>
              <w:rPr>
                <w:sz w:val="21"/>
                <w:szCs w:val="21"/>
                <w:spacing w:val="2"/>
              </w:rPr>
              <w:t>供热、供气</w:t>
            </w:r>
          </w:p>
        </w:tc>
        <w:tc>
          <w:tcPr>
            <w:tcW w:w="8234" w:type="dxa"/>
            <w:vAlign w:val="top"/>
          </w:tcPr>
          <w:p>
            <w:pPr>
              <w:pStyle w:val="TableText"/>
              <w:ind w:left="151" w:right="656" w:hanging="29"/>
              <w:spacing w:before="32" w:line="214" w:lineRule="auto"/>
              <w:rPr>
                <w:sz w:val="21"/>
                <w:szCs w:val="21"/>
              </w:rPr>
            </w:pPr>
            <w:r>
              <w:rPr>
                <w:sz w:val="21"/>
                <w:szCs w:val="21"/>
              </w:rPr>
              <w:t>本项目供热设备为2台10t/h锅炉，2台15t/h锅炉(1用1备)</w:t>
            </w:r>
            <w:r>
              <w:rPr>
                <w:sz w:val="21"/>
                <w:szCs w:val="21"/>
                <w:spacing w:val="-1"/>
              </w:rPr>
              <w:t>,为本项目除湿机、涂布</w:t>
            </w:r>
            <w:r>
              <w:rPr>
                <w:sz w:val="21"/>
                <w:szCs w:val="21"/>
              </w:rPr>
              <w:t xml:space="preserve"> </w:t>
            </w:r>
            <w:r>
              <w:rPr>
                <w:sz w:val="21"/>
                <w:szCs w:val="21"/>
              </w:rPr>
              <w:t>烘干、凹版印刷机供热用，以天然气作为燃料，由市政天</w:t>
            </w:r>
            <w:r>
              <w:rPr>
                <w:sz w:val="21"/>
                <w:szCs w:val="21"/>
                <w:spacing w:val="-1"/>
              </w:rPr>
              <w:t>然气管道供气。</w:t>
            </w:r>
          </w:p>
        </w:tc>
        <w:tc>
          <w:tcPr>
            <w:tcW w:w="2873" w:type="dxa"/>
            <w:vAlign w:val="top"/>
          </w:tcPr>
          <w:p>
            <w:pPr>
              <w:pStyle w:val="TableText"/>
              <w:ind w:left="1218"/>
              <w:spacing w:before="37" w:line="220" w:lineRule="auto"/>
              <w:rPr>
                <w:sz w:val="21"/>
                <w:szCs w:val="21"/>
              </w:rPr>
            </w:pPr>
            <w:r>
              <w:rPr>
                <w:sz w:val="21"/>
                <w:szCs w:val="21"/>
                <w:spacing w:val="8"/>
              </w:rPr>
              <w:t>新增</w:t>
            </w:r>
          </w:p>
        </w:tc>
      </w:tr>
      <w:tr>
        <w:trPr>
          <w:trHeight w:val="270" w:hRule="atLeast"/>
        </w:trPr>
        <w:tc>
          <w:tcPr>
            <w:tcW w:w="1134" w:type="dxa"/>
            <w:vAlign w:val="top"/>
            <w:vMerge w:val="continue"/>
            <w:tcBorders>
              <w:top w:val="nil"/>
              <w:bottom w:val="nil"/>
            </w:tcBorders>
          </w:tcPr>
          <w:p>
            <w:pPr>
              <w:rPr>
                <w:rFonts w:ascii="Arial"/>
                <w:sz w:val="21"/>
              </w:rPr>
            </w:pPr>
            <w:r/>
          </w:p>
        </w:tc>
        <w:tc>
          <w:tcPr>
            <w:tcW w:w="1899" w:type="dxa"/>
            <w:vAlign w:val="top"/>
          </w:tcPr>
          <w:p>
            <w:pPr>
              <w:pStyle w:val="TableText"/>
              <w:ind w:left="731"/>
              <w:spacing w:before="37" w:line="196" w:lineRule="auto"/>
              <w:rPr>
                <w:sz w:val="21"/>
                <w:szCs w:val="21"/>
              </w:rPr>
            </w:pPr>
            <w:r>
              <w:rPr>
                <w:sz w:val="21"/>
                <w:szCs w:val="21"/>
                <w:spacing w:val="6"/>
              </w:rPr>
              <w:t>供电</w:t>
            </w:r>
          </w:p>
        </w:tc>
        <w:tc>
          <w:tcPr>
            <w:tcW w:w="8234" w:type="dxa"/>
            <w:vAlign w:val="top"/>
          </w:tcPr>
          <w:p>
            <w:pPr>
              <w:pStyle w:val="TableText"/>
              <w:ind w:left="152"/>
              <w:spacing w:before="37" w:line="196" w:lineRule="auto"/>
              <w:rPr>
                <w:sz w:val="21"/>
                <w:szCs w:val="21"/>
              </w:rPr>
            </w:pPr>
            <w:r>
              <w:rPr>
                <w:sz w:val="21"/>
                <w:szCs w:val="21"/>
              </w:rPr>
              <w:t>依托现有工程厂区西北侧的110KV降压站，供电电源为小沙村220KV的</w:t>
            </w:r>
            <w:r>
              <w:rPr>
                <w:sz w:val="21"/>
                <w:szCs w:val="21"/>
                <w:spacing w:val="-1"/>
              </w:rPr>
              <w:t>变电站引入。</w:t>
            </w:r>
          </w:p>
        </w:tc>
        <w:tc>
          <w:tcPr>
            <w:tcW w:w="2873" w:type="dxa"/>
            <w:vAlign w:val="top"/>
          </w:tcPr>
          <w:p>
            <w:pPr>
              <w:pStyle w:val="TableText"/>
              <w:ind w:left="798"/>
              <w:spacing w:before="37" w:line="196" w:lineRule="auto"/>
              <w:rPr>
                <w:sz w:val="21"/>
                <w:szCs w:val="21"/>
              </w:rPr>
            </w:pPr>
            <w:r>
              <w:rPr>
                <w:sz w:val="21"/>
                <w:szCs w:val="21"/>
                <w:spacing w:val="-2"/>
              </w:rPr>
              <w:t>依托现有工程</w:t>
            </w:r>
          </w:p>
        </w:tc>
      </w:tr>
      <w:tr>
        <w:trPr>
          <w:trHeight w:val="309" w:hRule="atLeast"/>
        </w:trPr>
        <w:tc>
          <w:tcPr>
            <w:tcW w:w="1134" w:type="dxa"/>
            <w:vAlign w:val="top"/>
            <w:vMerge w:val="continue"/>
            <w:tcBorders>
              <w:top w:val="nil"/>
              <w:bottom w:val="nil"/>
            </w:tcBorders>
          </w:tcPr>
          <w:p>
            <w:pPr>
              <w:rPr>
                <w:rFonts w:ascii="Arial"/>
                <w:sz w:val="21"/>
              </w:rPr>
            </w:pPr>
            <w:r/>
          </w:p>
        </w:tc>
        <w:tc>
          <w:tcPr>
            <w:tcW w:w="1899" w:type="dxa"/>
            <w:vAlign w:val="top"/>
          </w:tcPr>
          <w:p>
            <w:pPr>
              <w:pStyle w:val="TableText"/>
              <w:ind w:left="731"/>
              <w:spacing w:before="57" w:line="212" w:lineRule="auto"/>
              <w:rPr>
                <w:sz w:val="21"/>
                <w:szCs w:val="21"/>
              </w:rPr>
            </w:pPr>
            <w:r>
              <w:rPr>
                <w:sz w:val="21"/>
                <w:szCs w:val="21"/>
                <w:spacing w:val="5"/>
              </w:rPr>
              <w:t>消防</w:t>
            </w:r>
          </w:p>
        </w:tc>
        <w:tc>
          <w:tcPr>
            <w:tcW w:w="8234" w:type="dxa"/>
            <w:vAlign w:val="top"/>
          </w:tcPr>
          <w:p>
            <w:pPr>
              <w:pStyle w:val="TableText"/>
              <w:ind w:left="152"/>
              <w:spacing w:before="56" w:line="213" w:lineRule="auto"/>
              <w:rPr>
                <w:sz w:val="21"/>
                <w:szCs w:val="21"/>
              </w:rPr>
            </w:pPr>
            <w:r>
              <w:rPr>
                <w:sz w:val="21"/>
                <w:szCs w:val="21"/>
              </w:rPr>
              <w:t>室内外消防统一加压。室外消防给水管与生产用水共用，</w:t>
            </w:r>
            <w:r>
              <w:rPr>
                <w:sz w:val="21"/>
                <w:szCs w:val="21"/>
                <w:spacing w:val="-1"/>
              </w:rPr>
              <w:t>布置成环状。</w:t>
            </w:r>
          </w:p>
        </w:tc>
        <w:tc>
          <w:tcPr>
            <w:tcW w:w="2873" w:type="dxa"/>
            <w:vAlign w:val="top"/>
          </w:tcPr>
          <w:p>
            <w:pPr>
              <w:pStyle w:val="TableText"/>
              <w:ind w:left="1218"/>
              <w:spacing w:before="57" w:line="212" w:lineRule="auto"/>
              <w:rPr>
                <w:sz w:val="21"/>
                <w:szCs w:val="21"/>
              </w:rPr>
            </w:pPr>
            <w:r>
              <w:rPr>
                <w:sz w:val="21"/>
                <w:szCs w:val="21"/>
                <w:spacing w:val="8"/>
              </w:rPr>
              <w:t>新增</w:t>
            </w:r>
          </w:p>
        </w:tc>
      </w:tr>
      <w:tr>
        <w:trPr>
          <w:trHeight w:val="534" w:hRule="atLeast"/>
        </w:trPr>
        <w:tc>
          <w:tcPr>
            <w:tcW w:w="1134" w:type="dxa"/>
            <w:vAlign w:val="top"/>
            <w:vMerge w:val="continue"/>
            <w:tcBorders>
              <w:top w:val="nil"/>
            </w:tcBorders>
          </w:tcPr>
          <w:p>
            <w:pPr>
              <w:rPr>
                <w:rFonts w:ascii="Arial"/>
                <w:sz w:val="21"/>
              </w:rPr>
            </w:pPr>
            <w:r/>
          </w:p>
        </w:tc>
        <w:tc>
          <w:tcPr>
            <w:tcW w:w="1899" w:type="dxa"/>
            <w:vAlign w:val="top"/>
          </w:tcPr>
          <w:p>
            <w:pPr>
              <w:pStyle w:val="TableText"/>
              <w:ind w:left="731"/>
              <w:spacing w:before="169" w:line="220" w:lineRule="auto"/>
              <w:rPr>
                <w:sz w:val="21"/>
                <w:szCs w:val="21"/>
              </w:rPr>
            </w:pPr>
            <w:r>
              <w:rPr>
                <w:sz w:val="21"/>
                <w:szCs w:val="21"/>
                <w:spacing w:val="-3"/>
              </w:rPr>
              <w:t>通风</w:t>
            </w:r>
          </w:p>
        </w:tc>
        <w:tc>
          <w:tcPr>
            <w:tcW w:w="8234" w:type="dxa"/>
            <w:vAlign w:val="top"/>
          </w:tcPr>
          <w:p>
            <w:pPr>
              <w:pStyle w:val="TableText"/>
              <w:ind w:left="152" w:firstLine="10"/>
              <w:spacing w:before="28" w:line="218" w:lineRule="auto"/>
              <w:rPr>
                <w:sz w:val="21"/>
                <w:szCs w:val="21"/>
              </w:rPr>
            </w:pPr>
            <w:r>
              <w:rPr>
                <w:sz w:val="21"/>
                <w:szCs w:val="21"/>
                <w:spacing w:val="2"/>
              </w:rPr>
              <w:t>夏季办公室、涂布车间有设备散热层外，采用中央空调系统。涂布车间有设备散热层、</w:t>
            </w:r>
            <w:r>
              <w:rPr>
                <w:sz w:val="21"/>
                <w:szCs w:val="21"/>
                <w:spacing w:val="4"/>
              </w:rPr>
              <w:t xml:space="preserve"> </w:t>
            </w:r>
            <w:r>
              <w:rPr>
                <w:sz w:val="21"/>
                <w:szCs w:val="21"/>
                <w:spacing w:val="-1"/>
              </w:rPr>
              <w:t>变配电房、更衣房等安装轴流风机进行换气。</w:t>
            </w:r>
          </w:p>
        </w:tc>
        <w:tc>
          <w:tcPr>
            <w:tcW w:w="2873" w:type="dxa"/>
            <w:vAlign w:val="top"/>
          </w:tcPr>
          <w:p>
            <w:pPr>
              <w:pStyle w:val="TableText"/>
              <w:ind w:left="1218"/>
              <w:spacing w:before="39" w:line="220" w:lineRule="auto"/>
              <w:rPr>
                <w:sz w:val="21"/>
                <w:szCs w:val="21"/>
              </w:rPr>
            </w:pPr>
            <w:r>
              <w:rPr>
                <w:sz w:val="21"/>
                <w:szCs w:val="21"/>
                <w:spacing w:val="8"/>
              </w:rPr>
              <w:t>新增</w:t>
            </w:r>
          </w:p>
        </w:tc>
      </w:tr>
    </w:tbl>
    <w:p>
      <w:pPr>
        <w:rPr>
          <w:rFonts w:ascii="Arial"/>
          <w:sz w:val="21"/>
        </w:rPr>
      </w:pPr>
      <w:r/>
    </w:p>
    <w:p>
      <w:pPr>
        <w:sectPr>
          <w:footerReference w:type="default" r:id="rId12"/>
          <w:pgSz w:w="16840" w:h="11900"/>
          <w:pgMar w:top="1011" w:right="1375" w:bottom="1215" w:left="1314" w:header="0" w:footer="1066" w:gutter="0"/>
        </w:sectPr>
        <w:rPr>
          <w:rFonts w:ascii="Arial" w:hAnsi="Arial" w:eastAsia="Arial" w:cs="Arial"/>
          <w:sz w:val="21"/>
          <w:szCs w:val="21"/>
        </w:rPr>
      </w:pPr>
    </w:p>
    <w:p>
      <w:pPr>
        <w:spacing w:before="21"/>
        <w:rPr/>
      </w:pPr>
      <w:r/>
    </w:p>
    <w:tbl>
      <w:tblPr>
        <w:tblStyle w:val="TableNormal"/>
        <w:tblW w:w="141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34"/>
        <w:gridCol w:w="1899"/>
        <w:gridCol w:w="8214"/>
        <w:gridCol w:w="2893"/>
      </w:tblGrid>
      <w:tr>
        <w:trPr>
          <w:trHeight w:val="3280" w:hRule="atLeast"/>
        </w:trPr>
        <w:tc>
          <w:tcPr>
            <w:tcW w:w="1134" w:type="dxa"/>
            <w:vAlign w:val="top"/>
            <w:vMerge w:val="restart"/>
            <w:tcBorders>
              <w:bottom w:val="nil"/>
            </w:tcBorders>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114"/>
              <w:spacing w:before="68" w:line="220" w:lineRule="auto"/>
              <w:rPr>
                <w:sz w:val="21"/>
                <w:szCs w:val="21"/>
              </w:rPr>
            </w:pPr>
            <w:r>
              <w:rPr>
                <w:sz w:val="21"/>
                <w:szCs w:val="21"/>
                <w:spacing w:val="-2"/>
              </w:rPr>
              <w:t>环保工程</w:t>
            </w:r>
          </w:p>
        </w:tc>
        <w:tc>
          <w:tcPr>
            <w:tcW w:w="1899"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730"/>
              <w:spacing w:before="68" w:line="219" w:lineRule="auto"/>
              <w:rPr>
                <w:sz w:val="21"/>
                <w:szCs w:val="21"/>
              </w:rPr>
            </w:pPr>
            <w:r>
              <w:rPr>
                <w:sz w:val="21"/>
                <w:szCs w:val="21"/>
                <w:spacing w:val="-2"/>
              </w:rPr>
              <w:t>废水</w:t>
            </w:r>
          </w:p>
        </w:tc>
        <w:tc>
          <w:tcPr>
            <w:tcW w:w="8214" w:type="dxa"/>
            <w:vAlign w:val="top"/>
          </w:tcPr>
          <w:p>
            <w:pPr>
              <w:pStyle w:val="TableText"/>
              <w:ind w:left="141" w:firstLine="89"/>
              <w:spacing w:before="30" w:line="234" w:lineRule="auto"/>
              <w:rPr>
                <w:sz w:val="21"/>
                <w:szCs w:val="21"/>
              </w:rPr>
            </w:pPr>
            <w:r>
              <w:rPr>
                <w:sz w:val="21"/>
                <w:szCs w:val="21"/>
              </w:rPr>
              <w:t>(1)改扩建现有工程污水处理站。新建阴极废水预处理系统20t/d,阳极预</w:t>
            </w:r>
            <w:r>
              <w:rPr>
                <w:sz w:val="21"/>
                <w:szCs w:val="21"/>
                <w:spacing w:val="-1"/>
              </w:rPr>
              <w:t>处理系统20t/d</w:t>
            </w:r>
            <w:r>
              <w:rPr>
                <w:sz w:val="21"/>
                <w:szCs w:val="21"/>
              </w:rPr>
              <w:t xml:space="preserve"> </w:t>
            </w:r>
            <w:r>
              <w:rPr>
                <w:sz w:val="21"/>
                <w:szCs w:val="21"/>
              </w:rPr>
              <w:t>阴极生化处理系统100t/d;改建现有生化系统(已建)为阳极废</w:t>
            </w:r>
            <w:r>
              <w:rPr>
                <w:sz w:val="21"/>
                <w:szCs w:val="21"/>
                <w:spacing w:val="-1"/>
              </w:rPr>
              <w:t>水生化处理系统110t/d。</w:t>
            </w:r>
          </w:p>
          <w:p>
            <w:pPr>
              <w:pStyle w:val="TableText"/>
              <w:ind w:left="131"/>
              <w:spacing w:before="20" w:line="219" w:lineRule="auto"/>
              <w:rPr>
                <w:sz w:val="21"/>
                <w:szCs w:val="21"/>
              </w:rPr>
            </w:pPr>
            <w:r>
              <w:rPr>
                <w:sz w:val="21"/>
                <w:szCs w:val="21"/>
                <w:spacing w:val="1"/>
              </w:rPr>
              <w:t>改扩建后，厂区内阴极废水、阳极废水(含</w:t>
            </w:r>
            <w:r>
              <w:rPr>
                <w:sz w:val="21"/>
                <w:szCs w:val="21"/>
              </w:rPr>
              <w:t>凹版废水)分质分流收集，分别经凹版车间</w:t>
            </w:r>
          </w:p>
          <w:p>
            <w:pPr>
              <w:pStyle w:val="TableText"/>
              <w:ind w:left="92" w:right="83" w:firstLine="39"/>
              <w:spacing w:before="40" w:line="220" w:lineRule="auto"/>
              <w:rPr>
                <w:sz w:val="21"/>
                <w:szCs w:val="21"/>
              </w:rPr>
            </w:pPr>
            <w:r>
              <w:rPr>
                <w:sz w:val="21"/>
                <w:szCs w:val="21"/>
              </w:rPr>
              <w:t>旁新建三级沉淀预处理后排入污水处理站阴、阳级废水处理系统处理。新增50m3的事故</w:t>
            </w:r>
            <w:r>
              <w:rPr>
                <w:sz w:val="21"/>
                <w:szCs w:val="21"/>
                <w:spacing w:val="7"/>
              </w:rPr>
              <w:t xml:space="preserve"> </w:t>
            </w:r>
            <w:r>
              <w:rPr>
                <w:sz w:val="21"/>
                <w:szCs w:val="21"/>
                <w:spacing w:val="-2"/>
              </w:rPr>
              <w:t>池。</w:t>
            </w:r>
          </w:p>
          <w:p>
            <w:pPr>
              <w:pStyle w:val="TableText"/>
              <w:ind w:left="222"/>
              <w:spacing w:before="18" w:line="219" w:lineRule="auto"/>
              <w:rPr>
                <w:sz w:val="21"/>
                <w:szCs w:val="21"/>
              </w:rPr>
            </w:pPr>
            <w:r>
              <w:rPr>
                <w:sz w:val="21"/>
                <w:szCs w:val="21"/>
              </w:rPr>
              <w:t>(2)阴极废水采用“芬顿氧化+混凝沉淀”预处理工艺后采用“ABR+两级AO(MBR</w:t>
            </w:r>
          </w:p>
          <w:p>
            <w:pPr>
              <w:pStyle w:val="TableText"/>
              <w:ind w:left="171" w:right="521" w:hanging="40"/>
              <w:spacing w:before="31" w:line="215" w:lineRule="auto"/>
              <w:rPr>
                <w:sz w:val="21"/>
                <w:szCs w:val="21"/>
              </w:rPr>
            </w:pPr>
            <w:r>
              <w:rPr>
                <w:sz w:val="21"/>
                <w:szCs w:val="21"/>
              </w:rPr>
              <w:t>作为二级O池使用)”工艺处理后出水达标排放；阳极废水(</w:t>
            </w:r>
            <w:r>
              <w:rPr>
                <w:sz w:val="21"/>
                <w:szCs w:val="21"/>
                <w:spacing w:val="-1"/>
              </w:rPr>
              <w:t>含凹版废水)采用“混凝</w:t>
            </w:r>
            <w:r>
              <w:rPr>
                <w:sz w:val="21"/>
                <w:szCs w:val="21"/>
              </w:rPr>
              <w:t xml:space="preserve"> </w:t>
            </w:r>
            <w:r>
              <w:rPr>
                <w:sz w:val="21"/>
                <w:szCs w:val="21"/>
                <w:spacing w:val="3"/>
              </w:rPr>
              <w:t>冗淀”工艺预处理后采用“A²O+二沉池”工艺处理后达标排放。</w:t>
            </w:r>
          </w:p>
          <w:p>
            <w:pPr>
              <w:pStyle w:val="TableText"/>
              <w:ind w:left="241"/>
              <w:spacing w:before="62" w:line="219" w:lineRule="auto"/>
              <w:rPr>
                <w:sz w:val="21"/>
                <w:szCs w:val="21"/>
              </w:rPr>
            </w:pPr>
            <w:r>
              <w:rPr>
                <w:sz w:val="21"/>
                <w:szCs w:val="21"/>
                <w:spacing w:val="8"/>
              </w:rPr>
              <w:t>(3)新增2个16m³的化粪池、1个1m³的化粪池</w:t>
            </w:r>
          </w:p>
          <w:p>
            <w:pPr>
              <w:pStyle w:val="TableText"/>
              <w:ind w:left="261"/>
              <w:spacing w:before="21" w:line="219" w:lineRule="auto"/>
              <w:rPr>
                <w:sz w:val="21"/>
                <w:szCs w:val="21"/>
              </w:rPr>
            </w:pPr>
            <w:r>
              <w:rPr>
                <w:sz w:val="21"/>
                <w:szCs w:val="21"/>
              </w:rPr>
              <w:t>(4)普通生活污水经化粪池处理后进入市政污水管</w:t>
            </w:r>
          </w:p>
          <w:p>
            <w:pPr>
              <w:pStyle w:val="TableText"/>
              <w:ind w:left="131" w:right="90" w:firstLine="9"/>
              <w:spacing w:before="52" w:line="209" w:lineRule="auto"/>
              <w:rPr>
                <w:sz w:val="21"/>
                <w:szCs w:val="21"/>
              </w:rPr>
            </w:pPr>
            <w:r>
              <w:rPr>
                <w:sz w:val="21"/>
                <w:szCs w:val="21"/>
              </w:rPr>
              <w:t>食堂含油废水先经隔油池预处理后，再进入化粪池，最终进入市</w:t>
            </w:r>
            <w:r>
              <w:rPr>
                <w:sz w:val="21"/>
                <w:szCs w:val="21"/>
                <w:spacing w:val="-1"/>
              </w:rPr>
              <w:t>政污水管网。员工食堂</w:t>
            </w:r>
            <w:r>
              <w:rPr>
                <w:sz w:val="21"/>
                <w:szCs w:val="21"/>
              </w:rPr>
              <w:t xml:space="preserve"> </w:t>
            </w:r>
            <w:r>
              <w:rPr>
                <w:sz w:val="21"/>
                <w:szCs w:val="21"/>
                <w:spacing w:val="-1"/>
              </w:rPr>
              <w:t>依托现有工程。</w:t>
            </w:r>
          </w:p>
        </w:tc>
        <w:tc>
          <w:tcPr>
            <w:tcW w:w="2893" w:type="dxa"/>
            <w:vAlign w:val="top"/>
          </w:tcPr>
          <w:p>
            <w:pPr>
              <w:pStyle w:val="TableText"/>
              <w:ind w:left="127"/>
              <w:spacing w:before="33" w:line="219" w:lineRule="auto"/>
              <w:rPr>
                <w:sz w:val="21"/>
                <w:szCs w:val="21"/>
              </w:rPr>
            </w:pPr>
            <w:r>
              <w:rPr>
                <w:sz w:val="21"/>
                <w:szCs w:val="21"/>
                <w:spacing w:val="-1"/>
              </w:rPr>
              <w:t>改扩建现有工程污水处理站，</w:t>
            </w:r>
          </w:p>
          <w:p>
            <w:pPr>
              <w:pStyle w:val="TableText"/>
              <w:ind w:left="227"/>
              <w:spacing w:line="219" w:lineRule="auto"/>
              <w:rPr>
                <w:sz w:val="21"/>
                <w:szCs w:val="21"/>
              </w:rPr>
            </w:pPr>
            <w:r>
              <w:rPr>
                <w:sz w:val="21"/>
                <w:szCs w:val="21"/>
              </w:rPr>
              <w:t>阴极生产废水排污口编号：</w:t>
            </w:r>
          </w:p>
          <w:p>
            <w:pPr>
              <w:pStyle w:val="TableText"/>
              <w:ind w:left="177"/>
              <w:spacing w:before="20" w:line="219" w:lineRule="auto"/>
              <w:rPr>
                <w:sz w:val="21"/>
                <w:szCs w:val="21"/>
              </w:rPr>
            </w:pPr>
            <w:r>
              <w:rPr>
                <w:sz w:val="21"/>
                <w:szCs w:val="21"/>
                <w:spacing w:val="-1"/>
              </w:rPr>
              <w:t>DW001;生产废水总排污口编</w:t>
            </w:r>
          </w:p>
          <w:p>
            <w:pPr>
              <w:pStyle w:val="TableText"/>
              <w:ind w:left="917"/>
              <w:spacing w:before="32" w:line="221" w:lineRule="auto"/>
              <w:rPr>
                <w:sz w:val="21"/>
                <w:szCs w:val="21"/>
              </w:rPr>
            </w:pPr>
            <w:r>
              <w:rPr>
                <w:sz w:val="21"/>
                <w:szCs w:val="21"/>
                <w:spacing w:val="7"/>
              </w:rPr>
              <w:t>号：</w:t>
            </w:r>
            <w:r>
              <w:rPr>
                <w:sz w:val="21"/>
                <w:szCs w:val="21"/>
              </w:rPr>
              <w:t>DW</w:t>
            </w:r>
            <w:r>
              <w:rPr>
                <w:sz w:val="21"/>
                <w:szCs w:val="21"/>
                <w:spacing w:val="7"/>
              </w:rPr>
              <w:t>003;</w:t>
            </w:r>
          </w:p>
          <w:p>
            <w:pPr>
              <w:pStyle w:val="TableText"/>
              <w:ind w:left="77"/>
              <w:spacing w:before="266" w:line="219" w:lineRule="auto"/>
              <w:rPr>
                <w:sz w:val="21"/>
                <w:szCs w:val="21"/>
              </w:rPr>
            </w:pPr>
            <w:r>
              <w:rPr>
                <w:sz w:val="21"/>
                <w:szCs w:val="21"/>
              </w:rPr>
              <w:t>新增化粪池。食堂含油废水依</w:t>
            </w:r>
          </w:p>
          <w:p>
            <w:pPr>
              <w:pStyle w:val="TableText"/>
              <w:ind w:left="77"/>
              <w:spacing w:before="43" w:line="219" w:lineRule="auto"/>
              <w:rPr>
                <w:sz w:val="21"/>
                <w:szCs w:val="21"/>
              </w:rPr>
            </w:pPr>
            <w:r>
              <w:rPr>
                <w:sz w:val="21"/>
                <w:szCs w:val="21"/>
                <w:spacing w:val="-1"/>
              </w:rPr>
              <w:t>托现有工程。生活污水总排污</w:t>
            </w:r>
          </w:p>
          <w:p>
            <w:pPr>
              <w:pStyle w:val="TableText"/>
              <w:ind w:left="437"/>
              <w:spacing w:before="20" w:line="219" w:lineRule="auto"/>
              <w:rPr>
                <w:sz w:val="21"/>
                <w:szCs w:val="21"/>
              </w:rPr>
            </w:pPr>
            <w:r>
              <w:rPr>
                <w:sz w:val="21"/>
                <w:szCs w:val="21"/>
                <w:spacing w:val="2"/>
              </w:rPr>
              <w:t>口编号：</w:t>
            </w:r>
            <w:r>
              <w:rPr>
                <w:sz w:val="21"/>
                <w:szCs w:val="21"/>
              </w:rPr>
              <w:t>DW</w:t>
            </w:r>
            <w:r>
              <w:rPr>
                <w:sz w:val="21"/>
                <w:szCs w:val="21"/>
                <w:spacing w:val="2"/>
              </w:rPr>
              <w:t>010~</w:t>
            </w:r>
            <w:r>
              <w:rPr>
                <w:sz w:val="21"/>
                <w:szCs w:val="21"/>
              </w:rPr>
              <w:t>DW</w:t>
            </w:r>
            <w:r>
              <w:rPr>
                <w:sz w:val="21"/>
                <w:szCs w:val="21"/>
                <w:spacing w:val="2"/>
              </w:rPr>
              <w:t>011</w:t>
            </w:r>
          </w:p>
        </w:tc>
      </w:tr>
      <w:tr>
        <w:trPr>
          <w:trHeight w:val="2177" w:hRule="atLeast"/>
        </w:trPr>
        <w:tc>
          <w:tcPr>
            <w:tcW w:w="1134" w:type="dxa"/>
            <w:vAlign w:val="top"/>
            <w:vMerge w:val="continue"/>
            <w:tcBorders>
              <w:top w:val="nil"/>
              <w:bottom w:val="nil"/>
            </w:tcBorders>
          </w:tcPr>
          <w:p>
            <w:pPr>
              <w:rPr>
                <w:rFonts w:ascii="Arial"/>
                <w:sz w:val="21"/>
              </w:rPr>
            </w:pPr>
            <w:r/>
          </w:p>
        </w:tc>
        <w:tc>
          <w:tcPr>
            <w:tcW w:w="1899" w:type="dxa"/>
            <w:vAlign w:val="top"/>
          </w:tcPr>
          <w:p>
            <w:pPr>
              <w:spacing w:line="306" w:lineRule="auto"/>
              <w:rPr>
                <w:rFonts w:ascii="Arial"/>
                <w:sz w:val="21"/>
              </w:rPr>
            </w:pPr>
            <w:r/>
          </w:p>
          <w:p>
            <w:pPr>
              <w:spacing w:line="307" w:lineRule="auto"/>
              <w:rPr>
                <w:rFonts w:ascii="Arial"/>
                <w:sz w:val="21"/>
              </w:rPr>
            </w:pPr>
            <w:r/>
          </w:p>
          <w:p>
            <w:pPr>
              <w:spacing w:line="307" w:lineRule="auto"/>
              <w:rPr>
                <w:rFonts w:ascii="Arial"/>
                <w:sz w:val="21"/>
              </w:rPr>
            </w:pPr>
            <w:r/>
          </w:p>
          <w:p>
            <w:pPr>
              <w:pStyle w:val="TableText"/>
              <w:ind w:left="730"/>
              <w:spacing w:before="68" w:line="220" w:lineRule="auto"/>
              <w:rPr>
                <w:sz w:val="21"/>
                <w:szCs w:val="21"/>
              </w:rPr>
            </w:pPr>
            <w:r>
              <w:rPr>
                <w:sz w:val="21"/>
                <w:szCs w:val="21"/>
                <w:spacing w:val="6"/>
              </w:rPr>
              <w:t>废气</w:t>
            </w:r>
          </w:p>
        </w:tc>
        <w:tc>
          <w:tcPr>
            <w:tcW w:w="8214" w:type="dxa"/>
            <w:vAlign w:val="top"/>
          </w:tcPr>
          <w:p>
            <w:pPr>
              <w:pStyle w:val="TableText"/>
              <w:ind w:left="131" w:right="376" w:firstLine="139"/>
              <w:spacing w:before="24" w:line="238" w:lineRule="auto"/>
              <w:rPr>
                <w:sz w:val="21"/>
                <w:szCs w:val="21"/>
              </w:rPr>
            </w:pPr>
            <w:r>
              <w:rPr>
                <w:sz w:val="21"/>
                <w:szCs w:val="21"/>
                <w:spacing w:val="3"/>
              </w:rPr>
              <w:t>(1)车间粉尘：每条极片生产线均配置固定式单体除尘</w:t>
            </w:r>
            <w:r>
              <w:rPr>
                <w:sz w:val="21"/>
                <w:szCs w:val="21"/>
                <w:spacing w:val="2"/>
              </w:rPr>
              <w:t>器收集粉尘，不设排气筒；</w:t>
            </w:r>
            <w:r>
              <w:rPr>
                <w:sz w:val="21"/>
                <w:szCs w:val="21"/>
              </w:rPr>
              <w:t xml:space="preserve"> </w:t>
            </w:r>
            <w:r>
              <w:rPr>
                <w:sz w:val="21"/>
                <w:szCs w:val="21"/>
                <w:spacing w:val="3"/>
              </w:rPr>
              <w:t>(2)涂布废气：4条阴极片生产线涂布烘干工序各设置1套</w:t>
            </w:r>
            <w:r>
              <w:rPr>
                <w:sz w:val="21"/>
                <w:szCs w:val="21"/>
              </w:rPr>
              <w:t>NMP</w:t>
            </w:r>
            <w:r>
              <w:rPr>
                <w:sz w:val="21"/>
                <w:szCs w:val="21"/>
                <w:spacing w:val="3"/>
              </w:rPr>
              <w:t>冷凝</w:t>
            </w:r>
            <w:r>
              <w:rPr>
                <w:sz w:val="21"/>
                <w:szCs w:val="21"/>
                <w:spacing w:val="2"/>
              </w:rPr>
              <w:t>+沸石转轮回收装</w:t>
            </w:r>
            <w:r>
              <w:rPr>
                <w:sz w:val="21"/>
                <w:szCs w:val="21"/>
              </w:rPr>
              <w:t xml:space="preserve">  </w:t>
            </w:r>
            <w:r>
              <w:rPr>
                <w:sz w:val="21"/>
                <w:szCs w:val="21"/>
              </w:rPr>
              <w:t>置，共4套，共用1根排气筒(DA026),风量32500m/h,内径1.0m*1.0m,高度27</w:t>
            </w:r>
            <w:r>
              <w:rPr>
                <w:sz w:val="21"/>
                <w:szCs w:val="21"/>
                <w:spacing w:val="-1"/>
              </w:rPr>
              <w:t>m。</w:t>
            </w:r>
          </w:p>
          <w:p>
            <w:pPr>
              <w:pStyle w:val="TableText"/>
              <w:ind w:left="141" w:right="583" w:firstLine="100"/>
              <w:spacing w:before="26" w:line="239" w:lineRule="auto"/>
              <w:rPr>
                <w:sz w:val="21"/>
                <w:szCs w:val="21"/>
              </w:rPr>
            </w:pPr>
            <w:r>
              <w:rPr>
                <w:sz w:val="21"/>
                <w:szCs w:val="21"/>
                <w:spacing w:val="1"/>
              </w:rPr>
              <w:t>(3)锅炉废气(3用1备):每台锅炉设置低氮燃烧器，每</w:t>
            </w:r>
            <w:r>
              <w:rPr>
                <w:sz w:val="21"/>
                <w:szCs w:val="21"/>
              </w:rPr>
              <w:t>台锅炉单独设置排气筒，内 </w:t>
            </w:r>
            <w:r>
              <w:rPr>
                <w:sz w:val="21"/>
                <w:szCs w:val="21"/>
              </w:rPr>
              <w:t>径1.0m,高度27m,共4根(DA025、DA027～DAO29)。</w:t>
            </w:r>
          </w:p>
          <w:p>
            <w:pPr>
              <w:pStyle w:val="TableText"/>
              <w:ind w:left="161" w:right="877" w:firstLine="70"/>
              <w:spacing w:before="4" w:line="218" w:lineRule="auto"/>
              <w:rPr>
                <w:sz w:val="21"/>
                <w:szCs w:val="21"/>
              </w:rPr>
            </w:pPr>
            <w:r>
              <w:rPr>
                <w:sz w:val="21"/>
                <w:szCs w:val="21"/>
                <w:spacing w:val="2"/>
              </w:rPr>
              <w:t>(4)污水处理站恶臭：依托现有工程，1套</w:t>
            </w:r>
            <w:r>
              <w:rPr>
                <w:sz w:val="21"/>
                <w:szCs w:val="21"/>
                <w:spacing w:val="1"/>
              </w:rPr>
              <w:t>“喷淋塔+</w:t>
            </w:r>
            <w:r>
              <w:rPr>
                <w:sz w:val="21"/>
                <w:szCs w:val="21"/>
              </w:rPr>
              <w:t>UV</w:t>
            </w:r>
            <w:r>
              <w:rPr>
                <w:sz w:val="21"/>
                <w:szCs w:val="21"/>
                <w:spacing w:val="1"/>
              </w:rPr>
              <w:t>”,1根排气筒(</w:t>
            </w:r>
            <w:r>
              <w:rPr>
                <w:sz w:val="21"/>
                <w:szCs w:val="21"/>
              </w:rPr>
              <w:t>DA</w:t>
            </w:r>
            <w:r>
              <w:rPr>
                <w:sz w:val="21"/>
                <w:szCs w:val="21"/>
                <w:spacing w:val="1"/>
              </w:rPr>
              <w:t>006),</w:t>
            </w:r>
            <w:r>
              <w:rPr>
                <w:sz w:val="21"/>
                <w:szCs w:val="21"/>
              </w:rPr>
              <w:t xml:space="preserve"> </w:t>
            </w:r>
            <w:r>
              <w:rPr>
                <w:sz w:val="21"/>
                <w:szCs w:val="21"/>
                <w:spacing w:val="4"/>
              </w:rPr>
              <w:t>风量20000m²/h,内径0.6m,高度15m。</w:t>
            </w:r>
          </w:p>
          <w:p>
            <w:pPr>
              <w:pStyle w:val="TableText"/>
              <w:ind w:left="261"/>
              <w:spacing w:before="26" w:line="206" w:lineRule="auto"/>
              <w:rPr>
                <w:sz w:val="21"/>
                <w:szCs w:val="21"/>
              </w:rPr>
            </w:pPr>
            <w:r>
              <w:rPr>
                <w:sz w:val="21"/>
                <w:szCs w:val="21"/>
              </w:rPr>
              <w:t>(5)食堂油烟：依托现有工程，油烟净化器处理后引至屋顶排</w:t>
            </w:r>
            <w:r>
              <w:rPr>
                <w:sz w:val="21"/>
                <w:szCs w:val="21"/>
                <w:spacing w:val="-1"/>
              </w:rPr>
              <w:t>放。</w:t>
            </w:r>
          </w:p>
        </w:tc>
        <w:tc>
          <w:tcPr>
            <w:tcW w:w="2893" w:type="dxa"/>
            <w:vAlign w:val="top"/>
          </w:tcPr>
          <w:p>
            <w:pPr>
              <w:spacing w:line="250" w:lineRule="auto"/>
              <w:rPr>
                <w:rFonts w:ascii="Arial"/>
                <w:sz w:val="21"/>
              </w:rPr>
            </w:pPr>
            <w:r/>
          </w:p>
          <w:p>
            <w:pPr>
              <w:spacing w:line="251" w:lineRule="auto"/>
              <w:rPr>
                <w:rFonts w:ascii="Arial"/>
                <w:sz w:val="21"/>
              </w:rPr>
            </w:pPr>
            <w:r/>
          </w:p>
          <w:p>
            <w:pPr>
              <w:pStyle w:val="TableText"/>
              <w:ind w:left="77"/>
              <w:spacing w:before="68" w:line="219" w:lineRule="auto"/>
              <w:rPr>
                <w:sz w:val="21"/>
                <w:szCs w:val="21"/>
              </w:rPr>
            </w:pPr>
            <w:r>
              <w:rPr>
                <w:sz w:val="21"/>
                <w:szCs w:val="21"/>
                <w:spacing w:val="-1"/>
              </w:rPr>
              <w:t>新增车间粉尘收集设施、涂布</w:t>
            </w:r>
          </w:p>
          <w:p>
            <w:pPr>
              <w:pStyle w:val="TableText"/>
              <w:ind w:left="387"/>
              <w:spacing w:before="22" w:line="219" w:lineRule="auto"/>
              <w:rPr>
                <w:sz w:val="21"/>
                <w:szCs w:val="21"/>
              </w:rPr>
            </w:pPr>
            <w:r>
              <w:rPr>
                <w:sz w:val="21"/>
                <w:szCs w:val="21"/>
                <w:spacing w:val="1"/>
              </w:rPr>
              <w:t>废气处理设施及排气筒</w:t>
            </w:r>
          </w:p>
          <w:p>
            <w:pPr>
              <w:pStyle w:val="TableText"/>
              <w:ind w:left="227"/>
              <w:spacing w:before="30" w:line="219" w:lineRule="auto"/>
              <w:rPr>
                <w:sz w:val="21"/>
                <w:szCs w:val="21"/>
              </w:rPr>
            </w:pPr>
            <w:r>
              <w:rPr>
                <w:sz w:val="21"/>
                <w:szCs w:val="21"/>
                <w:spacing w:val="1"/>
              </w:rPr>
              <w:t>(</w:t>
            </w:r>
            <w:r>
              <w:rPr>
                <w:sz w:val="21"/>
                <w:szCs w:val="21"/>
              </w:rPr>
              <w:t>DAO</w:t>
            </w:r>
            <w:r>
              <w:rPr>
                <w:sz w:val="21"/>
                <w:szCs w:val="21"/>
                <w:spacing w:val="1"/>
              </w:rPr>
              <w:t>26)、锅炉废气排气筒</w:t>
            </w:r>
          </w:p>
          <w:p>
            <w:pPr>
              <w:pStyle w:val="TableText"/>
              <w:ind w:left="337"/>
              <w:spacing w:before="54" w:line="222" w:lineRule="auto"/>
              <w:rPr>
                <w:sz w:val="21"/>
                <w:szCs w:val="21"/>
              </w:rPr>
            </w:pPr>
            <w:r>
              <w:rPr>
                <w:sz w:val="21"/>
                <w:szCs w:val="21"/>
                <w:spacing w:val="-3"/>
              </w:rPr>
              <w:t>(DAO25、DA027～DA029)</w:t>
            </w:r>
          </w:p>
        </w:tc>
      </w:tr>
      <w:tr>
        <w:trPr>
          <w:trHeight w:val="818" w:hRule="atLeast"/>
        </w:trPr>
        <w:tc>
          <w:tcPr>
            <w:tcW w:w="1134" w:type="dxa"/>
            <w:vAlign w:val="top"/>
            <w:vMerge w:val="continue"/>
            <w:tcBorders>
              <w:top w:val="nil"/>
              <w:bottom w:val="nil"/>
            </w:tcBorders>
          </w:tcPr>
          <w:p>
            <w:pPr>
              <w:rPr>
                <w:rFonts w:ascii="Arial"/>
                <w:sz w:val="21"/>
              </w:rPr>
            </w:pPr>
            <w:r/>
          </w:p>
        </w:tc>
        <w:tc>
          <w:tcPr>
            <w:tcW w:w="1899" w:type="dxa"/>
            <w:vAlign w:val="top"/>
          </w:tcPr>
          <w:p>
            <w:pPr>
              <w:spacing w:line="247" w:lineRule="auto"/>
              <w:rPr>
                <w:rFonts w:ascii="Arial"/>
                <w:sz w:val="21"/>
              </w:rPr>
            </w:pPr>
            <w:r/>
          </w:p>
          <w:p>
            <w:pPr>
              <w:pStyle w:val="TableText"/>
              <w:ind w:left="520"/>
              <w:spacing w:before="68" w:line="220" w:lineRule="auto"/>
              <w:rPr>
                <w:sz w:val="21"/>
                <w:szCs w:val="21"/>
              </w:rPr>
            </w:pPr>
            <w:r>
              <w:rPr>
                <w:sz w:val="21"/>
                <w:szCs w:val="21"/>
                <w:spacing w:val="2"/>
              </w:rPr>
              <w:t>固体废物</w:t>
            </w:r>
          </w:p>
        </w:tc>
        <w:tc>
          <w:tcPr>
            <w:tcW w:w="8214" w:type="dxa"/>
            <w:vAlign w:val="top"/>
          </w:tcPr>
          <w:p>
            <w:pPr>
              <w:pStyle w:val="TableText"/>
              <w:ind w:left="171" w:right="145" w:hanging="30"/>
              <w:spacing w:before="55" w:line="229" w:lineRule="auto"/>
              <w:rPr>
                <w:sz w:val="21"/>
                <w:szCs w:val="21"/>
              </w:rPr>
            </w:pPr>
            <w:r>
              <w:rPr>
                <w:sz w:val="21"/>
                <w:szCs w:val="21"/>
                <w:spacing w:val="3"/>
              </w:rPr>
              <w:t>依托现有工程，现有工程废弃物仓(X9)设置有1个一般工业固体废物存放间(约842m²)</w:t>
            </w:r>
            <w:r>
              <w:rPr>
                <w:sz w:val="21"/>
                <w:szCs w:val="21"/>
                <w:spacing w:val="16"/>
              </w:rPr>
              <w:t xml:space="preserve"> </w:t>
            </w:r>
            <w:r>
              <w:rPr>
                <w:sz w:val="21"/>
                <w:szCs w:val="21"/>
                <w:spacing w:val="9"/>
              </w:rPr>
              <w:t>个生活垃圾房(约106m²);</w:t>
            </w:r>
          </w:p>
          <w:p>
            <w:pPr>
              <w:pStyle w:val="TableText"/>
              <w:ind w:left="131"/>
              <w:spacing w:before="10" w:line="195" w:lineRule="auto"/>
              <w:rPr>
                <w:sz w:val="21"/>
                <w:szCs w:val="21"/>
              </w:rPr>
            </w:pPr>
            <w:r>
              <w:rPr>
                <w:sz w:val="21"/>
                <w:szCs w:val="21"/>
                <w:spacing w:val="3"/>
              </w:rPr>
              <w:t>现有工程电解液仓(X13)设置一个危废暂存间(约140m²)。</w:t>
            </w:r>
          </w:p>
        </w:tc>
        <w:tc>
          <w:tcPr>
            <w:tcW w:w="2893" w:type="dxa"/>
            <w:vAlign w:val="top"/>
          </w:tcPr>
          <w:p>
            <w:pPr>
              <w:spacing w:line="245" w:lineRule="auto"/>
              <w:rPr>
                <w:rFonts w:ascii="Arial"/>
                <w:sz w:val="21"/>
              </w:rPr>
            </w:pPr>
            <w:r/>
          </w:p>
          <w:p>
            <w:pPr>
              <w:pStyle w:val="TableText"/>
              <w:ind w:left="807"/>
              <w:spacing w:before="68" w:line="219" w:lineRule="auto"/>
              <w:rPr>
                <w:sz w:val="21"/>
                <w:szCs w:val="21"/>
              </w:rPr>
            </w:pPr>
            <w:r>
              <w:rPr>
                <w:sz w:val="21"/>
                <w:szCs w:val="21"/>
                <w:spacing w:val="-2"/>
              </w:rPr>
              <w:t>依托现有工程</w:t>
            </w:r>
          </w:p>
        </w:tc>
      </w:tr>
      <w:tr>
        <w:trPr>
          <w:trHeight w:val="534" w:hRule="atLeast"/>
        </w:trPr>
        <w:tc>
          <w:tcPr>
            <w:tcW w:w="1134" w:type="dxa"/>
            <w:vAlign w:val="top"/>
            <w:vMerge w:val="continue"/>
            <w:tcBorders>
              <w:top w:val="nil"/>
            </w:tcBorders>
          </w:tcPr>
          <w:p>
            <w:pPr>
              <w:rPr>
                <w:rFonts w:ascii="Arial"/>
                <w:sz w:val="21"/>
              </w:rPr>
            </w:pPr>
            <w:r/>
          </w:p>
        </w:tc>
        <w:tc>
          <w:tcPr>
            <w:tcW w:w="1899" w:type="dxa"/>
            <w:vAlign w:val="top"/>
          </w:tcPr>
          <w:p>
            <w:pPr>
              <w:pStyle w:val="TableText"/>
              <w:ind w:left="520"/>
              <w:spacing w:before="169" w:line="220" w:lineRule="auto"/>
              <w:rPr>
                <w:sz w:val="21"/>
                <w:szCs w:val="21"/>
              </w:rPr>
            </w:pPr>
            <w:r>
              <w:rPr>
                <w:sz w:val="21"/>
                <w:szCs w:val="21"/>
                <w:spacing w:val="-2"/>
              </w:rPr>
              <w:t>环境风险</w:t>
            </w:r>
          </w:p>
        </w:tc>
        <w:tc>
          <w:tcPr>
            <w:tcW w:w="8214" w:type="dxa"/>
            <w:vAlign w:val="top"/>
          </w:tcPr>
          <w:p>
            <w:pPr>
              <w:pStyle w:val="TableText"/>
              <w:ind w:left="131" w:right="809" w:firstLine="9"/>
              <w:spacing w:before="25" w:line="219" w:lineRule="auto"/>
              <w:rPr>
                <w:sz w:val="21"/>
                <w:szCs w:val="21"/>
              </w:rPr>
            </w:pPr>
            <w:r>
              <w:rPr>
                <w:sz w:val="21"/>
                <w:szCs w:val="21"/>
              </w:rPr>
              <w:t>NMP</w:t>
            </w:r>
            <w:r>
              <w:rPr>
                <w:sz w:val="21"/>
                <w:szCs w:val="21"/>
                <w:spacing w:val="6"/>
              </w:rPr>
              <w:t>罐区C设置围堰(有效容积349m³),工业</w:t>
            </w:r>
            <w:r>
              <w:rPr>
                <w:sz w:val="21"/>
                <w:szCs w:val="21"/>
                <w:spacing w:val="5"/>
              </w:rPr>
              <w:t>污水处理站新增50m³的事故池(全厂</w:t>
            </w:r>
            <w:r>
              <w:rPr>
                <w:sz w:val="21"/>
                <w:szCs w:val="21"/>
              </w:rPr>
              <w:t xml:space="preserve"> </w:t>
            </w:r>
            <w:r>
              <w:rPr>
                <w:sz w:val="21"/>
                <w:szCs w:val="21"/>
                <w:spacing w:val="7"/>
              </w:rPr>
              <w:t>事故池总容积为300m³)。</w:t>
            </w:r>
          </w:p>
        </w:tc>
        <w:tc>
          <w:tcPr>
            <w:tcW w:w="2893" w:type="dxa"/>
            <w:vAlign w:val="top"/>
          </w:tcPr>
          <w:p>
            <w:pPr>
              <w:pStyle w:val="TableText"/>
              <w:ind w:left="1126" w:right="118" w:hanging="999"/>
              <w:spacing w:before="48" w:line="209" w:lineRule="auto"/>
              <w:rPr>
                <w:sz w:val="21"/>
                <w:szCs w:val="21"/>
              </w:rPr>
            </w:pPr>
            <w:r>
              <w:rPr>
                <w:sz w:val="21"/>
                <w:szCs w:val="21"/>
                <w:spacing w:val="8"/>
              </w:rPr>
              <w:t>工业污水处理站新增50m³的</w:t>
            </w:r>
            <w:r>
              <w:rPr>
                <w:sz w:val="21"/>
                <w:szCs w:val="21"/>
                <w:spacing w:val="3"/>
              </w:rPr>
              <w:t xml:space="preserve"> </w:t>
            </w:r>
            <w:r>
              <w:rPr>
                <w:sz w:val="21"/>
                <w:szCs w:val="21"/>
                <w:spacing w:val="-2"/>
              </w:rPr>
              <w:t>事故池</w:t>
            </w:r>
          </w:p>
        </w:tc>
      </w:tr>
    </w:tbl>
    <w:p>
      <w:pPr>
        <w:rPr>
          <w:rFonts w:ascii="Arial"/>
          <w:sz w:val="21"/>
        </w:rPr>
      </w:pPr>
      <w:r/>
    </w:p>
    <w:p>
      <w:pPr>
        <w:sectPr>
          <w:footerReference w:type="default" r:id="rId13"/>
          <w:pgSz w:w="16840" w:h="11900"/>
          <w:pgMar w:top="1011" w:right="1364" w:bottom="1215" w:left="1325" w:header="0" w:footer="1066" w:gutter="0"/>
        </w:sectPr>
        <w:rPr>
          <w:rFonts w:ascii="Arial" w:hAnsi="Arial" w:eastAsia="Arial" w:cs="Arial"/>
          <w:sz w:val="21"/>
          <w:szCs w:val="21"/>
        </w:rPr>
      </w:pPr>
    </w:p>
    <w:p>
      <w:pPr>
        <w:spacing w:line="37" w:lineRule="auto"/>
        <w:rPr>
          <w:rFonts w:ascii="Arial"/>
          <w:sz w:val="2"/>
        </w:rPr>
      </w:pPr>
      <w:r>
        <w:rPr>
          <w:rFonts w:ascii="Arial"/>
          <w:sz w:val="2"/>
        </w:rPr>
      </w:r>
    </w:p>
    <w:tbl>
      <w:tblPr>
        <w:tblStyle w:val="TableNormal"/>
        <w:tblW w:w="9791"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24"/>
        <w:gridCol w:w="9367"/>
      </w:tblGrid>
      <w:tr>
        <w:trPr>
          <w:trHeight w:val="13779" w:hRule="atLeast"/>
        </w:trPr>
        <w:tc>
          <w:tcPr>
            <w:tcW w:w="424" w:type="dxa"/>
            <w:vAlign w:val="top"/>
            <w:textDirection w:val="tbRlV"/>
          </w:tcPr>
          <w:p>
            <w:pPr>
              <w:pStyle w:val="TableText"/>
              <w:ind w:left="6375"/>
              <w:spacing w:before="109" w:line="216" w:lineRule="auto"/>
              <w:rPr>
                <w:sz w:val="19"/>
                <w:szCs w:val="19"/>
              </w:rPr>
            </w:pPr>
            <w:r>
              <w:rPr>
                <w:sz w:val="19"/>
                <w:szCs w:val="19"/>
              </w:rPr>
              <w:t>建</w:t>
            </w:r>
            <w:r>
              <w:rPr>
                <w:sz w:val="19"/>
                <w:szCs w:val="19"/>
                <w:spacing w:val="-11"/>
              </w:rPr>
              <w:t xml:space="preserve"> </w:t>
            </w:r>
            <w:r>
              <w:rPr>
                <w:sz w:val="19"/>
                <w:szCs w:val="19"/>
              </w:rPr>
              <w:t>设</w:t>
            </w:r>
            <w:r>
              <w:rPr>
                <w:sz w:val="19"/>
                <w:szCs w:val="19"/>
                <w:spacing w:val="-11"/>
              </w:rPr>
              <w:t xml:space="preserve"> </w:t>
            </w:r>
            <w:r>
              <w:rPr>
                <w:sz w:val="19"/>
                <w:szCs w:val="19"/>
              </w:rPr>
              <w:t>内</w:t>
            </w:r>
            <w:r>
              <w:rPr>
                <w:sz w:val="19"/>
                <w:szCs w:val="19"/>
                <w:spacing w:val="-10"/>
              </w:rPr>
              <w:t xml:space="preserve"> </w:t>
            </w:r>
            <w:r>
              <w:rPr>
                <w:sz w:val="19"/>
                <w:szCs w:val="19"/>
              </w:rPr>
              <w:t>容</w:t>
            </w:r>
          </w:p>
        </w:tc>
        <w:tc>
          <w:tcPr>
            <w:tcW w:w="9367" w:type="dxa"/>
            <w:vAlign w:val="top"/>
          </w:tcPr>
          <w:p>
            <w:pPr>
              <w:pStyle w:val="TableText"/>
              <w:ind w:left="144"/>
              <w:spacing w:before="90" w:line="219" w:lineRule="auto"/>
              <w:rPr>
                <w:sz w:val="24"/>
                <w:szCs w:val="24"/>
              </w:rPr>
            </w:pPr>
            <w:r>
              <w:rPr>
                <w:sz w:val="24"/>
                <w:szCs w:val="24"/>
                <w:b/>
                <w:bCs/>
                <w:spacing w:val="-4"/>
              </w:rPr>
              <w:t>2.3总平面布置合理性分析</w:t>
            </w:r>
          </w:p>
          <w:p>
            <w:pPr>
              <w:pStyle w:val="TableText"/>
              <w:ind w:left="620"/>
              <w:spacing w:before="229" w:line="470" w:lineRule="exact"/>
              <w:rPr>
                <w:sz w:val="24"/>
                <w:szCs w:val="24"/>
              </w:rPr>
            </w:pPr>
            <w:r>
              <w:rPr>
                <w:sz w:val="24"/>
                <w:szCs w:val="24"/>
                <w:position w:val="17"/>
              </w:rPr>
              <w:t>项目用地位于现有工程厂区的西北侧，与现有厂区相隔南一路。现有工程东邻长富</w:t>
            </w:r>
          </w:p>
          <w:p>
            <w:pPr>
              <w:pStyle w:val="TableText"/>
              <w:ind w:left="131"/>
              <w:spacing w:line="219" w:lineRule="auto"/>
              <w:rPr>
                <w:sz w:val="24"/>
                <w:szCs w:val="24"/>
              </w:rPr>
            </w:pPr>
            <w:r>
              <w:rPr>
                <w:sz w:val="24"/>
                <w:szCs w:val="24"/>
              </w:rPr>
              <w:t>路，南侧南三路，东侧和南侧与城市道路之间为明</w:t>
            </w:r>
            <w:r>
              <w:rPr>
                <w:sz w:val="24"/>
                <w:szCs w:val="24"/>
                <w:spacing w:val="-1"/>
              </w:rPr>
              <w:t>渠。</w:t>
            </w:r>
          </w:p>
          <w:p>
            <w:pPr>
              <w:pStyle w:val="TableText"/>
              <w:ind w:left="141" w:right="96" w:firstLine="479"/>
              <w:spacing w:before="184" w:line="354" w:lineRule="auto"/>
              <w:rPr>
                <w:sz w:val="24"/>
                <w:szCs w:val="24"/>
              </w:rPr>
            </w:pPr>
            <w:r>
              <w:rPr>
                <w:sz w:val="24"/>
                <w:szCs w:val="24"/>
              </w:rPr>
              <w:t>项目新增用地自北向南布置有凹版设施房，凹版车间，凹版车间北侧贴建设施</w:t>
            </w:r>
            <w:r>
              <w:rPr>
                <w:sz w:val="24"/>
                <w:szCs w:val="24"/>
                <w:spacing w:val="-1"/>
              </w:rPr>
              <w:t>房，</w:t>
            </w:r>
            <w:r>
              <w:rPr>
                <w:sz w:val="24"/>
                <w:szCs w:val="24"/>
              </w:rPr>
              <w:t xml:space="preserve"> </w:t>
            </w:r>
            <w:r>
              <w:rPr>
                <w:sz w:val="24"/>
                <w:szCs w:val="24"/>
              </w:rPr>
              <w:t>满足凹版车间需求；东南侧靠近南一路设门卫五，凹版车间东</w:t>
            </w:r>
            <w:r>
              <w:rPr>
                <w:sz w:val="24"/>
                <w:szCs w:val="24"/>
                <w:spacing w:val="-1"/>
              </w:rPr>
              <w:t>南角通过风雨连廊连接现</w:t>
            </w:r>
          </w:p>
          <w:p>
            <w:pPr>
              <w:pStyle w:val="TableText"/>
              <w:ind w:left="141"/>
              <w:spacing w:line="219" w:lineRule="auto"/>
              <w:rPr>
                <w:sz w:val="24"/>
                <w:szCs w:val="24"/>
              </w:rPr>
            </w:pPr>
            <w:r>
              <w:rPr>
                <w:sz w:val="24"/>
                <w:szCs w:val="24"/>
              </w:rPr>
              <w:t>有工程生产区、生活区。NMP罐区C和泵房二位于凹版车间南侧。</w:t>
            </w:r>
          </w:p>
          <w:p>
            <w:pPr>
              <w:pStyle w:val="TableText"/>
              <w:spacing w:before="184" w:line="470" w:lineRule="exact"/>
              <w:jc w:val="right"/>
              <w:rPr>
                <w:sz w:val="24"/>
                <w:szCs w:val="24"/>
              </w:rPr>
            </w:pPr>
            <w:r>
              <w:rPr>
                <w:sz w:val="24"/>
                <w:szCs w:val="24"/>
                <w:position w:val="17"/>
              </w:rPr>
              <w:t>现有工程分为3个区域：从东至西为办公区、生产</w:t>
            </w:r>
            <w:r>
              <w:rPr>
                <w:sz w:val="24"/>
                <w:szCs w:val="24"/>
                <w:spacing w:val="-1"/>
                <w:position w:val="17"/>
              </w:rPr>
              <w:t>区、生活区。生产区布置在工厂南</w:t>
            </w:r>
          </w:p>
          <w:p>
            <w:pPr>
              <w:pStyle w:val="TableText"/>
              <w:ind w:left="141"/>
              <w:spacing w:before="1" w:line="218" w:lineRule="auto"/>
              <w:rPr>
                <w:sz w:val="24"/>
                <w:szCs w:val="24"/>
              </w:rPr>
            </w:pPr>
            <w:r>
              <w:rPr>
                <w:sz w:val="24"/>
                <w:szCs w:val="24"/>
              </w:rPr>
              <w:t>部，自南向北，自东向西布置有厂房一(电芯生产)、模组厂房-A区、厂房二(电芯生</w:t>
            </w:r>
          </w:p>
          <w:p>
            <w:pPr>
              <w:pStyle w:val="TableText"/>
              <w:ind w:left="131"/>
              <w:spacing w:before="186" w:line="440" w:lineRule="exact"/>
              <w:rPr>
                <w:sz w:val="24"/>
                <w:szCs w:val="24"/>
              </w:rPr>
            </w:pPr>
            <w:r>
              <w:rPr>
                <w:sz w:val="24"/>
                <w:szCs w:val="24"/>
                <w:position w:val="15"/>
              </w:rPr>
              <w:t>产)、厂房三和模组厂房-B区，其中模组厂房</w:t>
            </w:r>
            <w:r>
              <w:rPr>
                <w:sz w:val="24"/>
                <w:szCs w:val="24"/>
                <w:spacing w:val="-1"/>
                <w:position w:val="15"/>
              </w:rPr>
              <w:t>B区与A区贴建；在生产厂房一、二中间建</w:t>
            </w:r>
          </w:p>
          <w:p>
            <w:pPr>
              <w:pStyle w:val="TableText"/>
              <w:ind w:left="161"/>
              <w:spacing w:before="1" w:line="219" w:lineRule="auto"/>
              <w:rPr>
                <w:sz w:val="24"/>
                <w:szCs w:val="24"/>
              </w:rPr>
            </w:pPr>
            <w:r>
              <w:rPr>
                <w:sz w:val="24"/>
                <w:szCs w:val="24"/>
                <w:spacing w:val="4"/>
              </w:rPr>
              <w:t>设有成品仓库、原料仓库、电解液仓库、废弃物仓库、仓库；</w:t>
            </w:r>
          </w:p>
          <w:p>
            <w:pPr>
              <w:pStyle w:val="TableText"/>
              <w:spacing w:before="194" w:line="511" w:lineRule="exact"/>
              <w:jc w:val="right"/>
              <w:rPr>
                <w:sz w:val="24"/>
                <w:szCs w:val="24"/>
              </w:rPr>
            </w:pPr>
            <w:r>
              <w:rPr>
                <w:sz w:val="24"/>
                <w:szCs w:val="24"/>
                <w:spacing w:val="-4"/>
                <w:position w:val="20"/>
              </w:rPr>
              <w:t>生活区布置在厂区西侧，食堂靠近车间布置，办公区布置在厂区东侧，面向长富路，</w:t>
            </w:r>
          </w:p>
          <w:p>
            <w:pPr>
              <w:pStyle w:val="TableText"/>
              <w:ind w:left="151"/>
              <w:spacing w:line="219" w:lineRule="auto"/>
              <w:rPr>
                <w:sz w:val="24"/>
                <w:szCs w:val="24"/>
              </w:rPr>
            </w:pPr>
            <w:r>
              <w:rPr>
                <w:sz w:val="24"/>
                <w:szCs w:val="24"/>
                <w:spacing w:val="-3"/>
              </w:rPr>
              <w:t>包括办公楼及办公楼前广场和停车场。</w:t>
            </w:r>
          </w:p>
          <w:p>
            <w:pPr>
              <w:pStyle w:val="TableText"/>
              <w:ind w:left="141" w:firstLine="454"/>
              <w:spacing w:before="145" w:line="365" w:lineRule="auto"/>
              <w:rPr>
                <w:sz w:val="24"/>
                <w:szCs w:val="24"/>
              </w:rPr>
            </w:pPr>
            <w:r>
              <w:rPr>
                <w:sz w:val="24"/>
                <w:szCs w:val="24"/>
                <w:spacing w:val="-6"/>
              </w:rPr>
              <w:t>厂区设置5个出入口，其中东侧1号门为主要人员出入口，东侧2号门为物</w:t>
            </w:r>
            <w:r>
              <w:rPr>
                <w:sz w:val="24"/>
                <w:szCs w:val="24"/>
                <w:spacing w:val="-7"/>
              </w:rPr>
              <w:t>流车辆入口，</w:t>
            </w:r>
            <w:r>
              <w:rPr>
                <w:sz w:val="24"/>
                <w:szCs w:val="24"/>
              </w:rPr>
              <w:t xml:space="preserve"> </w:t>
            </w:r>
            <w:r>
              <w:rPr>
                <w:sz w:val="24"/>
                <w:szCs w:val="24"/>
                <w:spacing w:val="-3"/>
              </w:rPr>
              <w:t>北侧3号门为物流车辆出口，南侧4号门为生活区人员出入口，5号门为凹版车间厂区出入</w:t>
            </w:r>
          </w:p>
          <w:p>
            <w:pPr>
              <w:pStyle w:val="TableText"/>
              <w:ind w:left="170"/>
              <w:spacing w:before="1" w:line="218" w:lineRule="auto"/>
              <w:rPr>
                <w:sz w:val="24"/>
                <w:szCs w:val="24"/>
              </w:rPr>
            </w:pPr>
            <w:r>
              <w:rPr>
                <w:sz w:val="24"/>
                <w:szCs w:val="24"/>
                <w:spacing w:val="-3"/>
              </w:rPr>
              <w:t>口。厂区道路环形布置。</w:t>
            </w:r>
          </w:p>
          <w:p>
            <w:pPr>
              <w:pStyle w:val="TableText"/>
              <w:ind w:left="141" w:right="70" w:firstLine="479"/>
              <w:spacing w:before="187" w:line="358" w:lineRule="auto"/>
              <w:rPr>
                <w:sz w:val="24"/>
                <w:szCs w:val="24"/>
              </w:rPr>
            </w:pPr>
            <w:r>
              <w:rPr>
                <w:sz w:val="24"/>
                <w:szCs w:val="24"/>
              </w:rPr>
              <w:t>企业总平面按功能实行分区集中布置，做到工艺流程合理、相互衔接、布置有</w:t>
            </w:r>
            <w:r>
              <w:rPr>
                <w:sz w:val="24"/>
                <w:szCs w:val="24"/>
                <w:spacing w:val="-1"/>
              </w:rPr>
              <w:t>序，</w:t>
            </w:r>
            <w:r>
              <w:rPr>
                <w:sz w:val="24"/>
                <w:szCs w:val="24"/>
              </w:rPr>
              <w:t xml:space="preserve"> </w:t>
            </w:r>
            <w:r>
              <w:rPr>
                <w:sz w:val="24"/>
                <w:szCs w:val="24"/>
              </w:rPr>
              <w:t>有利于提高生产水平和生产效率，确保项目建成后能达到国家有关环境保护、劳动安全</w:t>
            </w:r>
            <w:r>
              <w:rPr>
                <w:sz w:val="24"/>
                <w:szCs w:val="24"/>
                <w:spacing w:val="10"/>
              </w:rPr>
              <w:t xml:space="preserve"> </w:t>
            </w:r>
            <w:r>
              <w:rPr>
                <w:sz w:val="24"/>
                <w:szCs w:val="24"/>
              </w:rPr>
              <w:t>和消防的要求。项目所在区域主导风向为东南风，生产工艺废气排气筒、污水处理站布</w:t>
            </w:r>
            <w:r>
              <w:rPr>
                <w:sz w:val="24"/>
                <w:szCs w:val="24"/>
                <w:spacing w:val="10"/>
              </w:rPr>
              <w:t xml:space="preserve"> </w:t>
            </w:r>
            <w:r>
              <w:rPr>
                <w:sz w:val="24"/>
                <w:szCs w:val="24"/>
                <w:spacing w:val="1"/>
              </w:rPr>
              <w:t>设在厂区中部，远离厂界，员工生活区、周边敏感点石</w:t>
            </w:r>
            <w:r>
              <w:rPr>
                <w:sz w:val="24"/>
                <w:szCs w:val="24"/>
              </w:rPr>
              <w:t>雷洋村、大沙村均不在主导风向</w:t>
            </w:r>
          </w:p>
          <w:p>
            <w:pPr>
              <w:pStyle w:val="TableText"/>
              <w:ind w:left="121"/>
              <w:spacing w:before="1" w:line="220" w:lineRule="auto"/>
              <w:rPr>
                <w:sz w:val="24"/>
                <w:szCs w:val="24"/>
              </w:rPr>
            </w:pPr>
            <w:r>
              <w:rPr>
                <w:sz w:val="24"/>
                <w:szCs w:val="24"/>
                <w:spacing w:val="-1"/>
              </w:rPr>
              <w:t>的下方向。</w:t>
            </w:r>
          </w:p>
          <w:p>
            <w:pPr>
              <w:pStyle w:val="TableText"/>
              <w:ind w:left="131" w:firstLine="484"/>
              <w:spacing w:before="180" w:line="364" w:lineRule="auto"/>
              <w:rPr>
                <w:sz w:val="24"/>
                <w:szCs w:val="24"/>
              </w:rPr>
            </w:pPr>
            <w:r>
              <w:rPr>
                <w:sz w:val="24"/>
                <w:szCs w:val="24"/>
                <w:spacing w:val="-3"/>
              </w:rPr>
              <w:t>生产厂区与生活区根据竖向高差布置在两个台地。道路两侧设雨水井收集</w:t>
            </w:r>
            <w:r>
              <w:rPr>
                <w:sz w:val="24"/>
                <w:szCs w:val="24"/>
                <w:spacing w:val="-4"/>
              </w:rPr>
              <w:t>雨水，生  </w:t>
            </w:r>
            <w:r>
              <w:rPr>
                <w:sz w:val="24"/>
                <w:szCs w:val="24"/>
                <w:spacing w:val="-3"/>
              </w:rPr>
              <w:t>产废水和生活污水经分别处理后通过厂区外市政管道接入霞浦县污水处理厂。厂区功能  </w:t>
            </w:r>
            <w:r>
              <w:rPr>
                <w:sz w:val="24"/>
                <w:szCs w:val="24"/>
                <w:spacing w:val="-3"/>
              </w:rPr>
              <w:t>分区明确，与厂外道路、周边环境能互相协调</w:t>
            </w:r>
            <w:r>
              <w:rPr>
                <w:sz w:val="24"/>
                <w:szCs w:val="24"/>
                <w:spacing w:val="-4"/>
              </w:rPr>
              <w:t>，结合区域气象条件上，从环保角度分析，</w:t>
            </w:r>
          </w:p>
          <w:p>
            <w:pPr>
              <w:pStyle w:val="TableText"/>
              <w:ind w:left="150"/>
              <w:spacing w:before="1" w:line="218" w:lineRule="auto"/>
              <w:rPr>
                <w:sz w:val="24"/>
                <w:szCs w:val="24"/>
              </w:rPr>
            </w:pPr>
            <w:r>
              <w:rPr>
                <w:sz w:val="24"/>
                <w:szCs w:val="24"/>
                <w:spacing w:val="-3"/>
              </w:rPr>
              <w:t>厂区各功能划分和总图布置基本合理。</w:t>
            </w:r>
          </w:p>
          <w:p>
            <w:pPr>
              <w:pStyle w:val="TableText"/>
              <w:ind w:left="134"/>
              <w:spacing w:before="173" w:line="561" w:lineRule="exact"/>
              <w:rPr>
                <w:sz w:val="24"/>
                <w:szCs w:val="24"/>
              </w:rPr>
            </w:pPr>
            <w:r>
              <w:rPr>
                <w:sz w:val="24"/>
                <w:szCs w:val="24"/>
                <w:b/>
                <w:bCs/>
                <w:spacing w:val="35"/>
                <w:position w:val="24"/>
              </w:rPr>
              <w:t>2</w:t>
            </w:r>
            <w:r>
              <w:rPr>
                <w:sz w:val="24"/>
                <w:szCs w:val="24"/>
                <w:spacing w:val="-53"/>
                <w:position w:val="24"/>
              </w:rPr>
              <w:t xml:space="preserve"> </w:t>
            </w:r>
            <w:r>
              <w:rPr>
                <w:sz w:val="24"/>
                <w:szCs w:val="24"/>
                <w:b/>
                <w:bCs/>
                <w:spacing w:val="35"/>
                <w:position w:val="24"/>
              </w:rPr>
              <w:t>.</w:t>
            </w:r>
            <w:r>
              <w:rPr>
                <w:sz w:val="24"/>
                <w:szCs w:val="24"/>
                <w:spacing w:val="-66"/>
                <w:position w:val="24"/>
              </w:rPr>
              <w:t xml:space="preserve"> </w:t>
            </w:r>
            <w:r>
              <w:rPr>
                <w:sz w:val="24"/>
                <w:szCs w:val="24"/>
                <w:b/>
                <w:bCs/>
                <w:spacing w:val="35"/>
                <w:position w:val="24"/>
              </w:rPr>
              <w:t>4主要原辅材料和生产设备(涉密，不予公开)</w:t>
            </w:r>
          </w:p>
          <w:p>
            <w:pPr>
              <w:pStyle w:val="TableText"/>
              <w:ind w:left="134"/>
              <w:spacing w:line="220" w:lineRule="auto"/>
              <w:rPr>
                <w:sz w:val="24"/>
                <w:szCs w:val="24"/>
              </w:rPr>
            </w:pPr>
            <w:r>
              <w:rPr>
                <w:sz w:val="24"/>
                <w:szCs w:val="24"/>
                <w:b/>
                <w:bCs/>
                <w:spacing w:val="33"/>
              </w:rPr>
              <w:t>2</w:t>
            </w:r>
            <w:r>
              <w:rPr>
                <w:sz w:val="24"/>
                <w:szCs w:val="24"/>
                <w:spacing w:val="-46"/>
              </w:rPr>
              <w:t xml:space="preserve"> </w:t>
            </w:r>
            <w:r>
              <w:rPr>
                <w:sz w:val="24"/>
                <w:szCs w:val="24"/>
                <w:b/>
                <w:bCs/>
                <w:spacing w:val="33"/>
              </w:rPr>
              <w:t>.</w:t>
            </w:r>
            <w:r>
              <w:rPr>
                <w:sz w:val="24"/>
                <w:szCs w:val="24"/>
                <w:spacing w:val="-58"/>
              </w:rPr>
              <w:t xml:space="preserve"> </w:t>
            </w:r>
            <w:r>
              <w:rPr>
                <w:sz w:val="24"/>
                <w:szCs w:val="24"/>
                <w:b/>
                <w:bCs/>
                <w:spacing w:val="33"/>
              </w:rPr>
              <w:t>5物料平衡(涉密，不予公开)</w:t>
            </w:r>
          </w:p>
          <w:p>
            <w:pPr>
              <w:pStyle w:val="TableText"/>
              <w:ind w:left="124"/>
              <w:spacing w:before="234" w:line="219" w:lineRule="auto"/>
              <w:rPr>
                <w:sz w:val="24"/>
                <w:szCs w:val="24"/>
              </w:rPr>
            </w:pPr>
            <w:r>
              <w:rPr>
                <w:sz w:val="24"/>
                <w:szCs w:val="24"/>
                <w:b/>
                <w:bCs/>
                <w:spacing w:val="-5"/>
              </w:rPr>
              <w:t>2.6给排水平衡</w:t>
            </w:r>
          </w:p>
          <w:p>
            <w:pPr>
              <w:pStyle w:val="TableText"/>
              <w:ind w:left="610"/>
              <w:spacing w:before="187" w:line="219" w:lineRule="auto"/>
              <w:rPr>
                <w:sz w:val="24"/>
                <w:szCs w:val="24"/>
              </w:rPr>
            </w:pPr>
            <w:r>
              <w:rPr>
                <w:sz w:val="24"/>
                <w:szCs w:val="24"/>
              </w:rPr>
              <w:t>本项目水平衡核算数据由建设单位核实提供，来源于类比现有工程的给排水情况。</w:t>
            </w:r>
          </w:p>
          <w:p>
            <w:pPr>
              <w:pStyle w:val="TableText"/>
              <w:ind w:left="134"/>
              <w:spacing w:before="192" w:line="219" w:lineRule="auto"/>
              <w:rPr>
                <w:sz w:val="24"/>
                <w:szCs w:val="24"/>
              </w:rPr>
            </w:pPr>
            <w:r>
              <w:rPr>
                <w:sz w:val="24"/>
                <w:szCs w:val="24"/>
                <w:b/>
                <w:bCs/>
                <w:spacing w:val="-4"/>
              </w:rPr>
              <w:t>2.6.1本项目给排水平衡</w:t>
            </w:r>
          </w:p>
        </w:tc>
      </w:tr>
    </w:tbl>
    <w:p>
      <w:pPr>
        <w:rPr>
          <w:rFonts w:ascii="Arial"/>
          <w:sz w:val="21"/>
        </w:rPr>
      </w:pPr>
      <w:r/>
    </w:p>
    <w:p>
      <w:pPr>
        <w:sectPr>
          <w:footerReference w:type="default" r:id="rId14"/>
          <w:pgSz w:w="11900" w:h="16840"/>
          <w:pgMar w:top="1431" w:right="973" w:bottom="988" w:left="1125" w:header="0" w:footer="849" w:gutter="0"/>
        </w:sectPr>
        <w:rPr>
          <w:rFonts w:ascii="Arial" w:hAnsi="Arial" w:eastAsia="Arial" w:cs="Arial"/>
          <w:sz w:val="21"/>
          <w:szCs w:val="21"/>
        </w:rPr>
      </w:pPr>
    </w:p>
    <w:tbl>
      <w:tblPr>
        <w:tblStyle w:val="TableNormal"/>
        <w:tblW w:w="97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15"/>
        <w:gridCol w:w="9355"/>
      </w:tblGrid>
      <w:tr>
        <w:trPr>
          <w:trHeight w:val="13539" w:hRule="atLeast"/>
        </w:trPr>
        <w:tc>
          <w:tcPr>
            <w:tcW w:w="415" w:type="dxa"/>
            <w:vAlign w:val="top"/>
          </w:tcPr>
          <w:p>
            <w:pPr>
              <w:rPr>
                <w:rFonts w:ascii="Arial"/>
                <w:sz w:val="21"/>
              </w:rPr>
            </w:pPr>
            <w:r/>
          </w:p>
        </w:tc>
        <w:tc>
          <w:tcPr>
            <w:tcW w:w="9355" w:type="dxa"/>
            <w:vAlign w:val="top"/>
          </w:tcPr>
          <w:p>
            <w:pPr>
              <w:pStyle w:val="TableText"/>
              <w:ind w:left="139" w:firstLine="478"/>
              <w:spacing w:before="54" w:line="359" w:lineRule="auto"/>
              <w:jc w:val="both"/>
              <w:rPr>
                <w:sz w:val="24"/>
                <w:szCs w:val="24"/>
              </w:rPr>
            </w:pPr>
            <w:r>
              <w:rPr>
                <w:sz w:val="24"/>
                <w:szCs w:val="24"/>
              </w:rPr>
              <w:t>项目用水包括生产用水和生活用水，均取自市政给</w:t>
            </w:r>
            <w:r>
              <w:rPr>
                <w:sz w:val="24"/>
                <w:szCs w:val="24"/>
                <w:spacing w:val="-1"/>
              </w:rPr>
              <w:t>水管。生产用水包括空调冷却用 </w:t>
            </w:r>
            <w:r>
              <w:rPr>
                <w:sz w:val="24"/>
                <w:szCs w:val="24"/>
                <w:spacing w:val="2"/>
              </w:rPr>
              <w:t>水、纯水制备用水、生产车间用水、锅炉用水等。其中生产车间用水为生产料罐清洗、</w:t>
            </w:r>
            <w:r>
              <w:rPr>
                <w:sz w:val="24"/>
                <w:szCs w:val="24"/>
                <w:spacing w:val="8"/>
              </w:rPr>
              <w:t xml:space="preserve"> </w:t>
            </w:r>
            <w:r>
              <w:rPr>
                <w:sz w:val="24"/>
                <w:szCs w:val="24"/>
              </w:rPr>
              <w:t>设备、管道清洗及车间地面拖洗等用水，分为阴极生产用水、</w:t>
            </w:r>
            <w:r>
              <w:rPr>
                <w:sz w:val="24"/>
                <w:szCs w:val="24"/>
                <w:spacing w:val="-1"/>
              </w:rPr>
              <w:t>阳极生产用水及凹版生产</w:t>
            </w:r>
          </w:p>
          <w:p>
            <w:pPr>
              <w:pStyle w:val="TableText"/>
              <w:ind w:left="130"/>
              <w:spacing w:line="219" w:lineRule="auto"/>
              <w:rPr>
                <w:sz w:val="24"/>
                <w:szCs w:val="24"/>
              </w:rPr>
            </w:pPr>
            <w:r>
              <w:rPr>
                <w:sz w:val="24"/>
                <w:szCs w:val="24"/>
                <w:spacing w:val="-1"/>
              </w:rPr>
              <w:t>用水。</w:t>
            </w:r>
          </w:p>
          <w:p>
            <w:pPr>
              <w:pStyle w:val="TableText"/>
              <w:ind w:left="750"/>
              <w:spacing w:before="195" w:line="219" w:lineRule="auto"/>
              <w:rPr>
                <w:sz w:val="24"/>
                <w:szCs w:val="24"/>
              </w:rPr>
            </w:pPr>
            <w:r>
              <w:rPr>
                <w:sz w:val="24"/>
                <w:szCs w:val="24"/>
                <w:spacing w:val="1"/>
              </w:rPr>
              <w:t>(1)生产用排水</w:t>
            </w:r>
          </w:p>
          <w:p>
            <w:pPr>
              <w:pStyle w:val="TableText"/>
              <w:ind w:left="639"/>
              <w:spacing w:before="195" w:line="219" w:lineRule="auto"/>
              <w:rPr>
                <w:sz w:val="24"/>
                <w:szCs w:val="24"/>
              </w:rPr>
            </w:pPr>
            <w:r>
              <w:rPr>
                <w:sz w:val="24"/>
                <w:szCs w:val="24"/>
                <w:spacing w:val="1"/>
              </w:rPr>
              <w:t>1)纯水制备用、排水</w:t>
            </w:r>
          </w:p>
          <w:p>
            <w:pPr>
              <w:pStyle w:val="TableText"/>
              <w:ind w:left="609"/>
              <w:spacing w:before="154" w:line="467" w:lineRule="exact"/>
              <w:rPr>
                <w:sz w:val="24"/>
                <w:szCs w:val="24"/>
              </w:rPr>
            </w:pPr>
            <w:r>
              <w:rPr>
                <w:sz w:val="24"/>
                <w:szCs w:val="24"/>
                <w:position w:val="17"/>
              </w:rPr>
              <w:t>项目纯水主要用于阳极制浆，阴、阳极凹版制浆。根据建设单位提供资料，项目纯</w:t>
            </w:r>
          </w:p>
          <w:p>
            <w:pPr>
              <w:pStyle w:val="TableText"/>
              <w:ind w:left="140"/>
              <w:spacing w:line="216" w:lineRule="auto"/>
              <w:rPr>
                <w:sz w:val="24"/>
                <w:szCs w:val="24"/>
              </w:rPr>
            </w:pPr>
            <w:r>
              <w:rPr>
                <w:sz w:val="24"/>
                <w:szCs w:val="24"/>
              </w:rPr>
              <w:t>水机(5t/h,1套)采用反渗透+离子交换法制水工艺，纯化水制备效率约为60%。根据</w:t>
            </w:r>
          </w:p>
          <w:p>
            <w:pPr>
              <w:pStyle w:val="TableText"/>
              <w:ind w:left="130"/>
              <w:spacing w:before="188" w:line="460" w:lineRule="exact"/>
              <w:rPr>
                <w:sz w:val="24"/>
                <w:szCs w:val="24"/>
              </w:rPr>
            </w:pPr>
            <w:r>
              <w:rPr>
                <w:sz w:val="24"/>
                <w:szCs w:val="24"/>
                <w:position w:val="16"/>
              </w:rPr>
              <w:t>建设单位估算，项目日用纯水量约88t/d,则自来水耗量约147t/d(268800t/a),纯水机</w:t>
            </w:r>
          </w:p>
          <w:p>
            <w:pPr>
              <w:pStyle w:val="TableText"/>
              <w:ind w:left="140"/>
              <w:spacing w:before="1" w:line="216" w:lineRule="auto"/>
              <w:rPr>
                <w:sz w:val="24"/>
                <w:szCs w:val="24"/>
              </w:rPr>
            </w:pPr>
            <w:r>
              <w:rPr>
                <w:sz w:val="24"/>
                <w:szCs w:val="24"/>
              </w:rPr>
              <w:t>排放的废水量约59t/d(17700t/a),这部分废水经排污口直接进入市政污水管网。</w:t>
            </w:r>
          </w:p>
          <w:p>
            <w:pPr>
              <w:pStyle w:val="TableText"/>
              <w:ind w:left="609"/>
              <w:spacing w:before="213" w:line="219" w:lineRule="auto"/>
              <w:rPr>
                <w:sz w:val="24"/>
                <w:szCs w:val="24"/>
              </w:rPr>
            </w:pPr>
            <w:r>
              <w:rPr>
                <w:sz w:val="24"/>
                <w:szCs w:val="24"/>
                <w:spacing w:val="1"/>
              </w:rPr>
              <w:t>2)阴极生产用排水</w:t>
            </w:r>
          </w:p>
          <w:p>
            <w:pPr>
              <w:pStyle w:val="TableText"/>
              <w:ind w:left="619"/>
              <w:spacing w:before="164" w:line="467" w:lineRule="exact"/>
              <w:rPr>
                <w:sz w:val="24"/>
                <w:szCs w:val="24"/>
              </w:rPr>
            </w:pPr>
            <w:r>
              <w:rPr>
                <w:sz w:val="24"/>
                <w:szCs w:val="24"/>
                <w:position w:val="17"/>
              </w:rPr>
              <w:t>类比现有工程及生产需求，项目阴极极片生产料罐清洗、</w:t>
            </w:r>
            <w:r>
              <w:rPr>
                <w:sz w:val="24"/>
                <w:szCs w:val="24"/>
                <w:spacing w:val="-1"/>
                <w:position w:val="17"/>
              </w:rPr>
              <w:t>设备、管道清洗及车间地</w:t>
            </w:r>
          </w:p>
          <w:p>
            <w:pPr>
              <w:pStyle w:val="TableText"/>
              <w:ind w:left="140"/>
              <w:spacing w:line="216" w:lineRule="auto"/>
              <w:rPr>
                <w:sz w:val="24"/>
                <w:szCs w:val="24"/>
              </w:rPr>
            </w:pPr>
            <w:r>
              <w:rPr>
                <w:sz w:val="24"/>
                <w:szCs w:val="24"/>
                <w:spacing w:val="1"/>
              </w:rPr>
              <w:t>面拖洗等用水量约12t/d,排水量按用水</w:t>
            </w:r>
            <w:r>
              <w:rPr>
                <w:sz w:val="24"/>
                <w:szCs w:val="24"/>
              </w:rPr>
              <w:t>量90%估算，则阴极极片生产废水产生量约</w:t>
            </w:r>
          </w:p>
          <w:p>
            <w:pPr>
              <w:pStyle w:val="TableText"/>
              <w:ind w:left="160"/>
              <w:spacing w:before="220" w:line="224" w:lineRule="auto"/>
              <w:rPr>
                <w:sz w:val="24"/>
                <w:szCs w:val="24"/>
              </w:rPr>
            </w:pPr>
            <w:r>
              <w:rPr>
                <w:sz w:val="24"/>
                <w:szCs w:val="24"/>
                <w:spacing w:val="-7"/>
              </w:rPr>
              <w:t>10.8t/d。</w:t>
            </w:r>
          </w:p>
          <w:p>
            <w:pPr>
              <w:pStyle w:val="TableText"/>
              <w:ind w:left="619"/>
              <w:spacing w:before="172" w:line="219" w:lineRule="auto"/>
              <w:rPr>
                <w:sz w:val="24"/>
                <w:szCs w:val="24"/>
              </w:rPr>
            </w:pPr>
            <w:r>
              <w:rPr>
                <w:sz w:val="24"/>
                <w:szCs w:val="24"/>
                <w:spacing w:val="1"/>
              </w:rPr>
              <w:t>3)阳极生产用排水</w:t>
            </w:r>
          </w:p>
          <w:p>
            <w:pPr>
              <w:pStyle w:val="TableText"/>
              <w:ind w:left="609"/>
              <w:spacing w:before="165" w:line="466" w:lineRule="exact"/>
              <w:rPr>
                <w:sz w:val="24"/>
                <w:szCs w:val="24"/>
              </w:rPr>
            </w:pPr>
            <w:r>
              <w:rPr>
                <w:sz w:val="24"/>
                <w:szCs w:val="24"/>
                <w:position w:val="17"/>
              </w:rPr>
              <w:t>类比现有工程及生产需求，项目阳极生产料罐清洗、设备</w:t>
            </w:r>
            <w:r>
              <w:rPr>
                <w:sz w:val="24"/>
                <w:szCs w:val="24"/>
                <w:spacing w:val="-1"/>
                <w:position w:val="17"/>
              </w:rPr>
              <w:t>、管道清洗及车间地面拖</w:t>
            </w:r>
          </w:p>
          <w:p>
            <w:pPr>
              <w:pStyle w:val="TableText"/>
              <w:ind w:left="140"/>
              <w:spacing w:before="1" w:line="216" w:lineRule="auto"/>
              <w:rPr>
                <w:sz w:val="24"/>
                <w:szCs w:val="24"/>
              </w:rPr>
            </w:pPr>
            <w:r>
              <w:rPr>
                <w:sz w:val="24"/>
                <w:szCs w:val="24"/>
              </w:rPr>
              <w:t>洗等用水量约20t/d,排水量按用水量90%估算，则阳极极片生产废水产生量约18t/</w:t>
            </w:r>
            <w:r>
              <w:rPr>
                <w:sz w:val="24"/>
                <w:szCs w:val="24"/>
                <w:spacing w:val="-1"/>
              </w:rPr>
              <w:t>d。</w:t>
            </w:r>
          </w:p>
          <w:p>
            <w:pPr>
              <w:pStyle w:val="TableText"/>
              <w:ind w:left="619"/>
              <w:spacing w:before="192" w:line="219" w:lineRule="auto"/>
              <w:rPr>
                <w:sz w:val="24"/>
                <w:szCs w:val="24"/>
              </w:rPr>
            </w:pPr>
            <w:r>
              <w:rPr>
                <w:sz w:val="24"/>
                <w:szCs w:val="24"/>
                <w:spacing w:val="-1"/>
              </w:rPr>
              <w:t>4)凹版工程生产用排水</w:t>
            </w:r>
          </w:p>
          <w:p>
            <w:pPr>
              <w:pStyle w:val="TableText"/>
              <w:ind w:left="619"/>
              <w:spacing w:before="165" w:line="467" w:lineRule="exact"/>
              <w:rPr>
                <w:sz w:val="24"/>
                <w:szCs w:val="24"/>
              </w:rPr>
            </w:pPr>
            <w:r>
              <w:rPr>
                <w:sz w:val="24"/>
                <w:szCs w:val="24"/>
                <w:position w:val="17"/>
              </w:rPr>
              <w:t>根据建设单位资料显示，项目凹版工程生产料罐清洗、设</w:t>
            </w:r>
            <w:r>
              <w:rPr>
                <w:sz w:val="24"/>
                <w:szCs w:val="24"/>
                <w:spacing w:val="-1"/>
                <w:position w:val="17"/>
              </w:rPr>
              <w:t>备、管道清洗及车间地面</w:t>
            </w:r>
          </w:p>
          <w:p>
            <w:pPr>
              <w:pStyle w:val="TableText"/>
              <w:ind w:left="130"/>
              <w:spacing w:line="216" w:lineRule="auto"/>
              <w:rPr>
                <w:sz w:val="24"/>
                <w:szCs w:val="24"/>
              </w:rPr>
            </w:pPr>
            <w:r>
              <w:rPr>
                <w:sz w:val="24"/>
                <w:szCs w:val="24"/>
              </w:rPr>
              <w:t>拖洗等用水量约7t/d,排水量按用水量90%估算，则凹版工程生产废水产生量约6.3t/d。</w:t>
            </w:r>
          </w:p>
          <w:p>
            <w:pPr>
              <w:pStyle w:val="TableText"/>
              <w:ind w:left="609"/>
              <w:spacing w:before="213" w:line="219" w:lineRule="auto"/>
              <w:rPr>
                <w:sz w:val="24"/>
                <w:szCs w:val="24"/>
              </w:rPr>
            </w:pPr>
            <w:r>
              <w:rPr>
                <w:sz w:val="24"/>
                <w:szCs w:val="24"/>
                <w:spacing w:val="1"/>
              </w:rPr>
              <w:t>5)锅炉用排水</w:t>
            </w:r>
          </w:p>
          <w:p>
            <w:pPr>
              <w:pStyle w:val="TableText"/>
              <w:ind w:left="619"/>
              <w:spacing w:before="161" w:line="473" w:lineRule="exact"/>
              <w:rPr>
                <w:sz w:val="24"/>
                <w:szCs w:val="24"/>
              </w:rPr>
            </w:pPr>
            <w:r>
              <w:rPr>
                <w:sz w:val="24"/>
                <w:szCs w:val="24"/>
                <w:position w:val="17"/>
              </w:rPr>
              <w:t>项目拟新增10t/h燃气蒸汽锅炉2台，15t/h燃气蒸汽锅炉2台(1用1备),用于</w:t>
            </w:r>
          </w:p>
          <w:p>
            <w:pPr>
              <w:pStyle w:val="TableText"/>
              <w:ind w:left="130"/>
              <w:spacing w:before="1" w:line="218" w:lineRule="auto"/>
              <w:rPr>
                <w:sz w:val="24"/>
                <w:szCs w:val="24"/>
              </w:rPr>
            </w:pPr>
            <w:r>
              <w:rPr>
                <w:sz w:val="24"/>
                <w:szCs w:val="24"/>
                <w:spacing w:val="-1"/>
              </w:rPr>
              <w:t>涂布、凹版和除湿机、风柜等设备供热。</w:t>
            </w:r>
          </w:p>
          <w:p>
            <w:pPr>
              <w:pStyle w:val="TableText"/>
              <w:ind w:left="130" w:right="223" w:firstLine="489"/>
              <w:spacing w:before="184" w:line="356" w:lineRule="auto"/>
              <w:rPr>
                <w:sz w:val="24"/>
                <w:szCs w:val="24"/>
              </w:rPr>
            </w:pPr>
            <w:r>
              <w:rPr>
                <w:sz w:val="24"/>
                <w:szCs w:val="24"/>
                <w:spacing w:val="1"/>
              </w:rPr>
              <w:t>锅炉按满负荷，平均每天运行22h,锅炉排污水按</w:t>
            </w:r>
            <w:r>
              <w:rPr>
                <w:sz w:val="24"/>
                <w:szCs w:val="24"/>
              </w:rPr>
              <w:t>运行负荷的5%计，损耗按运行负 </w:t>
            </w:r>
            <w:r>
              <w:rPr>
                <w:sz w:val="24"/>
                <w:szCs w:val="24"/>
              </w:rPr>
              <w:t>荷的2%计，则锅炉排污水1.75t/h(38.5t/d),属于清净下水，经</w:t>
            </w:r>
            <w:r>
              <w:rPr>
                <w:sz w:val="24"/>
                <w:szCs w:val="24"/>
                <w:spacing w:val="-1"/>
              </w:rPr>
              <w:t>厂区生活污水管网直接</w:t>
            </w:r>
            <w:r>
              <w:rPr>
                <w:sz w:val="24"/>
                <w:szCs w:val="24"/>
              </w:rPr>
              <w:t xml:space="preserve"> </w:t>
            </w:r>
            <w:r>
              <w:rPr>
                <w:sz w:val="24"/>
                <w:szCs w:val="24"/>
                <w:spacing w:val="1"/>
              </w:rPr>
              <w:t>排入市政污水管网。锅炉损耗水0.7t/h(15.4t/d),则锅炉补充用水2.45t/h(53.9t/d)</w:t>
            </w:r>
          </w:p>
          <w:p>
            <w:pPr>
              <w:pStyle w:val="TableText"/>
              <w:ind w:left="160"/>
              <w:spacing w:before="1" w:line="216" w:lineRule="auto"/>
              <w:rPr>
                <w:sz w:val="24"/>
                <w:szCs w:val="24"/>
              </w:rPr>
            </w:pPr>
            <w:r>
              <w:rPr>
                <w:sz w:val="24"/>
                <w:szCs w:val="24"/>
              </w:rPr>
              <w:t>由锅炉软化水系统提供。软化水系统出水率70%~80%(本评价取70%),则锅炉软化浓</w:t>
            </w:r>
          </w:p>
          <w:p>
            <w:pPr>
              <w:pStyle w:val="TableText"/>
              <w:ind w:left="130"/>
              <w:spacing w:before="193" w:line="219" w:lineRule="auto"/>
              <w:rPr>
                <w:sz w:val="24"/>
                <w:szCs w:val="24"/>
              </w:rPr>
            </w:pPr>
            <w:r>
              <w:rPr>
                <w:sz w:val="24"/>
                <w:szCs w:val="24"/>
              </w:rPr>
              <w:t>水约1.05t/h(23.1t/d)。蒸汽使用后的冷凝水将回收至软水水箱，循环利</w:t>
            </w:r>
            <w:r>
              <w:rPr>
                <w:sz w:val="24"/>
                <w:szCs w:val="24"/>
                <w:spacing w:val="-1"/>
              </w:rPr>
              <w:t>用。</w:t>
            </w:r>
          </w:p>
          <w:p>
            <w:pPr>
              <w:pStyle w:val="TableText"/>
              <w:ind w:left="619"/>
              <w:spacing w:before="181" w:line="216" w:lineRule="auto"/>
              <w:rPr>
                <w:sz w:val="24"/>
                <w:szCs w:val="24"/>
              </w:rPr>
            </w:pPr>
            <w:r>
              <w:rPr>
                <w:sz w:val="24"/>
                <w:szCs w:val="24"/>
              </w:rPr>
              <w:t>则项目锅炉房排水为软化系统产生的软化浓水和锅炉排污水，产生量约61.6t/d,水</w:t>
            </w:r>
          </w:p>
        </w:tc>
      </w:tr>
    </w:tbl>
    <w:p>
      <w:pPr>
        <w:rPr>
          <w:rFonts w:ascii="Arial"/>
          <w:sz w:val="21"/>
        </w:rPr>
      </w:pPr>
      <w:r/>
    </w:p>
    <w:p>
      <w:pPr>
        <w:sectPr>
          <w:footerReference w:type="default" r:id="rId15"/>
          <w:pgSz w:w="11900" w:h="16840"/>
          <w:pgMar w:top="1425" w:right="984" w:bottom="988" w:left="1135" w:header="0" w:footer="849" w:gutter="0"/>
        </w:sectPr>
        <w:rPr>
          <w:rFonts w:ascii="Arial" w:hAnsi="Arial" w:eastAsia="Arial" w:cs="Arial"/>
          <w:sz w:val="21"/>
          <w:szCs w:val="21"/>
        </w:rPr>
      </w:pPr>
    </w:p>
    <w:p>
      <w:pPr>
        <w:spacing w:line="141" w:lineRule="auto"/>
        <w:rPr>
          <w:rFonts w:ascii="Arial"/>
          <w:sz w:val="2"/>
        </w:rPr>
      </w:pPr>
      <w:r>
        <w:rPr>
          <w:rFonts w:ascii="Arial"/>
          <w:sz w:val="2"/>
        </w:rPr>
      </w:r>
    </w:p>
    <w:tbl>
      <w:tblPr>
        <w:tblStyle w:val="TableNormal"/>
        <w:tblW w:w="97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25"/>
        <w:gridCol w:w="719"/>
        <w:gridCol w:w="1259"/>
        <w:gridCol w:w="919"/>
        <w:gridCol w:w="1059"/>
        <w:gridCol w:w="1508"/>
        <w:gridCol w:w="3881"/>
      </w:tblGrid>
      <w:tr>
        <w:trPr>
          <w:trHeight w:val="9478" w:hRule="atLeast"/>
        </w:trPr>
        <w:tc>
          <w:tcPr>
            <w:tcW w:w="425" w:type="dxa"/>
            <w:vAlign w:val="top"/>
            <w:vMerge w:val="restart"/>
            <w:tcBorders>
              <w:bottom w:val="nil"/>
            </w:tcBorders>
          </w:tcPr>
          <w:p>
            <w:pPr>
              <w:rPr>
                <w:rFonts w:ascii="Arial"/>
                <w:sz w:val="21"/>
              </w:rPr>
            </w:pPr>
            <w:r/>
          </w:p>
        </w:tc>
        <w:tc>
          <w:tcPr>
            <w:tcW w:w="9345" w:type="dxa"/>
            <w:vAlign w:val="top"/>
            <w:gridSpan w:val="6"/>
          </w:tcPr>
          <w:p>
            <w:pPr>
              <w:pStyle w:val="TableText"/>
              <w:ind w:left="160"/>
              <w:spacing w:before="84" w:line="450" w:lineRule="exact"/>
              <w:rPr/>
            </w:pPr>
            <w:r>
              <w:rPr>
                <w:spacing w:val="-1"/>
                <w:position w:val="16"/>
              </w:rPr>
              <w:t>质均较好，直接进入市政污水管网。</w:t>
            </w:r>
          </w:p>
          <w:p>
            <w:pPr>
              <w:pStyle w:val="TableText"/>
              <w:ind w:left="599"/>
              <w:spacing w:line="219" w:lineRule="auto"/>
              <w:rPr/>
            </w:pPr>
            <w:r>
              <w:rPr>
                <w:spacing w:val="1"/>
              </w:rPr>
              <w:t>6)冷却塔用排水</w:t>
            </w:r>
          </w:p>
          <w:p>
            <w:pPr>
              <w:pStyle w:val="TableText"/>
              <w:ind w:left="599"/>
              <w:spacing w:before="196" w:line="219" w:lineRule="auto"/>
              <w:rPr/>
            </w:pPr>
            <w:r>
              <w:rPr>
                <w:spacing w:val="8"/>
              </w:rPr>
              <w:t>项目设有5台879m³/h、3台400m³/h、1台</w:t>
            </w:r>
            <w:r>
              <w:rPr>
                <w:spacing w:val="7"/>
              </w:rPr>
              <w:t>120m³/h的冷却塔，冷却塔循环补水量</w:t>
            </w:r>
          </w:p>
          <w:p>
            <w:pPr>
              <w:pStyle w:val="TableText"/>
              <w:ind w:left="120"/>
              <w:spacing w:before="183" w:line="216" w:lineRule="auto"/>
              <w:rPr/>
            </w:pPr>
            <w:r>
              <w:rPr>
                <w:spacing w:val="3"/>
              </w:rPr>
              <w:t>891t/d(267300t/a),冷却塔每月清洗2次，每</w:t>
            </w:r>
            <w:r>
              <w:rPr>
                <w:spacing w:val="2"/>
              </w:rPr>
              <w:t>台400m³/h冷却塔排水量约28t/次，每台</w:t>
            </w:r>
          </w:p>
          <w:p>
            <w:pPr>
              <w:pStyle w:val="TableText"/>
              <w:ind w:left="120"/>
              <w:spacing w:before="214" w:line="466" w:lineRule="exact"/>
              <w:rPr/>
            </w:pPr>
            <w:r>
              <w:rPr>
                <w:spacing w:val="5"/>
                <w:position w:val="18"/>
              </w:rPr>
              <w:t>879m³/h冷却塔排水量约62t/次，每台120m³/h冷却塔排水量约8t/次，则冷却塔清洗补</w:t>
            </w:r>
          </w:p>
          <w:p>
            <w:pPr>
              <w:pStyle w:val="TableText"/>
              <w:ind w:left="130"/>
              <w:spacing w:before="1" w:line="216" w:lineRule="auto"/>
              <w:rPr/>
            </w:pPr>
            <w:r>
              <w:rPr/>
              <w:t>充水量9648t/a,冷却塔总补水量约923.2t/d(276948t/a)。</w:t>
            </w:r>
          </w:p>
          <w:p>
            <w:pPr>
              <w:pStyle w:val="TableText"/>
              <w:ind w:left="619"/>
              <w:spacing w:before="190" w:line="504" w:lineRule="exact"/>
              <w:rPr/>
            </w:pPr>
            <w:r>
              <w:rPr>
                <w:position w:val="21"/>
              </w:rPr>
              <w:t>每次冷却系统清洗排污水约为402t,即32.2t/d(9648t/a),不含特征污染物，经污</w:t>
            </w:r>
          </w:p>
          <w:p>
            <w:pPr>
              <w:pStyle w:val="TableText"/>
              <w:ind w:left="160"/>
              <w:spacing w:line="219" w:lineRule="auto"/>
              <w:rPr/>
            </w:pPr>
            <w:r>
              <w:rPr>
                <w:spacing w:val="-1"/>
              </w:rPr>
              <w:t>水管网直接排入市政污水管网。</w:t>
            </w:r>
          </w:p>
          <w:p>
            <w:pPr>
              <w:pStyle w:val="TableText"/>
              <w:ind w:left="740"/>
              <w:spacing w:before="197" w:line="219" w:lineRule="auto"/>
              <w:rPr/>
            </w:pPr>
            <w:r>
              <w:rPr/>
              <w:t>(2)生活用排水</w:t>
            </w:r>
          </w:p>
          <w:p>
            <w:pPr>
              <w:pStyle w:val="TableText"/>
              <w:ind w:left="609"/>
              <w:spacing w:before="158" w:line="219" w:lineRule="auto"/>
              <w:rPr/>
            </w:pPr>
            <w:r>
              <w:rPr>
                <w:spacing w:val="-1"/>
              </w:rPr>
              <w:t>项目新增员工300人，其中150人在厂区食宿，根据《建筑给水排水设计标准》</w:t>
            </w:r>
          </w:p>
          <w:p>
            <w:pPr>
              <w:pStyle w:val="TableText"/>
              <w:ind w:left="259"/>
              <w:spacing w:before="213" w:line="473" w:lineRule="exact"/>
              <w:rPr/>
            </w:pPr>
            <w:r>
              <w:rPr>
                <w:spacing w:val="1"/>
                <w:position w:val="18"/>
              </w:rPr>
              <w:t>(</w:t>
            </w:r>
            <w:r>
              <w:rPr>
                <w:position w:val="18"/>
              </w:rPr>
              <w:t>GB</w:t>
            </w:r>
            <w:r>
              <w:rPr>
                <w:spacing w:val="1"/>
                <w:position w:val="18"/>
              </w:rPr>
              <w:t>50015-2019),生活用水不住厂的按50L/人</w:t>
            </w:r>
            <w:r>
              <w:rPr>
                <w:position w:val="18"/>
              </w:rPr>
              <w:t>·天，住厂的按150L/人·天，则生活用</w:t>
            </w:r>
          </w:p>
          <w:p>
            <w:pPr>
              <w:pStyle w:val="TableText"/>
              <w:ind w:left="100"/>
              <w:spacing w:before="1" w:line="219" w:lineRule="auto"/>
              <w:rPr/>
            </w:pPr>
            <w:r>
              <w:rPr/>
              <w:t>水30t/d。</w:t>
            </w:r>
          </w:p>
          <w:p>
            <w:pPr>
              <w:pStyle w:val="TableText"/>
              <w:ind w:left="130" w:right="560" w:firstLine="479"/>
              <w:spacing w:before="187" w:line="377" w:lineRule="auto"/>
              <w:rPr/>
            </w:pPr>
            <w:r>
              <w:rPr/>
              <w:t>项目新增员工300人，其中150人在厂区食宿，在食堂就餐人员按食宿人数80%计， </w:t>
            </w:r>
            <w:r>
              <w:rPr/>
              <w:t>一日三餐。根据《建筑给水排水设计标准》(GB50015-2019),</w:t>
            </w:r>
            <w:r>
              <w:rPr>
                <w:spacing w:val="-1"/>
              </w:rPr>
              <w:t>食堂用水定额为20～25L/</w:t>
            </w:r>
          </w:p>
          <w:p>
            <w:pPr>
              <w:pStyle w:val="TableText"/>
              <w:ind w:left="130"/>
              <w:spacing w:before="1" w:line="219" w:lineRule="auto"/>
              <w:rPr/>
            </w:pPr>
            <w:r>
              <w:rPr/>
              <w:t>人·次，项目取25L/人·次，则食堂用水</w:t>
            </w:r>
            <w:r>
              <w:rPr>
                <w:spacing w:val="-1"/>
              </w:rPr>
              <w:t>9t/d。</w:t>
            </w:r>
          </w:p>
          <w:p>
            <w:pPr>
              <w:pStyle w:val="TableText"/>
              <w:ind w:left="609"/>
              <w:spacing w:before="193" w:line="453" w:lineRule="exact"/>
              <w:rPr/>
            </w:pPr>
            <w:r>
              <w:rPr>
                <w:position w:val="17"/>
              </w:rPr>
              <w:t>生活污水排污系数取0.8,则食堂废水总量为7.2t/d,其他生活污水总量为24t/d。生</w:t>
            </w:r>
          </w:p>
          <w:p>
            <w:pPr>
              <w:pStyle w:val="TableText"/>
              <w:ind w:left="120"/>
              <w:spacing w:line="218" w:lineRule="auto"/>
              <w:rPr/>
            </w:pPr>
            <w:r>
              <w:rPr/>
              <w:t>活污水主要污染物含有CODcr、BODs、SS、氨氮、动植物油等。</w:t>
            </w:r>
          </w:p>
          <w:p>
            <w:pPr>
              <w:pStyle w:val="TableText"/>
              <w:ind w:left="609"/>
              <w:spacing w:before="229" w:line="489" w:lineRule="exact"/>
              <w:rPr/>
            </w:pPr>
            <w:r>
              <w:rPr>
                <w:position w:val="19"/>
              </w:rPr>
              <w:t>其中食堂废水经隔油池处理后与其他生活污水一起经化粪池处理后排入</w:t>
            </w:r>
            <w:r>
              <w:rPr>
                <w:spacing w:val="-1"/>
                <w:position w:val="19"/>
              </w:rPr>
              <w:t>市政管网。</w:t>
            </w:r>
          </w:p>
          <w:p>
            <w:pPr>
              <w:pStyle w:val="TableText"/>
              <w:ind w:left="629"/>
              <w:spacing w:before="1" w:line="218" w:lineRule="auto"/>
              <w:rPr/>
            </w:pPr>
            <w:r>
              <w:rPr/>
              <w:t>本项目水平衡见表2.6-1和图2.6-1。</w:t>
            </w:r>
          </w:p>
          <w:p>
            <w:pPr>
              <w:pStyle w:val="TableText"/>
              <w:ind w:left="2593"/>
              <w:spacing w:before="214" w:line="219" w:lineRule="auto"/>
              <w:rPr/>
            </w:pPr>
            <w:r>
              <w:rPr>
                <w:b/>
                <w:bCs/>
                <w:spacing w:val="-1"/>
              </w:rPr>
              <w:t>表2.6-1</w:t>
            </w:r>
            <w:r>
              <w:rPr>
                <w:spacing w:val="-1"/>
              </w:rPr>
              <w:t xml:space="preserve">  </w:t>
            </w:r>
            <w:r>
              <w:rPr>
                <w:b/>
                <w:bCs/>
                <w:spacing w:val="-1"/>
              </w:rPr>
              <w:t>本项目水平衡表(单位：t/d)</w:t>
            </w:r>
          </w:p>
        </w:tc>
      </w:tr>
      <w:tr>
        <w:trPr>
          <w:trHeight w:val="540" w:hRule="atLeast"/>
        </w:trPr>
        <w:tc>
          <w:tcPr>
            <w:tcW w:w="425" w:type="dxa"/>
            <w:vAlign w:val="top"/>
            <w:vMerge w:val="continue"/>
            <w:tcBorders>
              <w:top w:val="nil"/>
              <w:bottom w:val="nil"/>
            </w:tcBorders>
          </w:tcPr>
          <w:p>
            <w:pPr>
              <w:rPr>
                <w:rFonts w:ascii="Arial"/>
                <w:sz w:val="21"/>
              </w:rPr>
            </w:pPr>
            <w:r/>
          </w:p>
        </w:tc>
        <w:tc>
          <w:tcPr>
            <w:tcW w:w="1978" w:type="dxa"/>
            <w:vAlign w:val="top"/>
            <w:gridSpan w:val="2"/>
          </w:tcPr>
          <w:p>
            <w:pPr>
              <w:pStyle w:val="TableText"/>
              <w:ind w:left="629"/>
              <w:spacing w:before="166" w:line="219" w:lineRule="auto"/>
              <w:rPr/>
            </w:pPr>
            <w:r>
              <w:rPr>
                <w:spacing w:val="2"/>
              </w:rPr>
              <w:t>用水单元</w:t>
            </w:r>
          </w:p>
        </w:tc>
        <w:tc>
          <w:tcPr>
            <w:tcW w:w="919" w:type="dxa"/>
            <w:vAlign w:val="top"/>
          </w:tcPr>
          <w:p>
            <w:pPr>
              <w:pStyle w:val="TableText"/>
              <w:ind w:left="221" w:right="89" w:hanging="120"/>
              <w:spacing w:before="26" w:line="202" w:lineRule="auto"/>
              <w:rPr/>
            </w:pPr>
            <w:r>
              <w:rPr>
                <w:spacing w:val="9"/>
              </w:rPr>
              <w:t>新鲜用</w:t>
            </w:r>
            <w:r>
              <w:rPr/>
              <w:t xml:space="preserve"> </w:t>
            </w:r>
            <w:r>
              <w:rPr>
                <w:spacing w:val="4"/>
              </w:rPr>
              <w:t>水量</w:t>
            </w:r>
          </w:p>
        </w:tc>
        <w:tc>
          <w:tcPr>
            <w:tcW w:w="1059" w:type="dxa"/>
            <w:vAlign w:val="top"/>
          </w:tcPr>
          <w:p>
            <w:pPr>
              <w:pStyle w:val="TableText"/>
              <w:ind w:left="173"/>
              <w:spacing w:before="166" w:line="219" w:lineRule="auto"/>
              <w:rPr/>
            </w:pPr>
            <w:r>
              <w:rPr>
                <w:spacing w:val="2"/>
              </w:rPr>
              <w:t>消耗量</w:t>
            </w:r>
          </w:p>
        </w:tc>
        <w:tc>
          <w:tcPr>
            <w:tcW w:w="1508" w:type="dxa"/>
            <w:vAlign w:val="top"/>
          </w:tcPr>
          <w:p>
            <w:pPr>
              <w:pStyle w:val="TableText"/>
              <w:ind w:left="403"/>
              <w:spacing w:before="167" w:line="221" w:lineRule="auto"/>
              <w:rPr/>
            </w:pPr>
            <w:r>
              <w:rPr>
                <w:spacing w:val="-2"/>
              </w:rPr>
              <w:t>排放量</w:t>
            </w:r>
          </w:p>
        </w:tc>
        <w:tc>
          <w:tcPr>
            <w:tcW w:w="3881" w:type="dxa"/>
            <w:vAlign w:val="top"/>
          </w:tcPr>
          <w:p>
            <w:pPr>
              <w:pStyle w:val="TableText"/>
              <w:ind w:left="1705"/>
              <w:spacing w:before="167" w:line="221" w:lineRule="auto"/>
              <w:rPr/>
            </w:pPr>
            <w:r>
              <w:rPr>
                <w:spacing w:val="5"/>
              </w:rPr>
              <w:t>备注</w:t>
            </w:r>
          </w:p>
        </w:tc>
      </w:tr>
      <w:tr>
        <w:trPr>
          <w:trHeight w:val="799" w:hRule="atLeast"/>
        </w:trPr>
        <w:tc>
          <w:tcPr>
            <w:tcW w:w="425" w:type="dxa"/>
            <w:vAlign w:val="top"/>
            <w:vMerge w:val="continue"/>
            <w:tcBorders>
              <w:top w:val="nil"/>
              <w:bottom w:val="nil"/>
            </w:tcBorders>
          </w:tcPr>
          <w:p>
            <w:pPr>
              <w:rPr>
                <w:rFonts w:ascii="Arial"/>
                <w:sz w:val="21"/>
              </w:rPr>
            </w:pPr>
            <w:r/>
          </w:p>
        </w:tc>
        <w:tc>
          <w:tcPr>
            <w:tcW w:w="719" w:type="dxa"/>
            <w:vAlign w:val="top"/>
            <w:vMerge w:val="restart"/>
            <w:textDirection w:val="tbRlV"/>
            <w:tcBorders>
              <w:bottom w:val="nil"/>
            </w:tcBorders>
          </w:tcPr>
          <w:p>
            <w:pPr>
              <w:pStyle w:val="TableText"/>
              <w:ind w:left="1456"/>
              <w:spacing w:before="179" w:line="216" w:lineRule="auto"/>
              <w:rPr/>
            </w:pPr>
            <w:r>
              <w:rPr/>
              <w:t>生产用水</w:t>
            </w:r>
          </w:p>
        </w:tc>
        <w:tc>
          <w:tcPr>
            <w:tcW w:w="1259" w:type="dxa"/>
            <w:vAlign w:val="top"/>
          </w:tcPr>
          <w:p>
            <w:pPr>
              <w:pStyle w:val="TableText"/>
              <w:ind w:left="160"/>
              <w:spacing w:before="296" w:line="219" w:lineRule="auto"/>
              <w:rPr/>
            </w:pPr>
            <w:r>
              <w:rPr>
                <w:spacing w:val="2"/>
              </w:rPr>
              <w:t>纯水制备</w:t>
            </w:r>
          </w:p>
        </w:tc>
        <w:tc>
          <w:tcPr>
            <w:tcW w:w="919" w:type="dxa"/>
            <w:vAlign w:val="top"/>
          </w:tcPr>
          <w:p>
            <w:pPr>
              <w:spacing w:line="278" w:lineRule="auto"/>
              <w:rPr>
                <w:rFonts w:ascii="Arial"/>
                <w:sz w:val="21"/>
              </w:rPr>
            </w:pPr>
            <w:r/>
          </w:p>
          <w:p>
            <w:pPr>
              <w:pStyle w:val="TableText"/>
              <w:ind w:left="161"/>
              <w:spacing w:before="74" w:line="184" w:lineRule="auto"/>
              <w:rPr/>
            </w:pPr>
            <w:r>
              <w:rPr>
                <w:spacing w:val="-5"/>
              </w:rPr>
              <w:t>146.7</w:t>
            </w:r>
          </w:p>
        </w:tc>
        <w:tc>
          <w:tcPr>
            <w:tcW w:w="1059" w:type="dxa"/>
            <w:vAlign w:val="top"/>
          </w:tcPr>
          <w:p>
            <w:pPr>
              <w:spacing w:line="279" w:lineRule="auto"/>
              <w:rPr>
                <w:rFonts w:ascii="Arial"/>
                <w:sz w:val="21"/>
              </w:rPr>
            </w:pPr>
            <w:r/>
          </w:p>
          <w:p>
            <w:pPr>
              <w:pStyle w:val="TableText"/>
              <w:ind w:left="342"/>
              <w:spacing w:before="75" w:line="183" w:lineRule="auto"/>
              <w:rPr/>
            </w:pPr>
            <w:r>
              <w:rPr>
                <w:spacing w:val="-3"/>
              </w:rPr>
              <w:t>88*</w:t>
            </w:r>
          </w:p>
        </w:tc>
        <w:tc>
          <w:tcPr>
            <w:tcW w:w="1508" w:type="dxa"/>
            <w:vAlign w:val="top"/>
          </w:tcPr>
          <w:p>
            <w:pPr>
              <w:spacing w:line="279" w:lineRule="auto"/>
              <w:rPr>
                <w:rFonts w:ascii="Arial"/>
                <w:sz w:val="21"/>
              </w:rPr>
            </w:pPr>
            <w:r/>
          </w:p>
          <w:p>
            <w:pPr>
              <w:pStyle w:val="TableText"/>
              <w:ind w:left="513"/>
              <w:spacing w:before="75" w:line="183" w:lineRule="auto"/>
              <w:rPr/>
            </w:pPr>
            <w:r>
              <w:rPr>
                <w:spacing w:val="-3"/>
              </w:rPr>
              <w:t>58.7</w:t>
            </w:r>
          </w:p>
        </w:tc>
        <w:tc>
          <w:tcPr>
            <w:tcW w:w="3881" w:type="dxa"/>
            <w:vAlign w:val="top"/>
          </w:tcPr>
          <w:p>
            <w:pPr>
              <w:pStyle w:val="TableText"/>
              <w:ind w:left="36"/>
              <w:spacing w:before="46" w:line="219" w:lineRule="auto"/>
              <w:rPr/>
            </w:pPr>
            <w:r>
              <w:rPr/>
              <w:t>纯水损耗量*即为纯水制备量，用于凹</w:t>
            </w:r>
          </w:p>
          <w:p>
            <w:pPr>
              <w:pStyle w:val="TableText"/>
              <w:spacing w:before="6" w:line="193" w:lineRule="auto"/>
              <w:jc w:val="right"/>
              <w:rPr>
                <w:sz w:val="22"/>
                <w:szCs w:val="22"/>
              </w:rPr>
            </w:pPr>
            <w:r>
              <w:rPr>
                <w:sz w:val="22"/>
                <w:szCs w:val="22"/>
                <w:spacing w:val="6"/>
              </w:rPr>
              <w:t>版、阳极极片搅拌制浆，排放为制备浓</w:t>
            </w:r>
          </w:p>
          <w:p>
            <w:pPr>
              <w:pStyle w:val="TableText"/>
              <w:ind w:left="785"/>
              <w:spacing w:line="195" w:lineRule="auto"/>
              <w:rPr>
                <w:sz w:val="22"/>
                <w:szCs w:val="22"/>
              </w:rPr>
            </w:pPr>
            <w:r>
              <w:rPr>
                <w:sz w:val="22"/>
                <w:szCs w:val="22"/>
                <w:spacing w:val="12"/>
              </w:rPr>
              <w:t>水，排入市政污水管网</w:t>
            </w:r>
          </w:p>
        </w:tc>
      </w:tr>
      <w:tr>
        <w:trPr>
          <w:trHeight w:val="1109" w:hRule="atLeast"/>
        </w:trPr>
        <w:tc>
          <w:tcPr>
            <w:tcW w:w="425" w:type="dxa"/>
            <w:vAlign w:val="top"/>
            <w:vMerge w:val="continue"/>
            <w:tcBorders>
              <w:top w:val="nil"/>
              <w:bottom w:val="nil"/>
            </w:tcBorders>
          </w:tcPr>
          <w:p>
            <w:pPr>
              <w:rPr>
                <w:rFonts w:ascii="Arial"/>
                <w:sz w:val="21"/>
              </w:rPr>
            </w:pPr>
            <w:r/>
          </w:p>
        </w:tc>
        <w:tc>
          <w:tcPr>
            <w:tcW w:w="719" w:type="dxa"/>
            <w:vAlign w:val="top"/>
            <w:vMerge w:val="continue"/>
            <w:textDirection w:val="tbRlV"/>
            <w:tcBorders>
              <w:top w:val="nil"/>
              <w:bottom w:val="nil"/>
            </w:tcBorders>
          </w:tcPr>
          <w:p>
            <w:pPr>
              <w:rPr>
                <w:rFonts w:ascii="Arial"/>
                <w:sz w:val="21"/>
              </w:rPr>
            </w:pPr>
            <w:r/>
          </w:p>
        </w:tc>
        <w:tc>
          <w:tcPr>
            <w:tcW w:w="1259" w:type="dxa"/>
            <w:vAlign w:val="top"/>
          </w:tcPr>
          <w:p>
            <w:pPr>
              <w:spacing w:line="260" w:lineRule="auto"/>
              <w:rPr>
                <w:rFonts w:ascii="Arial"/>
                <w:sz w:val="21"/>
              </w:rPr>
            </w:pPr>
            <w:r/>
          </w:p>
          <w:p>
            <w:pPr>
              <w:pStyle w:val="TableText"/>
              <w:ind w:left="160" w:right="145"/>
              <w:spacing w:before="75" w:line="218" w:lineRule="auto"/>
              <w:rPr/>
            </w:pPr>
            <w:r>
              <w:rPr>
                <w:spacing w:val="5"/>
              </w:rPr>
              <w:t>阴极车间</w:t>
            </w:r>
            <w:r>
              <w:rPr>
                <w:spacing w:val="1"/>
              </w:rPr>
              <w:t xml:space="preserve"> </w:t>
            </w:r>
            <w:r>
              <w:rPr>
                <w:spacing w:val="2"/>
              </w:rPr>
              <w:t>生产用水</w:t>
            </w:r>
          </w:p>
        </w:tc>
        <w:tc>
          <w:tcPr>
            <w:tcW w:w="919" w:type="dxa"/>
            <w:vAlign w:val="top"/>
          </w:tcPr>
          <w:p>
            <w:pPr>
              <w:spacing w:line="428" w:lineRule="auto"/>
              <w:rPr>
                <w:rFonts w:ascii="Arial"/>
                <w:sz w:val="21"/>
              </w:rPr>
            </w:pPr>
            <w:r/>
          </w:p>
          <w:p>
            <w:pPr>
              <w:pStyle w:val="TableText"/>
              <w:ind w:left="331"/>
              <w:spacing w:before="74" w:line="184" w:lineRule="auto"/>
              <w:rPr/>
            </w:pPr>
            <w:r>
              <w:rPr>
                <w:spacing w:val="-7"/>
              </w:rPr>
              <w:t>12</w:t>
            </w:r>
          </w:p>
        </w:tc>
        <w:tc>
          <w:tcPr>
            <w:tcW w:w="1059" w:type="dxa"/>
            <w:vAlign w:val="top"/>
          </w:tcPr>
          <w:p>
            <w:pPr>
              <w:spacing w:line="428" w:lineRule="auto"/>
              <w:rPr>
                <w:rFonts w:ascii="Arial"/>
                <w:sz w:val="21"/>
              </w:rPr>
            </w:pPr>
            <w:r/>
          </w:p>
          <w:p>
            <w:pPr>
              <w:pStyle w:val="TableText"/>
              <w:ind w:left="342"/>
              <w:spacing w:before="75" w:line="184" w:lineRule="auto"/>
              <w:rPr/>
            </w:pPr>
            <w:r>
              <w:rPr>
                <w:spacing w:val="-6"/>
              </w:rPr>
              <w:t>1.2</w:t>
            </w:r>
          </w:p>
        </w:tc>
        <w:tc>
          <w:tcPr>
            <w:tcW w:w="1508" w:type="dxa"/>
            <w:vAlign w:val="top"/>
          </w:tcPr>
          <w:p>
            <w:pPr>
              <w:spacing w:line="428" w:lineRule="auto"/>
              <w:rPr>
                <w:rFonts w:ascii="Arial"/>
                <w:sz w:val="21"/>
              </w:rPr>
            </w:pPr>
            <w:r/>
          </w:p>
          <w:p>
            <w:pPr>
              <w:pStyle w:val="TableText"/>
              <w:ind w:left="513"/>
              <w:spacing w:before="75" w:line="184" w:lineRule="auto"/>
              <w:rPr/>
            </w:pPr>
            <w:r>
              <w:rPr>
                <w:spacing w:val="-5"/>
              </w:rPr>
              <w:t>10.8</w:t>
            </w:r>
          </w:p>
        </w:tc>
        <w:tc>
          <w:tcPr>
            <w:tcW w:w="3881" w:type="dxa"/>
            <w:vAlign w:val="top"/>
          </w:tcPr>
          <w:p>
            <w:pPr>
              <w:pStyle w:val="TableText"/>
              <w:ind w:left="36" w:right="53" w:firstLine="59"/>
              <w:spacing w:before="76" w:line="209" w:lineRule="auto"/>
              <w:jc w:val="both"/>
              <w:rPr/>
            </w:pPr>
            <w:r>
              <w:rPr/>
              <w:t>车间三级沉淀池沉淀后进入阴极废水</w:t>
            </w:r>
            <w:r>
              <w:rPr>
                <w:spacing w:val="9"/>
              </w:rPr>
              <w:t xml:space="preserve"> </w:t>
            </w:r>
            <w:r>
              <w:rPr>
                <w:spacing w:val="-1"/>
              </w:rPr>
              <w:t>处理系统，处理工艺为“芬顿氧化+混</w:t>
            </w:r>
            <w:r>
              <w:rPr>
                <w:spacing w:val="2"/>
              </w:rPr>
              <w:t xml:space="preserve"> </w:t>
            </w:r>
            <w:r>
              <w:rPr>
                <w:spacing w:val="8"/>
              </w:rPr>
              <w:t>凝沉淀”+</w:t>
            </w:r>
            <w:r>
              <w:rPr/>
              <w:t>ABR</w:t>
            </w:r>
            <w:r>
              <w:rPr>
                <w:spacing w:val="8"/>
              </w:rPr>
              <w:t>+两级</w:t>
            </w:r>
            <w:r>
              <w:rPr/>
              <w:t>AO</w:t>
            </w:r>
            <w:r>
              <w:rPr>
                <w:spacing w:val="8"/>
              </w:rPr>
              <w:t>(</w:t>
            </w:r>
            <w:r>
              <w:rPr/>
              <w:t>MBR</w:t>
            </w:r>
            <w:r>
              <w:rPr>
                <w:spacing w:val="8"/>
              </w:rPr>
              <w:t>作为二</w:t>
            </w:r>
          </w:p>
          <w:p>
            <w:pPr>
              <w:pStyle w:val="TableText"/>
              <w:ind w:left="1355"/>
              <w:spacing w:line="193" w:lineRule="auto"/>
              <w:rPr/>
            </w:pPr>
            <w:r>
              <w:rPr>
                <w:spacing w:val="8"/>
              </w:rPr>
              <w:t>级O池使用)</w:t>
            </w:r>
          </w:p>
        </w:tc>
      </w:tr>
      <w:tr>
        <w:trPr>
          <w:trHeight w:val="800" w:hRule="atLeast"/>
        </w:trPr>
        <w:tc>
          <w:tcPr>
            <w:tcW w:w="425" w:type="dxa"/>
            <w:vAlign w:val="top"/>
            <w:vMerge w:val="continue"/>
            <w:tcBorders>
              <w:top w:val="nil"/>
              <w:bottom w:val="nil"/>
            </w:tcBorders>
          </w:tcPr>
          <w:p>
            <w:pPr>
              <w:rPr>
                <w:rFonts w:ascii="Arial"/>
                <w:sz w:val="21"/>
              </w:rPr>
            </w:pPr>
            <w:r/>
          </w:p>
        </w:tc>
        <w:tc>
          <w:tcPr>
            <w:tcW w:w="719" w:type="dxa"/>
            <w:vAlign w:val="top"/>
            <w:vMerge w:val="continue"/>
            <w:textDirection w:val="tbRlV"/>
            <w:tcBorders>
              <w:top w:val="nil"/>
              <w:bottom w:val="nil"/>
            </w:tcBorders>
          </w:tcPr>
          <w:p>
            <w:pPr>
              <w:rPr>
                <w:rFonts w:ascii="Arial"/>
                <w:sz w:val="21"/>
              </w:rPr>
            </w:pPr>
            <w:r/>
          </w:p>
        </w:tc>
        <w:tc>
          <w:tcPr>
            <w:tcW w:w="1259" w:type="dxa"/>
            <w:vAlign w:val="top"/>
          </w:tcPr>
          <w:p>
            <w:pPr>
              <w:pStyle w:val="TableText"/>
              <w:ind w:left="160" w:right="145"/>
              <w:spacing w:before="188" w:line="218" w:lineRule="auto"/>
              <w:rPr/>
            </w:pPr>
            <w:r>
              <w:rPr>
                <w:spacing w:val="5"/>
              </w:rPr>
              <w:t>阳极车间</w:t>
            </w:r>
            <w:r>
              <w:rPr>
                <w:spacing w:val="1"/>
              </w:rPr>
              <w:t xml:space="preserve"> </w:t>
            </w:r>
            <w:r>
              <w:rPr>
                <w:spacing w:val="2"/>
              </w:rPr>
              <w:t>生产用水</w:t>
            </w:r>
          </w:p>
        </w:tc>
        <w:tc>
          <w:tcPr>
            <w:tcW w:w="919" w:type="dxa"/>
            <w:vAlign w:val="top"/>
          </w:tcPr>
          <w:p>
            <w:pPr>
              <w:spacing w:line="281" w:lineRule="auto"/>
              <w:rPr>
                <w:rFonts w:ascii="Arial"/>
                <w:sz w:val="21"/>
              </w:rPr>
            </w:pPr>
            <w:r/>
          </w:p>
          <w:p>
            <w:pPr>
              <w:pStyle w:val="TableText"/>
              <w:ind w:left="331"/>
              <w:spacing w:before="75" w:line="183" w:lineRule="auto"/>
              <w:rPr/>
            </w:pPr>
            <w:r>
              <w:rPr>
                <w:spacing w:val="-3"/>
              </w:rPr>
              <w:t>20</w:t>
            </w:r>
          </w:p>
        </w:tc>
        <w:tc>
          <w:tcPr>
            <w:tcW w:w="1059" w:type="dxa"/>
            <w:vAlign w:val="top"/>
          </w:tcPr>
          <w:p>
            <w:pPr>
              <w:spacing w:line="281" w:lineRule="auto"/>
              <w:rPr>
                <w:rFonts w:ascii="Arial"/>
                <w:sz w:val="21"/>
              </w:rPr>
            </w:pPr>
            <w:r/>
          </w:p>
          <w:p>
            <w:pPr>
              <w:pStyle w:val="TableText"/>
              <w:ind w:left="463"/>
              <w:spacing w:before="75" w:line="183" w:lineRule="auto"/>
              <w:rPr/>
            </w:pPr>
            <w:r>
              <w:rPr/>
              <w:t>2</w:t>
            </w:r>
          </w:p>
        </w:tc>
        <w:tc>
          <w:tcPr>
            <w:tcW w:w="1508" w:type="dxa"/>
            <w:vAlign w:val="top"/>
          </w:tcPr>
          <w:p>
            <w:pPr>
              <w:spacing w:line="280" w:lineRule="auto"/>
              <w:rPr>
                <w:rFonts w:ascii="Arial"/>
                <w:sz w:val="21"/>
              </w:rPr>
            </w:pPr>
            <w:r/>
          </w:p>
          <w:p>
            <w:pPr>
              <w:pStyle w:val="TableText"/>
              <w:ind w:left="634"/>
              <w:spacing w:before="74" w:line="184" w:lineRule="auto"/>
              <w:rPr/>
            </w:pPr>
            <w:r>
              <w:rPr>
                <w:spacing w:val="-7"/>
              </w:rPr>
              <w:t>18</w:t>
            </w:r>
          </w:p>
        </w:tc>
        <w:tc>
          <w:tcPr>
            <w:tcW w:w="3881" w:type="dxa"/>
            <w:vAlign w:val="top"/>
          </w:tcPr>
          <w:p>
            <w:pPr>
              <w:pStyle w:val="TableText"/>
              <w:ind w:left="95"/>
              <w:spacing w:before="58" w:line="219" w:lineRule="auto"/>
              <w:rPr/>
            </w:pPr>
            <w:r>
              <w:rPr/>
              <w:t>车间三级沉淀池沉淀后进入阳极废水</w:t>
            </w:r>
          </w:p>
          <w:p>
            <w:pPr>
              <w:pStyle w:val="TableText"/>
              <w:spacing w:before="6" w:line="185" w:lineRule="auto"/>
              <w:jc w:val="right"/>
              <w:rPr>
                <w:sz w:val="22"/>
                <w:szCs w:val="22"/>
              </w:rPr>
            </w:pPr>
            <w:r>
              <w:rPr>
                <w:sz w:val="22"/>
                <w:szCs w:val="22"/>
                <w:spacing w:val="11"/>
              </w:rPr>
              <w:t>处理系统，处理工艺为混凝沉淀A²/O+</w:t>
            </w:r>
          </w:p>
          <w:p>
            <w:pPr>
              <w:pStyle w:val="TableText"/>
              <w:ind w:left="1705"/>
              <w:spacing w:line="194" w:lineRule="auto"/>
              <w:rPr>
                <w:sz w:val="22"/>
                <w:szCs w:val="22"/>
              </w:rPr>
            </w:pPr>
            <w:r>
              <w:rPr>
                <w:sz w:val="22"/>
                <w:szCs w:val="22"/>
                <w:spacing w:val="16"/>
              </w:rPr>
              <w:t>沉淀</w:t>
            </w:r>
          </w:p>
        </w:tc>
      </w:tr>
      <w:tr>
        <w:trPr>
          <w:trHeight w:val="829" w:hRule="atLeast"/>
        </w:trPr>
        <w:tc>
          <w:tcPr>
            <w:tcW w:w="425" w:type="dxa"/>
            <w:vAlign w:val="top"/>
            <w:vMerge w:val="continue"/>
            <w:tcBorders>
              <w:top w:val="nil"/>
              <w:bottom w:val="nil"/>
            </w:tcBorders>
          </w:tcPr>
          <w:p>
            <w:pPr>
              <w:rPr>
                <w:rFonts w:ascii="Arial"/>
                <w:sz w:val="21"/>
              </w:rPr>
            </w:pPr>
            <w:r/>
          </w:p>
        </w:tc>
        <w:tc>
          <w:tcPr>
            <w:tcW w:w="719" w:type="dxa"/>
            <w:vAlign w:val="top"/>
            <w:vMerge w:val="continue"/>
            <w:textDirection w:val="tbRlV"/>
            <w:tcBorders>
              <w:top w:val="nil"/>
              <w:bottom w:val="nil"/>
            </w:tcBorders>
          </w:tcPr>
          <w:p>
            <w:pPr>
              <w:rPr>
                <w:rFonts w:ascii="Arial"/>
                <w:sz w:val="21"/>
              </w:rPr>
            </w:pPr>
            <w:r/>
          </w:p>
        </w:tc>
        <w:tc>
          <w:tcPr>
            <w:tcW w:w="1259" w:type="dxa"/>
            <w:vAlign w:val="top"/>
          </w:tcPr>
          <w:p>
            <w:pPr>
              <w:pStyle w:val="TableText"/>
              <w:ind w:left="390" w:right="153" w:hanging="230"/>
              <w:spacing w:before="198" w:line="218" w:lineRule="auto"/>
              <w:rPr/>
            </w:pPr>
            <w:r>
              <w:rPr>
                <w:spacing w:val="3"/>
              </w:rPr>
              <w:t>凹版生产</w:t>
            </w:r>
            <w:r>
              <w:rPr>
                <w:spacing w:val="1"/>
              </w:rPr>
              <w:t xml:space="preserve"> </w:t>
            </w:r>
            <w:r>
              <w:rPr>
                <w:spacing w:val="5"/>
              </w:rPr>
              <w:t>用水</w:t>
            </w:r>
          </w:p>
        </w:tc>
        <w:tc>
          <w:tcPr>
            <w:tcW w:w="919" w:type="dxa"/>
            <w:vAlign w:val="top"/>
          </w:tcPr>
          <w:p>
            <w:pPr>
              <w:spacing w:line="292" w:lineRule="auto"/>
              <w:rPr>
                <w:rFonts w:ascii="Arial"/>
                <w:sz w:val="21"/>
              </w:rPr>
            </w:pPr>
            <w:r/>
          </w:p>
          <w:p>
            <w:pPr>
              <w:pStyle w:val="TableText"/>
              <w:ind w:left="391"/>
              <w:spacing w:before="75" w:line="182" w:lineRule="auto"/>
              <w:rPr/>
            </w:pPr>
            <w:r>
              <w:rPr/>
              <w:t>7</w:t>
            </w:r>
          </w:p>
        </w:tc>
        <w:tc>
          <w:tcPr>
            <w:tcW w:w="1059" w:type="dxa"/>
            <w:vAlign w:val="top"/>
          </w:tcPr>
          <w:p>
            <w:pPr>
              <w:spacing w:line="291" w:lineRule="auto"/>
              <w:rPr>
                <w:rFonts w:ascii="Arial"/>
                <w:sz w:val="21"/>
              </w:rPr>
            </w:pPr>
            <w:r/>
          </w:p>
          <w:p>
            <w:pPr>
              <w:pStyle w:val="TableText"/>
              <w:ind w:left="342"/>
              <w:spacing w:before="75" w:line="183" w:lineRule="auto"/>
              <w:rPr/>
            </w:pPr>
            <w:r>
              <w:rPr>
                <w:spacing w:val="-3"/>
              </w:rPr>
              <w:t>0.7</w:t>
            </w:r>
          </w:p>
        </w:tc>
        <w:tc>
          <w:tcPr>
            <w:tcW w:w="1508" w:type="dxa"/>
            <w:vAlign w:val="top"/>
          </w:tcPr>
          <w:p>
            <w:pPr>
              <w:spacing w:line="291" w:lineRule="auto"/>
              <w:rPr>
                <w:rFonts w:ascii="Arial"/>
                <w:sz w:val="21"/>
              </w:rPr>
            </w:pPr>
            <w:r/>
          </w:p>
          <w:p>
            <w:pPr>
              <w:pStyle w:val="TableText"/>
              <w:ind w:left="573"/>
              <w:spacing w:before="75" w:line="183" w:lineRule="auto"/>
              <w:rPr/>
            </w:pPr>
            <w:r>
              <w:rPr>
                <w:spacing w:val="-3"/>
              </w:rPr>
              <w:t>6.3</w:t>
            </w:r>
          </w:p>
        </w:tc>
        <w:tc>
          <w:tcPr>
            <w:tcW w:w="3881" w:type="dxa"/>
            <w:vAlign w:val="top"/>
          </w:tcPr>
          <w:p>
            <w:pPr>
              <w:pStyle w:val="TableText"/>
              <w:spacing w:before="67" w:line="217" w:lineRule="auto"/>
              <w:jc w:val="right"/>
              <w:rPr/>
            </w:pPr>
            <w:r>
              <w:rPr>
                <w:spacing w:val="-4"/>
              </w:rPr>
              <w:t>纳入阳极生产废水处理系统，车间三级</w:t>
            </w:r>
          </w:p>
          <w:p>
            <w:pPr>
              <w:pStyle w:val="TableText"/>
              <w:spacing w:line="193" w:lineRule="auto"/>
              <w:jc w:val="right"/>
              <w:rPr/>
            </w:pPr>
            <w:r>
              <w:rPr>
                <w:spacing w:val="-5"/>
              </w:rPr>
              <w:t>沉淀池沉淀后进入阳极废水处理系统，</w:t>
            </w:r>
          </w:p>
          <w:p>
            <w:pPr>
              <w:pStyle w:val="TableText"/>
              <w:ind w:left="326"/>
              <w:spacing w:line="192" w:lineRule="auto"/>
              <w:rPr/>
            </w:pPr>
            <w:r>
              <w:rPr>
                <w:spacing w:val="7"/>
              </w:rPr>
              <w:t>处理工艺为混凝沉淀A²/O+沉淀</w:t>
            </w:r>
          </w:p>
        </w:tc>
      </w:tr>
      <w:tr>
        <w:trPr>
          <w:trHeight w:val="275" w:hRule="atLeast"/>
        </w:trPr>
        <w:tc>
          <w:tcPr>
            <w:tcW w:w="425" w:type="dxa"/>
            <w:vAlign w:val="top"/>
            <w:vMerge w:val="continue"/>
            <w:tcBorders>
              <w:top w:val="nil"/>
            </w:tcBorders>
          </w:tcPr>
          <w:p>
            <w:pPr>
              <w:rPr>
                <w:rFonts w:ascii="Arial"/>
                <w:sz w:val="21"/>
              </w:rPr>
            </w:pPr>
            <w:r/>
          </w:p>
        </w:tc>
        <w:tc>
          <w:tcPr>
            <w:tcW w:w="719" w:type="dxa"/>
            <w:vAlign w:val="top"/>
            <w:vMerge w:val="continue"/>
            <w:textDirection w:val="tbRlV"/>
            <w:tcBorders>
              <w:top w:val="nil"/>
            </w:tcBorders>
          </w:tcPr>
          <w:p>
            <w:pPr>
              <w:rPr>
                <w:rFonts w:ascii="Arial"/>
                <w:sz w:val="21"/>
              </w:rPr>
            </w:pPr>
            <w:r/>
          </w:p>
        </w:tc>
        <w:tc>
          <w:tcPr>
            <w:tcW w:w="1259" w:type="dxa"/>
            <w:vAlign w:val="top"/>
          </w:tcPr>
          <w:p>
            <w:pPr>
              <w:pStyle w:val="TableText"/>
              <w:ind w:left="160"/>
              <w:spacing w:before="30" w:line="188" w:lineRule="auto"/>
              <w:rPr/>
            </w:pPr>
            <w:r>
              <w:rPr>
                <w:spacing w:val="-2"/>
              </w:rPr>
              <w:t>锅炉软化</w:t>
            </w:r>
          </w:p>
        </w:tc>
        <w:tc>
          <w:tcPr>
            <w:tcW w:w="919" w:type="dxa"/>
            <w:vAlign w:val="top"/>
          </w:tcPr>
          <w:p>
            <w:pPr>
              <w:pStyle w:val="TableText"/>
              <w:ind w:left="331"/>
              <w:spacing w:before="90" w:line="175" w:lineRule="exact"/>
              <w:rPr/>
            </w:pPr>
            <w:r>
              <w:rPr>
                <w:spacing w:val="-4"/>
                <w:position w:val="-3"/>
              </w:rPr>
              <w:t>77</w:t>
            </w:r>
          </w:p>
        </w:tc>
        <w:tc>
          <w:tcPr>
            <w:tcW w:w="1059" w:type="dxa"/>
            <w:vAlign w:val="top"/>
          </w:tcPr>
          <w:p>
            <w:pPr>
              <w:pStyle w:val="TableText"/>
              <w:ind w:left="292"/>
              <w:spacing w:before="87" w:line="177" w:lineRule="exact"/>
              <w:rPr/>
            </w:pPr>
            <w:r>
              <w:rPr>
                <w:spacing w:val="-5"/>
                <w:position w:val="-3"/>
              </w:rPr>
              <w:t>15.4</w:t>
            </w:r>
          </w:p>
        </w:tc>
        <w:tc>
          <w:tcPr>
            <w:tcW w:w="1508" w:type="dxa"/>
            <w:vAlign w:val="top"/>
          </w:tcPr>
          <w:p>
            <w:pPr>
              <w:pStyle w:val="TableText"/>
              <w:ind w:left="113"/>
              <w:spacing w:before="30" w:line="188" w:lineRule="auto"/>
              <w:rPr/>
            </w:pPr>
            <w:r>
              <w:rPr>
                <w:spacing w:val="-2"/>
              </w:rPr>
              <w:t>23.1(软化浓</w:t>
            </w:r>
          </w:p>
        </w:tc>
        <w:tc>
          <w:tcPr>
            <w:tcW w:w="3881" w:type="dxa"/>
            <w:vAlign w:val="top"/>
          </w:tcPr>
          <w:p>
            <w:pPr>
              <w:pStyle w:val="TableText"/>
              <w:ind w:left="1015"/>
              <w:spacing w:before="29" w:line="189" w:lineRule="auto"/>
              <w:rPr/>
            </w:pPr>
            <w:r>
              <w:rPr>
                <w:spacing w:val="2"/>
              </w:rPr>
              <w:t>排入市政污水管网</w:t>
            </w:r>
          </w:p>
        </w:tc>
      </w:tr>
    </w:tbl>
    <w:p>
      <w:pPr>
        <w:rPr>
          <w:rFonts w:ascii="Arial"/>
          <w:sz w:val="21"/>
        </w:rPr>
      </w:pPr>
      <w:r/>
    </w:p>
    <w:p>
      <w:pPr>
        <w:sectPr>
          <w:footerReference w:type="default" r:id="rId16"/>
          <w:pgSz w:w="11900" w:h="16840"/>
          <w:pgMar w:top="1431" w:right="994" w:bottom="988" w:left="1125" w:header="0" w:footer="849" w:gutter="0"/>
        </w:sectPr>
        <w:rPr>
          <w:rFonts w:ascii="Arial" w:hAnsi="Arial" w:eastAsia="Arial" w:cs="Arial"/>
          <w:sz w:val="21"/>
          <w:szCs w:val="21"/>
        </w:rPr>
      </w:pPr>
    </w:p>
    <w:p>
      <w:pPr>
        <w:spacing w:line="141" w:lineRule="auto"/>
        <w:rPr>
          <w:rFonts w:ascii="Arial"/>
          <w:sz w:val="2"/>
        </w:rPr>
      </w:pPr>
      <w:r>
        <w:rPr>
          <w:rFonts w:ascii="Arial"/>
          <w:sz w:val="2"/>
        </w:rPr>
      </w:r>
    </w:p>
    <w:tbl>
      <w:tblPr>
        <w:tblStyle w:val="TableNormal"/>
        <w:tblW w:w="97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35"/>
        <w:gridCol w:w="709"/>
        <w:gridCol w:w="1249"/>
        <w:gridCol w:w="929"/>
        <w:gridCol w:w="1059"/>
        <w:gridCol w:w="1508"/>
        <w:gridCol w:w="3891"/>
      </w:tblGrid>
      <w:tr>
        <w:trPr>
          <w:trHeight w:val="563" w:hRule="atLeast"/>
        </w:trPr>
        <w:tc>
          <w:tcPr>
            <w:tcW w:w="435" w:type="dxa"/>
            <w:vAlign w:val="top"/>
            <w:vMerge w:val="restart"/>
            <w:tcBorders>
              <w:bottom w:val="nil"/>
            </w:tcBorders>
          </w:tcPr>
          <w:p>
            <w:pPr>
              <w:rPr>
                <w:rFonts w:ascii="Arial"/>
                <w:sz w:val="21"/>
              </w:rPr>
            </w:pPr>
            <w:r/>
          </w:p>
        </w:tc>
        <w:tc>
          <w:tcPr>
            <w:tcW w:w="709" w:type="dxa"/>
            <w:vAlign w:val="top"/>
            <w:vMerge w:val="restart"/>
            <w:tcBorders>
              <w:bottom w:val="nil"/>
            </w:tcBorders>
          </w:tcPr>
          <w:p>
            <w:pPr>
              <w:rPr>
                <w:rFonts w:ascii="Arial"/>
                <w:sz w:val="21"/>
              </w:rPr>
            </w:pPr>
            <w:r/>
          </w:p>
        </w:tc>
        <w:tc>
          <w:tcPr>
            <w:tcW w:w="1249" w:type="dxa"/>
            <w:vAlign w:val="top"/>
          </w:tcPr>
          <w:p>
            <w:pPr>
              <w:pStyle w:val="TableText"/>
              <w:ind w:left="210"/>
              <w:spacing w:before="53" w:line="219" w:lineRule="auto"/>
              <w:rPr>
                <w:sz w:val="20"/>
                <w:szCs w:val="20"/>
              </w:rPr>
            </w:pPr>
            <w:r>
              <w:rPr>
                <w:sz w:val="20"/>
                <w:szCs w:val="20"/>
                <w:spacing w:val="2"/>
              </w:rPr>
              <w:t>系统用水</w:t>
            </w:r>
          </w:p>
        </w:tc>
        <w:tc>
          <w:tcPr>
            <w:tcW w:w="929" w:type="dxa"/>
            <w:vAlign w:val="top"/>
          </w:tcPr>
          <w:p>
            <w:pPr>
              <w:rPr>
                <w:rFonts w:ascii="Arial"/>
                <w:sz w:val="21"/>
              </w:rPr>
            </w:pPr>
            <w:r/>
          </w:p>
        </w:tc>
        <w:tc>
          <w:tcPr>
            <w:tcW w:w="1059" w:type="dxa"/>
            <w:vAlign w:val="top"/>
          </w:tcPr>
          <w:p>
            <w:pPr>
              <w:rPr>
                <w:rFonts w:ascii="Arial"/>
                <w:sz w:val="21"/>
              </w:rPr>
            </w:pPr>
            <w:r/>
          </w:p>
        </w:tc>
        <w:tc>
          <w:tcPr>
            <w:tcW w:w="1508" w:type="dxa"/>
            <w:vAlign w:val="top"/>
          </w:tcPr>
          <w:p>
            <w:pPr>
              <w:pStyle w:val="TableText"/>
              <w:ind w:left="293" w:right="141" w:hanging="150"/>
              <w:spacing w:before="22" w:line="245" w:lineRule="auto"/>
              <w:rPr>
                <w:sz w:val="20"/>
                <w:szCs w:val="20"/>
              </w:rPr>
            </w:pPr>
            <w:r>
              <w:rPr>
                <w:sz w:val="20"/>
                <w:szCs w:val="20"/>
                <w:spacing w:val="1"/>
              </w:rPr>
              <w:t>水)、38.5(锅</w:t>
            </w:r>
            <w:r>
              <w:rPr>
                <w:sz w:val="20"/>
                <w:szCs w:val="20"/>
                <w:spacing w:val="2"/>
              </w:rPr>
              <w:t xml:space="preserve"> </w:t>
            </w:r>
            <w:r>
              <w:rPr>
                <w:sz w:val="20"/>
                <w:szCs w:val="20"/>
                <w:spacing w:val="8"/>
              </w:rPr>
              <w:t>炉排污水)</w:t>
            </w:r>
          </w:p>
        </w:tc>
        <w:tc>
          <w:tcPr>
            <w:tcW w:w="3891" w:type="dxa"/>
            <w:vAlign w:val="top"/>
          </w:tcPr>
          <w:p>
            <w:pPr>
              <w:rPr>
                <w:rFonts w:ascii="Arial"/>
                <w:sz w:val="21"/>
              </w:rPr>
            </w:pPr>
            <w:r/>
          </w:p>
        </w:tc>
      </w:tr>
      <w:tr>
        <w:trPr>
          <w:trHeight w:val="259" w:hRule="atLeast"/>
        </w:trPr>
        <w:tc>
          <w:tcPr>
            <w:tcW w:w="435" w:type="dxa"/>
            <w:vAlign w:val="top"/>
            <w:vMerge w:val="continue"/>
            <w:tcBorders>
              <w:top w:val="nil"/>
              <w:bottom w:val="nil"/>
            </w:tcBorders>
          </w:tcPr>
          <w:p>
            <w:pPr>
              <w:rPr>
                <w:rFonts w:ascii="Arial"/>
                <w:sz w:val="21"/>
              </w:rPr>
            </w:pPr>
            <w:r/>
          </w:p>
        </w:tc>
        <w:tc>
          <w:tcPr>
            <w:tcW w:w="709" w:type="dxa"/>
            <w:vAlign w:val="top"/>
            <w:vMerge w:val="continue"/>
            <w:tcBorders>
              <w:top w:val="nil"/>
              <w:bottom w:val="nil"/>
            </w:tcBorders>
          </w:tcPr>
          <w:p>
            <w:pPr>
              <w:rPr>
                <w:rFonts w:ascii="Arial"/>
                <w:sz w:val="21"/>
              </w:rPr>
            </w:pPr>
            <w:r/>
          </w:p>
        </w:tc>
        <w:tc>
          <w:tcPr>
            <w:tcW w:w="1249" w:type="dxa"/>
            <w:vAlign w:val="top"/>
          </w:tcPr>
          <w:p>
            <w:pPr>
              <w:pStyle w:val="TableText"/>
              <w:ind w:left="210"/>
              <w:spacing w:before="30" w:line="202" w:lineRule="auto"/>
              <w:rPr>
                <w:sz w:val="20"/>
                <w:szCs w:val="20"/>
              </w:rPr>
            </w:pPr>
            <w:r>
              <w:rPr>
                <w:sz w:val="20"/>
                <w:szCs w:val="20"/>
                <w:spacing w:val="-2"/>
              </w:rPr>
              <w:t>冷却用水</w:t>
            </w:r>
          </w:p>
        </w:tc>
        <w:tc>
          <w:tcPr>
            <w:tcW w:w="929" w:type="dxa"/>
            <w:vAlign w:val="top"/>
          </w:tcPr>
          <w:p>
            <w:pPr>
              <w:pStyle w:val="TableText"/>
              <w:ind w:left="202"/>
              <w:spacing w:before="81" w:line="168" w:lineRule="exact"/>
              <w:rPr>
                <w:sz w:val="20"/>
                <w:szCs w:val="20"/>
              </w:rPr>
            </w:pPr>
            <w:r>
              <w:rPr>
                <w:sz w:val="20"/>
                <w:szCs w:val="20"/>
                <w:spacing w:val="-2"/>
                <w:position w:val="-2"/>
              </w:rPr>
              <w:t>923.2</w:t>
            </w:r>
          </w:p>
        </w:tc>
        <w:tc>
          <w:tcPr>
            <w:tcW w:w="1059" w:type="dxa"/>
            <w:vAlign w:val="top"/>
          </w:tcPr>
          <w:p>
            <w:pPr>
              <w:pStyle w:val="TableText"/>
              <w:ind w:left="372"/>
              <w:spacing w:before="81" w:line="168" w:lineRule="exact"/>
              <w:rPr>
                <w:sz w:val="20"/>
                <w:szCs w:val="20"/>
              </w:rPr>
            </w:pPr>
            <w:r>
              <w:rPr>
                <w:sz w:val="20"/>
                <w:szCs w:val="20"/>
                <w:spacing w:val="-2"/>
                <w:position w:val="-2"/>
              </w:rPr>
              <w:t>891</w:t>
            </w:r>
          </w:p>
        </w:tc>
        <w:tc>
          <w:tcPr>
            <w:tcW w:w="1508" w:type="dxa"/>
            <w:vAlign w:val="top"/>
          </w:tcPr>
          <w:p>
            <w:pPr>
              <w:pStyle w:val="TableText"/>
              <w:ind w:left="543"/>
              <w:spacing w:before="81" w:line="168" w:lineRule="exact"/>
              <w:rPr>
                <w:sz w:val="20"/>
                <w:szCs w:val="20"/>
              </w:rPr>
            </w:pPr>
            <w:r>
              <w:rPr>
                <w:sz w:val="20"/>
                <w:szCs w:val="20"/>
                <w:spacing w:val="-3"/>
                <w:position w:val="-2"/>
              </w:rPr>
              <w:t>32.2</w:t>
            </w:r>
          </w:p>
        </w:tc>
        <w:tc>
          <w:tcPr>
            <w:tcW w:w="3891" w:type="dxa"/>
            <w:vAlign w:val="top"/>
          </w:tcPr>
          <w:p>
            <w:pPr>
              <w:pStyle w:val="TableText"/>
              <w:ind w:left="1135"/>
              <w:spacing w:before="30" w:line="202" w:lineRule="auto"/>
              <w:rPr>
                <w:sz w:val="20"/>
                <w:szCs w:val="20"/>
              </w:rPr>
            </w:pPr>
            <w:r>
              <w:rPr>
                <w:sz w:val="20"/>
                <w:szCs w:val="20"/>
                <w:spacing w:val="2"/>
              </w:rPr>
              <w:t>排入市政污水管网</w:t>
            </w:r>
          </w:p>
        </w:tc>
      </w:tr>
      <w:tr>
        <w:trPr>
          <w:trHeight w:val="548" w:hRule="atLeast"/>
        </w:trPr>
        <w:tc>
          <w:tcPr>
            <w:tcW w:w="435" w:type="dxa"/>
            <w:vAlign w:val="top"/>
            <w:vMerge w:val="continue"/>
            <w:tcBorders>
              <w:top w:val="nil"/>
              <w:bottom w:val="nil"/>
            </w:tcBorders>
          </w:tcPr>
          <w:p>
            <w:pPr>
              <w:rPr>
                <w:rFonts w:ascii="Arial"/>
                <w:sz w:val="21"/>
              </w:rPr>
            </w:pPr>
            <w:r/>
          </w:p>
        </w:tc>
        <w:tc>
          <w:tcPr>
            <w:tcW w:w="709" w:type="dxa"/>
            <w:vAlign w:val="top"/>
            <w:vMerge w:val="continue"/>
            <w:tcBorders>
              <w:top w:val="nil"/>
            </w:tcBorders>
          </w:tcPr>
          <w:p>
            <w:pPr>
              <w:rPr>
                <w:rFonts w:ascii="Arial"/>
                <w:sz w:val="21"/>
              </w:rPr>
            </w:pPr>
            <w:r/>
          </w:p>
        </w:tc>
        <w:tc>
          <w:tcPr>
            <w:tcW w:w="1249" w:type="dxa"/>
            <w:vAlign w:val="top"/>
          </w:tcPr>
          <w:p>
            <w:pPr>
              <w:pStyle w:val="TableText"/>
              <w:ind w:left="410"/>
              <w:spacing w:before="182" w:line="221" w:lineRule="auto"/>
              <w:rPr>
                <w:sz w:val="20"/>
                <w:szCs w:val="20"/>
              </w:rPr>
            </w:pPr>
            <w:r>
              <w:rPr>
                <w:sz w:val="20"/>
                <w:szCs w:val="20"/>
                <w:spacing w:val="4"/>
              </w:rPr>
              <w:t>小计</w:t>
            </w:r>
          </w:p>
        </w:tc>
        <w:tc>
          <w:tcPr>
            <w:tcW w:w="929" w:type="dxa"/>
            <w:vAlign w:val="top"/>
          </w:tcPr>
          <w:p>
            <w:pPr>
              <w:pStyle w:val="TableText"/>
              <w:ind w:left="151"/>
              <w:spacing w:before="231" w:line="184" w:lineRule="auto"/>
              <w:rPr>
                <w:sz w:val="20"/>
                <w:szCs w:val="20"/>
              </w:rPr>
            </w:pPr>
            <w:r>
              <w:rPr>
                <w:sz w:val="20"/>
                <w:szCs w:val="20"/>
                <w:spacing w:val="-4"/>
              </w:rPr>
              <w:t>1185.9</w:t>
            </w:r>
          </w:p>
        </w:tc>
        <w:tc>
          <w:tcPr>
            <w:tcW w:w="1059" w:type="dxa"/>
            <w:vAlign w:val="top"/>
          </w:tcPr>
          <w:p>
            <w:pPr>
              <w:pStyle w:val="TableText"/>
              <w:ind w:left="272"/>
              <w:spacing w:before="232" w:line="183" w:lineRule="auto"/>
              <w:rPr>
                <w:sz w:val="20"/>
                <w:szCs w:val="20"/>
              </w:rPr>
            </w:pPr>
            <w:r>
              <w:rPr>
                <w:sz w:val="20"/>
                <w:szCs w:val="20"/>
                <w:spacing w:val="-2"/>
              </w:rPr>
              <w:t>998.3</w:t>
            </w:r>
          </w:p>
        </w:tc>
        <w:tc>
          <w:tcPr>
            <w:tcW w:w="1508" w:type="dxa"/>
            <w:vAlign w:val="top"/>
          </w:tcPr>
          <w:p>
            <w:pPr>
              <w:pStyle w:val="TableText"/>
              <w:ind w:left="543"/>
              <w:spacing w:before="231" w:line="184" w:lineRule="auto"/>
              <w:rPr>
                <w:sz w:val="20"/>
                <w:szCs w:val="20"/>
              </w:rPr>
            </w:pPr>
            <w:r>
              <w:rPr>
                <w:sz w:val="20"/>
                <w:szCs w:val="20"/>
                <w:spacing w:val="-3"/>
              </w:rPr>
              <w:t>35.1</w:t>
            </w:r>
          </w:p>
        </w:tc>
        <w:tc>
          <w:tcPr>
            <w:tcW w:w="3891" w:type="dxa"/>
            <w:vAlign w:val="top"/>
          </w:tcPr>
          <w:p>
            <w:pPr>
              <w:pStyle w:val="TableText"/>
              <w:ind w:left="338"/>
              <w:spacing w:before="48" w:line="219" w:lineRule="auto"/>
              <w:rPr>
                <w:sz w:val="20"/>
                <w:szCs w:val="20"/>
              </w:rPr>
            </w:pPr>
            <w:r>
              <w:rPr>
                <w:sz w:val="20"/>
                <w:szCs w:val="20"/>
                <w:b/>
                <w:bCs/>
                <w:spacing w:val="-3"/>
              </w:rPr>
              <w:t>排放量不含纯水制备废水、锅炉排污</w:t>
            </w:r>
          </w:p>
          <w:p>
            <w:pPr>
              <w:pStyle w:val="TableText"/>
              <w:ind w:left="438"/>
              <w:spacing w:before="42" w:line="194" w:lineRule="auto"/>
              <w:rPr>
                <w:sz w:val="20"/>
                <w:szCs w:val="20"/>
              </w:rPr>
            </w:pPr>
            <w:r>
              <w:rPr>
                <w:sz w:val="20"/>
                <w:szCs w:val="20"/>
                <w:b/>
                <w:bCs/>
                <w:spacing w:val="-3"/>
              </w:rPr>
              <w:t>水、软化水、循环冷却废水等排放</w:t>
            </w:r>
          </w:p>
        </w:tc>
      </w:tr>
      <w:tr>
        <w:trPr>
          <w:trHeight w:val="558" w:hRule="atLeast"/>
        </w:trPr>
        <w:tc>
          <w:tcPr>
            <w:tcW w:w="435" w:type="dxa"/>
            <w:vAlign w:val="top"/>
            <w:vMerge w:val="continue"/>
            <w:tcBorders>
              <w:top w:val="nil"/>
              <w:bottom w:val="nil"/>
            </w:tcBorders>
          </w:tcPr>
          <w:p>
            <w:pPr>
              <w:rPr>
                <w:rFonts w:ascii="Arial"/>
                <w:sz w:val="21"/>
              </w:rPr>
            </w:pPr>
            <w:r/>
          </w:p>
        </w:tc>
        <w:tc>
          <w:tcPr>
            <w:tcW w:w="709" w:type="dxa"/>
            <w:vAlign w:val="top"/>
            <w:vMerge w:val="restart"/>
            <w:textDirection w:val="tbRlV"/>
            <w:tcBorders>
              <w:bottom w:val="nil"/>
            </w:tcBorders>
          </w:tcPr>
          <w:p>
            <w:pPr>
              <w:pStyle w:val="TableText"/>
              <w:ind w:left="165"/>
              <w:spacing w:before="209" w:line="216" w:lineRule="auto"/>
              <w:rPr>
                <w:sz w:val="20"/>
                <w:szCs w:val="20"/>
              </w:rPr>
            </w:pPr>
            <w:r>
              <w:rPr>
                <w:sz w:val="20"/>
                <w:szCs w:val="20"/>
              </w:rPr>
              <w:t>生</w:t>
            </w:r>
            <w:r>
              <w:rPr>
                <w:sz w:val="20"/>
                <w:szCs w:val="20"/>
                <w:spacing w:val="-16"/>
              </w:rPr>
              <w:t xml:space="preserve"> </w:t>
            </w:r>
            <w:r>
              <w:rPr>
                <w:sz w:val="20"/>
                <w:szCs w:val="20"/>
              </w:rPr>
              <w:t>活</w:t>
            </w:r>
            <w:r>
              <w:rPr>
                <w:sz w:val="20"/>
                <w:szCs w:val="20"/>
                <w:spacing w:val="-16"/>
              </w:rPr>
              <w:t xml:space="preserve"> </w:t>
            </w:r>
            <w:r>
              <w:rPr>
                <w:sz w:val="20"/>
                <w:szCs w:val="20"/>
              </w:rPr>
              <w:t>用</w:t>
            </w:r>
            <w:r>
              <w:rPr>
                <w:sz w:val="20"/>
                <w:szCs w:val="20"/>
                <w:spacing w:val="-16"/>
              </w:rPr>
              <w:t xml:space="preserve"> </w:t>
            </w:r>
            <w:r>
              <w:rPr>
                <w:sz w:val="20"/>
                <w:szCs w:val="20"/>
              </w:rPr>
              <w:t>水</w:t>
            </w:r>
          </w:p>
        </w:tc>
        <w:tc>
          <w:tcPr>
            <w:tcW w:w="1249" w:type="dxa"/>
            <w:vAlign w:val="top"/>
          </w:tcPr>
          <w:p>
            <w:pPr>
              <w:pStyle w:val="TableText"/>
              <w:ind w:left="210"/>
              <w:spacing w:before="183" w:line="219" w:lineRule="auto"/>
              <w:rPr>
                <w:sz w:val="20"/>
                <w:szCs w:val="20"/>
              </w:rPr>
            </w:pPr>
            <w:r>
              <w:rPr>
                <w:sz w:val="20"/>
                <w:szCs w:val="20"/>
                <w:spacing w:val="-2"/>
              </w:rPr>
              <w:t>食堂用水</w:t>
            </w:r>
          </w:p>
        </w:tc>
        <w:tc>
          <w:tcPr>
            <w:tcW w:w="929" w:type="dxa"/>
            <w:vAlign w:val="top"/>
          </w:tcPr>
          <w:p>
            <w:pPr>
              <w:pStyle w:val="TableText"/>
              <w:ind w:left="401"/>
              <w:spacing w:before="234" w:line="183" w:lineRule="auto"/>
              <w:rPr>
                <w:sz w:val="20"/>
                <w:szCs w:val="20"/>
              </w:rPr>
            </w:pPr>
            <w:r>
              <w:rPr>
                <w:sz w:val="20"/>
                <w:szCs w:val="20"/>
              </w:rPr>
              <w:t>9</w:t>
            </w:r>
          </w:p>
        </w:tc>
        <w:tc>
          <w:tcPr>
            <w:tcW w:w="1059" w:type="dxa"/>
            <w:vAlign w:val="top"/>
          </w:tcPr>
          <w:p>
            <w:pPr>
              <w:pStyle w:val="TableText"/>
              <w:ind w:left="372"/>
              <w:spacing w:before="233" w:line="184" w:lineRule="auto"/>
              <w:rPr>
                <w:sz w:val="20"/>
                <w:szCs w:val="20"/>
              </w:rPr>
            </w:pPr>
            <w:r>
              <w:rPr>
                <w:sz w:val="20"/>
                <w:szCs w:val="20"/>
                <w:spacing w:val="-6"/>
              </w:rPr>
              <w:t>1.8</w:t>
            </w:r>
          </w:p>
        </w:tc>
        <w:tc>
          <w:tcPr>
            <w:tcW w:w="1508" w:type="dxa"/>
            <w:vAlign w:val="top"/>
          </w:tcPr>
          <w:p>
            <w:pPr>
              <w:pStyle w:val="TableText"/>
              <w:ind w:left="594"/>
              <w:spacing w:before="235" w:line="183" w:lineRule="auto"/>
              <w:rPr>
                <w:sz w:val="20"/>
                <w:szCs w:val="20"/>
              </w:rPr>
            </w:pPr>
            <w:r>
              <w:rPr>
                <w:sz w:val="20"/>
                <w:szCs w:val="20"/>
                <w:spacing w:val="-3"/>
              </w:rPr>
              <w:t>7.2</w:t>
            </w:r>
          </w:p>
        </w:tc>
        <w:tc>
          <w:tcPr>
            <w:tcW w:w="3891" w:type="dxa"/>
            <w:vAlign w:val="top"/>
          </w:tcPr>
          <w:p>
            <w:pPr>
              <w:pStyle w:val="TableText"/>
              <w:ind w:left="1635" w:right="254" w:hanging="1400"/>
              <w:spacing w:before="54" w:line="228" w:lineRule="auto"/>
              <w:rPr>
                <w:sz w:val="20"/>
                <w:szCs w:val="20"/>
              </w:rPr>
            </w:pPr>
            <w:r>
              <w:rPr>
                <w:sz w:val="20"/>
                <w:szCs w:val="20"/>
                <w:spacing w:val="-1"/>
              </w:rPr>
              <w:t>经隔油池、化粪池处理后，排入市政污</w:t>
            </w:r>
            <w:r>
              <w:rPr>
                <w:sz w:val="20"/>
                <w:szCs w:val="20"/>
                <w:spacing w:val="6"/>
              </w:rPr>
              <w:t xml:space="preserve"> </w:t>
            </w:r>
            <w:r>
              <w:rPr>
                <w:sz w:val="20"/>
                <w:szCs w:val="20"/>
                <w:spacing w:val="6"/>
              </w:rPr>
              <w:t>水管网</w:t>
            </w:r>
          </w:p>
        </w:tc>
      </w:tr>
      <w:tr>
        <w:trPr>
          <w:trHeight w:val="539" w:hRule="atLeast"/>
        </w:trPr>
        <w:tc>
          <w:tcPr>
            <w:tcW w:w="435" w:type="dxa"/>
            <w:vAlign w:val="top"/>
            <w:vMerge w:val="continue"/>
            <w:tcBorders>
              <w:top w:val="nil"/>
              <w:bottom w:val="nil"/>
            </w:tcBorders>
          </w:tcPr>
          <w:p>
            <w:pPr>
              <w:rPr>
                <w:rFonts w:ascii="Arial"/>
                <w:sz w:val="21"/>
              </w:rPr>
            </w:pPr>
            <w:r/>
          </w:p>
        </w:tc>
        <w:tc>
          <w:tcPr>
            <w:tcW w:w="709" w:type="dxa"/>
            <w:vAlign w:val="top"/>
            <w:vMerge w:val="continue"/>
            <w:textDirection w:val="tbRlV"/>
            <w:tcBorders>
              <w:top w:val="nil"/>
              <w:bottom w:val="nil"/>
            </w:tcBorders>
          </w:tcPr>
          <w:p>
            <w:pPr>
              <w:rPr>
                <w:rFonts w:ascii="Arial"/>
                <w:sz w:val="21"/>
              </w:rPr>
            </w:pPr>
            <w:r/>
          </w:p>
        </w:tc>
        <w:tc>
          <w:tcPr>
            <w:tcW w:w="1249" w:type="dxa"/>
            <w:vAlign w:val="top"/>
          </w:tcPr>
          <w:p>
            <w:pPr>
              <w:pStyle w:val="TableText"/>
              <w:ind w:left="410" w:right="236" w:hanging="200"/>
              <w:spacing w:before="45" w:line="223" w:lineRule="auto"/>
              <w:rPr>
                <w:sz w:val="20"/>
                <w:szCs w:val="20"/>
              </w:rPr>
            </w:pPr>
            <w:r>
              <w:rPr>
                <w:sz w:val="20"/>
                <w:szCs w:val="20"/>
                <w:spacing w:val="-3"/>
              </w:rPr>
              <w:t>其他生活</w:t>
            </w:r>
            <w:r>
              <w:rPr>
                <w:sz w:val="20"/>
                <w:szCs w:val="20"/>
                <w:spacing w:val="2"/>
              </w:rPr>
              <w:t xml:space="preserve"> </w:t>
            </w:r>
            <w:r>
              <w:rPr>
                <w:sz w:val="20"/>
                <w:szCs w:val="20"/>
                <w:spacing w:val="-3"/>
              </w:rPr>
              <w:t>用水</w:t>
            </w:r>
          </w:p>
        </w:tc>
        <w:tc>
          <w:tcPr>
            <w:tcW w:w="929" w:type="dxa"/>
            <w:vAlign w:val="top"/>
          </w:tcPr>
          <w:p>
            <w:pPr>
              <w:pStyle w:val="TableText"/>
              <w:ind w:left="351"/>
              <w:spacing w:before="226" w:line="183" w:lineRule="auto"/>
              <w:rPr>
                <w:sz w:val="20"/>
                <w:szCs w:val="20"/>
              </w:rPr>
            </w:pPr>
            <w:r>
              <w:rPr>
                <w:sz w:val="20"/>
                <w:szCs w:val="20"/>
                <w:spacing w:val="-3"/>
              </w:rPr>
              <w:t>30</w:t>
            </w:r>
          </w:p>
        </w:tc>
        <w:tc>
          <w:tcPr>
            <w:tcW w:w="1059" w:type="dxa"/>
            <w:vAlign w:val="top"/>
          </w:tcPr>
          <w:p>
            <w:pPr>
              <w:pStyle w:val="TableText"/>
              <w:ind w:left="473"/>
              <w:spacing w:before="226" w:line="183" w:lineRule="auto"/>
              <w:rPr>
                <w:sz w:val="20"/>
                <w:szCs w:val="20"/>
              </w:rPr>
            </w:pPr>
            <w:r>
              <w:rPr>
                <w:sz w:val="20"/>
                <w:szCs w:val="20"/>
              </w:rPr>
              <w:t>6</w:t>
            </w:r>
          </w:p>
        </w:tc>
        <w:tc>
          <w:tcPr>
            <w:tcW w:w="1508" w:type="dxa"/>
            <w:vAlign w:val="top"/>
          </w:tcPr>
          <w:p>
            <w:pPr>
              <w:pStyle w:val="TableText"/>
              <w:ind w:left="644"/>
              <w:spacing w:before="226" w:line="183" w:lineRule="auto"/>
              <w:rPr>
                <w:sz w:val="20"/>
                <w:szCs w:val="20"/>
              </w:rPr>
            </w:pPr>
            <w:r>
              <w:rPr>
                <w:sz w:val="20"/>
                <w:szCs w:val="20"/>
                <w:spacing w:val="-3"/>
              </w:rPr>
              <w:t>24</w:t>
            </w:r>
          </w:p>
        </w:tc>
        <w:tc>
          <w:tcPr>
            <w:tcW w:w="3891" w:type="dxa"/>
            <w:vAlign w:val="top"/>
          </w:tcPr>
          <w:p>
            <w:pPr>
              <w:pStyle w:val="TableText"/>
              <w:ind w:left="336"/>
              <w:spacing w:before="175" w:line="219" w:lineRule="auto"/>
              <w:rPr>
                <w:sz w:val="20"/>
                <w:szCs w:val="20"/>
              </w:rPr>
            </w:pPr>
            <w:r>
              <w:rPr>
                <w:sz w:val="20"/>
                <w:szCs w:val="20"/>
                <w:spacing w:val="1"/>
              </w:rPr>
              <w:t>经化粪池处理后，排入市政污水管网</w:t>
            </w:r>
          </w:p>
        </w:tc>
      </w:tr>
      <w:tr>
        <w:trPr>
          <w:trHeight w:val="279" w:hRule="atLeast"/>
        </w:trPr>
        <w:tc>
          <w:tcPr>
            <w:tcW w:w="435" w:type="dxa"/>
            <w:vAlign w:val="top"/>
            <w:vMerge w:val="continue"/>
            <w:tcBorders>
              <w:top w:val="nil"/>
              <w:bottom w:val="nil"/>
            </w:tcBorders>
          </w:tcPr>
          <w:p>
            <w:pPr>
              <w:rPr>
                <w:rFonts w:ascii="Arial"/>
                <w:sz w:val="21"/>
              </w:rPr>
            </w:pPr>
            <w:r/>
          </w:p>
        </w:tc>
        <w:tc>
          <w:tcPr>
            <w:tcW w:w="709" w:type="dxa"/>
            <w:vAlign w:val="top"/>
            <w:vMerge w:val="continue"/>
            <w:textDirection w:val="tbRlV"/>
            <w:tcBorders>
              <w:top w:val="nil"/>
            </w:tcBorders>
          </w:tcPr>
          <w:p>
            <w:pPr>
              <w:rPr>
                <w:rFonts w:ascii="Arial"/>
                <w:sz w:val="21"/>
              </w:rPr>
            </w:pPr>
            <w:r/>
          </w:p>
        </w:tc>
        <w:tc>
          <w:tcPr>
            <w:tcW w:w="1249" w:type="dxa"/>
            <w:vAlign w:val="top"/>
          </w:tcPr>
          <w:p>
            <w:pPr>
              <w:pStyle w:val="TableText"/>
              <w:ind w:left="410"/>
              <w:spacing w:before="48" w:line="204" w:lineRule="auto"/>
              <w:rPr>
                <w:sz w:val="20"/>
                <w:szCs w:val="20"/>
              </w:rPr>
            </w:pPr>
            <w:r>
              <w:rPr>
                <w:sz w:val="20"/>
                <w:szCs w:val="20"/>
                <w:spacing w:val="4"/>
              </w:rPr>
              <w:t>小计</w:t>
            </w:r>
          </w:p>
        </w:tc>
        <w:tc>
          <w:tcPr>
            <w:tcW w:w="929" w:type="dxa"/>
            <w:vAlign w:val="top"/>
          </w:tcPr>
          <w:p>
            <w:pPr>
              <w:pStyle w:val="TableText"/>
              <w:ind w:left="351"/>
              <w:spacing w:before="97" w:line="158" w:lineRule="auto"/>
              <w:rPr>
                <w:sz w:val="20"/>
                <w:szCs w:val="20"/>
              </w:rPr>
            </w:pPr>
            <w:r>
              <w:rPr>
                <w:sz w:val="20"/>
                <w:szCs w:val="20"/>
                <w:spacing w:val="-3"/>
              </w:rPr>
              <w:t>39</w:t>
            </w:r>
          </w:p>
        </w:tc>
        <w:tc>
          <w:tcPr>
            <w:tcW w:w="1059" w:type="dxa"/>
            <w:vAlign w:val="top"/>
          </w:tcPr>
          <w:p>
            <w:pPr>
              <w:pStyle w:val="TableText"/>
              <w:ind w:left="372"/>
              <w:spacing w:before="97" w:line="158" w:lineRule="auto"/>
              <w:rPr>
                <w:sz w:val="20"/>
                <w:szCs w:val="20"/>
              </w:rPr>
            </w:pPr>
            <w:r>
              <w:rPr>
                <w:sz w:val="20"/>
                <w:szCs w:val="20"/>
                <w:spacing w:val="-3"/>
              </w:rPr>
              <w:t>7.8</w:t>
            </w:r>
          </w:p>
        </w:tc>
        <w:tc>
          <w:tcPr>
            <w:tcW w:w="1508" w:type="dxa"/>
            <w:vAlign w:val="top"/>
          </w:tcPr>
          <w:p>
            <w:pPr>
              <w:pStyle w:val="TableText"/>
              <w:ind w:left="543"/>
              <w:spacing w:before="96" w:line="159" w:lineRule="auto"/>
              <w:rPr>
                <w:sz w:val="20"/>
                <w:szCs w:val="20"/>
              </w:rPr>
            </w:pPr>
            <w:r>
              <w:rPr>
                <w:sz w:val="20"/>
                <w:szCs w:val="20"/>
                <w:spacing w:val="-3"/>
              </w:rPr>
              <w:t>31.2</w:t>
            </w:r>
          </w:p>
        </w:tc>
        <w:tc>
          <w:tcPr>
            <w:tcW w:w="3891" w:type="dxa"/>
            <w:vAlign w:val="top"/>
          </w:tcPr>
          <w:p>
            <w:pPr>
              <w:pStyle w:val="TableText"/>
              <w:ind w:left="1885"/>
              <w:spacing w:before="51" w:line="201" w:lineRule="auto"/>
              <w:rPr>
                <w:sz w:val="20"/>
                <w:szCs w:val="20"/>
              </w:rPr>
            </w:pPr>
            <w:r>
              <w:rPr>
                <w:sz w:val="20"/>
                <w:szCs w:val="20"/>
              </w:rPr>
              <w:t>/</w:t>
            </w:r>
          </w:p>
        </w:tc>
      </w:tr>
      <w:tr>
        <w:trPr>
          <w:trHeight w:val="544" w:hRule="atLeast"/>
        </w:trPr>
        <w:tc>
          <w:tcPr>
            <w:tcW w:w="435" w:type="dxa"/>
            <w:vAlign w:val="top"/>
            <w:vMerge w:val="continue"/>
            <w:tcBorders>
              <w:top w:val="nil"/>
            </w:tcBorders>
          </w:tcPr>
          <w:p>
            <w:pPr>
              <w:rPr>
                <w:rFonts w:ascii="Arial"/>
                <w:sz w:val="21"/>
              </w:rPr>
            </w:pPr>
            <w:r/>
          </w:p>
        </w:tc>
        <w:tc>
          <w:tcPr>
            <w:tcW w:w="1958" w:type="dxa"/>
            <w:vAlign w:val="top"/>
            <w:gridSpan w:val="2"/>
          </w:tcPr>
          <w:p>
            <w:pPr>
              <w:pStyle w:val="TableText"/>
              <w:ind w:left="829"/>
              <w:spacing w:before="178" w:line="221" w:lineRule="auto"/>
              <w:rPr>
                <w:sz w:val="20"/>
                <w:szCs w:val="20"/>
              </w:rPr>
            </w:pPr>
            <w:r>
              <w:rPr>
                <w:sz w:val="20"/>
                <w:szCs w:val="20"/>
                <w:spacing w:val="-3"/>
              </w:rPr>
              <w:t>合计</w:t>
            </w:r>
          </w:p>
        </w:tc>
        <w:tc>
          <w:tcPr>
            <w:tcW w:w="929" w:type="dxa"/>
            <w:vAlign w:val="top"/>
          </w:tcPr>
          <w:p>
            <w:pPr>
              <w:pStyle w:val="TableText"/>
              <w:ind w:left="151"/>
              <w:spacing w:before="227" w:line="184" w:lineRule="auto"/>
              <w:rPr>
                <w:sz w:val="20"/>
                <w:szCs w:val="20"/>
              </w:rPr>
            </w:pPr>
            <w:r>
              <w:rPr>
                <w:sz w:val="20"/>
                <w:szCs w:val="20"/>
                <w:spacing w:val="-4"/>
              </w:rPr>
              <w:t>1224.9</w:t>
            </w:r>
          </w:p>
        </w:tc>
        <w:tc>
          <w:tcPr>
            <w:tcW w:w="1059" w:type="dxa"/>
            <w:vAlign w:val="top"/>
          </w:tcPr>
          <w:p>
            <w:pPr>
              <w:pStyle w:val="TableText"/>
              <w:ind w:left="223"/>
              <w:spacing w:before="227" w:line="184" w:lineRule="auto"/>
              <w:rPr>
                <w:sz w:val="20"/>
                <w:szCs w:val="20"/>
              </w:rPr>
            </w:pPr>
            <w:r>
              <w:rPr>
                <w:sz w:val="20"/>
                <w:szCs w:val="20"/>
                <w:spacing w:val="-4"/>
              </w:rPr>
              <w:t>1006.1</w:t>
            </w:r>
          </w:p>
        </w:tc>
        <w:tc>
          <w:tcPr>
            <w:tcW w:w="1508" w:type="dxa"/>
            <w:vAlign w:val="top"/>
          </w:tcPr>
          <w:p>
            <w:pPr>
              <w:pStyle w:val="TableText"/>
              <w:ind w:left="543"/>
              <w:spacing w:before="228" w:line="183" w:lineRule="auto"/>
              <w:rPr>
                <w:sz w:val="20"/>
                <w:szCs w:val="20"/>
              </w:rPr>
            </w:pPr>
            <w:r>
              <w:rPr>
                <w:sz w:val="20"/>
                <w:szCs w:val="20"/>
                <w:spacing w:val="-2"/>
              </w:rPr>
              <w:t>66.3</w:t>
            </w:r>
          </w:p>
        </w:tc>
        <w:tc>
          <w:tcPr>
            <w:tcW w:w="3891" w:type="dxa"/>
            <w:vAlign w:val="top"/>
          </w:tcPr>
          <w:p>
            <w:pPr>
              <w:pStyle w:val="TableText"/>
              <w:ind w:left="438" w:right="452" w:hanging="240"/>
              <w:spacing w:before="14"/>
              <w:rPr>
                <w:sz w:val="20"/>
                <w:szCs w:val="20"/>
              </w:rPr>
            </w:pPr>
            <w:r>
              <w:rPr>
                <w:sz w:val="20"/>
                <w:szCs w:val="20"/>
                <w:b/>
                <w:bCs/>
                <w:spacing w:val="-3"/>
              </w:rPr>
              <w:t>排放量不含纯水制备废水、锅炉排污</w:t>
            </w:r>
            <w:r>
              <w:rPr>
                <w:sz w:val="20"/>
                <w:szCs w:val="20"/>
                <w:spacing w:val="5"/>
              </w:rPr>
              <w:t xml:space="preserve"> </w:t>
            </w:r>
            <w:r>
              <w:rPr>
                <w:sz w:val="20"/>
                <w:szCs w:val="20"/>
                <w:b/>
                <w:bCs/>
                <w:spacing w:val="-3"/>
              </w:rPr>
              <w:t>水、软化水、循环冷却废水等排放</w:t>
            </w:r>
          </w:p>
        </w:tc>
      </w:tr>
    </w:tbl>
    <w:p>
      <w:pPr>
        <w:spacing w:line="399" w:lineRule="auto"/>
        <w:rPr>
          <w:rFonts w:ascii="Arial"/>
          <w:sz w:val="21"/>
        </w:rPr>
      </w:pPr>
      <w:r/>
    </w:p>
    <w:p>
      <w:pPr>
        <w:pStyle w:val="BodyText"/>
        <w:ind w:left="558"/>
        <w:spacing w:before="78" w:line="219" w:lineRule="auto"/>
        <w:outlineLvl w:val="1"/>
        <w:rPr>
          <w:sz w:val="24"/>
          <w:szCs w:val="24"/>
        </w:rPr>
      </w:pPr>
      <w:r>
        <w:rPr>
          <w:sz w:val="24"/>
          <w:szCs w:val="24"/>
          <w:b/>
          <w:bCs/>
          <w:spacing w:val="-8"/>
        </w:rPr>
        <w:t>2.6.2本项目建成后全厂总给排水平衡</w:t>
      </w:r>
    </w:p>
    <w:p>
      <w:pPr>
        <w:pStyle w:val="BodyText"/>
        <w:ind w:left="1044"/>
        <w:spacing w:before="178" w:line="219" w:lineRule="auto"/>
        <w:rPr>
          <w:sz w:val="24"/>
          <w:szCs w:val="24"/>
        </w:rPr>
      </w:pPr>
      <w:r>
        <w:rPr>
          <w:sz w:val="24"/>
          <w:szCs w:val="24"/>
          <w:spacing w:val="-2"/>
        </w:rPr>
        <w:t>本项目建成后全厂总水平衡见表2.6-2和图2.6-2。</w:t>
      </w:r>
    </w:p>
    <w:p>
      <w:pPr>
        <w:pStyle w:val="BodyText"/>
        <w:ind w:left="2418"/>
        <w:spacing w:before="231" w:line="219" w:lineRule="auto"/>
        <w:rPr>
          <w:sz w:val="24"/>
          <w:szCs w:val="24"/>
        </w:rPr>
      </w:pPr>
      <w:r>
        <w:rPr>
          <w:sz w:val="24"/>
          <w:szCs w:val="24"/>
          <w:b/>
          <w:bCs/>
          <w:spacing w:val="-6"/>
        </w:rPr>
        <w:t>表2.6-2</w:t>
      </w:r>
      <w:r>
        <w:rPr>
          <w:sz w:val="24"/>
          <w:szCs w:val="24"/>
          <w:spacing w:val="113"/>
        </w:rPr>
        <w:t xml:space="preserve"> </w:t>
      </w:r>
      <w:r>
        <w:rPr>
          <w:sz w:val="24"/>
          <w:szCs w:val="24"/>
          <w:b/>
          <w:bCs/>
          <w:spacing w:val="-6"/>
        </w:rPr>
        <w:t>本项目建成后全厂水平衡表(单位：</w:t>
      </w:r>
      <w:r>
        <w:rPr>
          <w:sz w:val="24"/>
          <w:szCs w:val="24"/>
          <w:spacing w:val="37"/>
        </w:rPr>
        <w:t xml:space="preserve"> </w:t>
      </w:r>
      <w:r>
        <w:rPr>
          <w:sz w:val="24"/>
          <w:szCs w:val="24"/>
          <w:b/>
          <w:bCs/>
          <w:spacing w:val="-6"/>
        </w:rPr>
        <w:t>t/</w:t>
      </w:r>
      <w:r>
        <w:rPr>
          <w:sz w:val="24"/>
          <w:szCs w:val="24"/>
          <w:b/>
          <w:bCs/>
          <w:spacing w:val="-7"/>
        </w:rPr>
        <w:t>d)</w:t>
      </w:r>
    </w:p>
    <w:p>
      <w:pPr>
        <w:spacing w:line="215" w:lineRule="exact"/>
        <w:rPr/>
      </w:pPr>
      <w:r/>
    </w:p>
    <w:tbl>
      <w:tblPr>
        <w:tblStyle w:val="TableNormal"/>
        <w:tblW w:w="97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35"/>
        <w:gridCol w:w="529"/>
        <w:gridCol w:w="1668"/>
        <w:gridCol w:w="979"/>
        <w:gridCol w:w="999"/>
        <w:gridCol w:w="1419"/>
        <w:gridCol w:w="3751"/>
      </w:tblGrid>
      <w:tr>
        <w:trPr>
          <w:trHeight w:val="554" w:hRule="atLeast"/>
        </w:trPr>
        <w:tc>
          <w:tcPr>
            <w:tcW w:w="435" w:type="dxa"/>
            <w:vAlign w:val="top"/>
            <w:vMerge w:val="restart"/>
            <w:tcBorders>
              <w:bottom w:val="nil"/>
            </w:tcBorders>
          </w:tcPr>
          <w:p>
            <w:pPr>
              <w:rPr>
                <w:rFonts w:ascii="Arial"/>
                <w:sz w:val="21"/>
              </w:rPr>
            </w:pPr>
            <w:r/>
          </w:p>
        </w:tc>
        <w:tc>
          <w:tcPr>
            <w:tcW w:w="2197" w:type="dxa"/>
            <w:vAlign w:val="top"/>
            <w:gridSpan w:val="2"/>
          </w:tcPr>
          <w:p>
            <w:pPr>
              <w:pStyle w:val="TableText"/>
              <w:ind w:left="690"/>
              <w:spacing w:before="183" w:line="219" w:lineRule="auto"/>
              <w:rPr>
                <w:sz w:val="20"/>
                <w:szCs w:val="20"/>
              </w:rPr>
            </w:pPr>
            <w:r>
              <w:rPr>
                <w:sz w:val="20"/>
                <w:szCs w:val="20"/>
                <w:spacing w:val="-2"/>
              </w:rPr>
              <w:t>用水单元</w:t>
            </w:r>
          </w:p>
        </w:tc>
        <w:tc>
          <w:tcPr>
            <w:tcW w:w="979" w:type="dxa"/>
            <w:vAlign w:val="top"/>
          </w:tcPr>
          <w:p>
            <w:pPr>
              <w:pStyle w:val="TableText"/>
              <w:ind w:left="282" w:right="161" w:hanging="100"/>
              <w:spacing w:before="54" w:line="226" w:lineRule="auto"/>
              <w:rPr>
                <w:sz w:val="20"/>
                <w:szCs w:val="20"/>
              </w:rPr>
            </w:pPr>
            <w:r>
              <w:rPr>
                <w:sz w:val="20"/>
                <w:szCs w:val="20"/>
                <w:spacing w:val="8"/>
              </w:rPr>
              <w:t>新鲜用</w:t>
            </w:r>
            <w:r>
              <w:rPr>
                <w:sz w:val="20"/>
                <w:szCs w:val="20"/>
              </w:rPr>
              <w:t xml:space="preserve"> </w:t>
            </w:r>
            <w:r>
              <w:rPr>
                <w:sz w:val="20"/>
                <w:szCs w:val="20"/>
                <w:spacing w:val="-3"/>
              </w:rPr>
              <w:t>水量</w:t>
            </w:r>
          </w:p>
        </w:tc>
        <w:tc>
          <w:tcPr>
            <w:tcW w:w="999" w:type="dxa"/>
            <w:vAlign w:val="top"/>
          </w:tcPr>
          <w:p>
            <w:pPr>
              <w:pStyle w:val="TableText"/>
              <w:ind w:left="194"/>
              <w:spacing w:before="183" w:line="219" w:lineRule="auto"/>
              <w:rPr>
                <w:sz w:val="20"/>
                <w:szCs w:val="20"/>
              </w:rPr>
            </w:pPr>
            <w:r>
              <w:rPr>
                <w:sz w:val="20"/>
                <w:szCs w:val="20"/>
                <w:spacing w:val="-2"/>
              </w:rPr>
              <w:t>损耗量</w:t>
            </w:r>
          </w:p>
        </w:tc>
        <w:tc>
          <w:tcPr>
            <w:tcW w:w="1419" w:type="dxa"/>
            <w:vAlign w:val="top"/>
          </w:tcPr>
          <w:p>
            <w:pPr>
              <w:pStyle w:val="TableText"/>
              <w:ind w:left="405"/>
              <w:spacing w:before="184" w:line="221" w:lineRule="auto"/>
              <w:rPr>
                <w:sz w:val="20"/>
                <w:szCs w:val="20"/>
              </w:rPr>
            </w:pPr>
            <w:r>
              <w:rPr>
                <w:sz w:val="20"/>
                <w:szCs w:val="20"/>
                <w:spacing w:val="-2"/>
              </w:rPr>
              <w:t>排放量</w:t>
            </w:r>
          </w:p>
        </w:tc>
        <w:tc>
          <w:tcPr>
            <w:tcW w:w="3751" w:type="dxa"/>
            <w:vAlign w:val="top"/>
          </w:tcPr>
          <w:p>
            <w:pPr>
              <w:pStyle w:val="TableText"/>
              <w:ind w:left="1666"/>
              <w:spacing w:before="184" w:line="221" w:lineRule="auto"/>
              <w:rPr>
                <w:sz w:val="20"/>
                <w:szCs w:val="20"/>
              </w:rPr>
            </w:pPr>
            <w:r>
              <w:rPr>
                <w:sz w:val="20"/>
                <w:szCs w:val="20"/>
                <w:spacing w:val="5"/>
              </w:rPr>
              <w:t>备注</w:t>
            </w:r>
          </w:p>
        </w:tc>
      </w:tr>
      <w:tr>
        <w:trPr>
          <w:trHeight w:val="819" w:hRule="atLeast"/>
        </w:trPr>
        <w:tc>
          <w:tcPr>
            <w:tcW w:w="435" w:type="dxa"/>
            <w:vAlign w:val="top"/>
            <w:vMerge w:val="continue"/>
            <w:tcBorders>
              <w:top w:val="nil"/>
              <w:bottom w:val="nil"/>
            </w:tcBorders>
          </w:tcPr>
          <w:p>
            <w:pPr>
              <w:rPr>
                <w:rFonts w:ascii="Arial"/>
                <w:sz w:val="21"/>
              </w:rPr>
            </w:pPr>
            <w:r/>
          </w:p>
        </w:tc>
        <w:tc>
          <w:tcPr>
            <w:tcW w:w="529" w:type="dxa"/>
            <w:vAlign w:val="top"/>
            <w:vMerge w:val="restart"/>
            <w:textDirection w:val="tbRlV"/>
            <w:tcBorders>
              <w:bottom w:val="nil"/>
            </w:tcBorders>
          </w:tcPr>
          <w:p>
            <w:pPr>
              <w:pStyle w:val="TableText"/>
              <w:ind w:left="2331"/>
              <w:spacing w:before="109" w:line="216" w:lineRule="auto"/>
              <w:rPr>
                <w:sz w:val="20"/>
                <w:szCs w:val="20"/>
              </w:rPr>
            </w:pPr>
            <w:r>
              <w:rPr>
                <w:sz w:val="20"/>
                <w:szCs w:val="20"/>
              </w:rPr>
              <w:t>生</w:t>
            </w:r>
            <w:r>
              <w:rPr>
                <w:sz w:val="20"/>
                <w:szCs w:val="20"/>
                <w:spacing w:val="-29"/>
              </w:rPr>
              <w:t xml:space="preserve"> </w:t>
            </w:r>
            <w:r>
              <w:rPr>
                <w:sz w:val="20"/>
                <w:szCs w:val="20"/>
              </w:rPr>
              <w:t>产</w:t>
            </w:r>
            <w:r>
              <w:rPr>
                <w:sz w:val="20"/>
                <w:szCs w:val="20"/>
                <w:spacing w:val="-29"/>
              </w:rPr>
              <w:t xml:space="preserve"> </w:t>
            </w:r>
            <w:r>
              <w:rPr>
                <w:sz w:val="20"/>
                <w:szCs w:val="20"/>
              </w:rPr>
              <w:t>用</w:t>
            </w:r>
            <w:r>
              <w:rPr>
                <w:sz w:val="20"/>
                <w:szCs w:val="20"/>
                <w:spacing w:val="-29"/>
              </w:rPr>
              <w:t xml:space="preserve"> </w:t>
            </w:r>
            <w:r>
              <w:rPr>
                <w:sz w:val="20"/>
                <w:szCs w:val="20"/>
              </w:rPr>
              <w:t>水</w:t>
            </w:r>
          </w:p>
        </w:tc>
        <w:tc>
          <w:tcPr>
            <w:tcW w:w="1668" w:type="dxa"/>
            <w:vAlign w:val="top"/>
          </w:tcPr>
          <w:p>
            <w:pPr>
              <w:spacing w:line="242" w:lineRule="auto"/>
              <w:rPr>
                <w:rFonts w:ascii="Arial"/>
                <w:sz w:val="21"/>
              </w:rPr>
            </w:pPr>
            <w:r/>
          </w:p>
          <w:p>
            <w:pPr>
              <w:pStyle w:val="TableText"/>
              <w:ind w:left="421"/>
              <w:spacing w:before="65" w:line="219" w:lineRule="auto"/>
              <w:rPr>
                <w:sz w:val="20"/>
                <w:szCs w:val="20"/>
              </w:rPr>
            </w:pPr>
            <w:r>
              <w:rPr>
                <w:sz w:val="20"/>
                <w:szCs w:val="20"/>
                <w:spacing w:val="-2"/>
              </w:rPr>
              <w:t>纯水制备</w:t>
            </w:r>
          </w:p>
        </w:tc>
        <w:tc>
          <w:tcPr>
            <w:tcW w:w="979" w:type="dxa"/>
            <w:vAlign w:val="top"/>
          </w:tcPr>
          <w:p>
            <w:pPr>
              <w:spacing w:line="292" w:lineRule="auto"/>
              <w:rPr>
                <w:rFonts w:ascii="Arial"/>
                <w:sz w:val="21"/>
              </w:rPr>
            </w:pPr>
            <w:r/>
          </w:p>
          <w:p>
            <w:pPr>
              <w:pStyle w:val="TableText"/>
              <w:ind w:left="303"/>
              <w:spacing w:before="65" w:line="184" w:lineRule="auto"/>
              <w:rPr>
                <w:sz w:val="20"/>
                <w:szCs w:val="20"/>
              </w:rPr>
            </w:pPr>
            <w:r>
              <w:rPr>
                <w:sz w:val="20"/>
                <w:szCs w:val="20"/>
                <w:spacing w:val="-2"/>
              </w:rPr>
              <w:t>341.7</w:t>
            </w:r>
          </w:p>
        </w:tc>
        <w:tc>
          <w:tcPr>
            <w:tcW w:w="999" w:type="dxa"/>
            <w:vAlign w:val="top"/>
          </w:tcPr>
          <w:p>
            <w:pPr>
              <w:spacing w:line="294" w:lineRule="auto"/>
              <w:rPr>
                <w:rFonts w:ascii="Arial"/>
                <w:sz w:val="21"/>
              </w:rPr>
            </w:pPr>
            <w:r/>
          </w:p>
          <w:p>
            <w:pPr>
              <w:pStyle w:val="TableText"/>
              <w:ind w:left="293"/>
              <w:spacing w:before="65" w:line="183" w:lineRule="auto"/>
              <w:rPr>
                <w:sz w:val="20"/>
                <w:szCs w:val="20"/>
              </w:rPr>
            </w:pPr>
            <w:r>
              <w:rPr>
                <w:sz w:val="20"/>
                <w:szCs w:val="20"/>
                <w:spacing w:val="-2"/>
              </w:rPr>
              <w:t>205*</w:t>
            </w:r>
          </w:p>
        </w:tc>
        <w:tc>
          <w:tcPr>
            <w:tcW w:w="1419" w:type="dxa"/>
            <w:vAlign w:val="top"/>
          </w:tcPr>
          <w:p>
            <w:pPr>
              <w:spacing w:line="292" w:lineRule="auto"/>
              <w:rPr>
                <w:rFonts w:ascii="Arial"/>
                <w:sz w:val="21"/>
              </w:rPr>
            </w:pPr>
            <w:r/>
          </w:p>
          <w:p>
            <w:pPr>
              <w:pStyle w:val="TableText"/>
              <w:ind w:left="454"/>
              <w:spacing w:before="65" w:line="184" w:lineRule="auto"/>
              <w:rPr>
                <w:sz w:val="20"/>
                <w:szCs w:val="20"/>
              </w:rPr>
            </w:pPr>
            <w:r>
              <w:rPr>
                <w:sz w:val="20"/>
                <w:szCs w:val="20"/>
                <w:spacing w:val="-4"/>
              </w:rPr>
              <w:t>136.7</w:t>
            </w:r>
          </w:p>
        </w:tc>
        <w:tc>
          <w:tcPr>
            <w:tcW w:w="3751" w:type="dxa"/>
            <w:vAlign w:val="top"/>
          </w:tcPr>
          <w:p>
            <w:pPr>
              <w:pStyle w:val="TableText"/>
              <w:ind w:left="215"/>
              <w:spacing w:before="59" w:line="219" w:lineRule="auto"/>
              <w:rPr>
                <w:sz w:val="20"/>
                <w:szCs w:val="20"/>
              </w:rPr>
            </w:pPr>
            <w:r>
              <w:rPr>
                <w:sz w:val="20"/>
                <w:szCs w:val="20"/>
                <w:spacing w:val="1"/>
              </w:rPr>
              <w:t>纯水损耗量*即为纯水制备量，用于凹</w:t>
            </w:r>
          </w:p>
          <w:p>
            <w:pPr>
              <w:pStyle w:val="TableText"/>
              <w:ind w:left="265"/>
              <w:spacing w:before="32" w:line="219" w:lineRule="auto"/>
              <w:rPr>
                <w:sz w:val="20"/>
                <w:szCs w:val="20"/>
              </w:rPr>
            </w:pPr>
            <w:r>
              <w:rPr>
                <w:sz w:val="20"/>
                <w:szCs w:val="20"/>
                <w:spacing w:val="-1"/>
              </w:rPr>
              <w:t>版、阳极极片搅拌制浆，排放为制备</w:t>
            </w:r>
          </w:p>
          <w:p>
            <w:pPr>
              <w:pStyle w:val="TableText"/>
              <w:ind w:left="766"/>
              <w:spacing w:before="41" w:line="185" w:lineRule="auto"/>
              <w:rPr>
                <w:sz w:val="20"/>
                <w:szCs w:val="20"/>
              </w:rPr>
            </w:pPr>
            <w:r>
              <w:rPr>
                <w:sz w:val="20"/>
                <w:szCs w:val="20"/>
                <w:spacing w:val="1"/>
              </w:rPr>
              <w:t>废水，排入市政污水管网</w:t>
            </w:r>
          </w:p>
        </w:tc>
      </w:tr>
      <w:tr>
        <w:trPr>
          <w:trHeight w:val="1089" w:hRule="atLeast"/>
        </w:trPr>
        <w:tc>
          <w:tcPr>
            <w:tcW w:w="435" w:type="dxa"/>
            <w:vAlign w:val="top"/>
            <w:vMerge w:val="continue"/>
            <w:tcBorders>
              <w:top w:val="nil"/>
              <w:bottom w:val="nil"/>
            </w:tcBorders>
          </w:tcPr>
          <w:p>
            <w:pPr>
              <w:rPr>
                <w:rFonts w:ascii="Arial"/>
                <w:sz w:val="21"/>
              </w:rPr>
            </w:pPr>
            <w:r/>
          </w:p>
        </w:tc>
        <w:tc>
          <w:tcPr>
            <w:tcW w:w="529" w:type="dxa"/>
            <w:vAlign w:val="top"/>
            <w:vMerge w:val="continue"/>
            <w:textDirection w:val="tbRlV"/>
            <w:tcBorders>
              <w:top w:val="nil"/>
              <w:bottom w:val="nil"/>
            </w:tcBorders>
          </w:tcPr>
          <w:p>
            <w:pPr>
              <w:rPr>
                <w:rFonts w:ascii="Arial"/>
                <w:sz w:val="21"/>
              </w:rPr>
            </w:pPr>
            <w:r/>
          </w:p>
        </w:tc>
        <w:tc>
          <w:tcPr>
            <w:tcW w:w="1668" w:type="dxa"/>
            <w:vAlign w:val="top"/>
          </w:tcPr>
          <w:p>
            <w:pPr>
              <w:spacing w:line="254" w:lineRule="auto"/>
              <w:rPr>
                <w:rFonts w:ascii="Arial"/>
                <w:sz w:val="21"/>
              </w:rPr>
            </w:pPr>
            <w:r/>
          </w:p>
          <w:p>
            <w:pPr>
              <w:pStyle w:val="TableText"/>
              <w:ind w:left="720" w:right="112" w:hanging="600"/>
              <w:spacing w:before="65" w:line="234" w:lineRule="auto"/>
              <w:rPr>
                <w:sz w:val="20"/>
                <w:szCs w:val="20"/>
              </w:rPr>
            </w:pPr>
            <w:r>
              <w:rPr>
                <w:sz w:val="20"/>
                <w:szCs w:val="20"/>
                <w:spacing w:val="3"/>
              </w:rPr>
              <w:t>阴极车间生产用</w:t>
            </w:r>
            <w:r>
              <w:rPr>
                <w:sz w:val="20"/>
                <w:szCs w:val="20"/>
                <w:spacing w:val="2"/>
              </w:rPr>
              <w:t xml:space="preserve"> </w:t>
            </w:r>
            <w:r>
              <w:rPr>
                <w:sz w:val="20"/>
                <w:szCs w:val="20"/>
              </w:rPr>
              <w:t>水</w:t>
            </w:r>
          </w:p>
        </w:tc>
        <w:tc>
          <w:tcPr>
            <w:tcW w:w="979" w:type="dxa"/>
            <w:vAlign w:val="top"/>
          </w:tcPr>
          <w:p>
            <w:pPr>
              <w:spacing w:line="434" w:lineRule="auto"/>
              <w:rPr>
                <w:rFonts w:ascii="Arial"/>
                <w:sz w:val="21"/>
              </w:rPr>
            </w:pPr>
            <w:r/>
          </w:p>
          <w:p>
            <w:pPr>
              <w:pStyle w:val="TableText"/>
              <w:ind w:left="283"/>
              <w:spacing w:before="65" w:line="183" w:lineRule="auto"/>
              <w:rPr>
                <w:sz w:val="20"/>
                <w:szCs w:val="20"/>
              </w:rPr>
            </w:pPr>
            <w:r>
              <w:rPr>
                <w:sz w:val="20"/>
                <w:szCs w:val="20"/>
                <w:spacing w:val="-3"/>
              </w:rPr>
              <w:t>75.9</w:t>
            </w:r>
          </w:p>
        </w:tc>
        <w:tc>
          <w:tcPr>
            <w:tcW w:w="999" w:type="dxa"/>
            <w:vAlign w:val="top"/>
          </w:tcPr>
          <w:p>
            <w:pPr>
              <w:spacing w:line="434" w:lineRule="auto"/>
              <w:rPr>
                <w:rFonts w:ascii="Arial"/>
                <w:sz w:val="21"/>
              </w:rPr>
            </w:pPr>
            <w:r/>
          </w:p>
          <w:p>
            <w:pPr>
              <w:pStyle w:val="TableText"/>
              <w:ind w:left="343"/>
              <w:spacing w:before="65" w:line="183" w:lineRule="auto"/>
              <w:rPr>
                <w:sz w:val="20"/>
                <w:szCs w:val="20"/>
              </w:rPr>
            </w:pPr>
            <w:r>
              <w:rPr>
                <w:sz w:val="20"/>
                <w:szCs w:val="20"/>
                <w:spacing w:val="-3"/>
              </w:rPr>
              <w:t>7.6</w:t>
            </w:r>
          </w:p>
        </w:tc>
        <w:tc>
          <w:tcPr>
            <w:tcW w:w="1419" w:type="dxa"/>
            <w:vAlign w:val="top"/>
          </w:tcPr>
          <w:p>
            <w:pPr>
              <w:spacing w:line="434" w:lineRule="auto"/>
              <w:rPr>
                <w:rFonts w:ascii="Arial"/>
                <w:sz w:val="21"/>
              </w:rPr>
            </w:pPr>
            <w:r/>
          </w:p>
          <w:p>
            <w:pPr>
              <w:pStyle w:val="TableText"/>
              <w:ind w:left="504"/>
              <w:spacing w:before="65" w:line="183" w:lineRule="auto"/>
              <w:rPr>
                <w:sz w:val="20"/>
                <w:szCs w:val="20"/>
              </w:rPr>
            </w:pPr>
            <w:r>
              <w:rPr>
                <w:sz w:val="20"/>
                <w:szCs w:val="20"/>
                <w:spacing w:val="-2"/>
              </w:rPr>
              <w:t>68.3</w:t>
            </w:r>
          </w:p>
        </w:tc>
        <w:tc>
          <w:tcPr>
            <w:tcW w:w="3751" w:type="dxa"/>
            <w:vAlign w:val="top"/>
          </w:tcPr>
          <w:p>
            <w:pPr>
              <w:pStyle w:val="TableText"/>
              <w:ind w:left="185" w:right="384" w:hanging="19"/>
              <w:spacing w:before="59" w:line="234" w:lineRule="auto"/>
              <w:rPr>
                <w:sz w:val="20"/>
                <w:szCs w:val="20"/>
              </w:rPr>
            </w:pPr>
            <w:r>
              <w:rPr>
                <w:sz w:val="20"/>
                <w:szCs w:val="20"/>
                <w:spacing w:val="-1"/>
              </w:rPr>
              <w:t>车间三级沉淀池沉淀后进入阴极废水</w:t>
            </w:r>
            <w:r>
              <w:rPr>
                <w:sz w:val="20"/>
                <w:szCs w:val="20"/>
                <w:spacing w:val="5"/>
              </w:rPr>
              <w:t xml:space="preserve"> </w:t>
            </w:r>
            <w:r>
              <w:rPr>
                <w:sz w:val="20"/>
                <w:szCs w:val="20"/>
                <w:spacing w:val="-1"/>
              </w:rPr>
              <w:t>处理系统，处理工艺为“芬顿氧化+</w:t>
            </w:r>
          </w:p>
          <w:p>
            <w:pPr>
              <w:pStyle w:val="TableText"/>
              <w:ind w:left="416"/>
              <w:spacing w:before="14" w:line="220" w:lineRule="auto"/>
              <w:rPr>
                <w:sz w:val="20"/>
                <w:szCs w:val="20"/>
              </w:rPr>
            </w:pPr>
            <w:r>
              <w:rPr>
                <w:sz w:val="20"/>
                <w:szCs w:val="20"/>
              </w:rPr>
              <w:t>混凝沉淀”+ABR+两级AO(MBR作为</w:t>
            </w:r>
          </w:p>
          <w:p>
            <w:pPr>
              <w:pStyle w:val="TableText"/>
              <w:ind w:left="1265"/>
              <w:spacing w:before="50" w:line="193" w:lineRule="auto"/>
              <w:rPr>
                <w:sz w:val="20"/>
                <w:szCs w:val="20"/>
              </w:rPr>
            </w:pPr>
            <w:r>
              <w:rPr>
                <w:sz w:val="20"/>
                <w:szCs w:val="20"/>
                <w:spacing w:val="6"/>
              </w:rPr>
              <w:t>二级O池使用)</w:t>
            </w:r>
          </w:p>
        </w:tc>
      </w:tr>
      <w:tr>
        <w:trPr>
          <w:trHeight w:val="819" w:hRule="atLeast"/>
        </w:trPr>
        <w:tc>
          <w:tcPr>
            <w:tcW w:w="435" w:type="dxa"/>
            <w:vAlign w:val="top"/>
            <w:vMerge w:val="continue"/>
            <w:tcBorders>
              <w:top w:val="nil"/>
              <w:bottom w:val="nil"/>
            </w:tcBorders>
          </w:tcPr>
          <w:p>
            <w:pPr>
              <w:rPr>
                <w:rFonts w:ascii="Arial"/>
                <w:sz w:val="21"/>
              </w:rPr>
            </w:pPr>
            <w:r/>
          </w:p>
        </w:tc>
        <w:tc>
          <w:tcPr>
            <w:tcW w:w="529" w:type="dxa"/>
            <w:vAlign w:val="top"/>
            <w:vMerge w:val="continue"/>
            <w:textDirection w:val="tbRlV"/>
            <w:tcBorders>
              <w:top w:val="nil"/>
              <w:bottom w:val="nil"/>
            </w:tcBorders>
          </w:tcPr>
          <w:p>
            <w:pPr>
              <w:rPr>
                <w:rFonts w:ascii="Arial"/>
                <w:sz w:val="21"/>
              </w:rPr>
            </w:pPr>
            <w:r/>
          </w:p>
        </w:tc>
        <w:tc>
          <w:tcPr>
            <w:tcW w:w="1668" w:type="dxa"/>
            <w:vAlign w:val="top"/>
          </w:tcPr>
          <w:p>
            <w:pPr>
              <w:pStyle w:val="TableText"/>
              <w:ind w:left="720" w:right="112" w:hanging="600"/>
              <w:spacing w:before="191" w:line="234" w:lineRule="auto"/>
              <w:rPr>
                <w:sz w:val="20"/>
                <w:szCs w:val="20"/>
              </w:rPr>
            </w:pPr>
            <w:r>
              <w:rPr>
                <w:sz w:val="20"/>
                <w:szCs w:val="20"/>
                <w:spacing w:val="3"/>
              </w:rPr>
              <w:t>阳极车间生产用</w:t>
            </w:r>
            <w:r>
              <w:rPr>
                <w:sz w:val="20"/>
                <w:szCs w:val="20"/>
                <w:spacing w:val="2"/>
              </w:rPr>
              <w:t xml:space="preserve"> </w:t>
            </w:r>
            <w:r>
              <w:rPr>
                <w:sz w:val="20"/>
                <w:szCs w:val="20"/>
              </w:rPr>
              <w:t>水</w:t>
            </w:r>
          </w:p>
        </w:tc>
        <w:tc>
          <w:tcPr>
            <w:tcW w:w="979" w:type="dxa"/>
            <w:vAlign w:val="top"/>
          </w:tcPr>
          <w:p>
            <w:pPr>
              <w:spacing w:line="294" w:lineRule="auto"/>
              <w:rPr>
                <w:rFonts w:ascii="Arial"/>
                <w:sz w:val="21"/>
              </w:rPr>
            </w:pPr>
            <w:r/>
          </w:p>
          <w:p>
            <w:pPr>
              <w:pStyle w:val="TableText"/>
              <w:ind w:left="232"/>
              <w:spacing w:before="66" w:line="184" w:lineRule="auto"/>
              <w:rPr>
                <w:sz w:val="20"/>
                <w:szCs w:val="20"/>
              </w:rPr>
            </w:pPr>
            <w:r>
              <w:rPr>
                <w:sz w:val="20"/>
                <w:szCs w:val="20"/>
                <w:spacing w:val="-4"/>
              </w:rPr>
              <w:t>112.1</w:t>
            </w:r>
          </w:p>
        </w:tc>
        <w:tc>
          <w:tcPr>
            <w:tcW w:w="999" w:type="dxa"/>
            <w:vAlign w:val="top"/>
          </w:tcPr>
          <w:p>
            <w:pPr>
              <w:spacing w:line="294" w:lineRule="auto"/>
              <w:rPr>
                <w:rFonts w:ascii="Arial"/>
                <w:sz w:val="21"/>
              </w:rPr>
            </w:pPr>
            <w:r/>
          </w:p>
          <w:p>
            <w:pPr>
              <w:pStyle w:val="TableText"/>
              <w:ind w:left="293"/>
              <w:spacing w:before="66" w:line="184" w:lineRule="auto"/>
              <w:rPr>
                <w:sz w:val="20"/>
                <w:szCs w:val="20"/>
              </w:rPr>
            </w:pPr>
            <w:r>
              <w:rPr>
                <w:sz w:val="20"/>
                <w:szCs w:val="20"/>
                <w:spacing w:val="-5"/>
              </w:rPr>
              <w:t>11.2</w:t>
            </w:r>
          </w:p>
        </w:tc>
        <w:tc>
          <w:tcPr>
            <w:tcW w:w="1419" w:type="dxa"/>
            <w:vAlign w:val="top"/>
          </w:tcPr>
          <w:p>
            <w:pPr>
              <w:spacing w:line="294" w:lineRule="auto"/>
              <w:rPr>
                <w:rFonts w:ascii="Arial"/>
                <w:sz w:val="21"/>
              </w:rPr>
            </w:pPr>
            <w:r/>
          </w:p>
          <w:p>
            <w:pPr>
              <w:pStyle w:val="TableText"/>
              <w:ind w:left="454"/>
              <w:spacing w:before="66" w:line="184" w:lineRule="auto"/>
              <w:rPr>
                <w:sz w:val="20"/>
                <w:szCs w:val="20"/>
              </w:rPr>
            </w:pPr>
            <w:r>
              <w:rPr>
                <w:sz w:val="20"/>
                <w:szCs w:val="20"/>
                <w:spacing w:val="-4"/>
              </w:rPr>
              <w:t>100.9</w:t>
            </w:r>
          </w:p>
        </w:tc>
        <w:tc>
          <w:tcPr>
            <w:tcW w:w="3751" w:type="dxa"/>
            <w:vAlign w:val="top"/>
          </w:tcPr>
          <w:p>
            <w:pPr>
              <w:pStyle w:val="TableText"/>
              <w:ind w:left="265"/>
              <w:spacing w:before="51" w:line="219" w:lineRule="auto"/>
              <w:rPr>
                <w:sz w:val="20"/>
                <w:szCs w:val="20"/>
              </w:rPr>
            </w:pPr>
            <w:r>
              <w:rPr>
                <w:sz w:val="20"/>
                <w:szCs w:val="20"/>
                <w:spacing w:val="-1"/>
              </w:rPr>
              <w:t>车间三级沉淀池沉淀后进入阳极废水</w:t>
            </w:r>
          </w:p>
          <w:p>
            <w:pPr>
              <w:pStyle w:val="TableText"/>
              <w:ind w:left="215"/>
              <w:spacing w:before="53" w:line="220" w:lineRule="auto"/>
              <w:rPr>
                <w:sz w:val="20"/>
                <w:szCs w:val="20"/>
              </w:rPr>
            </w:pPr>
            <w:r>
              <w:rPr>
                <w:sz w:val="20"/>
                <w:szCs w:val="20"/>
                <w:spacing w:val="5"/>
              </w:rPr>
              <w:t>处理系统，处理工艺为混凝沉淀A²/O</w:t>
            </w:r>
          </w:p>
          <w:p>
            <w:pPr>
              <w:pStyle w:val="TableText"/>
              <w:ind w:left="1616"/>
              <w:spacing w:before="21" w:line="191" w:lineRule="auto"/>
              <w:rPr>
                <w:sz w:val="20"/>
                <w:szCs w:val="20"/>
              </w:rPr>
            </w:pPr>
            <w:r>
              <w:rPr>
                <w:sz w:val="20"/>
                <w:szCs w:val="20"/>
                <w:spacing w:val="-2"/>
              </w:rPr>
              <w:t>+沉淀</w:t>
            </w:r>
          </w:p>
        </w:tc>
      </w:tr>
      <w:tr>
        <w:trPr>
          <w:trHeight w:val="809" w:hRule="atLeast"/>
        </w:trPr>
        <w:tc>
          <w:tcPr>
            <w:tcW w:w="435" w:type="dxa"/>
            <w:vAlign w:val="top"/>
            <w:vMerge w:val="continue"/>
            <w:tcBorders>
              <w:top w:val="nil"/>
              <w:bottom w:val="nil"/>
            </w:tcBorders>
          </w:tcPr>
          <w:p>
            <w:pPr>
              <w:rPr>
                <w:rFonts w:ascii="Arial"/>
                <w:sz w:val="21"/>
              </w:rPr>
            </w:pPr>
            <w:r/>
          </w:p>
        </w:tc>
        <w:tc>
          <w:tcPr>
            <w:tcW w:w="529" w:type="dxa"/>
            <w:vAlign w:val="top"/>
            <w:vMerge w:val="continue"/>
            <w:textDirection w:val="tbRlV"/>
            <w:tcBorders>
              <w:top w:val="nil"/>
              <w:bottom w:val="nil"/>
            </w:tcBorders>
          </w:tcPr>
          <w:p>
            <w:pPr>
              <w:rPr>
                <w:rFonts w:ascii="Arial"/>
                <w:sz w:val="21"/>
              </w:rPr>
            </w:pPr>
            <w:r/>
          </w:p>
        </w:tc>
        <w:tc>
          <w:tcPr>
            <w:tcW w:w="1668" w:type="dxa"/>
            <w:vAlign w:val="top"/>
          </w:tcPr>
          <w:p>
            <w:pPr>
              <w:spacing w:line="245" w:lineRule="auto"/>
              <w:rPr>
                <w:rFonts w:ascii="Arial"/>
                <w:sz w:val="21"/>
              </w:rPr>
            </w:pPr>
            <w:r/>
          </w:p>
          <w:p>
            <w:pPr>
              <w:pStyle w:val="TableText"/>
              <w:ind w:left="220"/>
              <w:spacing w:before="65" w:line="219" w:lineRule="auto"/>
              <w:rPr>
                <w:sz w:val="20"/>
                <w:szCs w:val="20"/>
              </w:rPr>
            </w:pPr>
            <w:r>
              <w:rPr>
                <w:sz w:val="20"/>
                <w:szCs w:val="20"/>
                <w:spacing w:val="1"/>
              </w:rPr>
              <w:t>凹版生产用水</w:t>
            </w:r>
          </w:p>
        </w:tc>
        <w:tc>
          <w:tcPr>
            <w:tcW w:w="979" w:type="dxa"/>
            <w:vAlign w:val="top"/>
          </w:tcPr>
          <w:p>
            <w:pPr>
              <w:spacing w:line="298" w:lineRule="auto"/>
              <w:rPr>
                <w:rFonts w:ascii="Arial"/>
                <w:sz w:val="21"/>
              </w:rPr>
            </w:pPr>
            <w:r/>
          </w:p>
          <w:p>
            <w:pPr>
              <w:pStyle w:val="TableText"/>
              <w:ind w:left="432"/>
              <w:spacing w:before="65" w:line="182" w:lineRule="auto"/>
              <w:rPr>
                <w:sz w:val="20"/>
                <w:szCs w:val="20"/>
              </w:rPr>
            </w:pPr>
            <w:r>
              <w:rPr>
                <w:sz w:val="20"/>
                <w:szCs w:val="20"/>
              </w:rPr>
              <w:t>7</w:t>
            </w:r>
          </w:p>
        </w:tc>
        <w:tc>
          <w:tcPr>
            <w:tcW w:w="999" w:type="dxa"/>
            <w:vAlign w:val="top"/>
          </w:tcPr>
          <w:p>
            <w:pPr>
              <w:spacing w:line="297" w:lineRule="auto"/>
              <w:rPr>
                <w:rFonts w:ascii="Arial"/>
                <w:sz w:val="21"/>
              </w:rPr>
            </w:pPr>
            <w:r/>
          </w:p>
          <w:p>
            <w:pPr>
              <w:pStyle w:val="TableText"/>
              <w:ind w:left="343"/>
              <w:spacing w:before="65" w:line="183" w:lineRule="auto"/>
              <w:rPr>
                <w:sz w:val="20"/>
                <w:szCs w:val="20"/>
              </w:rPr>
            </w:pPr>
            <w:r>
              <w:rPr>
                <w:sz w:val="20"/>
                <w:szCs w:val="20"/>
                <w:spacing w:val="-3"/>
              </w:rPr>
              <w:t>0.7</w:t>
            </w:r>
          </w:p>
        </w:tc>
        <w:tc>
          <w:tcPr>
            <w:tcW w:w="1419" w:type="dxa"/>
            <w:vAlign w:val="top"/>
          </w:tcPr>
          <w:p>
            <w:pPr>
              <w:spacing w:line="297" w:lineRule="auto"/>
              <w:rPr>
                <w:rFonts w:ascii="Arial"/>
                <w:sz w:val="21"/>
              </w:rPr>
            </w:pPr>
            <w:r/>
          </w:p>
          <w:p>
            <w:pPr>
              <w:pStyle w:val="TableText"/>
              <w:ind w:left="554"/>
              <w:spacing w:before="65" w:line="183" w:lineRule="auto"/>
              <w:rPr>
                <w:sz w:val="20"/>
                <w:szCs w:val="20"/>
              </w:rPr>
            </w:pPr>
            <w:r>
              <w:rPr>
                <w:sz w:val="20"/>
                <w:szCs w:val="20"/>
                <w:spacing w:val="-3"/>
              </w:rPr>
              <w:t>6.3</w:t>
            </w:r>
          </w:p>
        </w:tc>
        <w:tc>
          <w:tcPr>
            <w:tcW w:w="3751" w:type="dxa"/>
            <w:vAlign w:val="top"/>
          </w:tcPr>
          <w:p>
            <w:pPr>
              <w:pStyle w:val="TableText"/>
              <w:ind w:left="265" w:right="256" w:hanging="139"/>
              <w:spacing w:before="32" w:line="236" w:lineRule="auto"/>
              <w:rPr>
                <w:sz w:val="20"/>
                <w:szCs w:val="20"/>
              </w:rPr>
            </w:pPr>
            <w:r>
              <w:rPr>
                <w:sz w:val="20"/>
                <w:szCs w:val="20"/>
                <w:spacing w:val="-2"/>
              </w:rPr>
              <w:t>纳入阳极生产废水处理系统，车间三  </w:t>
            </w:r>
            <w:r>
              <w:rPr>
                <w:sz w:val="20"/>
                <w:szCs w:val="20"/>
                <w:spacing w:val="1"/>
              </w:rPr>
              <w:t>级沉淀池沉淀后进入阳极废水处理系 </w:t>
            </w:r>
            <w:r>
              <w:rPr>
                <w:sz w:val="20"/>
                <w:szCs w:val="20"/>
                <w:spacing w:val="6"/>
              </w:rPr>
              <w:t>统，处理工艺为混凝沉淀A²/O+沉淀</w:t>
            </w:r>
          </w:p>
        </w:tc>
      </w:tr>
      <w:tr>
        <w:trPr>
          <w:trHeight w:val="819" w:hRule="atLeast"/>
        </w:trPr>
        <w:tc>
          <w:tcPr>
            <w:tcW w:w="435" w:type="dxa"/>
            <w:vAlign w:val="top"/>
            <w:vMerge w:val="continue"/>
            <w:tcBorders>
              <w:top w:val="nil"/>
              <w:bottom w:val="nil"/>
            </w:tcBorders>
          </w:tcPr>
          <w:p>
            <w:pPr>
              <w:rPr>
                <w:rFonts w:ascii="Arial"/>
                <w:sz w:val="21"/>
              </w:rPr>
            </w:pPr>
            <w:r/>
          </w:p>
        </w:tc>
        <w:tc>
          <w:tcPr>
            <w:tcW w:w="529" w:type="dxa"/>
            <w:vAlign w:val="top"/>
            <w:vMerge w:val="continue"/>
            <w:textDirection w:val="tbRlV"/>
            <w:tcBorders>
              <w:top w:val="nil"/>
              <w:bottom w:val="nil"/>
            </w:tcBorders>
          </w:tcPr>
          <w:p>
            <w:pPr>
              <w:rPr>
                <w:rFonts w:ascii="Arial"/>
                <w:sz w:val="21"/>
              </w:rPr>
            </w:pPr>
            <w:r/>
          </w:p>
        </w:tc>
        <w:tc>
          <w:tcPr>
            <w:tcW w:w="1668" w:type="dxa"/>
            <w:vAlign w:val="top"/>
          </w:tcPr>
          <w:p>
            <w:pPr>
              <w:pStyle w:val="TableText"/>
              <w:ind w:left="720" w:right="112" w:hanging="600"/>
              <w:spacing w:before="203" w:line="234" w:lineRule="auto"/>
              <w:rPr>
                <w:sz w:val="20"/>
                <w:szCs w:val="20"/>
              </w:rPr>
            </w:pPr>
            <w:r>
              <w:rPr>
                <w:sz w:val="20"/>
                <w:szCs w:val="20"/>
                <w:spacing w:val="3"/>
              </w:rPr>
              <w:t>锅炉软化系统用</w:t>
            </w:r>
            <w:r>
              <w:rPr>
                <w:sz w:val="20"/>
                <w:szCs w:val="20"/>
                <w:spacing w:val="2"/>
              </w:rPr>
              <w:t xml:space="preserve"> </w:t>
            </w:r>
            <w:r>
              <w:rPr>
                <w:sz w:val="20"/>
                <w:szCs w:val="20"/>
              </w:rPr>
              <w:t>水</w:t>
            </w:r>
          </w:p>
        </w:tc>
        <w:tc>
          <w:tcPr>
            <w:tcW w:w="979" w:type="dxa"/>
            <w:vAlign w:val="top"/>
          </w:tcPr>
          <w:p>
            <w:pPr>
              <w:spacing w:line="297" w:lineRule="auto"/>
              <w:rPr>
                <w:rFonts w:ascii="Arial"/>
                <w:sz w:val="21"/>
              </w:rPr>
            </w:pPr>
            <w:r/>
          </w:p>
          <w:p>
            <w:pPr>
              <w:pStyle w:val="TableText"/>
              <w:ind w:left="333"/>
              <w:spacing w:before="65" w:line="183" w:lineRule="auto"/>
              <w:rPr>
                <w:sz w:val="20"/>
                <w:szCs w:val="20"/>
              </w:rPr>
            </w:pPr>
            <w:r>
              <w:rPr>
                <w:sz w:val="20"/>
                <w:szCs w:val="20"/>
                <w:spacing w:val="-3"/>
              </w:rPr>
              <w:t>242</w:t>
            </w:r>
          </w:p>
        </w:tc>
        <w:tc>
          <w:tcPr>
            <w:tcW w:w="999" w:type="dxa"/>
            <w:vAlign w:val="top"/>
          </w:tcPr>
          <w:p>
            <w:pPr>
              <w:spacing w:line="298" w:lineRule="auto"/>
              <w:rPr>
                <w:rFonts w:ascii="Arial"/>
                <w:sz w:val="21"/>
              </w:rPr>
            </w:pPr>
            <w:r/>
          </w:p>
          <w:p>
            <w:pPr>
              <w:pStyle w:val="TableText"/>
              <w:ind w:left="293"/>
              <w:spacing w:before="65" w:line="183" w:lineRule="auto"/>
              <w:rPr>
                <w:sz w:val="20"/>
                <w:szCs w:val="20"/>
              </w:rPr>
            </w:pPr>
            <w:r>
              <w:rPr>
                <w:sz w:val="20"/>
                <w:szCs w:val="20"/>
                <w:spacing w:val="-2"/>
              </w:rPr>
              <w:t>48.4</w:t>
            </w:r>
          </w:p>
        </w:tc>
        <w:tc>
          <w:tcPr>
            <w:tcW w:w="1419" w:type="dxa"/>
            <w:vAlign w:val="top"/>
          </w:tcPr>
          <w:p>
            <w:pPr>
              <w:pStyle w:val="TableText"/>
              <w:ind w:left="154"/>
              <w:spacing w:before="53" w:line="220" w:lineRule="auto"/>
              <w:rPr>
                <w:sz w:val="20"/>
                <w:szCs w:val="20"/>
              </w:rPr>
            </w:pPr>
            <w:r>
              <w:rPr>
                <w:sz w:val="20"/>
                <w:szCs w:val="20"/>
                <w:spacing w:val="1"/>
              </w:rPr>
              <w:t>72.6(软化浓</w:t>
            </w:r>
          </w:p>
          <w:p>
            <w:pPr>
              <w:pStyle w:val="TableText"/>
              <w:ind w:left="154"/>
              <w:spacing w:before="31" w:line="219" w:lineRule="auto"/>
              <w:rPr>
                <w:sz w:val="20"/>
                <w:szCs w:val="20"/>
              </w:rPr>
            </w:pPr>
            <w:r>
              <w:rPr>
                <w:sz w:val="20"/>
                <w:szCs w:val="20"/>
                <w:spacing w:val="1"/>
              </w:rPr>
              <w:t>水)、121(锅</w:t>
            </w:r>
          </w:p>
          <w:p>
            <w:pPr>
              <w:pStyle w:val="TableText"/>
              <w:ind w:left="254"/>
              <w:spacing w:before="52" w:line="181" w:lineRule="auto"/>
              <w:rPr>
                <w:sz w:val="20"/>
                <w:szCs w:val="20"/>
              </w:rPr>
            </w:pPr>
            <w:r>
              <w:rPr>
                <w:sz w:val="20"/>
                <w:szCs w:val="20"/>
                <w:spacing w:val="8"/>
              </w:rPr>
              <w:t>炉排污水)</w:t>
            </w:r>
          </w:p>
        </w:tc>
        <w:tc>
          <w:tcPr>
            <w:tcW w:w="3751" w:type="dxa"/>
            <w:vAlign w:val="top"/>
          </w:tcPr>
          <w:p>
            <w:pPr>
              <w:spacing w:line="246" w:lineRule="auto"/>
              <w:rPr>
                <w:rFonts w:ascii="Arial"/>
                <w:sz w:val="21"/>
              </w:rPr>
            </w:pPr>
            <w:r/>
          </w:p>
          <w:p>
            <w:pPr>
              <w:pStyle w:val="TableText"/>
              <w:ind w:left="1066"/>
              <w:spacing w:before="65" w:line="219" w:lineRule="auto"/>
              <w:rPr>
                <w:sz w:val="20"/>
                <w:szCs w:val="20"/>
              </w:rPr>
            </w:pPr>
            <w:r>
              <w:rPr>
                <w:sz w:val="20"/>
                <w:szCs w:val="20"/>
                <w:spacing w:val="2"/>
              </w:rPr>
              <w:t>排入市政污水管网</w:t>
            </w:r>
          </w:p>
        </w:tc>
      </w:tr>
      <w:tr>
        <w:trPr>
          <w:trHeight w:val="360" w:hRule="atLeast"/>
        </w:trPr>
        <w:tc>
          <w:tcPr>
            <w:tcW w:w="435" w:type="dxa"/>
            <w:vAlign w:val="top"/>
            <w:vMerge w:val="continue"/>
            <w:tcBorders>
              <w:top w:val="nil"/>
              <w:bottom w:val="nil"/>
            </w:tcBorders>
          </w:tcPr>
          <w:p>
            <w:pPr>
              <w:rPr>
                <w:rFonts w:ascii="Arial"/>
                <w:sz w:val="21"/>
              </w:rPr>
            </w:pPr>
            <w:r/>
          </w:p>
        </w:tc>
        <w:tc>
          <w:tcPr>
            <w:tcW w:w="529" w:type="dxa"/>
            <w:vAlign w:val="top"/>
            <w:vMerge w:val="continue"/>
            <w:textDirection w:val="tbRlV"/>
            <w:tcBorders>
              <w:top w:val="nil"/>
              <w:bottom w:val="nil"/>
            </w:tcBorders>
          </w:tcPr>
          <w:p>
            <w:pPr>
              <w:rPr>
                <w:rFonts w:ascii="Arial"/>
                <w:sz w:val="21"/>
              </w:rPr>
            </w:pPr>
            <w:r/>
          </w:p>
        </w:tc>
        <w:tc>
          <w:tcPr>
            <w:tcW w:w="1668" w:type="dxa"/>
            <w:vAlign w:val="top"/>
          </w:tcPr>
          <w:p>
            <w:pPr>
              <w:pStyle w:val="TableText"/>
              <w:ind w:left="220"/>
              <w:spacing w:before="82" w:line="218" w:lineRule="auto"/>
              <w:rPr>
                <w:sz w:val="20"/>
                <w:szCs w:val="20"/>
              </w:rPr>
            </w:pPr>
            <w:r>
              <w:rPr>
                <w:sz w:val="20"/>
                <w:szCs w:val="20"/>
                <w:spacing w:val="-1"/>
              </w:rPr>
              <w:t>废气喷淋用水</w:t>
            </w:r>
          </w:p>
        </w:tc>
        <w:tc>
          <w:tcPr>
            <w:tcW w:w="979" w:type="dxa"/>
            <w:vAlign w:val="top"/>
          </w:tcPr>
          <w:p>
            <w:pPr>
              <w:pStyle w:val="TableText"/>
              <w:ind w:left="333"/>
              <w:spacing w:before="135" w:line="183" w:lineRule="auto"/>
              <w:rPr>
                <w:sz w:val="20"/>
                <w:szCs w:val="20"/>
              </w:rPr>
            </w:pPr>
            <w:r>
              <w:rPr>
                <w:sz w:val="20"/>
                <w:szCs w:val="20"/>
                <w:spacing w:val="-3"/>
              </w:rPr>
              <w:t>0.6</w:t>
            </w:r>
          </w:p>
        </w:tc>
        <w:tc>
          <w:tcPr>
            <w:tcW w:w="999" w:type="dxa"/>
            <w:vAlign w:val="top"/>
          </w:tcPr>
          <w:p>
            <w:pPr>
              <w:pStyle w:val="TableText"/>
              <w:ind w:left="343"/>
              <w:spacing w:before="135" w:line="183" w:lineRule="auto"/>
              <w:rPr>
                <w:sz w:val="20"/>
                <w:szCs w:val="20"/>
              </w:rPr>
            </w:pPr>
            <w:r>
              <w:rPr>
                <w:sz w:val="20"/>
                <w:szCs w:val="20"/>
                <w:spacing w:val="-3"/>
              </w:rPr>
              <w:t>0.6</w:t>
            </w:r>
          </w:p>
        </w:tc>
        <w:tc>
          <w:tcPr>
            <w:tcW w:w="1419" w:type="dxa"/>
            <w:vAlign w:val="top"/>
          </w:tcPr>
          <w:p>
            <w:pPr>
              <w:pStyle w:val="TableText"/>
              <w:ind w:left="655"/>
              <w:spacing w:before="135" w:line="183" w:lineRule="auto"/>
              <w:rPr>
                <w:sz w:val="20"/>
                <w:szCs w:val="20"/>
              </w:rPr>
            </w:pPr>
            <w:r>
              <w:rPr>
                <w:sz w:val="20"/>
                <w:szCs w:val="20"/>
              </w:rPr>
              <w:t>0</w:t>
            </w:r>
          </w:p>
        </w:tc>
        <w:tc>
          <w:tcPr>
            <w:tcW w:w="3751" w:type="dxa"/>
            <w:vAlign w:val="top"/>
          </w:tcPr>
          <w:p>
            <w:pPr>
              <w:pStyle w:val="TableText"/>
              <w:ind w:left="1666"/>
              <w:spacing w:before="84" w:line="219" w:lineRule="auto"/>
              <w:rPr>
                <w:sz w:val="20"/>
                <w:szCs w:val="20"/>
              </w:rPr>
            </w:pPr>
            <w:r>
              <w:rPr>
                <w:sz w:val="20"/>
                <w:szCs w:val="20"/>
                <w:spacing w:val="-2"/>
              </w:rPr>
              <w:t>损耗</w:t>
            </w:r>
          </w:p>
        </w:tc>
      </w:tr>
      <w:tr>
        <w:trPr>
          <w:trHeight w:val="370" w:hRule="atLeast"/>
        </w:trPr>
        <w:tc>
          <w:tcPr>
            <w:tcW w:w="435" w:type="dxa"/>
            <w:vAlign w:val="top"/>
            <w:vMerge w:val="continue"/>
            <w:tcBorders>
              <w:top w:val="nil"/>
              <w:bottom w:val="nil"/>
            </w:tcBorders>
          </w:tcPr>
          <w:p>
            <w:pPr>
              <w:rPr>
                <w:rFonts w:ascii="Arial"/>
                <w:sz w:val="21"/>
              </w:rPr>
            </w:pPr>
            <w:r/>
          </w:p>
        </w:tc>
        <w:tc>
          <w:tcPr>
            <w:tcW w:w="529" w:type="dxa"/>
            <w:vAlign w:val="top"/>
            <w:vMerge w:val="continue"/>
            <w:textDirection w:val="tbRlV"/>
            <w:tcBorders>
              <w:top w:val="nil"/>
              <w:bottom w:val="nil"/>
            </w:tcBorders>
          </w:tcPr>
          <w:p>
            <w:pPr>
              <w:rPr>
                <w:rFonts w:ascii="Arial"/>
                <w:sz w:val="21"/>
              </w:rPr>
            </w:pPr>
            <w:r/>
          </w:p>
        </w:tc>
        <w:tc>
          <w:tcPr>
            <w:tcW w:w="1668" w:type="dxa"/>
            <w:vAlign w:val="top"/>
          </w:tcPr>
          <w:p>
            <w:pPr>
              <w:pStyle w:val="TableText"/>
              <w:ind w:left="421"/>
              <w:spacing w:before="94" w:line="219" w:lineRule="auto"/>
              <w:rPr>
                <w:sz w:val="20"/>
                <w:szCs w:val="20"/>
              </w:rPr>
            </w:pPr>
            <w:r>
              <w:rPr>
                <w:sz w:val="20"/>
                <w:szCs w:val="20"/>
                <w:spacing w:val="-2"/>
              </w:rPr>
              <w:t>冷却用水</w:t>
            </w:r>
          </w:p>
        </w:tc>
        <w:tc>
          <w:tcPr>
            <w:tcW w:w="979" w:type="dxa"/>
            <w:vAlign w:val="top"/>
          </w:tcPr>
          <w:p>
            <w:pPr>
              <w:pStyle w:val="TableText"/>
              <w:ind w:left="182"/>
              <w:spacing w:before="144" w:line="184" w:lineRule="auto"/>
              <w:rPr>
                <w:sz w:val="20"/>
                <w:szCs w:val="20"/>
              </w:rPr>
            </w:pPr>
            <w:r>
              <w:rPr>
                <w:sz w:val="20"/>
                <w:szCs w:val="20"/>
                <w:spacing w:val="-4"/>
              </w:rPr>
              <w:t>1048.2</w:t>
            </w:r>
          </w:p>
        </w:tc>
        <w:tc>
          <w:tcPr>
            <w:tcW w:w="999" w:type="dxa"/>
            <w:vAlign w:val="top"/>
          </w:tcPr>
          <w:p>
            <w:pPr>
              <w:pStyle w:val="TableText"/>
              <w:ind w:left="343"/>
              <w:spacing w:before="145" w:line="183" w:lineRule="auto"/>
              <w:rPr>
                <w:sz w:val="20"/>
                <w:szCs w:val="20"/>
              </w:rPr>
            </w:pPr>
            <w:r>
              <w:rPr>
                <w:sz w:val="20"/>
                <w:szCs w:val="20"/>
                <w:spacing w:val="-2"/>
              </w:rPr>
              <w:t>904</w:t>
            </w:r>
          </w:p>
        </w:tc>
        <w:tc>
          <w:tcPr>
            <w:tcW w:w="1419" w:type="dxa"/>
            <w:vAlign w:val="top"/>
          </w:tcPr>
          <w:p>
            <w:pPr>
              <w:pStyle w:val="TableText"/>
              <w:ind w:left="454"/>
              <w:spacing w:before="144" w:line="184" w:lineRule="auto"/>
              <w:rPr>
                <w:sz w:val="20"/>
                <w:szCs w:val="20"/>
              </w:rPr>
            </w:pPr>
            <w:r>
              <w:rPr>
                <w:sz w:val="20"/>
                <w:szCs w:val="20"/>
                <w:spacing w:val="-4"/>
              </w:rPr>
              <w:t>144.2</w:t>
            </w:r>
          </w:p>
        </w:tc>
        <w:tc>
          <w:tcPr>
            <w:tcW w:w="3751" w:type="dxa"/>
            <w:vAlign w:val="top"/>
          </w:tcPr>
          <w:p>
            <w:pPr>
              <w:pStyle w:val="TableText"/>
              <w:ind w:left="1066"/>
              <w:spacing w:before="94" w:line="219" w:lineRule="auto"/>
              <w:rPr>
                <w:sz w:val="20"/>
                <w:szCs w:val="20"/>
              </w:rPr>
            </w:pPr>
            <w:r>
              <w:rPr>
                <w:sz w:val="20"/>
                <w:szCs w:val="20"/>
                <w:spacing w:val="2"/>
              </w:rPr>
              <w:t>排入市政污水管网</w:t>
            </w:r>
          </w:p>
        </w:tc>
      </w:tr>
      <w:tr>
        <w:trPr>
          <w:trHeight w:val="539" w:hRule="atLeast"/>
        </w:trPr>
        <w:tc>
          <w:tcPr>
            <w:tcW w:w="435" w:type="dxa"/>
            <w:vAlign w:val="top"/>
            <w:vMerge w:val="continue"/>
            <w:tcBorders>
              <w:top w:val="nil"/>
              <w:bottom w:val="nil"/>
            </w:tcBorders>
          </w:tcPr>
          <w:p>
            <w:pPr>
              <w:rPr>
                <w:rFonts w:ascii="Arial"/>
                <w:sz w:val="21"/>
              </w:rPr>
            </w:pPr>
            <w:r/>
          </w:p>
        </w:tc>
        <w:tc>
          <w:tcPr>
            <w:tcW w:w="529" w:type="dxa"/>
            <w:vAlign w:val="top"/>
            <w:vMerge w:val="continue"/>
            <w:textDirection w:val="tbRlV"/>
            <w:tcBorders>
              <w:top w:val="nil"/>
            </w:tcBorders>
          </w:tcPr>
          <w:p>
            <w:pPr>
              <w:rPr>
                <w:rFonts w:ascii="Arial"/>
                <w:sz w:val="21"/>
              </w:rPr>
            </w:pPr>
            <w:r/>
          </w:p>
        </w:tc>
        <w:tc>
          <w:tcPr>
            <w:tcW w:w="1668" w:type="dxa"/>
            <w:vAlign w:val="top"/>
          </w:tcPr>
          <w:p>
            <w:pPr>
              <w:pStyle w:val="TableText"/>
              <w:ind w:left="620"/>
              <w:spacing w:before="175" w:line="221" w:lineRule="auto"/>
              <w:rPr>
                <w:sz w:val="20"/>
                <w:szCs w:val="20"/>
              </w:rPr>
            </w:pPr>
            <w:r>
              <w:rPr>
                <w:sz w:val="20"/>
                <w:szCs w:val="20"/>
                <w:spacing w:val="4"/>
              </w:rPr>
              <w:t>小计</w:t>
            </w:r>
          </w:p>
        </w:tc>
        <w:tc>
          <w:tcPr>
            <w:tcW w:w="979" w:type="dxa"/>
            <w:vAlign w:val="top"/>
          </w:tcPr>
          <w:p>
            <w:pPr>
              <w:pStyle w:val="TableText"/>
              <w:ind w:left="182"/>
              <w:spacing w:before="224" w:line="184" w:lineRule="auto"/>
              <w:rPr>
                <w:sz w:val="20"/>
                <w:szCs w:val="20"/>
              </w:rPr>
            </w:pPr>
            <w:r>
              <w:rPr>
                <w:sz w:val="20"/>
                <w:szCs w:val="20"/>
                <w:spacing w:val="-4"/>
              </w:rPr>
              <w:t>1827.5</w:t>
            </w:r>
          </w:p>
        </w:tc>
        <w:tc>
          <w:tcPr>
            <w:tcW w:w="999" w:type="dxa"/>
            <w:vAlign w:val="top"/>
          </w:tcPr>
          <w:p>
            <w:pPr>
              <w:pStyle w:val="TableText"/>
              <w:ind w:left="194"/>
              <w:spacing w:before="224" w:line="184" w:lineRule="auto"/>
              <w:rPr>
                <w:sz w:val="20"/>
                <w:szCs w:val="20"/>
              </w:rPr>
            </w:pPr>
            <w:r>
              <w:rPr>
                <w:sz w:val="20"/>
                <w:szCs w:val="20"/>
                <w:spacing w:val="-4"/>
              </w:rPr>
              <w:t>1177.5</w:t>
            </w:r>
          </w:p>
        </w:tc>
        <w:tc>
          <w:tcPr>
            <w:tcW w:w="1419" w:type="dxa"/>
            <w:vAlign w:val="top"/>
          </w:tcPr>
          <w:p>
            <w:pPr>
              <w:pStyle w:val="TableText"/>
              <w:ind w:left="454"/>
              <w:spacing w:before="224" w:line="184" w:lineRule="auto"/>
              <w:rPr>
                <w:sz w:val="20"/>
                <w:szCs w:val="20"/>
              </w:rPr>
            </w:pPr>
            <w:r>
              <w:rPr>
                <w:sz w:val="20"/>
                <w:szCs w:val="20"/>
                <w:spacing w:val="-4"/>
              </w:rPr>
              <w:t>175.5</w:t>
            </w:r>
          </w:p>
        </w:tc>
        <w:tc>
          <w:tcPr>
            <w:tcW w:w="3751" w:type="dxa"/>
            <w:vAlign w:val="top"/>
          </w:tcPr>
          <w:p>
            <w:pPr>
              <w:pStyle w:val="TableText"/>
              <w:ind w:left="268"/>
              <w:spacing w:before="51" w:line="219" w:lineRule="auto"/>
              <w:rPr>
                <w:sz w:val="20"/>
                <w:szCs w:val="20"/>
              </w:rPr>
            </w:pPr>
            <w:r>
              <w:rPr>
                <w:sz w:val="20"/>
                <w:szCs w:val="20"/>
                <w:b/>
                <w:bCs/>
                <w:spacing w:val="-3"/>
              </w:rPr>
              <w:t>排放量不含纯水制备废水、锅炉排污</w:t>
            </w:r>
          </w:p>
          <w:p>
            <w:pPr>
              <w:pStyle w:val="TableText"/>
              <w:ind w:left="368"/>
              <w:spacing w:before="32" w:line="192" w:lineRule="auto"/>
              <w:rPr>
                <w:sz w:val="20"/>
                <w:szCs w:val="20"/>
              </w:rPr>
            </w:pPr>
            <w:r>
              <w:rPr>
                <w:sz w:val="20"/>
                <w:szCs w:val="20"/>
                <w:b/>
                <w:bCs/>
                <w:spacing w:val="-3"/>
              </w:rPr>
              <w:t>水、软化水、循环冷却废水等排放</w:t>
            </w:r>
          </w:p>
        </w:tc>
      </w:tr>
      <w:tr>
        <w:trPr>
          <w:trHeight w:val="539" w:hRule="atLeast"/>
        </w:trPr>
        <w:tc>
          <w:tcPr>
            <w:tcW w:w="435" w:type="dxa"/>
            <w:vAlign w:val="top"/>
            <w:vMerge w:val="continue"/>
            <w:tcBorders>
              <w:top w:val="nil"/>
              <w:bottom w:val="nil"/>
            </w:tcBorders>
          </w:tcPr>
          <w:p>
            <w:pPr>
              <w:rPr>
                <w:rFonts w:ascii="Arial"/>
                <w:sz w:val="21"/>
              </w:rPr>
            </w:pPr>
            <w:r/>
          </w:p>
        </w:tc>
        <w:tc>
          <w:tcPr>
            <w:tcW w:w="529" w:type="dxa"/>
            <w:vAlign w:val="top"/>
            <w:vMerge w:val="restart"/>
            <w:textDirection w:val="tbRlV"/>
            <w:tcBorders>
              <w:bottom w:val="nil"/>
            </w:tcBorders>
          </w:tcPr>
          <w:p>
            <w:pPr>
              <w:pStyle w:val="TableText"/>
              <w:ind w:left="77"/>
              <w:spacing w:before="109" w:line="216" w:lineRule="auto"/>
              <w:rPr>
                <w:sz w:val="20"/>
                <w:szCs w:val="20"/>
              </w:rPr>
            </w:pPr>
            <w:r>
              <w:rPr>
                <w:sz w:val="20"/>
                <w:szCs w:val="20"/>
              </w:rPr>
              <w:t>生</w:t>
            </w:r>
            <w:r>
              <w:rPr>
                <w:sz w:val="20"/>
                <w:szCs w:val="20"/>
                <w:spacing w:val="-16"/>
              </w:rPr>
              <w:t xml:space="preserve"> </w:t>
            </w:r>
            <w:r>
              <w:rPr>
                <w:sz w:val="20"/>
                <w:szCs w:val="20"/>
              </w:rPr>
              <w:t>活</w:t>
            </w:r>
            <w:r>
              <w:rPr>
                <w:sz w:val="20"/>
                <w:szCs w:val="20"/>
                <w:spacing w:val="-16"/>
              </w:rPr>
              <w:t xml:space="preserve"> </w:t>
            </w:r>
            <w:r>
              <w:rPr>
                <w:sz w:val="20"/>
                <w:szCs w:val="20"/>
              </w:rPr>
              <w:t>用</w:t>
            </w:r>
            <w:r>
              <w:rPr>
                <w:sz w:val="20"/>
                <w:szCs w:val="20"/>
                <w:spacing w:val="-16"/>
              </w:rPr>
              <w:t xml:space="preserve"> </w:t>
            </w:r>
            <w:r>
              <w:rPr>
                <w:sz w:val="20"/>
                <w:szCs w:val="20"/>
              </w:rPr>
              <w:t>水</w:t>
            </w:r>
          </w:p>
        </w:tc>
        <w:tc>
          <w:tcPr>
            <w:tcW w:w="1668" w:type="dxa"/>
            <w:vAlign w:val="top"/>
          </w:tcPr>
          <w:p>
            <w:pPr>
              <w:pStyle w:val="TableText"/>
              <w:ind w:left="421"/>
              <w:spacing w:before="175" w:line="219" w:lineRule="auto"/>
              <w:rPr>
                <w:sz w:val="20"/>
                <w:szCs w:val="20"/>
              </w:rPr>
            </w:pPr>
            <w:r>
              <w:rPr>
                <w:sz w:val="20"/>
                <w:szCs w:val="20"/>
                <w:spacing w:val="-2"/>
              </w:rPr>
              <w:t>食堂用水</w:t>
            </w:r>
          </w:p>
        </w:tc>
        <w:tc>
          <w:tcPr>
            <w:tcW w:w="979" w:type="dxa"/>
            <w:vAlign w:val="top"/>
          </w:tcPr>
          <w:p>
            <w:pPr>
              <w:pStyle w:val="TableText"/>
              <w:ind w:left="232"/>
              <w:spacing w:before="226" w:line="183" w:lineRule="auto"/>
              <w:rPr>
                <w:sz w:val="20"/>
                <w:szCs w:val="20"/>
              </w:rPr>
            </w:pPr>
            <w:r>
              <w:rPr>
                <w:sz w:val="20"/>
                <w:szCs w:val="20"/>
                <w:spacing w:val="-2"/>
              </w:rPr>
              <w:t>490.3</w:t>
            </w:r>
          </w:p>
        </w:tc>
        <w:tc>
          <w:tcPr>
            <w:tcW w:w="999" w:type="dxa"/>
            <w:vAlign w:val="top"/>
          </w:tcPr>
          <w:p>
            <w:pPr>
              <w:pStyle w:val="TableText"/>
              <w:ind w:left="293"/>
              <w:spacing w:before="225" w:line="184" w:lineRule="auto"/>
              <w:rPr>
                <w:sz w:val="20"/>
                <w:szCs w:val="20"/>
              </w:rPr>
            </w:pPr>
            <w:r>
              <w:rPr>
                <w:sz w:val="20"/>
                <w:szCs w:val="20"/>
                <w:spacing w:val="-2"/>
              </w:rPr>
              <w:t>98.1</w:t>
            </w:r>
          </w:p>
        </w:tc>
        <w:tc>
          <w:tcPr>
            <w:tcW w:w="1419" w:type="dxa"/>
            <w:vAlign w:val="top"/>
          </w:tcPr>
          <w:p>
            <w:pPr>
              <w:pStyle w:val="TableText"/>
              <w:ind w:left="454"/>
              <w:spacing w:before="226" w:line="183" w:lineRule="auto"/>
              <w:rPr>
                <w:sz w:val="20"/>
                <w:szCs w:val="20"/>
              </w:rPr>
            </w:pPr>
            <w:r>
              <w:rPr>
                <w:sz w:val="20"/>
                <w:szCs w:val="20"/>
                <w:spacing w:val="-2"/>
              </w:rPr>
              <w:t>392.2</w:t>
            </w:r>
          </w:p>
        </w:tc>
        <w:tc>
          <w:tcPr>
            <w:tcW w:w="3751" w:type="dxa"/>
            <w:vAlign w:val="top"/>
          </w:tcPr>
          <w:p>
            <w:pPr>
              <w:pStyle w:val="TableText"/>
              <w:ind w:left="1464" w:right="284" w:hanging="1199"/>
              <w:spacing w:before="54" w:line="219" w:lineRule="auto"/>
              <w:rPr>
                <w:sz w:val="20"/>
                <w:szCs w:val="20"/>
              </w:rPr>
            </w:pPr>
            <w:r>
              <w:rPr>
                <w:sz w:val="20"/>
                <w:szCs w:val="20"/>
                <w:spacing w:val="-1"/>
              </w:rPr>
              <w:t>经隔油池、化粪池处理后，排入市政</w:t>
            </w:r>
            <w:r>
              <w:rPr>
                <w:sz w:val="20"/>
                <w:szCs w:val="20"/>
                <w:spacing w:val="5"/>
              </w:rPr>
              <w:t xml:space="preserve"> </w:t>
            </w:r>
            <w:r>
              <w:rPr>
                <w:sz w:val="20"/>
                <w:szCs w:val="20"/>
                <w:spacing w:val="4"/>
              </w:rPr>
              <w:t>污水管网</w:t>
            </w:r>
          </w:p>
        </w:tc>
      </w:tr>
      <w:tr>
        <w:trPr>
          <w:trHeight w:val="359" w:hRule="atLeast"/>
        </w:trPr>
        <w:tc>
          <w:tcPr>
            <w:tcW w:w="435" w:type="dxa"/>
            <w:vAlign w:val="top"/>
            <w:vMerge w:val="continue"/>
            <w:tcBorders>
              <w:top w:val="nil"/>
              <w:bottom w:val="nil"/>
            </w:tcBorders>
          </w:tcPr>
          <w:p>
            <w:pPr>
              <w:rPr>
                <w:rFonts w:ascii="Arial"/>
                <w:sz w:val="21"/>
              </w:rPr>
            </w:pPr>
            <w:r/>
          </w:p>
        </w:tc>
        <w:tc>
          <w:tcPr>
            <w:tcW w:w="529" w:type="dxa"/>
            <w:vAlign w:val="top"/>
            <w:vMerge w:val="continue"/>
            <w:textDirection w:val="tbRlV"/>
            <w:tcBorders>
              <w:top w:val="nil"/>
              <w:bottom w:val="nil"/>
            </w:tcBorders>
          </w:tcPr>
          <w:p>
            <w:pPr>
              <w:rPr>
                <w:rFonts w:ascii="Arial"/>
                <w:sz w:val="21"/>
              </w:rPr>
            </w:pPr>
            <w:r/>
          </w:p>
        </w:tc>
        <w:tc>
          <w:tcPr>
            <w:tcW w:w="1668" w:type="dxa"/>
            <w:vAlign w:val="top"/>
          </w:tcPr>
          <w:p>
            <w:pPr>
              <w:pStyle w:val="TableText"/>
              <w:ind w:left="220"/>
              <w:spacing w:before="86" w:line="219" w:lineRule="auto"/>
              <w:rPr>
                <w:sz w:val="20"/>
                <w:szCs w:val="20"/>
              </w:rPr>
            </w:pPr>
            <w:r>
              <w:rPr>
                <w:sz w:val="20"/>
                <w:szCs w:val="20"/>
                <w:spacing w:val="-2"/>
              </w:rPr>
              <w:t>其他生活用水</w:t>
            </w:r>
          </w:p>
        </w:tc>
        <w:tc>
          <w:tcPr>
            <w:tcW w:w="979" w:type="dxa"/>
            <w:vAlign w:val="top"/>
          </w:tcPr>
          <w:p>
            <w:pPr>
              <w:pStyle w:val="TableText"/>
              <w:ind w:left="333"/>
              <w:spacing w:before="137" w:line="183" w:lineRule="auto"/>
              <w:rPr>
                <w:sz w:val="20"/>
                <w:szCs w:val="20"/>
              </w:rPr>
            </w:pPr>
            <w:r>
              <w:rPr>
                <w:sz w:val="20"/>
                <w:szCs w:val="20"/>
                <w:spacing w:val="-2"/>
              </w:rPr>
              <w:t>493</w:t>
            </w:r>
          </w:p>
        </w:tc>
        <w:tc>
          <w:tcPr>
            <w:tcW w:w="999" w:type="dxa"/>
            <w:vAlign w:val="top"/>
          </w:tcPr>
          <w:p>
            <w:pPr>
              <w:pStyle w:val="TableText"/>
              <w:ind w:left="293"/>
              <w:spacing w:before="137" w:line="183" w:lineRule="auto"/>
              <w:rPr>
                <w:sz w:val="20"/>
                <w:szCs w:val="20"/>
              </w:rPr>
            </w:pPr>
            <w:r>
              <w:rPr>
                <w:sz w:val="20"/>
                <w:szCs w:val="20"/>
                <w:spacing w:val="-2"/>
              </w:rPr>
              <w:t>98.6</w:t>
            </w:r>
          </w:p>
        </w:tc>
        <w:tc>
          <w:tcPr>
            <w:tcW w:w="1419" w:type="dxa"/>
            <w:vAlign w:val="top"/>
          </w:tcPr>
          <w:p>
            <w:pPr>
              <w:pStyle w:val="TableText"/>
              <w:ind w:left="454"/>
              <w:spacing w:before="137" w:line="183" w:lineRule="auto"/>
              <w:rPr>
                <w:sz w:val="20"/>
                <w:szCs w:val="20"/>
              </w:rPr>
            </w:pPr>
            <w:r>
              <w:rPr>
                <w:sz w:val="20"/>
                <w:szCs w:val="20"/>
                <w:spacing w:val="-2"/>
              </w:rPr>
              <w:t>394.4</w:t>
            </w:r>
          </w:p>
        </w:tc>
        <w:tc>
          <w:tcPr>
            <w:tcW w:w="3751" w:type="dxa"/>
            <w:vAlign w:val="top"/>
          </w:tcPr>
          <w:p>
            <w:pPr>
              <w:pStyle w:val="TableText"/>
              <w:ind w:left="116"/>
              <w:spacing w:before="86" w:line="219" w:lineRule="auto"/>
              <w:rPr>
                <w:sz w:val="20"/>
                <w:szCs w:val="20"/>
              </w:rPr>
            </w:pPr>
            <w:r>
              <w:rPr>
                <w:sz w:val="20"/>
                <w:szCs w:val="20"/>
                <w:spacing w:val="1"/>
              </w:rPr>
              <w:t>经化粪池处理后，排入市政污水管网</w:t>
            </w:r>
          </w:p>
        </w:tc>
      </w:tr>
      <w:tr>
        <w:trPr>
          <w:trHeight w:val="290" w:hRule="atLeast"/>
        </w:trPr>
        <w:tc>
          <w:tcPr>
            <w:tcW w:w="435" w:type="dxa"/>
            <w:vAlign w:val="top"/>
            <w:vMerge w:val="continue"/>
            <w:tcBorders>
              <w:top w:val="nil"/>
              <w:bottom w:val="nil"/>
            </w:tcBorders>
          </w:tcPr>
          <w:p>
            <w:pPr>
              <w:rPr>
                <w:rFonts w:ascii="Arial"/>
                <w:sz w:val="21"/>
              </w:rPr>
            </w:pPr>
            <w:r/>
          </w:p>
        </w:tc>
        <w:tc>
          <w:tcPr>
            <w:tcW w:w="529" w:type="dxa"/>
            <w:vAlign w:val="top"/>
            <w:vMerge w:val="continue"/>
            <w:textDirection w:val="tbRlV"/>
            <w:tcBorders>
              <w:top w:val="nil"/>
            </w:tcBorders>
          </w:tcPr>
          <w:p>
            <w:pPr>
              <w:rPr>
                <w:rFonts w:ascii="Arial"/>
                <w:sz w:val="21"/>
              </w:rPr>
            </w:pPr>
            <w:r/>
          </w:p>
        </w:tc>
        <w:tc>
          <w:tcPr>
            <w:tcW w:w="1668" w:type="dxa"/>
            <w:vAlign w:val="top"/>
          </w:tcPr>
          <w:p>
            <w:pPr>
              <w:pStyle w:val="TableText"/>
              <w:ind w:left="620"/>
              <w:spacing w:before="58" w:line="204" w:lineRule="auto"/>
              <w:rPr>
                <w:sz w:val="20"/>
                <w:szCs w:val="20"/>
              </w:rPr>
            </w:pPr>
            <w:r>
              <w:rPr>
                <w:sz w:val="20"/>
                <w:szCs w:val="20"/>
                <w:spacing w:val="4"/>
              </w:rPr>
              <w:t>小计</w:t>
            </w:r>
          </w:p>
        </w:tc>
        <w:tc>
          <w:tcPr>
            <w:tcW w:w="979" w:type="dxa"/>
            <w:vAlign w:val="top"/>
          </w:tcPr>
          <w:p>
            <w:pPr>
              <w:pStyle w:val="TableText"/>
              <w:ind w:left="232"/>
              <w:spacing w:before="108" w:line="158" w:lineRule="auto"/>
              <w:rPr>
                <w:sz w:val="20"/>
                <w:szCs w:val="20"/>
              </w:rPr>
            </w:pPr>
            <w:r>
              <w:rPr>
                <w:sz w:val="20"/>
                <w:szCs w:val="20"/>
                <w:spacing w:val="-2"/>
              </w:rPr>
              <w:t>983.3</w:t>
            </w:r>
          </w:p>
        </w:tc>
        <w:tc>
          <w:tcPr>
            <w:tcW w:w="999" w:type="dxa"/>
            <w:vAlign w:val="top"/>
          </w:tcPr>
          <w:p>
            <w:pPr>
              <w:pStyle w:val="TableText"/>
              <w:ind w:left="244"/>
              <w:spacing w:before="107" w:line="159" w:lineRule="auto"/>
              <w:rPr>
                <w:sz w:val="20"/>
                <w:szCs w:val="20"/>
              </w:rPr>
            </w:pPr>
            <w:r>
              <w:rPr>
                <w:sz w:val="20"/>
                <w:szCs w:val="20"/>
                <w:spacing w:val="-4"/>
              </w:rPr>
              <w:t>196.7</w:t>
            </w:r>
          </w:p>
        </w:tc>
        <w:tc>
          <w:tcPr>
            <w:tcW w:w="1419" w:type="dxa"/>
            <w:vAlign w:val="top"/>
          </w:tcPr>
          <w:p>
            <w:pPr>
              <w:pStyle w:val="TableText"/>
              <w:ind w:left="454"/>
              <w:spacing w:before="108" w:line="158" w:lineRule="auto"/>
              <w:rPr>
                <w:sz w:val="20"/>
                <w:szCs w:val="20"/>
              </w:rPr>
            </w:pPr>
            <w:r>
              <w:rPr>
                <w:sz w:val="20"/>
                <w:szCs w:val="20"/>
                <w:spacing w:val="-3"/>
              </w:rPr>
              <w:t>786.6</w:t>
            </w:r>
          </w:p>
        </w:tc>
        <w:tc>
          <w:tcPr>
            <w:tcW w:w="3751" w:type="dxa"/>
            <w:vAlign w:val="top"/>
          </w:tcPr>
          <w:p>
            <w:pPr>
              <w:rPr>
                <w:rFonts w:ascii="Arial"/>
                <w:sz w:val="21"/>
              </w:rPr>
            </w:pPr>
            <w:r/>
          </w:p>
        </w:tc>
      </w:tr>
      <w:tr>
        <w:trPr>
          <w:trHeight w:val="554" w:hRule="atLeast"/>
        </w:trPr>
        <w:tc>
          <w:tcPr>
            <w:tcW w:w="435" w:type="dxa"/>
            <w:vAlign w:val="top"/>
            <w:vMerge w:val="continue"/>
            <w:tcBorders>
              <w:top w:val="nil"/>
            </w:tcBorders>
          </w:tcPr>
          <w:p>
            <w:pPr>
              <w:rPr>
                <w:rFonts w:ascii="Arial"/>
                <w:sz w:val="21"/>
              </w:rPr>
            </w:pPr>
            <w:r/>
          </w:p>
        </w:tc>
        <w:tc>
          <w:tcPr>
            <w:tcW w:w="2197" w:type="dxa"/>
            <w:vAlign w:val="top"/>
            <w:gridSpan w:val="2"/>
          </w:tcPr>
          <w:p>
            <w:pPr>
              <w:pStyle w:val="TableText"/>
              <w:ind w:left="889"/>
              <w:spacing w:before="188" w:line="221" w:lineRule="auto"/>
              <w:rPr>
                <w:sz w:val="20"/>
                <w:szCs w:val="20"/>
              </w:rPr>
            </w:pPr>
            <w:r>
              <w:rPr>
                <w:sz w:val="20"/>
                <w:szCs w:val="20"/>
                <w:spacing w:val="-3"/>
              </w:rPr>
              <w:t>合计</w:t>
            </w:r>
          </w:p>
        </w:tc>
        <w:tc>
          <w:tcPr>
            <w:tcW w:w="979" w:type="dxa"/>
            <w:vAlign w:val="top"/>
          </w:tcPr>
          <w:p>
            <w:pPr>
              <w:pStyle w:val="TableText"/>
              <w:ind w:left="182"/>
              <w:spacing w:before="237" w:line="184" w:lineRule="auto"/>
              <w:rPr>
                <w:sz w:val="20"/>
                <w:szCs w:val="20"/>
              </w:rPr>
            </w:pPr>
            <w:r>
              <w:rPr>
                <w:sz w:val="20"/>
                <w:szCs w:val="20"/>
                <w:spacing w:val="-2"/>
              </w:rPr>
              <w:t>2810.8</w:t>
            </w:r>
          </w:p>
        </w:tc>
        <w:tc>
          <w:tcPr>
            <w:tcW w:w="999" w:type="dxa"/>
            <w:vAlign w:val="top"/>
          </w:tcPr>
          <w:p>
            <w:pPr>
              <w:pStyle w:val="TableText"/>
              <w:ind w:left="194"/>
              <w:spacing w:before="237" w:line="184" w:lineRule="auto"/>
              <w:rPr>
                <w:sz w:val="20"/>
                <w:szCs w:val="20"/>
              </w:rPr>
            </w:pPr>
            <w:r>
              <w:rPr>
                <w:sz w:val="20"/>
                <w:szCs w:val="20"/>
                <w:spacing w:val="-4"/>
              </w:rPr>
              <w:t>1374.2</w:t>
            </w:r>
          </w:p>
        </w:tc>
        <w:tc>
          <w:tcPr>
            <w:tcW w:w="1419" w:type="dxa"/>
            <w:vAlign w:val="top"/>
          </w:tcPr>
          <w:p>
            <w:pPr>
              <w:pStyle w:val="TableText"/>
              <w:ind w:left="454"/>
              <w:spacing w:before="237" w:line="184" w:lineRule="auto"/>
              <w:rPr>
                <w:sz w:val="20"/>
                <w:szCs w:val="20"/>
              </w:rPr>
            </w:pPr>
            <w:r>
              <w:rPr>
                <w:sz w:val="20"/>
                <w:szCs w:val="20"/>
                <w:spacing w:val="-2"/>
              </w:rPr>
              <w:t>962.1</w:t>
            </w:r>
          </w:p>
        </w:tc>
        <w:tc>
          <w:tcPr>
            <w:tcW w:w="3751" w:type="dxa"/>
            <w:vAlign w:val="top"/>
          </w:tcPr>
          <w:p>
            <w:pPr>
              <w:pStyle w:val="TableText"/>
              <w:ind w:left="268"/>
              <w:spacing w:before="44" w:line="219" w:lineRule="auto"/>
              <w:rPr>
                <w:sz w:val="20"/>
                <w:szCs w:val="20"/>
              </w:rPr>
            </w:pPr>
            <w:r>
              <w:rPr>
                <w:sz w:val="20"/>
                <w:szCs w:val="20"/>
                <w:b/>
                <w:bCs/>
                <w:spacing w:val="-3"/>
              </w:rPr>
              <w:t>排放量不含纯水制备废水、锅炉排污</w:t>
            </w:r>
          </w:p>
          <w:p>
            <w:pPr>
              <w:pStyle w:val="TableText"/>
              <w:ind w:left="368"/>
              <w:spacing w:before="42" w:line="203" w:lineRule="auto"/>
              <w:rPr>
                <w:sz w:val="20"/>
                <w:szCs w:val="20"/>
              </w:rPr>
            </w:pPr>
            <w:r>
              <w:rPr>
                <w:sz w:val="20"/>
                <w:szCs w:val="20"/>
                <w:b/>
                <w:bCs/>
                <w:spacing w:val="-3"/>
              </w:rPr>
              <w:t>水、软化水、循环冷却废水等排放</w:t>
            </w:r>
          </w:p>
        </w:tc>
      </w:tr>
    </w:tbl>
    <w:p>
      <w:pPr>
        <w:rPr>
          <w:rFonts w:ascii="Arial"/>
          <w:sz w:val="21"/>
        </w:rPr>
      </w:pPr>
      <w:r/>
    </w:p>
    <w:p>
      <w:pPr>
        <w:sectPr>
          <w:footerReference w:type="default" r:id="rId17"/>
          <w:pgSz w:w="11900" w:h="16840"/>
          <w:pgMar w:top="1431" w:right="974" w:bottom="988" w:left="1135" w:header="0" w:footer="849" w:gutter="0"/>
        </w:sectPr>
        <w:rPr>
          <w:rFonts w:ascii="Arial" w:hAnsi="Arial" w:eastAsia="Arial" w:cs="Arial"/>
          <w:sz w:val="21"/>
          <w:szCs w:val="21"/>
        </w:rPr>
      </w:pPr>
    </w:p>
    <w:p>
      <w:pPr>
        <w:spacing w:line="37" w:lineRule="auto"/>
        <w:rPr>
          <w:rFonts w:ascii="Arial"/>
          <w:sz w:val="2"/>
        </w:rPr>
      </w:pPr>
      <w:r>
        <w:rPr>
          <w:rFonts w:ascii="Arial"/>
          <w:sz w:val="2"/>
        </w:rPr>
      </w:r>
    </w:p>
    <w:tbl>
      <w:tblPr>
        <w:tblStyle w:val="TableNormal"/>
        <w:tblW w:w="980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4"/>
        <w:gridCol w:w="9356"/>
      </w:tblGrid>
      <w:tr>
        <w:trPr>
          <w:trHeight w:val="455" w:hRule="atLeast"/>
        </w:trPr>
        <w:tc>
          <w:tcPr>
            <w:tcW w:w="444" w:type="dxa"/>
            <w:vAlign w:val="top"/>
          </w:tcPr>
          <w:p>
            <w:pPr>
              <w:rPr>
                <w:rFonts w:ascii="Arial"/>
                <w:sz w:val="21"/>
              </w:rPr>
            </w:pPr>
            <w:r/>
          </w:p>
        </w:tc>
        <w:tc>
          <w:tcPr>
            <w:tcW w:w="9356" w:type="dxa"/>
            <w:vAlign w:val="top"/>
          </w:tcPr>
          <w:p>
            <w:pPr>
              <w:rPr>
                <w:rFonts w:ascii="Arial"/>
                <w:sz w:val="21"/>
              </w:rPr>
            </w:pPr>
            <w:r/>
          </w:p>
        </w:tc>
      </w:tr>
      <w:tr>
        <w:trPr>
          <w:trHeight w:val="13265" w:hRule="atLeast"/>
        </w:trPr>
        <w:tc>
          <w:tcPr>
            <w:tcW w:w="444" w:type="dxa"/>
            <w:vAlign w:val="top"/>
            <w:textDirection w:val="tbRlV"/>
          </w:tcPr>
          <w:p>
            <w:pPr>
              <w:pStyle w:val="TableText"/>
              <w:ind w:left="5295"/>
              <w:spacing w:before="119" w:line="216" w:lineRule="auto"/>
              <w:rPr>
                <w:sz w:val="19"/>
                <w:szCs w:val="19"/>
              </w:rPr>
            </w:pPr>
            <w:r>
              <w:rPr>
                <w:sz w:val="19"/>
                <w:szCs w:val="19"/>
                <w:spacing w:val="-2"/>
              </w:rPr>
              <w:t>工 艺</w:t>
            </w:r>
            <w:r>
              <w:rPr>
                <w:sz w:val="19"/>
                <w:szCs w:val="19"/>
                <w:spacing w:val="-3"/>
              </w:rPr>
              <w:t xml:space="preserve"> </w:t>
            </w:r>
            <w:r>
              <w:rPr>
                <w:sz w:val="19"/>
                <w:szCs w:val="19"/>
                <w:spacing w:val="-2"/>
              </w:rPr>
              <w:t>流</w:t>
            </w:r>
            <w:r>
              <w:rPr>
                <w:sz w:val="19"/>
                <w:szCs w:val="19"/>
                <w:spacing w:val="-12"/>
              </w:rPr>
              <w:t xml:space="preserve"> </w:t>
            </w:r>
            <w:r>
              <w:rPr>
                <w:sz w:val="19"/>
                <w:szCs w:val="19"/>
                <w:spacing w:val="-2"/>
              </w:rPr>
              <w:t>程</w:t>
            </w:r>
            <w:r>
              <w:rPr>
                <w:sz w:val="19"/>
                <w:szCs w:val="19"/>
                <w:spacing w:val="-11"/>
              </w:rPr>
              <w:t xml:space="preserve"> </w:t>
            </w:r>
            <w:r>
              <w:rPr>
                <w:sz w:val="19"/>
                <w:szCs w:val="19"/>
                <w:spacing w:val="-2"/>
              </w:rPr>
              <w:t>和</w:t>
            </w:r>
            <w:r>
              <w:rPr>
                <w:sz w:val="19"/>
                <w:szCs w:val="19"/>
                <w:spacing w:val="-12"/>
              </w:rPr>
              <w:t xml:space="preserve"> </w:t>
            </w:r>
            <w:r>
              <w:rPr>
                <w:sz w:val="19"/>
                <w:szCs w:val="19"/>
                <w:spacing w:val="-2"/>
              </w:rPr>
              <w:t>产</w:t>
            </w:r>
            <w:r>
              <w:rPr>
                <w:sz w:val="19"/>
                <w:szCs w:val="19"/>
                <w:spacing w:val="-12"/>
              </w:rPr>
              <w:t xml:space="preserve"> </w:t>
            </w:r>
            <w:r>
              <w:rPr>
                <w:sz w:val="19"/>
                <w:szCs w:val="19"/>
                <w:spacing w:val="-2"/>
              </w:rPr>
              <w:t>排</w:t>
            </w:r>
            <w:r>
              <w:rPr>
                <w:sz w:val="19"/>
                <w:szCs w:val="19"/>
                <w:spacing w:val="-12"/>
              </w:rPr>
              <w:t xml:space="preserve"> </w:t>
            </w:r>
            <w:r>
              <w:rPr>
                <w:sz w:val="19"/>
                <w:szCs w:val="19"/>
                <w:spacing w:val="-2"/>
              </w:rPr>
              <w:t>污</w:t>
            </w:r>
            <w:r>
              <w:rPr>
                <w:sz w:val="19"/>
                <w:szCs w:val="19"/>
                <w:spacing w:val="-11"/>
              </w:rPr>
              <w:t xml:space="preserve"> </w:t>
            </w:r>
            <w:r>
              <w:rPr>
                <w:sz w:val="19"/>
                <w:szCs w:val="19"/>
                <w:spacing w:val="-2"/>
              </w:rPr>
              <w:t>环</w:t>
            </w:r>
            <w:r>
              <w:rPr>
                <w:sz w:val="19"/>
                <w:szCs w:val="19"/>
                <w:spacing w:val="-12"/>
              </w:rPr>
              <w:t xml:space="preserve"> </w:t>
            </w:r>
            <w:r>
              <w:rPr>
                <w:sz w:val="19"/>
                <w:szCs w:val="19"/>
                <w:spacing w:val="-2"/>
              </w:rPr>
              <w:t>节</w:t>
            </w:r>
          </w:p>
        </w:tc>
        <w:tc>
          <w:tcPr>
            <w:tcW w:w="9356" w:type="dxa"/>
            <w:vAlign w:val="top"/>
          </w:tcPr>
          <w:p>
            <w:pPr>
              <w:pStyle w:val="TableText"/>
              <w:ind w:left="124"/>
              <w:spacing w:before="96" w:line="219" w:lineRule="auto"/>
              <w:rPr>
                <w:sz w:val="24"/>
                <w:szCs w:val="24"/>
              </w:rPr>
            </w:pPr>
            <w:r>
              <w:rPr>
                <w:sz w:val="24"/>
                <w:szCs w:val="24"/>
                <w:b/>
                <w:bCs/>
                <w:spacing w:val="-4"/>
              </w:rPr>
              <w:t>2.7项目工艺流程和产污环节</w:t>
            </w:r>
          </w:p>
          <w:p>
            <w:pPr>
              <w:pStyle w:val="TableText"/>
              <w:ind w:left="610"/>
              <w:spacing w:before="238" w:line="219" w:lineRule="auto"/>
              <w:rPr>
                <w:sz w:val="24"/>
                <w:szCs w:val="24"/>
              </w:rPr>
            </w:pPr>
            <w:r>
              <w:rPr>
                <w:sz w:val="24"/>
                <w:szCs w:val="24"/>
              </w:rPr>
              <w:t>项目工艺流程包括凹版工程，阴、阳极片生</w:t>
            </w:r>
            <w:r>
              <w:rPr>
                <w:sz w:val="24"/>
                <w:szCs w:val="24"/>
                <w:spacing w:val="-1"/>
              </w:rPr>
              <w:t>产。</w:t>
            </w:r>
          </w:p>
          <w:p>
            <w:pPr>
              <w:pStyle w:val="TableText"/>
              <w:ind w:left="124"/>
              <w:spacing w:before="181" w:line="219" w:lineRule="auto"/>
              <w:rPr>
                <w:sz w:val="24"/>
                <w:szCs w:val="24"/>
              </w:rPr>
            </w:pPr>
            <w:r>
              <w:rPr>
                <w:sz w:val="24"/>
                <w:szCs w:val="24"/>
                <w:b/>
                <w:bCs/>
                <w:spacing w:val="-1"/>
              </w:rPr>
              <w:t>2.7.1凹版工程(配套8GWh产能的极片)(涉密，不予</w:t>
            </w:r>
            <w:r>
              <w:rPr>
                <w:sz w:val="24"/>
                <w:szCs w:val="24"/>
                <w:b/>
                <w:bCs/>
                <w:spacing w:val="-2"/>
              </w:rPr>
              <w:t>公开)</w:t>
            </w:r>
          </w:p>
          <w:p>
            <w:pPr>
              <w:pStyle w:val="TableText"/>
              <w:ind w:left="124"/>
              <w:spacing w:before="185" w:line="219" w:lineRule="auto"/>
              <w:rPr>
                <w:sz w:val="24"/>
                <w:szCs w:val="24"/>
              </w:rPr>
            </w:pPr>
            <w:r>
              <w:rPr>
                <w:sz w:val="24"/>
                <w:szCs w:val="24"/>
                <w:b/>
                <w:bCs/>
                <w:spacing w:val="-1"/>
              </w:rPr>
              <w:t>2.7.2阴、阳极片生产(涉密，不予公开)</w:t>
            </w:r>
          </w:p>
          <w:p>
            <w:pPr>
              <w:pStyle w:val="TableText"/>
              <w:ind w:left="124"/>
              <w:spacing w:before="206" w:line="490" w:lineRule="exact"/>
              <w:rPr>
                <w:sz w:val="24"/>
                <w:szCs w:val="24"/>
              </w:rPr>
            </w:pPr>
            <w:r>
              <w:rPr>
                <w:sz w:val="24"/>
                <w:szCs w:val="24"/>
                <w:b/>
                <w:bCs/>
                <w:spacing w:val="-4"/>
                <w:position w:val="18"/>
              </w:rPr>
              <w:t>2.7.3公辅、环保工程</w:t>
            </w:r>
          </w:p>
          <w:p>
            <w:pPr>
              <w:pStyle w:val="TableText"/>
              <w:ind w:left="604"/>
              <w:spacing w:line="220" w:lineRule="auto"/>
              <w:rPr>
                <w:sz w:val="24"/>
                <w:szCs w:val="24"/>
              </w:rPr>
            </w:pPr>
            <w:r>
              <w:rPr>
                <w:sz w:val="24"/>
                <w:szCs w:val="24"/>
                <w:b/>
                <w:bCs/>
              </w:rPr>
              <w:t>1、锅炉</w:t>
            </w:r>
          </w:p>
          <w:p>
            <w:pPr>
              <w:pStyle w:val="TableText"/>
              <w:ind w:left="620"/>
              <w:spacing w:before="197" w:line="219" w:lineRule="auto"/>
              <w:rPr>
                <w:sz w:val="24"/>
                <w:szCs w:val="24"/>
              </w:rPr>
            </w:pPr>
            <w:r>
              <w:rPr>
                <w:sz w:val="24"/>
                <w:szCs w:val="24"/>
              </w:rPr>
              <w:t>锅炉运行过程产生污染主要为锅炉废气及锅炉排污水、软化废水。</w:t>
            </w:r>
          </w:p>
          <w:p>
            <w:pPr>
              <w:pStyle w:val="TableText"/>
              <w:ind w:left="731"/>
              <w:spacing w:before="181" w:line="470" w:lineRule="exact"/>
              <w:rPr>
                <w:sz w:val="24"/>
                <w:szCs w:val="24"/>
              </w:rPr>
            </w:pPr>
            <w:r>
              <w:rPr>
                <w:sz w:val="24"/>
                <w:szCs w:val="24"/>
                <w:spacing w:val="3"/>
                <w:position w:val="17"/>
              </w:rPr>
              <w:t>(1)锅炉废气主要污染物为</w:t>
            </w:r>
            <w:r>
              <w:rPr>
                <w:sz w:val="24"/>
                <w:szCs w:val="24"/>
                <w:position w:val="17"/>
              </w:rPr>
              <w:t>SO</w:t>
            </w:r>
            <w:r>
              <w:rPr>
                <w:rFonts w:ascii="Calibri" w:hAnsi="Calibri" w:eastAsia="Calibri" w:cs="Calibri"/>
                <w:sz w:val="24"/>
                <w:szCs w:val="24"/>
                <w:spacing w:val="3"/>
                <w:position w:val="17"/>
              </w:rPr>
              <w:t>₂</w:t>
            </w:r>
            <w:r>
              <w:rPr>
                <w:rFonts w:ascii="Calibri" w:hAnsi="Calibri" w:eastAsia="Calibri" w:cs="Calibri"/>
                <w:sz w:val="24"/>
                <w:szCs w:val="24"/>
                <w:spacing w:val="-21"/>
                <w:position w:val="17"/>
              </w:rPr>
              <w:t xml:space="preserve"> </w:t>
            </w:r>
            <w:r>
              <w:rPr>
                <w:sz w:val="24"/>
                <w:szCs w:val="24"/>
                <w:spacing w:val="3"/>
                <w:position w:val="17"/>
              </w:rPr>
              <w:t>、</w:t>
            </w:r>
            <w:r>
              <w:rPr>
                <w:sz w:val="24"/>
                <w:szCs w:val="24"/>
                <w:position w:val="17"/>
              </w:rPr>
              <w:t>NOx</w:t>
            </w:r>
            <w:r>
              <w:rPr>
                <w:sz w:val="24"/>
                <w:szCs w:val="24"/>
                <w:spacing w:val="3"/>
                <w:position w:val="17"/>
              </w:rPr>
              <w:t>、烟尘(颗粒物),本项目锅炉房设置有10t/h</w:t>
            </w:r>
          </w:p>
          <w:p>
            <w:pPr>
              <w:pStyle w:val="TableText"/>
              <w:ind w:left="131"/>
              <w:spacing w:before="1" w:line="216" w:lineRule="auto"/>
              <w:rPr>
                <w:sz w:val="24"/>
                <w:szCs w:val="24"/>
              </w:rPr>
            </w:pPr>
            <w:r>
              <w:rPr>
                <w:sz w:val="24"/>
                <w:szCs w:val="24"/>
                <w:spacing w:val="3"/>
              </w:rPr>
              <w:t>燃气蒸汽锅炉2台，15t/h燃气蒸汽锅炉2台(1用1备),用于涂布、凹版</w:t>
            </w:r>
            <w:r>
              <w:rPr>
                <w:sz w:val="24"/>
                <w:szCs w:val="24"/>
                <w:spacing w:val="2"/>
              </w:rPr>
              <w:t>和除湿机、</w:t>
            </w:r>
          </w:p>
          <w:p>
            <w:pPr>
              <w:pStyle w:val="TableText"/>
              <w:ind w:left="121"/>
              <w:spacing w:before="191" w:line="461" w:lineRule="exact"/>
              <w:rPr>
                <w:sz w:val="24"/>
                <w:szCs w:val="24"/>
              </w:rPr>
            </w:pPr>
            <w:r>
              <w:rPr>
                <w:sz w:val="24"/>
                <w:szCs w:val="24"/>
                <w:position w:val="16"/>
              </w:rPr>
              <w:t>风柜等设备供热。锅炉以天然气作为燃料。锅炉废气由每台锅炉配1根27m高排气烟道</w:t>
            </w:r>
          </w:p>
          <w:p>
            <w:pPr>
              <w:pStyle w:val="TableText"/>
              <w:ind w:left="121"/>
              <w:spacing w:line="219" w:lineRule="auto"/>
              <w:rPr>
                <w:sz w:val="24"/>
                <w:szCs w:val="24"/>
              </w:rPr>
            </w:pPr>
            <w:r>
              <w:rPr>
                <w:sz w:val="24"/>
                <w:szCs w:val="24"/>
                <w:spacing w:val="36"/>
              </w:rPr>
              <w:t>排放，共4根排气筒(</w:t>
            </w:r>
            <w:r>
              <w:rPr>
                <w:sz w:val="24"/>
                <w:szCs w:val="24"/>
              </w:rPr>
              <w:t>DA</w:t>
            </w:r>
            <w:r>
              <w:rPr>
                <w:sz w:val="24"/>
                <w:szCs w:val="24"/>
                <w:spacing w:val="36"/>
              </w:rPr>
              <w:t>025、</w:t>
            </w:r>
            <w:r>
              <w:rPr>
                <w:sz w:val="24"/>
                <w:szCs w:val="24"/>
              </w:rPr>
              <w:t>DA</w:t>
            </w:r>
            <w:r>
              <w:rPr>
                <w:sz w:val="24"/>
                <w:szCs w:val="24"/>
                <w:spacing w:val="36"/>
              </w:rPr>
              <w:t>027~</w:t>
            </w:r>
            <w:r>
              <w:rPr>
                <w:sz w:val="24"/>
                <w:szCs w:val="24"/>
              </w:rPr>
              <w:t>DA</w:t>
            </w:r>
            <w:r>
              <w:rPr>
                <w:sz w:val="24"/>
                <w:szCs w:val="24"/>
                <w:spacing w:val="36"/>
              </w:rPr>
              <w:t>029)(</w:t>
            </w:r>
            <w:r>
              <w:rPr>
                <w:sz w:val="24"/>
                <w:szCs w:val="24"/>
                <w:spacing w:val="35"/>
              </w:rPr>
              <w:t>3用1备)。</w:t>
            </w:r>
          </w:p>
          <w:p>
            <w:pPr>
              <w:pStyle w:val="TableText"/>
              <w:ind w:right="55"/>
              <w:spacing w:before="195" w:line="464" w:lineRule="exact"/>
              <w:jc w:val="right"/>
              <w:rPr>
                <w:sz w:val="24"/>
                <w:szCs w:val="24"/>
              </w:rPr>
            </w:pPr>
            <w:r>
              <w:rPr>
                <w:sz w:val="24"/>
                <w:szCs w:val="24"/>
                <w:position w:val="16"/>
              </w:rPr>
              <w:t>(2)锅炉排污水来源于蒸汽冷凝过程，直接排入市政污水管网；锅炉软化浓水不与</w:t>
            </w:r>
          </w:p>
          <w:p>
            <w:pPr>
              <w:pStyle w:val="TableText"/>
              <w:ind w:left="121"/>
              <w:spacing w:line="214" w:lineRule="auto"/>
              <w:rPr>
                <w:sz w:val="24"/>
                <w:szCs w:val="24"/>
              </w:rPr>
            </w:pPr>
            <w:r>
              <w:rPr>
                <w:sz w:val="24"/>
                <w:szCs w:val="24"/>
              </w:rPr>
              <w:t>物料接触，不含特征污染物，仅水质硬度高，偏酸性，pH约为6～7,直接排入市政污</w:t>
            </w:r>
          </w:p>
          <w:p>
            <w:pPr>
              <w:pStyle w:val="TableText"/>
              <w:ind w:left="121"/>
              <w:spacing w:before="168" w:line="219" w:lineRule="auto"/>
              <w:rPr>
                <w:sz w:val="24"/>
                <w:szCs w:val="24"/>
              </w:rPr>
            </w:pPr>
            <w:r>
              <w:rPr>
                <w:sz w:val="24"/>
                <w:szCs w:val="24"/>
              </w:rPr>
              <w:t>水管网。</w:t>
            </w:r>
          </w:p>
          <w:p>
            <w:pPr>
              <w:pStyle w:val="TableText"/>
              <w:ind w:left="604"/>
              <w:spacing w:before="192" w:line="219" w:lineRule="auto"/>
              <w:rPr>
                <w:sz w:val="24"/>
                <w:szCs w:val="24"/>
              </w:rPr>
            </w:pPr>
            <w:r>
              <w:rPr>
                <w:sz w:val="24"/>
                <w:szCs w:val="24"/>
                <w:b/>
                <w:bCs/>
                <w:spacing w:val="-4"/>
              </w:rPr>
              <w:t>2、纯水制备系统</w:t>
            </w:r>
          </w:p>
          <w:p>
            <w:pPr>
              <w:pStyle w:val="TableText"/>
              <w:ind w:left="600"/>
              <w:spacing w:before="188" w:line="470" w:lineRule="exact"/>
              <w:rPr>
                <w:sz w:val="24"/>
                <w:szCs w:val="24"/>
              </w:rPr>
            </w:pPr>
            <w:r>
              <w:rPr>
                <w:sz w:val="24"/>
                <w:szCs w:val="24"/>
                <w:position w:val="17"/>
              </w:rPr>
              <w:t>纯水(RO/DI系统)制备过程中会产生的废水，直接排入市政污水管网。制纯水设</w:t>
            </w:r>
          </w:p>
          <w:p>
            <w:pPr>
              <w:pStyle w:val="TableText"/>
              <w:ind w:left="121"/>
              <w:spacing w:before="1" w:line="218" w:lineRule="auto"/>
              <w:rPr>
                <w:sz w:val="24"/>
                <w:szCs w:val="24"/>
              </w:rPr>
            </w:pPr>
            <w:r>
              <w:rPr>
                <w:sz w:val="24"/>
                <w:szCs w:val="24"/>
              </w:rPr>
              <w:t>备定期需更换滤芯，由设备供应商定期更换。</w:t>
            </w:r>
          </w:p>
          <w:p>
            <w:pPr>
              <w:pStyle w:val="TableText"/>
              <w:ind w:left="614"/>
              <w:spacing w:before="203" w:line="219" w:lineRule="auto"/>
              <w:rPr>
                <w:sz w:val="24"/>
                <w:szCs w:val="24"/>
              </w:rPr>
            </w:pPr>
            <w:r>
              <w:rPr>
                <w:sz w:val="24"/>
                <w:szCs w:val="24"/>
                <w:b/>
                <w:bCs/>
                <w:spacing w:val="-4"/>
              </w:rPr>
              <w:t>3、冷却系统排污水</w:t>
            </w:r>
          </w:p>
          <w:p>
            <w:pPr>
              <w:pStyle w:val="TableText"/>
              <w:ind w:left="610"/>
              <w:spacing w:before="169" w:line="219" w:lineRule="auto"/>
              <w:rPr>
                <w:sz w:val="24"/>
                <w:szCs w:val="24"/>
              </w:rPr>
            </w:pPr>
            <w:r>
              <w:rPr>
                <w:sz w:val="24"/>
                <w:szCs w:val="24"/>
              </w:rPr>
              <w:t>循环冷却排污水，不含特征污染物，直接排入市政污水管网。</w:t>
            </w:r>
          </w:p>
          <w:p>
            <w:pPr>
              <w:pStyle w:val="TableText"/>
              <w:ind w:left="614"/>
              <w:spacing w:before="202" w:line="219" w:lineRule="auto"/>
              <w:rPr>
                <w:sz w:val="24"/>
                <w:szCs w:val="24"/>
              </w:rPr>
            </w:pPr>
            <w:r>
              <w:rPr>
                <w:sz w:val="24"/>
                <w:szCs w:val="24"/>
                <w:b/>
                <w:bCs/>
                <w:spacing w:val="-4"/>
              </w:rPr>
              <w:t>4、厂区污水处理站</w:t>
            </w:r>
          </w:p>
          <w:p>
            <w:pPr>
              <w:pStyle w:val="TableText"/>
              <w:ind w:left="610"/>
              <w:spacing w:before="157" w:line="471" w:lineRule="exact"/>
              <w:rPr>
                <w:sz w:val="24"/>
                <w:szCs w:val="24"/>
              </w:rPr>
            </w:pPr>
            <w:r>
              <w:rPr>
                <w:sz w:val="24"/>
                <w:szCs w:val="24"/>
                <w:position w:val="17"/>
              </w:rPr>
              <w:t>本项目将改扩建现有工程工业废水处理站，运行过程产生污染物主要为污水处理站</w:t>
            </w:r>
          </w:p>
          <w:p>
            <w:pPr>
              <w:pStyle w:val="TableText"/>
              <w:ind w:left="121"/>
              <w:spacing w:line="219" w:lineRule="auto"/>
              <w:rPr>
                <w:sz w:val="24"/>
                <w:szCs w:val="24"/>
              </w:rPr>
            </w:pPr>
            <w:r>
              <w:rPr>
                <w:sz w:val="24"/>
                <w:szCs w:val="24"/>
              </w:rPr>
              <w:t>臭气，阳极、阴极废水预处理三级沉淀池的沉渣，污水处理站污</w:t>
            </w:r>
            <w:r>
              <w:rPr>
                <w:sz w:val="24"/>
                <w:szCs w:val="24"/>
                <w:spacing w:val="-1"/>
              </w:rPr>
              <w:t>泥。</w:t>
            </w:r>
          </w:p>
          <w:p>
            <w:pPr>
              <w:pStyle w:val="TableText"/>
              <w:ind w:left="620"/>
              <w:spacing w:before="174" w:line="471" w:lineRule="exact"/>
              <w:rPr>
                <w:sz w:val="24"/>
                <w:szCs w:val="24"/>
              </w:rPr>
            </w:pPr>
            <w:r>
              <w:rPr>
                <w:sz w:val="24"/>
                <w:szCs w:val="24"/>
                <w:position w:val="17"/>
              </w:rPr>
              <w:t>生产废水臭气经收集后依托现有工程的除臭装置处理(工艺为喷淋塔+UV)达标后，</w:t>
            </w:r>
          </w:p>
          <w:p>
            <w:pPr>
              <w:pStyle w:val="TableText"/>
              <w:ind w:left="131"/>
              <w:spacing w:before="1" w:line="219" w:lineRule="auto"/>
              <w:rPr>
                <w:sz w:val="24"/>
                <w:szCs w:val="24"/>
              </w:rPr>
            </w:pPr>
            <w:r>
              <w:rPr>
                <w:sz w:val="24"/>
                <w:szCs w:val="24"/>
              </w:rPr>
              <w:t>再经1根15m排气筒(DA006)排放，产生的沉渣、污泥</w:t>
            </w:r>
            <w:r>
              <w:rPr>
                <w:sz w:val="24"/>
                <w:szCs w:val="24"/>
                <w:spacing w:val="-1"/>
              </w:rPr>
              <w:t>委托相关单位定期清运处理</w:t>
            </w:r>
          </w:p>
          <w:p>
            <w:pPr>
              <w:pStyle w:val="TableText"/>
              <w:ind w:left="614"/>
              <w:spacing w:before="202" w:line="220" w:lineRule="auto"/>
              <w:rPr>
                <w:sz w:val="24"/>
                <w:szCs w:val="24"/>
              </w:rPr>
            </w:pPr>
            <w:r>
              <w:rPr>
                <w:sz w:val="24"/>
                <w:szCs w:val="24"/>
                <w:b/>
                <w:bCs/>
                <w:spacing w:val="-5"/>
              </w:rPr>
              <w:t>5、废气处理</w:t>
            </w:r>
          </w:p>
          <w:p>
            <w:pPr>
              <w:pStyle w:val="TableText"/>
              <w:ind w:right="65"/>
              <w:spacing w:before="176" w:line="446" w:lineRule="exact"/>
              <w:jc w:val="right"/>
              <w:rPr>
                <w:sz w:val="24"/>
                <w:szCs w:val="24"/>
              </w:rPr>
            </w:pPr>
            <w:r>
              <w:rPr>
                <w:sz w:val="24"/>
                <w:szCs w:val="24"/>
                <w:position w:val="15"/>
              </w:rPr>
              <w:t>(1)投料粉尘：项目投料粉尘采用单体固定式除尘器收集处理，收集的废粉料委托</w:t>
            </w:r>
          </w:p>
          <w:p>
            <w:pPr>
              <w:pStyle w:val="TableText"/>
              <w:ind w:left="121"/>
              <w:spacing w:before="1" w:line="223" w:lineRule="auto"/>
              <w:rPr>
                <w:sz w:val="24"/>
                <w:szCs w:val="24"/>
              </w:rPr>
            </w:pPr>
            <w:r>
              <w:rPr>
                <w:sz w:val="24"/>
                <w:szCs w:val="24"/>
              </w:rPr>
              <w:t>处置。</w:t>
            </w:r>
          </w:p>
          <w:p>
            <w:pPr>
              <w:pStyle w:val="TableText"/>
              <w:ind w:left="740"/>
              <w:spacing w:before="172" w:line="219" w:lineRule="auto"/>
              <w:rPr>
                <w:sz w:val="24"/>
                <w:szCs w:val="24"/>
              </w:rPr>
            </w:pPr>
            <w:r>
              <w:rPr>
                <w:sz w:val="24"/>
                <w:szCs w:val="24"/>
              </w:rPr>
              <w:t>(2)阴极涂布废气：项目设置的4条阴极片生产线涂布烘干工序各设置1套NMP</w:t>
            </w:r>
          </w:p>
        </w:tc>
      </w:tr>
    </w:tbl>
    <w:p>
      <w:pPr>
        <w:rPr>
          <w:rFonts w:ascii="Arial"/>
          <w:sz w:val="21"/>
        </w:rPr>
      </w:pPr>
      <w:r/>
    </w:p>
    <w:p>
      <w:pPr>
        <w:sectPr>
          <w:footerReference w:type="default" r:id="rId18"/>
          <w:pgSz w:w="11900" w:h="16840"/>
          <w:pgMar w:top="1431" w:right="974" w:bottom="988" w:left="1115" w:header="0" w:footer="849" w:gutter="0"/>
        </w:sectPr>
        <w:rPr>
          <w:rFonts w:ascii="Arial" w:hAnsi="Arial" w:eastAsia="Arial" w:cs="Arial"/>
          <w:sz w:val="21"/>
          <w:szCs w:val="21"/>
        </w:rPr>
      </w:pPr>
    </w:p>
    <w:p>
      <w:pPr>
        <w:spacing w:line="37" w:lineRule="auto"/>
        <w:rPr>
          <w:rFonts w:ascii="Arial"/>
          <w:sz w:val="2"/>
        </w:rPr>
      </w:pPr>
      <w:r>
        <w:rPr>
          <w:rFonts w:ascii="Arial"/>
          <w:sz w:val="2"/>
        </w:rPr>
      </w:r>
    </w:p>
    <w:tbl>
      <w:tblPr>
        <w:tblStyle w:val="TableNormal"/>
        <w:tblW w:w="97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34"/>
        <w:gridCol w:w="9346"/>
      </w:tblGrid>
      <w:tr>
        <w:trPr>
          <w:trHeight w:val="10520" w:hRule="atLeast"/>
        </w:trPr>
        <w:tc>
          <w:tcPr>
            <w:tcW w:w="434" w:type="dxa"/>
            <w:vAlign w:val="top"/>
          </w:tcPr>
          <w:p>
            <w:pPr>
              <w:rPr>
                <w:rFonts w:ascii="Arial"/>
                <w:sz w:val="21"/>
              </w:rPr>
            </w:pPr>
            <w:r/>
          </w:p>
        </w:tc>
        <w:tc>
          <w:tcPr>
            <w:tcW w:w="9346" w:type="dxa"/>
            <w:vAlign w:val="top"/>
          </w:tcPr>
          <w:p>
            <w:pPr>
              <w:pStyle w:val="TableText"/>
              <w:ind w:left="131"/>
              <w:spacing w:before="55" w:line="219" w:lineRule="auto"/>
              <w:rPr>
                <w:sz w:val="24"/>
                <w:szCs w:val="24"/>
              </w:rPr>
            </w:pPr>
            <w:r>
              <w:rPr>
                <w:sz w:val="24"/>
                <w:szCs w:val="24"/>
                <w:spacing w:val="1"/>
              </w:rPr>
              <w:t>冷凝+沸石转轮回收装置，共4套，共用1根高27m排</w:t>
            </w:r>
            <w:r>
              <w:rPr>
                <w:sz w:val="24"/>
                <w:szCs w:val="24"/>
              </w:rPr>
              <w:t>气筒(DA026)。该设施冷凝回</w:t>
            </w:r>
          </w:p>
          <w:p>
            <w:pPr>
              <w:pStyle w:val="TableText"/>
              <w:ind w:left="141"/>
              <w:spacing w:before="174" w:line="471" w:lineRule="exact"/>
              <w:rPr>
                <w:sz w:val="24"/>
                <w:szCs w:val="24"/>
              </w:rPr>
            </w:pPr>
            <w:r>
              <w:rPr>
                <w:sz w:val="24"/>
                <w:szCs w:val="24"/>
                <w:position w:val="17"/>
              </w:rPr>
              <w:t>收的NMP废液委托处置；沸石转轮中的沸石为吸附介质，使用一定时间后，需进行更</w:t>
            </w:r>
          </w:p>
          <w:p>
            <w:pPr>
              <w:pStyle w:val="TableText"/>
              <w:ind w:left="131"/>
              <w:spacing w:line="220" w:lineRule="auto"/>
              <w:rPr>
                <w:sz w:val="24"/>
                <w:szCs w:val="24"/>
              </w:rPr>
            </w:pPr>
            <w:r>
              <w:rPr>
                <w:sz w:val="24"/>
                <w:szCs w:val="24"/>
              </w:rPr>
              <w:t>换，更换下的废沸石为危险废物，委托有资质单位处</w:t>
            </w:r>
            <w:r>
              <w:rPr>
                <w:sz w:val="24"/>
                <w:szCs w:val="24"/>
                <w:spacing w:val="-1"/>
              </w:rPr>
              <w:t>置。</w:t>
            </w:r>
          </w:p>
          <w:p>
            <w:pPr>
              <w:pStyle w:val="TableText"/>
              <w:ind w:left="614"/>
              <w:spacing w:before="179" w:line="219" w:lineRule="auto"/>
              <w:rPr>
                <w:sz w:val="24"/>
                <w:szCs w:val="24"/>
              </w:rPr>
            </w:pPr>
            <w:r>
              <w:rPr>
                <w:sz w:val="24"/>
                <w:szCs w:val="24"/>
                <w:b/>
                <w:bCs/>
                <w:spacing w:val="-4"/>
              </w:rPr>
              <w:t>6、职工生产生活</w:t>
            </w:r>
          </w:p>
          <w:p>
            <w:pPr>
              <w:pStyle w:val="TableText"/>
              <w:ind w:left="610"/>
              <w:spacing w:before="188" w:line="219" w:lineRule="auto"/>
              <w:rPr>
                <w:sz w:val="24"/>
                <w:szCs w:val="24"/>
              </w:rPr>
            </w:pPr>
            <w:r>
              <w:rPr>
                <w:sz w:val="24"/>
                <w:szCs w:val="24"/>
              </w:rPr>
              <w:t>职工生产生活产生污染主要为生活污水、食堂废水、食堂油烟以及生活垃</w:t>
            </w:r>
            <w:r>
              <w:rPr>
                <w:sz w:val="24"/>
                <w:szCs w:val="24"/>
                <w:spacing w:val="-1"/>
              </w:rPr>
              <w:t>圾。</w:t>
            </w:r>
          </w:p>
          <w:p>
            <w:pPr>
              <w:pStyle w:val="TableText"/>
              <w:ind w:left="741"/>
              <w:spacing w:before="161" w:line="494" w:lineRule="exact"/>
              <w:rPr>
                <w:sz w:val="24"/>
                <w:szCs w:val="24"/>
              </w:rPr>
            </w:pPr>
            <w:r>
              <w:rPr>
                <w:sz w:val="24"/>
                <w:szCs w:val="24"/>
                <w:spacing w:val="5"/>
                <w:position w:val="19"/>
              </w:rPr>
              <w:t>(1)普通生活污水主要污染物为</w:t>
            </w:r>
            <w:r>
              <w:rPr>
                <w:sz w:val="24"/>
                <w:szCs w:val="24"/>
                <w:position w:val="19"/>
              </w:rPr>
              <w:t>COD</w:t>
            </w:r>
            <w:r>
              <w:rPr>
                <w:sz w:val="24"/>
                <w:szCs w:val="24"/>
                <w:spacing w:val="5"/>
                <w:position w:val="19"/>
              </w:rPr>
              <w:t>、</w:t>
            </w:r>
            <w:r>
              <w:rPr>
                <w:sz w:val="24"/>
                <w:szCs w:val="24"/>
                <w:position w:val="19"/>
              </w:rPr>
              <w:t>SS</w:t>
            </w:r>
            <w:r>
              <w:rPr>
                <w:sz w:val="24"/>
                <w:szCs w:val="24"/>
                <w:spacing w:val="5"/>
                <w:position w:val="19"/>
              </w:rPr>
              <w:t>、</w:t>
            </w:r>
            <w:r>
              <w:rPr>
                <w:sz w:val="24"/>
                <w:szCs w:val="24"/>
                <w:position w:val="19"/>
              </w:rPr>
              <w:t>BODs</w:t>
            </w:r>
            <w:r>
              <w:rPr>
                <w:sz w:val="24"/>
                <w:szCs w:val="24"/>
                <w:spacing w:val="5"/>
                <w:position w:val="19"/>
              </w:rPr>
              <w:t>、</w:t>
            </w:r>
            <w:r>
              <w:rPr>
                <w:sz w:val="24"/>
                <w:szCs w:val="24"/>
                <w:position w:val="19"/>
              </w:rPr>
              <w:t>NH</w:t>
            </w:r>
            <w:r>
              <w:rPr>
                <w:rFonts w:ascii="Calibri" w:hAnsi="Calibri" w:eastAsia="Calibri" w:cs="Calibri"/>
                <w:sz w:val="24"/>
                <w:szCs w:val="24"/>
                <w:spacing w:val="5"/>
                <w:position w:val="19"/>
              </w:rPr>
              <w:t>₃</w:t>
            </w:r>
            <w:r>
              <w:rPr>
                <w:sz w:val="24"/>
                <w:szCs w:val="24"/>
                <w:spacing w:val="5"/>
                <w:position w:val="19"/>
              </w:rPr>
              <w:t>-N,经化粪池处理后，排</w:t>
            </w:r>
          </w:p>
          <w:p>
            <w:pPr>
              <w:pStyle w:val="TableText"/>
              <w:ind w:left="131"/>
              <w:spacing w:before="1" w:line="219" w:lineRule="auto"/>
              <w:rPr>
                <w:sz w:val="24"/>
                <w:szCs w:val="24"/>
              </w:rPr>
            </w:pPr>
            <w:r>
              <w:rPr>
                <w:sz w:val="24"/>
                <w:szCs w:val="24"/>
              </w:rPr>
              <w:t>入市政污水管网。</w:t>
            </w:r>
          </w:p>
          <w:p>
            <w:pPr>
              <w:pStyle w:val="TableText"/>
              <w:ind w:left="121" w:right="74" w:firstLine="619"/>
              <w:spacing w:before="153" w:line="358" w:lineRule="auto"/>
              <w:rPr>
                <w:sz w:val="24"/>
                <w:szCs w:val="24"/>
              </w:rPr>
            </w:pPr>
            <w:r>
              <w:rPr>
                <w:sz w:val="24"/>
                <w:szCs w:val="24"/>
                <w:spacing w:val="4"/>
              </w:rPr>
              <w:t>(2)本项目新增员工食宿依托现有工程，食堂污</w:t>
            </w:r>
            <w:r>
              <w:rPr>
                <w:sz w:val="24"/>
                <w:szCs w:val="24"/>
                <w:spacing w:val="3"/>
              </w:rPr>
              <w:t>水主要污染物为</w:t>
            </w:r>
            <w:r>
              <w:rPr>
                <w:sz w:val="24"/>
                <w:szCs w:val="24"/>
              </w:rPr>
              <w:t>COD</w:t>
            </w:r>
            <w:r>
              <w:rPr>
                <w:sz w:val="24"/>
                <w:szCs w:val="24"/>
                <w:spacing w:val="3"/>
              </w:rPr>
              <w:t>、</w:t>
            </w:r>
            <w:r>
              <w:rPr>
                <w:sz w:val="24"/>
                <w:szCs w:val="24"/>
              </w:rPr>
              <w:t>SS</w:t>
            </w:r>
            <w:r>
              <w:rPr>
                <w:sz w:val="24"/>
                <w:szCs w:val="24"/>
                <w:spacing w:val="3"/>
              </w:rPr>
              <w:t>、</w:t>
            </w:r>
            <w:r>
              <w:rPr>
                <w:sz w:val="24"/>
                <w:szCs w:val="24"/>
              </w:rPr>
              <w:t>BODs</w:t>
            </w:r>
            <w:r>
              <w:rPr>
                <w:sz w:val="24"/>
                <w:szCs w:val="24"/>
                <w:spacing w:val="3"/>
              </w:rPr>
              <w:t>、</w:t>
            </w:r>
            <w:r>
              <w:rPr>
                <w:sz w:val="24"/>
                <w:szCs w:val="24"/>
              </w:rPr>
              <w:t xml:space="preserve"> </w:t>
            </w:r>
            <w:r>
              <w:rPr>
                <w:sz w:val="24"/>
                <w:szCs w:val="24"/>
              </w:rPr>
              <w:t>NH</w:t>
            </w:r>
            <w:r>
              <w:rPr>
                <w:rFonts w:ascii="Calibri" w:hAnsi="Calibri" w:eastAsia="Calibri" w:cs="Calibri"/>
                <w:sz w:val="24"/>
                <w:szCs w:val="24"/>
                <w:spacing w:val="4"/>
              </w:rPr>
              <w:t>₃</w:t>
            </w:r>
            <w:r>
              <w:rPr>
                <w:sz w:val="24"/>
                <w:szCs w:val="24"/>
                <w:spacing w:val="4"/>
              </w:rPr>
              <w:t>-N及动植物油，依托现有工程，经隔油、化粪池处理后，排入市政污水管网；食堂</w:t>
            </w:r>
          </w:p>
          <w:p>
            <w:pPr>
              <w:pStyle w:val="TableText"/>
              <w:ind w:left="131"/>
              <w:spacing w:before="1" w:line="218" w:lineRule="auto"/>
              <w:rPr>
                <w:sz w:val="24"/>
                <w:szCs w:val="24"/>
              </w:rPr>
            </w:pPr>
            <w:r>
              <w:rPr>
                <w:sz w:val="24"/>
                <w:szCs w:val="24"/>
              </w:rPr>
              <w:t>油烟依托现有工程，通过油烟净化器处理引至屋顶排放。</w:t>
            </w:r>
          </w:p>
          <w:p>
            <w:pPr>
              <w:pStyle w:val="TableText"/>
              <w:ind w:left="731"/>
              <w:spacing w:before="187" w:line="219" w:lineRule="auto"/>
              <w:rPr>
                <w:sz w:val="24"/>
                <w:szCs w:val="24"/>
              </w:rPr>
            </w:pPr>
            <w:r>
              <w:rPr>
                <w:sz w:val="24"/>
                <w:szCs w:val="24"/>
              </w:rPr>
              <w:t>(3)办公生活产生的生活垃圾厂区统一收集后，委托相关单位统一外运处置。</w:t>
            </w:r>
          </w:p>
          <w:p>
            <w:pPr>
              <w:pStyle w:val="TableText"/>
              <w:ind w:left="604"/>
              <w:spacing w:before="172" w:line="220" w:lineRule="auto"/>
              <w:rPr>
                <w:sz w:val="24"/>
                <w:szCs w:val="24"/>
              </w:rPr>
            </w:pPr>
            <w:r>
              <w:rPr>
                <w:sz w:val="24"/>
                <w:szCs w:val="24"/>
                <w:b/>
                <w:bCs/>
                <w:spacing w:val="-6"/>
              </w:rPr>
              <w:t>7、其他</w:t>
            </w:r>
          </w:p>
          <w:p>
            <w:pPr>
              <w:pStyle w:val="TableText"/>
              <w:ind w:left="600"/>
              <w:spacing w:before="197" w:line="219" w:lineRule="auto"/>
              <w:rPr>
                <w:sz w:val="24"/>
                <w:szCs w:val="24"/>
              </w:rPr>
            </w:pPr>
            <w:r>
              <w:rPr>
                <w:sz w:val="24"/>
                <w:szCs w:val="24"/>
              </w:rPr>
              <w:t>厂区内LED灯管更换的废LED灯管、生产过程中废弃的废手套为一般固废，委托</w:t>
            </w:r>
          </w:p>
          <w:p>
            <w:pPr>
              <w:pStyle w:val="TableText"/>
              <w:ind w:left="131"/>
              <w:spacing w:before="184" w:line="467" w:lineRule="exact"/>
              <w:rPr>
                <w:sz w:val="24"/>
                <w:szCs w:val="24"/>
              </w:rPr>
            </w:pPr>
            <w:r>
              <w:rPr>
                <w:sz w:val="24"/>
                <w:szCs w:val="24"/>
                <w:position w:val="17"/>
              </w:rPr>
              <w:t>相关单位外运处置；设备维护保养过程产生的废机油，含油的</w:t>
            </w:r>
            <w:r>
              <w:rPr>
                <w:sz w:val="24"/>
                <w:szCs w:val="24"/>
                <w:spacing w:val="-1"/>
                <w:position w:val="17"/>
              </w:rPr>
              <w:t>废抹布、手套，其中废机</w:t>
            </w:r>
          </w:p>
          <w:p>
            <w:pPr>
              <w:pStyle w:val="TableText"/>
              <w:ind w:left="121"/>
              <w:spacing w:before="1" w:line="216" w:lineRule="auto"/>
              <w:rPr>
                <w:sz w:val="24"/>
                <w:szCs w:val="24"/>
              </w:rPr>
            </w:pPr>
            <w:r>
              <w:rPr>
                <w:sz w:val="24"/>
                <w:szCs w:val="24"/>
              </w:rPr>
              <w:t>油为危险废物，委托有相应资质的单位；根据《国家危险废物名录》(2021年版),沾</w:t>
            </w:r>
          </w:p>
          <w:p>
            <w:pPr>
              <w:pStyle w:val="TableText"/>
              <w:ind w:left="121"/>
              <w:spacing w:before="191" w:line="467" w:lineRule="exact"/>
              <w:rPr>
                <w:sz w:val="24"/>
                <w:szCs w:val="24"/>
              </w:rPr>
            </w:pPr>
            <w:r>
              <w:rPr>
                <w:sz w:val="24"/>
                <w:szCs w:val="24"/>
                <w:position w:val="17"/>
              </w:rPr>
              <w:t>染废油的废抹布、手套未分类收集，全过程豁免，与生活垃圾一起委托相关单位统一外</w:t>
            </w:r>
          </w:p>
          <w:p>
            <w:pPr>
              <w:pStyle w:val="TableText"/>
              <w:ind w:left="101"/>
              <w:spacing w:line="223" w:lineRule="auto"/>
              <w:rPr>
                <w:sz w:val="24"/>
                <w:szCs w:val="24"/>
              </w:rPr>
            </w:pPr>
            <w:r>
              <w:rPr>
                <w:sz w:val="24"/>
                <w:szCs w:val="24"/>
                <w:spacing w:val="-1"/>
              </w:rPr>
              <w:t>运处置。</w:t>
            </w:r>
          </w:p>
          <w:p>
            <w:pPr>
              <w:pStyle w:val="TableText"/>
              <w:ind w:left="600"/>
              <w:spacing w:before="174" w:line="460" w:lineRule="exact"/>
              <w:rPr>
                <w:sz w:val="24"/>
                <w:szCs w:val="24"/>
              </w:rPr>
            </w:pPr>
            <w:r>
              <w:rPr>
                <w:sz w:val="24"/>
                <w:szCs w:val="24"/>
                <w:position w:val="16"/>
              </w:rPr>
              <w:t>根据以上生产工艺及公辅工程分析，项目的产污环节及主</w:t>
            </w:r>
            <w:r>
              <w:rPr>
                <w:sz w:val="24"/>
                <w:szCs w:val="24"/>
                <w:spacing w:val="-1"/>
                <w:position w:val="16"/>
              </w:rPr>
              <w:t>要污染物、治理措施及排</w:t>
            </w:r>
          </w:p>
          <w:p>
            <w:pPr>
              <w:pStyle w:val="TableText"/>
              <w:ind w:left="101"/>
              <w:spacing w:line="219" w:lineRule="auto"/>
              <w:rPr>
                <w:sz w:val="24"/>
                <w:szCs w:val="24"/>
              </w:rPr>
            </w:pPr>
            <w:r>
              <w:rPr>
                <w:sz w:val="24"/>
                <w:szCs w:val="24"/>
                <w:spacing w:val="1"/>
              </w:rPr>
              <w:t>放去向见表2.7-1。</w:t>
            </w:r>
          </w:p>
        </w:tc>
      </w:tr>
    </w:tbl>
    <w:p>
      <w:pPr>
        <w:rPr>
          <w:rFonts w:ascii="Arial"/>
          <w:sz w:val="21"/>
        </w:rPr>
      </w:pPr>
      <w:r/>
    </w:p>
    <w:p>
      <w:pPr>
        <w:sectPr>
          <w:footerReference w:type="default" r:id="rId19"/>
          <w:pgSz w:w="11900" w:h="16840"/>
          <w:pgMar w:top="1431" w:right="984" w:bottom="988" w:left="1125" w:header="0" w:footer="849" w:gutter="0"/>
        </w:sectPr>
        <w:rPr>
          <w:rFonts w:ascii="Arial" w:hAnsi="Arial" w:eastAsia="Arial" w:cs="Arial"/>
          <w:sz w:val="21"/>
          <w:szCs w:val="21"/>
        </w:rPr>
      </w:pPr>
    </w:p>
    <w:p>
      <w:pPr>
        <w:pStyle w:val="BodyText"/>
        <w:ind w:left="4488"/>
        <w:spacing w:before="48" w:line="219" w:lineRule="auto"/>
        <w:rPr>
          <w:sz w:val="24"/>
          <w:szCs w:val="24"/>
        </w:rPr>
      </w:pPr>
      <w:r>
        <w:rPr>
          <w:sz w:val="24"/>
          <w:szCs w:val="24"/>
          <w:b/>
          <w:bCs/>
          <w:spacing w:val="-5"/>
        </w:rPr>
        <w:t>表2.7-1</w:t>
      </w:r>
      <w:r>
        <w:rPr>
          <w:sz w:val="24"/>
          <w:szCs w:val="24"/>
          <w:spacing w:val="125"/>
        </w:rPr>
        <w:t xml:space="preserve"> </w:t>
      </w:r>
      <w:r>
        <w:rPr>
          <w:sz w:val="24"/>
          <w:szCs w:val="24"/>
          <w:b/>
          <w:bCs/>
          <w:spacing w:val="-5"/>
        </w:rPr>
        <w:t>项目产污环节及治理措施、排放去向一览表</w:t>
      </w:r>
    </w:p>
    <w:p>
      <w:pPr>
        <w:spacing w:line="133" w:lineRule="exact"/>
        <w:rPr/>
      </w:pPr>
      <w:r/>
    </w:p>
    <w:tbl>
      <w:tblPr>
        <w:tblStyle w:val="TableNormal"/>
        <w:tblW w:w="145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34"/>
        <w:gridCol w:w="550"/>
        <w:gridCol w:w="1579"/>
        <w:gridCol w:w="2259"/>
        <w:gridCol w:w="2338"/>
        <w:gridCol w:w="2278"/>
        <w:gridCol w:w="1179"/>
        <w:gridCol w:w="3273"/>
      </w:tblGrid>
      <w:tr>
        <w:trPr>
          <w:trHeight w:val="275" w:hRule="atLeast"/>
        </w:trPr>
        <w:tc>
          <w:tcPr>
            <w:tcW w:w="1134" w:type="dxa"/>
            <w:vAlign w:val="top"/>
          </w:tcPr>
          <w:p>
            <w:pPr>
              <w:pStyle w:val="TableText"/>
              <w:ind w:left="154"/>
              <w:spacing w:before="42" w:line="205" w:lineRule="auto"/>
              <w:rPr>
                <w:sz w:val="20"/>
                <w:szCs w:val="20"/>
              </w:rPr>
            </w:pPr>
            <w:r>
              <w:rPr>
                <w:sz w:val="20"/>
                <w:szCs w:val="20"/>
                <w:spacing w:val="4"/>
              </w:rPr>
              <w:t>污染类别</w:t>
            </w:r>
          </w:p>
        </w:tc>
        <w:tc>
          <w:tcPr>
            <w:tcW w:w="2129" w:type="dxa"/>
            <w:vAlign w:val="top"/>
            <w:gridSpan w:val="2"/>
          </w:tcPr>
          <w:p>
            <w:pPr>
              <w:pStyle w:val="TableText"/>
              <w:ind w:left="850"/>
              <w:spacing w:before="42" w:line="205" w:lineRule="auto"/>
              <w:rPr>
                <w:sz w:val="20"/>
                <w:szCs w:val="20"/>
              </w:rPr>
            </w:pPr>
            <w:r>
              <w:rPr>
                <w:sz w:val="20"/>
                <w:szCs w:val="20"/>
                <w:spacing w:val="6"/>
              </w:rPr>
              <w:t>编号</w:t>
            </w:r>
          </w:p>
        </w:tc>
        <w:tc>
          <w:tcPr>
            <w:tcW w:w="2259" w:type="dxa"/>
            <w:vAlign w:val="top"/>
          </w:tcPr>
          <w:p>
            <w:pPr>
              <w:pStyle w:val="TableText"/>
              <w:ind w:left="721"/>
              <w:spacing w:before="42" w:line="205" w:lineRule="auto"/>
              <w:rPr>
                <w:sz w:val="20"/>
                <w:szCs w:val="20"/>
              </w:rPr>
            </w:pPr>
            <w:r>
              <w:rPr>
                <w:sz w:val="20"/>
                <w:szCs w:val="20"/>
                <w:spacing w:val="-2"/>
              </w:rPr>
              <w:t>产污环节</w:t>
            </w:r>
          </w:p>
        </w:tc>
        <w:tc>
          <w:tcPr>
            <w:tcW w:w="2338" w:type="dxa"/>
            <w:vAlign w:val="top"/>
          </w:tcPr>
          <w:p>
            <w:pPr>
              <w:pStyle w:val="TableText"/>
              <w:ind w:left="662"/>
              <w:spacing w:before="43" w:line="204" w:lineRule="auto"/>
              <w:rPr>
                <w:sz w:val="20"/>
                <w:szCs w:val="20"/>
              </w:rPr>
            </w:pPr>
            <w:r>
              <w:rPr>
                <w:sz w:val="20"/>
                <w:szCs w:val="20"/>
                <w:spacing w:val="-2"/>
              </w:rPr>
              <w:t>主要污染物</w:t>
            </w:r>
          </w:p>
        </w:tc>
        <w:tc>
          <w:tcPr>
            <w:tcW w:w="2278" w:type="dxa"/>
            <w:vAlign w:val="top"/>
          </w:tcPr>
          <w:p>
            <w:pPr>
              <w:pStyle w:val="TableText"/>
              <w:ind w:left="734"/>
              <w:spacing w:before="41" w:line="206" w:lineRule="auto"/>
              <w:rPr>
                <w:sz w:val="20"/>
                <w:szCs w:val="20"/>
              </w:rPr>
            </w:pPr>
            <w:r>
              <w:rPr>
                <w:sz w:val="20"/>
                <w:szCs w:val="20"/>
                <w:spacing w:val="-2"/>
              </w:rPr>
              <w:t>评价因子</w:t>
            </w:r>
          </w:p>
        </w:tc>
        <w:tc>
          <w:tcPr>
            <w:tcW w:w="1179" w:type="dxa"/>
            <w:vAlign w:val="top"/>
          </w:tcPr>
          <w:p>
            <w:pPr>
              <w:pStyle w:val="TableText"/>
              <w:ind w:left="186"/>
              <w:spacing w:before="42" w:line="205" w:lineRule="auto"/>
              <w:rPr>
                <w:sz w:val="20"/>
                <w:szCs w:val="20"/>
              </w:rPr>
            </w:pPr>
            <w:r>
              <w:rPr>
                <w:sz w:val="20"/>
                <w:szCs w:val="20"/>
                <w:spacing w:val="-2"/>
              </w:rPr>
              <w:t>排放规律</w:t>
            </w:r>
          </w:p>
        </w:tc>
        <w:tc>
          <w:tcPr>
            <w:tcW w:w="3273" w:type="dxa"/>
            <w:vAlign w:val="top"/>
          </w:tcPr>
          <w:p>
            <w:pPr>
              <w:pStyle w:val="TableText"/>
              <w:ind w:left="727"/>
              <w:spacing w:before="43" w:line="204" w:lineRule="auto"/>
              <w:rPr>
                <w:sz w:val="20"/>
                <w:szCs w:val="20"/>
              </w:rPr>
            </w:pPr>
            <w:r>
              <w:rPr>
                <w:sz w:val="20"/>
                <w:szCs w:val="20"/>
                <w:spacing w:val="2"/>
              </w:rPr>
              <w:t>治理措施及排放去向</w:t>
            </w:r>
          </w:p>
        </w:tc>
      </w:tr>
      <w:tr>
        <w:trPr>
          <w:trHeight w:val="549" w:hRule="atLeast"/>
        </w:trPr>
        <w:tc>
          <w:tcPr>
            <w:tcW w:w="1134"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354"/>
              <w:spacing w:before="65" w:line="219" w:lineRule="auto"/>
              <w:rPr>
                <w:sz w:val="20"/>
                <w:szCs w:val="20"/>
              </w:rPr>
            </w:pPr>
            <w:r>
              <w:rPr>
                <w:sz w:val="20"/>
                <w:szCs w:val="20"/>
                <w:spacing w:val="-2"/>
              </w:rPr>
              <w:t>废水</w:t>
            </w:r>
          </w:p>
        </w:tc>
        <w:tc>
          <w:tcPr>
            <w:tcW w:w="550" w:type="dxa"/>
            <w:vAlign w:val="top"/>
          </w:tcPr>
          <w:p>
            <w:pPr>
              <w:pStyle w:val="TableText"/>
              <w:ind w:left="160"/>
              <w:spacing w:before="228" w:line="184" w:lineRule="auto"/>
              <w:rPr>
                <w:sz w:val="20"/>
                <w:szCs w:val="20"/>
              </w:rPr>
            </w:pPr>
            <w:r>
              <w:rPr>
                <w:sz w:val="20"/>
                <w:szCs w:val="20"/>
                <w:spacing w:val="-1"/>
              </w:rPr>
              <w:t>W1</w:t>
            </w:r>
          </w:p>
        </w:tc>
        <w:tc>
          <w:tcPr>
            <w:tcW w:w="1579" w:type="dxa"/>
            <w:vAlign w:val="top"/>
          </w:tcPr>
          <w:p>
            <w:pPr>
              <w:pStyle w:val="TableText"/>
              <w:ind w:left="180"/>
              <w:spacing w:before="178" w:line="219" w:lineRule="auto"/>
              <w:rPr>
                <w:sz w:val="20"/>
                <w:szCs w:val="20"/>
              </w:rPr>
            </w:pPr>
            <w:r>
              <w:rPr>
                <w:sz w:val="20"/>
                <w:szCs w:val="20"/>
                <w:spacing w:val="1"/>
              </w:rPr>
              <w:t>凹版生产废水</w:t>
            </w:r>
          </w:p>
        </w:tc>
        <w:tc>
          <w:tcPr>
            <w:tcW w:w="2259" w:type="dxa"/>
            <w:vAlign w:val="top"/>
          </w:tcPr>
          <w:p>
            <w:pPr>
              <w:pStyle w:val="TableText"/>
              <w:ind w:left="921" w:right="117" w:hanging="800"/>
              <w:spacing w:before="58" w:line="222" w:lineRule="auto"/>
              <w:rPr>
                <w:sz w:val="20"/>
                <w:szCs w:val="20"/>
              </w:rPr>
            </w:pPr>
            <w:r>
              <w:rPr>
                <w:sz w:val="20"/>
                <w:szCs w:val="20"/>
              </w:rPr>
              <w:t>凹版生产设备清、地板</w:t>
            </w:r>
            <w:r>
              <w:rPr>
                <w:sz w:val="20"/>
                <w:szCs w:val="20"/>
                <w:spacing w:val="8"/>
              </w:rPr>
              <w:t xml:space="preserve"> </w:t>
            </w:r>
            <w:r>
              <w:rPr>
                <w:sz w:val="20"/>
                <w:szCs w:val="20"/>
                <w:spacing w:val="-3"/>
              </w:rPr>
              <w:t>拖洗</w:t>
            </w:r>
          </w:p>
        </w:tc>
        <w:tc>
          <w:tcPr>
            <w:tcW w:w="2338" w:type="dxa"/>
            <w:vAlign w:val="top"/>
          </w:tcPr>
          <w:p>
            <w:pPr>
              <w:pStyle w:val="TableText"/>
              <w:ind w:left="513"/>
              <w:spacing w:before="176" w:line="219" w:lineRule="auto"/>
              <w:rPr>
                <w:sz w:val="20"/>
                <w:szCs w:val="20"/>
              </w:rPr>
            </w:pPr>
            <w:r>
              <w:rPr>
                <w:sz w:val="20"/>
                <w:szCs w:val="20"/>
                <w:spacing w:val="-1"/>
              </w:rPr>
              <w:t>COD、SS、氨氮</w:t>
            </w:r>
          </w:p>
        </w:tc>
        <w:tc>
          <w:tcPr>
            <w:tcW w:w="2278" w:type="dxa"/>
            <w:vAlign w:val="top"/>
          </w:tcPr>
          <w:p>
            <w:pPr>
              <w:pStyle w:val="TableText"/>
              <w:ind w:left="484"/>
              <w:spacing w:before="176" w:line="219" w:lineRule="auto"/>
              <w:rPr>
                <w:sz w:val="20"/>
                <w:szCs w:val="20"/>
              </w:rPr>
            </w:pPr>
            <w:r>
              <w:rPr>
                <w:sz w:val="20"/>
                <w:szCs w:val="20"/>
                <w:spacing w:val="-1"/>
              </w:rPr>
              <w:t>COD、SS、氨氮</w:t>
            </w:r>
          </w:p>
        </w:tc>
        <w:tc>
          <w:tcPr>
            <w:tcW w:w="1179" w:type="dxa"/>
            <w:vAlign w:val="top"/>
          </w:tcPr>
          <w:p>
            <w:pPr>
              <w:pStyle w:val="TableText"/>
              <w:ind w:left="286"/>
              <w:spacing w:before="178" w:line="219" w:lineRule="auto"/>
              <w:rPr>
                <w:sz w:val="20"/>
                <w:szCs w:val="20"/>
              </w:rPr>
            </w:pPr>
            <w:r>
              <w:rPr>
                <w:sz w:val="20"/>
                <w:szCs w:val="20"/>
                <w:spacing w:val="2"/>
              </w:rPr>
              <w:t>间歇性</w:t>
            </w:r>
          </w:p>
        </w:tc>
        <w:tc>
          <w:tcPr>
            <w:tcW w:w="3273" w:type="dxa"/>
            <w:vAlign w:val="top"/>
          </w:tcPr>
          <w:p>
            <w:pPr>
              <w:pStyle w:val="TableText"/>
              <w:ind w:left="327" w:right="216" w:hanging="100"/>
              <w:spacing w:before="58" w:line="222" w:lineRule="auto"/>
              <w:rPr>
                <w:sz w:val="20"/>
                <w:szCs w:val="20"/>
              </w:rPr>
            </w:pPr>
            <w:r>
              <w:rPr>
                <w:sz w:val="20"/>
                <w:szCs w:val="20"/>
                <w:spacing w:val="1"/>
              </w:rPr>
              <w:t>专管收集后进入阳极废水处理系</w:t>
            </w:r>
            <w:r>
              <w:rPr>
                <w:sz w:val="20"/>
                <w:szCs w:val="20"/>
                <w:spacing w:val="3"/>
              </w:rPr>
              <w:t xml:space="preserve"> </w:t>
            </w:r>
            <w:r>
              <w:rPr>
                <w:sz w:val="20"/>
                <w:szCs w:val="20"/>
                <w:spacing w:val="1"/>
              </w:rPr>
              <w:t>统，处理后排入市政污水管网</w:t>
            </w:r>
          </w:p>
        </w:tc>
      </w:tr>
      <w:tr>
        <w:trPr>
          <w:trHeight w:val="549" w:hRule="atLeast"/>
        </w:trPr>
        <w:tc>
          <w:tcPr>
            <w:tcW w:w="1134" w:type="dxa"/>
            <w:vAlign w:val="top"/>
            <w:vMerge w:val="continue"/>
            <w:tcBorders>
              <w:top w:val="nil"/>
              <w:bottom w:val="nil"/>
            </w:tcBorders>
          </w:tcPr>
          <w:p>
            <w:pPr>
              <w:rPr>
                <w:rFonts w:ascii="Arial"/>
                <w:sz w:val="21"/>
              </w:rPr>
            </w:pPr>
            <w:r/>
          </w:p>
        </w:tc>
        <w:tc>
          <w:tcPr>
            <w:tcW w:w="550" w:type="dxa"/>
            <w:vAlign w:val="top"/>
          </w:tcPr>
          <w:p>
            <w:pPr>
              <w:pStyle w:val="TableText"/>
              <w:ind w:left="160"/>
              <w:spacing w:before="230" w:line="183" w:lineRule="auto"/>
              <w:rPr>
                <w:sz w:val="20"/>
                <w:szCs w:val="20"/>
              </w:rPr>
            </w:pPr>
            <w:r>
              <w:rPr>
                <w:sz w:val="20"/>
                <w:szCs w:val="20"/>
                <w:spacing w:val="-1"/>
              </w:rPr>
              <w:t>W2</w:t>
            </w:r>
          </w:p>
        </w:tc>
        <w:tc>
          <w:tcPr>
            <w:tcW w:w="1579" w:type="dxa"/>
            <w:vAlign w:val="top"/>
          </w:tcPr>
          <w:p>
            <w:pPr>
              <w:pStyle w:val="TableText"/>
              <w:ind w:left="180"/>
              <w:spacing w:before="179" w:line="219" w:lineRule="auto"/>
              <w:rPr>
                <w:sz w:val="20"/>
                <w:szCs w:val="20"/>
              </w:rPr>
            </w:pPr>
            <w:r>
              <w:rPr>
                <w:sz w:val="20"/>
                <w:szCs w:val="20"/>
                <w:spacing w:val="1"/>
              </w:rPr>
              <w:t>阴极生产废水</w:t>
            </w:r>
          </w:p>
        </w:tc>
        <w:tc>
          <w:tcPr>
            <w:tcW w:w="2259" w:type="dxa"/>
            <w:vAlign w:val="top"/>
          </w:tcPr>
          <w:p>
            <w:pPr>
              <w:pStyle w:val="TableText"/>
              <w:ind w:left="721" w:right="27" w:hanging="600"/>
              <w:spacing w:before="38" w:line="231" w:lineRule="auto"/>
              <w:rPr>
                <w:sz w:val="20"/>
                <w:szCs w:val="20"/>
              </w:rPr>
            </w:pPr>
            <w:r>
              <w:rPr>
                <w:sz w:val="20"/>
                <w:szCs w:val="20"/>
                <w:spacing w:val="10"/>
              </w:rPr>
              <w:t>阴极片生产设备清洗、</w:t>
            </w:r>
            <w:r>
              <w:rPr>
                <w:sz w:val="20"/>
                <w:szCs w:val="20"/>
              </w:rPr>
              <w:t xml:space="preserve"> </w:t>
            </w:r>
            <w:r>
              <w:rPr>
                <w:sz w:val="20"/>
                <w:szCs w:val="20"/>
                <w:spacing w:val="-2"/>
              </w:rPr>
              <w:t>地板拖洗</w:t>
            </w:r>
          </w:p>
        </w:tc>
        <w:tc>
          <w:tcPr>
            <w:tcW w:w="2338" w:type="dxa"/>
            <w:vAlign w:val="top"/>
          </w:tcPr>
          <w:p>
            <w:pPr>
              <w:pStyle w:val="TableText"/>
              <w:ind w:left="212"/>
              <w:spacing w:before="179" w:line="220" w:lineRule="auto"/>
              <w:rPr>
                <w:sz w:val="20"/>
                <w:szCs w:val="20"/>
              </w:rPr>
            </w:pPr>
            <w:r>
              <w:rPr>
                <w:sz w:val="20"/>
                <w:szCs w:val="20"/>
                <w:spacing w:val="-1"/>
              </w:rPr>
              <w:t>COD、SS、钴、镍、锰</w:t>
            </w:r>
          </w:p>
        </w:tc>
        <w:tc>
          <w:tcPr>
            <w:tcW w:w="2278" w:type="dxa"/>
            <w:vAlign w:val="top"/>
          </w:tcPr>
          <w:p>
            <w:pPr>
              <w:pStyle w:val="TableText"/>
              <w:ind w:left="184"/>
              <w:spacing w:before="179" w:line="220" w:lineRule="auto"/>
              <w:rPr>
                <w:sz w:val="20"/>
                <w:szCs w:val="20"/>
              </w:rPr>
            </w:pPr>
            <w:r>
              <w:rPr>
                <w:sz w:val="20"/>
                <w:szCs w:val="20"/>
                <w:spacing w:val="-1"/>
              </w:rPr>
              <w:t>COD、SS、钴、镍、锰</w:t>
            </w:r>
          </w:p>
        </w:tc>
        <w:tc>
          <w:tcPr>
            <w:tcW w:w="1179" w:type="dxa"/>
            <w:vAlign w:val="top"/>
          </w:tcPr>
          <w:p>
            <w:pPr>
              <w:pStyle w:val="TableText"/>
              <w:ind w:left="286"/>
              <w:spacing w:before="179" w:line="219" w:lineRule="auto"/>
              <w:rPr>
                <w:sz w:val="20"/>
                <w:szCs w:val="20"/>
              </w:rPr>
            </w:pPr>
            <w:r>
              <w:rPr>
                <w:sz w:val="20"/>
                <w:szCs w:val="20"/>
                <w:spacing w:val="2"/>
              </w:rPr>
              <w:t>间歇性</w:t>
            </w:r>
          </w:p>
        </w:tc>
        <w:tc>
          <w:tcPr>
            <w:tcW w:w="3273" w:type="dxa"/>
            <w:vAlign w:val="top"/>
          </w:tcPr>
          <w:p>
            <w:pPr>
              <w:pStyle w:val="TableText"/>
              <w:ind w:left="327" w:right="216" w:hanging="100"/>
              <w:spacing w:before="58" w:line="222" w:lineRule="auto"/>
              <w:rPr>
                <w:sz w:val="20"/>
                <w:szCs w:val="20"/>
              </w:rPr>
            </w:pPr>
            <w:r>
              <w:rPr>
                <w:sz w:val="20"/>
                <w:szCs w:val="20"/>
                <w:spacing w:val="1"/>
              </w:rPr>
              <w:t>专管收集后进入阴极废水处理系</w:t>
            </w:r>
            <w:r>
              <w:rPr>
                <w:sz w:val="20"/>
                <w:szCs w:val="20"/>
                <w:spacing w:val="3"/>
              </w:rPr>
              <w:t xml:space="preserve"> </w:t>
            </w:r>
            <w:r>
              <w:rPr>
                <w:sz w:val="20"/>
                <w:szCs w:val="20"/>
                <w:spacing w:val="1"/>
              </w:rPr>
              <w:t>统，处理后排入市政污水管网</w:t>
            </w:r>
          </w:p>
        </w:tc>
      </w:tr>
      <w:tr>
        <w:trPr>
          <w:trHeight w:val="539" w:hRule="atLeast"/>
        </w:trPr>
        <w:tc>
          <w:tcPr>
            <w:tcW w:w="1134" w:type="dxa"/>
            <w:vAlign w:val="top"/>
            <w:vMerge w:val="continue"/>
            <w:tcBorders>
              <w:top w:val="nil"/>
              <w:bottom w:val="nil"/>
            </w:tcBorders>
          </w:tcPr>
          <w:p>
            <w:pPr>
              <w:rPr>
                <w:rFonts w:ascii="Arial"/>
                <w:sz w:val="21"/>
              </w:rPr>
            </w:pPr>
            <w:r/>
          </w:p>
        </w:tc>
        <w:tc>
          <w:tcPr>
            <w:tcW w:w="550" w:type="dxa"/>
            <w:vAlign w:val="top"/>
          </w:tcPr>
          <w:p>
            <w:pPr>
              <w:pStyle w:val="TableText"/>
              <w:ind w:left="160"/>
              <w:spacing w:before="221" w:line="183" w:lineRule="auto"/>
              <w:rPr>
                <w:sz w:val="20"/>
                <w:szCs w:val="20"/>
              </w:rPr>
            </w:pPr>
            <w:r>
              <w:rPr>
                <w:sz w:val="20"/>
                <w:szCs w:val="20"/>
                <w:spacing w:val="-1"/>
              </w:rPr>
              <w:t>W3</w:t>
            </w:r>
          </w:p>
        </w:tc>
        <w:tc>
          <w:tcPr>
            <w:tcW w:w="1579" w:type="dxa"/>
            <w:vAlign w:val="top"/>
          </w:tcPr>
          <w:p>
            <w:pPr>
              <w:pStyle w:val="TableText"/>
              <w:ind w:left="180"/>
              <w:spacing w:before="170" w:line="219" w:lineRule="auto"/>
              <w:rPr>
                <w:sz w:val="20"/>
                <w:szCs w:val="20"/>
              </w:rPr>
            </w:pPr>
            <w:r>
              <w:rPr>
                <w:sz w:val="20"/>
                <w:szCs w:val="20"/>
                <w:spacing w:val="1"/>
              </w:rPr>
              <w:t>阳极生产废水</w:t>
            </w:r>
          </w:p>
        </w:tc>
        <w:tc>
          <w:tcPr>
            <w:tcW w:w="2259" w:type="dxa"/>
            <w:vAlign w:val="top"/>
          </w:tcPr>
          <w:p>
            <w:pPr>
              <w:pStyle w:val="TableText"/>
              <w:ind w:left="821" w:right="119" w:hanging="700"/>
              <w:spacing w:before="61" w:line="216" w:lineRule="auto"/>
              <w:rPr>
                <w:sz w:val="20"/>
                <w:szCs w:val="20"/>
              </w:rPr>
            </w:pPr>
            <w:r>
              <w:rPr>
                <w:sz w:val="20"/>
                <w:szCs w:val="20"/>
              </w:rPr>
              <w:t>阳极片生产设备清、地</w:t>
            </w:r>
            <w:r>
              <w:rPr>
                <w:sz w:val="20"/>
                <w:szCs w:val="20"/>
                <w:spacing w:val="6"/>
              </w:rPr>
              <w:t xml:space="preserve"> </w:t>
            </w:r>
            <w:r>
              <w:rPr>
                <w:sz w:val="20"/>
                <w:szCs w:val="20"/>
                <w:spacing w:val="-2"/>
              </w:rPr>
              <w:t>板拖洗</w:t>
            </w:r>
          </w:p>
        </w:tc>
        <w:tc>
          <w:tcPr>
            <w:tcW w:w="2338" w:type="dxa"/>
            <w:vAlign w:val="top"/>
          </w:tcPr>
          <w:p>
            <w:pPr>
              <w:pStyle w:val="TableText"/>
              <w:ind w:left="513"/>
              <w:spacing w:before="168" w:line="219" w:lineRule="auto"/>
              <w:rPr>
                <w:sz w:val="20"/>
                <w:szCs w:val="20"/>
              </w:rPr>
            </w:pPr>
            <w:r>
              <w:rPr>
                <w:sz w:val="20"/>
                <w:szCs w:val="20"/>
                <w:spacing w:val="-1"/>
              </w:rPr>
              <w:t>COD、SS、氨氮</w:t>
            </w:r>
          </w:p>
        </w:tc>
        <w:tc>
          <w:tcPr>
            <w:tcW w:w="2278" w:type="dxa"/>
            <w:vAlign w:val="top"/>
          </w:tcPr>
          <w:p>
            <w:pPr>
              <w:pStyle w:val="TableText"/>
              <w:ind w:left="484"/>
              <w:spacing w:before="168" w:line="219" w:lineRule="auto"/>
              <w:rPr>
                <w:sz w:val="20"/>
                <w:szCs w:val="20"/>
              </w:rPr>
            </w:pPr>
            <w:r>
              <w:rPr>
                <w:sz w:val="20"/>
                <w:szCs w:val="20"/>
                <w:spacing w:val="-1"/>
              </w:rPr>
              <w:t>COD、SS、氨氮</w:t>
            </w:r>
          </w:p>
        </w:tc>
        <w:tc>
          <w:tcPr>
            <w:tcW w:w="1179" w:type="dxa"/>
            <w:vAlign w:val="top"/>
          </w:tcPr>
          <w:p>
            <w:pPr>
              <w:pStyle w:val="TableText"/>
              <w:ind w:left="286"/>
              <w:spacing w:before="170" w:line="219" w:lineRule="auto"/>
              <w:rPr>
                <w:sz w:val="20"/>
                <w:szCs w:val="20"/>
              </w:rPr>
            </w:pPr>
            <w:r>
              <w:rPr>
                <w:sz w:val="20"/>
                <w:szCs w:val="20"/>
                <w:spacing w:val="2"/>
              </w:rPr>
              <w:t>间歇性</w:t>
            </w:r>
          </w:p>
        </w:tc>
        <w:tc>
          <w:tcPr>
            <w:tcW w:w="3273" w:type="dxa"/>
            <w:vAlign w:val="top"/>
          </w:tcPr>
          <w:p>
            <w:pPr>
              <w:pStyle w:val="TableText"/>
              <w:ind w:left="327" w:right="216" w:hanging="100"/>
              <w:spacing w:before="61" w:line="216" w:lineRule="auto"/>
              <w:rPr>
                <w:sz w:val="20"/>
                <w:szCs w:val="20"/>
              </w:rPr>
            </w:pPr>
            <w:r>
              <w:rPr>
                <w:sz w:val="20"/>
                <w:szCs w:val="20"/>
                <w:spacing w:val="1"/>
              </w:rPr>
              <w:t>专管收集后进入阳极废水处理系</w:t>
            </w:r>
            <w:r>
              <w:rPr>
                <w:sz w:val="20"/>
                <w:szCs w:val="20"/>
                <w:spacing w:val="3"/>
              </w:rPr>
              <w:t xml:space="preserve"> </w:t>
            </w:r>
            <w:r>
              <w:rPr>
                <w:sz w:val="20"/>
                <w:szCs w:val="20"/>
                <w:spacing w:val="1"/>
              </w:rPr>
              <w:t>统，处理后排入市政污水管网</w:t>
            </w:r>
          </w:p>
        </w:tc>
      </w:tr>
      <w:tr>
        <w:trPr>
          <w:trHeight w:val="290" w:hRule="atLeast"/>
        </w:trPr>
        <w:tc>
          <w:tcPr>
            <w:tcW w:w="1134" w:type="dxa"/>
            <w:vAlign w:val="top"/>
            <w:vMerge w:val="continue"/>
            <w:tcBorders>
              <w:top w:val="nil"/>
              <w:bottom w:val="nil"/>
            </w:tcBorders>
          </w:tcPr>
          <w:p>
            <w:pPr>
              <w:rPr>
                <w:rFonts w:ascii="Arial"/>
                <w:sz w:val="21"/>
              </w:rPr>
            </w:pPr>
            <w:r/>
          </w:p>
        </w:tc>
        <w:tc>
          <w:tcPr>
            <w:tcW w:w="550" w:type="dxa"/>
            <w:vAlign w:val="top"/>
          </w:tcPr>
          <w:p>
            <w:pPr>
              <w:pStyle w:val="TableText"/>
              <w:ind w:left="160"/>
              <w:spacing w:before="102" w:line="164" w:lineRule="auto"/>
              <w:rPr>
                <w:sz w:val="20"/>
                <w:szCs w:val="20"/>
              </w:rPr>
            </w:pPr>
            <w:r>
              <w:rPr>
                <w:sz w:val="20"/>
                <w:szCs w:val="20"/>
                <w:spacing w:val="-1"/>
              </w:rPr>
              <w:t>W4</w:t>
            </w:r>
          </w:p>
        </w:tc>
        <w:tc>
          <w:tcPr>
            <w:tcW w:w="1579" w:type="dxa"/>
            <w:vAlign w:val="top"/>
          </w:tcPr>
          <w:p>
            <w:pPr>
              <w:pStyle w:val="TableText"/>
              <w:ind w:left="180"/>
              <w:spacing w:before="51" w:line="211" w:lineRule="auto"/>
              <w:rPr>
                <w:sz w:val="20"/>
                <w:szCs w:val="20"/>
              </w:rPr>
            </w:pPr>
            <w:r>
              <w:rPr>
                <w:sz w:val="20"/>
                <w:szCs w:val="20"/>
                <w:spacing w:val="-2"/>
              </w:rPr>
              <w:t>纯水制备废水</w:t>
            </w:r>
          </w:p>
        </w:tc>
        <w:tc>
          <w:tcPr>
            <w:tcW w:w="2259" w:type="dxa"/>
            <w:vAlign w:val="top"/>
          </w:tcPr>
          <w:p>
            <w:pPr>
              <w:pStyle w:val="TableText"/>
              <w:ind w:left="721"/>
              <w:spacing w:before="51" w:line="211" w:lineRule="auto"/>
              <w:rPr>
                <w:sz w:val="20"/>
                <w:szCs w:val="20"/>
              </w:rPr>
            </w:pPr>
            <w:r>
              <w:rPr>
                <w:sz w:val="20"/>
                <w:szCs w:val="20"/>
                <w:spacing w:val="-2"/>
              </w:rPr>
              <w:t>纯水制备</w:t>
            </w:r>
          </w:p>
        </w:tc>
        <w:tc>
          <w:tcPr>
            <w:tcW w:w="2338" w:type="dxa"/>
            <w:vAlign w:val="top"/>
          </w:tcPr>
          <w:p>
            <w:pPr>
              <w:pStyle w:val="TableText"/>
              <w:ind w:left="962"/>
              <w:spacing w:before="51" w:line="211" w:lineRule="auto"/>
              <w:rPr>
                <w:sz w:val="20"/>
                <w:szCs w:val="20"/>
              </w:rPr>
            </w:pPr>
            <w:r>
              <w:rPr>
                <w:sz w:val="20"/>
                <w:szCs w:val="20"/>
                <w:spacing w:val="-3"/>
              </w:rPr>
              <w:t>盐分</w:t>
            </w:r>
          </w:p>
        </w:tc>
        <w:tc>
          <w:tcPr>
            <w:tcW w:w="2278" w:type="dxa"/>
            <w:vAlign w:val="top"/>
          </w:tcPr>
          <w:p>
            <w:pPr>
              <w:pStyle w:val="TableText"/>
              <w:ind w:left="934"/>
              <w:spacing w:before="51" w:line="211" w:lineRule="auto"/>
              <w:rPr>
                <w:sz w:val="20"/>
                <w:szCs w:val="20"/>
              </w:rPr>
            </w:pPr>
            <w:r>
              <w:rPr>
                <w:sz w:val="20"/>
                <w:szCs w:val="20"/>
                <w:spacing w:val="-3"/>
              </w:rPr>
              <w:t>盐分</w:t>
            </w:r>
          </w:p>
        </w:tc>
        <w:tc>
          <w:tcPr>
            <w:tcW w:w="1179" w:type="dxa"/>
            <w:vAlign w:val="top"/>
          </w:tcPr>
          <w:p>
            <w:pPr>
              <w:pStyle w:val="TableText"/>
              <w:ind w:left="286"/>
              <w:spacing w:before="51" w:line="211" w:lineRule="auto"/>
              <w:rPr>
                <w:sz w:val="20"/>
                <w:szCs w:val="20"/>
              </w:rPr>
            </w:pPr>
            <w:r>
              <w:rPr>
                <w:sz w:val="20"/>
                <w:szCs w:val="20"/>
                <w:spacing w:val="2"/>
              </w:rPr>
              <w:t>间歇性</w:t>
            </w:r>
          </w:p>
        </w:tc>
        <w:tc>
          <w:tcPr>
            <w:tcW w:w="3273" w:type="dxa"/>
            <w:vAlign w:val="top"/>
          </w:tcPr>
          <w:p>
            <w:pPr>
              <w:pStyle w:val="TableText"/>
              <w:ind w:left="827"/>
              <w:spacing w:before="51" w:line="211" w:lineRule="auto"/>
              <w:rPr>
                <w:sz w:val="20"/>
                <w:szCs w:val="20"/>
              </w:rPr>
            </w:pPr>
            <w:r>
              <w:rPr>
                <w:sz w:val="20"/>
                <w:szCs w:val="20"/>
                <w:spacing w:val="2"/>
              </w:rPr>
              <w:t>排入市政污水管网</w:t>
            </w:r>
          </w:p>
        </w:tc>
      </w:tr>
      <w:tr>
        <w:trPr>
          <w:trHeight w:val="280" w:hRule="atLeast"/>
        </w:trPr>
        <w:tc>
          <w:tcPr>
            <w:tcW w:w="1134" w:type="dxa"/>
            <w:vAlign w:val="top"/>
            <w:vMerge w:val="continue"/>
            <w:tcBorders>
              <w:top w:val="nil"/>
              <w:bottom w:val="nil"/>
            </w:tcBorders>
          </w:tcPr>
          <w:p>
            <w:pPr>
              <w:rPr>
                <w:rFonts w:ascii="Arial"/>
                <w:sz w:val="21"/>
              </w:rPr>
            </w:pPr>
            <w:r/>
          </w:p>
        </w:tc>
        <w:tc>
          <w:tcPr>
            <w:tcW w:w="550" w:type="dxa"/>
            <w:vAlign w:val="top"/>
          </w:tcPr>
          <w:p>
            <w:pPr>
              <w:pStyle w:val="TableText"/>
              <w:ind w:left="160"/>
              <w:spacing w:before="94" w:line="162" w:lineRule="auto"/>
              <w:rPr>
                <w:sz w:val="20"/>
                <w:szCs w:val="20"/>
              </w:rPr>
            </w:pPr>
            <w:r>
              <w:rPr>
                <w:sz w:val="20"/>
                <w:szCs w:val="20"/>
                <w:spacing w:val="-1"/>
              </w:rPr>
              <w:t>W5</w:t>
            </w:r>
          </w:p>
        </w:tc>
        <w:tc>
          <w:tcPr>
            <w:tcW w:w="1579" w:type="dxa"/>
            <w:vAlign w:val="top"/>
          </w:tcPr>
          <w:p>
            <w:pPr>
              <w:pStyle w:val="TableText"/>
              <w:ind w:left="180"/>
              <w:spacing w:before="41" w:line="211" w:lineRule="auto"/>
              <w:rPr>
                <w:sz w:val="20"/>
                <w:szCs w:val="20"/>
              </w:rPr>
            </w:pPr>
            <w:r>
              <w:rPr>
                <w:sz w:val="20"/>
                <w:szCs w:val="20"/>
                <w:spacing w:val="-2"/>
              </w:rPr>
              <w:t>锅炉软化浓水</w:t>
            </w:r>
          </w:p>
        </w:tc>
        <w:tc>
          <w:tcPr>
            <w:tcW w:w="2259" w:type="dxa"/>
            <w:vAlign w:val="top"/>
          </w:tcPr>
          <w:p>
            <w:pPr>
              <w:pStyle w:val="TableText"/>
              <w:ind w:left="522"/>
              <w:spacing w:before="41" w:line="211" w:lineRule="auto"/>
              <w:rPr>
                <w:sz w:val="20"/>
                <w:szCs w:val="20"/>
              </w:rPr>
            </w:pPr>
            <w:r>
              <w:rPr>
                <w:sz w:val="20"/>
                <w:szCs w:val="20"/>
                <w:spacing w:val="-2"/>
              </w:rPr>
              <w:t>锅炉用水软化</w:t>
            </w:r>
          </w:p>
        </w:tc>
        <w:tc>
          <w:tcPr>
            <w:tcW w:w="2338" w:type="dxa"/>
            <w:vAlign w:val="top"/>
          </w:tcPr>
          <w:p>
            <w:pPr>
              <w:pStyle w:val="TableText"/>
              <w:ind w:left="862"/>
              <w:spacing w:before="67" w:line="183" w:lineRule="auto"/>
              <w:rPr>
                <w:sz w:val="20"/>
                <w:szCs w:val="20"/>
              </w:rPr>
            </w:pPr>
            <w:r>
              <w:rPr>
                <w:sz w:val="20"/>
                <w:szCs w:val="20"/>
                <w:spacing w:val="-2"/>
              </w:rPr>
              <w:t>pH、SS</w:t>
            </w:r>
          </w:p>
        </w:tc>
        <w:tc>
          <w:tcPr>
            <w:tcW w:w="2278" w:type="dxa"/>
            <w:vAlign w:val="top"/>
          </w:tcPr>
          <w:p>
            <w:pPr>
              <w:pStyle w:val="TableText"/>
              <w:ind w:left="834"/>
              <w:spacing w:before="67" w:line="183" w:lineRule="auto"/>
              <w:rPr>
                <w:sz w:val="20"/>
                <w:szCs w:val="20"/>
              </w:rPr>
            </w:pPr>
            <w:r>
              <w:rPr>
                <w:sz w:val="20"/>
                <w:szCs w:val="20"/>
                <w:spacing w:val="-2"/>
              </w:rPr>
              <w:t>pH、SS</w:t>
            </w:r>
          </w:p>
        </w:tc>
        <w:tc>
          <w:tcPr>
            <w:tcW w:w="1179" w:type="dxa"/>
            <w:vAlign w:val="top"/>
          </w:tcPr>
          <w:p>
            <w:pPr>
              <w:pStyle w:val="TableText"/>
              <w:ind w:left="286"/>
              <w:spacing w:before="41" w:line="211" w:lineRule="auto"/>
              <w:rPr>
                <w:sz w:val="20"/>
                <w:szCs w:val="20"/>
              </w:rPr>
            </w:pPr>
            <w:r>
              <w:rPr>
                <w:sz w:val="20"/>
                <w:szCs w:val="20"/>
                <w:spacing w:val="2"/>
              </w:rPr>
              <w:t>间歇性</w:t>
            </w:r>
          </w:p>
        </w:tc>
        <w:tc>
          <w:tcPr>
            <w:tcW w:w="3273" w:type="dxa"/>
            <w:vAlign w:val="top"/>
          </w:tcPr>
          <w:p>
            <w:pPr>
              <w:pStyle w:val="TableText"/>
              <w:ind w:left="827"/>
              <w:spacing w:before="41" w:line="211" w:lineRule="auto"/>
              <w:rPr>
                <w:sz w:val="20"/>
                <w:szCs w:val="20"/>
              </w:rPr>
            </w:pPr>
            <w:r>
              <w:rPr>
                <w:sz w:val="20"/>
                <w:szCs w:val="20"/>
                <w:spacing w:val="2"/>
              </w:rPr>
              <w:t>排入市政污水管网</w:t>
            </w:r>
          </w:p>
        </w:tc>
      </w:tr>
      <w:tr>
        <w:trPr>
          <w:trHeight w:val="280" w:hRule="atLeast"/>
        </w:trPr>
        <w:tc>
          <w:tcPr>
            <w:tcW w:w="1134" w:type="dxa"/>
            <w:vAlign w:val="top"/>
            <w:vMerge w:val="continue"/>
            <w:tcBorders>
              <w:top w:val="nil"/>
              <w:bottom w:val="nil"/>
            </w:tcBorders>
          </w:tcPr>
          <w:p>
            <w:pPr>
              <w:rPr>
                <w:rFonts w:ascii="Arial"/>
                <w:sz w:val="21"/>
              </w:rPr>
            </w:pPr>
            <w:r/>
          </w:p>
        </w:tc>
        <w:tc>
          <w:tcPr>
            <w:tcW w:w="550" w:type="dxa"/>
            <w:vAlign w:val="top"/>
          </w:tcPr>
          <w:p>
            <w:pPr>
              <w:pStyle w:val="TableText"/>
              <w:ind w:left="160"/>
              <w:spacing w:before="92" w:line="164" w:lineRule="auto"/>
              <w:rPr>
                <w:sz w:val="20"/>
                <w:szCs w:val="20"/>
              </w:rPr>
            </w:pPr>
            <w:r>
              <w:rPr>
                <w:sz w:val="20"/>
                <w:szCs w:val="20"/>
                <w:spacing w:val="-1"/>
              </w:rPr>
              <w:t>W6</w:t>
            </w:r>
          </w:p>
        </w:tc>
        <w:tc>
          <w:tcPr>
            <w:tcW w:w="1579" w:type="dxa"/>
            <w:vAlign w:val="top"/>
          </w:tcPr>
          <w:p>
            <w:pPr>
              <w:pStyle w:val="TableText"/>
              <w:ind w:left="280"/>
              <w:spacing w:before="41" w:line="211" w:lineRule="auto"/>
              <w:rPr>
                <w:sz w:val="20"/>
                <w:szCs w:val="20"/>
              </w:rPr>
            </w:pPr>
            <w:r>
              <w:rPr>
                <w:sz w:val="20"/>
                <w:szCs w:val="20"/>
                <w:spacing w:val="-2"/>
              </w:rPr>
              <w:t>锅炉排污水</w:t>
            </w:r>
          </w:p>
        </w:tc>
        <w:tc>
          <w:tcPr>
            <w:tcW w:w="2259" w:type="dxa"/>
            <w:vAlign w:val="top"/>
          </w:tcPr>
          <w:p>
            <w:pPr>
              <w:pStyle w:val="TableText"/>
              <w:ind w:left="721"/>
              <w:spacing w:before="41" w:line="211" w:lineRule="auto"/>
              <w:rPr>
                <w:sz w:val="20"/>
                <w:szCs w:val="20"/>
              </w:rPr>
            </w:pPr>
            <w:r>
              <w:rPr>
                <w:sz w:val="20"/>
                <w:szCs w:val="20"/>
                <w:spacing w:val="-2"/>
              </w:rPr>
              <w:t>锅炉排污</w:t>
            </w:r>
          </w:p>
        </w:tc>
        <w:tc>
          <w:tcPr>
            <w:tcW w:w="2338" w:type="dxa"/>
            <w:vAlign w:val="top"/>
          </w:tcPr>
          <w:p>
            <w:pPr>
              <w:pStyle w:val="TableText"/>
              <w:ind w:left="1062"/>
              <w:spacing w:before="92" w:line="164" w:lineRule="auto"/>
              <w:rPr>
                <w:sz w:val="20"/>
                <w:szCs w:val="20"/>
              </w:rPr>
            </w:pPr>
            <w:r>
              <w:rPr>
                <w:sz w:val="20"/>
                <w:szCs w:val="20"/>
                <w:spacing w:val="-5"/>
              </w:rPr>
              <w:t>SS</w:t>
            </w:r>
          </w:p>
        </w:tc>
        <w:tc>
          <w:tcPr>
            <w:tcW w:w="2278" w:type="dxa"/>
            <w:vAlign w:val="top"/>
          </w:tcPr>
          <w:p>
            <w:pPr>
              <w:pStyle w:val="TableText"/>
              <w:ind w:left="1034"/>
              <w:spacing w:before="92" w:line="164" w:lineRule="auto"/>
              <w:rPr>
                <w:sz w:val="20"/>
                <w:szCs w:val="20"/>
              </w:rPr>
            </w:pPr>
            <w:r>
              <w:rPr>
                <w:sz w:val="20"/>
                <w:szCs w:val="20"/>
                <w:spacing w:val="-5"/>
              </w:rPr>
              <w:t>SS</w:t>
            </w:r>
          </w:p>
        </w:tc>
        <w:tc>
          <w:tcPr>
            <w:tcW w:w="1179" w:type="dxa"/>
            <w:vAlign w:val="top"/>
          </w:tcPr>
          <w:p>
            <w:pPr>
              <w:pStyle w:val="TableText"/>
              <w:ind w:left="286"/>
              <w:spacing w:before="41" w:line="211" w:lineRule="auto"/>
              <w:rPr>
                <w:sz w:val="20"/>
                <w:szCs w:val="20"/>
              </w:rPr>
            </w:pPr>
            <w:r>
              <w:rPr>
                <w:sz w:val="20"/>
                <w:szCs w:val="20"/>
                <w:spacing w:val="2"/>
              </w:rPr>
              <w:t>间歇性</w:t>
            </w:r>
          </w:p>
        </w:tc>
        <w:tc>
          <w:tcPr>
            <w:tcW w:w="3273" w:type="dxa"/>
            <w:vAlign w:val="top"/>
          </w:tcPr>
          <w:p>
            <w:pPr>
              <w:pStyle w:val="TableText"/>
              <w:ind w:left="827"/>
              <w:spacing w:before="41" w:line="211" w:lineRule="auto"/>
              <w:rPr>
                <w:sz w:val="20"/>
                <w:szCs w:val="20"/>
              </w:rPr>
            </w:pPr>
            <w:r>
              <w:rPr>
                <w:sz w:val="20"/>
                <w:szCs w:val="20"/>
                <w:spacing w:val="2"/>
              </w:rPr>
              <w:t>排入市政污水管网</w:t>
            </w:r>
          </w:p>
        </w:tc>
      </w:tr>
      <w:tr>
        <w:trPr>
          <w:trHeight w:val="1109" w:hRule="atLeast"/>
        </w:trPr>
        <w:tc>
          <w:tcPr>
            <w:tcW w:w="1134" w:type="dxa"/>
            <w:vAlign w:val="top"/>
            <w:vMerge w:val="continue"/>
            <w:tcBorders>
              <w:top w:val="nil"/>
              <w:bottom w:val="nil"/>
            </w:tcBorders>
          </w:tcPr>
          <w:p>
            <w:pPr>
              <w:rPr>
                <w:rFonts w:ascii="Arial"/>
                <w:sz w:val="21"/>
              </w:rPr>
            </w:pPr>
            <w:r/>
          </w:p>
        </w:tc>
        <w:tc>
          <w:tcPr>
            <w:tcW w:w="550" w:type="dxa"/>
            <w:vAlign w:val="top"/>
          </w:tcPr>
          <w:p>
            <w:pPr>
              <w:spacing w:line="446" w:lineRule="auto"/>
              <w:rPr>
                <w:rFonts w:ascii="Arial"/>
                <w:sz w:val="21"/>
              </w:rPr>
            </w:pPr>
            <w:r/>
          </w:p>
          <w:p>
            <w:pPr>
              <w:pStyle w:val="TableText"/>
              <w:ind w:left="160"/>
              <w:spacing w:before="65" w:line="182" w:lineRule="auto"/>
              <w:rPr>
                <w:sz w:val="20"/>
                <w:szCs w:val="20"/>
              </w:rPr>
            </w:pPr>
            <w:r>
              <w:rPr>
                <w:sz w:val="20"/>
                <w:szCs w:val="20"/>
                <w:spacing w:val="-1"/>
              </w:rPr>
              <w:t>W7</w:t>
            </w:r>
          </w:p>
        </w:tc>
        <w:tc>
          <w:tcPr>
            <w:tcW w:w="1579" w:type="dxa"/>
            <w:vAlign w:val="top"/>
          </w:tcPr>
          <w:p>
            <w:pPr>
              <w:spacing w:line="393" w:lineRule="auto"/>
              <w:rPr>
                <w:rFonts w:ascii="Arial"/>
                <w:sz w:val="21"/>
              </w:rPr>
            </w:pPr>
            <w:r/>
          </w:p>
          <w:p>
            <w:pPr>
              <w:pStyle w:val="TableText"/>
              <w:ind w:left="380"/>
              <w:spacing w:before="65" w:line="219" w:lineRule="auto"/>
              <w:rPr>
                <w:sz w:val="20"/>
                <w:szCs w:val="20"/>
              </w:rPr>
            </w:pPr>
            <w:r>
              <w:rPr>
                <w:sz w:val="20"/>
                <w:szCs w:val="20"/>
                <w:spacing w:val="-2"/>
              </w:rPr>
              <w:t>生活污水</w:t>
            </w:r>
          </w:p>
        </w:tc>
        <w:tc>
          <w:tcPr>
            <w:tcW w:w="2259" w:type="dxa"/>
            <w:vAlign w:val="top"/>
          </w:tcPr>
          <w:p>
            <w:pPr>
              <w:spacing w:line="394" w:lineRule="auto"/>
              <w:rPr>
                <w:rFonts w:ascii="Arial"/>
                <w:sz w:val="21"/>
              </w:rPr>
            </w:pPr>
            <w:r/>
          </w:p>
          <w:p>
            <w:pPr>
              <w:pStyle w:val="TableText"/>
              <w:ind w:left="721"/>
              <w:spacing w:before="65" w:line="220" w:lineRule="auto"/>
              <w:rPr>
                <w:sz w:val="20"/>
                <w:szCs w:val="20"/>
              </w:rPr>
            </w:pPr>
            <w:r>
              <w:rPr>
                <w:sz w:val="20"/>
                <w:szCs w:val="20"/>
                <w:spacing w:val="1"/>
              </w:rPr>
              <w:t>员工生活</w:t>
            </w:r>
          </w:p>
        </w:tc>
        <w:tc>
          <w:tcPr>
            <w:tcW w:w="2338" w:type="dxa"/>
            <w:vAlign w:val="top"/>
          </w:tcPr>
          <w:p>
            <w:pPr>
              <w:spacing w:line="393" w:lineRule="auto"/>
              <w:rPr>
                <w:rFonts w:ascii="Arial"/>
                <w:sz w:val="21"/>
              </w:rPr>
            </w:pPr>
            <w:r/>
          </w:p>
          <w:p>
            <w:pPr>
              <w:pStyle w:val="TableText"/>
              <w:ind w:left="762"/>
              <w:spacing w:before="65" w:line="219" w:lineRule="auto"/>
              <w:rPr>
                <w:sz w:val="20"/>
                <w:szCs w:val="20"/>
              </w:rPr>
            </w:pPr>
            <w:r>
              <w:rPr>
                <w:sz w:val="20"/>
                <w:szCs w:val="20"/>
                <w:spacing w:val="-2"/>
              </w:rPr>
              <w:t>生活污水</w:t>
            </w:r>
          </w:p>
        </w:tc>
        <w:tc>
          <w:tcPr>
            <w:tcW w:w="2278" w:type="dxa"/>
            <w:vAlign w:val="top"/>
          </w:tcPr>
          <w:p>
            <w:pPr>
              <w:spacing w:line="322" w:lineRule="auto"/>
              <w:rPr>
                <w:rFonts w:ascii="Arial"/>
                <w:sz w:val="21"/>
              </w:rPr>
            </w:pPr>
            <w:r/>
          </w:p>
          <w:p>
            <w:pPr>
              <w:pStyle w:val="TableText"/>
              <w:ind w:left="384"/>
              <w:spacing w:before="65" w:line="183" w:lineRule="auto"/>
              <w:rPr>
                <w:sz w:val="20"/>
                <w:szCs w:val="20"/>
              </w:rPr>
            </w:pPr>
            <w:r>
              <w:rPr>
                <w:sz w:val="20"/>
                <w:szCs w:val="20"/>
                <w:spacing w:val="-2"/>
              </w:rPr>
              <w:t>COD、SS、BODs、</w:t>
            </w:r>
          </w:p>
          <w:p>
            <w:pPr>
              <w:pStyle w:val="TableText"/>
              <w:ind w:left="334"/>
              <w:spacing w:before="32" w:line="219" w:lineRule="auto"/>
              <w:rPr>
                <w:sz w:val="20"/>
                <w:szCs w:val="20"/>
              </w:rPr>
            </w:pPr>
            <w:r>
              <w:rPr>
                <w:sz w:val="20"/>
                <w:szCs w:val="20"/>
              </w:rPr>
              <w:t>NH</w:t>
            </w:r>
            <w:r>
              <w:rPr>
                <w:rFonts w:ascii="Calibri" w:hAnsi="Calibri" w:eastAsia="Calibri" w:cs="Calibri"/>
                <w:sz w:val="20"/>
                <w:szCs w:val="20"/>
                <w:spacing w:val="14"/>
              </w:rPr>
              <w:t>₃</w:t>
            </w:r>
            <w:r>
              <w:rPr>
                <w:sz w:val="20"/>
                <w:szCs w:val="20"/>
                <w:spacing w:val="14"/>
              </w:rPr>
              <w:t>-N、动植物油</w:t>
            </w:r>
          </w:p>
        </w:tc>
        <w:tc>
          <w:tcPr>
            <w:tcW w:w="1179" w:type="dxa"/>
            <w:vAlign w:val="top"/>
          </w:tcPr>
          <w:p>
            <w:pPr>
              <w:spacing w:line="393" w:lineRule="auto"/>
              <w:rPr>
                <w:rFonts w:ascii="Arial"/>
                <w:sz w:val="21"/>
              </w:rPr>
            </w:pPr>
            <w:r/>
          </w:p>
          <w:p>
            <w:pPr>
              <w:pStyle w:val="TableText"/>
              <w:ind w:left="286"/>
              <w:spacing w:before="65" w:line="219" w:lineRule="auto"/>
              <w:rPr>
                <w:sz w:val="20"/>
                <w:szCs w:val="20"/>
              </w:rPr>
            </w:pPr>
            <w:r>
              <w:rPr>
                <w:sz w:val="20"/>
                <w:szCs w:val="20"/>
                <w:spacing w:val="2"/>
              </w:rPr>
              <w:t>间歇性</w:t>
            </w:r>
          </w:p>
        </w:tc>
        <w:tc>
          <w:tcPr>
            <w:tcW w:w="3273" w:type="dxa"/>
            <w:vAlign w:val="top"/>
          </w:tcPr>
          <w:p>
            <w:pPr>
              <w:pStyle w:val="TableText"/>
              <w:ind w:left="227"/>
              <w:spacing w:before="61" w:line="219" w:lineRule="auto"/>
              <w:rPr>
                <w:sz w:val="20"/>
                <w:szCs w:val="20"/>
              </w:rPr>
            </w:pPr>
            <w:r>
              <w:rPr>
                <w:sz w:val="20"/>
                <w:szCs w:val="20"/>
                <w:spacing w:val="-1"/>
              </w:rPr>
              <w:t>食堂含油废水经隔油处理后与其</w:t>
            </w:r>
          </w:p>
          <w:p>
            <w:pPr>
              <w:pStyle w:val="TableText"/>
              <w:ind w:left="227"/>
              <w:spacing w:before="42" w:line="219" w:lineRule="auto"/>
              <w:rPr>
                <w:sz w:val="20"/>
                <w:szCs w:val="20"/>
              </w:rPr>
            </w:pPr>
            <w:r>
              <w:rPr>
                <w:sz w:val="20"/>
                <w:szCs w:val="20"/>
                <w:spacing w:val="-1"/>
              </w:rPr>
              <w:t>他生活污水一起经三级化粪池处</w:t>
            </w:r>
          </w:p>
          <w:p>
            <w:pPr>
              <w:pStyle w:val="TableText"/>
              <w:ind w:left="227"/>
              <w:spacing w:before="42" w:line="219" w:lineRule="auto"/>
              <w:rPr>
                <w:sz w:val="20"/>
                <w:szCs w:val="20"/>
              </w:rPr>
            </w:pPr>
            <w:r>
              <w:rPr>
                <w:sz w:val="20"/>
                <w:szCs w:val="20"/>
                <w:spacing w:val="-1"/>
              </w:rPr>
              <w:t>理后由市政污水管网排入霞浦县</w:t>
            </w:r>
          </w:p>
          <w:p>
            <w:pPr>
              <w:pStyle w:val="TableText"/>
              <w:ind w:left="727"/>
              <w:spacing w:before="32" w:line="192" w:lineRule="auto"/>
              <w:rPr>
                <w:sz w:val="20"/>
                <w:szCs w:val="20"/>
              </w:rPr>
            </w:pPr>
            <w:r>
              <w:rPr>
                <w:sz w:val="20"/>
                <w:szCs w:val="20"/>
                <w:spacing w:val="-1"/>
              </w:rPr>
              <w:t>污水处理厂进行处理</w:t>
            </w:r>
          </w:p>
        </w:tc>
      </w:tr>
      <w:tr>
        <w:trPr>
          <w:trHeight w:val="540" w:hRule="atLeast"/>
        </w:trPr>
        <w:tc>
          <w:tcPr>
            <w:tcW w:w="1134" w:type="dxa"/>
            <w:vAlign w:val="top"/>
            <w:vMerge w:val="continue"/>
            <w:tcBorders>
              <w:top w:val="nil"/>
            </w:tcBorders>
          </w:tcPr>
          <w:p>
            <w:pPr>
              <w:rPr>
                <w:rFonts w:ascii="Arial"/>
                <w:sz w:val="21"/>
              </w:rPr>
            </w:pPr>
            <w:r/>
          </w:p>
        </w:tc>
        <w:tc>
          <w:tcPr>
            <w:tcW w:w="550" w:type="dxa"/>
            <w:vAlign w:val="top"/>
          </w:tcPr>
          <w:p>
            <w:pPr>
              <w:pStyle w:val="TableText"/>
              <w:ind w:left="160"/>
              <w:spacing w:before="223" w:line="183" w:lineRule="auto"/>
              <w:rPr>
                <w:sz w:val="20"/>
                <w:szCs w:val="20"/>
              </w:rPr>
            </w:pPr>
            <w:r>
              <w:rPr>
                <w:sz w:val="20"/>
                <w:szCs w:val="20"/>
                <w:spacing w:val="-1"/>
              </w:rPr>
              <w:t>W8</w:t>
            </w:r>
          </w:p>
        </w:tc>
        <w:tc>
          <w:tcPr>
            <w:tcW w:w="1579" w:type="dxa"/>
            <w:vAlign w:val="top"/>
          </w:tcPr>
          <w:p>
            <w:pPr>
              <w:pStyle w:val="TableText"/>
              <w:ind w:left="579" w:right="195" w:hanging="399"/>
              <w:spacing w:before="31" w:line="230" w:lineRule="auto"/>
              <w:rPr>
                <w:sz w:val="20"/>
                <w:szCs w:val="20"/>
              </w:rPr>
            </w:pPr>
            <w:r>
              <w:rPr>
                <w:sz w:val="20"/>
                <w:szCs w:val="20"/>
                <w:spacing w:val="-2"/>
              </w:rPr>
              <w:t>循环冷却系统</w:t>
            </w:r>
            <w:r>
              <w:rPr>
                <w:sz w:val="20"/>
                <w:szCs w:val="20"/>
                <w:spacing w:val="3"/>
              </w:rPr>
              <w:t xml:space="preserve"> </w:t>
            </w:r>
            <w:r>
              <w:rPr>
                <w:sz w:val="20"/>
                <w:szCs w:val="20"/>
                <w:spacing w:val="-2"/>
              </w:rPr>
              <w:t>废水</w:t>
            </w:r>
          </w:p>
        </w:tc>
        <w:tc>
          <w:tcPr>
            <w:tcW w:w="2259" w:type="dxa"/>
            <w:vAlign w:val="top"/>
          </w:tcPr>
          <w:p>
            <w:pPr>
              <w:pStyle w:val="TableText"/>
              <w:ind w:left="522"/>
              <w:spacing w:before="172" w:line="219" w:lineRule="auto"/>
              <w:rPr>
                <w:sz w:val="20"/>
                <w:szCs w:val="20"/>
              </w:rPr>
            </w:pPr>
            <w:r>
              <w:rPr>
                <w:sz w:val="20"/>
                <w:szCs w:val="20"/>
                <w:spacing w:val="-2"/>
              </w:rPr>
              <w:t>循环冷却排污</w:t>
            </w:r>
          </w:p>
        </w:tc>
        <w:tc>
          <w:tcPr>
            <w:tcW w:w="2338" w:type="dxa"/>
            <w:vAlign w:val="top"/>
          </w:tcPr>
          <w:p>
            <w:pPr>
              <w:pStyle w:val="TableText"/>
              <w:ind w:left="812"/>
              <w:spacing w:before="220" w:line="183" w:lineRule="auto"/>
              <w:rPr>
                <w:sz w:val="20"/>
                <w:szCs w:val="20"/>
              </w:rPr>
            </w:pPr>
            <w:r>
              <w:rPr>
                <w:sz w:val="20"/>
                <w:szCs w:val="20"/>
                <w:spacing w:val="-2"/>
              </w:rPr>
              <w:t>COD、SS</w:t>
            </w:r>
          </w:p>
        </w:tc>
        <w:tc>
          <w:tcPr>
            <w:tcW w:w="2278" w:type="dxa"/>
            <w:vAlign w:val="top"/>
          </w:tcPr>
          <w:p>
            <w:pPr>
              <w:pStyle w:val="TableText"/>
              <w:ind w:left="784"/>
              <w:spacing w:before="220" w:line="183" w:lineRule="auto"/>
              <w:rPr>
                <w:sz w:val="20"/>
                <w:szCs w:val="20"/>
              </w:rPr>
            </w:pPr>
            <w:r>
              <w:rPr>
                <w:sz w:val="20"/>
                <w:szCs w:val="20"/>
                <w:spacing w:val="-2"/>
              </w:rPr>
              <w:t>COD、SS</w:t>
            </w:r>
          </w:p>
        </w:tc>
        <w:tc>
          <w:tcPr>
            <w:tcW w:w="1179" w:type="dxa"/>
            <w:vAlign w:val="top"/>
          </w:tcPr>
          <w:p>
            <w:pPr>
              <w:pStyle w:val="TableText"/>
              <w:ind w:left="286"/>
              <w:spacing w:before="172" w:line="219" w:lineRule="auto"/>
              <w:rPr>
                <w:sz w:val="20"/>
                <w:szCs w:val="20"/>
              </w:rPr>
            </w:pPr>
            <w:r>
              <w:rPr>
                <w:sz w:val="20"/>
                <w:szCs w:val="20"/>
                <w:spacing w:val="2"/>
              </w:rPr>
              <w:t>间歇性</w:t>
            </w:r>
          </w:p>
        </w:tc>
        <w:tc>
          <w:tcPr>
            <w:tcW w:w="3273" w:type="dxa"/>
            <w:vAlign w:val="top"/>
          </w:tcPr>
          <w:p>
            <w:pPr>
              <w:pStyle w:val="TableText"/>
              <w:ind w:left="827"/>
              <w:spacing w:before="172" w:line="219" w:lineRule="auto"/>
              <w:rPr>
                <w:sz w:val="20"/>
                <w:szCs w:val="20"/>
              </w:rPr>
            </w:pPr>
            <w:r>
              <w:rPr>
                <w:sz w:val="20"/>
                <w:szCs w:val="20"/>
                <w:spacing w:val="2"/>
              </w:rPr>
              <w:t>排入市政污水管网</w:t>
            </w:r>
          </w:p>
        </w:tc>
      </w:tr>
      <w:tr>
        <w:trPr>
          <w:trHeight w:val="549" w:hRule="atLeast"/>
        </w:trPr>
        <w:tc>
          <w:tcPr>
            <w:tcW w:w="1134" w:type="dxa"/>
            <w:vAlign w:val="top"/>
            <w:vMerge w:val="restart"/>
            <w:tcBorders>
              <w:bottom w:val="nil"/>
            </w:tcBorders>
          </w:tcPr>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354"/>
              <w:spacing w:before="65" w:line="220" w:lineRule="auto"/>
              <w:rPr>
                <w:sz w:val="20"/>
                <w:szCs w:val="20"/>
              </w:rPr>
            </w:pPr>
            <w:r>
              <w:rPr>
                <w:sz w:val="20"/>
                <w:szCs w:val="20"/>
                <w:spacing w:val="6"/>
              </w:rPr>
              <w:t>废气</w:t>
            </w:r>
          </w:p>
        </w:tc>
        <w:tc>
          <w:tcPr>
            <w:tcW w:w="2129" w:type="dxa"/>
            <w:vAlign w:val="top"/>
            <w:gridSpan w:val="2"/>
          </w:tcPr>
          <w:p>
            <w:pPr>
              <w:pStyle w:val="TableText"/>
              <w:ind w:left="951"/>
              <w:spacing w:before="232" w:line="184" w:lineRule="auto"/>
              <w:rPr>
                <w:sz w:val="20"/>
                <w:szCs w:val="20"/>
              </w:rPr>
            </w:pPr>
            <w:r>
              <w:rPr>
                <w:sz w:val="20"/>
                <w:szCs w:val="20"/>
                <w:spacing w:val="-2"/>
              </w:rPr>
              <w:t>G1</w:t>
            </w:r>
          </w:p>
        </w:tc>
        <w:tc>
          <w:tcPr>
            <w:tcW w:w="2259" w:type="dxa"/>
            <w:vAlign w:val="top"/>
          </w:tcPr>
          <w:p>
            <w:pPr>
              <w:pStyle w:val="TableText"/>
              <w:ind w:left="1021" w:right="118" w:hanging="900"/>
              <w:spacing w:before="42" w:line="229" w:lineRule="auto"/>
              <w:rPr>
                <w:sz w:val="20"/>
                <w:szCs w:val="20"/>
              </w:rPr>
            </w:pPr>
            <w:r>
              <w:rPr>
                <w:sz w:val="20"/>
                <w:szCs w:val="20"/>
              </w:rPr>
              <w:t>凹版、极片生产配料搅</w:t>
            </w:r>
            <w:r>
              <w:rPr>
                <w:sz w:val="20"/>
                <w:szCs w:val="20"/>
                <w:spacing w:val="7"/>
              </w:rPr>
              <w:t xml:space="preserve"> </w:t>
            </w:r>
            <w:r>
              <w:rPr>
                <w:sz w:val="20"/>
                <w:szCs w:val="20"/>
              </w:rPr>
              <w:t>拌</w:t>
            </w:r>
          </w:p>
        </w:tc>
        <w:tc>
          <w:tcPr>
            <w:tcW w:w="2338" w:type="dxa"/>
            <w:vAlign w:val="top"/>
          </w:tcPr>
          <w:p>
            <w:pPr>
              <w:pStyle w:val="TableText"/>
              <w:ind w:left="962"/>
              <w:spacing w:before="182" w:line="219" w:lineRule="auto"/>
              <w:rPr>
                <w:sz w:val="20"/>
                <w:szCs w:val="20"/>
              </w:rPr>
            </w:pPr>
            <w:r>
              <w:rPr>
                <w:sz w:val="20"/>
                <w:szCs w:val="20"/>
                <w:spacing w:val="-2"/>
              </w:rPr>
              <w:t>粉尘</w:t>
            </w:r>
          </w:p>
        </w:tc>
        <w:tc>
          <w:tcPr>
            <w:tcW w:w="2278" w:type="dxa"/>
            <w:vAlign w:val="top"/>
          </w:tcPr>
          <w:p>
            <w:pPr>
              <w:pStyle w:val="TableText"/>
              <w:ind w:left="834"/>
              <w:spacing w:before="182" w:line="220" w:lineRule="auto"/>
              <w:rPr>
                <w:sz w:val="20"/>
                <w:szCs w:val="20"/>
              </w:rPr>
            </w:pPr>
            <w:r>
              <w:rPr>
                <w:sz w:val="20"/>
                <w:szCs w:val="20"/>
                <w:spacing w:val="-2"/>
              </w:rPr>
              <w:t>颗粒物</w:t>
            </w:r>
          </w:p>
        </w:tc>
        <w:tc>
          <w:tcPr>
            <w:tcW w:w="1179" w:type="dxa"/>
            <w:vAlign w:val="top"/>
          </w:tcPr>
          <w:p>
            <w:pPr>
              <w:pStyle w:val="TableText"/>
              <w:ind w:left="286"/>
              <w:spacing w:before="182" w:line="219" w:lineRule="auto"/>
              <w:rPr>
                <w:sz w:val="20"/>
                <w:szCs w:val="20"/>
              </w:rPr>
            </w:pPr>
            <w:r>
              <w:rPr>
                <w:sz w:val="20"/>
                <w:szCs w:val="20"/>
                <w:spacing w:val="2"/>
              </w:rPr>
              <w:t>间歇性</w:t>
            </w:r>
          </w:p>
        </w:tc>
        <w:tc>
          <w:tcPr>
            <w:tcW w:w="3273" w:type="dxa"/>
            <w:vAlign w:val="top"/>
          </w:tcPr>
          <w:p>
            <w:pPr>
              <w:pStyle w:val="TableText"/>
              <w:ind w:left="726" w:right="242" w:hanging="499"/>
              <w:spacing w:before="40" w:line="230" w:lineRule="auto"/>
              <w:rPr>
                <w:sz w:val="20"/>
                <w:szCs w:val="20"/>
              </w:rPr>
            </w:pPr>
            <w:r>
              <w:rPr>
                <w:sz w:val="20"/>
                <w:szCs w:val="20"/>
                <w:spacing w:val="-1"/>
              </w:rPr>
              <w:t>配料粉尘采用固定式单体除尘器</w:t>
            </w:r>
            <w:r>
              <w:rPr>
                <w:sz w:val="20"/>
                <w:szCs w:val="20"/>
                <w:spacing w:val="5"/>
              </w:rPr>
              <w:t xml:space="preserve"> </w:t>
            </w:r>
            <w:r>
              <w:rPr>
                <w:sz w:val="20"/>
                <w:szCs w:val="20"/>
                <w:spacing w:val="2"/>
              </w:rPr>
              <w:t>处理后尾气回到车间</w:t>
            </w:r>
          </w:p>
        </w:tc>
      </w:tr>
      <w:tr>
        <w:trPr>
          <w:trHeight w:val="549" w:hRule="atLeast"/>
        </w:trPr>
        <w:tc>
          <w:tcPr>
            <w:tcW w:w="1134" w:type="dxa"/>
            <w:vAlign w:val="top"/>
            <w:vMerge w:val="continue"/>
            <w:tcBorders>
              <w:top w:val="nil"/>
              <w:bottom w:val="nil"/>
            </w:tcBorders>
          </w:tcPr>
          <w:p>
            <w:pPr>
              <w:rPr>
                <w:rFonts w:ascii="Arial"/>
                <w:sz w:val="21"/>
              </w:rPr>
            </w:pPr>
            <w:r/>
          </w:p>
        </w:tc>
        <w:tc>
          <w:tcPr>
            <w:tcW w:w="2129" w:type="dxa"/>
            <w:vAlign w:val="top"/>
            <w:gridSpan w:val="2"/>
          </w:tcPr>
          <w:p>
            <w:pPr>
              <w:pStyle w:val="TableText"/>
              <w:ind w:left="951"/>
              <w:spacing w:before="234" w:line="183" w:lineRule="auto"/>
              <w:rPr>
                <w:sz w:val="20"/>
                <w:szCs w:val="20"/>
              </w:rPr>
            </w:pPr>
            <w:r>
              <w:rPr>
                <w:sz w:val="20"/>
                <w:szCs w:val="20"/>
                <w:spacing w:val="-2"/>
              </w:rPr>
              <w:t>G2</w:t>
            </w:r>
          </w:p>
        </w:tc>
        <w:tc>
          <w:tcPr>
            <w:tcW w:w="2259" w:type="dxa"/>
            <w:vAlign w:val="top"/>
          </w:tcPr>
          <w:p>
            <w:pPr>
              <w:pStyle w:val="TableText"/>
              <w:ind w:left="522"/>
              <w:spacing w:before="181" w:line="219" w:lineRule="auto"/>
              <w:rPr>
                <w:sz w:val="20"/>
                <w:szCs w:val="20"/>
              </w:rPr>
            </w:pPr>
            <w:r>
              <w:rPr>
                <w:sz w:val="20"/>
                <w:szCs w:val="20"/>
                <w:spacing w:val="1"/>
              </w:rPr>
              <w:t>阴极涂布烘干</w:t>
            </w:r>
          </w:p>
        </w:tc>
        <w:tc>
          <w:tcPr>
            <w:tcW w:w="2338" w:type="dxa"/>
            <w:vAlign w:val="top"/>
          </w:tcPr>
          <w:p>
            <w:pPr>
              <w:pStyle w:val="TableText"/>
              <w:ind w:left="1012"/>
              <w:spacing w:before="235" w:line="182" w:lineRule="auto"/>
              <w:rPr>
                <w:sz w:val="20"/>
                <w:szCs w:val="20"/>
              </w:rPr>
            </w:pPr>
            <w:r>
              <w:rPr>
                <w:sz w:val="20"/>
                <w:szCs w:val="20"/>
                <w:spacing w:val="-1"/>
              </w:rPr>
              <w:t>NMP</w:t>
            </w:r>
          </w:p>
        </w:tc>
        <w:tc>
          <w:tcPr>
            <w:tcW w:w="2278" w:type="dxa"/>
            <w:vAlign w:val="top"/>
          </w:tcPr>
          <w:p>
            <w:pPr>
              <w:pStyle w:val="TableText"/>
              <w:ind w:left="634"/>
              <w:spacing w:before="183" w:line="220" w:lineRule="auto"/>
              <w:rPr>
                <w:sz w:val="20"/>
                <w:szCs w:val="20"/>
              </w:rPr>
            </w:pPr>
            <w:r>
              <w:rPr>
                <w:sz w:val="20"/>
                <w:szCs w:val="20"/>
                <w:spacing w:val="-2"/>
              </w:rPr>
              <w:t>非甲烷总烃</w:t>
            </w:r>
          </w:p>
        </w:tc>
        <w:tc>
          <w:tcPr>
            <w:tcW w:w="1179" w:type="dxa"/>
            <w:vAlign w:val="top"/>
          </w:tcPr>
          <w:p>
            <w:pPr>
              <w:pStyle w:val="TableText"/>
              <w:ind w:left="286"/>
              <w:spacing w:before="183" w:line="220" w:lineRule="auto"/>
              <w:rPr>
                <w:sz w:val="20"/>
                <w:szCs w:val="20"/>
              </w:rPr>
            </w:pPr>
            <w:r>
              <w:rPr>
                <w:sz w:val="20"/>
                <w:szCs w:val="20"/>
                <w:spacing w:val="-2"/>
              </w:rPr>
              <w:t>连续性</w:t>
            </w:r>
          </w:p>
        </w:tc>
        <w:tc>
          <w:tcPr>
            <w:tcW w:w="3273" w:type="dxa"/>
            <w:vAlign w:val="top"/>
          </w:tcPr>
          <w:p>
            <w:pPr>
              <w:pStyle w:val="TableText"/>
              <w:ind w:left="427" w:right="242" w:hanging="200"/>
              <w:spacing w:before="53" w:line="224" w:lineRule="auto"/>
              <w:rPr>
                <w:sz w:val="20"/>
                <w:szCs w:val="20"/>
              </w:rPr>
            </w:pPr>
            <w:r>
              <w:rPr>
                <w:sz w:val="20"/>
                <w:szCs w:val="20"/>
                <w:spacing w:val="-1"/>
              </w:rPr>
              <w:t>集中收集后经轮转回收装置处理</w:t>
            </w:r>
            <w:r>
              <w:rPr>
                <w:sz w:val="20"/>
                <w:szCs w:val="20"/>
                <w:spacing w:val="5"/>
              </w:rPr>
              <w:t xml:space="preserve"> </w:t>
            </w:r>
            <w:r>
              <w:rPr>
                <w:sz w:val="20"/>
                <w:szCs w:val="20"/>
                <w:spacing w:val="-1"/>
              </w:rPr>
              <w:t>后由1根排气筒(DA026)排放</w:t>
            </w:r>
          </w:p>
        </w:tc>
      </w:tr>
      <w:tr>
        <w:trPr>
          <w:trHeight w:val="539" w:hRule="atLeast"/>
        </w:trPr>
        <w:tc>
          <w:tcPr>
            <w:tcW w:w="1134" w:type="dxa"/>
            <w:vAlign w:val="top"/>
            <w:vMerge w:val="continue"/>
            <w:tcBorders>
              <w:top w:val="nil"/>
              <w:bottom w:val="nil"/>
            </w:tcBorders>
          </w:tcPr>
          <w:p>
            <w:pPr>
              <w:rPr>
                <w:rFonts w:ascii="Arial"/>
                <w:sz w:val="21"/>
              </w:rPr>
            </w:pPr>
            <w:r/>
          </w:p>
        </w:tc>
        <w:tc>
          <w:tcPr>
            <w:tcW w:w="2129" w:type="dxa"/>
            <w:vAlign w:val="top"/>
            <w:gridSpan w:val="2"/>
          </w:tcPr>
          <w:p>
            <w:pPr>
              <w:pStyle w:val="TableText"/>
              <w:ind w:left="951"/>
              <w:spacing w:before="225" w:line="183" w:lineRule="auto"/>
              <w:rPr>
                <w:sz w:val="20"/>
                <w:szCs w:val="20"/>
              </w:rPr>
            </w:pPr>
            <w:r>
              <w:rPr>
                <w:sz w:val="20"/>
                <w:szCs w:val="20"/>
                <w:spacing w:val="-2"/>
              </w:rPr>
              <w:t>G3</w:t>
            </w:r>
          </w:p>
        </w:tc>
        <w:tc>
          <w:tcPr>
            <w:tcW w:w="2259" w:type="dxa"/>
            <w:vAlign w:val="top"/>
          </w:tcPr>
          <w:p>
            <w:pPr>
              <w:pStyle w:val="TableText"/>
              <w:ind w:left="421"/>
              <w:spacing w:before="172" w:line="219" w:lineRule="auto"/>
              <w:rPr>
                <w:sz w:val="20"/>
                <w:szCs w:val="20"/>
              </w:rPr>
            </w:pPr>
            <w:r>
              <w:rPr>
                <w:sz w:val="20"/>
                <w:szCs w:val="20"/>
                <w:spacing w:val="-1"/>
              </w:rPr>
              <w:t>锅炉天然气燃烧</w:t>
            </w:r>
          </w:p>
        </w:tc>
        <w:tc>
          <w:tcPr>
            <w:tcW w:w="2338" w:type="dxa"/>
            <w:vAlign w:val="top"/>
          </w:tcPr>
          <w:p>
            <w:pPr>
              <w:pStyle w:val="TableText"/>
              <w:ind w:left="412"/>
              <w:spacing w:before="174" w:line="220" w:lineRule="auto"/>
              <w:rPr>
                <w:sz w:val="20"/>
                <w:szCs w:val="20"/>
              </w:rPr>
            </w:pPr>
            <w:r>
              <w:rPr>
                <w:sz w:val="20"/>
                <w:szCs w:val="20"/>
                <w:spacing w:val="15"/>
              </w:rPr>
              <w:t>烟尘、</w:t>
            </w:r>
            <w:r>
              <w:rPr>
                <w:sz w:val="20"/>
                <w:szCs w:val="20"/>
              </w:rPr>
              <w:t>SO</w:t>
            </w:r>
            <w:r>
              <w:rPr>
                <w:rFonts w:ascii="Calibri" w:hAnsi="Calibri" w:eastAsia="Calibri" w:cs="Calibri"/>
                <w:sz w:val="20"/>
                <w:szCs w:val="20"/>
                <w:spacing w:val="15"/>
              </w:rPr>
              <w:t>₂</w:t>
            </w:r>
            <w:r>
              <w:rPr>
                <w:rFonts w:ascii="Calibri" w:hAnsi="Calibri" w:eastAsia="Calibri" w:cs="Calibri"/>
                <w:sz w:val="20"/>
                <w:szCs w:val="20"/>
                <w:spacing w:val="-22"/>
              </w:rPr>
              <w:t xml:space="preserve"> </w:t>
            </w:r>
            <w:r>
              <w:rPr>
                <w:sz w:val="20"/>
                <w:szCs w:val="20"/>
                <w:spacing w:val="15"/>
              </w:rPr>
              <w:t>、</w:t>
            </w:r>
            <w:r>
              <w:rPr>
                <w:sz w:val="20"/>
                <w:szCs w:val="20"/>
              </w:rPr>
              <w:t>NOx</w:t>
            </w:r>
          </w:p>
        </w:tc>
        <w:tc>
          <w:tcPr>
            <w:tcW w:w="2278" w:type="dxa"/>
            <w:vAlign w:val="top"/>
          </w:tcPr>
          <w:p>
            <w:pPr>
              <w:pStyle w:val="TableText"/>
              <w:ind w:left="284"/>
              <w:spacing w:before="174" w:line="220" w:lineRule="auto"/>
              <w:rPr>
                <w:sz w:val="20"/>
                <w:szCs w:val="20"/>
              </w:rPr>
            </w:pPr>
            <w:r>
              <w:rPr>
                <w:sz w:val="20"/>
                <w:szCs w:val="20"/>
                <w:spacing w:val="13"/>
              </w:rPr>
              <w:t>颗粒物、</w:t>
            </w:r>
            <w:r>
              <w:rPr>
                <w:sz w:val="20"/>
                <w:szCs w:val="20"/>
              </w:rPr>
              <w:t>SO</w:t>
            </w:r>
            <w:r>
              <w:rPr>
                <w:rFonts w:ascii="Calibri" w:hAnsi="Calibri" w:eastAsia="Calibri" w:cs="Calibri"/>
                <w:sz w:val="20"/>
                <w:szCs w:val="20"/>
                <w:spacing w:val="13"/>
              </w:rPr>
              <w:t>₂</w:t>
            </w:r>
            <w:r>
              <w:rPr>
                <w:rFonts w:ascii="Calibri" w:hAnsi="Calibri" w:eastAsia="Calibri" w:cs="Calibri"/>
                <w:sz w:val="20"/>
                <w:szCs w:val="20"/>
                <w:spacing w:val="-22"/>
              </w:rPr>
              <w:t xml:space="preserve"> </w:t>
            </w:r>
            <w:r>
              <w:rPr>
                <w:sz w:val="20"/>
                <w:szCs w:val="20"/>
                <w:spacing w:val="13"/>
              </w:rPr>
              <w:t>、</w:t>
            </w:r>
            <w:r>
              <w:rPr>
                <w:sz w:val="20"/>
                <w:szCs w:val="20"/>
              </w:rPr>
              <w:t>NOx</w:t>
            </w:r>
          </w:p>
        </w:tc>
        <w:tc>
          <w:tcPr>
            <w:tcW w:w="1179" w:type="dxa"/>
            <w:vAlign w:val="top"/>
          </w:tcPr>
          <w:p>
            <w:pPr>
              <w:pStyle w:val="TableText"/>
              <w:ind w:left="286"/>
              <w:spacing w:before="174" w:line="220" w:lineRule="auto"/>
              <w:rPr>
                <w:sz w:val="20"/>
                <w:szCs w:val="20"/>
              </w:rPr>
            </w:pPr>
            <w:r>
              <w:rPr>
                <w:sz w:val="20"/>
                <w:szCs w:val="20"/>
                <w:spacing w:val="-2"/>
              </w:rPr>
              <w:t>连续性</w:t>
            </w:r>
          </w:p>
        </w:tc>
        <w:tc>
          <w:tcPr>
            <w:tcW w:w="3273" w:type="dxa"/>
            <w:vAlign w:val="top"/>
          </w:tcPr>
          <w:p>
            <w:pPr>
              <w:pStyle w:val="TableText"/>
              <w:ind w:left="596" w:right="135" w:hanging="369"/>
              <w:spacing w:before="54" w:line="219" w:lineRule="auto"/>
              <w:rPr>
                <w:sz w:val="20"/>
                <w:szCs w:val="20"/>
              </w:rPr>
            </w:pPr>
            <w:r>
              <w:rPr>
                <w:sz w:val="20"/>
                <w:szCs w:val="20"/>
                <w:spacing w:val="6"/>
              </w:rPr>
              <w:t>通过每台配套的排气筒(</w:t>
            </w:r>
            <w:r>
              <w:rPr>
                <w:sz w:val="20"/>
                <w:szCs w:val="20"/>
              </w:rPr>
              <w:t>DA</w:t>
            </w:r>
            <w:r>
              <w:rPr>
                <w:sz w:val="20"/>
                <w:szCs w:val="20"/>
                <w:spacing w:val="6"/>
              </w:rPr>
              <w:t>025、</w:t>
            </w:r>
            <w:r>
              <w:rPr>
                <w:sz w:val="20"/>
                <w:szCs w:val="20"/>
                <w:spacing w:val="8"/>
              </w:rPr>
              <w:t xml:space="preserve"> </w:t>
            </w:r>
            <w:r>
              <w:rPr>
                <w:sz w:val="20"/>
                <w:szCs w:val="20"/>
              </w:rPr>
              <w:t>DA</w:t>
            </w:r>
            <w:r>
              <w:rPr>
                <w:sz w:val="20"/>
                <w:szCs w:val="20"/>
                <w:spacing w:val="36"/>
              </w:rPr>
              <w:t>027～</w:t>
            </w:r>
            <w:r>
              <w:rPr>
                <w:sz w:val="20"/>
                <w:szCs w:val="20"/>
              </w:rPr>
              <w:t>DA</w:t>
            </w:r>
            <w:r>
              <w:rPr>
                <w:sz w:val="20"/>
                <w:szCs w:val="20"/>
                <w:spacing w:val="36"/>
              </w:rPr>
              <w:t>029)排放</w:t>
            </w:r>
          </w:p>
        </w:tc>
      </w:tr>
      <w:tr>
        <w:trPr>
          <w:trHeight w:val="809" w:hRule="atLeast"/>
        </w:trPr>
        <w:tc>
          <w:tcPr>
            <w:tcW w:w="1134" w:type="dxa"/>
            <w:vAlign w:val="top"/>
            <w:vMerge w:val="continue"/>
            <w:tcBorders>
              <w:top w:val="nil"/>
              <w:bottom w:val="nil"/>
            </w:tcBorders>
          </w:tcPr>
          <w:p>
            <w:pPr>
              <w:rPr>
                <w:rFonts w:ascii="Arial"/>
                <w:sz w:val="21"/>
              </w:rPr>
            </w:pPr>
            <w:r/>
          </w:p>
        </w:tc>
        <w:tc>
          <w:tcPr>
            <w:tcW w:w="2129" w:type="dxa"/>
            <w:vAlign w:val="top"/>
            <w:gridSpan w:val="2"/>
          </w:tcPr>
          <w:p>
            <w:pPr>
              <w:spacing w:line="299" w:lineRule="auto"/>
              <w:rPr>
                <w:rFonts w:ascii="Arial"/>
                <w:sz w:val="21"/>
              </w:rPr>
            </w:pPr>
            <w:r/>
          </w:p>
          <w:p>
            <w:pPr>
              <w:pStyle w:val="TableText"/>
              <w:ind w:left="951"/>
              <w:spacing w:before="65" w:line="183" w:lineRule="auto"/>
              <w:rPr>
                <w:sz w:val="20"/>
                <w:szCs w:val="20"/>
              </w:rPr>
            </w:pPr>
            <w:r>
              <w:rPr>
                <w:sz w:val="20"/>
                <w:szCs w:val="20"/>
                <w:spacing w:val="-2"/>
              </w:rPr>
              <w:t>G4</w:t>
            </w:r>
          </w:p>
        </w:tc>
        <w:tc>
          <w:tcPr>
            <w:tcW w:w="2259" w:type="dxa"/>
            <w:vAlign w:val="top"/>
          </w:tcPr>
          <w:p>
            <w:pPr>
              <w:spacing w:line="248" w:lineRule="auto"/>
              <w:rPr>
                <w:rFonts w:ascii="Arial"/>
                <w:sz w:val="21"/>
              </w:rPr>
            </w:pPr>
            <w:r/>
          </w:p>
          <w:p>
            <w:pPr>
              <w:pStyle w:val="TableText"/>
              <w:ind w:left="522"/>
              <w:spacing w:before="65" w:line="219" w:lineRule="auto"/>
              <w:rPr>
                <w:sz w:val="20"/>
                <w:szCs w:val="20"/>
              </w:rPr>
            </w:pPr>
            <w:r>
              <w:rPr>
                <w:sz w:val="20"/>
                <w:szCs w:val="20"/>
                <w:spacing w:val="-2"/>
              </w:rPr>
              <w:t>生产废水处理</w:t>
            </w:r>
          </w:p>
        </w:tc>
        <w:tc>
          <w:tcPr>
            <w:tcW w:w="2338" w:type="dxa"/>
            <w:vAlign w:val="top"/>
          </w:tcPr>
          <w:p>
            <w:pPr>
              <w:spacing w:line="247" w:lineRule="auto"/>
              <w:rPr>
                <w:rFonts w:ascii="Arial"/>
                <w:sz w:val="21"/>
              </w:rPr>
            </w:pPr>
            <w:r/>
          </w:p>
          <w:p>
            <w:pPr>
              <w:pStyle w:val="TableText"/>
              <w:ind w:left="162"/>
              <w:spacing w:before="65" w:line="219" w:lineRule="auto"/>
              <w:rPr>
                <w:sz w:val="20"/>
                <w:szCs w:val="20"/>
              </w:rPr>
            </w:pPr>
            <w:r>
              <w:rPr>
                <w:sz w:val="20"/>
                <w:szCs w:val="20"/>
                <w:spacing w:val="14"/>
              </w:rPr>
              <w:t>H</w:t>
            </w:r>
            <w:r>
              <w:rPr>
                <w:rFonts w:ascii="Calibri" w:hAnsi="Calibri" w:eastAsia="Calibri" w:cs="Calibri"/>
                <w:sz w:val="20"/>
                <w:szCs w:val="20"/>
                <w:spacing w:val="14"/>
              </w:rPr>
              <w:t>₂</w:t>
            </w:r>
            <w:r>
              <w:rPr>
                <w:sz w:val="20"/>
                <w:szCs w:val="20"/>
                <w:spacing w:val="14"/>
              </w:rPr>
              <w:t>S、</w:t>
            </w:r>
            <w:r>
              <w:rPr>
                <w:sz w:val="20"/>
                <w:szCs w:val="20"/>
              </w:rPr>
              <w:t>NH</w:t>
            </w:r>
            <w:r>
              <w:rPr>
                <w:rFonts w:ascii="Calibri" w:hAnsi="Calibri" w:eastAsia="Calibri" w:cs="Calibri"/>
                <w:sz w:val="20"/>
                <w:szCs w:val="20"/>
                <w:spacing w:val="14"/>
              </w:rPr>
              <w:t>₃</w:t>
            </w:r>
            <w:r>
              <w:rPr>
                <w:rFonts w:ascii="Calibri" w:hAnsi="Calibri" w:eastAsia="Calibri" w:cs="Calibri"/>
                <w:sz w:val="20"/>
                <w:szCs w:val="20"/>
                <w:spacing w:val="-23"/>
              </w:rPr>
              <w:t xml:space="preserve"> </w:t>
            </w:r>
            <w:r>
              <w:rPr>
                <w:sz w:val="20"/>
                <w:szCs w:val="20"/>
                <w:spacing w:val="14"/>
              </w:rPr>
              <w:t>、臭气浓度</w:t>
            </w:r>
          </w:p>
        </w:tc>
        <w:tc>
          <w:tcPr>
            <w:tcW w:w="2278" w:type="dxa"/>
            <w:vAlign w:val="top"/>
          </w:tcPr>
          <w:p>
            <w:pPr>
              <w:spacing w:line="247" w:lineRule="auto"/>
              <w:rPr>
                <w:rFonts w:ascii="Arial"/>
                <w:sz w:val="21"/>
              </w:rPr>
            </w:pPr>
            <w:r/>
          </w:p>
          <w:p>
            <w:pPr>
              <w:pStyle w:val="TableText"/>
              <w:ind w:left="135"/>
              <w:spacing w:before="65" w:line="219" w:lineRule="auto"/>
              <w:rPr>
                <w:sz w:val="20"/>
                <w:szCs w:val="20"/>
              </w:rPr>
            </w:pPr>
            <w:r>
              <w:rPr>
                <w:sz w:val="20"/>
                <w:szCs w:val="20"/>
                <w:spacing w:val="14"/>
              </w:rPr>
              <w:t>H</w:t>
            </w:r>
            <w:r>
              <w:rPr>
                <w:rFonts w:ascii="Calibri" w:hAnsi="Calibri" w:eastAsia="Calibri" w:cs="Calibri"/>
                <w:sz w:val="20"/>
                <w:szCs w:val="20"/>
                <w:spacing w:val="14"/>
              </w:rPr>
              <w:t>₂</w:t>
            </w:r>
            <w:r>
              <w:rPr>
                <w:sz w:val="20"/>
                <w:szCs w:val="20"/>
                <w:spacing w:val="14"/>
              </w:rPr>
              <w:t>S、</w:t>
            </w:r>
            <w:r>
              <w:rPr>
                <w:sz w:val="20"/>
                <w:szCs w:val="20"/>
              </w:rPr>
              <w:t>NH</w:t>
            </w:r>
            <w:r>
              <w:rPr>
                <w:rFonts w:ascii="Calibri" w:hAnsi="Calibri" w:eastAsia="Calibri" w:cs="Calibri"/>
                <w:sz w:val="20"/>
                <w:szCs w:val="20"/>
                <w:spacing w:val="14"/>
              </w:rPr>
              <w:t>₃</w:t>
            </w:r>
            <w:r>
              <w:rPr>
                <w:rFonts w:ascii="Calibri" w:hAnsi="Calibri" w:eastAsia="Calibri" w:cs="Calibri"/>
                <w:sz w:val="20"/>
                <w:szCs w:val="20"/>
                <w:spacing w:val="-23"/>
              </w:rPr>
              <w:t xml:space="preserve"> </w:t>
            </w:r>
            <w:r>
              <w:rPr>
                <w:sz w:val="20"/>
                <w:szCs w:val="20"/>
                <w:spacing w:val="14"/>
              </w:rPr>
              <w:t>、臭气浓度</w:t>
            </w:r>
          </w:p>
        </w:tc>
        <w:tc>
          <w:tcPr>
            <w:tcW w:w="1179" w:type="dxa"/>
            <w:vAlign w:val="top"/>
          </w:tcPr>
          <w:p>
            <w:pPr>
              <w:spacing w:line="249" w:lineRule="auto"/>
              <w:rPr>
                <w:rFonts w:ascii="Arial"/>
                <w:sz w:val="21"/>
              </w:rPr>
            </w:pPr>
            <w:r/>
          </w:p>
          <w:p>
            <w:pPr>
              <w:pStyle w:val="TableText"/>
              <w:ind w:left="286"/>
              <w:spacing w:before="65" w:line="220" w:lineRule="auto"/>
              <w:rPr>
                <w:sz w:val="20"/>
                <w:szCs w:val="20"/>
              </w:rPr>
            </w:pPr>
            <w:r>
              <w:rPr>
                <w:sz w:val="20"/>
                <w:szCs w:val="20"/>
                <w:spacing w:val="-2"/>
              </w:rPr>
              <w:t>连续性</w:t>
            </w:r>
          </w:p>
        </w:tc>
        <w:tc>
          <w:tcPr>
            <w:tcW w:w="3273" w:type="dxa"/>
            <w:vAlign w:val="top"/>
          </w:tcPr>
          <w:p>
            <w:pPr>
              <w:pStyle w:val="TableText"/>
              <w:ind w:left="276" w:hanging="99"/>
              <w:spacing w:before="43" w:line="244" w:lineRule="auto"/>
              <w:rPr>
                <w:sz w:val="20"/>
                <w:szCs w:val="20"/>
              </w:rPr>
            </w:pPr>
            <w:r>
              <w:rPr>
                <w:sz w:val="20"/>
                <w:szCs w:val="20"/>
                <w:spacing w:val="13"/>
              </w:rPr>
              <w:t>依托现有工程，经“喷淋塔+</w:t>
            </w:r>
            <w:r>
              <w:rPr>
                <w:sz w:val="20"/>
                <w:szCs w:val="20"/>
              </w:rPr>
              <w:t>UV</w:t>
            </w:r>
            <w:r>
              <w:rPr>
                <w:sz w:val="20"/>
                <w:szCs w:val="20"/>
                <w:spacing w:val="13"/>
              </w:rPr>
              <w:t>”</w:t>
            </w:r>
            <w:r>
              <w:rPr>
                <w:sz w:val="20"/>
                <w:szCs w:val="20"/>
                <w:spacing w:val="2"/>
              </w:rPr>
              <w:t xml:space="preserve"> </w:t>
            </w:r>
            <w:r>
              <w:rPr>
                <w:sz w:val="20"/>
                <w:szCs w:val="20"/>
                <w:spacing w:val="2"/>
              </w:rPr>
              <w:t>处理后通过配套排气筒(</w:t>
            </w:r>
            <w:r>
              <w:rPr>
                <w:sz w:val="20"/>
                <w:szCs w:val="20"/>
              </w:rPr>
              <w:t>DA</w:t>
            </w:r>
            <w:r>
              <w:rPr>
                <w:sz w:val="20"/>
                <w:szCs w:val="20"/>
                <w:spacing w:val="2"/>
              </w:rPr>
              <w:t>006)</w:t>
            </w:r>
          </w:p>
          <w:p>
            <w:pPr>
              <w:pStyle w:val="TableText"/>
              <w:ind w:left="1427"/>
              <w:spacing w:before="4" w:line="205" w:lineRule="auto"/>
              <w:rPr>
                <w:sz w:val="20"/>
                <w:szCs w:val="20"/>
              </w:rPr>
            </w:pPr>
            <w:r>
              <w:rPr>
                <w:sz w:val="20"/>
                <w:szCs w:val="20"/>
                <w:spacing w:val="-2"/>
              </w:rPr>
              <w:t>排放</w:t>
            </w:r>
          </w:p>
        </w:tc>
      </w:tr>
      <w:tr>
        <w:trPr>
          <w:trHeight w:val="549" w:hRule="atLeast"/>
        </w:trPr>
        <w:tc>
          <w:tcPr>
            <w:tcW w:w="1134" w:type="dxa"/>
            <w:vAlign w:val="top"/>
            <w:vMerge w:val="continue"/>
            <w:tcBorders>
              <w:top w:val="nil"/>
            </w:tcBorders>
          </w:tcPr>
          <w:p>
            <w:pPr>
              <w:rPr>
                <w:rFonts w:ascii="Arial"/>
                <w:sz w:val="21"/>
              </w:rPr>
            </w:pPr>
            <w:r/>
          </w:p>
        </w:tc>
        <w:tc>
          <w:tcPr>
            <w:tcW w:w="2129" w:type="dxa"/>
            <w:vAlign w:val="top"/>
            <w:gridSpan w:val="2"/>
          </w:tcPr>
          <w:p>
            <w:pPr>
              <w:pStyle w:val="TableText"/>
              <w:ind w:left="951"/>
              <w:spacing w:before="237" w:line="183" w:lineRule="auto"/>
              <w:rPr>
                <w:sz w:val="20"/>
                <w:szCs w:val="20"/>
              </w:rPr>
            </w:pPr>
            <w:r>
              <w:rPr>
                <w:sz w:val="20"/>
                <w:szCs w:val="20"/>
                <w:spacing w:val="-2"/>
              </w:rPr>
              <w:t>G5</w:t>
            </w:r>
          </w:p>
        </w:tc>
        <w:tc>
          <w:tcPr>
            <w:tcW w:w="2259" w:type="dxa"/>
            <w:vAlign w:val="top"/>
          </w:tcPr>
          <w:p>
            <w:pPr>
              <w:pStyle w:val="TableText"/>
              <w:ind w:left="721"/>
              <w:spacing w:before="186" w:line="220" w:lineRule="auto"/>
              <w:rPr>
                <w:sz w:val="20"/>
                <w:szCs w:val="20"/>
              </w:rPr>
            </w:pPr>
            <w:r>
              <w:rPr>
                <w:sz w:val="20"/>
                <w:szCs w:val="20"/>
                <w:spacing w:val="3"/>
              </w:rPr>
              <w:t>食堂油烟</w:t>
            </w:r>
          </w:p>
        </w:tc>
        <w:tc>
          <w:tcPr>
            <w:tcW w:w="2338" w:type="dxa"/>
            <w:vAlign w:val="top"/>
          </w:tcPr>
          <w:p>
            <w:pPr>
              <w:pStyle w:val="TableText"/>
              <w:ind w:left="962"/>
              <w:spacing w:before="187" w:line="221" w:lineRule="auto"/>
              <w:rPr>
                <w:sz w:val="20"/>
                <w:szCs w:val="20"/>
              </w:rPr>
            </w:pPr>
            <w:r>
              <w:rPr>
                <w:sz w:val="20"/>
                <w:szCs w:val="20"/>
                <w:spacing w:val="6"/>
              </w:rPr>
              <w:t>油烟</w:t>
            </w:r>
          </w:p>
        </w:tc>
        <w:tc>
          <w:tcPr>
            <w:tcW w:w="2278" w:type="dxa"/>
            <w:vAlign w:val="top"/>
          </w:tcPr>
          <w:p>
            <w:pPr>
              <w:pStyle w:val="TableText"/>
              <w:ind w:left="934"/>
              <w:spacing w:before="187" w:line="221" w:lineRule="auto"/>
              <w:rPr>
                <w:sz w:val="20"/>
                <w:szCs w:val="20"/>
              </w:rPr>
            </w:pPr>
            <w:r>
              <w:rPr>
                <w:sz w:val="20"/>
                <w:szCs w:val="20"/>
                <w:spacing w:val="6"/>
              </w:rPr>
              <w:t>油烟</w:t>
            </w:r>
          </w:p>
        </w:tc>
        <w:tc>
          <w:tcPr>
            <w:tcW w:w="1179" w:type="dxa"/>
            <w:vAlign w:val="top"/>
          </w:tcPr>
          <w:p>
            <w:pPr>
              <w:pStyle w:val="TableText"/>
              <w:ind w:left="286"/>
              <w:spacing w:before="186" w:line="219" w:lineRule="auto"/>
              <w:rPr>
                <w:sz w:val="20"/>
                <w:szCs w:val="20"/>
              </w:rPr>
            </w:pPr>
            <w:r>
              <w:rPr>
                <w:sz w:val="20"/>
                <w:szCs w:val="20"/>
                <w:spacing w:val="2"/>
              </w:rPr>
              <w:t>间歇性</w:t>
            </w:r>
          </w:p>
        </w:tc>
        <w:tc>
          <w:tcPr>
            <w:tcW w:w="3273" w:type="dxa"/>
            <w:vAlign w:val="top"/>
          </w:tcPr>
          <w:p>
            <w:pPr>
              <w:pStyle w:val="TableText"/>
              <w:ind w:left="627" w:right="244" w:hanging="400"/>
              <w:spacing w:before="36" w:line="232" w:lineRule="auto"/>
              <w:rPr>
                <w:sz w:val="20"/>
                <w:szCs w:val="20"/>
              </w:rPr>
            </w:pPr>
            <w:r>
              <w:rPr>
                <w:sz w:val="20"/>
                <w:szCs w:val="20"/>
                <w:spacing w:val="-1"/>
              </w:rPr>
              <w:t>依托现有工程，油烟净化装置处</w:t>
            </w:r>
            <w:r>
              <w:rPr>
                <w:sz w:val="20"/>
                <w:szCs w:val="20"/>
                <w:spacing w:val="3"/>
              </w:rPr>
              <w:t xml:space="preserve"> </w:t>
            </w:r>
            <w:r>
              <w:rPr>
                <w:sz w:val="20"/>
                <w:szCs w:val="20"/>
                <w:spacing w:val="-1"/>
              </w:rPr>
              <w:t>理后经配套排气筒排放</w:t>
            </w:r>
          </w:p>
        </w:tc>
      </w:tr>
      <w:tr>
        <w:trPr>
          <w:trHeight w:val="549" w:hRule="atLeast"/>
        </w:trPr>
        <w:tc>
          <w:tcPr>
            <w:tcW w:w="1134" w:type="dxa"/>
            <w:vAlign w:val="top"/>
            <w:vMerge w:val="restart"/>
            <w:tcBorders>
              <w:bottom w:val="nil"/>
            </w:tcBorders>
          </w:tcPr>
          <w:p>
            <w:pPr>
              <w:spacing w:line="390" w:lineRule="auto"/>
              <w:rPr>
                <w:rFonts w:ascii="Arial"/>
                <w:sz w:val="21"/>
              </w:rPr>
            </w:pPr>
            <w:r/>
          </w:p>
          <w:p>
            <w:pPr>
              <w:pStyle w:val="TableText"/>
              <w:ind w:left="154"/>
              <w:spacing w:before="65" w:line="220" w:lineRule="auto"/>
              <w:rPr>
                <w:sz w:val="20"/>
                <w:szCs w:val="20"/>
              </w:rPr>
            </w:pPr>
            <w:r>
              <w:rPr>
                <w:sz w:val="20"/>
                <w:szCs w:val="20"/>
                <w:spacing w:val="2"/>
              </w:rPr>
              <w:t>固体废物</w:t>
            </w:r>
          </w:p>
        </w:tc>
        <w:tc>
          <w:tcPr>
            <w:tcW w:w="2129" w:type="dxa"/>
            <w:vAlign w:val="top"/>
            <w:gridSpan w:val="2"/>
          </w:tcPr>
          <w:p>
            <w:pPr>
              <w:pStyle w:val="TableText"/>
              <w:ind w:left="951"/>
              <w:spacing w:before="237" w:line="184" w:lineRule="auto"/>
              <w:rPr>
                <w:sz w:val="20"/>
                <w:szCs w:val="20"/>
              </w:rPr>
            </w:pPr>
            <w:r>
              <w:rPr>
                <w:sz w:val="20"/>
                <w:szCs w:val="20"/>
                <w:spacing w:val="-3"/>
              </w:rPr>
              <w:t>S1</w:t>
            </w:r>
          </w:p>
        </w:tc>
        <w:tc>
          <w:tcPr>
            <w:tcW w:w="2259" w:type="dxa"/>
            <w:vAlign w:val="top"/>
          </w:tcPr>
          <w:p>
            <w:pPr>
              <w:pStyle w:val="TableText"/>
              <w:ind w:left="921"/>
              <w:spacing w:before="187" w:line="220" w:lineRule="auto"/>
              <w:rPr>
                <w:sz w:val="20"/>
                <w:szCs w:val="20"/>
              </w:rPr>
            </w:pPr>
            <w:r>
              <w:rPr>
                <w:sz w:val="20"/>
                <w:szCs w:val="20"/>
                <w:spacing w:val="-3"/>
              </w:rPr>
              <w:t>备料</w:t>
            </w:r>
          </w:p>
        </w:tc>
        <w:tc>
          <w:tcPr>
            <w:tcW w:w="2338" w:type="dxa"/>
            <w:vAlign w:val="top"/>
          </w:tcPr>
          <w:p>
            <w:pPr>
              <w:pStyle w:val="TableText"/>
              <w:ind w:left="762"/>
              <w:spacing w:before="187" w:line="220" w:lineRule="auto"/>
              <w:rPr>
                <w:sz w:val="20"/>
                <w:szCs w:val="20"/>
              </w:rPr>
            </w:pPr>
            <w:r>
              <w:rPr>
                <w:sz w:val="20"/>
                <w:szCs w:val="20"/>
                <w:spacing w:val="-2"/>
              </w:rPr>
              <w:t>废包装物</w:t>
            </w:r>
          </w:p>
        </w:tc>
        <w:tc>
          <w:tcPr>
            <w:tcW w:w="2278" w:type="dxa"/>
            <w:vAlign w:val="top"/>
          </w:tcPr>
          <w:p>
            <w:pPr>
              <w:pStyle w:val="TableText"/>
              <w:ind w:left="734"/>
              <w:spacing w:before="187" w:line="220" w:lineRule="auto"/>
              <w:rPr>
                <w:sz w:val="20"/>
                <w:szCs w:val="20"/>
              </w:rPr>
            </w:pPr>
            <w:r>
              <w:rPr>
                <w:sz w:val="20"/>
                <w:szCs w:val="20"/>
                <w:spacing w:val="2"/>
              </w:rPr>
              <w:t>一般固废</w:t>
            </w:r>
          </w:p>
        </w:tc>
        <w:tc>
          <w:tcPr>
            <w:tcW w:w="1179" w:type="dxa"/>
            <w:vAlign w:val="top"/>
          </w:tcPr>
          <w:p>
            <w:pPr>
              <w:pStyle w:val="TableText"/>
              <w:ind w:left="286"/>
              <w:spacing w:before="187" w:line="219" w:lineRule="auto"/>
              <w:rPr>
                <w:sz w:val="20"/>
                <w:szCs w:val="20"/>
              </w:rPr>
            </w:pPr>
            <w:r>
              <w:rPr>
                <w:sz w:val="20"/>
                <w:szCs w:val="20"/>
                <w:spacing w:val="2"/>
              </w:rPr>
              <w:t>间歇性</w:t>
            </w:r>
          </w:p>
        </w:tc>
        <w:tc>
          <w:tcPr>
            <w:tcW w:w="3273" w:type="dxa"/>
            <w:vAlign w:val="top"/>
          </w:tcPr>
          <w:p>
            <w:pPr>
              <w:pStyle w:val="TableText"/>
              <w:ind w:left="1027" w:right="223" w:hanging="750"/>
              <w:spacing w:before="53" w:line="224" w:lineRule="auto"/>
              <w:rPr>
                <w:sz w:val="20"/>
                <w:szCs w:val="20"/>
              </w:rPr>
            </w:pPr>
            <w:r>
              <w:rPr>
                <w:sz w:val="20"/>
                <w:szCs w:val="20"/>
                <w:spacing w:val="3"/>
              </w:rPr>
              <w:t>暂存于现有工程废弃物仓(X9),</w:t>
            </w:r>
            <w:r>
              <w:rPr>
                <w:sz w:val="20"/>
                <w:szCs w:val="20"/>
                <w:spacing w:val="12"/>
              </w:rPr>
              <w:t xml:space="preserve"> </w:t>
            </w:r>
            <w:r>
              <w:rPr>
                <w:sz w:val="20"/>
                <w:szCs w:val="20"/>
                <w:spacing w:val="4"/>
              </w:rPr>
              <w:t>外售综合利用</w:t>
            </w:r>
          </w:p>
        </w:tc>
      </w:tr>
      <w:tr>
        <w:trPr>
          <w:trHeight w:val="544" w:hRule="atLeast"/>
        </w:trPr>
        <w:tc>
          <w:tcPr>
            <w:tcW w:w="1134" w:type="dxa"/>
            <w:vAlign w:val="top"/>
            <w:vMerge w:val="continue"/>
            <w:tcBorders>
              <w:top w:val="nil"/>
            </w:tcBorders>
          </w:tcPr>
          <w:p>
            <w:pPr>
              <w:rPr>
                <w:rFonts w:ascii="Arial"/>
                <w:sz w:val="21"/>
              </w:rPr>
            </w:pPr>
            <w:r/>
          </w:p>
        </w:tc>
        <w:tc>
          <w:tcPr>
            <w:tcW w:w="2129" w:type="dxa"/>
            <w:vAlign w:val="top"/>
            <w:gridSpan w:val="2"/>
          </w:tcPr>
          <w:p>
            <w:pPr>
              <w:pStyle w:val="TableText"/>
              <w:ind w:left="951"/>
              <w:spacing w:before="229" w:line="183" w:lineRule="auto"/>
              <w:rPr>
                <w:sz w:val="20"/>
                <w:szCs w:val="20"/>
              </w:rPr>
            </w:pPr>
            <w:r>
              <w:rPr>
                <w:sz w:val="20"/>
                <w:szCs w:val="20"/>
                <w:spacing w:val="-3"/>
              </w:rPr>
              <w:t>S2</w:t>
            </w:r>
          </w:p>
        </w:tc>
        <w:tc>
          <w:tcPr>
            <w:tcW w:w="2259" w:type="dxa"/>
            <w:vAlign w:val="top"/>
          </w:tcPr>
          <w:p>
            <w:pPr>
              <w:pStyle w:val="TableText"/>
              <w:ind w:left="921" w:right="119" w:hanging="800"/>
              <w:spacing w:before="57" w:line="220" w:lineRule="auto"/>
              <w:rPr>
                <w:sz w:val="20"/>
                <w:szCs w:val="20"/>
              </w:rPr>
            </w:pPr>
            <w:r>
              <w:rPr>
                <w:sz w:val="20"/>
                <w:szCs w:val="20"/>
              </w:rPr>
              <w:t>凹版、极片生产的搅拌</w:t>
            </w:r>
            <w:r>
              <w:rPr>
                <w:sz w:val="20"/>
                <w:szCs w:val="20"/>
                <w:spacing w:val="6"/>
              </w:rPr>
              <w:t xml:space="preserve"> </w:t>
            </w:r>
            <w:r>
              <w:rPr>
                <w:sz w:val="20"/>
                <w:szCs w:val="20"/>
                <w:spacing w:val="-3"/>
              </w:rPr>
              <w:t>制浆</w:t>
            </w:r>
          </w:p>
        </w:tc>
        <w:tc>
          <w:tcPr>
            <w:tcW w:w="2338" w:type="dxa"/>
            <w:vAlign w:val="top"/>
          </w:tcPr>
          <w:p>
            <w:pPr>
              <w:pStyle w:val="TableText"/>
              <w:ind w:left="862"/>
              <w:spacing w:before="178" w:line="219" w:lineRule="auto"/>
              <w:rPr>
                <w:sz w:val="20"/>
                <w:szCs w:val="20"/>
              </w:rPr>
            </w:pPr>
            <w:r>
              <w:rPr>
                <w:sz w:val="20"/>
                <w:szCs w:val="20"/>
                <w:spacing w:val="-2"/>
              </w:rPr>
              <w:t>废浆料</w:t>
            </w:r>
          </w:p>
        </w:tc>
        <w:tc>
          <w:tcPr>
            <w:tcW w:w="2278" w:type="dxa"/>
            <w:vAlign w:val="top"/>
          </w:tcPr>
          <w:p>
            <w:pPr>
              <w:pStyle w:val="TableText"/>
              <w:ind w:left="534"/>
              <w:spacing w:before="178" w:line="220" w:lineRule="auto"/>
              <w:rPr>
                <w:sz w:val="20"/>
                <w:szCs w:val="20"/>
              </w:rPr>
            </w:pPr>
            <w:r>
              <w:rPr>
                <w:sz w:val="20"/>
                <w:szCs w:val="20"/>
                <w:spacing w:val="1"/>
              </w:rPr>
              <w:t>需鉴定危险性</w:t>
            </w:r>
          </w:p>
        </w:tc>
        <w:tc>
          <w:tcPr>
            <w:tcW w:w="1179" w:type="dxa"/>
            <w:vAlign w:val="top"/>
          </w:tcPr>
          <w:p>
            <w:pPr>
              <w:pStyle w:val="TableText"/>
              <w:ind w:left="286"/>
              <w:spacing w:before="178" w:line="219" w:lineRule="auto"/>
              <w:rPr>
                <w:sz w:val="20"/>
                <w:szCs w:val="20"/>
              </w:rPr>
            </w:pPr>
            <w:r>
              <w:rPr>
                <w:sz w:val="20"/>
                <w:szCs w:val="20"/>
                <w:spacing w:val="2"/>
              </w:rPr>
              <w:t>间歇性</w:t>
            </w:r>
          </w:p>
        </w:tc>
        <w:tc>
          <w:tcPr>
            <w:tcW w:w="3273" w:type="dxa"/>
            <w:vAlign w:val="top"/>
          </w:tcPr>
          <w:p>
            <w:pPr>
              <w:pStyle w:val="TableText"/>
              <w:ind w:left="227" w:right="225"/>
              <w:spacing w:before="48" w:line="224" w:lineRule="auto"/>
              <w:rPr>
                <w:sz w:val="20"/>
                <w:szCs w:val="20"/>
              </w:rPr>
            </w:pPr>
            <w:r>
              <w:rPr>
                <w:sz w:val="20"/>
                <w:szCs w:val="20"/>
                <w:spacing w:val="-1"/>
              </w:rPr>
              <w:t>专用容器收集，暂存于现有工程</w:t>
            </w:r>
            <w:r>
              <w:rPr>
                <w:sz w:val="20"/>
                <w:szCs w:val="20"/>
                <w:spacing w:val="4"/>
              </w:rPr>
              <w:t xml:space="preserve"> </w:t>
            </w:r>
            <w:r>
              <w:rPr>
                <w:sz w:val="20"/>
                <w:szCs w:val="20"/>
              </w:rPr>
              <w:t>固废仓，根据鉴定结果委托相关</w:t>
            </w:r>
          </w:p>
        </w:tc>
      </w:tr>
    </w:tbl>
    <w:p>
      <w:pPr>
        <w:rPr>
          <w:rFonts w:ascii="Arial"/>
          <w:sz w:val="21"/>
        </w:rPr>
      </w:pPr>
      <w:r/>
    </w:p>
    <w:p>
      <w:pPr>
        <w:sectPr>
          <w:footerReference w:type="default" r:id="rId20"/>
          <w:pgSz w:w="16840" w:h="11900"/>
          <w:pgMar w:top="968" w:right="1104" w:bottom="978" w:left="1135" w:header="0" w:footer="839" w:gutter="0"/>
        </w:sectPr>
        <w:rPr>
          <w:rFonts w:ascii="Arial" w:hAnsi="Arial" w:eastAsia="Arial" w:cs="Arial"/>
          <w:sz w:val="21"/>
          <w:szCs w:val="21"/>
        </w:rPr>
      </w:pPr>
    </w:p>
    <w:tbl>
      <w:tblPr>
        <w:tblStyle w:val="TableNormal"/>
        <w:tblW w:w="1456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34"/>
        <w:gridCol w:w="2129"/>
        <w:gridCol w:w="2248"/>
        <w:gridCol w:w="2338"/>
        <w:gridCol w:w="2308"/>
        <w:gridCol w:w="1169"/>
        <w:gridCol w:w="3243"/>
      </w:tblGrid>
      <w:tr>
        <w:trPr>
          <w:trHeight w:val="285" w:hRule="atLeast"/>
        </w:trPr>
        <w:tc>
          <w:tcPr>
            <w:tcW w:w="1134" w:type="dxa"/>
            <w:vAlign w:val="top"/>
          </w:tcPr>
          <w:p>
            <w:pPr>
              <w:pStyle w:val="TableText"/>
              <w:ind w:left="135"/>
              <w:spacing w:before="42" w:line="204" w:lineRule="auto"/>
              <w:rPr>
                <w:sz w:val="21"/>
                <w:szCs w:val="21"/>
              </w:rPr>
            </w:pPr>
            <w:r>
              <w:rPr>
                <w:sz w:val="21"/>
                <w:szCs w:val="21"/>
                <w:spacing w:val="4"/>
              </w:rPr>
              <w:t>污染类别</w:t>
            </w:r>
          </w:p>
        </w:tc>
        <w:tc>
          <w:tcPr>
            <w:tcW w:w="2129" w:type="dxa"/>
            <w:vAlign w:val="top"/>
          </w:tcPr>
          <w:p>
            <w:pPr>
              <w:pStyle w:val="TableText"/>
              <w:ind w:left="841"/>
              <w:spacing w:before="42" w:line="204" w:lineRule="auto"/>
              <w:rPr>
                <w:sz w:val="21"/>
                <w:szCs w:val="21"/>
              </w:rPr>
            </w:pPr>
            <w:r>
              <w:rPr>
                <w:sz w:val="21"/>
                <w:szCs w:val="21"/>
                <w:spacing w:val="6"/>
              </w:rPr>
              <w:t>编号</w:t>
            </w:r>
          </w:p>
        </w:tc>
        <w:tc>
          <w:tcPr>
            <w:tcW w:w="2248" w:type="dxa"/>
            <w:vAlign w:val="top"/>
          </w:tcPr>
          <w:p>
            <w:pPr>
              <w:pStyle w:val="TableText"/>
              <w:ind w:left="692"/>
              <w:spacing w:before="42" w:line="204" w:lineRule="auto"/>
              <w:rPr>
                <w:sz w:val="21"/>
                <w:szCs w:val="21"/>
              </w:rPr>
            </w:pPr>
            <w:r>
              <w:rPr>
                <w:sz w:val="21"/>
                <w:szCs w:val="21"/>
                <w:spacing w:val="-2"/>
              </w:rPr>
              <w:t>产污环节</w:t>
            </w:r>
          </w:p>
        </w:tc>
        <w:tc>
          <w:tcPr>
            <w:tcW w:w="2338" w:type="dxa"/>
            <w:vAlign w:val="top"/>
          </w:tcPr>
          <w:p>
            <w:pPr>
              <w:pStyle w:val="TableText"/>
              <w:ind w:left="633"/>
              <w:spacing w:before="44" w:line="203" w:lineRule="auto"/>
              <w:rPr>
                <w:sz w:val="21"/>
                <w:szCs w:val="21"/>
              </w:rPr>
            </w:pPr>
            <w:r>
              <w:rPr>
                <w:sz w:val="21"/>
                <w:szCs w:val="21"/>
                <w:spacing w:val="2"/>
              </w:rPr>
              <w:t>主要污染物</w:t>
            </w:r>
          </w:p>
        </w:tc>
        <w:tc>
          <w:tcPr>
            <w:tcW w:w="2308" w:type="dxa"/>
            <w:vAlign w:val="top"/>
          </w:tcPr>
          <w:p>
            <w:pPr>
              <w:pStyle w:val="TableText"/>
              <w:ind w:left="725"/>
              <w:spacing w:before="41" w:line="205" w:lineRule="auto"/>
              <w:rPr>
                <w:sz w:val="21"/>
                <w:szCs w:val="21"/>
              </w:rPr>
            </w:pPr>
            <w:r>
              <w:rPr>
                <w:sz w:val="21"/>
                <w:szCs w:val="21"/>
                <w:spacing w:val="-2"/>
              </w:rPr>
              <w:t>评价因子</w:t>
            </w:r>
          </w:p>
        </w:tc>
        <w:tc>
          <w:tcPr>
            <w:tcW w:w="1169" w:type="dxa"/>
            <w:vAlign w:val="top"/>
          </w:tcPr>
          <w:p>
            <w:pPr>
              <w:pStyle w:val="TableText"/>
              <w:ind w:left="158"/>
              <w:spacing w:before="42" w:line="204" w:lineRule="auto"/>
              <w:rPr>
                <w:sz w:val="21"/>
                <w:szCs w:val="21"/>
              </w:rPr>
            </w:pPr>
            <w:r>
              <w:rPr>
                <w:sz w:val="21"/>
                <w:szCs w:val="21"/>
                <w:spacing w:val="-2"/>
              </w:rPr>
              <w:t>排放规律</w:t>
            </w:r>
          </w:p>
        </w:tc>
        <w:tc>
          <w:tcPr>
            <w:tcW w:w="3243" w:type="dxa"/>
            <w:vAlign w:val="top"/>
          </w:tcPr>
          <w:p>
            <w:pPr>
              <w:pStyle w:val="TableText"/>
              <w:ind w:left="669"/>
              <w:spacing w:before="44" w:line="203" w:lineRule="auto"/>
              <w:rPr>
                <w:sz w:val="21"/>
                <w:szCs w:val="21"/>
              </w:rPr>
            </w:pPr>
            <w:r>
              <w:rPr>
                <w:sz w:val="21"/>
                <w:szCs w:val="21"/>
                <w:spacing w:val="2"/>
              </w:rPr>
              <w:t>治理措施及排放去向</w:t>
            </w:r>
          </w:p>
        </w:tc>
      </w:tr>
      <w:tr>
        <w:trPr>
          <w:trHeight w:val="280" w:hRule="atLeast"/>
        </w:trPr>
        <w:tc>
          <w:tcPr>
            <w:tcW w:w="1134" w:type="dxa"/>
            <w:vAlign w:val="top"/>
            <w:vMerge w:val="restart"/>
            <w:tcBorders>
              <w:bottom w:val="nil"/>
            </w:tcBorders>
          </w:tcPr>
          <w:p>
            <w:pPr>
              <w:rPr>
                <w:rFonts w:ascii="Arial"/>
                <w:sz w:val="21"/>
              </w:rPr>
            </w:pPr>
            <w:r/>
          </w:p>
        </w:tc>
        <w:tc>
          <w:tcPr>
            <w:tcW w:w="2129" w:type="dxa"/>
            <w:vAlign w:val="top"/>
          </w:tcPr>
          <w:p>
            <w:pPr>
              <w:rPr>
                <w:rFonts w:ascii="Arial"/>
                <w:sz w:val="21"/>
              </w:rPr>
            </w:pPr>
            <w:r/>
          </w:p>
        </w:tc>
        <w:tc>
          <w:tcPr>
            <w:tcW w:w="2248" w:type="dxa"/>
            <w:vAlign w:val="top"/>
          </w:tcPr>
          <w:p>
            <w:pPr>
              <w:rPr>
                <w:rFonts w:ascii="Arial"/>
                <w:sz w:val="21"/>
              </w:rPr>
            </w:pPr>
            <w:r/>
          </w:p>
        </w:tc>
        <w:tc>
          <w:tcPr>
            <w:tcW w:w="2338" w:type="dxa"/>
            <w:vAlign w:val="top"/>
          </w:tcPr>
          <w:p>
            <w:pPr>
              <w:rPr>
                <w:rFonts w:ascii="Arial"/>
                <w:sz w:val="21"/>
              </w:rPr>
            </w:pPr>
            <w:r/>
          </w:p>
        </w:tc>
        <w:tc>
          <w:tcPr>
            <w:tcW w:w="2308" w:type="dxa"/>
            <w:vAlign w:val="top"/>
          </w:tcPr>
          <w:p>
            <w:pPr>
              <w:rPr>
                <w:rFonts w:ascii="Arial"/>
                <w:sz w:val="21"/>
              </w:rPr>
            </w:pPr>
            <w:r/>
          </w:p>
        </w:tc>
        <w:tc>
          <w:tcPr>
            <w:tcW w:w="1169" w:type="dxa"/>
            <w:vAlign w:val="top"/>
          </w:tcPr>
          <w:p>
            <w:pPr>
              <w:rPr>
                <w:rFonts w:ascii="Arial"/>
                <w:sz w:val="21"/>
              </w:rPr>
            </w:pPr>
            <w:r/>
          </w:p>
        </w:tc>
        <w:tc>
          <w:tcPr>
            <w:tcW w:w="3243" w:type="dxa"/>
            <w:vAlign w:val="top"/>
          </w:tcPr>
          <w:p>
            <w:pPr>
              <w:pStyle w:val="TableText"/>
              <w:ind w:left="988"/>
              <w:spacing w:before="39" w:line="203" w:lineRule="auto"/>
              <w:rPr>
                <w:sz w:val="21"/>
                <w:szCs w:val="21"/>
              </w:rPr>
            </w:pPr>
            <w:r>
              <w:rPr>
                <w:sz w:val="21"/>
                <w:szCs w:val="21"/>
                <w:spacing w:val="-2"/>
              </w:rPr>
              <w:t>单位进行处理</w:t>
            </w:r>
          </w:p>
        </w:tc>
      </w:tr>
      <w:tr>
        <w:trPr>
          <w:trHeight w:val="280" w:hRule="atLeast"/>
        </w:trPr>
        <w:tc>
          <w:tcPr>
            <w:tcW w:w="1134" w:type="dxa"/>
            <w:vAlign w:val="top"/>
            <w:vMerge w:val="continue"/>
            <w:tcBorders>
              <w:top w:val="nil"/>
              <w:bottom w:val="nil"/>
            </w:tcBorders>
          </w:tcPr>
          <w:p>
            <w:pPr>
              <w:rPr>
                <w:rFonts w:ascii="Arial"/>
                <w:sz w:val="21"/>
              </w:rPr>
            </w:pPr>
            <w:r/>
          </w:p>
        </w:tc>
        <w:tc>
          <w:tcPr>
            <w:tcW w:w="2129" w:type="dxa"/>
            <w:vAlign w:val="top"/>
          </w:tcPr>
          <w:p>
            <w:pPr>
              <w:pStyle w:val="TableText"/>
              <w:ind w:left="951"/>
              <w:spacing w:before="92" w:line="177" w:lineRule="exact"/>
              <w:rPr>
                <w:sz w:val="21"/>
                <w:szCs w:val="21"/>
              </w:rPr>
            </w:pPr>
            <w:r>
              <w:rPr>
                <w:sz w:val="21"/>
                <w:szCs w:val="21"/>
                <w:spacing w:val="-3"/>
                <w:position w:val="-2"/>
              </w:rPr>
              <w:t>S3</w:t>
            </w:r>
          </w:p>
        </w:tc>
        <w:tc>
          <w:tcPr>
            <w:tcW w:w="2248" w:type="dxa"/>
            <w:vAlign w:val="top"/>
          </w:tcPr>
          <w:p>
            <w:pPr>
              <w:pStyle w:val="TableText"/>
              <w:ind w:left="692"/>
              <w:spacing w:before="37" w:line="204" w:lineRule="auto"/>
              <w:rPr>
                <w:sz w:val="21"/>
                <w:szCs w:val="21"/>
              </w:rPr>
            </w:pPr>
            <w:r>
              <w:rPr>
                <w:sz w:val="21"/>
                <w:szCs w:val="21"/>
                <w:spacing w:val="3"/>
              </w:rPr>
              <w:t>极片生产</w:t>
            </w:r>
          </w:p>
        </w:tc>
        <w:tc>
          <w:tcPr>
            <w:tcW w:w="2338" w:type="dxa"/>
            <w:vAlign w:val="top"/>
          </w:tcPr>
          <w:p>
            <w:pPr>
              <w:pStyle w:val="TableText"/>
              <w:ind w:left="843"/>
              <w:spacing w:before="39" w:line="203" w:lineRule="auto"/>
              <w:rPr>
                <w:sz w:val="21"/>
                <w:szCs w:val="21"/>
              </w:rPr>
            </w:pPr>
            <w:r>
              <w:rPr>
                <w:sz w:val="21"/>
                <w:szCs w:val="21"/>
                <w:spacing w:val="5"/>
              </w:rPr>
              <w:t>废极片</w:t>
            </w:r>
          </w:p>
        </w:tc>
        <w:tc>
          <w:tcPr>
            <w:tcW w:w="2308" w:type="dxa"/>
            <w:vAlign w:val="top"/>
            <w:vMerge w:val="restart"/>
            <w:tcBorders>
              <w:bottom w:val="nil"/>
            </w:tcBorders>
          </w:tcPr>
          <w:p>
            <w:pPr>
              <w:pStyle w:val="TableText"/>
              <w:ind w:left="725"/>
              <w:spacing w:before="299" w:line="220" w:lineRule="auto"/>
              <w:rPr>
                <w:sz w:val="21"/>
                <w:szCs w:val="21"/>
              </w:rPr>
            </w:pPr>
            <w:r>
              <w:rPr>
                <w:sz w:val="21"/>
                <w:szCs w:val="21"/>
                <w:spacing w:val="2"/>
              </w:rPr>
              <w:t>一般固废</w:t>
            </w:r>
          </w:p>
        </w:tc>
        <w:tc>
          <w:tcPr>
            <w:tcW w:w="1169" w:type="dxa"/>
            <w:vAlign w:val="top"/>
          </w:tcPr>
          <w:p>
            <w:pPr>
              <w:pStyle w:val="TableText"/>
              <w:ind w:left="268"/>
              <w:spacing w:before="37" w:line="204" w:lineRule="auto"/>
              <w:rPr>
                <w:sz w:val="21"/>
                <w:szCs w:val="21"/>
              </w:rPr>
            </w:pPr>
            <w:r>
              <w:rPr>
                <w:sz w:val="21"/>
                <w:szCs w:val="21"/>
                <w:spacing w:val="2"/>
              </w:rPr>
              <w:t>间歇性</w:t>
            </w:r>
          </w:p>
        </w:tc>
        <w:tc>
          <w:tcPr>
            <w:tcW w:w="3243" w:type="dxa"/>
            <w:vAlign w:val="top"/>
            <w:vMerge w:val="restart"/>
            <w:tcBorders>
              <w:bottom w:val="nil"/>
            </w:tcBorders>
          </w:tcPr>
          <w:p>
            <w:pPr>
              <w:pStyle w:val="TableText"/>
              <w:ind w:left="148"/>
              <w:spacing w:before="38" w:line="219" w:lineRule="auto"/>
              <w:rPr>
                <w:sz w:val="21"/>
                <w:szCs w:val="21"/>
              </w:rPr>
            </w:pPr>
            <w:r>
              <w:rPr>
                <w:sz w:val="21"/>
                <w:szCs w:val="21"/>
                <w:spacing w:val="-1"/>
              </w:rPr>
              <w:t>专用容器收集，暂存于现有工程</w:t>
            </w:r>
          </w:p>
          <w:p>
            <w:pPr>
              <w:pStyle w:val="TableText"/>
              <w:ind w:left="299"/>
              <w:spacing w:before="27" w:line="216" w:lineRule="auto"/>
              <w:rPr>
                <w:sz w:val="21"/>
                <w:szCs w:val="21"/>
              </w:rPr>
            </w:pPr>
            <w:r>
              <w:rPr>
                <w:sz w:val="21"/>
                <w:szCs w:val="21"/>
              </w:rPr>
              <w:t>废弃物仓(X9),委托相关单位</w:t>
            </w:r>
          </w:p>
          <w:p>
            <w:pPr>
              <w:pStyle w:val="TableText"/>
              <w:ind w:left="1198"/>
              <w:spacing w:before="7" w:line="202" w:lineRule="auto"/>
              <w:rPr>
                <w:sz w:val="21"/>
                <w:szCs w:val="21"/>
              </w:rPr>
            </w:pPr>
            <w:r>
              <w:rPr>
                <w:sz w:val="21"/>
                <w:szCs w:val="21"/>
                <w:spacing w:val="-2"/>
              </w:rPr>
              <w:t>进行处理</w:t>
            </w:r>
          </w:p>
        </w:tc>
      </w:tr>
      <w:tr>
        <w:trPr>
          <w:trHeight w:val="519" w:hRule="atLeast"/>
        </w:trPr>
        <w:tc>
          <w:tcPr>
            <w:tcW w:w="1134" w:type="dxa"/>
            <w:vAlign w:val="top"/>
            <w:vMerge w:val="continue"/>
            <w:tcBorders>
              <w:top w:val="nil"/>
              <w:bottom w:val="nil"/>
            </w:tcBorders>
          </w:tcPr>
          <w:p>
            <w:pPr>
              <w:rPr>
                <w:rFonts w:ascii="Arial"/>
                <w:sz w:val="21"/>
              </w:rPr>
            </w:pPr>
            <w:r/>
          </w:p>
        </w:tc>
        <w:tc>
          <w:tcPr>
            <w:tcW w:w="2129" w:type="dxa"/>
            <w:vAlign w:val="top"/>
          </w:tcPr>
          <w:p>
            <w:pPr>
              <w:pStyle w:val="TableText"/>
              <w:ind w:left="951"/>
              <w:spacing w:before="212" w:line="183" w:lineRule="auto"/>
              <w:rPr>
                <w:sz w:val="21"/>
                <w:szCs w:val="21"/>
              </w:rPr>
            </w:pPr>
            <w:r>
              <w:rPr>
                <w:sz w:val="21"/>
                <w:szCs w:val="21"/>
                <w:spacing w:val="-3"/>
              </w:rPr>
              <w:t>S4</w:t>
            </w:r>
          </w:p>
        </w:tc>
        <w:tc>
          <w:tcPr>
            <w:tcW w:w="2248" w:type="dxa"/>
            <w:vAlign w:val="top"/>
          </w:tcPr>
          <w:p>
            <w:pPr>
              <w:pStyle w:val="TableText"/>
              <w:ind w:left="272"/>
              <w:spacing w:before="158" w:line="219" w:lineRule="auto"/>
              <w:rPr>
                <w:sz w:val="21"/>
                <w:szCs w:val="21"/>
              </w:rPr>
            </w:pPr>
            <w:r>
              <w:rPr>
                <w:sz w:val="21"/>
                <w:szCs w:val="21"/>
                <w:spacing w:val="1"/>
              </w:rPr>
              <w:t>固定式单体除尘器</w:t>
            </w:r>
          </w:p>
        </w:tc>
        <w:tc>
          <w:tcPr>
            <w:tcW w:w="2338" w:type="dxa"/>
            <w:vAlign w:val="top"/>
          </w:tcPr>
          <w:p>
            <w:pPr>
              <w:pStyle w:val="TableText"/>
              <w:ind w:left="843"/>
              <w:spacing w:before="158" w:line="219" w:lineRule="auto"/>
              <w:rPr>
                <w:sz w:val="21"/>
                <w:szCs w:val="21"/>
              </w:rPr>
            </w:pPr>
            <w:r>
              <w:rPr>
                <w:sz w:val="21"/>
                <w:szCs w:val="21"/>
                <w:spacing w:val="-2"/>
              </w:rPr>
              <w:t>废粉料</w:t>
            </w:r>
          </w:p>
        </w:tc>
        <w:tc>
          <w:tcPr>
            <w:tcW w:w="2308" w:type="dxa"/>
            <w:vAlign w:val="top"/>
            <w:vMerge w:val="continue"/>
            <w:tcBorders>
              <w:top w:val="nil"/>
            </w:tcBorders>
          </w:tcPr>
          <w:p>
            <w:pPr>
              <w:rPr>
                <w:rFonts w:ascii="Arial"/>
                <w:sz w:val="21"/>
              </w:rPr>
            </w:pPr>
            <w:r/>
          </w:p>
        </w:tc>
        <w:tc>
          <w:tcPr>
            <w:tcW w:w="1169" w:type="dxa"/>
            <w:vAlign w:val="top"/>
          </w:tcPr>
          <w:p>
            <w:pPr>
              <w:pStyle w:val="TableText"/>
              <w:ind w:left="268"/>
              <w:spacing w:before="158" w:line="219" w:lineRule="auto"/>
              <w:rPr>
                <w:sz w:val="21"/>
                <w:szCs w:val="21"/>
              </w:rPr>
            </w:pPr>
            <w:r>
              <w:rPr>
                <w:sz w:val="21"/>
                <w:szCs w:val="21"/>
                <w:spacing w:val="2"/>
              </w:rPr>
              <w:t>间歇性</w:t>
            </w:r>
          </w:p>
        </w:tc>
        <w:tc>
          <w:tcPr>
            <w:tcW w:w="3243" w:type="dxa"/>
            <w:vAlign w:val="top"/>
            <w:vMerge w:val="continue"/>
            <w:tcBorders>
              <w:top w:val="nil"/>
            </w:tcBorders>
          </w:tcPr>
          <w:p>
            <w:pPr>
              <w:rPr>
                <w:rFonts w:ascii="Arial"/>
                <w:sz w:val="21"/>
              </w:rPr>
            </w:pPr>
            <w:r/>
          </w:p>
        </w:tc>
      </w:tr>
      <w:tr>
        <w:trPr>
          <w:trHeight w:val="839" w:hRule="atLeast"/>
        </w:trPr>
        <w:tc>
          <w:tcPr>
            <w:tcW w:w="1134" w:type="dxa"/>
            <w:vAlign w:val="top"/>
            <w:vMerge w:val="continue"/>
            <w:tcBorders>
              <w:top w:val="nil"/>
              <w:bottom w:val="nil"/>
            </w:tcBorders>
          </w:tcPr>
          <w:p>
            <w:pPr>
              <w:rPr>
                <w:rFonts w:ascii="Arial"/>
                <w:sz w:val="21"/>
              </w:rPr>
            </w:pPr>
            <w:r/>
          </w:p>
        </w:tc>
        <w:tc>
          <w:tcPr>
            <w:tcW w:w="2129" w:type="dxa"/>
            <w:vAlign w:val="top"/>
          </w:tcPr>
          <w:p>
            <w:pPr>
              <w:spacing w:line="302" w:lineRule="auto"/>
              <w:rPr>
                <w:rFonts w:ascii="Arial"/>
                <w:sz w:val="21"/>
              </w:rPr>
            </w:pPr>
            <w:r/>
          </w:p>
          <w:p>
            <w:pPr>
              <w:pStyle w:val="TableText"/>
              <w:ind w:left="841"/>
              <w:spacing w:before="68" w:line="184" w:lineRule="auto"/>
              <w:rPr>
                <w:sz w:val="21"/>
                <w:szCs w:val="21"/>
              </w:rPr>
            </w:pPr>
            <w:r>
              <w:rPr>
                <w:sz w:val="21"/>
                <w:szCs w:val="21"/>
                <w:spacing w:val="-3"/>
              </w:rPr>
              <w:t>S5-1</w:t>
            </w:r>
          </w:p>
        </w:tc>
        <w:tc>
          <w:tcPr>
            <w:tcW w:w="2248" w:type="dxa"/>
            <w:vAlign w:val="top"/>
          </w:tcPr>
          <w:p>
            <w:pPr>
              <w:spacing w:line="250" w:lineRule="auto"/>
              <w:rPr>
                <w:rFonts w:ascii="Arial"/>
                <w:sz w:val="21"/>
              </w:rPr>
            </w:pPr>
            <w:r/>
          </w:p>
          <w:p>
            <w:pPr>
              <w:pStyle w:val="TableText"/>
              <w:ind w:left="692"/>
              <w:spacing w:before="68" w:line="219" w:lineRule="auto"/>
              <w:rPr>
                <w:sz w:val="21"/>
                <w:szCs w:val="21"/>
              </w:rPr>
            </w:pPr>
            <w:r>
              <w:rPr>
                <w:sz w:val="21"/>
                <w:szCs w:val="21"/>
                <w:spacing w:val="-2"/>
              </w:rPr>
              <w:t>污水处理</w:t>
            </w:r>
          </w:p>
        </w:tc>
        <w:tc>
          <w:tcPr>
            <w:tcW w:w="2338" w:type="dxa"/>
            <w:vAlign w:val="top"/>
          </w:tcPr>
          <w:p>
            <w:pPr>
              <w:spacing w:line="250" w:lineRule="auto"/>
              <w:rPr>
                <w:rFonts w:ascii="Arial"/>
                <w:sz w:val="21"/>
              </w:rPr>
            </w:pPr>
            <w:r/>
          </w:p>
          <w:p>
            <w:pPr>
              <w:pStyle w:val="TableText"/>
              <w:ind w:left="423"/>
              <w:spacing w:before="68" w:line="220" w:lineRule="auto"/>
              <w:rPr>
                <w:sz w:val="21"/>
                <w:szCs w:val="21"/>
              </w:rPr>
            </w:pPr>
            <w:r>
              <w:rPr>
                <w:sz w:val="21"/>
                <w:szCs w:val="21"/>
                <w:spacing w:val="1"/>
              </w:rPr>
              <w:t>阳极污泥、沉渣</w:t>
            </w:r>
          </w:p>
        </w:tc>
        <w:tc>
          <w:tcPr>
            <w:tcW w:w="2308" w:type="dxa"/>
            <w:vAlign w:val="top"/>
          </w:tcPr>
          <w:p>
            <w:pPr>
              <w:spacing w:line="250" w:lineRule="auto"/>
              <w:rPr>
                <w:rFonts w:ascii="Arial"/>
                <w:sz w:val="21"/>
              </w:rPr>
            </w:pPr>
            <w:r/>
          </w:p>
          <w:p>
            <w:pPr>
              <w:pStyle w:val="TableText"/>
              <w:ind w:left="515"/>
              <w:spacing w:before="68" w:line="220" w:lineRule="auto"/>
              <w:rPr>
                <w:sz w:val="21"/>
                <w:szCs w:val="21"/>
              </w:rPr>
            </w:pPr>
            <w:r>
              <w:rPr>
                <w:sz w:val="21"/>
                <w:szCs w:val="21"/>
                <w:spacing w:val="1"/>
              </w:rPr>
              <w:t>需鉴定危险性</w:t>
            </w:r>
          </w:p>
        </w:tc>
        <w:tc>
          <w:tcPr>
            <w:tcW w:w="1169" w:type="dxa"/>
            <w:vAlign w:val="top"/>
          </w:tcPr>
          <w:p>
            <w:pPr>
              <w:spacing w:line="250" w:lineRule="auto"/>
              <w:rPr>
                <w:rFonts w:ascii="Arial"/>
                <w:sz w:val="21"/>
              </w:rPr>
            </w:pPr>
            <w:r/>
          </w:p>
          <w:p>
            <w:pPr>
              <w:pStyle w:val="TableText"/>
              <w:ind w:left="268"/>
              <w:spacing w:before="68" w:line="219" w:lineRule="auto"/>
              <w:rPr>
                <w:sz w:val="21"/>
                <w:szCs w:val="21"/>
              </w:rPr>
            </w:pPr>
            <w:r>
              <w:rPr>
                <w:sz w:val="21"/>
                <w:szCs w:val="21"/>
                <w:spacing w:val="2"/>
              </w:rPr>
              <w:t>间歇性</w:t>
            </w:r>
          </w:p>
        </w:tc>
        <w:tc>
          <w:tcPr>
            <w:tcW w:w="3243" w:type="dxa"/>
            <w:vAlign w:val="top"/>
          </w:tcPr>
          <w:p>
            <w:pPr>
              <w:pStyle w:val="TableText"/>
              <w:ind w:left="148"/>
              <w:spacing w:before="49" w:line="219" w:lineRule="auto"/>
              <w:rPr>
                <w:sz w:val="21"/>
                <w:szCs w:val="21"/>
              </w:rPr>
            </w:pPr>
            <w:r>
              <w:rPr>
                <w:sz w:val="21"/>
                <w:szCs w:val="21"/>
                <w:spacing w:val="-1"/>
              </w:rPr>
              <w:t>专用容器收集，暂存于现有工程</w:t>
            </w:r>
          </w:p>
          <w:p>
            <w:pPr>
              <w:pStyle w:val="TableText"/>
              <w:ind w:left="148"/>
              <w:spacing w:before="30" w:line="219" w:lineRule="auto"/>
              <w:rPr>
                <w:sz w:val="21"/>
                <w:szCs w:val="21"/>
              </w:rPr>
            </w:pPr>
            <w:r>
              <w:rPr>
                <w:sz w:val="21"/>
                <w:szCs w:val="21"/>
              </w:rPr>
              <w:t>固废仓，根据鉴定结果委托相关</w:t>
            </w:r>
          </w:p>
          <w:p>
            <w:pPr>
              <w:pStyle w:val="TableText"/>
              <w:ind w:left="988"/>
              <w:spacing w:before="31" w:line="192" w:lineRule="auto"/>
              <w:rPr>
                <w:sz w:val="21"/>
                <w:szCs w:val="21"/>
              </w:rPr>
            </w:pPr>
            <w:r>
              <w:rPr>
                <w:sz w:val="21"/>
                <w:szCs w:val="21"/>
                <w:spacing w:val="-2"/>
              </w:rPr>
              <w:t>单位外运处理</w:t>
            </w:r>
          </w:p>
        </w:tc>
      </w:tr>
      <w:tr>
        <w:trPr>
          <w:trHeight w:val="280" w:hRule="atLeast"/>
        </w:trPr>
        <w:tc>
          <w:tcPr>
            <w:tcW w:w="1134" w:type="dxa"/>
            <w:vAlign w:val="top"/>
            <w:vMerge w:val="continue"/>
            <w:tcBorders>
              <w:top w:val="nil"/>
              <w:bottom w:val="nil"/>
            </w:tcBorders>
          </w:tcPr>
          <w:p>
            <w:pPr>
              <w:rPr>
                <w:rFonts w:ascii="Arial"/>
                <w:sz w:val="21"/>
              </w:rPr>
            </w:pPr>
            <w:r/>
          </w:p>
        </w:tc>
        <w:tc>
          <w:tcPr>
            <w:tcW w:w="2129" w:type="dxa"/>
            <w:vAlign w:val="top"/>
          </w:tcPr>
          <w:p>
            <w:pPr>
              <w:pStyle w:val="TableText"/>
              <w:ind w:left="841"/>
              <w:spacing w:before="94" w:line="176" w:lineRule="exact"/>
              <w:rPr>
                <w:sz w:val="21"/>
                <w:szCs w:val="21"/>
              </w:rPr>
            </w:pPr>
            <w:r>
              <w:rPr>
                <w:sz w:val="21"/>
                <w:szCs w:val="21"/>
                <w:spacing w:val="-3"/>
                <w:position w:val="-2"/>
              </w:rPr>
              <w:t>S5-2</w:t>
            </w:r>
          </w:p>
        </w:tc>
        <w:tc>
          <w:tcPr>
            <w:tcW w:w="2248" w:type="dxa"/>
            <w:vAlign w:val="top"/>
          </w:tcPr>
          <w:p>
            <w:pPr>
              <w:pStyle w:val="TableText"/>
              <w:ind w:left="692"/>
              <w:spacing w:before="40" w:line="202" w:lineRule="auto"/>
              <w:rPr>
                <w:sz w:val="21"/>
                <w:szCs w:val="21"/>
              </w:rPr>
            </w:pPr>
            <w:r>
              <w:rPr>
                <w:sz w:val="21"/>
                <w:szCs w:val="21"/>
                <w:spacing w:val="-2"/>
              </w:rPr>
              <w:t>污水处理</w:t>
            </w:r>
          </w:p>
        </w:tc>
        <w:tc>
          <w:tcPr>
            <w:tcW w:w="2338" w:type="dxa"/>
            <w:vAlign w:val="top"/>
          </w:tcPr>
          <w:p>
            <w:pPr>
              <w:pStyle w:val="TableText"/>
              <w:ind w:left="423"/>
              <w:spacing w:before="41" w:line="201" w:lineRule="auto"/>
              <w:rPr>
                <w:sz w:val="21"/>
                <w:szCs w:val="21"/>
              </w:rPr>
            </w:pPr>
            <w:r>
              <w:rPr>
                <w:sz w:val="21"/>
                <w:szCs w:val="21"/>
                <w:spacing w:val="1"/>
              </w:rPr>
              <w:t>阴极污泥、沉渣</w:t>
            </w:r>
          </w:p>
        </w:tc>
        <w:tc>
          <w:tcPr>
            <w:tcW w:w="2308" w:type="dxa"/>
            <w:vAlign w:val="top"/>
            <w:vMerge w:val="restart"/>
            <w:tcBorders>
              <w:bottom w:val="nil"/>
            </w:tcBorders>
          </w:tcPr>
          <w:p>
            <w:pPr>
              <w:pStyle w:val="TableText"/>
              <w:ind w:left="725"/>
              <w:spacing w:before="301" w:line="220" w:lineRule="auto"/>
              <w:rPr>
                <w:sz w:val="21"/>
                <w:szCs w:val="21"/>
              </w:rPr>
            </w:pPr>
            <w:r>
              <w:rPr>
                <w:sz w:val="21"/>
                <w:szCs w:val="21"/>
                <w:spacing w:val="2"/>
              </w:rPr>
              <w:t>一般固废</w:t>
            </w:r>
          </w:p>
        </w:tc>
        <w:tc>
          <w:tcPr>
            <w:tcW w:w="1169" w:type="dxa"/>
            <w:vAlign w:val="top"/>
          </w:tcPr>
          <w:p>
            <w:pPr>
              <w:pStyle w:val="TableText"/>
              <w:ind w:left="268"/>
              <w:spacing w:before="40" w:line="202" w:lineRule="auto"/>
              <w:rPr>
                <w:sz w:val="21"/>
                <w:szCs w:val="21"/>
              </w:rPr>
            </w:pPr>
            <w:r>
              <w:rPr>
                <w:sz w:val="21"/>
                <w:szCs w:val="21"/>
                <w:spacing w:val="2"/>
              </w:rPr>
              <w:t>间歇性</w:t>
            </w:r>
          </w:p>
        </w:tc>
        <w:tc>
          <w:tcPr>
            <w:tcW w:w="3243" w:type="dxa"/>
            <w:vAlign w:val="top"/>
            <w:vMerge w:val="restart"/>
            <w:tcBorders>
              <w:bottom w:val="nil"/>
            </w:tcBorders>
          </w:tcPr>
          <w:p>
            <w:pPr>
              <w:pStyle w:val="TableText"/>
              <w:ind w:left="148"/>
              <w:spacing w:before="40" w:line="219" w:lineRule="auto"/>
              <w:rPr>
                <w:sz w:val="21"/>
                <w:szCs w:val="21"/>
              </w:rPr>
            </w:pPr>
            <w:r>
              <w:rPr>
                <w:sz w:val="21"/>
                <w:szCs w:val="21"/>
                <w:spacing w:val="-1"/>
              </w:rPr>
              <w:t>专用容器收集，暂存于现有工程</w:t>
            </w:r>
          </w:p>
          <w:p>
            <w:pPr>
              <w:pStyle w:val="TableText"/>
              <w:ind w:left="299"/>
              <w:spacing w:before="27" w:line="216" w:lineRule="auto"/>
              <w:rPr>
                <w:sz w:val="21"/>
                <w:szCs w:val="21"/>
              </w:rPr>
            </w:pPr>
            <w:r>
              <w:rPr>
                <w:sz w:val="21"/>
                <w:szCs w:val="21"/>
              </w:rPr>
              <w:t>废弃物仓(X9),委托相关单位</w:t>
            </w:r>
          </w:p>
          <w:p>
            <w:pPr>
              <w:pStyle w:val="TableText"/>
              <w:ind w:left="1198"/>
              <w:spacing w:before="18" w:line="191" w:lineRule="auto"/>
              <w:rPr>
                <w:sz w:val="21"/>
                <w:szCs w:val="21"/>
              </w:rPr>
            </w:pPr>
            <w:r>
              <w:rPr>
                <w:sz w:val="21"/>
                <w:szCs w:val="21"/>
                <w:spacing w:val="-3"/>
              </w:rPr>
              <w:t>外运处理</w:t>
            </w:r>
          </w:p>
        </w:tc>
      </w:tr>
      <w:tr>
        <w:trPr>
          <w:trHeight w:val="519" w:hRule="atLeast"/>
        </w:trPr>
        <w:tc>
          <w:tcPr>
            <w:tcW w:w="1134" w:type="dxa"/>
            <w:vAlign w:val="top"/>
            <w:vMerge w:val="continue"/>
            <w:tcBorders>
              <w:top w:val="nil"/>
              <w:bottom w:val="nil"/>
            </w:tcBorders>
          </w:tcPr>
          <w:p>
            <w:pPr>
              <w:rPr>
                <w:rFonts w:ascii="Arial"/>
                <w:sz w:val="21"/>
              </w:rPr>
            </w:pPr>
            <w:r/>
          </w:p>
        </w:tc>
        <w:tc>
          <w:tcPr>
            <w:tcW w:w="2129" w:type="dxa"/>
            <w:vAlign w:val="top"/>
          </w:tcPr>
          <w:p>
            <w:pPr>
              <w:pStyle w:val="TableText"/>
              <w:ind w:left="841"/>
              <w:spacing w:before="214" w:line="183" w:lineRule="auto"/>
              <w:rPr>
                <w:sz w:val="21"/>
                <w:szCs w:val="21"/>
              </w:rPr>
            </w:pPr>
            <w:r>
              <w:rPr>
                <w:sz w:val="21"/>
                <w:szCs w:val="21"/>
                <w:spacing w:val="-3"/>
              </w:rPr>
              <w:t>S5-3</w:t>
            </w:r>
          </w:p>
        </w:tc>
        <w:tc>
          <w:tcPr>
            <w:tcW w:w="2248" w:type="dxa"/>
            <w:vAlign w:val="top"/>
          </w:tcPr>
          <w:p>
            <w:pPr>
              <w:pStyle w:val="TableText"/>
              <w:ind w:left="692"/>
              <w:spacing w:before="160" w:line="219" w:lineRule="auto"/>
              <w:rPr>
                <w:sz w:val="21"/>
                <w:szCs w:val="21"/>
              </w:rPr>
            </w:pPr>
            <w:r>
              <w:rPr>
                <w:sz w:val="21"/>
                <w:szCs w:val="21"/>
                <w:spacing w:val="-2"/>
              </w:rPr>
              <w:t>污水处理</w:t>
            </w:r>
          </w:p>
        </w:tc>
        <w:tc>
          <w:tcPr>
            <w:tcW w:w="2338" w:type="dxa"/>
            <w:vAlign w:val="top"/>
          </w:tcPr>
          <w:p>
            <w:pPr>
              <w:pStyle w:val="TableText"/>
              <w:ind w:left="744"/>
              <w:spacing w:before="161" w:line="220" w:lineRule="auto"/>
              <w:rPr>
                <w:sz w:val="21"/>
                <w:szCs w:val="21"/>
              </w:rPr>
            </w:pPr>
            <w:r>
              <w:rPr>
                <w:sz w:val="21"/>
                <w:szCs w:val="21"/>
                <w:spacing w:val="2"/>
              </w:rPr>
              <w:t>综合污泥</w:t>
            </w:r>
          </w:p>
        </w:tc>
        <w:tc>
          <w:tcPr>
            <w:tcW w:w="2308" w:type="dxa"/>
            <w:vAlign w:val="top"/>
            <w:vMerge w:val="continue"/>
            <w:tcBorders>
              <w:top w:val="nil"/>
            </w:tcBorders>
          </w:tcPr>
          <w:p>
            <w:pPr>
              <w:rPr>
                <w:rFonts w:ascii="Arial"/>
                <w:sz w:val="21"/>
              </w:rPr>
            </w:pPr>
            <w:r/>
          </w:p>
        </w:tc>
        <w:tc>
          <w:tcPr>
            <w:tcW w:w="1169" w:type="dxa"/>
            <w:vAlign w:val="top"/>
          </w:tcPr>
          <w:p>
            <w:pPr>
              <w:pStyle w:val="TableText"/>
              <w:ind w:left="268"/>
              <w:spacing w:before="160" w:line="219" w:lineRule="auto"/>
              <w:rPr>
                <w:sz w:val="21"/>
                <w:szCs w:val="21"/>
              </w:rPr>
            </w:pPr>
            <w:r>
              <w:rPr>
                <w:sz w:val="21"/>
                <w:szCs w:val="21"/>
                <w:spacing w:val="2"/>
              </w:rPr>
              <w:t>间歇性</w:t>
            </w:r>
          </w:p>
        </w:tc>
        <w:tc>
          <w:tcPr>
            <w:tcW w:w="3243" w:type="dxa"/>
            <w:vAlign w:val="top"/>
            <w:vMerge w:val="continue"/>
            <w:tcBorders>
              <w:top w:val="nil"/>
            </w:tcBorders>
          </w:tcPr>
          <w:p>
            <w:pPr>
              <w:rPr>
                <w:rFonts w:ascii="Arial"/>
                <w:sz w:val="21"/>
              </w:rPr>
            </w:pPr>
            <w:r/>
          </w:p>
        </w:tc>
      </w:tr>
      <w:tr>
        <w:trPr>
          <w:trHeight w:val="290" w:hRule="atLeast"/>
        </w:trPr>
        <w:tc>
          <w:tcPr>
            <w:tcW w:w="1134" w:type="dxa"/>
            <w:vAlign w:val="top"/>
            <w:vMerge w:val="continue"/>
            <w:tcBorders>
              <w:top w:val="nil"/>
              <w:bottom w:val="nil"/>
            </w:tcBorders>
          </w:tcPr>
          <w:p>
            <w:pPr>
              <w:rPr>
                <w:rFonts w:ascii="Arial"/>
                <w:sz w:val="21"/>
              </w:rPr>
            </w:pPr>
            <w:r/>
          </w:p>
        </w:tc>
        <w:tc>
          <w:tcPr>
            <w:tcW w:w="2129" w:type="dxa"/>
            <w:vAlign w:val="top"/>
          </w:tcPr>
          <w:p>
            <w:pPr>
              <w:pStyle w:val="TableText"/>
              <w:ind w:left="951"/>
              <w:spacing w:before="95" w:line="162" w:lineRule="auto"/>
              <w:rPr>
                <w:sz w:val="21"/>
                <w:szCs w:val="21"/>
              </w:rPr>
            </w:pPr>
            <w:r>
              <w:rPr>
                <w:sz w:val="21"/>
                <w:szCs w:val="21"/>
                <w:spacing w:val="-3"/>
              </w:rPr>
              <w:t>S6</w:t>
            </w:r>
          </w:p>
        </w:tc>
        <w:tc>
          <w:tcPr>
            <w:tcW w:w="2248" w:type="dxa"/>
            <w:vAlign w:val="top"/>
          </w:tcPr>
          <w:p>
            <w:pPr>
              <w:pStyle w:val="TableText"/>
              <w:ind w:left="482"/>
              <w:spacing w:before="41" w:line="210" w:lineRule="auto"/>
              <w:rPr>
                <w:sz w:val="21"/>
                <w:szCs w:val="21"/>
              </w:rPr>
            </w:pPr>
            <w:r>
              <w:rPr>
                <w:sz w:val="21"/>
                <w:szCs w:val="21"/>
                <w:spacing w:val="1"/>
              </w:rPr>
              <w:t>员工办公生活</w:t>
            </w:r>
          </w:p>
        </w:tc>
        <w:tc>
          <w:tcPr>
            <w:tcW w:w="2338" w:type="dxa"/>
            <w:vAlign w:val="top"/>
          </w:tcPr>
          <w:p>
            <w:pPr>
              <w:pStyle w:val="TableText"/>
              <w:ind w:left="744"/>
              <w:spacing w:before="42" w:line="209" w:lineRule="auto"/>
              <w:rPr>
                <w:sz w:val="21"/>
                <w:szCs w:val="21"/>
              </w:rPr>
            </w:pPr>
            <w:r>
              <w:rPr>
                <w:sz w:val="21"/>
                <w:szCs w:val="21"/>
                <w:spacing w:val="-2"/>
              </w:rPr>
              <w:t>生活垃圾</w:t>
            </w:r>
          </w:p>
        </w:tc>
        <w:tc>
          <w:tcPr>
            <w:tcW w:w="2308" w:type="dxa"/>
            <w:vAlign w:val="top"/>
          </w:tcPr>
          <w:p>
            <w:pPr>
              <w:pStyle w:val="TableText"/>
              <w:ind w:left="725"/>
              <w:spacing w:before="42" w:line="209" w:lineRule="auto"/>
              <w:rPr>
                <w:sz w:val="21"/>
                <w:szCs w:val="21"/>
              </w:rPr>
            </w:pPr>
            <w:r>
              <w:rPr>
                <w:sz w:val="21"/>
                <w:szCs w:val="21"/>
                <w:spacing w:val="-2"/>
              </w:rPr>
              <w:t>生活垃圾</w:t>
            </w:r>
          </w:p>
        </w:tc>
        <w:tc>
          <w:tcPr>
            <w:tcW w:w="1169" w:type="dxa"/>
            <w:vAlign w:val="top"/>
          </w:tcPr>
          <w:p>
            <w:pPr>
              <w:pStyle w:val="TableText"/>
              <w:ind w:left="268"/>
              <w:spacing w:before="41" w:line="210" w:lineRule="auto"/>
              <w:rPr>
                <w:sz w:val="21"/>
                <w:szCs w:val="21"/>
              </w:rPr>
            </w:pPr>
            <w:r>
              <w:rPr>
                <w:sz w:val="21"/>
                <w:szCs w:val="21"/>
                <w:spacing w:val="2"/>
              </w:rPr>
              <w:t>间歇性</w:t>
            </w:r>
          </w:p>
        </w:tc>
        <w:tc>
          <w:tcPr>
            <w:tcW w:w="3243" w:type="dxa"/>
            <w:vAlign w:val="top"/>
          </w:tcPr>
          <w:p>
            <w:pPr>
              <w:pStyle w:val="TableText"/>
              <w:ind w:left="739"/>
              <w:spacing w:before="41" w:line="210" w:lineRule="auto"/>
              <w:rPr>
                <w:sz w:val="21"/>
                <w:szCs w:val="21"/>
              </w:rPr>
            </w:pPr>
            <w:r>
              <w:rPr>
                <w:sz w:val="21"/>
                <w:szCs w:val="21"/>
              </w:rPr>
              <w:t>区域环卫部门统一清运</w:t>
            </w:r>
          </w:p>
        </w:tc>
      </w:tr>
      <w:tr>
        <w:trPr>
          <w:trHeight w:val="539" w:hRule="atLeast"/>
        </w:trPr>
        <w:tc>
          <w:tcPr>
            <w:tcW w:w="1134" w:type="dxa"/>
            <w:vAlign w:val="top"/>
            <w:vMerge w:val="continue"/>
            <w:tcBorders>
              <w:top w:val="nil"/>
              <w:bottom w:val="nil"/>
            </w:tcBorders>
          </w:tcPr>
          <w:p>
            <w:pPr>
              <w:rPr>
                <w:rFonts w:ascii="Arial"/>
                <w:sz w:val="21"/>
              </w:rPr>
            </w:pPr>
            <w:r/>
          </w:p>
        </w:tc>
        <w:tc>
          <w:tcPr>
            <w:tcW w:w="2129" w:type="dxa"/>
            <w:vAlign w:val="top"/>
          </w:tcPr>
          <w:p>
            <w:pPr>
              <w:pStyle w:val="TableText"/>
              <w:ind w:left="951"/>
              <w:spacing w:before="225" w:line="183" w:lineRule="auto"/>
              <w:rPr>
                <w:sz w:val="21"/>
                <w:szCs w:val="21"/>
              </w:rPr>
            </w:pPr>
            <w:r>
              <w:rPr>
                <w:sz w:val="21"/>
                <w:szCs w:val="21"/>
                <w:spacing w:val="-3"/>
              </w:rPr>
              <w:t>S7</w:t>
            </w:r>
          </w:p>
        </w:tc>
        <w:tc>
          <w:tcPr>
            <w:tcW w:w="2248" w:type="dxa"/>
            <w:vAlign w:val="top"/>
            <w:vMerge w:val="restart"/>
            <w:tcBorders>
              <w:bottom w:val="nil"/>
            </w:tcBorders>
          </w:tcPr>
          <w:p>
            <w:pPr>
              <w:spacing w:line="391" w:lineRule="auto"/>
              <w:rPr>
                <w:rFonts w:ascii="Arial"/>
                <w:sz w:val="21"/>
              </w:rPr>
            </w:pPr>
            <w:r/>
          </w:p>
          <w:p>
            <w:pPr>
              <w:pStyle w:val="TableText"/>
              <w:ind w:left="691" w:right="287" w:hanging="419"/>
              <w:spacing w:before="68" w:line="220" w:lineRule="auto"/>
              <w:rPr>
                <w:sz w:val="21"/>
                <w:szCs w:val="21"/>
              </w:rPr>
            </w:pPr>
            <w:r>
              <w:rPr>
                <w:sz w:val="21"/>
                <w:szCs w:val="21"/>
                <w:spacing w:val="-1"/>
              </w:rPr>
              <w:t>NMP冷凝回收+沸石</w:t>
            </w:r>
            <w:r>
              <w:rPr>
                <w:sz w:val="21"/>
                <w:szCs w:val="21"/>
                <w:spacing w:val="7"/>
              </w:rPr>
              <w:t xml:space="preserve"> </w:t>
            </w:r>
            <w:r>
              <w:rPr>
                <w:sz w:val="21"/>
                <w:szCs w:val="21"/>
                <w:spacing w:val="-2"/>
              </w:rPr>
              <w:t>转轮系统</w:t>
            </w:r>
          </w:p>
        </w:tc>
        <w:tc>
          <w:tcPr>
            <w:tcW w:w="2338" w:type="dxa"/>
            <w:vAlign w:val="top"/>
          </w:tcPr>
          <w:p>
            <w:pPr>
              <w:pStyle w:val="TableText"/>
              <w:ind w:left="794"/>
              <w:spacing w:before="172" w:line="220" w:lineRule="auto"/>
              <w:rPr>
                <w:sz w:val="21"/>
                <w:szCs w:val="21"/>
              </w:rPr>
            </w:pPr>
            <w:r>
              <w:rPr>
                <w:sz w:val="21"/>
                <w:szCs w:val="21"/>
                <w:spacing w:val="-1"/>
              </w:rPr>
              <w:t>NMP废液</w:t>
            </w:r>
          </w:p>
        </w:tc>
        <w:tc>
          <w:tcPr>
            <w:tcW w:w="2308" w:type="dxa"/>
            <w:vAlign w:val="top"/>
          </w:tcPr>
          <w:p>
            <w:pPr>
              <w:pStyle w:val="TableText"/>
              <w:ind w:left="725"/>
              <w:spacing w:before="172" w:line="220" w:lineRule="auto"/>
              <w:rPr>
                <w:sz w:val="21"/>
                <w:szCs w:val="21"/>
              </w:rPr>
            </w:pPr>
            <w:r>
              <w:rPr>
                <w:sz w:val="21"/>
                <w:szCs w:val="21"/>
                <w:spacing w:val="2"/>
              </w:rPr>
              <w:t>一般固废</w:t>
            </w:r>
          </w:p>
        </w:tc>
        <w:tc>
          <w:tcPr>
            <w:tcW w:w="1169" w:type="dxa"/>
            <w:vAlign w:val="top"/>
          </w:tcPr>
          <w:p>
            <w:pPr>
              <w:pStyle w:val="TableText"/>
              <w:ind w:left="268"/>
              <w:spacing w:before="171" w:line="219" w:lineRule="auto"/>
              <w:rPr>
                <w:sz w:val="21"/>
                <w:szCs w:val="21"/>
              </w:rPr>
            </w:pPr>
            <w:r>
              <w:rPr>
                <w:sz w:val="21"/>
                <w:szCs w:val="21"/>
                <w:spacing w:val="2"/>
              </w:rPr>
              <w:t>间歇性</w:t>
            </w:r>
          </w:p>
        </w:tc>
        <w:tc>
          <w:tcPr>
            <w:tcW w:w="3243" w:type="dxa"/>
            <w:vAlign w:val="top"/>
          </w:tcPr>
          <w:p>
            <w:pPr>
              <w:pStyle w:val="TableText"/>
              <w:ind w:left="778" w:right="255" w:hanging="529"/>
              <w:spacing w:before="42" w:line="214" w:lineRule="auto"/>
              <w:rPr>
                <w:sz w:val="21"/>
                <w:szCs w:val="21"/>
              </w:rPr>
            </w:pPr>
            <w:r>
              <w:rPr>
                <w:sz w:val="21"/>
                <w:szCs w:val="21"/>
                <w:spacing w:val="-1"/>
              </w:rPr>
              <w:t>NMP罐区的废NMP罐收集，委托</w:t>
            </w:r>
            <w:r>
              <w:rPr>
                <w:sz w:val="21"/>
                <w:szCs w:val="21"/>
                <w:spacing w:val="13"/>
              </w:rPr>
              <w:t xml:space="preserve"> </w:t>
            </w:r>
            <w:r>
              <w:rPr>
                <w:sz w:val="21"/>
                <w:szCs w:val="21"/>
                <w:spacing w:val="-1"/>
              </w:rPr>
              <w:t>相关单位外运处理</w:t>
            </w:r>
          </w:p>
        </w:tc>
      </w:tr>
      <w:tr>
        <w:trPr>
          <w:trHeight w:val="809" w:hRule="atLeast"/>
        </w:trPr>
        <w:tc>
          <w:tcPr>
            <w:tcW w:w="1134" w:type="dxa"/>
            <w:vAlign w:val="top"/>
            <w:vMerge w:val="continue"/>
            <w:tcBorders>
              <w:top w:val="nil"/>
              <w:bottom w:val="nil"/>
            </w:tcBorders>
          </w:tcPr>
          <w:p>
            <w:pPr>
              <w:rPr>
                <w:rFonts w:ascii="Arial"/>
                <w:sz w:val="21"/>
              </w:rPr>
            </w:pPr>
            <w:r/>
          </w:p>
        </w:tc>
        <w:tc>
          <w:tcPr>
            <w:tcW w:w="2129" w:type="dxa"/>
            <w:vAlign w:val="top"/>
          </w:tcPr>
          <w:p>
            <w:pPr>
              <w:spacing w:line="286" w:lineRule="auto"/>
              <w:rPr>
                <w:rFonts w:ascii="Arial"/>
                <w:sz w:val="21"/>
              </w:rPr>
            </w:pPr>
            <w:r/>
          </w:p>
          <w:p>
            <w:pPr>
              <w:pStyle w:val="TableText"/>
              <w:ind w:left="951"/>
              <w:spacing w:before="69" w:line="183" w:lineRule="auto"/>
              <w:rPr>
                <w:sz w:val="21"/>
                <w:szCs w:val="21"/>
              </w:rPr>
            </w:pPr>
            <w:r>
              <w:rPr>
                <w:sz w:val="21"/>
                <w:szCs w:val="21"/>
                <w:spacing w:val="-3"/>
              </w:rPr>
              <w:t>S8</w:t>
            </w:r>
          </w:p>
        </w:tc>
        <w:tc>
          <w:tcPr>
            <w:tcW w:w="2248" w:type="dxa"/>
            <w:vAlign w:val="top"/>
            <w:vMerge w:val="continue"/>
            <w:tcBorders>
              <w:top w:val="nil"/>
            </w:tcBorders>
          </w:tcPr>
          <w:p>
            <w:pPr>
              <w:rPr>
                <w:rFonts w:ascii="Arial"/>
                <w:sz w:val="21"/>
              </w:rPr>
            </w:pPr>
            <w:r/>
          </w:p>
        </w:tc>
        <w:tc>
          <w:tcPr>
            <w:tcW w:w="2338" w:type="dxa"/>
            <w:vAlign w:val="top"/>
          </w:tcPr>
          <w:p>
            <w:pPr>
              <w:pStyle w:val="TableText"/>
              <w:ind w:left="843"/>
              <w:spacing w:before="303" w:line="220" w:lineRule="auto"/>
              <w:rPr>
                <w:sz w:val="21"/>
                <w:szCs w:val="21"/>
              </w:rPr>
            </w:pPr>
            <w:r>
              <w:rPr>
                <w:sz w:val="21"/>
                <w:szCs w:val="21"/>
                <w:spacing w:val="-2"/>
              </w:rPr>
              <w:t>废沸石</w:t>
            </w:r>
          </w:p>
        </w:tc>
        <w:tc>
          <w:tcPr>
            <w:tcW w:w="2308" w:type="dxa"/>
            <w:vAlign w:val="top"/>
          </w:tcPr>
          <w:p>
            <w:pPr>
              <w:pStyle w:val="TableText"/>
              <w:ind w:left="515"/>
              <w:spacing w:before="303" w:line="220" w:lineRule="auto"/>
              <w:rPr>
                <w:sz w:val="21"/>
                <w:szCs w:val="21"/>
              </w:rPr>
            </w:pPr>
            <w:r>
              <w:rPr>
                <w:sz w:val="21"/>
                <w:szCs w:val="21"/>
                <w:spacing w:val="1"/>
              </w:rPr>
              <w:t>危险废物</w:t>
            </w:r>
            <w:r>
              <w:rPr>
                <w:sz w:val="21"/>
                <w:szCs w:val="21"/>
              </w:rPr>
              <w:t>HW</w:t>
            </w:r>
            <w:r>
              <w:rPr>
                <w:sz w:val="21"/>
                <w:szCs w:val="21"/>
                <w:spacing w:val="1"/>
              </w:rPr>
              <w:t>49</w:t>
            </w:r>
          </w:p>
        </w:tc>
        <w:tc>
          <w:tcPr>
            <w:tcW w:w="1169" w:type="dxa"/>
            <w:vAlign w:val="top"/>
          </w:tcPr>
          <w:p>
            <w:pPr>
              <w:pStyle w:val="TableText"/>
              <w:ind w:left="268"/>
              <w:spacing w:before="302" w:line="219" w:lineRule="auto"/>
              <w:rPr>
                <w:sz w:val="21"/>
                <w:szCs w:val="21"/>
              </w:rPr>
            </w:pPr>
            <w:r>
              <w:rPr>
                <w:sz w:val="21"/>
                <w:szCs w:val="21"/>
                <w:spacing w:val="2"/>
              </w:rPr>
              <w:t>间歇性</w:t>
            </w:r>
          </w:p>
        </w:tc>
        <w:tc>
          <w:tcPr>
            <w:tcW w:w="3243" w:type="dxa"/>
            <w:vAlign w:val="top"/>
          </w:tcPr>
          <w:p>
            <w:pPr>
              <w:pStyle w:val="TableText"/>
              <w:ind w:left="148"/>
              <w:spacing w:before="32" w:line="219" w:lineRule="auto"/>
              <w:rPr>
                <w:sz w:val="21"/>
                <w:szCs w:val="21"/>
              </w:rPr>
            </w:pPr>
            <w:r>
              <w:rPr>
                <w:sz w:val="21"/>
                <w:szCs w:val="21"/>
                <w:spacing w:val="-1"/>
              </w:rPr>
              <w:t>专用容器收集，暂存于现有工程</w:t>
            </w:r>
          </w:p>
          <w:p>
            <w:pPr>
              <w:pStyle w:val="TableText"/>
              <w:ind w:left="148"/>
              <w:spacing w:before="30" w:line="219" w:lineRule="auto"/>
              <w:rPr>
                <w:sz w:val="21"/>
                <w:szCs w:val="21"/>
              </w:rPr>
            </w:pPr>
            <w:r>
              <w:rPr>
                <w:sz w:val="21"/>
                <w:szCs w:val="21"/>
                <w:spacing w:val="-1"/>
              </w:rPr>
              <w:t>危废暂存间，委托有资质单位进</w:t>
            </w:r>
          </w:p>
          <w:p>
            <w:pPr>
              <w:pStyle w:val="TableText"/>
              <w:ind w:left="1299"/>
              <w:spacing w:before="31" w:line="181" w:lineRule="auto"/>
              <w:rPr>
                <w:sz w:val="21"/>
                <w:szCs w:val="21"/>
              </w:rPr>
            </w:pPr>
            <w:r>
              <w:rPr>
                <w:sz w:val="21"/>
                <w:szCs w:val="21"/>
                <w:spacing w:val="-3"/>
              </w:rPr>
              <w:t>行处理</w:t>
            </w:r>
          </w:p>
        </w:tc>
      </w:tr>
      <w:tr>
        <w:trPr>
          <w:trHeight w:val="289" w:hRule="atLeast"/>
        </w:trPr>
        <w:tc>
          <w:tcPr>
            <w:tcW w:w="1134" w:type="dxa"/>
            <w:vAlign w:val="top"/>
            <w:vMerge w:val="continue"/>
            <w:tcBorders>
              <w:top w:val="nil"/>
              <w:bottom w:val="nil"/>
            </w:tcBorders>
          </w:tcPr>
          <w:p>
            <w:pPr>
              <w:rPr>
                <w:rFonts w:ascii="Arial"/>
                <w:sz w:val="21"/>
              </w:rPr>
            </w:pPr>
            <w:r/>
          </w:p>
        </w:tc>
        <w:tc>
          <w:tcPr>
            <w:tcW w:w="2129" w:type="dxa"/>
            <w:vAlign w:val="top"/>
          </w:tcPr>
          <w:p>
            <w:pPr>
              <w:pStyle w:val="TableText"/>
              <w:ind w:left="951"/>
              <w:spacing w:before="98" w:line="159" w:lineRule="auto"/>
              <w:rPr>
                <w:sz w:val="21"/>
                <w:szCs w:val="21"/>
              </w:rPr>
            </w:pPr>
            <w:r>
              <w:rPr>
                <w:sz w:val="21"/>
                <w:szCs w:val="21"/>
                <w:spacing w:val="-3"/>
              </w:rPr>
              <w:t>S9</w:t>
            </w:r>
          </w:p>
        </w:tc>
        <w:tc>
          <w:tcPr>
            <w:tcW w:w="2248" w:type="dxa"/>
            <w:vAlign w:val="top"/>
          </w:tcPr>
          <w:p>
            <w:pPr>
              <w:pStyle w:val="TableText"/>
              <w:ind w:left="532"/>
              <w:spacing w:before="43" w:line="207" w:lineRule="auto"/>
              <w:rPr>
                <w:sz w:val="21"/>
                <w:szCs w:val="21"/>
              </w:rPr>
            </w:pPr>
            <w:r>
              <w:rPr>
                <w:sz w:val="21"/>
                <w:szCs w:val="21"/>
              </w:rPr>
              <w:t>LED</w:t>
            </w:r>
            <w:r>
              <w:rPr>
                <w:sz w:val="21"/>
                <w:szCs w:val="21"/>
                <w:spacing w:val="3"/>
              </w:rPr>
              <w:t>灯管更换</w:t>
            </w:r>
          </w:p>
        </w:tc>
        <w:tc>
          <w:tcPr>
            <w:tcW w:w="2338" w:type="dxa"/>
            <w:vAlign w:val="top"/>
          </w:tcPr>
          <w:p>
            <w:pPr>
              <w:pStyle w:val="TableText"/>
              <w:ind w:left="683"/>
              <w:spacing w:before="43" w:line="207" w:lineRule="auto"/>
              <w:rPr>
                <w:sz w:val="21"/>
                <w:szCs w:val="21"/>
              </w:rPr>
            </w:pPr>
            <w:r>
              <w:rPr>
                <w:sz w:val="21"/>
                <w:szCs w:val="21"/>
                <w:spacing w:val="5"/>
              </w:rPr>
              <w:t>废</w:t>
            </w:r>
            <w:r>
              <w:rPr>
                <w:sz w:val="21"/>
                <w:szCs w:val="21"/>
              </w:rPr>
              <w:t>LED</w:t>
            </w:r>
            <w:r>
              <w:rPr>
                <w:sz w:val="21"/>
                <w:szCs w:val="21"/>
                <w:spacing w:val="5"/>
              </w:rPr>
              <w:t>灯管</w:t>
            </w:r>
          </w:p>
        </w:tc>
        <w:tc>
          <w:tcPr>
            <w:tcW w:w="2308" w:type="dxa"/>
            <w:vAlign w:val="top"/>
          </w:tcPr>
          <w:p>
            <w:pPr>
              <w:pStyle w:val="TableText"/>
              <w:ind w:left="725"/>
              <w:spacing w:before="44" w:line="206" w:lineRule="auto"/>
              <w:rPr>
                <w:sz w:val="21"/>
                <w:szCs w:val="21"/>
              </w:rPr>
            </w:pPr>
            <w:r>
              <w:rPr>
                <w:sz w:val="21"/>
                <w:szCs w:val="21"/>
                <w:spacing w:val="2"/>
              </w:rPr>
              <w:t>一般固废</w:t>
            </w:r>
          </w:p>
        </w:tc>
        <w:tc>
          <w:tcPr>
            <w:tcW w:w="1169" w:type="dxa"/>
            <w:vAlign w:val="top"/>
          </w:tcPr>
          <w:p>
            <w:pPr>
              <w:pStyle w:val="TableText"/>
              <w:ind w:left="268"/>
              <w:spacing w:before="43" w:line="207" w:lineRule="auto"/>
              <w:rPr>
                <w:sz w:val="21"/>
                <w:szCs w:val="21"/>
              </w:rPr>
            </w:pPr>
            <w:r>
              <w:rPr>
                <w:sz w:val="21"/>
                <w:szCs w:val="21"/>
                <w:spacing w:val="2"/>
              </w:rPr>
              <w:t>间歇性</w:t>
            </w:r>
          </w:p>
        </w:tc>
        <w:tc>
          <w:tcPr>
            <w:tcW w:w="3243" w:type="dxa"/>
            <w:vAlign w:val="top"/>
          </w:tcPr>
          <w:p>
            <w:pPr>
              <w:pStyle w:val="TableText"/>
              <w:ind w:left="828"/>
              <w:spacing w:before="44" w:line="206" w:lineRule="auto"/>
              <w:rPr>
                <w:sz w:val="21"/>
                <w:szCs w:val="21"/>
              </w:rPr>
            </w:pPr>
            <w:r>
              <w:rPr>
                <w:sz w:val="21"/>
                <w:szCs w:val="21"/>
                <w:spacing w:val="-1"/>
              </w:rPr>
              <w:t>委托相关单位外运处置</w:t>
            </w:r>
          </w:p>
        </w:tc>
      </w:tr>
      <w:tr>
        <w:trPr>
          <w:trHeight w:val="280" w:hRule="atLeast"/>
        </w:trPr>
        <w:tc>
          <w:tcPr>
            <w:tcW w:w="1134" w:type="dxa"/>
            <w:vAlign w:val="top"/>
            <w:vMerge w:val="continue"/>
            <w:tcBorders>
              <w:top w:val="nil"/>
              <w:bottom w:val="nil"/>
            </w:tcBorders>
          </w:tcPr>
          <w:p>
            <w:pPr>
              <w:rPr>
                <w:rFonts w:ascii="Arial"/>
                <w:sz w:val="21"/>
              </w:rPr>
            </w:pPr>
            <w:r/>
          </w:p>
        </w:tc>
        <w:tc>
          <w:tcPr>
            <w:tcW w:w="2129" w:type="dxa"/>
            <w:vAlign w:val="top"/>
          </w:tcPr>
          <w:p>
            <w:pPr>
              <w:pStyle w:val="TableText"/>
              <w:ind w:left="891"/>
              <w:spacing w:before="97" w:line="172" w:lineRule="exact"/>
              <w:rPr>
                <w:sz w:val="21"/>
                <w:szCs w:val="21"/>
              </w:rPr>
            </w:pPr>
            <w:r>
              <w:rPr>
                <w:sz w:val="21"/>
                <w:szCs w:val="21"/>
                <w:spacing w:val="-3"/>
                <w:position w:val="-2"/>
              </w:rPr>
              <w:t>S10</w:t>
            </w:r>
          </w:p>
        </w:tc>
        <w:tc>
          <w:tcPr>
            <w:tcW w:w="2248" w:type="dxa"/>
            <w:vAlign w:val="top"/>
          </w:tcPr>
          <w:p>
            <w:pPr>
              <w:pStyle w:val="TableText"/>
              <w:ind w:left="482"/>
              <w:spacing w:before="44" w:line="198" w:lineRule="auto"/>
              <w:rPr>
                <w:sz w:val="21"/>
                <w:szCs w:val="21"/>
              </w:rPr>
            </w:pPr>
            <w:r>
              <w:rPr>
                <w:sz w:val="21"/>
                <w:szCs w:val="21"/>
                <w:spacing w:val="-2"/>
              </w:rPr>
              <w:t>纯水制备更换</w:t>
            </w:r>
          </w:p>
        </w:tc>
        <w:tc>
          <w:tcPr>
            <w:tcW w:w="2338" w:type="dxa"/>
            <w:vAlign w:val="top"/>
          </w:tcPr>
          <w:p>
            <w:pPr>
              <w:pStyle w:val="TableText"/>
              <w:ind w:left="843"/>
              <w:spacing w:before="44" w:line="198" w:lineRule="auto"/>
              <w:rPr>
                <w:sz w:val="21"/>
                <w:szCs w:val="21"/>
              </w:rPr>
            </w:pPr>
            <w:r>
              <w:rPr>
                <w:sz w:val="21"/>
                <w:szCs w:val="21"/>
                <w:spacing w:val="-2"/>
              </w:rPr>
              <w:t>废滤芯</w:t>
            </w:r>
          </w:p>
        </w:tc>
        <w:tc>
          <w:tcPr>
            <w:tcW w:w="2308" w:type="dxa"/>
            <w:vAlign w:val="top"/>
          </w:tcPr>
          <w:p>
            <w:pPr>
              <w:pStyle w:val="TableText"/>
              <w:ind w:left="725"/>
              <w:spacing w:before="44" w:line="198" w:lineRule="auto"/>
              <w:rPr>
                <w:sz w:val="21"/>
                <w:szCs w:val="21"/>
              </w:rPr>
            </w:pPr>
            <w:r>
              <w:rPr>
                <w:sz w:val="21"/>
                <w:szCs w:val="21"/>
                <w:spacing w:val="2"/>
              </w:rPr>
              <w:t>一般固废</w:t>
            </w:r>
          </w:p>
        </w:tc>
        <w:tc>
          <w:tcPr>
            <w:tcW w:w="1169" w:type="dxa"/>
            <w:vAlign w:val="top"/>
          </w:tcPr>
          <w:p>
            <w:pPr>
              <w:pStyle w:val="TableText"/>
              <w:ind w:left="268"/>
              <w:spacing w:before="44" w:line="198" w:lineRule="auto"/>
              <w:rPr>
                <w:sz w:val="21"/>
                <w:szCs w:val="21"/>
              </w:rPr>
            </w:pPr>
            <w:r>
              <w:rPr>
                <w:sz w:val="21"/>
                <w:szCs w:val="21"/>
                <w:spacing w:val="2"/>
              </w:rPr>
              <w:t>间歇性</w:t>
            </w:r>
          </w:p>
        </w:tc>
        <w:tc>
          <w:tcPr>
            <w:tcW w:w="3243" w:type="dxa"/>
            <w:vAlign w:val="top"/>
          </w:tcPr>
          <w:p>
            <w:pPr>
              <w:pStyle w:val="TableText"/>
              <w:ind w:left="669"/>
              <w:spacing w:before="44" w:line="198" w:lineRule="auto"/>
              <w:rPr>
                <w:sz w:val="21"/>
                <w:szCs w:val="21"/>
              </w:rPr>
            </w:pPr>
            <w:r>
              <w:rPr>
                <w:sz w:val="21"/>
                <w:szCs w:val="21"/>
                <w:spacing w:val="-2"/>
              </w:rPr>
              <w:t>设备厂家更换并处置</w:t>
            </w:r>
          </w:p>
        </w:tc>
      </w:tr>
      <w:tr>
        <w:trPr>
          <w:trHeight w:val="809" w:hRule="atLeast"/>
        </w:trPr>
        <w:tc>
          <w:tcPr>
            <w:tcW w:w="1134" w:type="dxa"/>
            <w:vAlign w:val="top"/>
            <w:vMerge w:val="continue"/>
            <w:tcBorders>
              <w:top w:val="nil"/>
              <w:bottom w:val="nil"/>
            </w:tcBorders>
          </w:tcPr>
          <w:p>
            <w:pPr>
              <w:rPr>
                <w:rFonts w:ascii="Arial"/>
                <w:sz w:val="21"/>
              </w:rPr>
            </w:pPr>
            <w:r/>
          </w:p>
        </w:tc>
        <w:tc>
          <w:tcPr>
            <w:tcW w:w="2129" w:type="dxa"/>
            <w:vAlign w:val="top"/>
          </w:tcPr>
          <w:p>
            <w:pPr>
              <w:spacing w:line="287" w:lineRule="auto"/>
              <w:rPr>
                <w:rFonts w:ascii="Arial"/>
                <w:sz w:val="21"/>
              </w:rPr>
            </w:pPr>
            <w:r/>
          </w:p>
          <w:p>
            <w:pPr>
              <w:pStyle w:val="TableText"/>
              <w:ind w:left="891"/>
              <w:spacing w:before="68" w:line="184" w:lineRule="auto"/>
              <w:rPr>
                <w:sz w:val="21"/>
                <w:szCs w:val="21"/>
              </w:rPr>
            </w:pPr>
            <w:r>
              <w:rPr>
                <w:sz w:val="21"/>
                <w:szCs w:val="21"/>
                <w:spacing w:val="-3"/>
              </w:rPr>
              <w:t>S11</w:t>
            </w:r>
          </w:p>
        </w:tc>
        <w:tc>
          <w:tcPr>
            <w:tcW w:w="2248" w:type="dxa"/>
            <w:vAlign w:val="top"/>
          </w:tcPr>
          <w:p>
            <w:pPr>
              <w:pStyle w:val="TableText"/>
              <w:ind w:left="382"/>
              <w:spacing w:before="303" w:line="219" w:lineRule="auto"/>
              <w:rPr>
                <w:sz w:val="21"/>
                <w:szCs w:val="21"/>
              </w:rPr>
            </w:pPr>
            <w:r>
              <w:rPr>
                <w:sz w:val="21"/>
                <w:szCs w:val="21"/>
                <w:spacing w:val="-1"/>
              </w:rPr>
              <w:t>机修、设备保养</w:t>
            </w:r>
          </w:p>
        </w:tc>
        <w:tc>
          <w:tcPr>
            <w:tcW w:w="2338" w:type="dxa"/>
            <w:vAlign w:val="top"/>
          </w:tcPr>
          <w:p>
            <w:pPr>
              <w:pStyle w:val="TableText"/>
              <w:ind w:left="843"/>
              <w:spacing w:before="303" w:line="219" w:lineRule="auto"/>
              <w:rPr>
                <w:sz w:val="21"/>
                <w:szCs w:val="21"/>
              </w:rPr>
            </w:pPr>
            <w:r>
              <w:rPr>
                <w:sz w:val="21"/>
                <w:szCs w:val="21"/>
                <w:spacing w:val="7"/>
              </w:rPr>
              <w:t>废机油</w:t>
            </w:r>
          </w:p>
        </w:tc>
        <w:tc>
          <w:tcPr>
            <w:tcW w:w="2308" w:type="dxa"/>
            <w:vAlign w:val="top"/>
          </w:tcPr>
          <w:p>
            <w:pPr>
              <w:pStyle w:val="TableText"/>
              <w:ind w:left="515"/>
              <w:spacing w:before="305" w:line="220" w:lineRule="auto"/>
              <w:rPr>
                <w:sz w:val="21"/>
                <w:szCs w:val="21"/>
              </w:rPr>
            </w:pPr>
            <w:r>
              <w:rPr>
                <w:sz w:val="21"/>
                <w:szCs w:val="21"/>
                <w:spacing w:val="2"/>
              </w:rPr>
              <w:t>危险废物</w:t>
            </w:r>
            <w:r>
              <w:rPr>
                <w:sz w:val="21"/>
                <w:szCs w:val="21"/>
              </w:rPr>
              <w:t>HW</w:t>
            </w:r>
            <w:r>
              <w:rPr>
                <w:sz w:val="21"/>
                <w:szCs w:val="21"/>
                <w:spacing w:val="2"/>
              </w:rPr>
              <w:t>08</w:t>
            </w:r>
          </w:p>
        </w:tc>
        <w:tc>
          <w:tcPr>
            <w:tcW w:w="1169" w:type="dxa"/>
            <w:vAlign w:val="top"/>
          </w:tcPr>
          <w:p>
            <w:pPr>
              <w:pStyle w:val="TableText"/>
              <w:ind w:left="268"/>
              <w:spacing w:before="304" w:line="219" w:lineRule="auto"/>
              <w:rPr>
                <w:sz w:val="21"/>
                <w:szCs w:val="21"/>
              </w:rPr>
            </w:pPr>
            <w:r>
              <w:rPr>
                <w:sz w:val="21"/>
                <w:szCs w:val="21"/>
                <w:spacing w:val="2"/>
              </w:rPr>
              <w:t>间歇性</w:t>
            </w:r>
          </w:p>
        </w:tc>
        <w:tc>
          <w:tcPr>
            <w:tcW w:w="3243" w:type="dxa"/>
            <w:vAlign w:val="top"/>
          </w:tcPr>
          <w:p>
            <w:pPr>
              <w:pStyle w:val="TableText"/>
              <w:ind w:left="148"/>
              <w:spacing w:before="44" w:line="219" w:lineRule="auto"/>
              <w:rPr>
                <w:sz w:val="21"/>
                <w:szCs w:val="21"/>
              </w:rPr>
            </w:pPr>
            <w:r>
              <w:rPr>
                <w:sz w:val="21"/>
                <w:szCs w:val="21"/>
                <w:spacing w:val="-1"/>
              </w:rPr>
              <w:t>专用容器收集，暂存于现有工程</w:t>
            </w:r>
          </w:p>
          <w:p>
            <w:pPr>
              <w:pStyle w:val="TableText"/>
              <w:ind w:left="148"/>
              <w:spacing w:before="30" w:line="219" w:lineRule="auto"/>
              <w:rPr>
                <w:sz w:val="21"/>
                <w:szCs w:val="21"/>
              </w:rPr>
            </w:pPr>
            <w:r>
              <w:rPr>
                <w:sz w:val="21"/>
                <w:szCs w:val="21"/>
                <w:spacing w:val="-1"/>
              </w:rPr>
              <w:t>危废暂存间，委托有资质单位进</w:t>
            </w:r>
          </w:p>
          <w:p>
            <w:pPr>
              <w:pStyle w:val="TableText"/>
              <w:ind w:left="1299"/>
              <w:spacing w:before="21" w:line="179" w:lineRule="auto"/>
              <w:rPr>
                <w:sz w:val="21"/>
                <w:szCs w:val="21"/>
              </w:rPr>
            </w:pPr>
            <w:r>
              <w:rPr>
                <w:sz w:val="21"/>
                <w:szCs w:val="21"/>
                <w:spacing w:val="-3"/>
              </w:rPr>
              <w:t>行处理</w:t>
            </w:r>
          </w:p>
        </w:tc>
      </w:tr>
      <w:tr>
        <w:trPr>
          <w:trHeight w:val="1108" w:hRule="atLeast"/>
        </w:trPr>
        <w:tc>
          <w:tcPr>
            <w:tcW w:w="1134" w:type="dxa"/>
            <w:vAlign w:val="top"/>
            <w:vMerge w:val="continue"/>
            <w:tcBorders>
              <w:top w:val="nil"/>
            </w:tcBorders>
          </w:tcPr>
          <w:p>
            <w:pPr>
              <w:rPr>
                <w:rFonts w:ascii="Arial"/>
                <w:sz w:val="21"/>
              </w:rPr>
            </w:pPr>
            <w:r/>
          </w:p>
        </w:tc>
        <w:tc>
          <w:tcPr>
            <w:tcW w:w="2129" w:type="dxa"/>
            <w:vAlign w:val="top"/>
          </w:tcPr>
          <w:p>
            <w:pPr>
              <w:spacing w:line="437" w:lineRule="auto"/>
              <w:rPr>
                <w:rFonts w:ascii="Arial"/>
                <w:sz w:val="21"/>
              </w:rPr>
            </w:pPr>
            <w:r/>
          </w:p>
          <w:p>
            <w:pPr>
              <w:pStyle w:val="TableText"/>
              <w:ind w:left="891"/>
              <w:spacing w:before="69" w:line="184" w:lineRule="auto"/>
              <w:rPr>
                <w:sz w:val="21"/>
                <w:szCs w:val="21"/>
              </w:rPr>
            </w:pPr>
            <w:r>
              <w:rPr>
                <w:sz w:val="21"/>
                <w:szCs w:val="21"/>
                <w:spacing w:val="-3"/>
              </w:rPr>
              <w:t>S12</w:t>
            </w:r>
          </w:p>
        </w:tc>
        <w:tc>
          <w:tcPr>
            <w:tcW w:w="2248" w:type="dxa"/>
            <w:vAlign w:val="top"/>
          </w:tcPr>
          <w:p>
            <w:pPr>
              <w:spacing w:line="385" w:lineRule="auto"/>
              <w:rPr>
                <w:rFonts w:ascii="Arial"/>
                <w:sz w:val="21"/>
              </w:rPr>
            </w:pPr>
            <w:r/>
          </w:p>
          <w:p>
            <w:pPr>
              <w:pStyle w:val="TableText"/>
              <w:ind w:left="482"/>
              <w:spacing w:before="68" w:line="219" w:lineRule="auto"/>
              <w:rPr>
                <w:sz w:val="21"/>
                <w:szCs w:val="21"/>
              </w:rPr>
            </w:pPr>
            <w:r>
              <w:rPr>
                <w:sz w:val="21"/>
                <w:szCs w:val="21"/>
                <w:spacing w:val="-2"/>
              </w:rPr>
              <w:t>设备清洗擦拭</w:t>
            </w:r>
          </w:p>
        </w:tc>
        <w:tc>
          <w:tcPr>
            <w:tcW w:w="2338" w:type="dxa"/>
            <w:vAlign w:val="top"/>
          </w:tcPr>
          <w:p>
            <w:pPr>
              <w:spacing w:line="383" w:lineRule="auto"/>
              <w:rPr>
                <w:rFonts w:ascii="Arial"/>
                <w:sz w:val="21"/>
              </w:rPr>
            </w:pPr>
            <w:r/>
          </w:p>
          <w:p>
            <w:pPr>
              <w:pStyle w:val="TableText"/>
              <w:ind w:left="324"/>
              <w:spacing w:before="68" w:line="219" w:lineRule="auto"/>
              <w:rPr>
                <w:sz w:val="21"/>
                <w:szCs w:val="21"/>
              </w:rPr>
            </w:pPr>
            <w:r>
              <w:rPr>
                <w:sz w:val="21"/>
                <w:szCs w:val="21"/>
                <w:spacing w:val="-1"/>
              </w:rPr>
              <w:t>含油废抹布、手套</w:t>
            </w:r>
          </w:p>
        </w:tc>
        <w:tc>
          <w:tcPr>
            <w:tcW w:w="2308" w:type="dxa"/>
            <w:vAlign w:val="top"/>
          </w:tcPr>
          <w:p>
            <w:pPr>
              <w:spacing w:line="385" w:lineRule="auto"/>
              <w:rPr>
                <w:rFonts w:ascii="Arial"/>
                <w:sz w:val="21"/>
              </w:rPr>
            </w:pPr>
            <w:r/>
          </w:p>
          <w:p>
            <w:pPr>
              <w:pStyle w:val="TableText"/>
              <w:ind w:left="515"/>
              <w:spacing w:before="68" w:line="220" w:lineRule="auto"/>
              <w:rPr>
                <w:sz w:val="21"/>
                <w:szCs w:val="21"/>
              </w:rPr>
            </w:pPr>
            <w:r>
              <w:rPr>
                <w:sz w:val="21"/>
                <w:szCs w:val="21"/>
                <w:spacing w:val="1"/>
              </w:rPr>
              <w:t>危险废物</w:t>
            </w:r>
            <w:r>
              <w:rPr>
                <w:sz w:val="21"/>
                <w:szCs w:val="21"/>
              </w:rPr>
              <w:t>HW</w:t>
            </w:r>
            <w:r>
              <w:rPr>
                <w:sz w:val="21"/>
                <w:szCs w:val="21"/>
                <w:spacing w:val="1"/>
              </w:rPr>
              <w:t>49</w:t>
            </w:r>
          </w:p>
        </w:tc>
        <w:tc>
          <w:tcPr>
            <w:tcW w:w="1169" w:type="dxa"/>
            <w:vAlign w:val="top"/>
          </w:tcPr>
          <w:p>
            <w:pPr>
              <w:spacing w:line="385" w:lineRule="auto"/>
              <w:rPr>
                <w:rFonts w:ascii="Arial"/>
                <w:sz w:val="21"/>
              </w:rPr>
            </w:pPr>
            <w:r/>
          </w:p>
          <w:p>
            <w:pPr>
              <w:pStyle w:val="TableText"/>
              <w:ind w:left="268"/>
              <w:spacing w:before="68" w:line="219" w:lineRule="auto"/>
              <w:rPr>
                <w:sz w:val="21"/>
                <w:szCs w:val="21"/>
              </w:rPr>
            </w:pPr>
            <w:r>
              <w:rPr>
                <w:sz w:val="21"/>
                <w:szCs w:val="21"/>
                <w:spacing w:val="2"/>
              </w:rPr>
              <w:t>间歇性</w:t>
            </w:r>
          </w:p>
        </w:tc>
        <w:tc>
          <w:tcPr>
            <w:tcW w:w="3243" w:type="dxa"/>
            <w:vAlign w:val="top"/>
          </w:tcPr>
          <w:p>
            <w:pPr>
              <w:pStyle w:val="TableText"/>
              <w:ind w:left="89"/>
              <w:spacing w:before="55" w:line="219" w:lineRule="auto"/>
              <w:rPr>
                <w:sz w:val="21"/>
                <w:szCs w:val="21"/>
              </w:rPr>
            </w:pPr>
            <w:r>
              <w:rPr>
                <w:sz w:val="21"/>
                <w:szCs w:val="21"/>
                <w:spacing w:val="1"/>
              </w:rPr>
              <w:t>根据《国家危险废物名录》(2021</w:t>
            </w:r>
          </w:p>
          <w:p>
            <w:pPr>
              <w:pStyle w:val="TableText"/>
              <w:ind w:left="249"/>
              <w:spacing w:before="17" w:line="216" w:lineRule="auto"/>
              <w:rPr>
                <w:sz w:val="21"/>
                <w:szCs w:val="21"/>
              </w:rPr>
            </w:pPr>
            <w:r>
              <w:rPr>
                <w:sz w:val="21"/>
                <w:szCs w:val="21"/>
              </w:rPr>
              <w:t>版),未分类收集，全过程不按</w:t>
            </w:r>
          </w:p>
          <w:p>
            <w:pPr>
              <w:pStyle w:val="TableText"/>
              <w:ind w:left="148"/>
              <w:spacing w:before="37" w:line="219" w:lineRule="auto"/>
              <w:rPr>
                <w:sz w:val="21"/>
                <w:szCs w:val="21"/>
              </w:rPr>
            </w:pPr>
            <w:r>
              <w:rPr>
                <w:sz w:val="21"/>
                <w:szCs w:val="21"/>
                <w:spacing w:val="1"/>
              </w:rPr>
              <w:t>危险废物管理，可与生活垃圾一</w:t>
            </w:r>
          </w:p>
          <w:p>
            <w:pPr>
              <w:pStyle w:val="TableText"/>
              <w:ind w:left="1298"/>
              <w:spacing w:before="40" w:line="178" w:lineRule="auto"/>
              <w:rPr>
                <w:sz w:val="21"/>
                <w:szCs w:val="21"/>
              </w:rPr>
            </w:pPr>
            <w:r>
              <w:rPr>
                <w:sz w:val="21"/>
                <w:szCs w:val="21"/>
                <w:spacing w:val="2"/>
              </w:rPr>
              <w:t>并处理</w:t>
            </w:r>
          </w:p>
        </w:tc>
      </w:tr>
      <w:tr>
        <w:trPr>
          <w:trHeight w:val="544" w:hRule="atLeast"/>
        </w:trPr>
        <w:tc>
          <w:tcPr>
            <w:tcW w:w="1134" w:type="dxa"/>
            <w:vAlign w:val="top"/>
          </w:tcPr>
          <w:p>
            <w:pPr>
              <w:pStyle w:val="TableText"/>
              <w:ind w:left="345"/>
              <w:spacing w:before="178" w:line="220" w:lineRule="auto"/>
              <w:rPr>
                <w:sz w:val="21"/>
                <w:szCs w:val="21"/>
              </w:rPr>
            </w:pPr>
            <w:r>
              <w:rPr>
                <w:sz w:val="21"/>
                <w:szCs w:val="21"/>
                <w:spacing w:val="6"/>
              </w:rPr>
              <w:t>噪声</w:t>
            </w:r>
          </w:p>
        </w:tc>
        <w:tc>
          <w:tcPr>
            <w:tcW w:w="2129" w:type="dxa"/>
            <w:vAlign w:val="top"/>
          </w:tcPr>
          <w:p>
            <w:pPr>
              <w:pStyle w:val="TableText"/>
              <w:ind w:left="1001"/>
              <w:spacing w:before="232" w:line="182" w:lineRule="auto"/>
              <w:rPr>
                <w:sz w:val="21"/>
                <w:szCs w:val="21"/>
              </w:rPr>
            </w:pPr>
            <w:r>
              <w:rPr>
                <w:sz w:val="21"/>
                <w:szCs w:val="21"/>
              </w:rPr>
              <w:t>N</w:t>
            </w:r>
          </w:p>
        </w:tc>
        <w:tc>
          <w:tcPr>
            <w:tcW w:w="2248" w:type="dxa"/>
            <w:vAlign w:val="top"/>
          </w:tcPr>
          <w:p>
            <w:pPr>
              <w:pStyle w:val="TableText"/>
              <w:ind w:left="592"/>
              <w:spacing w:before="177" w:line="219" w:lineRule="auto"/>
              <w:rPr>
                <w:sz w:val="21"/>
                <w:szCs w:val="21"/>
              </w:rPr>
            </w:pPr>
            <w:r>
              <w:rPr>
                <w:sz w:val="21"/>
                <w:szCs w:val="21"/>
                <w:spacing w:val="2"/>
              </w:rPr>
              <w:t>各生产环节</w:t>
            </w:r>
          </w:p>
        </w:tc>
        <w:tc>
          <w:tcPr>
            <w:tcW w:w="2338" w:type="dxa"/>
            <w:vAlign w:val="top"/>
          </w:tcPr>
          <w:p>
            <w:pPr>
              <w:rPr>
                <w:rFonts w:ascii="Arial"/>
                <w:sz w:val="21"/>
              </w:rPr>
            </w:pPr>
            <w:r/>
          </w:p>
        </w:tc>
        <w:tc>
          <w:tcPr>
            <w:tcW w:w="2308" w:type="dxa"/>
            <w:vAlign w:val="top"/>
          </w:tcPr>
          <w:p>
            <w:pPr>
              <w:pStyle w:val="TableText"/>
              <w:ind w:left="725"/>
              <w:spacing w:before="178" w:line="220" w:lineRule="auto"/>
              <w:rPr>
                <w:sz w:val="21"/>
                <w:szCs w:val="21"/>
              </w:rPr>
            </w:pPr>
            <w:r>
              <w:rPr>
                <w:sz w:val="21"/>
                <w:szCs w:val="21"/>
                <w:spacing w:val="3"/>
              </w:rPr>
              <w:t>设备噪声</w:t>
            </w:r>
          </w:p>
        </w:tc>
        <w:tc>
          <w:tcPr>
            <w:tcW w:w="1169" w:type="dxa"/>
            <w:vAlign w:val="top"/>
          </w:tcPr>
          <w:p>
            <w:pPr>
              <w:pStyle w:val="TableText"/>
              <w:ind w:left="268"/>
              <w:spacing w:before="178" w:line="220" w:lineRule="auto"/>
              <w:rPr>
                <w:sz w:val="21"/>
                <w:szCs w:val="21"/>
              </w:rPr>
            </w:pPr>
            <w:r>
              <w:rPr>
                <w:sz w:val="21"/>
                <w:szCs w:val="21"/>
                <w:spacing w:val="-3"/>
              </w:rPr>
              <w:t>连续性</w:t>
            </w:r>
          </w:p>
        </w:tc>
        <w:tc>
          <w:tcPr>
            <w:tcW w:w="3243" w:type="dxa"/>
            <w:vAlign w:val="top"/>
          </w:tcPr>
          <w:p>
            <w:pPr>
              <w:pStyle w:val="TableText"/>
              <w:ind w:left="567" w:right="151" w:hanging="419"/>
              <w:spacing w:before="38" w:line="218" w:lineRule="auto"/>
              <w:rPr>
                <w:sz w:val="21"/>
                <w:szCs w:val="21"/>
              </w:rPr>
            </w:pPr>
            <w:r>
              <w:rPr>
                <w:sz w:val="21"/>
                <w:szCs w:val="21"/>
                <w:spacing w:val="-1"/>
              </w:rPr>
              <w:t>选取低噪声设备，车间隔声，设</w:t>
            </w:r>
            <w:r>
              <w:rPr>
                <w:sz w:val="21"/>
                <w:szCs w:val="21"/>
                <w:spacing w:val="5"/>
              </w:rPr>
              <w:t xml:space="preserve"> </w:t>
            </w:r>
            <w:r>
              <w:rPr>
                <w:sz w:val="21"/>
                <w:szCs w:val="21"/>
                <w:spacing w:val="-1"/>
              </w:rPr>
              <w:t>置减振、软连接等措施</w:t>
            </w:r>
          </w:p>
        </w:tc>
      </w:tr>
    </w:tbl>
    <w:p>
      <w:pPr>
        <w:rPr>
          <w:rFonts w:ascii="Arial"/>
          <w:sz w:val="21"/>
        </w:rPr>
      </w:pPr>
      <w:r/>
    </w:p>
    <w:p>
      <w:pPr>
        <w:sectPr>
          <w:footerReference w:type="default" r:id="rId21"/>
          <w:pgSz w:w="16840" w:h="11900"/>
          <w:pgMar w:top="974" w:right="1135" w:bottom="978" w:left="1124" w:header="0" w:footer="839" w:gutter="0"/>
        </w:sectPr>
        <w:rPr>
          <w:rFonts w:ascii="Arial" w:hAnsi="Arial" w:eastAsia="Arial" w:cs="Arial"/>
          <w:sz w:val="21"/>
          <w:szCs w:val="21"/>
        </w:rPr>
      </w:pPr>
    </w:p>
    <w:p>
      <w:pPr>
        <w:spacing w:line="141" w:lineRule="auto"/>
        <w:rPr>
          <w:rFonts w:ascii="Arial"/>
          <w:sz w:val="2"/>
        </w:rPr>
      </w:pPr>
      <w:r>
        <w:rPr>
          <w:rFonts w:ascii="Arial"/>
          <w:sz w:val="2"/>
        </w:rPr>
      </w:r>
    </w:p>
    <w:tbl>
      <w:tblPr>
        <w:tblStyle w:val="TableNormal"/>
        <w:tblW w:w="88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14"/>
        <w:gridCol w:w="7996"/>
      </w:tblGrid>
      <w:tr>
        <w:trPr>
          <w:trHeight w:val="11520" w:hRule="atLeast"/>
        </w:trPr>
        <w:tc>
          <w:tcPr>
            <w:tcW w:w="814"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155" w:right="150"/>
              <w:spacing w:before="78" w:line="213" w:lineRule="auto"/>
              <w:jc w:val="both"/>
              <w:rPr>
                <w:sz w:val="24"/>
                <w:szCs w:val="24"/>
              </w:rPr>
            </w:pPr>
            <w:r>
              <w:rPr>
                <w:sz w:val="24"/>
                <w:szCs w:val="24"/>
                <w:spacing w:val="7"/>
              </w:rPr>
              <w:t>与项</w:t>
            </w:r>
            <w:r>
              <w:rPr>
                <w:sz w:val="24"/>
                <w:szCs w:val="24"/>
              </w:rPr>
              <w:t xml:space="preserve"> </w:t>
            </w:r>
            <w:r>
              <w:rPr>
                <w:sz w:val="24"/>
                <w:szCs w:val="24"/>
                <w:spacing w:val="6"/>
              </w:rPr>
              <w:t>目有</w:t>
            </w:r>
            <w:r>
              <w:rPr>
                <w:sz w:val="24"/>
                <w:szCs w:val="24"/>
              </w:rPr>
              <w:t xml:space="preserve"> </w:t>
            </w:r>
            <w:r>
              <w:rPr>
                <w:sz w:val="24"/>
                <w:szCs w:val="24"/>
                <w:spacing w:val="9"/>
              </w:rPr>
              <w:t>关的</w:t>
            </w:r>
            <w:r>
              <w:rPr>
                <w:sz w:val="24"/>
                <w:szCs w:val="24"/>
              </w:rPr>
              <w:t xml:space="preserve"> </w:t>
            </w:r>
            <w:r>
              <w:rPr>
                <w:sz w:val="24"/>
                <w:szCs w:val="24"/>
                <w:spacing w:val="6"/>
              </w:rPr>
              <w:t>原有</w:t>
            </w:r>
            <w:r>
              <w:rPr>
                <w:sz w:val="24"/>
                <w:szCs w:val="24"/>
              </w:rPr>
              <w:t xml:space="preserve"> </w:t>
            </w:r>
            <w:r>
              <w:rPr>
                <w:sz w:val="24"/>
                <w:szCs w:val="24"/>
                <w:spacing w:val="-5"/>
              </w:rPr>
              <w:t>环境</w:t>
            </w:r>
            <w:r>
              <w:rPr>
                <w:sz w:val="24"/>
                <w:szCs w:val="24"/>
              </w:rPr>
              <w:t xml:space="preserve"> </w:t>
            </w:r>
            <w:r>
              <w:rPr>
                <w:sz w:val="24"/>
                <w:szCs w:val="24"/>
                <w:spacing w:val="5"/>
              </w:rPr>
              <w:t>污染</w:t>
            </w:r>
            <w:r>
              <w:rPr>
                <w:sz w:val="24"/>
                <w:szCs w:val="24"/>
              </w:rPr>
              <w:t xml:space="preserve"> </w:t>
            </w:r>
            <w:r>
              <w:rPr>
                <w:sz w:val="24"/>
                <w:szCs w:val="24"/>
                <w:spacing w:val="6"/>
              </w:rPr>
              <w:t>问题</w:t>
            </w:r>
          </w:p>
        </w:tc>
        <w:tc>
          <w:tcPr>
            <w:tcW w:w="7996" w:type="dxa"/>
            <w:vAlign w:val="top"/>
          </w:tcPr>
          <w:p>
            <w:pPr>
              <w:pStyle w:val="TableText"/>
              <w:ind w:left="124"/>
              <w:spacing w:before="59" w:line="472" w:lineRule="exact"/>
              <w:rPr>
                <w:sz w:val="24"/>
                <w:szCs w:val="24"/>
              </w:rPr>
            </w:pPr>
            <w:r>
              <w:rPr>
                <w:sz w:val="24"/>
                <w:szCs w:val="24"/>
                <w:b/>
                <w:bCs/>
                <w:spacing w:val="-4"/>
                <w:position w:val="17"/>
              </w:rPr>
              <w:t>2.8现有工程回顾性评价</w:t>
            </w:r>
          </w:p>
          <w:p>
            <w:pPr>
              <w:pStyle w:val="TableText"/>
              <w:ind w:left="124"/>
              <w:spacing w:line="219" w:lineRule="auto"/>
              <w:rPr>
                <w:sz w:val="24"/>
                <w:szCs w:val="24"/>
              </w:rPr>
            </w:pPr>
            <w:r>
              <w:rPr>
                <w:sz w:val="24"/>
                <w:szCs w:val="24"/>
                <w:b/>
                <w:bCs/>
                <w:spacing w:val="-4"/>
              </w:rPr>
              <w:t>2.8.1现有工程概况</w:t>
            </w:r>
          </w:p>
          <w:p>
            <w:pPr>
              <w:pStyle w:val="TableText"/>
              <w:ind w:left="631"/>
              <w:spacing w:before="157" w:line="219" w:lineRule="auto"/>
              <w:rPr>
                <w:sz w:val="24"/>
                <w:szCs w:val="24"/>
              </w:rPr>
            </w:pPr>
            <w:r>
              <w:rPr>
                <w:sz w:val="24"/>
                <w:szCs w:val="24"/>
              </w:rPr>
              <w:t>本项目为改扩建项目，现有工程含时代一汽动力电池项目(年产</w:t>
            </w:r>
          </w:p>
          <w:p>
            <w:pPr>
              <w:pStyle w:val="TableText"/>
              <w:ind w:left="151"/>
              <w:spacing w:before="168" w:line="214" w:lineRule="auto"/>
              <w:rPr>
                <w:sz w:val="24"/>
                <w:szCs w:val="24"/>
              </w:rPr>
            </w:pPr>
            <w:r>
              <w:rPr>
                <w:sz w:val="24"/>
                <w:szCs w:val="24"/>
              </w:rPr>
              <w:t>10GWh)(以下称“一期工程”)和时代一汽年产20gwh动力电池生产线</w:t>
            </w:r>
          </w:p>
          <w:p>
            <w:pPr>
              <w:pStyle w:val="TableText"/>
              <w:ind w:left="121"/>
              <w:spacing w:before="216" w:line="462" w:lineRule="exact"/>
              <w:rPr>
                <w:sz w:val="24"/>
                <w:szCs w:val="24"/>
              </w:rPr>
            </w:pPr>
            <w:r>
              <w:rPr>
                <w:sz w:val="24"/>
                <w:szCs w:val="24"/>
                <w:position w:val="17"/>
              </w:rPr>
              <w:t>扩建项目(以下称“二期工程”),均位于宁德市霞浦县经济开发区长富</w:t>
            </w:r>
          </w:p>
          <w:p>
            <w:pPr>
              <w:pStyle w:val="TableText"/>
              <w:ind w:left="141"/>
              <w:spacing w:before="1" w:line="217" w:lineRule="auto"/>
              <w:rPr>
                <w:sz w:val="24"/>
                <w:szCs w:val="24"/>
              </w:rPr>
            </w:pPr>
            <w:r>
              <w:rPr>
                <w:sz w:val="24"/>
                <w:szCs w:val="24"/>
              </w:rPr>
              <w:t>路6号。现有工程已完成的环境影响评价、竣工环境保护验收情况见表</w:t>
            </w:r>
          </w:p>
          <w:p>
            <w:pPr>
              <w:pStyle w:val="TableText"/>
              <w:ind w:left="121"/>
              <w:spacing w:before="268" w:line="184" w:lineRule="auto"/>
              <w:rPr>
                <w:sz w:val="24"/>
                <w:szCs w:val="24"/>
              </w:rPr>
            </w:pPr>
            <w:r>
              <w:rPr>
                <w:sz w:val="24"/>
                <w:szCs w:val="24"/>
                <w:spacing w:val="-4"/>
              </w:rPr>
              <w:t>2.8-1。</w:t>
            </w:r>
          </w:p>
          <w:p>
            <w:pPr>
              <w:pStyle w:val="TableText"/>
              <w:ind w:left="631"/>
              <w:spacing w:before="150" w:line="464" w:lineRule="exact"/>
              <w:rPr>
                <w:sz w:val="24"/>
                <w:szCs w:val="24"/>
              </w:rPr>
            </w:pPr>
            <w:r>
              <w:rPr>
                <w:sz w:val="24"/>
                <w:szCs w:val="24"/>
                <w:position w:val="17"/>
              </w:rPr>
              <w:t>建设单位已申领了排污许可证(证书编号：91350921MA32G3QY3500</w:t>
            </w:r>
          </w:p>
          <w:p>
            <w:pPr>
              <w:pStyle w:val="TableText"/>
              <w:ind w:left="121"/>
              <w:spacing w:line="222" w:lineRule="auto"/>
              <w:rPr>
                <w:sz w:val="24"/>
                <w:szCs w:val="24"/>
              </w:rPr>
            </w:pPr>
            <w:r>
              <w:rPr>
                <w:sz w:val="24"/>
                <w:szCs w:val="24"/>
                <w:spacing w:val="-10"/>
              </w:rPr>
              <w:t>1Q)。</w:t>
            </w:r>
          </w:p>
          <w:p>
            <w:pPr>
              <w:pStyle w:val="TableText"/>
              <w:ind w:left="631"/>
              <w:spacing w:before="178" w:line="470" w:lineRule="exact"/>
              <w:rPr>
                <w:sz w:val="24"/>
                <w:szCs w:val="24"/>
              </w:rPr>
            </w:pPr>
            <w:r>
              <w:rPr>
                <w:sz w:val="24"/>
                <w:szCs w:val="24"/>
                <w:position w:val="17"/>
              </w:rPr>
              <w:t>现有工程厂区的突发环境事件应急预案于2023年3月17日在宁德市</w:t>
            </w:r>
          </w:p>
          <w:p>
            <w:pPr>
              <w:pStyle w:val="TableText"/>
              <w:ind w:left="121"/>
              <w:spacing w:line="219" w:lineRule="auto"/>
              <w:rPr>
                <w:sz w:val="24"/>
                <w:szCs w:val="24"/>
              </w:rPr>
            </w:pPr>
            <w:r>
              <w:rPr>
                <w:sz w:val="24"/>
                <w:szCs w:val="24"/>
                <w:spacing w:val="1"/>
              </w:rPr>
              <w:t>霞浦生态环境局进行了备案，备案编号：35</w:t>
            </w:r>
            <w:r>
              <w:rPr>
                <w:sz w:val="24"/>
                <w:szCs w:val="24"/>
              </w:rPr>
              <w:t>0921-2023-003-M。</w:t>
            </w:r>
          </w:p>
          <w:p>
            <w:pPr>
              <w:pStyle w:val="TableText"/>
              <w:ind w:left="124"/>
              <w:spacing w:before="202" w:line="219" w:lineRule="auto"/>
              <w:rPr>
                <w:sz w:val="24"/>
                <w:szCs w:val="24"/>
              </w:rPr>
            </w:pPr>
            <w:r>
              <w:rPr>
                <w:sz w:val="24"/>
                <w:szCs w:val="24"/>
                <w:b/>
                <w:bCs/>
                <w:spacing w:val="-4"/>
              </w:rPr>
              <w:t>2.8.2现有工程组成及建设内容</w:t>
            </w:r>
          </w:p>
          <w:p>
            <w:pPr>
              <w:pStyle w:val="TableText"/>
              <w:ind w:left="631"/>
              <w:spacing w:before="269" w:line="219" w:lineRule="auto"/>
              <w:rPr>
                <w:sz w:val="24"/>
                <w:szCs w:val="24"/>
              </w:rPr>
            </w:pPr>
            <w:r>
              <w:rPr>
                <w:sz w:val="24"/>
                <w:szCs w:val="24"/>
                <w:spacing w:val="1"/>
              </w:rPr>
              <w:t>现有工程组成及建设内容见表2.8-2。</w:t>
            </w:r>
          </w:p>
        </w:tc>
      </w:tr>
    </w:tbl>
    <w:p>
      <w:pPr>
        <w:rPr>
          <w:rFonts w:ascii="Arial"/>
          <w:sz w:val="21"/>
        </w:rPr>
      </w:pPr>
      <w:r/>
    </w:p>
    <w:p>
      <w:pPr>
        <w:sectPr>
          <w:footerReference w:type="default" r:id="rId22"/>
          <w:pgSz w:w="11900" w:h="16840"/>
          <w:pgMar w:top="1431" w:right="1455" w:bottom="988" w:left="1624" w:header="0" w:footer="849" w:gutter="0"/>
        </w:sectPr>
        <w:rPr>
          <w:rFonts w:ascii="Arial" w:hAnsi="Arial" w:eastAsia="Arial" w:cs="Arial"/>
          <w:sz w:val="21"/>
          <w:szCs w:val="21"/>
        </w:rPr>
      </w:pPr>
    </w:p>
    <w:p>
      <w:pPr>
        <w:pStyle w:val="BodyText"/>
        <w:ind w:left="3338"/>
        <w:spacing w:before="293" w:line="200" w:lineRule="auto"/>
        <w:rPr>
          <w:sz w:val="24"/>
          <w:szCs w:val="24"/>
        </w:rPr>
      </w:pPr>
      <w:r>
        <w:rPr>
          <w:sz w:val="24"/>
          <w:szCs w:val="24"/>
          <w:b/>
          <w:bCs/>
          <w:spacing w:val="-3"/>
        </w:rPr>
        <w:t>表2.8-1</w:t>
      </w:r>
      <w:r>
        <w:rPr>
          <w:sz w:val="24"/>
          <w:szCs w:val="24"/>
          <w:spacing w:val="-3"/>
        </w:rPr>
        <w:t xml:space="preserve">  </w:t>
      </w:r>
      <w:r>
        <w:rPr>
          <w:sz w:val="24"/>
          <w:szCs w:val="24"/>
          <w:b/>
          <w:bCs/>
          <w:spacing w:val="-3"/>
        </w:rPr>
        <w:t>现有工程履行环境影响评价、竣工环境保护验收情况一览表</w:t>
      </w:r>
    </w:p>
    <w:tbl>
      <w:tblPr>
        <w:tblStyle w:val="TableNormal"/>
        <w:tblW w:w="141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74"/>
        <w:gridCol w:w="820"/>
        <w:gridCol w:w="1219"/>
        <w:gridCol w:w="4577"/>
        <w:gridCol w:w="2948"/>
        <w:gridCol w:w="1369"/>
        <w:gridCol w:w="2333"/>
      </w:tblGrid>
      <w:tr>
        <w:trPr>
          <w:trHeight w:val="275" w:hRule="atLeast"/>
        </w:trPr>
        <w:tc>
          <w:tcPr>
            <w:tcW w:w="874" w:type="dxa"/>
            <w:vAlign w:val="top"/>
          </w:tcPr>
          <w:p>
            <w:pPr>
              <w:pStyle w:val="TableText"/>
              <w:ind w:left="214"/>
              <w:spacing w:before="35" w:line="202" w:lineRule="auto"/>
              <w:rPr>
                <w:sz w:val="21"/>
                <w:szCs w:val="21"/>
              </w:rPr>
            </w:pPr>
            <w:r>
              <w:rPr>
                <w:sz w:val="21"/>
                <w:szCs w:val="21"/>
                <w:spacing w:val="6"/>
              </w:rPr>
              <w:t>序号</w:t>
            </w:r>
          </w:p>
        </w:tc>
        <w:tc>
          <w:tcPr>
            <w:tcW w:w="2039" w:type="dxa"/>
            <w:vAlign w:val="top"/>
            <w:gridSpan w:val="2"/>
          </w:tcPr>
          <w:p>
            <w:pPr>
              <w:pStyle w:val="TableText"/>
              <w:ind w:left="820"/>
              <w:spacing w:before="34" w:line="203" w:lineRule="auto"/>
              <w:rPr>
                <w:sz w:val="21"/>
                <w:szCs w:val="21"/>
              </w:rPr>
            </w:pPr>
            <w:r>
              <w:rPr>
                <w:sz w:val="21"/>
                <w:szCs w:val="21"/>
                <w:spacing w:val="-3"/>
              </w:rPr>
              <w:t>工程</w:t>
            </w:r>
          </w:p>
        </w:tc>
        <w:tc>
          <w:tcPr>
            <w:tcW w:w="4577" w:type="dxa"/>
            <w:vAlign w:val="top"/>
          </w:tcPr>
          <w:p>
            <w:pPr>
              <w:pStyle w:val="TableText"/>
              <w:ind w:left="1591"/>
              <w:spacing w:before="32" w:line="204" w:lineRule="auto"/>
              <w:rPr>
                <w:sz w:val="21"/>
                <w:szCs w:val="21"/>
              </w:rPr>
            </w:pPr>
            <w:r>
              <w:rPr>
                <w:sz w:val="21"/>
                <w:szCs w:val="21"/>
                <w:spacing w:val="2"/>
              </w:rPr>
              <w:t>建设规模/内容</w:t>
            </w:r>
          </w:p>
        </w:tc>
        <w:tc>
          <w:tcPr>
            <w:tcW w:w="2948" w:type="dxa"/>
            <w:vAlign w:val="top"/>
          </w:tcPr>
          <w:p>
            <w:pPr>
              <w:pStyle w:val="TableText"/>
              <w:ind w:left="1044"/>
              <w:spacing w:before="34" w:line="203" w:lineRule="auto"/>
              <w:rPr>
                <w:sz w:val="21"/>
                <w:szCs w:val="21"/>
              </w:rPr>
            </w:pPr>
            <w:r>
              <w:rPr>
                <w:sz w:val="21"/>
                <w:szCs w:val="21"/>
                <w:spacing w:val="-2"/>
              </w:rPr>
              <w:t>批复情况</w:t>
            </w:r>
          </w:p>
        </w:tc>
        <w:tc>
          <w:tcPr>
            <w:tcW w:w="1369" w:type="dxa"/>
            <w:vAlign w:val="top"/>
          </w:tcPr>
          <w:p>
            <w:pPr>
              <w:pStyle w:val="TableText"/>
              <w:ind w:left="466"/>
              <w:spacing w:before="36" w:line="201" w:lineRule="auto"/>
              <w:rPr>
                <w:sz w:val="21"/>
                <w:szCs w:val="21"/>
              </w:rPr>
            </w:pPr>
            <w:r>
              <w:rPr>
                <w:sz w:val="21"/>
                <w:szCs w:val="21"/>
                <w:spacing w:val="10"/>
              </w:rPr>
              <w:t>时间</w:t>
            </w:r>
          </w:p>
        </w:tc>
        <w:tc>
          <w:tcPr>
            <w:tcW w:w="2333" w:type="dxa"/>
            <w:vAlign w:val="top"/>
          </w:tcPr>
          <w:p>
            <w:pPr>
              <w:pStyle w:val="TableText"/>
              <w:ind w:left="948"/>
              <w:spacing w:before="35" w:line="202" w:lineRule="auto"/>
              <w:rPr>
                <w:sz w:val="21"/>
                <w:szCs w:val="21"/>
              </w:rPr>
            </w:pPr>
            <w:r>
              <w:rPr>
                <w:sz w:val="21"/>
                <w:szCs w:val="21"/>
                <w:spacing w:val="5"/>
              </w:rPr>
              <w:t>备注</w:t>
            </w:r>
          </w:p>
        </w:tc>
      </w:tr>
      <w:tr>
        <w:trPr>
          <w:trHeight w:val="1388" w:hRule="atLeast"/>
        </w:trPr>
        <w:tc>
          <w:tcPr>
            <w:tcW w:w="874" w:type="dxa"/>
            <w:vAlign w:val="top"/>
          </w:tcPr>
          <w:p>
            <w:pPr>
              <w:spacing w:line="284" w:lineRule="auto"/>
              <w:rPr>
                <w:rFonts w:ascii="Arial"/>
                <w:sz w:val="21"/>
              </w:rPr>
            </w:pPr>
            <w:r/>
          </w:p>
          <w:p>
            <w:pPr>
              <w:spacing w:line="285" w:lineRule="auto"/>
              <w:rPr>
                <w:rFonts w:ascii="Arial"/>
                <w:sz w:val="21"/>
              </w:rPr>
            </w:pPr>
            <w:r/>
          </w:p>
          <w:p>
            <w:pPr>
              <w:pStyle w:val="TableText"/>
              <w:ind w:left="374"/>
              <w:spacing w:before="69" w:line="184" w:lineRule="auto"/>
              <w:rPr>
                <w:sz w:val="21"/>
                <w:szCs w:val="21"/>
              </w:rPr>
            </w:pPr>
            <w:r>
              <w:rPr>
                <w:sz w:val="21"/>
                <w:szCs w:val="21"/>
              </w:rPr>
              <w:t>1</w:t>
            </w:r>
          </w:p>
        </w:tc>
        <w:tc>
          <w:tcPr>
            <w:tcW w:w="820" w:type="dxa"/>
            <w:vAlign w:val="top"/>
            <w:vMerge w:val="restart"/>
            <w:tcBorders>
              <w:bottom w:val="nil"/>
            </w:tcBorders>
          </w:tcPr>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191"/>
              <w:spacing w:before="68" w:line="290" w:lineRule="exact"/>
              <w:rPr>
                <w:sz w:val="21"/>
                <w:szCs w:val="21"/>
              </w:rPr>
            </w:pPr>
            <w:r>
              <w:rPr>
                <w:sz w:val="21"/>
                <w:szCs w:val="21"/>
                <w:spacing w:val="6"/>
                <w:position w:val="5"/>
              </w:rPr>
              <w:t>一期</w:t>
            </w:r>
          </w:p>
          <w:p>
            <w:pPr>
              <w:pStyle w:val="TableText"/>
              <w:ind w:left="191"/>
              <w:spacing w:line="220" w:lineRule="auto"/>
              <w:rPr>
                <w:sz w:val="21"/>
                <w:szCs w:val="21"/>
              </w:rPr>
            </w:pPr>
            <w:r>
              <w:rPr>
                <w:sz w:val="21"/>
                <w:szCs w:val="21"/>
                <w:spacing w:val="-3"/>
              </w:rPr>
              <w:t>工程</w:t>
            </w:r>
          </w:p>
        </w:tc>
        <w:tc>
          <w:tcPr>
            <w:tcW w:w="1219" w:type="dxa"/>
            <w:vAlign w:val="top"/>
          </w:tcPr>
          <w:p>
            <w:pPr>
              <w:spacing w:line="258" w:lineRule="auto"/>
              <w:rPr>
                <w:rFonts w:ascii="Arial"/>
                <w:sz w:val="21"/>
              </w:rPr>
            </w:pPr>
            <w:r/>
          </w:p>
          <w:p>
            <w:pPr>
              <w:spacing w:line="259" w:lineRule="auto"/>
              <w:rPr>
                <w:rFonts w:ascii="Arial"/>
                <w:sz w:val="21"/>
              </w:rPr>
            </w:pPr>
            <w:r/>
          </w:p>
          <w:p>
            <w:pPr>
              <w:pStyle w:val="TableText"/>
              <w:ind w:left="391"/>
              <w:spacing w:before="69" w:line="220" w:lineRule="auto"/>
              <w:rPr>
                <w:sz w:val="21"/>
                <w:szCs w:val="21"/>
              </w:rPr>
            </w:pPr>
            <w:r>
              <w:rPr>
                <w:sz w:val="21"/>
                <w:szCs w:val="21"/>
                <w:spacing w:val="-3"/>
              </w:rPr>
              <w:t>环评</w:t>
            </w:r>
          </w:p>
        </w:tc>
        <w:tc>
          <w:tcPr>
            <w:tcW w:w="4577" w:type="dxa"/>
            <w:vAlign w:val="top"/>
          </w:tcPr>
          <w:p>
            <w:pPr>
              <w:pStyle w:val="TableText"/>
              <w:ind w:left="541"/>
              <w:spacing w:before="65" w:line="216" w:lineRule="auto"/>
              <w:rPr>
                <w:sz w:val="21"/>
                <w:szCs w:val="21"/>
              </w:rPr>
            </w:pPr>
            <w:r>
              <w:rPr>
                <w:sz w:val="21"/>
                <w:szCs w:val="21"/>
                <w:spacing w:val="5"/>
              </w:rPr>
              <w:t>总用地面积429436.30m²,总建筑面积</w:t>
            </w:r>
          </w:p>
          <w:p>
            <w:pPr>
              <w:pStyle w:val="TableText"/>
              <w:ind w:left="71"/>
              <w:spacing w:before="34" w:line="216" w:lineRule="auto"/>
              <w:rPr>
                <w:sz w:val="21"/>
                <w:szCs w:val="21"/>
              </w:rPr>
            </w:pPr>
            <w:r>
              <w:rPr>
                <w:sz w:val="21"/>
                <w:szCs w:val="21"/>
                <w:spacing w:val="8"/>
              </w:rPr>
              <w:t>240501.79m²,其中一期建筑面积132670.48m²,</w:t>
            </w:r>
          </w:p>
          <w:p>
            <w:pPr>
              <w:pStyle w:val="TableText"/>
              <w:ind w:left="121"/>
              <w:spacing w:before="14" w:line="216" w:lineRule="auto"/>
              <w:rPr>
                <w:sz w:val="21"/>
                <w:szCs w:val="21"/>
              </w:rPr>
            </w:pPr>
            <w:r>
              <w:rPr>
                <w:sz w:val="21"/>
                <w:szCs w:val="21"/>
                <w:spacing w:val="5"/>
              </w:rPr>
              <w:t>二期建筑面积107831.31m²,包含一</w:t>
            </w:r>
            <w:r>
              <w:rPr>
                <w:sz w:val="21"/>
                <w:szCs w:val="21"/>
                <w:spacing w:val="4"/>
              </w:rPr>
              <w:t>期、二期的</w:t>
            </w:r>
          </w:p>
          <w:p>
            <w:pPr>
              <w:pStyle w:val="TableText"/>
              <w:ind w:left="121"/>
              <w:spacing w:before="47" w:line="219" w:lineRule="auto"/>
              <w:rPr>
                <w:sz w:val="21"/>
                <w:szCs w:val="21"/>
              </w:rPr>
            </w:pPr>
            <w:r>
              <w:rPr>
                <w:sz w:val="21"/>
                <w:szCs w:val="21"/>
              </w:rPr>
              <w:t>土建内容以及一期的生产内容，即建设8条电芯</w:t>
            </w:r>
          </w:p>
          <w:p>
            <w:pPr>
              <w:pStyle w:val="TableText"/>
              <w:ind w:left="231"/>
              <w:spacing w:before="20" w:line="184" w:lineRule="auto"/>
              <w:rPr>
                <w:sz w:val="21"/>
                <w:szCs w:val="21"/>
              </w:rPr>
            </w:pPr>
            <w:r>
              <w:rPr>
                <w:sz w:val="21"/>
                <w:szCs w:val="21"/>
                <w:spacing w:val="-1"/>
              </w:rPr>
              <w:t>生产线及10条模组线，年产锂离子电池10GWh</w:t>
            </w:r>
          </w:p>
        </w:tc>
        <w:tc>
          <w:tcPr>
            <w:tcW w:w="2948" w:type="dxa"/>
            <w:vAlign w:val="top"/>
          </w:tcPr>
          <w:p>
            <w:pPr>
              <w:spacing w:line="388" w:lineRule="auto"/>
              <w:rPr>
                <w:rFonts w:ascii="Arial"/>
                <w:sz w:val="21"/>
              </w:rPr>
            </w:pPr>
            <w:r/>
          </w:p>
          <w:p>
            <w:pPr>
              <w:pStyle w:val="TableText"/>
              <w:ind w:left="734" w:right="92" w:hanging="629"/>
              <w:spacing w:before="68" w:line="242" w:lineRule="auto"/>
              <w:rPr>
                <w:sz w:val="21"/>
                <w:szCs w:val="21"/>
              </w:rPr>
            </w:pPr>
            <w:r>
              <w:rPr>
                <w:sz w:val="21"/>
                <w:szCs w:val="21"/>
              </w:rPr>
              <w:t>宁德市霞浦生态环境局，霞环</w:t>
            </w:r>
            <w:r>
              <w:rPr>
                <w:sz w:val="21"/>
                <w:szCs w:val="21"/>
                <w:spacing w:val="9"/>
              </w:rPr>
              <w:t xml:space="preserve"> </w:t>
            </w:r>
            <w:r>
              <w:rPr>
                <w:sz w:val="21"/>
                <w:szCs w:val="21"/>
                <w:spacing w:val="1"/>
              </w:rPr>
              <w:t>保审(2019)27号</w:t>
            </w:r>
          </w:p>
        </w:tc>
        <w:tc>
          <w:tcPr>
            <w:tcW w:w="1369" w:type="dxa"/>
            <w:vAlign w:val="top"/>
          </w:tcPr>
          <w:p>
            <w:pPr>
              <w:spacing w:line="284" w:lineRule="auto"/>
              <w:rPr>
                <w:rFonts w:ascii="Arial"/>
                <w:sz w:val="21"/>
              </w:rPr>
            </w:pPr>
            <w:r/>
          </w:p>
          <w:p>
            <w:pPr>
              <w:spacing w:line="285" w:lineRule="auto"/>
              <w:rPr>
                <w:rFonts w:ascii="Arial"/>
                <w:sz w:val="21"/>
              </w:rPr>
            </w:pPr>
            <w:r/>
          </w:p>
          <w:p>
            <w:pPr>
              <w:pStyle w:val="TableText"/>
              <w:ind w:left="156"/>
              <w:spacing w:before="69" w:line="184" w:lineRule="auto"/>
              <w:rPr>
                <w:sz w:val="21"/>
                <w:szCs w:val="21"/>
              </w:rPr>
            </w:pPr>
            <w:r>
              <w:rPr>
                <w:sz w:val="21"/>
                <w:szCs w:val="21"/>
                <w:spacing w:val="-1"/>
              </w:rPr>
              <w:t>2019.10.11</w:t>
            </w:r>
          </w:p>
        </w:tc>
        <w:tc>
          <w:tcPr>
            <w:tcW w:w="2333" w:type="dxa"/>
            <w:vAlign w:val="top"/>
          </w:tcPr>
          <w:p>
            <w:pPr>
              <w:spacing w:line="418" w:lineRule="auto"/>
              <w:rPr>
                <w:rFonts w:ascii="Arial"/>
                <w:sz w:val="21"/>
              </w:rPr>
            </w:pPr>
            <w:r/>
          </w:p>
          <w:p>
            <w:pPr>
              <w:pStyle w:val="TableText"/>
              <w:ind w:left="897" w:right="433" w:hanging="470"/>
              <w:spacing w:before="68" w:line="225" w:lineRule="auto"/>
              <w:rPr>
                <w:sz w:val="21"/>
                <w:szCs w:val="21"/>
              </w:rPr>
            </w:pPr>
            <w:r>
              <w:rPr>
                <w:sz w:val="21"/>
                <w:szCs w:val="21"/>
                <w:spacing w:val="-2"/>
              </w:rPr>
              <w:t>产能锂离子电池</w:t>
            </w:r>
            <w:r>
              <w:rPr>
                <w:sz w:val="21"/>
                <w:szCs w:val="21"/>
                <w:spacing w:val="4"/>
              </w:rPr>
              <w:t xml:space="preserve"> </w:t>
            </w:r>
            <w:r>
              <w:rPr>
                <w:sz w:val="21"/>
                <w:szCs w:val="21"/>
                <w:spacing w:val="-5"/>
              </w:rPr>
              <w:t>10GWh</w:t>
            </w:r>
          </w:p>
        </w:tc>
      </w:tr>
      <w:tr>
        <w:trPr>
          <w:trHeight w:val="529" w:hRule="atLeast"/>
        </w:trPr>
        <w:tc>
          <w:tcPr>
            <w:tcW w:w="874" w:type="dxa"/>
            <w:vAlign w:val="top"/>
          </w:tcPr>
          <w:p>
            <w:pPr>
              <w:pStyle w:val="TableText"/>
              <w:ind w:left="374"/>
              <w:spacing w:before="214" w:line="183" w:lineRule="auto"/>
              <w:rPr>
                <w:sz w:val="21"/>
                <w:szCs w:val="21"/>
              </w:rPr>
            </w:pPr>
            <w:r>
              <w:rPr>
                <w:sz w:val="21"/>
                <w:szCs w:val="21"/>
              </w:rPr>
              <w:t>2</w:t>
            </w:r>
          </w:p>
        </w:tc>
        <w:tc>
          <w:tcPr>
            <w:tcW w:w="820" w:type="dxa"/>
            <w:vAlign w:val="top"/>
            <w:vMerge w:val="continue"/>
            <w:tcBorders>
              <w:top w:val="nil"/>
              <w:bottom w:val="nil"/>
            </w:tcBorders>
          </w:tcPr>
          <w:p>
            <w:pPr>
              <w:rPr>
                <w:rFonts w:ascii="Arial"/>
                <w:sz w:val="21"/>
              </w:rPr>
            </w:pPr>
            <w:r/>
          </w:p>
        </w:tc>
        <w:tc>
          <w:tcPr>
            <w:tcW w:w="1219" w:type="dxa"/>
            <w:vAlign w:val="top"/>
          </w:tcPr>
          <w:p>
            <w:pPr>
              <w:pStyle w:val="TableText"/>
              <w:ind w:left="491" w:right="178" w:hanging="310"/>
              <w:spacing w:before="41" w:line="210" w:lineRule="auto"/>
              <w:rPr>
                <w:sz w:val="21"/>
                <w:szCs w:val="21"/>
              </w:rPr>
            </w:pPr>
            <w:r>
              <w:rPr>
                <w:sz w:val="21"/>
                <w:szCs w:val="21"/>
                <w:spacing w:val="2"/>
              </w:rPr>
              <w:t>阶段性验</w:t>
            </w:r>
            <w:r>
              <w:rPr>
                <w:sz w:val="21"/>
                <w:szCs w:val="21"/>
              </w:rPr>
              <w:t xml:space="preserve"> </w:t>
            </w:r>
            <w:r>
              <w:rPr>
                <w:sz w:val="21"/>
                <w:szCs w:val="21"/>
              </w:rPr>
              <w:t>收</w:t>
            </w:r>
          </w:p>
        </w:tc>
        <w:tc>
          <w:tcPr>
            <w:tcW w:w="4577" w:type="dxa"/>
            <w:vAlign w:val="top"/>
          </w:tcPr>
          <w:p>
            <w:pPr>
              <w:pStyle w:val="TableText"/>
              <w:ind w:left="1960" w:right="194" w:hanging="1779"/>
              <w:spacing w:before="70" w:line="197" w:lineRule="auto"/>
              <w:rPr>
                <w:sz w:val="21"/>
                <w:szCs w:val="21"/>
              </w:rPr>
            </w:pPr>
            <w:r>
              <w:rPr>
                <w:sz w:val="21"/>
                <w:szCs w:val="21"/>
                <w:spacing w:val="-1"/>
              </w:rPr>
              <w:t>6条电芯生产线、5条模组线，年产锂离子电池</w:t>
            </w:r>
            <w:r>
              <w:rPr>
                <w:sz w:val="21"/>
                <w:szCs w:val="21"/>
                <w:spacing w:val="10"/>
              </w:rPr>
              <w:t xml:space="preserve"> </w:t>
            </w:r>
            <w:r>
              <w:rPr>
                <w:sz w:val="21"/>
                <w:szCs w:val="21"/>
                <w:spacing w:val="-2"/>
              </w:rPr>
              <w:t>6.7Gwh</w:t>
            </w:r>
          </w:p>
        </w:tc>
        <w:tc>
          <w:tcPr>
            <w:tcW w:w="2948" w:type="dxa"/>
            <w:vAlign w:val="top"/>
          </w:tcPr>
          <w:p>
            <w:pPr>
              <w:pStyle w:val="TableText"/>
              <w:ind w:left="1044"/>
              <w:spacing w:before="160" w:line="219" w:lineRule="auto"/>
              <w:rPr>
                <w:sz w:val="21"/>
                <w:szCs w:val="21"/>
              </w:rPr>
            </w:pPr>
            <w:r>
              <w:rPr>
                <w:sz w:val="21"/>
                <w:szCs w:val="21"/>
                <w:spacing w:val="2"/>
              </w:rPr>
              <w:t>自主验收</w:t>
            </w:r>
          </w:p>
        </w:tc>
        <w:tc>
          <w:tcPr>
            <w:tcW w:w="1369" w:type="dxa"/>
            <w:vAlign w:val="top"/>
          </w:tcPr>
          <w:p>
            <w:pPr>
              <w:pStyle w:val="TableText"/>
              <w:ind w:left="206"/>
              <w:spacing w:before="213" w:line="184" w:lineRule="auto"/>
              <w:rPr>
                <w:sz w:val="21"/>
                <w:szCs w:val="21"/>
              </w:rPr>
            </w:pPr>
            <w:r>
              <w:rPr>
                <w:sz w:val="21"/>
                <w:szCs w:val="21"/>
                <w:spacing w:val="-2"/>
              </w:rPr>
              <w:t>2021.11.6</w:t>
            </w:r>
          </w:p>
        </w:tc>
        <w:tc>
          <w:tcPr>
            <w:tcW w:w="2333" w:type="dxa"/>
            <w:vAlign w:val="top"/>
          </w:tcPr>
          <w:p>
            <w:pPr>
              <w:pStyle w:val="TableText"/>
              <w:ind w:left="846" w:right="433" w:hanging="419"/>
              <w:spacing w:before="50" w:line="206" w:lineRule="auto"/>
              <w:rPr>
                <w:sz w:val="21"/>
                <w:szCs w:val="21"/>
              </w:rPr>
            </w:pPr>
            <w:r>
              <w:rPr>
                <w:sz w:val="21"/>
                <w:szCs w:val="21"/>
                <w:spacing w:val="-2"/>
              </w:rPr>
              <w:t>产能锂离子电池</w:t>
            </w:r>
            <w:r>
              <w:rPr>
                <w:sz w:val="21"/>
                <w:szCs w:val="21"/>
                <w:spacing w:val="4"/>
              </w:rPr>
              <w:t xml:space="preserve"> </w:t>
            </w:r>
            <w:r>
              <w:rPr>
                <w:sz w:val="21"/>
                <w:szCs w:val="21"/>
                <w:spacing w:val="-2"/>
              </w:rPr>
              <w:t>6.7GWh</w:t>
            </w:r>
          </w:p>
        </w:tc>
      </w:tr>
      <w:tr>
        <w:trPr>
          <w:trHeight w:val="1099" w:hRule="atLeast"/>
        </w:trPr>
        <w:tc>
          <w:tcPr>
            <w:tcW w:w="874" w:type="dxa"/>
            <w:vAlign w:val="top"/>
          </w:tcPr>
          <w:p>
            <w:pPr>
              <w:spacing w:line="434" w:lineRule="auto"/>
              <w:rPr>
                <w:rFonts w:ascii="Arial"/>
                <w:sz w:val="21"/>
              </w:rPr>
            </w:pPr>
            <w:r/>
          </w:p>
          <w:p>
            <w:pPr>
              <w:pStyle w:val="TableText"/>
              <w:ind w:left="374"/>
              <w:spacing w:before="69" w:line="183" w:lineRule="auto"/>
              <w:rPr>
                <w:sz w:val="21"/>
                <w:szCs w:val="21"/>
              </w:rPr>
            </w:pPr>
            <w:r>
              <w:rPr>
                <w:sz w:val="21"/>
                <w:szCs w:val="21"/>
              </w:rPr>
              <w:t>3</w:t>
            </w:r>
          </w:p>
        </w:tc>
        <w:tc>
          <w:tcPr>
            <w:tcW w:w="820" w:type="dxa"/>
            <w:vAlign w:val="top"/>
            <w:vMerge w:val="continue"/>
            <w:tcBorders>
              <w:top w:val="nil"/>
            </w:tcBorders>
          </w:tcPr>
          <w:p>
            <w:pPr>
              <w:rPr>
                <w:rFonts w:ascii="Arial"/>
                <w:sz w:val="21"/>
              </w:rPr>
            </w:pPr>
            <w:r/>
          </w:p>
        </w:tc>
        <w:tc>
          <w:tcPr>
            <w:tcW w:w="1219" w:type="dxa"/>
            <w:vAlign w:val="top"/>
          </w:tcPr>
          <w:p>
            <w:pPr>
              <w:spacing w:line="381" w:lineRule="auto"/>
              <w:rPr>
                <w:rFonts w:ascii="Arial"/>
                <w:sz w:val="21"/>
              </w:rPr>
            </w:pPr>
            <w:r/>
          </w:p>
          <w:p>
            <w:pPr>
              <w:pStyle w:val="TableText"/>
              <w:ind w:left="181"/>
              <w:spacing w:before="68" w:line="219" w:lineRule="auto"/>
              <w:rPr>
                <w:sz w:val="21"/>
                <w:szCs w:val="21"/>
              </w:rPr>
            </w:pPr>
            <w:r>
              <w:rPr>
                <w:sz w:val="21"/>
                <w:szCs w:val="21"/>
                <w:spacing w:val="-2"/>
              </w:rPr>
              <w:t>整体验收</w:t>
            </w:r>
          </w:p>
        </w:tc>
        <w:tc>
          <w:tcPr>
            <w:tcW w:w="4577" w:type="dxa"/>
            <w:vAlign w:val="top"/>
          </w:tcPr>
          <w:p>
            <w:pPr>
              <w:spacing w:line="381" w:lineRule="auto"/>
              <w:rPr>
                <w:rFonts w:ascii="Arial"/>
                <w:sz w:val="21"/>
              </w:rPr>
            </w:pPr>
            <w:r/>
          </w:p>
          <w:p>
            <w:pPr>
              <w:pStyle w:val="TableText"/>
              <w:ind w:left="121"/>
              <w:spacing w:before="68" w:line="219" w:lineRule="auto"/>
              <w:rPr>
                <w:sz w:val="21"/>
                <w:szCs w:val="21"/>
              </w:rPr>
            </w:pPr>
            <w:r>
              <w:rPr>
                <w:sz w:val="21"/>
                <w:szCs w:val="21"/>
              </w:rPr>
              <w:t>6条电芯线、6条模组线，年产锂离子电池10Gwh</w:t>
            </w:r>
          </w:p>
        </w:tc>
        <w:tc>
          <w:tcPr>
            <w:tcW w:w="2948" w:type="dxa"/>
            <w:vAlign w:val="top"/>
          </w:tcPr>
          <w:p>
            <w:pPr>
              <w:spacing w:line="381" w:lineRule="auto"/>
              <w:rPr>
                <w:rFonts w:ascii="Arial"/>
                <w:sz w:val="21"/>
              </w:rPr>
            </w:pPr>
            <w:r/>
          </w:p>
          <w:p>
            <w:pPr>
              <w:pStyle w:val="TableText"/>
              <w:ind w:left="1044"/>
              <w:spacing w:before="68" w:line="219" w:lineRule="auto"/>
              <w:rPr>
                <w:sz w:val="21"/>
                <w:szCs w:val="21"/>
              </w:rPr>
            </w:pPr>
            <w:r>
              <w:rPr>
                <w:sz w:val="21"/>
                <w:szCs w:val="21"/>
                <w:spacing w:val="2"/>
              </w:rPr>
              <w:t>自主验收</w:t>
            </w:r>
          </w:p>
        </w:tc>
        <w:tc>
          <w:tcPr>
            <w:tcW w:w="1369" w:type="dxa"/>
            <w:vAlign w:val="top"/>
          </w:tcPr>
          <w:p>
            <w:pPr>
              <w:spacing w:line="434" w:lineRule="auto"/>
              <w:rPr>
                <w:rFonts w:ascii="Arial"/>
                <w:sz w:val="21"/>
              </w:rPr>
            </w:pPr>
            <w:r/>
          </w:p>
          <w:p>
            <w:pPr>
              <w:pStyle w:val="TableText"/>
              <w:ind w:left="206"/>
              <w:spacing w:before="69" w:line="183" w:lineRule="auto"/>
              <w:rPr>
                <w:sz w:val="21"/>
                <w:szCs w:val="21"/>
              </w:rPr>
            </w:pPr>
            <w:r>
              <w:rPr>
                <w:sz w:val="21"/>
                <w:szCs w:val="21"/>
                <w:spacing w:val="-2"/>
              </w:rPr>
              <w:t>2022.8.25</w:t>
            </w:r>
          </w:p>
        </w:tc>
        <w:tc>
          <w:tcPr>
            <w:tcW w:w="2333" w:type="dxa"/>
            <w:vAlign w:val="top"/>
          </w:tcPr>
          <w:p>
            <w:pPr>
              <w:pStyle w:val="TableText"/>
              <w:ind w:left="427"/>
              <w:spacing w:before="51" w:line="219" w:lineRule="auto"/>
              <w:rPr>
                <w:sz w:val="21"/>
                <w:szCs w:val="21"/>
              </w:rPr>
            </w:pPr>
            <w:r>
              <w:rPr>
                <w:sz w:val="21"/>
                <w:szCs w:val="21"/>
                <w:spacing w:val="-2"/>
              </w:rPr>
              <w:t>产能锂离子电池</w:t>
            </w:r>
          </w:p>
          <w:p>
            <w:pPr>
              <w:pStyle w:val="TableText"/>
              <w:ind w:left="217"/>
              <w:spacing w:before="17" w:line="216" w:lineRule="auto"/>
              <w:rPr>
                <w:sz w:val="21"/>
                <w:szCs w:val="21"/>
              </w:rPr>
            </w:pPr>
            <w:r>
              <w:rPr>
                <w:sz w:val="21"/>
                <w:szCs w:val="21"/>
                <w:spacing w:val="1"/>
              </w:rPr>
              <w:t>10</w:t>
            </w:r>
            <w:r>
              <w:rPr>
                <w:sz w:val="21"/>
                <w:szCs w:val="21"/>
              </w:rPr>
              <w:t>GWh</w:t>
            </w:r>
            <w:r>
              <w:rPr>
                <w:sz w:val="21"/>
                <w:szCs w:val="21"/>
                <w:spacing w:val="1"/>
              </w:rPr>
              <w:t>,尚未建的生产</w:t>
            </w:r>
          </w:p>
          <w:p>
            <w:pPr>
              <w:pStyle w:val="TableText"/>
              <w:ind w:left="108"/>
              <w:spacing w:before="27" w:line="219" w:lineRule="auto"/>
              <w:rPr>
                <w:sz w:val="21"/>
                <w:szCs w:val="21"/>
              </w:rPr>
            </w:pPr>
            <w:r>
              <w:rPr>
                <w:sz w:val="21"/>
                <w:szCs w:val="21"/>
                <w:spacing w:val="-1"/>
              </w:rPr>
              <w:t>线，需按环评要求重新</w:t>
            </w:r>
          </w:p>
          <w:p>
            <w:pPr>
              <w:pStyle w:val="TableText"/>
              <w:ind w:left="948"/>
              <w:spacing w:before="39" w:line="183" w:lineRule="auto"/>
              <w:rPr>
                <w:sz w:val="21"/>
                <w:szCs w:val="21"/>
              </w:rPr>
            </w:pPr>
            <w:r>
              <w:rPr>
                <w:sz w:val="21"/>
                <w:szCs w:val="21"/>
                <w:spacing w:val="4"/>
              </w:rPr>
              <w:t>申报</w:t>
            </w:r>
          </w:p>
        </w:tc>
      </w:tr>
      <w:tr>
        <w:trPr>
          <w:trHeight w:val="2177" w:hRule="atLeast"/>
        </w:trPr>
        <w:tc>
          <w:tcPr>
            <w:tcW w:w="874"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374"/>
              <w:spacing w:before="68" w:line="183" w:lineRule="auto"/>
              <w:rPr>
                <w:sz w:val="21"/>
                <w:szCs w:val="21"/>
              </w:rPr>
            </w:pPr>
            <w:r>
              <w:rPr>
                <w:sz w:val="21"/>
                <w:szCs w:val="21"/>
              </w:rPr>
              <w:t>4</w:t>
            </w:r>
          </w:p>
        </w:tc>
        <w:tc>
          <w:tcPr>
            <w:tcW w:w="820"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pStyle w:val="TableText"/>
              <w:ind w:left="191"/>
              <w:spacing w:before="68" w:line="280" w:lineRule="exact"/>
              <w:rPr>
                <w:sz w:val="21"/>
                <w:szCs w:val="21"/>
              </w:rPr>
            </w:pPr>
            <w:r>
              <w:rPr>
                <w:sz w:val="21"/>
                <w:szCs w:val="21"/>
                <w:spacing w:val="6"/>
                <w:position w:val="4"/>
              </w:rPr>
              <w:t>二期</w:t>
            </w:r>
          </w:p>
          <w:p>
            <w:pPr>
              <w:pStyle w:val="TableText"/>
              <w:ind w:left="191"/>
              <w:spacing w:line="220" w:lineRule="auto"/>
              <w:rPr>
                <w:sz w:val="21"/>
                <w:szCs w:val="21"/>
              </w:rPr>
            </w:pPr>
            <w:r>
              <w:rPr>
                <w:sz w:val="21"/>
                <w:szCs w:val="21"/>
                <w:spacing w:val="-3"/>
              </w:rPr>
              <w:t>工程</w:t>
            </w:r>
          </w:p>
        </w:tc>
        <w:tc>
          <w:tcPr>
            <w:tcW w:w="1219" w:type="dxa"/>
            <w:vAlign w:val="top"/>
          </w:tcPr>
          <w:p>
            <w:pPr>
              <w:spacing w:line="306" w:lineRule="auto"/>
              <w:rPr>
                <w:rFonts w:ascii="Arial"/>
                <w:sz w:val="21"/>
              </w:rPr>
            </w:pPr>
            <w:r/>
          </w:p>
          <w:p>
            <w:pPr>
              <w:spacing w:line="306" w:lineRule="auto"/>
              <w:rPr>
                <w:rFonts w:ascii="Arial"/>
                <w:sz w:val="21"/>
              </w:rPr>
            </w:pPr>
            <w:r/>
          </w:p>
          <w:p>
            <w:pPr>
              <w:spacing w:line="307" w:lineRule="auto"/>
              <w:rPr>
                <w:rFonts w:ascii="Arial"/>
                <w:sz w:val="21"/>
              </w:rPr>
            </w:pPr>
            <w:r/>
          </w:p>
          <w:p>
            <w:pPr>
              <w:pStyle w:val="TableText"/>
              <w:ind w:left="391"/>
              <w:spacing w:before="68" w:line="220" w:lineRule="auto"/>
              <w:rPr>
                <w:sz w:val="21"/>
                <w:szCs w:val="21"/>
              </w:rPr>
            </w:pPr>
            <w:r>
              <w:rPr>
                <w:sz w:val="21"/>
                <w:szCs w:val="21"/>
                <w:spacing w:val="-3"/>
              </w:rPr>
              <w:t>环评</w:t>
            </w:r>
          </w:p>
        </w:tc>
        <w:tc>
          <w:tcPr>
            <w:tcW w:w="4577" w:type="dxa"/>
            <w:vAlign w:val="top"/>
          </w:tcPr>
          <w:p>
            <w:pPr>
              <w:pStyle w:val="TableText"/>
              <w:ind w:left="71"/>
              <w:spacing w:before="32" w:line="219" w:lineRule="auto"/>
              <w:rPr>
                <w:sz w:val="21"/>
                <w:szCs w:val="21"/>
              </w:rPr>
            </w:pPr>
            <w:r>
              <w:rPr>
                <w:sz w:val="21"/>
                <w:szCs w:val="21"/>
                <w:spacing w:val="-1"/>
              </w:rPr>
              <w:t>利用原厂址闲置土地，建设厂房、办公室、宿舍</w:t>
            </w:r>
          </w:p>
          <w:p>
            <w:pPr>
              <w:pStyle w:val="TableText"/>
              <w:ind w:left="181"/>
              <w:spacing w:before="50" w:line="219" w:lineRule="auto"/>
              <w:rPr>
                <w:sz w:val="21"/>
                <w:szCs w:val="21"/>
              </w:rPr>
            </w:pPr>
            <w:r>
              <w:rPr>
                <w:sz w:val="21"/>
                <w:szCs w:val="21"/>
                <w:spacing w:val="-1"/>
              </w:rPr>
              <w:t>楼等，总建筑面积25万平方米，主要购置包括</w:t>
            </w:r>
          </w:p>
          <w:p>
            <w:pPr>
              <w:pStyle w:val="TableText"/>
              <w:spacing w:before="29" w:line="219" w:lineRule="auto"/>
              <w:jc w:val="right"/>
              <w:rPr>
                <w:sz w:val="21"/>
                <w:szCs w:val="21"/>
              </w:rPr>
            </w:pPr>
            <w:r>
              <w:rPr>
                <w:sz w:val="21"/>
                <w:szCs w:val="21"/>
                <w:spacing w:val="-9"/>
              </w:rPr>
              <w:t>搅拌机、涂布机、冷压机、注液机、锅炉等设备，</w:t>
            </w:r>
          </w:p>
          <w:p>
            <w:pPr>
              <w:pStyle w:val="TableText"/>
              <w:ind w:left="181"/>
              <w:spacing w:before="11" w:line="219" w:lineRule="auto"/>
              <w:rPr>
                <w:sz w:val="21"/>
                <w:szCs w:val="21"/>
              </w:rPr>
            </w:pPr>
            <w:r>
              <w:rPr>
                <w:sz w:val="21"/>
                <w:szCs w:val="21"/>
              </w:rPr>
              <w:t>拟建设动力电池电芯生产线6条，模组生产线5</w:t>
            </w:r>
          </w:p>
          <w:p>
            <w:pPr>
              <w:pStyle w:val="TableText"/>
              <w:ind w:left="71"/>
              <w:spacing w:before="10" w:line="219" w:lineRule="auto"/>
              <w:rPr>
                <w:sz w:val="21"/>
                <w:szCs w:val="21"/>
              </w:rPr>
            </w:pPr>
            <w:r>
              <w:rPr>
                <w:sz w:val="21"/>
                <w:szCs w:val="21"/>
              </w:rPr>
              <w:t>条；拟改造一期项目锅炉房，锅炉房供热设备调</w:t>
            </w:r>
          </w:p>
          <w:p>
            <w:pPr>
              <w:pStyle w:val="TableText"/>
              <w:ind w:left="181"/>
              <w:spacing w:before="13" w:line="219" w:lineRule="auto"/>
              <w:rPr>
                <w:sz w:val="21"/>
                <w:szCs w:val="21"/>
              </w:rPr>
            </w:pPr>
            <w:r>
              <w:rPr>
                <w:sz w:val="21"/>
                <w:szCs w:val="21"/>
              </w:rPr>
              <w:t>整为9台15t/h天然气锅炉，用于一期项目年产</w:t>
            </w:r>
          </w:p>
          <w:p>
            <w:pPr>
              <w:pStyle w:val="TableText"/>
              <w:ind w:left="281"/>
              <w:spacing w:before="3" w:line="214" w:lineRule="auto"/>
              <w:rPr>
                <w:sz w:val="21"/>
                <w:szCs w:val="21"/>
              </w:rPr>
            </w:pPr>
            <w:r>
              <w:rPr>
                <w:sz w:val="21"/>
                <w:szCs w:val="21"/>
              </w:rPr>
              <w:t>10gwh动力电池生产线及本期项目年产20gwh</w:t>
            </w:r>
          </w:p>
          <w:p>
            <w:pPr>
              <w:pStyle w:val="TableText"/>
              <w:ind w:left="1171"/>
              <w:spacing w:before="63" w:line="189" w:lineRule="auto"/>
              <w:rPr>
                <w:sz w:val="21"/>
                <w:szCs w:val="21"/>
              </w:rPr>
            </w:pPr>
            <w:r>
              <w:rPr>
                <w:sz w:val="21"/>
                <w:szCs w:val="21"/>
              </w:rPr>
              <w:t>动力电池生产线的供热。</w:t>
            </w:r>
          </w:p>
        </w:tc>
        <w:tc>
          <w:tcPr>
            <w:tcW w:w="2948" w:type="dxa"/>
            <w:vAlign w:val="top"/>
          </w:tcPr>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pStyle w:val="TableText"/>
              <w:ind w:left="674" w:right="92" w:hanging="569"/>
              <w:spacing w:before="68" w:line="238" w:lineRule="auto"/>
              <w:rPr>
                <w:sz w:val="21"/>
                <w:szCs w:val="21"/>
              </w:rPr>
            </w:pPr>
            <w:r>
              <w:rPr>
                <w:sz w:val="21"/>
                <w:szCs w:val="21"/>
              </w:rPr>
              <w:t>宁德市霞浦生态环境局，宁霞</w:t>
            </w:r>
            <w:r>
              <w:rPr>
                <w:sz w:val="21"/>
                <w:szCs w:val="21"/>
                <w:spacing w:val="9"/>
              </w:rPr>
              <w:t xml:space="preserve"> </w:t>
            </w:r>
            <w:r>
              <w:rPr>
                <w:sz w:val="21"/>
                <w:szCs w:val="21"/>
                <w:spacing w:val="1"/>
              </w:rPr>
              <w:t>环评〔2022〕3号</w:t>
            </w:r>
          </w:p>
        </w:tc>
        <w:tc>
          <w:tcPr>
            <w:tcW w:w="1369" w:type="dxa"/>
            <w:vAlign w:val="top"/>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206"/>
              <w:spacing w:before="68" w:line="184" w:lineRule="auto"/>
              <w:rPr>
                <w:sz w:val="21"/>
                <w:szCs w:val="21"/>
              </w:rPr>
            </w:pPr>
            <w:r>
              <w:rPr>
                <w:sz w:val="21"/>
                <w:szCs w:val="21"/>
                <w:spacing w:val="-2"/>
              </w:rPr>
              <w:t>2022.1.25</w:t>
            </w:r>
          </w:p>
        </w:tc>
        <w:tc>
          <w:tcPr>
            <w:tcW w:w="2333" w:type="dxa"/>
            <w:vAlign w:val="top"/>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897" w:right="433" w:hanging="470"/>
              <w:spacing w:before="68" w:line="230" w:lineRule="auto"/>
              <w:rPr>
                <w:sz w:val="21"/>
                <w:szCs w:val="21"/>
              </w:rPr>
            </w:pPr>
            <w:r>
              <w:rPr>
                <w:sz w:val="21"/>
                <w:szCs w:val="21"/>
                <w:spacing w:val="-2"/>
              </w:rPr>
              <w:t>产能锂离子电池</w:t>
            </w:r>
            <w:r>
              <w:rPr>
                <w:sz w:val="21"/>
                <w:szCs w:val="21"/>
                <w:spacing w:val="4"/>
              </w:rPr>
              <w:t xml:space="preserve"> </w:t>
            </w:r>
            <w:r>
              <w:rPr>
                <w:sz w:val="21"/>
                <w:szCs w:val="21"/>
                <w:spacing w:val="-3"/>
              </w:rPr>
              <w:t>20GWh</w:t>
            </w:r>
          </w:p>
        </w:tc>
      </w:tr>
      <w:tr>
        <w:trPr>
          <w:trHeight w:val="1902" w:hRule="atLeast"/>
        </w:trPr>
        <w:tc>
          <w:tcPr>
            <w:tcW w:w="874" w:type="dxa"/>
            <w:vAlign w:val="top"/>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pStyle w:val="TableText"/>
              <w:ind w:left="374"/>
              <w:spacing w:before="68" w:line="182" w:lineRule="auto"/>
              <w:rPr>
                <w:sz w:val="21"/>
                <w:szCs w:val="21"/>
              </w:rPr>
            </w:pPr>
            <w:r>
              <w:rPr>
                <w:sz w:val="21"/>
                <w:szCs w:val="21"/>
              </w:rPr>
              <w:t>5</w:t>
            </w:r>
          </w:p>
        </w:tc>
        <w:tc>
          <w:tcPr>
            <w:tcW w:w="820" w:type="dxa"/>
            <w:vAlign w:val="top"/>
            <w:vMerge w:val="continue"/>
            <w:tcBorders>
              <w:top w:val="nil"/>
            </w:tcBorders>
          </w:tcPr>
          <w:p>
            <w:pPr>
              <w:rPr>
                <w:rFonts w:ascii="Arial"/>
                <w:sz w:val="21"/>
              </w:rPr>
            </w:pPr>
            <w:r/>
          </w:p>
        </w:tc>
        <w:tc>
          <w:tcPr>
            <w:tcW w:w="1219" w:type="dxa"/>
            <w:vAlign w:val="top"/>
          </w:tcPr>
          <w:p>
            <w:pPr>
              <w:spacing w:line="322" w:lineRule="auto"/>
              <w:rPr>
                <w:rFonts w:ascii="Arial"/>
                <w:sz w:val="21"/>
              </w:rPr>
            </w:pPr>
            <w:r/>
          </w:p>
          <w:p>
            <w:pPr>
              <w:spacing w:line="322" w:lineRule="auto"/>
              <w:rPr>
                <w:rFonts w:ascii="Arial"/>
                <w:sz w:val="21"/>
              </w:rPr>
            </w:pPr>
            <w:r/>
          </w:p>
          <w:p>
            <w:pPr>
              <w:pStyle w:val="TableText"/>
              <w:ind w:left="491" w:right="178" w:hanging="310"/>
              <w:spacing w:before="68" w:line="228" w:lineRule="auto"/>
              <w:rPr>
                <w:sz w:val="21"/>
                <w:szCs w:val="21"/>
              </w:rPr>
            </w:pPr>
            <w:r>
              <w:rPr>
                <w:sz w:val="21"/>
                <w:szCs w:val="21"/>
                <w:spacing w:val="2"/>
              </w:rPr>
              <w:t>阶段性验</w:t>
            </w:r>
            <w:r>
              <w:rPr>
                <w:sz w:val="21"/>
                <w:szCs w:val="21"/>
              </w:rPr>
              <w:t xml:space="preserve"> </w:t>
            </w:r>
            <w:r>
              <w:rPr>
                <w:sz w:val="21"/>
                <w:szCs w:val="21"/>
              </w:rPr>
              <w:t>收</w:t>
            </w:r>
          </w:p>
        </w:tc>
        <w:tc>
          <w:tcPr>
            <w:tcW w:w="4577" w:type="dxa"/>
            <w:vAlign w:val="top"/>
          </w:tcPr>
          <w:p>
            <w:pPr>
              <w:pStyle w:val="TableText"/>
              <w:ind w:left="121"/>
              <w:spacing w:before="55" w:line="219" w:lineRule="auto"/>
              <w:rPr>
                <w:sz w:val="21"/>
                <w:szCs w:val="21"/>
              </w:rPr>
            </w:pPr>
            <w:r>
              <w:rPr>
                <w:sz w:val="21"/>
                <w:szCs w:val="21"/>
              </w:rPr>
              <w:t>电芯生产线前工序6条，电芯生产线后工序2条，</w:t>
            </w:r>
          </w:p>
          <w:p>
            <w:pPr>
              <w:pStyle w:val="TableText"/>
              <w:ind w:left="71"/>
              <w:spacing w:before="19" w:line="219" w:lineRule="auto"/>
              <w:rPr>
                <w:sz w:val="21"/>
                <w:szCs w:val="21"/>
              </w:rPr>
            </w:pPr>
            <w:r>
              <w:rPr>
                <w:sz w:val="21"/>
                <w:szCs w:val="21"/>
              </w:rPr>
              <w:t>并改造一期项目锅炉房，锅炉房供热设备由原本</w:t>
            </w:r>
          </w:p>
          <w:p>
            <w:pPr>
              <w:pStyle w:val="TableText"/>
              <w:ind w:left="231" w:right="171" w:hanging="50"/>
              <w:spacing w:before="12" w:line="232" w:lineRule="auto"/>
              <w:rPr>
                <w:sz w:val="21"/>
                <w:szCs w:val="21"/>
              </w:rPr>
            </w:pPr>
            <w:r>
              <w:rPr>
                <w:sz w:val="21"/>
                <w:szCs w:val="21"/>
              </w:rPr>
              <w:t>的5台15t/h天然气锅炉调整为5台15t/h天然气</w:t>
            </w:r>
            <w:r>
              <w:rPr>
                <w:sz w:val="21"/>
                <w:szCs w:val="21"/>
                <w:spacing w:val="13"/>
              </w:rPr>
              <w:t xml:space="preserve"> </w:t>
            </w:r>
            <w:r>
              <w:rPr>
                <w:sz w:val="21"/>
                <w:szCs w:val="21"/>
                <w:spacing w:val="-1"/>
              </w:rPr>
              <w:t>锅炉和2台12t/h天然气锅炉，7台天然气锅炉 </w:t>
            </w:r>
            <w:r>
              <w:rPr>
                <w:sz w:val="21"/>
                <w:szCs w:val="21"/>
                <w:spacing w:val="2"/>
              </w:rPr>
              <w:t>(分别为一期5台锅炉和二期2台锅炉)用于一</w:t>
            </w:r>
            <w:r>
              <w:rPr>
                <w:sz w:val="21"/>
                <w:szCs w:val="21"/>
                <w:spacing w:val="9"/>
              </w:rPr>
              <w:t xml:space="preserve">  </w:t>
            </w:r>
            <w:r>
              <w:rPr>
                <w:sz w:val="21"/>
                <w:szCs w:val="21"/>
                <w:spacing w:val="-1"/>
              </w:rPr>
              <w:t>期项目年产10gwh动力电池生产线及本次阶段</w:t>
            </w:r>
          </w:p>
          <w:p>
            <w:pPr>
              <w:pStyle w:val="TableText"/>
              <w:ind w:left="121"/>
              <w:spacing w:before="27" w:line="196" w:lineRule="auto"/>
              <w:rPr>
                <w:sz w:val="21"/>
                <w:szCs w:val="21"/>
              </w:rPr>
            </w:pPr>
            <w:r>
              <w:rPr>
                <w:sz w:val="21"/>
                <w:szCs w:val="21"/>
              </w:rPr>
              <w:t>性验收项目年产6.7gwh动力电池生产线的供热。</w:t>
            </w:r>
          </w:p>
        </w:tc>
        <w:tc>
          <w:tcPr>
            <w:tcW w:w="2948" w:type="dxa"/>
            <w:vAlign w:val="top"/>
          </w:tcPr>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1044"/>
              <w:spacing w:before="68" w:line="219" w:lineRule="auto"/>
              <w:rPr>
                <w:sz w:val="21"/>
                <w:szCs w:val="21"/>
              </w:rPr>
            </w:pPr>
            <w:r>
              <w:rPr>
                <w:sz w:val="21"/>
                <w:szCs w:val="21"/>
                <w:spacing w:val="2"/>
              </w:rPr>
              <w:t>自主验收</w:t>
            </w:r>
          </w:p>
        </w:tc>
        <w:tc>
          <w:tcPr>
            <w:tcW w:w="1369" w:type="dxa"/>
            <w:vAlign w:val="top"/>
          </w:tcPr>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pStyle w:val="TableText"/>
              <w:ind w:left="206"/>
              <w:spacing w:before="68" w:line="184" w:lineRule="auto"/>
              <w:rPr>
                <w:sz w:val="21"/>
                <w:szCs w:val="21"/>
              </w:rPr>
            </w:pPr>
            <w:r>
              <w:rPr>
                <w:sz w:val="21"/>
                <w:szCs w:val="21"/>
                <w:spacing w:val="-2"/>
              </w:rPr>
              <w:t>2023.4.15</w:t>
            </w:r>
          </w:p>
        </w:tc>
        <w:tc>
          <w:tcPr>
            <w:tcW w:w="2333" w:type="dxa"/>
            <w:vAlign w:val="top"/>
          </w:tcPr>
          <w:p>
            <w:pPr>
              <w:spacing w:line="257" w:lineRule="auto"/>
              <w:rPr>
                <w:rFonts w:ascii="Arial"/>
                <w:sz w:val="21"/>
              </w:rPr>
            </w:pPr>
            <w:r/>
          </w:p>
          <w:p>
            <w:pPr>
              <w:spacing w:line="257" w:lineRule="auto"/>
              <w:rPr>
                <w:rFonts w:ascii="Arial"/>
                <w:sz w:val="21"/>
              </w:rPr>
            </w:pPr>
            <w:r/>
          </w:p>
          <w:p>
            <w:pPr>
              <w:pStyle w:val="TableText"/>
              <w:ind w:left="427"/>
              <w:spacing w:before="68" w:line="219" w:lineRule="auto"/>
              <w:rPr>
                <w:sz w:val="21"/>
                <w:szCs w:val="21"/>
              </w:rPr>
            </w:pPr>
            <w:r>
              <w:rPr>
                <w:sz w:val="21"/>
                <w:szCs w:val="21"/>
                <w:spacing w:val="-2"/>
              </w:rPr>
              <w:t>产能锂离子电池</w:t>
            </w:r>
          </w:p>
          <w:p>
            <w:pPr>
              <w:pStyle w:val="TableText"/>
              <w:ind w:left="158"/>
              <w:spacing w:before="27" w:line="216" w:lineRule="auto"/>
              <w:rPr>
                <w:sz w:val="21"/>
                <w:szCs w:val="21"/>
              </w:rPr>
            </w:pPr>
            <w:r>
              <w:rPr>
                <w:sz w:val="21"/>
                <w:szCs w:val="21"/>
                <w:spacing w:val="1"/>
              </w:rPr>
              <w:t>6.7</w:t>
            </w:r>
            <w:r>
              <w:rPr>
                <w:sz w:val="21"/>
                <w:szCs w:val="21"/>
              </w:rPr>
              <w:t>GWh</w:t>
            </w:r>
            <w:r>
              <w:rPr>
                <w:sz w:val="21"/>
                <w:szCs w:val="21"/>
                <w:spacing w:val="1"/>
              </w:rPr>
              <w:t>,其他产能正在</w:t>
            </w:r>
          </w:p>
          <w:p>
            <w:pPr>
              <w:pStyle w:val="TableText"/>
              <w:ind w:left="847"/>
              <w:spacing w:before="27" w:line="220" w:lineRule="auto"/>
              <w:rPr>
                <w:sz w:val="21"/>
                <w:szCs w:val="21"/>
              </w:rPr>
            </w:pPr>
            <w:r>
              <w:rPr>
                <w:sz w:val="21"/>
                <w:szCs w:val="21"/>
                <w:spacing w:val="7"/>
              </w:rPr>
              <w:t>建设中</w:t>
            </w:r>
          </w:p>
        </w:tc>
      </w:tr>
    </w:tbl>
    <w:p>
      <w:pPr>
        <w:rPr>
          <w:rFonts w:ascii="Arial"/>
          <w:sz w:val="21"/>
        </w:rPr>
      </w:pPr>
      <w:r/>
    </w:p>
    <w:p>
      <w:pPr>
        <w:sectPr>
          <w:footerReference w:type="default" r:id="rId23"/>
          <w:pgSz w:w="16840" w:h="11900"/>
          <w:pgMar w:top="1011" w:right="1364" w:bottom="978" w:left="1325" w:header="0" w:footer="839" w:gutter="0"/>
        </w:sectPr>
        <w:rPr>
          <w:rFonts w:ascii="Arial" w:hAnsi="Arial" w:eastAsia="Arial" w:cs="Arial"/>
          <w:sz w:val="21"/>
          <w:szCs w:val="21"/>
        </w:rPr>
      </w:pPr>
    </w:p>
    <w:p>
      <w:pPr>
        <w:pStyle w:val="BodyText"/>
        <w:ind w:left="5528"/>
        <w:spacing w:before="275" w:line="220" w:lineRule="auto"/>
        <w:rPr>
          <w:sz w:val="25"/>
          <w:szCs w:val="25"/>
        </w:rPr>
      </w:pPr>
      <w:r>
        <w:rPr>
          <w:sz w:val="25"/>
          <w:szCs w:val="25"/>
          <w:b/>
          <w:bCs/>
          <w:spacing w:val="-14"/>
        </w:rPr>
        <w:t>表2.8-2</w:t>
      </w:r>
      <w:r>
        <w:rPr>
          <w:sz w:val="25"/>
          <w:szCs w:val="25"/>
          <w:spacing w:val="119"/>
        </w:rPr>
        <w:t xml:space="preserve"> </w:t>
      </w:r>
      <w:r>
        <w:rPr>
          <w:sz w:val="25"/>
          <w:szCs w:val="25"/>
          <w:b/>
          <w:bCs/>
          <w:spacing w:val="-14"/>
        </w:rPr>
        <w:t>现有工程组成一览表</w:t>
      </w:r>
    </w:p>
    <w:p>
      <w:pPr>
        <w:spacing w:line="127" w:lineRule="exact"/>
        <w:rPr/>
      </w:pPr>
      <w:r/>
    </w:p>
    <w:tbl>
      <w:tblPr>
        <w:tblStyle w:val="TableNormal"/>
        <w:tblW w:w="141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25"/>
        <w:gridCol w:w="669"/>
        <w:gridCol w:w="2618"/>
        <w:gridCol w:w="3597"/>
        <w:gridCol w:w="4547"/>
        <w:gridCol w:w="2293"/>
      </w:tblGrid>
      <w:tr>
        <w:trPr>
          <w:trHeight w:val="317" w:hRule="atLeast"/>
        </w:trPr>
        <w:tc>
          <w:tcPr>
            <w:tcW w:w="425" w:type="dxa"/>
            <w:vAlign w:val="top"/>
            <w:vMerge w:val="restart"/>
            <w:textDirection w:val="tbRlV"/>
            <w:tcBorders>
              <w:bottom w:val="nil"/>
            </w:tcBorders>
          </w:tcPr>
          <w:p>
            <w:pPr>
              <w:pStyle w:val="TableText"/>
              <w:spacing w:before="100" w:line="216" w:lineRule="auto"/>
              <w:rPr>
                <w:sz w:val="21"/>
                <w:szCs w:val="21"/>
              </w:rPr>
            </w:pPr>
            <w:r>
              <w:rPr>
                <w:sz w:val="21"/>
                <w:szCs w:val="21"/>
                <w:spacing w:val="-2"/>
              </w:rPr>
              <w:t>工</w:t>
            </w:r>
            <w:r>
              <w:rPr>
                <w:sz w:val="21"/>
                <w:szCs w:val="21"/>
                <w:spacing w:val="-14"/>
              </w:rPr>
              <w:t xml:space="preserve"> </w:t>
            </w:r>
            <w:r>
              <w:rPr>
                <w:sz w:val="21"/>
                <w:szCs w:val="21"/>
                <w:spacing w:val="-2"/>
              </w:rPr>
              <w:t>程</w:t>
            </w:r>
            <w:r>
              <w:rPr>
                <w:sz w:val="21"/>
                <w:szCs w:val="21"/>
                <w:spacing w:val="-15"/>
              </w:rPr>
              <w:t xml:space="preserve"> </w:t>
            </w:r>
            <w:r>
              <w:rPr>
                <w:sz w:val="21"/>
                <w:szCs w:val="21"/>
                <w:spacing w:val="-2"/>
              </w:rPr>
              <w:t>类</w:t>
            </w:r>
            <w:r>
              <w:rPr>
                <w:sz w:val="21"/>
                <w:szCs w:val="21"/>
                <w:spacing w:val="-15"/>
              </w:rPr>
              <w:t xml:space="preserve"> </w:t>
            </w:r>
            <w:r>
              <w:rPr>
                <w:sz w:val="21"/>
                <w:szCs w:val="21"/>
                <w:spacing w:val="-2"/>
              </w:rPr>
              <w:t>别</w:t>
            </w:r>
          </w:p>
        </w:tc>
        <w:tc>
          <w:tcPr>
            <w:tcW w:w="669" w:type="dxa"/>
            <w:vAlign w:val="top"/>
            <w:vMerge w:val="restart"/>
            <w:tcBorders>
              <w:bottom w:val="nil"/>
            </w:tcBorders>
          </w:tcPr>
          <w:p>
            <w:pPr>
              <w:spacing w:line="270" w:lineRule="auto"/>
              <w:rPr>
                <w:rFonts w:ascii="Arial"/>
                <w:sz w:val="21"/>
              </w:rPr>
            </w:pPr>
            <w:r/>
          </w:p>
          <w:p>
            <w:pPr>
              <w:pStyle w:val="TableText"/>
              <w:ind w:left="110" w:right="118"/>
              <w:spacing w:before="68" w:line="228" w:lineRule="auto"/>
              <w:rPr>
                <w:sz w:val="21"/>
                <w:szCs w:val="21"/>
              </w:rPr>
            </w:pPr>
            <w:r>
              <w:rPr>
                <w:sz w:val="21"/>
                <w:szCs w:val="21"/>
                <w:spacing w:val="5"/>
              </w:rPr>
              <w:t>主要</w:t>
            </w:r>
            <w:r>
              <w:rPr>
                <w:sz w:val="21"/>
                <w:szCs w:val="21"/>
              </w:rPr>
              <w:t xml:space="preserve"> </w:t>
            </w:r>
            <w:r>
              <w:rPr>
                <w:sz w:val="21"/>
                <w:szCs w:val="21"/>
                <w:spacing w:val="4"/>
              </w:rPr>
              <w:t>组成</w:t>
            </w:r>
          </w:p>
        </w:tc>
        <w:tc>
          <w:tcPr>
            <w:tcW w:w="2618" w:type="dxa"/>
            <w:vAlign w:val="top"/>
            <w:vMerge w:val="restart"/>
            <w:tcBorders>
              <w:bottom w:val="nil"/>
            </w:tcBorders>
          </w:tcPr>
          <w:p>
            <w:pPr>
              <w:spacing w:line="266" w:lineRule="auto"/>
              <w:rPr>
                <w:rFonts w:ascii="Arial"/>
                <w:sz w:val="21"/>
              </w:rPr>
            </w:pPr>
            <w:r/>
          </w:p>
          <w:p>
            <w:pPr>
              <w:pStyle w:val="TableText"/>
              <w:ind w:left="190"/>
              <w:spacing w:before="68" w:line="219" w:lineRule="auto"/>
              <w:rPr>
                <w:sz w:val="21"/>
                <w:szCs w:val="21"/>
              </w:rPr>
            </w:pPr>
            <w:r>
              <w:rPr>
                <w:sz w:val="21"/>
                <w:szCs w:val="21"/>
                <w:spacing w:val="1"/>
              </w:rPr>
              <w:t>一汽动力电池项目(产能</w:t>
            </w:r>
          </w:p>
          <w:p>
            <w:pPr>
              <w:pStyle w:val="TableText"/>
              <w:ind w:left="671"/>
              <w:spacing w:before="31" w:line="221" w:lineRule="auto"/>
              <w:rPr>
                <w:sz w:val="21"/>
                <w:szCs w:val="21"/>
              </w:rPr>
            </w:pPr>
            <w:r>
              <w:rPr>
                <w:sz w:val="21"/>
                <w:szCs w:val="21"/>
                <w:spacing w:val="6"/>
              </w:rPr>
              <w:t>10</w:t>
            </w:r>
            <w:r>
              <w:rPr>
                <w:sz w:val="21"/>
                <w:szCs w:val="21"/>
              </w:rPr>
              <w:t>GWh</w:t>
            </w:r>
            <w:r>
              <w:rPr>
                <w:sz w:val="21"/>
                <w:szCs w:val="21"/>
                <w:spacing w:val="6"/>
              </w:rPr>
              <w:t>)(已建)</w:t>
            </w:r>
          </w:p>
        </w:tc>
        <w:tc>
          <w:tcPr>
            <w:tcW w:w="10437" w:type="dxa"/>
            <w:vAlign w:val="top"/>
            <w:gridSpan w:val="3"/>
          </w:tcPr>
          <w:p>
            <w:pPr>
              <w:pStyle w:val="TableText"/>
              <w:ind w:left="2692"/>
              <w:spacing w:before="58" w:line="214" w:lineRule="auto"/>
              <w:rPr>
                <w:sz w:val="21"/>
                <w:szCs w:val="21"/>
              </w:rPr>
            </w:pPr>
            <w:r>
              <w:rPr>
                <w:sz w:val="21"/>
                <w:szCs w:val="21"/>
                <w:spacing w:val="1"/>
              </w:rPr>
              <w:t>时代一汽年产20</w:t>
            </w:r>
            <w:r>
              <w:rPr>
                <w:sz w:val="21"/>
                <w:szCs w:val="21"/>
              </w:rPr>
              <w:t>gwh</w:t>
            </w:r>
            <w:r>
              <w:rPr>
                <w:sz w:val="21"/>
                <w:szCs w:val="21"/>
                <w:spacing w:val="1"/>
              </w:rPr>
              <w:t>动力电池生产线扩建项目(在建)</w:t>
            </w:r>
          </w:p>
        </w:tc>
      </w:tr>
      <w:tr>
        <w:trPr>
          <w:trHeight w:val="779" w:hRule="atLeast"/>
        </w:trPr>
        <w:tc>
          <w:tcPr>
            <w:tcW w:w="425" w:type="dxa"/>
            <w:vAlign w:val="top"/>
            <w:vMerge w:val="continue"/>
            <w:textDirection w:val="tbRlV"/>
            <w:tcBorders>
              <w:top w:val="nil"/>
            </w:tcBorders>
          </w:tcPr>
          <w:p>
            <w:pPr>
              <w:rPr>
                <w:rFonts w:ascii="Arial"/>
                <w:sz w:val="21"/>
              </w:rPr>
            </w:pPr>
            <w:r/>
          </w:p>
        </w:tc>
        <w:tc>
          <w:tcPr>
            <w:tcW w:w="669" w:type="dxa"/>
            <w:vAlign w:val="top"/>
            <w:vMerge w:val="continue"/>
            <w:tcBorders>
              <w:top w:val="nil"/>
            </w:tcBorders>
          </w:tcPr>
          <w:p>
            <w:pPr>
              <w:rPr>
                <w:rFonts w:ascii="Arial"/>
                <w:sz w:val="21"/>
              </w:rPr>
            </w:pPr>
            <w:r/>
          </w:p>
        </w:tc>
        <w:tc>
          <w:tcPr>
            <w:tcW w:w="2618" w:type="dxa"/>
            <w:vAlign w:val="top"/>
            <w:vMerge w:val="continue"/>
            <w:tcBorders>
              <w:top w:val="nil"/>
            </w:tcBorders>
          </w:tcPr>
          <w:p>
            <w:pPr>
              <w:rPr>
                <w:rFonts w:ascii="Arial"/>
                <w:sz w:val="21"/>
              </w:rPr>
            </w:pPr>
            <w:r/>
          </w:p>
        </w:tc>
        <w:tc>
          <w:tcPr>
            <w:tcW w:w="3597" w:type="dxa"/>
            <w:vAlign w:val="top"/>
          </w:tcPr>
          <w:p>
            <w:pPr>
              <w:pStyle w:val="TableText"/>
              <w:ind w:left="793"/>
              <w:spacing w:before="281" w:line="214" w:lineRule="auto"/>
              <w:rPr>
                <w:sz w:val="21"/>
                <w:szCs w:val="21"/>
              </w:rPr>
            </w:pPr>
            <w:r>
              <w:rPr>
                <w:sz w:val="21"/>
                <w:szCs w:val="21"/>
                <w:spacing w:val="4"/>
              </w:rPr>
              <w:t>环评内容(产能20</w:t>
            </w:r>
            <w:r>
              <w:rPr>
                <w:sz w:val="21"/>
                <w:szCs w:val="21"/>
              </w:rPr>
              <w:t>gwh</w:t>
            </w:r>
            <w:r>
              <w:rPr>
                <w:sz w:val="21"/>
                <w:szCs w:val="21"/>
                <w:spacing w:val="4"/>
              </w:rPr>
              <w:t>)</w:t>
            </w:r>
          </w:p>
        </w:tc>
        <w:tc>
          <w:tcPr>
            <w:tcW w:w="4547" w:type="dxa"/>
            <w:vAlign w:val="top"/>
          </w:tcPr>
          <w:p>
            <w:pPr>
              <w:pStyle w:val="TableText"/>
              <w:ind w:left="905"/>
              <w:spacing w:before="281" w:line="214" w:lineRule="auto"/>
              <w:rPr>
                <w:sz w:val="21"/>
                <w:szCs w:val="21"/>
              </w:rPr>
            </w:pPr>
            <w:r>
              <w:rPr>
                <w:sz w:val="21"/>
                <w:szCs w:val="21"/>
                <w:spacing w:val="3"/>
              </w:rPr>
              <w:t>阶段性验收内容(产能6.7</w:t>
            </w:r>
            <w:r>
              <w:rPr>
                <w:sz w:val="21"/>
                <w:szCs w:val="21"/>
              </w:rPr>
              <w:t>gwh</w:t>
            </w:r>
            <w:r>
              <w:rPr>
                <w:sz w:val="21"/>
                <w:szCs w:val="21"/>
                <w:spacing w:val="3"/>
              </w:rPr>
              <w:t>)</w:t>
            </w:r>
          </w:p>
        </w:tc>
        <w:tc>
          <w:tcPr>
            <w:tcW w:w="2293" w:type="dxa"/>
            <w:vAlign w:val="top"/>
          </w:tcPr>
          <w:p>
            <w:pPr>
              <w:pStyle w:val="TableText"/>
              <w:ind w:left="928"/>
              <w:spacing w:before="290" w:line="221" w:lineRule="auto"/>
              <w:rPr>
                <w:sz w:val="21"/>
                <w:szCs w:val="21"/>
              </w:rPr>
            </w:pPr>
            <w:r>
              <w:rPr>
                <w:sz w:val="21"/>
                <w:szCs w:val="21"/>
                <w:spacing w:val="5"/>
              </w:rPr>
              <w:t>备注</w:t>
            </w:r>
          </w:p>
        </w:tc>
      </w:tr>
      <w:tr>
        <w:trPr>
          <w:trHeight w:val="1898" w:hRule="atLeast"/>
        </w:trPr>
        <w:tc>
          <w:tcPr>
            <w:tcW w:w="425" w:type="dxa"/>
            <w:vAlign w:val="top"/>
            <w:vMerge w:val="restart"/>
            <w:textDirection w:val="tbRlV"/>
            <w:tcBorders>
              <w:bottom w:val="nil"/>
            </w:tcBorders>
          </w:tcPr>
          <w:p>
            <w:pPr>
              <w:pStyle w:val="TableText"/>
              <w:ind w:left="976"/>
              <w:spacing w:before="89" w:line="217" w:lineRule="auto"/>
              <w:rPr>
                <w:sz w:val="21"/>
                <w:szCs w:val="21"/>
              </w:rPr>
            </w:pPr>
            <w:r>
              <w:rPr>
                <w:sz w:val="21"/>
                <w:szCs w:val="21"/>
              </w:rPr>
              <w:t>主</w:t>
            </w:r>
            <w:r>
              <w:rPr>
                <w:sz w:val="21"/>
                <w:szCs w:val="21"/>
                <w:spacing w:val="-39"/>
              </w:rPr>
              <w:t xml:space="preserve"> </w:t>
            </w:r>
            <w:r>
              <w:rPr>
                <w:sz w:val="21"/>
                <w:szCs w:val="21"/>
              </w:rPr>
              <w:t>体</w:t>
            </w:r>
            <w:r>
              <w:rPr>
                <w:sz w:val="21"/>
                <w:szCs w:val="21"/>
                <w:spacing w:val="-39"/>
              </w:rPr>
              <w:t xml:space="preserve"> </w:t>
            </w:r>
            <w:r>
              <w:rPr>
                <w:sz w:val="21"/>
                <w:szCs w:val="21"/>
              </w:rPr>
              <w:t>工</w:t>
            </w:r>
            <w:r>
              <w:rPr>
                <w:sz w:val="21"/>
                <w:szCs w:val="21"/>
                <w:spacing w:val="-39"/>
              </w:rPr>
              <w:t xml:space="preserve"> </w:t>
            </w:r>
            <w:r>
              <w:rPr>
                <w:sz w:val="21"/>
                <w:szCs w:val="21"/>
              </w:rPr>
              <w:t>程</w:t>
            </w:r>
          </w:p>
        </w:tc>
        <w:tc>
          <w:tcPr>
            <w:tcW w:w="669" w:type="dxa"/>
            <w:vAlign w:val="top"/>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110"/>
              <w:spacing w:before="68" w:line="220" w:lineRule="auto"/>
              <w:rPr>
                <w:sz w:val="21"/>
                <w:szCs w:val="21"/>
              </w:rPr>
            </w:pPr>
            <w:r>
              <w:rPr>
                <w:sz w:val="21"/>
                <w:szCs w:val="21"/>
                <w:spacing w:val="7"/>
              </w:rPr>
              <w:t>厂房</w:t>
            </w:r>
          </w:p>
        </w:tc>
        <w:tc>
          <w:tcPr>
            <w:tcW w:w="2618" w:type="dxa"/>
            <w:vAlign w:val="top"/>
          </w:tcPr>
          <w:p>
            <w:pPr>
              <w:spacing w:line="264" w:lineRule="auto"/>
              <w:rPr>
                <w:rFonts w:ascii="Arial"/>
                <w:sz w:val="21"/>
              </w:rPr>
            </w:pPr>
            <w:r/>
          </w:p>
          <w:p>
            <w:pPr>
              <w:spacing w:line="264" w:lineRule="auto"/>
              <w:rPr>
                <w:rFonts w:ascii="Arial"/>
                <w:sz w:val="21"/>
              </w:rPr>
            </w:pPr>
            <w:r/>
          </w:p>
          <w:p>
            <w:pPr>
              <w:pStyle w:val="TableText"/>
              <w:ind w:left="141"/>
              <w:spacing w:before="68" w:line="219" w:lineRule="auto"/>
              <w:rPr>
                <w:sz w:val="21"/>
                <w:szCs w:val="21"/>
              </w:rPr>
            </w:pPr>
            <w:r>
              <w:rPr>
                <w:sz w:val="21"/>
                <w:szCs w:val="21"/>
                <w:spacing w:val="1"/>
              </w:rPr>
              <w:t>通过技术升级等手段，厂</w:t>
            </w:r>
          </w:p>
          <w:p>
            <w:pPr>
              <w:pStyle w:val="TableText"/>
              <w:ind w:left="301"/>
              <w:spacing w:before="9" w:line="219" w:lineRule="auto"/>
              <w:rPr>
                <w:sz w:val="21"/>
                <w:szCs w:val="21"/>
              </w:rPr>
            </w:pPr>
            <w:r>
              <w:rPr>
                <w:sz w:val="21"/>
                <w:szCs w:val="21"/>
                <w:spacing w:val="-1"/>
              </w:rPr>
              <w:t>房一(X1)内布设6条电</w:t>
            </w:r>
          </w:p>
          <w:p>
            <w:pPr>
              <w:pStyle w:val="TableText"/>
              <w:ind w:left="511"/>
              <w:spacing w:before="32" w:line="219" w:lineRule="auto"/>
              <w:rPr>
                <w:sz w:val="21"/>
                <w:szCs w:val="21"/>
              </w:rPr>
            </w:pPr>
            <w:r>
              <w:rPr>
                <w:sz w:val="21"/>
                <w:szCs w:val="21"/>
                <w:spacing w:val="5"/>
              </w:rPr>
              <w:t>芯生产线(10</w:t>
            </w:r>
            <w:r>
              <w:rPr>
                <w:sz w:val="21"/>
                <w:szCs w:val="21"/>
              </w:rPr>
              <w:t>GWh</w:t>
            </w:r>
            <w:r>
              <w:rPr>
                <w:sz w:val="21"/>
                <w:szCs w:val="21"/>
                <w:spacing w:val="5"/>
              </w:rPr>
              <w:t>)</w:t>
            </w:r>
          </w:p>
        </w:tc>
        <w:tc>
          <w:tcPr>
            <w:tcW w:w="3597" w:type="dxa"/>
            <w:vAlign w:val="top"/>
          </w:tcPr>
          <w:p>
            <w:pPr>
              <w:pStyle w:val="TableText"/>
              <w:ind w:left="113" w:right="49" w:firstLine="49"/>
              <w:spacing w:before="40" w:line="234" w:lineRule="auto"/>
              <w:rPr>
                <w:sz w:val="21"/>
                <w:szCs w:val="21"/>
              </w:rPr>
            </w:pPr>
            <w:r>
              <w:rPr>
                <w:sz w:val="21"/>
                <w:szCs w:val="21"/>
                <w:spacing w:val="-1"/>
              </w:rPr>
              <w:t>厂房二(X2)1层，占地面积81104.47</w:t>
            </w:r>
            <w:r>
              <w:rPr>
                <w:sz w:val="21"/>
                <w:szCs w:val="21"/>
                <w:spacing w:val="5"/>
              </w:rPr>
              <w:t xml:space="preserve">  </w:t>
            </w:r>
            <w:r>
              <w:rPr>
                <w:sz w:val="21"/>
                <w:szCs w:val="21"/>
                <w:spacing w:val="9"/>
              </w:rPr>
              <w:t>m²,建筑面积为111980.04 m²,包含</w:t>
            </w:r>
            <w:r>
              <w:rPr>
                <w:sz w:val="21"/>
                <w:szCs w:val="21"/>
                <w:spacing w:val="11"/>
              </w:rPr>
              <w:t xml:space="preserve"> </w:t>
            </w:r>
            <w:r>
              <w:rPr>
                <w:sz w:val="21"/>
                <w:szCs w:val="21"/>
                <w:spacing w:val="7"/>
              </w:rPr>
              <w:t>办公区域2588.6 m²,厂房三(X2-1),</w:t>
            </w:r>
            <w:r>
              <w:rPr>
                <w:sz w:val="21"/>
                <w:szCs w:val="21"/>
              </w:rPr>
              <w:t xml:space="preserve"> </w:t>
            </w:r>
            <w:r>
              <w:rPr>
                <w:sz w:val="21"/>
                <w:szCs w:val="21"/>
                <w:spacing w:val="5"/>
              </w:rPr>
              <w:t>2层，占地面积18936m²,建筑面积为</w:t>
            </w:r>
            <w:r>
              <w:rPr>
                <w:sz w:val="21"/>
                <w:szCs w:val="21"/>
                <w:spacing w:val="14"/>
              </w:rPr>
              <w:t xml:space="preserve"> </w:t>
            </w:r>
            <w:r>
              <w:rPr>
                <w:sz w:val="21"/>
                <w:szCs w:val="21"/>
                <w:spacing w:val="14"/>
              </w:rPr>
              <w:t>60484.48m²,包含办公区域45</w:t>
            </w:r>
            <w:r>
              <w:rPr>
                <w:sz w:val="21"/>
                <w:szCs w:val="21"/>
                <w:spacing w:val="13"/>
              </w:rPr>
              <w:t>3m²,</w:t>
            </w:r>
            <w:r>
              <w:rPr>
                <w:sz w:val="21"/>
                <w:szCs w:val="21"/>
              </w:rPr>
              <w:t xml:space="preserve"> </w:t>
            </w:r>
            <w:r>
              <w:rPr>
                <w:sz w:val="21"/>
                <w:szCs w:val="21"/>
                <w:spacing w:val="-1"/>
              </w:rPr>
              <w:t>厂房内布设6条电芯生产线，年产</w:t>
            </w:r>
          </w:p>
          <w:p>
            <w:pPr>
              <w:pStyle w:val="TableText"/>
              <w:ind w:left="132"/>
              <w:spacing w:before="15" w:line="206" w:lineRule="auto"/>
              <w:rPr>
                <w:sz w:val="21"/>
                <w:szCs w:val="21"/>
              </w:rPr>
            </w:pPr>
            <w:r>
              <w:rPr>
                <w:sz w:val="21"/>
                <w:szCs w:val="21"/>
              </w:rPr>
              <w:t>20gwh动力电池。</w:t>
            </w:r>
          </w:p>
        </w:tc>
        <w:tc>
          <w:tcPr>
            <w:tcW w:w="4547" w:type="dxa"/>
            <w:vAlign w:val="top"/>
          </w:tcPr>
          <w:p>
            <w:pPr>
              <w:pStyle w:val="TableText"/>
              <w:ind w:left="136"/>
              <w:spacing w:before="177" w:line="216" w:lineRule="auto"/>
              <w:rPr>
                <w:sz w:val="21"/>
                <w:szCs w:val="21"/>
              </w:rPr>
            </w:pPr>
            <w:r>
              <w:rPr>
                <w:sz w:val="21"/>
                <w:szCs w:val="21"/>
                <w:spacing w:val="4"/>
              </w:rPr>
              <w:t>厂房二(X2)1层，占地面积81104.47 m²,建</w:t>
            </w:r>
          </w:p>
          <w:p>
            <w:pPr>
              <w:pStyle w:val="TableText"/>
              <w:spacing w:before="34" w:line="216" w:lineRule="auto"/>
              <w:jc w:val="right"/>
              <w:rPr>
                <w:sz w:val="21"/>
                <w:szCs w:val="21"/>
              </w:rPr>
            </w:pPr>
            <w:r>
              <w:rPr>
                <w:sz w:val="21"/>
                <w:szCs w:val="21"/>
                <w:spacing w:val="3"/>
              </w:rPr>
              <w:t>筑面积为111980.04m²,包含办公区域2588.6m²,</w:t>
            </w:r>
          </w:p>
          <w:p>
            <w:pPr>
              <w:pStyle w:val="TableText"/>
              <w:ind w:left="145"/>
              <w:spacing w:before="34" w:line="216" w:lineRule="auto"/>
              <w:rPr>
                <w:sz w:val="21"/>
                <w:szCs w:val="21"/>
              </w:rPr>
            </w:pPr>
            <w:r>
              <w:rPr>
                <w:sz w:val="21"/>
                <w:szCs w:val="21"/>
                <w:spacing w:val="4"/>
              </w:rPr>
              <w:t>厂房三(X2-1),2层，占地面积18936m²,建</w:t>
            </w:r>
          </w:p>
          <w:p>
            <w:pPr>
              <w:pStyle w:val="TableText"/>
              <w:ind w:left="115" w:right="111"/>
              <w:spacing w:before="22" w:line="217" w:lineRule="auto"/>
              <w:rPr>
                <w:sz w:val="21"/>
                <w:szCs w:val="21"/>
              </w:rPr>
            </w:pPr>
            <w:r>
              <w:rPr>
                <w:sz w:val="21"/>
                <w:szCs w:val="21"/>
                <w:spacing w:val="7"/>
              </w:rPr>
              <w:t>筑面积为60484.48m²,包含办公区域453m²,建</w:t>
            </w:r>
            <w:r>
              <w:rPr>
                <w:sz w:val="21"/>
                <w:szCs w:val="21"/>
                <w:spacing w:val="17"/>
              </w:rPr>
              <w:t xml:space="preserve"> </w:t>
            </w:r>
            <w:r>
              <w:rPr>
                <w:sz w:val="21"/>
                <w:szCs w:val="21"/>
                <w:spacing w:val="-1"/>
              </w:rPr>
              <w:t>设动力电池电芯生产线前工序6条，动力电池电</w:t>
            </w:r>
            <w:r>
              <w:rPr>
                <w:sz w:val="21"/>
                <w:szCs w:val="21"/>
                <w:spacing w:val="8"/>
              </w:rPr>
              <w:t xml:space="preserve"> </w:t>
            </w:r>
            <w:r>
              <w:rPr>
                <w:sz w:val="21"/>
                <w:szCs w:val="21"/>
                <w:spacing w:val="1"/>
              </w:rPr>
              <w:t>芯生产线后工序2条，年产6.7</w:t>
            </w:r>
            <w:r>
              <w:rPr>
                <w:sz w:val="21"/>
                <w:szCs w:val="21"/>
              </w:rPr>
              <w:t>gwh</w:t>
            </w:r>
            <w:r>
              <w:rPr>
                <w:sz w:val="21"/>
                <w:szCs w:val="21"/>
                <w:spacing w:val="1"/>
              </w:rPr>
              <w:t>动力电池。</w:t>
            </w:r>
          </w:p>
        </w:tc>
        <w:tc>
          <w:tcPr>
            <w:tcW w:w="2293" w:type="dxa"/>
            <w:vAlign w:val="top"/>
          </w:tcPr>
          <w:p>
            <w:pPr>
              <w:pStyle w:val="TableText"/>
              <w:ind w:left="248"/>
              <w:spacing w:before="2" w:line="214" w:lineRule="auto"/>
              <w:rPr>
                <w:sz w:val="21"/>
                <w:szCs w:val="21"/>
              </w:rPr>
            </w:pPr>
            <w:r>
              <w:rPr>
                <w:sz w:val="21"/>
                <w:szCs w:val="21"/>
                <w:spacing w:val="-1"/>
              </w:rPr>
              <w:t>年产20gwh动力电池</w:t>
            </w:r>
          </w:p>
          <w:p>
            <w:pPr>
              <w:pStyle w:val="TableText"/>
              <w:ind w:left="198"/>
              <w:spacing w:before="53" w:line="219" w:lineRule="auto"/>
              <w:rPr>
                <w:sz w:val="21"/>
                <w:szCs w:val="21"/>
              </w:rPr>
            </w:pPr>
            <w:r>
              <w:rPr>
                <w:sz w:val="21"/>
                <w:szCs w:val="21"/>
                <w:spacing w:val="-1"/>
              </w:rPr>
              <w:t>生产线配套动力电池</w:t>
            </w:r>
          </w:p>
          <w:p>
            <w:pPr>
              <w:pStyle w:val="TableText"/>
              <w:ind w:left="248"/>
              <w:spacing w:before="50" w:line="211" w:lineRule="auto"/>
              <w:rPr>
                <w:sz w:val="21"/>
                <w:szCs w:val="21"/>
              </w:rPr>
            </w:pPr>
            <w:r>
              <w:rPr>
                <w:sz w:val="21"/>
                <w:szCs w:val="21"/>
              </w:rPr>
              <w:t>电芯生产线前工序8</w:t>
            </w:r>
          </w:p>
          <w:p>
            <w:pPr>
              <w:pStyle w:val="TableText"/>
              <w:ind w:left="89"/>
              <w:spacing w:line="219" w:lineRule="auto"/>
              <w:rPr>
                <w:sz w:val="21"/>
                <w:szCs w:val="21"/>
              </w:rPr>
            </w:pPr>
            <w:r>
              <w:rPr>
                <w:sz w:val="21"/>
                <w:szCs w:val="21"/>
                <w:spacing w:val="1"/>
              </w:rPr>
              <w:t>条，动力电池电芯生产</w:t>
            </w:r>
          </w:p>
          <w:p>
            <w:pPr>
              <w:pStyle w:val="TableText"/>
              <w:ind w:left="508"/>
              <w:spacing w:before="41" w:line="219" w:lineRule="auto"/>
              <w:rPr>
                <w:sz w:val="21"/>
                <w:szCs w:val="21"/>
              </w:rPr>
            </w:pPr>
            <w:r>
              <w:rPr>
                <w:sz w:val="21"/>
                <w:szCs w:val="21"/>
              </w:rPr>
              <w:t>线后工序6条。</w:t>
            </w:r>
          </w:p>
        </w:tc>
      </w:tr>
      <w:tr>
        <w:trPr>
          <w:trHeight w:val="1099" w:hRule="atLeast"/>
        </w:trPr>
        <w:tc>
          <w:tcPr>
            <w:tcW w:w="425" w:type="dxa"/>
            <w:vAlign w:val="top"/>
            <w:vMerge w:val="continue"/>
            <w:textDirection w:val="tbRlV"/>
            <w:tcBorders>
              <w:top w:val="nil"/>
            </w:tcBorders>
          </w:tcPr>
          <w:p>
            <w:pPr>
              <w:rPr>
                <w:rFonts w:ascii="Arial"/>
                <w:sz w:val="21"/>
              </w:rPr>
            </w:pPr>
            <w:r/>
          </w:p>
        </w:tc>
        <w:tc>
          <w:tcPr>
            <w:tcW w:w="669" w:type="dxa"/>
            <w:vAlign w:val="top"/>
          </w:tcPr>
          <w:p>
            <w:pPr>
              <w:spacing w:line="262" w:lineRule="auto"/>
              <w:rPr>
                <w:rFonts w:ascii="Arial"/>
                <w:sz w:val="21"/>
              </w:rPr>
            </w:pPr>
            <w:r/>
          </w:p>
          <w:p>
            <w:pPr>
              <w:pStyle w:val="TableText"/>
              <w:ind w:left="110" w:right="114"/>
              <w:spacing w:before="68" w:line="229" w:lineRule="auto"/>
              <w:rPr>
                <w:sz w:val="21"/>
                <w:szCs w:val="21"/>
              </w:rPr>
            </w:pPr>
            <w:r>
              <w:rPr>
                <w:sz w:val="21"/>
                <w:szCs w:val="21"/>
                <w:spacing w:val="-4"/>
              </w:rPr>
              <w:t>模组</w:t>
            </w:r>
            <w:r>
              <w:rPr>
                <w:sz w:val="21"/>
                <w:szCs w:val="21"/>
              </w:rPr>
              <w:t xml:space="preserve"> </w:t>
            </w:r>
            <w:r>
              <w:rPr>
                <w:sz w:val="21"/>
                <w:szCs w:val="21"/>
                <w:spacing w:val="7"/>
              </w:rPr>
              <w:t>厂房</w:t>
            </w:r>
          </w:p>
        </w:tc>
        <w:tc>
          <w:tcPr>
            <w:tcW w:w="2618" w:type="dxa"/>
            <w:vAlign w:val="top"/>
          </w:tcPr>
          <w:p>
            <w:pPr>
              <w:spacing w:line="272" w:lineRule="auto"/>
              <w:rPr>
                <w:rFonts w:ascii="Arial"/>
                <w:sz w:val="21"/>
              </w:rPr>
            </w:pPr>
            <w:r/>
          </w:p>
          <w:p>
            <w:pPr>
              <w:pStyle w:val="TableText"/>
              <w:ind w:left="1090" w:right="322" w:hanging="789"/>
              <w:spacing w:before="68" w:line="229" w:lineRule="auto"/>
              <w:rPr>
                <w:sz w:val="21"/>
                <w:szCs w:val="21"/>
              </w:rPr>
            </w:pPr>
            <w:r>
              <w:rPr>
                <w:sz w:val="21"/>
                <w:szCs w:val="21"/>
                <w:spacing w:val="-1"/>
              </w:rPr>
              <w:t>厂房(X3)内布设6条模</w:t>
            </w:r>
            <w:r>
              <w:rPr>
                <w:sz w:val="21"/>
                <w:szCs w:val="21"/>
              </w:rPr>
              <w:t xml:space="preserve"> </w:t>
            </w:r>
            <w:r>
              <w:rPr>
                <w:sz w:val="21"/>
                <w:szCs w:val="21"/>
                <w:spacing w:val="7"/>
              </w:rPr>
              <w:t>组线</w:t>
            </w:r>
          </w:p>
        </w:tc>
        <w:tc>
          <w:tcPr>
            <w:tcW w:w="3597" w:type="dxa"/>
            <w:vAlign w:val="top"/>
          </w:tcPr>
          <w:p>
            <w:pPr>
              <w:pStyle w:val="TableText"/>
              <w:ind w:left="323"/>
              <w:spacing w:before="49" w:line="216" w:lineRule="auto"/>
              <w:rPr>
                <w:sz w:val="21"/>
                <w:szCs w:val="21"/>
              </w:rPr>
            </w:pPr>
            <w:r>
              <w:rPr>
                <w:sz w:val="21"/>
                <w:szCs w:val="21"/>
                <w:spacing w:val="-1"/>
              </w:rPr>
              <w:t>模组厂房-B区(X5),4层，占地面</w:t>
            </w:r>
          </w:p>
          <w:p>
            <w:pPr>
              <w:pStyle w:val="TableText"/>
              <w:spacing w:before="24" w:line="216" w:lineRule="auto"/>
              <w:jc w:val="right"/>
              <w:rPr>
                <w:sz w:val="21"/>
                <w:szCs w:val="21"/>
              </w:rPr>
            </w:pPr>
            <w:r>
              <w:rPr>
                <w:sz w:val="21"/>
                <w:szCs w:val="21"/>
                <w:spacing w:val="8"/>
              </w:rPr>
              <w:t>积8334.6m²,建筑面积为32869.20m²,</w:t>
            </w:r>
          </w:p>
          <w:p>
            <w:pPr>
              <w:pStyle w:val="TableText"/>
              <w:ind w:left="212"/>
              <w:spacing w:before="54" w:line="216" w:lineRule="auto"/>
              <w:rPr>
                <w:sz w:val="21"/>
                <w:szCs w:val="21"/>
              </w:rPr>
            </w:pPr>
            <w:r>
              <w:rPr>
                <w:sz w:val="21"/>
                <w:szCs w:val="21"/>
                <w:spacing w:val="6"/>
              </w:rPr>
              <w:t>包含办公区域450m²,厂房内布设5</w:t>
            </w:r>
          </w:p>
          <w:p>
            <w:pPr>
              <w:pStyle w:val="TableText"/>
              <w:ind w:left="113"/>
              <w:spacing w:before="16" w:line="182" w:lineRule="auto"/>
              <w:rPr>
                <w:sz w:val="21"/>
                <w:szCs w:val="21"/>
              </w:rPr>
            </w:pPr>
            <w:r>
              <w:rPr>
                <w:sz w:val="21"/>
                <w:szCs w:val="21"/>
                <w:spacing w:val="2"/>
              </w:rPr>
              <w:t>条模组生产线</w:t>
            </w:r>
          </w:p>
        </w:tc>
        <w:tc>
          <w:tcPr>
            <w:tcW w:w="4547" w:type="dxa"/>
            <w:vAlign w:val="top"/>
          </w:tcPr>
          <w:p>
            <w:pPr>
              <w:spacing w:line="381" w:lineRule="auto"/>
              <w:rPr>
                <w:rFonts w:ascii="Arial"/>
                <w:sz w:val="21"/>
              </w:rPr>
            </w:pPr>
            <w:r/>
          </w:p>
          <w:p>
            <w:pPr>
              <w:pStyle w:val="TableText"/>
              <w:ind w:left="1265"/>
              <w:spacing w:before="68" w:line="219" w:lineRule="auto"/>
              <w:rPr>
                <w:sz w:val="21"/>
                <w:szCs w:val="21"/>
              </w:rPr>
            </w:pPr>
            <w:r>
              <w:rPr>
                <w:sz w:val="21"/>
                <w:szCs w:val="21"/>
                <w:spacing w:val="1"/>
              </w:rPr>
              <w:t>模组生产线5条未建设</w:t>
            </w:r>
          </w:p>
        </w:tc>
        <w:tc>
          <w:tcPr>
            <w:tcW w:w="2293" w:type="dxa"/>
            <w:vAlign w:val="top"/>
          </w:tcPr>
          <w:p>
            <w:pPr>
              <w:rPr>
                <w:rFonts w:ascii="Arial"/>
                <w:sz w:val="21"/>
              </w:rPr>
            </w:pPr>
            <w:r/>
          </w:p>
        </w:tc>
      </w:tr>
      <w:tr>
        <w:trPr>
          <w:trHeight w:val="819" w:hRule="atLeast"/>
        </w:trPr>
        <w:tc>
          <w:tcPr>
            <w:tcW w:w="425" w:type="dxa"/>
            <w:vAlign w:val="top"/>
            <w:vMerge w:val="restart"/>
            <w:textDirection w:val="tbRlV"/>
            <w:tcBorders>
              <w:bottom w:val="nil"/>
            </w:tcBorders>
          </w:tcPr>
          <w:p>
            <w:pPr>
              <w:pStyle w:val="TableText"/>
              <w:ind w:left="1664"/>
              <w:spacing w:before="89" w:line="217" w:lineRule="auto"/>
              <w:rPr>
                <w:sz w:val="21"/>
                <w:szCs w:val="21"/>
              </w:rPr>
            </w:pPr>
            <w:r>
              <w:rPr>
                <w:sz w:val="21"/>
                <w:szCs w:val="21"/>
              </w:rPr>
              <w:t>辅</w:t>
            </w:r>
            <w:r>
              <w:rPr>
                <w:sz w:val="21"/>
                <w:szCs w:val="21"/>
                <w:spacing w:val="-34"/>
              </w:rPr>
              <w:t xml:space="preserve"> </w:t>
            </w:r>
            <w:r>
              <w:rPr>
                <w:sz w:val="21"/>
                <w:szCs w:val="21"/>
              </w:rPr>
              <w:t>助</w:t>
            </w:r>
            <w:r>
              <w:rPr>
                <w:sz w:val="21"/>
                <w:szCs w:val="21"/>
                <w:spacing w:val="-34"/>
              </w:rPr>
              <w:t xml:space="preserve"> </w:t>
            </w:r>
            <w:r>
              <w:rPr>
                <w:sz w:val="21"/>
                <w:szCs w:val="21"/>
              </w:rPr>
              <w:t>工</w:t>
            </w:r>
            <w:r>
              <w:rPr>
                <w:sz w:val="21"/>
                <w:szCs w:val="21"/>
                <w:spacing w:val="-34"/>
              </w:rPr>
              <w:t xml:space="preserve"> </w:t>
            </w:r>
            <w:r>
              <w:rPr>
                <w:sz w:val="21"/>
                <w:szCs w:val="21"/>
              </w:rPr>
              <w:t>程</w:t>
            </w:r>
          </w:p>
        </w:tc>
        <w:tc>
          <w:tcPr>
            <w:tcW w:w="669" w:type="dxa"/>
            <w:vAlign w:val="top"/>
          </w:tcPr>
          <w:p>
            <w:pPr>
              <w:pStyle w:val="TableText"/>
              <w:ind w:left="110"/>
              <w:spacing w:before="33" w:line="220" w:lineRule="auto"/>
              <w:rPr>
                <w:sz w:val="21"/>
                <w:szCs w:val="21"/>
              </w:rPr>
            </w:pPr>
            <w:r>
              <w:rPr>
                <w:sz w:val="21"/>
                <w:szCs w:val="21"/>
                <w:spacing w:val="-3"/>
              </w:rPr>
              <w:t>综合</w:t>
            </w:r>
          </w:p>
          <w:p>
            <w:pPr>
              <w:pStyle w:val="TableText"/>
              <w:ind w:left="110"/>
              <w:spacing w:before="51" w:line="201" w:lineRule="auto"/>
              <w:rPr>
                <w:sz w:val="21"/>
                <w:szCs w:val="21"/>
              </w:rPr>
            </w:pPr>
            <w:r>
              <w:rPr>
                <w:sz w:val="21"/>
                <w:szCs w:val="21"/>
                <w:spacing w:val="4"/>
              </w:rPr>
              <w:t>设施</w:t>
            </w:r>
          </w:p>
          <w:p>
            <w:pPr>
              <w:pStyle w:val="TableText"/>
              <w:ind w:left="220"/>
              <w:spacing w:line="215" w:lineRule="auto"/>
              <w:rPr>
                <w:sz w:val="21"/>
                <w:szCs w:val="21"/>
              </w:rPr>
            </w:pPr>
            <w:r>
              <w:rPr>
                <w:sz w:val="21"/>
                <w:szCs w:val="21"/>
              </w:rPr>
              <w:t>房</w:t>
            </w:r>
          </w:p>
        </w:tc>
        <w:tc>
          <w:tcPr>
            <w:tcW w:w="2618" w:type="dxa"/>
            <w:vAlign w:val="top"/>
          </w:tcPr>
          <w:p>
            <w:pPr>
              <w:pStyle w:val="TableText"/>
              <w:ind w:left="190"/>
              <w:spacing w:before="63" w:line="219" w:lineRule="auto"/>
              <w:rPr>
                <w:sz w:val="21"/>
                <w:szCs w:val="21"/>
              </w:rPr>
            </w:pPr>
            <w:r>
              <w:rPr>
                <w:sz w:val="21"/>
                <w:szCs w:val="21"/>
                <w:spacing w:val="8"/>
              </w:rPr>
              <w:t>厂房(X14)含有锅炉房、</w:t>
            </w:r>
          </w:p>
          <w:p>
            <w:pPr>
              <w:pStyle w:val="TableText"/>
              <w:ind w:left="190"/>
              <w:spacing w:before="19" w:line="219" w:lineRule="auto"/>
              <w:rPr>
                <w:sz w:val="21"/>
                <w:szCs w:val="21"/>
              </w:rPr>
            </w:pPr>
            <w:r>
              <w:rPr>
                <w:sz w:val="21"/>
                <w:szCs w:val="21"/>
              </w:rPr>
              <w:t>RO</w:t>
            </w:r>
            <w:r>
              <w:rPr>
                <w:sz w:val="21"/>
                <w:szCs w:val="21"/>
                <w:spacing w:val="2"/>
              </w:rPr>
              <w:t>/</w:t>
            </w:r>
            <w:r>
              <w:rPr>
                <w:sz w:val="21"/>
                <w:szCs w:val="21"/>
              </w:rPr>
              <w:t>DI</w:t>
            </w:r>
            <w:r>
              <w:rPr>
                <w:sz w:val="21"/>
                <w:szCs w:val="21"/>
                <w:spacing w:val="2"/>
              </w:rPr>
              <w:t>制水系统，焚烧房</w:t>
            </w:r>
          </w:p>
          <w:p>
            <w:pPr>
              <w:pStyle w:val="TableText"/>
              <w:ind w:left="610"/>
              <w:spacing w:before="23" w:line="180" w:lineRule="auto"/>
              <w:rPr>
                <w:sz w:val="21"/>
                <w:szCs w:val="21"/>
              </w:rPr>
            </w:pPr>
            <w:r>
              <w:rPr>
                <w:sz w:val="21"/>
                <w:szCs w:val="21"/>
                <w:spacing w:val="1"/>
              </w:rPr>
              <w:t>(X11)单独建设</w:t>
            </w:r>
          </w:p>
        </w:tc>
        <w:tc>
          <w:tcPr>
            <w:tcW w:w="3597" w:type="dxa"/>
            <w:vAlign w:val="top"/>
          </w:tcPr>
          <w:p>
            <w:pPr>
              <w:pStyle w:val="TableText"/>
              <w:ind w:left="113"/>
              <w:spacing w:before="63" w:line="219" w:lineRule="auto"/>
              <w:rPr>
                <w:sz w:val="21"/>
                <w:szCs w:val="21"/>
              </w:rPr>
            </w:pPr>
            <w:r>
              <w:rPr>
                <w:sz w:val="21"/>
                <w:szCs w:val="21"/>
              </w:rPr>
              <w:t>设施房2(X12)2层，占地面积1532.16</w:t>
            </w:r>
          </w:p>
          <w:p>
            <w:pPr>
              <w:pStyle w:val="TableText"/>
              <w:ind w:left="212"/>
              <w:spacing w:before="17" w:line="216" w:lineRule="auto"/>
              <w:rPr>
                <w:sz w:val="21"/>
                <w:szCs w:val="21"/>
              </w:rPr>
            </w:pPr>
            <w:r>
              <w:rPr>
                <w:sz w:val="21"/>
                <w:szCs w:val="21"/>
                <w:spacing w:val="10"/>
              </w:rPr>
              <w:t>m²,建筑面积为3109.47 m²,含有</w:t>
            </w:r>
          </w:p>
          <w:p>
            <w:pPr>
              <w:pStyle w:val="TableText"/>
              <w:ind w:left="472"/>
              <w:spacing w:before="15" w:line="191" w:lineRule="auto"/>
              <w:rPr>
                <w:sz w:val="21"/>
                <w:szCs w:val="21"/>
              </w:rPr>
            </w:pPr>
            <w:r>
              <w:rPr>
                <w:sz w:val="21"/>
                <w:szCs w:val="21"/>
              </w:rPr>
              <w:t>RO</w:t>
            </w:r>
            <w:r>
              <w:rPr>
                <w:sz w:val="21"/>
                <w:szCs w:val="21"/>
                <w:spacing w:val="1"/>
              </w:rPr>
              <w:t>/</w:t>
            </w:r>
            <w:r>
              <w:rPr>
                <w:sz w:val="21"/>
                <w:szCs w:val="21"/>
              </w:rPr>
              <w:t>DI</w:t>
            </w:r>
            <w:r>
              <w:rPr>
                <w:sz w:val="21"/>
                <w:szCs w:val="21"/>
                <w:spacing w:val="1"/>
              </w:rPr>
              <w:t>制水系统，空压机系统</w:t>
            </w:r>
          </w:p>
        </w:tc>
        <w:tc>
          <w:tcPr>
            <w:tcW w:w="4547" w:type="dxa"/>
            <w:vAlign w:val="top"/>
          </w:tcPr>
          <w:p>
            <w:pPr>
              <w:pStyle w:val="TableText"/>
              <w:ind w:left="216"/>
              <w:spacing w:before="60" w:line="216" w:lineRule="auto"/>
              <w:rPr>
                <w:sz w:val="21"/>
                <w:szCs w:val="21"/>
              </w:rPr>
            </w:pPr>
            <w:r>
              <w:rPr>
                <w:sz w:val="21"/>
                <w:szCs w:val="21"/>
                <w:spacing w:val="4"/>
              </w:rPr>
              <w:t>设施房2(X12)2层，占地面积1532.16 m²,建</w:t>
            </w:r>
          </w:p>
          <w:p>
            <w:pPr>
              <w:pStyle w:val="TableText"/>
              <w:ind w:left="115"/>
              <w:spacing w:before="24" w:line="216" w:lineRule="auto"/>
              <w:rPr>
                <w:sz w:val="21"/>
                <w:szCs w:val="21"/>
              </w:rPr>
            </w:pPr>
            <w:r>
              <w:rPr>
                <w:sz w:val="21"/>
                <w:szCs w:val="21"/>
                <w:spacing w:val="4"/>
              </w:rPr>
              <w:t>筑面积为3109.47 m²,含有</w:t>
            </w:r>
            <w:r>
              <w:rPr>
                <w:sz w:val="21"/>
                <w:szCs w:val="21"/>
              </w:rPr>
              <w:t>RO</w:t>
            </w:r>
            <w:r>
              <w:rPr>
                <w:sz w:val="21"/>
                <w:szCs w:val="21"/>
                <w:spacing w:val="4"/>
              </w:rPr>
              <w:t>/</w:t>
            </w:r>
            <w:r>
              <w:rPr>
                <w:sz w:val="21"/>
                <w:szCs w:val="21"/>
              </w:rPr>
              <w:t>DI</w:t>
            </w:r>
            <w:r>
              <w:rPr>
                <w:sz w:val="21"/>
                <w:szCs w:val="21"/>
                <w:spacing w:val="4"/>
              </w:rPr>
              <w:t>制水系统，空</w:t>
            </w:r>
          </w:p>
          <w:p>
            <w:pPr>
              <w:pStyle w:val="TableText"/>
              <w:ind w:left="1845"/>
              <w:spacing w:before="26" w:line="182" w:lineRule="auto"/>
              <w:rPr>
                <w:sz w:val="21"/>
                <w:szCs w:val="21"/>
              </w:rPr>
            </w:pPr>
            <w:r>
              <w:rPr>
                <w:sz w:val="21"/>
                <w:szCs w:val="21"/>
                <w:spacing w:val="-2"/>
              </w:rPr>
              <w:t>压机系统</w:t>
            </w:r>
          </w:p>
        </w:tc>
        <w:tc>
          <w:tcPr>
            <w:tcW w:w="2293" w:type="dxa"/>
            <w:vAlign w:val="top"/>
          </w:tcPr>
          <w:p>
            <w:pPr>
              <w:rPr>
                <w:rFonts w:ascii="Arial"/>
                <w:sz w:val="21"/>
              </w:rPr>
            </w:pPr>
            <w:r/>
          </w:p>
        </w:tc>
      </w:tr>
      <w:tr>
        <w:trPr>
          <w:trHeight w:val="1358" w:hRule="atLeast"/>
        </w:trPr>
        <w:tc>
          <w:tcPr>
            <w:tcW w:w="425" w:type="dxa"/>
            <w:vAlign w:val="top"/>
            <w:vMerge w:val="continue"/>
            <w:textDirection w:val="tbRlV"/>
            <w:tcBorders>
              <w:top w:val="nil"/>
              <w:bottom w:val="nil"/>
            </w:tcBorders>
          </w:tcPr>
          <w:p>
            <w:pPr>
              <w:rPr>
                <w:rFonts w:ascii="Arial"/>
                <w:sz w:val="21"/>
              </w:rPr>
            </w:pPr>
            <w:r/>
          </w:p>
        </w:tc>
        <w:tc>
          <w:tcPr>
            <w:tcW w:w="669" w:type="dxa"/>
            <w:vAlign w:val="top"/>
          </w:tcPr>
          <w:p>
            <w:pPr>
              <w:spacing w:line="404" w:lineRule="auto"/>
              <w:rPr>
                <w:rFonts w:ascii="Arial"/>
                <w:sz w:val="21"/>
              </w:rPr>
            </w:pPr>
            <w:r/>
          </w:p>
          <w:p>
            <w:pPr>
              <w:pStyle w:val="TableText"/>
              <w:ind w:left="110" w:right="121"/>
              <w:spacing w:before="69" w:line="224" w:lineRule="auto"/>
              <w:rPr>
                <w:sz w:val="21"/>
                <w:szCs w:val="21"/>
              </w:rPr>
            </w:pPr>
            <w:r>
              <w:rPr>
                <w:sz w:val="21"/>
                <w:szCs w:val="21"/>
                <w:spacing w:val="3"/>
              </w:rPr>
              <w:t>电解</w:t>
            </w:r>
            <w:r>
              <w:rPr>
                <w:sz w:val="21"/>
                <w:szCs w:val="21"/>
              </w:rPr>
              <w:t xml:space="preserve"> </w:t>
            </w:r>
            <w:r>
              <w:rPr>
                <w:sz w:val="21"/>
                <w:szCs w:val="21"/>
                <w:spacing w:val="-3"/>
              </w:rPr>
              <w:t>液仓</w:t>
            </w:r>
          </w:p>
        </w:tc>
        <w:tc>
          <w:tcPr>
            <w:tcW w:w="2618" w:type="dxa"/>
            <w:vAlign w:val="top"/>
          </w:tcPr>
          <w:p>
            <w:pPr>
              <w:pStyle w:val="TableText"/>
              <w:ind w:left="141"/>
              <w:spacing w:before="71" w:line="216" w:lineRule="auto"/>
              <w:rPr>
                <w:sz w:val="21"/>
                <w:szCs w:val="21"/>
              </w:rPr>
            </w:pPr>
            <w:r>
              <w:rPr>
                <w:sz w:val="21"/>
                <w:szCs w:val="21"/>
                <w:spacing w:val="-1"/>
              </w:rPr>
              <w:t>X13,包含危废暂存间、化</w:t>
            </w:r>
          </w:p>
          <w:p>
            <w:pPr>
              <w:pStyle w:val="TableText"/>
              <w:ind w:left="190"/>
              <w:spacing w:before="17" w:line="219" w:lineRule="auto"/>
              <w:rPr>
                <w:sz w:val="21"/>
                <w:szCs w:val="21"/>
              </w:rPr>
            </w:pPr>
            <w:r>
              <w:rPr>
                <w:sz w:val="21"/>
                <w:szCs w:val="21"/>
              </w:rPr>
              <w:t>学品仓、电解液车间等，</w:t>
            </w:r>
          </w:p>
          <w:p>
            <w:pPr>
              <w:pStyle w:val="TableText"/>
              <w:ind w:left="141"/>
              <w:spacing w:before="30" w:line="219" w:lineRule="auto"/>
              <w:rPr>
                <w:sz w:val="21"/>
                <w:szCs w:val="21"/>
              </w:rPr>
            </w:pPr>
            <w:r>
              <w:rPr>
                <w:sz w:val="21"/>
                <w:szCs w:val="21"/>
                <w:spacing w:val="-1"/>
              </w:rPr>
              <w:t>将电解液通过车间加液泵</w:t>
            </w:r>
          </w:p>
          <w:p>
            <w:pPr>
              <w:pStyle w:val="TableText"/>
              <w:ind w:left="141"/>
              <w:spacing w:before="10" w:line="219" w:lineRule="auto"/>
              <w:rPr>
                <w:sz w:val="21"/>
                <w:szCs w:val="21"/>
              </w:rPr>
            </w:pPr>
            <w:r>
              <w:rPr>
                <w:sz w:val="21"/>
                <w:szCs w:val="21"/>
                <w:spacing w:val="-1"/>
              </w:rPr>
              <w:t>经管道注入厂房一的电池</w:t>
            </w:r>
          </w:p>
          <w:p>
            <w:pPr>
              <w:pStyle w:val="TableText"/>
              <w:ind w:left="881"/>
              <w:spacing w:before="21" w:line="179" w:lineRule="auto"/>
              <w:rPr>
                <w:sz w:val="21"/>
                <w:szCs w:val="21"/>
              </w:rPr>
            </w:pPr>
            <w:r>
              <w:rPr>
                <w:sz w:val="21"/>
                <w:szCs w:val="21"/>
                <w:spacing w:val="3"/>
              </w:rPr>
              <w:t>注液工序</w:t>
            </w:r>
          </w:p>
        </w:tc>
        <w:tc>
          <w:tcPr>
            <w:tcW w:w="3597" w:type="dxa"/>
            <w:vAlign w:val="top"/>
          </w:tcPr>
          <w:p>
            <w:pPr>
              <w:spacing w:line="255" w:lineRule="auto"/>
              <w:rPr>
                <w:rFonts w:ascii="Arial"/>
                <w:sz w:val="21"/>
              </w:rPr>
            </w:pPr>
            <w:r/>
          </w:p>
          <w:p>
            <w:pPr>
              <w:spacing w:line="256" w:lineRule="auto"/>
              <w:rPr>
                <w:rFonts w:ascii="Arial"/>
                <w:sz w:val="21"/>
              </w:rPr>
            </w:pPr>
            <w:r/>
          </w:p>
          <w:p>
            <w:pPr>
              <w:pStyle w:val="TableText"/>
              <w:ind w:left="1163"/>
              <w:spacing w:before="68" w:line="219" w:lineRule="auto"/>
              <w:rPr>
                <w:sz w:val="21"/>
                <w:szCs w:val="21"/>
              </w:rPr>
            </w:pPr>
            <w:r>
              <w:rPr>
                <w:sz w:val="21"/>
                <w:szCs w:val="21"/>
                <w:spacing w:val="-2"/>
              </w:rPr>
              <w:t>依托一期工程</w:t>
            </w:r>
          </w:p>
        </w:tc>
        <w:tc>
          <w:tcPr>
            <w:tcW w:w="4547" w:type="dxa"/>
            <w:vAlign w:val="top"/>
          </w:tcPr>
          <w:p>
            <w:pPr>
              <w:spacing w:line="255" w:lineRule="auto"/>
              <w:rPr>
                <w:rFonts w:ascii="Arial"/>
                <w:sz w:val="21"/>
              </w:rPr>
            </w:pPr>
            <w:r/>
          </w:p>
          <w:p>
            <w:pPr>
              <w:spacing w:line="256" w:lineRule="auto"/>
              <w:rPr>
                <w:rFonts w:ascii="Arial"/>
                <w:sz w:val="21"/>
              </w:rPr>
            </w:pPr>
            <w:r/>
          </w:p>
          <w:p>
            <w:pPr>
              <w:pStyle w:val="TableText"/>
              <w:ind w:left="1635"/>
              <w:spacing w:before="68" w:line="219" w:lineRule="auto"/>
              <w:rPr>
                <w:sz w:val="21"/>
                <w:szCs w:val="21"/>
              </w:rPr>
            </w:pPr>
            <w:r>
              <w:rPr>
                <w:sz w:val="21"/>
                <w:szCs w:val="21"/>
                <w:spacing w:val="-2"/>
              </w:rPr>
              <w:t>依托一期工程</w:t>
            </w:r>
          </w:p>
        </w:tc>
        <w:tc>
          <w:tcPr>
            <w:tcW w:w="2293" w:type="dxa"/>
            <w:vAlign w:val="top"/>
          </w:tcPr>
          <w:p>
            <w:pPr>
              <w:rPr>
                <w:rFonts w:ascii="Arial"/>
                <w:sz w:val="21"/>
              </w:rPr>
            </w:pPr>
            <w:r/>
          </w:p>
        </w:tc>
      </w:tr>
      <w:tr>
        <w:trPr>
          <w:trHeight w:val="809" w:hRule="atLeast"/>
        </w:trPr>
        <w:tc>
          <w:tcPr>
            <w:tcW w:w="425" w:type="dxa"/>
            <w:vAlign w:val="top"/>
            <w:vMerge w:val="continue"/>
            <w:textDirection w:val="tbRlV"/>
            <w:tcBorders>
              <w:top w:val="nil"/>
              <w:bottom w:val="nil"/>
            </w:tcBorders>
          </w:tcPr>
          <w:p>
            <w:pPr>
              <w:rPr>
                <w:rFonts w:ascii="Arial"/>
                <w:sz w:val="21"/>
              </w:rPr>
            </w:pPr>
            <w:r/>
          </w:p>
        </w:tc>
        <w:tc>
          <w:tcPr>
            <w:tcW w:w="669" w:type="dxa"/>
            <w:vAlign w:val="top"/>
          </w:tcPr>
          <w:p>
            <w:pPr>
              <w:pStyle w:val="TableText"/>
              <w:ind w:left="110"/>
              <w:spacing w:before="46" w:line="220" w:lineRule="auto"/>
              <w:rPr>
                <w:sz w:val="21"/>
                <w:szCs w:val="21"/>
              </w:rPr>
            </w:pPr>
            <w:r>
              <w:rPr>
                <w:sz w:val="21"/>
                <w:szCs w:val="21"/>
                <w:spacing w:val="-3"/>
              </w:rPr>
              <w:t>综合</w:t>
            </w:r>
          </w:p>
          <w:p>
            <w:pPr>
              <w:pStyle w:val="TableText"/>
              <w:ind w:left="110"/>
              <w:spacing w:before="19" w:line="193" w:lineRule="auto"/>
              <w:rPr>
                <w:sz w:val="21"/>
                <w:szCs w:val="21"/>
              </w:rPr>
            </w:pPr>
            <w:r>
              <w:rPr>
                <w:sz w:val="21"/>
                <w:szCs w:val="21"/>
                <w:spacing w:val="6"/>
              </w:rPr>
              <w:t>办公</w:t>
            </w:r>
          </w:p>
          <w:p>
            <w:pPr>
              <w:pStyle w:val="TableText"/>
              <w:ind w:left="220"/>
              <w:spacing w:line="219" w:lineRule="auto"/>
              <w:rPr>
                <w:sz w:val="21"/>
                <w:szCs w:val="21"/>
              </w:rPr>
            </w:pPr>
            <w:r>
              <w:rPr>
                <w:sz w:val="21"/>
                <w:szCs w:val="21"/>
              </w:rPr>
              <w:t>楼</w:t>
            </w:r>
          </w:p>
        </w:tc>
        <w:tc>
          <w:tcPr>
            <w:tcW w:w="2618" w:type="dxa"/>
            <w:vAlign w:val="top"/>
          </w:tcPr>
          <w:p>
            <w:pPr>
              <w:pStyle w:val="TableText"/>
              <w:ind w:left="251"/>
              <w:spacing w:before="66" w:line="219" w:lineRule="auto"/>
              <w:rPr>
                <w:sz w:val="21"/>
                <w:szCs w:val="21"/>
              </w:rPr>
            </w:pPr>
            <w:r>
              <w:rPr>
                <w:sz w:val="21"/>
                <w:szCs w:val="21"/>
                <w:spacing w:val="1"/>
              </w:rPr>
              <w:t>办公楼(X6)为员工办公</w:t>
            </w:r>
          </w:p>
        </w:tc>
        <w:tc>
          <w:tcPr>
            <w:tcW w:w="3597" w:type="dxa"/>
            <w:vAlign w:val="top"/>
          </w:tcPr>
          <w:p>
            <w:pPr>
              <w:pStyle w:val="TableText"/>
              <w:ind w:left="1163"/>
              <w:spacing w:before="304" w:line="219" w:lineRule="auto"/>
              <w:rPr>
                <w:sz w:val="21"/>
                <w:szCs w:val="21"/>
              </w:rPr>
            </w:pPr>
            <w:r>
              <w:rPr>
                <w:sz w:val="21"/>
                <w:szCs w:val="21"/>
                <w:spacing w:val="-2"/>
              </w:rPr>
              <w:t>依托一期工程</w:t>
            </w:r>
          </w:p>
        </w:tc>
        <w:tc>
          <w:tcPr>
            <w:tcW w:w="4547" w:type="dxa"/>
            <w:vAlign w:val="top"/>
          </w:tcPr>
          <w:p>
            <w:pPr>
              <w:pStyle w:val="TableText"/>
              <w:ind w:left="1635"/>
              <w:spacing w:before="304" w:line="219" w:lineRule="auto"/>
              <w:rPr>
                <w:sz w:val="21"/>
                <w:szCs w:val="21"/>
              </w:rPr>
            </w:pPr>
            <w:r>
              <w:rPr>
                <w:sz w:val="21"/>
                <w:szCs w:val="21"/>
                <w:spacing w:val="-2"/>
              </w:rPr>
              <w:t>依托一期工程</w:t>
            </w:r>
          </w:p>
        </w:tc>
        <w:tc>
          <w:tcPr>
            <w:tcW w:w="2293" w:type="dxa"/>
            <w:vAlign w:val="top"/>
          </w:tcPr>
          <w:p>
            <w:pPr>
              <w:rPr>
                <w:rFonts w:ascii="Arial"/>
                <w:sz w:val="21"/>
              </w:rPr>
            </w:pPr>
            <w:r/>
          </w:p>
        </w:tc>
      </w:tr>
      <w:tr>
        <w:trPr>
          <w:trHeight w:val="1383" w:hRule="atLeast"/>
        </w:trPr>
        <w:tc>
          <w:tcPr>
            <w:tcW w:w="425" w:type="dxa"/>
            <w:vAlign w:val="top"/>
            <w:vMerge w:val="continue"/>
            <w:textDirection w:val="tbRlV"/>
            <w:tcBorders>
              <w:top w:val="nil"/>
            </w:tcBorders>
          </w:tcPr>
          <w:p>
            <w:pPr>
              <w:rPr>
                <w:rFonts w:ascii="Arial"/>
                <w:sz w:val="21"/>
              </w:rPr>
            </w:pPr>
            <w:r/>
          </w:p>
        </w:tc>
        <w:tc>
          <w:tcPr>
            <w:tcW w:w="669" w:type="dxa"/>
            <w:vAlign w:val="top"/>
          </w:tcPr>
          <w:p>
            <w:pPr>
              <w:spacing w:line="263" w:lineRule="auto"/>
              <w:rPr>
                <w:rFonts w:ascii="Arial"/>
                <w:sz w:val="21"/>
              </w:rPr>
            </w:pPr>
            <w:r/>
          </w:p>
          <w:p>
            <w:pPr>
              <w:spacing w:line="263" w:lineRule="auto"/>
              <w:rPr>
                <w:rFonts w:ascii="Arial"/>
                <w:sz w:val="21"/>
              </w:rPr>
            </w:pPr>
            <w:r/>
          </w:p>
          <w:p>
            <w:pPr>
              <w:pStyle w:val="TableText"/>
              <w:ind w:left="110"/>
              <w:spacing w:before="68" w:line="220" w:lineRule="auto"/>
              <w:rPr>
                <w:sz w:val="21"/>
                <w:szCs w:val="21"/>
              </w:rPr>
            </w:pPr>
            <w:r>
              <w:rPr>
                <w:sz w:val="21"/>
                <w:szCs w:val="21"/>
                <w:spacing w:val="-3"/>
              </w:rPr>
              <w:t>食堂</w:t>
            </w:r>
          </w:p>
        </w:tc>
        <w:tc>
          <w:tcPr>
            <w:tcW w:w="2618" w:type="dxa"/>
            <w:vAlign w:val="top"/>
          </w:tcPr>
          <w:p>
            <w:pPr>
              <w:pStyle w:val="TableText"/>
              <w:ind w:left="190"/>
              <w:spacing w:before="205" w:line="219" w:lineRule="auto"/>
              <w:rPr>
                <w:sz w:val="21"/>
                <w:szCs w:val="21"/>
              </w:rPr>
            </w:pPr>
            <w:r>
              <w:rPr>
                <w:sz w:val="21"/>
                <w:szCs w:val="21"/>
                <w:spacing w:val="1"/>
              </w:rPr>
              <w:t>食堂一(X18)预计供1400</w:t>
            </w:r>
          </w:p>
          <w:p>
            <w:pPr>
              <w:pStyle w:val="TableText"/>
              <w:ind w:left="141"/>
              <w:spacing w:before="32" w:line="219" w:lineRule="auto"/>
              <w:rPr>
                <w:sz w:val="21"/>
                <w:szCs w:val="21"/>
              </w:rPr>
            </w:pPr>
            <w:r>
              <w:rPr>
                <w:sz w:val="21"/>
                <w:szCs w:val="21"/>
                <w:spacing w:val="-1"/>
              </w:rPr>
              <w:t>人用餐，设10个灶头，食</w:t>
            </w:r>
          </w:p>
          <w:p>
            <w:pPr>
              <w:pStyle w:val="TableText"/>
              <w:ind w:left="301"/>
              <w:spacing w:before="39" w:line="212" w:lineRule="auto"/>
              <w:rPr>
                <w:sz w:val="21"/>
                <w:szCs w:val="21"/>
              </w:rPr>
            </w:pPr>
            <w:r>
              <w:rPr>
                <w:sz w:val="21"/>
                <w:szCs w:val="21"/>
                <w:spacing w:val="-1"/>
              </w:rPr>
              <w:t>堂二(X19)预计供1400</w:t>
            </w:r>
          </w:p>
          <w:p>
            <w:pPr>
              <w:pStyle w:val="TableText"/>
              <w:ind w:left="351"/>
              <w:spacing w:line="219" w:lineRule="auto"/>
              <w:rPr>
                <w:sz w:val="21"/>
                <w:szCs w:val="21"/>
              </w:rPr>
            </w:pPr>
            <w:r>
              <w:rPr>
                <w:sz w:val="21"/>
                <w:szCs w:val="21"/>
                <w:spacing w:val="1"/>
              </w:rPr>
              <w:t>人用餐，设10个灶头</w:t>
            </w:r>
          </w:p>
        </w:tc>
        <w:tc>
          <w:tcPr>
            <w:tcW w:w="3597" w:type="dxa"/>
            <w:vAlign w:val="top"/>
          </w:tcPr>
          <w:p>
            <w:pPr>
              <w:pStyle w:val="TableText"/>
              <w:ind w:left="123" w:right="164" w:firstLine="39"/>
              <w:spacing w:before="64" w:line="238" w:lineRule="auto"/>
              <w:jc w:val="both"/>
              <w:rPr>
                <w:sz w:val="21"/>
                <w:szCs w:val="21"/>
              </w:rPr>
            </w:pPr>
            <w:r>
              <w:rPr>
                <w:sz w:val="21"/>
                <w:szCs w:val="21"/>
                <w:spacing w:val="5"/>
              </w:rPr>
              <w:t>食堂三2层，占地面积933.7 m²,建</w:t>
            </w:r>
            <w:r>
              <w:rPr>
                <w:sz w:val="21"/>
                <w:szCs w:val="21"/>
                <w:spacing w:val="8"/>
              </w:rPr>
              <w:t xml:space="preserve"> </w:t>
            </w:r>
            <w:r>
              <w:rPr>
                <w:sz w:val="21"/>
                <w:szCs w:val="21"/>
                <w:spacing w:val="6"/>
              </w:rPr>
              <w:t>筑面积为1966.98 m²,预计供752人</w:t>
            </w:r>
            <w:r>
              <w:rPr>
                <w:sz w:val="21"/>
                <w:szCs w:val="21"/>
                <w:spacing w:val="15"/>
              </w:rPr>
              <w:t xml:space="preserve"> </w:t>
            </w:r>
            <w:r>
              <w:rPr>
                <w:sz w:val="21"/>
                <w:szCs w:val="21"/>
                <w:spacing w:val="10"/>
              </w:rPr>
              <w:t>用餐，设10个灶头；</w:t>
            </w:r>
          </w:p>
          <w:p>
            <w:pPr>
              <w:pStyle w:val="TableText"/>
              <w:spacing w:before="27" w:line="211" w:lineRule="auto"/>
              <w:jc w:val="right"/>
              <w:rPr>
                <w:sz w:val="21"/>
                <w:szCs w:val="21"/>
              </w:rPr>
            </w:pPr>
            <w:r>
              <w:rPr>
                <w:sz w:val="21"/>
                <w:szCs w:val="21"/>
                <w:spacing w:val="7"/>
              </w:rPr>
              <w:t>食堂四-1/2层，占地面积624.63 m²,</w:t>
            </w:r>
          </w:p>
          <w:p>
            <w:pPr>
              <w:pStyle w:val="TableText"/>
              <w:ind w:left="162"/>
              <w:spacing w:line="201" w:lineRule="auto"/>
              <w:rPr>
                <w:sz w:val="21"/>
                <w:szCs w:val="21"/>
              </w:rPr>
            </w:pPr>
            <w:r>
              <w:rPr>
                <w:sz w:val="21"/>
                <w:szCs w:val="21"/>
                <w:spacing w:val="5"/>
              </w:rPr>
              <w:t>建筑面积为1413.26 m²,预计供752</w:t>
            </w:r>
          </w:p>
        </w:tc>
        <w:tc>
          <w:tcPr>
            <w:tcW w:w="4547" w:type="dxa"/>
            <w:vAlign w:val="top"/>
          </w:tcPr>
          <w:p>
            <w:pPr>
              <w:spacing w:line="292" w:lineRule="auto"/>
              <w:rPr>
                <w:rFonts w:ascii="Arial"/>
                <w:sz w:val="21"/>
              </w:rPr>
            </w:pPr>
            <w:r/>
          </w:p>
          <w:p>
            <w:pPr>
              <w:pStyle w:val="TableText"/>
              <w:ind w:left="165" w:right="210" w:firstLine="50"/>
              <w:spacing w:before="68" w:line="223" w:lineRule="auto"/>
              <w:rPr>
                <w:sz w:val="21"/>
                <w:szCs w:val="21"/>
              </w:rPr>
            </w:pPr>
            <w:r>
              <w:rPr>
                <w:sz w:val="21"/>
                <w:szCs w:val="21"/>
                <w:spacing w:val="5"/>
              </w:rPr>
              <w:t>食堂三2层，占地面积933.7 m²,建筑面积为</w:t>
            </w:r>
            <w:r>
              <w:rPr>
                <w:sz w:val="21"/>
                <w:szCs w:val="21"/>
              </w:rPr>
              <w:t xml:space="preserve"> </w:t>
            </w:r>
            <w:r>
              <w:rPr>
                <w:sz w:val="21"/>
                <w:szCs w:val="21"/>
                <w:spacing w:val="8"/>
              </w:rPr>
              <w:t>1966.98 m²,供752人用餐，设10</w:t>
            </w:r>
            <w:r>
              <w:rPr>
                <w:sz w:val="21"/>
                <w:szCs w:val="21"/>
                <w:spacing w:val="7"/>
              </w:rPr>
              <w:t>个灶头；</w:t>
            </w:r>
          </w:p>
          <w:p>
            <w:pPr>
              <w:pStyle w:val="TableText"/>
              <w:ind w:left="136"/>
              <w:spacing w:before="27" w:line="220" w:lineRule="auto"/>
              <w:rPr>
                <w:sz w:val="21"/>
                <w:szCs w:val="21"/>
              </w:rPr>
            </w:pPr>
            <w:r>
              <w:rPr>
                <w:sz w:val="21"/>
                <w:szCs w:val="21"/>
                <w:spacing w:val="-2"/>
              </w:rPr>
              <w:t>食堂四暂未建设</w:t>
            </w:r>
          </w:p>
        </w:tc>
        <w:tc>
          <w:tcPr>
            <w:tcW w:w="2293" w:type="dxa"/>
            <w:vAlign w:val="top"/>
          </w:tcPr>
          <w:p>
            <w:pPr>
              <w:rPr>
                <w:rFonts w:ascii="Arial"/>
                <w:sz w:val="21"/>
              </w:rPr>
            </w:pPr>
            <w:r/>
          </w:p>
        </w:tc>
      </w:tr>
    </w:tbl>
    <w:p>
      <w:pPr>
        <w:rPr>
          <w:rFonts w:ascii="Arial"/>
          <w:sz w:val="21"/>
        </w:rPr>
      </w:pPr>
      <w:r/>
    </w:p>
    <w:p>
      <w:pPr>
        <w:sectPr>
          <w:footerReference w:type="default" r:id="rId24"/>
          <w:pgSz w:w="16840" w:h="11900"/>
          <w:pgMar w:top="1011" w:right="1375" w:bottom="978" w:left="1304" w:header="0" w:footer="839" w:gutter="0"/>
        </w:sectPr>
        <w:rPr>
          <w:rFonts w:ascii="Arial" w:hAnsi="Arial" w:eastAsia="Arial" w:cs="Arial"/>
          <w:sz w:val="21"/>
          <w:szCs w:val="21"/>
        </w:rPr>
      </w:pPr>
    </w:p>
    <w:p>
      <w:pPr>
        <w:spacing w:before="9"/>
        <w:rPr/>
      </w:pPr>
      <w:r/>
    </w:p>
    <w:tbl>
      <w:tblPr>
        <w:tblStyle w:val="TableNormal"/>
        <w:tblW w:w="141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15"/>
        <w:gridCol w:w="679"/>
        <w:gridCol w:w="2608"/>
        <w:gridCol w:w="3607"/>
        <w:gridCol w:w="4547"/>
        <w:gridCol w:w="2293"/>
      </w:tblGrid>
      <w:tr>
        <w:trPr>
          <w:trHeight w:val="287" w:hRule="atLeast"/>
        </w:trPr>
        <w:tc>
          <w:tcPr>
            <w:tcW w:w="415" w:type="dxa"/>
            <w:vAlign w:val="top"/>
            <w:vMerge w:val="restart"/>
            <w:textDirection w:val="tbRlV"/>
            <w:tcBorders>
              <w:bottom w:val="nil"/>
            </w:tcBorders>
          </w:tcPr>
          <w:p>
            <w:pPr>
              <w:pStyle w:val="TableText"/>
              <w:spacing w:before="100" w:line="216" w:lineRule="auto"/>
              <w:rPr>
                <w:sz w:val="21"/>
                <w:szCs w:val="21"/>
              </w:rPr>
            </w:pPr>
            <w:r>
              <w:rPr>
                <w:sz w:val="21"/>
                <w:szCs w:val="21"/>
                <w:spacing w:val="-2"/>
              </w:rPr>
              <w:t>工</w:t>
            </w:r>
            <w:r>
              <w:rPr>
                <w:sz w:val="21"/>
                <w:szCs w:val="21"/>
                <w:spacing w:val="-28"/>
              </w:rPr>
              <w:t xml:space="preserve"> </w:t>
            </w:r>
            <w:r>
              <w:rPr>
                <w:sz w:val="21"/>
                <w:szCs w:val="21"/>
                <w:spacing w:val="-2"/>
              </w:rPr>
              <w:t>程</w:t>
            </w:r>
            <w:r>
              <w:rPr>
                <w:sz w:val="21"/>
                <w:szCs w:val="21"/>
                <w:spacing w:val="-28"/>
              </w:rPr>
              <w:t xml:space="preserve"> </w:t>
            </w:r>
            <w:r>
              <w:rPr>
                <w:sz w:val="21"/>
                <w:szCs w:val="21"/>
                <w:spacing w:val="-2"/>
              </w:rPr>
              <w:t>类</w:t>
            </w:r>
            <w:r>
              <w:rPr>
                <w:sz w:val="21"/>
                <w:szCs w:val="21"/>
                <w:spacing w:val="-28"/>
              </w:rPr>
              <w:t xml:space="preserve"> </w:t>
            </w:r>
            <w:r>
              <w:rPr>
                <w:sz w:val="21"/>
                <w:szCs w:val="21"/>
                <w:spacing w:val="-2"/>
              </w:rPr>
              <w:t>别</w:t>
            </w:r>
          </w:p>
        </w:tc>
        <w:tc>
          <w:tcPr>
            <w:tcW w:w="679" w:type="dxa"/>
            <w:vAlign w:val="top"/>
            <w:vMerge w:val="restart"/>
            <w:tcBorders>
              <w:bottom w:val="nil"/>
            </w:tcBorders>
          </w:tcPr>
          <w:p>
            <w:pPr>
              <w:rPr>
                <w:rFonts w:ascii="Arial"/>
                <w:sz w:val="21"/>
              </w:rPr>
            </w:pPr>
            <w:r/>
          </w:p>
          <w:p>
            <w:pPr>
              <w:pStyle w:val="TableText"/>
              <w:ind w:left="120" w:right="118"/>
              <w:spacing w:before="68" w:line="228" w:lineRule="auto"/>
              <w:rPr>
                <w:sz w:val="21"/>
                <w:szCs w:val="21"/>
              </w:rPr>
            </w:pPr>
            <w:r>
              <w:rPr>
                <w:sz w:val="21"/>
                <w:szCs w:val="21"/>
                <w:spacing w:val="5"/>
              </w:rPr>
              <w:t>主要</w:t>
            </w:r>
            <w:r>
              <w:rPr>
                <w:sz w:val="21"/>
                <w:szCs w:val="21"/>
              </w:rPr>
              <w:t xml:space="preserve"> </w:t>
            </w:r>
            <w:r>
              <w:rPr>
                <w:sz w:val="21"/>
                <w:szCs w:val="21"/>
                <w:spacing w:val="4"/>
              </w:rPr>
              <w:t>组成</w:t>
            </w:r>
          </w:p>
        </w:tc>
        <w:tc>
          <w:tcPr>
            <w:tcW w:w="2608" w:type="dxa"/>
            <w:vAlign w:val="top"/>
            <w:vMerge w:val="restart"/>
            <w:tcBorders>
              <w:bottom w:val="nil"/>
            </w:tcBorders>
          </w:tcPr>
          <w:p>
            <w:pPr>
              <w:spacing w:line="246" w:lineRule="auto"/>
              <w:rPr>
                <w:rFonts w:ascii="Arial"/>
                <w:sz w:val="21"/>
              </w:rPr>
            </w:pPr>
            <w:r/>
          </w:p>
          <w:p>
            <w:pPr>
              <w:pStyle w:val="TableText"/>
              <w:ind w:left="190"/>
              <w:spacing w:before="68" w:line="219" w:lineRule="auto"/>
              <w:rPr>
                <w:sz w:val="21"/>
                <w:szCs w:val="21"/>
              </w:rPr>
            </w:pPr>
            <w:r>
              <w:rPr>
                <w:sz w:val="21"/>
                <w:szCs w:val="21"/>
                <w:spacing w:val="-2"/>
              </w:rPr>
              <w:t>一汽动力电池项目(产能</w:t>
            </w:r>
          </w:p>
          <w:p>
            <w:pPr>
              <w:pStyle w:val="TableText"/>
              <w:ind w:left="660"/>
              <w:spacing w:before="31" w:line="221" w:lineRule="auto"/>
              <w:rPr>
                <w:sz w:val="21"/>
                <w:szCs w:val="21"/>
              </w:rPr>
            </w:pPr>
            <w:r>
              <w:rPr>
                <w:sz w:val="21"/>
                <w:szCs w:val="21"/>
                <w:spacing w:val="6"/>
              </w:rPr>
              <w:t>10</w:t>
            </w:r>
            <w:r>
              <w:rPr>
                <w:sz w:val="21"/>
                <w:szCs w:val="21"/>
              </w:rPr>
              <w:t>GWh</w:t>
            </w:r>
            <w:r>
              <w:rPr>
                <w:sz w:val="21"/>
                <w:szCs w:val="21"/>
                <w:spacing w:val="6"/>
              </w:rPr>
              <w:t>)(已建)</w:t>
            </w:r>
          </w:p>
        </w:tc>
        <w:tc>
          <w:tcPr>
            <w:tcW w:w="10447" w:type="dxa"/>
            <w:vAlign w:val="top"/>
            <w:gridSpan w:val="3"/>
          </w:tcPr>
          <w:p>
            <w:pPr>
              <w:pStyle w:val="TableText"/>
              <w:ind w:left="2702"/>
              <w:spacing w:before="39" w:line="209" w:lineRule="auto"/>
              <w:rPr>
                <w:sz w:val="21"/>
                <w:szCs w:val="21"/>
              </w:rPr>
            </w:pPr>
            <w:r>
              <w:rPr>
                <w:sz w:val="21"/>
                <w:szCs w:val="21"/>
                <w:spacing w:val="1"/>
              </w:rPr>
              <w:t>时代一汽年产20</w:t>
            </w:r>
            <w:r>
              <w:rPr>
                <w:sz w:val="21"/>
                <w:szCs w:val="21"/>
              </w:rPr>
              <w:t>gwh</w:t>
            </w:r>
            <w:r>
              <w:rPr>
                <w:sz w:val="21"/>
                <w:szCs w:val="21"/>
                <w:spacing w:val="1"/>
              </w:rPr>
              <w:t>动力电池生产线扩建项目(在建)</w:t>
            </w:r>
          </w:p>
        </w:tc>
      </w:tr>
      <w:tr>
        <w:trPr>
          <w:trHeight w:val="779" w:hRule="atLeast"/>
        </w:trPr>
        <w:tc>
          <w:tcPr>
            <w:tcW w:w="415" w:type="dxa"/>
            <w:vAlign w:val="top"/>
            <w:vMerge w:val="continue"/>
            <w:textDirection w:val="tbRlV"/>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2608" w:type="dxa"/>
            <w:vAlign w:val="top"/>
            <w:vMerge w:val="continue"/>
            <w:tcBorders>
              <w:top w:val="nil"/>
            </w:tcBorders>
          </w:tcPr>
          <w:p>
            <w:pPr>
              <w:rPr>
                <w:rFonts w:ascii="Arial"/>
                <w:sz w:val="21"/>
              </w:rPr>
            </w:pPr>
            <w:r/>
          </w:p>
        </w:tc>
        <w:tc>
          <w:tcPr>
            <w:tcW w:w="3607" w:type="dxa"/>
            <w:vAlign w:val="top"/>
          </w:tcPr>
          <w:p>
            <w:pPr>
              <w:pStyle w:val="TableText"/>
              <w:ind w:left="792"/>
              <w:spacing w:before="281" w:line="214" w:lineRule="auto"/>
              <w:rPr>
                <w:sz w:val="21"/>
                <w:szCs w:val="21"/>
              </w:rPr>
            </w:pPr>
            <w:r>
              <w:rPr>
                <w:sz w:val="21"/>
                <w:szCs w:val="21"/>
                <w:spacing w:val="5"/>
              </w:rPr>
              <w:t>环评内容(产能20</w:t>
            </w:r>
            <w:r>
              <w:rPr>
                <w:sz w:val="21"/>
                <w:szCs w:val="21"/>
              </w:rPr>
              <w:t>gwh</w:t>
            </w:r>
            <w:r>
              <w:rPr>
                <w:sz w:val="21"/>
                <w:szCs w:val="21"/>
                <w:spacing w:val="5"/>
              </w:rPr>
              <w:t>)</w:t>
            </w:r>
          </w:p>
        </w:tc>
        <w:tc>
          <w:tcPr>
            <w:tcW w:w="4547" w:type="dxa"/>
            <w:vAlign w:val="top"/>
          </w:tcPr>
          <w:p>
            <w:pPr>
              <w:pStyle w:val="TableText"/>
              <w:ind w:left="905"/>
              <w:spacing w:before="281" w:line="214" w:lineRule="auto"/>
              <w:rPr>
                <w:sz w:val="21"/>
                <w:szCs w:val="21"/>
              </w:rPr>
            </w:pPr>
            <w:r>
              <w:rPr>
                <w:sz w:val="21"/>
                <w:szCs w:val="21"/>
                <w:spacing w:val="3"/>
              </w:rPr>
              <w:t>阶段性验收内容(产能6.7</w:t>
            </w:r>
            <w:r>
              <w:rPr>
                <w:sz w:val="21"/>
                <w:szCs w:val="21"/>
              </w:rPr>
              <w:t>gwh</w:t>
            </w:r>
            <w:r>
              <w:rPr>
                <w:sz w:val="21"/>
                <w:szCs w:val="21"/>
                <w:spacing w:val="3"/>
              </w:rPr>
              <w:t>)</w:t>
            </w:r>
          </w:p>
        </w:tc>
        <w:tc>
          <w:tcPr>
            <w:tcW w:w="2293" w:type="dxa"/>
            <w:vAlign w:val="top"/>
          </w:tcPr>
          <w:p>
            <w:pPr>
              <w:pStyle w:val="TableText"/>
              <w:ind w:left="969"/>
              <w:spacing w:before="290" w:line="221" w:lineRule="auto"/>
              <w:rPr>
                <w:sz w:val="21"/>
                <w:szCs w:val="21"/>
              </w:rPr>
            </w:pPr>
            <w:r>
              <w:rPr>
                <w:sz w:val="21"/>
                <w:szCs w:val="21"/>
                <w:spacing w:val="5"/>
              </w:rPr>
              <w:t>备注</w:t>
            </w:r>
          </w:p>
        </w:tc>
      </w:tr>
      <w:tr>
        <w:trPr>
          <w:trHeight w:val="300" w:hRule="atLeast"/>
        </w:trPr>
        <w:tc>
          <w:tcPr>
            <w:tcW w:w="415" w:type="dxa"/>
            <w:vAlign w:val="top"/>
            <w:vMerge w:val="restart"/>
            <w:tcBorders>
              <w:bottom w:val="nil"/>
            </w:tcBorders>
          </w:tcPr>
          <w:p>
            <w:pPr>
              <w:rPr>
                <w:rFonts w:ascii="Arial"/>
                <w:sz w:val="21"/>
              </w:rPr>
            </w:pPr>
            <w:r/>
          </w:p>
        </w:tc>
        <w:tc>
          <w:tcPr>
            <w:tcW w:w="679" w:type="dxa"/>
            <w:vAlign w:val="top"/>
          </w:tcPr>
          <w:p>
            <w:pPr>
              <w:rPr>
                <w:rFonts w:ascii="Arial"/>
                <w:sz w:val="21"/>
              </w:rPr>
            </w:pPr>
            <w:r/>
          </w:p>
        </w:tc>
        <w:tc>
          <w:tcPr>
            <w:tcW w:w="2608" w:type="dxa"/>
            <w:vAlign w:val="top"/>
          </w:tcPr>
          <w:p>
            <w:pPr>
              <w:rPr>
                <w:rFonts w:ascii="Arial"/>
                <w:sz w:val="21"/>
              </w:rPr>
            </w:pPr>
            <w:r/>
          </w:p>
        </w:tc>
        <w:tc>
          <w:tcPr>
            <w:tcW w:w="3607" w:type="dxa"/>
            <w:vAlign w:val="top"/>
          </w:tcPr>
          <w:p>
            <w:pPr>
              <w:pStyle w:val="TableText"/>
              <w:ind w:left="133"/>
              <w:spacing w:before="49" w:line="211" w:lineRule="auto"/>
              <w:rPr>
                <w:sz w:val="21"/>
                <w:szCs w:val="21"/>
              </w:rPr>
            </w:pPr>
            <w:r>
              <w:rPr>
                <w:sz w:val="21"/>
                <w:szCs w:val="21"/>
                <w:spacing w:val="1"/>
              </w:rPr>
              <w:t>人用餐，设10个灶头</w:t>
            </w:r>
          </w:p>
        </w:tc>
        <w:tc>
          <w:tcPr>
            <w:tcW w:w="4547" w:type="dxa"/>
            <w:vAlign w:val="top"/>
          </w:tcPr>
          <w:p>
            <w:pPr>
              <w:rPr>
                <w:rFonts w:ascii="Arial"/>
                <w:sz w:val="21"/>
              </w:rPr>
            </w:pPr>
            <w:r/>
          </w:p>
        </w:tc>
        <w:tc>
          <w:tcPr>
            <w:tcW w:w="2293" w:type="dxa"/>
            <w:vAlign w:val="top"/>
          </w:tcPr>
          <w:p>
            <w:pPr>
              <w:rPr>
                <w:rFonts w:ascii="Arial"/>
                <w:sz w:val="21"/>
              </w:rPr>
            </w:pPr>
            <w:r/>
          </w:p>
        </w:tc>
      </w:tr>
      <w:tr>
        <w:trPr>
          <w:trHeight w:val="529" w:hRule="atLeast"/>
        </w:trPr>
        <w:tc>
          <w:tcPr>
            <w:tcW w:w="415" w:type="dxa"/>
            <w:vAlign w:val="top"/>
            <w:vMerge w:val="continue"/>
            <w:tcBorders>
              <w:top w:val="nil"/>
              <w:bottom w:val="nil"/>
            </w:tcBorders>
          </w:tcPr>
          <w:p>
            <w:pPr>
              <w:rPr>
                <w:rFonts w:ascii="Arial"/>
                <w:sz w:val="21"/>
              </w:rPr>
            </w:pPr>
            <w:r/>
          </w:p>
        </w:tc>
        <w:tc>
          <w:tcPr>
            <w:tcW w:w="679" w:type="dxa"/>
            <w:vAlign w:val="top"/>
          </w:tcPr>
          <w:p>
            <w:pPr>
              <w:pStyle w:val="TableText"/>
              <w:ind w:left="120"/>
              <w:spacing w:before="54" w:line="208" w:lineRule="auto"/>
              <w:rPr>
                <w:sz w:val="21"/>
                <w:szCs w:val="21"/>
              </w:rPr>
            </w:pPr>
            <w:r>
              <w:rPr>
                <w:sz w:val="21"/>
                <w:szCs w:val="21"/>
                <w:spacing w:val="-3"/>
              </w:rPr>
              <w:t>加工</w:t>
            </w:r>
          </w:p>
          <w:p>
            <w:pPr>
              <w:pStyle w:val="TableText"/>
              <w:ind w:left="220"/>
              <w:spacing w:line="200" w:lineRule="auto"/>
              <w:rPr>
                <w:sz w:val="21"/>
                <w:szCs w:val="21"/>
              </w:rPr>
            </w:pPr>
            <w:r>
              <w:rPr>
                <w:sz w:val="21"/>
                <w:szCs w:val="21"/>
              </w:rPr>
              <w:t>房</w:t>
            </w:r>
          </w:p>
        </w:tc>
        <w:tc>
          <w:tcPr>
            <w:tcW w:w="2608" w:type="dxa"/>
            <w:vAlign w:val="top"/>
          </w:tcPr>
          <w:p>
            <w:pPr>
              <w:pStyle w:val="TableText"/>
              <w:ind w:left="1241"/>
              <w:spacing w:before="166" w:line="224" w:lineRule="auto"/>
              <w:rPr>
                <w:sz w:val="21"/>
                <w:szCs w:val="21"/>
              </w:rPr>
            </w:pPr>
            <w:r>
              <w:rPr>
                <w:sz w:val="21"/>
                <w:szCs w:val="21"/>
              </w:rPr>
              <w:t>/</w:t>
            </w:r>
          </w:p>
        </w:tc>
        <w:tc>
          <w:tcPr>
            <w:tcW w:w="3607" w:type="dxa"/>
            <w:vAlign w:val="top"/>
          </w:tcPr>
          <w:p>
            <w:pPr>
              <w:pStyle w:val="TableText"/>
              <w:ind w:left="272" w:right="238"/>
              <w:spacing w:before="45" w:line="208" w:lineRule="auto"/>
              <w:rPr>
                <w:sz w:val="21"/>
                <w:szCs w:val="21"/>
              </w:rPr>
            </w:pPr>
            <w:r>
              <w:rPr>
                <w:sz w:val="21"/>
                <w:szCs w:val="21"/>
                <w:spacing w:val="-1"/>
              </w:rPr>
              <w:t>X34,机加工用房，1层，占地面积</w:t>
            </w:r>
            <w:r>
              <w:rPr>
                <w:sz w:val="21"/>
                <w:szCs w:val="21"/>
                <w:spacing w:val="10"/>
              </w:rPr>
              <w:t xml:space="preserve"> </w:t>
            </w:r>
            <w:r>
              <w:rPr>
                <w:sz w:val="21"/>
                <w:szCs w:val="21"/>
                <w:spacing w:val="10"/>
              </w:rPr>
              <w:t>359.6 m²,建筑面积为359.6</w:t>
            </w:r>
            <w:r>
              <w:rPr>
                <w:sz w:val="21"/>
                <w:szCs w:val="21"/>
                <w:spacing w:val="39"/>
              </w:rPr>
              <w:t xml:space="preserve"> </w:t>
            </w:r>
            <w:r>
              <w:rPr>
                <w:sz w:val="21"/>
                <w:szCs w:val="21"/>
                <w:spacing w:val="10"/>
              </w:rPr>
              <w:t>m²</w:t>
            </w:r>
          </w:p>
        </w:tc>
        <w:tc>
          <w:tcPr>
            <w:tcW w:w="4547" w:type="dxa"/>
            <w:vAlign w:val="top"/>
          </w:tcPr>
          <w:p>
            <w:pPr>
              <w:pStyle w:val="TableText"/>
              <w:ind w:left="1265" w:right="156" w:hanging="1049"/>
              <w:spacing w:before="36" w:line="212" w:lineRule="auto"/>
              <w:rPr>
                <w:sz w:val="21"/>
                <w:szCs w:val="21"/>
              </w:rPr>
            </w:pPr>
            <w:r>
              <w:rPr>
                <w:sz w:val="21"/>
                <w:szCs w:val="21"/>
                <w:spacing w:val="6"/>
              </w:rPr>
              <w:t>X34,机加工用房，1层，占地面积359.6 m²,</w:t>
            </w:r>
            <w:r>
              <w:rPr>
                <w:sz w:val="21"/>
                <w:szCs w:val="21"/>
                <w:spacing w:val="17"/>
              </w:rPr>
              <w:t xml:space="preserve"> </w:t>
            </w:r>
            <w:r>
              <w:rPr>
                <w:sz w:val="21"/>
                <w:szCs w:val="21"/>
                <w:spacing w:val="10"/>
              </w:rPr>
              <w:t>建筑面积为359.6</w:t>
            </w:r>
            <w:r>
              <w:rPr>
                <w:sz w:val="21"/>
                <w:szCs w:val="21"/>
                <w:spacing w:val="35"/>
              </w:rPr>
              <w:t xml:space="preserve"> </w:t>
            </w:r>
            <w:r>
              <w:rPr>
                <w:sz w:val="21"/>
                <w:szCs w:val="21"/>
                <w:spacing w:val="10"/>
              </w:rPr>
              <w:t>m²</w:t>
            </w:r>
          </w:p>
        </w:tc>
        <w:tc>
          <w:tcPr>
            <w:tcW w:w="2293" w:type="dxa"/>
            <w:vAlign w:val="top"/>
          </w:tcPr>
          <w:p>
            <w:pPr>
              <w:rPr>
                <w:rFonts w:ascii="Arial"/>
                <w:sz w:val="21"/>
              </w:rPr>
            </w:pPr>
            <w:r/>
          </w:p>
        </w:tc>
      </w:tr>
      <w:tr>
        <w:trPr>
          <w:trHeight w:val="559" w:hRule="atLeast"/>
        </w:trPr>
        <w:tc>
          <w:tcPr>
            <w:tcW w:w="415" w:type="dxa"/>
            <w:vAlign w:val="top"/>
            <w:vMerge w:val="continue"/>
            <w:tcBorders>
              <w:top w:val="nil"/>
            </w:tcBorders>
          </w:tcPr>
          <w:p>
            <w:pPr>
              <w:rPr>
                <w:rFonts w:ascii="Arial"/>
                <w:sz w:val="21"/>
              </w:rPr>
            </w:pPr>
            <w:r/>
          </w:p>
        </w:tc>
        <w:tc>
          <w:tcPr>
            <w:tcW w:w="679" w:type="dxa"/>
            <w:vAlign w:val="top"/>
          </w:tcPr>
          <w:p>
            <w:pPr>
              <w:pStyle w:val="TableText"/>
              <w:ind w:left="120"/>
              <w:spacing w:before="181" w:line="220" w:lineRule="auto"/>
              <w:rPr>
                <w:sz w:val="21"/>
                <w:szCs w:val="21"/>
              </w:rPr>
            </w:pPr>
            <w:r>
              <w:rPr>
                <w:sz w:val="21"/>
                <w:szCs w:val="21"/>
                <w:spacing w:val="-3"/>
              </w:rPr>
              <w:t>其他</w:t>
            </w:r>
          </w:p>
        </w:tc>
        <w:tc>
          <w:tcPr>
            <w:tcW w:w="2608" w:type="dxa"/>
            <w:vAlign w:val="top"/>
          </w:tcPr>
          <w:p>
            <w:pPr>
              <w:pStyle w:val="TableText"/>
              <w:ind w:left="1080" w:right="166" w:hanging="939"/>
              <w:spacing w:before="50" w:line="219" w:lineRule="auto"/>
              <w:rPr>
                <w:sz w:val="21"/>
                <w:szCs w:val="21"/>
              </w:rPr>
            </w:pPr>
            <w:r>
              <w:rPr>
                <w:sz w:val="21"/>
                <w:szCs w:val="21"/>
                <w:spacing w:val="-2"/>
              </w:rPr>
              <w:t>宿舍一、宿舍二、生活设</w:t>
            </w:r>
            <w:r>
              <w:rPr>
                <w:sz w:val="21"/>
                <w:szCs w:val="21"/>
                <w:spacing w:val="1"/>
              </w:rPr>
              <w:t xml:space="preserve"> </w:t>
            </w:r>
            <w:r>
              <w:rPr>
                <w:sz w:val="21"/>
                <w:szCs w:val="21"/>
                <w:spacing w:val="7"/>
              </w:rPr>
              <w:t>施房</w:t>
            </w:r>
          </w:p>
        </w:tc>
        <w:tc>
          <w:tcPr>
            <w:tcW w:w="3607" w:type="dxa"/>
            <w:vAlign w:val="top"/>
          </w:tcPr>
          <w:p>
            <w:pPr>
              <w:pStyle w:val="TableText"/>
              <w:ind w:left="431" w:right="105" w:hanging="319"/>
              <w:spacing w:before="71" w:line="210" w:lineRule="auto"/>
              <w:rPr>
                <w:sz w:val="21"/>
                <w:szCs w:val="21"/>
              </w:rPr>
            </w:pPr>
            <w:r>
              <w:rPr>
                <w:sz w:val="21"/>
                <w:szCs w:val="21"/>
                <w:spacing w:val="1"/>
              </w:rPr>
              <w:t>宿舍三～宿舍十，活动中心、生活区 </w:t>
            </w:r>
            <w:r>
              <w:rPr>
                <w:sz w:val="21"/>
                <w:szCs w:val="21"/>
                <w:spacing w:val="-1"/>
              </w:rPr>
              <w:t>风雨连廊、物料连廊、门卫等</w:t>
            </w:r>
          </w:p>
        </w:tc>
        <w:tc>
          <w:tcPr>
            <w:tcW w:w="4547" w:type="dxa"/>
            <w:vAlign w:val="top"/>
          </w:tcPr>
          <w:p>
            <w:pPr>
              <w:pStyle w:val="TableText"/>
              <w:ind w:left="1411" w:hanging="1346"/>
              <w:spacing w:before="30" w:line="228" w:lineRule="auto"/>
              <w:rPr>
                <w:sz w:val="21"/>
                <w:szCs w:val="21"/>
              </w:rPr>
            </w:pPr>
            <w:r>
              <w:rPr>
                <w:sz w:val="21"/>
                <w:szCs w:val="21"/>
                <w:spacing w:val="2"/>
              </w:rPr>
              <w:t>宿舍三～宿舍十，活动中心、生活区风雨连廊、</w:t>
            </w:r>
            <w:r>
              <w:rPr>
                <w:sz w:val="21"/>
                <w:szCs w:val="21"/>
                <w:spacing w:val="18"/>
              </w:rPr>
              <w:t xml:space="preserve"> </w:t>
            </w:r>
            <w:r>
              <w:rPr>
                <w:sz w:val="21"/>
                <w:szCs w:val="21"/>
                <w:spacing w:val="-3"/>
              </w:rPr>
              <w:t>物料连廊、门卫等</w:t>
            </w:r>
          </w:p>
        </w:tc>
        <w:tc>
          <w:tcPr>
            <w:tcW w:w="2293" w:type="dxa"/>
            <w:vAlign w:val="top"/>
          </w:tcPr>
          <w:p>
            <w:pPr>
              <w:rPr>
                <w:rFonts w:ascii="Arial"/>
                <w:sz w:val="21"/>
              </w:rPr>
            </w:pPr>
            <w:r/>
          </w:p>
        </w:tc>
      </w:tr>
      <w:tr>
        <w:trPr>
          <w:trHeight w:val="1898" w:hRule="atLeast"/>
        </w:trPr>
        <w:tc>
          <w:tcPr>
            <w:tcW w:w="415" w:type="dxa"/>
            <w:vAlign w:val="top"/>
            <w:vMerge w:val="restart"/>
            <w:textDirection w:val="tbRlV"/>
            <w:tcBorders>
              <w:bottom w:val="nil"/>
            </w:tcBorders>
          </w:tcPr>
          <w:p>
            <w:pPr>
              <w:pStyle w:val="TableText"/>
              <w:ind w:left="2072"/>
              <w:spacing w:before="79" w:line="217" w:lineRule="auto"/>
              <w:rPr>
                <w:sz w:val="21"/>
                <w:szCs w:val="21"/>
              </w:rPr>
            </w:pPr>
            <w:r>
              <w:rPr>
                <w:sz w:val="21"/>
                <w:szCs w:val="21"/>
              </w:rPr>
              <w:t>储</w:t>
            </w:r>
            <w:r>
              <w:rPr>
                <w:sz w:val="21"/>
                <w:szCs w:val="21"/>
                <w:spacing w:val="-40"/>
              </w:rPr>
              <w:t xml:space="preserve"> </w:t>
            </w:r>
            <w:r>
              <w:rPr>
                <w:sz w:val="21"/>
                <w:szCs w:val="21"/>
              </w:rPr>
              <w:t>运</w:t>
            </w:r>
            <w:r>
              <w:rPr>
                <w:sz w:val="21"/>
                <w:szCs w:val="21"/>
                <w:spacing w:val="-40"/>
              </w:rPr>
              <w:t xml:space="preserve"> </w:t>
            </w:r>
            <w:r>
              <w:rPr>
                <w:sz w:val="21"/>
                <w:szCs w:val="21"/>
              </w:rPr>
              <w:t>工</w:t>
            </w:r>
            <w:r>
              <w:rPr>
                <w:sz w:val="21"/>
                <w:szCs w:val="21"/>
                <w:spacing w:val="-40"/>
              </w:rPr>
              <w:t xml:space="preserve"> </w:t>
            </w:r>
            <w:r>
              <w:rPr>
                <w:sz w:val="21"/>
                <w:szCs w:val="21"/>
              </w:rPr>
              <w:t>程</w:t>
            </w:r>
          </w:p>
        </w:tc>
        <w:tc>
          <w:tcPr>
            <w:tcW w:w="679" w:type="dxa"/>
            <w:vAlign w:val="top"/>
          </w:tcPr>
          <w:p>
            <w:pPr>
              <w:spacing w:line="320" w:lineRule="auto"/>
              <w:rPr>
                <w:rFonts w:ascii="Arial"/>
                <w:sz w:val="21"/>
              </w:rPr>
            </w:pPr>
            <w:r/>
          </w:p>
          <w:p>
            <w:pPr>
              <w:spacing w:line="320" w:lineRule="auto"/>
              <w:rPr>
                <w:rFonts w:ascii="Arial"/>
                <w:sz w:val="21"/>
              </w:rPr>
            </w:pPr>
            <w:r/>
          </w:p>
          <w:p>
            <w:pPr>
              <w:pStyle w:val="TableText"/>
              <w:ind w:left="220" w:right="121" w:hanging="100"/>
              <w:spacing w:before="68" w:line="248" w:lineRule="auto"/>
              <w:rPr>
                <w:sz w:val="21"/>
                <w:szCs w:val="21"/>
              </w:rPr>
            </w:pPr>
            <w:r>
              <w:rPr>
                <w:sz w:val="21"/>
                <w:szCs w:val="21"/>
                <w:spacing w:val="3"/>
              </w:rPr>
              <w:t>原料</w:t>
            </w:r>
            <w:r>
              <w:rPr>
                <w:sz w:val="21"/>
                <w:szCs w:val="21"/>
              </w:rPr>
              <w:t xml:space="preserve"> </w:t>
            </w:r>
            <w:r>
              <w:rPr>
                <w:sz w:val="21"/>
                <w:szCs w:val="21"/>
              </w:rPr>
              <w:t>仓</w:t>
            </w:r>
          </w:p>
        </w:tc>
        <w:tc>
          <w:tcPr>
            <w:tcW w:w="2608" w:type="dxa"/>
            <w:vAlign w:val="top"/>
          </w:tcPr>
          <w:p>
            <w:pPr>
              <w:pStyle w:val="TableText"/>
              <w:ind w:left="160" w:right="138" w:hanging="19"/>
              <w:spacing w:before="42" w:line="223" w:lineRule="auto"/>
              <w:rPr>
                <w:sz w:val="21"/>
                <w:szCs w:val="21"/>
              </w:rPr>
            </w:pPr>
            <w:r>
              <w:rPr>
                <w:sz w:val="21"/>
                <w:szCs w:val="21"/>
              </w:rPr>
              <w:t>丙类防火等级，用于存放</w:t>
            </w:r>
            <w:r>
              <w:rPr>
                <w:sz w:val="21"/>
                <w:szCs w:val="21"/>
                <w:spacing w:val="7"/>
              </w:rPr>
              <w:t xml:space="preserve"> </w:t>
            </w:r>
            <w:r>
              <w:rPr>
                <w:sz w:val="21"/>
                <w:szCs w:val="21"/>
                <w:spacing w:val="-1"/>
              </w:rPr>
              <w:t>三元材料(NMC)、聚偏</w:t>
            </w:r>
          </w:p>
          <w:p>
            <w:pPr>
              <w:pStyle w:val="TableText"/>
              <w:ind w:left="141" w:right="41" w:firstLine="99"/>
              <w:spacing w:before="22" w:line="239" w:lineRule="auto"/>
              <w:rPr>
                <w:sz w:val="21"/>
                <w:szCs w:val="21"/>
              </w:rPr>
            </w:pPr>
            <w:r>
              <w:rPr>
                <w:sz w:val="21"/>
                <w:szCs w:val="21"/>
                <w:spacing w:val="1"/>
              </w:rPr>
              <w:t>二氟乙烯(</w:t>
            </w:r>
            <w:r>
              <w:rPr>
                <w:sz w:val="21"/>
                <w:szCs w:val="21"/>
              </w:rPr>
              <w:t>PVDF</w:t>
            </w:r>
            <w:r>
              <w:rPr>
                <w:sz w:val="21"/>
                <w:szCs w:val="21"/>
                <w:spacing w:val="1"/>
              </w:rPr>
              <w:t>)、导电</w:t>
            </w:r>
            <w:r>
              <w:rPr>
                <w:sz w:val="21"/>
                <w:szCs w:val="21"/>
              </w:rPr>
              <w:t xml:space="preserve">   </w:t>
            </w:r>
            <w:r>
              <w:rPr>
                <w:sz w:val="21"/>
                <w:szCs w:val="21"/>
                <w:spacing w:val="9"/>
              </w:rPr>
              <w:t>浆料、导电炭黑、石墨、</w:t>
            </w:r>
            <w:r>
              <w:rPr>
                <w:sz w:val="21"/>
                <w:szCs w:val="21"/>
                <w:spacing w:val="4"/>
              </w:rPr>
              <w:t xml:space="preserve"> </w:t>
            </w:r>
            <w:r>
              <w:rPr>
                <w:sz w:val="21"/>
                <w:szCs w:val="21"/>
                <w:spacing w:val="14"/>
              </w:rPr>
              <w:t>羧甲基纤维素钠(</w:t>
            </w:r>
            <w:r>
              <w:rPr>
                <w:sz w:val="21"/>
                <w:szCs w:val="21"/>
              </w:rPr>
              <w:t>CMC</w:t>
            </w:r>
            <w:r>
              <w:rPr>
                <w:sz w:val="21"/>
                <w:szCs w:val="21"/>
                <w:spacing w:val="14"/>
              </w:rPr>
              <w:t>)、</w:t>
            </w:r>
            <w:r>
              <w:rPr>
                <w:sz w:val="21"/>
                <w:szCs w:val="21"/>
                <w:spacing w:val="8"/>
              </w:rPr>
              <w:t xml:space="preserve"> </w:t>
            </w:r>
            <w:r>
              <w:rPr>
                <w:sz w:val="21"/>
                <w:szCs w:val="21"/>
                <w:spacing w:val="3"/>
              </w:rPr>
              <w:t>苯乙烯聚丁橡胶(</w:t>
            </w:r>
            <w:r>
              <w:rPr>
                <w:sz w:val="21"/>
                <w:szCs w:val="21"/>
              </w:rPr>
              <w:t>SBR</w:t>
            </w:r>
            <w:r>
              <w:rPr>
                <w:sz w:val="21"/>
                <w:szCs w:val="21"/>
                <w:spacing w:val="3"/>
              </w:rPr>
              <w:t>)等</w:t>
            </w:r>
          </w:p>
          <w:p>
            <w:pPr>
              <w:pStyle w:val="TableText"/>
              <w:ind w:left="1080"/>
              <w:spacing w:before="23" w:line="180" w:lineRule="auto"/>
              <w:rPr>
                <w:sz w:val="21"/>
                <w:szCs w:val="21"/>
              </w:rPr>
            </w:pPr>
            <w:r>
              <w:rPr>
                <w:sz w:val="21"/>
                <w:szCs w:val="21"/>
                <w:spacing w:val="3"/>
              </w:rPr>
              <w:t>原料</w:t>
            </w:r>
          </w:p>
        </w:tc>
        <w:tc>
          <w:tcPr>
            <w:tcW w:w="3607" w:type="dxa"/>
            <w:vAlign w:val="top"/>
            <w:vMerge w:val="restart"/>
            <w:tcBorders>
              <w:bottom w:val="nil"/>
            </w:tcBorders>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1162"/>
              <w:spacing w:before="68" w:line="219" w:lineRule="auto"/>
              <w:rPr>
                <w:sz w:val="21"/>
                <w:szCs w:val="21"/>
              </w:rPr>
            </w:pPr>
            <w:r>
              <w:rPr>
                <w:sz w:val="21"/>
                <w:szCs w:val="21"/>
                <w:spacing w:val="-2"/>
              </w:rPr>
              <w:t>依托一期工程</w:t>
            </w:r>
          </w:p>
        </w:tc>
        <w:tc>
          <w:tcPr>
            <w:tcW w:w="4547" w:type="dxa"/>
            <w:vAlign w:val="top"/>
            <w:vMerge w:val="restart"/>
            <w:tcBorders>
              <w:bottom w:val="nil"/>
            </w:tcBorders>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1635"/>
              <w:spacing w:before="68" w:line="219" w:lineRule="auto"/>
              <w:rPr>
                <w:sz w:val="21"/>
                <w:szCs w:val="21"/>
              </w:rPr>
            </w:pPr>
            <w:r>
              <w:rPr>
                <w:sz w:val="21"/>
                <w:szCs w:val="21"/>
                <w:spacing w:val="-2"/>
              </w:rPr>
              <w:t>依托一期工程</w:t>
            </w:r>
          </w:p>
        </w:tc>
        <w:tc>
          <w:tcPr>
            <w:tcW w:w="2293" w:type="dxa"/>
            <w:vAlign w:val="top"/>
            <w:vMerge w:val="restart"/>
            <w:tcBorders>
              <w:bottom w:val="nil"/>
            </w:tcBorders>
          </w:tcPr>
          <w:p>
            <w:pPr>
              <w:rPr>
                <w:rFonts w:ascii="Arial"/>
                <w:sz w:val="21"/>
              </w:rPr>
            </w:pPr>
            <w:r/>
          </w:p>
        </w:tc>
      </w:tr>
      <w:tr>
        <w:trPr>
          <w:trHeight w:val="559" w:hRule="atLeast"/>
        </w:trPr>
        <w:tc>
          <w:tcPr>
            <w:tcW w:w="415" w:type="dxa"/>
            <w:vAlign w:val="top"/>
            <w:vMerge w:val="continue"/>
            <w:textDirection w:val="tbRlV"/>
            <w:tcBorders>
              <w:top w:val="nil"/>
              <w:bottom w:val="nil"/>
            </w:tcBorders>
          </w:tcPr>
          <w:p>
            <w:pPr>
              <w:rPr>
                <w:rFonts w:ascii="Arial"/>
                <w:sz w:val="21"/>
              </w:rPr>
            </w:pPr>
            <w:r/>
          </w:p>
        </w:tc>
        <w:tc>
          <w:tcPr>
            <w:tcW w:w="679" w:type="dxa"/>
            <w:vAlign w:val="top"/>
          </w:tcPr>
          <w:p>
            <w:pPr>
              <w:pStyle w:val="TableText"/>
              <w:ind w:left="220" w:right="107" w:hanging="100"/>
              <w:spacing w:before="46" w:line="221" w:lineRule="auto"/>
              <w:rPr>
                <w:sz w:val="21"/>
                <w:szCs w:val="21"/>
              </w:rPr>
            </w:pPr>
            <w:r>
              <w:rPr>
                <w:sz w:val="21"/>
                <w:szCs w:val="21"/>
                <w:spacing w:val="10"/>
              </w:rPr>
              <w:t>成品</w:t>
            </w:r>
            <w:r>
              <w:rPr>
                <w:sz w:val="21"/>
                <w:szCs w:val="21"/>
              </w:rPr>
              <w:t xml:space="preserve"> </w:t>
            </w:r>
            <w:r>
              <w:rPr>
                <w:sz w:val="21"/>
                <w:szCs w:val="21"/>
              </w:rPr>
              <w:t>仓</w:t>
            </w:r>
          </w:p>
        </w:tc>
        <w:tc>
          <w:tcPr>
            <w:tcW w:w="2608" w:type="dxa"/>
            <w:vAlign w:val="top"/>
          </w:tcPr>
          <w:p>
            <w:pPr>
              <w:pStyle w:val="TableText"/>
              <w:ind w:left="560" w:right="138" w:hanging="419"/>
              <w:spacing w:before="53" w:line="218" w:lineRule="auto"/>
              <w:rPr>
                <w:sz w:val="21"/>
                <w:szCs w:val="21"/>
              </w:rPr>
            </w:pPr>
            <w:r>
              <w:rPr>
                <w:sz w:val="21"/>
                <w:szCs w:val="21"/>
              </w:rPr>
              <w:t>丙类防火等级，用于存放</w:t>
            </w:r>
            <w:r>
              <w:rPr>
                <w:sz w:val="21"/>
                <w:szCs w:val="21"/>
                <w:spacing w:val="7"/>
              </w:rPr>
              <w:t xml:space="preserve"> </w:t>
            </w:r>
            <w:r>
              <w:rPr>
                <w:sz w:val="21"/>
                <w:szCs w:val="21"/>
                <w:spacing w:val="3"/>
              </w:rPr>
              <w:t>锂离子电池成品</w:t>
            </w:r>
          </w:p>
        </w:tc>
        <w:tc>
          <w:tcPr>
            <w:tcW w:w="3607" w:type="dxa"/>
            <w:vAlign w:val="top"/>
            <w:vMerge w:val="continue"/>
            <w:tcBorders>
              <w:top w:val="nil"/>
            </w:tcBorders>
          </w:tcPr>
          <w:p>
            <w:pPr>
              <w:rPr>
                <w:rFonts w:ascii="Arial"/>
                <w:sz w:val="21"/>
              </w:rPr>
            </w:pPr>
            <w:r/>
          </w:p>
        </w:tc>
        <w:tc>
          <w:tcPr>
            <w:tcW w:w="4547" w:type="dxa"/>
            <w:vAlign w:val="top"/>
            <w:vMerge w:val="continue"/>
            <w:tcBorders>
              <w:top w:val="nil"/>
            </w:tcBorders>
          </w:tcPr>
          <w:p>
            <w:pPr>
              <w:rPr>
                <w:rFonts w:ascii="Arial"/>
                <w:sz w:val="21"/>
              </w:rPr>
            </w:pPr>
            <w:r/>
          </w:p>
        </w:tc>
        <w:tc>
          <w:tcPr>
            <w:tcW w:w="2293" w:type="dxa"/>
            <w:vAlign w:val="top"/>
            <w:vMerge w:val="continue"/>
            <w:tcBorders>
              <w:top w:val="nil"/>
            </w:tcBorders>
          </w:tcPr>
          <w:p>
            <w:pPr>
              <w:rPr>
                <w:rFonts w:ascii="Arial"/>
                <w:sz w:val="21"/>
              </w:rPr>
            </w:pPr>
            <w:r/>
          </w:p>
        </w:tc>
      </w:tr>
      <w:tr>
        <w:trPr>
          <w:trHeight w:val="1349" w:hRule="atLeast"/>
        </w:trPr>
        <w:tc>
          <w:tcPr>
            <w:tcW w:w="415" w:type="dxa"/>
            <w:vAlign w:val="top"/>
            <w:vMerge w:val="continue"/>
            <w:textDirection w:val="tbRlV"/>
            <w:tcBorders>
              <w:top w:val="nil"/>
              <w:bottom w:val="nil"/>
            </w:tcBorders>
          </w:tcPr>
          <w:p>
            <w:pPr>
              <w:rPr>
                <w:rFonts w:ascii="Arial"/>
                <w:sz w:val="21"/>
              </w:rPr>
            </w:pPr>
            <w:r/>
          </w:p>
        </w:tc>
        <w:tc>
          <w:tcPr>
            <w:tcW w:w="679" w:type="dxa"/>
            <w:vAlign w:val="top"/>
          </w:tcPr>
          <w:p>
            <w:pPr>
              <w:spacing w:line="384" w:lineRule="auto"/>
              <w:rPr>
                <w:rFonts w:ascii="Arial"/>
                <w:sz w:val="21"/>
              </w:rPr>
            </w:pPr>
            <w:r/>
          </w:p>
          <w:p>
            <w:pPr>
              <w:pStyle w:val="TableText"/>
              <w:ind w:left="120"/>
              <w:spacing w:before="68" w:line="239" w:lineRule="auto"/>
              <w:rPr>
                <w:sz w:val="21"/>
                <w:szCs w:val="21"/>
              </w:rPr>
            </w:pPr>
            <w:r>
              <w:rPr>
                <w:sz w:val="21"/>
                <w:szCs w:val="21"/>
                <w:spacing w:val="-2"/>
              </w:rPr>
              <w:t>废弃</w:t>
            </w:r>
          </w:p>
          <w:p>
            <w:pPr>
              <w:pStyle w:val="TableText"/>
              <w:ind w:left="120"/>
              <w:spacing w:line="220" w:lineRule="auto"/>
              <w:rPr>
                <w:sz w:val="21"/>
                <w:szCs w:val="21"/>
              </w:rPr>
            </w:pPr>
            <w:r>
              <w:rPr>
                <w:sz w:val="21"/>
                <w:szCs w:val="21"/>
                <w:spacing w:val="-3"/>
              </w:rPr>
              <w:t>物仓</w:t>
            </w:r>
          </w:p>
        </w:tc>
        <w:tc>
          <w:tcPr>
            <w:tcW w:w="2608" w:type="dxa"/>
            <w:vAlign w:val="top"/>
          </w:tcPr>
          <w:p>
            <w:pPr>
              <w:pStyle w:val="TableText"/>
              <w:ind w:left="190"/>
              <w:spacing w:before="42" w:line="216" w:lineRule="auto"/>
              <w:rPr>
                <w:sz w:val="21"/>
                <w:szCs w:val="21"/>
              </w:rPr>
            </w:pPr>
            <w:r>
              <w:rPr>
                <w:sz w:val="21"/>
                <w:szCs w:val="21"/>
              </w:rPr>
              <w:t>X9,丙类防火等级，含一</w:t>
            </w:r>
          </w:p>
          <w:p>
            <w:pPr>
              <w:pStyle w:val="TableText"/>
              <w:ind w:left="240"/>
              <w:spacing w:before="27" w:line="219" w:lineRule="auto"/>
              <w:rPr>
                <w:sz w:val="21"/>
                <w:szCs w:val="21"/>
              </w:rPr>
            </w:pPr>
            <w:r>
              <w:rPr>
                <w:sz w:val="21"/>
                <w:szCs w:val="21"/>
                <w:spacing w:val="2"/>
              </w:rPr>
              <w:t>般工业固体废物存放间</w:t>
            </w:r>
          </w:p>
          <w:p>
            <w:pPr>
              <w:pStyle w:val="TableText"/>
              <w:spacing w:before="27" w:line="216" w:lineRule="auto"/>
              <w:jc w:val="right"/>
              <w:rPr>
                <w:sz w:val="21"/>
                <w:szCs w:val="21"/>
              </w:rPr>
            </w:pPr>
            <w:r>
              <w:rPr>
                <w:sz w:val="21"/>
                <w:szCs w:val="21"/>
                <w:spacing w:val="10"/>
              </w:rPr>
              <w:t>842m²,生活垃圾房106m²、</w:t>
            </w:r>
          </w:p>
          <w:p>
            <w:pPr>
              <w:pStyle w:val="TableText"/>
              <w:ind w:left="240"/>
              <w:spacing w:before="27" w:line="219" w:lineRule="auto"/>
              <w:rPr>
                <w:sz w:val="21"/>
                <w:szCs w:val="21"/>
              </w:rPr>
            </w:pPr>
            <w:r>
              <w:rPr>
                <w:sz w:val="21"/>
                <w:szCs w:val="21"/>
                <w:spacing w:val="-1"/>
              </w:rPr>
              <w:t>放射源仓(存放V类放射</w:t>
            </w:r>
          </w:p>
          <w:p>
            <w:pPr>
              <w:pStyle w:val="TableText"/>
              <w:ind w:left="821"/>
              <w:spacing w:before="24" w:line="176" w:lineRule="auto"/>
              <w:rPr>
                <w:sz w:val="21"/>
                <w:szCs w:val="21"/>
              </w:rPr>
            </w:pPr>
            <w:r>
              <w:rPr>
                <w:sz w:val="21"/>
                <w:szCs w:val="21"/>
                <w:spacing w:val="14"/>
              </w:rPr>
              <w:t>源)18m²。</w:t>
            </w:r>
          </w:p>
        </w:tc>
        <w:tc>
          <w:tcPr>
            <w:tcW w:w="3607" w:type="dxa"/>
            <w:vAlign w:val="top"/>
          </w:tcPr>
          <w:p>
            <w:pPr>
              <w:spacing w:line="251" w:lineRule="auto"/>
              <w:rPr>
                <w:rFonts w:ascii="Arial"/>
                <w:sz w:val="21"/>
              </w:rPr>
            </w:pPr>
            <w:r/>
          </w:p>
          <w:p>
            <w:pPr>
              <w:spacing w:line="251" w:lineRule="auto"/>
              <w:rPr>
                <w:rFonts w:ascii="Arial"/>
                <w:sz w:val="21"/>
              </w:rPr>
            </w:pPr>
            <w:r/>
          </w:p>
          <w:p>
            <w:pPr>
              <w:pStyle w:val="TableText"/>
              <w:ind w:left="1162"/>
              <w:spacing w:before="68" w:line="219" w:lineRule="auto"/>
              <w:rPr>
                <w:sz w:val="21"/>
                <w:szCs w:val="21"/>
              </w:rPr>
            </w:pPr>
            <w:r>
              <w:rPr>
                <w:sz w:val="21"/>
                <w:szCs w:val="21"/>
                <w:spacing w:val="-2"/>
              </w:rPr>
              <w:t>依托一期工程</w:t>
            </w:r>
          </w:p>
        </w:tc>
        <w:tc>
          <w:tcPr>
            <w:tcW w:w="4547" w:type="dxa"/>
            <w:vAlign w:val="top"/>
          </w:tcPr>
          <w:p>
            <w:pPr>
              <w:spacing w:line="251" w:lineRule="auto"/>
              <w:rPr>
                <w:rFonts w:ascii="Arial"/>
                <w:sz w:val="21"/>
              </w:rPr>
            </w:pPr>
            <w:r/>
          </w:p>
          <w:p>
            <w:pPr>
              <w:spacing w:line="251" w:lineRule="auto"/>
              <w:rPr>
                <w:rFonts w:ascii="Arial"/>
                <w:sz w:val="21"/>
              </w:rPr>
            </w:pPr>
            <w:r/>
          </w:p>
          <w:p>
            <w:pPr>
              <w:pStyle w:val="TableText"/>
              <w:ind w:left="1635"/>
              <w:spacing w:before="68" w:line="219" w:lineRule="auto"/>
              <w:rPr>
                <w:sz w:val="21"/>
                <w:szCs w:val="21"/>
              </w:rPr>
            </w:pPr>
            <w:r>
              <w:rPr>
                <w:sz w:val="21"/>
                <w:szCs w:val="21"/>
                <w:spacing w:val="-2"/>
              </w:rPr>
              <w:t>依托一期工程</w:t>
            </w:r>
          </w:p>
        </w:tc>
        <w:tc>
          <w:tcPr>
            <w:tcW w:w="2293" w:type="dxa"/>
            <w:vAlign w:val="top"/>
          </w:tcPr>
          <w:p>
            <w:pPr>
              <w:rPr>
                <w:rFonts w:ascii="Arial"/>
                <w:sz w:val="21"/>
              </w:rPr>
            </w:pPr>
            <w:r/>
          </w:p>
        </w:tc>
      </w:tr>
      <w:tr>
        <w:trPr>
          <w:trHeight w:val="1358" w:hRule="atLeast"/>
        </w:trPr>
        <w:tc>
          <w:tcPr>
            <w:tcW w:w="415" w:type="dxa"/>
            <w:vAlign w:val="top"/>
            <w:vMerge w:val="continue"/>
            <w:textDirection w:val="tbRlV"/>
            <w:tcBorders>
              <w:top w:val="nil"/>
            </w:tcBorders>
          </w:tcPr>
          <w:p>
            <w:pPr>
              <w:rPr>
                <w:rFonts w:ascii="Arial"/>
                <w:sz w:val="21"/>
              </w:rPr>
            </w:pPr>
            <w:r/>
          </w:p>
        </w:tc>
        <w:tc>
          <w:tcPr>
            <w:tcW w:w="679" w:type="dxa"/>
            <w:vAlign w:val="top"/>
          </w:tcPr>
          <w:p>
            <w:pPr>
              <w:pStyle w:val="TableText"/>
              <w:ind w:left="170"/>
              <w:spacing w:before="252" w:line="179" w:lineRule="auto"/>
              <w:rPr>
                <w:sz w:val="21"/>
                <w:szCs w:val="21"/>
              </w:rPr>
            </w:pPr>
            <w:r>
              <w:rPr>
                <w:sz w:val="21"/>
                <w:szCs w:val="21"/>
                <w:spacing w:val="-1"/>
              </w:rPr>
              <w:t>NMP</w:t>
            </w:r>
          </w:p>
          <w:p>
            <w:pPr>
              <w:pStyle w:val="TableText"/>
              <w:ind w:left="120"/>
              <w:spacing w:line="219" w:lineRule="auto"/>
              <w:rPr>
                <w:sz w:val="21"/>
                <w:szCs w:val="21"/>
              </w:rPr>
            </w:pPr>
            <w:r>
              <w:rPr>
                <w:sz w:val="21"/>
                <w:szCs w:val="21"/>
                <w:spacing w:val="7"/>
              </w:rPr>
              <w:t>泵房</w:t>
            </w:r>
          </w:p>
          <w:p>
            <w:pPr>
              <w:pStyle w:val="TableText"/>
              <w:ind w:left="120"/>
              <w:spacing w:line="219" w:lineRule="auto"/>
              <w:rPr>
                <w:sz w:val="21"/>
                <w:szCs w:val="21"/>
              </w:rPr>
            </w:pPr>
            <w:r>
              <w:rPr>
                <w:sz w:val="21"/>
                <w:szCs w:val="21"/>
                <w:spacing w:val="-2"/>
              </w:rPr>
              <w:t>及罐</w:t>
            </w:r>
          </w:p>
          <w:p>
            <w:pPr>
              <w:pStyle w:val="TableText"/>
              <w:ind w:left="220"/>
              <w:spacing w:before="56" w:line="224" w:lineRule="auto"/>
              <w:rPr>
                <w:sz w:val="21"/>
                <w:szCs w:val="21"/>
              </w:rPr>
            </w:pPr>
            <w:r>
              <w:rPr>
                <w:sz w:val="21"/>
                <w:szCs w:val="21"/>
              </w:rPr>
              <w:t>区</w:t>
            </w:r>
          </w:p>
        </w:tc>
        <w:tc>
          <w:tcPr>
            <w:tcW w:w="2608" w:type="dxa"/>
            <w:vAlign w:val="top"/>
          </w:tcPr>
          <w:p>
            <w:pPr>
              <w:pStyle w:val="TableText"/>
              <w:ind w:left="141"/>
              <w:spacing w:before="46" w:line="219" w:lineRule="auto"/>
              <w:rPr>
                <w:sz w:val="21"/>
                <w:szCs w:val="21"/>
              </w:rPr>
            </w:pPr>
            <w:r>
              <w:rPr>
                <w:sz w:val="21"/>
                <w:szCs w:val="21"/>
              </w:rPr>
              <w:t>丙类防火等级，地上，设</w:t>
            </w:r>
          </w:p>
          <w:p>
            <w:pPr>
              <w:pStyle w:val="TableText"/>
              <w:ind w:left="240"/>
              <w:spacing w:before="41" w:line="220" w:lineRule="auto"/>
              <w:rPr>
                <w:sz w:val="21"/>
                <w:szCs w:val="21"/>
              </w:rPr>
            </w:pPr>
            <w:r>
              <w:rPr>
                <w:sz w:val="21"/>
                <w:szCs w:val="21"/>
                <w:spacing w:val="9"/>
              </w:rPr>
              <w:t>有容积均为101.7m³的</w:t>
            </w:r>
          </w:p>
          <w:p>
            <w:pPr>
              <w:pStyle w:val="TableText"/>
              <w:ind w:left="110"/>
              <w:spacing w:before="9" w:line="219" w:lineRule="auto"/>
              <w:rPr>
                <w:sz w:val="21"/>
                <w:szCs w:val="21"/>
              </w:rPr>
            </w:pPr>
            <w:r>
              <w:rPr>
                <w:sz w:val="21"/>
                <w:szCs w:val="21"/>
              </w:rPr>
              <w:t>NMP</w:t>
            </w:r>
            <w:r>
              <w:rPr>
                <w:sz w:val="21"/>
                <w:szCs w:val="21"/>
                <w:spacing w:val="53"/>
              </w:rPr>
              <w:t>储罐4个，其中</w:t>
            </w:r>
            <w:r>
              <w:rPr>
                <w:sz w:val="21"/>
                <w:szCs w:val="21"/>
              </w:rPr>
              <w:t>NMP</w:t>
            </w:r>
          </w:p>
          <w:p>
            <w:pPr>
              <w:pStyle w:val="TableText"/>
              <w:ind w:left="240"/>
              <w:spacing w:before="50" w:line="202" w:lineRule="auto"/>
              <w:rPr>
                <w:sz w:val="21"/>
                <w:szCs w:val="21"/>
              </w:rPr>
            </w:pPr>
            <w:r>
              <w:rPr>
                <w:sz w:val="21"/>
                <w:szCs w:val="21"/>
                <w:spacing w:val="1"/>
              </w:rPr>
              <w:t>原料罐2个，</w:t>
            </w:r>
            <w:r>
              <w:rPr>
                <w:sz w:val="21"/>
                <w:szCs w:val="21"/>
              </w:rPr>
              <w:t>NMP</w:t>
            </w:r>
            <w:r>
              <w:rPr>
                <w:sz w:val="21"/>
                <w:szCs w:val="21"/>
                <w:spacing w:val="1"/>
              </w:rPr>
              <w:t>废液罐</w:t>
            </w:r>
          </w:p>
          <w:p>
            <w:pPr>
              <w:pStyle w:val="TableText"/>
              <w:ind w:left="141"/>
              <w:spacing w:line="195" w:lineRule="auto"/>
              <w:rPr>
                <w:sz w:val="21"/>
                <w:szCs w:val="21"/>
              </w:rPr>
            </w:pPr>
            <w:r>
              <w:rPr>
                <w:sz w:val="21"/>
                <w:szCs w:val="21"/>
                <w:spacing w:val="-1"/>
              </w:rPr>
              <w:t>2个，配套泵及计量系统。</w:t>
            </w:r>
          </w:p>
        </w:tc>
        <w:tc>
          <w:tcPr>
            <w:tcW w:w="3607" w:type="dxa"/>
            <w:vAlign w:val="top"/>
          </w:tcPr>
          <w:p>
            <w:pPr>
              <w:pStyle w:val="TableText"/>
              <w:ind w:left="112"/>
              <w:spacing w:before="183" w:line="216" w:lineRule="auto"/>
              <w:rPr>
                <w:sz w:val="21"/>
                <w:szCs w:val="21"/>
              </w:rPr>
            </w:pPr>
            <w:r>
              <w:rPr>
                <w:sz w:val="21"/>
                <w:szCs w:val="21"/>
                <w:spacing w:val="-1"/>
              </w:rPr>
              <w:t>X35-2,丙类防火等级，地上，设有容</w:t>
            </w:r>
          </w:p>
          <w:p>
            <w:pPr>
              <w:pStyle w:val="TableText"/>
              <w:ind w:left="112" w:right="110" w:firstLine="159"/>
              <w:spacing w:before="17" w:line="234" w:lineRule="auto"/>
              <w:rPr>
                <w:sz w:val="21"/>
                <w:szCs w:val="21"/>
              </w:rPr>
            </w:pPr>
            <w:r>
              <w:rPr>
                <w:sz w:val="21"/>
                <w:szCs w:val="21"/>
                <w:spacing w:val="-1"/>
              </w:rPr>
              <w:t>积均为101.7m3的NMP储罐4个，其  </w:t>
            </w:r>
            <w:r>
              <w:rPr>
                <w:sz w:val="21"/>
                <w:szCs w:val="21"/>
                <w:spacing w:val="37"/>
              </w:rPr>
              <w:t>中NMP原料罐2个，NMP废液罐2</w:t>
            </w:r>
            <w:r>
              <w:rPr>
                <w:sz w:val="21"/>
                <w:szCs w:val="21"/>
                <w:spacing w:val="13"/>
              </w:rPr>
              <w:t xml:space="preserve"> </w:t>
            </w:r>
            <w:r>
              <w:rPr>
                <w:sz w:val="21"/>
                <w:szCs w:val="21"/>
                <w:spacing w:val="3"/>
              </w:rPr>
              <w:t>个，配套泵及计量系统。</w:t>
            </w:r>
          </w:p>
        </w:tc>
        <w:tc>
          <w:tcPr>
            <w:tcW w:w="4547" w:type="dxa"/>
            <w:vAlign w:val="top"/>
          </w:tcPr>
          <w:p>
            <w:pPr>
              <w:spacing w:line="253" w:lineRule="auto"/>
              <w:rPr>
                <w:rFonts w:ascii="Arial"/>
                <w:sz w:val="21"/>
              </w:rPr>
            </w:pPr>
            <w:r/>
          </w:p>
          <w:p>
            <w:pPr>
              <w:pStyle w:val="TableText"/>
              <w:ind w:left="275"/>
              <w:spacing w:before="68" w:line="216" w:lineRule="auto"/>
              <w:rPr>
                <w:sz w:val="21"/>
                <w:szCs w:val="21"/>
              </w:rPr>
            </w:pPr>
            <w:r>
              <w:rPr>
                <w:sz w:val="21"/>
                <w:szCs w:val="21"/>
                <w:spacing w:val="-1"/>
              </w:rPr>
              <w:t>X35-2,丙类防火等级，地上，设有容积均为</w:t>
            </w:r>
          </w:p>
          <w:p>
            <w:pPr>
              <w:pStyle w:val="TableText"/>
              <w:ind w:left="165" w:right="368" w:firstLine="209"/>
              <w:spacing w:before="35" w:line="220" w:lineRule="auto"/>
              <w:rPr>
                <w:sz w:val="21"/>
                <w:szCs w:val="21"/>
              </w:rPr>
            </w:pPr>
            <w:r>
              <w:rPr>
                <w:sz w:val="21"/>
                <w:szCs w:val="21"/>
                <w:spacing w:val="6"/>
              </w:rPr>
              <w:t>101.7m³的</w:t>
            </w:r>
            <w:r>
              <w:rPr>
                <w:sz w:val="21"/>
                <w:szCs w:val="21"/>
              </w:rPr>
              <w:t>NMP</w:t>
            </w:r>
            <w:r>
              <w:rPr>
                <w:sz w:val="21"/>
                <w:szCs w:val="21"/>
                <w:spacing w:val="6"/>
              </w:rPr>
              <w:t>储罐4个，其中</w:t>
            </w:r>
            <w:r>
              <w:rPr>
                <w:sz w:val="21"/>
                <w:szCs w:val="21"/>
              </w:rPr>
              <w:t>NMP</w:t>
            </w:r>
            <w:r>
              <w:rPr>
                <w:sz w:val="21"/>
                <w:szCs w:val="21"/>
                <w:spacing w:val="6"/>
              </w:rPr>
              <w:t>原料罐2</w:t>
            </w:r>
            <w:r>
              <w:rPr>
                <w:sz w:val="21"/>
                <w:szCs w:val="21"/>
                <w:spacing w:val="2"/>
              </w:rPr>
              <w:t xml:space="preserve"> </w:t>
            </w:r>
            <w:r>
              <w:rPr>
                <w:sz w:val="21"/>
                <w:szCs w:val="21"/>
                <w:spacing w:val="-1"/>
              </w:rPr>
              <w:t>个，NMP废液罐2个，配套泵及计量系统。</w:t>
            </w:r>
          </w:p>
        </w:tc>
        <w:tc>
          <w:tcPr>
            <w:tcW w:w="2293" w:type="dxa"/>
            <w:vAlign w:val="top"/>
          </w:tcPr>
          <w:p>
            <w:pPr>
              <w:rPr>
                <w:rFonts w:ascii="Arial"/>
                <w:sz w:val="21"/>
              </w:rPr>
            </w:pPr>
            <w:r/>
          </w:p>
        </w:tc>
      </w:tr>
      <w:tr>
        <w:trPr>
          <w:trHeight w:val="1094" w:hRule="atLeast"/>
        </w:trPr>
        <w:tc>
          <w:tcPr>
            <w:tcW w:w="415" w:type="dxa"/>
            <w:vAlign w:val="top"/>
            <w:textDirection w:val="tbRlV"/>
          </w:tcPr>
          <w:p>
            <w:pPr>
              <w:pStyle w:val="TableText"/>
              <w:ind w:left="7"/>
              <w:spacing w:before="99" w:line="217" w:lineRule="auto"/>
              <w:rPr>
                <w:sz w:val="21"/>
                <w:szCs w:val="21"/>
              </w:rPr>
            </w:pPr>
            <w:r>
              <w:rPr>
                <w:sz w:val="21"/>
                <w:szCs w:val="21"/>
              </w:rPr>
              <w:t>公</w:t>
            </w:r>
            <w:r>
              <w:rPr>
                <w:sz w:val="21"/>
                <w:szCs w:val="21"/>
                <w:spacing w:val="-26"/>
              </w:rPr>
              <w:t xml:space="preserve"> </w:t>
            </w:r>
            <w:r>
              <w:rPr>
                <w:sz w:val="21"/>
                <w:szCs w:val="21"/>
              </w:rPr>
              <w:t>用</w:t>
            </w:r>
            <w:r>
              <w:rPr>
                <w:sz w:val="21"/>
                <w:szCs w:val="21"/>
                <w:spacing w:val="-26"/>
              </w:rPr>
              <w:t xml:space="preserve"> </w:t>
            </w:r>
            <w:r>
              <w:rPr>
                <w:sz w:val="21"/>
                <w:szCs w:val="21"/>
              </w:rPr>
              <w:t>工</w:t>
            </w:r>
            <w:r>
              <w:rPr>
                <w:sz w:val="21"/>
                <w:szCs w:val="21"/>
                <w:spacing w:val="-26"/>
              </w:rPr>
              <w:t xml:space="preserve"> </w:t>
            </w:r>
            <w:r>
              <w:rPr>
                <w:sz w:val="21"/>
                <w:szCs w:val="21"/>
              </w:rPr>
              <w:t>程</w:t>
            </w:r>
          </w:p>
        </w:tc>
        <w:tc>
          <w:tcPr>
            <w:tcW w:w="679" w:type="dxa"/>
            <w:vAlign w:val="top"/>
          </w:tcPr>
          <w:p>
            <w:pPr>
              <w:spacing w:line="377" w:lineRule="auto"/>
              <w:rPr>
                <w:rFonts w:ascii="Arial"/>
                <w:sz w:val="21"/>
              </w:rPr>
            </w:pPr>
            <w:r/>
          </w:p>
          <w:p>
            <w:pPr>
              <w:pStyle w:val="TableText"/>
              <w:ind w:left="120"/>
              <w:spacing w:before="68" w:line="219" w:lineRule="auto"/>
              <w:rPr>
                <w:sz w:val="21"/>
                <w:szCs w:val="21"/>
              </w:rPr>
            </w:pPr>
            <w:r>
              <w:rPr>
                <w:sz w:val="21"/>
                <w:szCs w:val="21"/>
                <w:spacing w:val="-3"/>
              </w:rPr>
              <w:t>给水</w:t>
            </w:r>
          </w:p>
        </w:tc>
        <w:tc>
          <w:tcPr>
            <w:tcW w:w="2608" w:type="dxa"/>
            <w:vAlign w:val="top"/>
          </w:tcPr>
          <w:p>
            <w:pPr>
              <w:pStyle w:val="TableText"/>
              <w:ind w:left="141"/>
              <w:spacing w:before="76" w:line="219" w:lineRule="auto"/>
              <w:rPr>
                <w:sz w:val="21"/>
                <w:szCs w:val="21"/>
              </w:rPr>
            </w:pPr>
            <w:r>
              <w:rPr>
                <w:sz w:val="21"/>
                <w:szCs w:val="21"/>
              </w:rPr>
              <w:t>由市政给水管网供水，生</w:t>
            </w:r>
          </w:p>
          <w:p>
            <w:pPr>
              <w:pStyle w:val="TableText"/>
              <w:ind w:left="141"/>
              <w:spacing w:before="32" w:line="219" w:lineRule="auto"/>
              <w:rPr>
                <w:sz w:val="21"/>
                <w:szCs w:val="21"/>
              </w:rPr>
            </w:pPr>
            <w:r>
              <w:rPr>
                <w:sz w:val="21"/>
                <w:szCs w:val="21"/>
                <w:spacing w:val="-1"/>
              </w:rPr>
              <w:t>产、生活输水管网分开建</w:t>
            </w:r>
          </w:p>
          <w:p>
            <w:pPr>
              <w:pStyle w:val="TableText"/>
              <w:ind w:left="190"/>
              <w:spacing w:before="10" w:line="211" w:lineRule="auto"/>
              <w:rPr>
                <w:sz w:val="21"/>
                <w:szCs w:val="21"/>
              </w:rPr>
            </w:pPr>
            <w:r>
              <w:rPr>
                <w:sz w:val="21"/>
                <w:szCs w:val="21"/>
                <w:spacing w:val="1"/>
              </w:rPr>
              <w:t>设，设生活用水、</w:t>
            </w:r>
            <w:r>
              <w:rPr>
                <w:sz w:val="21"/>
                <w:szCs w:val="21"/>
              </w:rPr>
              <w:t>RO</w:t>
            </w:r>
            <w:r>
              <w:rPr>
                <w:sz w:val="21"/>
                <w:szCs w:val="21"/>
                <w:spacing w:val="1"/>
              </w:rPr>
              <w:t>/</w:t>
            </w:r>
            <w:r>
              <w:rPr>
                <w:sz w:val="21"/>
                <w:szCs w:val="21"/>
              </w:rPr>
              <w:t>DI</w:t>
            </w:r>
          </w:p>
          <w:p>
            <w:pPr>
              <w:pStyle w:val="TableText"/>
              <w:ind w:left="290"/>
              <w:spacing w:line="198" w:lineRule="auto"/>
              <w:rPr>
                <w:sz w:val="21"/>
                <w:szCs w:val="21"/>
              </w:rPr>
            </w:pPr>
            <w:r>
              <w:rPr>
                <w:sz w:val="21"/>
                <w:szCs w:val="21"/>
              </w:rPr>
              <w:t>水和消防水三个系统。</w:t>
            </w:r>
          </w:p>
        </w:tc>
        <w:tc>
          <w:tcPr>
            <w:tcW w:w="3607" w:type="dxa"/>
            <w:vAlign w:val="top"/>
          </w:tcPr>
          <w:p>
            <w:pPr>
              <w:pStyle w:val="TableText"/>
              <w:ind w:left="62" w:right="54" w:firstLine="50"/>
              <w:spacing w:before="188" w:line="234" w:lineRule="auto"/>
              <w:jc w:val="both"/>
              <w:rPr>
                <w:sz w:val="21"/>
                <w:szCs w:val="21"/>
              </w:rPr>
            </w:pPr>
            <w:r>
              <w:rPr>
                <w:sz w:val="21"/>
                <w:szCs w:val="21"/>
              </w:rPr>
              <w:t>由市政给水管网供水，生产、生活输</w:t>
            </w:r>
            <w:r>
              <w:rPr>
                <w:sz w:val="21"/>
                <w:szCs w:val="21"/>
                <w:spacing w:val="7"/>
              </w:rPr>
              <w:t xml:space="preserve"> </w:t>
            </w:r>
            <w:r>
              <w:rPr>
                <w:sz w:val="21"/>
                <w:szCs w:val="21"/>
              </w:rPr>
              <w:t>水管网分开建设，设生活用水、RO/DI</w:t>
            </w:r>
            <w:r>
              <w:rPr>
                <w:sz w:val="21"/>
                <w:szCs w:val="21"/>
                <w:spacing w:val="13"/>
              </w:rPr>
              <w:t xml:space="preserve"> </w:t>
            </w:r>
            <w:r>
              <w:rPr>
                <w:sz w:val="21"/>
                <w:szCs w:val="21"/>
                <w:spacing w:val="7"/>
              </w:rPr>
              <w:t>水和消防三个系统。</w:t>
            </w:r>
          </w:p>
        </w:tc>
        <w:tc>
          <w:tcPr>
            <w:tcW w:w="4547" w:type="dxa"/>
            <w:vAlign w:val="top"/>
          </w:tcPr>
          <w:p>
            <w:pPr>
              <w:spacing w:line="288" w:lineRule="auto"/>
              <w:rPr>
                <w:rFonts w:ascii="Arial"/>
                <w:sz w:val="21"/>
              </w:rPr>
            </w:pPr>
            <w:r/>
          </w:p>
          <w:p>
            <w:pPr>
              <w:pStyle w:val="TableText"/>
              <w:ind w:left="65"/>
              <w:spacing w:before="68" w:line="215" w:lineRule="auto"/>
              <w:rPr>
                <w:sz w:val="21"/>
                <w:szCs w:val="21"/>
              </w:rPr>
            </w:pPr>
            <w:r>
              <w:rPr>
                <w:sz w:val="21"/>
                <w:szCs w:val="21"/>
                <w:spacing w:val="-2"/>
              </w:rPr>
              <w:t>由市政给水管网供水，生产、生活输水管网分开</w:t>
            </w:r>
            <w:r>
              <w:rPr>
                <w:sz w:val="21"/>
                <w:szCs w:val="21"/>
                <w:spacing w:val="3"/>
              </w:rPr>
              <w:t xml:space="preserve">  </w:t>
            </w:r>
            <w:r>
              <w:rPr>
                <w:sz w:val="21"/>
                <w:szCs w:val="21"/>
                <w:spacing w:val="-2"/>
              </w:rPr>
              <w:t>建设，设生活用水、RO/DI水和消防水三个系统。</w:t>
            </w:r>
          </w:p>
        </w:tc>
        <w:tc>
          <w:tcPr>
            <w:tcW w:w="2293" w:type="dxa"/>
            <w:vAlign w:val="top"/>
          </w:tcPr>
          <w:p>
            <w:pPr>
              <w:rPr>
                <w:rFonts w:ascii="Arial"/>
                <w:sz w:val="21"/>
              </w:rPr>
            </w:pPr>
            <w:r/>
          </w:p>
        </w:tc>
      </w:tr>
    </w:tbl>
    <w:p>
      <w:pPr>
        <w:rPr>
          <w:rFonts w:ascii="Arial"/>
          <w:sz w:val="21"/>
        </w:rPr>
      </w:pPr>
      <w:r/>
    </w:p>
    <w:p>
      <w:pPr>
        <w:sectPr>
          <w:footerReference w:type="default" r:id="rId25"/>
          <w:pgSz w:w="16840" w:h="11900"/>
          <w:pgMar w:top="1011" w:right="1375" w:bottom="978" w:left="1304" w:header="0" w:footer="839" w:gutter="0"/>
        </w:sectPr>
        <w:rPr>
          <w:rFonts w:ascii="Arial" w:hAnsi="Arial" w:eastAsia="Arial" w:cs="Arial"/>
          <w:sz w:val="21"/>
          <w:szCs w:val="21"/>
        </w:rPr>
      </w:pPr>
    </w:p>
    <w:p>
      <w:pPr>
        <w:spacing w:before="10"/>
        <w:rPr/>
      </w:pPr>
      <w:r/>
    </w:p>
    <w:tbl>
      <w:tblPr>
        <w:tblStyle w:val="TableNormal"/>
        <w:tblW w:w="1415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25"/>
        <w:gridCol w:w="679"/>
        <w:gridCol w:w="2578"/>
        <w:gridCol w:w="3618"/>
        <w:gridCol w:w="4547"/>
        <w:gridCol w:w="2303"/>
      </w:tblGrid>
      <w:tr>
        <w:trPr>
          <w:trHeight w:val="276" w:hRule="atLeast"/>
        </w:trPr>
        <w:tc>
          <w:tcPr>
            <w:tcW w:w="425" w:type="dxa"/>
            <w:vAlign w:val="top"/>
            <w:vMerge w:val="restart"/>
            <w:textDirection w:val="tbRlV"/>
            <w:tcBorders>
              <w:bottom w:val="nil"/>
            </w:tcBorders>
          </w:tcPr>
          <w:p>
            <w:pPr>
              <w:pStyle w:val="TableText"/>
              <w:spacing w:before="120" w:line="216" w:lineRule="auto"/>
              <w:rPr>
                <w:sz w:val="20"/>
                <w:szCs w:val="20"/>
              </w:rPr>
            </w:pPr>
            <w:r>
              <w:rPr>
                <w:sz w:val="20"/>
                <w:szCs w:val="20"/>
                <w:spacing w:val="-3"/>
              </w:rPr>
              <w:t>工 程 类</w:t>
            </w:r>
            <w:r>
              <w:rPr>
                <w:sz w:val="20"/>
                <w:szCs w:val="20"/>
                <w:spacing w:val="-1"/>
              </w:rPr>
              <w:t xml:space="preserve"> </w:t>
            </w:r>
            <w:r>
              <w:rPr>
                <w:sz w:val="20"/>
                <w:szCs w:val="20"/>
                <w:spacing w:val="-3"/>
              </w:rPr>
              <w:t>别</w:t>
            </w:r>
          </w:p>
        </w:tc>
        <w:tc>
          <w:tcPr>
            <w:tcW w:w="679" w:type="dxa"/>
            <w:vAlign w:val="top"/>
            <w:vMerge w:val="restart"/>
            <w:tcBorders>
              <w:bottom w:val="nil"/>
            </w:tcBorders>
          </w:tcPr>
          <w:p>
            <w:pPr>
              <w:rPr>
                <w:rFonts w:ascii="Arial"/>
                <w:sz w:val="21"/>
              </w:rPr>
            </w:pPr>
            <w:r/>
          </w:p>
          <w:p>
            <w:pPr>
              <w:pStyle w:val="TableText"/>
              <w:ind w:left="130"/>
              <w:spacing w:before="65" w:line="289" w:lineRule="exact"/>
              <w:rPr>
                <w:sz w:val="20"/>
                <w:szCs w:val="20"/>
              </w:rPr>
            </w:pPr>
            <w:r>
              <w:rPr>
                <w:sz w:val="20"/>
                <w:szCs w:val="20"/>
                <w:spacing w:val="-3"/>
                <w:position w:val="6"/>
              </w:rPr>
              <w:t>主要</w:t>
            </w:r>
          </w:p>
          <w:p>
            <w:pPr>
              <w:pStyle w:val="TableText"/>
              <w:ind w:left="130"/>
              <w:spacing w:line="220" w:lineRule="auto"/>
              <w:rPr>
                <w:sz w:val="20"/>
                <w:szCs w:val="20"/>
              </w:rPr>
            </w:pPr>
            <w:r>
              <w:rPr>
                <w:sz w:val="20"/>
                <w:szCs w:val="20"/>
                <w:spacing w:val="-3"/>
              </w:rPr>
              <w:t>组成</w:t>
            </w:r>
          </w:p>
        </w:tc>
        <w:tc>
          <w:tcPr>
            <w:tcW w:w="2578" w:type="dxa"/>
            <w:vAlign w:val="top"/>
            <w:vMerge w:val="restart"/>
            <w:tcBorders>
              <w:bottom w:val="nil"/>
            </w:tcBorders>
          </w:tcPr>
          <w:p>
            <w:pPr>
              <w:pStyle w:val="TableText"/>
              <w:ind w:left="231"/>
              <w:spacing w:before="304" w:line="219" w:lineRule="auto"/>
              <w:rPr>
                <w:sz w:val="20"/>
                <w:szCs w:val="20"/>
              </w:rPr>
            </w:pPr>
            <w:r>
              <w:rPr>
                <w:sz w:val="20"/>
                <w:szCs w:val="20"/>
              </w:rPr>
              <w:t>一汽动力电池项目(产能</w:t>
            </w:r>
          </w:p>
          <w:p>
            <w:pPr>
              <w:pStyle w:val="TableText"/>
              <w:ind w:left="681"/>
              <w:spacing w:before="63" w:line="221" w:lineRule="auto"/>
              <w:rPr>
                <w:sz w:val="20"/>
                <w:szCs w:val="20"/>
              </w:rPr>
            </w:pPr>
            <w:r>
              <w:rPr>
                <w:sz w:val="20"/>
                <w:szCs w:val="20"/>
                <w:spacing w:val="6"/>
              </w:rPr>
              <w:t>10</w:t>
            </w:r>
            <w:r>
              <w:rPr>
                <w:sz w:val="20"/>
                <w:szCs w:val="20"/>
              </w:rPr>
              <w:t>GWh</w:t>
            </w:r>
            <w:r>
              <w:rPr>
                <w:sz w:val="20"/>
                <w:szCs w:val="20"/>
                <w:spacing w:val="6"/>
              </w:rPr>
              <w:t>)(已建)</w:t>
            </w:r>
          </w:p>
        </w:tc>
        <w:tc>
          <w:tcPr>
            <w:tcW w:w="10468" w:type="dxa"/>
            <w:vAlign w:val="top"/>
            <w:gridSpan w:val="3"/>
          </w:tcPr>
          <w:p>
            <w:pPr>
              <w:pStyle w:val="TableText"/>
              <w:ind w:left="2713"/>
              <w:spacing w:before="38" w:line="210" w:lineRule="auto"/>
              <w:rPr>
                <w:sz w:val="20"/>
                <w:szCs w:val="20"/>
              </w:rPr>
            </w:pPr>
            <w:r>
              <w:rPr>
                <w:sz w:val="20"/>
                <w:szCs w:val="20"/>
                <w:spacing w:val="2"/>
              </w:rPr>
              <w:t>时代一汽年产20</w:t>
            </w:r>
            <w:r>
              <w:rPr>
                <w:sz w:val="20"/>
                <w:szCs w:val="20"/>
              </w:rPr>
              <w:t>gwh</w:t>
            </w:r>
            <w:r>
              <w:rPr>
                <w:sz w:val="20"/>
                <w:szCs w:val="20"/>
                <w:spacing w:val="2"/>
              </w:rPr>
              <w:t>动力电池生产线扩建项目</w:t>
            </w:r>
            <w:r>
              <w:rPr>
                <w:sz w:val="20"/>
                <w:szCs w:val="20"/>
                <w:spacing w:val="1"/>
              </w:rPr>
              <w:t>(在建)</w:t>
            </w:r>
          </w:p>
        </w:tc>
      </w:tr>
      <w:tr>
        <w:trPr>
          <w:trHeight w:val="809" w:hRule="atLeast"/>
        </w:trPr>
        <w:tc>
          <w:tcPr>
            <w:tcW w:w="425" w:type="dxa"/>
            <w:vAlign w:val="top"/>
            <w:vMerge w:val="continue"/>
            <w:textDirection w:val="tbRlV"/>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2578" w:type="dxa"/>
            <w:vAlign w:val="top"/>
            <w:vMerge w:val="continue"/>
            <w:tcBorders>
              <w:top w:val="nil"/>
            </w:tcBorders>
          </w:tcPr>
          <w:p>
            <w:pPr>
              <w:rPr>
                <w:rFonts w:ascii="Arial"/>
                <w:sz w:val="21"/>
              </w:rPr>
            </w:pPr>
            <w:r/>
          </w:p>
        </w:tc>
        <w:tc>
          <w:tcPr>
            <w:tcW w:w="3618" w:type="dxa"/>
            <w:vAlign w:val="top"/>
          </w:tcPr>
          <w:p>
            <w:pPr>
              <w:pStyle w:val="TableText"/>
              <w:ind w:left="853"/>
              <w:spacing w:before="301" w:line="214" w:lineRule="auto"/>
              <w:rPr>
                <w:sz w:val="20"/>
                <w:szCs w:val="20"/>
              </w:rPr>
            </w:pPr>
            <w:r>
              <w:rPr>
                <w:sz w:val="20"/>
                <w:szCs w:val="20"/>
                <w:spacing w:val="4"/>
              </w:rPr>
              <w:t>环评内容(产能20</w:t>
            </w:r>
            <w:r>
              <w:rPr>
                <w:sz w:val="20"/>
                <w:szCs w:val="20"/>
              </w:rPr>
              <w:t>gwh</w:t>
            </w:r>
            <w:r>
              <w:rPr>
                <w:sz w:val="20"/>
                <w:szCs w:val="20"/>
                <w:spacing w:val="4"/>
              </w:rPr>
              <w:t>)</w:t>
            </w:r>
          </w:p>
        </w:tc>
        <w:tc>
          <w:tcPr>
            <w:tcW w:w="4547" w:type="dxa"/>
            <w:vAlign w:val="top"/>
          </w:tcPr>
          <w:p>
            <w:pPr>
              <w:pStyle w:val="TableText"/>
              <w:ind w:left="965"/>
              <w:spacing w:before="301" w:line="214" w:lineRule="auto"/>
              <w:rPr>
                <w:sz w:val="20"/>
                <w:szCs w:val="20"/>
              </w:rPr>
            </w:pPr>
            <w:r>
              <w:rPr>
                <w:sz w:val="20"/>
                <w:szCs w:val="20"/>
                <w:spacing w:val="3"/>
              </w:rPr>
              <w:t>阶段性验收内容(产能6.7</w:t>
            </w:r>
            <w:r>
              <w:rPr>
                <w:sz w:val="20"/>
                <w:szCs w:val="20"/>
              </w:rPr>
              <w:t>gwh</w:t>
            </w:r>
            <w:r>
              <w:rPr>
                <w:sz w:val="20"/>
                <w:szCs w:val="20"/>
                <w:spacing w:val="3"/>
              </w:rPr>
              <w:t>)</w:t>
            </w:r>
          </w:p>
        </w:tc>
        <w:tc>
          <w:tcPr>
            <w:tcW w:w="2303" w:type="dxa"/>
            <w:vAlign w:val="top"/>
          </w:tcPr>
          <w:p>
            <w:pPr>
              <w:spacing w:line="243" w:lineRule="auto"/>
              <w:rPr>
                <w:rFonts w:ascii="Arial"/>
                <w:sz w:val="21"/>
              </w:rPr>
            </w:pPr>
            <w:r/>
          </w:p>
          <w:p>
            <w:pPr>
              <w:pStyle w:val="TableText"/>
              <w:ind w:left="948"/>
              <w:spacing w:before="65" w:line="221" w:lineRule="auto"/>
              <w:rPr>
                <w:sz w:val="20"/>
                <w:szCs w:val="20"/>
              </w:rPr>
            </w:pPr>
            <w:r>
              <w:rPr>
                <w:sz w:val="20"/>
                <w:szCs w:val="20"/>
                <w:spacing w:val="5"/>
              </w:rPr>
              <w:t>备注</w:t>
            </w:r>
          </w:p>
        </w:tc>
      </w:tr>
      <w:tr>
        <w:trPr>
          <w:trHeight w:val="2167" w:hRule="atLeast"/>
        </w:trPr>
        <w:tc>
          <w:tcPr>
            <w:tcW w:w="425" w:type="dxa"/>
            <w:vAlign w:val="top"/>
            <w:vMerge w:val="restart"/>
            <w:tcBorders>
              <w:bottom w:val="nil"/>
            </w:tcBorders>
          </w:tcPr>
          <w:p>
            <w:pPr>
              <w:rPr>
                <w:rFonts w:ascii="Arial"/>
                <w:sz w:val="21"/>
              </w:rPr>
            </w:pPr>
            <w:r/>
          </w:p>
        </w:tc>
        <w:tc>
          <w:tcPr>
            <w:tcW w:w="679" w:type="dxa"/>
            <w:vAlign w:val="top"/>
          </w:tcPr>
          <w:p>
            <w:pPr>
              <w:spacing w:line="306" w:lineRule="auto"/>
              <w:rPr>
                <w:rFonts w:ascii="Arial"/>
                <w:sz w:val="21"/>
              </w:rPr>
            </w:pPr>
            <w:r/>
          </w:p>
          <w:p>
            <w:pPr>
              <w:spacing w:line="306" w:lineRule="auto"/>
              <w:rPr>
                <w:rFonts w:ascii="Arial"/>
                <w:sz w:val="21"/>
              </w:rPr>
            </w:pPr>
            <w:r/>
          </w:p>
          <w:p>
            <w:pPr>
              <w:spacing w:line="306" w:lineRule="auto"/>
              <w:rPr>
                <w:rFonts w:ascii="Arial"/>
                <w:sz w:val="21"/>
              </w:rPr>
            </w:pPr>
            <w:r/>
          </w:p>
          <w:p>
            <w:pPr>
              <w:pStyle w:val="TableText"/>
              <w:ind w:left="130"/>
              <w:spacing w:before="65" w:line="219" w:lineRule="auto"/>
              <w:rPr>
                <w:sz w:val="20"/>
                <w:szCs w:val="20"/>
              </w:rPr>
            </w:pPr>
            <w:r>
              <w:rPr>
                <w:sz w:val="20"/>
                <w:szCs w:val="20"/>
                <w:spacing w:val="-2"/>
              </w:rPr>
              <w:t>排水</w:t>
            </w:r>
          </w:p>
        </w:tc>
        <w:tc>
          <w:tcPr>
            <w:tcW w:w="2578" w:type="dxa"/>
            <w:vAlign w:val="top"/>
          </w:tcPr>
          <w:p>
            <w:pPr>
              <w:pStyle w:val="TableText"/>
              <w:ind w:left="181" w:right="86"/>
              <w:spacing w:before="25" w:line="246" w:lineRule="auto"/>
              <w:jc w:val="both"/>
              <w:rPr>
                <w:sz w:val="20"/>
                <w:szCs w:val="20"/>
              </w:rPr>
            </w:pPr>
            <w:r>
              <w:rPr>
                <w:sz w:val="20"/>
                <w:szCs w:val="20"/>
                <w:spacing w:val="-1"/>
              </w:rPr>
              <w:t>采用雨污分流、清污分流</w:t>
            </w:r>
            <w:r>
              <w:rPr>
                <w:sz w:val="20"/>
                <w:szCs w:val="20"/>
                <w:spacing w:val="1"/>
              </w:rPr>
              <w:t xml:space="preserve">  </w:t>
            </w:r>
            <w:r>
              <w:rPr>
                <w:sz w:val="20"/>
                <w:szCs w:val="20"/>
                <w:spacing w:val="-1"/>
              </w:rPr>
              <w:t>制。雨水、清净下水排入</w:t>
            </w:r>
            <w:r>
              <w:rPr>
                <w:sz w:val="20"/>
                <w:szCs w:val="20"/>
              </w:rPr>
              <w:t xml:space="preserve">  </w:t>
            </w:r>
            <w:r>
              <w:rPr>
                <w:sz w:val="20"/>
                <w:szCs w:val="20"/>
              </w:rPr>
              <w:t>市政雨水管网；生产废水</w:t>
            </w:r>
            <w:r>
              <w:rPr>
                <w:sz w:val="20"/>
                <w:szCs w:val="20"/>
                <w:spacing w:val="4"/>
              </w:rPr>
              <w:t xml:space="preserve">  </w:t>
            </w:r>
            <w:r>
              <w:rPr>
                <w:sz w:val="20"/>
                <w:szCs w:val="20"/>
                <w:spacing w:val="1"/>
              </w:rPr>
              <w:t>经厂内污水处理站处理后  </w:t>
            </w:r>
            <w:r>
              <w:rPr>
                <w:sz w:val="20"/>
                <w:szCs w:val="20"/>
                <w:spacing w:val="9"/>
              </w:rPr>
              <w:t>排入霞浦县污水处理厂；</w:t>
            </w:r>
            <w:r>
              <w:rPr>
                <w:sz w:val="20"/>
                <w:szCs w:val="20"/>
              </w:rPr>
              <w:t xml:space="preserve"> </w:t>
            </w:r>
            <w:r>
              <w:rPr>
                <w:sz w:val="20"/>
                <w:szCs w:val="20"/>
                <w:spacing w:val="1"/>
              </w:rPr>
              <w:t>生活污水、食堂废水分别</w:t>
            </w:r>
            <w:r>
              <w:rPr>
                <w:sz w:val="20"/>
                <w:szCs w:val="20"/>
                <w:spacing w:val="2"/>
              </w:rPr>
              <w:t xml:space="preserve">  </w:t>
            </w:r>
            <w:r>
              <w:rPr>
                <w:sz w:val="20"/>
                <w:szCs w:val="20"/>
                <w:spacing w:val="1"/>
              </w:rPr>
              <w:t>经化粪池、隔油池处理后  </w:t>
            </w:r>
            <w:r>
              <w:rPr>
                <w:sz w:val="20"/>
                <w:szCs w:val="20"/>
                <w:spacing w:val="4"/>
              </w:rPr>
              <w:t>排入霞浦县污水处理厂。</w:t>
            </w:r>
          </w:p>
        </w:tc>
        <w:tc>
          <w:tcPr>
            <w:tcW w:w="3618" w:type="dxa"/>
            <w:vAlign w:val="top"/>
          </w:tcPr>
          <w:p>
            <w:pPr>
              <w:pStyle w:val="TableText"/>
              <w:ind w:left="143" w:right="104" w:firstLine="59"/>
              <w:spacing w:before="298" w:line="249" w:lineRule="auto"/>
              <w:jc w:val="both"/>
              <w:rPr>
                <w:sz w:val="20"/>
                <w:szCs w:val="20"/>
              </w:rPr>
            </w:pPr>
            <w:r>
              <w:rPr>
                <w:sz w:val="20"/>
                <w:szCs w:val="20"/>
                <w:spacing w:val="6"/>
              </w:rPr>
              <w:t>采用雨污分流、清污分流制。雨水、</w:t>
            </w:r>
            <w:r>
              <w:rPr>
                <w:sz w:val="20"/>
                <w:szCs w:val="20"/>
                <w:spacing w:val="3"/>
              </w:rPr>
              <w:t xml:space="preserve"> </w:t>
            </w:r>
            <w:r>
              <w:rPr>
                <w:sz w:val="20"/>
                <w:szCs w:val="20"/>
                <w:spacing w:val="3"/>
              </w:rPr>
              <w:t>清净下水排入市政雨水管网；生产废</w:t>
            </w:r>
            <w:r>
              <w:rPr>
                <w:sz w:val="20"/>
                <w:szCs w:val="20"/>
                <w:spacing w:val="1"/>
              </w:rPr>
              <w:t xml:space="preserve">  </w:t>
            </w:r>
            <w:r>
              <w:rPr>
                <w:sz w:val="20"/>
                <w:szCs w:val="20"/>
                <w:spacing w:val="4"/>
              </w:rPr>
              <w:t>水经厂内污水处理站处理后排入霞浦</w:t>
            </w:r>
            <w:r>
              <w:rPr>
                <w:sz w:val="20"/>
                <w:szCs w:val="20"/>
                <w:spacing w:val="3"/>
              </w:rPr>
              <w:t xml:space="preserve">  </w:t>
            </w:r>
            <w:r>
              <w:rPr>
                <w:sz w:val="20"/>
                <w:szCs w:val="20"/>
                <w:spacing w:val="3"/>
              </w:rPr>
              <w:t>县污水处理厂；食堂废水经隔油池处</w:t>
            </w:r>
            <w:r>
              <w:rPr>
                <w:sz w:val="20"/>
                <w:szCs w:val="20"/>
                <w:spacing w:val="1"/>
              </w:rPr>
              <w:t xml:space="preserve">  </w:t>
            </w:r>
            <w:r>
              <w:rPr>
                <w:sz w:val="20"/>
                <w:szCs w:val="20"/>
                <w:spacing w:val="3"/>
              </w:rPr>
              <w:t>理后与其他生活污水一起经化粪池处</w:t>
            </w:r>
            <w:r>
              <w:rPr>
                <w:sz w:val="20"/>
                <w:szCs w:val="20"/>
              </w:rPr>
              <w:t xml:space="preserve">  </w:t>
            </w:r>
            <w:r>
              <w:rPr>
                <w:sz w:val="20"/>
                <w:szCs w:val="20"/>
              </w:rPr>
              <w:t>理后排入霞浦县污水处理厂。</w:t>
            </w:r>
          </w:p>
        </w:tc>
        <w:tc>
          <w:tcPr>
            <w:tcW w:w="4547" w:type="dxa"/>
            <w:vAlign w:val="top"/>
          </w:tcPr>
          <w:p>
            <w:pPr>
              <w:spacing w:line="392" w:lineRule="auto"/>
              <w:rPr>
                <w:rFonts w:ascii="Arial"/>
                <w:sz w:val="21"/>
              </w:rPr>
            </w:pPr>
            <w:r/>
          </w:p>
          <w:p>
            <w:pPr>
              <w:pStyle w:val="TableText"/>
              <w:ind w:left="165" w:right="178"/>
              <w:spacing w:before="65" w:line="239" w:lineRule="auto"/>
              <w:jc w:val="both"/>
              <w:rPr>
                <w:sz w:val="20"/>
                <w:szCs w:val="20"/>
              </w:rPr>
            </w:pPr>
            <w:r>
              <w:rPr>
                <w:sz w:val="20"/>
                <w:szCs w:val="20"/>
                <w:spacing w:val="-1"/>
              </w:rPr>
              <w:t>采用雨污分流、清污分流制。雨水、清净下水排</w:t>
            </w:r>
            <w:r>
              <w:rPr>
                <w:sz w:val="20"/>
                <w:szCs w:val="20"/>
                <w:spacing w:val="13"/>
              </w:rPr>
              <w:t xml:space="preserve"> </w:t>
            </w:r>
            <w:r>
              <w:rPr>
                <w:sz w:val="20"/>
                <w:szCs w:val="20"/>
                <w:spacing w:val="-1"/>
              </w:rPr>
              <w:t>入市政雨水管网；生产废水经厂内污水处理站处</w:t>
            </w:r>
            <w:r>
              <w:rPr>
                <w:sz w:val="20"/>
                <w:szCs w:val="20"/>
                <w:spacing w:val="13"/>
              </w:rPr>
              <w:t xml:space="preserve"> </w:t>
            </w:r>
            <w:r>
              <w:rPr>
                <w:sz w:val="20"/>
                <w:szCs w:val="20"/>
                <w:spacing w:val="-1"/>
              </w:rPr>
              <w:t>理后排入霞浦县污水处理厂；食堂废水经隔油池</w:t>
            </w:r>
          </w:p>
          <w:p>
            <w:pPr>
              <w:pStyle w:val="TableText"/>
              <w:ind w:left="155" w:right="283" w:firstLine="109"/>
              <w:spacing w:before="33" w:line="234" w:lineRule="auto"/>
              <w:rPr>
                <w:sz w:val="20"/>
                <w:szCs w:val="20"/>
              </w:rPr>
            </w:pPr>
            <w:r>
              <w:rPr>
                <w:sz w:val="20"/>
                <w:szCs w:val="20"/>
                <w:spacing w:val="-1"/>
              </w:rPr>
              <w:t>处理后与其他生活污水一起经化粪池处理后排</w:t>
            </w:r>
            <w:r>
              <w:rPr>
                <w:sz w:val="20"/>
                <w:szCs w:val="20"/>
                <w:spacing w:val="7"/>
              </w:rPr>
              <w:t xml:space="preserve"> </w:t>
            </w:r>
            <w:r>
              <w:rPr>
                <w:sz w:val="20"/>
                <w:szCs w:val="20"/>
                <w:spacing w:val="-1"/>
              </w:rPr>
              <w:t>入霞浦县污水处理厂。</w:t>
            </w:r>
          </w:p>
        </w:tc>
        <w:tc>
          <w:tcPr>
            <w:tcW w:w="2303" w:type="dxa"/>
            <w:vAlign w:val="top"/>
          </w:tcPr>
          <w:p>
            <w:pPr>
              <w:rPr>
                <w:rFonts w:ascii="Arial"/>
                <w:sz w:val="21"/>
              </w:rPr>
            </w:pPr>
            <w:r/>
          </w:p>
        </w:tc>
      </w:tr>
      <w:tr>
        <w:trPr>
          <w:trHeight w:val="2178" w:hRule="atLeast"/>
        </w:trPr>
        <w:tc>
          <w:tcPr>
            <w:tcW w:w="425" w:type="dxa"/>
            <w:vAlign w:val="top"/>
            <w:vMerge w:val="continue"/>
            <w:tcBorders>
              <w:top w:val="nil"/>
              <w:bottom w:val="nil"/>
            </w:tcBorders>
          </w:tcPr>
          <w:p>
            <w:pPr>
              <w:rPr>
                <w:rFonts w:ascii="Arial"/>
                <w:sz w:val="21"/>
              </w:rPr>
            </w:pPr>
            <w:r/>
          </w:p>
        </w:tc>
        <w:tc>
          <w:tcPr>
            <w:tcW w:w="679" w:type="dxa"/>
            <w:vAlign w:val="top"/>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130" w:right="125"/>
              <w:spacing w:before="65" w:line="225" w:lineRule="auto"/>
              <w:rPr>
                <w:sz w:val="20"/>
                <w:szCs w:val="20"/>
              </w:rPr>
            </w:pPr>
            <w:r>
              <w:rPr>
                <w:sz w:val="20"/>
                <w:szCs w:val="20"/>
                <w:spacing w:val="-4"/>
              </w:rPr>
              <w:t>供热</w:t>
            </w:r>
            <w:r>
              <w:rPr>
                <w:sz w:val="20"/>
                <w:szCs w:val="20"/>
              </w:rPr>
              <w:t xml:space="preserve"> </w:t>
            </w:r>
            <w:r>
              <w:rPr>
                <w:sz w:val="20"/>
                <w:szCs w:val="20"/>
                <w:spacing w:val="6"/>
              </w:rPr>
              <w:t>供气</w:t>
            </w:r>
          </w:p>
        </w:tc>
        <w:tc>
          <w:tcPr>
            <w:tcW w:w="2578" w:type="dxa"/>
            <w:vAlign w:val="top"/>
          </w:tcPr>
          <w:p>
            <w:pPr>
              <w:pStyle w:val="TableText"/>
              <w:ind w:left="101" w:right="173" w:firstLine="180"/>
              <w:spacing w:before="64" w:line="241" w:lineRule="auto"/>
              <w:rPr>
                <w:sz w:val="20"/>
                <w:szCs w:val="20"/>
              </w:rPr>
            </w:pPr>
            <w:r>
              <w:rPr>
                <w:sz w:val="20"/>
                <w:szCs w:val="20"/>
                <w:spacing w:val="-1"/>
              </w:rPr>
              <w:t>配置5台(3用2备)15t/h</w:t>
            </w:r>
            <w:r>
              <w:rPr>
                <w:sz w:val="20"/>
                <w:szCs w:val="20"/>
                <w:spacing w:val="3"/>
              </w:rPr>
              <w:t xml:space="preserve">  </w:t>
            </w:r>
            <w:r>
              <w:rPr>
                <w:sz w:val="20"/>
                <w:szCs w:val="20"/>
                <w:spacing w:val="8"/>
              </w:rPr>
              <w:t>的蒸汽锅炉，以天然气作</w:t>
            </w:r>
            <w:r>
              <w:rPr>
                <w:sz w:val="20"/>
                <w:szCs w:val="20"/>
                <w:spacing w:val="4"/>
              </w:rPr>
              <w:t xml:space="preserve"> </w:t>
            </w:r>
            <w:r>
              <w:rPr>
                <w:sz w:val="20"/>
                <w:szCs w:val="20"/>
                <w:spacing w:val="8"/>
              </w:rPr>
              <w:t>为燃料，由市政天然气管</w:t>
            </w:r>
            <w:r>
              <w:rPr>
                <w:sz w:val="20"/>
                <w:szCs w:val="20"/>
                <w:spacing w:val="1"/>
              </w:rPr>
              <w:t xml:space="preserve"> </w:t>
            </w:r>
            <w:r>
              <w:rPr>
                <w:sz w:val="20"/>
                <w:szCs w:val="20"/>
              </w:rPr>
              <w:t>道供气。</w:t>
            </w:r>
          </w:p>
        </w:tc>
        <w:tc>
          <w:tcPr>
            <w:tcW w:w="3618" w:type="dxa"/>
            <w:vAlign w:val="top"/>
          </w:tcPr>
          <w:p>
            <w:pPr>
              <w:pStyle w:val="TableText"/>
              <w:ind w:left="303"/>
              <w:spacing w:before="61" w:line="219" w:lineRule="auto"/>
              <w:rPr>
                <w:sz w:val="20"/>
                <w:szCs w:val="20"/>
              </w:rPr>
            </w:pPr>
            <w:r>
              <w:rPr>
                <w:sz w:val="20"/>
                <w:szCs w:val="20"/>
                <w:spacing w:val="1"/>
              </w:rPr>
              <w:t>供热设备调整为9台15t/h锅炉(8用</w:t>
            </w:r>
          </w:p>
          <w:p>
            <w:pPr>
              <w:pStyle w:val="TableText"/>
              <w:ind w:left="303"/>
              <w:spacing w:before="32" w:line="219" w:lineRule="auto"/>
              <w:rPr>
                <w:sz w:val="20"/>
                <w:szCs w:val="20"/>
              </w:rPr>
            </w:pPr>
            <w:r>
              <w:rPr>
                <w:sz w:val="20"/>
                <w:szCs w:val="20"/>
                <w:spacing w:val="1"/>
              </w:rPr>
              <w:t>1备)供热一期、二期项目使用，以</w:t>
            </w:r>
          </w:p>
          <w:p>
            <w:pPr>
              <w:pStyle w:val="TableText"/>
              <w:ind w:left="203"/>
              <w:spacing w:before="24" w:line="219" w:lineRule="auto"/>
              <w:rPr>
                <w:sz w:val="20"/>
                <w:szCs w:val="20"/>
              </w:rPr>
            </w:pPr>
            <w:r>
              <w:rPr>
                <w:sz w:val="20"/>
                <w:szCs w:val="20"/>
              </w:rPr>
              <w:t>天然气作为燃料，由市政天然气管道</w:t>
            </w:r>
          </w:p>
          <w:p>
            <w:pPr>
              <w:pStyle w:val="TableText"/>
              <w:ind w:left="1553"/>
              <w:spacing w:before="41" w:line="219" w:lineRule="auto"/>
              <w:rPr>
                <w:sz w:val="20"/>
                <w:szCs w:val="20"/>
              </w:rPr>
            </w:pPr>
            <w:r>
              <w:rPr>
                <w:sz w:val="20"/>
                <w:szCs w:val="20"/>
                <w:spacing w:val="-1"/>
              </w:rPr>
              <w:t>供气。</w:t>
            </w:r>
          </w:p>
        </w:tc>
        <w:tc>
          <w:tcPr>
            <w:tcW w:w="4547" w:type="dxa"/>
            <w:vAlign w:val="top"/>
          </w:tcPr>
          <w:p>
            <w:pPr>
              <w:pStyle w:val="TableText"/>
              <w:ind w:left="215"/>
              <w:spacing w:before="21" w:line="219" w:lineRule="auto"/>
              <w:rPr>
                <w:sz w:val="20"/>
                <w:szCs w:val="20"/>
              </w:rPr>
            </w:pPr>
            <w:r>
              <w:rPr>
                <w:sz w:val="20"/>
                <w:szCs w:val="20"/>
              </w:rPr>
              <w:t>供热设备调整为5台15t/h锅炉，2台12t/h锅炉，</w:t>
            </w:r>
          </w:p>
          <w:p>
            <w:pPr>
              <w:pStyle w:val="TableText"/>
              <w:ind w:left="315"/>
              <w:spacing w:before="47" w:line="214" w:lineRule="auto"/>
              <w:rPr>
                <w:sz w:val="20"/>
                <w:szCs w:val="20"/>
              </w:rPr>
            </w:pPr>
            <w:r>
              <w:rPr>
                <w:sz w:val="20"/>
                <w:szCs w:val="20"/>
                <w:spacing w:val="2"/>
              </w:rPr>
              <w:t>供热一期(10</w:t>
            </w:r>
            <w:r>
              <w:rPr>
                <w:sz w:val="20"/>
                <w:szCs w:val="20"/>
              </w:rPr>
              <w:t>gwh</w:t>
            </w:r>
            <w:r>
              <w:rPr>
                <w:sz w:val="20"/>
                <w:szCs w:val="20"/>
                <w:spacing w:val="2"/>
              </w:rPr>
              <w:t>)、二期阶段性项目(6.7</w:t>
            </w:r>
            <w:r>
              <w:rPr>
                <w:sz w:val="20"/>
                <w:szCs w:val="20"/>
              </w:rPr>
              <w:t>gwh</w:t>
            </w:r>
            <w:r>
              <w:rPr>
                <w:sz w:val="20"/>
                <w:szCs w:val="20"/>
                <w:spacing w:val="2"/>
              </w:rPr>
              <w:t>)</w:t>
            </w:r>
          </w:p>
          <w:p>
            <w:pPr>
              <w:pStyle w:val="TableText"/>
              <w:ind w:left="165"/>
              <w:spacing w:before="53" w:line="219" w:lineRule="auto"/>
              <w:rPr>
                <w:sz w:val="20"/>
                <w:szCs w:val="20"/>
              </w:rPr>
            </w:pPr>
            <w:r>
              <w:rPr>
                <w:sz w:val="20"/>
                <w:szCs w:val="20"/>
                <w:spacing w:val="-1"/>
              </w:rPr>
              <w:t>使用，以天然气作为燃料，由市政天然气管道供</w:t>
            </w:r>
          </w:p>
          <w:p>
            <w:pPr>
              <w:pStyle w:val="TableText"/>
              <w:ind w:left="2115"/>
              <w:spacing w:before="35" w:line="221" w:lineRule="auto"/>
              <w:rPr>
                <w:sz w:val="20"/>
                <w:szCs w:val="20"/>
              </w:rPr>
            </w:pPr>
            <w:r>
              <w:rPr>
                <w:sz w:val="20"/>
                <w:szCs w:val="20"/>
                <w:spacing w:val="-1"/>
              </w:rPr>
              <w:t>气。</w:t>
            </w:r>
          </w:p>
        </w:tc>
        <w:tc>
          <w:tcPr>
            <w:tcW w:w="2303" w:type="dxa"/>
            <w:vAlign w:val="top"/>
          </w:tcPr>
          <w:p>
            <w:pPr>
              <w:pStyle w:val="TableText"/>
              <w:ind w:left="148"/>
              <w:spacing w:before="43" w:line="220" w:lineRule="auto"/>
              <w:rPr>
                <w:sz w:val="20"/>
                <w:szCs w:val="20"/>
              </w:rPr>
            </w:pPr>
            <w:r>
              <w:rPr>
                <w:sz w:val="20"/>
                <w:szCs w:val="20"/>
                <w:spacing w:val="-13"/>
              </w:rPr>
              <w:t>调整后，</w:t>
            </w:r>
            <w:r>
              <w:rPr>
                <w:sz w:val="20"/>
                <w:szCs w:val="20"/>
                <w:spacing w:val="29"/>
              </w:rPr>
              <w:t xml:space="preserve"> </w:t>
            </w:r>
            <w:r>
              <w:rPr>
                <w:sz w:val="20"/>
                <w:szCs w:val="20"/>
                <w:spacing w:val="-13"/>
              </w:rPr>
              <w:t>一、二期锅炉</w:t>
            </w:r>
          </w:p>
          <w:p>
            <w:pPr>
              <w:pStyle w:val="TableText"/>
              <w:ind w:left="298"/>
              <w:spacing w:before="41" w:line="219" w:lineRule="auto"/>
              <w:rPr>
                <w:sz w:val="20"/>
                <w:szCs w:val="20"/>
              </w:rPr>
            </w:pPr>
            <w:r>
              <w:rPr>
                <w:sz w:val="20"/>
                <w:szCs w:val="20"/>
                <w:spacing w:val="-1"/>
              </w:rPr>
              <w:t>共7台15t/h锅炉，2</w:t>
            </w:r>
          </w:p>
          <w:p>
            <w:pPr>
              <w:pStyle w:val="TableText"/>
              <w:ind w:left="198"/>
              <w:spacing w:before="33" w:line="220" w:lineRule="auto"/>
              <w:rPr>
                <w:sz w:val="20"/>
                <w:szCs w:val="20"/>
              </w:rPr>
            </w:pPr>
            <w:r>
              <w:rPr>
                <w:sz w:val="20"/>
                <w:szCs w:val="20"/>
              </w:rPr>
              <w:t>台12t/h锅炉，以天然</w:t>
            </w:r>
          </w:p>
          <w:p>
            <w:pPr>
              <w:pStyle w:val="TableText"/>
              <w:ind w:left="148"/>
              <w:spacing w:before="41" w:line="219" w:lineRule="auto"/>
              <w:rPr>
                <w:sz w:val="20"/>
                <w:szCs w:val="20"/>
              </w:rPr>
            </w:pPr>
            <w:r>
              <w:rPr>
                <w:sz w:val="20"/>
                <w:szCs w:val="20"/>
                <w:spacing w:val="-1"/>
              </w:rPr>
              <w:t>气作为燃料，由市政天</w:t>
            </w:r>
          </w:p>
          <w:p>
            <w:pPr>
              <w:pStyle w:val="TableText"/>
              <w:ind w:left="198"/>
              <w:spacing w:before="41" w:line="219" w:lineRule="auto"/>
              <w:rPr>
                <w:sz w:val="20"/>
                <w:szCs w:val="20"/>
              </w:rPr>
            </w:pPr>
            <w:r>
              <w:rPr>
                <w:sz w:val="20"/>
                <w:szCs w:val="20"/>
                <w:spacing w:val="1"/>
              </w:rPr>
              <w:t>然气管道供气，设置5</w:t>
            </w:r>
          </w:p>
          <w:p>
            <w:pPr>
              <w:pStyle w:val="TableText"/>
              <w:ind w:left="348"/>
              <w:spacing w:before="34" w:line="219" w:lineRule="auto"/>
              <w:rPr>
                <w:sz w:val="20"/>
                <w:szCs w:val="20"/>
              </w:rPr>
            </w:pPr>
            <w:r>
              <w:rPr>
                <w:sz w:val="20"/>
                <w:szCs w:val="20"/>
                <w:spacing w:val="11"/>
              </w:rPr>
              <w:t>根排气筒(</w:t>
            </w:r>
            <w:r>
              <w:rPr>
                <w:sz w:val="20"/>
                <w:szCs w:val="20"/>
              </w:rPr>
              <w:t>DA</w:t>
            </w:r>
            <w:r>
              <w:rPr>
                <w:sz w:val="20"/>
                <w:szCs w:val="20"/>
                <w:spacing w:val="11"/>
              </w:rPr>
              <w:t>011、</w:t>
            </w:r>
          </w:p>
          <w:p>
            <w:pPr>
              <w:pStyle w:val="TableText"/>
              <w:ind w:left="448"/>
              <w:spacing w:before="89" w:line="190" w:lineRule="auto"/>
              <w:rPr>
                <w:sz w:val="20"/>
                <w:szCs w:val="20"/>
              </w:rPr>
            </w:pPr>
            <w:r>
              <w:rPr>
                <w:sz w:val="20"/>
                <w:szCs w:val="20"/>
                <w:spacing w:val="-3"/>
              </w:rPr>
              <w:t>DA012、DA021、</w:t>
            </w:r>
          </w:p>
          <w:p>
            <w:pPr>
              <w:pStyle w:val="TableText"/>
              <w:ind w:left="368"/>
              <w:spacing w:line="196" w:lineRule="auto"/>
              <w:rPr>
                <w:sz w:val="20"/>
                <w:szCs w:val="20"/>
              </w:rPr>
            </w:pPr>
            <w:r>
              <w:rPr>
                <w:sz w:val="20"/>
                <w:szCs w:val="20"/>
                <w:spacing w:val="-1"/>
              </w:rPr>
              <w:t>DA022、DA023)</w:t>
            </w:r>
          </w:p>
        </w:tc>
      </w:tr>
      <w:tr>
        <w:trPr>
          <w:trHeight w:val="1099" w:hRule="atLeast"/>
        </w:trPr>
        <w:tc>
          <w:tcPr>
            <w:tcW w:w="425" w:type="dxa"/>
            <w:vAlign w:val="top"/>
            <w:vMerge w:val="continue"/>
            <w:tcBorders>
              <w:top w:val="nil"/>
              <w:bottom w:val="nil"/>
            </w:tcBorders>
          </w:tcPr>
          <w:p>
            <w:pPr>
              <w:rPr>
                <w:rFonts w:ascii="Arial"/>
                <w:sz w:val="21"/>
              </w:rPr>
            </w:pPr>
            <w:r/>
          </w:p>
        </w:tc>
        <w:tc>
          <w:tcPr>
            <w:tcW w:w="679" w:type="dxa"/>
            <w:vAlign w:val="top"/>
          </w:tcPr>
          <w:p>
            <w:pPr>
              <w:spacing w:line="385" w:lineRule="auto"/>
              <w:rPr>
                <w:rFonts w:ascii="Arial"/>
                <w:sz w:val="21"/>
              </w:rPr>
            </w:pPr>
            <w:r/>
          </w:p>
          <w:p>
            <w:pPr>
              <w:pStyle w:val="TableText"/>
              <w:ind w:left="130"/>
              <w:spacing w:before="65" w:line="219" w:lineRule="auto"/>
              <w:rPr>
                <w:sz w:val="20"/>
                <w:szCs w:val="20"/>
              </w:rPr>
            </w:pPr>
            <w:r>
              <w:rPr>
                <w:sz w:val="20"/>
                <w:szCs w:val="20"/>
                <w:spacing w:val="-2"/>
              </w:rPr>
              <w:t>供电</w:t>
            </w:r>
          </w:p>
        </w:tc>
        <w:tc>
          <w:tcPr>
            <w:tcW w:w="2578" w:type="dxa"/>
            <w:vAlign w:val="top"/>
          </w:tcPr>
          <w:p>
            <w:pPr>
              <w:pStyle w:val="TableText"/>
              <w:ind w:left="181"/>
              <w:spacing w:before="54" w:line="219" w:lineRule="auto"/>
              <w:rPr>
                <w:sz w:val="20"/>
                <w:szCs w:val="20"/>
              </w:rPr>
            </w:pPr>
            <w:r>
              <w:rPr>
                <w:sz w:val="20"/>
                <w:szCs w:val="20"/>
              </w:rPr>
              <w:t>在厂区内的西北侧建设一</w:t>
            </w:r>
          </w:p>
          <w:p>
            <w:pPr>
              <w:pStyle w:val="TableText"/>
              <w:ind w:left="231"/>
              <w:spacing w:before="41" w:line="219" w:lineRule="auto"/>
              <w:rPr>
                <w:sz w:val="20"/>
                <w:szCs w:val="20"/>
              </w:rPr>
            </w:pPr>
            <w:r>
              <w:rPr>
                <w:sz w:val="20"/>
                <w:szCs w:val="20"/>
                <w:spacing w:val="1"/>
              </w:rPr>
              <w:t>座110</w:t>
            </w:r>
            <w:r>
              <w:rPr>
                <w:sz w:val="20"/>
                <w:szCs w:val="20"/>
              </w:rPr>
              <w:t>KV</w:t>
            </w:r>
            <w:r>
              <w:rPr>
                <w:sz w:val="20"/>
                <w:szCs w:val="20"/>
                <w:spacing w:val="1"/>
              </w:rPr>
              <w:t>降压站，供电电</w:t>
            </w:r>
          </w:p>
          <w:p>
            <w:pPr>
              <w:pStyle w:val="TableText"/>
              <w:ind w:left="231"/>
              <w:spacing w:before="32" w:line="219" w:lineRule="auto"/>
              <w:rPr>
                <w:sz w:val="20"/>
                <w:szCs w:val="20"/>
              </w:rPr>
            </w:pPr>
            <w:r>
              <w:rPr>
                <w:sz w:val="20"/>
                <w:szCs w:val="20"/>
                <w:spacing w:val="-1"/>
              </w:rPr>
              <w:t>源为小沙村220KV的变电</w:t>
            </w:r>
          </w:p>
          <w:p>
            <w:pPr>
              <w:pStyle w:val="TableText"/>
              <w:ind w:left="930"/>
              <w:spacing w:before="25" w:line="206" w:lineRule="auto"/>
              <w:rPr>
                <w:sz w:val="20"/>
                <w:szCs w:val="20"/>
              </w:rPr>
            </w:pPr>
            <w:r>
              <w:rPr>
                <w:sz w:val="20"/>
                <w:szCs w:val="20"/>
              </w:rPr>
              <w:t>站引入。</w:t>
            </w:r>
          </w:p>
        </w:tc>
        <w:tc>
          <w:tcPr>
            <w:tcW w:w="3618" w:type="dxa"/>
            <w:vAlign w:val="top"/>
            <w:vMerge w:val="restart"/>
            <w:tcBorders>
              <w:bottom w:val="nil"/>
            </w:tcBorders>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pStyle w:val="TableText"/>
              <w:ind w:left="1202"/>
              <w:spacing w:before="65" w:line="219" w:lineRule="auto"/>
              <w:rPr>
                <w:sz w:val="20"/>
                <w:szCs w:val="20"/>
              </w:rPr>
            </w:pPr>
            <w:r>
              <w:rPr>
                <w:sz w:val="20"/>
                <w:szCs w:val="20"/>
                <w:spacing w:val="-2"/>
              </w:rPr>
              <w:t>依托一期工程</w:t>
            </w:r>
          </w:p>
        </w:tc>
        <w:tc>
          <w:tcPr>
            <w:tcW w:w="4547" w:type="dxa"/>
            <w:vAlign w:val="top"/>
            <w:vMerge w:val="restart"/>
            <w:tcBorders>
              <w:bottom w:val="nil"/>
            </w:tcBorders>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pStyle w:val="TableText"/>
              <w:ind w:left="1665"/>
              <w:spacing w:before="65" w:line="219" w:lineRule="auto"/>
              <w:rPr>
                <w:sz w:val="20"/>
                <w:szCs w:val="20"/>
              </w:rPr>
            </w:pPr>
            <w:r>
              <w:rPr>
                <w:sz w:val="20"/>
                <w:szCs w:val="20"/>
                <w:spacing w:val="-2"/>
              </w:rPr>
              <w:t>依托一期工程</w:t>
            </w:r>
          </w:p>
        </w:tc>
        <w:tc>
          <w:tcPr>
            <w:tcW w:w="2303" w:type="dxa"/>
            <w:vAlign w:val="top"/>
            <w:vMerge w:val="restart"/>
            <w:tcBorders>
              <w:bottom w:val="nil"/>
            </w:tcBorders>
          </w:tcPr>
          <w:p>
            <w:pPr>
              <w:rPr>
                <w:rFonts w:ascii="Arial"/>
                <w:sz w:val="21"/>
              </w:rPr>
            </w:pPr>
            <w:r/>
          </w:p>
        </w:tc>
      </w:tr>
      <w:tr>
        <w:trPr>
          <w:trHeight w:val="1348" w:hRule="atLeast"/>
        </w:trPr>
        <w:tc>
          <w:tcPr>
            <w:tcW w:w="425" w:type="dxa"/>
            <w:vAlign w:val="top"/>
            <w:vMerge w:val="continue"/>
            <w:tcBorders>
              <w:top w:val="nil"/>
              <w:bottom w:val="nil"/>
            </w:tcBorders>
          </w:tcPr>
          <w:p>
            <w:pPr>
              <w:rPr>
                <w:rFonts w:ascii="Arial"/>
                <w:sz w:val="21"/>
              </w:rPr>
            </w:pPr>
            <w:r/>
          </w:p>
        </w:tc>
        <w:tc>
          <w:tcPr>
            <w:tcW w:w="679" w:type="dxa"/>
            <w:vAlign w:val="top"/>
          </w:tcPr>
          <w:p>
            <w:pPr>
              <w:spacing w:line="258" w:lineRule="auto"/>
              <w:rPr>
                <w:rFonts w:ascii="Arial"/>
                <w:sz w:val="21"/>
              </w:rPr>
            </w:pPr>
            <w:r/>
          </w:p>
          <w:p>
            <w:pPr>
              <w:spacing w:line="259" w:lineRule="auto"/>
              <w:rPr>
                <w:rFonts w:ascii="Arial"/>
                <w:sz w:val="21"/>
              </w:rPr>
            </w:pPr>
            <w:r/>
          </w:p>
          <w:p>
            <w:pPr>
              <w:pStyle w:val="TableText"/>
              <w:ind w:left="130"/>
              <w:spacing w:before="65" w:line="220" w:lineRule="auto"/>
              <w:rPr>
                <w:sz w:val="20"/>
                <w:szCs w:val="20"/>
              </w:rPr>
            </w:pPr>
            <w:r>
              <w:rPr>
                <w:sz w:val="20"/>
                <w:szCs w:val="20"/>
                <w:spacing w:val="5"/>
              </w:rPr>
              <w:t>消防</w:t>
            </w:r>
          </w:p>
        </w:tc>
        <w:tc>
          <w:tcPr>
            <w:tcW w:w="2578" w:type="dxa"/>
            <w:vAlign w:val="top"/>
          </w:tcPr>
          <w:p>
            <w:pPr>
              <w:pStyle w:val="TableText"/>
              <w:ind w:left="431"/>
              <w:spacing w:before="55" w:line="219" w:lineRule="auto"/>
              <w:rPr>
                <w:sz w:val="20"/>
                <w:szCs w:val="20"/>
              </w:rPr>
            </w:pPr>
            <w:r>
              <w:rPr>
                <w:sz w:val="20"/>
                <w:szCs w:val="20"/>
                <w:spacing w:val="1"/>
              </w:rPr>
              <w:t>厂区内设置1个容积</w:t>
            </w:r>
          </w:p>
          <w:p>
            <w:pPr>
              <w:pStyle w:val="TableText"/>
              <w:ind w:left="231"/>
              <w:spacing w:before="12" w:line="219" w:lineRule="auto"/>
              <w:rPr>
                <w:sz w:val="20"/>
                <w:szCs w:val="20"/>
              </w:rPr>
            </w:pPr>
            <w:r>
              <w:rPr>
                <w:sz w:val="20"/>
                <w:szCs w:val="20"/>
                <w:spacing w:val="8"/>
              </w:rPr>
              <w:t>1319m³的地埋式消防水</w:t>
            </w:r>
          </w:p>
          <w:p>
            <w:pPr>
              <w:pStyle w:val="TableText"/>
              <w:ind w:left="131"/>
              <w:spacing w:before="52" w:line="219" w:lineRule="auto"/>
              <w:rPr>
                <w:sz w:val="20"/>
                <w:szCs w:val="20"/>
              </w:rPr>
            </w:pPr>
            <w:r>
              <w:rPr>
                <w:sz w:val="20"/>
                <w:szCs w:val="20"/>
              </w:rPr>
              <w:t>池，室内外消防统一加压。</w:t>
            </w:r>
          </w:p>
          <w:p>
            <w:pPr>
              <w:pStyle w:val="TableText"/>
              <w:ind w:left="181"/>
              <w:spacing w:before="42" w:line="219" w:lineRule="auto"/>
              <w:rPr>
                <w:sz w:val="20"/>
                <w:szCs w:val="20"/>
              </w:rPr>
            </w:pPr>
            <w:r>
              <w:rPr>
                <w:sz w:val="20"/>
                <w:szCs w:val="20"/>
                <w:spacing w:val="2"/>
              </w:rPr>
              <w:t>室外消防给水管与生产用</w:t>
            </w:r>
          </w:p>
          <w:p>
            <w:pPr>
              <w:pStyle w:val="TableText"/>
              <w:ind w:left="331"/>
              <w:spacing w:before="2" w:line="206" w:lineRule="auto"/>
              <w:rPr>
                <w:sz w:val="20"/>
                <w:szCs w:val="20"/>
              </w:rPr>
            </w:pPr>
            <w:r>
              <w:rPr>
                <w:sz w:val="20"/>
                <w:szCs w:val="20"/>
                <w:spacing w:val="-1"/>
              </w:rPr>
              <w:t>水共用，布置成环状。</w:t>
            </w:r>
          </w:p>
        </w:tc>
        <w:tc>
          <w:tcPr>
            <w:tcW w:w="3618" w:type="dxa"/>
            <w:vAlign w:val="top"/>
            <w:vMerge w:val="continue"/>
            <w:tcBorders>
              <w:top w:val="nil"/>
            </w:tcBorders>
          </w:tcPr>
          <w:p>
            <w:pPr>
              <w:rPr>
                <w:rFonts w:ascii="Arial"/>
                <w:sz w:val="21"/>
              </w:rPr>
            </w:pPr>
            <w:r/>
          </w:p>
        </w:tc>
        <w:tc>
          <w:tcPr>
            <w:tcW w:w="4547" w:type="dxa"/>
            <w:vAlign w:val="top"/>
            <w:vMerge w:val="continue"/>
            <w:tcBorders>
              <w:top w:val="nil"/>
            </w:tcBorders>
          </w:tcPr>
          <w:p>
            <w:pPr>
              <w:rPr>
                <w:rFonts w:ascii="Arial"/>
                <w:sz w:val="21"/>
              </w:rPr>
            </w:pPr>
            <w:r/>
          </w:p>
        </w:tc>
        <w:tc>
          <w:tcPr>
            <w:tcW w:w="2303" w:type="dxa"/>
            <w:vAlign w:val="top"/>
            <w:vMerge w:val="continue"/>
            <w:tcBorders>
              <w:top w:val="nil"/>
            </w:tcBorders>
          </w:tcPr>
          <w:p>
            <w:pPr>
              <w:rPr>
                <w:rFonts w:ascii="Arial"/>
                <w:sz w:val="21"/>
              </w:rPr>
            </w:pPr>
            <w:r/>
          </w:p>
        </w:tc>
      </w:tr>
      <w:tr>
        <w:trPr>
          <w:trHeight w:val="1094" w:hRule="atLeast"/>
        </w:trPr>
        <w:tc>
          <w:tcPr>
            <w:tcW w:w="425" w:type="dxa"/>
            <w:vAlign w:val="top"/>
            <w:vMerge w:val="continue"/>
            <w:tcBorders>
              <w:top w:val="nil"/>
            </w:tcBorders>
          </w:tcPr>
          <w:p>
            <w:pPr>
              <w:rPr>
                <w:rFonts w:ascii="Arial"/>
                <w:sz w:val="21"/>
              </w:rPr>
            </w:pPr>
            <w:r/>
          </w:p>
        </w:tc>
        <w:tc>
          <w:tcPr>
            <w:tcW w:w="679" w:type="dxa"/>
            <w:vAlign w:val="top"/>
          </w:tcPr>
          <w:p>
            <w:pPr>
              <w:spacing w:line="390" w:lineRule="auto"/>
              <w:rPr>
                <w:rFonts w:ascii="Arial"/>
                <w:sz w:val="21"/>
              </w:rPr>
            </w:pPr>
            <w:r/>
          </w:p>
          <w:p>
            <w:pPr>
              <w:pStyle w:val="TableText"/>
              <w:ind w:left="130"/>
              <w:spacing w:before="65" w:line="220" w:lineRule="auto"/>
              <w:rPr>
                <w:sz w:val="20"/>
                <w:szCs w:val="20"/>
              </w:rPr>
            </w:pPr>
            <w:r>
              <w:rPr>
                <w:sz w:val="20"/>
                <w:szCs w:val="20"/>
                <w:spacing w:val="-2"/>
              </w:rPr>
              <w:t>通风</w:t>
            </w:r>
          </w:p>
        </w:tc>
        <w:tc>
          <w:tcPr>
            <w:tcW w:w="2578" w:type="dxa"/>
            <w:vAlign w:val="top"/>
          </w:tcPr>
          <w:p>
            <w:pPr>
              <w:pStyle w:val="TableText"/>
              <w:ind w:left="181"/>
              <w:spacing w:before="37" w:line="219" w:lineRule="auto"/>
              <w:rPr>
                <w:sz w:val="20"/>
                <w:szCs w:val="20"/>
              </w:rPr>
            </w:pPr>
            <w:r>
              <w:rPr>
                <w:sz w:val="20"/>
                <w:szCs w:val="20"/>
                <w:spacing w:val="9"/>
              </w:rPr>
              <w:t>夏季办公室、组装车间、</w:t>
            </w:r>
          </w:p>
          <w:p>
            <w:pPr>
              <w:pStyle w:val="TableText"/>
              <w:ind w:left="281"/>
              <w:spacing w:before="51" w:line="219" w:lineRule="auto"/>
              <w:rPr>
                <w:sz w:val="20"/>
                <w:szCs w:val="20"/>
              </w:rPr>
            </w:pPr>
            <w:r>
              <w:rPr>
                <w:sz w:val="20"/>
                <w:szCs w:val="20"/>
                <w:spacing w:val="1"/>
              </w:rPr>
              <w:t>涂布车间有设备散热层</w:t>
            </w:r>
          </w:p>
          <w:p>
            <w:pPr>
              <w:pStyle w:val="TableText"/>
              <w:ind w:left="231"/>
              <w:spacing w:before="32" w:line="219" w:lineRule="auto"/>
              <w:rPr>
                <w:sz w:val="20"/>
                <w:szCs w:val="20"/>
              </w:rPr>
            </w:pPr>
            <w:r>
              <w:rPr>
                <w:sz w:val="20"/>
                <w:szCs w:val="20"/>
              </w:rPr>
              <w:t>外，采用中央空调系统。</w:t>
            </w:r>
          </w:p>
          <w:p>
            <w:pPr>
              <w:pStyle w:val="TableText"/>
              <w:ind w:left="181"/>
              <w:spacing w:before="43" w:line="191" w:lineRule="auto"/>
              <w:rPr>
                <w:sz w:val="20"/>
                <w:szCs w:val="20"/>
              </w:rPr>
            </w:pPr>
            <w:r>
              <w:rPr>
                <w:sz w:val="20"/>
                <w:szCs w:val="20"/>
                <w:spacing w:val="9"/>
              </w:rPr>
              <w:t>涂布车间有设备散热层、</w:t>
            </w:r>
          </w:p>
        </w:tc>
        <w:tc>
          <w:tcPr>
            <w:tcW w:w="3618" w:type="dxa"/>
            <w:vAlign w:val="top"/>
          </w:tcPr>
          <w:p>
            <w:pPr>
              <w:pStyle w:val="TableText"/>
              <w:ind w:left="203"/>
              <w:spacing w:before="66" w:line="219" w:lineRule="auto"/>
              <w:rPr>
                <w:sz w:val="20"/>
                <w:szCs w:val="20"/>
              </w:rPr>
            </w:pPr>
            <w:r>
              <w:rPr>
                <w:sz w:val="20"/>
                <w:szCs w:val="20"/>
                <w:spacing w:val="-1"/>
              </w:rPr>
              <w:t>夏季办公室、组装车间、涂布车间有</w:t>
            </w:r>
          </w:p>
          <w:p>
            <w:pPr>
              <w:pStyle w:val="TableText"/>
              <w:ind w:left="253"/>
              <w:spacing w:before="22" w:line="219" w:lineRule="auto"/>
              <w:rPr>
                <w:sz w:val="20"/>
                <w:szCs w:val="20"/>
              </w:rPr>
            </w:pPr>
            <w:r>
              <w:rPr>
                <w:sz w:val="20"/>
                <w:szCs w:val="20"/>
              </w:rPr>
              <w:t>设备散热层外，采用中央空调系统。</w:t>
            </w:r>
          </w:p>
          <w:p>
            <w:pPr>
              <w:pStyle w:val="TableText"/>
              <w:ind w:left="203"/>
              <w:spacing w:before="22" w:line="219" w:lineRule="auto"/>
              <w:rPr>
                <w:sz w:val="20"/>
                <w:szCs w:val="20"/>
              </w:rPr>
            </w:pPr>
            <w:r>
              <w:rPr>
                <w:sz w:val="20"/>
                <w:szCs w:val="20"/>
                <w:spacing w:val="6"/>
              </w:rPr>
              <w:t>除布车间有设备散热层、变配电房、</w:t>
            </w:r>
          </w:p>
          <w:p>
            <w:pPr>
              <w:pStyle w:val="TableText"/>
              <w:ind w:left="353"/>
              <w:spacing w:before="32" w:line="210" w:lineRule="auto"/>
              <w:rPr>
                <w:sz w:val="20"/>
                <w:szCs w:val="20"/>
              </w:rPr>
            </w:pPr>
            <w:r>
              <w:rPr>
                <w:sz w:val="20"/>
                <w:szCs w:val="20"/>
                <w:spacing w:val="-1"/>
              </w:rPr>
              <w:t>更衣房等安装轴流风机进行换气。</w:t>
            </w:r>
          </w:p>
        </w:tc>
        <w:tc>
          <w:tcPr>
            <w:tcW w:w="4547" w:type="dxa"/>
            <w:vAlign w:val="top"/>
          </w:tcPr>
          <w:p>
            <w:pPr>
              <w:pStyle w:val="TableText"/>
              <w:ind w:left="165"/>
              <w:spacing w:before="196" w:line="219" w:lineRule="auto"/>
              <w:rPr>
                <w:sz w:val="20"/>
                <w:szCs w:val="20"/>
              </w:rPr>
            </w:pPr>
            <w:r>
              <w:rPr>
                <w:sz w:val="20"/>
                <w:szCs w:val="20"/>
                <w:spacing w:val="-1"/>
              </w:rPr>
              <w:t>夏季办公室、组装车间、涂布车间有设备散热层</w:t>
            </w:r>
          </w:p>
          <w:p>
            <w:pPr>
              <w:pStyle w:val="TableText"/>
              <w:spacing w:before="42" w:line="219" w:lineRule="auto"/>
              <w:jc w:val="right"/>
              <w:rPr>
                <w:sz w:val="20"/>
                <w:szCs w:val="20"/>
              </w:rPr>
            </w:pPr>
            <w:r>
              <w:rPr>
                <w:sz w:val="20"/>
                <w:szCs w:val="20"/>
                <w:spacing w:val="3"/>
              </w:rPr>
              <w:t>外，采用中央空调系统。涂布车间有设备散热层、</w:t>
            </w:r>
          </w:p>
          <w:p>
            <w:pPr>
              <w:pStyle w:val="TableText"/>
              <w:ind w:left="315"/>
              <w:spacing w:before="22" w:line="219" w:lineRule="auto"/>
              <w:rPr>
                <w:sz w:val="20"/>
                <w:szCs w:val="20"/>
              </w:rPr>
            </w:pPr>
            <w:r>
              <w:rPr>
                <w:sz w:val="20"/>
                <w:szCs w:val="20"/>
              </w:rPr>
              <w:t>变配电房、更衣房等安装轴流风机进行换气。</w:t>
            </w:r>
          </w:p>
        </w:tc>
        <w:tc>
          <w:tcPr>
            <w:tcW w:w="2303" w:type="dxa"/>
            <w:vAlign w:val="top"/>
          </w:tcPr>
          <w:p>
            <w:pPr>
              <w:rPr>
                <w:rFonts w:ascii="Arial"/>
                <w:sz w:val="21"/>
              </w:rPr>
            </w:pPr>
            <w:r/>
          </w:p>
        </w:tc>
      </w:tr>
    </w:tbl>
    <w:p>
      <w:pPr>
        <w:rPr>
          <w:rFonts w:ascii="Arial"/>
          <w:sz w:val="21"/>
        </w:rPr>
      </w:pPr>
      <w:r/>
    </w:p>
    <w:p>
      <w:pPr>
        <w:sectPr>
          <w:footerReference w:type="default" r:id="rId26"/>
          <w:pgSz w:w="16840" w:h="11900"/>
          <w:pgMar w:top="1011" w:right="1364" w:bottom="978" w:left="1314" w:header="0" w:footer="839" w:gutter="0"/>
        </w:sectPr>
        <w:rPr>
          <w:rFonts w:ascii="Arial" w:hAnsi="Arial" w:eastAsia="Arial" w:cs="Arial"/>
          <w:sz w:val="21"/>
          <w:szCs w:val="21"/>
        </w:rPr>
      </w:pPr>
    </w:p>
    <w:p>
      <w:pPr>
        <w:spacing w:before="8"/>
        <w:rPr/>
      </w:pPr>
      <w:r/>
    </w:p>
    <w:tbl>
      <w:tblPr>
        <w:tblStyle w:val="TableNormal"/>
        <w:tblW w:w="1415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25"/>
        <w:gridCol w:w="680"/>
        <w:gridCol w:w="2588"/>
        <w:gridCol w:w="3607"/>
        <w:gridCol w:w="4547"/>
        <w:gridCol w:w="2303"/>
      </w:tblGrid>
      <w:tr>
        <w:trPr>
          <w:trHeight w:val="278" w:hRule="atLeast"/>
        </w:trPr>
        <w:tc>
          <w:tcPr>
            <w:tcW w:w="425" w:type="dxa"/>
            <w:vAlign w:val="top"/>
            <w:vMerge w:val="restart"/>
            <w:textDirection w:val="tbRlV"/>
            <w:tcBorders>
              <w:bottom w:val="nil"/>
            </w:tcBorders>
          </w:tcPr>
          <w:p>
            <w:pPr>
              <w:pStyle w:val="TableText"/>
              <w:spacing w:before="100" w:line="216" w:lineRule="auto"/>
              <w:rPr>
                <w:sz w:val="22"/>
                <w:szCs w:val="22"/>
              </w:rPr>
            </w:pPr>
            <w:r>
              <w:rPr>
                <w:sz w:val="22"/>
                <w:szCs w:val="22"/>
                <w:spacing w:val="-2"/>
              </w:rPr>
              <w:t>工</w:t>
            </w:r>
            <w:r>
              <w:rPr>
                <w:sz w:val="22"/>
                <w:szCs w:val="22"/>
                <w:spacing w:val="-39"/>
              </w:rPr>
              <w:t xml:space="preserve"> </w:t>
            </w:r>
            <w:r>
              <w:rPr>
                <w:sz w:val="22"/>
                <w:szCs w:val="22"/>
                <w:spacing w:val="-2"/>
              </w:rPr>
              <w:t>程</w:t>
            </w:r>
            <w:r>
              <w:rPr>
                <w:sz w:val="22"/>
                <w:szCs w:val="22"/>
                <w:spacing w:val="-39"/>
              </w:rPr>
              <w:t xml:space="preserve"> </w:t>
            </w:r>
            <w:r>
              <w:rPr>
                <w:sz w:val="22"/>
                <w:szCs w:val="22"/>
                <w:spacing w:val="-2"/>
              </w:rPr>
              <w:t>类</w:t>
            </w:r>
            <w:r>
              <w:rPr>
                <w:sz w:val="22"/>
                <w:szCs w:val="22"/>
                <w:spacing w:val="-40"/>
              </w:rPr>
              <w:t xml:space="preserve"> </w:t>
            </w:r>
            <w:r>
              <w:rPr>
                <w:sz w:val="22"/>
                <w:szCs w:val="22"/>
                <w:spacing w:val="-2"/>
              </w:rPr>
              <w:t>别</w:t>
            </w:r>
          </w:p>
        </w:tc>
        <w:tc>
          <w:tcPr>
            <w:tcW w:w="680" w:type="dxa"/>
            <w:vAlign w:val="top"/>
            <w:vMerge w:val="restart"/>
            <w:tcBorders>
              <w:bottom w:val="nil"/>
            </w:tcBorders>
          </w:tcPr>
          <w:p>
            <w:pPr>
              <w:pStyle w:val="TableText"/>
              <w:ind w:left="110" w:right="108"/>
              <w:spacing w:before="311" w:line="231" w:lineRule="auto"/>
              <w:rPr>
                <w:sz w:val="22"/>
                <w:szCs w:val="22"/>
              </w:rPr>
            </w:pPr>
            <w:r>
              <w:rPr>
                <w:sz w:val="22"/>
                <w:szCs w:val="22"/>
                <w:spacing w:val="5"/>
              </w:rPr>
              <w:t>主要</w:t>
            </w:r>
            <w:r>
              <w:rPr>
                <w:sz w:val="22"/>
                <w:szCs w:val="22"/>
              </w:rPr>
              <w:t xml:space="preserve"> </w:t>
            </w:r>
            <w:r>
              <w:rPr>
                <w:sz w:val="22"/>
                <w:szCs w:val="22"/>
                <w:spacing w:val="5"/>
              </w:rPr>
              <w:t>组成</w:t>
            </w:r>
          </w:p>
        </w:tc>
        <w:tc>
          <w:tcPr>
            <w:tcW w:w="2588" w:type="dxa"/>
            <w:vAlign w:val="top"/>
            <w:vMerge w:val="restart"/>
            <w:tcBorders>
              <w:bottom w:val="nil"/>
            </w:tcBorders>
          </w:tcPr>
          <w:p>
            <w:pPr>
              <w:spacing w:line="245" w:lineRule="auto"/>
              <w:rPr>
                <w:rFonts w:ascii="Arial"/>
                <w:sz w:val="21"/>
              </w:rPr>
            </w:pPr>
            <w:r/>
          </w:p>
          <w:p>
            <w:pPr>
              <w:pStyle w:val="TableText"/>
              <w:ind w:left="130"/>
              <w:spacing w:before="71" w:line="219" w:lineRule="auto"/>
              <w:rPr>
                <w:sz w:val="22"/>
                <w:szCs w:val="22"/>
              </w:rPr>
            </w:pPr>
            <w:r>
              <w:rPr>
                <w:sz w:val="22"/>
                <w:szCs w:val="22"/>
                <w:spacing w:val="1"/>
              </w:rPr>
              <w:t>一汽动力电池项目(产能</w:t>
            </w:r>
          </w:p>
          <w:p>
            <w:pPr>
              <w:pStyle w:val="TableText"/>
              <w:ind w:left="620"/>
              <w:spacing w:before="20" w:line="221" w:lineRule="auto"/>
              <w:rPr>
                <w:sz w:val="22"/>
                <w:szCs w:val="22"/>
              </w:rPr>
            </w:pPr>
            <w:r>
              <w:rPr>
                <w:sz w:val="22"/>
                <w:szCs w:val="22"/>
                <w:spacing w:val="6"/>
              </w:rPr>
              <w:t>10</w:t>
            </w:r>
            <w:r>
              <w:rPr>
                <w:sz w:val="22"/>
                <w:szCs w:val="22"/>
              </w:rPr>
              <w:t>GWh</w:t>
            </w:r>
            <w:r>
              <w:rPr>
                <w:sz w:val="22"/>
                <w:szCs w:val="22"/>
                <w:spacing w:val="6"/>
              </w:rPr>
              <w:t>)(已建)</w:t>
            </w:r>
          </w:p>
        </w:tc>
        <w:tc>
          <w:tcPr>
            <w:tcW w:w="10457" w:type="dxa"/>
            <w:vAlign w:val="top"/>
            <w:gridSpan w:val="3"/>
          </w:tcPr>
          <w:p>
            <w:pPr>
              <w:pStyle w:val="TableText"/>
              <w:ind w:left="2712"/>
              <w:spacing w:before="30" w:line="199" w:lineRule="auto"/>
              <w:rPr>
                <w:sz w:val="22"/>
                <w:szCs w:val="22"/>
              </w:rPr>
            </w:pPr>
            <w:r>
              <w:rPr>
                <w:sz w:val="22"/>
                <w:szCs w:val="22"/>
                <w:spacing w:val="2"/>
              </w:rPr>
              <w:t>时代一汽年产20</w:t>
            </w:r>
            <w:r>
              <w:rPr>
                <w:sz w:val="22"/>
                <w:szCs w:val="22"/>
              </w:rPr>
              <w:t>gwh</w:t>
            </w:r>
            <w:r>
              <w:rPr>
                <w:sz w:val="22"/>
                <w:szCs w:val="22"/>
                <w:spacing w:val="2"/>
              </w:rPr>
              <w:t>动力电池生产线扩建项目(在建)</w:t>
            </w:r>
          </w:p>
        </w:tc>
      </w:tr>
      <w:tr>
        <w:trPr>
          <w:trHeight w:val="809" w:hRule="atLeast"/>
        </w:trPr>
        <w:tc>
          <w:tcPr>
            <w:tcW w:w="425" w:type="dxa"/>
            <w:vAlign w:val="top"/>
            <w:vMerge w:val="continue"/>
            <w:textDirection w:val="tbRlV"/>
            <w:tcBorders>
              <w:top w:val="nil"/>
            </w:tcBorders>
          </w:tcPr>
          <w:p>
            <w:pPr>
              <w:rPr>
                <w:rFonts w:ascii="Arial"/>
                <w:sz w:val="21"/>
              </w:rPr>
            </w:pPr>
            <w:r/>
          </w:p>
        </w:tc>
        <w:tc>
          <w:tcPr>
            <w:tcW w:w="680" w:type="dxa"/>
            <w:vAlign w:val="top"/>
            <w:vMerge w:val="continue"/>
            <w:tcBorders>
              <w:top w:val="nil"/>
            </w:tcBorders>
          </w:tcPr>
          <w:p>
            <w:pPr>
              <w:rPr>
                <w:rFonts w:ascii="Arial"/>
                <w:sz w:val="21"/>
              </w:rPr>
            </w:pPr>
            <w:r/>
          </w:p>
        </w:tc>
        <w:tc>
          <w:tcPr>
            <w:tcW w:w="2588" w:type="dxa"/>
            <w:vAlign w:val="top"/>
            <w:vMerge w:val="continue"/>
            <w:tcBorders>
              <w:top w:val="nil"/>
            </w:tcBorders>
          </w:tcPr>
          <w:p>
            <w:pPr>
              <w:rPr>
                <w:rFonts w:ascii="Arial"/>
                <w:sz w:val="21"/>
              </w:rPr>
            </w:pPr>
            <w:r/>
          </w:p>
        </w:tc>
        <w:tc>
          <w:tcPr>
            <w:tcW w:w="3607" w:type="dxa"/>
            <w:vAlign w:val="top"/>
          </w:tcPr>
          <w:p>
            <w:pPr>
              <w:pStyle w:val="TableText"/>
              <w:ind w:left="682"/>
              <w:spacing w:before="292" w:line="214" w:lineRule="auto"/>
              <w:rPr>
                <w:sz w:val="22"/>
                <w:szCs w:val="22"/>
              </w:rPr>
            </w:pPr>
            <w:r>
              <w:rPr>
                <w:sz w:val="22"/>
                <w:szCs w:val="22"/>
                <w:spacing w:val="4"/>
              </w:rPr>
              <w:t>环评内容(产能20</w:t>
            </w:r>
            <w:r>
              <w:rPr>
                <w:sz w:val="22"/>
                <w:szCs w:val="22"/>
              </w:rPr>
              <w:t>gwh</w:t>
            </w:r>
            <w:r>
              <w:rPr>
                <w:sz w:val="22"/>
                <w:szCs w:val="22"/>
                <w:spacing w:val="4"/>
              </w:rPr>
              <w:t>)</w:t>
            </w:r>
          </w:p>
        </w:tc>
        <w:tc>
          <w:tcPr>
            <w:tcW w:w="4547" w:type="dxa"/>
            <w:vAlign w:val="top"/>
          </w:tcPr>
          <w:p>
            <w:pPr>
              <w:pStyle w:val="TableText"/>
              <w:ind w:left="835"/>
              <w:spacing w:before="292" w:line="214" w:lineRule="auto"/>
              <w:rPr>
                <w:sz w:val="22"/>
                <w:szCs w:val="22"/>
              </w:rPr>
            </w:pPr>
            <w:r>
              <w:rPr>
                <w:sz w:val="22"/>
                <w:szCs w:val="22"/>
                <w:spacing w:val="3"/>
              </w:rPr>
              <w:t>阶段性验收内容(产能6.7</w:t>
            </w:r>
            <w:r>
              <w:rPr>
                <w:sz w:val="22"/>
                <w:szCs w:val="22"/>
              </w:rPr>
              <w:t>gwh</w:t>
            </w:r>
            <w:r>
              <w:rPr>
                <w:sz w:val="22"/>
                <w:szCs w:val="22"/>
                <w:spacing w:val="3"/>
              </w:rPr>
              <w:t>)</w:t>
            </w:r>
          </w:p>
        </w:tc>
        <w:tc>
          <w:tcPr>
            <w:tcW w:w="2303" w:type="dxa"/>
            <w:vAlign w:val="top"/>
          </w:tcPr>
          <w:p>
            <w:pPr>
              <w:pStyle w:val="TableText"/>
              <w:ind w:left="928"/>
              <w:spacing w:before="301" w:line="221" w:lineRule="auto"/>
              <w:rPr>
                <w:sz w:val="22"/>
                <w:szCs w:val="22"/>
              </w:rPr>
            </w:pPr>
            <w:r>
              <w:rPr>
                <w:sz w:val="22"/>
                <w:szCs w:val="22"/>
                <w:spacing w:val="5"/>
              </w:rPr>
              <w:t>备注</w:t>
            </w:r>
          </w:p>
        </w:tc>
      </w:tr>
      <w:tr>
        <w:trPr>
          <w:trHeight w:val="529" w:hRule="atLeast"/>
        </w:trPr>
        <w:tc>
          <w:tcPr>
            <w:tcW w:w="425" w:type="dxa"/>
            <w:vAlign w:val="top"/>
          </w:tcPr>
          <w:p>
            <w:pPr>
              <w:rPr>
                <w:rFonts w:ascii="Arial"/>
                <w:sz w:val="21"/>
              </w:rPr>
            </w:pPr>
            <w:r/>
          </w:p>
        </w:tc>
        <w:tc>
          <w:tcPr>
            <w:tcW w:w="680" w:type="dxa"/>
            <w:vAlign w:val="top"/>
          </w:tcPr>
          <w:p>
            <w:pPr>
              <w:rPr>
                <w:rFonts w:ascii="Arial"/>
                <w:sz w:val="21"/>
              </w:rPr>
            </w:pPr>
            <w:r/>
          </w:p>
        </w:tc>
        <w:tc>
          <w:tcPr>
            <w:tcW w:w="2588" w:type="dxa"/>
            <w:vAlign w:val="top"/>
          </w:tcPr>
          <w:p>
            <w:pPr>
              <w:pStyle w:val="TableText"/>
              <w:ind w:left="70"/>
              <w:spacing w:before="20" w:line="218" w:lineRule="auto"/>
              <w:rPr>
                <w:sz w:val="22"/>
                <w:szCs w:val="22"/>
              </w:rPr>
            </w:pPr>
            <w:r>
              <w:rPr>
                <w:sz w:val="22"/>
                <w:szCs w:val="22"/>
                <w:spacing w:val="-1"/>
              </w:rPr>
              <w:t>变配电房、更衣房等安装</w:t>
            </w:r>
          </w:p>
          <w:p>
            <w:pPr>
              <w:pStyle w:val="TableText"/>
              <w:ind w:left="350"/>
              <w:spacing w:line="200" w:lineRule="auto"/>
              <w:rPr>
                <w:sz w:val="22"/>
                <w:szCs w:val="22"/>
              </w:rPr>
            </w:pPr>
            <w:r>
              <w:rPr>
                <w:sz w:val="22"/>
                <w:szCs w:val="22"/>
              </w:rPr>
              <w:t>轴流风机进行换气。</w:t>
            </w:r>
          </w:p>
        </w:tc>
        <w:tc>
          <w:tcPr>
            <w:tcW w:w="3607" w:type="dxa"/>
            <w:vAlign w:val="top"/>
          </w:tcPr>
          <w:p>
            <w:pPr>
              <w:rPr>
                <w:rFonts w:ascii="Arial"/>
                <w:sz w:val="21"/>
              </w:rPr>
            </w:pPr>
            <w:r/>
          </w:p>
        </w:tc>
        <w:tc>
          <w:tcPr>
            <w:tcW w:w="4547" w:type="dxa"/>
            <w:vAlign w:val="top"/>
          </w:tcPr>
          <w:p>
            <w:pPr>
              <w:rPr>
                <w:rFonts w:ascii="Arial"/>
                <w:sz w:val="21"/>
              </w:rPr>
            </w:pPr>
            <w:r/>
          </w:p>
        </w:tc>
        <w:tc>
          <w:tcPr>
            <w:tcW w:w="2303" w:type="dxa"/>
            <w:vAlign w:val="top"/>
          </w:tcPr>
          <w:p>
            <w:pPr>
              <w:rPr>
                <w:rFonts w:ascii="Arial"/>
                <w:sz w:val="21"/>
              </w:rPr>
            </w:pPr>
            <w:r/>
          </w:p>
        </w:tc>
      </w:tr>
      <w:tr>
        <w:trPr>
          <w:trHeight w:val="3007" w:hRule="atLeast"/>
        </w:trPr>
        <w:tc>
          <w:tcPr>
            <w:tcW w:w="425" w:type="dxa"/>
            <w:vAlign w:val="top"/>
            <w:vMerge w:val="restart"/>
            <w:textDirection w:val="tbRlV"/>
            <w:tcBorders>
              <w:bottom w:val="nil"/>
            </w:tcBorders>
          </w:tcPr>
          <w:p>
            <w:pPr>
              <w:pStyle w:val="TableText"/>
              <w:ind w:left="3213"/>
              <w:spacing w:before="79" w:line="217" w:lineRule="auto"/>
              <w:rPr>
                <w:sz w:val="22"/>
                <w:szCs w:val="22"/>
              </w:rPr>
            </w:pPr>
            <w:r>
              <w:rPr>
                <w:sz w:val="22"/>
                <w:szCs w:val="22"/>
                <w:spacing w:val="6"/>
              </w:rPr>
              <w:t>环保工程</w:t>
            </w:r>
          </w:p>
        </w:tc>
        <w:tc>
          <w:tcPr>
            <w:tcW w:w="680" w:type="dxa"/>
            <w:vAlign w:val="top"/>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110"/>
              <w:spacing w:before="71" w:line="219" w:lineRule="auto"/>
              <w:rPr>
                <w:sz w:val="22"/>
                <w:szCs w:val="22"/>
              </w:rPr>
            </w:pPr>
            <w:r>
              <w:rPr>
                <w:sz w:val="22"/>
                <w:szCs w:val="22"/>
                <w:spacing w:val="-2"/>
              </w:rPr>
              <w:t>废水</w:t>
            </w:r>
          </w:p>
        </w:tc>
        <w:tc>
          <w:tcPr>
            <w:tcW w:w="2588" w:type="dxa"/>
            <w:vAlign w:val="top"/>
          </w:tcPr>
          <w:p>
            <w:pPr>
              <w:pStyle w:val="TableText"/>
              <w:ind w:left="130"/>
              <w:spacing w:before="62" w:line="219" w:lineRule="auto"/>
              <w:rPr>
                <w:sz w:val="22"/>
                <w:szCs w:val="22"/>
              </w:rPr>
            </w:pPr>
            <w:r>
              <w:rPr>
                <w:sz w:val="22"/>
                <w:szCs w:val="22"/>
              </w:rPr>
              <w:t>1)污水处理站1座，包含</w:t>
            </w:r>
          </w:p>
          <w:p>
            <w:pPr>
              <w:pStyle w:val="TableText"/>
              <w:ind w:left="120"/>
              <w:spacing w:before="9" w:line="219" w:lineRule="auto"/>
              <w:rPr>
                <w:sz w:val="22"/>
                <w:szCs w:val="22"/>
              </w:rPr>
            </w:pPr>
            <w:r>
              <w:rPr>
                <w:sz w:val="22"/>
                <w:szCs w:val="22"/>
                <w:spacing w:val="1"/>
              </w:rPr>
              <w:t>阴极废水预处理系统</w:t>
            </w:r>
          </w:p>
          <w:p>
            <w:pPr>
              <w:pStyle w:val="TableText"/>
              <w:ind w:left="130" w:firstLine="79"/>
              <w:spacing w:before="5" w:line="226" w:lineRule="auto"/>
              <w:rPr>
                <w:sz w:val="22"/>
                <w:szCs w:val="22"/>
              </w:rPr>
            </w:pPr>
            <w:r>
              <w:rPr>
                <w:sz w:val="22"/>
                <w:szCs w:val="22"/>
                <w:spacing w:val="-4"/>
              </w:rPr>
              <w:t>(80t/d,芬顿氧化+混凝沉</w:t>
            </w:r>
            <w:r>
              <w:rPr>
                <w:sz w:val="22"/>
                <w:szCs w:val="22"/>
                <w:spacing w:val="7"/>
              </w:rPr>
              <w:t xml:space="preserve"> </w:t>
            </w:r>
            <w:r>
              <w:rPr>
                <w:sz w:val="22"/>
                <w:szCs w:val="22"/>
                <w:spacing w:val="1"/>
              </w:rPr>
              <w:t>淀)、阳极废水预处理系</w:t>
            </w:r>
            <w:r>
              <w:rPr>
                <w:sz w:val="22"/>
                <w:szCs w:val="22"/>
                <w:spacing w:val="2"/>
              </w:rPr>
              <w:t xml:space="preserve">  </w:t>
            </w:r>
            <w:r>
              <w:rPr>
                <w:sz w:val="22"/>
                <w:szCs w:val="22"/>
                <w:spacing w:val="11"/>
              </w:rPr>
              <w:t>统(75t/d,混凝沉淀)、</w:t>
            </w:r>
          </w:p>
          <w:p>
            <w:pPr>
              <w:pStyle w:val="TableText"/>
              <w:ind w:left="110" w:firstLine="19"/>
              <w:spacing w:before="14" w:line="227" w:lineRule="auto"/>
              <w:rPr>
                <w:sz w:val="22"/>
                <w:szCs w:val="22"/>
              </w:rPr>
            </w:pPr>
            <w:r>
              <w:rPr>
                <w:sz w:val="22"/>
                <w:szCs w:val="22"/>
                <w:spacing w:val="-4"/>
              </w:rPr>
              <w:t>生化处理系统(75t/d,预  </w:t>
            </w:r>
            <w:r>
              <w:rPr>
                <w:sz w:val="22"/>
                <w:szCs w:val="22"/>
                <w:spacing w:val="-3"/>
              </w:rPr>
              <w:t>酸化+A2O+二沉池工艺)。 </w:t>
            </w:r>
            <w:r>
              <w:rPr>
                <w:sz w:val="22"/>
                <w:szCs w:val="22"/>
                <w:spacing w:val="7"/>
              </w:rPr>
              <w:t>2)2个5m³的隔油池、10</w:t>
            </w:r>
            <w:r>
              <w:rPr>
                <w:sz w:val="22"/>
                <w:szCs w:val="22"/>
              </w:rPr>
              <w:t xml:space="preserve">  </w:t>
            </w:r>
            <w:r>
              <w:rPr>
                <w:sz w:val="22"/>
                <w:szCs w:val="22"/>
                <w:spacing w:val="3"/>
              </w:rPr>
              <w:t>个6m³的化粪池，2个30m³</w:t>
            </w:r>
            <w:r>
              <w:rPr>
                <w:sz w:val="22"/>
                <w:szCs w:val="22"/>
                <w:spacing w:val="1"/>
              </w:rPr>
              <w:t xml:space="preserve"> </w:t>
            </w:r>
            <w:r>
              <w:rPr>
                <w:sz w:val="22"/>
                <w:szCs w:val="22"/>
              </w:rPr>
              <w:t>的化粪池。</w:t>
            </w:r>
          </w:p>
        </w:tc>
        <w:tc>
          <w:tcPr>
            <w:tcW w:w="3607" w:type="dxa"/>
            <w:vAlign w:val="top"/>
          </w:tcPr>
          <w:p>
            <w:pPr>
              <w:pStyle w:val="TableText"/>
              <w:ind w:left="122" w:firstLine="116"/>
              <w:spacing w:before="60" w:line="227" w:lineRule="auto"/>
              <w:rPr>
                <w:sz w:val="22"/>
                <w:szCs w:val="22"/>
              </w:rPr>
            </w:pPr>
            <w:r>
              <w:rPr>
                <w:sz w:val="22"/>
                <w:szCs w:val="22"/>
                <w:spacing w:val="-9"/>
              </w:rPr>
              <w:t>(1)厂房二旁新建阴、阳极废水三级</w:t>
            </w:r>
            <w:r>
              <w:rPr>
                <w:sz w:val="22"/>
                <w:szCs w:val="22"/>
                <w:spacing w:val="3"/>
              </w:rPr>
              <w:t xml:space="preserve">  </w:t>
            </w:r>
            <w:r>
              <w:rPr>
                <w:sz w:val="22"/>
                <w:szCs w:val="22"/>
                <w:spacing w:val="-16"/>
              </w:rPr>
              <w:t>沉淀池；预处理系统则依托现有工程：</w:t>
            </w:r>
            <w:r>
              <w:rPr>
                <w:sz w:val="22"/>
                <w:szCs w:val="22"/>
                <w:spacing w:val="5"/>
              </w:rPr>
              <w:t xml:space="preserve"> </w:t>
            </w:r>
            <w:r>
              <w:rPr>
                <w:sz w:val="22"/>
                <w:szCs w:val="22"/>
                <w:spacing w:val="-4"/>
              </w:rPr>
              <w:t>阴极废水预处理系统(75t/d,芬顿氧</w:t>
            </w:r>
            <w:r>
              <w:rPr>
                <w:sz w:val="22"/>
                <w:szCs w:val="22"/>
                <w:spacing w:val="1"/>
              </w:rPr>
              <w:t xml:space="preserve">  </w:t>
            </w:r>
            <w:r>
              <w:rPr>
                <w:sz w:val="22"/>
                <w:szCs w:val="22"/>
                <w:spacing w:val="-8"/>
              </w:rPr>
              <w:t>化+混凝沉淀)、阳极废水预处理系统</w:t>
            </w:r>
          </w:p>
          <w:p>
            <w:pPr>
              <w:pStyle w:val="TableText"/>
              <w:ind w:left="132" w:right="42" w:firstLine="109"/>
              <w:spacing w:before="4" w:line="223" w:lineRule="auto"/>
              <w:rPr>
                <w:sz w:val="22"/>
                <w:szCs w:val="22"/>
              </w:rPr>
            </w:pPr>
            <w:r>
              <w:rPr>
                <w:sz w:val="22"/>
                <w:szCs w:val="22"/>
              </w:rPr>
              <w:t>(75t/d,混凝沉淀);新建本项目生</w:t>
            </w:r>
            <w:r>
              <w:rPr>
                <w:sz w:val="22"/>
                <w:szCs w:val="22"/>
                <w:spacing w:val="4"/>
              </w:rPr>
              <w:t xml:space="preserve">  </w:t>
            </w:r>
            <w:r>
              <w:rPr>
                <w:sz w:val="22"/>
                <w:szCs w:val="22"/>
                <w:spacing w:val="5"/>
              </w:rPr>
              <w:t>化处理系统(75t/d,预酸化+A²O+二</w:t>
            </w:r>
            <w:r>
              <w:rPr>
                <w:sz w:val="22"/>
                <w:szCs w:val="22"/>
                <w:spacing w:val="16"/>
              </w:rPr>
              <w:t xml:space="preserve"> </w:t>
            </w:r>
            <w:r>
              <w:rPr>
                <w:sz w:val="22"/>
                <w:szCs w:val="22"/>
                <w:spacing w:val="2"/>
              </w:rPr>
              <w:t>沉池)。</w:t>
            </w:r>
          </w:p>
          <w:p>
            <w:pPr>
              <w:pStyle w:val="TableText"/>
              <w:ind w:left="232"/>
              <w:spacing w:before="37" w:line="218" w:lineRule="auto"/>
              <w:rPr>
                <w:sz w:val="22"/>
                <w:szCs w:val="22"/>
              </w:rPr>
            </w:pPr>
            <w:r>
              <w:rPr>
                <w:sz w:val="22"/>
                <w:szCs w:val="22"/>
                <w:spacing w:val="14"/>
              </w:rPr>
              <w:t>(2)2个5m³的隔油池、10个6m³</w:t>
            </w:r>
          </w:p>
          <w:p>
            <w:pPr>
              <w:pStyle w:val="TableText"/>
              <w:ind w:left="122" w:firstLine="19"/>
              <w:spacing w:before="1" w:line="211" w:lineRule="auto"/>
              <w:rPr>
                <w:sz w:val="22"/>
                <w:szCs w:val="22"/>
              </w:rPr>
            </w:pPr>
            <w:r>
              <w:rPr>
                <w:sz w:val="22"/>
                <w:szCs w:val="22"/>
                <w:spacing w:val="1"/>
              </w:rPr>
              <w:t>的化粪池、5个30m³的化粪池、1个</w:t>
            </w:r>
            <w:r>
              <w:rPr>
                <w:sz w:val="22"/>
                <w:szCs w:val="22"/>
              </w:rPr>
              <w:t xml:space="preserve">  </w:t>
            </w:r>
            <w:r>
              <w:rPr>
                <w:sz w:val="22"/>
                <w:szCs w:val="22"/>
                <w:spacing w:val="3"/>
              </w:rPr>
              <w:t>20m³的化粪池、1个25m³的化粪池、 </w:t>
            </w:r>
            <w:r>
              <w:rPr>
                <w:sz w:val="22"/>
                <w:szCs w:val="22"/>
                <w:spacing w:val="8"/>
              </w:rPr>
              <w:t>1个16m³的化粪池。</w:t>
            </w:r>
          </w:p>
        </w:tc>
        <w:tc>
          <w:tcPr>
            <w:tcW w:w="4547" w:type="dxa"/>
            <w:vAlign w:val="top"/>
          </w:tcPr>
          <w:p>
            <w:pPr>
              <w:pStyle w:val="TableText"/>
              <w:ind w:left="154" w:hanging="89"/>
              <w:spacing w:before="62" w:line="222" w:lineRule="auto"/>
              <w:rPr>
                <w:sz w:val="22"/>
                <w:szCs w:val="22"/>
              </w:rPr>
            </w:pPr>
            <w:r>
              <w:rPr>
                <w:sz w:val="22"/>
                <w:szCs w:val="22"/>
              </w:rPr>
              <w:t>1)厂房二旁新建阴、阳极废水三级沉淀池；预 </w:t>
            </w:r>
            <w:r>
              <w:rPr>
                <w:sz w:val="22"/>
                <w:szCs w:val="22"/>
                <w:spacing w:val="-13"/>
              </w:rPr>
              <w:t>处</w:t>
            </w:r>
            <w:r>
              <w:rPr>
                <w:sz w:val="22"/>
                <w:szCs w:val="22"/>
                <w:spacing w:val="-12"/>
              </w:rPr>
              <w:t>理系统则依托现有工程：阴极废水预处理系</w:t>
            </w:r>
            <w:r>
              <w:rPr>
                <w:sz w:val="22"/>
                <w:szCs w:val="22"/>
                <w:spacing w:val="-11"/>
              </w:rPr>
              <w:t>统</w:t>
            </w:r>
          </w:p>
          <w:p>
            <w:pPr>
              <w:pStyle w:val="TableText"/>
              <w:ind w:left="125" w:firstLine="129"/>
              <w:spacing w:before="6" w:line="226" w:lineRule="auto"/>
              <w:rPr>
                <w:sz w:val="22"/>
                <w:szCs w:val="22"/>
              </w:rPr>
            </w:pPr>
            <w:r>
              <w:rPr>
                <w:sz w:val="22"/>
                <w:szCs w:val="22"/>
                <w:spacing w:val="-1"/>
              </w:rPr>
              <w:t>(75t/d,芬顿氧化+混凝沉淀)、阳极废水预处</w:t>
            </w:r>
            <w:r>
              <w:rPr>
                <w:sz w:val="22"/>
                <w:szCs w:val="22"/>
                <w:spacing w:val="15"/>
              </w:rPr>
              <w:t xml:space="preserve"> </w:t>
            </w:r>
            <w:r>
              <w:rPr>
                <w:sz w:val="22"/>
                <w:szCs w:val="22"/>
                <w:spacing w:val="-1"/>
              </w:rPr>
              <w:t>理系统(75t/d,混凝沉淀);新建本项目生化处</w:t>
            </w:r>
            <w:r>
              <w:rPr>
                <w:sz w:val="22"/>
                <w:szCs w:val="22"/>
                <w:spacing w:val="7"/>
              </w:rPr>
              <w:t xml:space="preserve">  </w:t>
            </w:r>
            <w:r>
              <w:rPr>
                <w:sz w:val="22"/>
                <w:szCs w:val="22"/>
                <w:spacing w:val="5"/>
              </w:rPr>
              <w:t>理系统(75t/d,预酸化+A²O+二沉池)。</w:t>
            </w:r>
          </w:p>
          <w:p>
            <w:pPr>
              <w:pStyle w:val="TableText"/>
              <w:ind w:left="155" w:firstLine="20"/>
              <w:spacing w:before="4" w:line="230" w:lineRule="auto"/>
              <w:rPr>
                <w:sz w:val="22"/>
                <w:szCs w:val="22"/>
              </w:rPr>
            </w:pPr>
            <w:r>
              <w:rPr>
                <w:sz w:val="22"/>
                <w:szCs w:val="22"/>
                <w:spacing w:val="9"/>
              </w:rPr>
              <w:t>2)2个5m³的隔油池、10个6m³的化粪池、5</w:t>
            </w:r>
            <w:r>
              <w:rPr>
                <w:sz w:val="22"/>
                <w:szCs w:val="22"/>
                <w:spacing w:val="8"/>
              </w:rPr>
              <w:t xml:space="preserve">  </w:t>
            </w:r>
            <w:r>
              <w:rPr>
                <w:sz w:val="22"/>
                <w:szCs w:val="22"/>
                <w:spacing w:val="3"/>
              </w:rPr>
              <w:t>个30m³的化粪池、1个20m³的化粪池、1个25m</w:t>
            </w:r>
            <w:r>
              <w:rPr>
                <w:sz w:val="22"/>
                <w:szCs w:val="22"/>
                <w:spacing w:val="11"/>
              </w:rPr>
              <w:t xml:space="preserve"> </w:t>
            </w:r>
            <w:r>
              <w:rPr>
                <w:sz w:val="22"/>
                <w:szCs w:val="22"/>
                <w:spacing w:val="-1"/>
              </w:rPr>
              <w:t>的化粪池、1个16m3的化粪池。</w:t>
            </w:r>
          </w:p>
        </w:tc>
        <w:tc>
          <w:tcPr>
            <w:tcW w:w="2303" w:type="dxa"/>
            <w:vAlign w:val="top"/>
          </w:tcPr>
          <w:p>
            <w:pPr>
              <w:pStyle w:val="TableText"/>
              <w:ind w:left="158"/>
              <w:spacing w:before="52" w:line="219" w:lineRule="auto"/>
              <w:rPr>
                <w:sz w:val="22"/>
                <w:szCs w:val="22"/>
              </w:rPr>
            </w:pPr>
            <w:r>
              <w:rPr>
                <w:sz w:val="22"/>
                <w:szCs w:val="22"/>
              </w:rPr>
              <w:t>阴极废水处理系统排</w:t>
            </w:r>
          </w:p>
          <w:p>
            <w:pPr>
              <w:pStyle w:val="TableText"/>
              <w:ind w:left="148" w:right="273" w:firstLine="120"/>
              <w:spacing w:before="14" w:line="227" w:lineRule="auto"/>
              <w:rPr>
                <w:sz w:val="22"/>
                <w:szCs w:val="22"/>
              </w:rPr>
            </w:pPr>
            <w:r>
              <w:rPr>
                <w:sz w:val="22"/>
                <w:szCs w:val="22"/>
                <w:spacing w:val="-1"/>
              </w:rPr>
              <w:t>放口(DW001),废水</w:t>
            </w:r>
            <w:r>
              <w:rPr>
                <w:sz w:val="22"/>
                <w:szCs w:val="22"/>
                <w:spacing w:val="2"/>
              </w:rPr>
              <w:t xml:space="preserve"> </w:t>
            </w:r>
            <w:r>
              <w:rPr>
                <w:sz w:val="22"/>
                <w:szCs w:val="22"/>
                <w:spacing w:val="5"/>
              </w:rPr>
              <w:t>处理站总排口</w:t>
            </w:r>
          </w:p>
          <w:p>
            <w:pPr>
              <w:pStyle w:val="TableText"/>
              <w:ind w:left="258"/>
              <w:spacing w:before="7" w:line="222" w:lineRule="auto"/>
              <w:rPr>
                <w:sz w:val="22"/>
                <w:szCs w:val="22"/>
              </w:rPr>
            </w:pPr>
            <w:r>
              <w:rPr>
                <w:sz w:val="22"/>
                <w:szCs w:val="22"/>
                <w:spacing w:val="-6"/>
              </w:rPr>
              <w:t>(DW003)</w:t>
            </w:r>
          </w:p>
        </w:tc>
      </w:tr>
      <w:tr>
        <w:trPr>
          <w:trHeight w:val="4340" w:hRule="atLeast"/>
        </w:trPr>
        <w:tc>
          <w:tcPr>
            <w:tcW w:w="425" w:type="dxa"/>
            <w:vAlign w:val="top"/>
            <w:vMerge w:val="continue"/>
            <w:textDirection w:val="tbRlV"/>
            <w:tcBorders>
              <w:top w:val="nil"/>
            </w:tcBorders>
          </w:tcPr>
          <w:p>
            <w:pPr>
              <w:rPr>
                <w:rFonts w:ascii="Arial"/>
                <w:sz w:val="21"/>
              </w:rPr>
            </w:pPr>
            <w:r/>
          </w:p>
        </w:tc>
        <w:tc>
          <w:tcPr>
            <w:tcW w:w="680"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110"/>
              <w:spacing w:before="72" w:line="220" w:lineRule="auto"/>
              <w:rPr>
                <w:sz w:val="22"/>
                <w:szCs w:val="22"/>
              </w:rPr>
            </w:pPr>
            <w:r>
              <w:rPr>
                <w:sz w:val="22"/>
                <w:szCs w:val="22"/>
                <w:spacing w:val="7"/>
              </w:rPr>
              <w:t>废气</w:t>
            </w:r>
          </w:p>
        </w:tc>
        <w:tc>
          <w:tcPr>
            <w:tcW w:w="2588" w:type="dxa"/>
            <w:vAlign w:val="top"/>
          </w:tcPr>
          <w:p>
            <w:pPr>
              <w:pStyle w:val="TableText"/>
              <w:ind w:left="70" w:right="79"/>
              <w:spacing w:before="53" w:line="225" w:lineRule="auto"/>
              <w:jc w:val="both"/>
              <w:rPr>
                <w:sz w:val="22"/>
                <w:szCs w:val="22"/>
              </w:rPr>
            </w:pPr>
            <w:r>
              <w:rPr>
                <w:sz w:val="22"/>
                <w:szCs w:val="22"/>
              </w:rPr>
              <w:t>1)车间粉尘：移动式除尘</w:t>
            </w:r>
            <w:r>
              <w:rPr>
                <w:sz w:val="22"/>
                <w:szCs w:val="22"/>
                <w:spacing w:val="7"/>
              </w:rPr>
              <w:t xml:space="preserve"> </w:t>
            </w:r>
            <w:r>
              <w:rPr>
                <w:sz w:val="22"/>
                <w:szCs w:val="22"/>
                <w:spacing w:val="-1"/>
              </w:rPr>
              <w:t>器或设备自带的滤筒处理</w:t>
            </w:r>
            <w:r>
              <w:rPr>
                <w:sz w:val="22"/>
                <w:szCs w:val="22"/>
                <w:spacing w:val="1"/>
              </w:rPr>
              <w:t xml:space="preserve"> </w:t>
            </w:r>
            <w:r>
              <w:rPr>
                <w:sz w:val="22"/>
                <w:szCs w:val="22"/>
                <w:spacing w:val="28"/>
              </w:rPr>
              <w:t>后直接排放；</w:t>
            </w:r>
          </w:p>
          <w:p>
            <w:pPr>
              <w:pStyle w:val="TableText"/>
              <w:ind w:left="129" w:right="91" w:hanging="29"/>
              <w:spacing w:before="16" w:line="213" w:lineRule="auto"/>
              <w:jc w:val="both"/>
              <w:rPr>
                <w:sz w:val="22"/>
                <w:szCs w:val="22"/>
              </w:rPr>
            </w:pPr>
            <w:r>
              <w:rPr>
                <w:sz w:val="22"/>
                <w:szCs w:val="22"/>
                <w:spacing w:val="38"/>
              </w:rPr>
              <w:t>2)涂布废气：8套</w:t>
            </w:r>
            <w:r>
              <w:rPr>
                <w:sz w:val="22"/>
                <w:szCs w:val="22"/>
              </w:rPr>
              <w:t>N</w:t>
            </w:r>
            <w:r>
              <w:rPr>
                <w:sz w:val="22"/>
                <w:szCs w:val="22"/>
                <w:spacing w:val="-65"/>
              </w:rPr>
              <w:t xml:space="preserve"> </w:t>
            </w:r>
            <w:r>
              <w:rPr>
                <w:sz w:val="22"/>
                <w:szCs w:val="22"/>
              </w:rPr>
              <w:t>MP </w:t>
            </w:r>
            <w:r>
              <w:rPr>
                <w:sz w:val="22"/>
                <w:szCs w:val="22"/>
                <w:spacing w:val="-1"/>
              </w:rPr>
              <w:t>轮转回收装置+2根25m高</w:t>
            </w:r>
            <w:r>
              <w:rPr>
                <w:sz w:val="22"/>
                <w:szCs w:val="22"/>
                <w:spacing w:val="3"/>
              </w:rPr>
              <w:t xml:space="preserve"> </w:t>
            </w:r>
            <w:r>
              <w:rPr>
                <w:sz w:val="22"/>
                <w:szCs w:val="22"/>
                <w:spacing w:val="3"/>
              </w:rPr>
              <w:t>排气筒(</w:t>
            </w:r>
            <w:r>
              <w:rPr>
                <w:sz w:val="22"/>
                <w:szCs w:val="22"/>
              </w:rPr>
              <w:t>DA</w:t>
            </w:r>
            <w:r>
              <w:rPr>
                <w:sz w:val="22"/>
                <w:szCs w:val="22"/>
                <w:spacing w:val="3"/>
              </w:rPr>
              <w:t>001、</w:t>
            </w:r>
            <w:r>
              <w:rPr>
                <w:sz w:val="22"/>
                <w:szCs w:val="22"/>
              </w:rPr>
              <w:t>DA</w:t>
            </w:r>
            <w:r>
              <w:rPr>
                <w:sz w:val="22"/>
                <w:szCs w:val="22"/>
                <w:spacing w:val="3"/>
              </w:rPr>
              <w:t>013);</w:t>
            </w:r>
          </w:p>
          <w:p>
            <w:pPr>
              <w:pStyle w:val="TableText"/>
              <w:spacing w:before="69" w:line="219" w:lineRule="auto"/>
              <w:jc w:val="right"/>
              <w:rPr>
                <w:sz w:val="22"/>
                <w:szCs w:val="22"/>
              </w:rPr>
            </w:pPr>
            <w:r>
              <w:rPr>
                <w:sz w:val="22"/>
                <w:szCs w:val="22"/>
                <w:spacing w:val="7"/>
              </w:rPr>
              <w:t>3)一次注液、二次注液、</w:t>
            </w:r>
          </w:p>
          <w:p>
            <w:pPr>
              <w:pStyle w:val="TableText"/>
              <w:ind w:left="70"/>
              <w:spacing w:before="8" w:line="218" w:lineRule="auto"/>
              <w:rPr>
                <w:sz w:val="22"/>
                <w:szCs w:val="22"/>
              </w:rPr>
            </w:pPr>
            <w:r>
              <w:rPr>
                <w:sz w:val="22"/>
                <w:szCs w:val="22"/>
                <w:spacing w:val="1"/>
              </w:rPr>
              <w:t>后氦检废气：车间各工序</w:t>
            </w:r>
          </w:p>
          <w:p>
            <w:pPr>
              <w:pStyle w:val="TableText"/>
              <w:ind w:left="70"/>
              <w:spacing w:line="219" w:lineRule="auto"/>
              <w:rPr>
                <w:sz w:val="22"/>
                <w:szCs w:val="22"/>
              </w:rPr>
            </w:pPr>
            <w:r>
              <w:rPr>
                <w:sz w:val="22"/>
                <w:szCs w:val="22"/>
              </w:rPr>
              <w:t>设置收集系统后经各自配</w:t>
            </w:r>
          </w:p>
          <w:p>
            <w:pPr>
              <w:pStyle w:val="TableText"/>
              <w:ind w:left="70"/>
              <w:spacing w:before="7" w:line="219" w:lineRule="auto"/>
              <w:rPr>
                <w:sz w:val="22"/>
                <w:szCs w:val="22"/>
              </w:rPr>
            </w:pPr>
            <w:r>
              <w:rPr>
                <w:sz w:val="22"/>
                <w:szCs w:val="22"/>
                <w:spacing w:val="-1"/>
              </w:rPr>
              <w:t>套的活性炭吸附处理后经</w:t>
            </w:r>
          </w:p>
          <w:p>
            <w:pPr>
              <w:pStyle w:val="TableText"/>
              <w:ind w:left="130"/>
              <w:spacing w:before="11" w:line="218" w:lineRule="auto"/>
              <w:rPr>
                <w:sz w:val="22"/>
                <w:szCs w:val="22"/>
              </w:rPr>
            </w:pPr>
            <w:r>
              <w:rPr>
                <w:sz w:val="22"/>
                <w:szCs w:val="22"/>
                <w:spacing w:val="1"/>
              </w:rPr>
              <w:t>各自配套的25m高排气筒</w:t>
            </w:r>
          </w:p>
          <w:p>
            <w:pPr>
              <w:pStyle w:val="TableText"/>
              <w:ind w:left="240"/>
              <w:spacing w:line="219" w:lineRule="auto"/>
              <w:rPr>
                <w:sz w:val="22"/>
                <w:szCs w:val="22"/>
              </w:rPr>
            </w:pPr>
            <w:r>
              <w:rPr>
                <w:sz w:val="22"/>
                <w:szCs w:val="22"/>
                <w:spacing w:val="10"/>
              </w:rPr>
              <w:t>排放，共3根(</w:t>
            </w:r>
            <w:r>
              <w:rPr>
                <w:sz w:val="22"/>
                <w:szCs w:val="22"/>
              </w:rPr>
              <w:t>DA</w:t>
            </w:r>
            <w:r>
              <w:rPr>
                <w:sz w:val="22"/>
                <w:szCs w:val="22"/>
                <w:spacing w:val="10"/>
              </w:rPr>
              <w:t>002、</w:t>
            </w:r>
          </w:p>
          <w:p>
            <w:pPr>
              <w:pStyle w:val="TableText"/>
              <w:ind w:left="100"/>
              <w:spacing w:before="42" w:line="221" w:lineRule="auto"/>
              <w:rPr>
                <w:sz w:val="22"/>
                <w:szCs w:val="22"/>
              </w:rPr>
            </w:pPr>
            <w:r>
              <w:rPr>
                <w:sz w:val="22"/>
                <w:szCs w:val="22"/>
                <w:spacing w:val="-1"/>
              </w:rPr>
              <w:t>DA003、DA004);</w:t>
            </w:r>
          </w:p>
          <w:p>
            <w:pPr>
              <w:pStyle w:val="TableText"/>
              <w:ind w:left="129" w:right="95" w:hanging="59"/>
              <w:spacing w:before="14" w:line="200" w:lineRule="auto"/>
              <w:rPr>
                <w:sz w:val="22"/>
                <w:szCs w:val="22"/>
              </w:rPr>
            </w:pPr>
            <w:r>
              <w:rPr>
                <w:sz w:val="22"/>
                <w:szCs w:val="22"/>
                <w:spacing w:val="-1"/>
              </w:rPr>
              <w:t>4)注液真空泵系统废气收</w:t>
            </w:r>
            <w:r>
              <w:rPr>
                <w:sz w:val="22"/>
                <w:szCs w:val="22"/>
                <w:spacing w:val="3"/>
              </w:rPr>
              <w:t xml:space="preserve"> </w:t>
            </w:r>
            <w:r>
              <w:rPr>
                <w:sz w:val="22"/>
                <w:szCs w:val="22"/>
                <w:spacing w:val="-1"/>
              </w:rPr>
              <w:t>集后引至设施房(X14)经</w:t>
            </w:r>
            <w:r>
              <w:rPr>
                <w:sz w:val="22"/>
                <w:szCs w:val="22"/>
                <w:spacing w:val="3"/>
              </w:rPr>
              <w:t xml:space="preserve"> </w:t>
            </w:r>
            <w:r>
              <w:rPr>
                <w:sz w:val="22"/>
                <w:szCs w:val="22"/>
              </w:rPr>
              <w:t>RTO</w:t>
            </w:r>
            <w:r>
              <w:rPr>
                <w:sz w:val="22"/>
                <w:szCs w:val="22"/>
                <w:spacing w:val="1"/>
              </w:rPr>
              <w:t>燃烧处理系统处理后</w:t>
            </w:r>
          </w:p>
        </w:tc>
        <w:tc>
          <w:tcPr>
            <w:tcW w:w="3607" w:type="dxa"/>
            <w:vAlign w:val="top"/>
          </w:tcPr>
          <w:p>
            <w:pPr>
              <w:pStyle w:val="TableText"/>
              <w:ind w:left="162" w:firstLine="89"/>
              <w:spacing w:before="35" w:line="231" w:lineRule="auto"/>
              <w:rPr>
                <w:sz w:val="22"/>
                <w:szCs w:val="22"/>
              </w:rPr>
            </w:pPr>
            <w:r>
              <w:rPr>
                <w:sz w:val="22"/>
                <w:szCs w:val="22"/>
                <w:spacing w:val="-4"/>
              </w:rPr>
              <w:t>(1)车间粉尘：固定式单体除尘器或</w:t>
            </w:r>
            <w:r>
              <w:rPr>
                <w:sz w:val="22"/>
                <w:szCs w:val="22"/>
                <w:spacing w:val="2"/>
              </w:rPr>
              <w:t xml:space="preserve"> </w:t>
            </w:r>
            <w:r>
              <w:rPr>
                <w:sz w:val="22"/>
                <w:szCs w:val="22"/>
                <w:spacing w:val="6"/>
              </w:rPr>
              <w:t>没备自带的滤筒处理后直接排放；</w:t>
            </w:r>
          </w:p>
          <w:p>
            <w:pPr>
              <w:pStyle w:val="TableText"/>
              <w:ind w:left="132" w:right="376" w:firstLine="109"/>
              <w:spacing w:before="28" w:line="219" w:lineRule="auto"/>
              <w:rPr>
                <w:sz w:val="22"/>
                <w:szCs w:val="22"/>
              </w:rPr>
            </w:pPr>
            <w:r>
              <w:rPr>
                <w:sz w:val="22"/>
                <w:szCs w:val="22"/>
              </w:rPr>
              <w:t>(2)涂布废气：8套NMP轮转回收</w:t>
            </w:r>
            <w:r>
              <w:rPr>
                <w:sz w:val="22"/>
                <w:szCs w:val="22"/>
                <w:spacing w:val="7"/>
              </w:rPr>
              <w:t xml:space="preserve"> </w:t>
            </w:r>
            <w:r>
              <w:rPr>
                <w:sz w:val="22"/>
                <w:szCs w:val="22"/>
                <w:spacing w:val="8"/>
              </w:rPr>
              <w:t>装置+1根27m高排气筒；</w:t>
            </w:r>
          </w:p>
          <w:p>
            <w:pPr>
              <w:pStyle w:val="TableText"/>
              <w:ind w:left="242"/>
              <w:spacing w:before="17" w:line="219" w:lineRule="auto"/>
              <w:rPr>
                <w:sz w:val="22"/>
                <w:szCs w:val="22"/>
              </w:rPr>
            </w:pPr>
            <w:r>
              <w:rPr>
                <w:sz w:val="22"/>
                <w:szCs w:val="22"/>
              </w:rPr>
              <w:t>(3)注液废气：2套活性炭吸附+2</w:t>
            </w:r>
          </w:p>
          <w:p>
            <w:pPr>
              <w:pStyle w:val="TableText"/>
              <w:ind w:left="142"/>
              <w:spacing w:line="219" w:lineRule="auto"/>
              <w:rPr>
                <w:sz w:val="22"/>
                <w:szCs w:val="22"/>
              </w:rPr>
            </w:pPr>
            <w:r>
              <w:rPr>
                <w:sz w:val="22"/>
                <w:szCs w:val="22"/>
                <w:spacing w:val="2"/>
              </w:rPr>
              <w:t>根27m高排气筒(</w:t>
            </w:r>
            <w:r>
              <w:rPr>
                <w:sz w:val="22"/>
                <w:szCs w:val="22"/>
              </w:rPr>
              <w:t>DA</w:t>
            </w:r>
            <w:r>
              <w:rPr>
                <w:sz w:val="22"/>
                <w:szCs w:val="22"/>
                <w:spacing w:val="2"/>
              </w:rPr>
              <w:t>016、</w:t>
            </w:r>
            <w:r>
              <w:rPr>
                <w:sz w:val="22"/>
                <w:szCs w:val="22"/>
              </w:rPr>
              <w:t>DA</w:t>
            </w:r>
            <w:r>
              <w:rPr>
                <w:sz w:val="22"/>
                <w:szCs w:val="22"/>
                <w:spacing w:val="2"/>
              </w:rPr>
              <w:t>017);</w:t>
            </w:r>
          </w:p>
          <w:p>
            <w:pPr>
              <w:pStyle w:val="TableText"/>
              <w:ind w:left="142" w:right="46" w:firstLine="100"/>
              <w:spacing w:before="28" w:line="218" w:lineRule="auto"/>
              <w:rPr>
                <w:sz w:val="22"/>
                <w:szCs w:val="22"/>
              </w:rPr>
            </w:pPr>
            <w:r>
              <w:rPr>
                <w:sz w:val="22"/>
                <w:szCs w:val="22"/>
              </w:rPr>
              <w:t>(4)真空干燥、化成废气：1套活性</w:t>
            </w:r>
            <w:r>
              <w:rPr>
                <w:sz w:val="22"/>
                <w:szCs w:val="22"/>
                <w:spacing w:val="7"/>
              </w:rPr>
              <w:t xml:space="preserve"> </w:t>
            </w:r>
            <w:r>
              <w:rPr>
                <w:sz w:val="22"/>
                <w:szCs w:val="22"/>
                <w:spacing w:val="7"/>
              </w:rPr>
              <w:t>炭吸附+1根27m高排气筒；</w:t>
            </w:r>
          </w:p>
          <w:p>
            <w:pPr>
              <w:pStyle w:val="TableText"/>
              <w:ind w:left="122" w:right="31" w:firstLine="119"/>
              <w:spacing w:before="10" w:line="223" w:lineRule="auto"/>
              <w:rPr>
                <w:sz w:val="22"/>
                <w:szCs w:val="22"/>
              </w:rPr>
            </w:pPr>
            <w:r>
              <w:rPr>
                <w:sz w:val="22"/>
                <w:szCs w:val="22"/>
                <w:spacing w:val="1"/>
              </w:rPr>
              <w:t>(5)真空泵系统废气：1套滤筒除油</w:t>
            </w:r>
            <w:r>
              <w:rPr>
                <w:sz w:val="22"/>
                <w:szCs w:val="22"/>
                <w:spacing w:val="5"/>
              </w:rPr>
              <w:t xml:space="preserve"> </w:t>
            </w:r>
            <w:r>
              <w:rPr>
                <w:sz w:val="22"/>
                <w:szCs w:val="22"/>
                <w:spacing w:val="9"/>
              </w:rPr>
              <w:t>+</w:t>
            </w:r>
            <w:r>
              <w:rPr>
                <w:sz w:val="22"/>
                <w:szCs w:val="22"/>
              </w:rPr>
              <w:t>RTO</w:t>
            </w:r>
            <w:r>
              <w:rPr>
                <w:sz w:val="22"/>
                <w:szCs w:val="22"/>
                <w:spacing w:val="9"/>
              </w:rPr>
              <w:t>+1根27m高排气筒；</w:t>
            </w:r>
          </w:p>
          <w:p>
            <w:pPr>
              <w:pStyle w:val="TableText"/>
              <w:ind w:left="142" w:firstLine="88"/>
              <w:spacing w:before="30" w:line="218" w:lineRule="auto"/>
              <w:rPr>
                <w:sz w:val="22"/>
                <w:szCs w:val="22"/>
              </w:rPr>
            </w:pPr>
            <w:r>
              <w:rPr>
                <w:sz w:val="22"/>
                <w:szCs w:val="22"/>
                <w:spacing w:val="-3"/>
              </w:rPr>
              <w:t>(6)锅炉废气：9台锅炉(均为15t/h)</w:t>
            </w:r>
            <w:r>
              <w:rPr>
                <w:sz w:val="22"/>
                <w:szCs w:val="22"/>
                <w:spacing w:val="17"/>
              </w:rPr>
              <w:t xml:space="preserve"> </w:t>
            </w:r>
            <w:r>
              <w:rPr>
                <w:sz w:val="22"/>
                <w:szCs w:val="22"/>
                <w:spacing w:val="-3"/>
              </w:rPr>
              <w:t>配6根高25m的排气烟道，其中3根</w:t>
            </w:r>
          </w:p>
          <w:p>
            <w:pPr>
              <w:pStyle w:val="TableText"/>
              <w:ind w:left="122" w:right="161" w:firstLine="9"/>
              <w:spacing w:before="18" w:line="213" w:lineRule="auto"/>
              <w:rPr>
                <w:sz w:val="22"/>
                <w:szCs w:val="22"/>
              </w:rPr>
            </w:pPr>
            <w:r>
              <w:rPr>
                <w:sz w:val="22"/>
                <w:szCs w:val="22"/>
                <w:spacing w:val="-1"/>
              </w:rPr>
              <w:t>排气烟道均为2台锅炉废气合并排</w:t>
            </w:r>
            <w:r>
              <w:rPr>
                <w:sz w:val="22"/>
                <w:szCs w:val="22"/>
                <w:spacing w:val="2"/>
              </w:rPr>
              <w:t xml:space="preserve">  </w:t>
            </w:r>
            <w:r>
              <w:rPr>
                <w:sz w:val="22"/>
                <w:szCs w:val="22"/>
              </w:rPr>
              <w:t>放，另外3根排气烟道则均为1台锅</w:t>
            </w:r>
            <w:r>
              <w:rPr>
                <w:sz w:val="22"/>
                <w:szCs w:val="22"/>
                <w:spacing w:val="12"/>
              </w:rPr>
              <w:t xml:space="preserve"> </w:t>
            </w:r>
            <w:r>
              <w:rPr>
                <w:sz w:val="22"/>
                <w:szCs w:val="22"/>
                <w:spacing w:val="1"/>
              </w:rPr>
              <w:t>炉废气排放。</w:t>
            </w:r>
          </w:p>
          <w:p>
            <w:pPr>
              <w:pStyle w:val="TableText"/>
              <w:spacing w:line="197" w:lineRule="auto"/>
              <w:jc w:val="right"/>
              <w:rPr>
                <w:sz w:val="22"/>
                <w:szCs w:val="22"/>
              </w:rPr>
            </w:pPr>
            <w:r>
              <w:rPr>
                <w:sz w:val="22"/>
                <w:szCs w:val="22"/>
                <w:spacing w:val="-16"/>
              </w:rPr>
              <w:t>(7)污水处理站恶臭：依托现有工程，</w:t>
            </w:r>
          </w:p>
        </w:tc>
        <w:tc>
          <w:tcPr>
            <w:tcW w:w="4547" w:type="dxa"/>
            <w:vAlign w:val="top"/>
          </w:tcPr>
          <w:p>
            <w:pPr>
              <w:pStyle w:val="TableText"/>
              <w:ind w:left="135" w:right="54" w:hanging="70"/>
              <w:spacing w:before="35" w:line="231" w:lineRule="auto"/>
              <w:rPr>
                <w:sz w:val="22"/>
                <w:szCs w:val="22"/>
              </w:rPr>
            </w:pPr>
            <w:r>
              <w:rPr>
                <w:sz w:val="22"/>
                <w:szCs w:val="22"/>
              </w:rPr>
              <w:t>1)车间粉尘：固定式单体除尘器或设备自带的</w:t>
            </w:r>
            <w:r>
              <w:rPr>
                <w:sz w:val="22"/>
                <w:szCs w:val="22"/>
                <w:spacing w:val="16"/>
              </w:rPr>
              <w:t xml:space="preserve"> </w:t>
            </w:r>
            <w:r>
              <w:rPr>
                <w:sz w:val="22"/>
                <w:szCs w:val="22"/>
                <w:spacing w:val="10"/>
              </w:rPr>
              <w:t>滤筒处理后直接排放；</w:t>
            </w:r>
          </w:p>
          <w:p>
            <w:pPr>
              <w:pStyle w:val="TableText"/>
              <w:ind w:left="145" w:right="243" w:firstLine="90"/>
              <w:spacing w:before="28" w:line="216" w:lineRule="auto"/>
              <w:rPr>
                <w:sz w:val="22"/>
                <w:szCs w:val="22"/>
              </w:rPr>
            </w:pPr>
            <w:r>
              <w:rPr>
                <w:sz w:val="22"/>
                <w:szCs w:val="22"/>
                <w:spacing w:val="-1"/>
              </w:rPr>
              <w:t>2)涂布废气：6套NMP轮转回收装置+2根27m</w:t>
            </w:r>
            <w:r>
              <w:rPr>
                <w:sz w:val="22"/>
                <w:szCs w:val="22"/>
                <w:spacing w:val="11"/>
              </w:rPr>
              <w:t xml:space="preserve"> </w:t>
            </w:r>
            <w:r>
              <w:rPr>
                <w:sz w:val="22"/>
                <w:szCs w:val="22"/>
                <w:spacing w:val="-1"/>
              </w:rPr>
              <w:t>高排气筒DA015(4个NMP轮转回收装置合并  </w:t>
            </w:r>
            <w:r>
              <w:rPr>
                <w:sz w:val="22"/>
                <w:szCs w:val="22"/>
              </w:rPr>
              <w:t>排放)、DA020(2个NMP轮转回收装置合并</w:t>
            </w:r>
          </w:p>
          <w:p>
            <w:pPr>
              <w:pStyle w:val="TableText"/>
              <w:ind w:left="145"/>
              <w:spacing w:line="220" w:lineRule="auto"/>
              <w:rPr>
                <w:sz w:val="22"/>
                <w:szCs w:val="22"/>
              </w:rPr>
            </w:pPr>
            <w:r>
              <w:rPr>
                <w:sz w:val="22"/>
                <w:szCs w:val="22"/>
                <w:spacing w:val="11"/>
              </w:rPr>
              <w:t>排放);</w:t>
            </w:r>
          </w:p>
          <w:p>
            <w:pPr>
              <w:pStyle w:val="TableText"/>
              <w:ind w:left="125" w:right="108"/>
              <w:spacing w:before="55" w:line="218" w:lineRule="auto"/>
              <w:rPr>
                <w:sz w:val="22"/>
                <w:szCs w:val="22"/>
              </w:rPr>
            </w:pPr>
            <w:r>
              <w:rPr>
                <w:sz w:val="22"/>
                <w:szCs w:val="22"/>
                <w:spacing w:val="-8"/>
              </w:rPr>
              <w:t>3)注液废气：注液废气：</w:t>
            </w:r>
            <w:r>
              <w:rPr>
                <w:sz w:val="22"/>
                <w:szCs w:val="22"/>
                <w:spacing w:val="70"/>
              </w:rPr>
              <w:t xml:space="preserve"> </w:t>
            </w:r>
            <w:r>
              <w:rPr>
                <w:sz w:val="22"/>
                <w:szCs w:val="22"/>
                <w:spacing w:val="-8"/>
              </w:rPr>
              <w:t>一次注液1套活性炭</w:t>
            </w:r>
            <w:r>
              <w:rPr>
                <w:sz w:val="22"/>
                <w:szCs w:val="22"/>
              </w:rPr>
              <w:t xml:space="preserve"> </w:t>
            </w:r>
            <w:r>
              <w:rPr>
                <w:sz w:val="22"/>
                <w:szCs w:val="22"/>
              </w:rPr>
              <w:t>吸附+1根27m高排气筒(DA024);二次注液</w:t>
            </w:r>
          </w:p>
          <w:p>
            <w:pPr>
              <w:pStyle w:val="TableText"/>
              <w:ind w:left="145"/>
              <w:spacing w:before="9" w:line="219" w:lineRule="auto"/>
              <w:rPr>
                <w:sz w:val="22"/>
                <w:szCs w:val="22"/>
              </w:rPr>
            </w:pPr>
            <w:r>
              <w:rPr>
                <w:sz w:val="22"/>
                <w:szCs w:val="22"/>
                <w:spacing w:val="2"/>
              </w:rPr>
              <w:t>1套活性炭吸附+1根27m高排气筒(</w:t>
            </w:r>
            <w:r>
              <w:rPr>
                <w:sz w:val="22"/>
                <w:szCs w:val="22"/>
              </w:rPr>
              <w:t>DA</w:t>
            </w:r>
            <w:r>
              <w:rPr>
                <w:sz w:val="22"/>
                <w:szCs w:val="22"/>
                <w:spacing w:val="2"/>
              </w:rPr>
              <w:t>016);</w:t>
            </w:r>
          </w:p>
          <w:p>
            <w:pPr>
              <w:pStyle w:val="TableText"/>
              <w:ind w:left="134" w:hanging="69"/>
              <w:spacing w:before="27" w:line="222" w:lineRule="auto"/>
              <w:rPr>
                <w:sz w:val="22"/>
                <w:szCs w:val="22"/>
              </w:rPr>
            </w:pPr>
            <w:r>
              <w:rPr>
                <w:sz w:val="22"/>
                <w:szCs w:val="22"/>
                <w:spacing w:val="-1"/>
              </w:rPr>
              <w:t>4)真空干燥：真空干燥废气并入真空泵系统废 </w:t>
            </w:r>
            <w:r>
              <w:rPr>
                <w:sz w:val="22"/>
                <w:szCs w:val="22"/>
                <w:spacing w:val="-11"/>
              </w:rPr>
              <w:t>气处理设施处理，由于注液口是密封的，无化成</w:t>
            </w:r>
            <w:r>
              <w:rPr>
                <w:sz w:val="22"/>
                <w:szCs w:val="22"/>
                <w:spacing w:val="12"/>
              </w:rPr>
              <w:t xml:space="preserve"> </w:t>
            </w:r>
            <w:r>
              <w:rPr>
                <w:sz w:val="22"/>
                <w:szCs w:val="22"/>
                <w:spacing w:val="21"/>
              </w:rPr>
              <w:t>废气产生；</w:t>
            </w:r>
          </w:p>
          <w:p>
            <w:pPr>
              <w:pStyle w:val="TableText"/>
              <w:ind w:left="145" w:right="24" w:hanging="130"/>
              <w:spacing w:before="8" w:line="231" w:lineRule="auto"/>
              <w:rPr>
                <w:sz w:val="22"/>
                <w:szCs w:val="22"/>
              </w:rPr>
            </w:pPr>
            <w:r>
              <w:rPr>
                <w:sz w:val="22"/>
                <w:szCs w:val="22"/>
                <w:spacing w:val="-1"/>
              </w:rPr>
              <w:t>5)真空泵系统废气：1套冷凝+滤筒除油碱洗+TO</w:t>
            </w:r>
            <w:r>
              <w:rPr>
                <w:sz w:val="22"/>
                <w:szCs w:val="22"/>
                <w:spacing w:val="10"/>
              </w:rPr>
              <w:t xml:space="preserve"> </w:t>
            </w:r>
            <w:r>
              <w:rPr>
                <w:sz w:val="22"/>
                <w:szCs w:val="22"/>
                <w:spacing w:val="2"/>
              </w:rPr>
              <w:t>燃烧+高温除尘+1根27m高排气筒(</w:t>
            </w:r>
            <w:r>
              <w:rPr>
                <w:sz w:val="22"/>
                <w:szCs w:val="22"/>
              </w:rPr>
              <w:t>DA</w:t>
            </w:r>
            <w:r>
              <w:rPr>
                <w:sz w:val="22"/>
                <w:szCs w:val="22"/>
                <w:spacing w:val="2"/>
              </w:rPr>
              <w:t>017);</w:t>
            </w:r>
          </w:p>
          <w:p>
            <w:pPr>
              <w:pStyle w:val="TableText"/>
              <w:ind w:left="145" w:right="192" w:firstLine="30"/>
              <w:spacing w:before="1" w:line="191" w:lineRule="auto"/>
              <w:rPr>
                <w:sz w:val="22"/>
                <w:szCs w:val="22"/>
              </w:rPr>
            </w:pPr>
            <w:r>
              <w:rPr>
                <w:sz w:val="22"/>
                <w:szCs w:val="22"/>
                <w:spacing w:val="-1"/>
              </w:rPr>
              <w:t>6)锅炉废气：7台锅炉(分别为一期5台15t/h</w:t>
            </w:r>
            <w:r>
              <w:rPr>
                <w:sz w:val="22"/>
                <w:szCs w:val="22"/>
                <w:spacing w:val="12"/>
              </w:rPr>
              <w:t xml:space="preserve"> </w:t>
            </w:r>
            <w:r>
              <w:rPr>
                <w:sz w:val="22"/>
                <w:szCs w:val="22"/>
                <w:spacing w:val="-1"/>
              </w:rPr>
              <w:t>锅炉和二期2台15t/h锅炉)通过5根高25m</w:t>
            </w:r>
          </w:p>
        </w:tc>
        <w:tc>
          <w:tcPr>
            <w:tcW w:w="2303" w:type="dxa"/>
            <w:vAlign w:val="top"/>
          </w:tcPr>
          <w:p>
            <w:pPr>
              <w:pStyle w:val="TableText"/>
              <w:ind w:left="98" w:firstLine="109"/>
              <w:spacing w:before="39" w:line="228" w:lineRule="auto"/>
              <w:rPr>
                <w:sz w:val="22"/>
                <w:szCs w:val="22"/>
              </w:rPr>
            </w:pPr>
            <w:r>
              <w:rPr>
                <w:sz w:val="22"/>
                <w:szCs w:val="22"/>
                <w:spacing w:val="-2"/>
              </w:rPr>
              <w:t>年产20gwh动力电池</w:t>
            </w:r>
            <w:r>
              <w:rPr>
                <w:sz w:val="22"/>
                <w:szCs w:val="22"/>
                <w:spacing w:val="2"/>
              </w:rPr>
              <w:t xml:space="preserve">   </w:t>
            </w:r>
            <w:r>
              <w:rPr>
                <w:sz w:val="22"/>
                <w:szCs w:val="22"/>
                <w:spacing w:val="-1"/>
              </w:rPr>
              <w:t>生产线扩建项目整体：</w:t>
            </w:r>
            <w:r>
              <w:rPr>
                <w:sz w:val="22"/>
                <w:szCs w:val="22"/>
                <w:spacing w:val="3"/>
              </w:rPr>
              <w:t xml:space="preserve"> </w:t>
            </w:r>
            <w:r>
              <w:rPr>
                <w:sz w:val="22"/>
                <w:szCs w:val="22"/>
                <w:spacing w:val="6"/>
              </w:rPr>
              <w:t>1)车间粉尘：固定式</w:t>
            </w:r>
            <w:r>
              <w:rPr>
                <w:sz w:val="22"/>
                <w:szCs w:val="22"/>
                <w:spacing w:val="1"/>
              </w:rPr>
              <w:t xml:space="preserve">  </w:t>
            </w:r>
            <w:r>
              <w:rPr>
                <w:sz w:val="22"/>
                <w:szCs w:val="22"/>
                <w:spacing w:val="10"/>
              </w:rPr>
              <w:t>单体除尘器或设备自</w:t>
            </w:r>
            <w:r>
              <w:rPr>
                <w:sz w:val="22"/>
                <w:szCs w:val="22"/>
              </w:rPr>
              <w:t xml:space="preserve">  </w:t>
            </w:r>
            <w:r>
              <w:rPr>
                <w:sz w:val="22"/>
                <w:szCs w:val="22"/>
                <w:spacing w:val="7"/>
              </w:rPr>
              <w:t>带的滤筒处理后直接</w:t>
            </w:r>
            <w:r>
              <w:rPr>
                <w:sz w:val="22"/>
                <w:szCs w:val="22"/>
              </w:rPr>
              <w:t xml:space="preserve">  </w:t>
            </w:r>
            <w:r>
              <w:rPr>
                <w:sz w:val="22"/>
                <w:szCs w:val="22"/>
                <w:spacing w:val="10"/>
              </w:rPr>
              <w:t>排</w:t>
            </w:r>
            <w:r>
              <w:rPr>
                <w:sz w:val="22"/>
                <w:szCs w:val="22"/>
                <w:spacing w:val="-16"/>
              </w:rPr>
              <w:t xml:space="preserve"> </w:t>
            </w:r>
            <w:r>
              <w:rPr>
                <w:sz w:val="22"/>
                <w:szCs w:val="22"/>
                <w:spacing w:val="10"/>
              </w:rPr>
              <w:t>放</w:t>
            </w:r>
            <w:r>
              <w:rPr>
                <w:sz w:val="22"/>
                <w:szCs w:val="22"/>
                <w:spacing w:val="-25"/>
              </w:rPr>
              <w:t xml:space="preserve"> </w:t>
            </w:r>
            <w:r>
              <w:rPr>
                <w:sz w:val="22"/>
                <w:szCs w:val="22"/>
                <w:spacing w:val="10"/>
              </w:rPr>
              <w:t>；</w:t>
            </w:r>
          </w:p>
          <w:p>
            <w:pPr>
              <w:pStyle w:val="TableText"/>
              <w:ind w:left="98"/>
              <w:spacing w:before="15" w:line="219" w:lineRule="auto"/>
              <w:rPr>
                <w:sz w:val="22"/>
                <w:szCs w:val="22"/>
              </w:rPr>
            </w:pPr>
            <w:r>
              <w:rPr>
                <w:sz w:val="22"/>
                <w:szCs w:val="22"/>
                <w:spacing w:val="-1"/>
              </w:rPr>
              <w:t>2)搅拌罐废气：1套活</w:t>
            </w:r>
          </w:p>
          <w:p>
            <w:pPr>
              <w:pStyle w:val="TableText"/>
              <w:ind w:left="148" w:right="205" w:firstLine="60"/>
              <w:spacing w:before="18" w:line="223" w:lineRule="auto"/>
              <w:rPr>
                <w:sz w:val="22"/>
                <w:szCs w:val="22"/>
              </w:rPr>
            </w:pPr>
            <w:r>
              <w:rPr>
                <w:sz w:val="22"/>
                <w:szCs w:val="22"/>
              </w:rPr>
              <w:t>性炭吸附+1根25m高</w:t>
            </w:r>
            <w:r>
              <w:rPr>
                <w:sz w:val="22"/>
                <w:szCs w:val="22"/>
                <w:spacing w:val="8"/>
              </w:rPr>
              <w:t xml:space="preserve"> </w:t>
            </w:r>
            <w:r>
              <w:rPr>
                <w:sz w:val="22"/>
                <w:szCs w:val="22"/>
                <w:spacing w:val="5"/>
              </w:rPr>
              <w:t>排气筒(</w:t>
            </w:r>
            <w:r>
              <w:rPr>
                <w:sz w:val="22"/>
                <w:szCs w:val="22"/>
              </w:rPr>
              <w:t>DA</w:t>
            </w:r>
            <w:r>
              <w:rPr>
                <w:sz w:val="22"/>
                <w:szCs w:val="22"/>
                <w:spacing w:val="5"/>
              </w:rPr>
              <w:t>014);</w:t>
            </w:r>
          </w:p>
          <w:p>
            <w:pPr>
              <w:pStyle w:val="TableText"/>
              <w:ind w:left="158"/>
              <w:spacing w:before="28" w:line="210" w:lineRule="auto"/>
              <w:rPr>
                <w:sz w:val="22"/>
                <w:szCs w:val="22"/>
              </w:rPr>
            </w:pPr>
            <w:r>
              <w:rPr>
                <w:sz w:val="22"/>
                <w:szCs w:val="22"/>
              </w:rPr>
              <w:t>3)涂布废气：8套NMP</w:t>
            </w:r>
          </w:p>
          <w:p>
            <w:pPr>
              <w:pStyle w:val="TableText"/>
              <w:ind w:left="268"/>
              <w:spacing w:line="215" w:lineRule="auto"/>
              <w:rPr>
                <w:sz w:val="22"/>
                <w:szCs w:val="22"/>
              </w:rPr>
            </w:pPr>
            <w:r>
              <w:rPr>
                <w:sz w:val="22"/>
                <w:szCs w:val="22"/>
                <w:spacing w:val="-1"/>
              </w:rPr>
              <w:t>轮转回收装置+2根</w:t>
            </w:r>
          </w:p>
          <w:p>
            <w:pPr>
              <w:pStyle w:val="TableText"/>
              <w:ind w:left="148" w:right="146" w:firstLine="60"/>
              <w:spacing w:before="2" w:line="234" w:lineRule="auto"/>
              <w:rPr>
                <w:sz w:val="22"/>
                <w:szCs w:val="22"/>
              </w:rPr>
            </w:pPr>
            <w:r>
              <w:rPr>
                <w:sz w:val="22"/>
                <w:szCs w:val="22"/>
                <w:spacing w:val="5"/>
              </w:rPr>
              <w:t>27m高排气筒(4合1,</w:t>
            </w:r>
            <w:r>
              <w:rPr>
                <w:sz w:val="22"/>
                <w:szCs w:val="22"/>
                <w:spacing w:val="6"/>
              </w:rPr>
              <w:t xml:space="preserve"> </w:t>
            </w:r>
            <w:r>
              <w:rPr>
                <w:sz w:val="22"/>
                <w:szCs w:val="22"/>
                <w:spacing w:val="-1"/>
              </w:rPr>
              <w:t>DA015、DA020);</w:t>
            </w:r>
          </w:p>
          <w:p>
            <w:pPr>
              <w:pStyle w:val="TableText"/>
              <w:ind w:left="158"/>
              <w:spacing w:before="23" w:line="218" w:lineRule="auto"/>
              <w:rPr>
                <w:sz w:val="22"/>
                <w:szCs w:val="22"/>
              </w:rPr>
            </w:pPr>
            <w:r>
              <w:rPr>
                <w:sz w:val="22"/>
                <w:szCs w:val="22"/>
                <w:spacing w:val="-19"/>
              </w:rPr>
              <w:t>4)注液废气：</w:t>
            </w:r>
            <w:r>
              <w:rPr>
                <w:sz w:val="22"/>
                <w:szCs w:val="22"/>
                <w:spacing w:val="71"/>
              </w:rPr>
              <w:t xml:space="preserve"> </w:t>
            </w:r>
            <w:r>
              <w:rPr>
                <w:sz w:val="22"/>
                <w:szCs w:val="22"/>
                <w:spacing w:val="-19"/>
              </w:rPr>
              <w:t>一次注</w:t>
            </w:r>
          </w:p>
          <w:p>
            <w:pPr>
              <w:pStyle w:val="TableText"/>
              <w:ind w:left="108" w:right="91" w:firstLine="100"/>
              <w:spacing w:before="1" w:line="191" w:lineRule="auto"/>
              <w:rPr>
                <w:sz w:val="22"/>
                <w:szCs w:val="22"/>
              </w:rPr>
            </w:pPr>
            <w:r>
              <w:rPr>
                <w:sz w:val="22"/>
                <w:szCs w:val="22"/>
                <w:spacing w:val="2"/>
              </w:rPr>
              <w:t>液1套活性炭吸附+1</w:t>
            </w:r>
            <w:r>
              <w:rPr>
                <w:sz w:val="22"/>
                <w:szCs w:val="22"/>
              </w:rPr>
              <w:t xml:space="preserve">  </w:t>
            </w:r>
            <w:r>
              <w:rPr>
                <w:sz w:val="22"/>
                <w:szCs w:val="22"/>
                <w:spacing w:val="-8"/>
              </w:rPr>
              <w:t>根 2 7 m 高 排 气 筒</w:t>
            </w:r>
          </w:p>
        </w:tc>
      </w:tr>
    </w:tbl>
    <w:p>
      <w:pPr>
        <w:rPr>
          <w:rFonts w:ascii="Arial"/>
          <w:sz w:val="21"/>
        </w:rPr>
      </w:pPr>
      <w:r/>
    </w:p>
    <w:p>
      <w:pPr>
        <w:sectPr>
          <w:footerReference w:type="default" r:id="rId27"/>
          <w:pgSz w:w="16840" w:h="11900"/>
          <w:pgMar w:top="1011" w:right="1364" w:bottom="978" w:left="1314" w:header="0" w:footer="839" w:gutter="0"/>
        </w:sectPr>
        <w:rPr>
          <w:rFonts w:ascii="Arial" w:hAnsi="Arial" w:eastAsia="Arial" w:cs="Arial"/>
          <w:sz w:val="21"/>
          <w:szCs w:val="21"/>
        </w:rPr>
      </w:pPr>
    </w:p>
    <w:p>
      <w:pPr>
        <w:spacing w:before="21"/>
        <w:rPr/>
      </w:pPr>
      <w:r/>
    </w:p>
    <w:tbl>
      <w:tblPr>
        <w:tblStyle w:val="TableNormal"/>
        <w:tblW w:w="141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25"/>
        <w:gridCol w:w="649"/>
        <w:gridCol w:w="2608"/>
        <w:gridCol w:w="3627"/>
        <w:gridCol w:w="4537"/>
        <w:gridCol w:w="2303"/>
      </w:tblGrid>
      <w:tr>
        <w:trPr>
          <w:trHeight w:val="305" w:hRule="atLeast"/>
        </w:trPr>
        <w:tc>
          <w:tcPr>
            <w:tcW w:w="425" w:type="dxa"/>
            <w:vAlign w:val="top"/>
            <w:vMerge w:val="restart"/>
            <w:textDirection w:val="tbRlV"/>
            <w:tcBorders>
              <w:bottom w:val="nil"/>
            </w:tcBorders>
          </w:tcPr>
          <w:p>
            <w:pPr>
              <w:pStyle w:val="TableText"/>
              <w:spacing w:before="110" w:line="216" w:lineRule="auto"/>
              <w:rPr>
                <w:sz w:val="22"/>
                <w:szCs w:val="22"/>
              </w:rPr>
            </w:pPr>
            <w:r>
              <w:rPr>
                <w:sz w:val="22"/>
                <w:szCs w:val="22"/>
                <w:spacing w:val="47"/>
              </w:rPr>
              <w:t>工程类别</w:t>
            </w:r>
          </w:p>
        </w:tc>
        <w:tc>
          <w:tcPr>
            <w:tcW w:w="649" w:type="dxa"/>
            <w:vAlign w:val="top"/>
            <w:vMerge w:val="restart"/>
            <w:tcBorders>
              <w:bottom w:val="nil"/>
            </w:tcBorders>
          </w:tcPr>
          <w:p>
            <w:pPr>
              <w:spacing w:line="244" w:lineRule="auto"/>
              <w:rPr>
                <w:rFonts w:ascii="Arial"/>
                <w:sz w:val="21"/>
              </w:rPr>
            </w:pPr>
            <w:r/>
          </w:p>
          <w:p>
            <w:pPr>
              <w:pStyle w:val="TableText"/>
              <w:ind w:left="90" w:right="97"/>
              <w:spacing w:before="72" w:line="227" w:lineRule="auto"/>
              <w:rPr>
                <w:sz w:val="22"/>
                <w:szCs w:val="22"/>
              </w:rPr>
            </w:pPr>
            <w:r>
              <w:rPr>
                <w:sz w:val="22"/>
                <w:szCs w:val="22"/>
                <w:spacing w:val="5"/>
              </w:rPr>
              <w:t>主要</w:t>
            </w:r>
            <w:r>
              <w:rPr>
                <w:sz w:val="22"/>
                <w:szCs w:val="22"/>
              </w:rPr>
              <w:t xml:space="preserve"> </w:t>
            </w:r>
            <w:r>
              <w:rPr>
                <w:sz w:val="22"/>
                <w:szCs w:val="22"/>
                <w:spacing w:val="5"/>
              </w:rPr>
              <w:t>组成</w:t>
            </w:r>
          </w:p>
        </w:tc>
        <w:tc>
          <w:tcPr>
            <w:tcW w:w="2608" w:type="dxa"/>
            <w:vAlign w:val="top"/>
            <w:vMerge w:val="restart"/>
            <w:tcBorders>
              <w:bottom w:val="nil"/>
            </w:tcBorders>
          </w:tcPr>
          <w:p>
            <w:pPr>
              <w:spacing w:line="251" w:lineRule="auto"/>
              <w:rPr>
                <w:rFonts w:ascii="Arial"/>
                <w:sz w:val="21"/>
              </w:rPr>
            </w:pPr>
            <w:r/>
          </w:p>
          <w:p>
            <w:pPr>
              <w:pStyle w:val="TableText"/>
              <w:ind w:left="141"/>
              <w:spacing w:before="71" w:line="219" w:lineRule="auto"/>
              <w:rPr>
                <w:sz w:val="22"/>
                <w:szCs w:val="22"/>
              </w:rPr>
            </w:pPr>
            <w:r>
              <w:rPr>
                <w:sz w:val="22"/>
                <w:szCs w:val="22"/>
                <w:spacing w:val="1"/>
              </w:rPr>
              <w:t>一汽动力电池项目(产能</w:t>
            </w:r>
          </w:p>
          <w:p>
            <w:pPr>
              <w:pStyle w:val="TableText"/>
              <w:ind w:left="630"/>
              <w:spacing w:before="30" w:line="221" w:lineRule="auto"/>
              <w:rPr>
                <w:sz w:val="22"/>
                <w:szCs w:val="22"/>
              </w:rPr>
            </w:pPr>
            <w:r>
              <w:rPr>
                <w:sz w:val="22"/>
                <w:szCs w:val="22"/>
                <w:spacing w:val="6"/>
              </w:rPr>
              <w:t>10</w:t>
            </w:r>
            <w:r>
              <w:rPr>
                <w:sz w:val="22"/>
                <w:szCs w:val="22"/>
              </w:rPr>
              <w:t>GWh</w:t>
            </w:r>
            <w:r>
              <w:rPr>
                <w:sz w:val="22"/>
                <w:szCs w:val="22"/>
                <w:spacing w:val="6"/>
              </w:rPr>
              <w:t>)(已建)</w:t>
            </w:r>
          </w:p>
        </w:tc>
        <w:tc>
          <w:tcPr>
            <w:tcW w:w="10467" w:type="dxa"/>
            <w:vAlign w:val="top"/>
            <w:gridSpan w:val="3"/>
          </w:tcPr>
          <w:p>
            <w:pPr>
              <w:pStyle w:val="TableText"/>
              <w:ind w:left="2713"/>
              <w:spacing w:before="36" w:line="214" w:lineRule="auto"/>
              <w:rPr>
                <w:sz w:val="22"/>
                <w:szCs w:val="22"/>
              </w:rPr>
            </w:pPr>
            <w:r>
              <w:rPr>
                <w:sz w:val="22"/>
                <w:szCs w:val="22"/>
                <w:spacing w:val="2"/>
              </w:rPr>
              <w:t>时代一汽年产20</w:t>
            </w:r>
            <w:r>
              <w:rPr>
                <w:sz w:val="22"/>
                <w:szCs w:val="22"/>
              </w:rPr>
              <w:t>gwh</w:t>
            </w:r>
            <w:r>
              <w:rPr>
                <w:sz w:val="22"/>
                <w:szCs w:val="22"/>
                <w:spacing w:val="2"/>
              </w:rPr>
              <w:t>动力电池生产线扩建项目(在建)</w:t>
            </w:r>
          </w:p>
        </w:tc>
      </w:tr>
      <w:tr>
        <w:trPr>
          <w:trHeight w:val="779" w:hRule="atLeast"/>
        </w:trPr>
        <w:tc>
          <w:tcPr>
            <w:tcW w:w="425" w:type="dxa"/>
            <w:vAlign w:val="top"/>
            <w:vMerge w:val="continue"/>
            <w:textDirection w:val="tbRlV"/>
            <w:tcBorders>
              <w:top w:val="nil"/>
            </w:tcBorders>
          </w:tcPr>
          <w:p>
            <w:pPr>
              <w:rPr>
                <w:rFonts w:ascii="Arial"/>
                <w:sz w:val="21"/>
              </w:rPr>
            </w:pPr>
            <w:r/>
          </w:p>
        </w:tc>
        <w:tc>
          <w:tcPr>
            <w:tcW w:w="649" w:type="dxa"/>
            <w:vAlign w:val="top"/>
            <w:vMerge w:val="continue"/>
            <w:tcBorders>
              <w:top w:val="nil"/>
            </w:tcBorders>
          </w:tcPr>
          <w:p>
            <w:pPr>
              <w:rPr>
                <w:rFonts w:ascii="Arial"/>
                <w:sz w:val="21"/>
              </w:rPr>
            </w:pPr>
            <w:r/>
          </w:p>
        </w:tc>
        <w:tc>
          <w:tcPr>
            <w:tcW w:w="2608" w:type="dxa"/>
            <w:vAlign w:val="top"/>
            <w:vMerge w:val="continue"/>
            <w:tcBorders>
              <w:top w:val="nil"/>
            </w:tcBorders>
          </w:tcPr>
          <w:p>
            <w:pPr>
              <w:rPr>
                <w:rFonts w:ascii="Arial"/>
                <w:sz w:val="21"/>
              </w:rPr>
            </w:pPr>
            <w:r/>
          </w:p>
        </w:tc>
        <w:tc>
          <w:tcPr>
            <w:tcW w:w="3627" w:type="dxa"/>
            <w:vAlign w:val="top"/>
          </w:tcPr>
          <w:p>
            <w:pPr>
              <w:pStyle w:val="TableText"/>
              <w:ind w:left="682"/>
              <w:spacing w:before="271" w:line="214" w:lineRule="auto"/>
              <w:rPr>
                <w:sz w:val="22"/>
                <w:szCs w:val="22"/>
              </w:rPr>
            </w:pPr>
            <w:r>
              <w:rPr>
                <w:sz w:val="22"/>
                <w:szCs w:val="22"/>
                <w:spacing w:val="4"/>
              </w:rPr>
              <w:t>环评内容(产能20</w:t>
            </w:r>
            <w:r>
              <w:rPr>
                <w:sz w:val="22"/>
                <w:szCs w:val="22"/>
              </w:rPr>
              <w:t>gwh</w:t>
            </w:r>
            <w:r>
              <w:rPr>
                <w:sz w:val="22"/>
                <w:szCs w:val="22"/>
                <w:spacing w:val="4"/>
              </w:rPr>
              <w:t>)</w:t>
            </w:r>
          </w:p>
        </w:tc>
        <w:tc>
          <w:tcPr>
            <w:tcW w:w="4537" w:type="dxa"/>
            <w:vAlign w:val="top"/>
          </w:tcPr>
          <w:p>
            <w:pPr>
              <w:pStyle w:val="TableText"/>
              <w:ind w:left="836"/>
              <w:spacing w:before="271" w:line="214" w:lineRule="auto"/>
              <w:rPr>
                <w:sz w:val="22"/>
                <w:szCs w:val="22"/>
              </w:rPr>
            </w:pPr>
            <w:r>
              <w:rPr>
                <w:sz w:val="22"/>
                <w:szCs w:val="22"/>
                <w:spacing w:val="3"/>
              </w:rPr>
              <w:t>阶段性验收内容(产能6.7</w:t>
            </w:r>
            <w:r>
              <w:rPr>
                <w:sz w:val="22"/>
                <w:szCs w:val="22"/>
              </w:rPr>
              <w:t>gwh</w:t>
            </w:r>
            <w:r>
              <w:rPr>
                <w:sz w:val="22"/>
                <w:szCs w:val="22"/>
                <w:spacing w:val="3"/>
              </w:rPr>
              <w:t>)</w:t>
            </w:r>
          </w:p>
        </w:tc>
        <w:tc>
          <w:tcPr>
            <w:tcW w:w="2303" w:type="dxa"/>
            <w:vAlign w:val="top"/>
          </w:tcPr>
          <w:p>
            <w:pPr>
              <w:pStyle w:val="TableText"/>
              <w:ind w:left="929"/>
              <w:spacing w:before="280" w:line="221" w:lineRule="auto"/>
              <w:rPr>
                <w:sz w:val="22"/>
                <w:szCs w:val="22"/>
              </w:rPr>
            </w:pPr>
            <w:r>
              <w:rPr>
                <w:sz w:val="22"/>
                <w:szCs w:val="22"/>
                <w:spacing w:val="5"/>
              </w:rPr>
              <w:t>备注</w:t>
            </w:r>
          </w:p>
        </w:tc>
      </w:tr>
      <w:tr>
        <w:trPr>
          <w:trHeight w:val="7906" w:hRule="atLeast"/>
        </w:trPr>
        <w:tc>
          <w:tcPr>
            <w:tcW w:w="425" w:type="dxa"/>
            <w:vAlign w:val="top"/>
          </w:tcPr>
          <w:p>
            <w:pPr>
              <w:rPr>
                <w:rFonts w:ascii="Arial"/>
                <w:sz w:val="21"/>
              </w:rPr>
            </w:pPr>
            <w:r/>
          </w:p>
        </w:tc>
        <w:tc>
          <w:tcPr>
            <w:tcW w:w="649" w:type="dxa"/>
            <w:vAlign w:val="top"/>
          </w:tcPr>
          <w:p>
            <w:pPr>
              <w:rPr>
                <w:rFonts w:ascii="Arial"/>
                <w:sz w:val="21"/>
              </w:rPr>
            </w:pPr>
            <w:r/>
          </w:p>
        </w:tc>
        <w:tc>
          <w:tcPr>
            <w:tcW w:w="2608" w:type="dxa"/>
            <w:vAlign w:val="top"/>
          </w:tcPr>
          <w:p>
            <w:pPr>
              <w:pStyle w:val="TableText"/>
              <w:ind w:left="190"/>
              <w:spacing w:before="60" w:line="219" w:lineRule="auto"/>
              <w:rPr>
                <w:sz w:val="22"/>
                <w:szCs w:val="22"/>
              </w:rPr>
            </w:pPr>
            <w:r>
              <w:rPr>
                <w:sz w:val="22"/>
                <w:szCs w:val="22"/>
                <w:spacing w:val="-1"/>
              </w:rPr>
              <w:t>经1根25m高排气筒排放</w:t>
            </w:r>
          </w:p>
          <w:p>
            <w:pPr>
              <w:pStyle w:val="TableText"/>
              <w:ind w:left="221"/>
              <w:spacing w:before="31" w:line="215" w:lineRule="auto"/>
              <w:rPr>
                <w:sz w:val="22"/>
                <w:szCs w:val="22"/>
              </w:rPr>
            </w:pPr>
            <w:r>
              <w:rPr>
                <w:sz w:val="22"/>
                <w:szCs w:val="22"/>
                <w:spacing w:val="-6"/>
              </w:rPr>
              <w:t>(DA007);</w:t>
            </w:r>
          </w:p>
          <w:p>
            <w:pPr>
              <w:pStyle w:val="TableText"/>
              <w:ind w:left="141"/>
              <w:spacing w:line="218" w:lineRule="auto"/>
              <w:rPr>
                <w:sz w:val="22"/>
                <w:szCs w:val="22"/>
              </w:rPr>
            </w:pPr>
            <w:r>
              <w:rPr>
                <w:sz w:val="22"/>
                <w:szCs w:val="22"/>
              </w:rPr>
              <w:t>5)焚烧炉废气：1套“冷</w:t>
            </w:r>
          </w:p>
          <w:p>
            <w:pPr>
              <w:pStyle w:val="TableText"/>
              <w:ind w:left="141"/>
              <w:spacing w:line="218" w:lineRule="auto"/>
              <w:rPr>
                <w:sz w:val="22"/>
                <w:szCs w:val="22"/>
              </w:rPr>
            </w:pPr>
            <w:r>
              <w:rPr>
                <w:sz w:val="22"/>
                <w:szCs w:val="22"/>
                <w:spacing w:val="-1"/>
              </w:rPr>
              <w:t>凝+脉冲布袋器+碱洗+丝</w:t>
            </w:r>
          </w:p>
          <w:p>
            <w:pPr>
              <w:pStyle w:val="TableText"/>
              <w:ind w:left="114" w:hanging="84"/>
              <w:spacing w:before="19" w:line="219" w:lineRule="auto"/>
              <w:rPr>
                <w:sz w:val="22"/>
                <w:szCs w:val="22"/>
              </w:rPr>
            </w:pPr>
            <w:r>
              <w:rPr>
                <w:sz w:val="22"/>
                <w:szCs w:val="22"/>
                <w:spacing w:val="3"/>
              </w:rPr>
              <w:t>网除雾+活性炭吸附设施”</w:t>
            </w:r>
            <w:r>
              <w:rPr>
                <w:sz w:val="22"/>
                <w:szCs w:val="22"/>
              </w:rPr>
              <w:t xml:space="preserve"> </w:t>
            </w:r>
            <w:r>
              <w:rPr>
                <w:sz w:val="22"/>
                <w:szCs w:val="22"/>
                <w:spacing w:val="-19"/>
              </w:rPr>
              <w:t>+ 1</w:t>
            </w:r>
            <w:r>
              <w:rPr>
                <w:sz w:val="22"/>
                <w:szCs w:val="22"/>
                <w:spacing w:val="-23"/>
              </w:rPr>
              <w:t xml:space="preserve"> </w:t>
            </w:r>
            <w:r>
              <w:rPr>
                <w:sz w:val="22"/>
                <w:szCs w:val="22"/>
                <w:spacing w:val="-19"/>
              </w:rPr>
              <w:t>根</w:t>
            </w:r>
            <w:r>
              <w:rPr>
                <w:sz w:val="22"/>
                <w:szCs w:val="22"/>
                <w:spacing w:val="-25"/>
              </w:rPr>
              <w:t xml:space="preserve"> </w:t>
            </w:r>
            <w:r>
              <w:rPr>
                <w:sz w:val="22"/>
                <w:szCs w:val="22"/>
                <w:spacing w:val="-19"/>
              </w:rPr>
              <w:t>2</w:t>
            </w:r>
            <w:r>
              <w:rPr>
                <w:sz w:val="22"/>
                <w:szCs w:val="22"/>
                <w:spacing w:val="-23"/>
              </w:rPr>
              <w:t xml:space="preserve"> </w:t>
            </w:r>
            <w:r>
              <w:rPr>
                <w:sz w:val="22"/>
                <w:szCs w:val="22"/>
                <w:spacing w:val="-19"/>
              </w:rPr>
              <w:t>7</w:t>
            </w:r>
            <w:r>
              <w:rPr>
                <w:sz w:val="22"/>
                <w:szCs w:val="22"/>
                <w:spacing w:val="-34"/>
              </w:rPr>
              <w:t xml:space="preserve"> </w:t>
            </w:r>
            <w:r>
              <w:rPr>
                <w:sz w:val="22"/>
                <w:szCs w:val="22"/>
                <w:spacing w:val="-19"/>
              </w:rPr>
              <w:t>m</w:t>
            </w:r>
            <w:r>
              <w:rPr>
                <w:sz w:val="22"/>
                <w:szCs w:val="22"/>
                <w:spacing w:val="-22"/>
              </w:rPr>
              <w:t xml:space="preserve"> </w:t>
            </w:r>
            <w:r>
              <w:rPr>
                <w:sz w:val="22"/>
                <w:szCs w:val="22"/>
                <w:spacing w:val="-19"/>
              </w:rPr>
              <w:t>高</w:t>
            </w:r>
            <w:r>
              <w:rPr>
                <w:sz w:val="22"/>
                <w:szCs w:val="22"/>
                <w:spacing w:val="-28"/>
              </w:rPr>
              <w:t xml:space="preserve"> </w:t>
            </w:r>
            <w:r>
              <w:rPr>
                <w:sz w:val="22"/>
                <w:szCs w:val="22"/>
                <w:spacing w:val="-19"/>
              </w:rPr>
              <w:t>排</w:t>
            </w:r>
            <w:r>
              <w:rPr>
                <w:sz w:val="22"/>
                <w:szCs w:val="22"/>
                <w:spacing w:val="-27"/>
              </w:rPr>
              <w:t xml:space="preserve"> </w:t>
            </w:r>
            <w:r>
              <w:rPr>
                <w:sz w:val="22"/>
                <w:szCs w:val="22"/>
                <w:spacing w:val="-19"/>
              </w:rPr>
              <w:t>气</w:t>
            </w:r>
            <w:r>
              <w:rPr>
                <w:sz w:val="22"/>
                <w:szCs w:val="22"/>
                <w:spacing w:val="-25"/>
              </w:rPr>
              <w:t xml:space="preserve"> </w:t>
            </w:r>
            <w:r>
              <w:rPr>
                <w:sz w:val="22"/>
                <w:szCs w:val="22"/>
                <w:spacing w:val="-19"/>
              </w:rPr>
              <w:t>筒</w:t>
            </w:r>
          </w:p>
          <w:p>
            <w:pPr>
              <w:pStyle w:val="TableText"/>
              <w:ind w:left="240"/>
              <w:spacing w:before="41" w:line="216" w:lineRule="auto"/>
              <w:rPr>
                <w:sz w:val="22"/>
                <w:szCs w:val="22"/>
              </w:rPr>
            </w:pPr>
            <w:r>
              <w:rPr>
                <w:sz w:val="22"/>
                <w:szCs w:val="22"/>
                <w:spacing w:val="-6"/>
              </w:rPr>
              <w:t>(DA005);</w:t>
            </w:r>
          </w:p>
          <w:p>
            <w:pPr>
              <w:pStyle w:val="TableText"/>
              <w:ind w:left="80" w:right="135" w:firstLine="60"/>
              <w:spacing w:before="2" w:line="221" w:lineRule="auto"/>
              <w:rPr>
                <w:sz w:val="22"/>
                <w:szCs w:val="22"/>
              </w:rPr>
            </w:pPr>
            <w:r>
              <w:rPr>
                <w:sz w:val="22"/>
                <w:szCs w:val="22"/>
              </w:rPr>
              <w:t>6)污水处理站恶臭：1套</w:t>
            </w:r>
            <w:r>
              <w:rPr>
                <w:sz w:val="22"/>
                <w:szCs w:val="22"/>
                <w:spacing w:val="10"/>
              </w:rPr>
              <w:t xml:space="preserve"> </w:t>
            </w:r>
            <w:r>
              <w:rPr>
                <w:sz w:val="22"/>
                <w:szCs w:val="22"/>
                <w:spacing w:val="9"/>
              </w:rPr>
              <w:t>“喷淋塔+</w:t>
            </w:r>
            <w:r>
              <w:rPr>
                <w:sz w:val="22"/>
                <w:szCs w:val="22"/>
              </w:rPr>
              <w:t>UV</w:t>
            </w:r>
            <w:r>
              <w:rPr>
                <w:sz w:val="22"/>
                <w:szCs w:val="22"/>
                <w:spacing w:val="9"/>
              </w:rPr>
              <w:t>”+1根15m</w:t>
            </w:r>
          </w:p>
          <w:p>
            <w:pPr>
              <w:pStyle w:val="TableText"/>
              <w:ind w:left="150"/>
              <w:spacing w:before="22" w:line="219" w:lineRule="auto"/>
              <w:rPr>
                <w:sz w:val="22"/>
                <w:szCs w:val="22"/>
              </w:rPr>
            </w:pPr>
            <w:r>
              <w:rPr>
                <w:sz w:val="22"/>
                <w:szCs w:val="22"/>
                <w:spacing w:val="4"/>
              </w:rPr>
              <w:t>高排气筒(</w:t>
            </w:r>
            <w:r>
              <w:rPr>
                <w:sz w:val="22"/>
                <w:szCs w:val="22"/>
              </w:rPr>
              <w:t>DA</w:t>
            </w:r>
            <w:r>
              <w:rPr>
                <w:sz w:val="22"/>
                <w:szCs w:val="22"/>
                <w:spacing w:val="4"/>
              </w:rPr>
              <w:t>006);</w:t>
            </w:r>
          </w:p>
          <w:p>
            <w:pPr>
              <w:pStyle w:val="TableText"/>
              <w:ind w:left="80" w:right="83" w:firstLine="60"/>
              <w:spacing w:before="11" w:line="224" w:lineRule="auto"/>
              <w:rPr>
                <w:sz w:val="22"/>
                <w:szCs w:val="22"/>
              </w:rPr>
            </w:pPr>
            <w:r>
              <w:rPr>
                <w:sz w:val="22"/>
                <w:szCs w:val="22"/>
                <w:spacing w:val="1"/>
              </w:rPr>
              <w:t>7)锅炉废气：结合2期工</w:t>
            </w:r>
            <w:r>
              <w:rPr>
                <w:sz w:val="22"/>
                <w:szCs w:val="22"/>
              </w:rPr>
              <w:t xml:space="preserve"> </w:t>
            </w:r>
            <w:r>
              <w:rPr>
                <w:sz w:val="22"/>
                <w:szCs w:val="22"/>
              </w:rPr>
              <w:t>程提升改造，5台15t/h锅</w:t>
            </w:r>
            <w:r>
              <w:rPr>
                <w:sz w:val="22"/>
                <w:szCs w:val="22"/>
                <w:spacing w:val="12"/>
              </w:rPr>
              <w:t xml:space="preserve"> </w:t>
            </w:r>
            <w:r>
              <w:rPr>
                <w:sz w:val="22"/>
                <w:szCs w:val="22"/>
                <w:spacing w:val="42"/>
              </w:rPr>
              <w:t>炉，其中</w:t>
            </w:r>
            <w:r>
              <w:rPr>
                <w:sz w:val="22"/>
                <w:szCs w:val="22"/>
              </w:rPr>
              <w:t>DA</w:t>
            </w:r>
            <w:r>
              <w:rPr>
                <w:sz w:val="22"/>
                <w:szCs w:val="22"/>
                <w:spacing w:val="42"/>
              </w:rPr>
              <w:t>023为3台</w:t>
            </w:r>
          </w:p>
          <w:p>
            <w:pPr>
              <w:pStyle w:val="TableText"/>
              <w:spacing w:before="17" w:line="219" w:lineRule="auto"/>
              <w:jc w:val="right"/>
              <w:rPr>
                <w:sz w:val="22"/>
                <w:szCs w:val="22"/>
              </w:rPr>
            </w:pPr>
            <w:r>
              <w:rPr>
                <w:sz w:val="22"/>
                <w:szCs w:val="22"/>
                <w:spacing w:val="-7"/>
              </w:rPr>
              <w:t>15t/h锅炉废气合并排放、</w:t>
            </w:r>
          </w:p>
          <w:p>
            <w:pPr>
              <w:pStyle w:val="TableText"/>
              <w:ind w:left="251"/>
              <w:spacing w:line="218" w:lineRule="auto"/>
              <w:rPr>
                <w:sz w:val="22"/>
                <w:szCs w:val="22"/>
              </w:rPr>
            </w:pPr>
            <w:r>
              <w:rPr>
                <w:sz w:val="22"/>
                <w:szCs w:val="22"/>
              </w:rPr>
              <w:t>DA</w:t>
            </w:r>
            <w:r>
              <w:rPr>
                <w:sz w:val="22"/>
                <w:szCs w:val="22"/>
                <w:spacing w:val="2"/>
              </w:rPr>
              <w:t>021、</w:t>
            </w:r>
            <w:r>
              <w:rPr>
                <w:sz w:val="22"/>
                <w:szCs w:val="22"/>
              </w:rPr>
              <w:t>DA</w:t>
            </w:r>
            <w:r>
              <w:rPr>
                <w:sz w:val="22"/>
                <w:szCs w:val="22"/>
                <w:spacing w:val="2"/>
              </w:rPr>
              <w:t>022均为1台</w:t>
            </w:r>
          </w:p>
          <w:p>
            <w:pPr>
              <w:pStyle w:val="TableText"/>
              <w:ind w:left="171"/>
              <w:spacing w:line="220" w:lineRule="auto"/>
              <w:rPr>
                <w:sz w:val="22"/>
                <w:szCs w:val="22"/>
              </w:rPr>
            </w:pPr>
            <w:r>
              <w:rPr>
                <w:sz w:val="22"/>
                <w:szCs w:val="22"/>
                <w:spacing w:val="-1"/>
              </w:rPr>
              <w:t>5t/h锅炉废气排放。</w:t>
            </w:r>
          </w:p>
          <w:p>
            <w:pPr>
              <w:pStyle w:val="TableText"/>
              <w:ind w:left="30" w:right="23" w:firstLine="50"/>
              <w:spacing w:before="27" w:line="227" w:lineRule="auto"/>
              <w:rPr>
                <w:sz w:val="22"/>
                <w:szCs w:val="22"/>
              </w:rPr>
            </w:pPr>
            <w:r>
              <w:rPr>
                <w:sz w:val="22"/>
                <w:szCs w:val="22"/>
                <w:spacing w:val="-2"/>
              </w:rPr>
              <w:t>8)食堂油烟：油烟净化器 </w:t>
            </w:r>
            <w:r>
              <w:rPr>
                <w:sz w:val="22"/>
                <w:szCs w:val="22"/>
                <w:spacing w:val="1"/>
              </w:rPr>
              <w:t>处理后引至屋顶排放，共3</w:t>
            </w:r>
            <w:r>
              <w:rPr>
                <w:sz w:val="22"/>
                <w:szCs w:val="22"/>
              </w:rPr>
              <w:t xml:space="preserve"> </w:t>
            </w:r>
            <w:r>
              <w:rPr>
                <w:sz w:val="22"/>
                <w:szCs w:val="22"/>
                <w:spacing w:val="17"/>
                <w:w w:val="123"/>
              </w:rPr>
              <w:t>根排气筒(DA008</w:t>
            </w:r>
            <w:r>
              <w:rPr>
                <w:sz w:val="22"/>
                <w:szCs w:val="22"/>
                <w:spacing w:val="112"/>
              </w:rPr>
              <w:t xml:space="preserve"> </w:t>
            </w:r>
            <w:r>
              <w:rPr>
                <w:sz w:val="22"/>
                <w:szCs w:val="22"/>
                <w:spacing w:val="17"/>
                <w:w w:val="123"/>
              </w:rPr>
              <w:t>~</w:t>
            </w:r>
          </w:p>
          <w:p>
            <w:pPr>
              <w:pStyle w:val="TableText"/>
              <w:ind w:left="160"/>
              <w:spacing w:before="22" w:line="222" w:lineRule="auto"/>
              <w:rPr>
                <w:sz w:val="22"/>
                <w:szCs w:val="22"/>
              </w:rPr>
            </w:pPr>
            <w:r>
              <w:rPr>
                <w:sz w:val="22"/>
                <w:szCs w:val="22"/>
                <w:spacing w:val="-4"/>
              </w:rPr>
              <w:t>DA010)。</w:t>
            </w:r>
          </w:p>
        </w:tc>
        <w:tc>
          <w:tcPr>
            <w:tcW w:w="3627" w:type="dxa"/>
            <w:vAlign w:val="top"/>
          </w:tcPr>
          <w:p>
            <w:pPr>
              <w:pStyle w:val="TableText"/>
              <w:ind w:left="103" w:right="269" w:firstLine="39"/>
              <w:spacing w:before="59" w:line="219" w:lineRule="auto"/>
              <w:rPr>
                <w:sz w:val="22"/>
                <w:szCs w:val="22"/>
              </w:rPr>
            </w:pPr>
            <w:r>
              <w:rPr>
                <w:sz w:val="22"/>
                <w:szCs w:val="22"/>
              </w:rPr>
              <w:t>1套“喷淋塔+UV”+1根15m高排气</w:t>
            </w:r>
            <w:r>
              <w:rPr>
                <w:sz w:val="22"/>
                <w:szCs w:val="22"/>
                <w:spacing w:val="13"/>
              </w:rPr>
              <w:t xml:space="preserve"> </w:t>
            </w:r>
            <w:r>
              <w:rPr>
                <w:sz w:val="22"/>
                <w:szCs w:val="22"/>
                <w:spacing w:val="-7"/>
              </w:rPr>
              <w:t>筒</w:t>
            </w:r>
            <w:r>
              <w:rPr>
                <w:sz w:val="22"/>
                <w:szCs w:val="22"/>
                <w:spacing w:val="64"/>
              </w:rPr>
              <w:t xml:space="preserve"> </w:t>
            </w:r>
            <w:r>
              <w:rPr>
                <w:sz w:val="22"/>
                <w:szCs w:val="22"/>
                <w:spacing w:val="-7"/>
              </w:rPr>
              <w:t>；</w:t>
            </w:r>
          </w:p>
          <w:p>
            <w:pPr>
              <w:pStyle w:val="TableText"/>
              <w:ind w:left="142" w:firstLine="89"/>
              <w:spacing w:before="40" w:line="218" w:lineRule="auto"/>
              <w:rPr>
                <w:sz w:val="22"/>
                <w:szCs w:val="22"/>
              </w:rPr>
            </w:pPr>
            <w:r>
              <w:rPr>
                <w:sz w:val="22"/>
                <w:szCs w:val="22"/>
                <w:spacing w:val="-2"/>
              </w:rPr>
              <w:t>(8)食堂油烟：油烟净化器处理后引</w:t>
            </w:r>
            <w:r>
              <w:rPr>
                <w:sz w:val="22"/>
                <w:szCs w:val="22"/>
                <w:spacing w:val="7"/>
              </w:rPr>
              <w:t xml:space="preserve"> </w:t>
            </w:r>
            <w:r>
              <w:rPr>
                <w:sz w:val="22"/>
                <w:szCs w:val="22"/>
                <w:spacing w:val="-2"/>
              </w:rPr>
              <w:t>至屋顶排放，共2根。</w:t>
            </w:r>
          </w:p>
        </w:tc>
        <w:tc>
          <w:tcPr>
            <w:tcW w:w="4537" w:type="dxa"/>
            <w:vAlign w:val="top"/>
          </w:tcPr>
          <w:p>
            <w:pPr>
              <w:pStyle w:val="TableText"/>
              <w:ind w:left="124" w:right="52" w:hanging="59"/>
              <w:spacing w:before="59" w:line="223" w:lineRule="auto"/>
              <w:rPr>
                <w:sz w:val="22"/>
                <w:szCs w:val="22"/>
              </w:rPr>
            </w:pPr>
            <w:r>
              <w:rPr>
                <w:sz w:val="22"/>
                <w:szCs w:val="22"/>
              </w:rPr>
              <w:t>的排气烟道，新增的2台锅炉废气分别并入2根</w:t>
            </w:r>
            <w:r>
              <w:rPr>
                <w:sz w:val="22"/>
                <w:szCs w:val="22"/>
                <w:spacing w:val="7"/>
              </w:rPr>
              <w:t xml:space="preserve"> </w:t>
            </w:r>
            <w:r>
              <w:rPr>
                <w:sz w:val="22"/>
                <w:szCs w:val="22"/>
                <w:spacing w:val="2"/>
              </w:rPr>
              <w:t>高25m的排气烟道排(</w:t>
            </w:r>
            <w:r>
              <w:rPr>
                <w:sz w:val="22"/>
                <w:szCs w:val="22"/>
              </w:rPr>
              <w:t>DA</w:t>
            </w:r>
            <w:r>
              <w:rPr>
                <w:sz w:val="22"/>
                <w:szCs w:val="22"/>
                <w:spacing w:val="2"/>
              </w:rPr>
              <w:t>021、</w:t>
            </w:r>
            <w:r>
              <w:rPr>
                <w:sz w:val="22"/>
                <w:szCs w:val="22"/>
              </w:rPr>
              <w:t>DA</w:t>
            </w:r>
            <w:r>
              <w:rPr>
                <w:sz w:val="22"/>
                <w:szCs w:val="22"/>
                <w:spacing w:val="2"/>
              </w:rPr>
              <w:t>022);</w:t>
            </w:r>
          </w:p>
          <w:p>
            <w:pPr>
              <w:pStyle w:val="TableText"/>
              <w:ind w:left="124" w:right="111" w:hanging="9"/>
              <w:spacing w:before="27" w:line="222" w:lineRule="auto"/>
              <w:rPr>
                <w:sz w:val="22"/>
                <w:szCs w:val="22"/>
              </w:rPr>
            </w:pPr>
            <w:r>
              <w:rPr>
                <w:sz w:val="22"/>
                <w:szCs w:val="22"/>
              </w:rPr>
              <w:t>7)污水处理站恶臭：依托现有工程，1套“喷</w:t>
            </w:r>
            <w:r>
              <w:rPr>
                <w:sz w:val="22"/>
                <w:szCs w:val="22"/>
                <w:spacing w:val="8"/>
              </w:rPr>
              <w:t xml:space="preserve"> </w:t>
            </w:r>
            <w:r>
              <w:rPr>
                <w:sz w:val="22"/>
                <w:szCs w:val="22"/>
                <w:spacing w:val="2"/>
              </w:rPr>
              <w:t>淋塔+</w:t>
            </w:r>
            <w:r>
              <w:rPr>
                <w:sz w:val="22"/>
                <w:szCs w:val="22"/>
              </w:rPr>
              <w:t>UV</w:t>
            </w:r>
            <w:r>
              <w:rPr>
                <w:sz w:val="22"/>
                <w:szCs w:val="22"/>
                <w:spacing w:val="2"/>
              </w:rPr>
              <w:t>”+1根15m高排气筒(</w:t>
            </w:r>
            <w:r>
              <w:rPr>
                <w:sz w:val="22"/>
                <w:szCs w:val="22"/>
              </w:rPr>
              <w:t>DA</w:t>
            </w:r>
            <w:r>
              <w:rPr>
                <w:sz w:val="22"/>
                <w:szCs w:val="22"/>
                <w:spacing w:val="2"/>
              </w:rPr>
              <w:t>006);</w:t>
            </w:r>
          </w:p>
          <w:p>
            <w:pPr>
              <w:pStyle w:val="TableText"/>
              <w:ind w:left="136" w:right="180" w:firstLine="39"/>
              <w:spacing w:before="1" w:line="219" w:lineRule="auto"/>
              <w:rPr>
                <w:sz w:val="22"/>
                <w:szCs w:val="22"/>
              </w:rPr>
            </w:pPr>
            <w:r>
              <w:rPr>
                <w:sz w:val="22"/>
                <w:szCs w:val="22"/>
                <w:spacing w:val="-1"/>
              </w:rPr>
              <w:t>8)搅拌罐废气：1套活性炭吸附+1根25m高排</w:t>
            </w:r>
            <w:r>
              <w:rPr>
                <w:sz w:val="22"/>
                <w:szCs w:val="22"/>
                <w:spacing w:val="12"/>
              </w:rPr>
              <w:t xml:space="preserve"> </w:t>
            </w:r>
            <w:r>
              <w:rPr>
                <w:sz w:val="22"/>
                <w:szCs w:val="22"/>
                <w:spacing w:val="5"/>
              </w:rPr>
              <w:t>气筒(</w:t>
            </w:r>
            <w:r>
              <w:rPr>
                <w:sz w:val="22"/>
                <w:szCs w:val="22"/>
              </w:rPr>
              <w:t>DA</w:t>
            </w:r>
            <w:r>
              <w:rPr>
                <w:sz w:val="22"/>
                <w:szCs w:val="22"/>
                <w:spacing w:val="5"/>
              </w:rPr>
              <w:t>014);</w:t>
            </w:r>
          </w:p>
          <w:p>
            <w:pPr>
              <w:pStyle w:val="TableText"/>
              <w:ind w:left="135" w:right="70" w:hanging="70"/>
              <w:spacing w:before="29" w:line="219" w:lineRule="auto"/>
              <w:rPr>
                <w:sz w:val="22"/>
                <w:szCs w:val="22"/>
              </w:rPr>
            </w:pPr>
            <w:r>
              <w:rPr>
                <w:sz w:val="22"/>
                <w:szCs w:val="22"/>
                <w:spacing w:val="-1"/>
              </w:rPr>
              <w:t>9)食堂油烟：油烟净化器处理后引至屋顶排放</w:t>
            </w:r>
            <w:r>
              <w:rPr>
                <w:sz w:val="22"/>
                <w:szCs w:val="22"/>
                <w:spacing w:val="10"/>
              </w:rPr>
              <w:t xml:space="preserve"> </w:t>
            </w:r>
            <w:r>
              <w:rPr>
                <w:sz w:val="22"/>
                <w:szCs w:val="22"/>
                <w:spacing w:val="33"/>
              </w:rPr>
              <w:t>1根(</w:t>
            </w:r>
            <w:r>
              <w:rPr>
                <w:sz w:val="22"/>
                <w:szCs w:val="22"/>
              </w:rPr>
              <w:t>DA</w:t>
            </w:r>
            <w:r>
              <w:rPr>
                <w:sz w:val="22"/>
                <w:szCs w:val="22"/>
                <w:spacing w:val="33"/>
              </w:rPr>
              <w:t>019)。</w:t>
            </w:r>
          </w:p>
        </w:tc>
        <w:tc>
          <w:tcPr>
            <w:tcW w:w="2303" w:type="dxa"/>
            <w:vAlign w:val="top"/>
          </w:tcPr>
          <w:p>
            <w:pPr>
              <w:pStyle w:val="TableText"/>
              <w:ind w:left="208" w:right="205" w:firstLine="59"/>
              <w:spacing w:before="40" w:line="222" w:lineRule="auto"/>
              <w:rPr>
                <w:sz w:val="22"/>
                <w:szCs w:val="22"/>
              </w:rPr>
            </w:pPr>
            <w:r>
              <w:rPr>
                <w:sz w:val="22"/>
                <w:szCs w:val="22"/>
              </w:rPr>
              <w:t>(DA024);二次注液</w:t>
            </w:r>
            <w:r>
              <w:rPr>
                <w:sz w:val="22"/>
                <w:szCs w:val="22"/>
                <w:spacing w:val="8"/>
              </w:rPr>
              <w:t xml:space="preserve"> </w:t>
            </w:r>
            <w:r>
              <w:rPr>
                <w:sz w:val="22"/>
                <w:szCs w:val="22"/>
              </w:rPr>
              <w:t>1套活性炭吸附+1根</w:t>
            </w:r>
          </w:p>
          <w:p>
            <w:pPr>
              <w:pStyle w:val="TableText"/>
              <w:ind w:left="238" w:right="250" w:firstLine="29"/>
              <w:spacing w:before="20" w:line="226" w:lineRule="auto"/>
              <w:rPr>
                <w:sz w:val="22"/>
                <w:szCs w:val="22"/>
              </w:rPr>
            </w:pPr>
            <w:r>
              <w:rPr>
                <w:sz w:val="22"/>
                <w:szCs w:val="22"/>
                <w:spacing w:val="-8"/>
              </w:rPr>
              <w:t>27m</w:t>
            </w:r>
            <w:r>
              <w:rPr>
                <w:sz w:val="22"/>
                <w:szCs w:val="22"/>
                <w:spacing w:val="12"/>
              </w:rPr>
              <w:t xml:space="preserve">  </w:t>
            </w:r>
            <w:r>
              <w:rPr>
                <w:sz w:val="22"/>
                <w:szCs w:val="22"/>
                <w:spacing w:val="-8"/>
              </w:rPr>
              <w:t>高</w:t>
            </w:r>
            <w:r>
              <w:rPr>
                <w:sz w:val="22"/>
                <w:szCs w:val="22"/>
                <w:spacing w:val="14"/>
              </w:rPr>
              <w:t xml:space="preserve"> </w:t>
            </w:r>
            <w:r>
              <w:rPr>
                <w:sz w:val="22"/>
                <w:szCs w:val="22"/>
                <w:spacing w:val="-8"/>
              </w:rPr>
              <w:t>排</w:t>
            </w:r>
            <w:r>
              <w:rPr>
                <w:sz w:val="22"/>
                <w:szCs w:val="22"/>
                <w:spacing w:val="14"/>
              </w:rPr>
              <w:t xml:space="preserve"> </w:t>
            </w:r>
            <w:r>
              <w:rPr>
                <w:sz w:val="22"/>
                <w:szCs w:val="22"/>
                <w:spacing w:val="-8"/>
              </w:rPr>
              <w:t>气</w:t>
            </w:r>
            <w:r>
              <w:rPr>
                <w:sz w:val="22"/>
                <w:szCs w:val="22"/>
                <w:spacing w:val="16"/>
              </w:rPr>
              <w:t xml:space="preserve"> </w:t>
            </w:r>
            <w:r>
              <w:rPr>
                <w:sz w:val="22"/>
                <w:szCs w:val="22"/>
                <w:spacing w:val="-8"/>
              </w:rPr>
              <w:t>筒</w:t>
            </w:r>
            <w:r>
              <w:rPr>
                <w:sz w:val="22"/>
                <w:szCs w:val="22"/>
              </w:rPr>
              <w:t xml:space="preserve"> </w:t>
            </w:r>
            <w:r>
              <w:rPr>
                <w:sz w:val="22"/>
                <w:szCs w:val="22"/>
                <w:spacing w:val="-6"/>
              </w:rPr>
              <w:t>(DA016);</w:t>
            </w:r>
          </w:p>
          <w:p>
            <w:pPr>
              <w:pStyle w:val="TableText"/>
              <w:ind w:left="158" w:right="144"/>
              <w:spacing w:before="1" w:line="231" w:lineRule="auto"/>
              <w:rPr>
                <w:sz w:val="22"/>
                <w:szCs w:val="22"/>
              </w:rPr>
            </w:pPr>
            <w:r>
              <w:rPr>
                <w:sz w:val="22"/>
                <w:szCs w:val="22"/>
              </w:rPr>
              <w:t>5)真空干燥废气：并</w:t>
            </w:r>
            <w:r>
              <w:rPr>
                <w:sz w:val="22"/>
                <w:szCs w:val="22"/>
                <w:spacing w:val="8"/>
              </w:rPr>
              <w:t xml:space="preserve"> </w:t>
            </w:r>
            <w:r>
              <w:rPr>
                <w:sz w:val="22"/>
                <w:szCs w:val="22"/>
                <w:spacing w:val="-1"/>
              </w:rPr>
              <w:t>入真空泵系统废气处</w:t>
            </w:r>
          </w:p>
          <w:p>
            <w:pPr>
              <w:pStyle w:val="TableText"/>
              <w:ind w:left="48" w:right="32"/>
              <w:spacing w:before="17" w:line="224" w:lineRule="auto"/>
              <w:jc w:val="both"/>
              <w:rPr>
                <w:sz w:val="22"/>
                <w:szCs w:val="22"/>
              </w:rPr>
            </w:pPr>
            <w:r>
              <w:rPr>
                <w:sz w:val="22"/>
                <w:szCs w:val="22"/>
              </w:rPr>
              <w:t>理设施处理；由于注液</w:t>
            </w:r>
            <w:r>
              <w:rPr>
                <w:sz w:val="22"/>
                <w:szCs w:val="22"/>
                <w:spacing w:val="8"/>
              </w:rPr>
              <w:t xml:space="preserve"> </w:t>
            </w:r>
            <w:r>
              <w:rPr>
                <w:sz w:val="22"/>
                <w:szCs w:val="22"/>
                <w:spacing w:val="1"/>
              </w:rPr>
              <w:t>口是密封的，无化成废</w:t>
            </w:r>
            <w:r>
              <w:rPr>
                <w:sz w:val="22"/>
                <w:szCs w:val="22"/>
              </w:rPr>
              <w:t xml:space="preserve"> </w:t>
            </w:r>
            <w:r>
              <w:rPr>
                <w:sz w:val="22"/>
                <w:szCs w:val="22"/>
                <w:spacing w:val="15"/>
              </w:rPr>
              <w:t>气</w:t>
            </w:r>
            <w:r>
              <w:rPr>
                <w:sz w:val="22"/>
                <w:szCs w:val="22"/>
                <w:spacing w:val="-44"/>
              </w:rPr>
              <w:t xml:space="preserve"> </w:t>
            </w:r>
            <w:r>
              <w:rPr>
                <w:sz w:val="22"/>
                <w:szCs w:val="22"/>
                <w:spacing w:val="15"/>
              </w:rPr>
              <w:t>产</w:t>
            </w:r>
            <w:r>
              <w:rPr>
                <w:sz w:val="22"/>
                <w:szCs w:val="22"/>
                <w:spacing w:val="-43"/>
              </w:rPr>
              <w:t xml:space="preserve"> </w:t>
            </w:r>
            <w:r>
              <w:rPr>
                <w:sz w:val="22"/>
                <w:szCs w:val="22"/>
                <w:spacing w:val="15"/>
              </w:rPr>
              <w:t>生</w:t>
            </w:r>
            <w:r>
              <w:rPr>
                <w:sz w:val="22"/>
                <w:szCs w:val="22"/>
                <w:spacing w:val="-53"/>
              </w:rPr>
              <w:t xml:space="preserve"> </w:t>
            </w:r>
            <w:r>
              <w:rPr>
                <w:sz w:val="22"/>
                <w:szCs w:val="22"/>
                <w:spacing w:val="15"/>
              </w:rPr>
              <w:t>；</w:t>
            </w:r>
          </w:p>
          <w:p>
            <w:pPr>
              <w:pStyle w:val="TableText"/>
              <w:ind w:left="99" w:right="81"/>
              <w:spacing w:before="5" w:line="228" w:lineRule="auto"/>
              <w:jc w:val="both"/>
              <w:rPr>
                <w:sz w:val="22"/>
                <w:szCs w:val="22"/>
              </w:rPr>
            </w:pPr>
            <w:r>
              <w:rPr>
                <w:sz w:val="22"/>
                <w:szCs w:val="22"/>
                <w:spacing w:val="2"/>
              </w:rPr>
              <w:t>6)真空泵系统废气：1</w:t>
            </w:r>
            <w:r>
              <w:rPr>
                <w:sz w:val="22"/>
                <w:szCs w:val="22"/>
              </w:rPr>
              <w:t xml:space="preserve"> </w:t>
            </w:r>
            <w:r>
              <w:rPr>
                <w:sz w:val="22"/>
                <w:szCs w:val="22"/>
                <w:spacing w:val="-1"/>
              </w:rPr>
              <w:t>套冷凝+滤筒除油碱洗</w:t>
            </w:r>
            <w:r>
              <w:rPr>
                <w:sz w:val="22"/>
                <w:szCs w:val="22"/>
              </w:rPr>
              <w:t xml:space="preserve"> </w:t>
            </w:r>
            <w:r>
              <w:rPr>
                <w:sz w:val="22"/>
                <w:szCs w:val="22"/>
                <w:spacing w:val="8"/>
              </w:rPr>
              <w:t>+</w:t>
            </w:r>
            <w:r>
              <w:rPr>
                <w:sz w:val="22"/>
                <w:szCs w:val="22"/>
              </w:rPr>
              <w:t>TO</w:t>
            </w:r>
            <w:r>
              <w:rPr>
                <w:sz w:val="22"/>
                <w:szCs w:val="22"/>
                <w:spacing w:val="8"/>
              </w:rPr>
              <w:t>燃烧+高温除尘+1</w:t>
            </w:r>
            <w:r>
              <w:rPr>
                <w:sz w:val="22"/>
                <w:szCs w:val="22"/>
                <w:spacing w:val="1"/>
              </w:rPr>
              <w:t xml:space="preserve"> </w:t>
            </w:r>
            <w:r>
              <w:rPr>
                <w:sz w:val="22"/>
                <w:szCs w:val="22"/>
                <w:spacing w:val="-6"/>
              </w:rPr>
              <w:t>根 2 7</w:t>
            </w:r>
            <w:r>
              <w:rPr>
                <w:sz w:val="22"/>
                <w:szCs w:val="22"/>
                <w:spacing w:val="-11"/>
              </w:rPr>
              <w:t xml:space="preserve"> </w:t>
            </w:r>
            <w:r>
              <w:rPr>
                <w:sz w:val="22"/>
                <w:szCs w:val="22"/>
                <w:spacing w:val="-6"/>
              </w:rPr>
              <w:t>m 高</w:t>
            </w:r>
            <w:r>
              <w:rPr>
                <w:sz w:val="22"/>
                <w:szCs w:val="22"/>
                <w:spacing w:val="-11"/>
              </w:rPr>
              <w:t xml:space="preserve"> </w:t>
            </w:r>
            <w:r>
              <w:rPr>
                <w:sz w:val="22"/>
                <w:szCs w:val="22"/>
                <w:spacing w:val="-6"/>
              </w:rPr>
              <w:t>排</w:t>
            </w:r>
            <w:r>
              <w:rPr>
                <w:sz w:val="22"/>
                <w:szCs w:val="22"/>
                <w:spacing w:val="-10"/>
              </w:rPr>
              <w:t xml:space="preserve"> </w:t>
            </w:r>
            <w:r>
              <w:rPr>
                <w:sz w:val="22"/>
                <w:szCs w:val="22"/>
                <w:spacing w:val="-6"/>
              </w:rPr>
              <w:t>气</w:t>
            </w:r>
            <w:r>
              <w:rPr>
                <w:sz w:val="22"/>
                <w:szCs w:val="22"/>
                <w:spacing w:val="-8"/>
              </w:rPr>
              <w:t xml:space="preserve"> </w:t>
            </w:r>
            <w:r>
              <w:rPr>
                <w:sz w:val="22"/>
                <w:szCs w:val="22"/>
                <w:spacing w:val="-6"/>
              </w:rPr>
              <w:t>筒</w:t>
            </w:r>
          </w:p>
          <w:p>
            <w:pPr>
              <w:pStyle w:val="TableText"/>
              <w:ind w:left="229"/>
              <w:spacing w:before="22" w:line="221" w:lineRule="auto"/>
              <w:rPr>
                <w:sz w:val="22"/>
                <w:szCs w:val="22"/>
              </w:rPr>
            </w:pPr>
            <w:r>
              <w:rPr>
                <w:sz w:val="22"/>
                <w:szCs w:val="22"/>
                <w:spacing w:val="-6"/>
              </w:rPr>
              <w:t>(DA017);</w:t>
            </w:r>
          </w:p>
          <w:p>
            <w:pPr>
              <w:pStyle w:val="TableText"/>
              <w:ind w:left="98"/>
              <w:spacing w:before="4" w:line="220" w:lineRule="auto"/>
              <w:rPr>
                <w:sz w:val="22"/>
                <w:szCs w:val="22"/>
              </w:rPr>
            </w:pPr>
            <w:r>
              <w:rPr>
                <w:sz w:val="22"/>
                <w:szCs w:val="22"/>
                <w:spacing w:val="1"/>
              </w:rPr>
              <w:t>7)锅炉废气：9台锅炉</w:t>
            </w:r>
          </w:p>
          <w:p>
            <w:pPr>
              <w:pStyle w:val="TableText"/>
              <w:ind w:left="149" w:firstLine="88"/>
              <w:spacing w:before="9" w:line="227" w:lineRule="auto"/>
              <w:rPr>
                <w:sz w:val="22"/>
                <w:szCs w:val="22"/>
              </w:rPr>
            </w:pPr>
            <w:r>
              <w:rPr>
                <w:sz w:val="22"/>
                <w:szCs w:val="22"/>
                <w:spacing w:val="-9"/>
              </w:rPr>
              <w:t>(7台15t/h、2台12t/h)</w:t>
            </w:r>
            <w:r>
              <w:rPr>
                <w:sz w:val="22"/>
                <w:szCs w:val="22"/>
                <w:spacing w:val="7"/>
              </w:rPr>
              <w:t xml:space="preserve"> </w:t>
            </w:r>
            <w:r>
              <w:rPr>
                <w:sz w:val="22"/>
                <w:szCs w:val="22"/>
                <w:spacing w:val="-3"/>
              </w:rPr>
              <w:t>配5根高25m的排气烟  </w:t>
            </w:r>
            <w:r>
              <w:rPr>
                <w:sz w:val="22"/>
                <w:szCs w:val="22"/>
                <w:spacing w:val="-2"/>
              </w:rPr>
              <w:t>道，其中DA023为3</w:t>
            </w:r>
          </w:p>
          <w:p>
            <w:pPr>
              <w:pStyle w:val="TableText"/>
              <w:ind w:left="99"/>
              <w:spacing w:before="6" w:line="227" w:lineRule="auto"/>
              <w:rPr>
                <w:sz w:val="22"/>
                <w:szCs w:val="22"/>
              </w:rPr>
            </w:pPr>
            <w:r>
              <w:rPr>
                <w:sz w:val="22"/>
                <w:szCs w:val="22"/>
              </w:rPr>
              <w:t>台15t/h锅炉废气合并</w:t>
            </w:r>
            <w:r>
              <w:rPr>
                <w:sz w:val="22"/>
                <w:szCs w:val="22"/>
                <w:spacing w:val="1"/>
              </w:rPr>
              <w:t xml:space="preserve">  </w:t>
            </w:r>
            <w:r>
              <w:rPr>
                <w:sz w:val="22"/>
                <w:szCs w:val="22"/>
                <w:spacing w:val="6"/>
              </w:rPr>
              <w:t>排放、</w:t>
            </w:r>
            <w:r>
              <w:rPr>
                <w:sz w:val="22"/>
                <w:szCs w:val="22"/>
              </w:rPr>
              <w:t>DA</w:t>
            </w:r>
            <w:r>
              <w:rPr>
                <w:sz w:val="22"/>
                <w:szCs w:val="22"/>
                <w:spacing w:val="6"/>
              </w:rPr>
              <w:t>021、</w:t>
            </w:r>
            <w:r>
              <w:rPr>
                <w:sz w:val="22"/>
                <w:szCs w:val="22"/>
              </w:rPr>
              <w:t>DA</w:t>
            </w:r>
            <w:r>
              <w:rPr>
                <w:sz w:val="22"/>
                <w:szCs w:val="22"/>
                <w:spacing w:val="6"/>
              </w:rPr>
              <w:t>022</w:t>
            </w:r>
            <w:r>
              <w:rPr>
                <w:sz w:val="22"/>
                <w:szCs w:val="22"/>
                <w:spacing w:val="3"/>
              </w:rPr>
              <w:t xml:space="preserve">  </w:t>
            </w:r>
            <w:r>
              <w:rPr>
                <w:sz w:val="22"/>
                <w:szCs w:val="22"/>
                <w:spacing w:val="5"/>
              </w:rPr>
              <w:t>均为2台15t/h锅炉废</w:t>
            </w:r>
            <w:r>
              <w:rPr>
                <w:sz w:val="22"/>
                <w:szCs w:val="22"/>
                <w:spacing w:val="2"/>
              </w:rPr>
              <w:t xml:space="preserve">  </w:t>
            </w:r>
            <w:r>
              <w:rPr>
                <w:sz w:val="22"/>
                <w:szCs w:val="22"/>
                <w:spacing w:val="10"/>
              </w:rPr>
              <w:t>气合并排放，</w:t>
            </w:r>
            <w:r>
              <w:rPr>
                <w:sz w:val="22"/>
                <w:szCs w:val="22"/>
              </w:rPr>
              <w:t>DA</w:t>
            </w:r>
            <w:r>
              <w:rPr>
                <w:sz w:val="22"/>
                <w:szCs w:val="22"/>
                <w:spacing w:val="10"/>
              </w:rPr>
              <w:t>011、</w:t>
            </w:r>
          </w:p>
          <w:p>
            <w:pPr>
              <w:pStyle w:val="TableText"/>
              <w:ind w:left="158" w:right="218" w:firstLine="50"/>
              <w:spacing w:before="10" w:line="219" w:lineRule="auto"/>
              <w:rPr>
                <w:sz w:val="22"/>
                <w:szCs w:val="22"/>
              </w:rPr>
            </w:pPr>
            <w:r>
              <w:rPr>
                <w:sz w:val="22"/>
                <w:szCs w:val="22"/>
                <w:spacing w:val="-1"/>
              </w:rPr>
              <w:t>DA012均为1台12t/h</w:t>
            </w:r>
            <w:r>
              <w:rPr>
                <w:sz w:val="22"/>
                <w:szCs w:val="22"/>
                <w:spacing w:val="8"/>
              </w:rPr>
              <w:t xml:space="preserve"> </w:t>
            </w:r>
            <w:r>
              <w:rPr>
                <w:sz w:val="22"/>
                <w:szCs w:val="22"/>
              </w:rPr>
              <w:t>锅炉废气排放。</w:t>
            </w:r>
          </w:p>
          <w:p>
            <w:pPr>
              <w:pStyle w:val="TableText"/>
              <w:ind w:left="128" w:right="115" w:firstLine="29"/>
              <w:spacing w:before="27" w:line="222" w:lineRule="auto"/>
              <w:rPr>
                <w:sz w:val="22"/>
                <w:szCs w:val="22"/>
              </w:rPr>
            </w:pPr>
            <w:r>
              <w:rPr>
                <w:sz w:val="22"/>
                <w:szCs w:val="22"/>
                <w:spacing w:val="1"/>
              </w:rPr>
              <w:t>8)食堂三油烟：油烟</w:t>
            </w:r>
            <w:r>
              <w:rPr>
                <w:sz w:val="22"/>
                <w:szCs w:val="22"/>
                <w:spacing w:val="2"/>
              </w:rPr>
              <w:t xml:space="preserve"> </w:t>
            </w:r>
            <w:r>
              <w:rPr>
                <w:sz w:val="22"/>
                <w:szCs w:val="22"/>
                <w:spacing w:val="4"/>
              </w:rPr>
              <w:t>净化器处理后引至屋 </w:t>
            </w:r>
            <w:r>
              <w:rPr>
                <w:sz w:val="22"/>
                <w:szCs w:val="22"/>
                <w:spacing w:val="-8"/>
              </w:rPr>
              <w:t>顶</w:t>
            </w:r>
            <w:r>
              <w:rPr>
                <w:sz w:val="22"/>
                <w:szCs w:val="22"/>
                <w:spacing w:val="-34"/>
              </w:rPr>
              <w:t xml:space="preserve"> </w:t>
            </w:r>
            <w:r>
              <w:rPr>
                <w:sz w:val="22"/>
                <w:szCs w:val="22"/>
                <w:spacing w:val="-8"/>
              </w:rPr>
              <w:t>排</w:t>
            </w:r>
            <w:r>
              <w:rPr>
                <w:sz w:val="22"/>
                <w:szCs w:val="22"/>
                <w:spacing w:val="-37"/>
              </w:rPr>
              <w:t xml:space="preserve"> </w:t>
            </w:r>
            <w:r>
              <w:rPr>
                <w:sz w:val="22"/>
                <w:szCs w:val="22"/>
                <w:spacing w:val="-8"/>
              </w:rPr>
              <w:t>放</w:t>
            </w:r>
            <w:r>
              <w:rPr>
                <w:sz w:val="22"/>
                <w:szCs w:val="22"/>
                <w:spacing w:val="-33"/>
              </w:rPr>
              <w:t xml:space="preserve"> </w:t>
            </w:r>
            <w:r>
              <w:rPr>
                <w:sz w:val="22"/>
                <w:szCs w:val="22"/>
                <w:spacing w:val="-8"/>
              </w:rPr>
              <w:t>,    共</w:t>
            </w:r>
            <w:r>
              <w:rPr>
                <w:sz w:val="22"/>
                <w:szCs w:val="22"/>
                <w:spacing w:val="-34"/>
              </w:rPr>
              <w:t xml:space="preserve"> </w:t>
            </w:r>
            <w:r>
              <w:rPr>
                <w:sz w:val="22"/>
                <w:szCs w:val="22"/>
                <w:spacing w:val="-8"/>
              </w:rPr>
              <w:t>2</w:t>
            </w:r>
            <w:r>
              <w:rPr>
                <w:sz w:val="22"/>
                <w:szCs w:val="22"/>
                <w:spacing w:val="-37"/>
              </w:rPr>
              <w:t xml:space="preserve"> </w:t>
            </w:r>
            <w:r>
              <w:rPr>
                <w:sz w:val="22"/>
                <w:szCs w:val="22"/>
                <w:spacing w:val="-8"/>
              </w:rPr>
              <w:t>根</w:t>
            </w:r>
          </w:p>
          <w:p>
            <w:pPr>
              <w:pStyle w:val="TableText"/>
              <w:ind w:left="318"/>
              <w:spacing w:before="42" w:line="197" w:lineRule="auto"/>
              <w:rPr>
                <w:sz w:val="21"/>
                <w:szCs w:val="21"/>
              </w:rPr>
            </w:pPr>
            <w:r>
              <w:rPr>
                <w:sz w:val="21"/>
                <w:szCs w:val="21"/>
                <w:spacing w:val="-4"/>
              </w:rPr>
              <w:t>(DA018、DA019),</w:t>
            </w:r>
          </w:p>
          <w:p>
            <w:pPr>
              <w:pStyle w:val="TableText"/>
              <w:ind w:left="48"/>
              <w:spacing w:before="1" w:line="198" w:lineRule="auto"/>
              <w:rPr>
                <w:sz w:val="21"/>
                <w:szCs w:val="21"/>
              </w:rPr>
            </w:pPr>
            <w:r>
              <w:rPr>
                <w:sz w:val="21"/>
                <w:szCs w:val="21"/>
                <w:spacing w:val="10"/>
              </w:rPr>
              <w:t>食堂四油烟：油烟净化</w:t>
            </w:r>
          </w:p>
        </w:tc>
      </w:tr>
    </w:tbl>
    <w:p>
      <w:pPr>
        <w:rPr>
          <w:rFonts w:ascii="Arial"/>
          <w:sz w:val="21"/>
        </w:rPr>
      </w:pPr>
      <w:r/>
    </w:p>
    <w:p>
      <w:pPr>
        <w:sectPr>
          <w:footerReference w:type="default" r:id="rId28"/>
          <w:pgSz w:w="16840" w:h="11900"/>
          <w:pgMar w:top="1011" w:right="1354" w:bottom="978" w:left="1325" w:header="0" w:footer="839" w:gutter="0"/>
        </w:sectPr>
        <w:rPr>
          <w:rFonts w:ascii="Arial" w:hAnsi="Arial" w:eastAsia="Arial" w:cs="Arial"/>
          <w:sz w:val="21"/>
          <w:szCs w:val="21"/>
        </w:rPr>
      </w:pPr>
    </w:p>
    <w:p>
      <w:pPr>
        <w:spacing w:before="9"/>
        <w:rPr/>
      </w:pPr>
      <w:r/>
    </w:p>
    <w:tbl>
      <w:tblPr>
        <w:tblStyle w:val="TableNormal"/>
        <w:tblW w:w="141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25"/>
        <w:gridCol w:w="650"/>
        <w:gridCol w:w="2608"/>
        <w:gridCol w:w="3627"/>
        <w:gridCol w:w="4537"/>
        <w:gridCol w:w="2293"/>
      </w:tblGrid>
      <w:tr>
        <w:trPr>
          <w:trHeight w:val="287" w:hRule="atLeast"/>
        </w:trPr>
        <w:tc>
          <w:tcPr>
            <w:tcW w:w="425" w:type="dxa"/>
            <w:vAlign w:val="top"/>
            <w:vMerge w:val="restart"/>
            <w:textDirection w:val="tbRlV"/>
            <w:tcBorders>
              <w:bottom w:val="nil"/>
            </w:tcBorders>
          </w:tcPr>
          <w:p>
            <w:pPr>
              <w:pStyle w:val="TableText"/>
              <w:spacing w:before="120" w:line="216" w:lineRule="auto"/>
              <w:rPr>
                <w:sz w:val="21"/>
                <w:szCs w:val="21"/>
              </w:rPr>
            </w:pPr>
            <w:r>
              <w:rPr>
                <w:sz w:val="21"/>
                <w:szCs w:val="21"/>
                <w:spacing w:val="-2"/>
              </w:rPr>
              <w:t>工</w:t>
            </w:r>
            <w:r>
              <w:rPr>
                <w:sz w:val="21"/>
                <w:szCs w:val="21"/>
                <w:spacing w:val="-28"/>
              </w:rPr>
              <w:t xml:space="preserve"> </w:t>
            </w:r>
            <w:r>
              <w:rPr>
                <w:sz w:val="21"/>
                <w:szCs w:val="21"/>
                <w:spacing w:val="-2"/>
              </w:rPr>
              <w:t>程</w:t>
            </w:r>
            <w:r>
              <w:rPr>
                <w:sz w:val="21"/>
                <w:szCs w:val="21"/>
                <w:spacing w:val="-28"/>
              </w:rPr>
              <w:t xml:space="preserve"> </w:t>
            </w:r>
            <w:r>
              <w:rPr>
                <w:sz w:val="21"/>
                <w:szCs w:val="21"/>
                <w:spacing w:val="-2"/>
              </w:rPr>
              <w:t>类</w:t>
            </w:r>
            <w:r>
              <w:rPr>
                <w:sz w:val="21"/>
                <w:szCs w:val="21"/>
                <w:spacing w:val="-28"/>
              </w:rPr>
              <w:t xml:space="preserve"> </w:t>
            </w:r>
            <w:r>
              <w:rPr>
                <w:sz w:val="21"/>
                <w:szCs w:val="21"/>
                <w:spacing w:val="-2"/>
              </w:rPr>
              <w:t>别</w:t>
            </w:r>
          </w:p>
        </w:tc>
        <w:tc>
          <w:tcPr>
            <w:tcW w:w="650" w:type="dxa"/>
            <w:vAlign w:val="top"/>
            <w:vMerge w:val="restart"/>
            <w:tcBorders>
              <w:bottom w:val="nil"/>
            </w:tcBorders>
          </w:tcPr>
          <w:p>
            <w:pPr>
              <w:pStyle w:val="TableText"/>
              <w:ind w:left="99" w:right="109"/>
              <w:spacing w:before="308" w:line="233" w:lineRule="auto"/>
              <w:rPr>
                <w:sz w:val="21"/>
                <w:szCs w:val="21"/>
              </w:rPr>
            </w:pPr>
            <w:r>
              <w:rPr>
                <w:sz w:val="21"/>
                <w:szCs w:val="21"/>
                <w:spacing w:val="5"/>
              </w:rPr>
              <w:t>主要</w:t>
            </w:r>
            <w:r>
              <w:rPr>
                <w:sz w:val="21"/>
                <w:szCs w:val="21"/>
              </w:rPr>
              <w:t xml:space="preserve"> </w:t>
            </w:r>
            <w:r>
              <w:rPr>
                <w:sz w:val="21"/>
                <w:szCs w:val="21"/>
                <w:spacing w:val="4"/>
              </w:rPr>
              <w:t>组成</w:t>
            </w:r>
          </w:p>
        </w:tc>
        <w:tc>
          <w:tcPr>
            <w:tcW w:w="2608" w:type="dxa"/>
            <w:vAlign w:val="top"/>
            <w:vMerge w:val="restart"/>
            <w:tcBorders>
              <w:bottom w:val="nil"/>
            </w:tcBorders>
          </w:tcPr>
          <w:p>
            <w:pPr>
              <w:spacing w:line="246" w:lineRule="auto"/>
              <w:rPr>
                <w:rFonts w:ascii="Arial"/>
                <w:sz w:val="21"/>
              </w:rPr>
            </w:pPr>
            <w:r/>
          </w:p>
          <w:p>
            <w:pPr>
              <w:pStyle w:val="TableText"/>
              <w:ind w:left="189"/>
              <w:spacing w:before="68" w:line="219" w:lineRule="auto"/>
              <w:rPr>
                <w:sz w:val="21"/>
                <w:szCs w:val="21"/>
              </w:rPr>
            </w:pPr>
            <w:r>
              <w:rPr>
                <w:sz w:val="21"/>
                <w:szCs w:val="21"/>
                <w:spacing w:val="-2"/>
              </w:rPr>
              <w:t>一汽动力电池项目(产能</w:t>
            </w:r>
          </w:p>
          <w:p>
            <w:pPr>
              <w:pStyle w:val="TableText"/>
              <w:ind w:left="659"/>
              <w:spacing w:before="31" w:line="221" w:lineRule="auto"/>
              <w:rPr>
                <w:sz w:val="21"/>
                <w:szCs w:val="21"/>
              </w:rPr>
            </w:pPr>
            <w:r>
              <w:rPr>
                <w:sz w:val="21"/>
                <w:szCs w:val="21"/>
                <w:spacing w:val="6"/>
              </w:rPr>
              <w:t>10</w:t>
            </w:r>
            <w:r>
              <w:rPr>
                <w:sz w:val="21"/>
                <w:szCs w:val="21"/>
              </w:rPr>
              <w:t>GWh</w:t>
            </w:r>
            <w:r>
              <w:rPr>
                <w:sz w:val="21"/>
                <w:szCs w:val="21"/>
                <w:spacing w:val="6"/>
              </w:rPr>
              <w:t>)(已建)</w:t>
            </w:r>
          </w:p>
        </w:tc>
        <w:tc>
          <w:tcPr>
            <w:tcW w:w="10457" w:type="dxa"/>
            <w:vAlign w:val="top"/>
            <w:gridSpan w:val="3"/>
          </w:tcPr>
          <w:p>
            <w:pPr>
              <w:pStyle w:val="TableText"/>
              <w:ind w:left="2712"/>
              <w:spacing w:before="39" w:line="209" w:lineRule="auto"/>
              <w:rPr>
                <w:sz w:val="21"/>
                <w:szCs w:val="21"/>
              </w:rPr>
            </w:pPr>
            <w:r>
              <w:rPr>
                <w:sz w:val="21"/>
                <w:szCs w:val="21"/>
                <w:spacing w:val="1"/>
              </w:rPr>
              <w:t>时代一汽年产20</w:t>
            </w:r>
            <w:r>
              <w:rPr>
                <w:sz w:val="21"/>
                <w:szCs w:val="21"/>
              </w:rPr>
              <w:t>gwh</w:t>
            </w:r>
            <w:r>
              <w:rPr>
                <w:sz w:val="21"/>
                <w:szCs w:val="21"/>
                <w:spacing w:val="1"/>
              </w:rPr>
              <w:t>动力电池生产线扩建项目(在建)</w:t>
            </w:r>
          </w:p>
        </w:tc>
      </w:tr>
      <w:tr>
        <w:trPr>
          <w:trHeight w:val="778" w:hRule="atLeast"/>
        </w:trPr>
        <w:tc>
          <w:tcPr>
            <w:tcW w:w="425" w:type="dxa"/>
            <w:vAlign w:val="top"/>
            <w:vMerge w:val="continue"/>
            <w:textDirection w:val="tbRlV"/>
            <w:tcBorders>
              <w:top w:val="nil"/>
            </w:tcBorders>
          </w:tcPr>
          <w:p>
            <w:pPr>
              <w:rPr>
                <w:rFonts w:ascii="Arial"/>
                <w:sz w:val="21"/>
              </w:rPr>
            </w:pPr>
            <w:r/>
          </w:p>
        </w:tc>
        <w:tc>
          <w:tcPr>
            <w:tcW w:w="650" w:type="dxa"/>
            <w:vAlign w:val="top"/>
            <w:vMerge w:val="continue"/>
            <w:tcBorders>
              <w:top w:val="nil"/>
            </w:tcBorders>
          </w:tcPr>
          <w:p>
            <w:pPr>
              <w:rPr>
                <w:rFonts w:ascii="Arial"/>
                <w:sz w:val="21"/>
              </w:rPr>
            </w:pPr>
            <w:r/>
          </w:p>
        </w:tc>
        <w:tc>
          <w:tcPr>
            <w:tcW w:w="2608" w:type="dxa"/>
            <w:vAlign w:val="top"/>
            <w:vMerge w:val="continue"/>
            <w:tcBorders>
              <w:top w:val="nil"/>
            </w:tcBorders>
          </w:tcPr>
          <w:p>
            <w:pPr>
              <w:rPr>
                <w:rFonts w:ascii="Arial"/>
                <w:sz w:val="21"/>
              </w:rPr>
            </w:pPr>
            <w:r/>
          </w:p>
        </w:tc>
        <w:tc>
          <w:tcPr>
            <w:tcW w:w="3627" w:type="dxa"/>
            <w:vAlign w:val="top"/>
          </w:tcPr>
          <w:p>
            <w:pPr>
              <w:pStyle w:val="TableText"/>
              <w:ind w:left="802"/>
              <w:spacing w:before="281" w:line="214" w:lineRule="auto"/>
              <w:rPr>
                <w:sz w:val="21"/>
                <w:szCs w:val="21"/>
              </w:rPr>
            </w:pPr>
            <w:r>
              <w:rPr>
                <w:sz w:val="21"/>
                <w:szCs w:val="21"/>
                <w:spacing w:val="5"/>
              </w:rPr>
              <w:t>环评内容(产能20</w:t>
            </w:r>
            <w:r>
              <w:rPr>
                <w:sz w:val="21"/>
                <w:szCs w:val="21"/>
              </w:rPr>
              <w:t>gwh</w:t>
            </w:r>
            <w:r>
              <w:rPr>
                <w:sz w:val="21"/>
                <w:szCs w:val="21"/>
                <w:spacing w:val="5"/>
              </w:rPr>
              <w:t>)</w:t>
            </w:r>
          </w:p>
        </w:tc>
        <w:tc>
          <w:tcPr>
            <w:tcW w:w="4537" w:type="dxa"/>
            <w:vAlign w:val="top"/>
          </w:tcPr>
          <w:p>
            <w:pPr>
              <w:pStyle w:val="TableText"/>
              <w:ind w:left="895"/>
              <w:spacing w:before="281" w:line="214" w:lineRule="auto"/>
              <w:rPr>
                <w:sz w:val="21"/>
                <w:szCs w:val="21"/>
              </w:rPr>
            </w:pPr>
            <w:r>
              <w:rPr>
                <w:sz w:val="21"/>
                <w:szCs w:val="21"/>
                <w:spacing w:val="3"/>
              </w:rPr>
              <w:t>阶段性验收内容(产能6.7</w:t>
            </w:r>
            <w:r>
              <w:rPr>
                <w:sz w:val="21"/>
                <w:szCs w:val="21"/>
              </w:rPr>
              <w:t>gwh</w:t>
            </w:r>
            <w:r>
              <w:rPr>
                <w:sz w:val="21"/>
                <w:szCs w:val="21"/>
                <w:spacing w:val="3"/>
              </w:rPr>
              <w:t>)</w:t>
            </w:r>
          </w:p>
        </w:tc>
        <w:tc>
          <w:tcPr>
            <w:tcW w:w="2293" w:type="dxa"/>
            <w:vAlign w:val="top"/>
          </w:tcPr>
          <w:p>
            <w:pPr>
              <w:pStyle w:val="TableText"/>
              <w:ind w:left="928"/>
              <w:spacing w:before="290" w:line="221" w:lineRule="auto"/>
              <w:rPr>
                <w:sz w:val="21"/>
                <w:szCs w:val="21"/>
              </w:rPr>
            </w:pPr>
            <w:r>
              <w:rPr>
                <w:sz w:val="21"/>
                <w:szCs w:val="21"/>
                <w:spacing w:val="5"/>
              </w:rPr>
              <w:t>备注</w:t>
            </w:r>
          </w:p>
        </w:tc>
      </w:tr>
      <w:tr>
        <w:trPr>
          <w:trHeight w:val="559" w:hRule="atLeast"/>
        </w:trPr>
        <w:tc>
          <w:tcPr>
            <w:tcW w:w="425" w:type="dxa"/>
            <w:vAlign w:val="top"/>
            <w:vMerge w:val="restart"/>
            <w:tcBorders>
              <w:bottom w:val="nil"/>
            </w:tcBorders>
          </w:tcPr>
          <w:p>
            <w:pPr>
              <w:rPr>
                <w:rFonts w:ascii="Arial"/>
                <w:sz w:val="21"/>
              </w:rPr>
            </w:pPr>
            <w:r/>
          </w:p>
        </w:tc>
        <w:tc>
          <w:tcPr>
            <w:tcW w:w="650" w:type="dxa"/>
            <w:vAlign w:val="top"/>
          </w:tcPr>
          <w:p>
            <w:pPr>
              <w:rPr>
                <w:rFonts w:ascii="Arial"/>
                <w:sz w:val="21"/>
              </w:rPr>
            </w:pPr>
            <w:r/>
          </w:p>
        </w:tc>
        <w:tc>
          <w:tcPr>
            <w:tcW w:w="2608" w:type="dxa"/>
            <w:vAlign w:val="top"/>
          </w:tcPr>
          <w:p>
            <w:pPr>
              <w:rPr>
                <w:rFonts w:ascii="Arial"/>
                <w:sz w:val="21"/>
              </w:rPr>
            </w:pPr>
            <w:r/>
          </w:p>
        </w:tc>
        <w:tc>
          <w:tcPr>
            <w:tcW w:w="3627" w:type="dxa"/>
            <w:vAlign w:val="top"/>
          </w:tcPr>
          <w:p>
            <w:pPr>
              <w:rPr>
                <w:rFonts w:ascii="Arial"/>
                <w:sz w:val="21"/>
              </w:rPr>
            </w:pPr>
            <w:r/>
          </w:p>
        </w:tc>
        <w:tc>
          <w:tcPr>
            <w:tcW w:w="4537" w:type="dxa"/>
            <w:vAlign w:val="top"/>
          </w:tcPr>
          <w:p>
            <w:pPr>
              <w:rPr>
                <w:rFonts w:ascii="Arial"/>
                <w:sz w:val="21"/>
              </w:rPr>
            </w:pPr>
            <w:r/>
          </w:p>
        </w:tc>
        <w:tc>
          <w:tcPr>
            <w:tcW w:w="2293" w:type="dxa"/>
            <w:vAlign w:val="top"/>
          </w:tcPr>
          <w:p>
            <w:pPr>
              <w:pStyle w:val="TableText"/>
              <w:ind w:left="298" w:right="203" w:hanging="100"/>
              <w:spacing w:before="50" w:line="219" w:lineRule="auto"/>
              <w:rPr>
                <w:sz w:val="21"/>
                <w:szCs w:val="21"/>
              </w:rPr>
            </w:pPr>
            <w:r>
              <w:rPr>
                <w:sz w:val="21"/>
                <w:szCs w:val="21"/>
                <w:spacing w:val="-1"/>
              </w:rPr>
              <w:t>器处理后引至屋顶排</w:t>
            </w:r>
            <w:r>
              <w:rPr>
                <w:sz w:val="21"/>
                <w:szCs w:val="21"/>
              </w:rPr>
              <w:t xml:space="preserve"> </w:t>
            </w:r>
            <w:r>
              <w:rPr>
                <w:sz w:val="21"/>
                <w:szCs w:val="21"/>
                <w:spacing w:val="4"/>
              </w:rPr>
              <w:t>放，共1根(</w:t>
            </w:r>
            <w:r>
              <w:rPr>
                <w:sz w:val="21"/>
                <w:szCs w:val="21"/>
              </w:rPr>
              <w:t>DA</w:t>
            </w:r>
            <w:r>
              <w:rPr>
                <w:sz w:val="21"/>
                <w:szCs w:val="21"/>
                <w:spacing w:val="4"/>
              </w:rPr>
              <w:t>025)</w:t>
            </w:r>
          </w:p>
        </w:tc>
      </w:tr>
      <w:tr>
        <w:trPr>
          <w:trHeight w:val="1357" w:hRule="atLeast"/>
        </w:trPr>
        <w:tc>
          <w:tcPr>
            <w:tcW w:w="425" w:type="dxa"/>
            <w:vAlign w:val="top"/>
            <w:vMerge w:val="continue"/>
            <w:tcBorders>
              <w:top w:val="nil"/>
              <w:bottom w:val="nil"/>
            </w:tcBorders>
          </w:tcPr>
          <w:p>
            <w:pPr>
              <w:rPr>
                <w:rFonts w:ascii="Arial"/>
                <w:sz w:val="21"/>
              </w:rPr>
            </w:pPr>
            <w:r/>
          </w:p>
        </w:tc>
        <w:tc>
          <w:tcPr>
            <w:tcW w:w="650" w:type="dxa"/>
            <w:vAlign w:val="top"/>
          </w:tcPr>
          <w:p>
            <w:pPr>
              <w:spacing w:line="382" w:lineRule="auto"/>
              <w:rPr>
                <w:rFonts w:ascii="Arial"/>
                <w:sz w:val="21"/>
              </w:rPr>
            </w:pPr>
            <w:r/>
          </w:p>
          <w:p>
            <w:pPr>
              <w:pStyle w:val="TableText"/>
              <w:ind w:left="99" w:right="111"/>
              <w:spacing w:before="68" w:line="233" w:lineRule="auto"/>
              <w:rPr>
                <w:sz w:val="21"/>
                <w:szCs w:val="21"/>
              </w:rPr>
            </w:pPr>
            <w:r>
              <w:rPr>
                <w:sz w:val="21"/>
                <w:szCs w:val="21"/>
                <w:spacing w:val="4"/>
              </w:rPr>
              <w:t>固体</w:t>
            </w:r>
            <w:r>
              <w:rPr>
                <w:sz w:val="21"/>
                <w:szCs w:val="21"/>
              </w:rPr>
              <w:t xml:space="preserve"> </w:t>
            </w:r>
            <w:r>
              <w:rPr>
                <w:sz w:val="21"/>
                <w:szCs w:val="21"/>
                <w:spacing w:val="-2"/>
              </w:rPr>
              <w:t>废物</w:t>
            </w:r>
          </w:p>
        </w:tc>
        <w:tc>
          <w:tcPr>
            <w:tcW w:w="2608" w:type="dxa"/>
            <w:vAlign w:val="top"/>
          </w:tcPr>
          <w:p>
            <w:pPr>
              <w:pStyle w:val="TableText"/>
              <w:ind w:left="239"/>
              <w:spacing w:before="52" w:line="219" w:lineRule="auto"/>
              <w:rPr>
                <w:sz w:val="21"/>
                <w:szCs w:val="21"/>
              </w:rPr>
            </w:pPr>
            <w:r>
              <w:rPr>
                <w:sz w:val="21"/>
                <w:szCs w:val="21"/>
              </w:rPr>
              <w:t>废弃物仓(X9)设置有一</w:t>
            </w:r>
          </w:p>
          <w:p>
            <w:pPr>
              <w:pStyle w:val="TableText"/>
              <w:ind w:left="239"/>
              <w:spacing w:before="10" w:line="219" w:lineRule="auto"/>
              <w:rPr>
                <w:sz w:val="21"/>
                <w:szCs w:val="21"/>
              </w:rPr>
            </w:pPr>
            <w:r>
              <w:rPr>
                <w:sz w:val="21"/>
                <w:szCs w:val="21"/>
                <w:spacing w:val="2"/>
              </w:rPr>
              <w:t>般工业固体废物存放间</w:t>
            </w:r>
          </w:p>
          <w:p>
            <w:pPr>
              <w:pStyle w:val="TableText"/>
              <w:ind w:right="3"/>
              <w:spacing w:before="27" w:line="216" w:lineRule="auto"/>
              <w:jc w:val="right"/>
              <w:rPr>
                <w:sz w:val="21"/>
                <w:szCs w:val="21"/>
              </w:rPr>
            </w:pPr>
            <w:r>
              <w:rPr>
                <w:sz w:val="21"/>
                <w:szCs w:val="21"/>
                <w:spacing w:val="14"/>
              </w:rPr>
              <w:t>842m²,生活垃圾房106m²;</w:t>
            </w:r>
          </w:p>
          <w:p>
            <w:pPr>
              <w:pStyle w:val="TableText"/>
              <w:ind w:left="140"/>
              <w:spacing w:before="37" w:line="219" w:lineRule="auto"/>
              <w:rPr>
                <w:sz w:val="21"/>
                <w:szCs w:val="21"/>
              </w:rPr>
            </w:pPr>
            <w:r>
              <w:rPr>
                <w:sz w:val="21"/>
                <w:szCs w:val="21"/>
                <w:spacing w:val="-1"/>
              </w:rPr>
              <w:t>危废暂存间位于电解液仓</w:t>
            </w:r>
          </w:p>
          <w:p>
            <w:pPr>
              <w:pStyle w:val="TableText"/>
              <w:ind w:left="229"/>
              <w:spacing w:before="7" w:line="192" w:lineRule="auto"/>
              <w:rPr>
                <w:sz w:val="21"/>
                <w:szCs w:val="21"/>
              </w:rPr>
            </w:pPr>
            <w:r>
              <w:rPr>
                <w:sz w:val="21"/>
                <w:szCs w:val="21"/>
                <w:spacing w:val="7"/>
              </w:rPr>
              <w:t>(X13),约140m²。</w:t>
            </w:r>
          </w:p>
        </w:tc>
        <w:tc>
          <w:tcPr>
            <w:tcW w:w="3627" w:type="dxa"/>
            <w:vAlign w:val="top"/>
          </w:tcPr>
          <w:p>
            <w:pPr>
              <w:spacing w:line="254" w:lineRule="auto"/>
              <w:rPr>
                <w:rFonts w:ascii="Arial"/>
                <w:sz w:val="21"/>
              </w:rPr>
            </w:pPr>
            <w:r/>
          </w:p>
          <w:p>
            <w:pPr>
              <w:spacing w:line="255" w:lineRule="auto"/>
              <w:rPr>
                <w:rFonts w:ascii="Arial"/>
                <w:sz w:val="21"/>
              </w:rPr>
            </w:pPr>
            <w:r/>
          </w:p>
          <w:p>
            <w:pPr>
              <w:pStyle w:val="TableText"/>
              <w:ind w:left="1172"/>
              <w:spacing w:before="68" w:line="219" w:lineRule="auto"/>
              <w:rPr>
                <w:sz w:val="21"/>
                <w:szCs w:val="21"/>
              </w:rPr>
            </w:pPr>
            <w:r>
              <w:rPr>
                <w:sz w:val="21"/>
                <w:szCs w:val="21"/>
                <w:spacing w:val="-2"/>
              </w:rPr>
              <w:t>依托一期工程</w:t>
            </w:r>
          </w:p>
        </w:tc>
        <w:tc>
          <w:tcPr>
            <w:tcW w:w="4537" w:type="dxa"/>
            <w:vAlign w:val="top"/>
          </w:tcPr>
          <w:p>
            <w:pPr>
              <w:spacing w:line="254" w:lineRule="auto"/>
              <w:rPr>
                <w:rFonts w:ascii="Arial"/>
                <w:sz w:val="21"/>
              </w:rPr>
            </w:pPr>
            <w:r/>
          </w:p>
          <w:p>
            <w:pPr>
              <w:spacing w:line="255" w:lineRule="auto"/>
              <w:rPr>
                <w:rFonts w:ascii="Arial"/>
                <w:sz w:val="21"/>
              </w:rPr>
            </w:pPr>
            <w:r/>
          </w:p>
          <w:p>
            <w:pPr>
              <w:pStyle w:val="TableText"/>
              <w:ind w:left="1634"/>
              <w:spacing w:before="68" w:line="219" w:lineRule="auto"/>
              <w:rPr>
                <w:sz w:val="21"/>
                <w:szCs w:val="21"/>
              </w:rPr>
            </w:pPr>
            <w:r>
              <w:rPr>
                <w:sz w:val="21"/>
                <w:szCs w:val="21"/>
                <w:spacing w:val="-2"/>
              </w:rPr>
              <w:t>依托一期工程</w:t>
            </w:r>
          </w:p>
        </w:tc>
        <w:tc>
          <w:tcPr>
            <w:tcW w:w="2293" w:type="dxa"/>
            <w:vAlign w:val="top"/>
          </w:tcPr>
          <w:p>
            <w:pPr>
              <w:spacing w:line="254" w:lineRule="auto"/>
              <w:rPr>
                <w:rFonts w:ascii="Arial"/>
                <w:sz w:val="21"/>
              </w:rPr>
            </w:pPr>
            <w:r/>
          </w:p>
          <w:p>
            <w:pPr>
              <w:spacing w:line="255" w:lineRule="auto"/>
              <w:rPr>
                <w:rFonts w:ascii="Arial"/>
                <w:sz w:val="21"/>
              </w:rPr>
            </w:pPr>
            <w:r/>
          </w:p>
          <w:p>
            <w:pPr>
              <w:pStyle w:val="TableText"/>
              <w:ind w:left="508"/>
              <w:spacing w:before="68" w:line="219" w:lineRule="auto"/>
              <w:rPr>
                <w:sz w:val="21"/>
                <w:szCs w:val="21"/>
              </w:rPr>
            </w:pPr>
            <w:r>
              <w:rPr>
                <w:sz w:val="21"/>
                <w:szCs w:val="21"/>
                <w:spacing w:val="-2"/>
              </w:rPr>
              <w:t>依托一期工程</w:t>
            </w:r>
          </w:p>
        </w:tc>
      </w:tr>
      <w:tr>
        <w:trPr>
          <w:trHeight w:val="1357" w:hRule="atLeast"/>
        </w:trPr>
        <w:tc>
          <w:tcPr>
            <w:tcW w:w="425" w:type="dxa"/>
            <w:vAlign w:val="top"/>
            <w:vMerge w:val="continue"/>
            <w:tcBorders>
              <w:top w:val="nil"/>
            </w:tcBorders>
          </w:tcPr>
          <w:p>
            <w:pPr>
              <w:rPr>
                <w:rFonts w:ascii="Arial"/>
                <w:sz w:val="21"/>
              </w:rPr>
            </w:pPr>
            <w:r/>
          </w:p>
        </w:tc>
        <w:tc>
          <w:tcPr>
            <w:tcW w:w="650" w:type="dxa"/>
            <w:vAlign w:val="top"/>
          </w:tcPr>
          <w:p>
            <w:pPr>
              <w:spacing w:line="395" w:lineRule="auto"/>
              <w:rPr>
                <w:rFonts w:ascii="Arial"/>
                <w:sz w:val="21"/>
              </w:rPr>
            </w:pPr>
            <w:r/>
          </w:p>
          <w:p>
            <w:pPr>
              <w:pStyle w:val="TableText"/>
              <w:ind w:left="99"/>
              <w:spacing w:before="68" w:line="237" w:lineRule="auto"/>
              <w:rPr>
                <w:sz w:val="21"/>
                <w:szCs w:val="21"/>
              </w:rPr>
            </w:pPr>
            <w:r>
              <w:rPr>
                <w:sz w:val="21"/>
                <w:szCs w:val="21"/>
                <w:spacing w:val="-3"/>
              </w:rPr>
              <w:t>环境</w:t>
            </w:r>
          </w:p>
          <w:p>
            <w:pPr>
              <w:pStyle w:val="TableText"/>
              <w:ind w:left="99"/>
              <w:spacing w:line="220" w:lineRule="auto"/>
              <w:rPr>
                <w:sz w:val="21"/>
                <w:szCs w:val="21"/>
              </w:rPr>
            </w:pPr>
            <w:r>
              <w:rPr>
                <w:sz w:val="21"/>
                <w:szCs w:val="21"/>
                <w:spacing w:val="-3"/>
              </w:rPr>
              <w:t>风险</w:t>
            </w:r>
          </w:p>
        </w:tc>
        <w:tc>
          <w:tcPr>
            <w:tcW w:w="2608" w:type="dxa"/>
            <w:vAlign w:val="top"/>
          </w:tcPr>
          <w:p>
            <w:pPr>
              <w:pStyle w:val="TableText"/>
              <w:ind w:left="239"/>
              <w:spacing w:before="55" w:line="219" w:lineRule="auto"/>
              <w:rPr>
                <w:sz w:val="21"/>
                <w:szCs w:val="21"/>
              </w:rPr>
            </w:pPr>
            <w:r>
              <w:rPr>
                <w:sz w:val="21"/>
                <w:szCs w:val="21"/>
                <w:spacing w:val="-1"/>
              </w:rPr>
              <w:t>NMP储罐区设置围堰(有</w:t>
            </w:r>
          </w:p>
          <w:p>
            <w:pPr>
              <w:pStyle w:val="TableText"/>
              <w:ind w:left="189"/>
              <w:spacing w:before="27" w:line="216" w:lineRule="auto"/>
              <w:rPr>
                <w:sz w:val="21"/>
                <w:szCs w:val="21"/>
              </w:rPr>
            </w:pPr>
            <w:r>
              <w:rPr>
                <w:sz w:val="21"/>
                <w:szCs w:val="21"/>
                <w:spacing w:val="8"/>
              </w:rPr>
              <w:t>效容积240m³),厂区设1</w:t>
            </w:r>
          </w:p>
          <w:p>
            <w:pPr>
              <w:pStyle w:val="TableText"/>
              <w:ind w:left="449"/>
              <w:spacing w:before="17" w:line="219" w:lineRule="auto"/>
              <w:rPr>
                <w:sz w:val="21"/>
                <w:szCs w:val="21"/>
              </w:rPr>
            </w:pPr>
            <w:r>
              <w:rPr>
                <w:sz w:val="21"/>
                <w:szCs w:val="21"/>
                <w:spacing w:val="11"/>
              </w:rPr>
              <w:t>个250m³的事故池</w:t>
            </w:r>
          </w:p>
        </w:tc>
        <w:tc>
          <w:tcPr>
            <w:tcW w:w="3627" w:type="dxa"/>
            <w:vAlign w:val="top"/>
          </w:tcPr>
          <w:p>
            <w:pPr>
              <w:pStyle w:val="TableText"/>
              <w:ind w:left="122"/>
              <w:spacing w:before="55" w:line="219" w:lineRule="auto"/>
              <w:rPr>
                <w:sz w:val="21"/>
                <w:szCs w:val="21"/>
              </w:rPr>
            </w:pPr>
            <w:r>
              <w:rPr>
                <w:sz w:val="21"/>
                <w:szCs w:val="21"/>
              </w:rPr>
              <w:t>NMP</w:t>
            </w:r>
            <w:r>
              <w:rPr>
                <w:sz w:val="21"/>
                <w:szCs w:val="21"/>
                <w:spacing w:val="33"/>
              </w:rPr>
              <w:t>罐区B(35-2)设置围堰(有效</w:t>
            </w:r>
          </w:p>
          <w:p>
            <w:pPr>
              <w:pStyle w:val="TableText"/>
              <w:ind w:left="122" w:right="125" w:firstLine="109"/>
              <w:spacing w:before="27" w:line="223" w:lineRule="auto"/>
              <w:jc w:val="both"/>
              <w:rPr>
                <w:sz w:val="21"/>
                <w:szCs w:val="21"/>
              </w:rPr>
            </w:pPr>
            <w:r>
              <w:rPr>
                <w:sz w:val="21"/>
                <w:szCs w:val="21"/>
                <w:spacing w:val="6"/>
              </w:rPr>
              <w:t>容积240m³),事故池依托一期工程</w:t>
            </w:r>
            <w:r>
              <w:rPr>
                <w:sz w:val="21"/>
                <w:szCs w:val="21"/>
                <w:spacing w:val="1"/>
              </w:rPr>
              <w:t xml:space="preserve">  </w:t>
            </w:r>
            <w:r>
              <w:rPr>
                <w:sz w:val="21"/>
                <w:szCs w:val="21"/>
                <w:spacing w:val="9"/>
              </w:rPr>
              <w:t>1个250m³的事故池，电解液库旁设</w:t>
            </w:r>
            <w:r>
              <w:rPr>
                <w:sz w:val="21"/>
                <w:szCs w:val="21"/>
                <w:spacing w:val="6"/>
              </w:rPr>
              <w:t xml:space="preserve"> </w:t>
            </w:r>
            <w:r>
              <w:rPr>
                <w:sz w:val="21"/>
                <w:szCs w:val="21"/>
                <w:spacing w:val="6"/>
              </w:rPr>
              <w:t>有4.5m³事故应急池，危废暂存间设</w:t>
            </w:r>
            <w:r>
              <w:rPr>
                <w:sz w:val="21"/>
                <w:szCs w:val="21"/>
                <w:spacing w:val="5"/>
              </w:rPr>
              <w:t xml:space="preserve"> </w:t>
            </w:r>
            <w:r>
              <w:rPr>
                <w:sz w:val="21"/>
                <w:szCs w:val="21"/>
                <w:spacing w:val="9"/>
              </w:rPr>
              <w:t>有1.5m³事故应急池。</w:t>
            </w:r>
          </w:p>
        </w:tc>
        <w:tc>
          <w:tcPr>
            <w:tcW w:w="4537" w:type="dxa"/>
            <w:vAlign w:val="top"/>
          </w:tcPr>
          <w:p>
            <w:pPr>
              <w:pStyle w:val="TableText"/>
              <w:ind w:left="215"/>
              <w:spacing w:before="42" w:line="216" w:lineRule="auto"/>
              <w:rPr>
                <w:sz w:val="21"/>
                <w:szCs w:val="21"/>
              </w:rPr>
            </w:pPr>
            <w:r>
              <w:rPr>
                <w:sz w:val="21"/>
                <w:szCs w:val="21"/>
              </w:rPr>
              <w:t>NMP</w:t>
            </w:r>
            <w:r>
              <w:rPr>
                <w:sz w:val="21"/>
                <w:szCs w:val="21"/>
                <w:spacing w:val="6"/>
              </w:rPr>
              <w:t>罐区B(35-2)设置围堰(有效容积240m³),</w:t>
            </w:r>
          </w:p>
          <w:p>
            <w:pPr>
              <w:pStyle w:val="TableText"/>
              <w:ind w:left="105"/>
              <w:spacing w:before="45" w:line="219" w:lineRule="auto"/>
              <w:rPr>
                <w:sz w:val="21"/>
                <w:szCs w:val="21"/>
              </w:rPr>
            </w:pPr>
            <w:r>
              <w:rPr>
                <w:sz w:val="21"/>
                <w:szCs w:val="21"/>
                <w:spacing w:val="5"/>
              </w:rPr>
              <w:t>事故池依托一期工程：1个250m³的事故池，电</w:t>
            </w:r>
          </w:p>
          <w:p>
            <w:pPr>
              <w:pStyle w:val="TableText"/>
              <w:ind w:left="55"/>
              <w:spacing w:before="22" w:line="219" w:lineRule="auto"/>
              <w:rPr>
                <w:sz w:val="21"/>
                <w:szCs w:val="21"/>
              </w:rPr>
            </w:pPr>
            <w:r>
              <w:rPr>
                <w:sz w:val="21"/>
                <w:szCs w:val="21"/>
                <w:spacing w:val="5"/>
              </w:rPr>
              <w:t>解液库旁设有4.5m³事故应急池，危废暂存</w:t>
            </w:r>
            <w:r>
              <w:rPr>
                <w:sz w:val="21"/>
                <w:szCs w:val="21"/>
                <w:spacing w:val="4"/>
              </w:rPr>
              <w:t>间设</w:t>
            </w:r>
          </w:p>
          <w:p>
            <w:pPr>
              <w:pStyle w:val="TableText"/>
              <w:ind w:left="1264"/>
              <w:spacing w:before="21" w:line="220" w:lineRule="auto"/>
              <w:rPr>
                <w:sz w:val="21"/>
                <w:szCs w:val="21"/>
              </w:rPr>
            </w:pPr>
            <w:r>
              <w:rPr>
                <w:sz w:val="21"/>
                <w:szCs w:val="21"/>
                <w:spacing w:val="8"/>
              </w:rPr>
              <w:t>有1.5m³事故应急池。</w:t>
            </w:r>
          </w:p>
        </w:tc>
        <w:tc>
          <w:tcPr>
            <w:tcW w:w="2293" w:type="dxa"/>
            <w:vAlign w:val="top"/>
          </w:tcPr>
          <w:p>
            <w:pPr>
              <w:spacing w:line="257" w:lineRule="auto"/>
              <w:rPr>
                <w:rFonts w:ascii="Arial"/>
                <w:sz w:val="21"/>
              </w:rPr>
            </w:pPr>
            <w:r/>
          </w:p>
          <w:p>
            <w:pPr>
              <w:spacing w:line="257" w:lineRule="auto"/>
              <w:rPr>
                <w:rFonts w:ascii="Arial"/>
                <w:sz w:val="21"/>
              </w:rPr>
            </w:pPr>
            <w:r/>
          </w:p>
          <w:p>
            <w:pPr>
              <w:pStyle w:val="TableText"/>
              <w:ind w:left="618"/>
              <w:spacing w:before="68" w:line="220" w:lineRule="auto"/>
              <w:rPr>
                <w:sz w:val="21"/>
                <w:szCs w:val="21"/>
              </w:rPr>
            </w:pPr>
            <w:r>
              <w:rPr>
                <w:sz w:val="21"/>
                <w:szCs w:val="21"/>
                <w:spacing w:val="1"/>
              </w:rPr>
              <w:t>与环评一致</w:t>
            </w:r>
          </w:p>
        </w:tc>
      </w:tr>
      <w:tr>
        <w:trPr>
          <w:trHeight w:val="284" w:hRule="atLeast"/>
        </w:trPr>
        <w:tc>
          <w:tcPr>
            <w:tcW w:w="14140" w:type="dxa"/>
            <w:vAlign w:val="top"/>
            <w:gridSpan w:val="6"/>
          </w:tcPr>
          <w:p>
            <w:pPr>
              <w:pStyle w:val="TableText"/>
              <w:ind w:left="134"/>
              <w:spacing w:before="47" w:line="199" w:lineRule="auto"/>
              <w:rPr>
                <w:sz w:val="21"/>
                <w:szCs w:val="21"/>
              </w:rPr>
            </w:pPr>
            <w:r>
              <w:rPr>
                <w:sz w:val="21"/>
                <w:szCs w:val="21"/>
              </w:rPr>
              <w:t>备注：现有排污许可证排气筒编号DA001-DA024已申领。</w:t>
            </w:r>
          </w:p>
        </w:tc>
      </w:tr>
    </w:tbl>
    <w:p>
      <w:pPr>
        <w:rPr>
          <w:rFonts w:ascii="Arial"/>
          <w:sz w:val="21"/>
        </w:rPr>
      </w:pPr>
      <w:r/>
    </w:p>
    <w:p>
      <w:pPr>
        <w:sectPr>
          <w:footerReference w:type="default" r:id="rId29"/>
          <w:pgSz w:w="16840" w:h="11900"/>
          <w:pgMar w:top="1011" w:right="1364" w:bottom="979" w:left="1325" w:header="0" w:footer="840" w:gutter="0"/>
        </w:sectPr>
        <w:rPr>
          <w:rFonts w:ascii="Arial" w:hAnsi="Arial" w:eastAsia="Arial" w:cs="Arial"/>
          <w:sz w:val="21"/>
          <w:szCs w:val="21"/>
        </w:rPr>
      </w:pPr>
    </w:p>
    <w:p>
      <w:pPr>
        <w:spacing w:line="37" w:lineRule="auto"/>
        <w:rPr>
          <w:rFonts w:ascii="Arial"/>
          <w:sz w:val="2"/>
        </w:rPr>
      </w:pPr>
      <w:r>
        <w:rPr>
          <w:rFonts w:ascii="Arial"/>
          <w:sz w:val="2"/>
        </w:rPr>
      </w:r>
    </w:p>
    <w:tbl>
      <w:tblPr>
        <w:tblStyle w:val="TableNormal"/>
        <w:tblW w:w="88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4"/>
        <w:gridCol w:w="8366"/>
      </w:tblGrid>
      <w:tr>
        <w:trPr>
          <w:trHeight w:val="13560" w:hRule="atLeast"/>
        </w:trPr>
        <w:tc>
          <w:tcPr>
            <w:tcW w:w="514" w:type="dxa"/>
            <w:vAlign w:val="top"/>
            <w:textDirection w:val="tbRlV"/>
          </w:tcPr>
          <w:p>
            <w:pPr>
              <w:pStyle w:val="TableText"/>
              <w:ind w:left="4781"/>
              <w:spacing w:before="128" w:line="217" w:lineRule="auto"/>
              <w:rPr>
                <w:sz w:val="24"/>
                <w:szCs w:val="24"/>
              </w:rPr>
            </w:pPr>
            <w:r>
              <w:rPr>
                <w:sz w:val="24"/>
                <w:szCs w:val="24"/>
                <w:spacing w:val="1"/>
              </w:rPr>
              <w:t>与项目有关的原有环境污染问题</w:t>
            </w:r>
          </w:p>
        </w:tc>
        <w:tc>
          <w:tcPr>
            <w:tcW w:w="8366" w:type="dxa"/>
            <w:vAlign w:val="top"/>
          </w:tcPr>
          <w:p>
            <w:pPr>
              <w:pStyle w:val="TableText"/>
              <w:ind w:left="144"/>
              <w:spacing w:before="72" w:line="220" w:lineRule="auto"/>
              <w:rPr>
                <w:sz w:val="24"/>
                <w:szCs w:val="24"/>
              </w:rPr>
            </w:pPr>
            <w:r>
              <w:rPr>
                <w:sz w:val="24"/>
                <w:szCs w:val="24"/>
                <w:b/>
                <w:bCs/>
                <w:spacing w:val="-4"/>
              </w:rPr>
              <w:t>2.8.3现有工程污染物实际排放总量</w:t>
            </w:r>
          </w:p>
          <w:p>
            <w:pPr>
              <w:pStyle w:val="TableText"/>
              <w:ind w:left="134"/>
              <w:spacing w:before="233" w:line="219" w:lineRule="auto"/>
              <w:rPr>
                <w:sz w:val="24"/>
                <w:szCs w:val="24"/>
              </w:rPr>
            </w:pPr>
            <w:hyperlink w:history="true" r:id="rId31">
              <w:r>
                <w:rPr>
                  <w:sz w:val="24"/>
                  <w:szCs w:val="24"/>
                  <w:b/>
                  <w:bCs/>
                  <w:spacing w:val="-3"/>
                </w:rPr>
                <w:t>2.8.3.1</w:t>
              </w:r>
            </w:hyperlink>
            <w:r>
              <w:rPr>
                <w:sz w:val="24"/>
                <w:szCs w:val="24"/>
                <w:b/>
                <w:bCs/>
                <w:spacing w:val="-3"/>
              </w:rPr>
              <w:t>时代一汽动力电池项目(年产10GWh)污染控制及污染物排放情况</w:t>
            </w:r>
          </w:p>
          <w:p>
            <w:pPr>
              <w:pStyle w:val="TableText"/>
              <w:ind w:left="641"/>
              <w:spacing w:before="188" w:line="480" w:lineRule="exact"/>
              <w:rPr>
                <w:sz w:val="24"/>
                <w:szCs w:val="24"/>
              </w:rPr>
            </w:pPr>
            <w:r>
              <w:rPr>
                <w:sz w:val="24"/>
                <w:szCs w:val="24"/>
                <w:position w:val="18"/>
              </w:rPr>
              <w:t>一期工程——时代一汽动力电池项目(年产10GWh)已完成自主竣工环</w:t>
            </w:r>
          </w:p>
          <w:p>
            <w:pPr>
              <w:pStyle w:val="TableText"/>
              <w:ind w:left="161"/>
              <w:spacing w:line="219" w:lineRule="auto"/>
              <w:rPr>
                <w:sz w:val="24"/>
                <w:szCs w:val="24"/>
              </w:rPr>
            </w:pPr>
            <w:r>
              <w:rPr>
                <w:sz w:val="24"/>
                <w:szCs w:val="24"/>
                <w:spacing w:val="-1"/>
              </w:rPr>
              <w:t>保验收，以下内容结合验收数据。</w:t>
            </w:r>
          </w:p>
          <w:p>
            <w:pPr>
              <w:pStyle w:val="TableText"/>
              <w:ind w:left="164"/>
              <w:spacing w:before="182" w:line="220" w:lineRule="auto"/>
              <w:rPr>
                <w:sz w:val="24"/>
                <w:szCs w:val="24"/>
              </w:rPr>
            </w:pPr>
            <w:r>
              <w:rPr>
                <w:sz w:val="24"/>
                <w:szCs w:val="24"/>
                <w:b/>
                <w:bCs/>
                <w:spacing w:val="-3"/>
              </w:rPr>
              <w:t>1、废气治理及排放情况</w:t>
            </w:r>
          </w:p>
          <w:p>
            <w:pPr>
              <w:pStyle w:val="TableText"/>
              <w:ind w:left="631"/>
              <w:spacing w:before="156" w:line="219" w:lineRule="auto"/>
              <w:rPr>
                <w:sz w:val="24"/>
                <w:szCs w:val="24"/>
              </w:rPr>
            </w:pPr>
            <w:r>
              <w:rPr>
                <w:sz w:val="24"/>
                <w:szCs w:val="24"/>
              </w:rPr>
              <w:t>一期工程——时代一汽动力电池项目(年产10GWh)废气主要为车间粉尘</w:t>
            </w:r>
          </w:p>
          <w:p>
            <w:pPr>
              <w:pStyle w:val="TableText"/>
              <w:ind w:left="271"/>
              <w:spacing w:before="184" w:line="470" w:lineRule="exact"/>
              <w:rPr>
                <w:sz w:val="24"/>
                <w:szCs w:val="24"/>
              </w:rPr>
            </w:pPr>
            <w:r>
              <w:rPr>
                <w:sz w:val="24"/>
                <w:szCs w:val="24"/>
                <w:position w:val="17"/>
              </w:rPr>
              <w:t>(含投料粉尘及切割粉尘)、涂布废气、注液废气、后氦检废气、真空泵系统</w:t>
            </w:r>
          </w:p>
          <w:p>
            <w:pPr>
              <w:pStyle w:val="TableText"/>
              <w:ind w:left="141"/>
              <w:spacing w:before="1" w:line="218" w:lineRule="auto"/>
              <w:rPr>
                <w:sz w:val="24"/>
                <w:szCs w:val="24"/>
              </w:rPr>
            </w:pPr>
            <w:r>
              <w:rPr>
                <w:sz w:val="24"/>
                <w:szCs w:val="24"/>
              </w:rPr>
              <w:t>废气、锅炉废气、污水处理站恶臭、焚烧炉废气以及食堂油烟废</w:t>
            </w:r>
            <w:r>
              <w:rPr>
                <w:sz w:val="24"/>
                <w:szCs w:val="24"/>
                <w:spacing w:val="-1"/>
              </w:rPr>
              <w:t>气。</w:t>
            </w:r>
          </w:p>
          <w:p>
            <w:pPr>
              <w:pStyle w:val="TableText"/>
              <w:ind w:left="601"/>
              <w:spacing w:before="177" w:line="219" w:lineRule="auto"/>
              <w:rPr>
                <w:sz w:val="24"/>
                <w:szCs w:val="24"/>
              </w:rPr>
            </w:pPr>
            <w:r>
              <w:rPr>
                <w:sz w:val="24"/>
                <w:szCs w:val="24"/>
                <w:spacing w:val="1"/>
              </w:rPr>
              <w:t>1)投料粉尘</w:t>
            </w:r>
          </w:p>
          <w:p>
            <w:pPr>
              <w:pStyle w:val="TableText"/>
              <w:ind w:right="24"/>
              <w:spacing w:before="205" w:line="460" w:lineRule="exact"/>
              <w:jc w:val="right"/>
              <w:rPr>
                <w:sz w:val="24"/>
                <w:szCs w:val="24"/>
              </w:rPr>
            </w:pPr>
            <w:r>
              <w:rPr>
                <w:sz w:val="24"/>
                <w:szCs w:val="24"/>
                <w:position w:val="16"/>
              </w:rPr>
              <w:t>投料粉尘来源于粉末状的物料投加到粉料系统产生的粉尘。粉料系统自配</w:t>
            </w:r>
          </w:p>
          <w:p>
            <w:pPr>
              <w:pStyle w:val="TableText"/>
              <w:ind w:left="141"/>
              <w:spacing w:line="219" w:lineRule="auto"/>
              <w:rPr>
                <w:sz w:val="24"/>
                <w:szCs w:val="24"/>
              </w:rPr>
            </w:pPr>
            <w:r>
              <w:rPr>
                <w:sz w:val="24"/>
                <w:szCs w:val="24"/>
              </w:rPr>
              <w:t>有高效过滤器，且在投料口配有固定式吸尘器处理后直接排放。</w:t>
            </w:r>
          </w:p>
          <w:p>
            <w:pPr>
              <w:pStyle w:val="TableText"/>
              <w:ind w:left="601"/>
              <w:spacing w:before="176" w:line="219" w:lineRule="auto"/>
              <w:rPr>
                <w:sz w:val="24"/>
                <w:szCs w:val="24"/>
              </w:rPr>
            </w:pPr>
            <w:r>
              <w:rPr>
                <w:sz w:val="24"/>
                <w:szCs w:val="24"/>
                <w:spacing w:val="1"/>
              </w:rPr>
              <w:t>2)切割粉尘</w:t>
            </w:r>
          </w:p>
          <w:p>
            <w:pPr>
              <w:pStyle w:val="TableText"/>
              <w:ind w:left="631"/>
              <w:spacing w:before="183" w:line="219" w:lineRule="auto"/>
              <w:rPr>
                <w:sz w:val="24"/>
                <w:szCs w:val="24"/>
              </w:rPr>
            </w:pPr>
            <w:r>
              <w:rPr>
                <w:sz w:val="24"/>
                <w:szCs w:val="24"/>
              </w:rPr>
              <w:t>模切是利用阴阳极激光模切机将极片按照电芯设</w:t>
            </w:r>
            <w:r>
              <w:rPr>
                <w:sz w:val="24"/>
                <w:szCs w:val="24"/>
                <w:spacing w:val="-1"/>
              </w:rPr>
              <w:t>计尺寸规格要求分切成</w:t>
            </w:r>
          </w:p>
          <w:p>
            <w:pPr>
              <w:pStyle w:val="TableText"/>
              <w:ind w:left="141"/>
              <w:spacing w:before="187" w:line="486" w:lineRule="exact"/>
              <w:rPr>
                <w:sz w:val="24"/>
                <w:szCs w:val="24"/>
              </w:rPr>
            </w:pPr>
            <w:r>
              <w:rPr>
                <w:sz w:val="24"/>
                <w:szCs w:val="24"/>
                <w:position w:val="18"/>
              </w:rPr>
              <w:t>不同的宽度，产生的切割粉尘产生量极少，经集气罩收集后经固定式单体除尘</w:t>
            </w:r>
          </w:p>
          <w:p>
            <w:pPr>
              <w:pStyle w:val="TableText"/>
              <w:ind w:left="131"/>
              <w:spacing w:line="223" w:lineRule="auto"/>
              <w:rPr>
                <w:sz w:val="24"/>
                <w:szCs w:val="24"/>
              </w:rPr>
            </w:pPr>
            <w:r>
              <w:rPr>
                <w:sz w:val="24"/>
                <w:szCs w:val="24"/>
                <w:spacing w:val="-1"/>
              </w:rPr>
              <w:t>器处理。</w:t>
            </w:r>
          </w:p>
          <w:p>
            <w:pPr>
              <w:pStyle w:val="TableText"/>
              <w:ind w:left="601"/>
              <w:spacing w:before="153" w:line="219" w:lineRule="auto"/>
              <w:rPr>
                <w:sz w:val="24"/>
                <w:szCs w:val="24"/>
              </w:rPr>
            </w:pPr>
            <w:r>
              <w:rPr>
                <w:sz w:val="24"/>
                <w:szCs w:val="24"/>
                <w:spacing w:val="2"/>
              </w:rPr>
              <w:t>3)涂布废气</w:t>
            </w:r>
          </w:p>
          <w:p>
            <w:pPr>
              <w:pStyle w:val="TableText"/>
              <w:ind w:left="631"/>
              <w:spacing w:before="186" w:line="480" w:lineRule="exact"/>
              <w:rPr>
                <w:sz w:val="24"/>
                <w:szCs w:val="24"/>
              </w:rPr>
            </w:pPr>
            <w:r>
              <w:rPr>
                <w:sz w:val="24"/>
                <w:szCs w:val="24"/>
                <w:spacing w:val="1"/>
                <w:position w:val="18"/>
              </w:rPr>
              <w:t>涂布废气来源于阴极材料使用的</w:t>
            </w:r>
            <w:r>
              <w:rPr>
                <w:sz w:val="24"/>
                <w:szCs w:val="24"/>
                <w:position w:val="18"/>
              </w:rPr>
              <w:t>NMP</w:t>
            </w:r>
            <w:r>
              <w:rPr>
                <w:sz w:val="24"/>
                <w:szCs w:val="24"/>
                <w:spacing w:val="1"/>
                <w:position w:val="18"/>
              </w:rPr>
              <w:t>溶剂在涂布烘干工序过程</w:t>
            </w:r>
            <w:r>
              <w:rPr>
                <w:sz w:val="24"/>
                <w:szCs w:val="24"/>
                <w:position w:val="18"/>
              </w:rPr>
              <w:t>挥发、回</w:t>
            </w:r>
          </w:p>
          <w:p>
            <w:pPr>
              <w:pStyle w:val="TableText"/>
              <w:ind w:left="131"/>
              <w:spacing w:before="1" w:line="219" w:lineRule="auto"/>
              <w:rPr>
                <w:sz w:val="24"/>
                <w:szCs w:val="24"/>
              </w:rPr>
            </w:pPr>
            <w:r>
              <w:rPr>
                <w:sz w:val="24"/>
                <w:szCs w:val="24"/>
                <w:spacing w:val="-1"/>
              </w:rPr>
              <w:t>收过程。</w:t>
            </w:r>
          </w:p>
          <w:p>
            <w:pPr>
              <w:pStyle w:val="TableText"/>
              <w:ind w:left="131" w:right="650" w:firstLine="509"/>
              <w:spacing w:before="175" w:line="366" w:lineRule="auto"/>
              <w:jc w:val="both"/>
              <w:rPr>
                <w:sz w:val="24"/>
                <w:szCs w:val="24"/>
              </w:rPr>
            </w:pPr>
            <w:r>
              <w:rPr>
                <w:sz w:val="24"/>
                <w:szCs w:val="24"/>
              </w:rPr>
              <w:t>涂布废气通过全密闭集气罩收集进入NMP轮转回收装置，回收的NMP </w:t>
            </w:r>
            <w:r>
              <w:rPr>
                <w:sz w:val="24"/>
                <w:szCs w:val="24"/>
              </w:rPr>
              <w:t>液体由管道输送进入NMP废液罐，经转轮回收后的尾气由2根25m高排气筒</w:t>
            </w:r>
          </w:p>
          <w:p>
            <w:pPr>
              <w:pStyle w:val="TableText"/>
              <w:ind w:left="151"/>
              <w:spacing w:before="1" w:line="220" w:lineRule="auto"/>
              <w:rPr>
                <w:sz w:val="24"/>
                <w:szCs w:val="24"/>
              </w:rPr>
            </w:pPr>
            <w:r>
              <w:rPr>
                <w:sz w:val="24"/>
                <w:szCs w:val="24"/>
                <w:spacing w:val="-1"/>
              </w:rPr>
              <w:t>排放(DA001、DA013)。</w:t>
            </w:r>
          </w:p>
          <w:p>
            <w:pPr>
              <w:pStyle w:val="TableText"/>
              <w:ind w:left="601"/>
              <w:spacing w:before="181" w:line="219" w:lineRule="auto"/>
              <w:rPr>
                <w:sz w:val="24"/>
                <w:szCs w:val="24"/>
              </w:rPr>
            </w:pPr>
            <w:r>
              <w:rPr>
                <w:sz w:val="24"/>
                <w:szCs w:val="24"/>
                <w:spacing w:val="2"/>
              </w:rPr>
              <w:t>4)后氦检废气</w:t>
            </w:r>
          </w:p>
          <w:p>
            <w:pPr>
              <w:pStyle w:val="TableText"/>
              <w:ind w:right="30"/>
              <w:spacing w:before="164" w:line="470" w:lineRule="exact"/>
              <w:jc w:val="right"/>
              <w:rPr>
                <w:sz w:val="24"/>
                <w:szCs w:val="24"/>
              </w:rPr>
            </w:pPr>
            <w:r>
              <w:rPr>
                <w:sz w:val="24"/>
                <w:szCs w:val="24"/>
                <w:position w:val="17"/>
              </w:rPr>
              <w:t>后氦检过程中还有微量的电解液挥发，后氦检废气通过抽风机引至活性炭</w:t>
            </w:r>
          </w:p>
          <w:p>
            <w:pPr>
              <w:pStyle w:val="TableText"/>
              <w:ind w:left="131"/>
              <w:spacing w:before="1" w:line="218" w:lineRule="auto"/>
              <w:rPr>
                <w:sz w:val="24"/>
                <w:szCs w:val="24"/>
              </w:rPr>
            </w:pPr>
            <w:r>
              <w:rPr>
                <w:sz w:val="24"/>
                <w:szCs w:val="24"/>
              </w:rPr>
              <w:t>吸附处理后经1根25m高排气筒排放(DA004</w:t>
            </w:r>
            <w:r>
              <w:rPr>
                <w:sz w:val="24"/>
                <w:szCs w:val="24"/>
                <w:spacing w:val="-1"/>
              </w:rPr>
              <w:t>)。</w:t>
            </w:r>
          </w:p>
          <w:p>
            <w:pPr>
              <w:pStyle w:val="TableText"/>
              <w:ind w:left="601"/>
              <w:spacing w:before="188" w:line="220" w:lineRule="auto"/>
              <w:rPr>
                <w:sz w:val="24"/>
                <w:szCs w:val="24"/>
              </w:rPr>
            </w:pPr>
            <w:r>
              <w:rPr>
                <w:sz w:val="24"/>
                <w:szCs w:val="24"/>
                <w:spacing w:val="2"/>
              </w:rPr>
              <w:t>5)注液废气</w:t>
            </w:r>
          </w:p>
          <w:p>
            <w:pPr>
              <w:pStyle w:val="TableText"/>
              <w:ind w:left="151" w:right="23" w:firstLine="489"/>
              <w:spacing w:before="171" w:line="358" w:lineRule="auto"/>
              <w:rPr>
                <w:sz w:val="24"/>
                <w:szCs w:val="24"/>
              </w:rPr>
            </w:pPr>
            <w:r>
              <w:rPr>
                <w:sz w:val="24"/>
                <w:szCs w:val="24"/>
              </w:rPr>
              <w:t>注液废气来源于注液机泵入电解液时设备排空产生的废气，注液机采取全</w:t>
            </w:r>
            <w:r>
              <w:rPr>
                <w:sz w:val="24"/>
                <w:szCs w:val="24"/>
                <w:spacing w:val="10"/>
              </w:rPr>
              <w:t xml:space="preserve"> </w:t>
            </w:r>
            <w:r>
              <w:rPr>
                <w:sz w:val="24"/>
                <w:szCs w:val="24"/>
                <w:spacing w:val="-5"/>
              </w:rPr>
              <w:t>封闭形式。项目注液分2次，</w:t>
            </w:r>
            <w:r>
              <w:rPr>
                <w:sz w:val="24"/>
                <w:szCs w:val="24"/>
                <w:spacing w:val="67"/>
              </w:rPr>
              <w:t xml:space="preserve"> </w:t>
            </w:r>
            <w:r>
              <w:rPr>
                <w:sz w:val="24"/>
                <w:szCs w:val="24"/>
                <w:spacing w:val="-5"/>
              </w:rPr>
              <w:t>一次注液、二次注液废气通过抽风机引</w:t>
            </w:r>
            <w:r>
              <w:rPr>
                <w:sz w:val="24"/>
                <w:szCs w:val="24"/>
                <w:spacing w:val="-6"/>
              </w:rPr>
              <w:t>至活性炭</w:t>
            </w:r>
          </w:p>
          <w:p>
            <w:pPr>
              <w:pStyle w:val="TableText"/>
              <w:ind w:left="151"/>
              <w:spacing w:before="1" w:line="218" w:lineRule="auto"/>
              <w:rPr>
                <w:sz w:val="24"/>
                <w:szCs w:val="24"/>
              </w:rPr>
            </w:pPr>
            <w:r>
              <w:rPr>
                <w:sz w:val="24"/>
                <w:szCs w:val="24"/>
              </w:rPr>
              <w:t>吸附处理后，由2根25m高排气筒排放(DA002、DA003</w:t>
            </w:r>
            <w:r>
              <w:rPr>
                <w:sz w:val="24"/>
                <w:szCs w:val="24"/>
                <w:spacing w:val="-1"/>
              </w:rPr>
              <w:t>)。</w:t>
            </w:r>
          </w:p>
        </w:tc>
      </w:tr>
    </w:tbl>
    <w:p>
      <w:pPr>
        <w:rPr>
          <w:rFonts w:ascii="Arial"/>
          <w:sz w:val="21"/>
        </w:rPr>
      </w:pPr>
      <w:r/>
    </w:p>
    <w:p>
      <w:pPr>
        <w:sectPr>
          <w:footerReference w:type="default" r:id="rId30"/>
          <w:pgSz w:w="11900" w:h="16840"/>
          <w:pgMar w:top="1431" w:right="1425" w:bottom="988" w:left="1584" w:header="0" w:footer="849" w:gutter="0"/>
        </w:sectPr>
        <w:rPr>
          <w:rFonts w:ascii="Arial" w:hAnsi="Arial" w:eastAsia="Arial" w:cs="Arial"/>
          <w:sz w:val="21"/>
          <w:szCs w:val="21"/>
        </w:rPr>
      </w:pPr>
    </w:p>
    <w:p>
      <w:pPr>
        <w:spacing w:line="141" w:lineRule="auto"/>
        <w:rPr>
          <w:rFonts w:ascii="Arial"/>
          <w:sz w:val="2"/>
        </w:rPr>
      </w:pPr>
      <w:r>
        <w:rPr>
          <w:rFonts w:ascii="Arial"/>
          <w:sz w:val="2"/>
        </w:rPr>
      </w:r>
    </w:p>
    <w:tbl>
      <w:tblPr>
        <w:tblStyle w:val="TableNormal"/>
        <w:tblW w:w="897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8395"/>
      </w:tblGrid>
      <w:tr>
        <w:trPr>
          <w:trHeight w:val="12149" w:hRule="atLeast"/>
        </w:trPr>
        <w:tc>
          <w:tcPr>
            <w:tcW w:w="584" w:type="dxa"/>
            <w:vAlign w:val="top"/>
            <w:textDirection w:val="tbRlV"/>
          </w:tcPr>
          <w:p>
            <w:pPr>
              <w:pStyle w:val="TableText"/>
              <w:ind w:left="4345"/>
              <w:spacing w:before="208" w:line="217" w:lineRule="auto"/>
              <w:rPr>
                <w:sz w:val="18"/>
                <w:szCs w:val="18"/>
              </w:rPr>
            </w:pPr>
            <w:r>
              <w:rPr>
                <w:sz w:val="18"/>
                <w:szCs w:val="18"/>
                <w:spacing w:val="1"/>
              </w:rPr>
              <w:t>项 目 有 关 的 原 有 环 境 污</w:t>
            </w:r>
            <w:r>
              <w:rPr>
                <w:sz w:val="18"/>
                <w:szCs w:val="18"/>
                <w:spacing w:val="6"/>
              </w:rPr>
              <w:t xml:space="preserve"> </w:t>
            </w:r>
            <w:r>
              <w:rPr>
                <w:sz w:val="18"/>
                <w:szCs w:val="18"/>
                <w:spacing w:val="1"/>
              </w:rPr>
              <w:t>染</w:t>
            </w:r>
            <w:r>
              <w:rPr>
                <w:sz w:val="18"/>
                <w:szCs w:val="18"/>
                <w:spacing w:val="3"/>
              </w:rPr>
              <w:t xml:space="preserve"> </w:t>
            </w:r>
            <w:r>
              <w:rPr>
                <w:sz w:val="18"/>
                <w:szCs w:val="18"/>
                <w:spacing w:val="1"/>
              </w:rPr>
              <w:t>问</w:t>
            </w:r>
            <w:r>
              <w:rPr>
                <w:sz w:val="18"/>
                <w:szCs w:val="18"/>
                <w:spacing w:val="3"/>
              </w:rPr>
              <w:t xml:space="preserve"> </w:t>
            </w:r>
            <w:r>
              <w:rPr>
                <w:sz w:val="18"/>
                <w:szCs w:val="18"/>
                <w:spacing w:val="1"/>
              </w:rPr>
              <w:t>题</w:t>
            </w:r>
          </w:p>
        </w:tc>
        <w:tc>
          <w:tcPr>
            <w:tcW w:w="8395" w:type="dxa"/>
            <w:vAlign w:val="top"/>
          </w:tcPr>
          <w:p>
            <w:pPr>
              <w:pStyle w:val="TableText"/>
              <w:ind w:left="591"/>
              <w:spacing w:before="75" w:line="219" w:lineRule="auto"/>
              <w:rPr>
                <w:sz w:val="25"/>
                <w:szCs w:val="25"/>
              </w:rPr>
            </w:pPr>
            <w:r>
              <w:rPr>
                <w:sz w:val="25"/>
                <w:szCs w:val="25"/>
                <w:spacing w:val="1"/>
              </w:rPr>
              <w:t>6)真空泵系统废气</w:t>
            </w:r>
          </w:p>
          <w:p>
            <w:pPr>
              <w:pStyle w:val="TableText"/>
              <w:spacing w:before="152" w:line="470" w:lineRule="exact"/>
              <w:jc w:val="right"/>
              <w:rPr>
                <w:sz w:val="25"/>
                <w:szCs w:val="25"/>
              </w:rPr>
            </w:pPr>
            <w:r>
              <w:rPr>
                <w:sz w:val="25"/>
                <w:szCs w:val="25"/>
                <w:spacing w:val="-14"/>
                <w:position w:val="16"/>
              </w:rPr>
              <w:t>在注液工序抽真空，电解液挥发产生微量废气，主要污染</w:t>
            </w:r>
            <w:r>
              <w:rPr>
                <w:sz w:val="25"/>
                <w:szCs w:val="25"/>
                <w:spacing w:val="-15"/>
                <w:position w:val="16"/>
              </w:rPr>
              <w:t>物为非甲烷总烃，</w:t>
            </w:r>
          </w:p>
          <w:p>
            <w:pPr>
              <w:pStyle w:val="TableText"/>
              <w:ind w:left="121"/>
              <w:spacing w:line="219" w:lineRule="auto"/>
              <w:rPr>
                <w:sz w:val="25"/>
                <w:szCs w:val="25"/>
              </w:rPr>
            </w:pPr>
            <w:r>
              <w:rPr>
                <w:sz w:val="25"/>
                <w:szCs w:val="25"/>
                <w:spacing w:val="-3"/>
              </w:rPr>
              <w:t>废气连接真空泵将废气收集后引至废气处理设施(滤筒除油+RTO)处理后1</w:t>
            </w:r>
          </w:p>
          <w:p>
            <w:pPr>
              <w:pStyle w:val="TableText"/>
              <w:ind w:left="131"/>
              <w:spacing w:before="193" w:line="219" w:lineRule="auto"/>
              <w:rPr>
                <w:sz w:val="25"/>
                <w:szCs w:val="25"/>
              </w:rPr>
            </w:pPr>
            <w:r>
              <w:rPr>
                <w:sz w:val="25"/>
                <w:szCs w:val="25"/>
                <w:spacing w:val="-1"/>
              </w:rPr>
              <w:t>根25m高排气筒排放(DA007)。</w:t>
            </w:r>
          </w:p>
          <w:p>
            <w:pPr>
              <w:pStyle w:val="TableText"/>
              <w:ind w:left="581"/>
              <w:spacing w:before="144" w:line="220" w:lineRule="auto"/>
              <w:rPr>
                <w:sz w:val="25"/>
                <w:szCs w:val="25"/>
              </w:rPr>
            </w:pPr>
            <w:r>
              <w:rPr>
                <w:sz w:val="25"/>
                <w:szCs w:val="25"/>
                <w:spacing w:val="2"/>
              </w:rPr>
              <w:t>7)锅炉废气</w:t>
            </w:r>
          </w:p>
          <w:p>
            <w:pPr>
              <w:pStyle w:val="TableText"/>
              <w:ind w:left="581"/>
              <w:spacing w:before="177" w:line="450" w:lineRule="exact"/>
              <w:rPr>
                <w:sz w:val="25"/>
                <w:szCs w:val="25"/>
              </w:rPr>
            </w:pPr>
            <w:r>
              <w:rPr>
                <w:sz w:val="25"/>
                <w:szCs w:val="25"/>
                <w:position w:val="15"/>
              </w:rPr>
              <w:t>现有工程配置5台锅炉(3用2备，15t/h蒸汽</w:t>
            </w:r>
            <w:r>
              <w:rPr>
                <w:sz w:val="25"/>
                <w:szCs w:val="25"/>
                <w:spacing w:val="-1"/>
                <w:position w:val="15"/>
              </w:rPr>
              <w:t>锅炉),配5根高25m的排</w:t>
            </w:r>
          </w:p>
          <w:p>
            <w:pPr>
              <w:pStyle w:val="TableText"/>
              <w:ind w:left="121"/>
              <w:spacing w:before="1" w:line="216" w:lineRule="auto"/>
              <w:rPr>
                <w:sz w:val="25"/>
                <w:szCs w:val="25"/>
              </w:rPr>
            </w:pPr>
            <w:r>
              <w:rPr>
                <w:sz w:val="25"/>
                <w:szCs w:val="25"/>
              </w:rPr>
              <w:t>气烟道(与二期工程共用，DA011、DA012、DA021、DA022、DA023),锅</w:t>
            </w:r>
          </w:p>
          <w:p>
            <w:pPr>
              <w:pStyle w:val="TableText"/>
              <w:spacing w:before="187" w:line="484" w:lineRule="exact"/>
              <w:jc w:val="right"/>
              <w:rPr>
                <w:sz w:val="25"/>
                <w:szCs w:val="25"/>
              </w:rPr>
            </w:pPr>
            <w:r>
              <w:rPr>
                <w:sz w:val="25"/>
                <w:szCs w:val="25"/>
                <w:spacing w:val="-3"/>
                <w:position w:val="17"/>
              </w:rPr>
              <w:t>炉废气由排气烟道排放。蒸汽锅炉平均每天运行22h,年工作时间按6600h/a。</w:t>
            </w:r>
          </w:p>
          <w:p>
            <w:pPr>
              <w:pStyle w:val="TableText"/>
              <w:ind w:left="140"/>
              <w:spacing w:before="1" w:line="219" w:lineRule="auto"/>
              <w:rPr>
                <w:sz w:val="25"/>
                <w:szCs w:val="25"/>
              </w:rPr>
            </w:pPr>
            <w:r>
              <w:rPr>
                <w:sz w:val="25"/>
                <w:szCs w:val="25"/>
                <w:spacing w:val="5"/>
              </w:rPr>
              <w:t>锅炉废气主要为</w:t>
            </w:r>
            <w:r>
              <w:rPr>
                <w:sz w:val="25"/>
                <w:szCs w:val="25"/>
              </w:rPr>
              <w:t>SO</w:t>
            </w:r>
            <w:r>
              <w:rPr>
                <w:rFonts w:ascii="Calibri" w:hAnsi="Calibri" w:eastAsia="Calibri" w:cs="Calibri"/>
                <w:sz w:val="25"/>
                <w:szCs w:val="25"/>
                <w:spacing w:val="5"/>
              </w:rPr>
              <w:t>₂</w:t>
            </w:r>
            <w:r>
              <w:rPr>
                <w:rFonts w:ascii="Calibri" w:hAnsi="Calibri" w:eastAsia="Calibri" w:cs="Calibri"/>
                <w:sz w:val="25"/>
                <w:szCs w:val="25"/>
                <w:spacing w:val="-28"/>
              </w:rPr>
              <w:t xml:space="preserve"> </w:t>
            </w:r>
            <w:r>
              <w:rPr>
                <w:sz w:val="25"/>
                <w:szCs w:val="25"/>
                <w:spacing w:val="5"/>
              </w:rPr>
              <w:t>、</w:t>
            </w:r>
            <w:r>
              <w:rPr>
                <w:sz w:val="25"/>
                <w:szCs w:val="25"/>
              </w:rPr>
              <w:t>NOx</w:t>
            </w:r>
            <w:r>
              <w:rPr>
                <w:sz w:val="25"/>
                <w:szCs w:val="25"/>
                <w:spacing w:val="5"/>
              </w:rPr>
              <w:t>、烟尘。</w:t>
            </w:r>
          </w:p>
          <w:p>
            <w:pPr>
              <w:pStyle w:val="TableText"/>
              <w:ind w:left="561"/>
              <w:spacing w:before="172" w:line="219" w:lineRule="auto"/>
              <w:rPr>
                <w:sz w:val="25"/>
                <w:szCs w:val="25"/>
              </w:rPr>
            </w:pPr>
            <w:r>
              <w:rPr>
                <w:sz w:val="25"/>
                <w:szCs w:val="25"/>
                <w:spacing w:val="-2"/>
              </w:rPr>
              <w:t>8)污水处理站恶臭</w:t>
            </w:r>
          </w:p>
          <w:p>
            <w:pPr>
              <w:pStyle w:val="TableText"/>
              <w:ind w:right="32"/>
              <w:spacing w:before="143" w:line="469" w:lineRule="exact"/>
              <w:jc w:val="right"/>
              <w:rPr>
                <w:sz w:val="25"/>
                <w:szCs w:val="25"/>
              </w:rPr>
            </w:pPr>
            <w:r>
              <w:rPr>
                <w:sz w:val="25"/>
                <w:szCs w:val="25"/>
                <w:position w:val="16"/>
              </w:rPr>
              <w:t>污水处理站恶臭来源于污水处理站生化处理工艺预酸化池、污泥浓缩池</w:t>
            </w:r>
          </w:p>
          <w:p>
            <w:pPr>
              <w:pStyle w:val="TableText"/>
              <w:ind w:left="100"/>
              <w:spacing w:before="1" w:line="217" w:lineRule="auto"/>
              <w:rPr>
                <w:sz w:val="25"/>
                <w:szCs w:val="25"/>
              </w:rPr>
            </w:pPr>
            <w:r>
              <w:rPr>
                <w:sz w:val="25"/>
                <w:szCs w:val="25"/>
              </w:rPr>
              <w:t>通过引风机负压收集引至“喷淋塔+UV”处理后由1根15m高排气筒(D</w:t>
            </w:r>
            <w:r>
              <w:rPr>
                <w:sz w:val="25"/>
                <w:szCs w:val="25"/>
                <w:spacing w:val="-1"/>
              </w:rPr>
              <w:t>A006)。</w:t>
            </w:r>
          </w:p>
          <w:p>
            <w:pPr>
              <w:pStyle w:val="TableText"/>
              <w:ind w:left="591"/>
              <w:spacing w:before="195" w:line="219" w:lineRule="auto"/>
              <w:rPr>
                <w:sz w:val="25"/>
                <w:szCs w:val="25"/>
              </w:rPr>
            </w:pPr>
            <w:r>
              <w:rPr>
                <w:sz w:val="25"/>
                <w:szCs w:val="25"/>
                <w:spacing w:val="2"/>
              </w:rPr>
              <w:t>9)焚烧炉废气</w:t>
            </w:r>
          </w:p>
          <w:p>
            <w:pPr>
              <w:pStyle w:val="TableText"/>
              <w:ind w:left="131" w:firstLine="469"/>
              <w:spacing w:before="155" w:line="344" w:lineRule="auto"/>
              <w:rPr>
                <w:sz w:val="25"/>
                <w:szCs w:val="25"/>
              </w:rPr>
            </w:pPr>
            <w:r>
              <w:rPr>
                <w:sz w:val="25"/>
                <w:szCs w:val="25"/>
                <w:spacing w:val="-7"/>
              </w:rPr>
              <w:t>废极片由物资回收公司回收处置，焚烧仅针对少量废极片样品以查验产生</w:t>
            </w:r>
            <w:r>
              <w:rPr>
                <w:sz w:val="25"/>
                <w:szCs w:val="25"/>
                <w:spacing w:val="7"/>
              </w:rPr>
              <w:t xml:space="preserve"> </w:t>
            </w:r>
            <w:r>
              <w:rPr>
                <w:sz w:val="25"/>
                <w:szCs w:val="25"/>
                <w:spacing w:val="-7"/>
              </w:rPr>
              <w:t>不良品的原因，焚烧在综合设施房中焚烧房的焚烧</w:t>
            </w:r>
            <w:r>
              <w:rPr>
                <w:sz w:val="25"/>
                <w:szCs w:val="25"/>
                <w:spacing w:val="-8"/>
              </w:rPr>
              <w:t>炉进行。焚烧炉每次焚烧量</w:t>
            </w:r>
          </w:p>
          <w:p>
            <w:pPr>
              <w:pStyle w:val="TableText"/>
              <w:ind w:left="141"/>
              <w:spacing w:before="1" w:line="213" w:lineRule="auto"/>
              <w:rPr>
                <w:sz w:val="25"/>
                <w:szCs w:val="25"/>
              </w:rPr>
            </w:pPr>
            <w:r>
              <w:rPr>
                <w:sz w:val="25"/>
                <w:szCs w:val="25"/>
              </w:rPr>
              <w:t>大概2.5-3kg,每次1h(燃烧时间约15分钟)。平均一天烧10kg左右。在废极</w:t>
            </w:r>
          </w:p>
          <w:p>
            <w:pPr>
              <w:pStyle w:val="TableText"/>
              <w:spacing w:before="188" w:line="470" w:lineRule="exact"/>
              <w:jc w:val="right"/>
              <w:rPr>
                <w:sz w:val="25"/>
                <w:szCs w:val="25"/>
              </w:rPr>
            </w:pPr>
            <w:r>
              <w:rPr>
                <w:sz w:val="25"/>
                <w:szCs w:val="25"/>
                <w:spacing w:val="-7"/>
                <w:position w:val="16"/>
              </w:rPr>
              <w:t>片样品进入焚烧炉之前，需对废极片样品进行拆解，卸出电解液，进入焚烧炉</w:t>
            </w:r>
          </w:p>
          <w:p>
            <w:pPr>
              <w:pStyle w:val="TableText"/>
              <w:ind w:left="131"/>
              <w:spacing w:before="1" w:line="218" w:lineRule="auto"/>
              <w:rPr>
                <w:sz w:val="25"/>
                <w:szCs w:val="25"/>
              </w:rPr>
            </w:pPr>
            <w:r>
              <w:rPr>
                <w:sz w:val="25"/>
                <w:szCs w:val="25"/>
              </w:rPr>
              <w:t>的废极片样品主要含三元材料(NCM)、炭黑以及残留的含C、H</w:t>
            </w:r>
            <w:r>
              <w:rPr>
                <w:sz w:val="25"/>
                <w:szCs w:val="25"/>
                <w:spacing w:val="-1"/>
              </w:rPr>
              <w:t>、N的有机</w:t>
            </w:r>
          </w:p>
          <w:p>
            <w:pPr>
              <w:pStyle w:val="TableText"/>
              <w:ind w:left="121" w:firstLine="9"/>
              <w:spacing w:before="155" w:line="347" w:lineRule="auto"/>
              <w:jc w:val="both"/>
              <w:rPr>
                <w:sz w:val="25"/>
                <w:szCs w:val="25"/>
              </w:rPr>
            </w:pPr>
            <w:r>
              <w:rPr>
                <w:sz w:val="25"/>
                <w:szCs w:val="25"/>
                <w:spacing w:val="-14"/>
              </w:rPr>
              <w:t>物，无含氯、硫的化合物，焚烧过程不产生二噁英。焚烧炉废气主要污染物为</w:t>
            </w:r>
            <w:r>
              <w:rPr>
                <w:sz w:val="25"/>
                <w:szCs w:val="25"/>
                <w:spacing w:val="1"/>
              </w:rPr>
              <w:t xml:space="preserve">  </w:t>
            </w:r>
            <w:r>
              <w:rPr>
                <w:sz w:val="25"/>
                <w:szCs w:val="25"/>
                <w:spacing w:val="-6"/>
              </w:rPr>
              <w:t>烟尘颗粒物、NOx,进入“冷凝+脉冲布袋器+碱洗+丝网除</w:t>
            </w:r>
            <w:r>
              <w:rPr>
                <w:sz w:val="25"/>
                <w:szCs w:val="25"/>
                <w:spacing w:val="-7"/>
              </w:rPr>
              <w:t>雾+活性炭吸附设施”</w:t>
            </w:r>
          </w:p>
          <w:p>
            <w:pPr>
              <w:pStyle w:val="TableText"/>
              <w:ind w:left="121"/>
              <w:spacing w:line="219" w:lineRule="auto"/>
              <w:rPr>
                <w:sz w:val="25"/>
                <w:szCs w:val="25"/>
              </w:rPr>
            </w:pPr>
            <w:r>
              <w:rPr>
                <w:sz w:val="25"/>
                <w:szCs w:val="25"/>
                <w:spacing w:val="-5"/>
              </w:rPr>
              <w:t>处理后引至1根27m高排气筒排放(DA</w:t>
            </w:r>
            <w:r>
              <w:rPr>
                <w:sz w:val="25"/>
                <w:szCs w:val="25"/>
                <w:spacing w:val="-6"/>
              </w:rPr>
              <w:t>005)。</w:t>
            </w:r>
          </w:p>
          <w:p>
            <w:pPr>
              <w:pStyle w:val="TableText"/>
              <w:ind w:left="630"/>
              <w:spacing w:before="194" w:line="220" w:lineRule="auto"/>
              <w:rPr>
                <w:sz w:val="25"/>
                <w:szCs w:val="25"/>
              </w:rPr>
            </w:pPr>
            <w:r>
              <w:rPr>
                <w:sz w:val="25"/>
                <w:szCs w:val="25"/>
                <w:spacing w:val="1"/>
              </w:rPr>
              <w:t>10)食堂油烟废气</w:t>
            </w:r>
          </w:p>
          <w:p>
            <w:pPr>
              <w:pStyle w:val="TableText"/>
              <w:spacing w:before="151" w:line="464" w:lineRule="exact"/>
              <w:jc w:val="right"/>
              <w:rPr>
                <w:sz w:val="25"/>
                <w:szCs w:val="25"/>
              </w:rPr>
            </w:pPr>
            <w:r>
              <w:rPr>
                <w:sz w:val="25"/>
                <w:szCs w:val="25"/>
                <w:spacing w:val="-3"/>
                <w:position w:val="16"/>
              </w:rPr>
              <w:t>食堂油烟通过抽风机引至油烟净化器处理后引至屋顶排放，共3根排气筒</w:t>
            </w:r>
          </w:p>
          <w:p>
            <w:pPr>
              <w:pStyle w:val="TableText"/>
              <w:ind w:left="231"/>
              <w:spacing w:before="1" w:line="222" w:lineRule="auto"/>
              <w:rPr>
                <w:sz w:val="25"/>
                <w:szCs w:val="25"/>
              </w:rPr>
            </w:pPr>
            <w:r>
              <w:rPr>
                <w:sz w:val="25"/>
                <w:szCs w:val="25"/>
                <w:spacing w:val="-3"/>
              </w:rPr>
              <w:t>(DA008、DA009、DA010)</w:t>
            </w:r>
          </w:p>
          <w:p>
            <w:pPr>
              <w:pStyle w:val="TableText"/>
              <w:ind w:left="620"/>
              <w:spacing w:before="165" w:line="534" w:lineRule="exact"/>
              <w:rPr>
                <w:sz w:val="25"/>
                <w:szCs w:val="25"/>
              </w:rPr>
            </w:pPr>
            <w:r>
              <w:rPr>
                <w:sz w:val="25"/>
                <w:szCs w:val="25"/>
                <w:position w:val="21"/>
              </w:rPr>
              <w:t>一期工程——时代一汽动力电池项目(年产10GWh)废气排放情况见表</w:t>
            </w:r>
          </w:p>
          <w:p>
            <w:pPr>
              <w:pStyle w:val="TableText"/>
              <w:ind w:left="80"/>
              <w:spacing w:before="1" w:line="182" w:lineRule="auto"/>
              <w:rPr>
                <w:sz w:val="25"/>
                <w:szCs w:val="25"/>
              </w:rPr>
            </w:pPr>
            <w:r>
              <w:rPr>
                <w:sz w:val="25"/>
                <w:szCs w:val="25"/>
                <w:spacing w:val="-5"/>
              </w:rPr>
              <w:t>2.8-3。</w:t>
            </w:r>
          </w:p>
        </w:tc>
      </w:tr>
    </w:tbl>
    <w:p>
      <w:pPr>
        <w:rPr>
          <w:rFonts w:ascii="Arial"/>
          <w:sz w:val="21"/>
        </w:rPr>
      </w:pPr>
      <w:r/>
    </w:p>
    <w:p>
      <w:pPr>
        <w:sectPr>
          <w:footerReference w:type="default" r:id="rId32"/>
          <w:pgSz w:w="11900" w:h="16840"/>
          <w:pgMar w:top="1431" w:right="1375" w:bottom="988" w:left="1534" w:header="0" w:footer="849" w:gutter="0"/>
        </w:sectPr>
        <w:rPr>
          <w:rFonts w:ascii="Arial" w:hAnsi="Arial" w:eastAsia="Arial" w:cs="Arial"/>
          <w:sz w:val="21"/>
          <w:szCs w:val="21"/>
        </w:rPr>
      </w:pPr>
    </w:p>
    <w:p>
      <w:pPr>
        <w:pStyle w:val="BodyText"/>
        <w:ind w:left="2488"/>
        <w:spacing w:before="134" w:line="212" w:lineRule="auto"/>
        <w:rPr>
          <w:sz w:val="24"/>
          <w:szCs w:val="24"/>
        </w:rPr>
      </w:pPr>
      <w:r>
        <w:rPr>
          <w:sz w:val="24"/>
          <w:szCs w:val="24"/>
          <w:b/>
          <w:bCs/>
          <w:spacing w:val="10"/>
        </w:rPr>
        <w:t>表2.8-3</w:t>
      </w:r>
      <w:r>
        <w:rPr>
          <w:sz w:val="24"/>
          <w:szCs w:val="24"/>
          <w:spacing w:val="10"/>
        </w:rPr>
        <w:t xml:space="preserve">  </w:t>
      </w:r>
      <w:r>
        <w:rPr>
          <w:sz w:val="24"/>
          <w:szCs w:val="24"/>
          <w:b/>
          <w:bCs/>
          <w:spacing w:val="10"/>
        </w:rPr>
        <w:t>一期工程——时代一汽动力电池项目(年产10</w:t>
      </w:r>
      <w:r>
        <w:rPr>
          <w:rFonts w:ascii="Times New Roman" w:hAnsi="Times New Roman" w:eastAsia="Times New Roman" w:cs="Times New Roman"/>
          <w:sz w:val="24"/>
          <w:szCs w:val="24"/>
          <w:b/>
          <w:bCs/>
        </w:rPr>
        <w:t>GWh</w:t>
      </w:r>
      <w:r>
        <w:rPr>
          <w:rFonts w:ascii="Times New Roman" w:hAnsi="Times New Roman" w:eastAsia="Times New Roman" w:cs="Times New Roman"/>
          <w:sz w:val="24"/>
          <w:szCs w:val="24"/>
          <w:b/>
          <w:bCs/>
          <w:spacing w:val="10"/>
        </w:rPr>
        <w:t>)  </w:t>
      </w:r>
      <w:r>
        <w:rPr>
          <w:sz w:val="24"/>
          <w:szCs w:val="24"/>
          <w:b/>
          <w:bCs/>
          <w:spacing w:val="10"/>
        </w:rPr>
        <w:t>废气污染源强一览表</w:t>
      </w:r>
    </w:p>
    <w:p>
      <w:pPr>
        <w:spacing w:line="173" w:lineRule="exact"/>
        <w:rPr/>
      </w:pPr>
      <w:r/>
    </w:p>
    <w:tbl>
      <w:tblPr>
        <w:tblStyle w:val="TableNormal"/>
        <w:tblW w:w="141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54"/>
        <w:gridCol w:w="819"/>
        <w:gridCol w:w="1579"/>
        <w:gridCol w:w="1619"/>
        <w:gridCol w:w="2528"/>
        <w:gridCol w:w="2089"/>
        <w:gridCol w:w="2538"/>
        <w:gridCol w:w="1384"/>
      </w:tblGrid>
      <w:tr>
        <w:trPr>
          <w:trHeight w:val="275" w:hRule="atLeast"/>
        </w:trPr>
        <w:tc>
          <w:tcPr>
            <w:tcW w:w="1554" w:type="dxa"/>
            <w:vAlign w:val="top"/>
            <w:vMerge w:val="restart"/>
            <w:tcBorders>
              <w:bottom w:val="nil"/>
            </w:tcBorders>
          </w:tcPr>
          <w:p>
            <w:pPr>
              <w:pStyle w:val="TableText"/>
              <w:ind w:left="555"/>
              <w:spacing w:before="193" w:line="219" w:lineRule="auto"/>
              <w:rPr>
                <w:sz w:val="21"/>
                <w:szCs w:val="21"/>
              </w:rPr>
            </w:pPr>
            <w:r>
              <w:rPr>
                <w:sz w:val="21"/>
                <w:szCs w:val="21"/>
                <w:spacing w:val="6"/>
              </w:rPr>
              <w:t>编号</w:t>
            </w:r>
          </w:p>
        </w:tc>
        <w:tc>
          <w:tcPr>
            <w:tcW w:w="2398" w:type="dxa"/>
            <w:vAlign w:val="top"/>
            <w:gridSpan w:val="2"/>
            <w:vMerge w:val="restart"/>
            <w:tcBorders>
              <w:bottom w:val="nil"/>
            </w:tcBorders>
          </w:tcPr>
          <w:p>
            <w:pPr>
              <w:pStyle w:val="TableText"/>
              <w:ind w:left="771"/>
              <w:spacing w:before="193" w:line="219" w:lineRule="auto"/>
              <w:rPr>
                <w:sz w:val="21"/>
                <w:szCs w:val="21"/>
              </w:rPr>
            </w:pPr>
            <w:r>
              <w:rPr>
                <w:sz w:val="21"/>
                <w:szCs w:val="21"/>
                <w:spacing w:val="4"/>
              </w:rPr>
              <w:t>废气类别</w:t>
            </w:r>
          </w:p>
        </w:tc>
        <w:tc>
          <w:tcPr>
            <w:tcW w:w="1619" w:type="dxa"/>
            <w:vAlign w:val="top"/>
            <w:vMerge w:val="restart"/>
            <w:tcBorders>
              <w:bottom w:val="nil"/>
            </w:tcBorders>
          </w:tcPr>
          <w:p>
            <w:pPr>
              <w:pStyle w:val="TableText"/>
              <w:ind w:left="483"/>
              <w:spacing w:before="194" w:line="220" w:lineRule="auto"/>
              <w:rPr>
                <w:sz w:val="21"/>
                <w:szCs w:val="21"/>
              </w:rPr>
            </w:pPr>
            <w:r>
              <w:rPr>
                <w:sz w:val="21"/>
                <w:szCs w:val="21"/>
                <w:spacing w:val="3"/>
              </w:rPr>
              <w:t>污染物</w:t>
            </w:r>
          </w:p>
        </w:tc>
        <w:tc>
          <w:tcPr>
            <w:tcW w:w="2528" w:type="dxa"/>
            <w:vAlign w:val="top"/>
            <w:vMerge w:val="restart"/>
            <w:tcBorders>
              <w:bottom w:val="nil"/>
            </w:tcBorders>
          </w:tcPr>
          <w:p>
            <w:pPr>
              <w:pStyle w:val="TableText"/>
              <w:ind w:left="834"/>
              <w:spacing w:before="194" w:line="220" w:lineRule="auto"/>
              <w:rPr>
                <w:sz w:val="21"/>
                <w:szCs w:val="21"/>
              </w:rPr>
            </w:pPr>
            <w:r>
              <w:rPr>
                <w:sz w:val="21"/>
                <w:szCs w:val="21"/>
                <w:spacing w:val="2"/>
              </w:rPr>
              <w:t>治理措施</w:t>
            </w:r>
          </w:p>
        </w:tc>
        <w:tc>
          <w:tcPr>
            <w:tcW w:w="6011" w:type="dxa"/>
            <w:vAlign w:val="top"/>
            <w:gridSpan w:val="3"/>
          </w:tcPr>
          <w:p>
            <w:pPr>
              <w:pStyle w:val="TableText"/>
              <w:ind w:left="2576"/>
              <w:spacing w:before="34" w:line="203" w:lineRule="auto"/>
              <w:rPr>
                <w:sz w:val="21"/>
                <w:szCs w:val="21"/>
              </w:rPr>
            </w:pPr>
            <w:r>
              <w:rPr>
                <w:sz w:val="21"/>
                <w:szCs w:val="21"/>
                <w:spacing w:val="-2"/>
              </w:rPr>
              <w:t>排放情况</w:t>
            </w:r>
          </w:p>
        </w:tc>
      </w:tr>
      <w:tr>
        <w:trPr>
          <w:trHeight w:val="299" w:hRule="atLeast"/>
        </w:trPr>
        <w:tc>
          <w:tcPr>
            <w:tcW w:w="1554" w:type="dxa"/>
            <w:vAlign w:val="top"/>
            <w:vMerge w:val="continue"/>
            <w:tcBorders>
              <w:top w:val="nil"/>
            </w:tcBorders>
          </w:tcPr>
          <w:p>
            <w:pPr>
              <w:rPr>
                <w:rFonts w:ascii="Arial"/>
                <w:sz w:val="21"/>
              </w:rPr>
            </w:pPr>
            <w:r/>
          </w:p>
        </w:tc>
        <w:tc>
          <w:tcPr>
            <w:tcW w:w="2398" w:type="dxa"/>
            <w:vAlign w:val="top"/>
            <w:gridSpan w:val="2"/>
            <w:vMerge w:val="continue"/>
            <w:tcBorders>
              <w:top w:val="nil"/>
            </w:tcBorders>
          </w:tcPr>
          <w:p>
            <w:pPr>
              <w:rPr>
                <w:rFonts w:ascii="Arial"/>
                <w:sz w:val="21"/>
              </w:rPr>
            </w:pPr>
            <w:r/>
          </w:p>
        </w:tc>
        <w:tc>
          <w:tcPr>
            <w:tcW w:w="1619" w:type="dxa"/>
            <w:vAlign w:val="top"/>
            <w:vMerge w:val="continue"/>
            <w:tcBorders>
              <w:top w:val="nil"/>
            </w:tcBorders>
          </w:tcPr>
          <w:p>
            <w:pPr>
              <w:rPr>
                <w:rFonts w:ascii="Arial"/>
                <w:sz w:val="21"/>
              </w:rPr>
            </w:pPr>
            <w:r/>
          </w:p>
        </w:tc>
        <w:tc>
          <w:tcPr>
            <w:tcW w:w="2528" w:type="dxa"/>
            <w:vAlign w:val="top"/>
            <w:vMerge w:val="continue"/>
            <w:tcBorders>
              <w:top w:val="nil"/>
            </w:tcBorders>
          </w:tcPr>
          <w:p>
            <w:pPr>
              <w:rPr>
                <w:rFonts w:ascii="Arial"/>
                <w:sz w:val="21"/>
              </w:rPr>
            </w:pPr>
            <w:r/>
          </w:p>
        </w:tc>
        <w:tc>
          <w:tcPr>
            <w:tcW w:w="2089" w:type="dxa"/>
            <w:vAlign w:val="top"/>
          </w:tcPr>
          <w:p>
            <w:pPr>
              <w:pStyle w:val="TableText"/>
              <w:ind w:left="166"/>
              <w:spacing w:before="41" w:line="214" w:lineRule="auto"/>
              <w:rPr>
                <w:sz w:val="21"/>
                <w:szCs w:val="21"/>
              </w:rPr>
            </w:pPr>
            <w:r>
              <w:rPr>
                <w:sz w:val="21"/>
                <w:szCs w:val="21"/>
                <w:spacing w:val="16"/>
              </w:rPr>
              <w:t>排放浓度(</w:t>
            </w:r>
            <w:r>
              <w:rPr>
                <w:sz w:val="21"/>
                <w:szCs w:val="21"/>
              </w:rPr>
              <w:t>mg</w:t>
            </w:r>
            <w:r>
              <w:rPr>
                <w:sz w:val="21"/>
                <w:szCs w:val="21"/>
                <w:spacing w:val="16"/>
              </w:rPr>
              <w:t>/m³)</w:t>
            </w:r>
          </w:p>
        </w:tc>
        <w:tc>
          <w:tcPr>
            <w:tcW w:w="2538" w:type="dxa"/>
            <w:vAlign w:val="top"/>
          </w:tcPr>
          <w:p>
            <w:pPr>
              <w:pStyle w:val="TableText"/>
              <w:ind w:left="477"/>
              <w:spacing w:before="41" w:line="214" w:lineRule="auto"/>
              <w:rPr>
                <w:sz w:val="21"/>
                <w:szCs w:val="21"/>
              </w:rPr>
            </w:pPr>
            <w:r>
              <w:rPr>
                <w:sz w:val="21"/>
                <w:szCs w:val="21"/>
                <w:spacing w:val="5"/>
              </w:rPr>
              <w:t>排放速率(</w:t>
            </w:r>
            <w:r>
              <w:rPr>
                <w:sz w:val="21"/>
                <w:szCs w:val="21"/>
              </w:rPr>
              <w:t>kg</w:t>
            </w:r>
            <w:r>
              <w:rPr>
                <w:sz w:val="21"/>
                <w:szCs w:val="21"/>
                <w:spacing w:val="5"/>
              </w:rPr>
              <w:t>/h)</w:t>
            </w:r>
          </w:p>
        </w:tc>
        <w:tc>
          <w:tcPr>
            <w:tcW w:w="1384" w:type="dxa"/>
            <w:vAlign w:val="top"/>
          </w:tcPr>
          <w:p>
            <w:pPr>
              <w:pStyle w:val="TableText"/>
              <w:ind w:left="109"/>
              <w:spacing w:before="50" w:line="210" w:lineRule="auto"/>
              <w:rPr>
                <w:sz w:val="21"/>
                <w:szCs w:val="21"/>
              </w:rPr>
            </w:pPr>
            <w:r>
              <w:rPr>
                <w:sz w:val="21"/>
                <w:szCs w:val="21"/>
                <w:spacing w:val="5"/>
              </w:rPr>
              <w:t>排放量(t/a)</w:t>
            </w:r>
          </w:p>
        </w:tc>
      </w:tr>
      <w:tr>
        <w:trPr>
          <w:trHeight w:val="270" w:hRule="atLeast"/>
        </w:trPr>
        <w:tc>
          <w:tcPr>
            <w:tcW w:w="1554" w:type="dxa"/>
            <w:vAlign w:val="top"/>
          </w:tcPr>
          <w:p>
            <w:pPr>
              <w:pStyle w:val="TableText"/>
              <w:ind w:left="505"/>
              <w:spacing w:before="82" w:line="177" w:lineRule="exact"/>
              <w:rPr>
                <w:sz w:val="21"/>
                <w:szCs w:val="21"/>
              </w:rPr>
            </w:pPr>
            <w:r>
              <w:rPr>
                <w:sz w:val="21"/>
                <w:szCs w:val="21"/>
                <w:spacing w:val="-1"/>
                <w:position w:val="-2"/>
              </w:rPr>
              <w:t>DA001</w:t>
            </w:r>
          </w:p>
        </w:tc>
        <w:tc>
          <w:tcPr>
            <w:tcW w:w="819" w:type="dxa"/>
            <w:vAlign w:val="top"/>
            <w:vMerge w:val="restart"/>
            <w:tcBorders>
              <w:bottom w:val="nil"/>
            </w:tcBorders>
          </w:tcPr>
          <w:p>
            <w:pPr>
              <w:spacing w:line="439" w:lineRule="auto"/>
              <w:rPr>
                <w:rFonts w:ascii="Arial"/>
                <w:sz w:val="21"/>
              </w:rPr>
            </w:pPr>
            <w:r/>
          </w:p>
          <w:p>
            <w:pPr>
              <w:pStyle w:val="TableText"/>
              <w:ind w:left="191"/>
              <w:spacing w:before="68" w:line="211" w:lineRule="auto"/>
              <w:rPr>
                <w:sz w:val="21"/>
                <w:szCs w:val="21"/>
              </w:rPr>
            </w:pPr>
            <w:r>
              <w:rPr>
                <w:sz w:val="21"/>
                <w:szCs w:val="21"/>
                <w:spacing w:val="-1"/>
              </w:rPr>
              <w:t>X1厂</w:t>
            </w:r>
          </w:p>
          <w:p>
            <w:pPr>
              <w:pStyle w:val="TableText"/>
              <w:ind w:left="291"/>
              <w:spacing w:line="220" w:lineRule="auto"/>
              <w:rPr>
                <w:sz w:val="21"/>
                <w:szCs w:val="21"/>
              </w:rPr>
            </w:pPr>
            <w:r>
              <w:rPr>
                <w:sz w:val="21"/>
                <w:szCs w:val="21"/>
              </w:rPr>
              <w:t>房</w:t>
            </w:r>
          </w:p>
        </w:tc>
        <w:tc>
          <w:tcPr>
            <w:tcW w:w="1579" w:type="dxa"/>
            <w:vAlign w:val="top"/>
          </w:tcPr>
          <w:p>
            <w:pPr>
              <w:pStyle w:val="TableText"/>
              <w:ind w:left="252"/>
              <w:spacing w:before="29" w:line="203" w:lineRule="auto"/>
              <w:rPr>
                <w:sz w:val="21"/>
                <w:szCs w:val="21"/>
              </w:rPr>
            </w:pPr>
            <w:r>
              <w:rPr>
                <w:sz w:val="21"/>
                <w:szCs w:val="21"/>
                <w:spacing w:val="-2"/>
              </w:rPr>
              <w:t>涂布废气1#</w:t>
            </w:r>
          </w:p>
        </w:tc>
        <w:tc>
          <w:tcPr>
            <w:tcW w:w="1619" w:type="dxa"/>
            <w:vAlign w:val="top"/>
            <w:vMerge w:val="restart"/>
            <w:tcBorders>
              <w:bottom w:val="nil"/>
            </w:tcBorders>
          </w:tcPr>
          <w:p>
            <w:pPr>
              <w:spacing w:line="274" w:lineRule="auto"/>
              <w:rPr>
                <w:rFonts w:ascii="Arial"/>
                <w:sz w:val="21"/>
              </w:rPr>
            </w:pPr>
            <w:r/>
          </w:p>
          <w:p>
            <w:pPr>
              <w:spacing w:line="274" w:lineRule="auto"/>
              <w:rPr>
                <w:rFonts w:ascii="Arial"/>
                <w:sz w:val="21"/>
              </w:rPr>
            </w:pPr>
            <w:r/>
          </w:p>
          <w:p>
            <w:pPr>
              <w:pStyle w:val="TableText"/>
              <w:ind w:left="273"/>
              <w:spacing w:before="68" w:line="220" w:lineRule="auto"/>
              <w:rPr>
                <w:sz w:val="21"/>
                <w:szCs w:val="21"/>
              </w:rPr>
            </w:pPr>
            <w:r>
              <w:rPr>
                <w:sz w:val="21"/>
                <w:szCs w:val="21"/>
                <w:spacing w:val="-2"/>
              </w:rPr>
              <w:t>非甲烷总烃</w:t>
            </w:r>
          </w:p>
        </w:tc>
        <w:tc>
          <w:tcPr>
            <w:tcW w:w="2528" w:type="dxa"/>
            <w:vAlign w:val="top"/>
          </w:tcPr>
          <w:p>
            <w:pPr>
              <w:pStyle w:val="TableText"/>
              <w:ind w:left="314"/>
              <w:spacing w:before="29" w:line="203" w:lineRule="auto"/>
              <w:rPr>
                <w:sz w:val="21"/>
                <w:szCs w:val="21"/>
              </w:rPr>
            </w:pPr>
            <w:r>
              <w:rPr>
                <w:sz w:val="21"/>
                <w:szCs w:val="21"/>
              </w:rPr>
              <w:t>1台NMP轮转回收装置</w:t>
            </w:r>
          </w:p>
        </w:tc>
        <w:tc>
          <w:tcPr>
            <w:tcW w:w="2089" w:type="dxa"/>
            <w:vAlign w:val="top"/>
          </w:tcPr>
          <w:p>
            <w:pPr>
              <w:rPr>
                <w:rFonts w:ascii="Arial"/>
                <w:sz w:val="21"/>
              </w:rPr>
            </w:pPr>
            <w:r/>
          </w:p>
        </w:tc>
        <w:tc>
          <w:tcPr>
            <w:tcW w:w="2538" w:type="dxa"/>
            <w:vAlign w:val="top"/>
          </w:tcPr>
          <w:p>
            <w:pPr>
              <w:rPr>
                <w:rFonts w:ascii="Arial"/>
                <w:sz w:val="21"/>
              </w:rPr>
            </w:pPr>
            <w:r/>
          </w:p>
        </w:tc>
        <w:tc>
          <w:tcPr>
            <w:tcW w:w="1384" w:type="dxa"/>
            <w:vAlign w:val="top"/>
          </w:tcPr>
          <w:p>
            <w:pPr>
              <w:rPr>
                <w:rFonts w:ascii="Arial"/>
                <w:sz w:val="21"/>
              </w:rPr>
            </w:pPr>
            <w:r/>
          </w:p>
        </w:tc>
      </w:tr>
      <w:tr>
        <w:trPr>
          <w:trHeight w:val="270" w:hRule="atLeast"/>
        </w:trPr>
        <w:tc>
          <w:tcPr>
            <w:tcW w:w="1554" w:type="dxa"/>
            <w:vAlign w:val="top"/>
          </w:tcPr>
          <w:p>
            <w:pPr>
              <w:pStyle w:val="TableText"/>
              <w:ind w:left="505"/>
              <w:spacing w:before="82" w:line="177" w:lineRule="exact"/>
              <w:rPr>
                <w:sz w:val="21"/>
                <w:szCs w:val="21"/>
              </w:rPr>
            </w:pPr>
            <w:r>
              <w:rPr>
                <w:sz w:val="21"/>
                <w:szCs w:val="21"/>
                <w:spacing w:val="-1"/>
                <w:position w:val="-2"/>
              </w:rPr>
              <w:t>DA013</w:t>
            </w:r>
          </w:p>
        </w:tc>
        <w:tc>
          <w:tcPr>
            <w:tcW w:w="819" w:type="dxa"/>
            <w:vAlign w:val="top"/>
            <w:vMerge w:val="continue"/>
            <w:tcBorders>
              <w:top w:val="nil"/>
              <w:bottom w:val="nil"/>
            </w:tcBorders>
          </w:tcPr>
          <w:p>
            <w:pPr>
              <w:rPr>
                <w:rFonts w:ascii="Arial"/>
                <w:sz w:val="21"/>
              </w:rPr>
            </w:pPr>
            <w:r/>
          </w:p>
        </w:tc>
        <w:tc>
          <w:tcPr>
            <w:tcW w:w="1579" w:type="dxa"/>
            <w:vAlign w:val="top"/>
          </w:tcPr>
          <w:p>
            <w:pPr>
              <w:pStyle w:val="TableText"/>
              <w:ind w:left="252"/>
              <w:spacing w:before="29" w:line="203" w:lineRule="auto"/>
              <w:rPr>
                <w:sz w:val="21"/>
                <w:szCs w:val="21"/>
              </w:rPr>
            </w:pPr>
            <w:r>
              <w:rPr>
                <w:sz w:val="21"/>
                <w:szCs w:val="21"/>
                <w:spacing w:val="-2"/>
              </w:rPr>
              <w:t>涂布废气2#</w:t>
            </w:r>
          </w:p>
        </w:tc>
        <w:tc>
          <w:tcPr>
            <w:tcW w:w="1619" w:type="dxa"/>
            <w:vAlign w:val="top"/>
            <w:vMerge w:val="continue"/>
            <w:tcBorders>
              <w:top w:val="nil"/>
              <w:bottom w:val="nil"/>
            </w:tcBorders>
          </w:tcPr>
          <w:p>
            <w:pPr>
              <w:rPr>
                <w:rFonts w:ascii="Arial"/>
                <w:sz w:val="21"/>
              </w:rPr>
            </w:pPr>
            <w:r/>
          </w:p>
        </w:tc>
        <w:tc>
          <w:tcPr>
            <w:tcW w:w="2528" w:type="dxa"/>
            <w:vAlign w:val="top"/>
          </w:tcPr>
          <w:p>
            <w:pPr>
              <w:pStyle w:val="TableText"/>
              <w:ind w:left="314"/>
              <w:spacing w:before="29" w:line="203" w:lineRule="auto"/>
              <w:rPr>
                <w:sz w:val="21"/>
                <w:szCs w:val="21"/>
              </w:rPr>
            </w:pPr>
            <w:r>
              <w:rPr>
                <w:sz w:val="21"/>
                <w:szCs w:val="21"/>
              </w:rPr>
              <w:t>7台NMP轮转回收装置</w:t>
            </w:r>
          </w:p>
        </w:tc>
        <w:tc>
          <w:tcPr>
            <w:tcW w:w="2089" w:type="dxa"/>
            <w:vAlign w:val="top"/>
          </w:tcPr>
          <w:p>
            <w:pPr>
              <w:rPr>
                <w:rFonts w:ascii="Arial"/>
                <w:sz w:val="21"/>
              </w:rPr>
            </w:pPr>
            <w:r/>
          </w:p>
        </w:tc>
        <w:tc>
          <w:tcPr>
            <w:tcW w:w="2538" w:type="dxa"/>
            <w:vAlign w:val="top"/>
          </w:tcPr>
          <w:p>
            <w:pPr>
              <w:rPr>
                <w:rFonts w:ascii="Arial"/>
                <w:sz w:val="21"/>
              </w:rPr>
            </w:pPr>
            <w:r/>
          </w:p>
        </w:tc>
        <w:tc>
          <w:tcPr>
            <w:tcW w:w="1384" w:type="dxa"/>
            <w:vAlign w:val="top"/>
          </w:tcPr>
          <w:p>
            <w:pPr>
              <w:rPr>
                <w:rFonts w:ascii="Arial"/>
                <w:sz w:val="21"/>
              </w:rPr>
            </w:pPr>
            <w:r/>
          </w:p>
        </w:tc>
      </w:tr>
      <w:tr>
        <w:trPr>
          <w:trHeight w:val="309" w:hRule="atLeast"/>
        </w:trPr>
        <w:tc>
          <w:tcPr>
            <w:tcW w:w="1554" w:type="dxa"/>
            <w:vAlign w:val="top"/>
          </w:tcPr>
          <w:p>
            <w:pPr>
              <w:pStyle w:val="TableText"/>
              <w:ind w:left="505"/>
              <w:spacing w:before="102" w:line="173" w:lineRule="auto"/>
              <w:rPr>
                <w:sz w:val="21"/>
                <w:szCs w:val="21"/>
              </w:rPr>
            </w:pPr>
            <w:r>
              <w:rPr>
                <w:sz w:val="21"/>
                <w:szCs w:val="21"/>
                <w:spacing w:val="-1"/>
              </w:rPr>
              <w:t>DA002</w:t>
            </w:r>
          </w:p>
        </w:tc>
        <w:tc>
          <w:tcPr>
            <w:tcW w:w="819" w:type="dxa"/>
            <w:vAlign w:val="top"/>
            <w:vMerge w:val="continue"/>
            <w:tcBorders>
              <w:top w:val="nil"/>
              <w:bottom w:val="nil"/>
            </w:tcBorders>
          </w:tcPr>
          <w:p>
            <w:pPr>
              <w:rPr>
                <w:rFonts w:ascii="Arial"/>
                <w:sz w:val="21"/>
              </w:rPr>
            </w:pPr>
            <w:r/>
          </w:p>
        </w:tc>
        <w:tc>
          <w:tcPr>
            <w:tcW w:w="1579" w:type="dxa"/>
            <w:vAlign w:val="top"/>
          </w:tcPr>
          <w:p>
            <w:pPr>
              <w:pStyle w:val="TableText"/>
              <w:ind w:left="152"/>
              <w:spacing w:before="49" w:line="219" w:lineRule="auto"/>
              <w:rPr>
                <w:sz w:val="21"/>
                <w:szCs w:val="21"/>
              </w:rPr>
            </w:pPr>
            <w:r>
              <w:rPr>
                <w:sz w:val="21"/>
                <w:szCs w:val="21"/>
                <w:spacing w:val="2"/>
              </w:rPr>
              <w:t>一次注液废气</w:t>
            </w:r>
          </w:p>
        </w:tc>
        <w:tc>
          <w:tcPr>
            <w:tcW w:w="1619" w:type="dxa"/>
            <w:vAlign w:val="top"/>
            <w:vMerge w:val="continue"/>
            <w:tcBorders>
              <w:top w:val="nil"/>
              <w:bottom w:val="nil"/>
            </w:tcBorders>
          </w:tcPr>
          <w:p>
            <w:pPr>
              <w:rPr>
                <w:rFonts w:ascii="Arial"/>
                <w:sz w:val="21"/>
              </w:rPr>
            </w:pPr>
            <w:r/>
          </w:p>
        </w:tc>
        <w:tc>
          <w:tcPr>
            <w:tcW w:w="2528" w:type="dxa"/>
            <w:vAlign w:val="top"/>
          </w:tcPr>
          <w:p>
            <w:pPr>
              <w:pStyle w:val="TableText"/>
              <w:ind w:left="734"/>
              <w:spacing w:before="48" w:line="219" w:lineRule="auto"/>
              <w:rPr>
                <w:sz w:val="21"/>
                <w:szCs w:val="21"/>
              </w:rPr>
            </w:pPr>
            <w:r>
              <w:rPr>
                <w:sz w:val="21"/>
                <w:szCs w:val="21"/>
                <w:spacing w:val="1"/>
              </w:rPr>
              <w:t>活性炭吸附</w:t>
            </w:r>
          </w:p>
        </w:tc>
        <w:tc>
          <w:tcPr>
            <w:tcW w:w="2089" w:type="dxa"/>
            <w:vAlign w:val="top"/>
          </w:tcPr>
          <w:p>
            <w:pPr>
              <w:rPr>
                <w:rFonts w:ascii="Arial"/>
                <w:sz w:val="21"/>
              </w:rPr>
            </w:pPr>
            <w:r/>
          </w:p>
        </w:tc>
        <w:tc>
          <w:tcPr>
            <w:tcW w:w="2538" w:type="dxa"/>
            <w:vAlign w:val="top"/>
          </w:tcPr>
          <w:p>
            <w:pPr>
              <w:rPr>
                <w:rFonts w:ascii="Arial"/>
                <w:sz w:val="21"/>
              </w:rPr>
            </w:pPr>
            <w:r/>
          </w:p>
        </w:tc>
        <w:tc>
          <w:tcPr>
            <w:tcW w:w="1384" w:type="dxa"/>
            <w:vAlign w:val="top"/>
          </w:tcPr>
          <w:p>
            <w:pPr>
              <w:rPr>
                <w:rFonts w:ascii="Arial"/>
                <w:sz w:val="21"/>
              </w:rPr>
            </w:pPr>
            <w:r/>
          </w:p>
        </w:tc>
      </w:tr>
      <w:tr>
        <w:trPr>
          <w:trHeight w:val="270" w:hRule="atLeast"/>
        </w:trPr>
        <w:tc>
          <w:tcPr>
            <w:tcW w:w="1554" w:type="dxa"/>
            <w:vAlign w:val="top"/>
          </w:tcPr>
          <w:p>
            <w:pPr>
              <w:pStyle w:val="TableText"/>
              <w:ind w:left="505"/>
              <w:spacing w:before="83" w:line="177" w:lineRule="exact"/>
              <w:rPr>
                <w:sz w:val="21"/>
                <w:szCs w:val="21"/>
              </w:rPr>
            </w:pPr>
            <w:r>
              <w:rPr>
                <w:sz w:val="21"/>
                <w:szCs w:val="21"/>
                <w:spacing w:val="-1"/>
                <w:position w:val="-2"/>
              </w:rPr>
              <w:t>DA003</w:t>
            </w:r>
          </w:p>
        </w:tc>
        <w:tc>
          <w:tcPr>
            <w:tcW w:w="819" w:type="dxa"/>
            <w:vAlign w:val="top"/>
            <w:vMerge w:val="continue"/>
            <w:tcBorders>
              <w:top w:val="nil"/>
              <w:bottom w:val="nil"/>
            </w:tcBorders>
          </w:tcPr>
          <w:p>
            <w:pPr>
              <w:rPr>
                <w:rFonts w:ascii="Arial"/>
                <w:sz w:val="21"/>
              </w:rPr>
            </w:pPr>
            <w:r/>
          </w:p>
        </w:tc>
        <w:tc>
          <w:tcPr>
            <w:tcW w:w="1579" w:type="dxa"/>
            <w:vAlign w:val="top"/>
          </w:tcPr>
          <w:p>
            <w:pPr>
              <w:pStyle w:val="TableText"/>
              <w:ind w:left="152"/>
              <w:spacing w:before="30" w:line="202" w:lineRule="auto"/>
              <w:rPr>
                <w:sz w:val="21"/>
                <w:szCs w:val="21"/>
              </w:rPr>
            </w:pPr>
            <w:r>
              <w:rPr>
                <w:sz w:val="21"/>
                <w:szCs w:val="21"/>
                <w:spacing w:val="2"/>
              </w:rPr>
              <w:t>二次注液废气</w:t>
            </w:r>
          </w:p>
        </w:tc>
        <w:tc>
          <w:tcPr>
            <w:tcW w:w="1619" w:type="dxa"/>
            <w:vAlign w:val="top"/>
            <w:vMerge w:val="continue"/>
            <w:tcBorders>
              <w:top w:val="nil"/>
              <w:bottom w:val="nil"/>
            </w:tcBorders>
          </w:tcPr>
          <w:p>
            <w:pPr>
              <w:rPr>
                <w:rFonts w:ascii="Arial"/>
                <w:sz w:val="21"/>
              </w:rPr>
            </w:pPr>
            <w:r/>
          </w:p>
        </w:tc>
        <w:tc>
          <w:tcPr>
            <w:tcW w:w="2528" w:type="dxa"/>
            <w:vAlign w:val="top"/>
          </w:tcPr>
          <w:p>
            <w:pPr>
              <w:pStyle w:val="TableText"/>
              <w:ind w:left="734"/>
              <w:spacing w:before="30" w:line="202" w:lineRule="auto"/>
              <w:rPr>
                <w:sz w:val="21"/>
                <w:szCs w:val="21"/>
              </w:rPr>
            </w:pPr>
            <w:r>
              <w:rPr>
                <w:sz w:val="21"/>
                <w:szCs w:val="21"/>
                <w:spacing w:val="1"/>
              </w:rPr>
              <w:t>活性炭吸附</w:t>
            </w:r>
          </w:p>
        </w:tc>
        <w:tc>
          <w:tcPr>
            <w:tcW w:w="2089" w:type="dxa"/>
            <w:vAlign w:val="top"/>
          </w:tcPr>
          <w:p>
            <w:pPr>
              <w:rPr>
                <w:rFonts w:ascii="Arial"/>
                <w:sz w:val="21"/>
              </w:rPr>
            </w:pPr>
            <w:r/>
          </w:p>
        </w:tc>
        <w:tc>
          <w:tcPr>
            <w:tcW w:w="2538" w:type="dxa"/>
            <w:vAlign w:val="top"/>
          </w:tcPr>
          <w:p>
            <w:pPr>
              <w:rPr>
                <w:rFonts w:ascii="Arial"/>
                <w:sz w:val="21"/>
              </w:rPr>
            </w:pPr>
            <w:r/>
          </w:p>
        </w:tc>
        <w:tc>
          <w:tcPr>
            <w:tcW w:w="1384" w:type="dxa"/>
            <w:vAlign w:val="top"/>
          </w:tcPr>
          <w:p>
            <w:pPr>
              <w:rPr>
                <w:rFonts w:ascii="Arial"/>
                <w:sz w:val="21"/>
              </w:rPr>
            </w:pPr>
            <w:r/>
          </w:p>
        </w:tc>
      </w:tr>
      <w:tr>
        <w:trPr>
          <w:trHeight w:val="280" w:hRule="atLeast"/>
        </w:trPr>
        <w:tc>
          <w:tcPr>
            <w:tcW w:w="1554" w:type="dxa"/>
            <w:vAlign w:val="top"/>
          </w:tcPr>
          <w:p>
            <w:pPr>
              <w:pStyle w:val="TableText"/>
              <w:ind w:left="505"/>
              <w:spacing w:before="93" w:line="177" w:lineRule="exact"/>
              <w:rPr>
                <w:sz w:val="21"/>
                <w:szCs w:val="21"/>
              </w:rPr>
            </w:pPr>
            <w:r>
              <w:rPr>
                <w:sz w:val="21"/>
                <w:szCs w:val="21"/>
                <w:spacing w:val="-1"/>
                <w:position w:val="-2"/>
              </w:rPr>
              <w:t>DA004</w:t>
            </w:r>
          </w:p>
        </w:tc>
        <w:tc>
          <w:tcPr>
            <w:tcW w:w="819" w:type="dxa"/>
            <w:vAlign w:val="top"/>
            <w:vMerge w:val="continue"/>
            <w:tcBorders>
              <w:top w:val="nil"/>
            </w:tcBorders>
          </w:tcPr>
          <w:p>
            <w:pPr>
              <w:rPr>
                <w:rFonts w:ascii="Arial"/>
                <w:sz w:val="21"/>
              </w:rPr>
            </w:pPr>
            <w:r/>
          </w:p>
        </w:tc>
        <w:tc>
          <w:tcPr>
            <w:tcW w:w="1579" w:type="dxa"/>
            <w:vAlign w:val="top"/>
          </w:tcPr>
          <w:p>
            <w:pPr>
              <w:pStyle w:val="TableText"/>
              <w:ind w:left="362"/>
              <w:spacing w:before="40" w:line="202" w:lineRule="auto"/>
              <w:rPr>
                <w:sz w:val="21"/>
                <w:szCs w:val="21"/>
              </w:rPr>
            </w:pPr>
            <w:r>
              <w:rPr>
                <w:sz w:val="21"/>
                <w:szCs w:val="21"/>
                <w:spacing w:val="3"/>
              </w:rPr>
              <w:t>氦检废气</w:t>
            </w:r>
          </w:p>
        </w:tc>
        <w:tc>
          <w:tcPr>
            <w:tcW w:w="1619" w:type="dxa"/>
            <w:vAlign w:val="top"/>
            <w:vMerge w:val="continue"/>
            <w:tcBorders>
              <w:top w:val="nil"/>
            </w:tcBorders>
          </w:tcPr>
          <w:p>
            <w:pPr>
              <w:rPr>
                <w:rFonts w:ascii="Arial"/>
                <w:sz w:val="21"/>
              </w:rPr>
            </w:pPr>
            <w:r/>
          </w:p>
        </w:tc>
        <w:tc>
          <w:tcPr>
            <w:tcW w:w="2528" w:type="dxa"/>
            <w:vAlign w:val="top"/>
          </w:tcPr>
          <w:p>
            <w:pPr>
              <w:pStyle w:val="TableText"/>
              <w:ind w:left="734"/>
              <w:spacing w:before="40" w:line="202" w:lineRule="auto"/>
              <w:rPr>
                <w:sz w:val="21"/>
                <w:szCs w:val="21"/>
              </w:rPr>
            </w:pPr>
            <w:r>
              <w:rPr>
                <w:sz w:val="21"/>
                <w:szCs w:val="21"/>
                <w:spacing w:val="1"/>
              </w:rPr>
              <w:t>活性炭吸附</w:t>
            </w:r>
          </w:p>
        </w:tc>
        <w:tc>
          <w:tcPr>
            <w:tcW w:w="2089" w:type="dxa"/>
            <w:vAlign w:val="top"/>
          </w:tcPr>
          <w:p>
            <w:pPr>
              <w:rPr>
                <w:rFonts w:ascii="Arial"/>
                <w:sz w:val="21"/>
              </w:rPr>
            </w:pPr>
            <w:r/>
          </w:p>
        </w:tc>
        <w:tc>
          <w:tcPr>
            <w:tcW w:w="2538" w:type="dxa"/>
            <w:vAlign w:val="top"/>
          </w:tcPr>
          <w:p>
            <w:pPr>
              <w:rPr>
                <w:rFonts w:ascii="Arial"/>
                <w:sz w:val="21"/>
              </w:rPr>
            </w:pPr>
            <w:r/>
          </w:p>
        </w:tc>
        <w:tc>
          <w:tcPr>
            <w:tcW w:w="1384" w:type="dxa"/>
            <w:vAlign w:val="top"/>
          </w:tcPr>
          <w:p>
            <w:pPr>
              <w:rPr>
                <w:rFonts w:ascii="Arial"/>
                <w:sz w:val="21"/>
              </w:rPr>
            </w:pPr>
            <w:r/>
          </w:p>
        </w:tc>
      </w:tr>
      <w:tr>
        <w:trPr>
          <w:trHeight w:val="299" w:hRule="atLeast"/>
        </w:trPr>
        <w:tc>
          <w:tcPr>
            <w:tcW w:w="1554" w:type="dxa"/>
            <w:vAlign w:val="top"/>
            <w:vMerge w:val="restart"/>
            <w:tcBorders>
              <w:bottom w:val="nil"/>
            </w:tcBorders>
          </w:tcPr>
          <w:p>
            <w:pPr>
              <w:spacing w:line="312" w:lineRule="auto"/>
              <w:rPr>
                <w:rFonts w:ascii="Arial"/>
                <w:sz w:val="21"/>
              </w:rPr>
            </w:pPr>
            <w:r/>
          </w:p>
          <w:p>
            <w:pPr>
              <w:pStyle w:val="TableText"/>
              <w:ind w:left="505"/>
              <w:spacing w:before="68" w:line="185" w:lineRule="auto"/>
              <w:rPr>
                <w:sz w:val="21"/>
                <w:szCs w:val="21"/>
              </w:rPr>
            </w:pPr>
            <w:r>
              <w:rPr>
                <w:sz w:val="21"/>
                <w:szCs w:val="21"/>
                <w:spacing w:val="-1"/>
              </w:rPr>
              <w:t>DA005</w:t>
            </w:r>
          </w:p>
        </w:tc>
        <w:tc>
          <w:tcPr>
            <w:tcW w:w="2398" w:type="dxa"/>
            <w:vAlign w:val="top"/>
            <w:gridSpan w:val="2"/>
            <w:vMerge w:val="restart"/>
            <w:tcBorders>
              <w:bottom w:val="nil"/>
            </w:tcBorders>
          </w:tcPr>
          <w:p>
            <w:pPr>
              <w:spacing w:line="259" w:lineRule="auto"/>
              <w:rPr>
                <w:rFonts w:ascii="Arial"/>
                <w:sz w:val="21"/>
              </w:rPr>
            </w:pPr>
            <w:r/>
          </w:p>
          <w:p>
            <w:pPr>
              <w:pStyle w:val="TableText"/>
              <w:ind w:left="661"/>
              <w:spacing w:before="68" w:line="219" w:lineRule="auto"/>
              <w:rPr>
                <w:sz w:val="21"/>
                <w:szCs w:val="21"/>
              </w:rPr>
            </w:pPr>
            <w:r>
              <w:rPr>
                <w:sz w:val="21"/>
                <w:szCs w:val="21"/>
                <w:spacing w:val="2"/>
              </w:rPr>
              <w:t>焚烧炉废气</w:t>
            </w:r>
          </w:p>
        </w:tc>
        <w:tc>
          <w:tcPr>
            <w:tcW w:w="1619" w:type="dxa"/>
            <w:vAlign w:val="top"/>
          </w:tcPr>
          <w:p>
            <w:pPr>
              <w:pStyle w:val="TableText"/>
              <w:ind w:left="483"/>
              <w:spacing w:before="51" w:line="209" w:lineRule="auto"/>
              <w:rPr>
                <w:sz w:val="21"/>
                <w:szCs w:val="21"/>
              </w:rPr>
            </w:pPr>
            <w:r>
              <w:rPr>
                <w:sz w:val="21"/>
                <w:szCs w:val="21"/>
                <w:spacing w:val="-2"/>
              </w:rPr>
              <w:t>颗粒物</w:t>
            </w:r>
          </w:p>
        </w:tc>
        <w:tc>
          <w:tcPr>
            <w:tcW w:w="2528" w:type="dxa"/>
            <w:vAlign w:val="top"/>
            <w:vMerge w:val="restart"/>
            <w:tcBorders>
              <w:bottom w:val="nil"/>
            </w:tcBorders>
          </w:tcPr>
          <w:p>
            <w:pPr>
              <w:pStyle w:val="TableText"/>
              <w:ind w:left="833" w:right="222" w:hanging="629"/>
              <w:spacing w:before="219" w:line="228" w:lineRule="auto"/>
              <w:rPr>
                <w:sz w:val="21"/>
                <w:szCs w:val="21"/>
              </w:rPr>
            </w:pPr>
            <w:r>
              <w:rPr>
                <w:sz w:val="21"/>
                <w:szCs w:val="21"/>
                <w:spacing w:val="-1"/>
              </w:rPr>
              <w:t>布袋除尘+碱液喷淋+活</w:t>
            </w:r>
            <w:r>
              <w:rPr>
                <w:sz w:val="21"/>
                <w:szCs w:val="21"/>
                <w:spacing w:val="1"/>
              </w:rPr>
              <w:t xml:space="preserve"> </w:t>
            </w:r>
            <w:r>
              <w:rPr>
                <w:sz w:val="21"/>
                <w:szCs w:val="21"/>
                <w:spacing w:val="-3"/>
              </w:rPr>
              <w:t>性炭吸附</w:t>
            </w:r>
          </w:p>
        </w:tc>
        <w:tc>
          <w:tcPr>
            <w:tcW w:w="2089" w:type="dxa"/>
            <w:vAlign w:val="top"/>
          </w:tcPr>
          <w:p>
            <w:pPr>
              <w:rPr>
                <w:rFonts w:ascii="Arial"/>
                <w:sz w:val="21"/>
              </w:rPr>
            </w:pPr>
            <w:r/>
          </w:p>
        </w:tc>
        <w:tc>
          <w:tcPr>
            <w:tcW w:w="2538" w:type="dxa"/>
            <w:vAlign w:val="top"/>
          </w:tcPr>
          <w:p>
            <w:pPr>
              <w:rPr>
                <w:rFonts w:ascii="Arial"/>
                <w:sz w:val="21"/>
              </w:rPr>
            </w:pPr>
            <w:r/>
          </w:p>
        </w:tc>
        <w:tc>
          <w:tcPr>
            <w:tcW w:w="1384" w:type="dxa"/>
            <w:vAlign w:val="top"/>
          </w:tcPr>
          <w:p>
            <w:pPr>
              <w:rPr>
                <w:rFonts w:ascii="Arial"/>
                <w:sz w:val="21"/>
              </w:rPr>
            </w:pPr>
            <w:r/>
          </w:p>
        </w:tc>
      </w:tr>
      <w:tr>
        <w:trPr>
          <w:trHeight w:val="270" w:hRule="atLeast"/>
        </w:trPr>
        <w:tc>
          <w:tcPr>
            <w:tcW w:w="1554" w:type="dxa"/>
            <w:vAlign w:val="top"/>
            <w:vMerge w:val="continue"/>
            <w:tcBorders>
              <w:top w:val="nil"/>
              <w:bottom w:val="nil"/>
            </w:tcBorders>
          </w:tcPr>
          <w:p>
            <w:pPr>
              <w:rPr>
                <w:rFonts w:ascii="Arial"/>
                <w:sz w:val="21"/>
              </w:rPr>
            </w:pPr>
            <w:r/>
          </w:p>
        </w:tc>
        <w:tc>
          <w:tcPr>
            <w:tcW w:w="2398" w:type="dxa"/>
            <w:vAlign w:val="top"/>
            <w:gridSpan w:val="2"/>
            <w:vMerge w:val="continue"/>
            <w:tcBorders>
              <w:top w:val="nil"/>
              <w:bottom w:val="nil"/>
            </w:tcBorders>
          </w:tcPr>
          <w:p>
            <w:pPr>
              <w:rPr>
                <w:rFonts w:ascii="Arial"/>
                <w:sz w:val="21"/>
              </w:rPr>
            </w:pPr>
            <w:r/>
          </w:p>
        </w:tc>
        <w:tc>
          <w:tcPr>
            <w:tcW w:w="1619" w:type="dxa"/>
            <w:vAlign w:val="top"/>
          </w:tcPr>
          <w:p>
            <w:pPr>
              <w:pStyle w:val="TableText"/>
              <w:ind w:left="643"/>
              <w:spacing w:before="85" w:line="175" w:lineRule="exact"/>
              <w:rPr>
                <w:sz w:val="21"/>
                <w:szCs w:val="21"/>
              </w:rPr>
            </w:pPr>
            <w:r>
              <w:rPr>
                <w:sz w:val="21"/>
                <w:szCs w:val="21"/>
                <w:spacing w:val="-1"/>
                <w:position w:val="-2"/>
              </w:rPr>
              <w:t>NOx</w:t>
            </w:r>
          </w:p>
        </w:tc>
        <w:tc>
          <w:tcPr>
            <w:tcW w:w="2528" w:type="dxa"/>
            <w:vAlign w:val="top"/>
            <w:vMerge w:val="continue"/>
            <w:tcBorders>
              <w:top w:val="nil"/>
              <w:bottom w:val="nil"/>
            </w:tcBorders>
          </w:tcPr>
          <w:p>
            <w:pPr>
              <w:rPr>
                <w:rFonts w:ascii="Arial"/>
                <w:sz w:val="21"/>
              </w:rPr>
            </w:pPr>
            <w:r/>
          </w:p>
        </w:tc>
        <w:tc>
          <w:tcPr>
            <w:tcW w:w="2089" w:type="dxa"/>
            <w:vAlign w:val="top"/>
          </w:tcPr>
          <w:p>
            <w:pPr>
              <w:rPr>
                <w:rFonts w:ascii="Arial"/>
                <w:sz w:val="21"/>
              </w:rPr>
            </w:pPr>
            <w:r/>
          </w:p>
        </w:tc>
        <w:tc>
          <w:tcPr>
            <w:tcW w:w="2538" w:type="dxa"/>
            <w:vAlign w:val="top"/>
          </w:tcPr>
          <w:p>
            <w:pPr>
              <w:rPr>
                <w:rFonts w:ascii="Arial"/>
                <w:sz w:val="21"/>
              </w:rPr>
            </w:pPr>
            <w:r/>
          </w:p>
        </w:tc>
        <w:tc>
          <w:tcPr>
            <w:tcW w:w="1384" w:type="dxa"/>
            <w:vAlign w:val="top"/>
          </w:tcPr>
          <w:p>
            <w:pPr>
              <w:rPr>
                <w:rFonts w:ascii="Arial"/>
                <w:sz w:val="21"/>
              </w:rPr>
            </w:pPr>
            <w:r/>
          </w:p>
        </w:tc>
      </w:tr>
      <w:tr>
        <w:trPr>
          <w:trHeight w:val="280" w:hRule="atLeast"/>
        </w:trPr>
        <w:tc>
          <w:tcPr>
            <w:tcW w:w="1554" w:type="dxa"/>
            <w:vAlign w:val="top"/>
            <w:vMerge w:val="continue"/>
            <w:tcBorders>
              <w:top w:val="nil"/>
            </w:tcBorders>
          </w:tcPr>
          <w:p>
            <w:pPr>
              <w:rPr>
                <w:rFonts w:ascii="Arial"/>
                <w:sz w:val="21"/>
              </w:rPr>
            </w:pPr>
            <w:r/>
          </w:p>
        </w:tc>
        <w:tc>
          <w:tcPr>
            <w:tcW w:w="2398" w:type="dxa"/>
            <w:vAlign w:val="top"/>
            <w:gridSpan w:val="2"/>
            <w:vMerge w:val="continue"/>
            <w:tcBorders>
              <w:top w:val="nil"/>
            </w:tcBorders>
          </w:tcPr>
          <w:p>
            <w:pPr>
              <w:rPr>
                <w:rFonts w:ascii="Arial"/>
                <w:sz w:val="21"/>
              </w:rPr>
            </w:pPr>
            <w:r/>
          </w:p>
        </w:tc>
        <w:tc>
          <w:tcPr>
            <w:tcW w:w="1619" w:type="dxa"/>
            <w:vAlign w:val="top"/>
          </w:tcPr>
          <w:p>
            <w:pPr>
              <w:pStyle w:val="TableText"/>
              <w:ind w:left="273"/>
              <w:spacing w:before="42" w:line="200" w:lineRule="auto"/>
              <w:rPr>
                <w:sz w:val="21"/>
                <w:szCs w:val="21"/>
              </w:rPr>
            </w:pPr>
            <w:r>
              <w:rPr>
                <w:sz w:val="21"/>
                <w:szCs w:val="21"/>
                <w:spacing w:val="-2"/>
              </w:rPr>
              <w:t>非甲烷总烃</w:t>
            </w:r>
          </w:p>
        </w:tc>
        <w:tc>
          <w:tcPr>
            <w:tcW w:w="2528" w:type="dxa"/>
            <w:vAlign w:val="top"/>
            <w:vMerge w:val="continue"/>
            <w:tcBorders>
              <w:top w:val="nil"/>
            </w:tcBorders>
          </w:tcPr>
          <w:p>
            <w:pPr>
              <w:rPr>
                <w:rFonts w:ascii="Arial"/>
                <w:sz w:val="21"/>
              </w:rPr>
            </w:pPr>
            <w:r/>
          </w:p>
        </w:tc>
        <w:tc>
          <w:tcPr>
            <w:tcW w:w="2089" w:type="dxa"/>
            <w:vAlign w:val="top"/>
          </w:tcPr>
          <w:p>
            <w:pPr>
              <w:rPr>
                <w:rFonts w:ascii="Arial"/>
                <w:sz w:val="21"/>
              </w:rPr>
            </w:pPr>
            <w:r/>
          </w:p>
        </w:tc>
        <w:tc>
          <w:tcPr>
            <w:tcW w:w="2538" w:type="dxa"/>
            <w:vAlign w:val="top"/>
          </w:tcPr>
          <w:p>
            <w:pPr>
              <w:rPr>
                <w:rFonts w:ascii="Arial"/>
                <w:sz w:val="21"/>
              </w:rPr>
            </w:pPr>
            <w:r/>
          </w:p>
        </w:tc>
        <w:tc>
          <w:tcPr>
            <w:tcW w:w="1384" w:type="dxa"/>
            <w:vAlign w:val="top"/>
          </w:tcPr>
          <w:p>
            <w:pPr>
              <w:rPr>
                <w:rFonts w:ascii="Arial"/>
                <w:sz w:val="21"/>
              </w:rPr>
            </w:pPr>
            <w:r/>
          </w:p>
        </w:tc>
      </w:tr>
      <w:tr>
        <w:trPr>
          <w:trHeight w:val="299" w:hRule="atLeast"/>
        </w:trPr>
        <w:tc>
          <w:tcPr>
            <w:tcW w:w="1554" w:type="dxa"/>
            <w:vAlign w:val="top"/>
            <w:vMerge w:val="restart"/>
            <w:tcBorders>
              <w:bottom w:val="nil"/>
            </w:tcBorders>
          </w:tcPr>
          <w:p>
            <w:pPr>
              <w:pStyle w:val="TableText"/>
              <w:ind w:left="505"/>
              <w:spacing w:before="243" w:line="185" w:lineRule="auto"/>
              <w:rPr>
                <w:sz w:val="21"/>
                <w:szCs w:val="21"/>
              </w:rPr>
            </w:pPr>
            <w:r>
              <w:rPr>
                <w:sz w:val="21"/>
                <w:szCs w:val="21"/>
                <w:spacing w:val="-1"/>
              </w:rPr>
              <w:t>DA006</w:t>
            </w:r>
          </w:p>
        </w:tc>
        <w:tc>
          <w:tcPr>
            <w:tcW w:w="2398" w:type="dxa"/>
            <w:vAlign w:val="top"/>
            <w:gridSpan w:val="2"/>
            <w:vMerge w:val="restart"/>
            <w:tcBorders>
              <w:bottom w:val="nil"/>
            </w:tcBorders>
          </w:tcPr>
          <w:p>
            <w:pPr>
              <w:pStyle w:val="TableText"/>
              <w:ind w:left="451"/>
              <w:spacing w:before="191" w:line="219" w:lineRule="auto"/>
              <w:rPr>
                <w:sz w:val="21"/>
                <w:szCs w:val="21"/>
              </w:rPr>
            </w:pPr>
            <w:r>
              <w:rPr>
                <w:sz w:val="21"/>
                <w:szCs w:val="21"/>
                <w:spacing w:val="-2"/>
              </w:rPr>
              <w:t>污水处理站恶臭</w:t>
            </w:r>
          </w:p>
        </w:tc>
        <w:tc>
          <w:tcPr>
            <w:tcW w:w="1619" w:type="dxa"/>
            <w:vAlign w:val="top"/>
          </w:tcPr>
          <w:p>
            <w:pPr>
              <w:pStyle w:val="TableText"/>
              <w:ind w:left="592"/>
              <w:spacing w:before="85" w:line="179" w:lineRule="auto"/>
              <w:rPr>
                <w:rFonts w:ascii="Calibri" w:hAnsi="Calibri" w:eastAsia="Calibri" w:cs="Calibri"/>
                <w:sz w:val="21"/>
                <w:szCs w:val="21"/>
              </w:rPr>
            </w:pPr>
            <w:r>
              <w:rPr>
                <w:sz w:val="21"/>
                <w:szCs w:val="21"/>
                <w:spacing w:val="-1"/>
              </w:rPr>
              <w:t>NH</w:t>
            </w:r>
            <w:r>
              <w:rPr>
                <w:rFonts w:ascii="Calibri" w:hAnsi="Calibri" w:eastAsia="Calibri" w:cs="Calibri"/>
                <w:sz w:val="21"/>
                <w:szCs w:val="21"/>
                <w:spacing w:val="-1"/>
              </w:rPr>
              <w:t>₃</w:t>
            </w:r>
          </w:p>
        </w:tc>
        <w:tc>
          <w:tcPr>
            <w:tcW w:w="2528" w:type="dxa"/>
            <w:vAlign w:val="top"/>
            <w:vMerge w:val="restart"/>
            <w:tcBorders>
              <w:bottom w:val="nil"/>
            </w:tcBorders>
          </w:tcPr>
          <w:p>
            <w:pPr>
              <w:pStyle w:val="TableText"/>
              <w:ind w:left="673"/>
              <w:spacing w:before="189" w:line="218" w:lineRule="auto"/>
              <w:rPr>
                <w:sz w:val="21"/>
                <w:szCs w:val="21"/>
              </w:rPr>
            </w:pPr>
            <w:r>
              <w:rPr>
                <w:sz w:val="21"/>
                <w:szCs w:val="21"/>
                <w:spacing w:val="-1"/>
              </w:rPr>
              <w:t>碱液喷淋+UV</w:t>
            </w:r>
          </w:p>
        </w:tc>
        <w:tc>
          <w:tcPr>
            <w:tcW w:w="2089" w:type="dxa"/>
            <w:vAlign w:val="top"/>
          </w:tcPr>
          <w:p>
            <w:pPr>
              <w:rPr>
                <w:rFonts w:ascii="Arial"/>
                <w:sz w:val="21"/>
              </w:rPr>
            </w:pPr>
            <w:r/>
          </w:p>
        </w:tc>
        <w:tc>
          <w:tcPr>
            <w:tcW w:w="2538" w:type="dxa"/>
            <w:vAlign w:val="top"/>
          </w:tcPr>
          <w:p>
            <w:pPr>
              <w:rPr>
                <w:rFonts w:ascii="Arial"/>
                <w:sz w:val="21"/>
              </w:rPr>
            </w:pPr>
            <w:r/>
          </w:p>
        </w:tc>
        <w:tc>
          <w:tcPr>
            <w:tcW w:w="1384" w:type="dxa"/>
            <w:vAlign w:val="top"/>
          </w:tcPr>
          <w:p>
            <w:pPr>
              <w:rPr>
                <w:rFonts w:ascii="Arial"/>
                <w:sz w:val="21"/>
              </w:rPr>
            </w:pPr>
            <w:r/>
          </w:p>
        </w:tc>
      </w:tr>
      <w:tr>
        <w:trPr>
          <w:trHeight w:val="280" w:hRule="atLeast"/>
        </w:trPr>
        <w:tc>
          <w:tcPr>
            <w:tcW w:w="1554" w:type="dxa"/>
            <w:vAlign w:val="top"/>
            <w:vMerge w:val="continue"/>
            <w:tcBorders>
              <w:top w:val="nil"/>
            </w:tcBorders>
          </w:tcPr>
          <w:p>
            <w:pPr>
              <w:rPr>
                <w:rFonts w:ascii="Arial"/>
                <w:sz w:val="21"/>
              </w:rPr>
            </w:pPr>
            <w:r/>
          </w:p>
        </w:tc>
        <w:tc>
          <w:tcPr>
            <w:tcW w:w="2398" w:type="dxa"/>
            <w:vAlign w:val="top"/>
            <w:gridSpan w:val="2"/>
            <w:vMerge w:val="continue"/>
            <w:tcBorders>
              <w:top w:val="nil"/>
            </w:tcBorders>
          </w:tcPr>
          <w:p>
            <w:pPr>
              <w:rPr>
                <w:rFonts w:ascii="Arial"/>
                <w:sz w:val="21"/>
              </w:rPr>
            </w:pPr>
            <w:r/>
          </w:p>
        </w:tc>
        <w:tc>
          <w:tcPr>
            <w:tcW w:w="1619" w:type="dxa"/>
            <w:vAlign w:val="top"/>
          </w:tcPr>
          <w:p>
            <w:pPr>
              <w:pStyle w:val="TableText"/>
              <w:ind w:left="592"/>
              <w:spacing w:before="76" w:line="170" w:lineRule="auto"/>
              <w:rPr>
                <w:sz w:val="21"/>
                <w:szCs w:val="21"/>
              </w:rPr>
            </w:pPr>
            <w:r>
              <w:rPr>
                <w:sz w:val="21"/>
                <w:szCs w:val="21"/>
                <w:spacing w:val="-2"/>
              </w:rPr>
              <w:t>H</w:t>
            </w:r>
            <w:r>
              <w:rPr>
                <w:rFonts w:ascii="Calibri" w:hAnsi="Calibri" w:eastAsia="Calibri" w:cs="Calibri"/>
                <w:sz w:val="21"/>
                <w:szCs w:val="21"/>
                <w:spacing w:val="-2"/>
              </w:rPr>
              <w:t>₂</w:t>
            </w:r>
            <w:r>
              <w:rPr>
                <w:sz w:val="21"/>
                <w:szCs w:val="21"/>
                <w:spacing w:val="-2"/>
              </w:rPr>
              <w:t>S</w:t>
            </w:r>
          </w:p>
        </w:tc>
        <w:tc>
          <w:tcPr>
            <w:tcW w:w="2528" w:type="dxa"/>
            <w:vAlign w:val="top"/>
            <w:vMerge w:val="continue"/>
            <w:tcBorders>
              <w:top w:val="nil"/>
            </w:tcBorders>
          </w:tcPr>
          <w:p>
            <w:pPr>
              <w:rPr>
                <w:rFonts w:ascii="Arial"/>
                <w:sz w:val="21"/>
              </w:rPr>
            </w:pPr>
            <w:r/>
          </w:p>
        </w:tc>
        <w:tc>
          <w:tcPr>
            <w:tcW w:w="2089" w:type="dxa"/>
            <w:vAlign w:val="top"/>
          </w:tcPr>
          <w:p>
            <w:pPr>
              <w:rPr>
                <w:rFonts w:ascii="Arial"/>
                <w:sz w:val="21"/>
              </w:rPr>
            </w:pPr>
            <w:r/>
          </w:p>
        </w:tc>
        <w:tc>
          <w:tcPr>
            <w:tcW w:w="2538" w:type="dxa"/>
            <w:vAlign w:val="top"/>
          </w:tcPr>
          <w:p>
            <w:pPr>
              <w:rPr>
                <w:rFonts w:ascii="Arial"/>
                <w:sz w:val="21"/>
              </w:rPr>
            </w:pPr>
            <w:r/>
          </w:p>
        </w:tc>
        <w:tc>
          <w:tcPr>
            <w:tcW w:w="1384" w:type="dxa"/>
            <w:vAlign w:val="top"/>
          </w:tcPr>
          <w:p>
            <w:pPr>
              <w:rPr>
                <w:rFonts w:ascii="Arial"/>
                <w:sz w:val="21"/>
              </w:rPr>
            </w:pPr>
            <w:r/>
          </w:p>
        </w:tc>
      </w:tr>
      <w:tr>
        <w:trPr>
          <w:trHeight w:val="270" w:hRule="atLeast"/>
        </w:trPr>
        <w:tc>
          <w:tcPr>
            <w:tcW w:w="1554" w:type="dxa"/>
            <w:vAlign w:val="top"/>
          </w:tcPr>
          <w:p>
            <w:pPr>
              <w:pStyle w:val="TableText"/>
              <w:ind w:left="505"/>
              <w:spacing w:before="85" w:line="175" w:lineRule="exact"/>
              <w:rPr>
                <w:sz w:val="21"/>
                <w:szCs w:val="21"/>
              </w:rPr>
            </w:pPr>
            <w:r>
              <w:rPr>
                <w:sz w:val="21"/>
                <w:szCs w:val="21"/>
                <w:spacing w:val="-1"/>
                <w:position w:val="-2"/>
              </w:rPr>
              <w:t>DA007</w:t>
            </w:r>
          </w:p>
        </w:tc>
        <w:tc>
          <w:tcPr>
            <w:tcW w:w="2398" w:type="dxa"/>
            <w:vAlign w:val="top"/>
            <w:gridSpan w:val="2"/>
          </w:tcPr>
          <w:p>
            <w:pPr>
              <w:pStyle w:val="TableText"/>
              <w:ind w:left="451"/>
              <w:spacing w:before="32" w:line="200" w:lineRule="auto"/>
              <w:rPr>
                <w:sz w:val="21"/>
                <w:szCs w:val="21"/>
              </w:rPr>
            </w:pPr>
            <w:r>
              <w:rPr>
                <w:sz w:val="21"/>
                <w:szCs w:val="21"/>
                <w:spacing w:val="2"/>
              </w:rPr>
              <w:t>真空泵系统废气</w:t>
            </w:r>
          </w:p>
        </w:tc>
        <w:tc>
          <w:tcPr>
            <w:tcW w:w="1619" w:type="dxa"/>
            <w:vAlign w:val="top"/>
          </w:tcPr>
          <w:p>
            <w:pPr>
              <w:pStyle w:val="TableText"/>
              <w:ind w:left="273"/>
              <w:spacing w:before="33" w:line="199" w:lineRule="auto"/>
              <w:rPr>
                <w:sz w:val="21"/>
                <w:szCs w:val="21"/>
              </w:rPr>
            </w:pPr>
            <w:r>
              <w:rPr>
                <w:sz w:val="21"/>
                <w:szCs w:val="21"/>
                <w:spacing w:val="-2"/>
              </w:rPr>
              <w:t>非甲烷总烃</w:t>
            </w:r>
          </w:p>
        </w:tc>
        <w:tc>
          <w:tcPr>
            <w:tcW w:w="2528" w:type="dxa"/>
            <w:vAlign w:val="top"/>
          </w:tcPr>
          <w:p>
            <w:pPr>
              <w:pStyle w:val="TableText"/>
              <w:ind w:left="624"/>
              <w:spacing w:before="32" w:line="200" w:lineRule="auto"/>
              <w:rPr>
                <w:sz w:val="21"/>
                <w:szCs w:val="21"/>
              </w:rPr>
            </w:pPr>
            <w:r>
              <w:rPr>
                <w:sz w:val="21"/>
                <w:szCs w:val="21"/>
                <w:spacing w:val="-2"/>
              </w:rPr>
              <w:t>滤筒除油+RTO</w:t>
            </w:r>
          </w:p>
        </w:tc>
        <w:tc>
          <w:tcPr>
            <w:tcW w:w="2089" w:type="dxa"/>
            <w:vAlign w:val="top"/>
          </w:tcPr>
          <w:p>
            <w:pPr>
              <w:rPr>
                <w:rFonts w:ascii="Arial"/>
                <w:sz w:val="21"/>
              </w:rPr>
            </w:pPr>
            <w:r/>
          </w:p>
        </w:tc>
        <w:tc>
          <w:tcPr>
            <w:tcW w:w="2538" w:type="dxa"/>
            <w:vAlign w:val="top"/>
          </w:tcPr>
          <w:p>
            <w:pPr>
              <w:rPr>
                <w:rFonts w:ascii="Arial"/>
                <w:sz w:val="21"/>
              </w:rPr>
            </w:pPr>
            <w:r/>
          </w:p>
        </w:tc>
        <w:tc>
          <w:tcPr>
            <w:tcW w:w="1384" w:type="dxa"/>
            <w:vAlign w:val="top"/>
          </w:tcPr>
          <w:p>
            <w:pPr>
              <w:rPr>
                <w:rFonts w:ascii="Arial"/>
                <w:sz w:val="21"/>
              </w:rPr>
            </w:pPr>
            <w:r/>
          </w:p>
        </w:tc>
      </w:tr>
      <w:tr>
        <w:trPr>
          <w:trHeight w:val="299" w:hRule="atLeast"/>
        </w:trPr>
        <w:tc>
          <w:tcPr>
            <w:tcW w:w="1554" w:type="dxa"/>
            <w:vAlign w:val="top"/>
          </w:tcPr>
          <w:p>
            <w:pPr>
              <w:pStyle w:val="TableText"/>
              <w:ind w:left="505"/>
              <w:spacing w:before="104" w:line="162" w:lineRule="auto"/>
              <w:rPr>
                <w:sz w:val="21"/>
                <w:szCs w:val="21"/>
              </w:rPr>
            </w:pPr>
            <w:r>
              <w:rPr>
                <w:sz w:val="21"/>
                <w:szCs w:val="21"/>
                <w:spacing w:val="-1"/>
              </w:rPr>
              <w:t>DA008</w:t>
            </w:r>
          </w:p>
        </w:tc>
        <w:tc>
          <w:tcPr>
            <w:tcW w:w="2398" w:type="dxa"/>
            <w:vAlign w:val="top"/>
            <w:gridSpan w:val="2"/>
          </w:tcPr>
          <w:p>
            <w:pPr>
              <w:pStyle w:val="TableText"/>
              <w:ind w:left="451"/>
              <w:spacing w:before="53" w:line="207" w:lineRule="auto"/>
              <w:rPr>
                <w:sz w:val="21"/>
                <w:szCs w:val="21"/>
              </w:rPr>
            </w:pPr>
            <w:r>
              <w:rPr>
                <w:sz w:val="21"/>
                <w:szCs w:val="21"/>
                <w:spacing w:val="2"/>
              </w:rPr>
              <w:t>食堂一油烟废气</w:t>
            </w:r>
          </w:p>
        </w:tc>
        <w:tc>
          <w:tcPr>
            <w:tcW w:w="1619" w:type="dxa"/>
            <w:vAlign w:val="top"/>
            <w:vMerge w:val="restart"/>
            <w:tcBorders>
              <w:bottom w:val="nil"/>
            </w:tcBorders>
          </w:tcPr>
          <w:p>
            <w:pPr>
              <w:spacing w:line="263" w:lineRule="auto"/>
              <w:rPr>
                <w:rFonts w:ascii="Arial"/>
                <w:sz w:val="21"/>
              </w:rPr>
            </w:pPr>
            <w:r/>
          </w:p>
          <w:p>
            <w:pPr>
              <w:pStyle w:val="TableText"/>
              <w:ind w:left="592"/>
              <w:spacing w:before="69" w:line="221" w:lineRule="auto"/>
              <w:rPr>
                <w:sz w:val="21"/>
                <w:szCs w:val="21"/>
              </w:rPr>
            </w:pPr>
            <w:r>
              <w:rPr>
                <w:sz w:val="21"/>
                <w:szCs w:val="21"/>
                <w:spacing w:val="6"/>
              </w:rPr>
              <w:t>油烟</w:t>
            </w:r>
          </w:p>
        </w:tc>
        <w:tc>
          <w:tcPr>
            <w:tcW w:w="2528" w:type="dxa"/>
            <w:vAlign w:val="top"/>
          </w:tcPr>
          <w:p>
            <w:pPr>
              <w:pStyle w:val="TableText"/>
              <w:ind w:left="734"/>
              <w:spacing w:before="53" w:line="207" w:lineRule="auto"/>
              <w:rPr>
                <w:sz w:val="21"/>
                <w:szCs w:val="21"/>
              </w:rPr>
            </w:pPr>
            <w:r>
              <w:rPr>
                <w:sz w:val="21"/>
                <w:szCs w:val="21"/>
                <w:spacing w:val="1"/>
              </w:rPr>
              <w:t>油烟净化器</w:t>
            </w:r>
          </w:p>
        </w:tc>
        <w:tc>
          <w:tcPr>
            <w:tcW w:w="6011" w:type="dxa"/>
            <w:vAlign w:val="top"/>
            <w:gridSpan w:val="3"/>
            <w:vMerge w:val="restart"/>
            <w:tcBorders>
              <w:bottom w:val="nil"/>
            </w:tcBorders>
          </w:tcPr>
          <w:p>
            <w:pPr>
              <w:pStyle w:val="TableText"/>
              <w:ind w:left="2269"/>
              <w:spacing w:before="190" w:line="221" w:lineRule="auto"/>
              <w:rPr>
                <w:sz w:val="21"/>
                <w:szCs w:val="21"/>
              </w:rPr>
            </w:pPr>
            <w:r>
              <w:rPr>
                <w:sz w:val="21"/>
                <w:szCs w:val="21"/>
                <w:b/>
                <w:bCs/>
                <w:spacing w:val="-4"/>
              </w:rPr>
              <w:t>涉密，不予公开</w:t>
            </w:r>
          </w:p>
        </w:tc>
      </w:tr>
      <w:tr>
        <w:trPr>
          <w:trHeight w:val="280" w:hRule="atLeast"/>
        </w:trPr>
        <w:tc>
          <w:tcPr>
            <w:tcW w:w="1554" w:type="dxa"/>
            <w:vAlign w:val="top"/>
          </w:tcPr>
          <w:p>
            <w:pPr>
              <w:pStyle w:val="TableText"/>
              <w:ind w:left="505"/>
              <w:spacing w:before="96" w:line="173" w:lineRule="exact"/>
              <w:rPr>
                <w:sz w:val="21"/>
                <w:szCs w:val="21"/>
              </w:rPr>
            </w:pPr>
            <w:r>
              <w:rPr>
                <w:sz w:val="21"/>
                <w:szCs w:val="21"/>
                <w:spacing w:val="-1"/>
                <w:position w:val="-2"/>
              </w:rPr>
              <w:t>DA009</w:t>
            </w:r>
          </w:p>
        </w:tc>
        <w:tc>
          <w:tcPr>
            <w:tcW w:w="2398" w:type="dxa"/>
            <w:vAlign w:val="top"/>
            <w:gridSpan w:val="2"/>
            <w:vMerge w:val="restart"/>
            <w:tcBorders>
              <w:bottom w:val="nil"/>
            </w:tcBorders>
          </w:tcPr>
          <w:p>
            <w:pPr>
              <w:pStyle w:val="TableText"/>
              <w:ind w:left="451"/>
              <w:spacing w:before="184" w:line="220" w:lineRule="auto"/>
              <w:rPr>
                <w:sz w:val="21"/>
                <w:szCs w:val="21"/>
              </w:rPr>
            </w:pPr>
            <w:r>
              <w:rPr>
                <w:sz w:val="21"/>
                <w:szCs w:val="21"/>
                <w:spacing w:val="2"/>
              </w:rPr>
              <w:t>食堂二油烟废气</w:t>
            </w:r>
          </w:p>
        </w:tc>
        <w:tc>
          <w:tcPr>
            <w:tcW w:w="1619" w:type="dxa"/>
            <w:vAlign w:val="top"/>
            <w:vMerge w:val="continue"/>
            <w:tcBorders>
              <w:top w:val="nil"/>
              <w:bottom w:val="nil"/>
            </w:tcBorders>
          </w:tcPr>
          <w:p>
            <w:pPr>
              <w:rPr>
                <w:rFonts w:ascii="Arial"/>
                <w:sz w:val="21"/>
              </w:rPr>
            </w:pPr>
            <w:r/>
          </w:p>
        </w:tc>
        <w:tc>
          <w:tcPr>
            <w:tcW w:w="2528" w:type="dxa"/>
            <w:vAlign w:val="top"/>
            <w:vMerge w:val="restart"/>
            <w:tcBorders>
              <w:bottom w:val="nil"/>
            </w:tcBorders>
          </w:tcPr>
          <w:p>
            <w:pPr>
              <w:pStyle w:val="TableText"/>
              <w:ind w:left="734"/>
              <w:spacing w:before="184" w:line="220" w:lineRule="auto"/>
              <w:rPr>
                <w:sz w:val="21"/>
                <w:szCs w:val="21"/>
              </w:rPr>
            </w:pPr>
            <w:r>
              <w:rPr>
                <w:sz w:val="21"/>
                <w:szCs w:val="21"/>
                <w:spacing w:val="1"/>
              </w:rPr>
              <w:t>油烟净化器</w:t>
            </w:r>
          </w:p>
        </w:tc>
        <w:tc>
          <w:tcPr>
            <w:tcW w:w="6011" w:type="dxa"/>
            <w:vAlign w:val="top"/>
            <w:gridSpan w:val="3"/>
            <w:vMerge w:val="continue"/>
            <w:tcBorders>
              <w:top w:val="nil"/>
            </w:tcBorders>
          </w:tcPr>
          <w:p>
            <w:pPr>
              <w:rPr>
                <w:rFonts w:ascii="Arial"/>
                <w:sz w:val="21"/>
              </w:rPr>
            </w:pPr>
            <w:r/>
          </w:p>
        </w:tc>
      </w:tr>
      <w:tr>
        <w:trPr>
          <w:trHeight w:val="270" w:hRule="atLeast"/>
        </w:trPr>
        <w:tc>
          <w:tcPr>
            <w:tcW w:w="1554" w:type="dxa"/>
            <w:vAlign w:val="top"/>
          </w:tcPr>
          <w:p>
            <w:pPr>
              <w:pStyle w:val="TableText"/>
              <w:ind w:left="505"/>
              <w:spacing w:before="86" w:line="173" w:lineRule="exact"/>
              <w:rPr>
                <w:sz w:val="21"/>
                <w:szCs w:val="21"/>
              </w:rPr>
            </w:pPr>
            <w:r>
              <w:rPr>
                <w:sz w:val="21"/>
                <w:szCs w:val="21"/>
                <w:spacing w:val="-1"/>
                <w:position w:val="-2"/>
              </w:rPr>
              <w:t>DA010</w:t>
            </w:r>
          </w:p>
        </w:tc>
        <w:tc>
          <w:tcPr>
            <w:tcW w:w="2398" w:type="dxa"/>
            <w:vAlign w:val="top"/>
            <w:gridSpan w:val="2"/>
            <w:vMerge w:val="continue"/>
            <w:tcBorders>
              <w:top w:val="nil"/>
            </w:tcBorders>
          </w:tcPr>
          <w:p>
            <w:pPr>
              <w:rPr>
                <w:rFonts w:ascii="Arial"/>
                <w:sz w:val="21"/>
              </w:rPr>
            </w:pPr>
            <w:r/>
          </w:p>
        </w:tc>
        <w:tc>
          <w:tcPr>
            <w:tcW w:w="1619" w:type="dxa"/>
            <w:vAlign w:val="top"/>
            <w:vMerge w:val="continue"/>
            <w:tcBorders>
              <w:top w:val="nil"/>
            </w:tcBorders>
          </w:tcPr>
          <w:p>
            <w:pPr>
              <w:rPr>
                <w:rFonts w:ascii="Arial"/>
                <w:sz w:val="21"/>
              </w:rPr>
            </w:pPr>
            <w:r/>
          </w:p>
        </w:tc>
        <w:tc>
          <w:tcPr>
            <w:tcW w:w="2528" w:type="dxa"/>
            <w:vAlign w:val="top"/>
            <w:vMerge w:val="continue"/>
            <w:tcBorders>
              <w:top w:val="nil"/>
            </w:tcBorders>
          </w:tcPr>
          <w:p>
            <w:pPr>
              <w:rPr>
                <w:rFonts w:ascii="Arial"/>
                <w:sz w:val="21"/>
              </w:rPr>
            </w:pPr>
            <w:r/>
          </w:p>
        </w:tc>
        <w:tc>
          <w:tcPr>
            <w:tcW w:w="2089" w:type="dxa"/>
            <w:vAlign w:val="top"/>
          </w:tcPr>
          <w:p>
            <w:pPr>
              <w:rPr>
                <w:rFonts w:ascii="Arial"/>
                <w:sz w:val="21"/>
              </w:rPr>
            </w:pPr>
            <w:r/>
          </w:p>
        </w:tc>
        <w:tc>
          <w:tcPr>
            <w:tcW w:w="2538" w:type="dxa"/>
            <w:vAlign w:val="top"/>
          </w:tcPr>
          <w:p>
            <w:pPr>
              <w:rPr>
                <w:rFonts w:ascii="Arial"/>
                <w:sz w:val="21"/>
              </w:rPr>
            </w:pPr>
            <w:r/>
          </w:p>
        </w:tc>
        <w:tc>
          <w:tcPr>
            <w:tcW w:w="1384" w:type="dxa"/>
            <w:vAlign w:val="top"/>
          </w:tcPr>
          <w:p>
            <w:pPr>
              <w:rPr>
                <w:rFonts w:ascii="Arial"/>
                <w:sz w:val="21"/>
              </w:rPr>
            </w:pPr>
            <w:r/>
          </w:p>
        </w:tc>
      </w:tr>
      <w:tr>
        <w:trPr>
          <w:trHeight w:val="299" w:hRule="atLeast"/>
        </w:trPr>
        <w:tc>
          <w:tcPr>
            <w:tcW w:w="1554" w:type="dxa"/>
            <w:vAlign w:val="top"/>
            <w:vMerge w:val="restart"/>
            <w:tcBorders>
              <w:bottom w:val="nil"/>
            </w:tcBorders>
          </w:tcPr>
          <w:p>
            <w:pPr>
              <w:pStyle w:val="TableText"/>
              <w:ind w:left="505"/>
              <w:spacing w:before="275" w:line="184" w:lineRule="auto"/>
              <w:rPr>
                <w:sz w:val="21"/>
                <w:szCs w:val="21"/>
              </w:rPr>
            </w:pPr>
            <w:r>
              <w:rPr>
                <w:sz w:val="21"/>
                <w:szCs w:val="21"/>
                <w:spacing w:val="-1"/>
              </w:rPr>
              <w:t>DA011</w:t>
            </w:r>
          </w:p>
          <w:p>
            <w:pPr>
              <w:pStyle w:val="TableText"/>
              <w:ind w:left="455"/>
              <w:spacing w:line="220" w:lineRule="auto"/>
              <w:rPr>
                <w:sz w:val="21"/>
                <w:szCs w:val="21"/>
              </w:rPr>
            </w:pPr>
            <w:r>
              <w:rPr>
                <w:sz w:val="21"/>
                <w:szCs w:val="21"/>
                <w:spacing w:val="11"/>
              </w:rPr>
              <w:t>(备用)</w:t>
            </w:r>
          </w:p>
        </w:tc>
        <w:tc>
          <w:tcPr>
            <w:tcW w:w="2398" w:type="dxa"/>
            <w:vAlign w:val="top"/>
            <w:gridSpan w:val="2"/>
            <w:vMerge w:val="restart"/>
            <w:tcBorders>
              <w:bottom w:val="nil"/>
            </w:tcBorders>
          </w:tcPr>
          <w:p>
            <w:pPr>
              <w:spacing w:line="264" w:lineRule="auto"/>
              <w:rPr>
                <w:rFonts w:ascii="Arial"/>
                <w:sz w:val="21"/>
              </w:rPr>
            </w:pPr>
            <w:r/>
          </w:p>
          <w:p>
            <w:pPr>
              <w:pStyle w:val="TableText"/>
              <w:ind w:left="561"/>
              <w:spacing w:before="68" w:line="220" w:lineRule="auto"/>
              <w:rPr>
                <w:sz w:val="21"/>
                <w:szCs w:val="21"/>
              </w:rPr>
            </w:pPr>
            <w:r>
              <w:rPr>
                <w:sz w:val="21"/>
                <w:szCs w:val="21"/>
                <w:spacing w:val="2"/>
              </w:rPr>
              <w:t>蒸汽锅炉废气</w:t>
            </w:r>
          </w:p>
        </w:tc>
        <w:tc>
          <w:tcPr>
            <w:tcW w:w="1619" w:type="dxa"/>
            <w:vAlign w:val="top"/>
          </w:tcPr>
          <w:p>
            <w:pPr>
              <w:pStyle w:val="TableText"/>
              <w:ind w:left="483"/>
              <w:spacing w:before="54" w:line="206" w:lineRule="auto"/>
              <w:rPr>
                <w:sz w:val="21"/>
                <w:szCs w:val="21"/>
              </w:rPr>
            </w:pPr>
            <w:r>
              <w:rPr>
                <w:sz w:val="21"/>
                <w:szCs w:val="21"/>
                <w:spacing w:val="-2"/>
              </w:rPr>
              <w:t>颗粒物</w:t>
            </w:r>
          </w:p>
        </w:tc>
        <w:tc>
          <w:tcPr>
            <w:tcW w:w="2528" w:type="dxa"/>
            <w:vAlign w:val="top"/>
            <w:vMerge w:val="restart"/>
            <w:tcBorders>
              <w:bottom w:val="nil"/>
            </w:tcBorders>
          </w:tcPr>
          <w:p>
            <w:pPr>
              <w:spacing w:line="349" w:lineRule="auto"/>
              <w:rPr>
                <w:rFonts w:ascii="Arial"/>
                <w:sz w:val="21"/>
              </w:rPr>
            </w:pPr>
            <w:r/>
          </w:p>
          <w:p>
            <w:pPr>
              <w:spacing w:line="350" w:lineRule="auto"/>
              <w:rPr>
                <w:rFonts w:ascii="Arial"/>
                <w:sz w:val="21"/>
              </w:rPr>
            </w:pPr>
            <w:r/>
          </w:p>
          <w:p>
            <w:pPr>
              <w:pStyle w:val="TableText"/>
              <w:ind w:left="834"/>
              <w:spacing w:before="69" w:line="219" w:lineRule="auto"/>
              <w:rPr>
                <w:sz w:val="21"/>
                <w:szCs w:val="21"/>
              </w:rPr>
            </w:pPr>
            <w:r>
              <w:rPr>
                <w:sz w:val="21"/>
                <w:szCs w:val="21"/>
                <w:spacing w:val="-2"/>
              </w:rPr>
              <w:t>低氮燃烧</w:t>
            </w:r>
          </w:p>
        </w:tc>
        <w:tc>
          <w:tcPr>
            <w:tcW w:w="2089" w:type="dxa"/>
            <w:vAlign w:val="top"/>
          </w:tcPr>
          <w:p>
            <w:pPr>
              <w:rPr>
                <w:rFonts w:ascii="Arial"/>
                <w:sz w:val="21"/>
              </w:rPr>
            </w:pPr>
            <w:r/>
          </w:p>
        </w:tc>
        <w:tc>
          <w:tcPr>
            <w:tcW w:w="2538" w:type="dxa"/>
            <w:vAlign w:val="top"/>
          </w:tcPr>
          <w:p>
            <w:pPr>
              <w:rPr>
                <w:rFonts w:ascii="Arial"/>
                <w:sz w:val="21"/>
              </w:rPr>
            </w:pPr>
            <w:r/>
          </w:p>
        </w:tc>
        <w:tc>
          <w:tcPr>
            <w:tcW w:w="1384" w:type="dxa"/>
            <w:vAlign w:val="top"/>
          </w:tcPr>
          <w:p>
            <w:pPr>
              <w:rPr>
                <w:rFonts w:ascii="Arial"/>
                <w:sz w:val="21"/>
              </w:rPr>
            </w:pPr>
            <w:r/>
          </w:p>
        </w:tc>
      </w:tr>
      <w:tr>
        <w:trPr>
          <w:trHeight w:val="280" w:hRule="atLeast"/>
        </w:trPr>
        <w:tc>
          <w:tcPr>
            <w:tcW w:w="1554" w:type="dxa"/>
            <w:vAlign w:val="top"/>
            <w:vMerge w:val="continue"/>
            <w:tcBorders>
              <w:top w:val="nil"/>
              <w:bottom w:val="nil"/>
            </w:tcBorders>
          </w:tcPr>
          <w:p>
            <w:pPr>
              <w:rPr>
                <w:rFonts w:ascii="Arial"/>
                <w:sz w:val="21"/>
              </w:rPr>
            </w:pPr>
            <w:r/>
          </w:p>
        </w:tc>
        <w:tc>
          <w:tcPr>
            <w:tcW w:w="2398" w:type="dxa"/>
            <w:vAlign w:val="top"/>
            <w:gridSpan w:val="2"/>
            <w:vMerge w:val="continue"/>
            <w:tcBorders>
              <w:top w:val="nil"/>
              <w:bottom w:val="nil"/>
            </w:tcBorders>
          </w:tcPr>
          <w:p>
            <w:pPr>
              <w:rPr>
                <w:rFonts w:ascii="Arial"/>
                <w:sz w:val="21"/>
              </w:rPr>
            </w:pPr>
            <w:r/>
          </w:p>
        </w:tc>
        <w:tc>
          <w:tcPr>
            <w:tcW w:w="1619" w:type="dxa"/>
            <w:vAlign w:val="top"/>
          </w:tcPr>
          <w:p>
            <w:pPr>
              <w:pStyle w:val="TableText"/>
              <w:ind w:left="592"/>
              <w:spacing w:before="77" w:line="169" w:lineRule="auto"/>
              <w:rPr>
                <w:rFonts w:ascii="Calibri" w:hAnsi="Calibri" w:eastAsia="Calibri" w:cs="Calibri"/>
                <w:sz w:val="21"/>
                <w:szCs w:val="21"/>
              </w:rPr>
            </w:pPr>
            <w:r>
              <w:rPr>
                <w:sz w:val="21"/>
                <w:szCs w:val="21"/>
                <w:spacing w:val="-4"/>
              </w:rPr>
              <w:t>SO</w:t>
            </w:r>
            <w:r>
              <w:rPr>
                <w:rFonts w:ascii="Calibri" w:hAnsi="Calibri" w:eastAsia="Calibri" w:cs="Calibri"/>
                <w:sz w:val="21"/>
                <w:szCs w:val="21"/>
                <w:spacing w:val="-4"/>
              </w:rPr>
              <w:t>₂</w:t>
            </w:r>
          </w:p>
        </w:tc>
        <w:tc>
          <w:tcPr>
            <w:tcW w:w="2528" w:type="dxa"/>
            <w:vAlign w:val="top"/>
            <w:vMerge w:val="continue"/>
            <w:tcBorders>
              <w:top w:val="nil"/>
              <w:bottom w:val="nil"/>
            </w:tcBorders>
          </w:tcPr>
          <w:p>
            <w:pPr>
              <w:rPr>
                <w:rFonts w:ascii="Arial"/>
                <w:sz w:val="21"/>
              </w:rPr>
            </w:pPr>
            <w:r/>
          </w:p>
        </w:tc>
        <w:tc>
          <w:tcPr>
            <w:tcW w:w="2089" w:type="dxa"/>
            <w:vAlign w:val="top"/>
          </w:tcPr>
          <w:p>
            <w:pPr>
              <w:rPr>
                <w:rFonts w:ascii="Arial"/>
                <w:sz w:val="21"/>
              </w:rPr>
            </w:pPr>
            <w:r/>
          </w:p>
        </w:tc>
        <w:tc>
          <w:tcPr>
            <w:tcW w:w="2538" w:type="dxa"/>
            <w:vAlign w:val="top"/>
          </w:tcPr>
          <w:p>
            <w:pPr>
              <w:rPr>
                <w:rFonts w:ascii="Arial"/>
                <w:sz w:val="21"/>
              </w:rPr>
            </w:pPr>
            <w:r/>
          </w:p>
        </w:tc>
        <w:tc>
          <w:tcPr>
            <w:tcW w:w="1384" w:type="dxa"/>
            <w:vAlign w:val="top"/>
          </w:tcPr>
          <w:p>
            <w:pPr>
              <w:rPr>
                <w:rFonts w:ascii="Arial"/>
                <w:sz w:val="21"/>
              </w:rPr>
            </w:pPr>
            <w:r/>
          </w:p>
        </w:tc>
      </w:tr>
      <w:tr>
        <w:trPr>
          <w:trHeight w:val="270" w:hRule="atLeast"/>
        </w:trPr>
        <w:tc>
          <w:tcPr>
            <w:tcW w:w="1554" w:type="dxa"/>
            <w:vAlign w:val="top"/>
            <w:vMerge w:val="continue"/>
            <w:tcBorders>
              <w:top w:val="nil"/>
            </w:tcBorders>
          </w:tcPr>
          <w:p>
            <w:pPr>
              <w:rPr>
                <w:rFonts w:ascii="Arial"/>
                <w:sz w:val="21"/>
              </w:rPr>
            </w:pPr>
            <w:r/>
          </w:p>
        </w:tc>
        <w:tc>
          <w:tcPr>
            <w:tcW w:w="2398" w:type="dxa"/>
            <w:vAlign w:val="top"/>
            <w:gridSpan w:val="2"/>
            <w:vMerge w:val="continue"/>
            <w:tcBorders>
              <w:top w:val="nil"/>
            </w:tcBorders>
          </w:tcPr>
          <w:p>
            <w:pPr>
              <w:rPr>
                <w:rFonts w:ascii="Arial"/>
                <w:sz w:val="21"/>
              </w:rPr>
            </w:pPr>
            <w:r/>
          </w:p>
        </w:tc>
        <w:tc>
          <w:tcPr>
            <w:tcW w:w="1619" w:type="dxa"/>
            <w:vAlign w:val="top"/>
          </w:tcPr>
          <w:p>
            <w:pPr>
              <w:pStyle w:val="TableText"/>
              <w:ind w:left="643"/>
              <w:spacing w:before="88" w:line="172" w:lineRule="exact"/>
              <w:rPr>
                <w:sz w:val="21"/>
                <w:szCs w:val="21"/>
              </w:rPr>
            </w:pPr>
            <w:r>
              <w:rPr>
                <w:sz w:val="21"/>
                <w:szCs w:val="21"/>
                <w:spacing w:val="-1"/>
                <w:position w:val="-2"/>
              </w:rPr>
              <w:t>NOx</w:t>
            </w:r>
          </w:p>
        </w:tc>
        <w:tc>
          <w:tcPr>
            <w:tcW w:w="2528" w:type="dxa"/>
            <w:vAlign w:val="top"/>
            <w:vMerge w:val="continue"/>
            <w:tcBorders>
              <w:top w:val="nil"/>
              <w:bottom w:val="nil"/>
            </w:tcBorders>
          </w:tcPr>
          <w:p>
            <w:pPr>
              <w:rPr>
                <w:rFonts w:ascii="Arial"/>
                <w:sz w:val="21"/>
              </w:rPr>
            </w:pPr>
            <w:r/>
          </w:p>
        </w:tc>
        <w:tc>
          <w:tcPr>
            <w:tcW w:w="2089" w:type="dxa"/>
            <w:vAlign w:val="top"/>
          </w:tcPr>
          <w:p>
            <w:pPr>
              <w:rPr>
                <w:rFonts w:ascii="Arial"/>
                <w:sz w:val="21"/>
              </w:rPr>
            </w:pPr>
            <w:r/>
          </w:p>
        </w:tc>
        <w:tc>
          <w:tcPr>
            <w:tcW w:w="2538" w:type="dxa"/>
            <w:vAlign w:val="top"/>
          </w:tcPr>
          <w:p>
            <w:pPr>
              <w:rPr>
                <w:rFonts w:ascii="Arial"/>
                <w:sz w:val="21"/>
              </w:rPr>
            </w:pPr>
            <w:r/>
          </w:p>
        </w:tc>
        <w:tc>
          <w:tcPr>
            <w:tcW w:w="1384" w:type="dxa"/>
            <w:vAlign w:val="top"/>
          </w:tcPr>
          <w:p>
            <w:pPr>
              <w:rPr>
                <w:rFonts w:ascii="Arial"/>
                <w:sz w:val="21"/>
              </w:rPr>
            </w:pPr>
            <w:r/>
          </w:p>
        </w:tc>
      </w:tr>
      <w:tr>
        <w:trPr>
          <w:trHeight w:val="299" w:hRule="atLeast"/>
        </w:trPr>
        <w:tc>
          <w:tcPr>
            <w:tcW w:w="1554" w:type="dxa"/>
            <w:vAlign w:val="top"/>
            <w:vMerge w:val="restart"/>
            <w:tcBorders>
              <w:bottom w:val="nil"/>
            </w:tcBorders>
          </w:tcPr>
          <w:p>
            <w:pPr>
              <w:pStyle w:val="TableText"/>
              <w:ind w:left="505"/>
              <w:spacing w:before="307" w:line="169" w:lineRule="exact"/>
              <w:rPr>
                <w:sz w:val="21"/>
                <w:szCs w:val="21"/>
              </w:rPr>
            </w:pPr>
            <w:r>
              <w:rPr>
                <w:sz w:val="21"/>
                <w:szCs w:val="21"/>
                <w:spacing w:val="-1"/>
                <w:position w:val="-1"/>
              </w:rPr>
              <w:t>DA012</w:t>
            </w:r>
          </w:p>
          <w:p>
            <w:pPr>
              <w:pStyle w:val="TableText"/>
              <w:ind w:left="455"/>
              <w:spacing w:line="220" w:lineRule="auto"/>
              <w:rPr>
                <w:sz w:val="21"/>
                <w:szCs w:val="21"/>
              </w:rPr>
            </w:pPr>
            <w:r>
              <w:rPr>
                <w:sz w:val="21"/>
                <w:szCs w:val="21"/>
                <w:spacing w:val="11"/>
              </w:rPr>
              <w:t>(备用)</w:t>
            </w:r>
          </w:p>
        </w:tc>
        <w:tc>
          <w:tcPr>
            <w:tcW w:w="2398" w:type="dxa"/>
            <w:vAlign w:val="top"/>
            <w:gridSpan w:val="2"/>
            <w:vMerge w:val="restart"/>
            <w:tcBorders>
              <w:bottom w:val="nil"/>
            </w:tcBorders>
          </w:tcPr>
          <w:p>
            <w:pPr>
              <w:spacing w:line="265" w:lineRule="auto"/>
              <w:rPr>
                <w:rFonts w:ascii="Arial"/>
                <w:sz w:val="21"/>
              </w:rPr>
            </w:pPr>
            <w:r/>
          </w:p>
          <w:p>
            <w:pPr>
              <w:pStyle w:val="TableText"/>
              <w:ind w:left="561"/>
              <w:spacing w:before="68" w:line="220" w:lineRule="auto"/>
              <w:rPr>
                <w:sz w:val="21"/>
                <w:szCs w:val="21"/>
              </w:rPr>
            </w:pPr>
            <w:r>
              <w:rPr>
                <w:sz w:val="21"/>
                <w:szCs w:val="21"/>
                <w:spacing w:val="2"/>
              </w:rPr>
              <w:t>蒸汽锅炉废气</w:t>
            </w:r>
          </w:p>
        </w:tc>
        <w:tc>
          <w:tcPr>
            <w:tcW w:w="1619" w:type="dxa"/>
            <w:vAlign w:val="top"/>
          </w:tcPr>
          <w:p>
            <w:pPr>
              <w:pStyle w:val="TableText"/>
              <w:ind w:left="483"/>
              <w:spacing w:before="55" w:line="205" w:lineRule="auto"/>
              <w:rPr>
                <w:sz w:val="21"/>
                <w:szCs w:val="21"/>
              </w:rPr>
            </w:pPr>
            <w:r>
              <w:rPr>
                <w:sz w:val="21"/>
                <w:szCs w:val="21"/>
                <w:spacing w:val="-2"/>
              </w:rPr>
              <w:t>颗粒物</w:t>
            </w:r>
          </w:p>
        </w:tc>
        <w:tc>
          <w:tcPr>
            <w:tcW w:w="2528" w:type="dxa"/>
            <w:vAlign w:val="top"/>
            <w:vMerge w:val="continue"/>
            <w:tcBorders>
              <w:top w:val="nil"/>
              <w:bottom w:val="nil"/>
            </w:tcBorders>
          </w:tcPr>
          <w:p>
            <w:pPr>
              <w:rPr>
                <w:rFonts w:ascii="Arial"/>
                <w:sz w:val="21"/>
              </w:rPr>
            </w:pPr>
            <w:r/>
          </w:p>
        </w:tc>
        <w:tc>
          <w:tcPr>
            <w:tcW w:w="2089" w:type="dxa"/>
            <w:vAlign w:val="top"/>
          </w:tcPr>
          <w:p>
            <w:pPr>
              <w:rPr>
                <w:rFonts w:ascii="Arial"/>
                <w:sz w:val="21"/>
              </w:rPr>
            </w:pPr>
            <w:r/>
          </w:p>
        </w:tc>
        <w:tc>
          <w:tcPr>
            <w:tcW w:w="2538" w:type="dxa"/>
            <w:vAlign w:val="top"/>
          </w:tcPr>
          <w:p>
            <w:pPr>
              <w:rPr>
                <w:rFonts w:ascii="Arial"/>
                <w:sz w:val="21"/>
              </w:rPr>
            </w:pPr>
            <w:r/>
          </w:p>
        </w:tc>
        <w:tc>
          <w:tcPr>
            <w:tcW w:w="1384" w:type="dxa"/>
            <w:vAlign w:val="top"/>
          </w:tcPr>
          <w:p>
            <w:pPr>
              <w:rPr>
                <w:rFonts w:ascii="Arial"/>
                <w:sz w:val="21"/>
              </w:rPr>
            </w:pPr>
            <w:r/>
          </w:p>
        </w:tc>
      </w:tr>
      <w:tr>
        <w:trPr>
          <w:trHeight w:val="280" w:hRule="atLeast"/>
        </w:trPr>
        <w:tc>
          <w:tcPr>
            <w:tcW w:w="1554" w:type="dxa"/>
            <w:vAlign w:val="top"/>
            <w:vMerge w:val="continue"/>
            <w:tcBorders>
              <w:top w:val="nil"/>
              <w:bottom w:val="nil"/>
            </w:tcBorders>
          </w:tcPr>
          <w:p>
            <w:pPr>
              <w:rPr>
                <w:rFonts w:ascii="Arial"/>
                <w:sz w:val="21"/>
              </w:rPr>
            </w:pPr>
            <w:r/>
          </w:p>
        </w:tc>
        <w:tc>
          <w:tcPr>
            <w:tcW w:w="2398" w:type="dxa"/>
            <w:vAlign w:val="top"/>
            <w:gridSpan w:val="2"/>
            <w:vMerge w:val="continue"/>
            <w:tcBorders>
              <w:top w:val="nil"/>
              <w:bottom w:val="nil"/>
            </w:tcBorders>
          </w:tcPr>
          <w:p>
            <w:pPr>
              <w:rPr>
                <w:rFonts w:ascii="Arial"/>
                <w:sz w:val="21"/>
              </w:rPr>
            </w:pPr>
            <w:r/>
          </w:p>
        </w:tc>
        <w:tc>
          <w:tcPr>
            <w:tcW w:w="1619" w:type="dxa"/>
            <w:vAlign w:val="top"/>
          </w:tcPr>
          <w:p>
            <w:pPr>
              <w:pStyle w:val="TableText"/>
              <w:ind w:left="592"/>
              <w:spacing w:before="78" w:line="168" w:lineRule="auto"/>
              <w:rPr>
                <w:rFonts w:ascii="Calibri" w:hAnsi="Calibri" w:eastAsia="Calibri" w:cs="Calibri"/>
                <w:sz w:val="21"/>
                <w:szCs w:val="21"/>
              </w:rPr>
            </w:pPr>
            <w:r>
              <w:rPr>
                <w:sz w:val="21"/>
                <w:szCs w:val="21"/>
                <w:spacing w:val="-4"/>
              </w:rPr>
              <w:t>SO</w:t>
            </w:r>
            <w:r>
              <w:rPr>
                <w:rFonts w:ascii="Calibri" w:hAnsi="Calibri" w:eastAsia="Calibri" w:cs="Calibri"/>
                <w:sz w:val="21"/>
                <w:szCs w:val="21"/>
                <w:spacing w:val="-4"/>
              </w:rPr>
              <w:t>₂</w:t>
            </w:r>
          </w:p>
        </w:tc>
        <w:tc>
          <w:tcPr>
            <w:tcW w:w="2528" w:type="dxa"/>
            <w:vAlign w:val="top"/>
            <w:vMerge w:val="continue"/>
            <w:tcBorders>
              <w:top w:val="nil"/>
              <w:bottom w:val="nil"/>
            </w:tcBorders>
          </w:tcPr>
          <w:p>
            <w:pPr>
              <w:rPr>
                <w:rFonts w:ascii="Arial"/>
                <w:sz w:val="21"/>
              </w:rPr>
            </w:pPr>
            <w:r/>
          </w:p>
        </w:tc>
        <w:tc>
          <w:tcPr>
            <w:tcW w:w="2089" w:type="dxa"/>
            <w:vAlign w:val="top"/>
          </w:tcPr>
          <w:p>
            <w:pPr>
              <w:rPr>
                <w:rFonts w:ascii="Arial"/>
                <w:sz w:val="21"/>
              </w:rPr>
            </w:pPr>
            <w:r/>
          </w:p>
        </w:tc>
        <w:tc>
          <w:tcPr>
            <w:tcW w:w="2538" w:type="dxa"/>
            <w:vAlign w:val="top"/>
          </w:tcPr>
          <w:p>
            <w:pPr>
              <w:rPr>
                <w:rFonts w:ascii="Arial"/>
                <w:sz w:val="21"/>
              </w:rPr>
            </w:pPr>
            <w:r/>
          </w:p>
        </w:tc>
        <w:tc>
          <w:tcPr>
            <w:tcW w:w="1384" w:type="dxa"/>
            <w:vAlign w:val="top"/>
          </w:tcPr>
          <w:p>
            <w:pPr>
              <w:rPr>
                <w:rFonts w:ascii="Arial"/>
                <w:sz w:val="21"/>
              </w:rPr>
            </w:pPr>
            <w:r/>
          </w:p>
        </w:tc>
      </w:tr>
      <w:tr>
        <w:trPr>
          <w:trHeight w:val="270" w:hRule="atLeast"/>
        </w:trPr>
        <w:tc>
          <w:tcPr>
            <w:tcW w:w="1554" w:type="dxa"/>
            <w:vAlign w:val="top"/>
            <w:vMerge w:val="continue"/>
            <w:tcBorders>
              <w:top w:val="nil"/>
            </w:tcBorders>
          </w:tcPr>
          <w:p>
            <w:pPr>
              <w:rPr>
                <w:rFonts w:ascii="Arial"/>
                <w:sz w:val="21"/>
              </w:rPr>
            </w:pPr>
            <w:r/>
          </w:p>
        </w:tc>
        <w:tc>
          <w:tcPr>
            <w:tcW w:w="2398" w:type="dxa"/>
            <w:vAlign w:val="top"/>
            <w:gridSpan w:val="2"/>
            <w:vMerge w:val="continue"/>
            <w:tcBorders>
              <w:top w:val="nil"/>
            </w:tcBorders>
          </w:tcPr>
          <w:p>
            <w:pPr>
              <w:rPr>
                <w:rFonts w:ascii="Arial"/>
                <w:sz w:val="21"/>
              </w:rPr>
            </w:pPr>
            <w:r/>
          </w:p>
        </w:tc>
        <w:tc>
          <w:tcPr>
            <w:tcW w:w="1619" w:type="dxa"/>
            <w:vAlign w:val="top"/>
          </w:tcPr>
          <w:p>
            <w:pPr>
              <w:pStyle w:val="TableText"/>
              <w:ind w:left="643"/>
              <w:spacing w:before="89" w:line="171" w:lineRule="exact"/>
              <w:rPr>
                <w:sz w:val="21"/>
                <w:szCs w:val="21"/>
              </w:rPr>
            </w:pPr>
            <w:r>
              <w:rPr>
                <w:sz w:val="21"/>
                <w:szCs w:val="21"/>
                <w:spacing w:val="-1"/>
                <w:position w:val="-2"/>
              </w:rPr>
              <w:t>NOx</w:t>
            </w:r>
          </w:p>
        </w:tc>
        <w:tc>
          <w:tcPr>
            <w:tcW w:w="2528" w:type="dxa"/>
            <w:vAlign w:val="top"/>
            <w:vMerge w:val="continue"/>
            <w:tcBorders>
              <w:top w:val="nil"/>
            </w:tcBorders>
          </w:tcPr>
          <w:p>
            <w:pPr>
              <w:rPr>
                <w:rFonts w:ascii="Arial"/>
                <w:sz w:val="21"/>
              </w:rPr>
            </w:pPr>
            <w:r/>
          </w:p>
        </w:tc>
        <w:tc>
          <w:tcPr>
            <w:tcW w:w="2089" w:type="dxa"/>
            <w:vAlign w:val="top"/>
          </w:tcPr>
          <w:p>
            <w:pPr>
              <w:rPr>
                <w:rFonts w:ascii="Arial"/>
                <w:sz w:val="21"/>
              </w:rPr>
            </w:pPr>
            <w:r/>
          </w:p>
        </w:tc>
        <w:tc>
          <w:tcPr>
            <w:tcW w:w="2538" w:type="dxa"/>
            <w:vAlign w:val="top"/>
          </w:tcPr>
          <w:p>
            <w:pPr>
              <w:rPr>
                <w:rFonts w:ascii="Arial"/>
                <w:sz w:val="21"/>
              </w:rPr>
            </w:pPr>
            <w:r/>
          </w:p>
        </w:tc>
        <w:tc>
          <w:tcPr>
            <w:tcW w:w="1384" w:type="dxa"/>
            <w:vAlign w:val="top"/>
          </w:tcPr>
          <w:p>
            <w:pPr>
              <w:rPr>
                <w:rFonts w:ascii="Arial"/>
                <w:sz w:val="21"/>
              </w:rPr>
            </w:pPr>
            <w:r/>
          </w:p>
        </w:tc>
      </w:tr>
      <w:tr>
        <w:trPr>
          <w:trHeight w:val="309" w:hRule="atLeast"/>
        </w:trPr>
        <w:tc>
          <w:tcPr>
            <w:tcW w:w="1554" w:type="dxa"/>
            <w:vAlign w:val="top"/>
            <w:vMerge w:val="restart"/>
            <w:tcBorders>
              <w:bottom w:val="nil"/>
            </w:tcBorders>
          </w:tcPr>
          <w:p>
            <w:pPr>
              <w:spacing w:line="327" w:lineRule="auto"/>
              <w:rPr>
                <w:rFonts w:ascii="Arial"/>
                <w:sz w:val="21"/>
              </w:rPr>
            </w:pPr>
            <w:r/>
          </w:p>
          <w:p>
            <w:pPr>
              <w:pStyle w:val="TableText"/>
              <w:ind w:left="505"/>
              <w:spacing w:before="68" w:line="185" w:lineRule="auto"/>
              <w:rPr>
                <w:sz w:val="21"/>
                <w:szCs w:val="21"/>
              </w:rPr>
            </w:pPr>
            <w:r>
              <w:rPr>
                <w:sz w:val="21"/>
                <w:szCs w:val="21"/>
                <w:spacing w:val="-1"/>
              </w:rPr>
              <w:t>DA021</w:t>
            </w:r>
          </w:p>
        </w:tc>
        <w:tc>
          <w:tcPr>
            <w:tcW w:w="2398" w:type="dxa"/>
            <w:vAlign w:val="top"/>
            <w:gridSpan w:val="2"/>
            <w:vMerge w:val="restart"/>
            <w:tcBorders>
              <w:bottom w:val="nil"/>
            </w:tcBorders>
          </w:tcPr>
          <w:p>
            <w:pPr>
              <w:spacing w:line="276" w:lineRule="auto"/>
              <w:rPr>
                <w:rFonts w:ascii="Arial"/>
                <w:sz w:val="21"/>
              </w:rPr>
            </w:pPr>
            <w:r/>
          </w:p>
          <w:p>
            <w:pPr>
              <w:pStyle w:val="TableText"/>
              <w:ind w:left="561"/>
              <w:spacing w:before="68" w:line="220" w:lineRule="auto"/>
              <w:rPr>
                <w:sz w:val="21"/>
                <w:szCs w:val="21"/>
              </w:rPr>
            </w:pPr>
            <w:r>
              <w:rPr>
                <w:sz w:val="21"/>
                <w:szCs w:val="21"/>
                <w:spacing w:val="2"/>
              </w:rPr>
              <w:t>蒸汽锅炉废气</w:t>
            </w:r>
          </w:p>
        </w:tc>
        <w:tc>
          <w:tcPr>
            <w:tcW w:w="1619" w:type="dxa"/>
            <w:vAlign w:val="top"/>
          </w:tcPr>
          <w:p>
            <w:pPr>
              <w:pStyle w:val="TableText"/>
              <w:ind w:left="483"/>
              <w:spacing w:before="56" w:line="213" w:lineRule="auto"/>
              <w:rPr>
                <w:sz w:val="21"/>
                <w:szCs w:val="21"/>
              </w:rPr>
            </w:pPr>
            <w:r>
              <w:rPr>
                <w:sz w:val="21"/>
                <w:szCs w:val="21"/>
                <w:spacing w:val="-2"/>
              </w:rPr>
              <w:t>颗粒物</w:t>
            </w:r>
          </w:p>
        </w:tc>
        <w:tc>
          <w:tcPr>
            <w:tcW w:w="2528" w:type="dxa"/>
            <w:vAlign w:val="top"/>
            <w:vMerge w:val="restart"/>
            <w:tcBorders>
              <w:bottom w:val="nil"/>
            </w:tcBorders>
          </w:tcPr>
          <w:p>
            <w:pPr>
              <w:spacing w:line="274" w:lineRule="auto"/>
              <w:rPr>
                <w:rFonts w:ascii="Arial"/>
                <w:sz w:val="21"/>
              </w:rPr>
            </w:pPr>
            <w:r/>
          </w:p>
          <w:p>
            <w:pPr>
              <w:pStyle w:val="TableText"/>
              <w:ind w:left="834"/>
              <w:spacing w:before="68" w:line="219" w:lineRule="auto"/>
              <w:rPr>
                <w:sz w:val="21"/>
                <w:szCs w:val="21"/>
              </w:rPr>
            </w:pPr>
            <w:r>
              <w:rPr>
                <w:sz w:val="21"/>
                <w:szCs w:val="21"/>
                <w:spacing w:val="-2"/>
              </w:rPr>
              <w:t>低氮燃烧</w:t>
            </w:r>
          </w:p>
        </w:tc>
        <w:tc>
          <w:tcPr>
            <w:tcW w:w="2089" w:type="dxa"/>
            <w:vAlign w:val="top"/>
          </w:tcPr>
          <w:p>
            <w:pPr>
              <w:rPr>
                <w:rFonts w:ascii="Arial"/>
                <w:sz w:val="21"/>
              </w:rPr>
            </w:pPr>
            <w:r/>
          </w:p>
        </w:tc>
        <w:tc>
          <w:tcPr>
            <w:tcW w:w="2538" w:type="dxa"/>
            <w:vAlign w:val="top"/>
          </w:tcPr>
          <w:p>
            <w:pPr>
              <w:rPr>
                <w:rFonts w:ascii="Arial"/>
                <w:sz w:val="21"/>
              </w:rPr>
            </w:pPr>
            <w:r/>
          </w:p>
        </w:tc>
        <w:tc>
          <w:tcPr>
            <w:tcW w:w="1384" w:type="dxa"/>
            <w:vAlign w:val="top"/>
          </w:tcPr>
          <w:p>
            <w:pPr>
              <w:rPr>
                <w:rFonts w:ascii="Arial"/>
                <w:sz w:val="21"/>
              </w:rPr>
            </w:pPr>
            <w:r/>
          </w:p>
        </w:tc>
      </w:tr>
      <w:tr>
        <w:trPr>
          <w:trHeight w:val="270" w:hRule="atLeast"/>
        </w:trPr>
        <w:tc>
          <w:tcPr>
            <w:tcW w:w="1554" w:type="dxa"/>
            <w:vAlign w:val="top"/>
            <w:vMerge w:val="continue"/>
            <w:tcBorders>
              <w:top w:val="nil"/>
              <w:bottom w:val="nil"/>
            </w:tcBorders>
          </w:tcPr>
          <w:p>
            <w:pPr>
              <w:rPr>
                <w:rFonts w:ascii="Arial"/>
                <w:sz w:val="21"/>
              </w:rPr>
            </w:pPr>
            <w:r/>
          </w:p>
        </w:tc>
        <w:tc>
          <w:tcPr>
            <w:tcW w:w="2398" w:type="dxa"/>
            <w:vAlign w:val="top"/>
            <w:gridSpan w:val="2"/>
            <w:vMerge w:val="continue"/>
            <w:tcBorders>
              <w:top w:val="nil"/>
              <w:bottom w:val="nil"/>
            </w:tcBorders>
          </w:tcPr>
          <w:p>
            <w:pPr>
              <w:rPr>
                <w:rFonts w:ascii="Arial"/>
                <w:sz w:val="21"/>
              </w:rPr>
            </w:pPr>
            <w:r/>
          </w:p>
        </w:tc>
        <w:tc>
          <w:tcPr>
            <w:tcW w:w="1619" w:type="dxa"/>
            <w:vAlign w:val="top"/>
          </w:tcPr>
          <w:p>
            <w:pPr>
              <w:pStyle w:val="TableText"/>
              <w:ind w:left="592"/>
              <w:spacing w:before="70" w:line="167" w:lineRule="auto"/>
              <w:rPr>
                <w:rFonts w:ascii="Calibri" w:hAnsi="Calibri" w:eastAsia="Calibri" w:cs="Calibri"/>
                <w:sz w:val="21"/>
                <w:szCs w:val="21"/>
              </w:rPr>
            </w:pPr>
            <w:r>
              <w:rPr>
                <w:sz w:val="21"/>
                <w:szCs w:val="21"/>
                <w:spacing w:val="-4"/>
              </w:rPr>
              <w:t>SO</w:t>
            </w:r>
            <w:r>
              <w:rPr>
                <w:rFonts w:ascii="Calibri" w:hAnsi="Calibri" w:eastAsia="Calibri" w:cs="Calibri"/>
                <w:sz w:val="21"/>
                <w:szCs w:val="21"/>
                <w:spacing w:val="-4"/>
              </w:rPr>
              <w:t>₂</w:t>
            </w:r>
          </w:p>
        </w:tc>
        <w:tc>
          <w:tcPr>
            <w:tcW w:w="2528" w:type="dxa"/>
            <w:vAlign w:val="top"/>
            <w:vMerge w:val="continue"/>
            <w:tcBorders>
              <w:top w:val="nil"/>
              <w:bottom w:val="nil"/>
            </w:tcBorders>
          </w:tcPr>
          <w:p>
            <w:pPr>
              <w:rPr>
                <w:rFonts w:ascii="Arial"/>
                <w:sz w:val="21"/>
              </w:rPr>
            </w:pPr>
            <w:r/>
          </w:p>
        </w:tc>
        <w:tc>
          <w:tcPr>
            <w:tcW w:w="2089" w:type="dxa"/>
            <w:vAlign w:val="top"/>
          </w:tcPr>
          <w:p>
            <w:pPr>
              <w:rPr>
                <w:rFonts w:ascii="Arial"/>
                <w:sz w:val="21"/>
              </w:rPr>
            </w:pPr>
            <w:r/>
          </w:p>
        </w:tc>
        <w:tc>
          <w:tcPr>
            <w:tcW w:w="2538" w:type="dxa"/>
            <w:vAlign w:val="top"/>
          </w:tcPr>
          <w:p>
            <w:pPr>
              <w:rPr>
                <w:rFonts w:ascii="Arial"/>
                <w:sz w:val="21"/>
              </w:rPr>
            </w:pPr>
            <w:r/>
          </w:p>
        </w:tc>
        <w:tc>
          <w:tcPr>
            <w:tcW w:w="1384" w:type="dxa"/>
            <w:vAlign w:val="top"/>
          </w:tcPr>
          <w:p>
            <w:pPr>
              <w:rPr>
                <w:rFonts w:ascii="Arial"/>
                <w:sz w:val="21"/>
              </w:rPr>
            </w:pPr>
            <w:r/>
          </w:p>
        </w:tc>
      </w:tr>
      <w:tr>
        <w:trPr>
          <w:trHeight w:val="280" w:hRule="atLeast"/>
        </w:trPr>
        <w:tc>
          <w:tcPr>
            <w:tcW w:w="1554" w:type="dxa"/>
            <w:vAlign w:val="top"/>
            <w:vMerge w:val="continue"/>
            <w:tcBorders>
              <w:top w:val="nil"/>
            </w:tcBorders>
          </w:tcPr>
          <w:p>
            <w:pPr>
              <w:rPr>
                <w:rFonts w:ascii="Arial"/>
                <w:sz w:val="21"/>
              </w:rPr>
            </w:pPr>
            <w:r/>
          </w:p>
        </w:tc>
        <w:tc>
          <w:tcPr>
            <w:tcW w:w="2398" w:type="dxa"/>
            <w:vAlign w:val="top"/>
            <w:gridSpan w:val="2"/>
            <w:vMerge w:val="continue"/>
            <w:tcBorders>
              <w:top w:val="nil"/>
            </w:tcBorders>
          </w:tcPr>
          <w:p>
            <w:pPr>
              <w:rPr>
                <w:rFonts w:ascii="Arial"/>
                <w:sz w:val="21"/>
              </w:rPr>
            </w:pPr>
            <w:r/>
          </w:p>
        </w:tc>
        <w:tc>
          <w:tcPr>
            <w:tcW w:w="1619" w:type="dxa"/>
            <w:vAlign w:val="top"/>
          </w:tcPr>
          <w:p>
            <w:pPr>
              <w:pStyle w:val="TableText"/>
              <w:ind w:left="643"/>
              <w:spacing w:before="100" w:line="170" w:lineRule="exact"/>
              <w:rPr>
                <w:sz w:val="21"/>
                <w:szCs w:val="21"/>
              </w:rPr>
            </w:pPr>
            <w:r>
              <w:rPr>
                <w:sz w:val="21"/>
                <w:szCs w:val="21"/>
                <w:spacing w:val="-1"/>
                <w:position w:val="-2"/>
              </w:rPr>
              <w:t>NOx</w:t>
            </w:r>
          </w:p>
        </w:tc>
        <w:tc>
          <w:tcPr>
            <w:tcW w:w="2528" w:type="dxa"/>
            <w:vAlign w:val="top"/>
            <w:vMerge w:val="continue"/>
            <w:tcBorders>
              <w:top w:val="nil"/>
            </w:tcBorders>
          </w:tcPr>
          <w:p>
            <w:pPr>
              <w:rPr>
                <w:rFonts w:ascii="Arial"/>
                <w:sz w:val="21"/>
              </w:rPr>
            </w:pPr>
            <w:r/>
          </w:p>
        </w:tc>
        <w:tc>
          <w:tcPr>
            <w:tcW w:w="2089" w:type="dxa"/>
            <w:vAlign w:val="top"/>
          </w:tcPr>
          <w:p>
            <w:pPr>
              <w:rPr>
                <w:rFonts w:ascii="Arial"/>
                <w:sz w:val="21"/>
              </w:rPr>
            </w:pPr>
            <w:r/>
          </w:p>
        </w:tc>
        <w:tc>
          <w:tcPr>
            <w:tcW w:w="2538" w:type="dxa"/>
            <w:vAlign w:val="top"/>
          </w:tcPr>
          <w:p>
            <w:pPr>
              <w:rPr>
                <w:rFonts w:ascii="Arial"/>
                <w:sz w:val="21"/>
              </w:rPr>
            </w:pPr>
            <w:r/>
          </w:p>
        </w:tc>
        <w:tc>
          <w:tcPr>
            <w:tcW w:w="1384" w:type="dxa"/>
            <w:vAlign w:val="top"/>
          </w:tcPr>
          <w:p>
            <w:pPr>
              <w:rPr>
                <w:rFonts w:ascii="Arial"/>
                <w:sz w:val="21"/>
              </w:rPr>
            </w:pPr>
            <w:r/>
          </w:p>
        </w:tc>
      </w:tr>
      <w:tr>
        <w:trPr>
          <w:trHeight w:val="299" w:hRule="atLeast"/>
        </w:trPr>
        <w:tc>
          <w:tcPr>
            <w:tcW w:w="1554" w:type="dxa"/>
            <w:vAlign w:val="top"/>
            <w:vMerge w:val="restart"/>
            <w:tcBorders>
              <w:bottom w:val="nil"/>
            </w:tcBorders>
          </w:tcPr>
          <w:p>
            <w:pPr>
              <w:spacing w:line="318" w:lineRule="auto"/>
              <w:rPr>
                <w:rFonts w:ascii="Arial"/>
                <w:sz w:val="21"/>
              </w:rPr>
            </w:pPr>
            <w:r/>
          </w:p>
          <w:p>
            <w:pPr>
              <w:pStyle w:val="TableText"/>
              <w:ind w:left="505"/>
              <w:spacing w:before="68" w:line="185" w:lineRule="auto"/>
              <w:rPr>
                <w:sz w:val="21"/>
                <w:szCs w:val="21"/>
              </w:rPr>
            </w:pPr>
            <w:r>
              <w:rPr>
                <w:sz w:val="21"/>
                <w:szCs w:val="21"/>
                <w:spacing w:val="-1"/>
              </w:rPr>
              <w:t>DA022</w:t>
            </w:r>
          </w:p>
        </w:tc>
        <w:tc>
          <w:tcPr>
            <w:tcW w:w="2398" w:type="dxa"/>
            <w:vAlign w:val="top"/>
            <w:gridSpan w:val="2"/>
            <w:vMerge w:val="restart"/>
            <w:tcBorders>
              <w:bottom w:val="nil"/>
            </w:tcBorders>
          </w:tcPr>
          <w:p>
            <w:pPr>
              <w:spacing w:line="267" w:lineRule="auto"/>
              <w:rPr>
                <w:rFonts w:ascii="Arial"/>
                <w:sz w:val="21"/>
              </w:rPr>
            </w:pPr>
            <w:r/>
          </w:p>
          <w:p>
            <w:pPr>
              <w:pStyle w:val="TableText"/>
              <w:ind w:left="561"/>
              <w:spacing w:before="68" w:line="220" w:lineRule="auto"/>
              <w:rPr>
                <w:sz w:val="21"/>
                <w:szCs w:val="21"/>
              </w:rPr>
            </w:pPr>
            <w:r>
              <w:rPr>
                <w:sz w:val="21"/>
                <w:szCs w:val="21"/>
                <w:spacing w:val="2"/>
              </w:rPr>
              <w:t>蒸汽锅炉废气</w:t>
            </w:r>
          </w:p>
        </w:tc>
        <w:tc>
          <w:tcPr>
            <w:tcW w:w="1619" w:type="dxa"/>
            <w:vAlign w:val="top"/>
          </w:tcPr>
          <w:p>
            <w:pPr>
              <w:pStyle w:val="TableText"/>
              <w:ind w:left="483"/>
              <w:spacing w:before="56" w:line="204" w:lineRule="auto"/>
              <w:rPr>
                <w:sz w:val="21"/>
                <w:szCs w:val="21"/>
              </w:rPr>
            </w:pPr>
            <w:r>
              <w:rPr>
                <w:sz w:val="21"/>
                <w:szCs w:val="21"/>
                <w:spacing w:val="-2"/>
              </w:rPr>
              <w:t>颗粒物</w:t>
            </w:r>
          </w:p>
        </w:tc>
        <w:tc>
          <w:tcPr>
            <w:tcW w:w="2528" w:type="dxa"/>
            <w:vAlign w:val="top"/>
            <w:vMerge w:val="restart"/>
            <w:tcBorders>
              <w:bottom w:val="nil"/>
            </w:tcBorders>
          </w:tcPr>
          <w:p>
            <w:pPr>
              <w:spacing w:line="265" w:lineRule="auto"/>
              <w:rPr>
                <w:rFonts w:ascii="Arial"/>
                <w:sz w:val="21"/>
              </w:rPr>
            </w:pPr>
            <w:r/>
          </w:p>
          <w:p>
            <w:pPr>
              <w:pStyle w:val="TableText"/>
              <w:ind w:left="834"/>
              <w:spacing w:before="68" w:line="219" w:lineRule="auto"/>
              <w:rPr>
                <w:sz w:val="21"/>
                <w:szCs w:val="21"/>
              </w:rPr>
            </w:pPr>
            <w:r>
              <w:rPr>
                <w:sz w:val="21"/>
                <w:szCs w:val="21"/>
                <w:spacing w:val="-2"/>
              </w:rPr>
              <w:t>低氮燃烧</w:t>
            </w:r>
          </w:p>
        </w:tc>
        <w:tc>
          <w:tcPr>
            <w:tcW w:w="2089" w:type="dxa"/>
            <w:vAlign w:val="top"/>
          </w:tcPr>
          <w:p>
            <w:pPr>
              <w:rPr>
                <w:rFonts w:ascii="Arial"/>
                <w:sz w:val="21"/>
              </w:rPr>
            </w:pPr>
            <w:r/>
          </w:p>
        </w:tc>
        <w:tc>
          <w:tcPr>
            <w:tcW w:w="2538" w:type="dxa"/>
            <w:vAlign w:val="top"/>
          </w:tcPr>
          <w:p>
            <w:pPr>
              <w:rPr>
                <w:rFonts w:ascii="Arial"/>
                <w:sz w:val="21"/>
              </w:rPr>
            </w:pPr>
            <w:r/>
          </w:p>
        </w:tc>
        <w:tc>
          <w:tcPr>
            <w:tcW w:w="1384" w:type="dxa"/>
            <w:vAlign w:val="top"/>
          </w:tcPr>
          <w:p>
            <w:pPr>
              <w:rPr>
                <w:rFonts w:ascii="Arial"/>
                <w:sz w:val="21"/>
              </w:rPr>
            </w:pPr>
            <w:r/>
          </w:p>
        </w:tc>
      </w:tr>
      <w:tr>
        <w:trPr>
          <w:trHeight w:val="270" w:hRule="atLeast"/>
        </w:trPr>
        <w:tc>
          <w:tcPr>
            <w:tcW w:w="1554" w:type="dxa"/>
            <w:vAlign w:val="top"/>
            <w:vMerge w:val="continue"/>
            <w:tcBorders>
              <w:top w:val="nil"/>
              <w:bottom w:val="nil"/>
            </w:tcBorders>
          </w:tcPr>
          <w:p>
            <w:pPr>
              <w:rPr>
                <w:rFonts w:ascii="Arial"/>
                <w:sz w:val="21"/>
              </w:rPr>
            </w:pPr>
            <w:r/>
          </w:p>
        </w:tc>
        <w:tc>
          <w:tcPr>
            <w:tcW w:w="2398" w:type="dxa"/>
            <w:vAlign w:val="top"/>
            <w:gridSpan w:val="2"/>
            <w:vMerge w:val="continue"/>
            <w:tcBorders>
              <w:top w:val="nil"/>
              <w:bottom w:val="nil"/>
            </w:tcBorders>
          </w:tcPr>
          <w:p>
            <w:pPr>
              <w:rPr>
                <w:rFonts w:ascii="Arial"/>
                <w:sz w:val="21"/>
              </w:rPr>
            </w:pPr>
            <w:r/>
          </w:p>
        </w:tc>
        <w:tc>
          <w:tcPr>
            <w:tcW w:w="1619" w:type="dxa"/>
            <w:vAlign w:val="top"/>
          </w:tcPr>
          <w:p>
            <w:pPr>
              <w:pStyle w:val="TableText"/>
              <w:ind w:left="592"/>
              <w:spacing w:before="71" w:line="166" w:lineRule="auto"/>
              <w:rPr>
                <w:rFonts w:ascii="Calibri" w:hAnsi="Calibri" w:eastAsia="Calibri" w:cs="Calibri"/>
                <w:sz w:val="21"/>
                <w:szCs w:val="21"/>
              </w:rPr>
            </w:pPr>
            <w:r>
              <w:rPr>
                <w:sz w:val="21"/>
                <w:szCs w:val="21"/>
                <w:spacing w:val="-4"/>
              </w:rPr>
              <w:t>SO</w:t>
            </w:r>
            <w:r>
              <w:rPr>
                <w:rFonts w:ascii="Calibri" w:hAnsi="Calibri" w:eastAsia="Calibri" w:cs="Calibri"/>
                <w:sz w:val="21"/>
                <w:szCs w:val="21"/>
                <w:spacing w:val="-4"/>
              </w:rPr>
              <w:t>₂</w:t>
            </w:r>
          </w:p>
        </w:tc>
        <w:tc>
          <w:tcPr>
            <w:tcW w:w="2528" w:type="dxa"/>
            <w:vAlign w:val="top"/>
            <w:vMerge w:val="continue"/>
            <w:tcBorders>
              <w:top w:val="nil"/>
              <w:bottom w:val="nil"/>
            </w:tcBorders>
          </w:tcPr>
          <w:p>
            <w:pPr>
              <w:rPr>
                <w:rFonts w:ascii="Arial"/>
                <w:sz w:val="21"/>
              </w:rPr>
            </w:pPr>
            <w:r/>
          </w:p>
        </w:tc>
        <w:tc>
          <w:tcPr>
            <w:tcW w:w="2089" w:type="dxa"/>
            <w:vAlign w:val="top"/>
          </w:tcPr>
          <w:p>
            <w:pPr>
              <w:rPr>
                <w:rFonts w:ascii="Arial"/>
                <w:sz w:val="21"/>
              </w:rPr>
            </w:pPr>
            <w:r/>
          </w:p>
        </w:tc>
        <w:tc>
          <w:tcPr>
            <w:tcW w:w="2538" w:type="dxa"/>
            <w:vAlign w:val="top"/>
          </w:tcPr>
          <w:p>
            <w:pPr>
              <w:rPr>
                <w:rFonts w:ascii="Arial"/>
                <w:sz w:val="21"/>
              </w:rPr>
            </w:pPr>
            <w:r/>
          </w:p>
        </w:tc>
        <w:tc>
          <w:tcPr>
            <w:tcW w:w="1384" w:type="dxa"/>
            <w:vAlign w:val="top"/>
          </w:tcPr>
          <w:p>
            <w:pPr>
              <w:rPr>
                <w:rFonts w:ascii="Arial"/>
                <w:sz w:val="21"/>
              </w:rPr>
            </w:pPr>
            <w:r/>
          </w:p>
        </w:tc>
      </w:tr>
      <w:tr>
        <w:trPr>
          <w:trHeight w:val="280" w:hRule="atLeast"/>
        </w:trPr>
        <w:tc>
          <w:tcPr>
            <w:tcW w:w="1554" w:type="dxa"/>
            <w:vAlign w:val="top"/>
            <w:vMerge w:val="continue"/>
            <w:tcBorders>
              <w:top w:val="nil"/>
            </w:tcBorders>
          </w:tcPr>
          <w:p>
            <w:pPr>
              <w:rPr>
                <w:rFonts w:ascii="Arial"/>
                <w:sz w:val="21"/>
              </w:rPr>
            </w:pPr>
            <w:r/>
          </w:p>
        </w:tc>
        <w:tc>
          <w:tcPr>
            <w:tcW w:w="2398" w:type="dxa"/>
            <w:vAlign w:val="top"/>
            <w:gridSpan w:val="2"/>
            <w:vMerge w:val="continue"/>
            <w:tcBorders>
              <w:top w:val="nil"/>
            </w:tcBorders>
          </w:tcPr>
          <w:p>
            <w:pPr>
              <w:rPr>
                <w:rFonts w:ascii="Arial"/>
                <w:sz w:val="21"/>
              </w:rPr>
            </w:pPr>
            <w:r/>
          </w:p>
        </w:tc>
        <w:tc>
          <w:tcPr>
            <w:tcW w:w="1619" w:type="dxa"/>
            <w:vAlign w:val="top"/>
          </w:tcPr>
          <w:p>
            <w:pPr>
              <w:pStyle w:val="TableText"/>
              <w:ind w:left="643"/>
              <w:spacing w:before="101" w:line="168" w:lineRule="exact"/>
              <w:rPr>
                <w:sz w:val="21"/>
                <w:szCs w:val="21"/>
              </w:rPr>
            </w:pPr>
            <w:r>
              <w:rPr>
                <w:sz w:val="21"/>
                <w:szCs w:val="21"/>
                <w:spacing w:val="-1"/>
                <w:position w:val="-2"/>
              </w:rPr>
              <w:t>NOx</w:t>
            </w:r>
          </w:p>
        </w:tc>
        <w:tc>
          <w:tcPr>
            <w:tcW w:w="2528" w:type="dxa"/>
            <w:vAlign w:val="top"/>
            <w:vMerge w:val="continue"/>
            <w:tcBorders>
              <w:top w:val="nil"/>
            </w:tcBorders>
          </w:tcPr>
          <w:p>
            <w:pPr>
              <w:rPr>
                <w:rFonts w:ascii="Arial"/>
                <w:sz w:val="21"/>
              </w:rPr>
            </w:pPr>
            <w:r/>
          </w:p>
        </w:tc>
        <w:tc>
          <w:tcPr>
            <w:tcW w:w="2089" w:type="dxa"/>
            <w:vAlign w:val="top"/>
          </w:tcPr>
          <w:p>
            <w:pPr>
              <w:rPr>
                <w:rFonts w:ascii="Arial"/>
                <w:sz w:val="21"/>
              </w:rPr>
            </w:pPr>
            <w:r/>
          </w:p>
        </w:tc>
        <w:tc>
          <w:tcPr>
            <w:tcW w:w="2538" w:type="dxa"/>
            <w:vAlign w:val="top"/>
          </w:tcPr>
          <w:p>
            <w:pPr>
              <w:rPr>
                <w:rFonts w:ascii="Arial"/>
                <w:sz w:val="21"/>
              </w:rPr>
            </w:pPr>
            <w:r/>
          </w:p>
        </w:tc>
        <w:tc>
          <w:tcPr>
            <w:tcW w:w="1384" w:type="dxa"/>
            <w:vAlign w:val="top"/>
          </w:tcPr>
          <w:p>
            <w:pPr>
              <w:rPr>
                <w:rFonts w:ascii="Arial"/>
                <w:sz w:val="21"/>
              </w:rPr>
            </w:pPr>
            <w:r/>
          </w:p>
        </w:tc>
      </w:tr>
      <w:tr>
        <w:trPr>
          <w:trHeight w:val="294" w:hRule="atLeast"/>
        </w:trPr>
        <w:tc>
          <w:tcPr>
            <w:tcW w:w="1554" w:type="dxa"/>
            <w:vAlign w:val="top"/>
          </w:tcPr>
          <w:p>
            <w:pPr>
              <w:pStyle w:val="TableText"/>
              <w:ind w:left="505"/>
              <w:spacing w:before="99" w:line="162" w:lineRule="auto"/>
              <w:rPr>
                <w:sz w:val="21"/>
                <w:szCs w:val="21"/>
              </w:rPr>
            </w:pPr>
            <w:r>
              <w:rPr>
                <w:sz w:val="21"/>
                <w:szCs w:val="21"/>
                <w:spacing w:val="-1"/>
              </w:rPr>
              <w:t>DA023</w:t>
            </w:r>
          </w:p>
        </w:tc>
        <w:tc>
          <w:tcPr>
            <w:tcW w:w="2398" w:type="dxa"/>
            <w:vAlign w:val="top"/>
            <w:gridSpan w:val="2"/>
          </w:tcPr>
          <w:p>
            <w:pPr>
              <w:pStyle w:val="TableText"/>
              <w:ind w:left="561"/>
              <w:spacing w:before="48" w:line="207" w:lineRule="auto"/>
              <w:rPr>
                <w:sz w:val="21"/>
                <w:szCs w:val="21"/>
              </w:rPr>
            </w:pPr>
            <w:r>
              <w:rPr>
                <w:sz w:val="21"/>
                <w:szCs w:val="21"/>
                <w:spacing w:val="2"/>
              </w:rPr>
              <w:t>蒸汽锅炉废气</w:t>
            </w:r>
          </w:p>
        </w:tc>
        <w:tc>
          <w:tcPr>
            <w:tcW w:w="1619" w:type="dxa"/>
            <w:vAlign w:val="top"/>
          </w:tcPr>
          <w:p>
            <w:pPr>
              <w:pStyle w:val="TableText"/>
              <w:ind w:left="483"/>
              <w:spacing w:before="48" w:line="207" w:lineRule="auto"/>
              <w:rPr>
                <w:sz w:val="21"/>
                <w:szCs w:val="21"/>
              </w:rPr>
            </w:pPr>
            <w:r>
              <w:rPr>
                <w:sz w:val="21"/>
                <w:szCs w:val="21"/>
                <w:spacing w:val="-2"/>
              </w:rPr>
              <w:t>颗粒物</w:t>
            </w:r>
          </w:p>
        </w:tc>
        <w:tc>
          <w:tcPr>
            <w:tcW w:w="2528" w:type="dxa"/>
            <w:vAlign w:val="top"/>
          </w:tcPr>
          <w:p>
            <w:pPr>
              <w:pStyle w:val="TableText"/>
              <w:ind w:left="834"/>
              <w:spacing w:before="47" w:line="208" w:lineRule="auto"/>
              <w:rPr>
                <w:sz w:val="21"/>
                <w:szCs w:val="21"/>
              </w:rPr>
            </w:pPr>
            <w:r>
              <w:rPr>
                <w:sz w:val="21"/>
                <w:szCs w:val="21"/>
                <w:spacing w:val="-2"/>
              </w:rPr>
              <w:t>低氮燃烧</w:t>
            </w:r>
          </w:p>
        </w:tc>
        <w:tc>
          <w:tcPr>
            <w:tcW w:w="2089" w:type="dxa"/>
            <w:vAlign w:val="top"/>
          </w:tcPr>
          <w:p>
            <w:pPr>
              <w:rPr>
                <w:rFonts w:ascii="Arial"/>
                <w:sz w:val="21"/>
              </w:rPr>
            </w:pPr>
            <w:r/>
          </w:p>
        </w:tc>
        <w:tc>
          <w:tcPr>
            <w:tcW w:w="2538" w:type="dxa"/>
            <w:vAlign w:val="top"/>
          </w:tcPr>
          <w:p>
            <w:pPr>
              <w:rPr>
                <w:rFonts w:ascii="Arial"/>
                <w:sz w:val="21"/>
              </w:rPr>
            </w:pPr>
            <w:r/>
          </w:p>
        </w:tc>
        <w:tc>
          <w:tcPr>
            <w:tcW w:w="1384" w:type="dxa"/>
            <w:vAlign w:val="top"/>
          </w:tcPr>
          <w:p>
            <w:pPr>
              <w:rPr>
                <w:rFonts w:ascii="Arial"/>
                <w:sz w:val="21"/>
              </w:rPr>
            </w:pPr>
            <w:r/>
          </w:p>
        </w:tc>
      </w:tr>
    </w:tbl>
    <w:p>
      <w:pPr>
        <w:rPr>
          <w:rFonts w:ascii="Arial"/>
          <w:sz w:val="21"/>
        </w:rPr>
      </w:pPr>
      <w:r/>
    </w:p>
    <w:p>
      <w:pPr>
        <w:sectPr>
          <w:footerReference w:type="default" r:id="rId33"/>
          <w:pgSz w:w="16840" w:h="11900"/>
          <w:pgMar w:top="1011" w:right="1405" w:bottom="978" w:left="1314" w:header="0" w:footer="839" w:gutter="0"/>
        </w:sectPr>
        <w:rPr>
          <w:rFonts w:ascii="Arial" w:hAnsi="Arial" w:eastAsia="Arial" w:cs="Arial"/>
          <w:sz w:val="21"/>
          <w:szCs w:val="21"/>
        </w:rPr>
      </w:pPr>
    </w:p>
    <w:p>
      <w:pPr>
        <w:spacing w:line="113" w:lineRule="exact"/>
        <w:rPr/>
      </w:pPr>
      <w:r/>
    </w:p>
    <w:tbl>
      <w:tblPr>
        <w:tblStyle w:val="TableNormal"/>
        <w:tblW w:w="141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54"/>
        <w:gridCol w:w="2408"/>
        <w:gridCol w:w="1609"/>
        <w:gridCol w:w="2558"/>
        <w:gridCol w:w="2069"/>
        <w:gridCol w:w="2548"/>
        <w:gridCol w:w="1394"/>
      </w:tblGrid>
      <w:tr>
        <w:trPr>
          <w:trHeight w:val="274" w:hRule="atLeast"/>
        </w:trPr>
        <w:tc>
          <w:tcPr>
            <w:tcW w:w="1554" w:type="dxa"/>
            <w:vAlign w:val="top"/>
            <w:vMerge w:val="restart"/>
            <w:tcBorders>
              <w:bottom w:val="nil"/>
            </w:tcBorders>
          </w:tcPr>
          <w:p>
            <w:pPr>
              <w:pStyle w:val="TableText"/>
              <w:ind w:left="574"/>
              <w:spacing w:before="193" w:line="219" w:lineRule="auto"/>
              <w:rPr>
                <w:sz w:val="21"/>
                <w:szCs w:val="21"/>
              </w:rPr>
            </w:pPr>
            <w:r>
              <w:rPr>
                <w:sz w:val="21"/>
                <w:szCs w:val="21"/>
                <w:spacing w:val="6"/>
              </w:rPr>
              <w:t>编号</w:t>
            </w:r>
          </w:p>
        </w:tc>
        <w:tc>
          <w:tcPr>
            <w:tcW w:w="2408" w:type="dxa"/>
            <w:vAlign w:val="top"/>
            <w:vMerge w:val="restart"/>
            <w:tcBorders>
              <w:bottom w:val="nil"/>
            </w:tcBorders>
          </w:tcPr>
          <w:p>
            <w:pPr>
              <w:pStyle w:val="TableText"/>
              <w:ind w:left="770"/>
              <w:spacing w:before="193" w:line="219" w:lineRule="auto"/>
              <w:rPr>
                <w:sz w:val="21"/>
                <w:szCs w:val="21"/>
              </w:rPr>
            </w:pPr>
            <w:r>
              <w:rPr>
                <w:sz w:val="21"/>
                <w:szCs w:val="21"/>
                <w:spacing w:val="4"/>
              </w:rPr>
              <w:t>废气类别</w:t>
            </w:r>
          </w:p>
        </w:tc>
        <w:tc>
          <w:tcPr>
            <w:tcW w:w="1609" w:type="dxa"/>
            <w:vAlign w:val="top"/>
            <w:vMerge w:val="restart"/>
            <w:tcBorders>
              <w:bottom w:val="nil"/>
            </w:tcBorders>
          </w:tcPr>
          <w:p>
            <w:pPr>
              <w:pStyle w:val="TableText"/>
              <w:ind w:left="482"/>
              <w:spacing w:before="194" w:line="220" w:lineRule="auto"/>
              <w:rPr>
                <w:sz w:val="21"/>
                <w:szCs w:val="21"/>
              </w:rPr>
            </w:pPr>
            <w:r>
              <w:rPr>
                <w:sz w:val="21"/>
                <w:szCs w:val="21"/>
                <w:spacing w:val="3"/>
              </w:rPr>
              <w:t>污染物</w:t>
            </w:r>
          </w:p>
        </w:tc>
        <w:tc>
          <w:tcPr>
            <w:tcW w:w="2558" w:type="dxa"/>
            <w:vAlign w:val="top"/>
            <w:vMerge w:val="restart"/>
            <w:tcBorders>
              <w:bottom w:val="nil"/>
            </w:tcBorders>
          </w:tcPr>
          <w:p>
            <w:pPr>
              <w:pStyle w:val="TableText"/>
              <w:ind w:left="883"/>
              <w:spacing w:before="194" w:line="220" w:lineRule="auto"/>
              <w:rPr>
                <w:sz w:val="21"/>
                <w:szCs w:val="21"/>
              </w:rPr>
            </w:pPr>
            <w:r>
              <w:rPr>
                <w:sz w:val="21"/>
                <w:szCs w:val="21"/>
                <w:spacing w:val="2"/>
              </w:rPr>
              <w:t>治理措施</w:t>
            </w:r>
          </w:p>
        </w:tc>
        <w:tc>
          <w:tcPr>
            <w:tcW w:w="6011" w:type="dxa"/>
            <w:vAlign w:val="top"/>
            <w:gridSpan w:val="3"/>
          </w:tcPr>
          <w:p>
            <w:pPr>
              <w:pStyle w:val="TableText"/>
              <w:ind w:left="2606"/>
              <w:spacing w:before="34" w:line="202" w:lineRule="auto"/>
              <w:rPr>
                <w:sz w:val="21"/>
                <w:szCs w:val="21"/>
              </w:rPr>
            </w:pPr>
            <w:r>
              <w:rPr>
                <w:sz w:val="21"/>
                <w:szCs w:val="21"/>
                <w:spacing w:val="-2"/>
              </w:rPr>
              <w:t>排放情况</w:t>
            </w:r>
          </w:p>
        </w:tc>
      </w:tr>
      <w:tr>
        <w:trPr>
          <w:trHeight w:val="299" w:hRule="atLeast"/>
        </w:trPr>
        <w:tc>
          <w:tcPr>
            <w:tcW w:w="1554" w:type="dxa"/>
            <w:vAlign w:val="top"/>
            <w:vMerge w:val="continue"/>
            <w:tcBorders>
              <w:top w:val="nil"/>
            </w:tcBorders>
          </w:tcPr>
          <w:p>
            <w:pPr>
              <w:rPr>
                <w:rFonts w:ascii="Arial"/>
                <w:sz w:val="21"/>
              </w:rPr>
            </w:pPr>
            <w:r/>
          </w:p>
        </w:tc>
        <w:tc>
          <w:tcPr>
            <w:tcW w:w="2408" w:type="dxa"/>
            <w:vAlign w:val="top"/>
            <w:vMerge w:val="continue"/>
            <w:tcBorders>
              <w:top w:val="nil"/>
            </w:tcBorders>
          </w:tcPr>
          <w:p>
            <w:pPr>
              <w:rPr>
                <w:rFonts w:ascii="Arial"/>
                <w:sz w:val="21"/>
              </w:rPr>
            </w:pPr>
            <w:r/>
          </w:p>
        </w:tc>
        <w:tc>
          <w:tcPr>
            <w:tcW w:w="1609" w:type="dxa"/>
            <w:vAlign w:val="top"/>
            <w:vMerge w:val="continue"/>
            <w:tcBorders>
              <w:top w:val="nil"/>
            </w:tcBorders>
          </w:tcPr>
          <w:p>
            <w:pPr>
              <w:rPr>
                <w:rFonts w:ascii="Arial"/>
                <w:sz w:val="21"/>
              </w:rPr>
            </w:pPr>
            <w:r/>
          </w:p>
        </w:tc>
        <w:tc>
          <w:tcPr>
            <w:tcW w:w="2558" w:type="dxa"/>
            <w:vAlign w:val="top"/>
            <w:vMerge w:val="continue"/>
            <w:tcBorders>
              <w:top w:val="nil"/>
            </w:tcBorders>
          </w:tcPr>
          <w:p>
            <w:pPr>
              <w:rPr>
                <w:rFonts w:ascii="Arial"/>
                <w:sz w:val="21"/>
              </w:rPr>
            </w:pPr>
            <w:r/>
          </w:p>
        </w:tc>
        <w:tc>
          <w:tcPr>
            <w:tcW w:w="2069" w:type="dxa"/>
            <w:vAlign w:val="top"/>
          </w:tcPr>
          <w:p>
            <w:pPr>
              <w:pStyle w:val="TableText"/>
              <w:ind w:left="165"/>
              <w:spacing w:before="42" w:line="214" w:lineRule="auto"/>
              <w:rPr>
                <w:sz w:val="21"/>
                <w:szCs w:val="21"/>
              </w:rPr>
            </w:pPr>
            <w:r>
              <w:rPr>
                <w:sz w:val="21"/>
                <w:szCs w:val="21"/>
                <w:spacing w:val="16"/>
              </w:rPr>
              <w:t>排放浓度(</w:t>
            </w:r>
            <w:r>
              <w:rPr>
                <w:sz w:val="21"/>
                <w:szCs w:val="21"/>
              </w:rPr>
              <w:t>mg</w:t>
            </w:r>
            <w:r>
              <w:rPr>
                <w:sz w:val="21"/>
                <w:szCs w:val="21"/>
                <w:spacing w:val="16"/>
              </w:rPr>
              <w:t>/m³)</w:t>
            </w:r>
          </w:p>
        </w:tc>
        <w:tc>
          <w:tcPr>
            <w:tcW w:w="2548" w:type="dxa"/>
            <w:vAlign w:val="top"/>
          </w:tcPr>
          <w:p>
            <w:pPr>
              <w:pStyle w:val="TableText"/>
              <w:ind w:left="537"/>
              <w:spacing w:before="42" w:line="214" w:lineRule="auto"/>
              <w:rPr>
                <w:sz w:val="21"/>
                <w:szCs w:val="21"/>
              </w:rPr>
            </w:pPr>
            <w:r>
              <w:rPr>
                <w:sz w:val="21"/>
                <w:szCs w:val="21"/>
                <w:spacing w:val="5"/>
              </w:rPr>
              <w:t>排放速率(</w:t>
            </w:r>
            <w:r>
              <w:rPr>
                <w:sz w:val="21"/>
                <w:szCs w:val="21"/>
              </w:rPr>
              <w:t>kg</w:t>
            </w:r>
            <w:r>
              <w:rPr>
                <w:sz w:val="21"/>
                <w:szCs w:val="21"/>
                <w:spacing w:val="5"/>
              </w:rPr>
              <w:t>/h)</w:t>
            </w:r>
          </w:p>
        </w:tc>
        <w:tc>
          <w:tcPr>
            <w:tcW w:w="1394" w:type="dxa"/>
            <w:vAlign w:val="top"/>
          </w:tcPr>
          <w:p>
            <w:pPr>
              <w:pStyle w:val="TableText"/>
              <w:ind w:left="109"/>
              <w:spacing w:before="51" w:line="209" w:lineRule="auto"/>
              <w:rPr>
                <w:sz w:val="21"/>
                <w:szCs w:val="21"/>
              </w:rPr>
            </w:pPr>
            <w:r>
              <w:rPr>
                <w:sz w:val="21"/>
                <w:szCs w:val="21"/>
                <w:spacing w:val="6"/>
              </w:rPr>
              <w:t>排放量(t/a)</w:t>
            </w:r>
          </w:p>
        </w:tc>
      </w:tr>
      <w:tr>
        <w:trPr>
          <w:trHeight w:val="269" w:hRule="atLeast"/>
        </w:trPr>
        <w:tc>
          <w:tcPr>
            <w:tcW w:w="1554" w:type="dxa"/>
            <w:vAlign w:val="top"/>
            <w:vMerge w:val="restart"/>
            <w:tcBorders>
              <w:bottom w:val="nil"/>
            </w:tcBorders>
          </w:tcPr>
          <w:p>
            <w:pPr>
              <w:rPr>
                <w:rFonts w:ascii="Arial"/>
                <w:sz w:val="21"/>
              </w:rPr>
            </w:pPr>
            <w:r/>
          </w:p>
        </w:tc>
        <w:tc>
          <w:tcPr>
            <w:tcW w:w="2408" w:type="dxa"/>
            <w:vAlign w:val="top"/>
            <w:vMerge w:val="restart"/>
            <w:tcBorders>
              <w:bottom w:val="nil"/>
            </w:tcBorders>
          </w:tcPr>
          <w:p>
            <w:pPr>
              <w:pStyle w:val="TableText"/>
              <w:ind w:left="460"/>
              <w:spacing w:before="41" w:line="221" w:lineRule="auto"/>
              <w:rPr>
                <w:sz w:val="21"/>
                <w:szCs w:val="21"/>
              </w:rPr>
            </w:pPr>
            <w:r>
              <w:rPr>
                <w:sz w:val="21"/>
                <w:szCs w:val="21"/>
                <w:spacing w:val="5"/>
              </w:rPr>
              <w:t>(备用，二合一)</w:t>
            </w:r>
          </w:p>
        </w:tc>
        <w:tc>
          <w:tcPr>
            <w:tcW w:w="1609" w:type="dxa"/>
            <w:vAlign w:val="top"/>
          </w:tcPr>
          <w:p>
            <w:pPr>
              <w:pStyle w:val="TableText"/>
              <w:ind w:left="582"/>
              <w:spacing w:before="64" w:line="171" w:lineRule="auto"/>
              <w:rPr>
                <w:rFonts w:ascii="Calibri" w:hAnsi="Calibri" w:eastAsia="Calibri" w:cs="Calibri"/>
                <w:sz w:val="21"/>
                <w:szCs w:val="21"/>
              </w:rPr>
            </w:pPr>
            <w:r>
              <w:rPr>
                <w:sz w:val="21"/>
                <w:szCs w:val="21"/>
                <w:spacing w:val="-4"/>
              </w:rPr>
              <w:t>SO</w:t>
            </w:r>
            <w:r>
              <w:rPr>
                <w:rFonts w:ascii="Calibri" w:hAnsi="Calibri" w:eastAsia="Calibri" w:cs="Calibri"/>
                <w:sz w:val="21"/>
                <w:szCs w:val="21"/>
                <w:spacing w:val="-4"/>
              </w:rPr>
              <w:t>₂</w:t>
            </w:r>
          </w:p>
        </w:tc>
        <w:tc>
          <w:tcPr>
            <w:tcW w:w="2558" w:type="dxa"/>
            <w:vAlign w:val="top"/>
            <w:vMerge w:val="restart"/>
            <w:tcBorders>
              <w:bottom w:val="nil"/>
            </w:tcBorders>
          </w:tcPr>
          <w:p>
            <w:pPr>
              <w:rPr>
                <w:rFonts w:ascii="Arial"/>
                <w:sz w:val="21"/>
              </w:rPr>
            </w:pPr>
            <w:r/>
          </w:p>
        </w:tc>
        <w:tc>
          <w:tcPr>
            <w:tcW w:w="2069" w:type="dxa"/>
            <w:vAlign w:val="top"/>
          </w:tcPr>
          <w:p>
            <w:pPr>
              <w:rPr>
                <w:rFonts w:ascii="Arial"/>
                <w:sz w:val="21"/>
              </w:rPr>
            </w:pPr>
            <w:r/>
          </w:p>
        </w:tc>
        <w:tc>
          <w:tcPr>
            <w:tcW w:w="2548" w:type="dxa"/>
            <w:vAlign w:val="top"/>
          </w:tcPr>
          <w:p>
            <w:pPr>
              <w:rPr>
                <w:rFonts w:ascii="Arial"/>
                <w:sz w:val="21"/>
              </w:rPr>
            </w:pPr>
            <w:r/>
          </w:p>
        </w:tc>
        <w:tc>
          <w:tcPr>
            <w:tcW w:w="1394" w:type="dxa"/>
            <w:vAlign w:val="top"/>
          </w:tcPr>
          <w:p>
            <w:pPr>
              <w:rPr>
                <w:rFonts w:ascii="Arial"/>
                <w:sz w:val="21"/>
              </w:rPr>
            </w:pPr>
            <w:r/>
          </w:p>
        </w:tc>
      </w:tr>
      <w:tr>
        <w:trPr>
          <w:trHeight w:val="269" w:hRule="atLeast"/>
        </w:trPr>
        <w:tc>
          <w:tcPr>
            <w:tcW w:w="1554" w:type="dxa"/>
            <w:vAlign w:val="top"/>
            <w:vMerge w:val="continue"/>
            <w:tcBorders>
              <w:top w:val="nil"/>
            </w:tcBorders>
          </w:tcPr>
          <w:p>
            <w:pPr>
              <w:rPr>
                <w:rFonts w:ascii="Arial"/>
                <w:sz w:val="21"/>
              </w:rPr>
            </w:pPr>
            <w:r/>
          </w:p>
        </w:tc>
        <w:tc>
          <w:tcPr>
            <w:tcW w:w="2408" w:type="dxa"/>
            <w:vAlign w:val="top"/>
            <w:vMerge w:val="continue"/>
            <w:tcBorders>
              <w:top w:val="nil"/>
            </w:tcBorders>
          </w:tcPr>
          <w:p>
            <w:pPr>
              <w:rPr>
                <w:rFonts w:ascii="Arial"/>
                <w:sz w:val="21"/>
              </w:rPr>
            </w:pPr>
            <w:r/>
          </w:p>
        </w:tc>
        <w:tc>
          <w:tcPr>
            <w:tcW w:w="1609" w:type="dxa"/>
            <w:vAlign w:val="top"/>
          </w:tcPr>
          <w:p>
            <w:pPr>
              <w:pStyle w:val="TableText"/>
              <w:ind w:left="633"/>
              <w:spacing w:before="85" w:line="174" w:lineRule="exact"/>
              <w:rPr>
                <w:sz w:val="21"/>
                <w:szCs w:val="21"/>
              </w:rPr>
            </w:pPr>
            <w:r>
              <w:rPr>
                <w:sz w:val="21"/>
                <w:szCs w:val="21"/>
                <w:spacing w:val="-1"/>
                <w:position w:val="-2"/>
              </w:rPr>
              <w:t>NOx</w:t>
            </w:r>
          </w:p>
        </w:tc>
        <w:tc>
          <w:tcPr>
            <w:tcW w:w="2558" w:type="dxa"/>
            <w:vAlign w:val="top"/>
            <w:vMerge w:val="continue"/>
            <w:tcBorders>
              <w:top w:val="nil"/>
            </w:tcBorders>
          </w:tcPr>
          <w:p>
            <w:pPr>
              <w:rPr>
                <w:rFonts w:ascii="Arial"/>
                <w:sz w:val="21"/>
              </w:rPr>
            </w:pPr>
            <w:r/>
          </w:p>
        </w:tc>
        <w:tc>
          <w:tcPr>
            <w:tcW w:w="2069" w:type="dxa"/>
            <w:vAlign w:val="top"/>
          </w:tcPr>
          <w:p>
            <w:pPr>
              <w:rPr>
                <w:rFonts w:ascii="Arial"/>
                <w:sz w:val="21"/>
              </w:rPr>
            </w:pPr>
            <w:r/>
          </w:p>
        </w:tc>
        <w:tc>
          <w:tcPr>
            <w:tcW w:w="2548" w:type="dxa"/>
            <w:vAlign w:val="top"/>
          </w:tcPr>
          <w:p>
            <w:pPr>
              <w:rPr>
                <w:rFonts w:ascii="Arial"/>
                <w:sz w:val="21"/>
              </w:rPr>
            </w:pPr>
            <w:r/>
          </w:p>
        </w:tc>
        <w:tc>
          <w:tcPr>
            <w:tcW w:w="1394" w:type="dxa"/>
            <w:vAlign w:val="top"/>
          </w:tcPr>
          <w:p>
            <w:pPr>
              <w:rPr>
                <w:rFonts w:ascii="Arial"/>
                <w:sz w:val="21"/>
              </w:rPr>
            </w:pPr>
            <w:r/>
          </w:p>
        </w:tc>
      </w:tr>
      <w:tr>
        <w:trPr>
          <w:trHeight w:val="309" w:hRule="atLeast"/>
        </w:trPr>
        <w:tc>
          <w:tcPr>
            <w:tcW w:w="3962" w:type="dxa"/>
            <w:vAlign w:val="top"/>
            <w:gridSpan w:val="2"/>
            <w:vMerge w:val="restart"/>
            <w:tcBorders>
              <w:bottom w:val="nil"/>
            </w:tcBorders>
          </w:tcPr>
          <w:p>
            <w:pPr>
              <w:spacing w:line="355" w:lineRule="auto"/>
              <w:rPr>
                <w:rFonts w:ascii="Arial"/>
                <w:sz w:val="21"/>
              </w:rPr>
            </w:pPr>
            <w:r/>
          </w:p>
          <w:p>
            <w:pPr>
              <w:spacing w:line="356" w:lineRule="auto"/>
              <w:rPr>
                <w:rFonts w:ascii="Arial"/>
                <w:sz w:val="21"/>
              </w:rPr>
            </w:pPr>
            <w:r/>
          </w:p>
          <w:p>
            <w:pPr>
              <w:pStyle w:val="TableText"/>
              <w:ind w:left="1765"/>
              <w:spacing w:before="68" w:line="221" w:lineRule="auto"/>
              <w:rPr>
                <w:sz w:val="21"/>
                <w:szCs w:val="21"/>
              </w:rPr>
            </w:pPr>
            <w:r>
              <w:rPr>
                <w:sz w:val="21"/>
                <w:szCs w:val="21"/>
                <w:spacing w:val="-3"/>
              </w:rPr>
              <w:t>合计</w:t>
            </w:r>
          </w:p>
        </w:tc>
        <w:tc>
          <w:tcPr>
            <w:tcW w:w="1609" w:type="dxa"/>
            <w:vAlign w:val="top"/>
          </w:tcPr>
          <w:p>
            <w:pPr>
              <w:pStyle w:val="TableText"/>
              <w:ind w:left="272"/>
              <w:spacing w:before="53" w:line="216" w:lineRule="auto"/>
              <w:rPr>
                <w:sz w:val="21"/>
                <w:szCs w:val="21"/>
              </w:rPr>
            </w:pPr>
            <w:r>
              <w:rPr>
                <w:sz w:val="21"/>
                <w:szCs w:val="21"/>
                <w:spacing w:val="-2"/>
              </w:rPr>
              <w:t>非甲烷总烃</w:t>
            </w:r>
          </w:p>
        </w:tc>
        <w:tc>
          <w:tcPr>
            <w:tcW w:w="2558" w:type="dxa"/>
            <w:vAlign w:val="top"/>
          </w:tcPr>
          <w:p>
            <w:pPr>
              <w:rPr>
                <w:rFonts w:ascii="Arial"/>
                <w:sz w:val="21"/>
              </w:rPr>
            </w:pPr>
            <w:r/>
          </w:p>
        </w:tc>
        <w:tc>
          <w:tcPr>
            <w:tcW w:w="2069" w:type="dxa"/>
            <w:vAlign w:val="top"/>
          </w:tcPr>
          <w:p>
            <w:pPr>
              <w:rPr>
                <w:rFonts w:ascii="Arial"/>
                <w:sz w:val="21"/>
              </w:rPr>
            </w:pPr>
            <w:r/>
          </w:p>
        </w:tc>
        <w:tc>
          <w:tcPr>
            <w:tcW w:w="2548" w:type="dxa"/>
            <w:vAlign w:val="top"/>
          </w:tcPr>
          <w:p>
            <w:pPr>
              <w:rPr>
                <w:rFonts w:ascii="Arial"/>
                <w:sz w:val="21"/>
              </w:rPr>
            </w:pPr>
            <w:r/>
          </w:p>
        </w:tc>
        <w:tc>
          <w:tcPr>
            <w:tcW w:w="1394" w:type="dxa"/>
            <w:vAlign w:val="top"/>
          </w:tcPr>
          <w:p>
            <w:pPr>
              <w:pStyle w:val="TableText"/>
              <w:ind w:left="428"/>
              <w:spacing w:before="105" w:line="170" w:lineRule="auto"/>
              <w:rPr>
                <w:sz w:val="21"/>
                <w:szCs w:val="21"/>
              </w:rPr>
            </w:pPr>
            <w:r>
              <w:rPr>
                <w:sz w:val="21"/>
                <w:szCs w:val="21"/>
                <w:spacing w:val="-4"/>
              </w:rPr>
              <w:t>1.534</w:t>
            </w:r>
          </w:p>
        </w:tc>
      </w:tr>
      <w:tr>
        <w:trPr>
          <w:trHeight w:val="269" w:hRule="atLeast"/>
        </w:trPr>
        <w:tc>
          <w:tcPr>
            <w:tcW w:w="3962" w:type="dxa"/>
            <w:vAlign w:val="top"/>
            <w:gridSpan w:val="2"/>
            <w:vMerge w:val="continue"/>
            <w:tcBorders>
              <w:top w:val="nil"/>
              <w:bottom w:val="nil"/>
            </w:tcBorders>
          </w:tcPr>
          <w:p>
            <w:pPr>
              <w:rPr>
                <w:rFonts w:ascii="Arial"/>
                <w:sz w:val="21"/>
              </w:rPr>
            </w:pPr>
            <w:r/>
          </w:p>
        </w:tc>
        <w:tc>
          <w:tcPr>
            <w:tcW w:w="1609" w:type="dxa"/>
            <w:vAlign w:val="top"/>
          </w:tcPr>
          <w:p>
            <w:pPr>
              <w:pStyle w:val="TableText"/>
              <w:ind w:left="482"/>
              <w:spacing w:before="33" w:line="198" w:lineRule="auto"/>
              <w:rPr>
                <w:sz w:val="21"/>
                <w:szCs w:val="21"/>
              </w:rPr>
            </w:pPr>
            <w:r>
              <w:rPr>
                <w:sz w:val="21"/>
                <w:szCs w:val="21"/>
                <w:spacing w:val="-2"/>
              </w:rPr>
              <w:t>颗粒物</w:t>
            </w:r>
          </w:p>
        </w:tc>
        <w:tc>
          <w:tcPr>
            <w:tcW w:w="2558" w:type="dxa"/>
            <w:vAlign w:val="top"/>
          </w:tcPr>
          <w:p>
            <w:pPr>
              <w:rPr>
                <w:rFonts w:ascii="Arial"/>
                <w:sz w:val="21"/>
              </w:rPr>
            </w:pPr>
            <w:r/>
          </w:p>
        </w:tc>
        <w:tc>
          <w:tcPr>
            <w:tcW w:w="2069" w:type="dxa"/>
            <w:vAlign w:val="top"/>
          </w:tcPr>
          <w:p>
            <w:pPr>
              <w:rPr>
                <w:rFonts w:ascii="Arial"/>
                <w:sz w:val="21"/>
              </w:rPr>
            </w:pPr>
            <w:r/>
          </w:p>
        </w:tc>
        <w:tc>
          <w:tcPr>
            <w:tcW w:w="2548" w:type="dxa"/>
            <w:vAlign w:val="top"/>
          </w:tcPr>
          <w:p>
            <w:pPr>
              <w:ind w:left="1206"/>
              <w:spacing w:line="187" w:lineRule="exact"/>
              <w:tabs>
                <w:tab w:val="left" w:pos="1325"/>
              </w:tabs>
              <w:rPr>
                <w:rFonts w:ascii="Arial"/>
                <w:sz w:val="21"/>
              </w:rPr>
            </w:pPr>
            <w:r>
              <w:rPr>
                <w:rFonts w:ascii="Arial" w:hAnsi="Arial" w:eastAsia="Arial" w:cs="Arial"/>
                <w:sz w:val="21"/>
                <w:szCs w:val="21"/>
                <w:u w:val="single" w:color="auto"/>
                <w:position w:val="-2"/>
              </w:rPr>
              <w:tab/>
            </w:r>
          </w:p>
        </w:tc>
        <w:tc>
          <w:tcPr>
            <w:tcW w:w="1394" w:type="dxa"/>
            <w:vAlign w:val="top"/>
          </w:tcPr>
          <w:p>
            <w:pPr>
              <w:pStyle w:val="TableText"/>
              <w:ind w:left="428"/>
              <w:spacing w:before="87" w:line="172" w:lineRule="exact"/>
              <w:rPr>
                <w:sz w:val="21"/>
                <w:szCs w:val="21"/>
              </w:rPr>
            </w:pPr>
            <w:r>
              <w:rPr>
                <w:sz w:val="21"/>
                <w:szCs w:val="21"/>
                <w:spacing w:val="-2"/>
                <w:position w:val="-2"/>
              </w:rPr>
              <w:t>0.443</w:t>
            </w:r>
          </w:p>
        </w:tc>
      </w:tr>
      <w:tr>
        <w:trPr>
          <w:trHeight w:val="279" w:hRule="atLeast"/>
        </w:trPr>
        <w:tc>
          <w:tcPr>
            <w:tcW w:w="3962" w:type="dxa"/>
            <w:vAlign w:val="top"/>
            <w:gridSpan w:val="2"/>
            <w:vMerge w:val="continue"/>
            <w:tcBorders>
              <w:top w:val="nil"/>
              <w:bottom w:val="nil"/>
            </w:tcBorders>
          </w:tcPr>
          <w:p>
            <w:pPr>
              <w:rPr>
                <w:rFonts w:ascii="Arial"/>
                <w:sz w:val="21"/>
              </w:rPr>
            </w:pPr>
            <w:r/>
          </w:p>
        </w:tc>
        <w:tc>
          <w:tcPr>
            <w:tcW w:w="1609" w:type="dxa"/>
            <w:vAlign w:val="top"/>
          </w:tcPr>
          <w:p>
            <w:pPr>
              <w:pStyle w:val="TableText"/>
              <w:ind w:left="582"/>
              <w:spacing w:before="77" w:line="168" w:lineRule="auto"/>
              <w:rPr>
                <w:rFonts w:ascii="Calibri" w:hAnsi="Calibri" w:eastAsia="Calibri" w:cs="Calibri"/>
                <w:sz w:val="21"/>
                <w:szCs w:val="21"/>
              </w:rPr>
            </w:pPr>
            <w:r>
              <w:rPr>
                <w:sz w:val="21"/>
                <w:szCs w:val="21"/>
                <w:spacing w:val="-4"/>
              </w:rPr>
              <w:t>SO</w:t>
            </w:r>
            <w:r>
              <w:rPr>
                <w:rFonts w:ascii="Calibri" w:hAnsi="Calibri" w:eastAsia="Calibri" w:cs="Calibri"/>
                <w:sz w:val="21"/>
                <w:szCs w:val="21"/>
                <w:spacing w:val="-4"/>
              </w:rPr>
              <w:t>₂</w:t>
            </w:r>
          </w:p>
        </w:tc>
        <w:tc>
          <w:tcPr>
            <w:tcW w:w="2558" w:type="dxa"/>
            <w:vAlign w:val="top"/>
          </w:tcPr>
          <w:p>
            <w:pPr>
              <w:rPr>
                <w:rFonts w:ascii="Arial"/>
                <w:sz w:val="21"/>
              </w:rPr>
            </w:pPr>
            <w:r/>
          </w:p>
        </w:tc>
        <w:tc>
          <w:tcPr>
            <w:tcW w:w="2069" w:type="dxa"/>
            <w:vAlign w:val="top"/>
          </w:tcPr>
          <w:p>
            <w:pPr>
              <w:rPr>
                <w:rFonts w:ascii="Arial"/>
                <w:sz w:val="21"/>
              </w:rPr>
            </w:pPr>
            <w:r/>
          </w:p>
        </w:tc>
        <w:tc>
          <w:tcPr>
            <w:tcW w:w="2548" w:type="dxa"/>
            <w:vAlign w:val="top"/>
          </w:tcPr>
          <w:p>
            <w:pPr>
              <w:rPr>
                <w:rFonts w:ascii="Arial"/>
                <w:sz w:val="21"/>
              </w:rPr>
            </w:pPr>
            <w:r/>
          </w:p>
        </w:tc>
        <w:tc>
          <w:tcPr>
            <w:tcW w:w="1394" w:type="dxa"/>
            <w:vAlign w:val="top"/>
          </w:tcPr>
          <w:p>
            <w:pPr>
              <w:pStyle w:val="TableText"/>
              <w:ind w:left="428"/>
              <w:spacing w:before="98" w:line="171" w:lineRule="exact"/>
              <w:rPr>
                <w:sz w:val="21"/>
                <w:szCs w:val="21"/>
              </w:rPr>
            </w:pPr>
            <w:r>
              <w:rPr>
                <w:sz w:val="21"/>
                <w:szCs w:val="21"/>
                <w:spacing w:val="-2"/>
                <w:position w:val="-2"/>
              </w:rPr>
              <w:t>0.330</w:t>
            </w:r>
          </w:p>
        </w:tc>
      </w:tr>
      <w:tr>
        <w:trPr>
          <w:trHeight w:val="299" w:hRule="atLeast"/>
        </w:trPr>
        <w:tc>
          <w:tcPr>
            <w:tcW w:w="3962" w:type="dxa"/>
            <w:vAlign w:val="top"/>
            <w:gridSpan w:val="2"/>
            <w:vMerge w:val="continue"/>
            <w:tcBorders>
              <w:top w:val="nil"/>
              <w:bottom w:val="nil"/>
            </w:tcBorders>
          </w:tcPr>
          <w:p>
            <w:pPr>
              <w:rPr>
                <w:rFonts w:ascii="Arial"/>
                <w:sz w:val="21"/>
              </w:rPr>
            </w:pPr>
            <w:r/>
          </w:p>
        </w:tc>
        <w:tc>
          <w:tcPr>
            <w:tcW w:w="1609" w:type="dxa"/>
            <w:vAlign w:val="top"/>
          </w:tcPr>
          <w:p>
            <w:pPr>
              <w:pStyle w:val="TableText"/>
              <w:ind w:left="633"/>
              <w:spacing w:before="109" w:line="158" w:lineRule="auto"/>
              <w:rPr>
                <w:sz w:val="21"/>
                <w:szCs w:val="21"/>
              </w:rPr>
            </w:pPr>
            <w:r>
              <w:rPr>
                <w:sz w:val="21"/>
                <w:szCs w:val="21"/>
                <w:spacing w:val="-1"/>
              </w:rPr>
              <w:t>NOx</w:t>
            </w:r>
          </w:p>
        </w:tc>
        <w:tc>
          <w:tcPr>
            <w:tcW w:w="2558" w:type="dxa"/>
            <w:vAlign w:val="top"/>
          </w:tcPr>
          <w:p>
            <w:pPr>
              <w:rPr>
                <w:rFonts w:ascii="Arial"/>
                <w:sz w:val="21"/>
              </w:rPr>
            </w:pPr>
            <w:r/>
          </w:p>
        </w:tc>
        <w:tc>
          <w:tcPr>
            <w:tcW w:w="2069" w:type="dxa"/>
            <w:vAlign w:val="top"/>
          </w:tcPr>
          <w:p>
            <w:pPr>
              <w:rPr>
                <w:rFonts w:ascii="Arial"/>
                <w:sz w:val="21"/>
              </w:rPr>
            </w:pPr>
            <w:r/>
          </w:p>
        </w:tc>
        <w:tc>
          <w:tcPr>
            <w:tcW w:w="2548" w:type="dxa"/>
            <w:vAlign w:val="top"/>
          </w:tcPr>
          <w:p>
            <w:pPr>
              <w:rPr>
                <w:rFonts w:ascii="Arial"/>
                <w:sz w:val="21"/>
              </w:rPr>
            </w:pPr>
            <w:r/>
          </w:p>
        </w:tc>
        <w:tc>
          <w:tcPr>
            <w:tcW w:w="1394" w:type="dxa"/>
            <w:vAlign w:val="top"/>
          </w:tcPr>
          <w:p>
            <w:pPr>
              <w:pStyle w:val="TableText"/>
              <w:ind w:left="428"/>
              <w:spacing w:before="109" w:line="158" w:lineRule="auto"/>
              <w:rPr>
                <w:sz w:val="21"/>
                <w:szCs w:val="21"/>
              </w:rPr>
            </w:pPr>
            <w:r>
              <w:rPr>
                <w:sz w:val="21"/>
                <w:szCs w:val="21"/>
                <w:spacing w:val="-2"/>
              </w:rPr>
              <w:t>9.181</w:t>
            </w:r>
          </w:p>
        </w:tc>
      </w:tr>
      <w:tr>
        <w:trPr>
          <w:trHeight w:val="269" w:hRule="atLeast"/>
        </w:trPr>
        <w:tc>
          <w:tcPr>
            <w:tcW w:w="3962" w:type="dxa"/>
            <w:vAlign w:val="top"/>
            <w:gridSpan w:val="2"/>
            <w:vMerge w:val="continue"/>
            <w:tcBorders>
              <w:top w:val="nil"/>
              <w:bottom w:val="nil"/>
            </w:tcBorders>
          </w:tcPr>
          <w:p>
            <w:pPr>
              <w:rPr>
                <w:rFonts w:ascii="Arial"/>
                <w:sz w:val="21"/>
              </w:rPr>
            </w:pPr>
            <w:r/>
          </w:p>
        </w:tc>
        <w:tc>
          <w:tcPr>
            <w:tcW w:w="1609" w:type="dxa"/>
            <w:vAlign w:val="top"/>
          </w:tcPr>
          <w:p>
            <w:pPr>
              <w:pStyle w:val="TableText"/>
              <w:ind w:left="582"/>
              <w:spacing w:before="70" w:line="166" w:lineRule="auto"/>
              <w:rPr>
                <w:rFonts w:ascii="Calibri" w:hAnsi="Calibri" w:eastAsia="Calibri" w:cs="Calibri"/>
                <w:sz w:val="21"/>
                <w:szCs w:val="21"/>
              </w:rPr>
            </w:pPr>
            <w:r>
              <w:rPr>
                <w:sz w:val="21"/>
                <w:szCs w:val="21"/>
                <w:spacing w:val="-1"/>
              </w:rPr>
              <w:t>NH</w:t>
            </w:r>
            <w:r>
              <w:rPr>
                <w:rFonts w:ascii="Calibri" w:hAnsi="Calibri" w:eastAsia="Calibri" w:cs="Calibri"/>
                <w:sz w:val="21"/>
                <w:szCs w:val="21"/>
                <w:spacing w:val="-1"/>
              </w:rPr>
              <w:t>₃</w:t>
            </w:r>
          </w:p>
        </w:tc>
        <w:tc>
          <w:tcPr>
            <w:tcW w:w="2558" w:type="dxa"/>
            <w:vAlign w:val="top"/>
          </w:tcPr>
          <w:p>
            <w:pPr>
              <w:rPr>
                <w:rFonts w:ascii="Arial"/>
                <w:sz w:val="21"/>
              </w:rPr>
            </w:pPr>
            <w:r/>
          </w:p>
        </w:tc>
        <w:tc>
          <w:tcPr>
            <w:tcW w:w="2069" w:type="dxa"/>
            <w:vAlign w:val="top"/>
          </w:tcPr>
          <w:p>
            <w:pPr>
              <w:rPr>
                <w:rFonts w:ascii="Arial"/>
                <w:sz w:val="21"/>
              </w:rPr>
            </w:pPr>
            <w:r/>
          </w:p>
        </w:tc>
        <w:tc>
          <w:tcPr>
            <w:tcW w:w="2548" w:type="dxa"/>
            <w:vAlign w:val="top"/>
          </w:tcPr>
          <w:p>
            <w:pPr>
              <w:ind w:left="1206"/>
              <w:spacing w:line="190" w:lineRule="exact"/>
              <w:tabs>
                <w:tab w:val="left" w:pos="1325"/>
              </w:tabs>
              <w:rPr>
                <w:rFonts w:ascii="Arial"/>
                <w:sz w:val="21"/>
              </w:rPr>
            </w:pPr>
            <w:r>
              <w:rPr>
                <w:rFonts w:ascii="Arial" w:hAnsi="Arial" w:eastAsia="Arial" w:cs="Arial"/>
                <w:sz w:val="21"/>
                <w:szCs w:val="21"/>
                <w:u w:val="single" w:color="auto"/>
                <w:position w:val="-2"/>
              </w:rPr>
              <w:tab/>
            </w:r>
          </w:p>
        </w:tc>
        <w:tc>
          <w:tcPr>
            <w:tcW w:w="1394" w:type="dxa"/>
            <w:vAlign w:val="top"/>
          </w:tcPr>
          <w:p>
            <w:pPr>
              <w:pStyle w:val="TableText"/>
              <w:ind w:left="428"/>
              <w:spacing w:before="89" w:line="170" w:lineRule="exact"/>
              <w:rPr>
                <w:sz w:val="21"/>
                <w:szCs w:val="21"/>
              </w:rPr>
            </w:pPr>
            <w:r>
              <w:rPr>
                <w:sz w:val="21"/>
                <w:szCs w:val="21"/>
                <w:spacing w:val="-2"/>
                <w:position w:val="-2"/>
              </w:rPr>
              <w:t>0.158</w:t>
            </w:r>
          </w:p>
        </w:tc>
      </w:tr>
      <w:tr>
        <w:trPr>
          <w:trHeight w:val="284" w:hRule="atLeast"/>
        </w:trPr>
        <w:tc>
          <w:tcPr>
            <w:tcW w:w="3962" w:type="dxa"/>
            <w:vAlign w:val="top"/>
            <w:gridSpan w:val="2"/>
            <w:vMerge w:val="continue"/>
            <w:tcBorders>
              <w:top w:val="nil"/>
            </w:tcBorders>
          </w:tcPr>
          <w:p>
            <w:pPr>
              <w:rPr>
                <w:rFonts w:ascii="Arial"/>
                <w:sz w:val="21"/>
              </w:rPr>
            </w:pPr>
            <w:r/>
          </w:p>
        </w:tc>
        <w:tc>
          <w:tcPr>
            <w:tcW w:w="1609" w:type="dxa"/>
            <w:vAlign w:val="top"/>
          </w:tcPr>
          <w:p>
            <w:pPr>
              <w:pStyle w:val="TableText"/>
              <w:ind w:left="582"/>
              <w:spacing w:before="80" w:line="170" w:lineRule="auto"/>
              <w:rPr>
                <w:sz w:val="21"/>
                <w:szCs w:val="21"/>
              </w:rPr>
            </w:pPr>
            <w:r>
              <w:rPr>
                <w:sz w:val="21"/>
                <w:szCs w:val="21"/>
                <w:spacing w:val="-2"/>
              </w:rPr>
              <w:t>H</w:t>
            </w:r>
            <w:r>
              <w:rPr>
                <w:rFonts w:ascii="Calibri" w:hAnsi="Calibri" w:eastAsia="Calibri" w:cs="Calibri"/>
                <w:sz w:val="21"/>
                <w:szCs w:val="21"/>
                <w:spacing w:val="-2"/>
              </w:rPr>
              <w:t>₂</w:t>
            </w:r>
            <w:r>
              <w:rPr>
                <w:sz w:val="21"/>
                <w:szCs w:val="21"/>
                <w:spacing w:val="-2"/>
              </w:rPr>
              <w:t>S</w:t>
            </w:r>
          </w:p>
        </w:tc>
        <w:tc>
          <w:tcPr>
            <w:tcW w:w="2558" w:type="dxa"/>
            <w:vAlign w:val="top"/>
          </w:tcPr>
          <w:p>
            <w:pPr>
              <w:rPr>
                <w:rFonts w:ascii="Arial"/>
                <w:sz w:val="21"/>
              </w:rPr>
            </w:pPr>
            <w:r/>
          </w:p>
        </w:tc>
        <w:tc>
          <w:tcPr>
            <w:tcW w:w="2069" w:type="dxa"/>
            <w:vAlign w:val="top"/>
          </w:tcPr>
          <w:p>
            <w:pPr>
              <w:rPr>
                <w:rFonts w:ascii="Arial"/>
                <w:sz w:val="21"/>
              </w:rPr>
            </w:pPr>
            <w:r/>
          </w:p>
        </w:tc>
        <w:tc>
          <w:tcPr>
            <w:tcW w:w="2548" w:type="dxa"/>
            <w:vAlign w:val="top"/>
          </w:tcPr>
          <w:p>
            <w:pPr>
              <w:rPr>
                <w:rFonts w:ascii="Arial"/>
                <w:sz w:val="21"/>
              </w:rPr>
            </w:pPr>
            <w:r/>
          </w:p>
        </w:tc>
        <w:tc>
          <w:tcPr>
            <w:tcW w:w="1394" w:type="dxa"/>
            <w:vAlign w:val="top"/>
          </w:tcPr>
          <w:p>
            <w:pPr>
              <w:pStyle w:val="TableText"/>
              <w:ind w:left="428"/>
              <w:spacing w:before="101" w:line="173" w:lineRule="exact"/>
              <w:rPr>
                <w:sz w:val="21"/>
                <w:szCs w:val="21"/>
              </w:rPr>
            </w:pPr>
            <w:r>
              <w:rPr>
                <w:sz w:val="21"/>
                <w:szCs w:val="21"/>
                <w:spacing w:val="-2"/>
                <w:position w:val="-2"/>
              </w:rPr>
              <w:t>0.002</w:t>
            </w:r>
          </w:p>
        </w:tc>
      </w:tr>
    </w:tbl>
    <w:p>
      <w:pPr>
        <w:rPr>
          <w:rFonts w:ascii="Arial"/>
          <w:sz w:val="21"/>
        </w:rPr>
      </w:pPr>
      <w:r/>
    </w:p>
    <w:p>
      <w:pPr>
        <w:sectPr>
          <w:footerReference w:type="default" r:id="rId34"/>
          <w:pgSz w:w="16840" w:h="11900"/>
          <w:pgMar w:top="1011" w:right="1364" w:bottom="979" w:left="1325" w:header="0" w:footer="840" w:gutter="0"/>
        </w:sectPr>
        <w:rPr>
          <w:rFonts w:ascii="Arial" w:hAnsi="Arial" w:eastAsia="Arial" w:cs="Arial"/>
          <w:sz w:val="21"/>
          <w:szCs w:val="21"/>
        </w:rPr>
      </w:pPr>
    </w:p>
    <w:tbl>
      <w:tblPr>
        <w:tblStyle w:val="TableNormal"/>
        <w:tblW w:w="897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14"/>
        <w:gridCol w:w="8165"/>
      </w:tblGrid>
      <w:tr>
        <w:trPr>
          <w:trHeight w:val="13579" w:hRule="atLeast"/>
        </w:trPr>
        <w:tc>
          <w:tcPr>
            <w:tcW w:w="814" w:type="dxa"/>
            <w:vAlign w:val="top"/>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155" w:right="150"/>
              <w:spacing w:before="78" w:line="210" w:lineRule="auto"/>
              <w:jc w:val="both"/>
              <w:rPr>
                <w:sz w:val="24"/>
                <w:szCs w:val="24"/>
              </w:rPr>
            </w:pPr>
            <w:r>
              <w:rPr>
                <w:sz w:val="24"/>
                <w:szCs w:val="24"/>
                <w:spacing w:val="7"/>
              </w:rPr>
              <w:t>与项</w:t>
            </w:r>
            <w:r>
              <w:rPr>
                <w:sz w:val="24"/>
                <w:szCs w:val="24"/>
              </w:rPr>
              <w:t xml:space="preserve"> </w:t>
            </w:r>
            <w:r>
              <w:rPr>
                <w:sz w:val="24"/>
                <w:szCs w:val="24"/>
                <w:spacing w:val="6"/>
              </w:rPr>
              <w:t>目有</w:t>
            </w:r>
            <w:r>
              <w:rPr>
                <w:sz w:val="24"/>
                <w:szCs w:val="24"/>
              </w:rPr>
              <w:t xml:space="preserve"> </w:t>
            </w:r>
            <w:r>
              <w:rPr>
                <w:sz w:val="24"/>
                <w:szCs w:val="24"/>
                <w:spacing w:val="9"/>
              </w:rPr>
              <w:t>关的</w:t>
            </w:r>
            <w:r>
              <w:rPr>
                <w:sz w:val="24"/>
                <w:szCs w:val="24"/>
              </w:rPr>
              <w:t xml:space="preserve"> </w:t>
            </w:r>
            <w:r>
              <w:rPr>
                <w:sz w:val="24"/>
                <w:szCs w:val="24"/>
                <w:spacing w:val="6"/>
              </w:rPr>
              <w:t>原有</w:t>
            </w:r>
            <w:r>
              <w:rPr>
                <w:sz w:val="24"/>
                <w:szCs w:val="24"/>
              </w:rPr>
              <w:t xml:space="preserve"> </w:t>
            </w:r>
            <w:r>
              <w:rPr>
                <w:sz w:val="24"/>
                <w:szCs w:val="24"/>
                <w:spacing w:val="-5"/>
              </w:rPr>
              <w:t>环境</w:t>
            </w:r>
            <w:r>
              <w:rPr>
                <w:sz w:val="24"/>
                <w:szCs w:val="24"/>
              </w:rPr>
              <w:t xml:space="preserve"> </w:t>
            </w:r>
            <w:r>
              <w:rPr>
                <w:sz w:val="24"/>
                <w:szCs w:val="24"/>
                <w:spacing w:val="5"/>
              </w:rPr>
              <w:t>污染</w:t>
            </w:r>
            <w:r>
              <w:rPr>
                <w:sz w:val="24"/>
                <w:szCs w:val="24"/>
              </w:rPr>
              <w:t xml:space="preserve"> </w:t>
            </w:r>
            <w:r>
              <w:rPr>
                <w:sz w:val="24"/>
                <w:szCs w:val="24"/>
                <w:spacing w:val="6"/>
              </w:rPr>
              <w:t>问题</w:t>
            </w:r>
          </w:p>
        </w:tc>
        <w:tc>
          <w:tcPr>
            <w:tcW w:w="8165" w:type="dxa"/>
            <w:vAlign w:val="top"/>
          </w:tcPr>
          <w:p>
            <w:pPr>
              <w:pStyle w:val="TableText"/>
              <w:ind w:left="134"/>
              <w:spacing w:before="71" w:line="219" w:lineRule="auto"/>
              <w:rPr>
                <w:sz w:val="24"/>
                <w:szCs w:val="24"/>
              </w:rPr>
            </w:pPr>
            <w:r>
              <w:rPr>
                <w:sz w:val="24"/>
                <w:szCs w:val="24"/>
                <w:b/>
                <w:bCs/>
                <w:spacing w:val="-4"/>
              </w:rPr>
              <w:t>2、废水治理及排放情况</w:t>
            </w:r>
          </w:p>
          <w:p>
            <w:pPr>
              <w:pStyle w:val="TableText"/>
              <w:ind w:left="120" w:right="297" w:firstLine="500"/>
              <w:spacing w:before="166" w:line="359" w:lineRule="auto"/>
              <w:rPr>
                <w:sz w:val="24"/>
                <w:szCs w:val="24"/>
              </w:rPr>
            </w:pPr>
            <w:r>
              <w:rPr>
                <w:sz w:val="24"/>
                <w:szCs w:val="24"/>
              </w:rPr>
              <w:t>一期工程——时代一汽动力电池项目(年产10GWh)产生的废水主要为</w:t>
            </w:r>
            <w:r>
              <w:rPr>
                <w:sz w:val="24"/>
                <w:szCs w:val="24"/>
                <w:spacing w:val="5"/>
              </w:rPr>
              <w:t xml:space="preserve">  </w:t>
            </w:r>
            <w:r>
              <w:rPr>
                <w:sz w:val="24"/>
                <w:szCs w:val="24"/>
                <w:spacing w:val="2"/>
              </w:rPr>
              <w:t>阴极清洗废水(含阴极料罐设备清洗废水、阴极区</w:t>
            </w:r>
            <w:r>
              <w:rPr>
                <w:sz w:val="24"/>
                <w:szCs w:val="24"/>
                <w:spacing w:val="1"/>
              </w:rPr>
              <w:t>车间地面冲洗废水)、阳</w:t>
            </w:r>
            <w:r>
              <w:rPr>
                <w:sz w:val="24"/>
                <w:szCs w:val="24"/>
              </w:rPr>
              <w:t xml:space="preserve"> </w:t>
            </w:r>
            <w:r>
              <w:rPr>
                <w:sz w:val="24"/>
                <w:szCs w:val="24"/>
              </w:rPr>
              <w:t>极清洗废水(含阳极料罐设备清洗废水、阳极区车间地面冲洗废水)、锅炉</w:t>
            </w:r>
          </w:p>
          <w:p>
            <w:pPr>
              <w:pStyle w:val="TableText"/>
              <w:ind w:left="140"/>
              <w:spacing w:before="1" w:line="217" w:lineRule="auto"/>
              <w:rPr>
                <w:sz w:val="24"/>
                <w:szCs w:val="24"/>
              </w:rPr>
            </w:pPr>
            <w:r>
              <w:rPr>
                <w:sz w:val="24"/>
                <w:szCs w:val="24"/>
              </w:rPr>
              <w:t>废水、RO/DI水系统废水、喷淋塔废水以及食堂废水、生活污水。</w:t>
            </w:r>
          </w:p>
          <w:p>
            <w:pPr>
              <w:pStyle w:val="TableText"/>
              <w:ind w:left="601"/>
              <w:spacing w:before="188" w:line="458" w:lineRule="exact"/>
              <w:rPr>
                <w:sz w:val="24"/>
                <w:szCs w:val="24"/>
              </w:rPr>
            </w:pPr>
            <w:r>
              <w:rPr>
                <w:sz w:val="24"/>
                <w:szCs w:val="24"/>
                <w:position w:val="16"/>
              </w:rPr>
              <w:t>根据《时代一汽动力电池项目(年产10GWh)竣工环境保护验收监测报</w:t>
            </w:r>
          </w:p>
          <w:p>
            <w:pPr>
              <w:pStyle w:val="TableText"/>
              <w:ind w:left="140"/>
              <w:spacing w:before="1" w:line="217" w:lineRule="auto"/>
              <w:rPr>
                <w:sz w:val="24"/>
                <w:szCs w:val="24"/>
              </w:rPr>
            </w:pPr>
            <w:r>
              <w:rPr>
                <w:sz w:val="24"/>
                <w:szCs w:val="24"/>
              </w:rPr>
              <w:t>告表》中的废水监测数据，现有工程废水排放如下：</w:t>
            </w:r>
          </w:p>
          <w:p>
            <w:pPr>
              <w:pStyle w:val="TableText"/>
              <w:ind w:left="624"/>
              <w:spacing w:before="215" w:line="219" w:lineRule="auto"/>
              <w:rPr>
                <w:sz w:val="24"/>
                <w:szCs w:val="24"/>
              </w:rPr>
            </w:pPr>
            <w:r>
              <w:rPr>
                <w:sz w:val="24"/>
                <w:szCs w:val="24"/>
                <w:b/>
                <w:bCs/>
                <w:spacing w:val="-2"/>
              </w:rPr>
              <w:t>1)阴极清洗废水</w:t>
            </w:r>
          </w:p>
          <w:p>
            <w:pPr>
              <w:pStyle w:val="TableText"/>
              <w:ind w:left="110" w:right="111" w:firstLine="510"/>
              <w:spacing w:before="164" w:line="354" w:lineRule="auto"/>
              <w:rPr>
                <w:sz w:val="24"/>
                <w:szCs w:val="24"/>
              </w:rPr>
            </w:pPr>
            <w:r>
              <w:rPr>
                <w:sz w:val="24"/>
                <w:szCs w:val="24"/>
                <w:spacing w:val="9"/>
              </w:rPr>
              <w:t>阴极清洗废水23.3t/d,主要污染物为</w:t>
            </w:r>
            <w:r>
              <w:rPr>
                <w:sz w:val="24"/>
                <w:szCs w:val="24"/>
              </w:rPr>
              <w:t>COD</w:t>
            </w:r>
            <w:r>
              <w:rPr>
                <w:sz w:val="24"/>
                <w:szCs w:val="24"/>
                <w:spacing w:val="9"/>
              </w:rPr>
              <w:t>、</w:t>
            </w:r>
            <w:r>
              <w:rPr>
                <w:sz w:val="24"/>
                <w:szCs w:val="24"/>
              </w:rPr>
              <w:t>BODs</w:t>
            </w:r>
            <w:r>
              <w:rPr>
                <w:sz w:val="24"/>
                <w:szCs w:val="24"/>
                <w:spacing w:val="8"/>
              </w:rPr>
              <w:t>、</w:t>
            </w:r>
            <w:r>
              <w:rPr>
                <w:sz w:val="24"/>
                <w:szCs w:val="24"/>
              </w:rPr>
              <w:t>SS</w:t>
            </w:r>
            <w:r>
              <w:rPr>
                <w:sz w:val="24"/>
                <w:szCs w:val="24"/>
                <w:spacing w:val="8"/>
              </w:rPr>
              <w:t>、</w:t>
            </w:r>
            <w:r>
              <w:rPr>
                <w:sz w:val="24"/>
                <w:szCs w:val="24"/>
              </w:rPr>
              <w:t>NH</w:t>
            </w:r>
            <w:r>
              <w:rPr>
                <w:rFonts w:ascii="Calibri" w:hAnsi="Calibri" w:eastAsia="Calibri" w:cs="Calibri"/>
                <w:sz w:val="24"/>
                <w:szCs w:val="24"/>
                <w:spacing w:val="8"/>
              </w:rPr>
              <w:t>₃</w:t>
            </w:r>
            <w:r>
              <w:rPr>
                <w:sz w:val="24"/>
                <w:szCs w:val="24"/>
                <w:spacing w:val="8"/>
              </w:rPr>
              <w:t>-N、总磷、</w:t>
            </w:r>
            <w:r>
              <w:rPr>
                <w:sz w:val="24"/>
                <w:szCs w:val="24"/>
              </w:rPr>
              <w:t xml:space="preserve"> </w:t>
            </w:r>
            <w:r>
              <w:rPr>
                <w:sz w:val="24"/>
                <w:szCs w:val="24"/>
              </w:rPr>
              <w:t>Co、Ni、Mn,经车间阴极废水三级沉淀预处理后排入污</w:t>
            </w:r>
            <w:r>
              <w:rPr>
                <w:sz w:val="24"/>
                <w:szCs w:val="24"/>
                <w:spacing w:val="-1"/>
              </w:rPr>
              <w:t>水处理站，进入阴极</w:t>
            </w:r>
          </w:p>
          <w:p>
            <w:pPr>
              <w:pStyle w:val="TableText"/>
              <w:ind w:left="120"/>
              <w:spacing w:before="1" w:line="216" w:lineRule="auto"/>
              <w:rPr>
                <w:sz w:val="24"/>
                <w:szCs w:val="24"/>
              </w:rPr>
            </w:pPr>
            <w:r>
              <w:rPr>
                <w:sz w:val="24"/>
                <w:szCs w:val="24"/>
              </w:rPr>
              <w:t>废水预处理系统，处理工艺为“芬顿氧化+混凝沉淀”,</w:t>
            </w:r>
            <w:r>
              <w:rPr>
                <w:sz w:val="24"/>
                <w:szCs w:val="24"/>
                <w:spacing w:val="-1"/>
              </w:rPr>
              <w:t>Co、Ni在阴极废水</w:t>
            </w:r>
          </w:p>
          <w:p>
            <w:pPr>
              <w:pStyle w:val="TableText"/>
              <w:ind w:left="130"/>
              <w:spacing w:before="193" w:line="220" w:lineRule="auto"/>
              <w:rPr>
                <w:sz w:val="24"/>
                <w:szCs w:val="24"/>
              </w:rPr>
            </w:pPr>
            <w:r>
              <w:rPr>
                <w:sz w:val="24"/>
                <w:szCs w:val="24"/>
              </w:rPr>
              <w:t>预处理系统出口达《电池工业污染物排放标准》(GB30484-2013)表2间接</w:t>
            </w:r>
          </w:p>
          <w:p>
            <w:pPr>
              <w:pStyle w:val="TableText"/>
              <w:ind w:left="149" w:right="71" w:hanging="9"/>
              <w:spacing w:before="177" w:line="364" w:lineRule="auto"/>
              <w:rPr>
                <w:sz w:val="24"/>
                <w:szCs w:val="24"/>
              </w:rPr>
            </w:pPr>
            <w:r>
              <w:rPr>
                <w:sz w:val="24"/>
                <w:szCs w:val="24"/>
              </w:rPr>
              <w:t>排放标准(Co≤0.1mg/L、Ni≤0.5mg/L)。经过预处</w:t>
            </w:r>
            <w:r>
              <w:rPr>
                <w:sz w:val="24"/>
                <w:szCs w:val="24"/>
                <w:spacing w:val="-1"/>
              </w:rPr>
              <w:t>理后的废水进入生化处理</w:t>
            </w:r>
            <w:r>
              <w:rPr>
                <w:sz w:val="24"/>
                <w:szCs w:val="24"/>
              </w:rPr>
              <w:t xml:space="preserve"> </w:t>
            </w:r>
            <w:r>
              <w:rPr>
                <w:sz w:val="24"/>
                <w:szCs w:val="24"/>
                <w:spacing w:val="4"/>
              </w:rPr>
              <w:t>系统，处理工艺“预酸化+A²/O+二沉池”,处</w:t>
            </w:r>
            <w:r>
              <w:rPr>
                <w:sz w:val="24"/>
                <w:szCs w:val="24"/>
                <w:spacing w:val="3"/>
              </w:rPr>
              <w:t>理后排入东侧长富路的市政污</w:t>
            </w:r>
          </w:p>
          <w:p>
            <w:pPr>
              <w:pStyle w:val="TableText"/>
              <w:ind w:left="140"/>
              <w:spacing w:line="219" w:lineRule="auto"/>
              <w:rPr>
                <w:sz w:val="24"/>
                <w:szCs w:val="24"/>
              </w:rPr>
            </w:pPr>
            <w:r>
              <w:rPr>
                <w:sz w:val="24"/>
                <w:szCs w:val="24"/>
              </w:rPr>
              <w:t>水管网，纳入霞浦县污水处理厂集中处理，尾水排入罗汉溪。</w:t>
            </w:r>
          </w:p>
          <w:p>
            <w:pPr>
              <w:pStyle w:val="TableText"/>
              <w:ind w:left="574"/>
              <w:spacing w:before="162" w:line="219" w:lineRule="auto"/>
              <w:rPr>
                <w:sz w:val="24"/>
                <w:szCs w:val="24"/>
              </w:rPr>
            </w:pPr>
            <w:r>
              <w:rPr>
                <w:sz w:val="24"/>
                <w:szCs w:val="24"/>
                <w:b/>
                <w:bCs/>
                <w:spacing w:val="-4"/>
              </w:rPr>
              <w:t>2)阳极清洗废水</w:t>
            </w:r>
          </w:p>
          <w:p>
            <w:pPr>
              <w:pStyle w:val="TableText"/>
              <w:ind w:left="621"/>
              <w:spacing w:before="205" w:line="216" w:lineRule="auto"/>
              <w:rPr>
                <w:sz w:val="24"/>
                <w:szCs w:val="24"/>
              </w:rPr>
            </w:pPr>
            <w:r>
              <w:rPr>
                <w:sz w:val="24"/>
                <w:szCs w:val="24"/>
              </w:rPr>
              <w:t>阳极清洗废水39.7t/d,主要污染物为COD、BODs、SS,经车间阳极废</w:t>
            </w:r>
          </w:p>
          <w:p>
            <w:pPr>
              <w:pStyle w:val="TableText"/>
              <w:ind w:left="140"/>
              <w:spacing w:before="193" w:line="456" w:lineRule="exact"/>
              <w:rPr>
                <w:sz w:val="24"/>
                <w:szCs w:val="24"/>
              </w:rPr>
            </w:pPr>
            <w:r>
              <w:rPr>
                <w:sz w:val="24"/>
                <w:szCs w:val="24"/>
                <w:position w:val="16"/>
              </w:rPr>
              <w:t>水三级沉淀预处理后排入污水处理站，进入阳极废水预处理系统，处理工艺</w:t>
            </w:r>
          </w:p>
          <w:p>
            <w:pPr>
              <w:pStyle w:val="TableText"/>
              <w:ind w:left="130"/>
              <w:spacing w:before="1" w:line="216" w:lineRule="auto"/>
              <w:rPr>
                <w:sz w:val="24"/>
                <w:szCs w:val="24"/>
              </w:rPr>
            </w:pPr>
            <w:r>
              <w:rPr>
                <w:sz w:val="24"/>
                <w:szCs w:val="24"/>
              </w:rPr>
              <w:t>为“混凝沉淀”,经过预处理后的废水进入生化处理系</w:t>
            </w:r>
            <w:r>
              <w:rPr>
                <w:sz w:val="24"/>
                <w:szCs w:val="24"/>
                <w:spacing w:val="-1"/>
              </w:rPr>
              <w:t>统。</w:t>
            </w:r>
          </w:p>
          <w:p>
            <w:pPr>
              <w:pStyle w:val="TableText"/>
              <w:ind w:left="594"/>
              <w:spacing w:before="199" w:line="219" w:lineRule="auto"/>
              <w:rPr>
                <w:sz w:val="24"/>
                <w:szCs w:val="24"/>
              </w:rPr>
            </w:pPr>
            <w:r>
              <w:rPr>
                <w:sz w:val="24"/>
                <w:szCs w:val="24"/>
                <w:b/>
                <w:bCs/>
                <w:spacing w:val="-5"/>
              </w:rPr>
              <w:t>3)锅炉废水</w:t>
            </w:r>
          </w:p>
          <w:p>
            <w:pPr>
              <w:pStyle w:val="TableText"/>
              <w:ind w:left="601"/>
              <w:spacing w:before="164" w:line="494" w:lineRule="exact"/>
              <w:rPr>
                <w:sz w:val="24"/>
                <w:szCs w:val="24"/>
              </w:rPr>
            </w:pPr>
            <w:r>
              <w:rPr>
                <w:sz w:val="24"/>
                <w:szCs w:val="24"/>
                <w:position w:val="19"/>
              </w:rPr>
              <w:t>一期工程锅炉排污水49.5t/d,软化浓水约29.7t/d,锅炉排污水、软化浓</w:t>
            </w:r>
          </w:p>
          <w:p>
            <w:pPr>
              <w:pStyle w:val="TableText"/>
              <w:ind w:left="140"/>
              <w:spacing w:line="219" w:lineRule="auto"/>
              <w:rPr>
                <w:sz w:val="24"/>
                <w:szCs w:val="24"/>
              </w:rPr>
            </w:pPr>
            <w:r>
              <w:rPr>
                <w:sz w:val="24"/>
                <w:szCs w:val="24"/>
              </w:rPr>
              <w:t>水排入厂区生活污水管网。</w:t>
            </w:r>
          </w:p>
          <w:p>
            <w:pPr>
              <w:pStyle w:val="TableText"/>
              <w:ind w:left="624"/>
              <w:spacing w:before="182" w:line="219" w:lineRule="auto"/>
              <w:rPr>
                <w:sz w:val="24"/>
                <w:szCs w:val="24"/>
              </w:rPr>
            </w:pPr>
            <w:r>
              <w:rPr>
                <w:sz w:val="24"/>
                <w:szCs w:val="24"/>
                <w:b/>
                <w:bCs/>
                <w:spacing w:val="-3"/>
              </w:rPr>
              <w:t>4)RO/DI水系统废水、循环冷却废水</w:t>
            </w:r>
          </w:p>
          <w:p>
            <w:pPr>
              <w:pStyle w:val="TableText"/>
              <w:ind w:left="591"/>
              <w:spacing w:before="179" w:line="456" w:lineRule="exact"/>
              <w:rPr>
                <w:sz w:val="24"/>
                <w:szCs w:val="24"/>
              </w:rPr>
            </w:pPr>
            <w:r>
              <w:rPr>
                <w:sz w:val="24"/>
                <w:szCs w:val="24"/>
                <w:position w:val="16"/>
              </w:rPr>
              <w:t>RO/DI水系统有23t/d的废水产生，含有少量盐分，排入厂区生活污水管</w:t>
            </w:r>
          </w:p>
          <w:p>
            <w:pPr>
              <w:pStyle w:val="TableText"/>
              <w:ind w:left="110"/>
              <w:spacing w:before="1" w:line="224" w:lineRule="auto"/>
              <w:rPr>
                <w:sz w:val="24"/>
                <w:szCs w:val="24"/>
              </w:rPr>
            </w:pPr>
            <w:r>
              <w:rPr>
                <w:sz w:val="24"/>
                <w:szCs w:val="24"/>
                <w:spacing w:val="-15"/>
              </w:rPr>
              <w:t>网</w:t>
            </w:r>
            <w:r>
              <w:rPr>
                <w:sz w:val="24"/>
                <w:szCs w:val="24"/>
                <w:spacing w:val="-57"/>
              </w:rPr>
              <w:t xml:space="preserve"> </w:t>
            </w:r>
            <w:r>
              <w:rPr>
                <w:sz w:val="24"/>
                <w:szCs w:val="24"/>
                <w:spacing w:val="-15"/>
              </w:rPr>
              <w:t>。</w:t>
            </w:r>
          </w:p>
          <w:p>
            <w:pPr>
              <w:pStyle w:val="TableText"/>
              <w:ind w:left="621"/>
              <w:spacing w:before="178" w:line="216" w:lineRule="auto"/>
              <w:rPr>
                <w:sz w:val="24"/>
                <w:szCs w:val="24"/>
              </w:rPr>
            </w:pPr>
            <w:r>
              <w:rPr>
                <w:sz w:val="24"/>
                <w:szCs w:val="24"/>
              </w:rPr>
              <w:t>循环冷却废水105t/d,排入厂区生活污水管</w:t>
            </w:r>
            <w:r>
              <w:rPr>
                <w:sz w:val="24"/>
                <w:szCs w:val="24"/>
                <w:spacing w:val="-1"/>
              </w:rPr>
              <w:t>网。</w:t>
            </w:r>
          </w:p>
          <w:p>
            <w:pPr>
              <w:pStyle w:val="TableText"/>
              <w:ind w:left="614"/>
              <w:spacing w:before="187" w:line="218" w:lineRule="auto"/>
              <w:rPr>
                <w:sz w:val="24"/>
                <w:szCs w:val="24"/>
              </w:rPr>
            </w:pPr>
            <w:r>
              <w:rPr>
                <w:sz w:val="24"/>
                <w:szCs w:val="24"/>
                <w:b/>
                <w:bCs/>
                <w:spacing w:val="-5"/>
              </w:rPr>
              <w:t>5)喷淋塔废水</w:t>
            </w:r>
          </w:p>
          <w:p>
            <w:pPr>
              <w:pStyle w:val="TableText"/>
              <w:spacing w:before="181" w:line="478" w:lineRule="exact"/>
              <w:jc w:val="right"/>
              <w:rPr>
                <w:sz w:val="24"/>
                <w:szCs w:val="24"/>
              </w:rPr>
            </w:pPr>
            <w:r>
              <w:rPr>
                <w:sz w:val="24"/>
                <w:szCs w:val="24"/>
                <w:position w:val="18"/>
              </w:rPr>
              <w:t>污水处理站恶臭、焚烧炉废气处理系统的喷淋塔废水，主要污染为COD、</w:t>
            </w:r>
          </w:p>
          <w:p>
            <w:pPr>
              <w:pStyle w:val="TableText"/>
              <w:ind w:left="140"/>
              <w:spacing w:line="216" w:lineRule="auto"/>
              <w:rPr>
                <w:sz w:val="24"/>
                <w:szCs w:val="24"/>
              </w:rPr>
            </w:pPr>
            <w:r>
              <w:rPr>
                <w:sz w:val="24"/>
                <w:szCs w:val="24"/>
                <w:spacing w:val="-4"/>
              </w:rPr>
              <w:t>SS,循环使用，定期补充新鲜水。</w:t>
            </w:r>
          </w:p>
        </w:tc>
      </w:tr>
    </w:tbl>
    <w:p>
      <w:pPr>
        <w:rPr>
          <w:rFonts w:ascii="Arial"/>
          <w:sz w:val="21"/>
        </w:rPr>
      </w:pPr>
      <w:r/>
    </w:p>
    <w:p>
      <w:pPr>
        <w:sectPr>
          <w:footerReference w:type="default" r:id="rId35"/>
          <w:pgSz w:w="11900" w:h="16840"/>
          <w:pgMar w:top="1425" w:right="1375" w:bottom="988" w:left="1534" w:header="0" w:footer="849" w:gutter="0"/>
        </w:sectPr>
        <w:rPr>
          <w:rFonts w:ascii="Arial" w:hAnsi="Arial" w:eastAsia="Arial" w:cs="Arial"/>
          <w:sz w:val="21"/>
          <w:szCs w:val="21"/>
        </w:rPr>
      </w:pPr>
    </w:p>
    <w:p>
      <w:pPr>
        <w:spacing w:line="141" w:lineRule="auto"/>
        <w:rPr>
          <w:rFonts w:ascii="Arial"/>
          <w:sz w:val="2"/>
        </w:rPr>
      </w:pPr>
      <w:r>
        <w:rPr>
          <w:rFonts w:ascii="Arial"/>
          <w:sz w:val="2"/>
        </w:rPr>
      </w:r>
    </w:p>
    <w:tbl>
      <w:tblPr>
        <w:tblStyle w:val="TableNormal"/>
        <w:tblW w:w="897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24"/>
        <w:gridCol w:w="8155"/>
      </w:tblGrid>
      <w:tr>
        <w:trPr>
          <w:trHeight w:val="13560" w:hRule="atLeast"/>
        </w:trPr>
        <w:tc>
          <w:tcPr>
            <w:tcW w:w="824" w:type="dxa"/>
            <w:vAlign w:val="top"/>
          </w:tcPr>
          <w:p>
            <w:pPr>
              <w:rPr>
                <w:rFonts w:ascii="Arial"/>
                <w:sz w:val="21"/>
              </w:rPr>
            </w:pPr>
            <w:r/>
          </w:p>
        </w:tc>
        <w:tc>
          <w:tcPr>
            <w:tcW w:w="8155" w:type="dxa"/>
            <w:vAlign w:val="top"/>
          </w:tcPr>
          <w:p>
            <w:pPr>
              <w:pStyle w:val="TableText"/>
              <w:ind w:left="604"/>
              <w:spacing w:before="61" w:line="219" w:lineRule="auto"/>
              <w:rPr>
                <w:sz w:val="24"/>
                <w:szCs w:val="24"/>
              </w:rPr>
            </w:pPr>
            <w:r>
              <w:rPr>
                <w:sz w:val="24"/>
                <w:szCs w:val="24"/>
                <w:b/>
                <w:bCs/>
                <w:spacing w:val="-5"/>
              </w:rPr>
              <w:t>6)食堂废水</w:t>
            </w:r>
          </w:p>
          <w:p>
            <w:pPr>
              <w:pStyle w:val="TableText"/>
              <w:ind w:left="531"/>
              <w:spacing w:before="164" w:line="474" w:lineRule="exact"/>
              <w:rPr>
                <w:sz w:val="24"/>
                <w:szCs w:val="24"/>
              </w:rPr>
            </w:pPr>
            <w:r>
              <w:rPr>
                <w:sz w:val="24"/>
                <w:szCs w:val="24"/>
                <w:spacing w:val="5"/>
                <w:position w:val="17"/>
              </w:rPr>
              <w:t>食堂废水134t/d,主要污染物为</w:t>
            </w:r>
            <w:r>
              <w:rPr>
                <w:sz w:val="24"/>
                <w:szCs w:val="24"/>
                <w:position w:val="17"/>
              </w:rPr>
              <w:t>COD</w:t>
            </w:r>
            <w:r>
              <w:rPr>
                <w:sz w:val="24"/>
                <w:szCs w:val="24"/>
                <w:spacing w:val="5"/>
                <w:position w:val="17"/>
              </w:rPr>
              <w:t>、</w:t>
            </w:r>
            <w:r>
              <w:rPr>
                <w:sz w:val="24"/>
                <w:szCs w:val="24"/>
                <w:position w:val="17"/>
              </w:rPr>
              <w:t>SS</w:t>
            </w:r>
            <w:r>
              <w:rPr>
                <w:sz w:val="24"/>
                <w:szCs w:val="24"/>
                <w:spacing w:val="5"/>
                <w:position w:val="17"/>
              </w:rPr>
              <w:t>、</w:t>
            </w:r>
            <w:r>
              <w:rPr>
                <w:sz w:val="24"/>
                <w:szCs w:val="24"/>
                <w:position w:val="17"/>
              </w:rPr>
              <w:t>BODs</w:t>
            </w:r>
            <w:r>
              <w:rPr>
                <w:sz w:val="24"/>
                <w:szCs w:val="24"/>
                <w:spacing w:val="5"/>
                <w:position w:val="17"/>
              </w:rPr>
              <w:t>、</w:t>
            </w:r>
            <w:r>
              <w:rPr>
                <w:sz w:val="24"/>
                <w:szCs w:val="24"/>
                <w:position w:val="17"/>
              </w:rPr>
              <w:t>NH</w:t>
            </w:r>
            <w:r>
              <w:rPr>
                <w:rFonts w:ascii="Calibri" w:hAnsi="Calibri" w:eastAsia="Calibri" w:cs="Calibri"/>
                <w:sz w:val="24"/>
                <w:szCs w:val="24"/>
                <w:spacing w:val="5"/>
                <w:position w:val="17"/>
              </w:rPr>
              <w:t>₃</w:t>
            </w:r>
            <w:r>
              <w:rPr>
                <w:sz w:val="24"/>
                <w:szCs w:val="24"/>
                <w:spacing w:val="5"/>
                <w:position w:val="17"/>
              </w:rPr>
              <w:t>-N及动植物油，</w:t>
            </w:r>
          </w:p>
          <w:p>
            <w:pPr>
              <w:pStyle w:val="TableText"/>
              <w:ind w:left="120"/>
              <w:spacing w:line="219" w:lineRule="auto"/>
              <w:rPr>
                <w:sz w:val="24"/>
                <w:szCs w:val="24"/>
              </w:rPr>
            </w:pPr>
            <w:r>
              <w:rPr>
                <w:sz w:val="24"/>
                <w:szCs w:val="24"/>
              </w:rPr>
              <w:t>经隔油池处理后，排入北侧南一路的市政污水管网。</w:t>
            </w:r>
          </w:p>
          <w:p>
            <w:pPr>
              <w:pStyle w:val="TableText"/>
              <w:ind w:left="604"/>
              <w:spacing w:before="171" w:line="219" w:lineRule="auto"/>
              <w:rPr>
                <w:sz w:val="24"/>
                <w:szCs w:val="24"/>
              </w:rPr>
            </w:pPr>
            <w:r>
              <w:rPr>
                <w:sz w:val="24"/>
                <w:szCs w:val="24"/>
                <w:b/>
                <w:bCs/>
                <w:spacing w:val="-5"/>
              </w:rPr>
              <w:t>7)生活污水</w:t>
            </w:r>
          </w:p>
          <w:p>
            <w:pPr>
              <w:pStyle w:val="TableText"/>
              <w:ind w:left="601"/>
              <w:spacing w:before="174" w:line="481" w:lineRule="exact"/>
              <w:rPr>
                <w:sz w:val="24"/>
                <w:szCs w:val="24"/>
              </w:rPr>
            </w:pPr>
            <w:r>
              <w:rPr>
                <w:sz w:val="24"/>
                <w:szCs w:val="24"/>
                <w:spacing w:val="2"/>
                <w:position w:val="18"/>
              </w:rPr>
              <w:t>一期工程——时代一汽动力电池项目(年产10</w:t>
            </w:r>
            <w:r>
              <w:rPr>
                <w:sz w:val="24"/>
                <w:szCs w:val="24"/>
                <w:position w:val="18"/>
              </w:rPr>
              <w:t>GWh</w:t>
            </w:r>
            <w:r>
              <w:rPr>
                <w:sz w:val="24"/>
                <w:szCs w:val="24"/>
                <w:spacing w:val="2"/>
                <w:position w:val="18"/>
              </w:rPr>
              <w:t>)生活污水294.8t/d,</w:t>
            </w:r>
          </w:p>
          <w:p>
            <w:pPr>
              <w:pStyle w:val="TableText"/>
              <w:ind w:left="150"/>
              <w:spacing w:line="216" w:lineRule="auto"/>
              <w:rPr>
                <w:sz w:val="24"/>
                <w:szCs w:val="24"/>
              </w:rPr>
            </w:pPr>
            <w:r>
              <w:rPr>
                <w:sz w:val="24"/>
                <w:szCs w:val="24"/>
                <w:spacing w:val="6"/>
              </w:rPr>
              <w:t>主要污染物为</w:t>
            </w:r>
            <w:r>
              <w:rPr>
                <w:sz w:val="24"/>
                <w:szCs w:val="24"/>
              </w:rPr>
              <w:t>COD</w:t>
            </w:r>
            <w:r>
              <w:rPr>
                <w:sz w:val="24"/>
                <w:szCs w:val="24"/>
                <w:spacing w:val="6"/>
              </w:rPr>
              <w:t>、</w:t>
            </w:r>
            <w:r>
              <w:rPr>
                <w:sz w:val="24"/>
                <w:szCs w:val="24"/>
              </w:rPr>
              <w:t>NH</w:t>
            </w:r>
            <w:r>
              <w:rPr>
                <w:rFonts w:ascii="Calibri" w:hAnsi="Calibri" w:eastAsia="Calibri" w:cs="Calibri"/>
                <w:sz w:val="24"/>
                <w:szCs w:val="24"/>
                <w:spacing w:val="6"/>
              </w:rPr>
              <w:t>₃</w:t>
            </w:r>
            <w:r>
              <w:rPr>
                <w:sz w:val="24"/>
                <w:szCs w:val="24"/>
                <w:spacing w:val="6"/>
              </w:rPr>
              <w:t>-N、</w:t>
            </w:r>
            <w:r>
              <w:rPr>
                <w:sz w:val="24"/>
                <w:szCs w:val="24"/>
              </w:rPr>
              <w:t>SS</w:t>
            </w:r>
            <w:r>
              <w:rPr>
                <w:sz w:val="24"/>
                <w:szCs w:val="24"/>
                <w:spacing w:val="6"/>
              </w:rPr>
              <w:t>、</w:t>
            </w:r>
            <w:r>
              <w:rPr>
                <w:sz w:val="24"/>
                <w:szCs w:val="24"/>
              </w:rPr>
              <w:t>BODs</w:t>
            </w:r>
            <w:r>
              <w:rPr>
                <w:sz w:val="24"/>
                <w:szCs w:val="24"/>
                <w:spacing w:val="6"/>
              </w:rPr>
              <w:t>,经化粪池处理后，生活</w:t>
            </w:r>
            <w:r>
              <w:rPr>
                <w:sz w:val="24"/>
                <w:szCs w:val="24"/>
                <w:spacing w:val="5"/>
              </w:rPr>
              <w:t>区的生活</w:t>
            </w:r>
          </w:p>
          <w:p>
            <w:pPr>
              <w:pStyle w:val="TableText"/>
              <w:ind w:left="110"/>
              <w:spacing w:before="182" w:line="500" w:lineRule="exact"/>
              <w:rPr>
                <w:sz w:val="24"/>
                <w:szCs w:val="24"/>
              </w:rPr>
            </w:pPr>
            <w:r>
              <w:rPr>
                <w:sz w:val="24"/>
                <w:szCs w:val="24"/>
                <w:position w:val="19"/>
              </w:rPr>
              <w:t>污水排入北侧南一路的市政污水管网，办公区的生活污水排入东侧长富路的</w:t>
            </w:r>
          </w:p>
          <w:p>
            <w:pPr>
              <w:pStyle w:val="TableText"/>
              <w:ind w:left="150"/>
              <w:spacing w:before="1" w:line="219" w:lineRule="auto"/>
              <w:rPr>
                <w:sz w:val="24"/>
                <w:szCs w:val="24"/>
              </w:rPr>
            </w:pPr>
            <w:r>
              <w:rPr>
                <w:sz w:val="24"/>
                <w:szCs w:val="24"/>
              </w:rPr>
              <w:t>市政污水管网。</w:t>
            </w:r>
          </w:p>
          <w:p>
            <w:pPr>
              <w:pStyle w:val="TableText"/>
              <w:ind w:left="150" w:right="422" w:firstLine="380"/>
              <w:spacing w:before="155" w:line="347" w:lineRule="auto"/>
              <w:rPr>
                <w:sz w:val="24"/>
                <w:szCs w:val="24"/>
              </w:rPr>
            </w:pPr>
            <w:r>
              <w:rPr>
                <w:sz w:val="24"/>
                <w:szCs w:val="24"/>
              </w:rPr>
              <w:t>根据《时代一汽动力电池项目(年产10GWh)竣工环境保护验收监测报</w:t>
            </w:r>
            <w:r>
              <w:rPr>
                <w:sz w:val="24"/>
                <w:szCs w:val="24"/>
                <w:spacing w:val="5"/>
              </w:rPr>
              <w:t xml:space="preserve">  </w:t>
            </w:r>
            <w:r>
              <w:rPr>
                <w:sz w:val="24"/>
                <w:szCs w:val="24"/>
              </w:rPr>
              <w:t>告表》可知：验收监测期间，阴极混凝出口(DW001)废水中污染物排放浓</w:t>
            </w:r>
          </w:p>
          <w:p>
            <w:pPr>
              <w:pStyle w:val="TableText"/>
              <w:ind w:left="120"/>
              <w:spacing w:before="1" w:line="213" w:lineRule="auto"/>
              <w:rPr>
                <w:sz w:val="24"/>
                <w:szCs w:val="24"/>
              </w:rPr>
            </w:pPr>
            <w:r>
              <w:rPr>
                <w:sz w:val="24"/>
                <w:szCs w:val="24"/>
              </w:rPr>
              <w:t>度总镍&lt;0.05mg/L,总钴0.00108~0.00128mg/L,阴极</w:t>
            </w:r>
            <w:r>
              <w:rPr>
                <w:sz w:val="24"/>
                <w:szCs w:val="24"/>
                <w:spacing w:val="-1"/>
              </w:rPr>
              <w:t>混凝池出口(车间排放</w:t>
            </w:r>
          </w:p>
          <w:p>
            <w:pPr>
              <w:pStyle w:val="TableText"/>
              <w:ind w:right="1"/>
              <w:spacing w:before="209" w:line="470" w:lineRule="exact"/>
              <w:jc w:val="right"/>
              <w:rPr>
                <w:sz w:val="24"/>
                <w:szCs w:val="24"/>
              </w:rPr>
            </w:pPr>
            <w:r>
              <w:rPr>
                <w:sz w:val="24"/>
                <w:szCs w:val="24"/>
                <w:spacing w:val="1"/>
                <w:position w:val="17"/>
              </w:rPr>
              <w:t>口)总镍、总钴排放浓度均符合《电池工业污染物排放标准》(</w:t>
            </w:r>
            <w:r>
              <w:rPr>
                <w:sz w:val="24"/>
                <w:szCs w:val="24"/>
                <w:position w:val="17"/>
              </w:rPr>
              <w:t>GB</w:t>
            </w:r>
            <w:r>
              <w:rPr>
                <w:sz w:val="24"/>
                <w:szCs w:val="24"/>
                <w:spacing w:val="1"/>
                <w:position w:val="17"/>
              </w:rPr>
              <w:t>30484-2013)</w:t>
            </w:r>
          </w:p>
          <w:p>
            <w:pPr>
              <w:pStyle w:val="TableText"/>
              <w:ind w:left="140"/>
              <w:spacing w:before="1" w:line="219" w:lineRule="auto"/>
              <w:rPr>
                <w:sz w:val="24"/>
                <w:szCs w:val="24"/>
              </w:rPr>
            </w:pPr>
            <w:r>
              <w:rPr>
                <w:sz w:val="24"/>
                <w:szCs w:val="24"/>
              </w:rPr>
              <w:t>表2中“车间或者车间处理设施排放口”排放标准限值要</w:t>
            </w:r>
            <w:r>
              <w:rPr>
                <w:sz w:val="24"/>
                <w:szCs w:val="24"/>
                <w:spacing w:val="-1"/>
              </w:rPr>
              <w:t>求。</w:t>
            </w:r>
          </w:p>
          <w:p>
            <w:pPr>
              <w:pStyle w:val="TableText"/>
              <w:ind w:left="631"/>
              <w:spacing w:before="178" w:line="479" w:lineRule="exact"/>
              <w:rPr>
                <w:sz w:val="24"/>
                <w:szCs w:val="24"/>
              </w:rPr>
            </w:pPr>
            <w:r>
              <w:rPr>
                <w:sz w:val="24"/>
                <w:szCs w:val="24"/>
                <w:spacing w:val="36"/>
                <w:position w:val="18"/>
              </w:rPr>
              <w:t>工业废水排放口(</w:t>
            </w:r>
            <w:r>
              <w:rPr>
                <w:sz w:val="24"/>
                <w:szCs w:val="24"/>
                <w:position w:val="18"/>
              </w:rPr>
              <w:t>DW</w:t>
            </w:r>
            <w:r>
              <w:rPr>
                <w:sz w:val="24"/>
                <w:szCs w:val="24"/>
                <w:spacing w:val="36"/>
                <w:position w:val="18"/>
              </w:rPr>
              <w:t>003)废水中污染物浓度</w:t>
            </w:r>
            <w:r>
              <w:rPr>
                <w:sz w:val="24"/>
                <w:szCs w:val="24"/>
                <w:position w:val="18"/>
              </w:rPr>
              <w:t>pH</w:t>
            </w:r>
            <w:r>
              <w:rPr>
                <w:sz w:val="24"/>
                <w:szCs w:val="24"/>
                <w:spacing w:val="36"/>
                <w:position w:val="18"/>
              </w:rPr>
              <w:t>6</w:t>
            </w:r>
            <w:r>
              <w:rPr>
                <w:sz w:val="24"/>
                <w:szCs w:val="24"/>
                <w:spacing w:val="-69"/>
                <w:position w:val="18"/>
              </w:rPr>
              <w:t xml:space="preserve"> </w:t>
            </w:r>
            <w:r>
              <w:rPr>
                <w:sz w:val="24"/>
                <w:szCs w:val="24"/>
                <w:spacing w:val="36"/>
                <w:position w:val="18"/>
              </w:rPr>
              <w:t>.9～</w:t>
            </w:r>
            <w:r>
              <w:rPr>
                <w:sz w:val="24"/>
                <w:szCs w:val="24"/>
                <w:spacing w:val="35"/>
                <w:position w:val="18"/>
              </w:rPr>
              <w:t>7</w:t>
            </w:r>
            <w:r>
              <w:rPr>
                <w:sz w:val="24"/>
                <w:szCs w:val="24"/>
                <w:spacing w:val="-68"/>
                <w:position w:val="18"/>
              </w:rPr>
              <w:t xml:space="preserve"> </w:t>
            </w:r>
            <w:r>
              <w:rPr>
                <w:sz w:val="24"/>
                <w:szCs w:val="24"/>
                <w:spacing w:val="35"/>
                <w:position w:val="18"/>
              </w:rPr>
              <w:t>.2,</w:t>
            </w:r>
            <w:r>
              <w:rPr>
                <w:sz w:val="24"/>
                <w:szCs w:val="24"/>
                <w:position w:val="18"/>
              </w:rPr>
              <w:t>S</w:t>
            </w:r>
            <w:r>
              <w:rPr>
                <w:sz w:val="24"/>
                <w:szCs w:val="24"/>
                <w:spacing w:val="-75"/>
                <w:position w:val="18"/>
              </w:rPr>
              <w:t xml:space="preserve"> </w:t>
            </w:r>
            <w:r>
              <w:rPr>
                <w:sz w:val="24"/>
                <w:szCs w:val="24"/>
                <w:position w:val="18"/>
              </w:rPr>
              <w:t>S</w:t>
            </w:r>
            <w:r>
              <w:rPr>
                <w:sz w:val="24"/>
                <w:szCs w:val="24"/>
                <w:spacing w:val="35"/>
                <w:position w:val="18"/>
              </w:rPr>
              <w:t>:</w:t>
            </w:r>
          </w:p>
          <w:p>
            <w:pPr>
              <w:pStyle w:val="TableText"/>
              <w:ind w:left="160"/>
              <w:spacing w:before="1" w:line="213" w:lineRule="auto"/>
              <w:rPr>
                <w:sz w:val="24"/>
                <w:szCs w:val="24"/>
              </w:rPr>
            </w:pPr>
            <w:r>
              <w:rPr>
                <w:sz w:val="24"/>
                <w:szCs w:val="24"/>
              </w:rPr>
              <w:t>11~12mg/L,COD17~20mg/L,总磷0.06mg/L,氨氮1.28~1.30mg/L,总氮</w:t>
            </w:r>
          </w:p>
          <w:p>
            <w:pPr>
              <w:pStyle w:val="TableText"/>
              <w:ind w:left="140"/>
              <w:spacing w:before="172" w:line="214" w:lineRule="auto"/>
              <w:rPr>
                <w:sz w:val="24"/>
                <w:szCs w:val="24"/>
              </w:rPr>
            </w:pPr>
            <w:r>
              <w:rPr>
                <w:sz w:val="24"/>
                <w:szCs w:val="24"/>
                <w:spacing w:val="1"/>
              </w:rPr>
              <w:t>10.7</w:t>
            </w:r>
            <w:r>
              <w:rPr>
                <w:sz w:val="24"/>
                <w:szCs w:val="24"/>
              </w:rPr>
              <w:t>mg</w:t>
            </w:r>
            <w:r>
              <w:rPr>
                <w:sz w:val="24"/>
                <w:szCs w:val="24"/>
                <w:spacing w:val="1"/>
              </w:rPr>
              <w:t>/L,总锰&lt;0.01</w:t>
            </w:r>
            <w:r>
              <w:rPr>
                <w:sz w:val="24"/>
                <w:szCs w:val="24"/>
              </w:rPr>
              <w:t>mg</w:t>
            </w:r>
            <w:r>
              <w:rPr>
                <w:sz w:val="24"/>
                <w:szCs w:val="24"/>
                <w:spacing w:val="1"/>
              </w:rPr>
              <w:t>/L,生产</w:t>
            </w:r>
            <w:r>
              <w:rPr>
                <w:sz w:val="24"/>
                <w:szCs w:val="24"/>
              </w:rPr>
              <w:t>废水生化系统出口pH值、COD、氨氮、总</w:t>
            </w:r>
          </w:p>
          <w:p>
            <w:pPr>
              <w:pStyle w:val="TableText"/>
              <w:ind w:left="110" w:firstLine="29"/>
              <w:spacing w:before="219" w:line="366" w:lineRule="auto"/>
              <w:rPr>
                <w:sz w:val="24"/>
                <w:szCs w:val="24"/>
              </w:rPr>
            </w:pPr>
            <w:r>
              <w:rPr>
                <w:sz w:val="24"/>
                <w:szCs w:val="24"/>
                <w:spacing w:val="-4"/>
              </w:rPr>
              <w:t>氮、总磷、总锰排放浓度均符合《电池工业污染物排放标准》(GB30484-2013)</w:t>
            </w:r>
            <w:r>
              <w:rPr>
                <w:sz w:val="24"/>
                <w:szCs w:val="24"/>
                <w:spacing w:val="7"/>
              </w:rPr>
              <w:t xml:space="preserve"> </w:t>
            </w:r>
            <w:r>
              <w:rPr>
                <w:sz w:val="24"/>
                <w:szCs w:val="24"/>
                <w:spacing w:val="-1"/>
              </w:rPr>
              <w:t>表2中污染物间接排放标准限值要求(其中生产废水中锰参照执行标准中“镉</w:t>
            </w:r>
          </w:p>
          <w:p>
            <w:pPr>
              <w:pStyle w:val="TableText"/>
              <w:ind w:left="150"/>
              <w:spacing w:line="220" w:lineRule="auto"/>
              <w:rPr>
                <w:sz w:val="24"/>
                <w:szCs w:val="24"/>
              </w:rPr>
            </w:pPr>
            <w:r>
              <w:rPr>
                <w:sz w:val="24"/>
                <w:szCs w:val="24"/>
                <w:spacing w:val="-2"/>
              </w:rPr>
              <w:t>镍/氢镍电池”中的总锰排放标准)。</w:t>
            </w:r>
          </w:p>
          <w:p>
            <w:pPr>
              <w:pStyle w:val="TableText"/>
              <w:ind w:left="621"/>
              <w:spacing w:before="157" w:line="469" w:lineRule="exact"/>
              <w:rPr>
                <w:sz w:val="24"/>
                <w:szCs w:val="24"/>
              </w:rPr>
            </w:pPr>
            <w:r>
              <w:rPr>
                <w:sz w:val="24"/>
                <w:szCs w:val="24"/>
                <w:spacing w:val="2"/>
                <w:position w:val="17"/>
              </w:rPr>
              <w:t>生活区生活污水总排口(北侧厂界附近)废水中污染物浓度</w:t>
            </w:r>
            <w:r>
              <w:rPr>
                <w:sz w:val="24"/>
                <w:szCs w:val="24"/>
                <w:position w:val="17"/>
              </w:rPr>
              <w:t>pH</w:t>
            </w:r>
            <w:r>
              <w:rPr>
                <w:sz w:val="24"/>
                <w:szCs w:val="24"/>
                <w:spacing w:val="2"/>
                <w:position w:val="17"/>
              </w:rPr>
              <w:t>7.0～7.3,</w:t>
            </w:r>
          </w:p>
          <w:p>
            <w:pPr>
              <w:pStyle w:val="TableText"/>
              <w:ind w:left="140"/>
              <w:spacing w:line="213" w:lineRule="auto"/>
              <w:rPr>
                <w:sz w:val="24"/>
                <w:szCs w:val="24"/>
              </w:rPr>
            </w:pPr>
            <w:r>
              <w:rPr>
                <w:sz w:val="24"/>
                <w:szCs w:val="24"/>
              </w:rPr>
              <w:t>SS</w:t>
            </w:r>
            <w:r>
              <w:rPr>
                <w:sz w:val="24"/>
                <w:szCs w:val="24"/>
                <w:spacing w:val="3"/>
              </w:rPr>
              <w:t>32～33</w:t>
            </w:r>
            <w:r>
              <w:rPr>
                <w:sz w:val="24"/>
                <w:szCs w:val="24"/>
              </w:rPr>
              <w:t>mg</w:t>
            </w:r>
            <w:r>
              <w:rPr>
                <w:sz w:val="24"/>
                <w:szCs w:val="24"/>
                <w:spacing w:val="3"/>
              </w:rPr>
              <w:t>/L,</w:t>
            </w:r>
            <w:r>
              <w:rPr>
                <w:sz w:val="24"/>
                <w:szCs w:val="24"/>
              </w:rPr>
              <w:t>COD</w:t>
            </w:r>
            <w:r>
              <w:rPr>
                <w:sz w:val="24"/>
                <w:szCs w:val="24"/>
                <w:spacing w:val="3"/>
              </w:rPr>
              <w:t>97～108</w:t>
            </w:r>
            <w:r>
              <w:rPr>
                <w:sz w:val="24"/>
                <w:szCs w:val="24"/>
              </w:rPr>
              <w:t>mg</w:t>
            </w:r>
            <w:r>
              <w:rPr>
                <w:sz w:val="24"/>
                <w:szCs w:val="24"/>
                <w:spacing w:val="3"/>
              </w:rPr>
              <w:t>/L,</w:t>
            </w:r>
            <w:r>
              <w:rPr>
                <w:sz w:val="24"/>
                <w:szCs w:val="24"/>
              </w:rPr>
              <w:t>BODs</w:t>
            </w:r>
            <w:r>
              <w:rPr>
                <w:sz w:val="24"/>
                <w:szCs w:val="24"/>
                <w:spacing w:val="3"/>
              </w:rPr>
              <w:t>35.1～38.3</w:t>
            </w:r>
            <w:r>
              <w:rPr>
                <w:sz w:val="24"/>
                <w:szCs w:val="24"/>
              </w:rPr>
              <w:t>mg</w:t>
            </w:r>
            <w:r>
              <w:rPr>
                <w:sz w:val="24"/>
                <w:szCs w:val="24"/>
                <w:spacing w:val="3"/>
              </w:rPr>
              <w:t>/L,氨氮28.2~</w:t>
            </w:r>
          </w:p>
          <w:p>
            <w:pPr>
              <w:pStyle w:val="TableText"/>
              <w:ind w:left="140"/>
              <w:spacing w:before="192" w:line="214" w:lineRule="auto"/>
              <w:rPr>
                <w:sz w:val="24"/>
                <w:szCs w:val="24"/>
              </w:rPr>
            </w:pPr>
            <w:r>
              <w:rPr>
                <w:sz w:val="24"/>
                <w:szCs w:val="24"/>
              </w:rPr>
              <w:t>35.1mg/L,总磷0.76mg/L,总氮49.8～50.2</w:t>
            </w:r>
            <w:r>
              <w:rPr>
                <w:sz w:val="24"/>
                <w:szCs w:val="24"/>
                <w:spacing w:val="-1"/>
              </w:rPr>
              <w:t>mg/L,厂区生活废水总排口pH</w:t>
            </w:r>
          </w:p>
          <w:p>
            <w:pPr>
              <w:pStyle w:val="TableText"/>
              <w:ind w:left="231"/>
              <w:spacing w:before="190" w:line="219" w:lineRule="auto"/>
              <w:rPr>
                <w:sz w:val="24"/>
                <w:szCs w:val="24"/>
              </w:rPr>
            </w:pPr>
            <w:r>
              <w:rPr>
                <w:sz w:val="24"/>
                <w:szCs w:val="24"/>
                <w:spacing w:val="2"/>
              </w:rPr>
              <w:t>值、</w:t>
            </w:r>
            <w:r>
              <w:rPr>
                <w:sz w:val="24"/>
                <w:szCs w:val="24"/>
              </w:rPr>
              <w:t>COD</w:t>
            </w:r>
            <w:r>
              <w:rPr>
                <w:sz w:val="24"/>
                <w:szCs w:val="24"/>
                <w:spacing w:val="2"/>
              </w:rPr>
              <w:t>、</w:t>
            </w:r>
            <w:r>
              <w:rPr>
                <w:sz w:val="24"/>
                <w:szCs w:val="24"/>
              </w:rPr>
              <w:t>BODs</w:t>
            </w:r>
            <w:r>
              <w:rPr>
                <w:sz w:val="24"/>
                <w:szCs w:val="24"/>
                <w:spacing w:val="2"/>
              </w:rPr>
              <w:t>、</w:t>
            </w:r>
            <w:r>
              <w:rPr>
                <w:sz w:val="24"/>
                <w:szCs w:val="24"/>
              </w:rPr>
              <w:t>SS</w:t>
            </w:r>
            <w:r>
              <w:rPr>
                <w:sz w:val="24"/>
                <w:szCs w:val="24"/>
                <w:spacing w:val="2"/>
              </w:rPr>
              <w:t>排放浓度均符合《污水综合排放标</w:t>
            </w:r>
            <w:r>
              <w:rPr>
                <w:sz w:val="24"/>
                <w:szCs w:val="24"/>
                <w:spacing w:val="1"/>
              </w:rPr>
              <w:t>准》(</w:t>
            </w:r>
            <w:r>
              <w:rPr>
                <w:sz w:val="24"/>
                <w:szCs w:val="24"/>
              </w:rPr>
              <w:t>GB</w:t>
            </w:r>
            <w:r>
              <w:rPr>
                <w:sz w:val="24"/>
                <w:szCs w:val="24"/>
                <w:spacing w:val="1"/>
              </w:rPr>
              <w:t>8978-1996)</w:t>
            </w:r>
          </w:p>
          <w:p>
            <w:pPr>
              <w:pStyle w:val="TableText"/>
              <w:ind w:left="110"/>
              <w:spacing w:before="184" w:line="219" w:lineRule="auto"/>
              <w:rPr>
                <w:sz w:val="24"/>
                <w:szCs w:val="24"/>
              </w:rPr>
            </w:pPr>
            <w:r>
              <w:rPr>
                <w:sz w:val="24"/>
                <w:szCs w:val="24"/>
              </w:rPr>
              <w:t>中的三级排放标准限值要求，氨氮、总磷、总氮排放浓度均符合《污水排入</w:t>
            </w:r>
          </w:p>
          <w:p>
            <w:pPr>
              <w:pStyle w:val="TableText"/>
              <w:ind w:left="231"/>
              <w:spacing w:before="156" w:line="472" w:lineRule="exact"/>
              <w:rPr>
                <w:sz w:val="24"/>
                <w:szCs w:val="24"/>
              </w:rPr>
            </w:pPr>
            <w:r>
              <w:rPr>
                <w:sz w:val="24"/>
                <w:szCs w:val="24"/>
                <w:position w:val="17"/>
              </w:rPr>
              <w:t>城镇下水道水质标准》(GB/T31962-2015)中排入城市下水道系统的限值要</w:t>
            </w:r>
          </w:p>
          <w:p>
            <w:pPr>
              <w:pStyle w:val="TableText"/>
              <w:ind w:left="120"/>
              <w:spacing w:before="1" w:line="220" w:lineRule="auto"/>
              <w:rPr>
                <w:sz w:val="24"/>
                <w:szCs w:val="24"/>
              </w:rPr>
            </w:pPr>
            <w:r>
              <w:rPr>
                <w:sz w:val="24"/>
                <w:szCs w:val="24"/>
              </w:rPr>
              <w:t>求。</w:t>
            </w:r>
          </w:p>
          <w:p>
            <w:pPr>
              <w:pStyle w:val="TableText"/>
              <w:ind w:left="641"/>
              <w:spacing w:before="191" w:line="473" w:lineRule="exact"/>
              <w:rPr>
                <w:sz w:val="24"/>
                <w:szCs w:val="24"/>
              </w:rPr>
            </w:pPr>
            <w:r>
              <w:rPr>
                <w:sz w:val="24"/>
                <w:szCs w:val="24"/>
                <w:spacing w:val="1"/>
                <w:position w:val="17"/>
              </w:rPr>
              <w:t>东侧厂界附近污水总排口废水(含生活污水、食堂废水、</w:t>
            </w:r>
            <w:r>
              <w:rPr>
                <w:sz w:val="24"/>
                <w:szCs w:val="24"/>
                <w:position w:val="17"/>
              </w:rPr>
              <w:t>工业废水)中</w:t>
            </w:r>
          </w:p>
          <w:p>
            <w:pPr>
              <w:pStyle w:val="TableText"/>
              <w:ind w:left="140"/>
              <w:spacing w:before="1" w:line="213" w:lineRule="auto"/>
              <w:rPr>
                <w:sz w:val="24"/>
                <w:szCs w:val="24"/>
              </w:rPr>
            </w:pPr>
            <w:r>
              <w:rPr>
                <w:sz w:val="24"/>
                <w:szCs w:val="24"/>
                <w:spacing w:val="3"/>
              </w:rPr>
              <w:t>污染物浓度</w:t>
            </w:r>
            <w:r>
              <w:rPr>
                <w:sz w:val="24"/>
                <w:szCs w:val="24"/>
              </w:rPr>
              <w:t>pH</w:t>
            </w:r>
            <w:r>
              <w:rPr>
                <w:sz w:val="24"/>
                <w:szCs w:val="24"/>
                <w:spacing w:val="3"/>
              </w:rPr>
              <w:t>6.4～6.7,</w:t>
            </w:r>
            <w:r>
              <w:rPr>
                <w:sz w:val="24"/>
                <w:szCs w:val="24"/>
              </w:rPr>
              <w:t>SS</w:t>
            </w:r>
            <w:r>
              <w:rPr>
                <w:sz w:val="24"/>
                <w:szCs w:val="24"/>
                <w:spacing w:val="3"/>
              </w:rPr>
              <w:t>34～35</w:t>
            </w:r>
            <w:r>
              <w:rPr>
                <w:sz w:val="24"/>
                <w:szCs w:val="24"/>
              </w:rPr>
              <w:t>mg</w:t>
            </w:r>
            <w:r>
              <w:rPr>
                <w:sz w:val="24"/>
                <w:szCs w:val="24"/>
                <w:spacing w:val="3"/>
              </w:rPr>
              <w:t>/L,</w:t>
            </w:r>
            <w:r>
              <w:rPr>
                <w:sz w:val="24"/>
                <w:szCs w:val="24"/>
              </w:rPr>
              <w:t>COD</w:t>
            </w:r>
            <w:r>
              <w:rPr>
                <w:sz w:val="24"/>
                <w:szCs w:val="24"/>
                <w:spacing w:val="3"/>
              </w:rPr>
              <w:t>351～379</w:t>
            </w:r>
            <w:r>
              <w:rPr>
                <w:sz w:val="24"/>
                <w:szCs w:val="24"/>
              </w:rPr>
              <w:t>mg</w:t>
            </w:r>
            <w:r>
              <w:rPr>
                <w:sz w:val="24"/>
                <w:szCs w:val="24"/>
                <w:spacing w:val="3"/>
              </w:rPr>
              <w:t>/L,</w:t>
            </w:r>
            <w:r>
              <w:rPr>
                <w:sz w:val="24"/>
                <w:szCs w:val="24"/>
              </w:rPr>
              <w:t>BODs</w:t>
            </w:r>
            <w:r>
              <w:rPr>
                <w:sz w:val="24"/>
                <w:szCs w:val="24"/>
                <w:spacing w:val="3"/>
              </w:rPr>
              <w:t>132~</w:t>
            </w:r>
          </w:p>
          <w:p>
            <w:pPr>
              <w:pStyle w:val="TableText"/>
              <w:ind w:left="171"/>
              <w:spacing w:before="192" w:line="214" w:lineRule="auto"/>
              <w:rPr>
                <w:sz w:val="24"/>
                <w:szCs w:val="24"/>
              </w:rPr>
            </w:pPr>
            <w:r>
              <w:rPr>
                <w:sz w:val="24"/>
                <w:szCs w:val="24"/>
                <w:spacing w:val="2"/>
              </w:rPr>
              <w:t>144</w:t>
            </w:r>
            <w:r>
              <w:rPr>
                <w:sz w:val="24"/>
                <w:szCs w:val="24"/>
              </w:rPr>
              <w:t>mg</w:t>
            </w:r>
            <w:r>
              <w:rPr>
                <w:sz w:val="24"/>
                <w:szCs w:val="24"/>
                <w:spacing w:val="2"/>
              </w:rPr>
              <w:t>/L,氨氮36.7～38.0</w:t>
            </w:r>
            <w:r>
              <w:rPr>
                <w:sz w:val="24"/>
                <w:szCs w:val="24"/>
              </w:rPr>
              <w:t>mg</w:t>
            </w:r>
            <w:r>
              <w:rPr>
                <w:sz w:val="24"/>
                <w:szCs w:val="24"/>
                <w:spacing w:val="2"/>
              </w:rPr>
              <w:t>/L,总磷1.2</w:t>
            </w:r>
            <w:r>
              <w:rPr>
                <w:sz w:val="24"/>
                <w:szCs w:val="24"/>
                <w:spacing w:val="1"/>
              </w:rPr>
              <w:t>2～1.25</w:t>
            </w:r>
            <w:r>
              <w:rPr>
                <w:sz w:val="24"/>
                <w:szCs w:val="24"/>
              </w:rPr>
              <w:t>mg</w:t>
            </w:r>
            <w:r>
              <w:rPr>
                <w:sz w:val="24"/>
                <w:szCs w:val="24"/>
                <w:spacing w:val="1"/>
              </w:rPr>
              <w:t>/L,总氮58.2～58.5</w:t>
            </w:r>
            <w:r>
              <w:rPr>
                <w:sz w:val="24"/>
                <w:szCs w:val="24"/>
              </w:rPr>
              <w:t>mg</w:t>
            </w:r>
            <w:r>
              <w:rPr>
                <w:sz w:val="24"/>
                <w:szCs w:val="24"/>
                <w:spacing w:val="1"/>
              </w:rPr>
              <w:t>/L,</w:t>
            </w:r>
          </w:p>
        </w:tc>
      </w:tr>
    </w:tbl>
    <w:p>
      <w:pPr>
        <w:rPr>
          <w:rFonts w:ascii="Arial"/>
          <w:sz w:val="21"/>
        </w:rPr>
      </w:pPr>
      <w:r/>
    </w:p>
    <w:p>
      <w:pPr>
        <w:sectPr>
          <w:footerReference w:type="default" r:id="rId36"/>
          <w:pgSz w:w="11900" w:h="16840"/>
          <w:pgMar w:top="1431" w:right="1385" w:bottom="988" w:left="1524" w:header="0" w:footer="849" w:gutter="0"/>
        </w:sectPr>
        <w:rPr>
          <w:rFonts w:ascii="Arial" w:hAnsi="Arial" w:eastAsia="Arial" w:cs="Arial"/>
          <w:sz w:val="21"/>
          <w:szCs w:val="21"/>
        </w:rPr>
      </w:pPr>
    </w:p>
    <w:p>
      <w:pPr>
        <w:spacing w:line="141" w:lineRule="auto"/>
        <w:rPr>
          <w:rFonts w:ascii="Arial"/>
          <w:sz w:val="2"/>
        </w:rPr>
      </w:pPr>
      <w:r>
        <w:rPr>
          <w:rFonts w:ascii="Arial"/>
          <w:sz w:val="2"/>
        </w:rPr>
      </w:r>
    </w:p>
    <w:tbl>
      <w:tblPr>
        <w:tblStyle w:val="TableNormal"/>
        <w:tblW w:w="89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14"/>
        <w:gridCol w:w="8175"/>
      </w:tblGrid>
      <w:tr>
        <w:trPr>
          <w:trHeight w:val="11490" w:hRule="atLeast"/>
        </w:trPr>
        <w:tc>
          <w:tcPr>
            <w:tcW w:w="814" w:type="dxa"/>
            <w:vAlign w:val="top"/>
          </w:tcPr>
          <w:p>
            <w:pPr>
              <w:rPr>
                <w:rFonts w:ascii="Arial"/>
                <w:sz w:val="21"/>
              </w:rPr>
            </w:pPr>
            <w:r/>
          </w:p>
        </w:tc>
        <w:tc>
          <w:tcPr>
            <w:tcW w:w="8175" w:type="dxa"/>
            <w:vAlign w:val="top"/>
          </w:tcPr>
          <w:p>
            <w:pPr>
              <w:pStyle w:val="TableText"/>
              <w:ind w:left="150"/>
              <w:spacing w:before="46" w:line="214" w:lineRule="auto"/>
              <w:rPr>
                <w:sz w:val="24"/>
                <w:szCs w:val="24"/>
              </w:rPr>
            </w:pPr>
            <w:r>
              <w:rPr>
                <w:sz w:val="24"/>
                <w:szCs w:val="24"/>
              </w:rPr>
              <w:t>动植物油类3.86～3.91mg/L,厂区废水总排口pH值、COD、BODs、SS、动</w:t>
            </w:r>
          </w:p>
          <w:p>
            <w:pPr>
              <w:pStyle w:val="TableText"/>
              <w:ind w:left="140"/>
              <w:spacing w:before="190" w:line="219" w:lineRule="auto"/>
              <w:rPr>
                <w:sz w:val="24"/>
                <w:szCs w:val="24"/>
              </w:rPr>
            </w:pPr>
            <w:r>
              <w:rPr>
                <w:sz w:val="24"/>
                <w:szCs w:val="24"/>
              </w:rPr>
              <w:t>植物油类排放浓度均符合《污水综合排放标准》(GB8978-1996)中的三级</w:t>
            </w:r>
          </w:p>
          <w:p>
            <w:pPr>
              <w:pStyle w:val="TableText"/>
              <w:ind w:left="120"/>
              <w:spacing w:before="184" w:line="460" w:lineRule="exact"/>
              <w:rPr>
                <w:sz w:val="24"/>
                <w:szCs w:val="24"/>
              </w:rPr>
            </w:pPr>
            <w:r>
              <w:rPr>
                <w:sz w:val="24"/>
                <w:szCs w:val="24"/>
                <w:position w:val="16"/>
              </w:rPr>
              <w:t>排放标准限值要求，氨氮、总磷、总氮排放浓度均符合《污水排入城镇下水</w:t>
            </w:r>
          </w:p>
          <w:p>
            <w:pPr>
              <w:pStyle w:val="TableText"/>
              <w:ind w:left="150"/>
              <w:spacing w:line="219" w:lineRule="auto"/>
              <w:rPr>
                <w:sz w:val="24"/>
                <w:szCs w:val="24"/>
              </w:rPr>
            </w:pPr>
            <w:r>
              <w:rPr>
                <w:sz w:val="24"/>
                <w:szCs w:val="24"/>
              </w:rPr>
              <w:t>道水质标准》(GB/T31962-2015)中排入城市下水道系统的限值要求。</w:t>
            </w:r>
          </w:p>
          <w:p>
            <w:pPr>
              <w:pStyle w:val="TableText"/>
              <w:ind w:left="541"/>
              <w:spacing w:before="195" w:line="470" w:lineRule="exact"/>
              <w:rPr>
                <w:sz w:val="24"/>
                <w:szCs w:val="24"/>
              </w:rPr>
            </w:pPr>
            <w:r>
              <w:rPr>
                <w:sz w:val="24"/>
                <w:szCs w:val="24"/>
                <w:position w:val="17"/>
              </w:rPr>
              <w:t>一期工程——时代一汽动力电池项目(年产10GWh)废水处置及排放情</w:t>
            </w:r>
          </w:p>
          <w:p>
            <w:pPr>
              <w:pStyle w:val="TableText"/>
              <w:ind w:left="140"/>
              <w:spacing w:line="219" w:lineRule="auto"/>
              <w:rPr>
                <w:sz w:val="24"/>
                <w:szCs w:val="24"/>
              </w:rPr>
            </w:pPr>
            <w:r>
              <w:rPr>
                <w:sz w:val="24"/>
                <w:szCs w:val="24"/>
                <w:spacing w:val="1"/>
              </w:rPr>
              <w:t>况见表2.8-4。</w:t>
            </w:r>
          </w:p>
        </w:tc>
      </w:tr>
    </w:tbl>
    <w:p>
      <w:pPr>
        <w:rPr>
          <w:rFonts w:ascii="Arial"/>
          <w:sz w:val="21"/>
        </w:rPr>
      </w:pPr>
      <w:r/>
    </w:p>
    <w:p>
      <w:pPr>
        <w:sectPr>
          <w:footerReference w:type="default" r:id="rId37"/>
          <w:pgSz w:w="11900" w:h="16840"/>
          <w:pgMar w:top="1431" w:right="1365" w:bottom="988" w:left="1534" w:header="0" w:footer="849" w:gutter="0"/>
        </w:sectPr>
        <w:rPr>
          <w:rFonts w:ascii="Arial" w:hAnsi="Arial" w:eastAsia="Arial" w:cs="Arial"/>
          <w:sz w:val="21"/>
          <w:szCs w:val="21"/>
        </w:rPr>
      </w:pPr>
    </w:p>
    <w:p>
      <w:pPr>
        <w:pStyle w:val="BodyText"/>
        <w:ind w:left="2698"/>
        <w:spacing w:before="154" w:line="199" w:lineRule="auto"/>
        <w:rPr>
          <w:sz w:val="24"/>
          <w:szCs w:val="24"/>
        </w:rPr>
      </w:pPr>
      <w:r>
        <w:rPr>
          <w:sz w:val="24"/>
          <w:szCs w:val="24"/>
          <w:b/>
          <w:bCs/>
          <w:spacing w:val="-3"/>
        </w:rPr>
        <w:t>表2.8-4一期工程——时代一汽动力电池项目(年产10GWh)废水处置及排放情况</w:t>
      </w:r>
    </w:p>
    <w:tbl>
      <w:tblPr>
        <w:tblStyle w:val="TableNormal"/>
        <w:tblW w:w="1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34"/>
        <w:gridCol w:w="2209"/>
        <w:gridCol w:w="1399"/>
        <w:gridCol w:w="5656"/>
        <w:gridCol w:w="2258"/>
        <w:gridCol w:w="1874"/>
      </w:tblGrid>
      <w:tr>
        <w:trPr>
          <w:trHeight w:val="275" w:hRule="atLeast"/>
        </w:trPr>
        <w:tc>
          <w:tcPr>
            <w:tcW w:w="2943" w:type="dxa"/>
            <w:vAlign w:val="top"/>
            <w:gridSpan w:val="2"/>
          </w:tcPr>
          <w:p>
            <w:pPr>
              <w:pStyle w:val="TableText"/>
              <w:ind w:left="1065"/>
              <w:spacing w:before="32" w:line="204" w:lineRule="auto"/>
              <w:rPr>
                <w:sz w:val="21"/>
                <w:szCs w:val="21"/>
              </w:rPr>
            </w:pPr>
            <w:r>
              <w:rPr>
                <w:sz w:val="21"/>
                <w:szCs w:val="21"/>
                <w:spacing w:val="4"/>
              </w:rPr>
              <w:t>废水类别</w:t>
            </w:r>
          </w:p>
        </w:tc>
        <w:tc>
          <w:tcPr>
            <w:tcW w:w="1399" w:type="dxa"/>
            <w:vAlign w:val="top"/>
          </w:tcPr>
          <w:p>
            <w:pPr>
              <w:pStyle w:val="TableText"/>
              <w:ind w:left="372"/>
              <w:spacing w:before="34" w:line="203" w:lineRule="auto"/>
              <w:rPr>
                <w:sz w:val="21"/>
                <w:szCs w:val="21"/>
              </w:rPr>
            </w:pPr>
            <w:r>
              <w:rPr>
                <w:sz w:val="21"/>
                <w:szCs w:val="21"/>
                <w:spacing w:val="3"/>
              </w:rPr>
              <w:t>污染物</w:t>
            </w:r>
          </w:p>
        </w:tc>
        <w:tc>
          <w:tcPr>
            <w:tcW w:w="5656" w:type="dxa"/>
            <w:vAlign w:val="top"/>
          </w:tcPr>
          <w:p>
            <w:pPr>
              <w:pStyle w:val="TableText"/>
              <w:ind w:left="1873"/>
              <w:spacing w:before="34" w:line="203" w:lineRule="auto"/>
              <w:rPr>
                <w:sz w:val="21"/>
                <w:szCs w:val="21"/>
              </w:rPr>
            </w:pPr>
            <w:r>
              <w:rPr>
                <w:sz w:val="21"/>
                <w:szCs w:val="21"/>
                <w:spacing w:val="2"/>
              </w:rPr>
              <w:t>处置措施及排放去向</w:t>
            </w:r>
          </w:p>
        </w:tc>
        <w:tc>
          <w:tcPr>
            <w:tcW w:w="2258" w:type="dxa"/>
            <w:vAlign w:val="top"/>
          </w:tcPr>
          <w:p>
            <w:pPr>
              <w:pStyle w:val="TableText"/>
              <w:ind w:left="177"/>
              <w:spacing w:before="27" w:line="209" w:lineRule="auto"/>
              <w:rPr>
                <w:sz w:val="21"/>
                <w:szCs w:val="21"/>
              </w:rPr>
            </w:pPr>
            <w:r>
              <w:rPr>
                <w:sz w:val="21"/>
                <w:szCs w:val="21"/>
                <w:spacing w:val="4"/>
              </w:rPr>
              <w:t>厂区排放浓度(</w:t>
            </w:r>
            <w:r>
              <w:rPr>
                <w:sz w:val="21"/>
                <w:szCs w:val="21"/>
              </w:rPr>
              <w:t>mg</w:t>
            </w:r>
            <w:r>
              <w:rPr>
                <w:sz w:val="21"/>
                <w:szCs w:val="21"/>
                <w:spacing w:val="4"/>
              </w:rPr>
              <w:t>/L)</w:t>
            </w:r>
          </w:p>
        </w:tc>
        <w:tc>
          <w:tcPr>
            <w:tcW w:w="1874" w:type="dxa"/>
            <w:vAlign w:val="top"/>
          </w:tcPr>
          <w:p>
            <w:pPr>
              <w:pStyle w:val="TableText"/>
              <w:ind w:left="139"/>
              <w:spacing w:before="34" w:line="203" w:lineRule="auto"/>
              <w:rPr>
                <w:sz w:val="21"/>
                <w:szCs w:val="21"/>
              </w:rPr>
            </w:pPr>
            <w:r>
              <w:rPr>
                <w:sz w:val="21"/>
                <w:szCs w:val="21"/>
                <w:spacing w:val="5"/>
              </w:rPr>
              <w:t>厂区排放量(t/a)</w:t>
            </w:r>
          </w:p>
        </w:tc>
      </w:tr>
      <w:tr>
        <w:trPr>
          <w:trHeight w:val="279" w:hRule="atLeast"/>
        </w:trPr>
        <w:tc>
          <w:tcPr>
            <w:tcW w:w="734" w:type="dxa"/>
            <w:vAlign w:val="top"/>
            <w:vMerge w:val="restart"/>
            <w:tcBorders>
              <w:bottom w:val="nil"/>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145"/>
              <w:spacing w:before="68" w:line="229" w:lineRule="auto"/>
              <w:rPr>
                <w:sz w:val="21"/>
                <w:szCs w:val="21"/>
              </w:rPr>
            </w:pPr>
            <w:r>
              <w:rPr>
                <w:sz w:val="21"/>
                <w:szCs w:val="21"/>
                <w:spacing w:val="6"/>
              </w:rPr>
              <w:t>生产</w:t>
            </w:r>
          </w:p>
          <w:p>
            <w:pPr>
              <w:pStyle w:val="TableText"/>
              <w:ind w:left="145"/>
              <w:spacing w:line="219" w:lineRule="auto"/>
              <w:rPr>
                <w:sz w:val="21"/>
                <w:szCs w:val="21"/>
              </w:rPr>
            </w:pPr>
            <w:r>
              <w:rPr>
                <w:sz w:val="21"/>
                <w:szCs w:val="21"/>
                <w:spacing w:val="-2"/>
              </w:rPr>
              <w:t>废水</w:t>
            </w:r>
          </w:p>
        </w:tc>
        <w:tc>
          <w:tcPr>
            <w:tcW w:w="2209" w:type="dxa"/>
            <w:vAlign w:val="top"/>
            <w:vMerge w:val="restart"/>
            <w:tcBorders>
              <w:bottom w:val="nil"/>
            </w:tcBorders>
          </w:tcPr>
          <w:p>
            <w:pPr>
              <w:pStyle w:val="TableText"/>
              <w:ind w:left="461"/>
              <w:spacing w:before="218" w:line="219" w:lineRule="auto"/>
              <w:rPr>
                <w:sz w:val="21"/>
                <w:szCs w:val="21"/>
              </w:rPr>
            </w:pPr>
            <w:r>
              <w:rPr>
                <w:sz w:val="21"/>
                <w:szCs w:val="21"/>
                <w:spacing w:val="1"/>
              </w:rPr>
              <w:t>阴极生产废水</w:t>
            </w:r>
          </w:p>
          <w:p>
            <w:pPr>
              <w:pStyle w:val="TableText"/>
              <w:ind w:left="721"/>
              <w:spacing w:before="24" w:line="222" w:lineRule="auto"/>
              <w:rPr>
                <w:sz w:val="21"/>
                <w:szCs w:val="21"/>
              </w:rPr>
            </w:pPr>
            <w:r>
              <w:rPr>
                <w:sz w:val="21"/>
                <w:szCs w:val="21"/>
                <w:spacing w:val="-6"/>
              </w:rPr>
              <w:t>(DA001)</w:t>
            </w:r>
          </w:p>
        </w:tc>
        <w:tc>
          <w:tcPr>
            <w:tcW w:w="1399" w:type="dxa"/>
            <w:vAlign w:val="top"/>
          </w:tcPr>
          <w:p>
            <w:pPr>
              <w:pStyle w:val="TableText"/>
              <w:ind w:left="372"/>
              <w:spacing w:before="38" w:line="203" w:lineRule="auto"/>
              <w:rPr>
                <w:sz w:val="21"/>
                <w:szCs w:val="21"/>
              </w:rPr>
            </w:pPr>
            <w:r>
              <w:rPr>
                <w:sz w:val="21"/>
                <w:szCs w:val="21"/>
                <w:spacing w:val="-2"/>
              </w:rPr>
              <w:t>废水量</w:t>
            </w:r>
          </w:p>
        </w:tc>
        <w:tc>
          <w:tcPr>
            <w:tcW w:w="5656" w:type="dxa"/>
            <w:vAlign w:val="top"/>
            <w:vMerge w:val="restart"/>
            <w:tcBorders>
              <w:bottom w:val="nil"/>
            </w:tcBorders>
          </w:tcPr>
          <w:p>
            <w:pPr>
              <w:pStyle w:val="TableText"/>
              <w:ind w:left="243"/>
              <w:spacing w:before="57" w:line="219" w:lineRule="auto"/>
              <w:rPr>
                <w:sz w:val="21"/>
                <w:szCs w:val="21"/>
              </w:rPr>
            </w:pPr>
            <w:r>
              <w:rPr>
                <w:sz w:val="21"/>
                <w:szCs w:val="21"/>
              </w:rPr>
              <w:t>阴极废水预处理系统(三级沉淀+芬顿氧化+混凝沉淀)+生</w:t>
            </w:r>
          </w:p>
          <w:p>
            <w:pPr>
              <w:pStyle w:val="TableText"/>
              <w:ind w:left="243"/>
              <w:spacing w:before="39" w:line="216" w:lineRule="auto"/>
              <w:rPr>
                <w:sz w:val="21"/>
                <w:szCs w:val="21"/>
              </w:rPr>
            </w:pPr>
            <w:r>
              <w:rPr>
                <w:sz w:val="21"/>
                <w:szCs w:val="21"/>
              </w:rPr>
              <w:t>化处理系统(预酸化+A2/O+二沉池),镍、钴在车间处理设</w:t>
            </w:r>
          </w:p>
          <w:p>
            <w:pPr>
              <w:pStyle w:val="TableText"/>
              <w:ind w:left="1453"/>
              <w:spacing w:before="16" w:line="203" w:lineRule="auto"/>
              <w:rPr>
                <w:sz w:val="21"/>
                <w:szCs w:val="21"/>
              </w:rPr>
            </w:pPr>
            <w:r>
              <w:rPr>
                <w:sz w:val="21"/>
                <w:szCs w:val="21"/>
                <w:spacing w:val="-1"/>
              </w:rPr>
              <w:t>施(阴极废水预处理系统)达标</w:t>
            </w:r>
          </w:p>
        </w:tc>
        <w:tc>
          <w:tcPr>
            <w:tcW w:w="2258" w:type="dxa"/>
            <w:vAlign w:val="top"/>
          </w:tcPr>
          <w:p>
            <w:pPr>
              <w:rPr>
                <w:rFonts w:ascii="Arial"/>
                <w:sz w:val="21"/>
              </w:rPr>
            </w:pPr>
            <w:r/>
          </w:p>
        </w:tc>
        <w:tc>
          <w:tcPr>
            <w:tcW w:w="1874" w:type="dxa"/>
            <w:vAlign w:val="top"/>
          </w:tcPr>
          <w:p>
            <w:pPr>
              <w:pStyle w:val="TableText"/>
              <w:ind w:left="719"/>
              <w:spacing w:before="92" w:line="177" w:lineRule="exact"/>
              <w:rPr>
                <w:sz w:val="21"/>
                <w:szCs w:val="21"/>
              </w:rPr>
            </w:pPr>
            <w:r>
              <w:rPr>
                <w:sz w:val="21"/>
                <w:szCs w:val="21"/>
                <w:spacing w:val="-2"/>
                <w:position w:val="-2"/>
              </w:rPr>
              <w:t>6990</w:t>
            </w:r>
          </w:p>
        </w:tc>
      </w:tr>
      <w:tr>
        <w:trPr>
          <w:trHeight w:val="270" w:hRule="atLeast"/>
        </w:trPr>
        <w:tc>
          <w:tcPr>
            <w:tcW w:w="734" w:type="dxa"/>
            <w:vAlign w:val="top"/>
            <w:vMerge w:val="continue"/>
            <w:tcBorders>
              <w:top w:val="nil"/>
              <w:bottom w:val="nil"/>
            </w:tcBorders>
          </w:tcPr>
          <w:p>
            <w:pPr>
              <w:rPr>
                <w:rFonts w:ascii="Arial"/>
                <w:sz w:val="21"/>
              </w:rPr>
            </w:pPr>
            <w:r/>
          </w:p>
        </w:tc>
        <w:tc>
          <w:tcPr>
            <w:tcW w:w="2209" w:type="dxa"/>
            <w:vAlign w:val="top"/>
            <w:vMerge w:val="continue"/>
            <w:tcBorders>
              <w:top w:val="nil"/>
              <w:bottom w:val="nil"/>
            </w:tcBorders>
          </w:tcPr>
          <w:p>
            <w:pPr>
              <w:rPr>
                <w:rFonts w:ascii="Arial"/>
                <w:sz w:val="21"/>
              </w:rPr>
            </w:pPr>
            <w:r/>
          </w:p>
        </w:tc>
        <w:tc>
          <w:tcPr>
            <w:tcW w:w="1399" w:type="dxa"/>
            <w:vAlign w:val="top"/>
          </w:tcPr>
          <w:p>
            <w:pPr>
              <w:pStyle w:val="TableText"/>
              <w:ind w:left="581"/>
              <w:spacing w:before="83" w:line="177" w:lineRule="exact"/>
              <w:rPr>
                <w:sz w:val="21"/>
                <w:szCs w:val="21"/>
              </w:rPr>
            </w:pPr>
            <w:r>
              <w:rPr>
                <w:sz w:val="21"/>
                <w:szCs w:val="21"/>
                <w:spacing w:val="-1"/>
                <w:position w:val="-2"/>
              </w:rPr>
              <w:t>Ni</w:t>
            </w:r>
          </w:p>
        </w:tc>
        <w:tc>
          <w:tcPr>
            <w:tcW w:w="5656" w:type="dxa"/>
            <w:vAlign w:val="top"/>
            <w:vMerge w:val="continue"/>
            <w:tcBorders>
              <w:top w:val="nil"/>
              <w:bottom w:val="nil"/>
            </w:tcBorders>
          </w:tcPr>
          <w:p>
            <w:pPr>
              <w:rPr>
                <w:rFonts w:ascii="Arial"/>
                <w:sz w:val="21"/>
              </w:rPr>
            </w:pPr>
            <w:r/>
          </w:p>
        </w:tc>
        <w:tc>
          <w:tcPr>
            <w:tcW w:w="2258" w:type="dxa"/>
            <w:vAlign w:val="top"/>
          </w:tcPr>
          <w:p>
            <w:pPr>
              <w:pStyle w:val="TableText"/>
              <w:ind w:left="857"/>
              <w:spacing w:before="50" w:line="184" w:lineRule="auto"/>
              <w:rPr>
                <w:sz w:val="21"/>
                <w:szCs w:val="21"/>
              </w:rPr>
            </w:pPr>
            <w:r>
              <w:rPr>
                <w:sz w:val="21"/>
                <w:szCs w:val="21"/>
                <w:spacing w:val="-3"/>
              </w:rPr>
              <w:t>&lt;0.05</w:t>
            </w:r>
          </w:p>
        </w:tc>
        <w:tc>
          <w:tcPr>
            <w:tcW w:w="1874" w:type="dxa"/>
            <w:vAlign w:val="top"/>
          </w:tcPr>
          <w:p>
            <w:pPr>
              <w:pStyle w:val="TableText"/>
              <w:ind w:left="619"/>
              <w:spacing w:before="83" w:line="177" w:lineRule="exact"/>
              <w:rPr>
                <w:sz w:val="21"/>
                <w:szCs w:val="21"/>
              </w:rPr>
            </w:pPr>
            <w:r>
              <w:rPr>
                <w:sz w:val="21"/>
                <w:szCs w:val="21"/>
                <w:spacing w:val="-2"/>
                <w:position w:val="-2"/>
              </w:rPr>
              <w:t>0.0003</w:t>
            </w:r>
          </w:p>
        </w:tc>
      </w:tr>
      <w:tr>
        <w:trPr>
          <w:trHeight w:val="280" w:hRule="atLeast"/>
        </w:trPr>
        <w:tc>
          <w:tcPr>
            <w:tcW w:w="734" w:type="dxa"/>
            <w:vAlign w:val="top"/>
            <w:vMerge w:val="continue"/>
            <w:tcBorders>
              <w:top w:val="nil"/>
              <w:bottom w:val="nil"/>
            </w:tcBorders>
          </w:tcPr>
          <w:p>
            <w:pPr>
              <w:rPr>
                <w:rFonts w:ascii="Arial"/>
                <w:sz w:val="21"/>
              </w:rPr>
            </w:pPr>
            <w:r/>
          </w:p>
        </w:tc>
        <w:tc>
          <w:tcPr>
            <w:tcW w:w="2209" w:type="dxa"/>
            <w:vAlign w:val="top"/>
            <w:vMerge w:val="continue"/>
            <w:tcBorders>
              <w:top w:val="nil"/>
            </w:tcBorders>
          </w:tcPr>
          <w:p>
            <w:pPr>
              <w:rPr>
                <w:rFonts w:ascii="Arial"/>
                <w:sz w:val="21"/>
              </w:rPr>
            </w:pPr>
            <w:r/>
          </w:p>
        </w:tc>
        <w:tc>
          <w:tcPr>
            <w:tcW w:w="1399" w:type="dxa"/>
            <w:vAlign w:val="top"/>
          </w:tcPr>
          <w:p>
            <w:pPr>
              <w:pStyle w:val="TableText"/>
              <w:ind w:left="582"/>
              <w:spacing w:before="93" w:line="177" w:lineRule="exact"/>
              <w:rPr>
                <w:sz w:val="21"/>
                <w:szCs w:val="21"/>
              </w:rPr>
            </w:pPr>
            <w:r>
              <w:rPr>
                <w:sz w:val="21"/>
                <w:szCs w:val="21"/>
                <w:spacing w:val="-2"/>
                <w:position w:val="-2"/>
              </w:rPr>
              <w:t>Co</w:t>
            </w:r>
          </w:p>
        </w:tc>
        <w:tc>
          <w:tcPr>
            <w:tcW w:w="5656" w:type="dxa"/>
            <w:vAlign w:val="top"/>
            <w:vMerge w:val="continue"/>
            <w:tcBorders>
              <w:top w:val="nil"/>
            </w:tcBorders>
          </w:tcPr>
          <w:p>
            <w:pPr>
              <w:rPr>
                <w:rFonts w:ascii="Arial"/>
                <w:sz w:val="21"/>
              </w:rPr>
            </w:pPr>
            <w:r/>
          </w:p>
        </w:tc>
        <w:tc>
          <w:tcPr>
            <w:tcW w:w="2258" w:type="dxa"/>
            <w:vAlign w:val="top"/>
          </w:tcPr>
          <w:p>
            <w:pPr>
              <w:pStyle w:val="TableText"/>
              <w:ind w:left="757"/>
              <w:spacing w:before="92" w:line="177" w:lineRule="exact"/>
              <w:rPr>
                <w:sz w:val="21"/>
                <w:szCs w:val="21"/>
              </w:rPr>
            </w:pPr>
            <w:r>
              <w:rPr>
                <w:sz w:val="21"/>
                <w:szCs w:val="21"/>
                <w:spacing w:val="-2"/>
                <w:position w:val="-2"/>
              </w:rPr>
              <w:t>0.00118</w:t>
            </w:r>
          </w:p>
        </w:tc>
        <w:tc>
          <w:tcPr>
            <w:tcW w:w="1874" w:type="dxa"/>
            <w:vAlign w:val="top"/>
          </w:tcPr>
          <w:p>
            <w:pPr>
              <w:pStyle w:val="TableText"/>
              <w:ind w:left="559"/>
              <w:spacing w:before="92" w:line="177" w:lineRule="exact"/>
              <w:rPr>
                <w:sz w:val="21"/>
                <w:szCs w:val="21"/>
              </w:rPr>
            </w:pPr>
            <w:r>
              <w:rPr>
                <w:sz w:val="21"/>
                <w:szCs w:val="21"/>
                <w:spacing w:val="-2"/>
                <w:position w:val="-2"/>
              </w:rPr>
              <w:t>0.00001</w:t>
            </w:r>
          </w:p>
        </w:tc>
      </w:tr>
      <w:tr>
        <w:trPr>
          <w:trHeight w:val="280" w:hRule="atLeast"/>
        </w:trPr>
        <w:tc>
          <w:tcPr>
            <w:tcW w:w="734" w:type="dxa"/>
            <w:vAlign w:val="top"/>
            <w:vMerge w:val="continue"/>
            <w:tcBorders>
              <w:top w:val="nil"/>
              <w:bottom w:val="nil"/>
            </w:tcBorders>
          </w:tcPr>
          <w:p>
            <w:pPr>
              <w:rPr>
                <w:rFonts w:ascii="Arial"/>
                <w:sz w:val="21"/>
              </w:rPr>
            </w:pPr>
            <w:r/>
          </w:p>
        </w:tc>
        <w:tc>
          <w:tcPr>
            <w:tcW w:w="2209" w:type="dxa"/>
            <w:vAlign w:val="top"/>
            <w:vMerge w:val="restart"/>
            <w:tcBorders>
              <w:bottom w:val="nil"/>
            </w:tcBorders>
          </w:tcPr>
          <w:p>
            <w:pPr>
              <w:spacing w:line="298" w:lineRule="auto"/>
              <w:rPr>
                <w:rFonts w:ascii="Arial"/>
                <w:sz w:val="21"/>
              </w:rPr>
            </w:pPr>
            <w:r/>
          </w:p>
          <w:p>
            <w:pPr>
              <w:spacing w:line="299" w:lineRule="auto"/>
              <w:rPr>
                <w:rFonts w:ascii="Arial"/>
                <w:sz w:val="21"/>
              </w:rPr>
            </w:pPr>
            <w:r/>
          </w:p>
          <w:p>
            <w:pPr>
              <w:pStyle w:val="TableText"/>
              <w:ind w:left="670" w:right="148" w:hanging="519"/>
              <w:spacing w:before="68" w:line="224" w:lineRule="auto"/>
              <w:rPr>
                <w:sz w:val="21"/>
                <w:szCs w:val="21"/>
              </w:rPr>
            </w:pPr>
            <w:r>
              <w:rPr>
                <w:sz w:val="21"/>
                <w:szCs w:val="21"/>
                <w:spacing w:val="1"/>
              </w:rPr>
              <w:t>阴极生产废水、阳极</w:t>
            </w:r>
            <w:r>
              <w:rPr>
                <w:sz w:val="21"/>
                <w:szCs w:val="21"/>
              </w:rPr>
              <w:t xml:space="preserve"> </w:t>
            </w:r>
            <w:r>
              <w:rPr>
                <w:sz w:val="21"/>
                <w:szCs w:val="21"/>
                <w:spacing w:val="-2"/>
              </w:rPr>
              <w:t>生产废水</w:t>
            </w:r>
          </w:p>
          <w:p>
            <w:pPr>
              <w:pStyle w:val="TableText"/>
              <w:ind w:left="721"/>
              <w:spacing w:before="14" w:line="222" w:lineRule="auto"/>
              <w:rPr>
                <w:sz w:val="21"/>
                <w:szCs w:val="21"/>
              </w:rPr>
            </w:pPr>
            <w:r>
              <w:rPr>
                <w:sz w:val="21"/>
                <w:szCs w:val="21"/>
                <w:spacing w:val="-6"/>
              </w:rPr>
              <w:t>(DA003)</w:t>
            </w:r>
          </w:p>
        </w:tc>
        <w:tc>
          <w:tcPr>
            <w:tcW w:w="1399" w:type="dxa"/>
            <w:vAlign w:val="top"/>
          </w:tcPr>
          <w:p>
            <w:pPr>
              <w:pStyle w:val="TableText"/>
              <w:ind w:left="372"/>
              <w:spacing w:before="39" w:line="203" w:lineRule="auto"/>
              <w:rPr>
                <w:sz w:val="21"/>
                <w:szCs w:val="21"/>
              </w:rPr>
            </w:pPr>
            <w:r>
              <w:rPr>
                <w:sz w:val="21"/>
                <w:szCs w:val="21"/>
                <w:spacing w:val="-2"/>
              </w:rPr>
              <w:t>废水量</w:t>
            </w:r>
          </w:p>
        </w:tc>
        <w:tc>
          <w:tcPr>
            <w:tcW w:w="5656" w:type="dxa"/>
            <w:vAlign w:val="top"/>
            <w:vMerge w:val="restart"/>
            <w:tcBorders>
              <w:bottom w:val="nil"/>
            </w:tcBorders>
          </w:tcPr>
          <w:p>
            <w:pPr>
              <w:spacing w:line="437" w:lineRule="auto"/>
              <w:rPr>
                <w:rFonts w:ascii="Arial"/>
                <w:sz w:val="21"/>
              </w:rPr>
            </w:pPr>
            <w:r/>
          </w:p>
          <w:p>
            <w:pPr>
              <w:pStyle w:val="TableText"/>
              <w:ind w:left="143"/>
              <w:spacing w:before="68" w:line="219" w:lineRule="auto"/>
              <w:rPr>
                <w:sz w:val="21"/>
                <w:szCs w:val="21"/>
              </w:rPr>
            </w:pPr>
            <w:r>
              <w:rPr>
                <w:sz w:val="21"/>
                <w:szCs w:val="21"/>
              </w:rPr>
              <w:t>阴极生产废水：阴极废水预处理系统(三级沉淀+芬顿氧化+</w:t>
            </w:r>
          </w:p>
          <w:p>
            <w:pPr>
              <w:pStyle w:val="TableText"/>
              <w:ind w:left="563"/>
              <w:spacing w:before="32" w:line="220" w:lineRule="auto"/>
              <w:rPr>
                <w:sz w:val="21"/>
                <w:szCs w:val="21"/>
              </w:rPr>
            </w:pPr>
            <w:r>
              <w:rPr>
                <w:sz w:val="21"/>
                <w:szCs w:val="21"/>
                <w:spacing w:val="1"/>
              </w:rPr>
              <w:t>混凝沉淀)+生化处理系统(预酸化+A2/O+二沉池);</w:t>
            </w:r>
          </w:p>
          <w:p>
            <w:pPr>
              <w:pStyle w:val="TableText"/>
              <w:ind w:left="143"/>
              <w:spacing w:before="39" w:line="219" w:lineRule="auto"/>
              <w:rPr>
                <w:sz w:val="21"/>
                <w:szCs w:val="21"/>
              </w:rPr>
            </w:pPr>
            <w:r>
              <w:rPr>
                <w:sz w:val="21"/>
                <w:szCs w:val="21"/>
                <w:spacing w:val="1"/>
              </w:rPr>
              <w:t>阳极生产废水：阳极废水预处理系统(三级沉淀+混凝沉淀)</w:t>
            </w:r>
          </w:p>
          <w:p>
            <w:pPr>
              <w:pStyle w:val="TableText"/>
              <w:ind w:left="1083"/>
              <w:spacing w:before="31" w:line="220" w:lineRule="auto"/>
              <w:rPr>
                <w:sz w:val="21"/>
                <w:szCs w:val="21"/>
              </w:rPr>
            </w:pPr>
            <w:r>
              <w:rPr>
                <w:sz w:val="21"/>
                <w:szCs w:val="21"/>
                <w:spacing w:val="2"/>
              </w:rPr>
              <w:t>+生化处理系统(预酸化+A2/O+二沉池)</w:t>
            </w:r>
          </w:p>
        </w:tc>
        <w:tc>
          <w:tcPr>
            <w:tcW w:w="2258" w:type="dxa"/>
            <w:vAlign w:val="top"/>
          </w:tcPr>
          <w:p>
            <w:pPr>
              <w:pStyle w:val="TableText"/>
              <w:ind w:left="1107"/>
              <w:spacing w:before="139" w:line="20" w:lineRule="exact"/>
              <w:rPr>
                <w:sz w:val="3"/>
                <w:szCs w:val="3"/>
              </w:rPr>
            </w:pPr>
            <w:r>
              <w:rPr>
                <w:sz w:val="3"/>
                <w:szCs w:val="3"/>
              </w:rPr>
              <w:t>—</w:t>
            </w:r>
          </w:p>
        </w:tc>
        <w:tc>
          <w:tcPr>
            <w:tcW w:w="1874" w:type="dxa"/>
            <w:vAlign w:val="top"/>
          </w:tcPr>
          <w:p>
            <w:pPr>
              <w:pStyle w:val="TableText"/>
              <w:ind w:left="669"/>
              <w:spacing w:before="92" w:line="177" w:lineRule="exact"/>
              <w:rPr>
                <w:sz w:val="21"/>
                <w:szCs w:val="21"/>
              </w:rPr>
            </w:pPr>
            <w:r>
              <w:rPr>
                <w:sz w:val="21"/>
                <w:szCs w:val="21"/>
                <w:spacing w:val="-4"/>
                <w:position w:val="-2"/>
              </w:rPr>
              <w:t>18900</w:t>
            </w:r>
          </w:p>
        </w:tc>
      </w:tr>
      <w:tr>
        <w:trPr>
          <w:trHeight w:val="299" w:hRule="atLeast"/>
        </w:trPr>
        <w:tc>
          <w:tcPr>
            <w:tcW w:w="734" w:type="dxa"/>
            <w:vAlign w:val="top"/>
            <w:vMerge w:val="continue"/>
            <w:tcBorders>
              <w:top w:val="nil"/>
              <w:bottom w:val="nil"/>
            </w:tcBorders>
          </w:tcPr>
          <w:p>
            <w:pPr>
              <w:rPr>
                <w:rFonts w:ascii="Arial"/>
                <w:sz w:val="21"/>
              </w:rPr>
            </w:pPr>
            <w:r/>
          </w:p>
        </w:tc>
        <w:tc>
          <w:tcPr>
            <w:tcW w:w="2209" w:type="dxa"/>
            <w:vAlign w:val="top"/>
            <w:vMerge w:val="continue"/>
            <w:tcBorders>
              <w:top w:val="nil"/>
              <w:bottom w:val="nil"/>
            </w:tcBorders>
          </w:tcPr>
          <w:p>
            <w:pPr>
              <w:rPr>
                <w:rFonts w:ascii="Arial"/>
                <w:sz w:val="21"/>
              </w:rPr>
            </w:pPr>
            <w:r/>
          </w:p>
        </w:tc>
        <w:tc>
          <w:tcPr>
            <w:tcW w:w="1399" w:type="dxa"/>
            <w:vAlign w:val="top"/>
          </w:tcPr>
          <w:p>
            <w:pPr>
              <w:pStyle w:val="TableText"/>
              <w:ind w:left="532"/>
              <w:spacing w:before="103" w:line="163" w:lineRule="auto"/>
              <w:rPr>
                <w:sz w:val="21"/>
                <w:szCs w:val="21"/>
              </w:rPr>
            </w:pPr>
            <w:r>
              <w:rPr>
                <w:sz w:val="21"/>
                <w:szCs w:val="21"/>
                <w:spacing w:val="-2"/>
              </w:rPr>
              <w:t>COD</w:t>
            </w:r>
          </w:p>
        </w:tc>
        <w:tc>
          <w:tcPr>
            <w:tcW w:w="5656" w:type="dxa"/>
            <w:vAlign w:val="top"/>
            <w:vMerge w:val="continue"/>
            <w:tcBorders>
              <w:top w:val="nil"/>
              <w:bottom w:val="nil"/>
            </w:tcBorders>
          </w:tcPr>
          <w:p>
            <w:pPr>
              <w:rPr>
                <w:rFonts w:ascii="Arial"/>
                <w:sz w:val="21"/>
              </w:rPr>
            </w:pPr>
            <w:r/>
          </w:p>
        </w:tc>
        <w:tc>
          <w:tcPr>
            <w:tcW w:w="2258" w:type="dxa"/>
            <w:vAlign w:val="top"/>
          </w:tcPr>
          <w:p>
            <w:pPr>
              <w:pStyle w:val="TableText"/>
              <w:ind w:left="857"/>
              <w:spacing w:before="70" w:line="192" w:lineRule="auto"/>
              <w:rPr>
                <w:sz w:val="21"/>
                <w:szCs w:val="21"/>
              </w:rPr>
            </w:pPr>
            <w:r>
              <w:rPr>
                <w:sz w:val="21"/>
                <w:szCs w:val="21"/>
                <w:spacing w:val="-4"/>
              </w:rPr>
              <w:t>17~20</w:t>
            </w:r>
          </w:p>
        </w:tc>
        <w:tc>
          <w:tcPr>
            <w:tcW w:w="1874" w:type="dxa"/>
            <w:vAlign w:val="top"/>
          </w:tcPr>
          <w:p>
            <w:pPr>
              <w:pStyle w:val="TableText"/>
              <w:ind w:left="669"/>
              <w:spacing w:before="103" w:line="163" w:lineRule="auto"/>
              <w:rPr>
                <w:sz w:val="21"/>
                <w:szCs w:val="21"/>
              </w:rPr>
            </w:pPr>
            <w:r>
              <w:rPr>
                <w:sz w:val="21"/>
                <w:szCs w:val="21"/>
                <w:spacing w:val="-2"/>
              </w:rPr>
              <w:t>0.350</w:t>
            </w:r>
          </w:p>
        </w:tc>
      </w:tr>
      <w:tr>
        <w:trPr>
          <w:trHeight w:val="270" w:hRule="atLeast"/>
        </w:trPr>
        <w:tc>
          <w:tcPr>
            <w:tcW w:w="734" w:type="dxa"/>
            <w:vAlign w:val="top"/>
            <w:vMerge w:val="continue"/>
            <w:tcBorders>
              <w:top w:val="nil"/>
              <w:bottom w:val="nil"/>
            </w:tcBorders>
          </w:tcPr>
          <w:p>
            <w:pPr>
              <w:rPr>
                <w:rFonts w:ascii="Arial"/>
                <w:sz w:val="21"/>
              </w:rPr>
            </w:pPr>
            <w:r/>
          </w:p>
        </w:tc>
        <w:tc>
          <w:tcPr>
            <w:tcW w:w="2209" w:type="dxa"/>
            <w:vAlign w:val="top"/>
            <w:vMerge w:val="continue"/>
            <w:tcBorders>
              <w:top w:val="nil"/>
              <w:bottom w:val="nil"/>
            </w:tcBorders>
          </w:tcPr>
          <w:p>
            <w:pPr>
              <w:rPr>
                <w:rFonts w:ascii="Arial"/>
                <w:sz w:val="21"/>
              </w:rPr>
            </w:pPr>
            <w:r/>
          </w:p>
        </w:tc>
        <w:tc>
          <w:tcPr>
            <w:tcW w:w="1399" w:type="dxa"/>
            <w:vAlign w:val="top"/>
          </w:tcPr>
          <w:p>
            <w:pPr>
              <w:pStyle w:val="TableText"/>
              <w:ind w:left="372"/>
              <w:spacing w:before="64" w:line="172" w:lineRule="auto"/>
              <w:rPr>
                <w:sz w:val="21"/>
                <w:szCs w:val="21"/>
              </w:rPr>
            </w:pPr>
            <w:r>
              <w:rPr>
                <w:sz w:val="21"/>
                <w:szCs w:val="21"/>
                <w:spacing w:val="-1"/>
              </w:rPr>
              <w:t>NH</w:t>
            </w:r>
            <w:r>
              <w:rPr>
                <w:rFonts w:ascii="Calibri" w:hAnsi="Calibri" w:eastAsia="Calibri" w:cs="Calibri"/>
                <w:sz w:val="21"/>
                <w:szCs w:val="21"/>
                <w:spacing w:val="-1"/>
              </w:rPr>
              <w:t>₃</w:t>
            </w:r>
            <w:r>
              <w:rPr>
                <w:sz w:val="21"/>
                <w:szCs w:val="21"/>
                <w:spacing w:val="-1"/>
              </w:rPr>
              <w:t>-N</w:t>
            </w:r>
          </w:p>
        </w:tc>
        <w:tc>
          <w:tcPr>
            <w:tcW w:w="5656" w:type="dxa"/>
            <w:vAlign w:val="top"/>
            <w:vMerge w:val="continue"/>
            <w:tcBorders>
              <w:top w:val="nil"/>
              <w:bottom w:val="nil"/>
            </w:tcBorders>
          </w:tcPr>
          <w:p>
            <w:pPr>
              <w:rPr>
                <w:rFonts w:ascii="Arial"/>
                <w:sz w:val="21"/>
              </w:rPr>
            </w:pPr>
            <w:r/>
          </w:p>
        </w:tc>
        <w:tc>
          <w:tcPr>
            <w:tcW w:w="2258" w:type="dxa"/>
            <w:vAlign w:val="top"/>
          </w:tcPr>
          <w:p>
            <w:pPr>
              <w:pStyle w:val="TableText"/>
              <w:ind w:left="647"/>
              <w:spacing w:before="51" w:line="183" w:lineRule="auto"/>
              <w:rPr>
                <w:sz w:val="21"/>
                <w:szCs w:val="21"/>
              </w:rPr>
            </w:pPr>
            <w:r>
              <w:rPr>
                <w:sz w:val="21"/>
                <w:szCs w:val="21"/>
                <w:spacing w:val="-3"/>
              </w:rPr>
              <w:t>1.28~1.30</w:t>
            </w:r>
          </w:p>
        </w:tc>
        <w:tc>
          <w:tcPr>
            <w:tcW w:w="1874" w:type="dxa"/>
            <w:vAlign w:val="top"/>
          </w:tcPr>
          <w:p>
            <w:pPr>
              <w:pStyle w:val="TableText"/>
              <w:ind w:left="669"/>
              <w:spacing w:before="84" w:line="176" w:lineRule="exact"/>
              <w:rPr>
                <w:sz w:val="21"/>
                <w:szCs w:val="21"/>
              </w:rPr>
            </w:pPr>
            <w:r>
              <w:rPr>
                <w:sz w:val="21"/>
                <w:szCs w:val="21"/>
                <w:spacing w:val="-2"/>
                <w:position w:val="-2"/>
              </w:rPr>
              <w:t>0.024</w:t>
            </w:r>
          </w:p>
        </w:tc>
      </w:tr>
      <w:tr>
        <w:trPr>
          <w:trHeight w:val="270" w:hRule="atLeast"/>
        </w:trPr>
        <w:tc>
          <w:tcPr>
            <w:tcW w:w="734" w:type="dxa"/>
            <w:vAlign w:val="top"/>
            <w:vMerge w:val="continue"/>
            <w:tcBorders>
              <w:top w:val="nil"/>
              <w:bottom w:val="nil"/>
            </w:tcBorders>
          </w:tcPr>
          <w:p>
            <w:pPr>
              <w:rPr>
                <w:rFonts w:ascii="Arial"/>
                <w:sz w:val="21"/>
              </w:rPr>
            </w:pPr>
            <w:r/>
          </w:p>
        </w:tc>
        <w:tc>
          <w:tcPr>
            <w:tcW w:w="2209" w:type="dxa"/>
            <w:vAlign w:val="top"/>
            <w:vMerge w:val="continue"/>
            <w:tcBorders>
              <w:top w:val="nil"/>
              <w:bottom w:val="nil"/>
            </w:tcBorders>
          </w:tcPr>
          <w:p>
            <w:pPr>
              <w:rPr>
                <w:rFonts w:ascii="Arial"/>
                <w:sz w:val="21"/>
              </w:rPr>
            </w:pPr>
            <w:r/>
          </w:p>
        </w:tc>
        <w:tc>
          <w:tcPr>
            <w:tcW w:w="1399" w:type="dxa"/>
            <w:vAlign w:val="top"/>
          </w:tcPr>
          <w:p>
            <w:pPr>
              <w:pStyle w:val="TableText"/>
              <w:ind w:left="581"/>
              <w:spacing w:before="84" w:line="176" w:lineRule="exact"/>
              <w:rPr>
                <w:sz w:val="21"/>
                <w:szCs w:val="21"/>
              </w:rPr>
            </w:pPr>
            <w:r>
              <w:rPr>
                <w:sz w:val="21"/>
                <w:szCs w:val="21"/>
                <w:spacing w:val="-5"/>
                <w:position w:val="-2"/>
              </w:rPr>
              <w:t>SS</w:t>
            </w:r>
          </w:p>
        </w:tc>
        <w:tc>
          <w:tcPr>
            <w:tcW w:w="5656" w:type="dxa"/>
            <w:vAlign w:val="top"/>
            <w:vMerge w:val="continue"/>
            <w:tcBorders>
              <w:top w:val="nil"/>
              <w:bottom w:val="nil"/>
            </w:tcBorders>
          </w:tcPr>
          <w:p>
            <w:pPr>
              <w:rPr>
                <w:rFonts w:ascii="Arial"/>
                <w:sz w:val="21"/>
              </w:rPr>
            </w:pPr>
            <w:r/>
          </w:p>
        </w:tc>
        <w:tc>
          <w:tcPr>
            <w:tcW w:w="2258" w:type="dxa"/>
            <w:vAlign w:val="top"/>
          </w:tcPr>
          <w:p>
            <w:pPr>
              <w:pStyle w:val="TableText"/>
              <w:ind w:left="917"/>
              <w:spacing w:before="83" w:line="177" w:lineRule="exact"/>
              <w:rPr>
                <w:sz w:val="21"/>
                <w:szCs w:val="21"/>
              </w:rPr>
            </w:pPr>
            <w:r>
              <w:rPr>
                <w:sz w:val="21"/>
                <w:szCs w:val="21"/>
                <w:spacing w:val="-5"/>
                <w:position w:val="-2"/>
              </w:rPr>
              <w:t>11.5</w:t>
            </w:r>
          </w:p>
        </w:tc>
        <w:tc>
          <w:tcPr>
            <w:tcW w:w="1874" w:type="dxa"/>
            <w:vAlign w:val="top"/>
          </w:tcPr>
          <w:p>
            <w:pPr>
              <w:pStyle w:val="TableText"/>
              <w:ind w:left="669"/>
              <w:spacing w:before="83" w:line="177" w:lineRule="exact"/>
              <w:rPr>
                <w:sz w:val="21"/>
                <w:szCs w:val="21"/>
              </w:rPr>
            </w:pPr>
            <w:r>
              <w:rPr>
                <w:sz w:val="21"/>
                <w:szCs w:val="21"/>
                <w:spacing w:val="-2"/>
                <w:position w:val="-2"/>
              </w:rPr>
              <w:t>0.217</w:t>
            </w:r>
          </w:p>
        </w:tc>
      </w:tr>
      <w:tr>
        <w:trPr>
          <w:trHeight w:val="280" w:hRule="atLeast"/>
        </w:trPr>
        <w:tc>
          <w:tcPr>
            <w:tcW w:w="734" w:type="dxa"/>
            <w:vAlign w:val="top"/>
            <w:vMerge w:val="continue"/>
            <w:tcBorders>
              <w:top w:val="nil"/>
              <w:bottom w:val="nil"/>
            </w:tcBorders>
          </w:tcPr>
          <w:p>
            <w:pPr>
              <w:rPr>
                <w:rFonts w:ascii="Arial"/>
                <w:sz w:val="21"/>
              </w:rPr>
            </w:pPr>
            <w:r/>
          </w:p>
        </w:tc>
        <w:tc>
          <w:tcPr>
            <w:tcW w:w="2209" w:type="dxa"/>
            <w:vAlign w:val="top"/>
            <w:vMerge w:val="continue"/>
            <w:tcBorders>
              <w:top w:val="nil"/>
              <w:bottom w:val="nil"/>
            </w:tcBorders>
          </w:tcPr>
          <w:p>
            <w:pPr>
              <w:rPr>
                <w:rFonts w:ascii="Arial"/>
                <w:sz w:val="21"/>
              </w:rPr>
            </w:pPr>
            <w:r/>
          </w:p>
        </w:tc>
        <w:tc>
          <w:tcPr>
            <w:tcW w:w="1399" w:type="dxa"/>
            <w:vAlign w:val="top"/>
          </w:tcPr>
          <w:p>
            <w:pPr>
              <w:pStyle w:val="TableText"/>
              <w:ind w:left="482"/>
              <w:spacing w:before="40" w:line="202" w:lineRule="auto"/>
              <w:rPr>
                <w:sz w:val="21"/>
                <w:szCs w:val="21"/>
              </w:rPr>
            </w:pPr>
            <w:r>
              <w:rPr>
                <w:sz w:val="21"/>
                <w:szCs w:val="21"/>
                <w:spacing w:val="4"/>
              </w:rPr>
              <w:t>总氮</w:t>
            </w:r>
          </w:p>
        </w:tc>
        <w:tc>
          <w:tcPr>
            <w:tcW w:w="5656" w:type="dxa"/>
            <w:vAlign w:val="top"/>
            <w:vMerge w:val="continue"/>
            <w:tcBorders>
              <w:top w:val="nil"/>
              <w:bottom w:val="nil"/>
            </w:tcBorders>
          </w:tcPr>
          <w:p>
            <w:pPr>
              <w:rPr>
                <w:rFonts w:ascii="Arial"/>
                <w:sz w:val="21"/>
              </w:rPr>
            </w:pPr>
            <w:r/>
          </w:p>
        </w:tc>
        <w:tc>
          <w:tcPr>
            <w:tcW w:w="2258" w:type="dxa"/>
            <w:vAlign w:val="top"/>
          </w:tcPr>
          <w:p>
            <w:pPr>
              <w:pStyle w:val="TableText"/>
              <w:ind w:left="917"/>
              <w:spacing w:before="93" w:line="177" w:lineRule="exact"/>
              <w:rPr>
                <w:sz w:val="21"/>
                <w:szCs w:val="21"/>
              </w:rPr>
            </w:pPr>
            <w:r>
              <w:rPr>
                <w:sz w:val="21"/>
                <w:szCs w:val="21"/>
                <w:spacing w:val="-5"/>
                <w:position w:val="-2"/>
              </w:rPr>
              <w:t>10.7</w:t>
            </w:r>
          </w:p>
        </w:tc>
        <w:tc>
          <w:tcPr>
            <w:tcW w:w="1874" w:type="dxa"/>
            <w:vAlign w:val="top"/>
          </w:tcPr>
          <w:p>
            <w:pPr>
              <w:pStyle w:val="TableText"/>
              <w:ind w:left="669"/>
              <w:spacing w:before="94" w:line="176" w:lineRule="exact"/>
              <w:rPr>
                <w:sz w:val="21"/>
                <w:szCs w:val="21"/>
              </w:rPr>
            </w:pPr>
            <w:r>
              <w:rPr>
                <w:sz w:val="21"/>
                <w:szCs w:val="21"/>
                <w:spacing w:val="-2"/>
                <w:position w:val="-2"/>
              </w:rPr>
              <w:t>0.202</w:t>
            </w:r>
          </w:p>
        </w:tc>
      </w:tr>
      <w:tr>
        <w:trPr>
          <w:trHeight w:val="269" w:hRule="atLeast"/>
        </w:trPr>
        <w:tc>
          <w:tcPr>
            <w:tcW w:w="734" w:type="dxa"/>
            <w:vAlign w:val="top"/>
            <w:vMerge w:val="continue"/>
            <w:tcBorders>
              <w:top w:val="nil"/>
              <w:bottom w:val="nil"/>
            </w:tcBorders>
          </w:tcPr>
          <w:p>
            <w:pPr>
              <w:rPr>
                <w:rFonts w:ascii="Arial"/>
                <w:sz w:val="21"/>
              </w:rPr>
            </w:pPr>
            <w:r/>
          </w:p>
        </w:tc>
        <w:tc>
          <w:tcPr>
            <w:tcW w:w="2209" w:type="dxa"/>
            <w:vAlign w:val="top"/>
            <w:vMerge w:val="continue"/>
            <w:tcBorders>
              <w:top w:val="nil"/>
              <w:bottom w:val="nil"/>
            </w:tcBorders>
          </w:tcPr>
          <w:p>
            <w:pPr>
              <w:rPr>
                <w:rFonts w:ascii="Arial"/>
                <w:sz w:val="21"/>
              </w:rPr>
            </w:pPr>
            <w:r/>
          </w:p>
        </w:tc>
        <w:tc>
          <w:tcPr>
            <w:tcW w:w="1399" w:type="dxa"/>
            <w:vAlign w:val="top"/>
          </w:tcPr>
          <w:p>
            <w:pPr>
              <w:pStyle w:val="TableText"/>
              <w:ind w:left="482"/>
              <w:spacing w:before="30" w:line="201" w:lineRule="auto"/>
              <w:rPr>
                <w:sz w:val="21"/>
                <w:szCs w:val="21"/>
              </w:rPr>
            </w:pPr>
            <w:r>
              <w:rPr>
                <w:sz w:val="21"/>
                <w:szCs w:val="21"/>
                <w:spacing w:val="4"/>
              </w:rPr>
              <w:t>总磷</w:t>
            </w:r>
          </w:p>
        </w:tc>
        <w:tc>
          <w:tcPr>
            <w:tcW w:w="5656" w:type="dxa"/>
            <w:vAlign w:val="top"/>
            <w:vMerge w:val="continue"/>
            <w:tcBorders>
              <w:top w:val="nil"/>
              <w:bottom w:val="nil"/>
            </w:tcBorders>
          </w:tcPr>
          <w:p>
            <w:pPr>
              <w:rPr>
                <w:rFonts w:ascii="Arial"/>
                <w:sz w:val="21"/>
              </w:rPr>
            </w:pPr>
            <w:r/>
          </w:p>
        </w:tc>
        <w:tc>
          <w:tcPr>
            <w:tcW w:w="2258" w:type="dxa"/>
            <w:vAlign w:val="top"/>
          </w:tcPr>
          <w:p>
            <w:pPr>
              <w:pStyle w:val="TableText"/>
              <w:ind w:left="917"/>
              <w:spacing w:before="84" w:line="175" w:lineRule="exact"/>
              <w:rPr>
                <w:sz w:val="21"/>
                <w:szCs w:val="21"/>
              </w:rPr>
            </w:pPr>
            <w:r>
              <w:rPr>
                <w:sz w:val="21"/>
                <w:szCs w:val="21"/>
                <w:spacing w:val="-2"/>
                <w:position w:val="-2"/>
              </w:rPr>
              <w:t>0.06</w:t>
            </w:r>
          </w:p>
        </w:tc>
        <w:tc>
          <w:tcPr>
            <w:tcW w:w="1874" w:type="dxa"/>
            <w:vAlign w:val="top"/>
          </w:tcPr>
          <w:p>
            <w:pPr>
              <w:pStyle w:val="TableText"/>
              <w:ind w:left="669"/>
              <w:spacing w:before="83" w:line="176" w:lineRule="exact"/>
              <w:rPr>
                <w:sz w:val="21"/>
                <w:szCs w:val="21"/>
              </w:rPr>
            </w:pPr>
            <w:r>
              <w:rPr>
                <w:sz w:val="21"/>
                <w:szCs w:val="21"/>
                <w:spacing w:val="-2"/>
                <w:position w:val="-2"/>
              </w:rPr>
              <w:t>0.001</w:t>
            </w:r>
          </w:p>
        </w:tc>
      </w:tr>
      <w:tr>
        <w:trPr>
          <w:trHeight w:val="279" w:hRule="atLeast"/>
        </w:trPr>
        <w:tc>
          <w:tcPr>
            <w:tcW w:w="734" w:type="dxa"/>
            <w:vAlign w:val="top"/>
            <w:vMerge w:val="continue"/>
            <w:tcBorders>
              <w:top w:val="nil"/>
              <w:bottom w:val="nil"/>
            </w:tcBorders>
          </w:tcPr>
          <w:p>
            <w:pPr>
              <w:rPr>
                <w:rFonts w:ascii="Arial"/>
                <w:sz w:val="21"/>
              </w:rPr>
            </w:pPr>
            <w:r/>
          </w:p>
        </w:tc>
        <w:tc>
          <w:tcPr>
            <w:tcW w:w="2209" w:type="dxa"/>
            <w:vAlign w:val="top"/>
            <w:vMerge w:val="continue"/>
            <w:tcBorders>
              <w:top w:val="nil"/>
            </w:tcBorders>
          </w:tcPr>
          <w:p>
            <w:pPr>
              <w:rPr>
                <w:rFonts w:ascii="Arial"/>
                <w:sz w:val="21"/>
              </w:rPr>
            </w:pPr>
            <w:r/>
          </w:p>
        </w:tc>
        <w:tc>
          <w:tcPr>
            <w:tcW w:w="1399" w:type="dxa"/>
            <w:vAlign w:val="top"/>
          </w:tcPr>
          <w:p>
            <w:pPr>
              <w:pStyle w:val="TableText"/>
              <w:ind w:left="581"/>
              <w:spacing w:before="97" w:line="172" w:lineRule="exact"/>
              <w:rPr>
                <w:sz w:val="21"/>
                <w:szCs w:val="21"/>
              </w:rPr>
            </w:pPr>
            <w:r>
              <w:rPr>
                <w:sz w:val="21"/>
                <w:szCs w:val="21"/>
                <w:spacing w:val="-1"/>
                <w:position w:val="-2"/>
              </w:rPr>
              <w:t>Mn</w:t>
            </w:r>
          </w:p>
        </w:tc>
        <w:tc>
          <w:tcPr>
            <w:tcW w:w="5656" w:type="dxa"/>
            <w:vAlign w:val="top"/>
            <w:vMerge w:val="continue"/>
            <w:tcBorders>
              <w:top w:val="nil"/>
            </w:tcBorders>
          </w:tcPr>
          <w:p>
            <w:pPr>
              <w:rPr>
                <w:rFonts w:ascii="Arial"/>
                <w:sz w:val="21"/>
              </w:rPr>
            </w:pPr>
            <w:r/>
          </w:p>
        </w:tc>
        <w:tc>
          <w:tcPr>
            <w:tcW w:w="2258" w:type="dxa"/>
            <w:vAlign w:val="top"/>
          </w:tcPr>
          <w:p>
            <w:pPr>
              <w:pStyle w:val="TableText"/>
              <w:ind w:left="857"/>
              <w:spacing w:before="63" w:line="181" w:lineRule="auto"/>
              <w:rPr>
                <w:sz w:val="21"/>
                <w:szCs w:val="21"/>
              </w:rPr>
            </w:pPr>
            <w:r>
              <w:rPr>
                <w:sz w:val="21"/>
                <w:szCs w:val="21"/>
                <w:spacing w:val="-3"/>
              </w:rPr>
              <w:t>&lt;0.01</w:t>
            </w:r>
          </w:p>
        </w:tc>
        <w:tc>
          <w:tcPr>
            <w:tcW w:w="1874" w:type="dxa"/>
            <w:vAlign w:val="top"/>
          </w:tcPr>
          <w:p>
            <w:pPr>
              <w:pStyle w:val="TableText"/>
              <w:ind w:left="619"/>
              <w:spacing w:before="95" w:line="174" w:lineRule="exact"/>
              <w:rPr>
                <w:sz w:val="21"/>
                <w:szCs w:val="21"/>
              </w:rPr>
            </w:pPr>
            <w:r>
              <w:rPr>
                <w:sz w:val="21"/>
                <w:szCs w:val="21"/>
                <w:spacing w:val="-2"/>
                <w:position w:val="-2"/>
              </w:rPr>
              <w:t>0.0002</w:t>
            </w:r>
          </w:p>
        </w:tc>
      </w:tr>
      <w:tr>
        <w:trPr>
          <w:trHeight w:val="270" w:hRule="atLeast"/>
        </w:trPr>
        <w:tc>
          <w:tcPr>
            <w:tcW w:w="734" w:type="dxa"/>
            <w:vAlign w:val="top"/>
            <w:vMerge w:val="continue"/>
            <w:tcBorders>
              <w:top w:val="nil"/>
              <w:bottom w:val="nil"/>
            </w:tcBorders>
          </w:tcPr>
          <w:p>
            <w:pPr>
              <w:rPr>
                <w:rFonts w:ascii="Arial"/>
                <w:sz w:val="21"/>
              </w:rPr>
            </w:pPr>
            <w:r/>
          </w:p>
        </w:tc>
        <w:tc>
          <w:tcPr>
            <w:tcW w:w="2209" w:type="dxa"/>
            <w:vAlign w:val="top"/>
            <w:vMerge w:val="restart"/>
            <w:tcBorders>
              <w:bottom w:val="nil"/>
            </w:tcBorders>
          </w:tcPr>
          <w:p>
            <w:pPr>
              <w:pStyle w:val="TableText"/>
              <w:ind w:left="781"/>
              <w:spacing w:before="200" w:line="239" w:lineRule="auto"/>
              <w:rPr>
                <w:sz w:val="21"/>
                <w:szCs w:val="21"/>
              </w:rPr>
            </w:pPr>
            <w:r>
              <w:rPr>
                <w:sz w:val="21"/>
                <w:szCs w:val="21"/>
                <w:spacing w:val="3"/>
              </w:rPr>
              <w:t>喷淋塔</w:t>
            </w:r>
          </w:p>
          <w:p>
            <w:pPr>
              <w:pStyle w:val="TableText"/>
              <w:ind w:left="881"/>
              <w:spacing w:line="219" w:lineRule="auto"/>
              <w:rPr>
                <w:sz w:val="21"/>
                <w:szCs w:val="21"/>
              </w:rPr>
            </w:pPr>
            <w:r>
              <w:rPr>
                <w:sz w:val="21"/>
                <w:szCs w:val="21"/>
                <w:spacing w:val="-2"/>
              </w:rPr>
              <w:t>废水</w:t>
            </w:r>
          </w:p>
        </w:tc>
        <w:tc>
          <w:tcPr>
            <w:tcW w:w="1399" w:type="dxa"/>
            <w:vAlign w:val="top"/>
          </w:tcPr>
          <w:p>
            <w:pPr>
              <w:pStyle w:val="TableText"/>
              <w:ind w:left="372"/>
              <w:spacing w:before="32" w:line="200" w:lineRule="auto"/>
              <w:rPr>
                <w:sz w:val="21"/>
                <w:szCs w:val="21"/>
              </w:rPr>
            </w:pPr>
            <w:r>
              <w:rPr>
                <w:sz w:val="21"/>
                <w:szCs w:val="21"/>
                <w:spacing w:val="-2"/>
              </w:rPr>
              <w:t>废水量</w:t>
            </w:r>
          </w:p>
        </w:tc>
        <w:tc>
          <w:tcPr>
            <w:tcW w:w="5656" w:type="dxa"/>
            <w:vAlign w:val="top"/>
            <w:vMerge w:val="restart"/>
            <w:tcBorders>
              <w:bottom w:val="nil"/>
            </w:tcBorders>
          </w:tcPr>
          <w:p>
            <w:pPr>
              <w:spacing w:line="252" w:lineRule="auto"/>
              <w:rPr>
                <w:rFonts w:ascii="Arial"/>
                <w:sz w:val="21"/>
              </w:rPr>
            </w:pPr>
            <w:r/>
          </w:p>
          <w:p>
            <w:pPr>
              <w:pStyle w:val="TableText"/>
              <w:ind w:left="1873"/>
              <w:spacing w:before="69" w:line="219" w:lineRule="auto"/>
              <w:rPr>
                <w:sz w:val="21"/>
                <w:szCs w:val="21"/>
              </w:rPr>
            </w:pPr>
            <w:r>
              <w:rPr>
                <w:sz w:val="21"/>
                <w:szCs w:val="21"/>
                <w:spacing w:val="1"/>
              </w:rPr>
              <w:t>循环使用，定期补充</w:t>
            </w:r>
          </w:p>
        </w:tc>
        <w:tc>
          <w:tcPr>
            <w:tcW w:w="2258" w:type="dxa"/>
            <w:vAlign w:val="top"/>
          </w:tcPr>
          <w:p>
            <w:pPr>
              <w:rPr>
                <w:rFonts w:ascii="Arial"/>
                <w:sz w:val="21"/>
              </w:rPr>
            </w:pPr>
            <w:r>
              <w:pict>
                <v:shape id="_x0000_s4" style="position:absolute;margin-left:-58.049pt;margin-top:-5.69803pt;mso-position-vertical-relative:top-margin-area;mso-position-horizontal-relative:right-margin-area;width:3.5pt;height:14.1pt;z-index:251696128;" filled="false" stroked="false" type="#_x0000_t202">
                  <v:fill on="false"/>
                  <v:stroke on="false"/>
                  <v:path/>
                  <v:imagedata o:title=""/>
                  <o:lock v:ext="edit" aspectratio="false"/>
                  <v:textbox inset="0mm,0mm,0mm,0mm">
                    <w:txbxContent>
                      <w:p>
                        <w:pPr>
                          <w:ind w:left="20"/>
                          <w:spacing w:before="20" w:line="241" w:lineRule="exact"/>
                          <w:tabs>
                            <w:tab w:val="left" w:pos="49"/>
                          </w:tabs>
                          <w:rPr>
                            <w:rFonts w:ascii="Arial"/>
                            <w:sz w:val="21"/>
                          </w:rPr>
                        </w:pPr>
                        <w:r>
                          <w:rPr>
                            <w:rFonts w:ascii="Arial" w:hAnsi="Arial" w:eastAsia="Arial" w:cs="Arial"/>
                            <w:sz w:val="21"/>
                            <w:szCs w:val="21"/>
                            <w:u w:val="single" w:color="auto"/>
                          </w:rPr>
                          <w:tab/>
                        </w:r>
                      </w:p>
                    </w:txbxContent>
                  </v:textbox>
                </v:shape>
              </w:pict>
            </w:r>
            <w:r/>
          </w:p>
        </w:tc>
        <w:tc>
          <w:tcPr>
            <w:tcW w:w="1874" w:type="dxa"/>
            <w:vAlign w:val="top"/>
          </w:tcPr>
          <w:p>
            <w:pPr>
              <w:pStyle w:val="TableText"/>
              <w:ind w:left="879"/>
              <w:spacing w:before="86" w:line="173" w:lineRule="exact"/>
              <w:rPr>
                <w:sz w:val="21"/>
                <w:szCs w:val="21"/>
              </w:rPr>
            </w:pPr>
            <w:r>
              <w:rPr>
                <w:sz w:val="21"/>
                <w:szCs w:val="21"/>
                <w:position w:val="-2"/>
              </w:rPr>
              <w:t>0</w:t>
            </w:r>
          </w:p>
        </w:tc>
      </w:tr>
      <w:tr>
        <w:trPr>
          <w:trHeight w:val="280" w:hRule="atLeast"/>
        </w:trPr>
        <w:tc>
          <w:tcPr>
            <w:tcW w:w="734" w:type="dxa"/>
            <w:vAlign w:val="top"/>
            <w:vMerge w:val="continue"/>
            <w:tcBorders>
              <w:top w:val="nil"/>
              <w:bottom w:val="nil"/>
            </w:tcBorders>
          </w:tcPr>
          <w:p>
            <w:pPr>
              <w:rPr>
                <w:rFonts w:ascii="Arial"/>
                <w:sz w:val="21"/>
              </w:rPr>
            </w:pPr>
            <w:r/>
          </w:p>
        </w:tc>
        <w:tc>
          <w:tcPr>
            <w:tcW w:w="2209" w:type="dxa"/>
            <w:vAlign w:val="top"/>
            <w:vMerge w:val="continue"/>
            <w:tcBorders>
              <w:top w:val="nil"/>
              <w:bottom w:val="nil"/>
            </w:tcBorders>
          </w:tcPr>
          <w:p>
            <w:pPr>
              <w:rPr>
                <w:rFonts w:ascii="Arial"/>
                <w:sz w:val="21"/>
              </w:rPr>
            </w:pPr>
            <w:r/>
          </w:p>
        </w:tc>
        <w:tc>
          <w:tcPr>
            <w:tcW w:w="1399" w:type="dxa"/>
            <w:vAlign w:val="top"/>
          </w:tcPr>
          <w:p>
            <w:pPr>
              <w:pStyle w:val="TableText"/>
              <w:ind w:left="532"/>
              <w:spacing w:before="96" w:line="173" w:lineRule="exact"/>
              <w:rPr>
                <w:sz w:val="21"/>
                <w:szCs w:val="21"/>
              </w:rPr>
            </w:pPr>
            <w:r>
              <w:rPr>
                <w:sz w:val="21"/>
                <w:szCs w:val="21"/>
                <w:spacing w:val="-2"/>
                <w:position w:val="-2"/>
              </w:rPr>
              <w:t>COD</w:t>
            </w:r>
          </w:p>
        </w:tc>
        <w:tc>
          <w:tcPr>
            <w:tcW w:w="5656" w:type="dxa"/>
            <w:vAlign w:val="top"/>
            <w:vMerge w:val="continue"/>
            <w:tcBorders>
              <w:top w:val="nil"/>
              <w:bottom w:val="nil"/>
            </w:tcBorders>
          </w:tcPr>
          <w:p>
            <w:pPr>
              <w:rPr>
                <w:rFonts w:ascii="Arial"/>
                <w:sz w:val="21"/>
              </w:rPr>
            </w:pPr>
            <w:r/>
          </w:p>
        </w:tc>
        <w:tc>
          <w:tcPr>
            <w:tcW w:w="2258" w:type="dxa"/>
            <w:vAlign w:val="top"/>
          </w:tcPr>
          <w:p>
            <w:pPr>
              <w:rPr>
                <w:rFonts w:ascii="Arial"/>
                <w:sz w:val="21"/>
              </w:rPr>
            </w:pPr>
            <w:r/>
          </w:p>
        </w:tc>
        <w:tc>
          <w:tcPr>
            <w:tcW w:w="1874" w:type="dxa"/>
            <w:vAlign w:val="top"/>
          </w:tcPr>
          <w:p>
            <w:pPr>
              <w:pStyle w:val="TableText"/>
              <w:ind w:left="879"/>
              <w:spacing w:before="96" w:line="173" w:lineRule="exact"/>
              <w:rPr>
                <w:sz w:val="21"/>
                <w:szCs w:val="21"/>
              </w:rPr>
            </w:pPr>
            <w:r>
              <w:rPr>
                <w:sz w:val="21"/>
                <w:szCs w:val="21"/>
                <w:position w:val="-2"/>
              </w:rPr>
              <w:t>0</w:t>
            </w:r>
          </w:p>
        </w:tc>
      </w:tr>
      <w:tr>
        <w:trPr>
          <w:trHeight w:val="270" w:hRule="atLeast"/>
        </w:trPr>
        <w:tc>
          <w:tcPr>
            <w:tcW w:w="734" w:type="dxa"/>
            <w:vAlign w:val="top"/>
            <w:vMerge w:val="continue"/>
            <w:tcBorders>
              <w:top w:val="nil"/>
            </w:tcBorders>
          </w:tcPr>
          <w:p>
            <w:pPr>
              <w:rPr>
                <w:rFonts w:ascii="Arial"/>
                <w:sz w:val="21"/>
              </w:rPr>
            </w:pPr>
            <w:r/>
          </w:p>
        </w:tc>
        <w:tc>
          <w:tcPr>
            <w:tcW w:w="2209" w:type="dxa"/>
            <w:vAlign w:val="top"/>
            <w:vMerge w:val="continue"/>
            <w:tcBorders>
              <w:top w:val="nil"/>
            </w:tcBorders>
          </w:tcPr>
          <w:p>
            <w:pPr>
              <w:rPr>
                <w:rFonts w:ascii="Arial"/>
                <w:sz w:val="21"/>
              </w:rPr>
            </w:pPr>
            <w:r/>
          </w:p>
        </w:tc>
        <w:tc>
          <w:tcPr>
            <w:tcW w:w="1399" w:type="dxa"/>
            <w:vAlign w:val="top"/>
          </w:tcPr>
          <w:p>
            <w:pPr>
              <w:pStyle w:val="TableText"/>
              <w:ind w:left="581"/>
              <w:spacing w:before="86" w:line="173" w:lineRule="exact"/>
              <w:rPr>
                <w:sz w:val="21"/>
                <w:szCs w:val="21"/>
              </w:rPr>
            </w:pPr>
            <w:r>
              <w:rPr>
                <w:sz w:val="21"/>
                <w:szCs w:val="21"/>
                <w:spacing w:val="-5"/>
                <w:position w:val="-2"/>
              </w:rPr>
              <w:t>SS</w:t>
            </w:r>
          </w:p>
        </w:tc>
        <w:tc>
          <w:tcPr>
            <w:tcW w:w="5656" w:type="dxa"/>
            <w:vAlign w:val="top"/>
            <w:vMerge w:val="continue"/>
            <w:tcBorders>
              <w:top w:val="nil"/>
            </w:tcBorders>
          </w:tcPr>
          <w:p>
            <w:pPr>
              <w:rPr>
                <w:rFonts w:ascii="Arial"/>
                <w:sz w:val="21"/>
              </w:rPr>
            </w:pPr>
            <w:r/>
          </w:p>
        </w:tc>
        <w:tc>
          <w:tcPr>
            <w:tcW w:w="2258" w:type="dxa"/>
            <w:vAlign w:val="top"/>
          </w:tcPr>
          <w:p>
            <w:pPr>
              <w:rPr>
                <w:rFonts w:ascii="Arial"/>
                <w:sz w:val="21"/>
              </w:rPr>
            </w:pPr>
            <w:r/>
          </w:p>
        </w:tc>
        <w:tc>
          <w:tcPr>
            <w:tcW w:w="1874" w:type="dxa"/>
            <w:vAlign w:val="top"/>
          </w:tcPr>
          <w:p>
            <w:pPr>
              <w:pStyle w:val="TableText"/>
              <w:ind w:left="879"/>
              <w:spacing w:before="86" w:line="173" w:lineRule="exact"/>
              <w:rPr>
                <w:sz w:val="21"/>
                <w:szCs w:val="21"/>
              </w:rPr>
            </w:pPr>
            <w:r>
              <w:rPr>
                <w:sz w:val="21"/>
                <w:szCs w:val="21"/>
                <w:position w:val="-2"/>
              </w:rPr>
              <w:t>0</w:t>
            </w:r>
          </w:p>
        </w:tc>
      </w:tr>
      <w:tr>
        <w:trPr>
          <w:trHeight w:val="279" w:hRule="atLeast"/>
        </w:trPr>
        <w:tc>
          <w:tcPr>
            <w:tcW w:w="734"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pStyle w:val="TableText"/>
              <w:ind w:left="145"/>
              <w:spacing w:before="69" w:line="219" w:lineRule="auto"/>
              <w:rPr>
                <w:sz w:val="21"/>
                <w:szCs w:val="21"/>
              </w:rPr>
            </w:pPr>
            <w:r>
              <w:rPr>
                <w:sz w:val="21"/>
                <w:szCs w:val="21"/>
                <w:spacing w:val="-3"/>
              </w:rPr>
              <w:t>生活</w:t>
            </w:r>
          </w:p>
          <w:p>
            <w:pPr>
              <w:pStyle w:val="TableText"/>
              <w:ind w:left="145"/>
              <w:spacing w:line="219" w:lineRule="auto"/>
              <w:rPr>
                <w:sz w:val="21"/>
                <w:szCs w:val="21"/>
              </w:rPr>
            </w:pPr>
            <w:r>
              <w:rPr>
                <w:sz w:val="21"/>
                <w:szCs w:val="21"/>
                <w:spacing w:val="-3"/>
              </w:rPr>
              <w:t>污水</w:t>
            </w:r>
          </w:p>
        </w:tc>
        <w:tc>
          <w:tcPr>
            <w:tcW w:w="2209" w:type="dxa"/>
            <w:vAlign w:val="top"/>
            <w:vMerge w:val="restart"/>
            <w:tcBorders>
              <w:bottom w:val="nil"/>
            </w:tcBorders>
          </w:tcPr>
          <w:p>
            <w:pPr>
              <w:spacing w:line="345" w:lineRule="auto"/>
              <w:rPr>
                <w:rFonts w:ascii="Arial"/>
                <w:sz w:val="21"/>
              </w:rPr>
            </w:pPr>
            <w:r/>
          </w:p>
          <w:p>
            <w:pPr>
              <w:spacing w:line="345" w:lineRule="auto"/>
              <w:rPr>
                <w:rFonts w:ascii="Arial"/>
                <w:sz w:val="21"/>
              </w:rPr>
            </w:pPr>
            <w:r/>
          </w:p>
          <w:p>
            <w:pPr>
              <w:pStyle w:val="TableText"/>
              <w:ind w:left="671"/>
              <w:spacing w:before="68" w:line="219" w:lineRule="auto"/>
              <w:rPr>
                <w:sz w:val="21"/>
                <w:szCs w:val="21"/>
              </w:rPr>
            </w:pPr>
            <w:r>
              <w:rPr>
                <w:sz w:val="21"/>
                <w:szCs w:val="21"/>
                <w:spacing w:val="-2"/>
              </w:rPr>
              <w:t>食堂废水</w:t>
            </w:r>
          </w:p>
        </w:tc>
        <w:tc>
          <w:tcPr>
            <w:tcW w:w="1399" w:type="dxa"/>
            <w:vAlign w:val="top"/>
          </w:tcPr>
          <w:p>
            <w:pPr>
              <w:pStyle w:val="TableText"/>
              <w:ind w:left="372"/>
              <w:spacing w:before="42" w:line="199" w:lineRule="auto"/>
              <w:rPr>
                <w:sz w:val="21"/>
                <w:szCs w:val="21"/>
              </w:rPr>
            </w:pPr>
            <w:r>
              <w:rPr>
                <w:sz w:val="21"/>
                <w:szCs w:val="21"/>
                <w:spacing w:val="-2"/>
              </w:rPr>
              <w:t>废水量</w:t>
            </w:r>
          </w:p>
        </w:tc>
        <w:tc>
          <w:tcPr>
            <w:tcW w:w="5656" w:type="dxa"/>
            <w:vAlign w:val="top"/>
            <w:vMerge w:val="restart"/>
            <w:tcBorders>
              <w:bottom w:val="nil"/>
            </w:tcBorders>
          </w:tcPr>
          <w:p>
            <w:pPr>
              <w:spacing w:line="345" w:lineRule="auto"/>
              <w:rPr>
                <w:rFonts w:ascii="Arial"/>
                <w:sz w:val="21"/>
              </w:rPr>
            </w:pPr>
            <w:r/>
          </w:p>
          <w:p>
            <w:pPr>
              <w:spacing w:line="345" w:lineRule="auto"/>
              <w:rPr>
                <w:rFonts w:ascii="Arial"/>
                <w:sz w:val="21"/>
              </w:rPr>
            </w:pPr>
            <w:r/>
          </w:p>
          <w:p>
            <w:pPr>
              <w:pStyle w:val="TableText"/>
              <w:ind w:left="723"/>
              <w:spacing w:before="68" w:line="219" w:lineRule="auto"/>
              <w:rPr>
                <w:sz w:val="21"/>
                <w:szCs w:val="21"/>
              </w:rPr>
            </w:pPr>
            <w:r>
              <w:rPr>
                <w:sz w:val="21"/>
                <w:szCs w:val="21"/>
                <w:spacing w:val="1"/>
              </w:rPr>
              <w:t>经隔油池、化粪池处理后，排入市政污水管网</w:t>
            </w:r>
          </w:p>
        </w:tc>
        <w:tc>
          <w:tcPr>
            <w:tcW w:w="2258" w:type="dxa"/>
            <w:vAlign w:val="top"/>
          </w:tcPr>
          <w:p>
            <w:pPr>
              <w:rPr>
                <w:rFonts w:ascii="Arial"/>
                <w:sz w:val="21"/>
              </w:rPr>
            </w:pPr>
            <w:r/>
          </w:p>
        </w:tc>
        <w:tc>
          <w:tcPr>
            <w:tcW w:w="1874" w:type="dxa"/>
            <w:vAlign w:val="top"/>
          </w:tcPr>
          <w:p>
            <w:pPr>
              <w:pStyle w:val="TableText"/>
              <w:ind w:left="669"/>
              <w:spacing w:before="96" w:line="173" w:lineRule="exact"/>
              <w:rPr>
                <w:sz w:val="21"/>
                <w:szCs w:val="21"/>
              </w:rPr>
            </w:pPr>
            <w:r>
              <w:rPr>
                <w:sz w:val="21"/>
                <w:szCs w:val="21"/>
                <w:spacing w:val="-2"/>
                <w:position w:val="-2"/>
              </w:rPr>
              <w:t>40200</w:t>
            </w:r>
          </w:p>
        </w:tc>
      </w:tr>
      <w:tr>
        <w:trPr>
          <w:trHeight w:val="280" w:hRule="atLeast"/>
        </w:trPr>
        <w:tc>
          <w:tcPr>
            <w:tcW w:w="734" w:type="dxa"/>
            <w:vAlign w:val="top"/>
            <w:vMerge w:val="continue"/>
            <w:tcBorders>
              <w:top w:val="nil"/>
              <w:bottom w:val="nil"/>
            </w:tcBorders>
          </w:tcPr>
          <w:p>
            <w:pPr>
              <w:rPr>
                <w:rFonts w:ascii="Arial"/>
                <w:sz w:val="21"/>
              </w:rPr>
            </w:pPr>
            <w:r/>
          </w:p>
        </w:tc>
        <w:tc>
          <w:tcPr>
            <w:tcW w:w="2209" w:type="dxa"/>
            <w:vAlign w:val="top"/>
            <w:vMerge w:val="continue"/>
            <w:tcBorders>
              <w:top w:val="nil"/>
              <w:bottom w:val="nil"/>
            </w:tcBorders>
          </w:tcPr>
          <w:p>
            <w:pPr>
              <w:rPr>
                <w:rFonts w:ascii="Arial"/>
                <w:sz w:val="21"/>
              </w:rPr>
            </w:pPr>
            <w:r/>
          </w:p>
        </w:tc>
        <w:tc>
          <w:tcPr>
            <w:tcW w:w="1399" w:type="dxa"/>
            <w:vAlign w:val="top"/>
          </w:tcPr>
          <w:p>
            <w:pPr>
              <w:pStyle w:val="TableText"/>
              <w:ind w:left="532"/>
              <w:spacing w:before="97" w:line="172" w:lineRule="exact"/>
              <w:rPr>
                <w:sz w:val="21"/>
                <w:szCs w:val="21"/>
              </w:rPr>
            </w:pPr>
            <w:r>
              <w:rPr>
                <w:sz w:val="21"/>
                <w:szCs w:val="21"/>
                <w:spacing w:val="-2"/>
                <w:position w:val="-2"/>
              </w:rPr>
              <w:t>COD</w:t>
            </w:r>
          </w:p>
        </w:tc>
        <w:tc>
          <w:tcPr>
            <w:tcW w:w="5656" w:type="dxa"/>
            <w:vAlign w:val="top"/>
            <w:vMerge w:val="continue"/>
            <w:tcBorders>
              <w:top w:val="nil"/>
              <w:bottom w:val="nil"/>
            </w:tcBorders>
          </w:tcPr>
          <w:p>
            <w:pPr>
              <w:rPr>
                <w:rFonts w:ascii="Arial"/>
                <w:sz w:val="21"/>
              </w:rPr>
            </w:pPr>
            <w:r/>
          </w:p>
        </w:tc>
        <w:tc>
          <w:tcPr>
            <w:tcW w:w="2258" w:type="dxa"/>
            <w:vAlign w:val="top"/>
          </w:tcPr>
          <w:p>
            <w:pPr>
              <w:pStyle w:val="TableText"/>
              <w:ind w:left="967"/>
              <w:spacing w:before="97" w:line="172" w:lineRule="exact"/>
              <w:rPr>
                <w:sz w:val="21"/>
                <w:szCs w:val="21"/>
              </w:rPr>
            </w:pPr>
            <w:r>
              <w:rPr>
                <w:sz w:val="21"/>
                <w:szCs w:val="21"/>
                <w:spacing w:val="-3"/>
                <w:position w:val="-2"/>
              </w:rPr>
              <w:t>500</w:t>
            </w:r>
          </w:p>
        </w:tc>
        <w:tc>
          <w:tcPr>
            <w:tcW w:w="1874" w:type="dxa"/>
            <w:vAlign w:val="top"/>
          </w:tcPr>
          <w:p>
            <w:pPr>
              <w:pStyle w:val="TableText"/>
              <w:ind w:left="619"/>
              <w:spacing w:before="96" w:line="173" w:lineRule="exact"/>
              <w:rPr>
                <w:sz w:val="21"/>
                <w:szCs w:val="21"/>
              </w:rPr>
            </w:pPr>
            <w:r>
              <w:rPr>
                <w:sz w:val="21"/>
                <w:szCs w:val="21"/>
                <w:spacing w:val="-2"/>
                <w:position w:val="-2"/>
              </w:rPr>
              <w:t>20.100</w:t>
            </w:r>
          </w:p>
        </w:tc>
      </w:tr>
      <w:tr>
        <w:trPr>
          <w:trHeight w:val="299" w:hRule="atLeast"/>
        </w:trPr>
        <w:tc>
          <w:tcPr>
            <w:tcW w:w="734" w:type="dxa"/>
            <w:vAlign w:val="top"/>
            <w:vMerge w:val="continue"/>
            <w:tcBorders>
              <w:top w:val="nil"/>
              <w:bottom w:val="nil"/>
            </w:tcBorders>
          </w:tcPr>
          <w:p>
            <w:pPr>
              <w:rPr>
                <w:rFonts w:ascii="Arial"/>
                <w:sz w:val="21"/>
              </w:rPr>
            </w:pPr>
            <w:r/>
          </w:p>
        </w:tc>
        <w:tc>
          <w:tcPr>
            <w:tcW w:w="2209" w:type="dxa"/>
            <w:vAlign w:val="top"/>
            <w:vMerge w:val="continue"/>
            <w:tcBorders>
              <w:top w:val="nil"/>
              <w:bottom w:val="nil"/>
            </w:tcBorders>
          </w:tcPr>
          <w:p>
            <w:pPr>
              <w:rPr>
                <w:rFonts w:ascii="Arial"/>
                <w:sz w:val="21"/>
              </w:rPr>
            </w:pPr>
            <w:r/>
          </w:p>
        </w:tc>
        <w:tc>
          <w:tcPr>
            <w:tcW w:w="1399" w:type="dxa"/>
            <w:vAlign w:val="top"/>
          </w:tcPr>
          <w:p>
            <w:pPr>
              <w:pStyle w:val="TableText"/>
              <w:ind w:left="482"/>
              <w:spacing w:before="108" w:line="159" w:lineRule="auto"/>
              <w:rPr>
                <w:sz w:val="21"/>
                <w:szCs w:val="21"/>
              </w:rPr>
            </w:pPr>
            <w:r>
              <w:rPr>
                <w:sz w:val="21"/>
                <w:szCs w:val="21"/>
                <w:spacing w:val="-1"/>
              </w:rPr>
              <w:t>BODs</w:t>
            </w:r>
          </w:p>
        </w:tc>
        <w:tc>
          <w:tcPr>
            <w:tcW w:w="5656" w:type="dxa"/>
            <w:vAlign w:val="top"/>
            <w:vMerge w:val="continue"/>
            <w:tcBorders>
              <w:top w:val="nil"/>
              <w:bottom w:val="nil"/>
            </w:tcBorders>
          </w:tcPr>
          <w:p>
            <w:pPr>
              <w:rPr>
                <w:rFonts w:ascii="Arial"/>
                <w:sz w:val="21"/>
              </w:rPr>
            </w:pPr>
            <w:r/>
          </w:p>
        </w:tc>
        <w:tc>
          <w:tcPr>
            <w:tcW w:w="2258" w:type="dxa"/>
            <w:vAlign w:val="top"/>
          </w:tcPr>
          <w:p>
            <w:pPr>
              <w:pStyle w:val="TableText"/>
              <w:ind w:left="967"/>
              <w:spacing w:before="108" w:line="159" w:lineRule="auto"/>
              <w:rPr>
                <w:sz w:val="21"/>
                <w:szCs w:val="21"/>
              </w:rPr>
            </w:pPr>
            <w:r>
              <w:rPr>
                <w:sz w:val="21"/>
                <w:szCs w:val="21"/>
                <w:spacing w:val="-3"/>
              </w:rPr>
              <w:t>300</w:t>
            </w:r>
          </w:p>
        </w:tc>
        <w:tc>
          <w:tcPr>
            <w:tcW w:w="1874" w:type="dxa"/>
            <w:vAlign w:val="top"/>
          </w:tcPr>
          <w:p>
            <w:pPr>
              <w:pStyle w:val="TableText"/>
              <w:ind w:left="619"/>
              <w:spacing w:before="107" w:line="160" w:lineRule="auto"/>
              <w:rPr>
                <w:sz w:val="21"/>
                <w:szCs w:val="21"/>
              </w:rPr>
            </w:pPr>
            <w:r>
              <w:rPr>
                <w:sz w:val="21"/>
                <w:szCs w:val="21"/>
                <w:spacing w:val="-4"/>
              </w:rPr>
              <w:t>12.060</w:t>
            </w:r>
          </w:p>
        </w:tc>
      </w:tr>
      <w:tr>
        <w:trPr>
          <w:trHeight w:val="270" w:hRule="atLeast"/>
        </w:trPr>
        <w:tc>
          <w:tcPr>
            <w:tcW w:w="734" w:type="dxa"/>
            <w:vAlign w:val="top"/>
            <w:vMerge w:val="continue"/>
            <w:tcBorders>
              <w:top w:val="nil"/>
              <w:bottom w:val="nil"/>
            </w:tcBorders>
          </w:tcPr>
          <w:p>
            <w:pPr>
              <w:rPr>
                <w:rFonts w:ascii="Arial"/>
                <w:sz w:val="21"/>
              </w:rPr>
            </w:pPr>
            <w:r/>
          </w:p>
        </w:tc>
        <w:tc>
          <w:tcPr>
            <w:tcW w:w="2209" w:type="dxa"/>
            <w:vAlign w:val="top"/>
            <w:vMerge w:val="continue"/>
            <w:tcBorders>
              <w:top w:val="nil"/>
              <w:bottom w:val="nil"/>
            </w:tcBorders>
          </w:tcPr>
          <w:p>
            <w:pPr>
              <w:rPr>
                <w:rFonts w:ascii="Arial"/>
                <w:sz w:val="21"/>
              </w:rPr>
            </w:pPr>
            <w:r/>
          </w:p>
        </w:tc>
        <w:tc>
          <w:tcPr>
            <w:tcW w:w="1399" w:type="dxa"/>
            <w:vAlign w:val="top"/>
          </w:tcPr>
          <w:p>
            <w:pPr>
              <w:pStyle w:val="TableText"/>
              <w:ind w:left="372"/>
              <w:spacing w:before="68" w:line="168" w:lineRule="auto"/>
              <w:rPr>
                <w:sz w:val="21"/>
                <w:szCs w:val="21"/>
              </w:rPr>
            </w:pPr>
            <w:r>
              <w:rPr>
                <w:sz w:val="21"/>
                <w:szCs w:val="21"/>
                <w:spacing w:val="-1"/>
              </w:rPr>
              <w:t>NH</w:t>
            </w:r>
            <w:r>
              <w:rPr>
                <w:rFonts w:ascii="Calibri" w:hAnsi="Calibri" w:eastAsia="Calibri" w:cs="Calibri"/>
                <w:sz w:val="21"/>
                <w:szCs w:val="21"/>
                <w:spacing w:val="-1"/>
              </w:rPr>
              <w:t>₃</w:t>
            </w:r>
            <w:r>
              <w:rPr>
                <w:sz w:val="21"/>
                <w:szCs w:val="21"/>
                <w:spacing w:val="-1"/>
              </w:rPr>
              <w:t>-N</w:t>
            </w:r>
          </w:p>
        </w:tc>
        <w:tc>
          <w:tcPr>
            <w:tcW w:w="5656" w:type="dxa"/>
            <w:vAlign w:val="top"/>
            <w:vMerge w:val="continue"/>
            <w:tcBorders>
              <w:top w:val="nil"/>
              <w:bottom w:val="nil"/>
            </w:tcBorders>
          </w:tcPr>
          <w:p>
            <w:pPr>
              <w:rPr>
                <w:rFonts w:ascii="Arial"/>
                <w:sz w:val="21"/>
              </w:rPr>
            </w:pPr>
            <w:r/>
          </w:p>
        </w:tc>
        <w:tc>
          <w:tcPr>
            <w:tcW w:w="2258" w:type="dxa"/>
            <w:vAlign w:val="top"/>
          </w:tcPr>
          <w:p>
            <w:pPr>
              <w:pStyle w:val="TableText"/>
              <w:ind w:left="1017"/>
              <w:spacing w:before="88" w:line="172" w:lineRule="exact"/>
              <w:rPr>
                <w:sz w:val="21"/>
                <w:szCs w:val="21"/>
              </w:rPr>
            </w:pPr>
            <w:r>
              <w:rPr>
                <w:sz w:val="21"/>
                <w:szCs w:val="21"/>
                <w:spacing w:val="-2"/>
                <w:position w:val="-2"/>
              </w:rPr>
              <w:t>45</w:t>
            </w:r>
          </w:p>
        </w:tc>
        <w:tc>
          <w:tcPr>
            <w:tcW w:w="1874" w:type="dxa"/>
            <w:vAlign w:val="top"/>
          </w:tcPr>
          <w:p>
            <w:pPr>
              <w:pStyle w:val="TableText"/>
              <w:ind w:left="669"/>
              <w:spacing w:before="87" w:line="172" w:lineRule="exact"/>
              <w:rPr>
                <w:sz w:val="21"/>
                <w:szCs w:val="21"/>
              </w:rPr>
            </w:pPr>
            <w:r>
              <w:rPr>
                <w:sz w:val="21"/>
                <w:szCs w:val="21"/>
                <w:spacing w:val="-4"/>
                <w:position w:val="-2"/>
              </w:rPr>
              <w:t>1.809</w:t>
            </w:r>
          </w:p>
        </w:tc>
      </w:tr>
      <w:tr>
        <w:trPr>
          <w:trHeight w:val="280" w:hRule="atLeast"/>
        </w:trPr>
        <w:tc>
          <w:tcPr>
            <w:tcW w:w="734" w:type="dxa"/>
            <w:vAlign w:val="top"/>
            <w:vMerge w:val="continue"/>
            <w:tcBorders>
              <w:top w:val="nil"/>
              <w:bottom w:val="nil"/>
            </w:tcBorders>
          </w:tcPr>
          <w:p>
            <w:pPr>
              <w:rPr>
                <w:rFonts w:ascii="Arial"/>
                <w:sz w:val="21"/>
              </w:rPr>
            </w:pPr>
            <w:r/>
          </w:p>
        </w:tc>
        <w:tc>
          <w:tcPr>
            <w:tcW w:w="2209" w:type="dxa"/>
            <w:vAlign w:val="top"/>
            <w:vMerge w:val="continue"/>
            <w:tcBorders>
              <w:top w:val="nil"/>
              <w:bottom w:val="nil"/>
            </w:tcBorders>
          </w:tcPr>
          <w:p>
            <w:pPr>
              <w:rPr>
                <w:rFonts w:ascii="Arial"/>
                <w:sz w:val="21"/>
              </w:rPr>
            </w:pPr>
            <w:r/>
          </w:p>
        </w:tc>
        <w:tc>
          <w:tcPr>
            <w:tcW w:w="1399" w:type="dxa"/>
            <w:vAlign w:val="top"/>
          </w:tcPr>
          <w:p>
            <w:pPr>
              <w:pStyle w:val="TableText"/>
              <w:ind w:left="581"/>
              <w:spacing w:before="98" w:line="172" w:lineRule="exact"/>
              <w:rPr>
                <w:sz w:val="21"/>
                <w:szCs w:val="21"/>
              </w:rPr>
            </w:pPr>
            <w:r>
              <w:rPr>
                <w:sz w:val="21"/>
                <w:szCs w:val="21"/>
                <w:spacing w:val="-5"/>
                <w:position w:val="-2"/>
              </w:rPr>
              <w:t>SS</w:t>
            </w:r>
          </w:p>
        </w:tc>
        <w:tc>
          <w:tcPr>
            <w:tcW w:w="5656" w:type="dxa"/>
            <w:vAlign w:val="top"/>
            <w:vMerge w:val="continue"/>
            <w:tcBorders>
              <w:top w:val="nil"/>
              <w:bottom w:val="nil"/>
            </w:tcBorders>
          </w:tcPr>
          <w:p>
            <w:pPr>
              <w:rPr>
                <w:rFonts w:ascii="Arial"/>
                <w:sz w:val="21"/>
              </w:rPr>
            </w:pPr>
            <w:r/>
          </w:p>
        </w:tc>
        <w:tc>
          <w:tcPr>
            <w:tcW w:w="2258" w:type="dxa"/>
            <w:vAlign w:val="top"/>
          </w:tcPr>
          <w:p>
            <w:pPr>
              <w:pStyle w:val="TableText"/>
              <w:ind w:left="967"/>
              <w:spacing w:before="98" w:line="172" w:lineRule="exact"/>
              <w:rPr>
                <w:sz w:val="21"/>
                <w:szCs w:val="21"/>
              </w:rPr>
            </w:pPr>
            <w:r>
              <w:rPr>
                <w:sz w:val="21"/>
                <w:szCs w:val="21"/>
                <w:spacing w:val="-2"/>
                <w:position w:val="-2"/>
              </w:rPr>
              <w:t>400</w:t>
            </w:r>
          </w:p>
        </w:tc>
        <w:tc>
          <w:tcPr>
            <w:tcW w:w="1874" w:type="dxa"/>
            <w:vAlign w:val="top"/>
          </w:tcPr>
          <w:p>
            <w:pPr>
              <w:pStyle w:val="TableText"/>
              <w:ind w:left="619"/>
              <w:spacing w:before="97" w:line="172" w:lineRule="exact"/>
              <w:rPr>
                <w:sz w:val="21"/>
                <w:szCs w:val="21"/>
              </w:rPr>
            </w:pPr>
            <w:r>
              <w:rPr>
                <w:sz w:val="21"/>
                <w:szCs w:val="21"/>
                <w:spacing w:val="-4"/>
                <w:position w:val="-2"/>
              </w:rPr>
              <w:t>16.080</w:t>
            </w:r>
          </w:p>
        </w:tc>
      </w:tr>
      <w:tr>
        <w:trPr>
          <w:trHeight w:val="270" w:hRule="atLeast"/>
        </w:trPr>
        <w:tc>
          <w:tcPr>
            <w:tcW w:w="734" w:type="dxa"/>
            <w:vAlign w:val="top"/>
            <w:vMerge w:val="continue"/>
            <w:tcBorders>
              <w:top w:val="nil"/>
              <w:bottom w:val="nil"/>
            </w:tcBorders>
          </w:tcPr>
          <w:p>
            <w:pPr>
              <w:rPr>
                <w:rFonts w:ascii="Arial"/>
                <w:sz w:val="21"/>
              </w:rPr>
            </w:pPr>
            <w:r/>
          </w:p>
        </w:tc>
        <w:tc>
          <w:tcPr>
            <w:tcW w:w="2209" w:type="dxa"/>
            <w:vAlign w:val="top"/>
            <w:vMerge w:val="continue"/>
            <w:tcBorders>
              <w:top w:val="nil"/>
            </w:tcBorders>
          </w:tcPr>
          <w:p>
            <w:pPr>
              <w:rPr>
                <w:rFonts w:ascii="Arial"/>
                <w:sz w:val="21"/>
              </w:rPr>
            </w:pPr>
            <w:r/>
          </w:p>
        </w:tc>
        <w:tc>
          <w:tcPr>
            <w:tcW w:w="1399" w:type="dxa"/>
            <w:vAlign w:val="top"/>
          </w:tcPr>
          <w:p>
            <w:pPr>
              <w:pStyle w:val="TableText"/>
              <w:ind w:left="272"/>
              <w:spacing w:before="34" w:line="198" w:lineRule="auto"/>
              <w:rPr>
                <w:sz w:val="21"/>
                <w:szCs w:val="21"/>
              </w:rPr>
            </w:pPr>
            <w:r>
              <w:rPr>
                <w:sz w:val="21"/>
                <w:szCs w:val="21"/>
                <w:spacing w:val="5"/>
              </w:rPr>
              <w:t>动植物油</w:t>
            </w:r>
          </w:p>
        </w:tc>
        <w:tc>
          <w:tcPr>
            <w:tcW w:w="5656" w:type="dxa"/>
            <w:vAlign w:val="top"/>
            <w:vMerge w:val="continue"/>
            <w:tcBorders>
              <w:top w:val="nil"/>
            </w:tcBorders>
          </w:tcPr>
          <w:p>
            <w:pPr>
              <w:rPr>
                <w:rFonts w:ascii="Arial"/>
                <w:sz w:val="21"/>
              </w:rPr>
            </w:pPr>
            <w:r/>
          </w:p>
        </w:tc>
        <w:tc>
          <w:tcPr>
            <w:tcW w:w="2258" w:type="dxa"/>
            <w:vAlign w:val="top"/>
          </w:tcPr>
          <w:p>
            <w:pPr>
              <w:pStyle w:val="TableText"/>
              <w:ind w:left="967"/>
              <w:spacing w:before="87" w:line="172" w:lineRule="exact"/>
              <w:rPr>
                <w:sz w:val="21"/>
                <w:szCs w:val="21"/>
              </w:rPr>
            </w:pPr>
            <w:r>
              <w:rPr>
                <w:sz w:val="21"/>
                <w:szCs w:val="21"/>
                <w:spacing w:val="-6"/>
                <w:position w:val="-2"/>
              </w:rPr>
              <w:t>100</w:t>
            </w:r>
          </w:p>
        </w:tc>
        <w:tc>
          <w:tcPr>
            <w:tcW w:w="1874" w:type="dxa"/>
            <w:vAlign w:val="top"/>
          </w:tcPr>
          <w:p>
            <w:pPr>
              <w:pStyle w:val="TableText"/>
              <w:ind w:left="669"/>
              <w:spacing w:before="88" w:line="172" w:lineRule="exact"/>
              <w:rPr>
                <w:sz w:val="21"/>
                <w:szCs w:val="21"/>
              </w:rPr>
            </w:pPr>
            <w:r>
              <w:rPr>
                <w:sz w:val="21"/>
                <w:szCs w:val="21"/>
                <w:spacing w:val="-2"/>
                <w:position w:val="-2"/>
              </w:rPr>
              <w:t>4.020</w:t>
            </w:r>
          </w:p>
        </w:tc>
      </w:tr>
      <w:tr>
        <w:trPr>
          <w:trHeight w:val="270" w:hRule="atLeast"/>
        </w:trPr>
        <w:tc>
          <w:tcPr>
            <w:tcW w:w="734" w:type="dxa"/>
            <w:vAlign w:val="top"/>
            <w:vMerge w:val="continue"/>
            <w:tcBorders>
              <w:top w:val="nil"/>
              <w:bottom w:val="nil"/>
            </w:tcBorders>
          </w:tcPr>
          <w:p>
            <w:pPr>
              <w:rPr>
                <w:rFonts w:ascii="Arial"/>
                <w:sz w:val="21"/>
              </w:rPr>
            </w:pPr>
            <w:r/>
          </w:p>
        </w:tc>
        <w:tc>
          <w:tcPr>
            <w:tcW w:w="2209" w:type="dxa"/>
            <w:vAlign w:val="top"/>
            <w:vMerge w:val="restart"/>
            <w:tcBorders>
              <w:bottom w:val="nil"/>
            </w:tcBorders>
          </w:tcPr>
          <w:p>
            <w:pPr>
              <w:spacing w:line="266" w:lineRule="auto"/>
              <w:rPr>
                <w:rFonts w:ascii="Arial"/>
                <w:sz w:val="21"/>
              </w:rPr>
            </w:pPr>
            <w:r/>
          </w:p>
          <w:p>
            <w:pPr>
              <w:spacing w:line="267" w:lineRule="auto"/>
              <w:rPr>
                <w:rFonts w:ascii="Arial"/>
                <w:sz w:val="21"/>
              </w:rPr>
            </w:pPr>
            <w:r/>
          </w:p>
          <w:p>
            <w:pPr>
              <w:pStyle w:val="TableText"/>
              <w:ind w:left="671"/>
              <w:spacing w:before="68" w:line="219" w:lineRule="auto"/>
              <w:rPr>
                <w:sz w:val="21"/>
                <w:szCs w:val="21"/>
              </w:rPr>
            </w:pPr>
            <w:r>
              <w:rPr>
                <w:sz w:val="21"/>
                <w:szCs w:val="21"/>
                <w:spacing w:val="-2"/>
              </w:rPr>
              <w:t>生活污水</w:t>
            </w:r>
          </w:p>
        </w:tc>
        <w:tc>
          <w:tcPr>
            <w:tcW w:w="1399" w:type="dxa"/>
            <w:vAlign w:val="top"/>
          </w:tcPr>
          <w:p>
            <w:pPr>
              <w:pStyle w:val="TableText"/>
              <w:ind w:left="372"/>
              <w:spacing w:before="34" w:line="198" w:lineRule="auto"/>
              <w:rPr>
                <w:sz w:val="21"/>
                <w:szCs w:val="21"/>
              </w:rPr>
            </w:pPr>
            <w:r>
              <w:rPr>
                <w:sz w:val="21"/>
                <w:szCs w:val="21"/>
                <w:spacing w:val="-2"/>
              </w:rPr>
              <w:t>废水量</w:t>
            </w:r>
          </w:p>
        </w:tc>
        <w:tc>
          <w:tcPr>
            <w:tcW w:w="5656" w:type="dxa"/>
            <w:vAlign w:val="top"/>
            <w:vMerge w:val="restart"/>
            <w:tcBorders>
              <w:bottom w:val="nil"/>
            </w:tcBorders>
          </w:tcPr>
          <w:p>
            <w:pPr>
              <w:spacing w:line="266" w:lineRule="auto"/>
              <w:rPr>
                <w:rFonts w:ascii="Arial"/>
                <w:sz w:val="21"/>
              </w:rPr>
            </w:pPr>
            <w:r/>
          </w:p>
          <w:p>
            <w:pPr>
              <w:spacing w:line="267" w:lineRule="auto"/>
              <w:rPr>
                <w:rFonts w:ascii="Arial"/>
                <w:sz w:val="21"/>
              </w:rPr>
            </w:pPr>
            <w:r/>
          </w:p>
          <w:p>
            <w:pPr>
              <w:pStyle w:val="TableText"/>
              <w:ind w:left="1143"/>
              <w:spacing w:before="68" w:line="219" w:lineRule="auto"/>
              <w:rPr>
                <w:sz w:val="21"/>
                <w:szCs w:val="21"/>
              </w:rPr>
            </w:pPr>
            <w:r>
              <w:rPr>
                <w:sz w:val="21"/>
                <w:szCs w:val="21"/>
                <w:spacing w:val="1"/>
              </w:rPr>
              <w:t>经化粪池处理后，排入市政污水管网</w:t>
            </w:r>
          </w:p>
        </w:tc>
        <w:tc>
          <w:tcPr>
            <w:tcW w:w="2258" w:type="dxa"/>
            <w:vAlign w:val="top"/>
          </w:tcPr>
          <w:p>
            <w:pPr>
              <w:rPr>
                <w:rFonts w:ascii="Arial"/>
                <w:sz w:val="21"/>
              </w:rPr>
            </w:pPr>
            <w:r/>
          </w:p>
        </w:tc>
        <w:tc>
          <w:tcPr>
            <w:tcW w:w="1874" w:type="dxa"/>
            <w:vAlign w:val="top"/>
          </w:tcPr>
          <w:p>
            <w:pPr>
              <w:pStyle w:val="TableText"/>
              <w:ind w:left="669"/>
              <w:spacing w:before="88" w:line="172" w:lineRule="exact"/>
              <w:rPr>
                <w:sz w:val="21"/>
                <w:szCs w:val="21"/>
              </w:rPr>
            </w:pPr>
            <w:r>
              <w:rPr>
                <w:sz w:val="21"/>
                <w:szCs w:val="21"/>
                <w:spacing w:val="-2"/>
                <w:position w:val="-2"/>
              </w:rPr>
              <w:t>88440</w:t>
            </w:r>
          </w:p>
        </w:tc>
      </w:tr>
      <w:tr>
        <w:trPr>
          <w:trHeight w:val="279" w:hRule="atLeast"/>
        </w:trPr>
        <w:tc>
          <w:tcPr>
            <w:tcW w:w="734" w:type="dxa"/>
            <w:vAlign w:val="top"/>
            <w:vMerge w:val="continue"/>
            <w:tcBorders>
              <w:top w:val="nil"/>
              <w:bottom w:val="nil"/>
            </w:tcBorders>
          </w:tcPr>
          <w:p>
            <w:pPr>
              <w:rPr>
                <w:rFonts w:ascii="Arial"/>
                <w:sz w:val="21"/>
              </w:rPr>
            </w:pPr>
            <w:r/>
          </w:p>
        </w:tc>
        <w:tc>
          <w:tcPr>
            <w:tcW w:w="2209" w:type="dxa"/>
            <w:vAlign w:val="top"/>
            <w:vMerge w:val="continue"/>
            <w:tcBorders>
              <w:top w:val="nil"/>
              <w:bottom w:val="nil"/>
            </w:tcBorders>
          </w:tcPr>
          <w:p>
            <w:pPr>
              <w:rPr>
                <w:rFonts w:ascii="Arial"/>
                <w:sz w:val="21"/>
              </w:rPr>
            </w:pPr>
            <w:r/>
          </w:p>
        </w:tc>
        <w:tc>
          <w:tcPr>
            <w:tcW w:w="1399" w:type="dxa"/>
            <w:vAlign w:val="top"/>
          </w:tcPr>
          <w:p>
            <w:pPr>
              <w:pStyle w:val="TableText"/>
              <w:ind w:left="532"/>
              <w:spacing w:before="98" w:line="170" w:lineRule="exact"/>
              <w:rPr>
                <w:sz w:val="21"/>
                <w:szCs w:val="21"/>
              </w:rPr>
            </w:pPr>
            <w:r>
              <w:rPr>
                <w:sz w:val="21"/>
                <w:szCs w:val="21"/>
                <w:spacing w:val="-2"/>
                <w:position w:val="-2"/>
              </w:rPr>
              <w:t>COD</w:t>
            </w:r>
          </w:p>
        </w:tc>
        <w:tc>
          <w:tcPr>
            <w:tcW w:w="5656" w:type="dxa"/>
            <w:vAlign w:val="top"/>
            <w:vMerge w:val="continue"/>
            <w:tcBorders>
              <w:top w:val="nil"/>
              <w:bottom w:val="nil"/>
            </w:tcBorders>
          </w:tcPr>
          <w:p>
            <w:pPr>
              <w:rPr>
                <w:rFonts w:ascii="Arial"/>
                <w:sz w:val="21"/>
              </w:rPr>
            </w:pPr>
            <w:r/>
          </w:p>
        </w:tc>
        <w:tc>
          <w:tcPr>
            <w:tcW w:w="2258" w:type="dxa"/>
            <w:vAlign w:val="top"/>
          </w:tcPr>
          <w:p>
            <w:pPr>
              <w:pStyle w:val="TableText"/>
              <w:ind w:left="967"/>
              <w:spacing w:before="98" w:line="170" w:lineRule="exact"/>
              <w:rPr>
                <w:sz w:val="21"/>
                <w:szCs w:val="21"/>
              </w:rPr>
            </w:pPr>
            <w:r>
              <w:rPr>
                <w:sz w:val="21"/>
                <w:szCs w:val="21"/>
                <w:spacing w:val="-3"/>
                <w:position w:val="-2"/>
              </w:rPr>
              <w:t>500</w:t>
            </w:r>
          </w:p>
        </w:tc>
        <w:tc>
          <w:tcPr>
            <w:tcW w:w="1874" w:type="dxa"/>
            <w:vAlign w:val="top"/>
          </w:tcPr>
          <w:p>
            <w:pPr>
              <w:pStyle w:val="TableText"/>
              <w:ind w:left="619"/>
              <w:spacing w:before="98" w:line="170" w:lineRule="exact"/>
              <w:rPr>
                <w:sz w:val="21"/>
                <w:szCs w:val="21"/>
              </w:rPr>
            </w:pPr>
            <w:r>
              <w:rPr>
                <w:sz w:val="21"/>
                <w:szCs w:val="21"/>
                <w:spacing w:val="-2"/>
                <w:position w:val="-2"/>
              </w:rPr>
              <w:t>44.220</w:t>
            </w:r>
          </w:p>
        </w:tc>
      </w:tr>
      <w:tr>
        <w:trPr>
          <w:trHeight w:val="270" w:hRule="atLeast"/>
        </w:trPr>
        <w:tc>
          <w:tcPr>
            <w:tcW w:w="734" w:type="dxa"/>
            <w:vAlign w:val="top"/>
            <w:vMerge w:val="continue"/>
            <w:tcBorders>
              <w:top w:val="nil"/>
              <w:bottom w:val="nil"/>
            </w:tcBorders>
          </w:tcPr>
          <w:p>
            <w:pPr>
              <w:rPr>
                <w:rFonts w:ascii="Arial"/>
                <w:sz w:val="21"/>
              </w:rPr>
            </w:pPr>
            <w:r/>
          </w:p>
        </w:tc>
        <w:tc>
          <w:tcPr>
            <w:tcW w:w="2209" w:type="dxa"/>
            <w:vAlign w:val="top"/>
            <w:vMerge w:val="continue"/>
            <w:tcBorders>
              <w:top w:val="nil"/>
              <w:bottom w:val="nil"/>
            </w:tcBorders>
          </w:tcPr>
          <w:p>
            <w:pPr>
              <w:rPr>
                <w:rFonts w:ascii="Arial"/>
                <w:sz w:val="21"/>
              </w:rPr>
            </w:pPr>
            <w:r/>
          </w:p>
        </w:tc>
        <w:tc>
          <w:tcPr>
            <w:tcW w:w="1399" w:type="dxa"/>
            <w:vAlign w:val="top"/>
          </w:tcPr>
          <w:p>
            <w:pPr>
              <w:pStyle w:val="TableText"/>
              <w:ind w:left="482"/>
              <w:spacing w:before="89" w:line="171" w:lineRule="exact"/>
              <w:rPr>
                <w:sz w:val="21"/>
                <w:szCs w:val="21"/>
              </w:rPr>
            </w:pPr>
            <w:r>
              <w:rPr>
                <w:sz w:val="21"/>
                <w:szCs w:val="21"/>
                <w:spacing w:val="-1"/>
                <w:position w:val="-2"/>
              </w:rPr>
              <w:t>BODs</w:t>
            </w:r>
          </w:p>
        </w:tc>
        <w:tc>
          <w:tcPr>
            <w:tcW w:w="5656" w:type="dxa"/>
            <w:vAlign w:val="top"/>
            <w:vMerge w:val="continue"/>
            <w:tcBorders>
              <w:top w:val="nil"/>
              <w:bottom w:val="nil"/>
            </w:tcBorders>
          </w:tcPr>
          <w:p>
            <w:pPr>
              <w:rPr>
                <w:rFonts w:ascii="Arial"/>
                <w:sz w:val="21"/>
              </w:rPr>
            </w:pPr>
            <w:r/>
          </w:p>
        </w:tc>
        <w:tc>
          <w:tcPr>
            <w:tcW w:w="2258" w:type="dxa"/>
            <w:vAlign w:val="top"/>
          </w:tcPr>
          <w:p>
            <w:pPr>
              <w:pStyle w:val="TableText"/>
              <w:ind w:left="967"/>
              <w:spacing w:before="89" w:line="171" w:lineRule="exact"/>
              <w:rPr>
                <w:sz w:val="21"/>
                <w:szCs w:val="21"/>
              </w:rPr>
            </w:pPr>
            <w:r>
              <w:rPr>
                <w:sz w:val="21"/>
                <w:szCs w:val="21"/>
                <w:spacing w:val="-3"/>
                <w:position w:val="-2"/>
              </w:rPr>
              <w:t>300</w:t>
            </w:r>
          </w:p>
        </w:tc>
        <w:tc>
          <w:tcPr>
            <w:tcW w:w="1874" w:type="dxa"/>
            <w:vAlign w:val="top"/>
          </w:tcPr>
          <w:p>
            <w:pPr>
              <w:pStyle w:val="TableText"/>
              <w:ind w:left="619"/>
              <w:spacing w:before="89" w:line="171" w:lineRule="exact"/>
              <w:rPr>
                <w:sz w:val="21"/>
                <w:szCs w:val="21"/>
              </w:rPr>
            </w:pPr>
            <w:r>
              <w:rPr>
                <w:sz w:val="21"/>
                <w:szCs w:val="21"/>
                <w:spacing w:val="-2"/>
                <w:position w:val="-2"/>
              </w:rPr>
              <w:t>26.532</w:t>
            </w:r>
          </w:p>
        </w:tc>
      </w:tr>
      <w:tr>
        <w:trPr>
          <w:trHeight w:val="280" w:hRule="atLeast"/>
        </w:trPr>
        <w:tc>
          <w:tcPr>
            <w:tcW w:w="734" w:type="dxa"/>
            <w:vAlign w:val="top"/>
            <w:vMerge w:val="continue"/>
            <w:tcBorders>
              <w:top w:val="nil"/>
              <w:bottom w:val="nil"/>
            </w:tcBorders>
          </w:tcPr>
          <w:p>
            <w:pPr>
              <w:rPr>
                <w:rFonts w:ascii="Arial"/>
                <w:sz w:val="21"/>
              </w:rPr>
            </w:pPr>
            <w:r/>
          </w:p>
        </w:tc>
        <w:tc>
          <w:tcPr>
            <w:tcW w:w="2209" w:type="dxa"/>
            <w:vAlign w:val="top"/>
            <w:vMerge w:val="continue"/>
            <w:tcBorders>
              <w:top w:val="nil"/>
              <w:bottom w:val="nil"/>
            </w:tcBorders>
          </w:tcPr>
          <w:p>
            <w:pPr>
              <w:rPr>
                <w:rFonts w:ascii="Arial"/>
                <w:sz w:val="21"/>
              </w:rPr>
            </w:pPr>
            <w:r/>
          </w:p>
        </w:tc>
        <w:tc>
          <w:tcPr>
            <w:tcW w:w="1399" w:type="dxa"/>
            <w:vAlign w:val="top"/>
          </w:tcPr>
          <w:p>
            <w:pPr>
              <w:pStyle w:val="TableText"/>
              <w:ind w:left="372"/>
              <w:spacing w:before="78" w:line="168" w:lineRule="auto"/>
              <w:rPr>
                <w:sz w:val="21"/>
                <w:szCs w:val="21"/>
              </w:rPr>
            </w:pPr>
            <w:r>
              <w:rPr>
                <w:sz w:val="21"/>
                <w:szCs w:val="21"/>
                <w:spacing w:val="-1"/>
              </w:rPr>
              <w:t>NH</w:t>
            </w:r>
            <w:r>
              <w:rPr>
                <w:rFonts w:ascii="Calibri" w:hAnsi="Calibri" w:eastAsia="Calibri" w:cs="Calibri"/>
                <w:sz w:val="21"/>
                <w:szCs w:val="21"/>
                <w:spacing w:val="-1"/>
              </w:rPr>
              <w:t>₃</w:t>
            </w:r>
            <w:r>
              <w:rPr>
                <w:sz w:val="21"/>
                <w:szCs w:val="21"/>
                <w:spacing w:val="-1"/>
              </w:rPr>
              <w:t>-N</w:t>
            </w:r>
          </w:p>
        </w:tc>
        <w:tc>
          <w:tcPr>
            <w:tcW w:w="5656" w:type="dxa"/>
            <w:vAlign w:val="top"/>
            <w:vMerge w:val="continue"/>
            <w:tcBorders>
              <w:top w:val="nil"/>
              <w:bottom w:val="nil"/>
            </w:tcBorders>
          </w:tcPr>
          <w:p>
            <w:pPr>
              <w:rPr>
                <w:rFonts w:ascii="Arial"/>
                <w:sz w:val="21"/>
              </w:rPr>
            </w:pPr>
            <w:r/>
          </w:p>
        </w:tc>
        <w:tc>
          <w:tcPr>
            <w:tcW w:w="2258" w:type="dxa"/>
            <w:vAlign w:val="top"/>
          </w:tcPr>
          <w:p>
            <w:pPr>
              <w:pStyle w:val="TableText"/>
              <w:ind w:left="1017"/>
              <w:spacing w:before="99" w:line="171" w:lineRule="exact"/>
              <w:rPr>
                <w:sz w:val="21"/>
                <w:szCs w:val="21"/>
              </w:rPr>
            </w:pPr>
            <w:r>
              <w:rPr>
                <w:sz w:val="21"/>
                <w:szCs w:val="21"/>
                <w:spacing w:val="-2"/>
                <w:position w:val="-2"/>
              </w:rPr>
              <w:t>45</w:t>
            </w:r>
          </w:p>
        </w:tc>
        <w:tc>
          <w:tcPr>
            <w:tcW w:w="1874" w:type="dxa"/>
            <w:vAlign w:val="top"/>
          </w:tcPr>
          <w:p>
            <w:pPr>
              <w:pStyle w:val="TableText"/>
              <w:ind w:left="669"/>
              <w:spacing w:before="99" w:line="171" w:lineRule="exact"/>
              <w:rPr>
                <w:sz w:val="21"/>
                <w:szCs w:val="21"/>
              </w:rPr>
            </w:pPr>
            <w:r>
              <w:rPr>
                <w:sz w:val="21"/>
                <w:szCs w:val="21"/>
                <w:spacing w:val="-2"/>
                <w:position w:val="-2"/>
              </w:rPr>
              <w:t>3.980</w:t>
            </w:r>
          </w:p>
        </w:tc>
      </w:tr>
      <w:tr>
        <w:trPr>
          <w:trHeight w:val="270" w:hRule="atLeast"/>
        </w:trPr>
        <w:tc>
          <w:tcPr>
            <w:tcW w:w="734" w:type="dxa"/>
            <w:vAlign w:val="top"/>
            <w:vMerge w:val="continue"/>
            <w:tcBorders>
              <w:top w:val="nil"/>
            </w:tcBorders>
          </w:tcPr>
          <w:p>
            <w:pPr>
              <w:rPr>
                <w:rFonts w:ascii="Arial"/>
                <w:sz w:val="21"/>
              </w:rPr>
            </w:pPr>
            <w:r/>
          </w:p>
        </w:tc>
        <w:tc>
          <w:tcPr>
            <w:tcW w:w="2209" w:type="dxa"/>
            <w:vAlign w:val="top"/>
            <w:vMerge w:val="continue"/>
            <w:tcBorders>
              <w:top w:val="nil"/>
            </w:tcBorders>
          </w:tcPr>
          <w:p>
            <w:pPr>
              <w:rPr>
                <w:rFonts w:ascii="Arial"/>
                <w:sz w:val="21"/>
              </w:rPr>
            </w:pPr>
            <w:r/>
          </w:p>
        </w:tc>
        <w:tc>
          <w:tcPr>
            <w:tcW w:w="1399" w:type="dxa"/>
            <w:vAlign w:val="top"/>
          </w:tcPr>
          <w:p>
            <w:pPr>
              <w:pStyle w:val="TableText"/>
              <w:ind w:left="581"/>
              <w:spacing w:before="89" w:line="171" w:lineRule="exact"/>
              <w:rPr>
                <w:sz w:val="21"/>
                <w:szCs w:val="21"/>
              </w:rPr>
            </w:pPr>
            <w:r>
              <w:rPr>
                <w:sz w:val="21"/>
                <w:szCs w:val="21"/>
                <w:spacing w:val="-5"/>
                <w:position w:val="-2"/>
              </w:rPr>
              <w:t>SS</w:t>
            </w:r>
          </w:p>
        </w:tc>
        <w:tc>
          <w:tcPr>
            <w:tcW w:w="5656" w:type="dxa"/>
            <w:vAlign w:val="top"/>
            <w:vMerge w:val="continue"/>
            <w:tcBorders>
              <w:top w:val="nil"/>
            </w:tcBorders>
          </w:tcPr>
          <w:p>
            <w:pPr>
              <w:rPr>
                <w:rFonts w:ascii="Arial"/>
                <w:sz w:val="21"/>
              </w:rPr>
            </w:pPr>
            <w:r/>
          </w:p>
        </w:tc>
        <w:tc>
          <w:tcPr>
            <w:tcW w:w="2258" w:type="dxa"/>
            <w:vAlign w:val="top"/>
          </w:tcPr>
          <w:p>
            <w:pPr>
              <w:pStyle w:val="TableText"/>
              <w:ind w:left="967"/>
              <w:spacing w:before="89" w:line="171" w:lineRule="exact"/>
              <w:rPr>
                <w:sz w:val="21"/>
                <w:szCs w:val="21"/>
              </w:rPr>
            </w:pPr>
            <w:r>
              <w:rPr>
                <w:sz w:val="21"/>
                <w:szCs w:val="21"/>
                <w:spacing w:val="-2"/>
                <w:position w:val="-2"/>
              </w:rPr>
              <w:t>400</w:t>
            </w:r>
          </w:p>
        </w:tc>
        <w:tc>
          <w:tcPr>
            <w:tcW w:w="1874" w:type="dxa"/>
            <w:vAlign w:val="top"/>
          </w:tcPr>
          <w:p>
            <w:pPr>
              <w:pStyle w:val="TableText"/>
              <w:ind w:left="619"/>
              <w:spacing w:before="89" w:line="171" w:lineRule="exact"/>
              <w:rPr>
                <w:sz w:val="21"/>
                <w:szCs w:val="21"/>
              </w:rPr>
            </w:pPr>
            <w:r>
              <w:rPr>
                <w:sz w:val="21"/>
                <w:szCs w:val="21"/>
                <w:spacing w:val="-2"/>
                <w:position w:val="-2"/>
              </w:rPr>
              <w:t>35.376</w:t>
            </w:r>
          </w:p>
        </w:tc>
      </w:tr>
      <w:tr>
        <w:trPr>
          <w:trHeight w:val="280" w:hRule="atLeast"/>
        </w:trPr>
        <w:tc>
          <w:tcPr>
            <w:tcW w:w="734" w:type="dxa"/>
            <w:vAlign w:val="top"/>
            <w:vMerge w:val="restart"/>
            <w:tcBorders>
              <w:bottom w:val="nil"/>
            </w:tcBorders>
          </w:tcPr>
          <w:p>
            <w:pPr>
              <w:spacing w:line="266" w:lineRule="auto"/>
              <w:rPr>
                <w:rFonts w:ascii="Arial"/>
                <w:sz w:val="21"/>
              </w:rPr>
            </w:pPr>
            <w:r/>
          </w:p>
          <w:p>
            <w:pPr>
              <w:pStyle w:val="TableText"/>
              <w:ind w:left="145"/>
              <w:spacing w:before="68" w:line="220" w:lineRule="auto"/>
              <w:rPr>
                <w:sz w:val="21"/>
                <w:szCs w:val="21"/>
              </w:rPr>
            </w:pPr>
            <w:r>
              <w:rPr>
                <w:sz w:val="21"/>
                <w:szCs w:val="21"/>
                <w:spacing w:val="-3"/>
              </w:rPr>
              <w:t>其他</w:t>
            </w:r>
          </w:p>
        </w:tc>
        <w:tc>
          <w:tcPr>
            <w:tcW w:w="2209" w:type="dxa"/>
            <w:vAlign w:val="top"/>
          </w:tcPr>
          <w:p>
            <w:pPr>
              <w:pStyle w:val="TableText"/>
              <w:ind w:left="251"/>
              <w:spacing w:before="45" w:line="197" w:lineRule="auto"/>
              <w:rPr>
                <w:sz w:val="21"/>
                <w:szCs w:val="21"/>
              </w:rPr>
            </w:pPr>
            <w:r>
              <w:rPr>
                <w:sz w:val="21"/>
                <w:szCs w:val="21"/>
                <w:spacing w:val="-1"/>
              </w:rPr>
              <w:t>锅炉排污水、浓水</w:t>
            </w:r>
          </w:p>
        </w:tc>
        <w:tc>
          <w:tcPr>
            <w:tcW w:w="1399" w:type="dxa"/>
            <w:vAlign w:val="top"/>
          </w:tcPr>
          <w:p>
            <w:pPr>
              <w:pStyle w:val="TableText"/>
              <w:ind w:left="372"/>
              <w:spacing w:before="45" w:line="197" w:lineRule="auto"/>
              <w:rPr>
                <w:sz w:val="21"/>
                <w:szCs w:val="21"/>
              </w:rPr>
            </w:pPr>
            <w:r>
              <w:rPr>
                <w:sz w:val="21"/>
                <w:szCs w:val="21"/>
                <w:spacing w:val="-2"/>
              </w:rPr>
              <w:t>废水量</w:t>
            </w:r>
          </w:p>
        </w:tc>
        <w:tc>
          <w:tcPr>
            <w:tcW w:w="5656" w:type="dxa"/>
            <w:vAlign w:val="top"/>
            <w:vMerge w:val="restart"/>
            <w:tcBorders>
              <w:bottom w:val="nil"/>
            </w:tcBorders>
          </w:tcPr>
          <w:p>
            <w:pPr>
              <w:spacing w:line="265" w:lineRule="auto"/>
              <w:rPr>
                <w:rFonts w:ascii="Arial"/>
                <w:sz w:val="21"/>
              </w:rPr>
            </w:pPr>
            <w:r/>
          </w:p>
          <w:p>
            <w:pPr>
              <w:pStyle w:val="TableText"/>
              <w:ind w:left="1773"/>
              <w:spacing w:before="69" w:line="219" w:lineRule="auto"/>
              <w:rPr>
                <w:sz w:val="21"/>
                <w:szCs w:val="21"/>
              </w:rPr>
            </w:pPr>
            <w:r>
              <w:rPr>
                <w:sz w:val="21"/>
                <w:szCs w:val="21"/>
                <w:spacing w:val="2"/>
              </w:rPr>
              <w:t>排入厂区生活污水管网</w:t>
            </w:r>
          </w:p>
        </w:tc>
        <w:tc>
          <w:tcPr>
            <w:tcW w:w="2258" w:type="dxa"/>
            <w:vAlign w:val="top"/>
          </w:tcPr>
          <w:p>
            <w:pPr>
              <w:rPr>
                <w:rFonts w:ascii="Arial"/>
                <w:sz w:val="21"/>
              </w:rPr>
            </w:pPr>
            <w:r/>
          </w:p>
        </w:tc>
        <w:tc>
          <w:tcPr>
            <w:tcW w:w="1874" w:type="dxa"/>
            <w:vAlign w:val="top"/>
          </w:tcPr>
          <w:p>
            <w:pPr>
              <w:pStyle w:val="TableText"/>
              <w:ind w:left="669"/>
              <w:spacing w:before="99" w:line="171" w:lineRule="exact"/>
              <w:rPr>
                <w:sz w:val="21"/>
                <w:szCs w:val="21"/>
              </w:rPr>
            </w:pPr>
            <w:r>
              <w:rPr>
                <w:sz w:val="21"/>
                <w:szCs w:val="21"/>
                <w:spacing w:val="-2"/>
                <w:position w:val="-2"/>
              </w:rPr>
              <w:t>23760</w:t>
            </w:r>
          </w:p>
        </w:tc>
      </w:tr>
      <w:tr>
        <w:trPr>
          <w:trHeight w:val="289" w:hRule="atLeast"/>
        </w:trPr>
        <w:tc>
          <w:tcPr>
            <w:tcW w:w="734" w:type="dxa"/>
            <w:vAlign w:val="top"/>
            <w:vMerge w:val="continue"/>
            <w:tcBorders>
              <w:top w:val="nil"/>
              <w:bottom w:val="nil"/>
            </w:tcBorders>
          </w:tcPr>
          <w:p>
            <w:pPr>
              <w:rPr>
                <w:rFonts w:ascii="Arial"/>
                <w:sz w:val="21"/>
              </w:rPr>
            </w:pPr>
            <w:r/>
          </w:p>
        </w:tc>
        <w:tc>
          <w:tcPr>
            <w:tcW w:w="2209" w:type="dxa"/>
            <w:vAlign w:val="top"/>
          </w:tcPr>
          <w:p>
            <w:pPr>
              <w:pStyle w:val="TableText"/>
              <w:ind w:left="301"/>
              <w:spacing w:before="45" w:line="205" w:lineRule="auto"/>
              <w:rPr>
                <w:sz w:val="21"/>
                <w:szCs w:val="21"/>
              </w:rPr>
            </w:pPr>
            <w:r>
              <w:rPr>
                <w:sz w:val="21"/>
                <w:szCs w:val="21"/>
              </w:rPr>
              <w:t>RO</w:t>
            </w:r>
            <w:r>
              <w:rPr>
                <w:sz w:val="21"/>
                <w:szCs w:val="21"/>
                <w:spacing w:val="2"/>
              </w:rPr>
              <w:t>/</w:t>
            </w:r>
            <w:r>
              <w:rPr>
                <w:sz w:val="21"/>
                <w:szCs w:val="21"/>
              </w:rPr>
              <w:t>DI</w:t>
            </w:r>
            <w:r>
              <w:rPr>
                <w:sz w:val="21"/>
                <w:szCs w:val="21"/>
                <w:spacing w:val="2"/>
              </w:rPr>
              <w:t>水系统废水</w:t>
            </w:r>
          </w:p>
        </w:tc>
        <w:tc>
          <w:tcPr>
            <w:tcW w:w="1399" w:type="dxa"/>
            <w:vAlign w:val="top"/>
          </w:tcPr>
          <w:p>
            <w:pPr>
              <w:pStyle w:val="TableText"/>
              <w:ind w:left="372"/>
              <w:spacing w:before="45" w:line="205" w:lineRule="auto"/>
              <w:rPr>
                <w:sz w:val="21"/>
                <w:szCs w:val="21"/>
              </w:rPr>
            </w:pPr>
            <w:r>
              <w:rPr>
                <w:sz w:val="21"/>
                <w:szCs w:val="21"/>
                <w:spacing w:val="-2"/>
              </w:rPr>
              <w:t>废水量</w:t>
            </w:r>
          </w:p>
        </w:tc>
        <w:tc>
          <w:tcPr>
            <w:tcW w:w="5656" w:type="dxa"/>
            <w:vAlign w:val="top"/>
            <w:vMerge w:val="continue"/>
            <w:tcBorders>
              <w:top w:val="nil"/>
              <w:bottom w:val="nil"/>
            </w:tcBorders>
          </w:tcPr>
          <w:p>
            <w:pPr>
              <w:rPr>
                <w:rFonts w:ascii="Arial"/>
                <w:sz w:val="21"/>
              </w:rPr>
            </w:pPr>
            <w:r/>
          </w:p>
        </w:tc>
        <w:tc>
          <w:tcPr>
            <w:tcW w:w="2258" w:type="dxa"/>
            <w:vAlign w:val="top"/>
          </w:tcPr>
          <w:p>
            <w:pPr>
              <w:rPr>
                <w:rFonts w:ascii="Arial"/>
                <w:sz w:val="21"/>
              </w:rPr>
            </w:pPr>
            <w:r/>
          </w:p>
        </w:tc>
        <w:tc>
          <w:tcPr>
            <w:tcW w:w="1874" w:type="dxa"/>
            <w:vAlign w:val="top"/>
          </w:tcPr>
          <w:p>
            <w:pPr>
              <w:pStyle w:val="TableText"/>
              <w:ind w:left="719"/>
              <w:spacing w:before="99" w:line="158" w:lineRule="auto"/>
              <w:rPr>
                <w:sz w:val="21"/>
                <w:szCs w:val="21"/>
              </w:rPr>
            </w:pPr>
            <w:r>
              <w:rPr>
                <w:sz w:val="21"/>
                <w:szCs w:val="21"/>
                <w:spacing w:val="-2"/>
              </w:rPr>
              <w:t>6900</w:t>
            </w:r>
          </w:p>
        </w:tc>
      </w:tr>
      <w:tr>
        <w:trPr>
          <w:trHeight w:val="279" w:hRule="atLeast"/>
        </w:trPr>
        <w:tc>
          <w:tcPr>
            <w:tcW w:w="734" w:type="dxa"/>
            <w:vAlign w:val="top"/>
            <w:vMerge w:val="continue"/>
            <w:tcBorders>
              <w:top w:val="nil"/>
            </w:tcBorders>
          </w:tcPr>
          <w:p>
            <w:pPr>
              <w:rPr>
                <w:rFonts w:ascii="Arial"/>
                <w:sz w:val="21"/>
              </w:rPr>
            </w:pPr>
            <w:r/>
          </w:p>
        </w:tc>
        <w:tc>
          <w:tcPr>
            <w:tcW w:w="2209" w:type="dxa"/>
            <w:vAlign w:val="top"/>
          </w:tcPr>
          <w:p>
            <w:pPr>
              <w:pStyle w:val="TableText"/>
              <w:ind w:left="461"/>
              <w:spacing w:before="46" w:line="196" w:lineRule="auto"/>
              <w:rPr>
                <w:sz w:val="21"/>
                <w:szCs w:val="21"/>
              </w:rPr>
            </w:pPr>
            <w:r>
              <w:rPr>
                <w:sz w:val="21"/>
                <w:szCs w:val="21"/>
                <w:spacing w:val="-2"/>
              </w:rPr>
              <w:t>循环冷却废水</w:t>
            </w:r>
          </w:p>
        </w:tc>
        <w:tc>
          <w:tcPr>
            <w:tcW w:w="1399" w:type="dxa"/>
            <w:vAlign w:val="top"/>
          </w:tcPr>
          <w:p>
            <w:pPr>
              <w:pStyle w:val="TableText"/>
              <w:ind w:left="372"/>
              <w:spacing w:before="46" w:line="196" w:lineRule="auto"/>
              <w:rPr>
                <w:sz w:val="21"/>
                <w:szCs w:val="21"/>
              </w:rPr>
            </w:pPr>
            <w:r>
              <w:rPr>
                <w:sz w:val="21"/>
                <w:szCs w:val="21"/>
                <w:spacing w:val="-2"/>
              </w:rPr>
              <w:t>废水量</w:t>
            </w:r>
          </w:p>
        </w:tc>
        <w:tc>
          <w:tcPr>
            <w:tcW w:w="5656" w:type="dxa"/>
            <w:vAlign w:val="top"/>
            <w:vMerge w:val="continue"/>
            <w:tcBorders>
              <w:top w:val="nil"/>
            </w:tcBorders>
          </w:tcPr>
          <w:p>
            <w:pPr>
              <w:rPr>
                <w:rFonts w:ascii="Arial"/>
                <w:sz w:val="21"/>
              </w:rPr>
            </w:pPr>
            <w:r/>
          </w:p>
        </w:tc>
        <w:tc>
          <w:tcPr>
            <w:tcW w:w="2258" w:type="dxa"/>
            <w:vAlign w:val="top"/>
          </w:tcPr>
          <w:p>
            <w:pPr>
              <w:rPr>
                <w:rFonts w:ascii="Arial"/>
                <w:sz w:val="21"/>
              </w:rPr>
            </w:pPr>
            <w:r/>
          </w:p>
        </w:tc>
        <w:tc>
          <w:tcPr>
            <w:tcW w:w="1874" w:type="dxa"/>
            <w:vAlign w:val="top"/>
          </w:tcPr>
          <w:p>
            <w:pPr>
              <w:pStyle w:val="TableText"/>
              <w:ind w:left="669"/>
              <w:spacing w:before="99" w:line="169" w:lineRule="exact"/>
              <w:rPr>
                <w:sz w:val="21"/>
                <w:szCs w:val="21"/>
              </w:rPr>
            </w:pPr>
            <w:r>
              <w:rPr>
                <w:sz w:val="21"/>
                <w:szCs w:val="21"/>
                <w:spacing w:val="-2"/>
                <w:position w:val="-2"/>
              </w:rPr>
              <w:t>31500</w:t>
            </w:r>
          </w:p>
        </w:tc>
      </w:tr>
      <w:tr>
        <w:trPr>
          <w:trHeight w:val="814" w:hRule="atLeast"/>
        </w:trPr>
        <w:tc>
          <w:tcPr>
            <w:tcW w:w="14130" w:type="dxa"/>
            <w:vAlign w:val="top"/>
            <w:gridSpan w:val="6"/>
          </w:tcPr>
          <w:p>
            <w:pPr>
              <w:pStyle w:val="TableText"/>
              <w:ind w:left="445"/>
              <w:spacing w:before="65" w:line="218" w:lineRule="auto"/>
              <w:rPr>
                <w:sz w:val="21"/>
                <w:szCs w:val="21"/>
              </w:rPr>
            </w:pPr>
            <w:r>
              <w:rPr>
                <w:sz w:val="21"/>
                <w:szCs w:val="21"/>
                <w:spacing w:val="2"/>
              </w:rPr>
              <w:t>备注：生产废水排放浓度参照《时代一汽动力电池项目(年产10</w:t>
            </w:r>
            <w:r>
              <w:rPr>
                <w:sz w:val="21"/>
                <w:szCs w:val="21"/>
              </w:rPr>
              <w:t>GWh</w:t>
            </w:r>
            <w:r>
              <w:rPr>
                <w:sz w:val="21"/>
                <w:szCs w:val="21"/>
                <w:spacing w:val="2"/>
              </w:rPr>
              <w:t>)竣工环境保护验收监测报告表》中的监测平均值，生活污水</w:t>
            </w:r>
            <w:r>
              <w:rPr>
                <w:sz w:val="21"/>
                <w:szCs w:val="21"/>
              </w:rPr>
              <w:t>COD</w:t>
            </w:r>
            <w:r>
              <w:rPr>
                <w:sz w:val="21"/>
                <w:szCs w:val="21"/>
                <w:spacing w:val="2"/>
              </w:rPr>
              <w:t>、</w:t>
            </w:r>
            <w:r>
              <w:rPr>
                <w:sz w:val="21"/>
                <w:szCs w:val="21"/>
              </w:rPr>
              <w:t>BODs</w:t>
            </w:r>
            <w:r>
              <w:rPr>
                <w:sz w:val="21"/>
                <w:szCs w:val="21"/>
                <w:spacing w:val="2"/>
              </w:rPr>
              <w:t>、</w:t>
            </w:r>
            <w:r>
              <w:rPr>
                <w:sz w:val="21"/>
                <w:szCs w:val="21"/>
              </w:rPr>
              <w:t>SS</w:t>
            </w:r>
            <w:r>
              <w:rPr>
                <w:sz w:val="21"/>
                <w:szCs w:val="21"/>
                <w:spacing w:val="2"/>
              </w:rPr>
              <w:t>、</w:t>
            </w:r>
          </w:p>
          <w:p>
            <w:pPr>
              <w:pStyle w:val="TableText"/>
              <w:ind w:left="235" w:right="907" w:hanging="130"/>
              <w:spacing w:before="12" w:line="210" w:lineRule="auto"/>
              <w:rPr>
                <w:sz w:val="21"/>
                <w:szCs w:val="21"/>
              </w:rPr>
            </w:pPr>
            <w:r>
              <w:rPr>
                <w:sz w:val="21"/>
                <w:szCs w:val="21"/>
                <w:spacing w:val="-2"/>
              </w:rPr>
              <w:t>动植物油排放浓度按《污水综合排放标准》   (GB8978-1996)中的三级排放标准限值要求，氨氮排放浓度参照《污水排入城镇下水道水质标准》</w:t>
            </w:r>
            <w:r>
              <w:rPr>
                <w:sz w:val="21"/>
                <w:szCs w:val="21"/>
                <w:spacing w:val="18"/>
              </w:rPr>
              <w:t xml:space="preserve"> </w:t>
            </w:r>
            <w:r>
              <w:rPr>
                <w:sz w:val="21"/>
                <w:szCs w:val="21"/>
              </w:rPr>
              <w:t>(GB/T31962-2015)中排入城市下水道系统</w:t>
            </w:r>
            <w:r>
              <w:rPr>
                <w:sz w:val="21"/>
                <w:szCs w:val="21"/>
                <w:spacing w:val="-1"/>
              </w:rPr>
              <w:t>的限值要求。</w:t>
            </w:r>
          </w:p>
        </w:tc>
      </w:tr>
    </w:tbl>
    <w:p>
      <w:pPr>
        <w:rPr>
          <w:rFonts w:ascii="Arial"/>
          <w:sz w:val="21"/>
        </w:rPr>
      </w:pPr>
      <w:r/>
    </w:p>
    <w:p>
      <w:pPr>
        <w:sectPr>
          <w:footerReference w:type="default" r:id="rId38"/>
          <w:pgSz w:w="16840" w:h="11900"/>
          <w:pgMar w:top="1011" w:right="1384" w:bottom="978" w:left="1314" w:header="0" w:footer="839" w:gutter="0"/>
        </w:sectPr>
        <w:rPr>
          <w:rFonts w:ascii="Arial" w:hAnsi="Arial" w:eastAsia="Arial" w:cs="Arial"/>
          <w:sz w:val="21"/>
          <w:szCs w:val="21"/>
        </w:rPr>
      </w:pPr>
    </w:p>
    <w:tbl>
      <w:tblPr>
        <w:tblStyle w:val="TableNormal"/>
        <w:tblW w:w="89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84"/>
        <w:gridCol w:w="8226"/>
      </w:tblGrid>
      <w:tr>
        <w:trPr>
          <w:trHeight w:val="14020" w:hRule="atLeast"/>
        </w:trPr>
        <w:tc>
          <w:tcPr>
            <w:tcW w:w="684"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95" w:right="80"/>
              <w:spacing w:before="78" w:line="211" w:lineRule="auto"/>
              <w:jc w:val="both"/>
              <w:rPr>
                <w:sz w:val="24"/>
                <w:szCs w:val="24"/>
              </w:rPr>
            </w:pPr>
            <w:r>
              <w:rPr>
                <w:sz w:val="24"/>
                <w:szCs w:val="24"/>
                <w:spacing w:val="7"/>
              </w:rPr>
              <w:t>与项</w:t>
            </w:r>
            <w:r>
              <w:rPr>
                <w:sz w:val="24"/>
                <w:szCs w:val="24"/>
              </w:rPr>
              <w:t xml:space="preserve"> </w:t>
            </w:r>
            <w:r>
              <w:rPr>
                <w:sz w:val="24"/>
                <w:szCs w:val="24"/>
                <w:spacing w:val="6"/>
              </w:rPr>
              <w:t>目有</w:t>
            </w:r>
            <w:r>
              <w:rPr>
                <w:sz w:val="24"/>
                <w:szCs w:val="24"/>
              </w:rPr>
              <w:t xml:space="preserve"> </w:t>
            </w:r>
            <w:r>
              <w:rPr>
                <w:sz w:val="24"/>
                <w:szCs w:val="24"/>
                <w:spacing w:val="9"/>
              </w:rPr>
              <w:t>关的</w:t>
            </w:r>
            <w:r>
              <w:rPr>
                <w:sz w:val="24"/>
                <w:szCs w:val="24"/>
              </w:rPr>
              <w:t xml:space="preserve"> </w:t>
            </w:r>
            <w:r>
              <w:rPr>
                <w:sz w:val="24"/>
                <w:szCs w:val="24"/>
                <w:spacing w:val="6"/>
              </w:rPr>
              <w:t>原有</w:t>
            </w:r>
            <w:r>
              <w:rPr>
                <w:sz w:val="24"/>
                <w:szCs w:val="24"/>
              </w:rPr>
              <w:t xml:space="preserve"> </w:t>
            </w:r>
            <w:r>
              <w:rPr>
                <w:sz w:val="24"/>
                <w:szCs w:val="24"/>
                <w:spacing w:val="-5"/>
              </w:rPr>
              <w:t>环境</w:t>
            </w:r>
            <w:r>
              <w:rPr>
                <w:sz w:val="24"/>
                <w:szCs w:val="24"/>
              </w:rPr>
              <w:t xml:space="preserve"> </w:t>
            </w:r>
            <w:r>
              <w:rPr>
                <w:sz w:val="24"/>
                <w:szCs w:val="24"/>
                <w:spacing w:val="5"/>
              </w:rPr>
              <w:t>污染</w:t>
            </w:r>
            <w:r>
              <w:rPr>
                <w:sz w:val="24"/>
                <w:szCs w:val="24"/>
              </w:rPr>
              <w:t xml:space="preserve"> </w:t>
            </w:r>
            <w:r>
              <w:rPr>
                <w:sz w:val="24"/>
                <w:szCs w:val="24"/>
                <w:spacing w:val="6"/>
              </w:rPr>
              <w:t>问题</w:t>
            </w:r>
          </w:p>
        </w:tc>
        <w:tc>
          <w:tcPr>
            <w:tcW w:w="8226" w:type="dxa"/>
            <w:vAlign w:val="top"/>
          </w:tcPr>
          <w:p>
            <w:pPr>
              <w:pStyle w:val="TableText"/>
              <w:ind w:left="134"/>
              <w:spacing w:before="72" w:line="220" w:lineRule="auto"/>
              <w:rPr>
                <w:sz w:val="24"/>
                <w:szCs w:val="24"/>
              </w:rPr>
            </w:pPr>
            <w:r>
              <w:rPr>
                <w:sz w:val="24"/>
                <w:szCs w:val="24"/>
                <w:b/>
                <w:bCs/>
                <w:spacing w:val="-4"/>
              </w:rPr>
              <w:t>3、噪声治理及排放情况</w:t>
            </w:r>
          </w:p>
          <w:p>
            <w:pPr>
              <w:pStyle w:val="TableText"/>
              <w:ind w:left="621"/>
              <w:spacing w:before="156" w:line="219" w:lineRule="auto"/>
              <w:rPr>
                <w:sz w:val="24"/>
                <w:szCs w:val="24"/>
              </w:rPr>
            </w:pPr>
            <w:r>
              <w:rPr>
                <w:sz w:val="24"/>
                <w:szCs w:val="24"/>
              </w:rPr>
              <w:t>现有工程——时代一汽动力电池项目(年产10GWh)噪声主要来源于各</w:t>
            </w:r>
          </w:p>
          <w:p>
            <w:pPr>
              <w:pStyle w:val="TableText"/>
              <w:ind w:left="140"/>
              <w:spacing w:before="184" w:line="354" w:lineRule="auto"/>
              <w:rPr>
                <w:sz w:val="24"/>
                <w:szCs w:val="24"/>
              </w:rPr>
            </w:pPr>
            <w:r>
              <w:rPr>
                <w:sz w:val="24"/>
                <w:szCs w:val="24"/>
                <w:spacing w:val="-3"/>
              </w:rPr>
              <w:t>类机械设备，包括搅拌机、模切机、涂布机、分切机、泵、风机及冷却塔等。</w:t>
            </w:r>
            <w:r>
              <w:rPr>
                <w:sz w:val="24"/>
                <w:szCs w:val="24"/>
                <w:spacing w:val="16"/>
              </w:rPr>
              <w:t xml:space="preserve"> </w:t>
            </w:r>
            <w:r>
              <w:rPr>
                <w:sz w:val="24"/>
                <w:szCs w:val="24"/>
                <w:spacing w:val="-2"/>
              </w:rPr>
              <w:t>大多数声源都安置在厂房车间内或相应设备的室内，且采用基础减振、消声</w:t>
            </w:r>
          </w:p>
          <w:p>
            <w:pPr>
              <w:pStyle w:val="TableText"/>
              <w:ind w:left="131"/>
              <w:spacing w:line="219" w:lineRule="auto"/>
              <w:rPr>
                <w:sz w:val="24"/>
                <w:szCs w:val="24"/>
              </w:rPr>
            </w:pPr>
            <w:r>
              <w:rPr>
                <w:sz w:val="24"/>
                <w:szCs w:val="24"/>
                <w:spacing w:val="1"/>
              </w:rPr>
              <w:t>等措施</w:t>
            </w:r>
          </w:p>
          <w:p>
            <w:pPr>
              <w:pStyle w:val="TableText"/>
              <w:ind w:left="621"/>
              <w:spacing w:before="205" w:line="219" w:lineRule="auto"/>
              <w:rPr>
                <w:sz w:val="24"/>
                <w:szCs w:val="24"/>
              </w:rPr>
            </w:pPr>
            <w:r>
              <w:rPr>
                <w:sz w:val="24"/>
                <w:szCs w:val="24"/>
              </w:rPr>
              <w:t>根据《时代一汽动力电池项目(年产10GWh)竣工环境保护验收监测报</w:t>
            </w:r>
          </w:p>
          <w:p>
            <w:pPr>
              <w:pStyle w:val="TableText"/>
              <w:ind w:right="5"/>
              <w:spacing w:before="179" w:line="214" w:lineRule="auto"/>
              <w:jc w:val="right"/>
              <w:rPr>
                <w:sz w:val="24"/>
                <w:szCs w:val="24"/>
              </w:rPr>
            </w:pPr>
            <w:r>
              <w:rPr>
                <w:sz w:val="24"/>
                <w:szCs w:val="24"/>
              </w:rPr>
              <w:t>告表》可知：验收监测期间，项目厂界噪声各监测点昼间LAeq值范围为51.1~</w:t>
            </w:r>
          </w:p>
          <w:p>
            <w:pPr>
              <w:pStyle w:val="TableText"/>
              <w:ind w:left="141"/>
              <w:spacing w:before="169" w:line="214" w:lineRule="auto"/>
              <w:rPr>
                <w:sz w:val="24"/>
                <w:szCs w:val="24"/>
              </w:rPr>
            </w:pPr>
            <w:r>
              <w:rPr>
                <w:sz w:val="24"/>
                <w:szCs w:val="24"/>
              </w:rPr>
              <w:t>54.2dB(A),夜间LAeg值范围为47.0～49.6dB(A),均符合《工业企业厂</w:t>
            </w:r>
          </w:p>
          <w:p>
            <w:pPr>
              <w:pStyle w:val="TableText"/>
              <w:ind w:left="151"/>
              <w:spacing w:before="210" w:line="444" w:lineRule="exact"/>
              <w:rPr>
                <w:sz w:val="24"/>
                <w:szCs w:val="24"/>
              </w:rPr>
            </w:pPr>
            <w:r>
              <w:rPr>
                <w:sz w:val="24"/>
                <w:szCs w:val="24"/>
                <w:spacing w:val="1"/>
                <w:position w:val="15"/>
              </w:rPr>
              <w:t>界环境噪声排放标准》(</w:t>
            </w:r>
            <w:r>
              <w:rPr>
                <w:sz w:val="24"/>
                <w:szCs w:val="24"/>
                <w:position w:val="15"/>
              </w:rPr>
              <w:t>GB</w:t>
            </w:r>
            <w:r>
              <w:rPr>
                <w:sz w:val="24"/>
                <w:szCs w:val="24"/>
                <w:spacing w:val="1"/>
                <w:position w:val="15"/>
              </w:rPr>
              <w:t>12348-2008)</w:t>
            </w:r>
            <w:r>
              <w:rPr>
                <w:sz w:val="24"/>
                <w:szCs w:val="24"/>
                <w:position w:val="15"/>
              </w:rPr>
              <w:t>中3类区标准限值的要求，即昼间</w:t>
            </w:r>
          </w:p>
          <w:p>
            <w:pPr>
              <w:pStyle w:val="TableText"/>
              <w:ind w:left="131"/>
              <w:spacing w:line="214" w:lineRule="auto"/>
              <w:rPr>
                <w:sz w:val="24"/>
                <w:szCs w:val="24"/>
              </w:rPr>
            </w:pPr>
            <w:r>
              <w:rPr>
                <w:sz w:val="24"/>
                <w:szCs w:val="24"/>
              </w:rPr>
              <w:t>≤65dB(A),夜间≤55dB(A);敏感点大沙村、石雷洋村声环境昼间LAcq</w:t>
            </w:r>
          </w:p>
          <w:p>
            <w:pPr>
              <w:pStyle w:val="TableText"/>
              <w:ind w:left="151"/>
              <w:spacing w:before="202" w:line="214" w:lineRule="auto"/>
              <w:rPr>
                <w:sz w:val="24"/>
                <w:szCs w:val="24"/>
              </w:rPr>
            </w:pPr>
            <w:r>
              <w:rPr>
                <w:sz w:val="24"/>
                <w:szCs w:val="24"/>
              </w:rPr>
              <w:t>值范围为50.4-55.2dB(A),夜间LAeq值范围为47.2～48</w:t>
            </w:r>
            <w:r>
              <w:rPr>
                <w:sz w:val="24"/>
                <w:szCs w:val="24"/>
                <w:spacing w:val="-1"/>
              </w:rPr>
              <w:t>.3dB(A),均符合</w:t>
            </w:r>
          </w:p>
          <w:p>
            <w:pPr>
              <w:pStyle w:val="TableText"/>
              <w:ind w:left="140"/>
              <w:spacing w:before="198" w:line="466" w:lineRule="exact"/>
              <w:rPr>
                <w:sz w:val="24"/>
                <w:szCs w:val="24"/>
              </w:rPr>
            </w:pPr>
            <w:r>
              <w:rPr>
                <w:sz w:val="24"/>
                <w:szCs w:val="24"/>
                <w:position w:val="17"/>
              </w:rPr>
              <w:t>《声环境质量标准》(GB3096-2008)中2类区标准限值</w:t>
            </w:r>
            <w:r>
              <w:rPr>
                <w:sz w:val="24"/>
                <w:szCs w:val="24"/>
                <w:spacing w:val="-1"/>
                <w:position w:val="17"/>
              </w:rPr>
              <w:t>的要求，即昼间≤60dB</w:t>
            </w:r>
          </w:p>
          <w:p>
            <w:pPr>
              <w:pStyle w:val="TableText"/>
              <w:ind w:left="260"/>
              <w:spacing w:before="1" w:line="216" w:lineRule="auto"/>
              <w:rPr>
                <w:sz w:val="24"/>
                <w:szCs w:val="24"/>
              </w:rPr>
            </w:pPr>
            <w:r>
              <w:rPr>
                <w:sz w:val="24"/>
                <w:szCs w:val="24"/>
              </w:rPr>
              <w:t>(A),夜间≤50dB(A)。项目投产后，对周边声环境影响小。</w:t>
            </w:r>
          </w:p>
          <w:p>
            <w:pPr>
              <w:pStyle w:val="TableText"/>
              <w:ind w:left="134"/>
              <w:spacing w:before="190" w:line="220" w:lineRule="auto"/>
              <w:rPr>
                <w:sz w:val="24"/>
                <w:szCs w:val="24"/>
              </w:rPr>
            </w:pPr>
            <w:r>
              <w:rPr>
                <w:sz w:val="24"/>
                <w:szCs w:val="24"/>
                <w:b/>
                <w:bCs/>
                <w:spacing w:val="-1"/>
              </w:rPr>
              <w:t>4、固体废物处置及排放情况(**为涉密，不予公开)</w:t>
            </w:r>
          </w:p>
          <w:p>
            <w:pPr>
              <w:pStyle w:val="TableText"/>
              <w:ind w:left="631"/>
              <w:spacing w:before="197" w:line="220" w:lineRule="auto"/>
              <w:rPr>
                <w:sz w:val="24"/>
                <w:szCs w:val="24"/>
              </w:rPr>
            </w:pPr>
            <w:r>
              <w:rPr>
                <w:sz w:val="24"/>
                <w:szCs w:val="24"/>
                <w:spacing w:val="1"/>
              </w:rPr>
              <w:t>1)一般工业固体废物</w:t>
            </w:r>
          </w:p>
          <w:p>
            <w:pPr>
              <w:pStyle w:val="TableText"/>
              <w:ind w:left="621"/>
              <w:spacing w:before="163" w:line="219" w:lineRule="auto"/>
              <w:rPr>
                <w:sz w:val="24"/>
                <w:szCs w:val="24"/>
              </w:rPr>
            </w:pPr>
            <w:r>
              <w:rPr>
                <w:sz w:val="24"/>
                <w:szCs w:val="24"/>
              </w:rPr>
              <w:t>一期工程——时代一汽动力电池项目(年产10GWh)一般工业固体废物</w:t>
            </w:r>
          </w:p>
          <w:p>
            <w:pPr>
              <w:pStyle w:val="TableText"/>
              <w:ind w:left="141"/>
              <w:spacing w:before="175" w:line="470" w:lineRule="exact"/>
              <w:rPr>
                <w:sz w:val="24"/>
                <w:szCs w:val="24"/>
              </w:rPr>
            </w:pPr>
            <w:r>
              <w:rPr>
                <w:sz w:val="24"/>
                <w:szCs w:val="24"/>
                <w:position w:val="17"/>
              </w:rPr>
              <w:t>包含NMP废液，废粉料，废隔膜，废电芯，废极片，阳极污泥，废铝箔、铝</w:t>
            </w:r>
          </w:p>
          <w:p>
            <w:pPr>
              <w:pStyle w:val="TableText"/>
              <w:ind w:left="131"/>
              <w:spacing w:before="1" w:line="219" w:lineRule="auto"/>
              <w:rPr>
                <w:sz w:val="24"/>
                <w:szCs w:val="24"/>
              </w:rPr>
            </w:pPr>
            <w:r>
              <w:rPr>
                <w:sz w:val="24"/>
                <w:szCs w:val="24"/>
                <w:spacing w:val="-1"/>
              </w:rPr>
              <w:t>壳，废铜箔、废包装袋、废浆料、废手套等。</w:t>
            </w:r>
          </w:p>
          <w:p>
            <w:pPr>
              <w:pStyle w:val="TableText"/>
              <w:ind w:left="621"/>
              <w:spacing w:before="195" w:line="470" w:lineRule="exact"/>
              <w:rPr>
                <w:sz w:val="24"/>
                <w:szCs w:val="24"/>
              </w:rPr>
            </w:pPr>
            <w:r>
              <w:rPr>
                <w:sz w:val="24"/>
                <w:szCs w:val="24"/>
                <w:position w:val="17"/>
              </w:rPr>
              <w:t>废极片，废电芯由**公司综合利用处置；废粉料，废铝箔、铝壳，废铜</w:t>
            </w:r>
          </w:p>
          <w:p>
            <w:pPr>
              <w:pStyle w:val="TableText"/>
              <w:ind w:left="151"/>
              <w:spacing w:line="219" w:lineRule="auto"/>
              <w:rPr>
                <w:sz w:val="24"/>
                <w:szCs w:val="24"/>
              </w:rPr>
            </w:pPr>
            <w:r>
              <w:rPr>
                <w:sz w:val="24"/>
                <w:szCs w:val="24"/>
              </w:rPr>
              <w:t>箔，废隔膜废包装袋，废浆料，废手套，废阳极废渣(含阳极污泥)、阴极</w:t>
            </w:r>
          </w:p>
          <w:p>
            <w:pPr>
              <w:pStyle w:val="TableText"/>
              <w:ind w:left="131"/>
              <w:spacing w:before="175" w:line="219" w:lineRule="auto"/>
              <w:rPr>
                <w:sz w:val="24"/>
                <w:szCs w:val="24"/>
              </w:rPr>
            </w:pPr>
            <w:r>
              <w:rPr>
                <w:sz w:val="24"/>
                <w:szCs w:val="24"/>
              </w:rPr>
              <w:t>污泥、综合污泥等由**公司回收处置；NMP废液委托**公司。</w:t>
            </w:r>
          </w:p>
          <w:p>
            <w:pPr>
              <w:pStyle w:val="TableText"/>
              <w:ind w:left="611"/>
              <w:spacing w:before="185" w:line="457" w:lineRule="exact"/>
              <w:rPr>
                <w:sz w:val="24"/>
                <w:szCs w:val="24"/>
              </w:rPr>
            </w:pPr>
            <w:r>
              <w:rPr>
                <w:sz w:val="24"/>
                <w:szCs w:val="24"/>
                <w:position w:val="16"/>
              </w:rPr>
              <w:t>一期工程——时代一汽动力电池项目(年产10GWh)在废料仓设置一般</w:t>
            </w:r>
          </w:p>
          <w:p>
            <w:pPr>
              <w:pStyle w:val="TableText"/>
              <w:ind w:left="141"/>
              <w:spacing w:line="216" w:lineRule="auto"/>
              <w:rPr>
                <w:sz w:val="24"/>
                <w:szCs w:val="24"/>
              </w:rPr>
            </w:pPr>
            <w:r>
              <w:rPr>
                <w:sz w:val="24"/>
                <w:szCs w:val="24"/>
                <w:spacing w:val="3"/>
              </w:rPr>
              <w:t>工业固体废物临时堆场，面积842m²,高度4.4m,设计最大存储能力1300</w:t>
            </w:r>
            <w:r>
              <w:rPr>
                <w:sz w:val="24"/>
                <w:szCs w:val="24"/>
                <w:spacing w:val="2"/>
              </w:rPr>
              <w:t>t。</w:t>
            </w:r>
          </w:p>
          <w:p>
            <w:pPr>
              <w:pStyle w:val="TableText"/>
              <w:ind w:left="591"/>
              <w:spacing w:before="193" w:line="220" w:lineRule="auto"/>
              <w:rPr>
                <w:sz w:val="24"/>
                <w:szCs w:val="24"/>
              </w:rPr>
            </w:pPr>
            <w:r>
              <w:rPr>
                <w:sz w:val="24"/>
                <w:szCs w:val="24"/>
                <w:spacing w:val="2"/>
              </w:rPr>
              <w:t>2)危险废物</w:t>
            </w:r>
          </w:p>
          <w:p>
            <w:pPr>
              <w:pStyle w:val="TableText"/>
              <w:ind w:left="611"/>
              <w:spacing w:before="182" w:line="219" w:lineRule="auto"/>
              <w:rPr>
                <w:sz w:val="24"/>
                <w:szCs w:val="24"/>
              </w:rPr>
            </w:pPr>
            <w:r>
              <w:rPr>
                <w:sz w:val="24"/>
                <w:szCs w:val="24"/>
              </w:rPr>
              <w:t>一期工程——时代一汽动力电池项目(年产10GWh)危险废物包含废机</w:t>
            </w:r>
          </w:p>
          <w:p>
            <w:pPr>
              <w:pStyle w:val="TableText"/>
              <w:ind w:left="141"/>
              <w:spacing w:before="185" w:line="219" w:lineRule="auto"/>
              <w:rPr>
                <w:sz w:val="24"/>
                <w:szCs w:val="24"/>
              </w:rPr>
            </w:pPr>
            <w:r>
              <w:rPr>
                <w:sz w:val="24"/>
                <w:szCs w:val="24"/>
              </w:rPr>
              <w:t>油，废酸，废胶水，废UV灯管，废有机溶剂、废胶桶、废活性炭、焚烧烟</w:t>
            </w:r>
          </w:p>
          <w:p>
            <w:pPr>
              <w:pStyle w:val="TableText"/>
              <w:ind w:left="151" w:right="127"/>
              <w:spacing w:before="177" w:line="364" w:lineRule="auto"/>
              <w:rPr>
                <w:sz w:val="24"/>
                <w:szCs w:val="24"/>
              </w:rPr>
            </w:pPr>
            <w:r>
              <w:rPr>
                <w:sz w:val="24"/>
                <w:szCs w:val="24"/>
              </w:rPr>
              <w:t>气处理沉淀物，焚烧炉残渣，沾染有机溶剂的废抹布，手套等，分类收集后</w:t>
            </w:r>
            <w:r>
              <w:rPr>
                <w:sz w:val="24"/>
                <w:szCs w:val="24"/>
                <w:spacing w:val="16"/>
              </w:rPr>
              <w:t xml:space="preserve"> </w:t>
            </w:r>
            <w:r>
              <w:rPr>
                <w:sz w:val="24"/>
                <w:szCs w:val="24"/>
              </w:rPr>
              <w:t>暂存在危险废物暂存间，其中废有机溶剂、废胶桶委托**公司处置；废活性</w:t>
            </w:r>
            <w:r>
              <w:rPr>
                <w:sz w:val="24"/>
                <w:szCs w:val="24"/>
                <w:spacing w:val="8"/>
              </w:rPr>
              <w:t xml:space="preserve"> </w:t>
            </w:r>
            <w:r>
              <w:rPr>
                <w:sz w:val="24"/>
                <w:szCs w:val="24"/>
              </w:rPr>
              <w:t>炭、废机油，废活性炭，废酸，废胶水，废UV灯管，焚烧烟气处理沉淀</w:t>
            </w:r>
            <w:r>
              <w:rPr>
                <w:sz w:val="24"/>
                <w:szCs w:val="24"/>
                <w:spacing w:val="-1"/>
              </w:rPr>
              <w:t>物，</w:t>
            </w:r>
          </w:p>
          <w:p>
            <w:pPr>
              <w:pStyle w:val="TableText"/>
              <w:ind w:left="151"/>
              <w:spacing w:line="218" w:lineRule="auto"/>
              <w:rPr>
                <w:sz w:val="24"/>
                <w:szCs w:val="24"/>
              </w:rPr>
            </w:pPr>
            <w:r>
              <w:rPr>
                <w:sz w:val="24"/>
                <w:szCs w:val="24"/>
                <w:spacing w:val="-1"/>
              </w:rPr>
              <w:t>焚烧炉残渣委托**公司处置。</w:t>
            </w:r>
          </w:p>
        </w:tc>
      </w:tr>
    </w:tbl>
    <w:p>
      <w:pPr>
        <w:rPr>
          <w:rFonts w:ascii="Arial"/>
          <w:sz w:val="21"/>
        </w:rPr>
      </w:pPr>
      <w:r/>
    </w:p>
    <w:p>
      <w:pPr>
        <w:sectPr>
          <w:footerReference w:type="default" r:id="rId39"/>
          <w:pgSz w:w="11900" w:h="16840"/>
          <w:pgMar w:top="1124" w:right="1415" w:bottom="1005" w:left="1564" w:header="0" w:footer="856" w:gutter="0"/>
        </w:sectPr>
        <w:rPr>
          <w:rFonts w:ascii="Arial" w:hAnsi="Arial" w:eastAsia="Arial" w:cs="Arial"/>
          <w:sz w:val="21"/>
          <w:szCs w:val="21"/>
        </w:rPr>
      </w:pPr>
    </w:p>
    <w:tbl>
      <w:tblPr>
        <w:tblStyle w:val="TableNormal"/>
        <w:tblW w:w="88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74"/>
        <w:gridCol w:w="8206"/>
      </w:tblGrid>
      <w:tr>
        <w:trPr>
          <w:trHeight w:val="11200" w:hRule="atLeast"/>
        </w:trPr>
        <w:tc>
          <w:tcPr>
            <w:tcW w:w="674" w:type="dxa"/>
            <w:vAlign w:val="top"/>
          </w:tcPr>
          <w:p>
            <w:pPr>
              <w:rPr>
                <w:rFonts w:ascii="Arial"/>
                <w:sz w:val="21"/>
              </w:rPr>
            </w:pPr>
            <w:r/>
          </w:p>
        </w:tc>
        <w:tc>
          <w:tcPr>
            <w:tcW w:w="8206" w:type="dxa"/>
            <w:vAlign w:val="top"/>
          </w:tcPr>
          <w:p>
            <w:pPr>
              <w:pStyle w:val="TableText"/>
              <w:ind w:left="601"/>
              <w:spacing w:before="53" w:line="219" w:lineRule="auto"/>
              <w:rPr>
                <w:sz w:val="24"/>
                <w:szCs w:val="24"/>
              </w:rPr>
            </w:pPr>
            <w:r>
              <w:rPr>
                <w:sz w:val="24"/>
                <w:szCs w:val="24"/>
              </w:rPr>
              <w:t>沾染有机溶剂的废抹布，手套未分类收集，与生活垃圾一并处理。</w:t>
            </w:r>
          </w:p>
          <w:p>
            <w:pPr>
              <w:pStyle w:val="TableText"/>
              <w:ind w:left="601"/>
              <w:spacing w:before="176" w:line="466" w:lineRule="exact"/>
              <w:rPr>
                <w:sz w:val="24"/>
                <w:szCs w:val="24"/>
              </w:rPr>
            </w:pPr>
            <w:r>
              <w:rPr>
                <w:sz w:val="24"/>
                <w:szCs w:val="24"/>
                <w:spacing w:val="1"/>
                <w:position w:val="17"/>
              </w:rPr>
              <w:t>一期工程——时代一汽动力电池项目(年产10</w:t>
            </w:r>
            <w:r>
              <w:rPr>
                <w:sz w:val="24"/>
                <w:szCs w:val="24"/>
                <w:position w:val="17"/>
              </w:rPr>
              <w:t>GWh</w:t>
            </w:r>
            <w:r>
              <w:rPr>
                <w:sz w:val="24"/>
                <w:szCs w:val="24"/>
                <w:spacing w:val="1"/>
                <w:position w:val="17"/>
              </w:rPr>
              <w:t>)</w:t>
            </w:r>
            <w:r>
              <w:rPr>
                <w:sz w:val="24"/>
                <w:szCs w:val="24"/>
                <w:position w:val="17"/>
              </w:rPr>
              <w:t>的危险废物暂存间</w:t>
            </w:r>
          </w:p>
          <w:p>
            <w:pPr>
              <w:pStyle w:val="TableText"/>
              <w:ind w:left="131"/>
              <w:spacing w:line="216" w:lineRule="auto"/>
              <w:rPr>
                <w:sz w:val="24"/>
                <w:szCs w:val="24"/>
              </w:rPr>
            </w:pPr>
            <w:r>
              <w:rPr>
                <w:sz w:val="24"/>
                <w:szCs w:val="24"/>
                <w:spacing w:val="3"/>
              </w:rPr>
              <w:t>位于电解液仓(X13)1层，面积140m²,高度5.1m,设计最大存储能</w:t>
            </w:r>
            <w:r>
              <w:rPr>
                <w:sz w:val="24"/>
                <w:szCs w:val="24"/>
                <w:spacing w:val="2"/>
              </w:rPr>
              <w:t>力80t。</w:t>
            </w:r>
          </w:p>
          <w:p>
            <w:pPr>
              <w:pStyle w:val="TableText"/>
              <w:ind w:left="131"/>
              <w:spacing w:before="178" w:line="480" w:lineRule="exact"/>
              <w:rPr>
                <w:sz w:val="24"/>
                <w:szCs w:val="24"/>
              </w:rPr>
            </w:pPr>
            <w:r>
              <w:rPr>
                <w:sz w:val="24"/>
                <w:szCs w:val="24"/>
                <w:spacing w:val="4"/>
                <w:position w:val="18"/>
              </w:rPr>
              <w:t>危废暂存间设置分区，分类存储危险废物，其中废有机溶剂28</w:t>
            </w:r>
            <w:r>
              <w:rPr>
                <w:sz w:val="24"/>
                <w:szCs w:val="24"/>
                <w:spacing w:val="3"/>
                <w:position w:val="18"/>
              </w:rPr>
              <w:t>.5m²,废胶桶</w:t>
            </w:r>
          </w:p>
          <w:p>
            <w:pPr>
              <w:pStyle w:val="TableText"/>
              <w:ind w:left="101"/>
              <w:spacing w:before="1" w:line="216" w:lineRule="auto"/>
              <w:rPr>
                <w:sz w:val="24"/>
                <w:szCs w:val="24"/>
              </w:rPr>
            </w:pPr>
            <w:r>
              <w:rPr>
                <w:sz w:val="24"/>
                <w:szCs w:val="24"/>
                <w:spacing w:val="13"/>
              </w:rPr>
              <w:t>28.5m²,废有机树脂36m²,其他废物21</w:t>
            </w:r>
            <w:r>
              <w:rPr>
                <w:sz w:val="24"/>
                <w:szCs w:val="24"/>
                <w:spacing w:val="12"/>
              </w:rPr>
              <w:t>.7m²。</w:t>
            </w:r>
          </w:p>
          <w:p>
            <w:pPr>
              <w:pStyle w:val="TableText"/>
              <w:ind w:left="571"/>
              <w:spacing w:before="183" w:line="220" w:lineRule="auto"/>
              <w:rPr>
                <w:sz w:val="24"/>
                <w:szCs w:val="24"/>
              </w:rPr>
            </w:pPr>
            <w:r>
              <w:rPr>
                <w:sz w:val="24"/>
                <w:szCs w:val="24"/>
                <w:spacing w:val="1"/>
              </w:rPr>
              <w:t>3)生活垃圾</w:t>
            </w:r>
          </w:p>
          <w:p>
            <w:pPr>
              <w:pStyle w:val="TableText"/>
              <w:ind w:left="611"/>
              <w:spacing w:before="203" w:line="219" w:lineRule="auto"/>
              <w:rPr>
                <w:sz w:val="24"/>
                <w:szCs w:val="24"/>
              </w:rPr>
            </w:pPr>
            <w:r>
              <w:rPr>
                <w:sz w:val="24"/>
                <w:szCs w:val="24"/>
              </w:rPr>
              <w:t>生活垃圾由环卫部门统一清运处理。</w:t>
            </w:r>
          </w:p>
          <w:p>
            <w:pPr>
              <w:pStyle w:val="TableText"/>
              <w:ind w:left="611"/>
              <w:spacing w:before="165" w:line="480" w:lineRule="exact"/>
              <w:rPr>
                <w:sz w:val="24"/>
                <w:szCs w:val="24"/>
              </w:rPr>
            </w:pPr>
            <w:r>
              <w:rPr>
                <w:sz w:val="24"/>
                <w:szCs w:val="24"/>
                <w:position w:val="18"/>
              </w:rPr>
              <w:t>一期工程——时代一汽动力电池项目(年产10GWh)固体废物产生及处</w:t>
            </w:r>
          </w:p>
          <w:p>
            <w:pPr>
              <w:pStyle w:val="TableText"/>
              <w:ind w:left="131"/>
              <w:spacing w:before="1" w:line="219" w:lineRule="auto"/>
              <w:rPr>
                <w:sz w:val="24"/>
                <w:szCs w:val="24"/>
              </w:rPr>
            </w:pPr>
            <w:r>
              <w:rPr>
                <w:sz w:val="24"/>
                <w:szCs w:val="24"/>
                <w:spacing w:val="1"/>
              </w:rPr>
              <w:t>置见表2.8-5。</w:t>
            </w:r>
          </w:p>
        </w:tc>
      </w:tr>
    </w:tbl>
    <w:p>
      <w:pPr>
        <w:rPr>
          <w:rFonts w:ascii="Arial"/>
          <w:sz w:val="21"/>
        </w:rPr>
      </w:pPr>
      <w:r/>
    </w:p>
    <w:p>
      <w:pPr>
        <w:sectPr>
          <w:footerReference w:type="default" r:id="rId40"/>
          <w:pgSz w:w="11900" w:h="16840"/>
          <w:pgMar w:top="1124" w:right="1425" w:bottom="1005" w:left="1584" w:header="0" w:footer="856" w:gutter="0"/>
        </w:sectPr>
        <w:rPr>
          <w:rFonts w:ascii="Arial" w:hAnsi="Arial" w:eastAsia="Arial" w:cs="Arial"/>
          <w:sz w:val="21"/>
          <w:szCs w:val="21"/>
        </w:rPr>
      </w:pPr>
    </w:p>
    <w:p>
      <w:pPr>
        <w:pStyle w:val="BodyText"/>
        <w:ind w:left="2428"/>
        <w:spacing w:before="134" w:line="212" w:lineRule="auto"/>
        <w:rPr>
          <w:sz w:val="24"/>
          <w:szCs w:val="24"/>
        </w:rPr>
      </w:pPr>
      <w:r>
        <w:rPr>
          <w:sz w:val="24"/>
          <w:szCs w:val="24"/>
          <w:b/>
          <w:bCs/>
        </w:rPr>
        <w:t>表2.8-5</w:t>
      </w:r>
      <w:r>
        <w:rPr>
          <w:sz w:val="24"/>
          <w:szCs w:val="24"/>
          <w:spacing w:val="116"/>
        </w:rPr>
        <w:t xml:space="preserve"> </w:t>
      </w:r>
      <w:r>
        <w:rPr>
          <w:sz w:val="24"/>
          <w:szCs w:val="24"/>
          <w:b/>
          <w:bCs/>
        </w:rPr>
        <w:t>一期工程——时代一汽动力电池项目(年产10</w:t>
      </w:r>
      <w:r>
        <w:rPr>
          <w:rFonts w:ascii="Times New Roman" w:hAnsi="Times New Roman" w:eastAsia="Times New Roman" w:cs="Times New Roman"/>
          <w:sz w:val="24"/>
          <w:szCs w:val="24"/>
          <w:b/>
          <w:bCs/>
        </w:rPr>
        <w:t>GWh)   </w:t>
      </w:r>
      <w:r>
        <w:rPr>
          <w:sz w:val="24"/>
          <w:szCs w:val="24"/>
          <w:b/>
          <w:bCs/>
        </w:rPr>
        <w:t>固体废物产生及处置情况</w:t>
      </w:r>
    </w:p>
    <w:p>
      <w:pPr>
        <w:spacing w:line="173" w:lineRule="exact"/>
        <w:rPr/>
      </w:pPr>
      <w:r/>
    </w:p>
    <w:tbl>
      <w:tblPr>
        <w:tblStyle w:val="TableNormal"/>
        <w:tblW w:w="141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25"/>
        <w:gridCol w:w="2378"/>
        <w:gridCol w:w="849"/>
        <w:gridCol w:w="1649"/>
        <w:gridCol w:w="1329"/>
        <w:gridCol w:w="1279"/>
        <w:gridCol w:w="2418"/>
        <w:gridCol w:w="1529"/>
        <w:gridCol w:w="1884"/>
      </w:tblGrid>
      <w:tr>
        <w:trPr>
          <w:trHeight w:val="265" w:hRule="atLeast"/>
        </w:trPr>
        <w:tc>
          <w:tcPr>
            <w:tcW w:w="825" w:type="dxa"/>
            <w:vAlign w:val="top"/>
            <w:vMerge w:val="restart"/>
            <w:tcBorders>
              <w:bottom w:val="nil"/>
            </w:tcBorders>
          </w:tcPr>
          <w:p>
            <w:pPr>
              <w:pStyle w:val="TableText"/>
              <w:ind w:left="205"/>
              <w:spacing w:before="193" w:line="219" w:lineRule="auto"/>
              <w:rPr>
                <w:sz w:val="20"/>
                <w:szCs w:val="20"/>
              </w:rPr>
            </w:pPr>
            <w:r>
              <w:rPr>
                <w:sz w:val="20"/>
                <w:szCs w:val="20"/>
                <w:spacing w:val="8"/>
              </w:rPr>
              <w:t>类别</w:t>
            </w:r>
          </w:p>
        </w:tc>
        <w:tc>
          <w:tcPr>
            <w:tcW w:w="2378" w:type="dxa"/>
            <w:vAlign w:val="top"/>
            <w:vMerge w:val="restart"/>
            <w:tcBorders>
              <w:bottom w:val="nil"/>
            </w:tcBorders>
          </w:tcPr>
          <w:p>
            <w:pPr>
              <w:pStyle w:val="TableText"/>
              <w:ind w:left="680"/>
              <w:spacing w:before="193" w:line="220" w:lineRule="auto"/>
              <w:rPr>
                <w:sz w:val="20"/>
                <w:szCs w:val="20"/>
              </w:rPr>
            </w:pPr>
            <w:r>
              <w:rPr>
                <w:sz w:val="20"/>
                <w:szCs w:val="20"/>
                <w:spacing w:val="-2"/>
              </w:rPr>
              <w:t>污染物名称</w:t>
            </w:r>
          </w:p>
        </w:tc>
        <w:tc>
          <w:tcPr>
            <w:tcW w:w="849" w:type="dxa"/>
            <w:vAlign w:val="top"/>
            <w:vMerge w:val="restart"/>
            <w:tcBorders>
              <w:bottom w:val="nil"/>
            </w:tcBorders>
          </w:tcPr>
          <w:p>
            <w:pPr>
              <w:pStyle w:val="TableText"/>
              <w:ind w:left="212"/>
              <w:spacing w:before="196" w:line="221" w:lineRule="auto"/>
              <w:rPr>
                <w:sz w:val="20"/>
                <w:szCs w:val="20"/>
              </w:rPr>
            </w:pPr>
            <w:r>
              <w:rPr>
                <w:sz w:val="20"/>
                <w:szCs w:val="20"/>
                <w:spacing w:val="5"/>
              </w:rPr>
              <w:t>形态</w:t>
            </w:r>
          </w:p>
        </w:tc>
        <w:tc>
          <w:tcPr>
            <w:tcW w:w="1649" w:type="dxa"/>
            <w:vAlign w:val="top"/>
            <w:vMerge w:val="restart"/>
            <w:tcBorders>
              <w:bottom w:val="nil"/>
            </w:tcBorders>
          </w:tcPr>
          <w:p>
            <w:pPr>
              <w:pStyle w:val="TableText"/>
              <w:ind w:left="213"/>
              <w:spacing w:before="193" w:line="220" w:lineRule="auto"/>
              <w:rPr>
                <w:sz w:val="20"/>
                <w:szCs w:val="20"/>
              </w:rPr>
            </w:pPr>
            <w:r>
              <w:rPr>
                <w:sz w:val="20"/>
                <w:szCs w:val="20"/>
                <w:spacing w:val="-2"/>
              </w:rPr>
              <w:t>主要有害成分</w:t>
            </w:r>
          </w:p>
        </w:tc>
        <w:tc>
          <w:tcPr>
            <w:tcW w:w="1329" w:type="dxa"/>
            <w:vAlign w:val="top"/>
            <w:vMerge w:val="restart"/>
            <w:tcBorders>
              <w:bottom w:val="nil"/>
            </w:tcBorders>
          </w:tcPr>
          <w:p>
            <w:pPr>
              <w:pStyle w:val="TableText"/>
              <w:ind w:left="104"/>
              <w:spacing w:before="193" w:line="219" w:lineRule="auto"/>
              <w:rPr>
                <w:sz w:val="20"/>
                <w:szCs w:val="20"/>
              </w:rPr>
            </w:pPr>
            <w:r>
              <w:rPr>
                <w:sz w:val="20"/>
                <w:szCs w:val="20"/>
                <w:spacing w:val="5"/>
              </w:rPr>
              <w:t>产生量(t/a)</w:t>
            </w:r>
          </w:p>
        </w:tc>
        <w:tc>
          <w:tcPr>
            <w:tcW w:w="5226" w:type="dxa"/>
            <w:vAlign w:val="top"/>
            <w:gridSpan w:val="3"/>
          </w:tcPr>
          <w:p>
            <w:pPr>
              <w:pStyle w:val="TableText"/>
              <w:ind w:left="2215"/>
              <w:spacing w:before="32" w:line="205" w:lineRule="auto"/>
              <w:rPr>
                <w:sz w:val="20"/>
                <w:szCs w:val="20"/>
              </w:rPr>
            </w:pPr>
            <w:r>
              <w:rPr>
                <w:sz w:val="20"/>
                <w:szCs w:val="20"/>
                <w:spacing w:val="-2"/>
              </w:rPr>
              <w:t>种类判断</w:t>
            </w:r>
          </w:p>
        </w:tc>
        <w:tc>
          <w:tcPr>
            <w:tcW w:w="1884" w:type="dxa"/>
            <w:vAlign w:val="top"/>
            <w:vMerge w:val="restart"/>
            <w:tcBorders>
              <w:bottom w:val="nil"/>
            </w:tcBorders>
          </w:tcPr>
          <w:p>
            <w:pPr>
              <w:pStyle w:val="TableText"/>
              <w:ind w:left="539"/>
              <w:spacing w:before="193" w:line="220" w:lineRule="auto"/>
              <w:rPr>
                <w:sz w:val="20"/>
                <w:szCs w:val="20"/>
              </w:rPr>
            </w:pPr>
            <w:r>
              <w:rPr>
                <w:sz w:val="20"/>
                <w:szCs w:val="20"/>
                <w:spacing w:val="2"/>
              </w:rPr>
              <w:t>处置措施</w:t>
            </w:r>
          </w:p>
        </w:tc>
      </w:tr>
      <w:tr>
        <w:trPr>
          <w:trHeight w:val="299" w:hRule="atLeast"/>
        </w:trPr>
        <w:tc>
          <w:tcPr>
            <w:tcW w:w="825" w:type="dxa"/>
            <w:vAlign w:val="top"/>
            <w:vMerge w:val="continue"/>
            <w:tcBorders>
              <w:top w:val="nil"/>
            </w:tcBorders>
          </w:tcPr>
          <w:p>
            <w:pPr>
              <w:rPr>
                <w:rFonts w:ascii="Arial"/>
                <w:sz w:val="21"/>
              </w:rPr>
            </w:pPr>
            <w:r/>
          </w:p>
        </w:tc>
        <w:tc>
          <w:tcPr>
            <w:tcW w:w="2378" w:type="dxa"/>
            <w:vAlign w:val="top"/>
            <w:vMerge w:val="continue"/>
            <w:tcBorders>
              <w:top w:val="nil"/>
            </w:tcBorders>
          </w:tcPr>
          <w:p>
            <w:pPr>
              <w:rPr>
                <w:rFonts w:ascii="Arial"/>
                <w:sz w:val="21"/>
              </w:rPr>
            </w:pPr>
            <w:r/>
          </w:p>
        </w:tc>
        <w:tc>
          <w:tcPr>
            <w:tcW w:w="849" w:type="dxa"/>
            <w:vAlign w:val="top"/>
            <w:vMerge w:val="continue"/>
            <w:tcBorders>
              <w:top w:val="nil"/>
            </w:tcBorders>
          </w:tcPr>
          <w:p>
            <w:pPr>
              <w:rPr>
                <w:rFonts w:ascii="Arial"/>
                <w:sz w:val="21"/>
              </w:rPr>
            </w:pPr>
            <w:r/>
          </w:p>
        </w:tc>
        <w:tc>
          <w:tcPr>
            <w:tcW w:w="1649" w:type="dxa"/>
            <w:vAlign w:val="top"/>
            <w:vMerge w:val="continue"/>
            <w:tcBorders>
              <w:top w:val="nil"/>
            </w:tcBorders>
          </w:tcPr>
          <w:p>
            <w:pPr>
              <w:rPr>
                <w:rFonts w:ascii="Arial"/>
                <w:sz w:val="21"/>
              </w:rPr>
            </w:pPr>
            <w:r/>
          </w:p>
        </w:tc>
        <w:tc>
          <w:tcPr>
            <w:tcW w:w="1329" w:type="dxa"/>
            <w:vAlign w:val="top"/>
            <w:vMerge w:val="continue"/>
            <w:tcBorders>
              <w:top w:val="nil"/>
            </w:tcBorders>
          </w:tcPr>
          <w:p>
            <w:pPr>
              <w:rPr>
                <w:rFonts w:ascii="Arial"/>
                <w:sz w:val="21"/>
              </w:rPr>
            </w:pPr>
            <w:r/>
          </w:p>
        </w:tc>
        <w:tc>
          <w:tcPr>
            <w:tcW w:w="1279" w:type="dxa"/>
            <w:vAlign w:val="top"/>
          </w:tcPr>
          <w:p>
            <w:pPr>
              <w:pStyle w:val="TableText"/>
              <w:ind w:left="235"/>
              <w:spacing w:before="48" w:line="219" w:lineRule="auto"/>
              <w:rPr>
                <w:sz w:val="20"/>
                <w:szCs w:val="20"/>
              </w:rPr>
            </w:pPr>
            <w:r>
              <w:rPr>
                <w:sz w:val="20"/>
                <w:szCs w:val="20"/>
                <w:spacing w:val="-2"/>
              </w:rPr>
              <w:t>危险特性</w:t>
            </w:r>
          </w:p>
        </w:tc>
        <w:tc>
          <w:tcPr>
            <w:tcW w:w="2418" w:type="dxa"/>
            <w:vAlign w:val="top"/>
          </w:tcPr>
          <w:p>
            <w:pPr>
              <w:pStyle w:val="TableText"/>
              <w:ind w:left="806"/>
              <w:spacing w:before="48" w:line="219" w:lineRule="auto"/>
              <w:rPr>
                <w:sz w:val="20"/>
                <w:szCs w:val="20"/>
              </w:rPr>
            </w:pPr>
            <w:r>
              <w:rPr>
                <w:sz w:val="20"/>
                <w:szCs w:val="20"/>
                <w:spacing w:val="4"/>
              </w:rPr>
              <w:t>废物类别</w:t>
            </w:r>
          </w:p>
        </w:tc>
        <w:tc>
          <w:tcPr>
            <w:tcW w:w="1529" w:type="dxa"/>
            <w:vAlign w:val="top"/>
          </w:tcPr>
          <w:p>
            <w:pPr>
              <w:pStyle w:val="TableText"/>
              <w:ind w:left="358"/>
              <w:spacing w:before="48" w:line="219" w:lineRule="auto"/>
              <w:rPr>
                <w:sz w:val="20"/>
                <w:szCs w:val="20"/>
              </w:rPr>
            </w:pPr>
            <w:r>
              <w:rPr>
                <w:sz w:val="20"/>
                <w:szCs w:val="20"/>
                <w:spacing w:val="-2"/>
              </w:rPr>
              <w:t>废物代码</w:t>
            </w:r>
          </w:p>
        </w:tc>
        <w:tc>
          <w:tcPr>
            <w:tcW w:w="1884" w:type="dxa"/>
            <w:vAlign w:val="top"/>
            <w:vMerge w:val="continue"/>
            <w:tcBorders>
              <w:top w:val="nil"/>
            </w:tcBorders>
          </w:tcPr>
          <w:p>
            <w:pPr>
              <w:rPr>
                <w:rFonts w:ascii="Arial"/>
                <w:sz w:val="21"/>
              </w:rPr>
            </w:pPr>
            <w:r/>
          </w:p>
        </w:tc>
      </w:tr>
      <w:tr>
        <w:trPr>
          <w:trHeight w:val="479" w:hRule="atLeast"/>
        </w:trPr>
        <w:tc>
          <w:tcPr>
            <w:tcW w:w="825"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205"/>
              <w:spacing w:before="65" w:line="231" w:lineRule="auto"/>
              <w:rPr>
                <w:sz w:val="20"/>
                <w:szCs w:val="20"/>
              </w:rPr>
            </w:pPr>
            <w:r>
              <w:rPr>
                <w:sz w:val="20"/>
                <w:szCs w:val="20"/>
                <w:spacing w:val="-3"/>
              </w:rPr>
              <w:t>危险</w:t>
            </w:r>
          </w:p>
          <w:p>
            <w:pPr>
              <w:pStyle w:val="TableText"/>
              <w:ind w:left="205"/>
              <w:spacing w:line="220" w:lineRule="auto"/>
              <w:rPr>
                <w:sz w:val="20"/>
                <w:szCs w:val="20"/>
              </w:rPr>
            </w:pPr>
            <w:r>
              <w:rPr>
                <w:sz w:val="20"/>
                <w:szCs w:val="20"/>
                <w:spacing w:val="-2"/>
              </w:rPr>
              <w:t>废物</w:t>
            </w:r>
          </w:p>
        </w:tc>
        <w:tc>
          <w:tcPr>
            <w:tcW w:w="2378" w:type="dxa"/>
            <w:vAlign w:val="top"/>
          </w:tcPr>
          <w:p>
            <w:pPr>
              <w:pStyle w:val="TableText"/>
              <w:ind w:left="680"/>
              <w:spacing w:before="137" w:line="219" w:lineRule="auto"/>
              <w:rPr>
                <w:sz w:val="20"/>
                <w:szCs w:val="20"/>
              </w:rPr>
            </w:pPr>
            <w:r>
              <w:rPr>
                <w:sz w:val="20"/>
                <w:szCs w:val="20"/>
                <w:spacing w:val="-2"/>
              </w:rPr>
              <w:t>废有机溶剂</w:t>
            </w:r>
          </w:p>
        </w:tc>
        <w:tc>
          <w:tcPr>
            <w:tcW w:w="849" w:type="dxa"/>
            <w:vAlign w:val="top"/>
          </w:tcPr>
          <w:p>
            <w:pPr>
              <w:pStyle w:val="TableText"/>
              <w:ind w:left="212"/>
              <w:spacing w:before="139" w:line="220" w:lineRule="auto"/>
              <w:rPr>
                <w:sz w:val="20"/>
                <w:szCs w:val="20"/>
              </w:rPr>
            </w:pPr>
            <w:r>
              <w:rPr>
                <w:sz w:val="20"/>
                <w:szCs w:val="20"/>
                <w:spacing w:val="-3"/>
              </w:rPr>
              <w:t>液体</w:t>
            </w:r>
          </w:p>
        </w:tc>
        <w:tc>
          <w:tcPr>
            <w:tcW w:w="1649" w:type="dxa"/>
            <w:vAlign w:val="top"/>
          </w:tcPr>
          <w:p>
            <w:pPr>
              <w:pStyle w:val="TableText"/>
              <w:ind w:left="313"/>
              <w:spacing w:before="139" w:line="220" w:lineRule="auto"/>
              <w:rPr>
                <w:sz w:val="20"/>
                <w:szCs w:val="20"/>
              </w:rPr>
            </w:pPr>
            <w:r>
              <w:rPr>
                <w:sz w:val="20"/>
                <w:szCs w:val="20"/>
                <w:spacing w:val="2"/>
              </w:rPr>
              <w:t>碳酸二甲酯</w:t>
            </w:r>
          </w:p>
        </w:tc>
        <w:tc>
          <w:tcPr>
            <w:tcW w:w="1329" w:type="dxa"/>
            <w:vAlign w:val="top"/>
          </w:tcPr>
          <w:p>
            <w:pPr>
              <w:pStyle w:val="TableText"/>
              <w:ind w:left="504"/>
              <w:spacing w:before="189" w:line="184" w:lineRule="auto"/>
              <w:rPr>
                <w:sz w:val="20"/>
                <w:szCs w:val="20"/>
              </w:rPr>
            </w:pPr>
            <w:r>
              <w:rPr>
                <w:sz w:val="20"/>
                <w:szCs w:val="20"/>
                <w:spacing w:val="-3"/>
              </w:rPr>
              <w:t>210</w:t>
            </w:r>
          </w:p>
        </w:tc>
        <w:tc>
          <w:tcPr>
            <w:tcW w:w="1279" w:type="dxa"/>
            <w:vAlign w:val="top"/>
          </w:tcPr>
          <w:p>
            <w:pPr>
              <w:pStyle w:val="TableText"/>
              <w:ind w:left="385"/>
              <w:spacing w:before="168" w:line="182" w:lineRule="auto"/>
              <w:rPr>
                <w:sz w:val="20"/>
                <w:szCs w:val="20"/>
              </w:rPr>
            </w:pPr>
            <w:r>
              <w:rPr>
                <w:sz w:val="20"/>
                <w:szCs w:val="20"/>
                <w:spacing w:val="-2"/>
              </w:rPr>
              <w:t>T,I,R</w:t>
            </w:r>
          </w:p>
        </w:tc>
        <w:tc>
          <w:tcPr>
            <w:tcW w:w="2418" w:type="dxa"/>
            <w:vAlign w:val="top"/>
          </w:tcPr>
          <w:p>
            <w:pPr>
              <w:pStyle w:val="TableText"/>
              <w:ind w:left="506"/>
              <w:spacing w:before="137" w:line="219" w:lineRule="auto"/>
              <w:rPr>
                <w:sz w:val="20"/>
                <w:szCs w:val="20"/>
              </w:rPr>
            </w:pPr>
            <w:r>
              <w:rPr>
                <w:sz w:val="20"/>
                <w:szCs w:val="20"/>
                <w:spacing w:val="-1"/>
              </w:rPr>
              <w:t>HW06废有机溶剂</w:t>
            </w:r>
          </w:p>
        </w:tc>
        <w:tc>
          <w:tcPr>
            <w:tcW w:w="1529" w:type="dxa"/>
            <w:vAlign w:val="top"/>
          </w:tcPr>
          <w:p>
            <w:pPr>
              <w:pStyle w:val="TableText"/>
              <w:ind w:left="258"/>
              <w:spacing w:before="90" w:line="183" w:lineRule="auto"/>
              <w:rPr>
                <w:sz w:val="20"/>
                <w:szCs w:val="20"/>
              </w:rPr>
            </w:pPr>
            <w:r>
              <w:rPr>
                <w:sz w:val="20"/>
                <w:szCs w:val="20"/>
                <w:spacing w:val="-1"/>
              </w:rPr>
              <w:t>900-404-06</w:t>
            </w:r>
          </w:p>
          <w:p>
            <w:pPr>
              <w:pStyle w:val="TableText"/>
              <w:ind w:left="258"/>
              <w:spacing w:before="11" w:line="168" w:lineRule="exact"/>
              <w:rPr>
                <w:sz w:val="20"/>
                <w:szCs w:val="20"/>
              </w:rPr>
            </w:pPr>
            <w:r>
              <w:rPr>
                <w:sz w:val="20"/>
                <w:szCs w:val="20"/>
                <w:spacing w:val="-1"/>
                <w:position w:val="-2"/>
              </w:rPr>
              <w:t>900-402-06</w:t>
            </w:r>
          </w:p>
        </w:tc>
        <w:tc>
          <w:tcPr>
            <w:tcW w:w="1884" w:type="dxa"/>
            <w:vAlign w:val="top"/>
            <w:vMerge w:val="restart"/>
            <w:tcBorders>
              <w:bottom w:val="nil"/>
            </w:tcBorders>
          </w:tcPr>
          <w:p>
            <w:pPr>
              <w:pStyle w:val="TableText"/>
              <w:ind w:left="239"/>
              <w:spacing w:before="40" w:line="221" w:lineRule="auto"/>
              <w:rPr>
                <w:sz w:val="20"/>
                <w:szCs w:val="20"/>
              </w:rPr>
            </w:pPr>
            <w:r>
              <w:rPr>
                <w:sz w:val="20"/>
                <w:szCs w:val="20"/>
                <w:spacing w:val="-1"/>
              </w:rPr>
              <w:t>委托**公司处置</w:t>
            </w:r>
          </w:p>
        </w:tc>
      </w:tr>
      <w:tr>
        <w:trPr>
          <w:trHeight w:val="270" w:hRule="atLeast"/>
        </w:trPr>
        <w:tc>
          <w:tcPr>
            <w:tcW w:w="825" w:type="dxa"/>
            <w:vAlign w:val="top"/>
            <w:vMerge w:val="continue"/>
            <w:tcBorders>
              <w:top w:val="nil"/>
              <w:bottom w:val="nil"/>
            </w:tcBorders>
          </w:tcPr>
          <w:p>
            <w:pPr>
              <w:rPr>
                <w:rFonts w:ascii="Arial"/>
                <w:sz w:val="21"/>
              </w:rPr>
            </w:pPr>
            <w:r/>
          </w:p>
        </w:tc>
        <w:tc>
          <w:tcPr>
            <w:tcW w:w="2378" w:type="dxa"/>
            <w:vAlign w:val="top"/>
          </w:tcPr>
          <w:p>
            <w:pPr>
              <w:pStyle w:val="TableText"/>
              <w:ind w:left="880"/>
              <w:spacing w:before="40" w:line="203" w:lineRule="auto"/>
              <w:rPr>
                <w:sz w:val="20"/>
                <w:szCs w:val="20"/>
              </w:rPr>
            </w:pPr>
            <w:r>
              <w:rPr>
                <w:sz w:val="20"/>
                <w:szCs w:val="20"/>
                <w:spacing w:val="4"/>
              </w:rPr>
              <w:t>废胶桶</w:t>
            </w:r>
          </w:p>
        </w:tc>
        <w:tc>
          <w:tcPr>
            <w:tcW w:w="849" w:type="dxa"/>
            <w:vAlign w:val="top"/>
          </w:tcPr>
          <w:p>
            <w:pPr>
              <w:pStyle w:val="TableText"/>
              <w:ind w:left="212"/>
              <w:spacing w:before="41" w:line="202" w:lineRule="auto"/>
              <w:rPr>
                <w:sz w:val="20"/>
                <w:szCs w:val="20"/>
              </w:rPr>
            </w:pPr>
            <w:r>
              <w:rPr>
                <w:sz w:val="20"/>
                <w:szCs w:val="20"/>
                <w:spacing w:val="4"/>
              </w:rPr>
              <w:t>固体</w:t>
            </w:r>
          </w:p>
        </w:tc>
        <w:tc>
          <w:tcPr>
            <w:tcW w:w="1649" w:type="dxa"/>
            <w:vAlign w:val="top"/>
          </w:tcPr>
          <w:p>
            <w:pPr>
              <w:pStyle w:val="TableText"/>
              <w:ind w:left="413"/>
              <w:spacing w:before="40" w:line="203" w:lineRule="auto"/>
              <w:rPr>
                <w:sz w:val="20"/>
                <w:szCs w:val="20"/>
              </w:rPr>
            </w:pPr>
            <w:r>
              <w:rPr>
                <w:sz w:val="20"/>
                <w:szCs w:val="20"/>
                <w:spacing w:val="3"/>
              </w:rPr>
              <w:t>丙烯酸酯</w:t>
            </w:r>
          </w:p>
        </w:tc>
        <w:tc>
          <w:tcPr>
            <w:tcW w:w="1329" w:type="dxa"/>
            <w:vAlign w:val="top"/>
          </w:tcPr>
          <w:p>
            <w:pPr>
              <w:pStyle w:val="TableText"/>
              <w:ind w:left="554"/>
              <w:spacing w:before="91" w:line="168" w:lineRule="exact"/>
              <w:rPr>
                <w:sz w:val="20"/>
                <w:szCs w:val="20"/>
              </w:rPr>
            </w:pPr>
            <w:r>
              <w:rPr>
                <w:sz w:val="20"/>
                <w:szCs w:val="20"/>
                <w:spacing w:val="-3"/>
                <w:position w:val="-2"/>
              </w:rPr>
              <w:t>22</w:t>
            </w:r>
          </w:p>
        </w:tc>
        <w:tc>
          <w:tcPr>
            <w:tcW w:w="1279" w:type="dxa"/>
            <w:vAlign w:val="top"/>
          </w:tcPr>
          <w:p>
            <w:pPr>
              <w:pStyle w:val="TableText"/>
              <w:ind w:left="435"/>
              <w:spacing w:before="45" w:line="198" w:lineRule="auto"/>
              <w:rPr>
                <w:sz w:val="20"/>
                <w:szCs w:val="20"/>
              </w:rPr>
            </w:pPr>
            <w:r>
              <w:rPr>
                <w:sz w:val="20"/>
                <w:szCs w:val="20"/>
                <w:spacing w:val="-2"/>
              </w:rPr>
              <w:t>T/In</w:t>
            </w:r>
          </w:p>
        </w:tc>
        <w:tc>
          <w:tcPr>
            <w:tcW w:w="2418" w:type="dxa"/>
            <w:vAlign w:val="top"/>
          </w:tcPr>
          <w:p>
            <w:pPr>
              <w:pStyle w:val="TableText"/>
              <w:ind w:left="606"/>
              <w:spacing w:before="41" w:line="202" w:lineRule="auto"/>
              <w:rPr>
                <w:sz w:val="20"/>
                <w:szCs w:val="20"/>
              </w:rPr>
            </w:pPr>
            <w:r>
              <w:rPr>
                <w:sz w:val="20"/>
                <w:szCs w:val="20"/>
                <w:spacing w:val="-1"/>
              </w:rPr>
              <w:t>HW49其他废物</w:t>
            </w:r>
          </w:p>
        </w:tc>
        <w:tc>
          <w:tcPr>
            <w:tcW w:w="1529" w:type="dxa"/>
            <w:vAlign w:val="top"/>
          </w:tcPr>
          <w:p>
            <w:pPr>
              <w:pStyle w:val="TableText"/>
              <w:ind w:left="258"/>
              <w:spacing w:before="91" w:line="168" w:lineRule="exact"/>
              <w:rPr>
                <w:sz w:val="20"/>
                <w:szCs w:val="20"/>
              </w:rPr>
            </w:pPr>
            <w:r>
              <w:rPr>
                <w:sz w:val="20"/>
                <w:szCs w:val="20"/>
                <w:spacing w:val="-1"/>
                <w:position w:val="-2"/>
              </w:rPr>
              <w:t>900-041-49</w:t>
            </w:r>
          </w:p>
        </w:tc>
        <w:tc>
          <w:tcPr>
            <w:tcW w:w="1884" w:type="dxa"/>
            <w:vAlign w:val="top"/>
            <w:vMerge w:val="continue"/>
            <w:tcBorders>
              <w:top w:val="nil"/>
            </w:tcBorders>
          </w:tcPr>
          <w:p>
            <w:pPr>
              <w:rPr>
                <w:rFonts w:ascii="Arial"/>
                <w:sz w:val="21"/>
              </w:rPr>
            </w:pPr>
            <w:r/>
          </w:p>
        </w:tc>
      </w:tr>
      <w:tr>
        <w:trPr>
          <w:trHeight w:val="299" w:hRule="atLeast"/>
        </w:trPr>
        <w:tc>
          <w:tcPr>
            <w:tcW w:w="825" w:type="dxa"/>
            <w:vAlign w:val="top"/>
            <w:vMerge w:val="continue"/>
            <w:tcBorders>
              <w:top w:val="nil"/>
              <w:bottom w:val="nil"/>
            </w:tcBorders>
          </w:tcPr>
          <w:p>
            <w:pPr>
              <w:rPr>
                <w:rFonts w:ascii="Arial"/>
                <w:sz w:val="21"/>
              </w:rPr>
            </w:pPr>
            <w:r/>
          </w:p>
        </w:tc>
        <w:tc>
          <w:tcPr>
            <w:tcW w:w="2378" w:type="dxa"/>
            <w:vAlign w:val="top"/>
          </w:tcPr>
          <w:p>
            <w:pPr>
              <w:pStyle w:val="TableText"/>
              <w:ind w:left="780"/>
              <w:spacing w:before="50" w:line="220" w:lineRule="auto"/>
              <w:rPr>
                <w:sz w:val="20"/>
                <w:szCs w:val="20"/>
              </w:rPr>
            </w:pPr>
            <w:r>
              <w:rPr>
                <w:sz w:val="20"/>
                <w:szCs w:val="20"/>
                <w:spacing w:val="-2"/>
              </w:rPr>
              <w:t>废活性炭</w:t>
            </w:r>
          </w:p>
        </w:tc>
        <w:tc>
          <w:tcPr>
            <w:tcW w:w="849" w:type="dxa"/>
            <w:vAlign w:val="top"/>
          </w:tcPr>
          <w:p>
            <w:pPr>
              <w:pStyle w:val="TableText"/>
              <w:ind w:left="212"/>
              <w:spacing w:before="50" w:line="220" w:lineRule="auto"/>
              <w:rPr>
                <w:sz w:val="20"/>
                <w:szCs w:val="20"/>
              </w:rPr>
            </w:pPr>
            <w:r>
              <w:rPr>
                <w:sz w:val="20"/>
                <w:szCs w:val="20"/>
                <w:spacing w:val="4"/>
              </w:rPr>
              <w:t>固体</w:t>
            </w:r>
          </w:p>
        </w:tc>
        <w:tc>
          <w:tcPr>
            <w:tcW w:w="1649" w:type="dxa"/>
            <w:vAlign w:val="top"/>
          </w:tcPr>
          <w:p>
            <w:pPr>
              <w:pStyle w:val="TableText"/>
              <w:ind w:left="313"/>
              <w:spacing w:before="50" w:line="220" w:lineRule="auto"/>
              <w:rPr>
                <w:sz w:val="20"/>
                <w:szCs w:val="20"/>
              </w:rPr>
            </w:pPr>
            <w:r>
              <w:rPr>
                <w:sz w:val="20"/>
                <w:szCs w:val="20"/>
                <w:spacing w:val="2"/>
              </w:rPr>
              <w:t>碳酸二甲酯</w:t>
            </w:r>
          </w:p>
        </w:tc>
        <w:tc>
          <w:tcPr>
            <w:tcW w:w="1329" w:type="dxa"/>
            <w:vAlign w:val="top"/>
          </w:tcPr>
          <w:p>
            <w:pPr>
              <w:pStyle w:val="TableText"/>
              <w:ind w:left="604"/>
              <w:spacing w:before="101" w:line="173" w:lineRule="auto"/>
              <w:rPr>
                <w:sz w:val="20"/>
                <w:szCs w:val="20"/>
              </w:rPr>
            </w:pPr>
            <w:r>
              <w:rPr>
                <w:sz w:val="20"/>
                <w:szCs w:val="20"/>
              </w:rPr>
              <w:t>3</w:t>
            </w:r>
          </w:p>
        </w:tc>
        <w:tc>
          <w:tcPr>
            <w:tcW w:w="1279" w:type="dxa"/>
            <w:vAlign w:val="top"/>
          </w:tcPr>
          <w:p>
            <w:pPr>
              <w:pStyle w:val="TableText"/>
              <w:ind w:left="585"/>
              <w:spacing w:before="103" w:line="171" w:lineRule="auto"/>
              <w:rPr>
                <w:sz w:val="20"/>
                <w:szCs w:val="20"/>
              </w:rPr>
            </w:pPr>
            <w:r>
              <w:rPr>
                <w:sz w:val="20"/>
                <w:szCs w:val="20"/>
              </w:rPr>
              <w:t>T</w:t>
            </w:r>
          </w:p>
        </w:tc>
        <w:tc>
          <w:tcPr>
            <w:tcW w:w="2418" w:type="dxa"/>
            <w:vAlign w:val="top"/>
          </w:tcPr>
          <w:p>
            <w:pPr>
              <w:pStyle w:val="TableText"/>
              <w:ind w:left="606"/>
              <w:spacing w:before="50" w:line="220" w:lineRule="auto"/>
              <w:rPr>
                <w:sz w:val="20"/>
                <w:szCs w:val="20"/>
              </w:rPr>
            </w:pPr>
            <w:r>
              <w:rPr>
                <w:sz w:val="20"/>
                <w:szCs w:val="20"/>
                <w:spacing w:val="-1"/>
              </w:rPr>
              <w:t>HW49其他废物</w:t>
            </w:r>
          </w:p>
        </w:tc>
        <w:tc>
          <w:tcPr>
            <w:tcW w:w="1529" w:type="dxa"/>
            <w:vAlign w:val="top"/>
          </w:tcPr>
          <w:p>
            <w:pPr>
              <w:pStyle w:val="TableText"/>
              <w:ind w:left="258"/>
              <w:spacing w:before="101" w:line="173" w:lineRule="auto"/>
              <w:rPr>
                <w:sz w:val="20"/>
                <w:szCs w:val="20"/>
              </w:rPr>
            </w:pPr>
            <w:r>
              <w:rPr>
                <w:sz w:val="20"/>
                <w:szCs w:val="20"/>
                <w:spacing w:val="-1"/>
              </w:rPr>
              <w:t>900-039-49</w:t>
            </w:r>
          </w:p>
        </w:tc>
        <w:tc>
          <w:tcPr>
            <w:tcW w:w="1884" w:type="dxa"/>
            <w:vAlign w:val="top"/>
            <w:vMerge w:val="restart"/>
            <w:tcBorders>
              <w:bottom w:val="nil"/>
            </w:tcBorders>
          </w:tcPr>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239"/>
              <w:spacing w:before="65" w:line="221" w:lineRule="auto"/>
              <w:rPr>
                <w:sz w:val="20"/>
                <w:szCs w:val="20"/>
              </w:rPr>
            </w:pPr>
            <w:r>
              <w:rPr>
                <w:sz w:val="20"/>
                <w:szCs w:val="20"/>
                <w:spacing w:val="-1"/>
              </w:rPr>
              <w:t>委托**公司处置</w:t>
            </w:r>
          </w:p>
        </w:tc>
      </w:tr>
      <w:tr>
        <w:trPr>
          <w:trHeight w:val="280" w:hRule="atLeast"/>
        </w:trPr>
        <w:tc>
          <w:tcPr>
            <w:tcW w:w="825" w:type="dxa"/>
            <w:vAlign w:val="top"/>
            <w:vMerge w:val="continue"/>
            <w:tcBorders>
              <w:top w:val="nil"/>
              <w:bottom w:val="nil"/>
            </w:tcBorders>
          </w:tcPr>
          <w:p>
            <w:pPr>
              <w:rPr>
                <w:rFonts w:ascii="Arial"/>
                <w:sz w:val="21"/>
              </w:rPr>
            </w:pPr>
            <w:r/>
          </w:p>
        </w:tc>
        <w:tc>
          <w:tcPr>
            <w:tcW w:w="2378" w:type="dxa"/>
            <w:vAlign w:val="top"/>
          </w:tcPr>
          <w:p>
            <w:pPr>
              <w:pStyle w:val="TableText"/>
              <w:ind w:left="680"/>
              <w:spacing w:before="41" w:line="211" w:lineRule="auto"/>
              <w:rPr>
                <w:sz w:val="20"/>
                <w:szCs w:val="20"/>
              </w:rPr>
            </w:pPr>
            <w:r>
              <w:rPr>
                <w:sz w:val="20"/>
                <w:szCs w:val="20"/>
                <w:spacing w:val="-6"/>
              </w:rPr>
              <w:t>发</w:t>
            </w:r>
            <w:r>
              <w:rPr>
                <w:sz w:val="20"/>
                <w:szCs w:val="20"/>
                <w:spacing w:val="-39"/>
              </w:rPr>
              <w:t xml:space="preserve"> </w:t>
            </w:r>
            <w:r>
              <w:rPr>
                <w:sz w:val="20"/>
                <w:szCs w:val="20"/>
                <w:spacing w:val="-6"/>
              </w:rPr>
              <w:t>U</w:t>
            </w:r>
            <w:r>
              <w:rPr>
                <w:sz w:val="20"/>
                <w:szCs w:val="20"/>
                <w:spacing w:val="-41"/>
              </w:rPr>
              <w:t xml:space="preserve"> </w:t>
            </w:r>
            <w:r>
              <w:rPr>
                <w:sz w:val="20"/>
                <w:szCs w:val="20"/>
                <w:spacing w:val="-6"/>
              </w:rPr>
              <w:t>V</w:t>
            </w:r>
            <w:r>
              <w:rPr>
                <w:sz w:val="20"/>
                <w:szCs w:val="20"/>
                <w:spacing w:val="-36"/>
              </w:rPr>
              <w:t xml:space="preserve"> </w:t>
            </w:r>
            <w:r>
              <w:rPr>
                <w:sz w:val="20"/>
                <w:szCs w:val="20"/>
                <w:spacing w:val="-6"/>
              </w:rPr>
              <w:t>灯</w:t>
            </w:r>
            <w:r>
              <w:rPr>
                <w:sz w:val="20"/>
                <w:szCs w:val="20"/>
                <w:spacing w:val="-32"/>
              </w:rPr>
              <w:t xml:space="preserve"> </w:t>
            </w:r>
            <w:r>
              <w:rPr>
                <w:sz w:val="20"/>
                <w:szCs w:val="20"/>
                <w:spacing w:val="-6"/>
              </w:rPr>
              <w:t>管</w:t>
            </w:r>
          </w:p>
        </w:tc>
        <w:tc>
          <w:tcPr>
            <w:tcW w:w="849" w:type="dxa"/>
            <w:vAlign w:val="top"/>
          </w:tcPr>
          <w:p>
            <w:pPr>
              <w:pStyle w:val="TableText"/>
              <w:ind w:left="212"/>
              <w:spacing w:before="41" w:line="211" w:lineRule="auto"/>
              <w:rPr>
                <w:sz w:val="20"/>
                <w:szCs w:val="20"/>
              </w:rPr>
            </w:pPr>
            <w:r>
              <w:rPr>
                <w:sz w:val="20"/>
                <w:szCs w:val="20"/>
                <w:spacing w:val="4"/>
              </w:rPr>
              <w:t>固体</w:t>
            </w:r>
          </w:p>
        </w:tc>
        <w:tc>
          <w:tcPr>
            <w:tcW w:w="1649" w:type="dxa"/>
            <w:vAlign w:val="top"/>
          </w:tcPr>
          <w:p>
            <w:pPr>
              <w:pStyle w:val="TableText"/>
              <w:ind w:left="313"/>
              <w:spacing w:before="41" w:line="211" w:lineRule="auto"/>
              <w:rPr>
                <w:sz w:val="20"/>
                <w:szCs w:val="20"/>
              </w:rPr>
            </w:pPr>
            <w:r>
              <w:rPr>
                <w:sz w:val="20"/>
                <w:szCs w:val="20"/>
                <w:spacing w:val="2"/>
              </w:rPr>
              <w:t>碳酸二甲酯</w:t>
            </w:r>
          </w:p>
        </w:tc>
        <w:tc>
          <w:tcPr>
            <w:tcW w:w="1329" w:type="dxa"/>
            <w:vAlign w:val="top"/>
          </w:tcPr>
          <w:p>
            <w:pPr>
              <w:pStyle w:val="TableText"/>
              <w:ind w:left="454"/>
              <w:spacing w:before="92" w:line="164" w:lineRule="auto"/>
              <w:rPr>
                <w:sz w:val="20"/>
                <w:szCs w:val="20"/>
              </w:rPr>
            </w:pPr>
            <w:r>
              <w:rPr>
                <w:sz w:val="20"/>
                <w:szCs w:val="20"/>
                <w:spacing w:val="-2"/>
              </w:rPr>
              <w:t>0.24</w:t>
            </w:r>
          </w:p>
        </w:tc>
        <w:tc>
          <w:tcPr>
            <w:tcW w:w="1279" w:type="dxa"/>
            <w:vAlign w:val="top"/>
          </w:tcPr>
          <w:p>
            <w:pPr>
              <w:pStyle w:val="TableText"/>
              <w:ind w:left="585"/>
              <w:spacing w:before="94" w:line="162" w:lineRule="auto"/>
              <w:rPr>
                <w:sz w:val="20"/>
                <w:szCs w:val="20"/>
              </w:rPr>
            </w:pPr>
            <w:r>
              <w:rPr>
                <w:sz w:val="20"/>
                <w:szCs w:val="20"/>
              </w:rPr>
              <w:t>T</w:t>
            </w:r>
          </w:p>
        </w:tc>
        <w:tc>
          <w:tcPr>
            <w:tcW w:w="2418" w:type="dxa"/>
            <w:vAlign w:val="top"/>
          </w:tcPr>
          <w:p>
            <w:pPr>
              <w:pStyle w:val="TableText"/>
              <w:ind w:left="606"/>
              <w:spacing w:before="41" w:line="211" w:lineRule="auto"/>
              <w:rPr>
                <w:sz w:val="20"/>
                <w:szCs w:val="20"/>
              </w:rPr>
            </w:pPr>
            <w:r>
              <w:rPr>
                <w:sz w:val="20"/>
                <w:szCs w:val="20"/>
                <w:spacing w:val="-1"/>
              </w:rPr>
              <w:t>HW29含汞废物</w:t>
            </w:r>
          </w:p>
        </w:tc>
        <w:tc>
          <w:tcPr>
            <w:tcW w:w="1529" w:type="dxa"/>
            <w:vAlign w:val="top"/>
          </w:tcPr>
          <w:p>
            <w:pPr>
              <w:pStyle w:val="TableText"/>
              <w:ind w:left="258"/>
              <w:spacing w:before="92" w:line="164" w:lineRule="auto"/>
              <w:rPr>
                <w:sz w:val="20"/>
                <w:szCs w:val="20"/>
              </w:rPr>
            </w:pPr>
            <w:r>
              <w:rPr>
                <w:sz w:val="20"/>
                <w:szCs w:val="20"/>
                <w:spacing w:val="-1"/>
              </w:rPr>
              <w:t>900-023-29</w:t>
            </w:r>
          </w:p>
        </w:tc>
        <w:tc>
          <w:tcPr>
            <w:tcW w:w="1884" w:type="dxa"/>
            <w:vAlign w:val="top"/>
            <w:vMerge w:val="continue"/>
            <w:tcBorders>
              <w:top w:val="nil"/>
              <w:bottom w:val="nil"/>
            </w:tcBorders>
          </w:tcPr>
          <w:p>
            <w:pPr>
              <w:rPr>
                <w:rFonts w:ascii="Arial"/>
                <w:sz w:val="21"/>
              </w:rPr>
            </w:pPr>
            <w:r/>
          </w:p>
        </w:tc>
      </w:tr>
      <w:tr>
        <w:trPr>
          <w:trHeight w:val="270" w:hRule="atLeast"/>
        </w:trPr>
        <w:tc>
          <w:tcPr>
            <w:tcW w:w="825" w:type="dxa"/>
            <w:vAlign w:val="top"/>
            <w:vMerge w:val="continue"/>
            <w:tcBorders>
              <w:top w:val="nil"/>
              <w:bottom w:val="nil"/>
            </w:tcBorders>
          </w:tcPr>
          <w:p>
            <w:pPr>
              <w:rPr>
                <w:rFonts w:ascii="Arial"/>
                <w:sz w:val="21"/>
              </w:rPr>
            </w:pPr>
            <w:r/>
          </w:p>
        </w:tc>
        <w:tc>
          <w:tcPr>
            <w:tcW w:w="2378" w:type="dxa"/>
            <w:vAlign w:val="top"/>
          </w:tcPr>
          <w:p>
            <w:pPr>
              <w:pStyle w:val="TableText"/>
              <w:ind w:left="980"/>
              <w:spacing w:before="42" w:line="201" w:lineRule="auto"/>
              <w:rPr>
                <w:sz w:val="20"/>
                <w:szCs w:val="20"/>
              </w:rPr>
            </w:pPr>
            <w:r>
              <w:rPr>
                <w:sz w:val="20"/>
                <w:szCs w:val="20"/>
                <w:spacing w:val="-2"/>
              </w:rPr>
              <w:t>废酸</w:t>
            </w:r>
          </w:p>
        </w:tc>
        <w:tc>
          <w:tcPr>
            <w:tcW w:w="849" w:type="dxa"/>
            <w:vAlign w:val="top"/>
          </w:tcPr>
          <w:p>
            <w:pPr>
              <w:pStyle w:val="TableText"/>
              <w:ind w:left="212"/>
              <w:spacing w:before="42" w:line="201" w:lineRule="auto"/>
              <w:rPr>
                <w:sz w:val="20"/>
                <w:szCs w:val="20"/>
              </w:rPr>
            </w:pPr>
            <w:r>
              <w:rPr>
                <w:sz w:val="20"/>
                <w:szCs w:val="20"/>
                <w:spacing w:val="-3"/>
              </w:rPr>
              <w:t>液体</w:t>
            </w:r>
          </w:p>
        </w:tc>
        <w:tc>
          <w:tcPr>
            <w:tcW w:w="1649" w:type="dxa"/>
            <w:vAlign w:val="top"/>
          </w:tcPr>
          <w:p>
            <w:pPr>
              <w:pStyle w:val="TableText"/>
              <w:ind w:left="713"/>
              <w:spacing w:before="42" w:line="201" w:lineRule="auto"/>
              <w:rPr>
                <w:sz w:val="20"/>
                <w:szCs w:val="20"/>
              </w:rPr>
            </w:pPr>
            <w:r>
              <w:rPr>
                <w:sz w:val="20"/>
                <w:szCs w:val="20"/>
              </w:rPr>
              <w:t>酸</w:t>
            </w:r>
          </w:p>
        </w:tc>
        <w:tc>
          <w:tcPr>
            <w:tcW w:w="1329" w:type="dxa"/>
            <w:vAlign w:val="top"/>
          </w:tcPr>
          <w:p>
            <w:pPr>
              <w:pStyle w:val="TableText"/>
              <w:ind w:left="504"/>
              <w:spacing w:before="92" w:line="167" w:lineRule="exact"/>
              <w:rPr>
                <w:sz w:val="20"/>
                <w:szCs w:val="20"/>
              </w:rPr>
            </w:pPr>
            <w:r>
              <w:rPr>
                <w:sz w:val="20"/>
                <w:szCs w:val="20"/>
                <w:spacing w:val="-6"/>
                <w:position w:val="-2"/>
              </w:rPr>
              <w:t>1.6</w:t>
            </w:r>
          </w:p>
        </w:tc>
        <w:tc>
          <w:tcPr>
            <w:tcW w:w="1279" w:type="dxa"/>
            <w:vAlign w:val="top"/>
          </w:tcPr>
          <w:p>
            <w:pPr>
              <w:pStyle w:val="TableText"/>
              <w:ind w:left="485"/>
              <w:spacing w:before="69" w:line="176" w:lineRule="auto"/>
              <w:rPr>
                <w:sz w:val="20"/>
                <w:szCs w:val="20"/>
              </w:rPr>
            </w:pPr>
            <w:r>
              <w:rPr>
                <w:sz w:val="20"/>
                <w:szCs w:val="20"/>
                <w:spacing w:val="-3"/>
              </w:rPr>
              <w:t>C,T</w:t>
            </w:r>
          </w:p>
        </w:tc>
        <w:tc>
          <w:tcPr>
            <w:tcW w:w="2418" w:type="dxa"/>
            <w:vAlign w:val="top"/>
          </w:tcPr>
          <w:p>
            <w:pPr>
              <w:pStyle w:val="TableText"/>
              <w:ind w:left="706"/>
              <w:spacing w:before="42" w:line="201" w:lineRule="auto"/>
              <w:rPr>
                <w:sz w:val="20"/>
                <w:szCs w:val="20"/>
              </w:rPr>
            </w:pPr>
            <w:r>
              <w:rPr>
                <w:sz w:val="20"/>
                <w:szCs w:val="20"/>
              </w:rPr>
              <w:t>H</w:t>
            </w:r>
            <w:r>
              <w:rPr>
                <w:sz w:val="20"/>
                <w:szCs w:val="20"/>
                <w:spacing w:val="-57"/>
              </w:rPr>
              <w:t xml:space="preserve"> </w:t>
            </w:r>
            <w:r>
              <w:rPr>
                <w:sz w:val="20"/>
                <w:szCs w:val="20"/>
              </w:rPr>
              <w:t>W</w:t>
            </w:r>
            <w:r>
              <w:rPr>
                <w:sz w:val="20"/>
                <w:szCs w:val="20"/>
                <w:spacing w:val="41"/>
              </w:rPr>
              <w:t>34废酸</w:t>
            </w:r>
          </w:p>
        </w:tc>
        <w:tc>
          <w:tcPr>
            <w:tcW w:w="1529" w:type="dxa"/>
            <w:vAlign w:val="top"/>
          </w:tcPr>
          <w:p>
            <w:pPr>
              <w:pStyle w:val="TableText"/>
              <w:ind w:left="258"/>
              <w:spacing w:before="92" w:line="167" w:lineRule="exact"/>
              <w:rPr>
                <w:sz w:val="20"/>
                <w:szCs w:val="20"/>
              </w:rPr>
            </w:pPr>
            <w:r>
              <w:rPr>
                <w:sz w:val="20"/>
                <w:szCs w:val="20"/>
                <w:spacing w:val="-1"/>
                <w:position w:val="-2"/>
              </w:rPr>
              <w:t>900-349-34</w:t>
            </w:r>
          </w:p>
        </w:tc>
        <w:tc>
          <w:tcPr>
            <w:tcW w:w="1884" w:type="dxa"/>
            <w:vAlign w:val="top"/>
            <w:vMerge w:val="continue"/>
            <w:tcBorders>
              <w:top w:val="nil"/>
              <w:bottom w:val="nil"/>
            </w:tcBorders>
          </w:tcPr>
          <w:p>
            <w:pPr>
              <w:rPr>
                <w:rFonts w:ascii="Arial"/>
                <w:sz w:val="21"/>
              </w:rPr>
            </w:pPr>
            <w:r/>
          </w:p>
        </w:tc>
      </w:tr>
      <w:tr>
        <w:trPr>
          <w:trHeight w:val="300" w:hRule="atLeast"/>
        </w:trPr>
        <w:tc>
          <w:tcPr>
            <w:tcW w:w="825" w:type="dxa"/>
            <w:vAlign w:val="top"/>
            <w:vMerge w:val="continue"/>
            <w:tcBorders>
              <w:top w:val="nil"/>
              <w:bottom w:val="nil"/>
            </w:tcBorders>
          </w:tcPr>
          <w:p>
            <w:pPr>
              <w:rPr>
                <w:rFonts w:ascii="Arial"/>
                <w:sz w:val="21"/>
              </w:rPr>
            </w:pPr>
            <w:r/>
          </w:p>
        </w:tc>
        <w:tc>
          <w:tcPr>
            <w:tcW w:w="2378" w:type="dxa"/>
            <w:vAlign w:val="top"/>
          </w:tcPr>
          <w:p>
            <w:pPr>
              <w:pStyle w:val="TableText"/>
              <w:ind w:left="880"/>
              <w:spacing w:before="51" w:line="219" w:lineRule="auto"/>
              <w:rPr>
                <w:sz w:val="20"/>
                <w:szCs w:val="20"/>
              </w:rPr>
            </w:pPr>
            <w:r>
              <w:rPr>
                <w:sz w:val="20"/>
                <w:szCs w:val="20"/>
                <w:spacing w:val="-2"/>
              </w:rPr>
              <w:t>废胶水</w:t>
            </w:r>
          </w:p>
        </w:tc>
        <w:tc>
          <w:tcPr>
            <w:tcW w:w="849" w:type="dxa"/>
            <w:vAlign w:val="top"/>
          </w:tcPr>
          <w:p>
            <w:pPr>
              <w:pStyle w:val="TableText"/>
              <w:ind w:left="212"/>
              <w:spacing w:before="51" w:line="220" w:lineRule="auto"/>
              <w:rPr>
                <w:sz w:val="20"/>
                <w:szCs w:val="20"/>
              </w:rPr>
            </w:pPr>
            <w:r>
              <w:rPr>
                <w:sz w:val="20"/>
                <w:szCs w:val="20"/>
                <w:spacing w:val="4"/>
              </w:rPr>
              <w:t>固体</w:t>
            </w:r>
          </w:p>
        </w:tc>
        <w:tc>
          <w:tcPr>
            <w:tcW w:w="1649" w:type="dxa"/>
            <w:vAlign w:val="top"/>
          </w:tcPr>
          <w:p>
            <w:pPr>
              <w:pStyle w:val="TableText"/>
              <w:ind w:left="513"/>
              <w:spacing w:before="51" w:line="219" w:lineRule="auto"/>
              <w:rPr>
                <w:sz w:val="20"/>
                <w:szCs w:val="20"/>
              </w:rPr>
            </w:pPr>
            <w:r>
              <w:rPr>
                <w:sz w:val="20"/>
                <w:szCs w:val="20"/>
                <w:spacing w:val="3"/>
              </w:rPr>
              <w:t>结构胶</w:t>
            </w:r>
          </w:p>
        </w:tc>
        <w:tc>
          <w:tcPr>
            <w:tcW w:w="1329" w:type="dxa"/>
            <w:vAlign w:val="top"/>
          </w:tcPr>
          <w:p>
            <w:pPr>
              <w:pStyle w:val="TableText"/>
              <w:ind w:left="554"/>
              <w:spacing w:before="102" w:line="173" w:lineRule="auto"/>
              <w:rPr>
                <w:sz w:val="20"/>
                <w:szCs w:val="20"/>
              </w:rPr>
            </w:pPr>
            <w:r>
              <w:rPr>
                <w:sz w:val="20"/>
                <w:szCs w:val="20"/>
                <w:spacing w:val="-3"/>
              </w:rPr>
              <w:t>31</w:t>
            </w:r>
          </w:p>
        </w:tc>
        <w:tc>
          <w:tcPr>
            <w:tcW w:w="1279" w:type="dxa"/>
            <w:vAlign w:val="top"/>
          </w:tcPr>
          <w:p>
            <w:pPr>
              <w:pStyle w:val="TableText"/>
              <w:ind w:left="585"/>
              <w:spacing w:before="104" w:line="171" w:lineRule="auto"/>
              <w:rPr>
                <w:sz w:val="20"/>
                <w:szCs w:val="20"/>
              </w:rPr>
            </w:pPr>
            <w:r>
              <w:rPr>
                <w:sz w:val="20"/>
                <w:szCs w:val="20"/>
              </w:rPr>
              <w:t>T</w:t>
            </w:r>
          </w:p>
        </w:tc>
        <w:tc>
          <w:tcPr>
            <w:tcW w:w="2418" w:type="dxa"/>
            <w:vAlign w:val="top"/>
          </w:tcPr>
          <w:p>
            <w:pPr>
              <w:pStyle w:val="TableText"/>
              <w:ind w:left="306"/>
              <w:spacing w:before="50" w:line="219" w:lineRule="auto"/>
              <w:rPr>
                <w:sz w:val="20"/>
                <w:szCs w:val="20"/>
              </w:rPr>
            </w:pPr>
            <w:r>
              <w:rPr>
                <w:sz w:val="20"/>
                <w:szCs w:val="20"/>
                <w:spacing w:val="-1"/>
              </w:rPr>
              <w:t>HW13有机树脂类废物</w:t>
            </w:r>
          </w:p>
        </w:tc>
        <w:tc>
          <w:tcPr>
            <w:tcW w:w="1529" w:type="dxa"/>
            <w:vAlign w:val="top"/>
          </w:tcPr>
          <w:p>
            <w:pPr>
              <w:pStyle w:val="TableText"/>
              <w:ind w:left="258"/>
              <w:spacing w:before="102" w:line="173" w:lineRule="auto"/>
              <w:rPr>
                <w:sz w:val="20"/>
                <w:szCs w:val="20"/>
              </w:rPr>
            </w:pPr>
            <w:r>
              <w:rPr>
                <w:sz w:val="20"/>
                <w:szCs w:val="20"/>
                <w:spacing w:val="-1"/>
              </w:rPr>
              <w:t>900-014-13</w:t>
            </w:r>
          </w:p>
        </w:tc>
        <w:tc>
          <w:tcPr>
            <w:tcW w:w="1884" w:type="dxa"/>
            <w:vAlign w:val="top"/>
            <w:vMerge w:val="continue"/>
            <w:tcBorders>
              <w:top w:val="nil"/>
              <w:bottom w:val="nil"/>
            </w:tcBorders>
          </w:tcPr>
          <w:p>
            <w:pPr>
              <w:rPr>
                <w:rFonts w:ascii="Arial"/>
                <w:sz w:val="21"/>
              </w:rPr>
            </w:pPr>
            <w:r/>
          </w:p>
        </w:tc>
      </w:tr>
      <w:tr>
        <w:trPr>
          <w:trHeight w:val="280" w:hRule="atLeast"/>
        </w:trPr>
        <w:tc>
          <w:tcPr>
            <w:tcW w:w="825" w:type="dxa"/>
            <w:vAlign w:val="top"/>
            <w:vMerge w:val="continue"/>
            <w:tcBorders>
              <w:top w:val="nil"/>
              <w:bottom w:val="nil"/>
            </w:tcBorders>
          </w:tcPr>
          <w:p>
            <w:pPr>
              <w:rPr>
                <w:rFonts w:ascii="Arial"/>
                <w:sz w:val="21"/>
              </w:rPr>
            </w:pPr>
            <w:r/>
          </w:p>
        </w:tc>
        <w:tc>
          <w:tcPr>
            <w:tcW w:w="2378" w:type="dxa"/>
            <w:vAlign w:val="top"/>
          </w:tcPr>
          <w:p>
            <w:pPr>
              <w:pStyle w:val="TableText"/>
              <w:ind w:left="280"/>
              <w:spacing w:before="40" w:line="212" w:lineRule="auto"/>
              <w:rPr>
                <w:sz w:val="20"/>
                <w:szCs w:val="20"/>
              </w:rPr>
            </w:pPr>
            <w:r>
              <w:rPr>
                <w:sz w:val="20"/>
                <w:szCs w:val="20"/>
                <w:spacing w:val="-1"/>
              </w:rPr>
              <w:t>焚烧烟气处理沉淀物</w:t>
            </w:r>
          </w:p>
        </w:tc>
        <w:tc>
          <w:tcPr>
            <w:tcW w:w="849" w:type="dxa"/>
            <w:vAlign w:val="top"/>
          </w:tcPr>
          <w:p>
            <w:pPr>
              <w:pStyle w:val="TableText"/>
              <w:ind w:left="212"/>
              <w:spacing w:before="41" w:line="211" w:lineRule="auto"/>
              <w:rPr>
                <w:sz w:val="20"/>
                <w:szCs w:val="20"/>
              </w:rPr>
            </w:pPr>
            <w:r>
              <w:rPr>
                <w:sz w:val="20"/>
                <w:szCs w:val="20"/>
                <w:spacing w:val="4"/>
              </w:rPr>
              <w:t>固体</w:t>
            </w:r>
          </w:p>
        </w:tc>
        <w:tc>
          <w:tcPr>
            <w:tcW w:w="1649" w:type="dxa"/>
            <w:vAlign w:val="top"/>
          </w:tcPr>
          <w:p>
            <w:pPr>
              <w:pStyle w:val="TableText"/>
              <w:ind w:left="463"/>
              <w:spacing w:before="41" w:line="211" w:lineRule="auto"/>
              <w:rPr>
                <w:sz w:val="20"/>
                <w:szCs w:val="20"/>
              </w:rPr>
            </w:pPr>
            <w:r>
              <w:rPr>
                <w:sz w:val="20"/>
                <w:szCs w:val="20"/>
                <w:spacing w:val="-2"/>
              </w:rPr>
              <w:t>SBR橡胶</w:t>
            </w:r>
          </w:p>
        </w:tc>
        <w:tc>
          <w:tcPr>
            <w:tcW w:w="1329" w:type="dxa"/>
            <w:vAlign w:val="top"/>
          </w:tcPr>
          <w:p>
            <w:pPr>
              <w:pStyle w:val="TableText"/>
              <w:ind w:left="504"/>
              <w:spacing w:before="93" w:line="163" w:lineRule="auto"/>
              <w:rPr>
                <w:sz w:val="20"/>
                <w:szCs w:val="20"/>
              </w:rPr>
            </w:pPr>
            <w:r>
              <w:rPr>
                <w:sz w:val="20"/>
                <w:szCs w:val="20"/>
                <w:spacing w:val="-3"/>
              </w:rPr>
              <w:t>0.2</w:t>
            </w:r>
          </w:p>
        </w:tc>
        <w:tc>
          <w:tcPr>
            <w:tcW w:w="1279" w:type="dxa"/>
            <w:vAlign w:val="top"/>
          </w:tcPr>
          <w:p>
            <w:pPr>
              <w:pStyle w:val="TableText"/>
              <w:ind w:left="585"/>
              <w:spacing w:before="94" w:line="162" w:lineRule="auto"/>
              <w:rPr>
                <w:sz w:val="20"/>
                <w:szCs w:val="20"/>
              </w:rPr>
            </w:pPr>
            <w:r>
              <w:rPr>
                <w:sz w:val="20"/>
                <w:szCs w:val="20"/>
              </w:rPr>
              <w:t>T</w:t>
            </w:r>
          </w:p>
        </w:tc>
        <w:tc>
          <w:tcPr>
            <w:tcW w:w="2418" w:type="dxa"/>
            <w:vAlign w:val="top"/>
          </w:tcPr>
          <w:p>
            <w:pPr>
              <w:pStyle w:val="TableText"/>
              <w:ind w:left="406"/>
              <w:spacing w:before="40" w:line="212" w:lineRule="auto"/>
              <w:rPr>
                <w:sz w:val="20"/>
                <w:szCs w:val="20"/>
              </w:rPr>
            </w:pPr>
            <w:r>
              <w:rPr>
                <w:sz w:val="20"/>
                <w:szCs w:val="20"/>
                <w:spacing w:val="-1"/>
              </w:rPr>
              <w:t>HW18焚烧处理残渣</w:t>
            </w:r>
          </w:p>
        </w:tc>
        <w:tc>
          <w:tcPr>
            <w:tcW w:w="1529" w:type="dxa"/>
            <w:vAlign w:val="top"/>
          </w:tcPr>
          <w:p>
            <w:pPr>
              <w:pStyle w:val="TableText"/>
              <w:ind w:left="258"/>
              <w:spacing w:before="92" w:line="164" w:lineRule="auto"/>
              <w:rPr>
                <w:sz w:val="20"/>
                <w:szCs w:val="20"/>
              </w:rPr>
            </w:pPr>
            <w:r>
              <w:rPr>
                <w:sz w:val="20"/>
                <w:szCs w:val="20"/>
                <w:spacing w:val="-2"/>
              </w:rPr>
              <w:t>772-003-18</w:t>
            </w:r>
          </w:p>
        </w:tc>
        <w:tc>
          <w:tcPr>
            <w:tcW w:w="1884" w:type="dxa"/>
            <w:vAlign w:val="top"/>
            <w:vMerge w:val="continue"/>
            <w:tcBorders>
              <w:top w:val="nil"/>
              <w:bottom w:val="nil"/>
            </w:tcBorders>
          </w:tcPr>
          <w:p>
            <w:pPr>
              <w:rPr>
                <w:rFonts w:ascii="Arial"/>
                <w:sz w:val="21"/>
              </w:rPr>
            </w:pPr>
            <w:r/>
          </w:p>
        </w:tc>
      </w:tr>
      <w:tr>
        <w:trPr>
          <w:trHeight w:val="280" w:hRule="atLeast"/>
        </w:trPr>
        <w:tc>
          <w:tcPr>
            <w:tcW w:w="825" w:type="dxa"/>
            <w:vAlign w:val="top"/>
            <w:vMerge w:val="continue"/>
            <w:tcBorders>
              <w:top w:val="nil"/>
              <w:bottom w:val="nil"/>
            </w:tcBorders>
          </w:tcPr>
          <w:p>
            <w:pPr>
              <w:rPr>
                <w:rFonts w:ascii="Arial"/>
                <w:sz w:val="21"/>
              </w:rPr>
            </w:pPr>
            <w:r/>
          </w:p>
        </w:tc>
        <w:tc>
          <w:tcPr>
            <w:tcW w:w="2378" w:type="dxa"/>
            <w:vAlign w:val="top"/>
          </w:tcPr>
          <w:p>
            <w:pPr>
              <w:pStyle w:val="TableText"/>
              <w:ind w:left="680"/>
              <w:spacing w:before="40" w:line="212" w:lineRule="auto"/>
              <w:rPr>
                <w:sz w:val="20"/>
                <w:szCs w:val="20"/>
              </w:rPr>
            </w:pPr>
            <w:r>
              <w:rPr>
                <w:sz w:val="20"/>
                <w:szCs w:val="20"/>
                <w:spacing w:val="-2"/>
              </w:rPr>
              <w:t>焚烧炉残渣</w:t>
            </w:r>
          </w:p>
        </w:tc>
        <w:tc>
          <w:tcPr>
            <w:tcW w:w="849" w:type="dxa"/>
            <w:vAlign w:val="top"/>
          </w:tcPr>
          <w:p>
            <w:pPr>
              <w:pStyle w:val="TableText"/>
              <w:ind w:left="212"/>
              <w:spacing w:before="41" w:line="211" w:lineRule="auto"/>
              <w:rPr>
                <w:sz w:val="20"/>
                <w:szCs w:val="20"/>
              </w:rPr>
            </w:pPr>
            <w:r>
              <w:rPr>
                <w:sz w:val="20"/>
                <w:szCs w:val="20"/>
                <w:spacing w:val="4"/>
              </w:rPr>
              <w:t>固体</w:t>
            </w:r>
          </w:p>
        </w:tc>
        <w:tc>
          <w:tcPr>
            <w:tcW w:w="1649" w:type="dxa"/>
            <w:vAlign w:val="top"/>
          </w:tcPr>
          <w:p>
            <w:pPr>
              <w:pStyle w:val="TableText"/>
              <w:ind w:left="463"/>
              <w:spacing w:before="41" w:line="211" w:lineRule="auto"/>
              <w:rPr>
                <w:sz w:val="20"/>
                <w:szCs w:val="20"/>
              </w:rPr>
            </w:pPr>
            <w:r>
              <w:rPr>
                <w:sz w:val="20"/>
                <w:szCs w:val="20"/>
                <w:spacing w:val="-2"/>
              </w:rPr>
              <w:t>SBR橡胶</w:t>
            </w:r>
          </w:p>
        </w:tc>
        <w:tc>
          <w:tcPr>
            <w:tcW w:w="1329" w:type="dxa"/>
            <w:vAlign w:val="top"/>
          </w:tcPr>
          <w:p>
            <w:pPr>
              <w:pStyle w:val="TableText"/>
              <w:ind w:left="504"/>
              <w:spacing w:before="93" w:line="163" w:lineRule="auto"/>
              <w:rPr>
                <w:sz w:val="20"/>
                <w:szCs w:val="20"/>
              </w:rPr>
            </w:pPr>
            <w:r>
              <w:rPr>
                <w:sz w:val="20"/>
                <w:szCs w:val="20"/>
                <w:spacing w:val="-2"/>
              </w:rPr>
              <w:t>9.8</w:t>
            </w:r>
          </w:p>
        </w:tc>
        <w:tc>
          <w:tcPr>
            <w:tcW w:w="1279" w:type="dxa"/>
            <w:vAlign w:val="top"/>
          </w:tcPr>
          <w:p>
            <w:pPr>
              <w:pStyle w:val="TableText"/>
              <w:ind w:left="585"/>
              <w:spacing w:before="94" w:line="162" w:lineRule="auto"/>
              <w:rPr>
                <w:sz w:val="20"/>
                <w:szCs w:val="20"/>
              </w:rPr>
            </w:pPr>
            <w:r>
              <w:rPr>
                <w:sz w:val="20"/>
                <w:szCs w:val="20"/>
              </w:rPr>
              <w:t>T</w:t>
            </w:r>
          </w:p>
        </w:tc>
        <w:tc>
          <w:tcPr>
            <w:tcW w:w="2418" w:type="dxa"/>
            <w:vAlign w:val="top"/>
          </w:tcPr>
          <w:p>
            <w:pPr>
              <w:pStyle w:val="TableText"/>
              <w:ind w:left="406"/>
              <w:spacing w:before="40" w:line="212" w:lineRule="auto"/>
              <w:rPr>
                <w:sz w:val="20"/>
                <w:szCs w:val="20"/>
              </w:rPr>
            </w:pPr>
            <w:r>
              <w:rPr>
                <w:sz w:val="20"/>
                <w:szCs w:val="20"/>
                <w:spacing w:val="-1"/>
              </w:rPr>
              <w:t>HW18焚烧处理残渣</w:t>
            </w:r>
          </w:p>
        </w:tc>
        <w:tc>
          <w:tcPr>
            <w:tcW w:w="1529" w:type="dxa"/>
            <w:vAlign w:val="top"/>
          </w:tcPr>
          <w:p>
            <w:pPr>
              <w:pStyle w:val="TableText"/>
              <w:ind w:left="258"/>
              <w:spacing w:before="92" w:line="164" w:lineRule="auto"/>
              <w:rPr>
                <w:sz w:val="20"/>
                <w:szCs w:val="20"/>
              </w:rPr>
            </w:pPr>
            <w:r>
              <w:rPr>
                <w:sz w:val="20"/>
                <w:szCs w:val="20"/>
                <w:spacing w:val="-2"/>
              </w:rPr>
              <w:t>772-003-18</w:t>
            </w:r>
          </w:p>
        </w:tc>
        <w:tc>
          <w:tcPr>
            <w:tcW w:w="1884" w:type="dxa"/>
            <w:vAlign w:val="top"/>
            <w:vMerge w:val="continue"/>
            <w:tcBorders>
              <w:top w:val="nil"/>
              <w:bottom w:val="nil"/>
            </w:tcBorders>
          </w:tcPr>
          <w:p>
            <w:pPr>
              <w:rPr>
                <w:rFonts w:ascii="Arial"/>
                <w:sz w:val="21"/>
              </w:rPr>
            </w:pPr>
            <w:r/>
          </w:p>
        </w:tc>
      </w:tr>
      <w:tr>
        <w:trPr>
          <w:trHeight w:val="549" w:hRule="atLeast"/>
        </w:trPr>
        <w:tc>
          <w:tcPr>
            <w:tcW w:w="825" w:type="dxa"/>
            <w:vAlign w:val="top"/>
            <w:vMerge w:val="continue"/>
            <w:tcBorders>
              <w:top w:val="nil"/>
              <w:bottom w:val="nil"/>
            </w:tcBorders>
          </w:tcPr>
          <w:p>
            <w:pPr>
              <w:rPr>
                <w:rFonts w:ascii="Arial"/>
                <w:sz w:val="21"/>
              </w:rPr>
            </w:pPr>
            <w:r/>
          </w:p>
        </w:tc>
        <w:tc>
          <w:tcPr>
            <w:tcW w:w="2378" w:type="dxa"/>
            <w:vAlign w:val="top"/>
          </w:tcPr>
          <w:p>
            <w:pPr>
              <w:pStyle w:val="TableText"/>
              <w:ind w:left="880"/>
              <w:spacing w:before="180" w:line="219" w:lineRule="auto"/>
              <w:rPr>
                <w:sz w:val="20"/>
                <w:szCs w:val="20"/>
              </w:rPr>
            </w:pPr>
            <w:r>
              <w:rPr>
                <w:sz w:val="20"/>
                <w:szCs w:val="20"/>
                <w:spacing w:val="6"/>
              </w:rPr>
              <w:t>废机油</w:t>
            </w:r>
          </w:p>
        </w:tc>
        <w:tc>
          <w:tcPr>
            <w:tcW w:w="849" w:type="dxa"/>
            <w:vAlign w:val="top"/>
          </w:tcPr>
          <w:p>
            <w:pPr>
              <w:pStyle w:val="TableText"/>
              <w:ind w:left="212"/>
              <w:spacing w:before="181" w:line="220" w:lineRule="auto"/>
              <w:rPr>
                <w:sz w:val="20"/>
                <w:szCs w:val="20"/>
              </w:rPr>
            </w:pPr>
            <w:r>
              <w:rPr>
                <w:sz w:val="20"/>
                <w:szCs w:val="20"/>
                <w:spacing w:val="-3"/>
              </w:rPr>
              <w:t>液体</w:t>
            </w:r>
          </w:p>
        </w:tc>
        <w:tc>
          <w:tcPr>
            <w:tcW w:w="1649" w:type="dxa"/>
            <w:vAlign w:val="top"/>
          </w:tcPr>
          <w:p>
            <w:pPr>
              <w:pStyle w:val="TableText"/>
              <w:ind w:left="613"/>
              <w:spacing w:before="180" w:line="219" w:lineRule="auto"/>
              <w:rPr>
                <w:sz w:val="20"/>
                <w:szCs w:val="20"/>
              </w:rPr>
            </w:pPr>
            <w:r>
              <w:rPr>
                <w:sz w:val="20"/>
                <w:szCs w:val="20"/>
                <w:spacing w:val="10"/>
              </w:rPr>
              <w:t>机油</w:t>
            </w:r>
          </w:p>
        </w:tc>
        <w:tc>
          <w:tcPr>
            <w:tcW w:w="1329" w:type="dxa"/>
            <w:vAlign w:val="top"/>
          </w:tcPr>
          <w:p>
            <w:pPr>
              <w:pStyle w:val="TableText"/>
              <w:ind w:left="604"/>
              <w:spacing w:before="232" w:line="183" w:lineRule="auto"/>
              <w:rPr>
                <w:sz w:val="20"/>
                <w:szCs w:val="20"/>
              </w:rPr>
            </w:pPr>
            <w:r>
              <w:rPr>
                <w:sz w:val="20"/>
                <w:szCs w:val="20"/>
              </w:rPr>
              <w:t>8</w:t>
            </w:r>
          </w:p>
        </w:tc>
        <w:tc>
          <w:tcPr>
            <w:tcW w:w="1279" w:type="dxa"/>
            <w:vAlign w:val="top"/>
          </w:tcPr>
          <w:p>
            <w:pPr>
              <w:pStyle w:val="TableText"/>
              <w:ind w:left="585"/>
              <w:spacing w:before="233" w:line="182" w:lineRule="auto"/>
              <w:rPr>
                <w:sz w:val="20"/>
                <w:szCs w:val="20"/>
              </w:rPr>
            </w:pPr>
            <w:r>
              <w:rPr>
                <w:sz w:val="20"/>
                <w:szCs w:val="20"/>
              </w:rPr>
              <w:t>T</w:t>
            </w:r>
          </w:p>
        </w:tc>
        <w:tc>
          <w:tcPr>
            <w:tcW w:w="2418" w:type="dxa"/>
            <w:vAlign w:val="top"/>
          </w:tcPr>
          <w:p>
            <w:pPr>
              <w:pStyle w:val="TableText"/>
              <w:ind w:left="805" w:right="305" w:hanging="499"/>
              <w:spacing w:before="71" w:line="216" w:lineRule="auto"/>
              <w:rPr>
                <w:sz w:val="20"/>
                <w:szCs w:val="20"/>
              </w:rPr>
            </w:pPr>
            <w:r>
              <w:rPr>
                <w:sz w:val="20"/>
                <w:szCs w:val="20"/>
                <w:spacing w:val="-1"/>
              </w:rPr>
              <w:t>HW08废矿物油与含矿</w:t>
            </w:r>
            <w:r>
              <w:rPr>
                <w:sz w:val="20"/>
                <w:szCs w:val="20"/>
                <w:spacing w:val="6"/>
              </w:rPr>
              <w:t xml:space="preserve"> </w:t>
            </w:r>
            <w:r>
              <w:rPr>
                <w:sz w:val="20"/>
                <w:szCs w:val="20"/>
                <w:spacing w:val="-2"/>
              </w:rPr>
              <w:t>物油废物</w:t>
            </w:r>
          </w:p>
        </w:tc>
        <w:tc>
          <w:tcPr>
            <w:tcW w:w="1529" w:type="dxa"/>
            <w:vAlign w:val="top"/>
          </w:tcPr>
          <w:p>
            <w:pPr>
              <w:pStyle w:val="TableText"/>
              <w:ind w:left="258"/>
              <w:spacing w:before="232" w:line="183" w:lineRule="auto"/>
              <w:rPr>
                <w:sz w:val="20"/>
                <w:szCs w:val="20"/>
              </w:rPr>
            </w:pPr>
            <w:r>
              <w:rPr>
                <w:sz w:val="20"/>
                <w:szCs w:val="20"/>
                <w:spacing w:val="-1"/>
              </w:rPr>
              <w:t>900-249-08</w:t>
            </w:r>
          </w:p>
        </w:tc>
        <w:tc>
          <w:tcPr>
            <w:tcW w:w="1884" w:type="dxa"/>
            <w:vAlign w:val="top"/>
            <w:vMerge w:val="continue"/>
            <w:tcBorders>
              <w:top w:val="nil"/>
              <w:bottom w:val="nil"/>
            </w:tcBorders>
          </w:tcPr>
          <w:p>
            <w:pPr>
              <w:rPr>
                <w:rFonts w:ascii="Arial"/>
                <w:sz w:val="21"/>
              </w:rPr>
            </w:pPr>
            <w:r/>
          </w:p>
        </w:tc>
      </w:tr>
      <w:tr>
        <w:trPr>
          <w:trHeight w:val="549" w:hRule="atLeast"/>
        </w:trPr>
        <w:tc>
          <w:tcPr>
            <w:tcW w:w="825" w:type="dxa"/>
            <w:vAlign w:val="top"/>
            <w:vMerge w:val="continue"/>
            <w:tcBorders>
              <w:top w:val="nil"/>
            </w:tcBorders>
          </w:tcPr>
          <w:p>
            <w:pPr>
              <w:rPr>
                <w:rFonts w:ascii="Arial"/>
                <w:sz w:val="21"/>
              </w:rPr>
            </w:pPr>
            <w:r/>
          </w:p>
        </w:tc>
        <w:tc>
          <w:tcPr>
            <w:tcW w:w="2378" w:type="dxa"/>
            <w:vAlign w:val="top"/>
          </w:tcPr>
          <w:p>
            <w:pPr>
              <w:pStyle w:val="TableText"/>
              <w:ind w:left="779" w:right="279" w:hanging="499"/>
              <w:spacing w:before="40" w:line="230" w:lineRule="auto"/>
              <w:rPr>
                <w:sz w:val="20"/>
                <w:szCs w:val="20"/>
              </w:rPr>
            </w:pPr>
            <w:r>
              <w:rPr>
                <w:sz w:val="20"/>
                <w:szCs w:val="20"/>
              </w:rPr>
              <w:t>沾染有机溶剂的废抹</w:t>
            </w:r>
            <w:r>
              <w:rPr>
                <w:sz w:val="20"/>
                <w:szCs w:val="20"/>
                <w:spacing w:val="7"/>
              </w:rPr>
              <w:t xml:space="preserve"> </w:t>
            </w:r>
            <w:r>
              <w:rPr>
                <w:sz w:val="20"/>
                <w:szCs w:val="20"/>
                <w:spacing w:val="-2"/>
              </w:rPr>
              <w:t>布、手套</w:t>
            </w:r>
          </w:p>
        </w:tc>
        <w:tc>
          <w:tcPr>
            <w:tcW w:w="849" w:type="dxa"/>
            <w:vAlign w:val="top"/>
          </w:tcPr>
          <w:p>
            <w:pPr>
              <w:pStyle w:val="TableText"/>
              <w:ind w:left="212"/>
              <w:spacing w:before="182" w:line="220" w:lineRule="auto"/>
              <w:rPr>
                <w:sz w:val="20"/>
                <w:szCs w:val="20"/>
              </w:rPr>
            </w:pPr>
            <w:r>
              <w:rPr>
                <w:sz w:val="20"/>
                <w:szCs w:val="20"/>
                <w:spacing w:val="4"/>
              </w:rPr>
              <w:t>固体</w:t>
            </w:r>
          </w:p>
        </w:tc>
        <w:tc>
          <w:tcPr>
            <w:tcW w:w="1649" w:type="dxa"/>
            <w:vAlign w:val="top"/>
          </w:tcPr>
          <w:p>
            <w:pPr>
              <w:pStyle w:val="TableText"/>
              <w:ind w:left="413"/>
              <w:spacing w:before="181" w:line="219" w:lineRule="auto"/>
              <w:rPr>
                <w:sz w:val="20"/>
                <w:szCs w:val="20"/>
              </w:rPr>
            </w:pPr>
            <w:r>
              <w:rPr>
                <w:sz w:val="20"/>
                <w:szCs w:val="20"/>
                <w:spacing w:val="2"/>
              </w:rPr>
              <w:t>有机溶剂</w:t>
            </w:r>
          </w:p>
        </w:tc>
        <w:tc>
          <w:tcPr>
            <w:tcW w:w="1329" w:type="dxa"/>
            <w:vAlign w:val="top"/>
          </w:tcPr>
          <w:p>
            <w:pPr>
              <w:pStyle w:val="TableText"/>
              <w:ind w:left="504"/>
              <w:spacing w:before="233" w:line="183" w:lineRule="auto"/>
              <w:rPr>
                <w:sz w:val="20"/>
                <w:szCs w:val="20"/>
              </w:rPr>
            </w:pPr>
            <w:r>
              <w:rPr>
                <w:sz w:val="20"/>
                <w:szCs w:val="20"/>
                <w:spacing w:val="-3"/>
              </w:rPr>
              <w:t>0.4</w:t>
            </w:r>
          </w:p>
        </w:tc>
        <w:tc>
          <w:tcPr>
            <w:tcW w:w="1279" w:type="dxa"/>
            <w:vAlign w:val="top"/>
          </w:tcPr>
          <w:p>
            <w:pPr>
              <w:pStyle w:val="TableText"/>
              <w:ind w:left="435"/>
              <w:spacing w:before="188" w:line="224" w:lineRule="auto"/>
              <w:rPr>
                <w:sz w:val="20"/>
                <w:szCs w:val="20"/>
              </w:rPr>
            </w:pPr>
            <w:r>
              <w:rPr>
                <w:sz w:val="20"/>
                <w:szCs w:val="20"/>
                <w:spacing w:val="-2"/>
              </w:rPr>
              <w:t>T/In</w:t>
            </w:r>
          </w:p>
        </w:tc>
        <w:tc>
          <w:tcPr>
            <w:tcW w:w="2418" w:type="dxa"/>
            <w:vAlign w:val="top"/>
          </w:tcPr>
          <w:p>
            <w:pPr>
              <w:pStyle w:val="TableText"/>
              <w:ind w:left="606"/>
              <w:spacing w:before="182" w:line="220" w:lineRule="auto"/>
              <w:rPr>
                <w:sz w:val="20"/>
                <w:szCs w:val="20"/>
              </w:rPr>
            </w:pPr>
            <w:r>
              <w:rPr>
                <w:sz w:val="20"/>
                <w:szCs w:val="20"/>
                <w:spacing w:val="-1"/>
              </w:rPr>
              <w:t>HW49其他废物</w:t>
            </w:r>
          </w:p>
        </w:tc>
        <w:tc>
          <w:tcPr>
            <w:tcW w:w="1529" w:type="dxa"/>
            <w:vAlign w:val="top"/>
          </w:tcPr>
          <w:p>
            <w:pPr>
              <w:pStyle w:val="TableText"/>
              <w:ind w:left="258"/>
              <w:spacing w:before="232" w:line="184" w:lineRule="auto"/>
              <w:rPr>
                <w:sz w:val="20"/>
                <w:szCs w:val="20"/>
              </w:rPr>
            </w:pPr>
            <w:r>
              <w:rPr>
                <w:sz w:val="20"/>
                <w:szCs w:val="20"/>
                <w:spacing w:val="-1"/>
              </w:rPr>
              <w:t>900-041-49</w:t>
            </w:r>
          </w:p>
        </w:tc>
        <w:tc>
          <w:tcPr>
            <w:tcW w:w="1884" w:type="dxa"/>
            <w:vAlign w:val="top"/>
            <w:vMerge w:val="continue"/>
            <w:tcBorders>
              <w:top w:val="nil"/>
            </w:tcBorders>
          </w:tcPr>
          <w:p>
            <w:pPr>
              <w:rPr>
                <w:rFonts w:ascii="Arial"/>
                <w:sz w:val="21"/>
              </w:rPr>
            </w:pPr>
            <w:r/>
          </w:p>
        </w:tc>
      </w:tr>
      <w:tr>
        <w:trPr>
          <w:trHeight w:val="280" w:hRule="atLeast"/>
        </w:trPr>
        <w:tc>
          <w:tcPr>
            <w:tcW w:w="825"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205"/>
              <w:spacing w:before="65" w:line="292" w:lineRule="exact"/>
              <w:rPr>
                <w:sz w:val="20"/>
                <w:szCs w:val="20"/>
              </w:rPr>
            </w:pPr>
            <w:r>
              <w:rPr>
                <w:sz w:val="20"/>
                <w:szCs w:val="20"/>
                <w:spacing w:val="-6"/>
                <w:position w:val="6"/>
              </w:rPr>
              <w:t>一般</w:t>
            </w:r>
          </w:p>
          <w:p>
            <w:pPr>
              <w:pStyle w:val="TableText"/>
              <w:ind w:left="205"/>
              <w:spacing w:line="228" w:lineRule="auto"/>
              <w:rPr>
                <w:sz w:val="20"/>
                <w:szCs w:val="20"/>
              </w:rPr>
            </w:pPr>
            <w:r>
              <w:rPr>
                <w:sz w:val="20"/>
                <w:szCs w:val="20"/>
                <w:spacing w:val="-3"/>
              </w:rPr>
              <w:t>工业</w:t>
            </w:r>
          </w:p>
          <w:p>
            <w:pPr>
              <w:pStyle w:val="TableText"/>
              <w:ind w:left="205"/>
              <w:spacing w:line="220" w:lineRule="auto"/>
              <w:rPr>
                <w:sz w:val="20"/>
                <w:szCs w:val="20"/>
              </w:rPr>
            </w:pPr>
            <w:r>
              <w:rPr>
                <w:sz w:val="20"/>
                <w:szCs w:val="20"/>
                <w:spacing w:val="4"/>
              </w:rPr>
              <w:t>固体</w:t>
            </w:r>
          </w:p>
          <w:p>
            <w:pPr>
              <w:pStyle w:val="TableText"/>
              <w:ind w:left="205"/>
              <w:spacing w:before="41" w:line="220" w:lineRule="auto"/>
              <w:rPr>
                <w:sz w:val="20"/>
                <w:szCs w:val="20"/>
              </w:rPr>
            </w:pPr>
            <w:r>
              <w:rPr>
                <w:sz w:val="20"/>
                <w:szCs w:val="20"/>
                <w:spacing w:val="-2"/>
              </w:rPr>
              <w:t>废物</w:t>
            </w:r>
          </w:p>
        </w:tc>
        <w:tc>
          <w:tcPr>
            <w:tcW w:w="2378" w:type="dxa"/>
            <w:vAlign w:val="top"/>
          </w:tcPr>
          <w:p>
            <w:pPr>
              <w:pStyle w:val="TableText"/>
              <w:ind w:left="720"/>
              <w:spacing w:before="43" w:line="209" w:lineRule="auto"/>
              <w:rPr>
                <w:sz w:val="20"/>
                <w:szCs w:val="20"/>
              </w:rPr>
            </w:pPr>
            <w:r>
              <w:rPr>
                <w:sz w:val="20"/>
                <w:szCs w:val="20"/>
                <w:spacing w:val="-3"/>
              </w:rPr>
              <w:t>N</w:t>
            </w:r>
            <w:r>
              <w:rPr>
                <w:sz w:val="20"/>
                <w:szCs w:val="20"/>
                <w:spacing w:val="-41"/>
              </w:rPr>
              <w:t xml:space="preserve"> </w:t>
            </w:r>
            <w:r>
              <w:rPr>
                <w:sz w:val="20"/>
                <w:szCs w:val="20"/>
                <w:spacing w:val="-3"/>
              </w:rPr>
              <w:t>M</w:t>
            </w:r>
            <w:r>
              <w:rPr>
                <w:sz w:val="20"/>
                <w:szCs w:val="20"/>
                <w:spacing w:val="-38"/>
              </w:rPr>
              <w:t xml:space="preserve"> </w:t>
            </w:r>
            <w:r>
              <w:rPr>
                <w:sz w:val="20"/>
                <w:szCs w:val="20"/>
                <w:spacing w:val="-3"/>
              </w:rPr>
              <w:t>P</w:t>
            </w:r>
            <w:r>
              <w:rPr>
                <w:sz w:val="20"/>
                <w:szCs w:val="20"/>
                <w:spacing w:val="-36"/>
              </w:rPr>
              <w:t xml:space="preserve"> </w:t>
            </w:r>
            <w:r>
              <w:rPr>
                <w:sz w:val="20"/>
                <w:szCs w:val="20"/>
                <w:spacing w:val="-3"/>
              </w:rPr>
              <w:t>废</w:t>
            </w:r>
            <w:r>
              <w:rPr>
                <w:sz w:val="20"/>
                <w:szCs w:val="20"/>
                <w:spacing w:val="-34"/>
              </w:rPr>
              <w:t xml:space="preserve"> </w:t>
            </w:r>
            <w:r>
              <w:rPr>
                <w:sz w:val="20"/>
                <w:szCs w:val="20"/>
                <w:spacing w:val="-3"/>
              </w:rPr>
              <w:t>液</w:t>
            </w:r>
          </w:p>
        </w:tc>
        <w:tc>
          <w:tcPr>
            <w:tcW w:w="849" w:type="dxa"/>
            <w:vAlign w:val="top"/>
          </w:tcPr>
          <w:p>
            <w:pPr>
              <w:pStyle w:val="TableText"/>
              <w:ind w:left="212"/>
              <w:spacing w:before="43" w:line="209" w:lineRule="auto"/>
              <w:rPr>
                <w:sz w:val="20"/>
                <w:szCs w:val="20"/>
              </w:rPr>
            </w:pPr>
            <w:r>
              <w:rPr>
                <w:sz w:val="20"/>
                <w:szCs w:val="20"/>
                <w:spacing w:val="-3"/>
              </w:rPr>
              <w:t>液体</w:t>
            </w:r>
          </w:p>
        </w:tc>
        <w:tc>
          <w:tcPr>
            <w:tcW w:w="1649" w:type="dxa"/>
            <w:vAlign w:val="top"/>
          </w:tcPr>
          <w:p>
            <w:pPr>
              <w:rPr>
                <w:rFonts w:ascii="Arial"/>
                <w:sz w:val="21"/>
              </w:rPr>
            </w:pPr>
            <w:r/>
          </w:p>
        </w:tc>
        <w:tc>
          <w:tcPr>
            <w:tcW w:w="1329" w:type="dxa"/>
            <w:vAlign w:val="top"/>
          </w:tcPr>
          <w:p>
            <w:pPr>
              <w:pStyle w:val="TableText"/>
              <w:ind w:left="304"/>
              <w:spacing w:before="94" w:line="162" w:lineRule="auto"/>
              <w:rPr>
                <w:sz w:val="20"/>
                <w:szCs w:val="20"/>
              </w:rPr>
            </w:pPr>
            <w:r>
              <w:rPr>
                <w:sz w:val="20"/>
                <w:szCs w:val="20"/>
                <w:spacing w:val="-2"/>
              </w:rPr>
              <w:t>8777.56</w:t>
            </w:r>
          </w:p>
        </w:tc>
        <w:tc>
          <w:tcPr>
            <w:tcW w:w="7110" w:type="dxa"/>
            <w:vAlign w:val="top"/>
            <w:gridSpan w:val="4"/>
          </w:tcPr>
          <w:p>
            <w:pPr>
              <w:pStyle w:val="TableText"/>
              <w:ind w:left="2645"/>
              <w:spacing w:before="42" w:line="210" w:lineRule="auto"/>
              <w:rPr>
                <w:sz w:val="20"/>
                <w:szCs w:val="20"/>
              </w:rPr>
            </w:pPr>
            <w:r>
              <w:rPr>
                <w:sz w:val="20"/>
                <w:szCs w:val="20"/>
                <w:spacing w:val="-1"/>
              </w:rPr>
              <w:t>委托**公司回收处置</w:t>
            </w:r>
          </w:p>
        </w:tc>
      </w:tr>
      <w:tr>
        <w:trPr>
          <w:trHeight w:val="270" w:hRule="atLeast"/>
        </w:trPr>
        <w:tc>
          <w:tcPr>
            <w:tcW w:w="825" w:type="dxa"/>
            <w:vAlign w:val="top"/>
            <w:vMerge w:val="continue"/>
            <w:tcBorders>
              <w:top w:val="nil"/>
              <w:bottom w:val="nil"/>
            </w:tcBorders>
          </w:tcPr>
          <w:p>
            <w:pPr>
              <w:rPr>
                <w:rFonts w:ascii="Arial"/>
                <w:sz w:val="21"/>
              </w:rPr>
            </w:pPr>
            <w:r/>
          </w:p>
        </w:tc>
        <w:tc>
          <w:tcPr>
            <w:tcW w:w="2378" w:type="dxa"/>
            <w:vAlign w:val="top"/>
          </w:tcPr>
          <w:p>
            <w:pPr>
              <w:pStyle w:val="TableText"/>
              <w:ind w:left="880"/>
              <w:spacing w:before="43" w:line="200" w:lineRule="auto"/>
              <w:rPr>
                <w:sz w:val="20"/>
                <w:szCs w:val="20"/>
              </w:rPr>
            </w:pPr>
            <w:r>
              <w:rPr>
                <w:sz w:val="20"/>
                <w:szCs w:val="20"/>
                <w:spacing w:val="5"/>
              </w:rPr>
              <w:t>废极片</w:t>
            </w:r>
          </w:p>
        </w:tc>
        <w:tc>
          <w:tcPr>
            <w:tcW w:w="849" w:type="dxa"/>
            <w:vAlign w:val="top"/>
          </w:tcPr>
          <w:p>
            <w:pPr>
              <w:pStyle w:val="TableText"/>
              <w:ind w:left="212"/>
              <w:spacing w:before="43" w:line="200" w:lineRule="auto"/>
              <w:rPr>
                <w:sz w:val="20"/>
                <w:szCs w:val="20"/>
              </w:rPr>
            </w:pPr>
            <w:r>
              <w:rPr>
                <w:sz w:val="20"/>
                <w:szCs w:val="20"/>
                <w:spacing w:val="4"/>
              </w:rPr>
              <w:t>固体</w:t>
            </w:r>
          </w:p>
        </w:tc>
        <w:tc>
          <w:tcPr>
            <w:tcW w:w="1649" w:type="dxa"/>
            <w:vAlign w:val="top"/>
          </w:tcPr>
          <w:p>
            <w:pPr>
              <w:rPr>
                <w:rFonts w:ascii="Arial"/>
                <w:sz w:val="21"/>
              </w:rPr>
            </w:pPr>
            <w:r/>
          </w:p>
        </w:tc>
        <w:tc>
          <w:tcPr>
            <w:tcW w:w="1329" w:type="dxa"/>
            <w:vAlign w:val="top"/>
          </w:tcPr>
          <w:p>
            <w:pPr>
              <w:pStyle w:val="TableText"/>
              <w:ind w:left="304"/>
              <w:spacing w:before="93" w:line="167" w:lineRule="exact"/>
              <w:rPr>
                <w:sz w:val="20"/>
                <w:szCs w:val="20"/>
              </w:rPr>
            </w:pPr>
            <w:r>
              <w:rPr>
                <w:sz w:val="20"/>
                <w:szCs w:val="20"/>
                <w:spacing w:val="-3"/>
                <w:position w:val="-2"/>
              </w:rPr>
              <w:t>1891.84</w:t>
            </w:r>
          </w:p>
        </w:tc>
        <w:tc>
          <w:tcPr>
            <w:tcW w:w="7110" w:type="dxa"/>
            <w:vAlign w:val="top"/>
            <w:gridSpan w:val="4"/>
            <w:vMerge w:val="restart"/>
            <w:tcBorders>
              <w:bottom w:val="nil"/>
            </w:tcBorders>
          </w:tcPr>
          <w:p>
            <w:pPr>
              <w:pStyle w:val="TableText"/>
              <w:ind w:left="1145"/>
              <w:spacing w:before="203" w:line="219" w:lineRule="auto"/>
              <w:rPr>
                <w:sz w:val="20"/>
                <w:szCs w:val="20"/>
              </w:rPr>
            </w:pPr>
            <w:r>
              <w:rPr>
                <w:sz w:val="20"/>
                <w:szCs w:val="20"/>
              </w:rPr>
              <w:t>暂存于一般固废贮存间，定期委托**公司综合利用处置</w:t>
            </w:r>
          </w:p>
        </w:tc>
      </w:tr>
      <w:tr>
        <w:trPr>
          <w:trHeight w:val="309" w:hRule="atLeast"/>
        </w:trPr>
        <w:tc>
          <w:tcPr>
            <w:tcW w:w="825" w:type="dxa"/>
            <w:vAlign w:val="top"/>
            <w:vMerge w:val="continue"/>
            <w:tcBorders>
              <w:top w:val="nil"/>
              <w:bottom w:val="nil"/>
            </w:tcBorders>
          </w:tcPr>
          <w:p>
            <w:pPr>
              <w:rPr>
                <w:rFonts w:ascii="Arial"/>
                <w:sz w:val="21"/>
              </w:rPr>
            </w:pPr>
            <w:r/>
          </w:p>
        </w:tc>
        <w:tc>
          <w:tcPr>
            <w:tcW w:w="2378" w:type="dxa"/>
            <w:vAlign w:val="top"/>
          </w:tcPr>
          <w:p>
            <w:pPr>
              <w:pStyle w:val="TableText"/>
              <w:ind w:left="880"/>
              <w:spacing w:before="63" w:line="217" w:lineRule="auto"/>
              <w:rPr>
                <w:sz w:val="20"/>
                <w:szCs w:val="20"/>
              </w:rPr>
            </w:pPr>
            <w:r>
              <w:rPr>
                <w:sz w:val="20"/>
                <w:szCs w:val="20"/>
                <w:spacing w:val="-2"/>
              </w:rPr>
              <w:t>废电芯</w:t>
            </w:r>
          </w:p>
        </w:tc>
        <w:tc>
          <w:tcPr>
            <w:tcW w:w="849" w:type="dxa"/>
            <w:vAlign w:val="top"/>
          </w:tcPr>
          <w:p>
            <w:pPr>
              <w:pStyle w:val="TableText"/>
              <w:ind w:left="212"/>
              <w:spacing w:before="63" w:line="217" w:lineRule="auto"/>
              <w:rPr>
                <w:sz w:val="20"/>
                <w:szCs w:val="20"/>
              </w:rPr>
            </w:pPr>
            <w:r>
              <w:rPr>
                <w:sz w:val="20"/>
                <w:szCs w:val="20"/>
                <w:spacing w:val="4"/>
              </w:rPr>
              <w:t>固体</w:t>
            </w:r>
          </w:p>
        </w:tc>
        <w:tc>
          <w:tcPr>
            <w:tcW w:w="1649" w:type="dxa"/>
            <w:vAlign w:val="top"/>
          </w:tcPr>
          <w:p>
            <w:pPr>
              <w:rPr>
                <w:rFonts w:ascii="Arial"/>
                <w:sz w:val="21"/>
              </w:rPr>
            </w:pPr>
            <w:r/>
          </w:p>
        </w:tc>
        <w:tc>
          <w:tcPr>
            <w:tcW w:w="1329" w:type="dxa"/>
            <w:vAlign w:val="top"/>
          </w:tcPr>
          <w:p>
            <w:pPr>
              <w:pStyle w:val="TableText"/>
              <w:ind w:left="354"/>
              <w:spacing w:before="113" w:line="171" w:lineRule="auto"/>
              <w:rPr>
                <w:sz w:val="20"/>
                <w:szCs w:val="20"/>
              </w:rPr>
            </w:pPr>
            <w:r>
              <w:rPr>
                <w:sz w:val="20"/>
                <w:szCs w:val="20"/>
                <w:spacing w:val="-4"/>
              </w:rPr>
              <w:t>153.69</w:t>
            </w:r>
          </w:p>
        </w:tc>
        <w:tc>
          <w:tcPr>
            <w:tcW w:w="7110" w:type="dxa"/>
            <w:vAlign w:val="top"/>
            <w:gridSpan w:val="4"/>
            <w:vMerge w:val="continue"/>
            <w:tcBorders>
              <w:top w:val="nil"/>
            </w:tcBorders>
          </w:tcPr>
          <w:p>
            <w:pPr>
              <w:rPr>
                <w:rFonts w:ascii="Arial"/>
                <w:sz w:val="21"/>
              </w:rPr>
            </w:pPr>
            <w:r/>
          </w:p>
        </w:tc>
      </w:tr>
      <w:tr>
        <w:trPr>
          <w:trHeight w:val="270" w:hRule="atLeast"/>
        </w:trPr>
        <w:tc>
          <w:tcPr>
            <w:tcW w:w="825" w:type="dxa"/>
            <w:vAlign w:val="top"/>
            <w:vMerge w:val="continue"/>
            <w:tcBorders>
              <w:top w:val="nil"/>
              <w:bottom w:val="nil"/>
            </w:tcBorders>
          </w:tcPr>
          <w:p>
            <w:pPr>
              <w:rPr>
                <w:rFonts w:ascii="Arial"/>
                <w:sz w:val="21"/>
              </w:rPr>
            </w:pPr>
            <w:r/>
          </w:p>
        </w:tc>
        <w:tc>
          <w:tcPr>
            <w:tcW w:w="2378" w:type="dxa"/>
            <w:vAlign w:val="top"/>
          </w:tcPr>
          <w:p>
            <w:pPr>
              <w:pStyle w:val="TableText"/>
              <w:ind w:left="880"/>
              <w:spacing w:before="44" w:line="199" w:lineRule="auto"/>
              <w:rPr>
                <w:sz w:val="20"/>
                <w:szCs w:val="20"/>
              </w:rPr>
            </w:pPr>
            <w:r>
              <w:rPr>
                <w:sz w:val="20"/>
                <w:szCs w:val="20"/>
                <w:spacing w:val="-2"/>
              </w:rPr>
              <w:t>废隔膜</w:t>
            </w:r>
          </w:p>
        </w:tc>
        <w:tc>
          <w:tcPr>
            <w:tcW w:w="849" w:type="dxa"/>
            <w:vAlign w:val="top"/>
          </w:tcPr>
          <w:p>
            <w:pPr>
              <w:pStyle w:val="TableText"/>
              <w:ind w:left="212"/>
              <w:spacing w:before="44" w:line="199" w:lineRule="auto"/>
              <w:rPr>
                <w:sz w:val="20"/>
                <w:szCs w:val="20"/>
              </w:rPr>
            </w:pPr>
            <w:r>
              <w:rPr>
                <w:sz w:val="20"/>
                <w:szCs w:val="20"/>
                <w:spacing w:val="4"/>
              </w:rPr>
              <w:t>固体</w:t>
            </w:r>
          </w:p>
        </w:tc>
        <w:tc>
          <w:tcPr>
            <w:tcW w:w="1649" w:type="dxa"/>
            <w:vAlign w:val="top"/>
          </w:tcPr>
          <w:p>
            <w:pPr>
              <w:rPr>
                <w:rFonts w:ascii="Arial"/>
                <w:sz w:val="21"/>
              </w:rPr>
            </w:pPr>
            <w:r/>
          </w:p>
        </w:tc>
        <w:tc>
          <w:tcPr>
            <w:tcW w:w="1329" w:type="dxa"/>
            <w:vAlign w:val="top"/>
          </w:tcPr>
          <w:p>
            <w:pPr>
              <w:pStyle w:val="TableText"/>
              <w:ind w:left="404"/>
              <w:spacing w:before="94" w:line="166" w:lineRule="exact"/>
              <w:rPr>
                <w:sz w:val="20"/>
                <w:szCs w:val="20"/>
              </w:rPr>
            </w:pPr>
            <w:r>
              <w:rPr>
                <w:sz w:val="20"/>
                <w:szCs w:val="20"/>
                <w:spacing w:val="-2"/>
                <w:position w:val="-2"/>
              </w:rPr>
              <w:t>51.31</w:t>
            </w:r>
          </w:p>
        </w:tc>
        <w:tc>
          <w:tcPr>
            <w:tcW w:w="7110" w:type="dxa"/>
            <w:vAlign w:val="top"/>
            <w:gridSpan w:val="4"/>
            <w:vMerge w:val="restart"/>
            <w:tcBorders>
              <w:bottom w:val="nil"/>
            </w:tcBorders>
          </w:tcPr>
          <w:p>
            <w:pPr>
              <w:spacing w:line="284" w:lineRule="auto"/>
              <w:rPr>
                <w:rFonts w:ascii="Arial"/>
                <w:sz w:val="21"/>
              </w:rPr>
            </w:pPr>
            <w:r/>
          </w:p>
          <w:p>
            <w:pPr>
              <w:spacing w:line="285" w:lineRule="auto"/>
              <w:rPr>
                <w:rFonts w:ascii="Arial"/>
                <w:sz w:val="21"/>
              </w:rPr>
            </w:pPr>
            <w:r/>
          </w:p>
          <w:p>
            <w:pPr>
              <w:spacing w:line="285" w:lineRule="auto"/>
              <w:rPr>
                <w:rFonts w:ascii="Arial"/>
                <w:sz w:val="21"/>
              </w:rPr>
            </w:pPr>
            <w:r/>
          </w:p>
          <w:p>
            <w:pPr>
              <w:pStyle w:val="TableText"/>
              <w:ind w:left="1145"/>
              <w:spacing w:before="65" w:line="219" w:lineRule="auto"/>
              <w:rPr>
                <w:sz w:val="20"/>
                <w:szCs w:val="20"/>
              </w:rPr>
            </w:pPr>
            <w:r>
              <w:rPr>
                <w:sz w:val="20"/>
                <w:szCs w:val="20"/>
              </w:rPr>
              <w:t>暂存于一般固废贮存间，定期委托**公司综合利用处置</w:t>
            </w:r>
          </w:p>
        </w:tc>
      </w:tr>
      <w:tr>
        <w:trPr>
          <w:trHeight w:val="280" w:hRule="atLeast"/>
        </w:trPr>
        <w:tc>
          <w:tcPr>
            <w:tcW w:w="825" w:type="dxa"/>
            <w:vAlign w:val="top"/>
            <w:vMerge w:val="continue"/>
            <w:tcBorders>
              <w:top w:val="nil"/>
              <w:bottom w:val="nil"/>
            </w:tcBorders>
          </w:tcPr>
          <w:p>
            <w:pPr>
              <w:rPr>
                <w:rFonts w:ascii="Arial"/>
                <w:sz w:val="21"/>
              </w:rPr>
            </w:pPr>
            <w:r/>
          </w:p>
        </w:tc>
        <w:tc>
          <w:tcPr>
            <w:tcW w:w="2378" w:type="dxa"/>
            <w:vAlign w:val="top"/>
          </w:tcPr>
          <w:p>
            <w:pPr>
              <w:pStyle w:val="TableText"/>
              <w:ind w:left="880"/>
              <w:spacing w:before="43" w:line="209" w:lineRule="auto"/>
              <w:rPr>
                <w:sz w:val="20"/>
                <w:szCs w:val="20"/>
              </w:rPr>
            </w:pPr>
            <w:r>
              <w:rPr>
                <w:sz w:val="20"/>
                <w:szCs w:val="20"/>
                <w:spacing w:val="-2"/>
              </w:rPr>
              <w:t>废铝箔</w:t>
            </w:r>
          </w:p>
        </w:tc>
        <w:tc>
          <w:tcPr>
            <w:tcW w:w="849" w:type="dxa"/>
            <w:vAlign w:val="top"/>
          </w:tcPr>
          <w:p>
            <w:pPr>
              <w:pStyle w:val="TableText"/>
              <w:ind w:left="212"/>
              <w:spacing w:before="44" w:line="208" w:lineRule="auto"/>
              <w:rPr>
                <w:sz w:val="20"/>
                <w:szCs w:val="20"/>
              </w:rPr>
            </w:pPr>
            <w:r>
              <w:rPr>
                <w:sz w:val="20"/>
                <w:szCs w:val="20"/>
                <w:spacing w:val="4"/>
              </w:rPr>
              <w:t>固体</w:t>
            </w:r>
          </w:p>
        </w:tc>
        <w:tc>
          <w:tcPr>
            <w:tcW w:w="1649" w:type="dxa"/>
            <w:vAlign w:val="top"/>
          </w:tcPr>
          <w:p>
            <w:pPr>
              <w:pStyle w:val="TableText"/>
              <w:ind w:left="803"/>
              <w:spacing w:before="144" w:line="20" w:lineRule="exact"/>
              <w:rPr>
                <w:sz w:val="3"/>
                <w:szCs w:val="3"/>
              </w:rPr>
            </w:pPr>
            <w:r>
              <w:rPr>
                <w:sz w:val="3"/>
                <w:szCs w:val="3"/>
              </w:rPr>
              <w:t>—</w:t>
            </w:r>
          </w:p>
        </w:tc>
        <w:tc>
          <w:tcPr>
            <w:tcW w:w="1329" w:type="dxa"/>
            <w:vAlign w:val="top"/>
          </w:tcPr>
          <w:p>
            <w:pPr>
              <w:pStyle w:val="TableText"/>
              <w:ind w:left="354"/>
              <w:spacing w:before="94" w:line="162" w:lineRule="auto"/>
              <w:rPr>
                <w:sz w:val="20"/>
                <w:szCs w:val="20"/>
              </w:rPr>
            </w:pPr>
            <w:r>
              <w:rPr>
                <w:sz w:val="20"/>
                <w:szCs w:val="20"/>
                <w:spacing w:val="-4"/>
              </w:rPr>
              <w:t>135.39</w:t>
            </w:r>
          </w:p>
        </w:tc>
        <w:tc>
          <w:tcPr>
            <w:tcW w:w="7110" w:type="dxa"/>
            <w:vAlign w:val="top"/>
            <w:gridSpan w:val="4"/>
            <w:vMerge w:val="continue"/>
            <w:tcBorders>
              <w:top w:val="nil"/>
              <w:bottom w:val="nil"/>
            </w:tcBorders>
          </w:tcPr>
          <w:p>
            <w:pPr>
              <w:rPr>
                <w:rFonts w:ascii="Arial"/>
                <w:sz w:val="21"/>
              </w:rPr>
            </w:pPr>
            <w:r/>
          </w:p>
        </w:tc>
      </w:tr>
      <w:tr>
        <w:trPr>
          <w:trHeight w:val="300" w:hRule="atLeast"/>
        </w:trPr>
        <w:tc>
          <w:tcPr>
            <w:tcW w:w="825" w:type="dxa"/>
            <w:vAlign w:val="top"/>
            <w:vMerge w:val="continue"/>
            <w:tcBorders>
              <w:top w:val="nil"/>
              <w:bottom w:val="nil"/>
            </w:tcBorders>
          </w:tcPr>
          <w:p>
            <w:pPr>
              <w:rPr>
                <w:rFonts w:ascii="Arial"/>
                <w:sz w:val="21"/>
              </w:rPr>
            </w:pPr>
            <w:r/>
          </w:p>
        </w:tc>
        <w:tc>
          <w:tcPr>
            <w:tcW w:w="2378" w:type="dxa"/>
            <w:vAlign w:val="top"/>
          </w:tcPr>
          <w:p>
            <w:pPr>
              <w:pStyle w:val="TableText"/>
              <w:ind w:left="880"/>
              <w:spacing w:before="53" w:line="218" w:lineRule="auto"/>
              <w:rPr>
                <w:sz w:val="20"/>
                <w:szCs w:val="20"/>
              </w:rPr>
            </w:pPr>
            <w:r>
              <w:rPr>
                <w:sz w:val="20"/>
                <w:szCs w:val="20"/>
                <w:spacing w:val="-2"/>
              </w:rPr>
              <w:t>废铜箔</w:t>
            </w:r>
          </w:p>
        </w:tc>
        <w:tc>
          <w:tcPr>
            <w:tcW w:w="849" w:type="dxa"/>
            <w:vAlign w:val="top"/>
          </w:tcPr>
          <w:p>
            <w:pPr>
              <w:pStyle w:val="TableText"/>
              <w:ind w:left="212"/>
              <w:spacing w:before="54" w:line="217" w:lineRule="auto"/>
              <w:rPr>
                <w:sz w:val="20"/>
                <w:szCs w:val="20"/>
              </w:rPr>
            </w:pPr>
            <w:r>
              <w:rPr>
                <w:sz w:val="20"/>
                <w:szCs w:val="20"/>
                <w:spacing w:val="4"/>
              </w:rPr>
              <w:t>固体</w:t>
            </w:r>
          </w:p>
        </w:tc>
        <w:tc>
          <w:tcPr>
            <w:tcW w:w="1649" w:type="dxa"/>
            <w:vAlign w:val="top"/>
          </w:tcPr>
          <w:p>
            <w:pPr>
              <w:rPr>
                <w:rFonts w:ascii="Arial"/>
                <w:sz w:val="21"/>
              </w:rPr>
            </w:pPr>
            <w:r/>
          </w:p>
        </w:tc>
        <w:tc>
          <w:tcPr>
            <w:tcW w:w="1329" w:type="dxa"/>
            <w:vAlign w:val="top"/>
          </w:tcPr>
          <w:p>
            <w:pPr>
              <w:pStyle w:val="TableText"/>
              <w:ind w:left="404"/>
              <w:spacing w:before="105" w:line="170" w:lineRule="auto"/>
              <w:rPr>
                <w:sz w:val="20"/>
                <w:szCs w:val="20"/>
              </w:rPr>
            </w:pPr>
            <w:r>
              <w:rPr>
                <w:sz w:val="20"/>
                <w:szCs w:val="20"/>
                <w:spacing w:val="-2"/>
              </w:rPr>
              <w:t>66.99</w:t>
            </w:r>
          </w:p>
        </w:tc>
        <w:tc>
          <w:tcPr>
            <w:tcW w:w="7110" w:type="dxa"/>
            <w:vAlign w:val="top"/>
            <w:gridSpan w:val="4"/>
            <w:vMerge w:val="continue"/>
            <w:tcBorders>
              <w:top w:val="nil"/>
              <w:bottom w:val="nil"/>
            </w:tcBorders>
          </w:tcPr>
          <w:p>
            <w:pPr>
              <w:rPr>
                <w:rFonts w:ascii="Arial"/>
                <w:sz w:val="21"/>
              </w:rPr>
            </w:pPr>
            <w:r/>
          </w:p>
        </w:tc>
      </w:tr>
      <w:tr>
        <w:trPr>
          <w:trHeight w:val="270" w:hRule="atLeast"/>
        </w:trPr>
        <w:tc>
          <w:tcPr>
            <w:tcW w:w="825" w:type="dxa"/>
            <w:vAlign w:val="top"/>
            <w:vMerge w:val="continue"/>
            <w:tcBorders>
              <w:top w:val="nil"/>
              <w:bottom w:val="nil"/>
            </w:tcBorders>
          </w:tcPr>
          <w:p>
            <w:pPr>
              <w:rPr>
                <w:rFonts w:ascii="Arial"/>
                <w:sz w:val="21"/>
              </w:rPr>
            </w:pPr>
            <w:r/>
          </w:p>
        </w:tc>
        <w:tc>
          <w:tcPr>
            <w:tcW w:w="2378" w:type="dxa"/>
            <w:vAlign w:val="top"/>
          </w:tcPr>
          <w:p>
            <w:pPr>
              <w:pStyle w:val="TableText"/>
              <w:ind w:left="780"/>
              <w:spacing w:before="44" w:line="199" w:lineRule="auto"/>
              <w:rPr>
                <w:sz w:val="20"/>
                <w:szCs w:val="20"/>
              </w:rPr>
            </w:pPr>
            <w:r>
              <w:rPr>
                <w:sz w:val="20"/>
                <w:szCs w:val="20"/>
                <w:spacing w:val="-2"/>
              </w:rPr>
              <w:t>废包装袋</w:t>
            </w:r>
          </w:p>
        </w:tc>
        <w:tc>
          <w:tcPr>
            <w:tcW w:w="849" w:type="dxa"/>
            <w:vAlign w:val="top"/>
          </w:tcPr>
          <w:p>
            <w:pPr>
              <w:pStyle w:val="TableText"/>
              <w:ind w:left="212"/>
              <w:spacing w:before="44" w:line="199" w:lineRule="auto"/>
              <w:rPr>
                <w:sz w:val="20"/>
                <w:szCs w:val="20"/>
              </w:rPr>
            </w:pPr>
            <w:r>
              <w:rPr>
                <w:sz w:val="20"/>
                <w:szCs w:val="20"/>
                <w:spacing w:val="4"/>
              </w:rPr>
              <w:t>固体</w:t>
            </w:r>
          </w:p>
        </w:tc>
        <w:tc>
          <w:tcPr>
            <w:tcW w:w="1649" w:type="dxa"/>
            <w:vAlign w:val="top"/>
          </w:tcPr>
          <w:p>
            <w:pPr>
              <w:rPr>
                <w:rFonts w:ascii="Arial"/>
                <w:sz w:val="21"/>
              </w:rPr>
            </w:pPr>
            <w:r/>
          </w:p>
        </w:tc>
        <w:tc>
          <w:tcPr>
            <w:tcW w:w="1329" w:type="dxa"/>
            <w:vAlign w:val="top"/>
          </w:tcPr>
          <w:p>
            <w:pPr>
              <w:pStyle w:val="TableText"/>
              <w:ind w:left="404"/>
              <w:spacing w:before="94" w:line="166" w:lineRule="exact"/>
              <w:rPr>
                <w:sz w:val="20"/>
                <w:szCs w:val="20"/>
              </w:rPr>
            </w:pPr>
            <w:r>
              <w:rPr>
                <w:sz w:val="20"/>
                <w:szCs w:val="20"/>
                <w:spacing w:val="-4"/>
                <w:position w:val="-2"/>
              </w:rPr>
              <w:t>14.78</w:t>
            </w:r>
          </w:p>
        </w:tc>
        <w:tc>
          <w:tcPr>
            <w:tcW w:w="7110" w:type="dxa"/>
            <w:vAlign w:val="top"/>
            <w:gridSpan w:val="4"/>
            <w:vMerge w:val="continue"/>
            <w:tcBorders>
              <w:top w:val="nil"/>
              <w:bottom w:val="nil"/>
            </w:tcBorders>
          </w:tcPr>
          <w:p>
            <w:pPr>
              <w:rPr>
                <w:rFonts w:ascii="Arial"/>
                <w:sz w:val="21"/>
              </w:rPr>
            </w:pPr>
            <w:r/>
          </w:p>
        </w:tc>
      </w:tr>
      <w:tr>
        <w:trPr>
          <w:trHeight w:val="279" w:hRule="atLeast"/>
        </w:trPr>
        <w:tc>
          <w:tcPr>
            <w:tcW w:w="825" w:type="dxa"/>
            <w:vAlign w:val="top"/>
            <w:vMerge w:val="continue"/>
            <w:tcBorders>
              <w:top w:val="nil"/>
              <w:bottom w:val="nil"/>
            </w:tcBorders>
          </w:tcPr>
          <w:p>
            <w:pPr>
              <w:rPr>
                <w:rFonts w:ascii="Arial"/>
                <w:sz w:val="21"/>
              </w:rPr>
            </w:pPr>
            <w:r/>
          </w:p>
        </w:tc>
        <w:tc>
          <w:tcPr>
            <w:tcW w:w="2378" w:type="dxa"/>
            <w:vAlign w:val="top"/>
          </w:tcPr>
          <w:p>
            <w:pPr>
              <w:pStyle w:val="TableText"/>
              <w:ind w:left="880"/>
              <w:spacing w:before="43" w:line="208" w:lineRule="auto"/>
              <w:rPr>
                <w:sz w:val="20"/>
                <w:szCs w:val="20"/>
              </w:rPr>
            </w:pPr>
            <w:r>
              <w:rPr>
                <w:sz w:val="20"/>
                <w:szCs w:val="20"/>
                <w:spacing w:val="-2"/>
              </w:rPr>
              <w:t>废粉料</w:t>
            </w:r>
          </w:p>
        </w:tc>
        <w:tc>
          <w:tcPr>
            <w:tcW w:w="849" w:type="dxa"/>
            <w:vAlign w:val="top"/>
          </w:tcPr>
          <w:p>
            <w:pPr>
              <w:pStyle w:val="TableText"/>
              <w:ind w:left="212"/>
              <w:spacing w:before="44" w:line="207" w:lineRule="auto"/>
              <w:rPr>
                <w:sz w:val="20"/>
                <w:szCs w:val="20"/>
              </w:rPr>
            </w:pPr>
            <w:r>
              <w:rPr>
                <w:sz w:val="20"/>
                <w:szCs w:val="20"/>
                <w:spacing w:val="4"/>
              </w:rPr>
              <w:t>固体</w:t>
            </w:r>
          </w:p>
        </w:tc>
        <w:tc>
          <w:tcPr>
            <w:tcW w:w="1649" w:type="dxa"/>
            <w:vAlign w:val="top"/>
          </w:tcPr>
          <w:p>
            <w:pPr>
              <w:ind w:left="803"/>
              <w:spacing w:line="183" w:lineRule="exact"/>
              <w:tabs>
                <w:tab w:val="left" w:pos="821"/>
              </w:tabs>
              <w:rPr>
                <w:rFonts w:ascii="Arial"/>
                <w:sz w:val="21"/>
              </w:rPr>
            </w:pPr>
            <w:r>
              <w:rPr>
                <w:rFonts w:ascii="Arial" w:hAnsi="Arial" w:eastAsia="Arial" w:cs="Arial"/>
                <w:sz w:val="21"/>
                <w:szCs w:val="21"/>
                <w:u w:val="single" w:color="auto"/>
                <w:position w:val="-2"/>
              </w:rPr>
              <w:tab/>
            </w:r>
          </w:p>
        </w:tc>
        <w:tc>
          <w:tcPr>
            <w:tcW w:w="1329" w:type="dxa"/>
            <w:vAlign w:val="top"/>
          </w:tcPr>
          <w:p>
            <w:pPr>
              <w:pStyle w:val="TableText"/>
              <w:ind w:left="504"/>
              <w:spacing w:before="94" w:line="161" w:lineRule="auto"/>
              <w:rPr>
                <w:sz w:val="20"/>
                <w:szCs w:val="20"/>
              </w:rPr>
            </w:pPr>
            <w:r>
              <w:rPr>
                <w:sz w:val="20"/>
                <w:szCs w:val="20"/>
                <w:spacing w:val="-6"/>
              </w:rPr>
              <w:t>144</w:t>
            </w:r>
          </w:p>
        </w:tc>
        <w:tc>
          <w:tcPr>
            <w:tcW w:w="7110" w:type="dxa"/>
            <w:vAlign w:val="top"/>
            <w:gridSpan w:val="4"/>
            <w:vMerge w:val="continue"/>
            <w:tcBorders>
              <w:top w:val="nil"/>
              <w:bottom w:val="nil"/>
            </w:tcBorders>
          </w:tcPr>
          <w:p>
            <w:pPr>
              <w:rPr>
                <w:rFonts w:ascii="Arial"/>
                <w:sz w:val="21"/>
              </w:rPr>
            </w:pPr>
            <w:r/>
          </w:p>
        </w:tc>
      </w:tr>
      <w:tr>
        <w:trPr>
          <w:trHeight w:val="300" w:hRule="atLeast"/>
        </w:trPr>
        <w:tc>
          <w:tcPr>
            <w:tcW w:w="825" w:type="dxa"/>
            <w:vAlign w:val="top"/>
            <w:vMerge w:val="continue"/>
            <w:tcBorders>
              <w:top w:val="nil"/>
              <w:bottom w:val="nil"/>
            </w:tcBorders>
          </w:tcPr>
          <w:p>
            <w:pPr>
              <w:rPr>
                <w:rFonts w:ascii="Arial"/>
                <w:sz w:val="21"/>
              </w:rPr>
            </w:pPr>
            <w:r/>
          </w:p>
        </w:tc>
        <w:tc>
          <w:tcPr>
            <w:tcW w:w="2378" w:type="dxa"/>
            <w:vAlign w:val="top"/>
          </w:tcPr>
          <w:p>
            <w:pPr>
              <w:pStyle w:val="TableText"/>
              <w:ind w:left="880"/>
              <w:spacing w:before="54" w:line="217" w:lineRule="auto"/>
              <w:rPr>
                <w:sz w:val="20"/>
                <w:szCs w:val="20"/>
              </w:rPr>
            </w:pPr>
            <w:r>
              <w:rPr>
                <w:sz w:val="20"/>
                <w:szCs w:val="20"/>
                <w:spacing w:val="-2"/>
              </w:rPr>
              <w:t>废浆料</w:t>
            </w:r>
          </w:p>
        </w:tc>
        <w:tc>
          <w:tcPr>
            <w:tcW w:w="849" w:type="dxa"/>
            <w:vAlign w:val="top"/>
          </w:tcPr>
          <w:p>
            <w:pPr>
              <w:pStyle w:val="TableText"/>
              <w:ind w:left="212"/>
              <w:spacing w:before="56" w:line="216" w:lineRule="auto"/>
              <w:rPr>
                <w:sz w:val="20"/>
                <w:szCs w:val="20"/>
              </w:rPr>
            </w:pPr>
            <w:r>
              <w:rPr>
                <w:sz w:val="20"/>
                <w:szCs w:val="20"/>
                <w:spacing w:val="-3"/>
              </w:rPr>
              <w:t>液体</w:t>
            </w:r>
          </w:p>
        </w:tc>
        <w:tc>
          <w:tcPr>
            <w:tcW w:w="1649" w:type="dxa"/>
            <w:vAlign w:val="top"/>
          </w:tcPr>
          <w:p>
            <w:pPr>
              <w:pStyle w:val="TableText"/>
              <w:ind w:left="803"/>
              <w:spacing w:before="155" w:line="20" w:lineRule="exact"/>
              <w:rPr>
                <w:sz w:val="3"/>
                <w:szCs w:val="3"/>
              </w:rPr>
            </w:pPr>
            <w:r>
              <w:rPr>
                <w:sz w:val="3"/>
                <w:szCs w:val="3"/>
              </w:rPr>
              <w:t>—</w:t>
            </w:r>
          </w:p>
        </w:tc>
        <w:tc>
          <w:tcPr>
            <w:tcW w:w="1329" w:type="dxa"/>
            <w:vAlign w:val="top"/>
          </w:tcPr>
          <w:p>
            <w:pPr>
              <w:pStyle w:val="TableText"/>
              <w:ind w:left="354"/>
              <w:spacing w:before="106" w:line="169" w:lineRule="auto"/>
              <w:rPr>
                <w:sz w:val="20"/>
                <w:szCs w:val="20"/>
              </w:rPr>
            </w:pPr>
            <w:r>
              <w:rPr>
                <w:sz w:val="20"/>
                <w:szCs w:val="20"/>
                <w:spacing w:val="-1"/>
              </w:rPr>
              <w:t>495.59</w:t>
            </w:r>
          </w:p>
        </w:tc>
        <w:tc>
          <w:tcPr>
            <w:tcW w:w="7110" w:type="dxa"/>
            <w:vAlign w:val="top"/>
            <w:gridSpan w:val="4"/>
            <w:vMerge w:val="continue"/>
            <w:tcBorders>
              <w:top w:val="nil"/>
              <w:bottom w:val="nil"/>
            </w:tcBorders>
          </w:tcPr>
          <w:p>
            <w:pPr>
              <w:rPr>
                <w:rFonts w:ascii="Arial"/>
                <w:sz w:val="21"/>
              </w:rPr>
            </w:pPr>
            <w:r/>
          </w:p>
        </w:tc>
      </w:tr>
      <w:tr>
        <w:trPr>
          <w:trHeight w:val="269" w:hRule="atLeast"/>
        </w:trPr>
        <w:tc>
          <w:tcPr>
            <w:tcW w:w="825" w:type="dxa"/>
            <w:vAlign w:val="top"/>
            <w:vMerge w:val="continue"/>
            <w:tcBorders>
              <w:top w:val="nil"/>
              <w:bottom w:val="nil"/>
            </w:tcBorders>
          </w:tcPr>
          <w:p>
            <w:pPr>
              <w:rPr>
                <w:rFonts w:ascii="Arial"/>
                <w:sz w:val="21"/>
              </w:rPr>
            </w:pPr>
            <w:r/>
          </w:p>
        </w:tc>
        <w:tc>
          <w:tcPr>
            <w:tcW w:w="2378" w:type="dxa"/>
            <w:vAlign w:val="top"/>
          </w:tcPr>
          <w:p>
            <w:pPr>
              <w:pStyle w:val="TableText"/>
              <w:ind w:left="880"/>
              <w:spacing w:before="45" w:line="197" w:lineRule="auto"/>
              <w:rPr>
                <w:sz w:val="20"/>
                <w:szCs w:val="20"/>
              </w:rPr>
            </w:pPr>
            <w:r>
              <w:rPr>
                <w:sz w:val="20"/>
                <w:szCs w:val="20"/>
                <w:spacing w:val="-2"/>
              </w:rPr>
              <w:t>废手套</w:t>
            </w:r>
          </w:p>
        </w:tc>
        <w:tc>
          <w:tcPr>
            <w:tcW w:w="849" w:type="dxa"/>
            <w:vAlign w:val="top"/>
          </w:tcPr>
          <w:p>
            <w:pPr>
              <w:pStyle w:val="TableText"/>
              <w:ind w:left="212"/>
              <w:spacing w:before="45" w:line="197" w:lineRule="auto"/>
              <w:rPr>
                <w:sz w:val="20"/>
                <w:szCs w:val="20"/>
              </w:rPr>
            </w:pPr>
            <w:r>
              <w:rPr>
                <w:sz w:val="20"/>
                <w:szCs w:val="20"/>
                <w:spacing w:val="4"/>
              </w:rPr>
              <w:t>固体</w:t>
            </w:r>
          </w:p>
        </w:tc>
        <w:tc>
          <w:tcPr>
            <w:tcW w:w="1649" w:type="dxa"/>
            <w:vAlign w:val="top"/>
          </w:tcPr>
          <w:p>
            <w:pPr>
              <w:rPr>
                <w:rFonts w:ascii="Arial"/>
                <w:sz w:val="21"/>
              </w:rPr>
            </w:pPr>
            <w:r>
              <w:pict>
                <v:shape id="_x0000_s6" style="position:absolute;margin-left:-42.7989pt;margin-top:-5.86205pt;mso-position-vertical-relative:top-margin-area;mso-position-horizontal-relative:right-margin-area;width:3pt;height:14.1pt;z-index:251699200;" filled="false" stroked="false" type="#_x0000_t202">
                  <v:fill on="false"/>
                  <v:stroke on="false"/>
                  <v:path/>
                  <v:imagedata o:title=""/>
                  <o:lock v:ext="edit" aspectratio="false"/>
                  <v:textbox inset="0mm,0mm,0mm,0mm">
                    <w:txbxContent>
                      <w:p>
                        <w:pPr>
                          <w:ind w:left="20"/>
                          <w:spacing w:before="20" w:line="241" w:lineRule="exact"/>
                          <w:tabs>
                            <w:tab w:val="left" w:pos="39"/>
                          </w:tabs>
                          <w:rPr>
                            <w:rFonts w:ascii="Arial"/>
                            <w:sz w:val="21"/>
                          </w:rPr>
                        </w:pPr>
                        <w:r>
                          <w:rPr>
                            <w:rFonts w:ascii="Arial" w:hAnsi="Arial" w:eastAsia="Arial" w:cs="Arial"/>
                            <w:sz w:val="21"/>
                            <w:szCs w:val="21"/>
                            <w:u w:val="single" w:color="auto"/>
                          </w:rPr>
                          <w:tab/>
                        </w:r>
                      </w:p>
                    </w:txbxContent>
                  </v:textbox>
                </v:shape>
              </w:pict>
            </w:r>
            <w:r/>
          </w:p>
        </w:tc>
        <w:tc>
          <w:tcPr>
            <w:tcW w:w="1329" w:type="dxa"/>
            <w:vAlign w:val="top"/>
          </w:tcPr>
          <w:p>
            <w:pPr>
              <w:pStyle w:val="TableText"/>
              <w:ind w:left="404"/>
              <w:spacing w:before="96" w:line="162" w:lineRule="exact"/>
              <w:rPr>
                <w:sz w:val="20"/>
                <w:szCs w:val="20"/>
              </w:rPr>
            </w:pPr>
            <w:r>
              <w:rPr>
                <w:sz w:val="20"/>
                <w:szCs w:val="20"/>
                <w:spacing w:val="-2"/>
                <w:position w:val="-2"/>
              </w:rPr>
              <w:t>47.59</w:t>
            </w:r>
          </w:p>
        </w:tc>
        <w:tc>
          <w:tcPr>
            <w:tcW w:w="7110" w:type="dxa"/>
            <w:vAlign w:val="top"/>
            <w:gridSpan w:val="4"/>
            <w:vMerge w:val="continue"/>
            <w:tcBorders>
              <w:top w:val="nil"/>
            </w:tcBorders>
          </w:tcPr>
          <w:p>
            <w:pPr>
              <w:rPr>
                <w:rFonts w:ascii="Arial"/>
                <w:sz w:val="21"/>
              </w:rPr>
            </w:pPr>
            <w:r/>
          </w:p>
        </w:tc>
      </w:tr>
      <w:tr>
        <w:trPr>
          <w:trHeight w:val="559" w:hRule="atLeast"/>
        </w:trPr>
        <w:tc>
          <w:tcPr>
            <w:tcW w:w="825" w:type="dxa"/>
            <w:vAlign w:val="top"/>
            <w:vMerge w:val="continue"/>
            <w:tcBorders>
              <w:top w:val="nil"/>
              <w:bottom w:val="nil"/>
            </w:tcBorders>
          </w:tcPr>
          <w:p>
            <w:pPr>
              <w:rPr>
                <w:rFonts w:ascii="Arial"/>
                <w:sz w:val="21"/>
              </w:rPr>
            </w:pPr>
            <w:r/>
          </w:p>
        </w:tc>
        <w:tc>
          <w:tcPr>
            <w:tcW w:w="2378" w:type="dxa"/>
            <w:vAlign w:val="top"/>
          </w:tcPr>
          <w:p>
            <w:pPr>
              <w:pStyle w:val="TableText"/>
              <w:ind w:left="230"/>
              <w:spacing w:before="66" w:line="219" w:lineRule="auto"/>
              <w:rPr>
                <w:sz w:val="20"/>
                <w:szCs w:val="20"/>
              </w:rPr>
            </w:pPr>
            <w:r>
              <w:rPr>
                <w:sz w:val="20"/>
                <w:szCs w:val="20"/>
                <w:spacing w:val="-1"/>
              </w:rPr>
              <w:t>废阳极废渣(含阳极污</w:t>
            </w:r>
          </w:p>
          <w:p>
            <w:pPr>
              <w:pStyle w:val="TableText"/>
              <w:ind w:left="1030"/>
              <w:spacing w:before="24" w:line="204" w:lineRule="auto"/>
              <w:rPr>
                <w:sz w:val="20"/>
                <w:szCs w:val="20"/>
              </w:rPr>
            </w:pPr>
            <w:r>
              <w:rPr>
                <w:sz w:val="20"/>
                <w:szCs w:val="20"/>
                <w:spacing w:val="-5"/>
              </w:rPr>
              <w:t>泥</w:t>
            </w:r>
            <w:r>
              <w:rPr>
                <w:sz w:val="20"/>
                <w:szCs w:val="20"/>
                <w:spacing w:val="-39"/>
              </w:rPr>
              <w:t xml:space="preserve"> </w:t>
            </w:r>
            <w:r>
              <w:rPr>
                <w:sz w:val="20"/>
                <w:szCs w:val="20"/>
                <w:spacing w:val="-5"/>
              </w:rPr>
              <w:t>)</w:t>
            </w:r>
          </w:p>
        </w:tc>
        <w:tc>
          <w:tcPr>
            <w:tcW w:w="849" w:type="dxa"/>
            <w:vAlign w:val="top"/>
          </w:tcPr>
          <w:p>
            <w:pPr>
              <w:pStyle w:val="TableText"/>
              <w:ind w:left="212"/>
              <w:spacing w:before="186" w:line="220" w:lineRule="auto"/>
              <w:rPr>
                <w:sz w:val="20"/>
                <w:szCs w:val="20"/>
              </w:rPr>
            </w:pPr>
            <w:r>
              <w:rPr>
                <w:sz w:val="20"/>
                <w:szCs w:val="20"/>
                <w:spacing w:val="4"/>
              </w:rPr>
              <w:t>固体</w:t>
            </w:r>
          </w:p>
        </w:tc>
        <w:tc>
          <w:tcPr>
            <w:tcW w:w="1649" w:type="dxa"/>
            <w:vAlign w:val="top"/>
          </w:tcPr>
          <w:p>
            <w:pPr>
              <w:spacing w:line="274" w:lineRule="auto"/>
              <w:rPr>
                <w:rFonts w:ascii="Arial"/>
                <w:sz w:val="21"/>
              </w:rPr>
            </w:pPr>
            <w:r/>
          </w:p>
          <w:p>
            <w:pPr>
              <w:pStyle w:val="TableText"/>
              <w:ind w:left="783"/>
              <w:spacing w:before="10" w:line="21" w:lineRule="exact"/>
              <w:rPr>
                <w:sz w:val="3"/>
                <w:szCs w:val="3"/>
              </w:rPr>
            </w:pPr>
            <w:r>
              <w:rPr>
                <w:sz w:val="3"/>
                <w:szCs w:val="3"/>
                <w:spacing w:val="-1"/>
              </w:rPr>
              <w:t>——</w:t>
            </w:r>
          </w:p>
        </w:tc>
        <w:tc>
          <w:tcPr>
            <w:tcW w:w="1329" w:type="dxa"/>
            <w:vAlign w:val="top"/>
          </w:tcPr>
          <w:p>
            <w:pPr>
              <w:pStyle w:val="TableText"/>
              <w:ind w:left="454"/>
              <w:spacing w:before="236" w:line="184" w:lineRule="auto"/>
              <w:rPr>
                <w:sz w:val="20"/>
                <w:szCs w:val="20"/>
              </w:rPr>
            </w:pPr>
            <w:r>
              <w:rPr>
                <w:sz w:val="20"/>
                <w:szCs w:val="20"/>
                <w:spacing w:val="-5"/>
              </w:rPr>
              <w:t>12.9</w:t>
            </w:r>
          </w:p>
        </w:tc>
        <w:tc>
          <w:tcPr>
            <w:tcW w:w="7110" w:type="dxa"/>
            <w:vAlign w:val="top"/>
            <w:gridSpan w:val="4"/>
            <w:vMerge w:val="restart"/>
            <w:tcBorders>
              <w:bottom w:val="nil"/>
            </w:tcBorders>
          </w:tcPr>
          <w:p>
            <w:pPr>
              <w:spacing w:line="409" w:lineRule="auto"/>
              <w:rPr>
                <w:rFonts w:ascii="Arial"/>
                <w:sz w:val="21"/>
              </w:rPr>
            </w:pPr>
            <w:r/>
          </w:p>
          <w:p>
            <w:pPr>
              <w:pStyle w:val="TableText"/>
              <w:ind w:left="2195"/>
              <w:spacing w:before="65" w:line="220" w:lineRule="auto"/>
              <w:rPr>
                <w:sz w:val="20"/>
                <w:szCs w:val="20"/>
              </w:rPr>
            </w:pPr>
            <w:r>
              <w:rPr>
                <w:sz w:val="20"/>
                <w:szCs w:val="20"/>
              </w:rPr>
              <w:t>委托**外运，用于**公司制砖。</w:t>
            </w:r>
          </w:p>
        </w:tc>
      </w:tr>
      <w:tr>
        <w:trPr>
          <w:trHeight w:val="280" w:hRule="atLeast"/>
        </w:trPr>
        <w:tc>
          <w:tcPr>
            <w:tcW w:w="825" w:type="dxa"/>
            <w:vAlign w:val="top"/>
            <w:vMerge w:val="continue"/>
            <w:tcBorders>
              <w:top w:val="nil"/>
              <w:bottom w:val="nil"/>
            </w:tcBorders>
          </w:tcPr>
          <w:p>
            <w:pPr>
              <w:rPr>
                <w:rFonts w:ascii="Arial"/>
                <w:sz w:val="21"/>
              </w:rPr>
            </w:pPr>
            <w:r/>
          </w:p>
        </w:tc>
        <w:tc>
          <w:tcPr>
            <w:tcW w:w="2378" w:type="dxa"/>
            <w:vAlign w:val="top"/>
          </w:tcPr>
          <w:p>
            <w:pPr>
              <w:pStyle w:val="TableText"/>
              <w:ind w:left="780"/>
              <w:spacing w:before="47" w:line="205" w:lineRule="auto"/>
              <w:rPr>
                <w:sz w:val="20"/>
                <w:szCs w:val="20"/>
              </w:rPr>
            </w:pPr>
            <w:r>
              <w:rPr>
                <w:sz w:val="20"/>
                <w:szCs w:val="20"/>
                <w:spacing w:val="2"/>
              </w:rPr>
              <w:t>阴极污泥</w:t>
            </w:r>
          </w:p>
        </w:tc>
        <w:tc>
          <w:tcPr>
            <w:tcW w:w="849" w:type="dxa"/>
            <w:vAlign w:val="top"/>
          </w:tcPr>
          <w:p>
            <w:pPr>
              <w:pStyle w:val="TableText"/>
              <w:ind w:left="212"/>
              <w:spacing w:before="47" w:line="205" w:lineRule="auto"/>
              <w:rPr>
                <w:sz w:val="20"/>
                <w:szCs w:val="20"/>
              </w:rPr>
            </w:pPr>
            <w:r>
              <w:rPr>
                <w:sz w:val="20"/>
                <w:szCs w:val="20"/>
                <w:spacing w:val="4"/>
              </w:rPr>
              <w:t>固体</w:t>
            </w:r>
          </w:p>
        </w:tc>
        <w:tc>
          <w:tcPr>
            <w:tcW w:w="1649" w:type="dxa"/>
            <w:vAlign w:val="top"/>
          </w:tcPr>
          <w:p>
            <w:pPr>
              <w:rPr>
                <w:rFonts w:ascii="Arial"/>
                <w:sz w:val="21"/>
              </w:rPr>
            </w:pPr>
            <w:r/>
          </w:p>
        </w:tc>
        <w:tc>
          <w:tcPr>
            <w:tcW w:w="1329" w:type="dxa"/>
            <w:vAlign w:val="top"/>
          </w:tcPr>
          <w:p>
            <w:pPr>
              <w:pStyle w:val="TableText"/>
              <w:ind w:left="454"/>
              <w:spacing w:before="98" w:line="158" w:lineRule="auto"/>
              <w:rPr>
                <w:sz w:val="20"/>
                <w:szCs w:val="20"/>
              </w:rPr>
            </w:pPr>
            <w:r>
              <w:rPr>
                <w:sz w:val="20"/>
                <w:szCs w:val="20"/>
                <w:spacing w:val="-3"/>
              </w:rPr>
              <w:t>7.29</w:t>
            </w:r>
          </w:p>
        </w:tc>
        <w:tc>
          <w:tcPr>
            <w:tcW w:w="7110" w:type="dxa"/>
            <w:vAlign w:val="top"/>
            <w:gridSpan w:val="4"/>
            <w:vMerge w:val="continue"/>
            <w:tcBorders>
              <w:top w:val="nil"/>
              <w:bottom w:val="nil"/>
            </w:tcBorders>
          </w:tcPr>
          <w:p>
            <w:pPr>
              <w:rPr>
                <w:rFonts w:ascii="Arial"/>
                <w:sz w:val="21"/>
              </w:rPr>
            </w:pPr>
            <w:r/>
          </w:p>
        </w:tc>
      </w:tr>
      <w:tr>
        <w:trPr>
          <w:trHeight w:val="270" w:hRule="atLeast"/>
        </w:trPr>
        <w:tc>
          <w:tcPr>
            <w:tcW w:w="825" w:type="dxa"/>
            <w:vAlign w:val="top"/>
            <w:vMerge w:val="continue"/>
            <w:tcBorders>
              <w:top w:val="nil"/>
            </w:tcBorders>
          </w:tcPr>
          <w:p>
            <w:pPr>
              <w:rPr>
                <w:rFonts w:ascii="Arial"/>
                <w:sz w:val="21"/>
              </w:rPr>
            </w:pPr>
            <w:r/>
          </w:p>
        </w:tc>
        <w:tc>
          <w:tcPr>
            <w:tcW w:w="2378" w:type="dxa"/>
            <w:vAlign w:val="top"/>
          </w:tcPr>
          <w:p>
            <w:pPr>
              <w:pStyle w:val="TableText"/>
              <w:ind w:left="780"/>
              <w:spacing w:before="47" w:line="196" w:lineRule="auto"/>
              <w:rPr>
                <w:sz w:val="20"/>
                <w:szCs w:val="20"/>
              </w:rPr>
            </w:pPr>
            <w:r>
              <w:rPr>
                <w:sz w:val="20"/>
                <w:szCs w:val="20"/>
                <w:spacing w:val="2"/>
              </w:rPr>
              <w:t>综合污泥</w:t>
            </w:r>
          </w:p>
        </w:tc>
        <w:tc>
          <w:tcPr>
            <w:tcW w:w="849" w:type="dxa"/>
            <w:vAlign w:val="top"/>
          </w:tcPr>
          <w:p>
            <w:pPr>
              <w:pStyle w:val="TableText"/>
              <w:ind w:left="212"/>
              <w:spacing w:before="47" w:line="196" w:lineRule="auto"/>
              <w:rPr>
                <w:sz w:val="20"/>
                <w:szCs w:val="20"/>
              </w:rPr>
            </w:pPr>
            <w:r>
              <w:rPr>
                <w:sz w:val="20"/>
                <w:szCs w:val="20"/>
                <w:spacing w:val="4"/>
              </w:rPr>
              <w:t>固体</w:t>
            </w:r>
          </w:p>
        </w:tc>
        <w:tc>
          <w:tcPr>
            <w:tcW w:w="1649" w:type="dxa"/>
            <w:vAlign w:val="top"/>
          </w:tcPr>
          <w:p>
            <w:pPr>
              <w:rPr>
                <w:rFonts w:ascii="Arial"/>
                <w:sz w:val="21"/>
              </w:rPr>
            </w:pPr>
            <w:r/>
          </w:p>
        </w:tc>
        <w:tc>
          <w:tcPr>
            <w:tcW w:w="1329" w:type="dxa"/>
            <w:vAlign w:val="top"/>
          </w:tcPr>
          <w:p>
            <w:pPr>
              <w:pStyle w:val="TableText"/>
              <w:ind w:left="454"/>
              <w:spacing w:before="98" w:line="162" w:lineRule="exact"/>
              <w:rPr>
                <w:sz w:val="20"/>
                <w:szCs w:val="20"/>
              </w:rPr>
            </w:pPr>
            <w:r>
              <w:rPr>
                <w:sz w:val="20"/>
                <w:szCs w:val="20"/>
                <w:spacing w:val="-2"/>
                <w:position w:val="-2"/>
              </w:rPr>
              <w:t>8.04</w:t>
            </w:r>
          </w:p>
        </w:tc>
        <w:tc>
          <w:tcPr>
            <w:tcW w:w="7110" w:type="dxa"/>
            <w:vAlign w:val="top"/>
            <w:gridSpan w:val="4"/>
            <w:vMerge w:val="continue"/>
            <w:tcBorders>
              <w:top w:val="nil"/>
            </w:tcBorders>
          </w:tcPr>
          <w:p>
            <w:pPr>
              <w:rPr>
                <w:rFonts w:ascii="Arial"/>
                <w:sz w:val="21"/>
              </w:rPr>
            </w:pPr>
            <w:r/>
          </w:p>
        </w:tc>
      </w:tr>
      <w:tr>
        <w:trPr>
          <w:trHeight w:val="304" w:hRule="atLeast"/>
        </w:trPr>
        <w:tc>
          <w:tcPr>
            <w:tcW w:w="3203" w:type="dxa"/>
            <w:vAlign w:val="top"/>
            <w:gridSpan w:val="2"/>
          </w:tcPr>
          <w:p>
            <w:pPr>
              <w:pStyle w:val="TableText"/>
              <w:ind w:left="1205"/>
              <w:spacing w:before="57" w:line="218" w:lineRule="auto"/>
              <w:rPr>
                <w:sz w:val="20"/>
                <w:szCs w:val="20"/>
              </w:rPr>
            </w:pPr>
            <w:r>
              <w:rPr>
                <w:sz w:val="20"/>
                <w:szCs w:val="20"/>
                <w:spacing w:val="-2"/>
              </w:rPr>
              <w:t>生活垃圾</w:t>
            </w:r>
          </w:p>
        </w:tc>
        <w:tc>
          <w:tcPr>
            <w:tcW w:w="849" w:type="dxa"/>
            <w:vAlign w:val="top"/>
          </w:tcPr>
          <w:p>
            <w:pPr>
              <w:pStyle w:val="TableText"/>
              <w:ind w:left="212"/>
              <w:spacing w:before="57" w:line="218" w:lineRule="auto"/>
              <w:rPr>
                <w:sz w:val="20"/>
                <w:szCs w:val="20"/>
              </w:rPr>
            </w:pPr>
            <w:r>
              <w:rPr>
                <w:sz w:val="20"/>
                <w:szCs w:val="20"/>
                <w:spacing w:val="4"/>
              </w:rPr>
              <w:t>固体</w:t>
            </w:r>
          </w:p>
        </w:tc>
        <w:tc>
          <w:tcPr>
            <w:tcW w:w="1649" w:type="dxa"/>
            <w:vAlign w:val="top"/>
          </w:tcPr>
          <w:p>
            <w:pPr>
              <w:rPr>
                <w:rFonts w:ascii="Arial"/>
                <w:sz w:val="21"/>
              </w:rPr>
            </w:pPr>
            <w:r/>
          </w:p>
        </w:tc>
        <w:tc>
          <w:tcPr>
            <w:tcW w:w="1329" w:type="dxa"/>
            <w:vAlign w:val="top"/>
          </w:tcPr>
          <w:p>
            <w:pPr>
              <w:pStyle w:val="TableText"/>
              <w:ind w:left="404"/>
              <w:spacing w:before="108" w:line="171" w:lineRule="auto"/>
              <w:rPr>
                <w:sz w:val="20"/>
                <w:szCs w:val="20"/>
              </w:rPr>
            </w:pPr>
            <w:r>
              <w:rPr>
                <w:sz w:val="20"/>
                <w:szCs w:val="20"/>
                <w:spacing w:val="-2"/>
              </w:rPr>
              <w:t>998.4</w:t>
            </w:r>
          </w:p>
        </w:tc>
        <w:tc>
          <w:tcPr>
            <w:tcW w:w="7110" w:type="dxa"/>
            <w:vAlign w:val="top"/>
            <w:gridSpan w:val="4"/>
          </w:tcPr>
          <w:p>
            <w:pPr>
              <w:pStyle w:val="TableText"/>
              <w:ind w:left="2545"/>
              <w:spacing w:before="56" w:line="219" w:lineRule="auto"/>
              <w:rPr>
                <w:sz w:val="20"/>
                <w:szCs w:val="20"/>
              </w:rPr>
            </w:pPr>
            <w:r>
              <w:rPr>
                <w:sz w:val="20"/>
                <w:szCs w:val="20"/>
              </w:rPr>
              <w:t>区域环卫部门统一清运</w:t>
            </w:r>
          </w:p>
        </w:tc>
      </w:tr>
    </w:tbl>
    <w:p>
      <w:pPr>
        <w:rPr>
          <w:rFonts w:ascii="Arial"/>
          <w:sz w:val="21"/>
        </w:rPr>
      </w:pPr>
      <w:r/>
    </w:p>
    <w:p>
      <w:pPr>
        <w:sectPr>
          <w:footerReference w:type="default" r:id="rId41"/>
          <w:pgSz w:w="16840" w:h="11900"/>
          <w:pgMar w:top="1011" w:right="1375" w:bottom="978" w:left="1314" w:header="0" w:footer="839" w:gutter="0"/>
        </w:sectPr>
        <w:rPr>
          <w:rFonts w:ascii="Arial" w:hAnsi="Arial" w:eastAsia="Arial" w:cs="Arial"/>
          <w:sz w:val="21"/>
          <w:szCs w:val="21"/>
        </w:rPr>
      </w:pPr>
    </w:p>
    <w:p>
      <w:pPr>
        <w:spacing w:line="37" w:lineRule="auto"/>
        <w:rPr>
          <w:rFonts w:ascii="Arial"/>
          <w:sz w:val="2"/>
        </w:rPr>
      </w:pPr>
      <w:r>
        <w:rPr>
          <w:rFonts w:ascii="Arial"/>
          <w:sz w:val="2"/>
        </w:rPr>
      </w:r>
    </w:p>
    <w:tbl>
      <w:tblPr>
        <w:tblStyle w:val="TableNormal"/>
        <w:tblW w:w="896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34"/>
        <w:gridCol w:w="1728"/>
        <w:gridCol w:w="1828"/>
        <w:gridCol w:w="1498"/>
        <w:gridCol w:w="1498"/>
        <w:gridCol w:w="1583"/>
      </w:tblGrid>
      <w:tr>
        <w:trPr>
          <w:trHeight w:val="2043" w:hRule="atLeast"/>
        </w:trPr>
        <w:tc>
          <w:tcPr>
            <w:tcW w:w="834"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185"/>
              <w:spacing w:before="72" w:line="201" w:lineRule="auto"/>
              <w:rPr>
                <w:sz w:val="22"/>
                <w:szCs w:val="22"/>
              </w:rPr>
            </w:pPr>
            <w:r>
              <w:rPr>
                <w:sz w:val="22"/>
                <w:szCs w:val="22"/>
                <w:spacing w:val="6"/>
              </w:rPr>
              <w:t>与项</w:t>
            </w:r>
          </w:p>
          <w:p>
            <w:pPr>
              <w:pStyle w:val="TableText"/>
              <w:ind w:left="185"/>
              <w:spacing w:line="220" w:lineRule="auto"/>
              <w:rPr>
                <w:sz w:val="22"/>
                <w:szCs w:val="22"/>
              </w:rPr>
            </w:pPr>
            <w:r>
              <w:rPr>
                <w:sz w:val="22"/>
                <w:szCs w:val="22"/>
                <w:spacing w:val="10"/>
              </w:rPr>
              <w:t>目有</w:t>
            </w:r>
          </w:p>
          <w:p>
            <w:pPr>
              <w:pStyle w:val="TableText"/>
              <w:ind w:left="185"/>
              <w:spacing w:before="17" w:line="210" w:lineRule="auto"/>
              <w:rPr>
                <w:sz w:val="22"/>
                <w:szCs w:val="22"/>
              </w:rPr>
            </w:pPr>
            <w:r>
              <w:rPr>
                <w:sz w:val="22"/>
                <w:szCs w:val="22"/>
                <w:spacing w:val="8"/>
              </w:rPr>
              <w:t>关的</w:t>
            </w:r>
          </w:p>
          <w:p>
            <w:pPr>
              <w:pStyle w:val="TableText"/>
              <w:ind w:left="185"/>
              <w:spacing w:line="220" w:lineRule="auto"/>
              <w:rPr>
                <w:sz w:val="22"/>
                <w:szCs w:val="22"/>
              </w:rPr>
            </w:pPr>
            <w:r>
              <w:rPr>
                <w:sz w:val="22"/>
                <w:szCs w:val="22"/>
                <w:spacing w:val="5"/>
              </w:rPr>
              <w:t>原有</w:t>
            </w:r>
          </w:p>
          <w:p>
            <w:pPr>
              <w:pStyle w:val="TableText"/>
              <w:ind w:left="185"/>
              <w:spacing w:before="27" w:line="220" w:lineRule="auto"/>
              <w:rPr>
                <w:sz w:val="22"/>
                <w:szCs w:val="22"/>
              </w:rPr>
            </w:pPr>
            <w:r>
              <w:rPr>
                <w:sz w:val="22"/>
                <w:szCs w:val="22"/>
                <w:spacing w:val="-3"/>
              </w:rPr>
              <w:t>环境</w:t>
            </w:r>
          </w:p>
          <w:p>
            <w:pPr>
              <w:pStyle w:val="TableText"/>
              <w:ind w:left="185"/>
              <w:spacing w:before="7" w:line="220" w:lineRule="auto"/>
              <w:rPr>
                <w:sz w:val="22"/>
                <w:szCs w:val="22"/>
              </w:rPr>
            </w:pPr>
            <w:r>
              <w:rPr>
                <w:sz w:val="22"/>
                <w:szCs w:val="22"/>
                <w:spacing w:val="-3"/>
              </w:rPr>
              <w:t>污染</w:t>
            </w:r>
          </w:p>
          <w:p>
            <w:pPr>
              <w:pStyle w:val="TableText"/>
              <w:ind w:left="185"/>
              <w:spacing w:before="20" w:line="221" w:lineRule="auto"/>
              <w:rPr>
                <w:sz w:val="22"/>
                <w:szCs w:val="22"/>
              </w:rPr>
            </w:pPr>
            <w:r>
              <w:rPr>
                <w:sz w:val="22"/>
                <w:szCs w:val="22"/>
                <w:spacing w:val="5"/>
              </w:rPr>
              <w:t>问题</w:t>
            </w:r>
          </w:p>
        </w:tc>
        <w:tc>
          <w:tcPr>
            <w:tcW w:w="8135" w:type="dxa"/>
            <w:vAlign w:val="top"/>
            <w:gridSpan w:val="5"/>
          </w:tcPr>
          <w:p>
            <w:pPr>
              <w:pStyle w:val="TableText"/>
              <w:ind w:left="194"/>
              <w:spacing w:before="71" w:line="220" w:lineRule="auto"/>
              <w:rPr>
                <w:sz w:val="22"/>
                <w:szCs w:val="22"/>
              </w:rPr>
            </w:pPr>
            <w:r>
              <w:rPr>
                <w:sz w:val="22"/>
                <w:szCs w:val="22"/>
                <w:b/>
                <w:bCs/>
                <w:spacing w:val="-1"/>
              </w:rPr>
              <w:t>5、污染物排放汇总</w:t>
            </w:r>
          </w:p>
          <w:p>
            <w:pPr>
              <w:pStyle w:val="TableText"/>
              <w:ind w:left="601"/>
              <w:spacing w:before="189" w:line="481" w:lineRule="exact"/>
              <w:rPr>
                <w:sz w:val="22"/>
                <w:szCs w:val="22"/>
              </w:rPr>
            </w:pPr>
            <w:r>
              <w:rPr>
                <w:sz w:val="22"/>
                <w:szCs w:val="22"/>
                <w:spacing w:val="-4"/>
                <w:position w:val="19"/>
              </w:rPr>
              <w:t>根据上述各类污染物排放量核算，</w:t>
            </w:r>
            <w:r>
              <w:rPr>
                <w:sz w:val="22"/>
                <w:szCs w:val="22"/>
                <w:spacing w:val="63"/>
                <w:position w:val="19"/>
              </w:rPr>
              <w:t xml:space="preserve"> </w:t>
            </w:r>
            <w:r>
              <w:rPr>
                <w:sz w:val="22"/>
                <w:szCs w:val="22"/>
                <w:spacing w:val="-4"/>
                <w:position w:val="19"/>
              </w:rPr>
              <w:t>一期工程——时</w:t>
            </w:r>
            <w:r>
              <w:rPr>
                <w:sz w:val="22"/>
                <w:szCs w:val="22"/>
                <w:spacing w:val="-5"/>
                <w:position w:val="19"/>
              </w:rPr>
              <w:t>代一汽动力电池项目</w:t>
            </w:r>
          </w:p>
          <w:p>
            <w:pPr>
              <w:pStyle w:val="TableText"/>
              <w:ind w:left="191"/>
              <w:spacing w:line="219" w:lineRule="auto"/>
              <w:rPr>
                <w:sz w:val="22"/>
                <w:szCs w:val="22"/>
              </w:rPr>
            </w:pPr>
            <w:r>
              <w:rPr>
                <w:sz w:val="22"/>
                <w:szCs w:val="22"/>
              </w:rPr>
              <w:t>(年产10GWh)污染物排放量汇总见下表。</w:t>
            </w:r>
          </w:p>
          <w:p>
            <w:pPr>
              <w:pStyle w:val="TableText"/>
              <w:ind w:left="110"/>
              <w:spacing w:before="205" w:line="219" w:lineRule="auto"/>
              <w:rPr>
                <w:sz w:val="22"/>
                <w:szCs w:val="22"/>
              </w:rPr>
            </w:pPr>
            <w:r>
              <w:rPr>
                <w:sz w:val="22"/>
                <w:szCs w:val="22"/>
                <w:spacing w:val="-1"/>
              </w:rPr>
              <w:t>表</w:t>
            </w:r>
            <w:r>
              <w:rPr>
                <w:sz w:val="22"/>
                <w:szCs w:val="22"/>
                <w:spacing w:val="-27"/>
              </w:rPr>
              <w:t xml:space="preserve"> </w:t>
            </w:r>
            <w:r>
              <w:rPr>
                <w:sz w:val="22"/>
                <w:szCs w:val="22"/>
                <w:b/>
                <w:bCs/>
                <w:spacing w:val="-1"/>
              </w:rPr>
              <w:t>2</w:t>
            </w:r>
            <w:r>
              <w:rPr>
                <w:sz w:val="22"/>
                <w:szCs w:val="22"/>
                <w:spacing w:val="-46"/>
              </w:rPr>
              <w:t xml:space="preserve"> </w:t>
            </w:r>
            <w:r>
              <w:rPr>
                <w:sz w:val="22"/>
                <w:szCs w:val="22"/>
                <w:b/>
                <w:bCs/>
                <w:spacing w:val="-1"/>
              </w:rPr>
              <w:t>.</w:t>
            </w:r>
            <w:r>
              <w:rPr>
                <w:sz w:val="22"/>
                <w:szCs w:val="22"/>
                <w:spacing w:val="-51"/>
              </w:rPr>
              <w:t xml:space="preserve"> </w:t>
            </w:r>
            <w:r>
              <w:rPr>
                <w:sz w:val="22"/>
                <w:szCs w:val="22"/>
                <w:b/>
                <w:bCs/>
                <w:spacing w:val="-1"/>
              </w:rPr>
              <w:t>8</w:t>
            </w:r>
            <w:r>
              <w:rPr>
                <w:sz w:val="22"/>
                <w:szCs w:val="22"/>
                <w:spacing w:val="-54"/>
              </w:rPr>
              <w:t xml:space="preserve"> </w:t>
            </w:r>
            <w:r>
              <w:rPr>
                <w:sz w:val="22"/>
                <w:szCs w:val="22"/>
                <w:b/>
                <w:bCs/>
                <w:spacing w:val="-1"/>
              </w:rPr>
              <w:t>-</w:t>
            </w:r>
            <w:r>
              <w:rPr>
                <w:sz w:val="22"/>
                <w:szCs w:val="22"/>
                <w:spacing w:val="-50"/>
              </w:rPr>
              <w:t xml:space="preserve"> </w:t>
            </w:r>
            <w:r>
              <w:rPr>
                <w:sz w:val="22"/>
                <w:szCs w:val="22"/>
                <w:b/>
                <w:bCs/>
                <w:spacing w:val="-1"/>
              </w:rPr>
              <w:t>6</w:t>
            </w:r>
            <w:r>
              <w:rPr>
                <w:sz w:val="22"/>
                <w:szCs w:val="22"/>
                <w:spacing w:val="17"/>
              </w:rPr>
              <w:t xml:space="preserve">   </w:t>
            </w:r>
            <w:r>
              <w:rPr>
                <w:sz w:val="22"/>
                <w:szCs w:val="22"/>
                <w:b/>
                <w:bCs/>
                <w:spacing w:val="-1"/>
              </w:rPr>
              <w:t>一</w:t>
            </w:r>
            <w:r>
              <w:rPr>
                <w:sz w:val="22"/>
                <w:szCs w:val="22"/>
                <w:spacing w:val="-49"/>
              </w:rPr>
              <w:t xml:space="preserve"> </w:t>
            </w:r>
            <w:r>
              <w:rPr>
                <w:sz w:val="22"/>
                <w:szCs w:val="22"/>
                <w:b/>
                <w:bCs/>
                <w:spacing w:val="-1"/>
              </w:rPr>
              <w:t>期工程</w:t>
            </w:r>
            <w:r>
              <w:rPr>
                <w:sz w:val="22"/>
                <w:szCs w:val="22"/>
                <w:spacing w:val="-54"/>
              </w:rPr>
              <w:t xml:space="preserve"> </w:t>
            </w:r>
            <w:r>
              <w:rPr>
                <w:sz w:val="22"/>
                <w:szCs w:val="22"/>
                <w:b/>
                <w:bCs/>
                <w:spacing w:val="-1"/>
              </w:rPr>
              <w:t>—</w:t>
            </w:r>
            <w:r>
              <w:rPr>
                <w:sz w:val="22"/>
                <w:szCs w:val="22"/>
                <w:spacing w:val="-54"/>
              </w:rPr>
              <w:t xml:space="preserve"> </w:t>
            </w:r>
            <w:r>
              <w:rPr>
                <w:sz w:val="22"/>
                <w:szCs w:val="22"/>
                <w:b/>
                <w:bCs/>
                <w:spacing w:val="-1"/>
              </w:rPr>
              <w:t>—</w:t>
            </w:r>
            <w:r>
              <w:rPr>
                <w:sz w:val="22"/>
                <w:szCs w:val="22"/>
                <w:spacing w:val="-41"/>
              </w:rPr>
              <w:t xml:space="preserve"> </w:t>
            </w:r>
            <w:r>
              <w:rPr>
                <w:sz w:val="22"/>
                <w:szCs w:val="22"/>
                <w:b/>
                <w:bCs/>
                <w:spacing w:val="-1"/>
              </w:rPr>
              <w:t>时代</w:t>
            </w:r>
            <w:r>
              <w:rPr>
                <w:sz w:val="22"/>
                <w:szCs w:val="22"/>
                <w:spacing w:val="-48"/>
              </w:rPr>
              <w:t xml:space="preserve"> </w:t>
            </w:r>
            <w:r>
              <w:rPr>
                <w:sz w:val="22"/>
                <w:szCs w:val="22"/>
                <w:b/>
                <w:bCs/>
                <w:spacing w:val="-1"/>
              </w:rPr>
              <w:t>一</w:t>
            </w:r>
            <w:r>
              <w:rPr>
                <w:sz w:val="22"/>
                <w:szCs w:val="22"/>
                <w:spacing w:val="-52"/>
              </w:rPr>
              <w:t xml:space="preserve"> </w:t>
            </w:r>
            <w:r>
              <w:rPr>
                <w:sz w:val="22"/>
                <w:szCs w:val="22"/>
                <w:b/>
                <w:bCs/>
                <w:spacing w:val="49"/>
              </w:rPr>
              <w:t>汽动力电池项目(年产10</w:t>
            </w:r>
            <w:r>
              <w:rPr>
                <w:sz w:val="22"/>
                <w:szCs w:val="22"/>
                <w:b/>
                <w:bCs/>
              </w:rPr>
              <w:t>GWh</w:t>
            </w:r>
            <w:r>
              <w:rPr>
                <w:sz w:val="22"/>
                <w:szCs w:val="22"/>
                <w:b/>
                <w:bCs/>
                <w:spacing w:val="49"/>
              </w:rPr>
              <w:t>)污</w:t>
            </w:r>
            <w:r>
              <w:rPr>
                <w:sz w:val="22"/>
                <w:szCs w:val="22"/>
                <w:spacing w:val="49"/>
              </w:rPr>
              <w:t>染</w:t>
            </w:r>
          </w:p>
          <w:p>
            <w:pPr>
              <w:pStyle w:val="TableText"/>
              <w:ind w:left="3034"/>
              <w:spacing w:before="79" w:line="186" w:lineRule="auto"/>
              <w:rPr>
                <w:sz w:val="22"/>
                <w:szCs w:val="22"/>
              </w:rPr>
            </w:pPr>
            <w:r>
              <w:rPr>
                <w:sz w:val="22"/>
                <w:szCs w:val="22"/>
                <w:b/>
                <w:bCs/>
                <w:spacing w:val="-4"/>
              </w:rPr>
              <w:t>物排放总量一览表</w:t>
            </w:r>
          </w:p>
        </w:tc>
      </w:tr>
      <w:tr>
        <w:trPr>
          <w:trHeight w:val="320" w:hRule="atLeast"/>
        </w:trPr>
        <w:tc>
          <w:tcPr>
            <w:tcW w:w="834" w:type="dxa"/>
            <w:vAlign w:val="top"/>
            <w:vMerge w:val="continue"/>
            <w:tcBorders>
              <w:top w:val="nil"/>
              <w:bottom w:val="nil"/>
            </w:tcBorders>
          </w:tcPr>
          <w:p>
            <w:pPr>
              <w:rPr>
                <w:rFonts w:ascii="Arial"/>
                <w:sz w:val="21"/>
              </w:rPr>
            </w:pPr>
            <w:r/>
          </w:p>
        </w:tc>
        <w:tc>
          <w:tcPr>
            <w:tcW w:w="1728" w:type="dxa"/>
            <w:vAlign w:val="top"/>
          </w:tcPr>
          <w:p>
            <w:pPr>
              <w:pStyle w:val="TableText"/>
              <w:ind w:left="631"/>
              <w:spacing w:before="51" w:line="217" w:lineRule="auto"/>
              <w:rPr>
                <w:sz w:val="22"/>
                <w:szCs w:val="22"/>
              </w:rPr>
            </w:pPr>
            <w:r>
              <w:rPr>
                <w:sz w:val="22"/>
                <w:szCs w:val="22"/>
                <w:spacing w:val="7"/>
              </w:rPr>
              <w:t>类型</w:t>
            </w:r>
          </w:p>
        </w:tc>
        <w:tc>
          <w:tcPr>
            <w:tcW w:w="1828" w:type="dxa"/>
            <w:vAlign w:val="top"/>
          </w:tcPr>
          <w:p>
            <w:pPr>
              <w:pStyle w:val="TableText"/>
              <w:ind w:left="573"/>
              <w:spacing w:before="51" w:line="217" w:lineRule="auto"/>
              <w:rPr>
                <w:sz w:val="22"/>
                <w:szCs w:val="22"/>
              </w:rPr>
            </w:pPr>
            <w:r>
              <w:rPr>
                <w:sz w:val="22"/>
                <w:szCs w:val="22"/>
                <w:spacing w:val="3"/>
              </w:rPr>
              <w:t>污染物</w:t>
            </w:r>
          </w:p>
        </w:tc>
        <w:tc>
          <w:tcPr>
            <w:tcW w:w="4579" w:type="dxa"/>
            <w:vAlign w:val="top"/>
            <w:gridSpan w:val="3"/>
          </w:tcPr>
          <w:p>
            <w:pPr>
              <w:pStyle w:val="TableText"/>
              <w:ind w:left="1675"/>
              <w:spacing w:before="52" w:line="216" w:lineRule="auto"/>
              <w:rPr>
                <w:sz w:val="22"/>
                <w:szCs w:val="22"/>
              </w:rPr>
            </w:pPr>
            <w:r>
              <w:rPr>
                <w:sz w:val="22"/>
                <w:szCs w:val="22"/>
                <w:spacing w:val="6"/>
              </w:rPr>
              <w:t>排放量(t/a)</w:t>
            </w:r>
          </w:p>
        </w:tc>
      </w:tr>
      <w:tr>
        <w:trPr>
          <w:trHeight w:val="270" w:hRule="atLeast"/>
        </w:trPr>
        <w:tc>
          <w:tcPr>
            <w:tcW w:w="834" w:type="dxa"/>
            <w:vAlign w:val="top"/>
            <w:vMerge w:val="continue"/>
            <w:tcBorders>
              <w:top w:val="nil"/>
              <w:bottom w:val="nil"/>
            </w:tcBorders>
          </w:tcPr>
          <w:p>
            <w:pPr>
              <w:rPr>
                <w:rFonts w:ascii="Arial"/>
                <w:sz w:val="21"/>
              </w:rPr>
            </w:pPr>
            <w:r/>
          </w:p>
        </w:tc>
        <w:tc>
          <w:tcPr>
            <w:tcW w:w="1728"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631"/>
              <w:spacing w:before="72" w:line="219" w:lineRule="auto"/>
              <w:rPr>
                <w:sz w:val="22"/>
                <w:szCs w:val="22"/>
              </w:rPr>
            </w:pPr>
            <w:r>
              <w:rPr>
                <w:sz w:val="22"/>
                <w:szCs w:val="22"/>
                <w:spacing w:val="-2"/>
              </w:rPr>
              <w:t>废水</w:t>
            </w:r>
          </w:p>
        </w:tc>
        <w:tc>
          <w:tcPr>
            <w:tcW w:w="1828" w:type="dxa"/>
            <w:vAlign w:val="top"/>
            <w:vMerge w:val="restart"/>
            <w:tcBorders>
              <w:bottom w:val="nil"/>
            </w:tcBorders>
          </w:tcPr>
          <w:p>
            <w:pPr>
              <w:pStyle w:val="TableText"/>
              <w:ind w:left="462"/>
              <w:spacing w:before="151" w:line="219" w:lineRule="auto"/>
              <w:rPr>
                <w:sz w:val="22"/>
                <w:szCs w:val="22"/>
              </w:rPr>
            </w:pPr>
            <w:r>
              <w:rPr>
                <w:sz w:val="22"/>
                <w:szCs w:val="22"/>
                <w:spacing w:val="2"/>
              </w:rPr>
              <w:t>总废水量</w:t>
            </w:r>
          </w:p>
        </w:tc>
        <w:tc>
          <w:tcPr>
            <w:tcW w:w="1498" w:type="dxa"/>
            <w:vAlign w:val="top"/>
          </w:tcPr>
          <w:p>
            <w:pPr>
              <w:pStyle w:val="TableText"/>
              <w:ind w:left="305"/>
              <w:spacing w:before="31" w:line="192" w:lineRule="auto"/>
              <w:rPr>
                <w:sz w:val="22"/>
                <w:szCs w:val="22"/>
              </w:rPr>
            </w:pPr>
            <w:r>
              <w:rPr>
                <w:sz w:val="22"/>
                <w:szCs w:val="22"/>
                <w:spacing w:val="2"/>
              </w:rPr>
              <w:t>生活污水</w:t>
            </w:r>
          </w:p>
        </w:tc>
        <w:tc>
          <w:tcPr>
            <w:tcW w:w="1498" w:type="dxa"/>
            <w:vAlign w:val="top"/>
          </w:tcPr>
          <w:p>
            <w:pPr>
              <w:pStyle w:val="TableText"/>
              <w:ind w:left="307"/>
              <w:spacing w:before="31" w:line="192" w:lineRule="auto"/>
              <w:rPr>
                <w:sz w:val="22"/>
                <w:szCs w:val="22"/>
              </w:rPr>
            </w:pPr>
            <w:r>
              <w:rPr>
                <w:sz w:val="22"/>
                <w:szCs w:val="22"/>
                <w:spacing w:val="2"/>
              </w:rPr>
              <w:t>生产废水</w:t>
            </w:r>
          </w:p>
        </w:tc>
        <w:tc>
          <w:tcPr>
            <w:tcW w:w="1583" w:type="dxa"/>
            <w:vAlign w:val="top"/>
          </w:tcPr>
          <w:p>
            <w:pPr>
              <w:pStyle w:val="TableText"/>
              <w:ind w:left="348"/>
              <w:spacing w:before="32" w:line="191" w:lineRule="auto"/>
              <w:rPr>
                <w:sz w:val="22"/>
                <w:szCs w:val="22"/>
              </w:rPr>
            </w:pPr>
            <w:r>
              <w:rPr>
                <w:sz w:val="22"/>
                <w:szCs w:val="22"/>
                <w:spacing w:val="2"/>
              </w:rPr>
              <w:t>总排放量</w:t>
            </w:r>
          </w:p>
        </w:tc>
      </w:tr>
      <w:tr>
        <w:trPr>
          <w:trHeight w:val="239" w:hRule="atLeast"/>
        </w:trPr>
        <w:tc>
          <w:tcPr>
            <w:tcW w:w="834" w:type="dxa"/>
            <w:vAlign w:val="top"/>
            <w:vMerge w:val="continue"/>
            <w:tcBorders>
              <w:top w:val="nil"/>
              <w:bottom w:val="nil"/>
            </w:tcBorders>
          </w:tcPr>
          <w:p>
            <w:pPr>
              <w:rPr>
                <w:rFonts w:ascii="Arial"/>
                <w:sz w:val="21"/>
              </w:rPr>
            </w:pPr>
            <w:r/>
          </w:p>
        </w:tc>
        <w:tc>
          <w:tcPr>
            <w:tcW w:w="1728" w:type="dxa"/>
            <w:vAlign w:val="top"/>
            <w:vMerge w:val="continue"/>
            <w:tcBorders>
              <w:top w:val="nil"/>
              <w:bottom w:val="nil"/>
            </w:tcBorders>
          </w:tcPr>
          <w:p>
            <w:pPr>
              <w:rPr>
                <w:rFonts w:ascii="Arial"/>
                <w:sz w:val="21"/>
              </w:rPr>
            </w:pPr>
            <w:r/>
          </w:p>
        </w:tc>
        <w:tc>
          <w:tcPr>
            <w:tcW w:w="1828" w:type="dxa"/>
            <w:vAlign w:val="top"/>
            <w:vMerge w:val="continue"/>
            <w:tcBorders>
              <w:top w:val="nil"/>
            </w:tcBorders>
          </w:tcPr>
          <w:p>
            <w:pPr>
              <w:rPr>
                <w:rFonts w:ascii="Arial"/>
                <w:sz w:val="21"/>
              </w:rPr>
            </w:pPr>
            <w:r/>
          </w:p>
        </w:tc>
        <w:tc>
          <w:tcPr>
            <w:tcW w:w="1498" w:type="dxa"/>
            <w:vAlign w:val="top"/>
          </w:tcPr>
          <w:p>
            <w:pPr>
              <w:pStyle w:val="TableText"/>
              <w:ind w:left="414"/>
              <w:spacing w:before="86" w:line="143" w:lineRule="exact"/>
              <w:rPr>
                <w:sz w:val="22"/>
                <w:szCs w:val="22"/>
              </w:rPr>
            </w:pPr>
            <w:r>
              <w:rPr>
                <w:sz w:val="22"/>
                <w:szCs w:val="22"/>
                <w:spacing w:val="-4"/>
                <w:position w:val="-3"/>
              </w:rPr>
              <w:t>190800</w:t>
            </w:r>
          </w:p>
        </w:tc>
        <w:tc>
          <w:tcPr>
            <w:tcW w:w="1498" w:type="dxa"/>
            <w:vAlign w:val="top"/>
          </w:tcPr>
          <w:p>
            <w:pPr>
              <w:pStyle w:val="TableText"/>
              <w:ind w:left="467"/>
              <w:spacing w:before="86" w:line="143" w:lineRule="exact"/>
              <w:rPr>
                <w:sz w:val="22"/>
                <w:szCs w:val="22"/>
              </w:rPr>
            </w:pPr>
            <w:r>
              <w:rPr>
                <w:sz w:val="22"/>
                <w:szCs w:val="22"/>
                <w:spacing w:val="-4"/>
                <w:position w:val="-3"/>
              </w:rPr>
              <w:t>18900</w:t>
            </w:r>
          </w:p>
        </w:tc>
        <w:tc>
          <w:tcPr>
            <w:tcW w:w="1583" w:type="dxa"/>
            <w:vAlign w:val="top"/>
          </w:tcPr>
          <w:p>
            <w:pPr>
              <w:pStyle w:val="TableText"/>
              <w:ind w:left="459"/>
              <w:spacing w:before="87" w:line="142" w:lineRule="exact"/>
              <w:rPr>
                <w:sz w:val="22"/>
                <w:szCs w:val="22"/>
              </w:rPr>
            </w:pPr>
            <w:r>
              <w:rPr>
                <w:sz w:val="22"/>
                <w:szCs w:val="22"/>
                <w:spacing w:val="-2"/>
                <w:position w:val="-3"/>
              </w:rPr>
              <w:t>209700</w:t>
            </w:r>
          </w:p>
        </w:tc>
      </w:tr>
      <w:tr>
        <w:trPr>
          <w:trHeight w:val="350" w:hRule="atLeast"/>
        </w:trPr>
        <w:tc>
          <w:tcPr>
            <w:tcW w:w="834" w:type="dxa"/>
            <w:vAlign w:val="top"/>
            <w:vMerge w:val="continue"/>
            <w:tcBorders>
              <w:top w:val="nil"/>
              <w:bottom w:val="nil"/>
            </w:tcBorders>
          </w:tcPr>
          <w:p>
            <w:pPr>
              <w:rPr>
                <w:rFonts w:ascii="Arial"/>
                <w:sz w:val="21"/>
              </w:rPr>
            </w:pPr>
            <w:r/>
          </w:p>
        </w:tc>
        <w:tc>
          <w:tcPr>
            <w:tcW w:w="1728" w:type="dxa"/>
            <w:vAlign w:val="top"/>
            <w:vMerge w:val="continue"/>
            <w:tcBorders>
              <w:top w:val="nil"/>
              <w:bottom w:val="nil"/>
            </w:tcBorders>
          </w:tcPr>
          <w:p>
            <w:pPr>
              <w:rPr>
                <w:rFonts w:ascii="Arial"/>
                <w:sz w:val="21"/>
              </w:rPr>
            </w:pPr>
            <w:r/>
          </w:p>
        </w:tc>
        <w:tc>
          <w:tcPr>
            <w:tcW w:w="1828" w:type="dxa"/>
            <w:vAlign w:val="top"/>
          </w:tcPr>
          <w:p>
            <w:pPr>
              <w:pStyle w:val="TableText"/>
              <w:ind w:left="742"/>
              <w:spacing w:before="129" w:line="177" w:lineRule="auto"/>
              <w:rPr>
                <w:sz w:val="22"/>
                <w:szCs w:val="22"/>
              </w:rPr>
            </w:pPr>
            <w:r>
              <w:rPr>
                <w:sz w:val="22"/>
                <w:szCs w:val="22"/>
                <w:spacing w:val="-2"/>
              </w:rPr>
              <w:t>COD</w:t>
            </w:r>
          </w:p>
        </w:tc>
        <w:tc>
          <w:tcPr>
            <w:tcW w:w="1498" w:type="dxa"/>
            <w:vAlign w:val="top"/>
          </w:tcPr>
          <w:p>
            <w:pPr>
              <w:pStyle w:val="TableText"/>
              <w:ind w:left="464"/>
              <w:spacing w:before="129" w:line="177" w:lineRule="auto"/>
              <w:rPr>
                <w:sz w:val="22"/>
                <w:szCs w:val="22"/>
              </w:rPr>
            </w:pPr>
            <w:r>
              <w:rPr>
                <w:sz w:val="22"/>
                <w:szCs w:val="22"/>
                <w:spacing w:val="-2"/>
              </w:rPr>
              <w:t>6.432</w:t>
            </w:r>
          </w:p>
        </w:tc>
        <w:tc>
          <w:tcPr>
            <w:tcW w:w="1498" w:type="dxa"/>
            <w:vAlign w:val="top"/>
          </w:tcPr>
          <w:p>
            <w:pPr>
              <w:pStyle w:val="TableText"/>
              <w:ind w:left="467"/>
              <w:spacing w:before="129" w:line="177" w:lineRule="auto"/>
              <w:rPr>
                <w:sz w:val="22"/>
                <w:szCs w:val="22"/>
              </w:rPr>
            </w:pPr>
            <w:r>
              <w:rPr>
                <w:sz w:val="22"/>
                <w:szCs w:val="22"/>
                <w:spacing w:val="-2"/>
              </w:rPr>
              <w:t>0.945</w:t>
            </w:r>
          </w:p>
        </w:tc>
        <w:tc>
          <w:tcPr>
            <w:tcW w:w="1583" w:type="dxa"/>
            <w:vAlign w:val="top"/>
          </w:tcPr>
          <w:p>
            <w:pPr>
              <w:pStyle w:val="TableText"/>
              <w:ind w:left="509"/>
              <w:spacing w:before="129" w:line="177" w:lineRule="auto"/>
              <w:rPr>
                <w:sz w:val="22"/>
                <w:szCs w:val="22"/>
              </w:rPr>
            </w:pPr>
            <w:r>
              <w:rPr>
                <w:sz w:val="22"/>
                <w:szCs w:val="22"/>
                <w:spacing w:val="-3"/>
              </w:rPr>
              <w:t>7.377</w:t>
            </w:r>
          </w:p>
        </w:tc>
      </w:tr>
      <w:tr>
        <w:trPr>
          <w:trHeight w:val="320" w:hRule="atLeast"/>
        </w:trPr>
        <w:tc>
          <w:tcPr>
            <w:tcW w:w="834" w:type="dxa"/>
            <w:vAlign w:val="top"/>
            <w:vMerge w:val="continue"/>
            <w:tcBorders>
              <w:top w:val="nil"/>
              <w:bottom w:val="nil"/>
            </w:tcBorders>
          </w:tcPr>
          <w:p>
            <w:pPr>
              <w:rPr>
                <w:rFonts w:ascii="Arial"/>
                <w:sz w:val="21"/>
              </w:rPr>
            </w:pPr>
            <w:r/>
          </w:p>
        </w:tc>
        <w:tc>
          <w:tcPr>
            <w:tcW w:w="1728" w:type="dxa"/>
            <w:vAlign w:val="top"/>
            <w:vMerge w:val="continue"/>
            <w:tcBorders>
              <w:top w:val="nil"/>
              <w:bottom w:val="nil"/>
            </w:tcBorders>
          </w:tcPr>
          <w:p>
            <w:pPr>
              <w:rPr>
                <w:rFonts w:ascii="Arial"/>
                <w:sz w:val="21"/>
              </w:rPr>
            </w:pPr>
            <w:r/>
          </w:p>
        </w:tc>
        <w:tc>
          <w:tcPr>
            <w:tcW w:w="1828" w:type="dxa"/>
            <w:vAlign w:val="top"/>
          </w:tcPr>
          <w:p>
            <w:pPr>
              <w:pStyle w:val="TableText"/>
              <w:ind w:left="683"/>
              <w:spacing w:before="51" w:line="217" w:lineRule="auto"/>
              <w:rPr>
                <w:sz w:val="22"/>
                <w:szCs w:val="22"/>
              </w:rPr>
            </w:pPr>
            <w:r>
              <w:rPr>
                <w:sz w:val="22"/>
                <w:szCs w:val="22"/>
                <w:spacing w:val="-3"/>
              </w:rPr>
              <w:t>氨氮</w:t>
            </w:r>
          </w:p>
        </w:tc>
        <w:tc>
          <w:tcPr>
            <w:tcW w:w="1498" w:type="dxa"/>
            <w:vAlign w:val="top"/>
          </w:tcPr>
          <w:p>
            <w:pPr>
              <w:pStyle w:val="TableText"/>
              <w:ind w:left="464"/>
              <w:spacing w:before="108" w:line="169" w:lineRule="auto"/>
              <w:rPr>
                <w:sz w:val="22"/>
                <w:szCs w:val="22"/>
              </w:rPr>
            </w:pPr>
            <w:r>
              <w:rPr>
                <w:sz w:val="22"/>
                <w:szCs w:val="22"/>
                <w:spacing w:val="-2"/>
              </w:rPr>
              <w:t>0.643</w:t>
            </w:r>
          </w:p>
        </w:tc>
        <w:tc>
          <w:tcPr>
            <w:tcW w:w="1498" w:type="dxa"/>
            <w:vAlign w:val="top"/>
          </w:tcPr>
          <w:p>
            <w:pPr>
              <w:pStyle w:val="TableText"/>
              <w:ind w:left="416"/>
              <w:spacing w:before="108" w:line="169" w:lineRule="auto"/>
              <w:rPr>
                <w:sz w:val="22"/>
                <w:szCs w:val="22"/>
              </w:rPr>
            </w:pPr>
            <w:r>
              <w:rPr>
                <w:sz w:val="22"/>
                <w:szCs w:val="22"/>
                <w:spacing w:val="-2"/>
              </w:rPr>
              <w:t>0.0945</w:t>
            </w:r>
          </w:p>
        </w:tc>
        <w:tc>
          <w:tcPr>
            <w:tcW w:w="1583" w:type="dxa"/>
            <w:vAlign w:val="top"/>
          </w:tcPr>
          <w:p>
            <w:pPr>
              <w:pStyle w:val="TableText"/>
              <w:ind w:left="459"/>
              <w:spacing w:before="108" w:line="169" w:lineRule="auto"/>
              <w:rPr>
                <w:sz w:val="22"/>
                <w:szCs w:val="22"/>
              </w:rPr>
            </w:pPr>
            <w:r>
              <w:rPr>
                <w:sz w:val="22"/>
                <w:szCs w:val="22"/>
                <w:spacing w:val="-2"/>
              </w:rPr>
              <w:t>0.7377</w:t>
            </w:r>
          </w:p>
        </w:tc>
      </w:tr>
      <w:tr>
        <w:trPr>
          <w:trHeight w:val="350" w:hRule="atLeast"/>
        </w:trPr>
        <w:tc>
          <w:tcPr>
            <w:tcW w:w="834" w:type="dxa"/>
            <w:vAlign w:val="top"/>
            <w:vMerge w:val="continue"/>
            <w:tcBorders>
              <w:top w:val="nil"/>
              <w:bottom w:val="nil"/>
            </w:tcBorders>
          </w:tcPr>
          <w:p>
            <w:pPr>
              <w:rPr>
                <w:rFonts w:ascii="Arial"/>
                <w:sz w:val="21"/>
              </w:rPr>
            </w:pPr>
            <w:r/>
          </w:p>
        </w:tc>
        <w:tc>
          <w:tcPr>
            <w:tcW w:w="1728" w:type="dxa"/>
            <w:vAlign w:val="top"/>
            <w:vMerge w:val="continue"/>
            <w:tcBorders>
              <w:top w:val="nil"/>
              <w:bottom w:val="nil"/>
            </w:tcBorders>
          </w:tcPr>
          <w:p>
            <w:pPr>
              <w:rPr>
                <w:rFonts w:ascii="Arial"/>
                <w:sz w:val="21"/>
              </w:rPr>
            </w:pPr>
            <w:r/>
          </w:p>
        </w:tc>
        <w:tc>
          <w:tcPr>
            <w:tcW w:w="1828" w:type="dxa"/>
            <w:vAlign w:val="top"/>
          </w:tcPr>
          <w:p>
            <w:pPr>
              <w:pStyle w:val="TableText"/>
              <w:ind w:left="683"/>
              <w:spacing w:before="75" w:line="221" w:lineRule="auto"/>
              <w:rPr>
                <w:sz w:val="22"/>
                <w:szCs w:val="22"/>
              </w:rPr>
            </w:pPr>
            <w:r>
              <w:rPr>
                <w:sz w:val="22"/>
                <w:szCs w:val="22"/>
                <w:spacing w:val="5"/>
              </w:rPr>
              <w:t>总钴</w:t>
            </w:r>
          </w:p>
        </w:tc>
        <w:tc>
          <w:tcPr>
            <w:tcW w:w="1498" w:type="dxa"/>
            <w:vAlign w:val="top"/>
          </w:tcPr>
          <w:p>
            <w:pPr>
              <w:pStyle w:val="TableText"/>
              <w:ind w:left="684"/>
              <w:spacing w:before="77" w:line="220" w:lineRule="auto"/>
              <w:rPr>
                <w:sz w:val="22"/>
                <w:szCs w:val="22"/>
              </w:rPr>
            </w:pPr>
            <w:r>
              <w:rPr>
                <w:sz w:val="22"/>
                <w:szCs w:val="22"/>
              </w:rPr>
              <w:t>/</w:t>
            </w:r>
          </w:p>
        </w:tc>
        <w:tc>
          <w:tcPr>
            <w:tcW w:w="1498" w:type="dxa"/>
            <w:vAlign w:val="top"/>
          </w:tcPr>
          <w:p>
            <w:pPr>
              <w:pStyle w:val="TableText"/>
              <w:ind w:left="356"/>
              <w:spacing w:before="127" w:line="178" w:lineRule="auto"/>
              <w:rPr>
                <w:sz w:val="22"/>
                <w:szCs w:val="22"/>
              </w:rPr>
            </w:pPr>
            <w:r>
              <w:rPr>
                <w:sz w:val="22"/>
                <w:szCs w:val="22"/>
                <w:spacing w:val="-2"/>
              </w:rPr>
              <w:t>0.00001</w:t>
            </w:r>
          </w:p>
        </w:tc>
        <w:tc>
          <w:tcPr>
            <w:tcW w:w="1583" w:type="dxa"/>
            <w:vAlign w:val="top"/>
          </w:tcPr>
          <w:p>
            <w:pPr>
              <w:pStyle w:val="TableText"/>
              <w:ind w:left="398"/>
              <w:spacing w:before="127" w:line="178" w:lineRule="auto"/>
              <w:rPr>
                <w:sz w:val="22"/>
                <w:szCs w:val="22"/>
              </w:rPr>
            </w:pPr>
            <w:r>
              <w:rPr>
                <w:sz w:val="22"/>
                <w:szCs w:val="22"/>
                <w:spacing w:val="-2"/>
              </w:rPr>
              <w:t>0.00001</w:t>
            </w:r>
          </w:p>
        </w:tc>
      </w:tr>
      <w:tr>
        <w:trPr>
          <w:trHeight w:val="349" w:hRule="atLeast"/>
        </w:trPr>
        <w:tc>
          <w:tcPr>
            <w:tcW w:w="834" w:type="dxa"/>
            <w:vAlign w:val="top"/>
            <w:vMerge w:val="continue"/>
            <w:tcBorders>
              <w:top w:val="nil"/>
              <w:bottom w:val="nil"/>
            </w:tcBorders>
          </w:tcPr>
          <w:p>
            <w:pPr>
              <w:rPr>
                <w:rFonts w:ascii="Arial"/>
                <w:sz w:val="21"/>
              </w:rPr>
            </w:pPr>
            <w:r/>
          </w:p>
        </w:tc>
        <w:tc>
          <w:tcPr>
            <w:tcW w:w="1728" w:type="dxa"/>
            <w:vAlign w:val="top"/>
            <w:vMerge w:val="continue"/>
            <w:tcBorders>
              <w:top w:val="nil"/>
            </w:tcBorders>
          </w:tcPr>
          <w:p>
            <w:pPr>
              <w:rPr>
                <w:rFonts w:ascii="Arial"/>
                <w:sz w:val="21"/>
              </w:rPr>
            </w:pPr>
            <w:r/>
          </w:p>
        </w:tc>
        <w:tc>
          <w:tcPr>
            <w:tcW w:w="1828" w:type="dxa"/>
            <w:vAlign w:val="top"/>
          </w:tcPr>
          <w:p>
            <w:pPr>
              <w:pStyle w:val="TableText"/>
              <w:ind w:left="683"/>
              <w:spacing w:before="72" w:line="220" w:lineRule="auto"/>
              <w:rPr>
                <w:sz w:val="22"/>
                <w:szCs w:val="22"/>
              </w:rPr>
            </w:pPr>
            <w:r>
              <w:rPr>
                <w:sz w:val="22"/>
                <w:szCs w:val="22"/>
                <w:spacing w:val="4"/>
              </w:rPr>
              <w:t>总镍</w:t>
            </w:r>
          </w:p>
        </w:tc>
        <w:tc>
          <w:tcPr>
            <w:tcW w:w="1498" w:type="dxa"/>
            <w:vAlign w:val="top"/>
          </w:tcPr>
          <w:p>
            <w:pPr>
              <w:pStyle w:val="TableText"/>
              <w:ind w:left="684"/>
              <w:spacing w:before="78" w:line="219" w:lineRule="auto"/>
              <w:rPr>
                <w:sz w:val="22"/>
                <w:szCs w:val="22"/>
              </w:rPr>
            </w:pPr>
            <w:r>
              <w:rPr>
                <w:sz w:val="22"/>
                <w:szCs w:val="22"/>
              </w:rPr>
              <w:t>/</w:t>
            </w:r>
          </w:p>
        </w:tc>
        <w:tc>
          <w:tcPr>
            <w:tcW w:w="1498" w:type="dxa"/>
            <w:vAlign w:val="top"/>
          </w:tcPr>
          <w:p>
            <w:pPr>
              <w:pStyle w:val="TableText"/>
              <w:ind w:left="416"/>
              <w:spacing w:before="129" w:line="176" w:lineRule="auto"/>
              <w:rPr>
                <w:sz w:val="22"/>
                <w:szCs w:val="22"/>
              </w:rPr>
            </w:pPr>
            <w:r>
              <w:rPr>
                <w:sz w:val="22"/>
                <w:szCs w:val="22"/>
                <w:spacing w:val="-2"/>
              </w:rPr>
              <w:t>0.0003</w:t>
            </w:r>
          </w:p>
        </w:tc>
        <w:tc>
          <w:tcPr>
            <w:tcW w:w="1583" w:type="dxa"/>
            <w:vAlign w:val="top"/>
          </w:tcPr>
          <w:p>
            <w:pPr>
              <w:pStyle w:val="TableText"/>
              <w:ind w:left="459"/>
              <w:spacing w:before="129" w:line="176" w:lineRule="auto"/>
              <w:rPr>
                <w:sz w:val="22"/>
                <w:szCs w:val="22"/>
              </w:rPr>
            </w:pPr>
            <w:r>
              <w:rPr>
                <w:sz w:val="22"/>
                <w:szCs w:val="22"/>
                <w:spacing w:val="-2"/>
              </w:rPr>
              <w:t>0.0003</w:t>
            </w:r>
          </w:p>
        </w:tc>
      </w:tr>
      <w:tr>
        <w:trPr>
          <w:trHeight w:val="320" w:hRule="atLeast"/>
        </w:trPr>
        <w:tc>
          <w:tcPr>
            <w:tcW w:w="834" w:type="dxa"/>
            <w:vAlign w:val="top"/>
            <w:vMerge w:val="continue"/>
            <w:tcBorders>
              <w:top w:val="nil"/>
              <w:bottom w:val="nil"/>
            </w:tcBorders>
          </w:tcPr>
          <w:p>
            <w:pPr>
              <w:rPr>
                <w:rFonts w:ascii="Arial"/>
                <w:sz w:val="21"/>
              </w:rPr>
            </w:pPr>
            <w:r/>
          </w:p>
        </w:tc>
        <w:tc>
          <w:tcPr>
            <w:tcW w:w="1728" w:type="dxa"/>
            <w:vAlign w:val="top"/>
            <w:vMerge w:val="restart"/>
            <w:tcBorders>
              <w:bottom w:val="nil"/>
            </w:tcBorders>
          </w:tcPr>
          <w:p>
            <w:pPr>
              <w:spacing w:line="285" w:lineRule="auto"/>
              <w:rPr>
                <w:rFonts w:ascii="Arial"/>
                <w:sz w:val="21"/>
              </w:rPr>
            </w:pPr>
            <w:r/>
          </w:p>
          <w:p>
            <w:pPr>
              <w:spacing w:line="285" w:lineRule="auto"/>
              <w:rPr>
                <w:rFonts w:ascii="Arial"/>
                <w:sz w:val="21"/>
              </w:rPr>
            </w:pPr>
            <w:r/>
          </w:p>
          <w:p>
            <w:pPr>
              <w:spacing w:line="286" w:lineRule="auto"/>
              <w:rPr>
                <w:rFonts w:ascii="Arial"/>
                <w:sz w:val="21"/>
              </w:rPr>
            </w:pPr>
            <w:r/>
          </w:p>
          <w:p>
            <w:pPr>
              <w:pStyle w:val="TableText"/>
              <w:ind w:left="631"/>
              <w:spacing w:before="72" w:line="220" w:lineRule="auto"/>
              <w:rPr>
                <w:sz w:val="22"/>
                <w:szCs w:val="22"/>
              </w:rPr>
            </w:pPr>
            <w:r>
              <w:rPr>
                <w:sz w:val="22"/>
                <w:szCs w:val="22"/>
                <w:spacing w:val="7"/>
              </w:rPr>
              <w:t>废气</w:t>
            </w:r>
          </w:p>
        </w:tc>
        <w:tc>
          <w:tcPr>
            <w:tcW w:w="1828" w:type="dxa"/>
            <w:vAlign w:val="top"/>
          </w:tcPr>
          <w:p>
            <w:pPr>
              <w:pStyle w:val="TableText"/>
              <w:ind w:left="353"/>
              <w:spacing w:before="53" w:line="215" w:lineRule="auto"/>
              <w:rPr>
                <w:sz w:val="22"/>
                <w:szCs w:val="22"/>
              </w:rPr>
            </w:pPr>
            <w:r>
              <w:rPr>
                <w:sz w:val="22"/>
                <w:szCs w:val="22"/>
                <w:spacing w:val="1"/>
              </w:rPr>
              <w:t>非甲烷总烃</w:t>
            </w:r>
          </w:p>
        </w:tc>
        <w:tc>
          <w:tcPr>
            <w:tcW w:w="4579" w:type="dxa"/>
            <w:vAlign w:val="top"/>
            <w:gridSpan w:val="3"/>
          </w:tcPr>
          <w:p>
            <w:pPr>
              <w:pStyle w:val="TableText"/>
              <w:ind w:left="2005"/>
              <w:spacing w:before="108" w:line="169" w:lineRule="auto"/>
              <w:rPr>
                <w:sz w:val="22"/>
                <w:szCs w:val="22"/>
              </w:rPr>
            </w:pPr>
            <w:r>
              <w:rPr>
                <w:sz w:val="22"/>
                <w:szCs w:val="22"/>
                <w:spacing w:val="-4"/>
              </w:rPr>
              <w:t>1.534</w:t>
            </w:r>
          </w:p>
        </w:tc>
      </w:tr>
      <w:tr>
        <w:trPr>
          <w:trHeight w:val="350" w:hRule="atLeast"/>
        </w:trPr>
        <w:tc>
          <w:tcPr>
            <w:tcW w:w="834" w:type="dxa"/>
            <w:vAlign w:val="top"/>
            <w:vMerge w:val="continue"/>
            <w:tcBorders>
              <w:top w:val="nil"/>
              <w:bottom w:val="nil"/>
            </w:tcBorders>
          </w:tcPr>
          <w:p>
            <w:pPr>
              <w:rPr>
                <w:rFonts w:ascii="Arial"/>
                <w:sz w:val="21"/>
              </w:rPr>
            </w:pPr>
            <w:r/>
          </w:p>
        </w:tc>
        <w:tc>
          <w:tcPr>
            <w:tcW w:w="1728" w:type="dxa"/>
            <w:vAlign w:val="top"/>
            <w:vMerge w:val="continue"/>
            <w:tcBorders>
              <w:top w:val="nil"/>
              <w:bottom w:val="nil"/>
            </w:tcBorders>
          </w:tcPr>
          <w:p>
            <w:pPr>
              <w:rPr>
                <w:rFonts w:ascii="Arial"/>
                <w:sz w:val="21"/>
              </w:rPr>
            </w:pPr>
            <w:r/>
          </w:p>
        </w:tc>
        <w:tc>
          <w:tcPr>
            <w:tcW w:w="1828" w:type="dxa"/>
            <w:vAlign w:val="top"/>
          </w:tcPr>
          <w:p>
            <w:pPr>
              <w:pStyle w:val="TableText"/>
              <w:ind w:left="573"/>
              <w:spacing w:before="73" w:line="220" w:lineRule="auto"/>
              <w:rPr>
                <w:sz w:val="22"/>
                <w:szCs w:val="22"/>
              </w:rPr>
            </w:pPr>
            <w:r>
              <w:rPr>
                <w:sz w:val="22"/>
                <w:szCs w:val="22"/>
                <w:spacing w:val="-2"/>
              </w:rPr>
              <w:t>颗粒物</w:t>
            </w:r>
          </w:p>
        </w:tc>
        <w:tc>
          <w:tcPr>
            <w:tcW w:w="4579" w:type="dxa"/>
            <w:vAlign w:val="top"/>
            <w:gridSpan w:val="3"/>
          </w:tcPr>
          <w:p>
            <w:pPr>
              <w:pStyle w:val="TableText"/>
              <w:ind w:left="2005"/>
              <w:spacing w:before="130" w:line="176" w:lineRule="auto"/>
              <w:rPr>
                <w:sz w:val="22"/>
                <w:szCs w:val="22"/>
              </w:rPr>
            </w:pPr>
            <w:r>
              <w:rPr>
                <w:sz w:val="22"/>
                <w:szCs w:val="22"/>
                <w:spacing w:val="-2"/>
              </w:rPr>
              <w:t>0.443</w:t>
            </w:r>
          </w:p>
        </w:tc>
      </w:tr>
      <w:tr>
        <w:trPr>
          <w:trHeight w:val="330" w:hRule="atLeast"/>
        </w:trPr>
        <w:tc>
          <w:tcPr>
            <w:tcW w:w="834" w:type="dxa"/>
            <w:vAlign w:val="top"/>
            <w:vMerge w:val="continue"/>
            <w:tcBorders>
              <w:top w:val="nil"/>
              <w:bottom w:val="nil"/>
            </w:tcBorders>
          </w:tcPr>
          <w:p>
            <w:pPr>
              <w:rPr>
                <w:rFonts w:ascii="Arial"/>
                <w:sz w:val="21"/>
              </w:rPr>
            </w:pPr>
            <w:r/>
          </w:p>
        </w:tc>
        <w:tc>
          <w:tcPr>
            <w:tcW w:w="1728" w:type="dxa"/>
            <w:vAlign w:val="top"/>
            <w:vMerge w:val="continue"/>
            <w:tcBorders>
              <w:top w:val="nil"/>
              <w:bottom w:val="nil"/>
            </w:tcBorders>
          </w:tcPr>
          <w:p>
            <w:pPr>
              <w:rPr>
                <w:rFonts w:ascii="Arial"/>
                <w:sz w:val="21"/>
              </w:rPr>
            </w:pPr>
            <w:r/>
          </w:p>
        </w:tc>
        <w:tc>
          <w:tcPr>
            <w:tcW w:w="1828" w:type="dxa"/>
            <w:vAlign w:val="top"/>
          </w:tcPr>
          <w:p>
            <w:pPr>
              <w:pStyle w:val="TableText"/>
              <w:ind w:left="683"/>
              <w:spacing w:before="98" w:line="183" w:lineRule="auto"/>
              <w:rPr>
                <w:rFonts w:ascii="Calibri" w:hAnsi="Calibri" w:eastAsia="Calibri" w:cs="Calibri"/>
                <w:sz w:val="22"/>
                <w:szCs w:val="22"/>
              </w:rPr>
            </w:pPr>
            <w:r>
              <w:rPr>
                <w:sz w:val="22"/>
                <w:szCs w:val="22"/>
                <w:spacing w:val="-4"/>
              </w:rPr>
              <w:t>SO</w:t>
            </w:r>
            <w:r>
              <w:rPr>
                <w:rFonts w:ascii="Calibri" w:hAnsi="Calibri" w:eastAsia="Calibri" w:cs="Calibri"/>
                <w:sz w:val="22"/>
                <w:szCs w:val="22"/>
                <w:spacing w:val="-4"/>
              </w:rPr>
              <w:t>₂</w:t>
            </w:r>
          </w:p>
        </w:tc>
        <w:tc>
          <w:tcPr>
            <w:tcW w:w="4579" w:type="dxa"/>
            <w:vAlign w:val="top"/>
            <w:gridSpan w:val="3"/>
          </w:tcPr>
          <w:p>
            <w:pPr>
              <w:pStyle w:val="TableText"/>
              <w:ind w:left="2005"/>
              <w:spacing w:before="119" w:line="168" w:lineRule="auto"/>
              <w:rPr>
                <w:sz w:val="22"/>
                <w:szCs w:val="22"/>
              </w:rPr>
            </w:pPr>
            <w:r>
              <w:rPr>
                <w:sz w:val="22"/>
                <w:szCs w:val="22"/>
                <w:spacing w:val="-2"/>
              </w:rPr>
              <w:t>0.330</w:t>
            </w:r>
          </w:p>
        </w:tc>
      </w:tr>
      <w:tr>
        <w:trPr>
          <w:trHeight w:val="349" w:hRule="atLeast"/>
        </w:trPr>
        <w:tc>
          <w:tcPr>
            <w:tcW w:w="834" w:type="dxa"/>
            <w:vAlign w:val="top"/>
            <w:vMerge w:val="continue"/>
            <w:tcBorders>
              <w:top w:val="nil"/>
              <w:bottom w:val="nil"/>
            </w:tcBorders>
          </w:tcPr>
          <w:p>
            <w:pPr>
              <w:rPr>
                <w:rFonts w:ascii="Arial"/>
                <w:sz w:val="21"/>
              </w:rPr>
            </w:pPr>
            <w:r/>
          </w:p>
        </w:tc>
        <w:tc>
          <w:tcPr>
            <w:tcW w:w="1728" w:type="dxa"/>
            <w:vAlign w:val="top"/>
            <w:vMerge w:val="continue"/>
            <w:tcBorders>
              <w:top w:val="nil"/>
              <w:bottom w:val="nil"/>
            </w:tcBorders>
          </w:tcPr>
          <w:p>
            <w:pPr>
              <w:rPr>
                <w:rFonts w:ascii="Arial"/>
                <w:sz w:val="21"/>
              </w:rPr>
            </w:pPr>
            <w:r/>
          </w:p>
        </w:tc>
        <w:tc>
          <w:tcPr>
            <w:tcW w:w="1828" w:type="dxa"/>
            <w:vAlign w:val="top"/>
          </w:tcPr>
          <w:p>
            <w:pPr>
              <w:pStyle w:val="TableText"/>
              <w:ind w:left="742"/>
              <w:spacing w:before="129" w:line="176" w:lineRule="auto"/>
              <w:rPr>
                <w:sz w:val="22"/>
                <w:szCs w:val="22"/>
              </w:rPr>
            </w:pPr>
            <w:r>
              <w:rPr>
                <w:sz w:val="22"/>
                <w:szCs w:val="22"/>
                <w:spacing w:val="-1"/>
              </w:rPr>
              <w:t>NOx</w:t>
            </w:r>
          </w:p>
        </w:tc>
        <w:tc>
          <w:tcPr>
            <w:tcW w:w="4579" w:type="dxa"/>
            <w:vAlign w:val="top"/>
            <w:gridSpan w:val="3"/>
          </w:tcPr>
          <w:p>
            <w:pPr>
              <w:pStyle w:val="TableText"/>
              <w:ind w:left="2005"/>
              <w:spacing w:before="129" w:line="176" w:lineRule="auto"/>
              <w:rPr>
                <w:sz w:val="22"/>
                <w:szCs w:val="22"/>
              </w:rPr>
            </w:pPr>
            <w:r>
              <w:rPr>
                <w:sz w:val="22"/>
                <w:szCs w:val="22"/>
                <w:spacing w:val="-2"/>
              </w:rPr>
              <w:t>9.181</w:t>
            </w:r>
          </w:p>
        </w:tc>
      </w:tr>
      <w:tr>
        <w:trPr>
          <w:trHeight w:val="350" w:hRule="atLeast"/>
        </w:trPr>
        <w:tc>
          <w:tcPr>
            <w:tcW w:w="834" w:type="dxa"/>
            <w:vAlign w:val="top"/>
            <w:vMerge w:val="continue"/>
            <w:tcBorders>
              <w:top w:val="nil"/>
              <w:bottom w:val="nil"/>
            </w:tcBorders>
          </w:tcPr>
          <w:p>
            <w:pPr>
              <w:rPr>
                <w:rFonts w:ascii="Arial"/>
                <w:sz w:val="21"/>
              </w:rPr>
            </w:pPr>
            <w:r/>
          </w:p>
        </w:tc>
        <w:tc>
          <w:tcPr>
            <w:tcW w:w="1728" w:type="dxa"/>
            <w:vAlign w:val="top"/>
            <w:vMerge w:val="continue"/>
            <w:tcBorders>
              <w:top w:val="nil"/>
              <w:bottom w:val="nil"/>
            </w:tcBorders>
          </w:tcPr>
          <w:p>
            <w:pPr>
              <w:rPr>
                <w:rFonts w:ascii="Arial"/>
                <w:sz w:val="21"/>
              </w:rPr>
            </w:pPr>
            <w:r/>
          </w:p>
        </w:tc>
        <w:tc>
          <w:tcPr>
            <w:tcW w:w="1828" w:type="dxa"/>
            <w:vAlign w:val="top"/>
          </w:tcPr>
          <w:p>
            <w:pPr>
              <w:pStyle w:val="TableText"/>
              <w:ind w:left="683"/>
              <w:spacing w:before="109" w:line="182" w:lineRule="auto"/>
              <w:rPr>
                <w:rFonts w:ascii="Calibri" w:hAnsi="Calibri" w:eastAsia="Calibri" w:cs="Calibri"/>
                <w:sz w:val="22"/>
                <w:szCs w:val="22"/>
              </w:rPr>
            </w:pPr>
            <w:r>
              <w:rPr>
                <w:sz w:val="22"/>
                <w:szCs w:val="22"/>
                <w:spacing w:val="-1"/>
              </w:rPr>
              <w:t>NH</w:t>
            </w:r>
            <w:r>
              <w:rPr>
                <w:rFonts w:ascii="Calibri" w:hAnsi="Calibri" w:eastAsia="Calibri" w:cs="Calibri"/>
                <w:sz w:val="22"/>
                <w:szCs w:val="22"/>
                <w:spacing w:val="-1"/>
              </w:rPr>
              <w:t>₃</w:t>
            </w:r>
          </w:p>
        </w:tc>
        <w:tc>
          <w:tcPr>
            <w:tcW w:w="4579" w:type="dxa"/>
            <w:vAlign w:val="top"/>
            <w:gridSpan w:val="3"/>
          </w:tcPr>
          <w:p>
            <w:pPr>
              <w:pStyle w:val="TableText"/>
              <w:ind w:left="2005"/>
              <w:spacing w:before="130" w:line="176" w:lineRule="auto"/>
              <w:rPr>
                <w:sz w:val="22"/>
                <w:szCs w:val="22"/>
              </w:rPr>
            </w:pPr>
            <w:r>
              <w:rPr>
                <w:sz w:val="22"/>
                <w:szCs w:val="22"/>
                <w:spacing w:val="-2"/>
              </w:rPr>
              <w:t>0.158</w:t>
            </w:r>
          </w:p>
        </w:tc>
      </w:tr>
      <w:tr>
        <w:trPr>
          <w:trHeight w:val="320" w:hRule="atLeast"/>
        </w:trPr>
        <w:tc>
          <w:tcPr>
            <w:tcW w:w="834" w:type="dxa"/>
            <w:vAlign w:val="top"/>
            <w:vMerge w:val="continue"/>
            <w:tcBorders>
              <w:top w:val="nil"/>
              <w:bottom w:val="nil"/>
            </w:tcBorders>
          </w:tcPr>
          <w:p>
            <w:pPr>
              <w:rPr>
                <w:rFonts w:ascii="Arial"/>
                <w:sz w:val="21"/>
              </w:rPr>
            </w:pPr>
            <w:r/>
          </w:p>
        </w:tc>
        <w:tc>
          <w:tcPr>
            <w:tcW w:w="1728" w:type="dxa"/>
            <w:vAlign w:val="top"/>
            <w:vMerge w:val="continue"/>
            <w:tcBorders>
              <w:top w:val="nil"/>
            </w:tcBorders>
          </w:tcPr>
          <w:p>
            <w:pPr>
              <w:rPr>
                <w:rFonts w:ascii="Arial"/>
                <w:sz w:val="21"/>
              </w:rPr>
            </w:pPr>
            <w:r/>
          </w:p>
        </w:tc>
        <w:tc>
          <w:tcPr>
            <w:tcW w:w="1828" w:type="dxa"/>
            <w:vAlign w:val="top"/>
          </w:tcPr>
          <w:p>
            <w:pPr>
              <w:pStyle w:val="TableText"/>
              <w:ind w:left="683"/>
              <w:spacing w:before="89" w:line="183" w:lineRule="auto"/>
              <w:rPr>
                <w:sz w:val="22"/>
                <w:szCs w:val="22"/>
              </w:rPr>
            </w:pPr>
            <w:r>
              <w:rPr>
                <w:sz w:val="22"/>
                <w:szCs w:val="22"/>
                <w:spacing w:val="-2"/>
              </w:rPr>
              <w:t>H</w:t>
            </w:r>
            <w:r>
              <w:rPr>
                <w:rFonts w:ascii="Calibri" w:hAnsi="Calibri" w:eastAsia="Calibri" w:cs="Calibri"/>
                <w:sz w:val="22"/>
                <w:szCs w:val="22"/>
                <w:spacing w:val="-2"/>
              </w:rPr>
              <w:t>₂</w:t>
            </w:r>
            <w:r>
              <w:rPr>
                <w:sz w:val="22"/>
                <w:szCs w:val="22"/>
                <w:spacing w:val="-2"/>
              </w:rPr>
              <w:t>S</w:t>
            </w:r>
          </w:p>
        </w:tc>
        <w:tc>
          <w:tcPr>
            <w:tcW w:w="4579" w:type="dxa"/>
            <w:vAlign w:val="top"/>
            <w:gridSpan w:val="3"/>
          </w:tcPr>
          <w:p>
            <w:pPr>
              <w:pStyle w:val="TableText"/>
              <w:ind w:left="2005"/>
              <w:spacing w:before="110" w:line="167" w:lineRule="auto"/>
              <w:rPr>
                <w:sz w:val="22"/>
                <w:szCs w:val="22"/>
              </w:rPr>
            </w:pPr>
            <w:r>
              <w:rPr>
                <w:sz w:val="22"/>
                <w:szCs w:val="22"/>
                <w:spacing w:val="-2"/>
              </w:rPr>
              <w:t>0.002</w:t>
            </w:r>
          </w:p>
        </w:tc>
      </w:tr>
      <w:tr>
        <w:trPr>
          <w:trHeight w:val="350" w:hRule="atLeast"/>
        </w:trPr>
        <w:tc>
          <w:tcPr>
            <w:tcW w:w="834" w:type="dxa"/>
            <w:vAlign w:val="top"/>
            <w:vMerge w:val="continue"/>
            <w:tcBorders>
              <w:top w:val="nil"/>
              <w:bottom w:val="nil"/>
            </w:tcBorders>
          </w:tcPr>
          <w:p>
            <w:pPr>
              <w:rPr>
                <w:rFonts w:ascii="Arial"/>
                <w:sz w:val="21"/>
              </w:rPr>
            </w:pPr>
            <w:r/>
          </w:p>
        </w:tc>
        <w:tc>
          <w:tcPr>
            <w:tcW w:w="1728" w:type="dxa"/>
            <w:vAlign w:val="top"/>
            <w:vMerge w:val="restart"/>
            <w:tcBorders>
              <w:bottom w:val="nil"/>
            </w:tcBorders>
          </w:tcPr>
          <w:p>
            <w:pPr>
              <w:spacing w:line="351" w:lineRule="auto"/>
              <w:rPr>
                <w:rFonts w:ascii="Arial"/>
                <w:sz w:val="21"/>
              </w:rPr>
            </w:pPr>
            <w:r/>
          </w:p>
          <w:p>
            <w:pPr>
              <w:pStyle w:val="TableText"/>
              <w:ind w:left="410"/>
              <w:spacing w:before="71" w:line="220" w:lineRule="auto"/>
              <w:rPr>
                <w:sz w:val="22"/>
                <w:szCs w:val="22"/>
              </w:rPr>
            </w:pPr>
            <w:r>
              <w:rPr>
                <w:sz w:val="22"/>
                <w:szCs w:val="22"/>
                <w:spacing w:val="2"/>
              </w:rPr>
              <w:t>固体废物</w:t>
            </w:r>
          </w:p>
        </w:tc>
        <w:tc>
          <w:tcPr>
            <w:tcW w:w="1828" w:type="dxa"/>
            <w:vAlign w:val="top"/>
          </w:tcPr>
          <w:p>
            <w:pPr>
              <w:pStyle w:val="TableText"/>
              <w:ind w:left="462"/>
              <w:spacing w:before="74" w:line="220" w:lineRule="auto"/>
              <w:rPr>
                <w:sz w:val="22"/>
                <w:szCs w:val="22"/>
              </w:rPr>
            </w:pPr>
            <w:r>
              <w:rPr>
                <w:sz w:val="22"/>
                <w:szCs w:val="22"/>
                <w:spacing w:val="2"/>
              </w:rPr>
              <w:t>一般固废</w:t>
            </w:r>
          </w:p>
        </w:tc>
        <w:tc>
          <w:tcPr>
            <w:tcW w:w="4579" w:type="dxa"/>
            <w:vAlign w:val="top"/>
            <w:gridSpan w:val="3"/>
          </w:tcPr>
          <w:p>
            <w:pPr>
              <w:pStyle w:val="TableText"/>
              <w:ind w:left="1845"/>
              <w:spacing w:before="130" w:line="176" w:lineRule="auto"/>
              <w:rPr>
                <w:sz w:val="22"/>
                <w:szCs w:val="22"/>
              </w:rPr>
            </w:pPr>
            <w:r>
              <w:rPr>
                <w:sz w:val="22"/>
                <w:szCs w:val="22"/>
                <w:spacing w:val="-3"/>
              </w:rPr>
              <w:t>12806.97</w:t>
            </w:r>
          </w:p>
        </w:tc>
      </w:tr>
      <w:tr>
        <w:trPr>
          <w:trHeight w:val="330" w:hRule="atLeast"/>
        </w:trPr>
        <w:tc>
          <w:tcPr>
            <w:tcW w:w="834" w:type="dxa"/>
            <w:vAlign w:val="top"/>
            <w:vMerge w:val="continue"/>
            <w:tcBorders>
              <w:top w:val="nil"/>
              <w:bottom w:val="nil"/>
            </w:tcBorders>
          </w:tcPr>
          <w:p>
            <w:pPr>
              <w:rPr>
                <w:rFonts w:ascii="Arial"/>
                <w:sz w:val="21"/>
              </w:rPr>
            </w:pPr>
            <w:r/>
          </w:p>
        </w:tc>
        <w:tc>
          <w:tcPr>
            <w:tcW w:w="1728" w:type="dxa"/>
            <w:vAlign w:val="top"/>
            <w:vMerge w:val="continue"/>
            <w:tcBorders>
              <w:top w:val="nil"/>
              <w:bottom w:val="nil"/>
            </w:tcBorders>
          </w:tcPr>
          <w:p>
            <w:pPr>
              <w:rPr>
                <w:rFonts w:ascii="Arial"/>
                <w:sz w:val="21"/>
              </w:rPr>
            </w:pPr>
            <w:r/>
          </w:p>
        </w:tc>
        <w:tc>
          <w:tcPr>
            <w:tcW w:w="1828" w:type="dxa"/>
            <w:vAlign w:val="top"/>
          </w:tcPr>
          <w:p>
            <w:pPr>
              <w:pStyle w:val="TableText"/>
              <w:ind w:left="462"/>
              <w:spacing w:before="64" w:line="214" w:lineRule="auto"/>
              <w:rPr>
                <w:sz w:val="22"/>
                <w:szCs w:val="22"/>
              </w:rPr>
            </w:pPr>
            <w:r>
              <w:rPr>
                <w:sz w:val="22"/>
                <w:szCs w:val="22"/>
                <w:spacing w:val="-2"/>
              </w:rPr>
              <w:t>生活垃圾</w:t>
            </w:r>
          </w:p>
        </w:tc>
        <w:tc>
          <w:tcPr>
            <w:tcW w:w="4579" w:type="dxa"/>
            <w:vAlign w:val="top"/>
            <w:gridSpan w:val="3"/>
          </w:tcPr>
          <w:p>
            <w:pPr>
              <w:pStyle w:val="TableText"/>
              <w:ind w:left="2005"/>
              <w:spacing w:before="120" w:line="167" w:lineRule="auto"/>
              <w:rPr>
                <w:sz w:val="22"/>
                <w:szCs w:val="22"/>
              </w:rPr>
            </w:pPr>
            <w:r>
              <w:rPr>
                <w:sz w:val="22"/>
                <w:szCs w:val="22"/>
                <w:spacing w:val="-2"/>
              </w:rPr>
              <w:t>988.4</w:t>
            </w:r>
          </w:p>
        </w:tc>
      </w:tr>
      <w:tr>
        <w:trPr>
          <w:trHeight w:val="349" w:hRule="atLeast"/>
        </w:trPr>
        <w:tc>
          <w:tcPr>
            <w:tcW w:w="834" w:type="dxa"/>
            <w:vAlign w:val="top"/>
            <w:vMerge w:val="continue"/>
            <w:tcBorders>
              <w:top w:val="nil"/>
              <w:bottom w:val="nil"/>
            </w:tcBorders>
          </w:tcPr>
          <w:p>
            <w:pPr>
              <w:rPr>
                <w:rFonts w:ascii="Arial"/>
                <w:sz w:val="21"/>
              </w:rPr>
            </w:pPr>
            <w:r/>
          </w:p>
        </w:tc>
        <w:tc>
          <w:tcPr>
            <w:tcW w:w="1728" w:type="dxa"/>
            <w:vAlign w:val="top"/>
            <w:vMerge w:val="continue"/>
            <w:tcBorders>
              <w:top w:val="nil"/>
            </w:tcBorders>
          </w:tcPr>
          <w:p>
            <w:pPr>
              <w:rPr>
                <w:rFonts w:ascii="Arial"/>
                <w:sz w:val="21"/>
              </w:rPr>
            </w:pPr>
            <w:r/>
          </w:p>
        </w:tc>
        <w:tc>
          <w:tcPr>
            <w:tcW w:w="1828" w:type="dxa"/>
            <w:vAlign w:val="top"/>
          </w:tcPr>
          <w:p>
            <w:pPr>
              <w:pStyle w:val="TableText"/>
              <w:ind w:left="462"/>
              <w:spacing w:before="74" w:line="220" w:lineRule="auto"/>
              <w:rPr>
                <w:sz w:val="22"/>
                <w:szCs w:val="22"/>
              </w:rPr>
            </w:pPr>
            <w:r>
              <w:rPr>
                <w:sz w:val="22"/>
                <w:szCs w:val="22"/>
                <w:spacing w:val="2"/>
              </w:rPr>
              <w:t>危险废物</w:t>
            </w:r>
          </w:p>
        </w:tc>
        <w:tc>
          <w:tcPr>
            <w:tcW w:w="4579" w:type="dxa"/>
            <w:vAlign w:val="top"/>
            <w:gridSpan w:val="3"/>
          </w:tcPr>
          <w:p>
            <w:pPr>
              <w:pStyle w:val="TableText"/>
              <w:ind w:left="1954"/>
              <w:spacing w:before="130" w:line="175" w:lineRule="auto"/>
              <w:rPr>
                <w:sz w:val="22"/>
                <w:szCs w:val="22"/>
              </w:rPr>
            </w:pPr>
            <w:r>
              <w:rPr>
                <w:sz w:val="22"/>
                <w:szCs w:val="22"/>
                <w:spacing w:val="-2"/>
              </w:rPr>
              <w:t>286.24</w:t>
            </w:r>
          </w:p>
        </w:tc>
      </w:tr>
      <w:tr>
        <w:trPr>
          <w:trHeight w:val="1379" w:hRule="atLeast"/>
        </w:trPr>
        <w:tc>
          <w:tcPr>
            <w:tcW w:w="834" w:type="dxa"/>
            <w:vAlign w:val="top"/>
            <w:vMerge w:val="continue"/>
            <w:tcBorders>
              <w:top w:val="nil"/>
              <w:bottom w:val="nil"/>
            </w:tcBorders>
          </w:tcPr>
          <w:p>
            <w:pPr>
              <w:rPr>
                <w:rFonts w:ascii="Arial"/>
                <w:sz w:val="21"/>
              </w:rPr>
            </w:pPr>
            <w:r/>
          </w:p>
        </w:tc>
        <w:tc>
          <w:tcPr>
            <w:tcW w:w="8135" w:type="dxa"/>
            <w:vAlign w:val="top"/>
            <w:gridSpan w:val="5"/>
          </w:tcPr>
          <w:p>
            <w:pPr>
              <w:pStyle w:val="TableText"/>
              <w:ind w:left="191"/>
              <w:spacing w:before="65" w:line="219" w:lineRule="auto"/>
              <w:rPr>
                <w:sz w:val="22"/>
                <w:szCs w:val="22"/>
              </w:rPr>
            </w:pPr>
            <w:r>
              <w:rPr>
                <w:sz w:val="22"/>
                <w:szCs w:val="22"/>
                <w:spacing w:val="6"/>
              </w:rPr>
              <w:t>备注：1)表中固体废物为产生量；</w:t>
            </w:r>
          </w:p>
          <w:p>
            <w:pPr>
              <w:pStyle w:val="TableText"/>
              <w:ind w:left="191" w:firstLine="649"/>
              <w:spacing w:before="5" w:line="230" w:lineRule="auto"/>
              <w:rPr>
                <w:sz w:val="22"/>
                <w:szCs w:val="22"/>
              </w:rPr>
            </w:pPr>
            <w:r>
              <w:rPr>
                <w:sz w:val="22"/>
                <w:szCs w:val="22"/>
                <w:spacing w:val="-2"/>
              </w:rPr>
              <w:t>2)生活污水含锅炉排污、软化水23760t/d,纯水制备废水6900t/d,循环冷却废</w:t>
            </w:r>
            <w:r>
              <w:rPr>
                <w:sz w:val="22"/>
                <w:szCs w:val="22"/>
              </w:rPr>
              <w:t xml:space="preserve"> </w:t>
            </w:r>
            <w:r>
              <w:rPr>
                <w:sz w:val="22"/>
                <w:szCs w:val="22"/>
                <w:spacing w:val="5"/>
              </w:rPr>
              <w:t>水31500t/d,不计其污染物排放量；</w:t>
            </w:r>
          </w:p>
          <w:p>
            <w:pPr>
              <w:pStyle w:val="TableText"/>
              <w:ind w:left="191" w:right="354" w:firstLine="639"/>
              <w:spacing w:before="8" w:line="202" w:lineRule="auto"/>
              <w:rPr>
                <w:sz w:val="22"/>
                <w:szCs w:val="22"/>
              </w:rPr>
            </w:pPr>
            <w:r>
              <w:rPr>
                <w:sz w:val="22"/>
                <w:szCs w:val="22"/>
              </w:rPr>
              <w:t>3)表中的COD、氨氮排放量按霞浦县污水处理厂出水浓度COD50mg/L,氨氮</w:t>
            </w:r>
            <w:r>
              <w:rPr>
                <w:sz w:val="22"/>
                <w:szCs w:val="22"/>
                <w:spacing w:val="8"/>
              </w:rPr>
              <w:t xml:space="preserve"> </w:t>
            </w:r>
            <w:r>
              <w:rPr>
                <w:sz w:val="22"/>
                <w:szCs w:val="22"/>
                <w:spacing w:val="2"/>
              </w:rPr>
              <w:t>5</w:t>
            </w:r>
            <w:r>
              <w:rPr>
                <w:sz w:val="22"/>
                <w:szCs w:val="22"/>
              </w:rPr>
              <w:t>mg</w:t>
            </w:r>
            <w:r>
              <w:rPr>
                <w:sz w:val="22"/>
                <w:szCs w:val="22"/>
                <w:spacing w:val="2"/>
              </w:rPr>
              <w:t>/L计算</w:t>
            </w:r>
          </w:p>
        </w:tc>
      </w:tr>
      <w:tr>
        <w:trPr>
          <w:trHeight w:val="4871" w:hRule="atLeast"/>
        </w:trPr>
        <w:tc>
          <w:tcPr>
            <w:tcW w:w="834" w:type="dxa"/>
            <w:vAlign w:val="top"/>
            <w:vMerge w:val="continue"/>
            <w:tcBorders>
              <w:top w:val="nil"/>
            </w:tcBorders>
          </w:tcPr>
          <w:p>
            <w:pPr>
              <w:rPr>
                <w:rFonts w:ascii="Arial"/>
                <w:sz w:val="21"/>
              </w:rPr>
            </w:pPr>
            <w:r/>
          </w:p>
        </w:tc>
        <w:tc>
          <w:tcPr>
            <w:tcW w:w="8135" w:type="dxa"/>
            <w:vAlign w:val="top"/>
            <w:gridSpan w:val="5"/>
          </w:tcPr>
          <w:p>
            <w:pPr>
              <w:rPr>
                <w:rFonts w:ascii="Arial"/>
                <w:sz w:val="21"/>
              </w:rPr>
            </w:pPr>
            <w:r/>
          </w:p>
        </w:tc>
      </w:tr>
    </w:tbl>
    <w:p>
      <w:pPr>
        <w:rPr>
          <w:rFonts w:ascii="Arial"/>
          <w:sz w:val="21"/>
        </w:rPr>
      </w:pPr>
      <w:r/>
    </w:p>
    <w:p>
      <w:pPr>
        <w:sectPr>
          <w:footerReference w:type="default" r:id="rId42"/>
          <w:pgSz w:w="11900" w:h="16840"/>
          <w:pgMar w:top="1431" w:right="1395" w:bottom="988" w:left="1524" w:header="0" w:footer="849" w:gutter="0"/>
        </w:sectPr>
        <w:rPr>
          <w:rFonts w:ascii="Arial" w:hAnsi="Arial" w:eastAsia="Arial" w:cs="Arial"/>
          <w:sz w:val="21"/>
          <w:szCs w:val="21"/>
        </w:rPr>
      </w:pPr>
    </w:p>
    <w:tbl>
      <w:tblPr>
        <w:tblStyle w:val="TableNormal"/>
        <w:tblW w:w="89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44"/>
        <w:gridCol w:w="8145"/>
      </w:tblGrid>
      <w:tr>
        <w:trPr>
          <w:trHeight w:val="13579" w:hRule="atLeast"/>
        </w:trPr>
        <w:tc>
          <w:tcPr>
            <w:tcW w:w="844"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175" w:right="160"/>
              <w:spacing w:before="78" w:line="238" w:lineRule="auto"/>
              <w:jc w:val="both"/>
              <w:rPr>
                <w:sz w:val="24"/>
                <w:szCs w:val="24"/>
              </w:rPr>
            </w:pPr>
            <w:r>
              <w:rPr>
                <w:sz w:val="24"/>
                <w:szCs w:val="24"/>
                <w:spacing w:val="7"/>
              </w:rPr>
              <w:t>与项</w:t>
            </w:r>
            <w:r>
              <w:rPr>
                <w:sz w:val="24"/>
                <w:szCs w:val="24"/>
              </w:rPr>
              <w:t xml:space="preserve"> </w:t>
            </w:r>
            <w:r>
              <w:rPr>
                <w:sz w:val="24"/>
                <w:szCs w:val="24"/>
                <w:spacing w:val="6"/>
              </w:rPr>
              <w:t>目有</w:t>
            </w:r>
            <w:r>
              <w:rPr>
                <w:sz w:val="24"/>
                <w:szCs w:val="24"/>
              </w:rPr>
              <w:t xml:space="preserve"> </w:t>
            </w:r>
            <w:r>
              <w:rPr>
                <w:sz w:val="24"/>
                <w:szCs w:val="24"/>
                <w:spacing w:val="9"/>
              </w:rPr>
              <w:t>关的</w:t>
            </w:r>
            <w:r>
              <w:rPr>
                <w:sz w:val="24"/>
                <w:szCs w:val="24"/>
              </w:rPr>
              <w:t xml:space="preserve"> </w:t>
            </w:r>
            <w:r>
              <w:rPr>
                <w:sz w:val="24"/>
                <w:szCs w:val="24"/>
                <w:spacing w:val="6"/>
              </w:rPr>
              <w:t>原有</w:t>
            </w:r>
            <w:r>
              <w:rPr>
                <w:sz w:val="24"/>
                <w:szCs w:val="24"/>
              </w:rPr>
              <w:t xml:space="preserve"> </w:t>
            </w:r>
            <w:r>
              <w:rPr>
                <w:sz w:val="24"/>
                <w:szCs w:val="24"/>
                <w:spacing w:val="-5"/>
              </w:rPr>
              <w:t>环境</w:t>
            </w:r>
            <w:r>
              <w:rPr>
                <w:sz w:val="24"/>
                <w:szCs w:val="24"/>
              </w:rPr>
              <w:t xml:space="preserve"> </w:t>
            </w:r>
            <w:r>
              <w:rPr>
                <w:sz w:val="24"/>
                <w:szCs w:val="24"/>
                <w:spacing w:val="5"/>
              </w:rPr>
              <w:t>污染</w:t>
            </w:r>
            <w:r>
              <w:rPr>
                <w:sz w:val="24"/>
                <w:szCs w:val="24"/>
              </w:rPr>
              <w:t xml:space="preserve"> </w:t>
            </w:r>
            <w:r>
              <w:rPr>
                <w:sz w:val="24"/>
                <w:szCs w:val="24"/>
                <w:spacing w:val="6"/>
              </w:rPr>
              <w:t>问题</w:t>
            </w:r>
          </w:p>
        </w:tc>
        <w:tc>
          <w:tcPr>
            <w:tcW w:w="8145" w:type="dxa"/>
            <w:vAlign w:val="top"/>
          </w:tcPr>
          <w:p>
            <w:pPr>
              <w:pStyle w:val="TableText"/>
              <w:ind w:left="104"/>
              <w:spacing w:before="33" w:line="479" w:lineRule="exact"/>
              <w:rPr>
                <w:sz w:val="24"/>
                <w:szCs w:val="24"/>
              </w:rPr>
            </w:pPr>
            <w:hyperlink w:history="true" r:id="rId44">
              <w:r>
                <w:rPr>
                  <w:sz w:val="24"/>
                  <w:szCs w:val="24"/>
                  <w:b/>
                  <w:bCs/>
                  <w:spacing w:val="-3"/>
                  <w:position w:val="18"/>
                </w:rPr>
                <w:t>2.8.3.2</w:t>
              </w:r>
            </w:hyperlink>
            <w:r>
              <w:rPr>
                <w:sz w:val="24"/>
                <w:szCs w:val="24"/>
                <w:b/>
                <w:bCs/>
                <w:spacing w:val="-3"/>
                <w:position w:val="18"/>
              </w:rPr>
              <w:t>时代一汽年产20gwh动力电池生产线扩建项目污染控制及污染物排放</w:t>
            </w:r>
          </w:p>
          <w:p>
            <w:pPr>
              <w:pStyle w:val="TableText"/>
              <w:ind w:left="94"/>
              <w:spacing w:line="220" w:lineRule="auto"/>
              <w:rPr>
                <w:sz w:val="24"/>
                <w:szCs w:val="24"/>
              </w:rPr>
            </w:pPr>
            <w:r>
              <w:rPr>
                <w:sz w:val="24"/>
                <w:szCs w:val="24"/>
                <w:b/>
                <w:bCs/>
                <w:spacing w:val="-6"/>
              </w:rPr>
              <w:t>情况</w:t>
            </w:r>
          </w:p>
          <w:p>
            <w:pPr>
              <w:pStyle w:val="TableText"/>
              <w:ind w:left="611"/>
              <w:spacing w:before="189" w:line="470" w:lineRule="exact"/>
              <w:rPr>
                <w:sz w:val="24"/>
                <w:szCs w:val="24"/>
              </w:rPr>
            </w:pPr>
            <w:r>
              <w:rPr>
                <w:sz w:val="24"/>
                <w:szCs w:val="24"/>
                <w:position w:val="17"/>
              </w:rPr>
              <w:t>二期工程——时代一汽年产20gwh动力电池生产线扩建项目阶段性</w:t>
            </w:r>
          </w:p>
          <w:p>
            <w:pPr>
              <w:pStyle w:val="TableText"/>
              <w:ind w:left="251"/>
              <w:spacing w:line="213" w:lineRule="auto"/>
              <w:rPr>
                <w:sz w:val="24"/>
                <w:szCs w:val="24"/>
              </w:rPr>
            </w:pPr>
            <w:r>
              <w:rPr>
                <w:sz w:val="24"/>
                <w:szCs w:val="24"/>
              </w:rPr>
              <w:t>(6.7gwh)竣工环保验收已完成，以下内容结合其验收及实际情况。</w:t>
            </w:r>
          </w:p>
          <w:p>
            <w:pPr>
              <w:pStyle w:val="TableText"/>
              <w:ind w:left="144"/>
              <w:spacing w:before="197" w:line="220" w:lineRule="auto"/>
              <w:rPr>
                <w:sz w:val="24"/>
                <w:szCs w:val="24"/>
              </w:rPr>
            </w:pPr>
            <w:r>
              <w:rPr>
                <w:sz w:val="24"/>
                <w:szCs w:val="24"/>
                <w:b/>
                <w:bCs/>
                <w:spacing w:val="-3"/>
              </w:rPr>
              <w:t>1、废气治理及排放情况</w:t>
            </w:r>
          </w:p>
          <w:p>
            <w:pPr>
              <w:pStyle w:val="TableText"/>
              <w:ind w:left="611"/>
              <w:spacing w:before="185" w:line="451" w:lineRule="exact"/>
              <w:rPr>
                <w:sz w:val="24"/>
                <w:szCs w:val="24"/>
              </w:rPr>
            </w:pPr>
            <w:r>
              <w:rPr>
                <w:sz w:val="24"/>
                <w:szCs w:val="24"/>
                <w:position w:val="15"/>
              </w:rPr>
              <w:t>废气主要为电芯生产车间阴极涂布NMP废气，真空干燥，注液废气，</w:t>
            </w:r>
          </w:p>
          <w:p>
            <w:pPr>
              <w:pStyle w:val="TableText"/>
              <w:ind w:left="130"/>
              <w:spacing w:line="219" w:lineRule="auto"/>
              <w:rPr>
                <w:sz w:val="24"/>
                <w:szCs w:val="24"/>
              </w:rPr>
            </w:pPr>
            <w:r>
              <w:rPr>
                <w:sz w:val="24"/>
                <w:szCs w:val="24"/>
              </w:rPr>
              <w:t>真空泵系统废气，锅炉废气，污水站恶臭及食堂油烟废</w:t>
            </w:r>
            <w:r>
              <w:rPr>
                <w:sz w:val="24"/>
                <w:szCs w:val="24"/>
                <w:spacing w:val="-1"/>
              </w:rPr>
              <w:t>气。</w:t>
            </w:r>
          </w:p>
          <w:p>
            <w:pPr>
              <w:pStyle w:val="TableText"/>
              <w:ind w:left="611"/>
              <w:spacing w:before="215" w:line="219" w:lineRule="auto"/>
              <w:rPr>
                <w:sz w:val="24"/>
                <w:szCs w:val="24"/>
              </w:rPr>
            </w:pPr>
            <w:r>
              <w:rPr>
                <w:sz w:val="24"/>
                <w:szCs w:val="24"/>
                <w:spacing w:val="1"/>
              </w:rPr>
              <w:t>1)投料粉尘</w:t>
            </w:r>
          </w:p>
          <w:p>
            <w:pPr>
              <w:pStyle w:val="TableText"/>
              <w:ind w:right="63"/>
              <w:spacing w:before="155" w:line="470" w:lineRule="exact"/>
              <w:jc w:val="right"/>
              <w:rPr>
                <w:sz w:val="24"/>
                <w:szCs w:val="24"/>
              </w:rPr>
            </w:pPr>
            <w:r>
              <w:rPr>
                <w:sz w:val="24"/>
                <w:szCs w:val="24"/>
                <w:spacing w:val="1"/>
                <w:position w:val="17"/>
              </w:rPr>
              <w:t>投料粉尘来源于粉末状的物料投加到粉料系统产生的粉尘。粉料系统自</w:t>
            </w:r>
          </w:p>
          <w:p>
            <w:pPr>
              <w:pStyle w:val="TableText"/>
              <w:ind w:left="130"/>
              <w:spacing w:line="219" w:lineRule="auto"/>
              <w:rPr>
                <w:sz w:val="24"/>
                <w:szCs w:val="24"/>
              </w:rPr>
            </w:pPr>
            <w:r>
              <w:rPr>
                <w:sz w:val="24"/>
                <w:szCs w:val="24"/>
              </w:rPr>
              <w:t>配有高效过滤器，且在投料口配有固定式吸尘器处理后直接排放。</w:t>
            </w:r>
          </w:p>
          <w:p>
            <w:pPr>
              <w:pStyle w:val="TableText"/>
              <w:ind w:left="581"/>
              <w:spacing w:before="195" w:line="219" w:lineRule="auto"/>
              <w:rPr>
                <w:sz w:val="24"/>
                <w:szCs w:val="24"/>
              </w:rPr>
            </w:pPr>
            <w:r>
              <w:rPr>
                <w:sz w:val="24"/>
                <w:szCs w:val="24"/>
                <w:spacing w:val="1"/>
              </w:rPr>
              <w:t>2)切割粉尘</w:t>
            </w:r>
          </w:p>
          <w:p>
            <w:pPr>
              <w:pStyle w:val="TableText"/>
              <w:ind w:left="601"/>
              <w:spacing w:before="165" w:line="476" w:lineRule="exact"/>
              <w:rPr>
                <w:sz w:val="24"/>
                <w:szCs w:val="24"/>
              </w:rPr>
            </w:pPr>
            <w:r>
              <w:rPr>
                <w:sz w:val="24"/>
                <w:szCs w:val="24"/>
                <w:position w:val="17"/>
              </w:rPr>
              <w:t>模切产生的切割粉尘产生量极少，经集气罩收集</w:t>
            </w:r>
            <w:r>
              <w:rPr>
                <w:sz w:val="24"/>
                <w:szCs w:val="24"/>
                <w:spacing w:val="-1"/>
                <w:position w:val="17"/>
              </w:rPr>
              <w:t>后经固定式单体除尘器</w:t>
            </w:r>
          </w:p>
          <w:p>
            <w:pPr>
              <w:pStyle w:val="TableText"/>
              <w:ind w:left="110"/>
              <w:spacing w:before="1" w:line="223" w:lineRule="auto"/>
              <w:rPr>
                <w:sz w:val="24"/>
                <w:szCs w:val="24"/>
              </w:rPr>
            </w:pPr>
            <w:r>
              <w:rPr>
                <w:sz w:val="24"/>
                <w:szCs w:val="24"/>
                <w:spacing w:val="-1"/>
              </w:rPr>
              <w:t>处理。</w:t>
            </w:r>
          </w:p>
          <w:p>
            <w:pPr>
              <w:pStyle w:val="TableText"/>
              <w:ind w:left="601"/>
              <w:spacing w:before="166" w:line="480" w:lineRule="exact"/>
              <w:rPr>
                <w:sz w:val="24"/>
                <w:szCs w:val="24"/>
              </w:rPr>
            </w:pPr>
            <w:r>
              <w:rPr>
                <w:sz w:val="24"/>
                <w:szCs w:val="24"/>
                <w:spacing w:val="1"/>
                <w:position w:val="18"/>
              </w:rPr>
              <w:t>根据《时代一汽动力电池有限公司年产20</w:t>
            </w:r>
            <w:r>
              <w:rPr>
                <w:sz w:val="24"/>
                <w:szCs w:val="24"/>
                <w:position w:val="18"/>
              </w:rPr>
              <w:t>gwh</w:t>
            </w:r>
            <w:r>
              <w:rPr>
                <w:sz w:val="24"/>
                <w:szCs w:val="24"/>
                <w:spacing w:val="1"/>
                <w:position w:val="18"/>
              </w:rPr>
              <w:t>动力电池生产线扩建项目</w:t>
            </w:r>
          </w:p>
          <w:p>
            <w:pPr>
              <w:pStyle w:val="TableText"/>
              <w:ind w:left="120"/>
              <w:spacing w:before="1" w:line="213" w:lineRule="auto"/>
              <w:rPr>
                <w:sz w:val="24"/>
                <w:szCs w:val="24"/>
              </w:rPr>
            </w:pPr>
            <w:r>
              <w:rPr>
                <w:sz w:val="24"/>
                <w:szCs w:val="24"/>
              </w:rPr>
              <w:t>阶段性竣工环境保护验收报告表》(6.7gwh)可知：验收监测期间，2023年</w:t>
            </w:r>
          </w:p>
          <w:p>
            <w:pPr>
              <w:pStyle w:val="TableText"/>
              <w:ind w:left="110"/>
              <w:spacing w:before="192" w:line="214" w:lineRule="auto"/>
              <w:rPr>
                <w:sz w:val="24"/>
                <w:szCs w:val="24"/>
              </w:rPr>
            </w:pPr>
            <w:r>
              <w:rPr>
                <w:sz w:val="24"/>
                <w:szCs w:val="24"/>
                <w:spacing w:val="4"/>
              </w:rPr>
              <w:t>3月2日～3日，厂界下风向颗粒物的最大值为.</w:t>
            </w:r>
            <w:r>
              <w:rPr>
                <w:sz w:val="24"/>
                <w:szCs w:val="24"/>
                <w:spacing w:val="3"/>
              </w:rPr>
              <w:t>025</w:t>
            </w:r>
            <w:r>
              <w:rPr>
                <w:sz w:val="24"/>
                <w:szCs w:val="24"/>
              </w:rPr>
              <w:t>mg</w:t>
            </w:r>
            <w:r>
              <w:rPr>
                <w:sz w:val="24"/>
                <w:szCs w:val="24"/>
                <w:spacing w:val="3"/>
              </w:rPr>
              <w:t>/m³,非甲烷总烃最大</w:t>
            </w:r>
          </w:p>
          <w:p>
            <w:pPr>
              <w:pStyle w:val="TableText"/>
              <w:ind w:left="120"/>
              <w:spacing w:before="192" w:line="467" w:lineRule="exact"/>
              <w:rPr>
                <w:sz w:val="24"/>
                <w:szCs w:val="24"/>
              </w:rPr>
            </w:pPr>
            <w:r>
              <w:rPr>
                <w:sz w:val="24"/>
                <w:szCs w:val="24"/>
                <w:spacing w:val="9"/>
                <w:position w:val="17"/>
              </w:rPr>
              <w:t>值为1.99</w:t>
            </w:r>
            <w:r>
              <w:rPr>
                <w:sz w:val="24"/>
                <w:szCs w:val="24"/>
                <w:position w:val="17"/>
              </w:rPr>
              <w:t>mg</w:t>
            </w:r>
            <w:r>
              <w:rPr>
                <w:sz w:val="24"/>
                <w:szCs w:val="24"/>
                <w:spacing w:val="9"/>
                <w:position w:val="17"/>
              </w:rPr>
              <w:t>/m³,硫化氢最大值为0.008</w:t>
            </w:r>
            <w:r>
              <w:rPr>
                <w:sz w:val="24"/>
                <w:szCs w:val="24"/>
                <w:position w:val="17"/>
              </w:rPr>
              <w:t>mg</w:t>
            </w:r>
            <w:r>
              <w:rPr>
                <w:sz w:val="24"/>
                <w:szCs w:val="24"/>
                <w:spacing w:val="9"/>
                <w:position w:val="17"/>
              </w:rPr>
              <w:t>/m³,氨最大值为0.12</w:t>
            </w:r>
            <w:r>
              <w:rPr>
                <w:sz w:val="24"/>
                <w:szCs w:val="24"/>
                <w:position w:val="17"/>
              </w:rPr>
              <w:t>mg</w:t>
            </w:r>
            <w:r>
              <w:rPr>
                <w:sz w:val="24"/>
                <w:szCs w:val="24"/>
                <w:spacing w:val="9"/>
                <w:position w:val="17"/>
              </w:rPr>
              <w:t>/m³,臭气</w:t>
            </w:r>
          </w:p>
          <w:p>
            <w:pPr>
              <w:pStyle w:val="TableText"/>
              <w:ind w:left="120"/>
              <w:spacing w:before="1" w:line="219" w:lineRule="auto"/>
              <w:rPr>
                <w:sz w:val="24"/>
                <w:szCs w:val="24"/>
              </w:rPr>
            </w:pPr>
            <w:r>
              <w:rPr>
                <w:sz w:val="24"/>
                <w:szCs w:val="24"/>
              </w:rPr>
              <w:t>浓度最大值为&lt;10(检出限);厂界无组织颗粒物</w:t>
            </w:r>
            <w:r>
              <w:rPr>
                <w:sz w:val="24"/>
                <w:szCs w:val="24"/>
                <w:spacing w:val="-1"/>
              </w:rPr>
              <w:t>、非甲烷总烃浓度均满足</w:t>
            </w:r>
          </w:p>
          <w:p>
            <w:pPr>
              <w:pStyle w:val="TableText"/>
              <w:ind w:left="121"/>
              <w:spacing w:before="165" w:line="470" w:lineRule="exact"/>
              <w:rPr>
                <w:sz w:val="24"/>
                <w:szCs w:val="24"/>
              </w:rPr>
            </w:pPr>
            <w:r>
              <w:rPr>
                <w:sz w:val="24"/>
                <w:szCs w:val="24"/>
                <w:spacing w:val="3"/>
                <w:position w:val="17"/>
              </w:rPr>
              <w:t>《电池工业污染物排放标准》(</w:t>
            </w:r>
            <w:r>
              <w:rPr>
                <w:sz w:val="24"/>
                <w:szCs w:val="24"/>
                <w:position w:val="17"/>
              </w:rPr>
              <w:t>GB</w:t>
            </w:r>
            <w:r>
              <w:rPr>
                <w:sz w:val="24"/>
                <w:szCs w:val="24"/>
                <w:spacing w:val="3"/>
                <w:position w:val="17"/>
              </w:rPr>
              <w:t>30484-2013)表6规定的排放限值要求；</w:t>
            </w:r>
          </w:p>
          <w:p>
            <w:pPr>
              <w:pStyle w:val="TableText"/>
              <w:ind w:left="130"/>
              <w:spacing w:line="219" w:lineRule="auto"/>
              <w:rPr>
                <w:sz w:val="24"/>
                <w:szCs w:val="24"/>
              </w:rPr>
            </w:pPr>
            <w:r>
              <w:rPr>
                <w:sz w:val="24"/>
                <w:szCs w:val="24"/>
              </w:rPr>
              <w:t>厂界无组织硫化氢、氨、臭气浓度均满足执行《恶臭污染物排放标准》</w:t>
            </w:r>
          </w:p>
          <w:p>
            <w:pPr>
              <w:pStyle w:val="TableText"/>
              <w:ind w:left="251"/>
              <w:spacing w:before="195" w:line="490" w:lineRule="exact"/>
              <w:rPr>
                <w:sz w:val="24"/>
                <w:szCs w:val="24"/>
              </w:rPr>
            </w:pPr>
            <w:r>
              <w:rPr>
                <w:sz w:val="24"/>
                <w:szCs w:val="24"/>
                <w:position w:val="19"/>
              </w:rPr>
              <w:t>(GB14554-93)表1恶臭污染物厂界标准值(二级新改扩建)。</w:t>
            </w:r>
          </w:p>
          <w:p>
            <w:pPr>
              <w:pStyle w:val="TableText"/>
              <w:ind w:left="591"/>
              <w:spacing w:line="219" w:lineRule="auto"/>
              <w:rPr>
                <w:sz w:val="24"/>
                <w:szCs w:val="24"/>
              </w:rPr>
            </w:pPr>
            <w:r>
              <w:rPr>
                <w:sz w:val="24"/>
                <w:szCs w:val="24"/>
                <w:spacing w:val="2"/>
              </w:rPr>
              <w:t>3)搅拌罐废气</w:t>
            </w:r>
          </w:p>
          <w:p>
            <w:pPr>
              <w:pStyle w:val="TableText"/>
              <w:ind w:left="591"/>
              <w:spacing w:before="165" w:line="480" w:lineRule="exact"/>
              <w:rPr>
                <w:sz w:val="24"/>
                <w:szCs w:val="24"/>
              </w:rPr>
            </w:pPr>
            <w:r>
              <w:rPr>
                <w:sz w:val="24"/>
                <w:szCs w:val="24"/>
                <w:position w:val="18"/>
              </w:rPr>
              <w:t>搅拌罐工序中产生的搅拌罐废气经统一收集后经</w:t>
            </w:r>
            <w:r>
              <w:rPr>
                <w:sz w:val="24"/>
                <w:szCs w:val="24"/>
                <w:spacing w:val="-1"/>
                <w:position w:val="18"/>
              </w:rPr>
              <w:t>活性炭吸附处理后通过</w:t>
            </w:r>
          </w:p>
          <w:p>
            <w:pPr>
              <w:pStyle w:val="TableText"/>
              <w:ind w:left="150"/>
              <w:spacing w:before="1" w:line="219" w:lineRule="auto"/>
              <w:rPr>
                <w:sz w:val="24"/>
                <w:szCs w:val="24"/>
              </w:rPr>
            </w:pPr>
            <w:r>
              <w:rPr>
                <w:sz w:val="24"/>
                <w:szCs w:val="24"/>
                <w:spacing w:val="37"/>
              </w:rPr>
              <w:t>1根25m排气筒(</w:t>
            </w:r>
            <w:r>
              <w:rPr>
                <w:sz w:val="24"/>
                <w:szCs w:val="24"/>
              </w:rPr>
              <w:t>DA</w:t>
            </w:r>
            <w:r>
              <w:rPr>
                <w:sz w:val="24"/>
                <w:szCs w:val="24"/>
                <w:spacing w:val="37"/>
              </w:rPr>
              <w:t>014)。</w:t>
            </w:r>
          </w:p>
          <w:p>
            <w:pPr>
              <w:pStyle w:val="TableText"/>
              <w:ind w:left="601"/>
              <w:spacing w:before="177" w:line="430" w:lineRule="exact"/>
              <w:rPr>
                <w:sz w:val="24"/>
                <w:szCs w:val="24"/>
              </w:rPr>
            </w:pPr>
            <w:r>
              <w:rPr>
                <w:sz w:val="24"/>
                <w:szCs w:val="24"/>
                <w:spacing w:val="1"/>
                <w:position w:val="14"/>
              </w:rPr>
              <w:t>根据《时代一汽动力电池有限公司年产20</w:t>
            </w:r>
            <w:r>
              <w:rPr>
                <w:sz w:val="24"/>
                <w:szCs w:val="24"/>
                <w:position w:val="14"/>
              </w:rPr>
              <w:t>gwh</w:t>
            </w:r>
            <w:r>
              <w:rPr>
                <w:sz w:val="24"/>
                <w:szCs w:val="24"/>
                <w:spacing w:val="1"/>
                <w:position w:val="14"/>
              </w:rPr>
              <w:t>动力电池生产线扩建项目</w:t>
            </w:r>
          </w:p>
          <w:p>
            <w:pPr>
              <w:pStyle w:val="TableText"/>
              <w:ind w:left="100"/>
              <w:spacing w:before="1" w:line="213" w:lineRule="auto"/>
              <w:rPr>
                <w:sz w:val="24"/>
                <w:szCs w:val="24"/>
              </w:rPr>
            </w:pPr>
            <w:r>
              <w:rPr>
                <w:sz w:val="24"/>
                <w:szCs w:val="24"/>
              </w:rPr>
              <w:t>阶段性竣工环境保护验收报告表》(6.7gwh)可知：验收监测期间，2023年</w:t>
            </w:r>
          </w:p>
          <w:p>
            <w:pPr>
              <w:pStyle w:val="TableText"/>
              <w:spacing w:before="212" w:line="468" w:lineRule="exact"/>
              <w:jc w:val="right"/>
              <w:rPr>
                <w:sz w:val="24"/>
                <w:szCs w:val="24"/>
              </w:rPr>
            </w:pPr>
            <w:r>
              <w:rPr>
                <w:sz w:val="24"/>
                <w:szCs w:val="24"/>
                <w:spacing w:val="2"/>
                <w:position w:val="17"/>
              </w:rPr>
              <w:t>3月2日～3日，搅拌罐废气排放口非甲烷总烃浓度1.96~2.64</w:t>
            </w:r>
            <w:r>
              <w:rPr>
                <w:sz w:val="24"/>
                <w:szCs w:val="24"/>
                <w:position w:val="17"/>
              </w:rPr>
              <w:t>mg</w:t>
            </w:r>
            <w:r>
              <w:rPr>
                <w:sz w:val="24"/>
                <w:szCs w:val="24"/>
                <w:spacing w:val="2"/>
                <w:position w:val="17"/>
              </w:rPr>
              <w:t>/m³,满足《电</w:t>
            </w:r>
          </w:p>
          <w:p>
            <w:pPr>
              <w:pStyle w:val="TableText"/>
              <w:ind w:left="130"/>
              <w:spacing w:line="219" w:lineRule="auto"/>
              <w:rPr>
                <w:sz w:val="24"/>
                <w:szCs w:val="24"/>
              </w:rPr>
            </w:pPr>
            <w:r>
              <w:rPr>
                <w:sz w:val="24"/>
                <w:szCs w:val="24"/>
              </w:rPr>
              <w:t>池工业污染物排放标准》(GB30484-2013)表5规定的排放限值的要求，即</w:t>
            </w:r>
          </w:p>
          <w:p>
            <w:pPr>
              <w:pStyle w:val="TableText"/>
              <w:ind w:left="120"/>
              <w:spacing w:before="157" w:line="214" w:lineRule="auto"/>
              <w:rPr>
                <w:sz w:val="24"/>
                <w:szCs w:val="24"/>
              </w:rPr>
            </w:pPr>
            <w:r>
              <w:rPr>
                <w:sz w:val="24"/>
                <w:szCs w:val="24"/>
                <w:spacing w:val="6"/>
              </w:rPr>
              <w:t>非甲烷总烃最高允许排放浓度50</w:t>
            </w:r>
            <w:r>
              <w:rPr>
                <w:sz w:val="24"/>
                <w:szCs w:val="24"/>
              </w:rPr>
              <w:t>mg</w:t>
            </w:r>
            <w:r>
              <w:rPr>
                <w:sz w:val="24"/>
                <w:szCs w:val="24"/>
                <w:spacing w:val="6"/>
              </w:rPr>
              <w:t>/m³。</w:t>
            </w:r>
          </w:p>
        </w:tc>
      </w:tr>
    </w:tbl>
    <w:p>
      <w:pPr>
        <w:rPr>
          <w:rFonts w:ascii="Arial"/>
          <w:sz w:val="21"/>
        </w:rPr>
      </w:pPr>
      <w:r/>
    </w:p>
    <w:p>
      <w:pPr>
        <w:sectPr>
          <w:footerReference w:type="default" r:id="rId43"/>
          <w:pgSz w:w="11900" w:h="16840"/>
          <w:pgMar w:top="1425" w:right="1385" w:bottom="1005" w:left="1514" w:header="0" w:footer="856" w:gutter="0"/>
        </w:sectPr>
        <w:rPr>
          <w:rFonts w:ascii="Arial" w:hAnsi="Arial" w:eastAsia="Arial" w:cs="Arial"/>
          <w:sz w:val="21"/>
          <w:szCs w:val="21"/>
        </w:rPr>
      </w:pPr>
    </w:p>
    <w:p>
      <w:pPr>
        <w:spacing w:line="37" w:lineRule="auto"/>
        <w:rPr>
          <w:rFonts w:ascii="Arial"/>
          <w:sz w:val="2"/>
        </w:rPr>
      </w:pPr>
      <w:r>
        <w:rPr>
          <w:rFonts w:ascii="Arial"/>
          <w:sz w:val="2"/>
        </w:rPr>
      </w:r>
    </w:p>
    <w:tbl>
      <w:tblPr>
        <w:tblStyle w:val="TableNormal"/>
        <w:tblW w:w="897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14"/>
        <w:gridCol w:w="8165"/>
      </w:tblGrid>
      <w:tr>
        <w:trPr>
          <w:trHeight w:val="13569" w:hRule="atLeast"/>
        </w:trPr>
        <w:tc>
          <w:tcPr>
            <w:tcW w:w="814" w:type="dxa"/>
            <w:vAlign w:val="top"/>
          </w:tcPr>
          <w:p>
            <w:pPr>
              <w:rPr>
                <w:rFonts w:ascii="Arial"/>
                <w:sz w:val="21"/>
              </w:rPr>
            </w:pPr>
            <w:r/>
          </w:p>
        </w:tc>
        <w:tc>
          <w:tcPr>
            <w:tcW w:w="8165" w:type="dxa"/>
            <w:vAlign w:val="top"/>
          </w:tcPr>
          <w:p>
            <w:pPr>
              <w:pStyle w:val="TableText"/>
              <w:ind w:left="611"/>
              <w:spacing w:before="63" w:line="219" w:lineRule="auto"/>
              <w:rPr>
                <w:sz w:val="25"/>
                <w:szCs w:val="25"/>
              </w:rPr>
            </w:pPr>
            <w:r>
              <w:rPr>
                <w:sz w:val="25"/>
                <w:szCs w:val="25"/>
                <w:spacing w:val="1"/>
              </w:rPr>
              <w:t>4)涂布</w:t>
            </w:r>
            <w:r>
              <w:rPr>
                <w:sz w:val="25"/>
                <w:szCs w:val="25"/>
              </w:rPr>
              <w:t>NMP</w:t>
            </w:r>
            <w:r>
              <w:rPr>
                <w:sz w:val="25"/>
                <w:szCs w:val="25"/>
                <w:spacing w:val="1"/>
              </w:rPr>
              <w:t>废气</w:t>
            </w:r>
          </w:p>
          <w:p>
            <w:pPr>
              <w:pStyle w:val="TableText"/>
              <w:ind w:left="120" w:right="264" w:firstLine="500"/>
              <w:spacing w:before="154" w:line="347" w:lineRule="auto"/>
              <w:rPr>
                <w:sz w:val="25"/>
                <w:szCs w:val="25"/>
              </w:rPr>
            </w:pPr>
            <w:r>
              <w:rPr>
                <w:sz w:val="25"/>
                <w:szCs w:val="25"/>
              </w:rPr>
              <w:t>涂布NMP废气通过全密闭集气罩收集进入NMP轮转回收装置，回收的</w:t>
            </w:r>
            <w:r>
              <w:rPr>
                <w:sz w:val="25"/>
                <w:szCs w:val="25"/>
                <w:spacing w:val="18"/>
              </w:rPr>
              <w:t xml:space="preserve"> </w:t>
            </w:r>
            <w:r>
              <w:rPr>
                <w:sz w:val="25"/>
                <w:szCs w:val="25"/>
              </w:rPr>
              <w:t>NMP液体由管道输送进入NMP废液罐，经8套转轮回收后的尾气由2根</w:t>
            </w:r>
            <w:r>
              <w:rPr>
                <w:sz w:val="25"/>
                <w:szCs w:val="25"/>
                <w:spacing w:val="-1"/>
              </w:rPr>
              <w:t>27m</w:t>
            </w:r>
          </w:p>
          <w:p>
            <w:pPr>
              <w:pStyle w:val="TableText"/>
              <w:ind w:left="140"/>
              <w:spacing w:line="219" w:lineRule="auto"/>
              <w:rPr>
                <w:sz w:val="25"/>
                <w:szCs w:val="25"/>
              </w:rPr>
            </w:pPr>
            <w:r>
              <w:rPr>
                <w:sz w:val="25"/>
                <w:szCs w:val="25"/>
                <w:spacing w:val="-1"/>
              </w:rPr>
              <w:t>高排气筒(DA015、DA020)排放。</w:t>
            </w:r>
          </w:p>
          <w:p>
            <w:pPr>
              <w:pStyle w:val="TableText"/>
              <w:ind w:left="150" w:firstLine="477"/>
              <w:spacing w:before="166" w:line="343" w:lineRule="auto"/>
              <w:rPr>
                <w:sz w:val="25"/>
                <w:szCs w:val="25"/>
              </w:rPr>
            </w:pPr>
            <w:r>
              <w:rPr>
                <w:sz w:val="25"/>
                <w:szCs w:val="25"/>
                <w:spacing w:val="-3"/>
              </w:rPr>
              <w:t>根据《时代一汽动力电池有限公司年产20gwh动力电池生产线扩建项目</w:t>
            </w:r>
            <w:r>
              <w:rPr>
                <w:sz w:val="25"/>
                <w:szCs w:val="25"/>
              </w:rPr>
              <w:t xml:space="preserve"> </w:t>
            </w:r>
            <w:r>
              <w:rPr>
                <w:sz w:val="25"/>
                <w:szCs w:val="25"/>
                <w:spacing w:val="-1"/>
              </w:rPr>
              <w:t>阶段性竣工环境保护验收报告表》(6.7gwh)可知：验收监测期间，2023年</w:t>
            </w:r>
          </w:p>
          <w:p>
            <w:pPr>
              <w:pStyle w:val="TableText"/>
              <w:ind w:left="120"/>
              <w:spacing w:before="1" w:line="213" w:lineRule="auto"/>
              <w:rPr>
                <w:sz w:val="25"/>
                <w:szCs w:val="25"/>
              </w:rPr>
            </w:pPr>
            <w:r>
              <w:rPr>
                <w:sz w:val="25"/>
                <w:szCs w:val="25"/>
                <w:spacing w:val="3"/>
              </w:rPr>
              <w:t>3月2日～3日，涂布</w:t>
            </w:r>
            <w:r>
              <w:rPr>
                <w:sz w:val="25"/>
                <w:szCs w:val="25"/>
              </w:rPr>
              <w:t>NMP</w:t>
            </w:r>
            <w:r>
              <w:rPr>
                <w:sz w:val="25"/>
                <w:szCs w:val="25"/>
                <w:spacing w:val="3"/>
              </w:rPr>
              <w:t>废气排放口非甲烷总烃浓</w:t>
            </w:r>
            <w:r>
              <w:rPr>
                <w:sz w:val="25"/>
                <w:szCs w:val="25"/>
                <w:spacing w:val="2"/>
              </w:rPr>
              <w:t>度3.10~5.27</w:t>
            </w:r>
            <w:r>
              <w:rPr>
                <w:sz w:val="25"/>
                <w:szCs w:val="25"/>
              </w:rPr>
              <w:t>mg</w:t>
            </w:r>
            <w:r>
              <w:rPr>
                <w:sz w:val="25"/>
                <w:szCs w:val="25"/>
                <w:spacing w:val="2"/>
              </w:rPr>
              <w:t>/m³,满</w:t>
            </w:r>
          </w:p>
          <w:p>
            <w:pPr>
              <w:pStyle w:val="TableText"/>
              <w:ind w:left="140"/>
              <w:spacing w:before="178" w:line="442" w:lineRule="exact"/>
              <w:rPr>
                <w:sz w:val="25"/>
                <w:szCs w:val="25"/>
              </w:rPr>
            </w:pPr>
            <w:r>
              <w:rPr>
                <w:sz w:val="25"/>
                <w:szCs w:val="25"/>
                <w:position w:val="14"/>
              </w:rPr>
              <w:t>足《电池工业污染物排放标准》(GB30484-2013)表5规定的排放限值的要</w:t>
            </w:r>
          </w:p>
          <w:p>
            <w:pPr>
              <w:pStyle w:val="TableText"/>
              <w:ind w:left="110"/>
              <w:spacing w:before="1" w:line="213" w:lineRule="auto"/>
              <w:rPr>
                <w:sz w:val="25"/>
                <w:szCs w:val="25"/>
              </w:rPr>
            </w:pPr>
            <w:r>
              <w:rPr>
                <w:sz w:val="25"/>
                <w:szCs w:val="25"/>
                <w:spacing w:val="8"/>
              </w:rPr>
              <w:t>求，即非甲烷总烃最高允许排放浓度50</w:t>
            </w:r>
            <w:r>
              <w:rPr>
                <w:sz w:val="25"/>
                <w:szCs w:val="25"/>
              </w:rPr>
              <w:t>mg</w:t>
            </w:r>
            <w:r>
              <w:rPr>
                <w:sz w:val="25"/>
                <w:szCs w:val="25"/>
                <w:spacing w:val="8"/>
              </w:rPr>
              <w:t>/m³</w:t>
            </w:r>
          </w:p>
          <w:p>
            <w:pPr>
              <w:pStyle w:val="TableText"/>
              <w:ind w:left="621"/>
              <w:spacing w:before="228" w:line="219" w:lineRule="auto"/>
              <w:rPr>
                <w:sz w:val="25"/>
                <w:szCs w:val="25"/>
              </w:rPr>
            </w:pPr>
            <w:r>
              <w:rPr>
                <w:sz w:val="25"/>
                <w:szCs w:val="25"/>
                <w:spacing w:val="1"/>
              </w:rPr>
              <w:t>5)真空干燥、真空泵废气</w:t>
            </w:r>
          </w:p>
          <w:p>
            <w:pPr>
              <w:pStyle w:val="TableText"/>
              <w:ind w:left="611"/>
              <w:spacing w:before="153" w:line="219" w:lineRule="auto"/>
              <w:rPr>
                <w:sz w:val="25"/>
                <w:szCs w:val="25"/>
              </w:rPr>
            </w:pPr>
            <w:r>
              <w:rPr>
                <w:sz w:val="25"/>
                <w:szCs w:val="25"/>
              </w:rPr>
              <w:t>真空干燥废气：抽真空通过管道并入真空泵废气</w:t>
            </w:r>
            <w:r>
              <w:rPr>
                <w:sz w:val="25"/>
                <w:szCs w:val="25"/>
                <w:spacing w:val="-1"/>
              </w:rPr>
              <w:t>处理设施处理。</w:t>
            </w:r>
          </w:p>
          <w:p>
            <w:pPr>
              <w:pStyle w:val="TableText"/>
              <w:spacing w:before="165" w:line="470" w:lineRule="exact"/>
              <w:jc w:val="right"/>
              <w:rPr>
                <w:sz w:val="25"/>
                <w:szCs w:val="25"/>
              </w:rPr>
            </w:pPr>
            <w:r>
              <w:rPr>
                <w:sz w:val="25"/>
                <w:szCs w:val="25"/>
                <w:spacing w:val="-7"/>
                <w:position w:val="16"/>
              </w:rPr>
              <w:t>真空泵废气：连接真空泵将废气收集后引至废气处理设施(冷凝+</w:t>
            </w:r>
            <w:r>
              <w:rPr>
                <w:sz w:val="25"/>
                <w:szCs w:val="25"/>
                <w:spacing w:val="-8"/>
                <w:position w:val="16"/>
              </w:rPr>
              <w:t>滤筒除</w:t>
            </w:r>
          </w:p>
          <w:p>
            <w:pPr>
              <w:pStyle w:val="TableText"/>
              <w:ind w:left="140"/>
              <w:spacing w:line="219" w:lineRule="auto"/>
              <w:rPr>
                <w:sz w:val="25"/>
                <w:szCs w:val="25"/>
              </w:rPr>
            </w:pPr>
            <w:r>
              <w:rPr>
                <w:sz w:val="25"/>
                <w:szCs w:val="25"/>
              </w:rPr>
              <w:t>油+碱洗+TO炉+高温换热器+热水换热器+高温除尘器)处理后1根27m高</w:t>
            </w:r>
          </w:p>
          <w:p>
            <w:pPr>
              <w:pStyle w:val="TableText"/>
              <w:ind w:left="251"/>
              <w:spacing w:before="193" w:line="219" w:lineRule="auto"/>
              <w:rPr>
                <w:sz w:val="25"/>
                <w:szCs w:val="25"/>
              </w:rPr>
            </w:pPr>
            <w:r>
              <w:rPr>
                <w:sz w:val="25"/>
                <w:szCs w:val="25"/>
              </w:rPr>
              <w:t>(DA017)排气筒排放。</w:t>
            </w:r>
          </w:p>
          <w:p>
            <w:pPr>
              <w:pStyle w:val="TableText"/>
              <w:ind w:left="130" w:firstLine="487"/>
              <w:spacing w:before="148" w:line="343" w:lineRule="auto"/>
              <w:rPr>
                <w:sz w:val="25"/>
                <w:szCs w:val="25"/>
              </w:rPr>
            </w:pPr>
            <w:r>
              <w:rPr>
                <w:sz w:val="25"/>
                <w:szCs w:val="25"/>
                <w:spacing w:val="-3"/>
              </w:rPr>
              <w:t>根据《时代一汽动力电池有限公司年产20gwh动力电池生产线扩建项目</w:t>
            </w:r>
            <w:r>
              <w:rPr>
                <w:sz w:val="25"/>
                <w:szCs w:val="25"/>
                <w:spacing w:val="9"/>
              </w:rPr>
              <w:t xml:space="preserve"> </w:t>
            </w:r>
            <w:r>
              <w:rPr>
                <w:sz w:val="25"/>
                <w:szCs w:val="25"/>
                <w:spacing w:val="-1"/>
              </w:rPr>
              <w:t>阶段性竣工环境保护验收报告表》(6.7gwh)可知：验收监测期间，2023年</w:t>
            </w:r>
            <w:r>
              <w:rPr>
                <w:sz w:val="25"/>
                <w:szCs w:val="25"/>
                <w:spacing w:val="14"/>
              </w:rPr>
              <w:t xml:space="preserve"> </w:t>
            </w:r>
            <w:r>
              <w:rPr>
                <w:sz w:val="25"/>
                <w:szCs w:val="25"/>
                <w:spacing w:val="45"/>
              </w:rPr>
              <w:t>3月2日～3日，真空干燥、真空泵废气排放口非甲烷总烃浓度</w:t>
            </w:r>
            <w:r>
              <w:rPr>
                <w:sz w:val="25"/>
                <w:szCs w:val="25"/>
                <w:spacing w:val="3"/>
              </w:rPr>
              <w:t xml:space="preserve">  </w:t>
            </w:r>
            <w:r>
              <w:rPr>
                <w:sz w:val="25"/>
                <w:szCs w:val="25"/>
                <w:spacing w:val="2"/>
              </w:rPr>
              <w:t>7.98~11.1</w:t>
            </w:r>
            <w:r>
              <w:rPr>
                <w:sz w:val="25"/>
                <w:szCs w:val="25"/>
              </w:rPr>
              <w:t>mg</w:t>
            </w:r>
            <w:r>
              <w:rPr>
                <w:sz w:val="25"/>
                <w:szCs w:val="25"/>
                <w:spacing w:val="2"/>
              </w:rPr>
              <w:t>/m³,满足《电池工业污染物排放标准》(</w:t>
            </w:r>
            <w:r>
              <w:rPr>
                <w:sz w:val="25"/>
                <w:szCs w:val="25"/>
              </w:rPr>
              <w:t>GB</w:t>
            </w:r>
            <w:r>
              <w:rPr>
                <w:sz w:val="25"/>
                <w:szCs w:val="25"/>
                <w:spacing w:val="2"/>
              </w:rPr>
              <w:t>30484-2013)表5</w:t>
            </w:r>
          </w:p>
          <w:p>
            <w:pPr>
              <w:pStyle w:val="TableText"/>
              <w:ind w:left="120"/>
              <w:spacing w:before="1" w:line="213" w:lineRule="auto"/>
              <w:rPr>
                <w:sz w:val="25"/>
                <w:szCs w:val="25"/>
              </w:rPr>
            </w:pPr>
            <w:r>
              <w:rPr>
                <w:sz w:val="25"/>
                <w:szCs w:val="25"/>
                <w:spacing w:val="2"/>
              </w:rPr>
              <w:t>规定的排放限值的要求，即非甲烷总烃最高允许排放浓度50</w:t>
            </w:r>
            <w:r>
              <w:rPr>
                <w:sz w:val="25"/>
                <w:szCs w:val="25"/>
              </w:rPr>
              <w:t>mg</w:t>
            </w:r>
            <w:r>
              <w:rPr>
                <w:sz w:val="25"/>
                <w:szCs w:val="25"/>
                <w:spacing w:val="2"/>
              </w:rPr>
              <w:t>/m³。</w:t>
            </w:r>
          </w:p>
          <w:p>
            <w:pPr>
              <w:pStyle w:val="TableText"/>
              <w:ind w:left="591"/>
              <w:spacing w:before="199" w:line="220" w:lineRule="auto"/>
              <w:rPr>
                <w:sz w:val="25"/>
                <w:szCs w:val="25"/>
              </w:rPr>
            </w:pPr>
            <w:r>
              <w:rPr>
                <w:sz w:val="25"/>
                <w:szCs w:val="25"/>
                <w:spacing w:val="2"/>
              </w:rPr>
              <w:t>6)注液废气</w:t>
            </w:r>
          </w:p>
          <w:p>
            <w:pPr>
              <w:pStyle w:val="TableText"/>
              <w:spacing w:before="170" w:line="491" w:lineRule="exact"/>
              <w:jc w:val="right"/>
              <w:rPr>
                <w:sz w:val="25"/>
                <w:szCs w:val="25"/>
              </w:rPr>
            </w:pPr>
            <w:r>
              <w:rPr>
                <w:sz w:val="25"/>
                <w:szCs w:val="25"/>
                <w:spacing w:val="-7"/>
                <w:position w:val="18"/>
              </w:rPr>
              <w:t>一次注液、二</w:t>
            </w:r>
            <w:r>
              <w:rPr>
                <w:sz w:val="25"/>
                <w:szCs w:val="25"/>
                <w:spacing w:val="-6"/>
                <w:position w:val="18"/>
              </w:rPr>
              <w:t>次注液废气通过抽风机引至活性</w:t>
            </w:r>
            <w:r>
              <w:rPr>
                <w:sz w:val="25"/>
                <w:szCs w:val="25"/>
                <w:spacing w:val="-7"/>
                <w:position w:val="18"/>
              </w:rPr>
              <w:t>炭吸附处理后，由2根27</w:t>
            </w:r>
            <w:r>
              <w:rPr>
                <w:sz w:val="25"/>
                <w:szCs w:val="25"/>
                <w:spacing w:val="-1"/>
                <w:position w:val="18"/>
              </w:rPr>
              <w:t>m</w:t>
            </w:r>
          </w:p>
          <w:p>
            <w:pPr>
              <w:pStyle w:val="TableText"/>
              <w:ind w:left="251"/>
              <w:spacing w:before="1" w:line="219" w:lineRule="auto"/>
              <w:rPr>
                <w:sz w:val="25"/>
                <w:szCs w:val="25"/>
              </w:rPr>
            </w:pPr>
            <w:r>
              <w:rPr>
                <w:sz w:val="25"/>
                <w:szCs w:val="25"/>
                <w:spacing w:val="-1"/>
              </w:rPr>
              <w:t>(DA024、DA016)高排气筒排放。</w:t>
            </w:r>
          </w:p>
          <w:p>
            <w:pPr>
              <w:pStyle w:val="TableText"/>
              <w:ind w:left="120" w:firstLine="487"/>
              <w:spacing w:before="142" w:line="342" w:lineRule="auto"/>
              <w:rPr>
                <w:sz w:val="25"/>
                <w:szCs w:val="25"/>
              </w:rPr>
            </w:pPr>
            <w:r>
              <w:rPr>
                <w:sz w:val="25"/>
                <w:szCs w:val="25"/>
                <w:spacing w:val="-2"/>
              </w:rPr>
              <w:t>根据《时代一汽动力电池有限公司年产20</w:t>
            </w:r>
            <w:r>
              <w:rPr>
                <w:sz w:val="25"/>
                <w:szCs w:val="25"/>
                <w:spacing w:val="-3"/>
              </w:rPr>
              <w:t>gwh动力电池生产线扩建项目</w:t>
            </w:r>
            <w:r>
              <w:rPr>
                <w:sz w:val="25"/>
                <w:szCs w:val="25"/>
              </w:rPr>
              <w:t xml:space="preserve"> </w:t>
            </w:r>
            <w:r>
              <w:rPr>
                <w:sz w:val="25"/>
                <w:szCs w:val="25"/>
              </w:rPr>
              <w:t>阶段性竣工环境保护验收报告表》(6.7gwh)可</w:t>
            </w:r>
            <w:r>
              <w:rPr>
                <w:sz w:val="25"/>
                <w:szCs w:val="25"/>
                <w:spacing w:val="-1"/>
              </w:rPr>
              <w:t>知：验收监测期间，2023年</w:t>
            </w:r>
            <w:r>
              <w:rPr>
                <w:sz w:val="25"/>
                <w:szCs w:val="25"/>
              </w:rPr>
              <w:t xml:space="preserve"> </w:t>
            </w:r>
            <w:r>
              <w:rPr>
                <w:sz w:val="25"/>
                <w:szCs w:val="25"/>
              </w:rPr>
              <w:t>3月2日～3日，注液废气排放口非甲烷总烃浓度2.91~6.25mg/m³,满足《电 </w:t>
            </w:r>
            <w:r>
              <w:rPr>
                <w:sz w:val="25"/>
                <w:szCs w:val="25"/>
              </w:rPr>
              <w:t>池工业污染物排放标准》(GB30484-2013)表5规定的排放限值的要求</w:t>
            </w:r>
            <w:r>
              <w:rPr>
                <w:sz w:val="25"/>
                <w:szCs w:val="25"/>
                <w:spacing w:val="-1"/>
              </w:rPr>
              <w:t>，即</w:t>
            </w:r>
          </w:p>
          <w:p>
            <w:pPr>
              <w:pStyle w:val="TableText"/>
              <w:ind w:left="110"/>
              <w:spacing w:before="1" w:line="213" w:lineRule="auto"/>
              <w:rPr>
                <w:sz w:val="25"/>
                <w:szCs w:val="25"/>
              </w:rPr>
            </w:pPr>
            <w:r>
              <w:rPr>
                <w:sz w:val="25"/>
                <w:szCs w:val="25"/>
                <w:spacing w:val="5"/>
              </w:rPr>
              <w:t>非甲烷总烃最高允许排放浓度50</w:t>
            </w:r>
            <w:r>
              <w:rPr>
                <w:sz w:val="25"/>
                <w:szCs w:val="25"/>
              </w:rPr>
              <w:t>mg</w:t>
            </w:r>
            <w:r>
              <w:rPr>
                <w:sz w:val="25"/>
                <w:szCs w:val="25"/>
                <w:spacing w:val="5"/>
              </w:rPr>
              <w:t>/m³。</w:t>
            </w:r>
          </w:p>
          <w:p>
            <w:pPr>
              <w:pStyle w:val="TableText"/>
              <w:ind w:left="591"/>
              <w:spacing w:before="220" w:line="220" w:lineRule="auto"/>
              <w:rPr>
                <w:sz w:val="25"/>
                <w:szCs w:val="25"/>
              </w:rPr>
            </w:pPr>
            <w:r>
              <w:rPr>
                <w:sz w:val="25"/>
                <w:szCs w:val="25"/>
                <w:spacing w:val="2"/>
              </w:rPr>
              <w:t>7)锅炉废气</w:t>
            </w:r>
          </w:p>
          <w:p>
            <w:pPr>
              <w:pStyle w:val="TableText"/>
              <w:ind w:left="601"/>
              <w:spacing w:before="148" w:line="216" w:lineRule="auto"/>
              <w:rPr>
                <w:sz w:val="25"/>
                <w:szCs w:val="25"/>
              </w:rPr>
            </w:pPr>
            <w:r>
              <w:rPr>
                <w:sz w:val="25"/>
                <w:szCs w:val="25"/>
                <w:spacing w:val="4"/>
              </w:rPr>
              <w:t>规划9台(15t/h,8用1备)蒸汽锅炉废气主要为</w:t>
            </w:r>
            <w:r>
              <w:rPr>
                <w:sz w:val="25"/>
                <w:szCs w:val="25"/>
              </w:rPr>
              <w:t>SO</w:t>
            </w:r>
            <w:r>
              <w:rPr>
                <w:rFonts w:ascii="Calibri" w:hAnsi="Calibri" w:eastAsia="Calibri" w:cs="Calibri"/>
                <w:sz w:val="25"/>
                <w:szCs w:val="25"/>
                <w:spacing w:val="4"/>
              </w:rPr>
              <w:t>₂</w:t>
            </w:r>
            <w:r>
              <w:rPr>
                <w:rFonts w:ascii="Calibri" w:hAnsi="Calibri" w:eastAsia="Calibri" w:cs="Calibri"/>
                <w:sz w:val="25"/>
                <w:szCs w:val="25"/>
                <w:spacing w:val="-29"/>
              </w:rPr>
              <w:t xml:space="preserve"> </w:t>
            </w:r>
            <w:r>
              <w:rPr>
                <w:sz w:val="25"/>
                <w:szCs w:val="25"/>
                <w:spacing w:val="3"/>
              </w:rPr>
              <w:t>、</w:t>
            </w:r>
            <w:r>
              <w:rPr>
                <w:sz w:val="25"/>
                <w:szCs w:val="25"/>
              </w:rPr>
              <w:t>NOx</w:t>
            </w:r>
            <w:r>
              <w:rPr>
                <w:sz w:val="25"/>
                <w:szCs w:val="25"/>
                <w:spacing w:val="3"/>
              </w:rPr>
              <w:t>、烟尘。9</w:t>
            </w:r>
          </w:p>
        </w:tc>
      </w:tr>
    </w:tbl>
    <w:p>
      <w:pPr>
        <w:rPr>
          <w:rFonts w:ascii="Arial"/>
          <w:sz w:val="21"/>
        </w:rPr>
      </w:pPr>
      <w:r/>
    </w:p>
    <w:p>
      <w:pPr>
        <w:sectPr>
          <w:footerReference w:type="default" r:id="rId45"/>
          <w:pgSz w:w="11900" w:h="16840"/>
          <w:pgMar w:top="1431" w:right="1375" w:bottom="1005" w:left="1534" w:header="0" w:footer="856" w:gutter="0"/>
        </w:sectPr>
        <w:rPr>
          <w:rFonts w:ascii="Arial" w:hAnsi="Arial" w:eastAsia="Arial" w:cs="Arial"/>
          <w:sz w:val="21"/>
          <w:szCs w:val="21"/>
        </w:rPr>
      </w:pPr>
    </w:p>
    <w:p>
      <w:pPr>
        <w:spacing w:line="37" w:lineRule="auto"/>
        <w:rPr>
          <w:rFonts w:ascii="Arial"/>
          <w:sz w:val="2"/>
        </w:rPr>
      </w:pPr>
      <w:r>
        <w:rPr>
          <w:rFonts w:ascii="Arial"/>
          <w:sz w:val="2"/>
        </w:rPr>
      </w:r>
    </w:p>
    <w:tbl>
      <w:tblPr>
        <w:tblStyle w:val="TableNormal"/>
        <w:tblW w:w="89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14"/>
        <w:gridCol w:w="8175"/>
      </w:tblGrid>
      <w:tr>
        <w:trPr>
          <w:trHeight w:val="13550" w:hRule="atLeast"/>
        </w:trPr>
        <w:tc>
          <w:tcPr>
            <w:tcW w:w="814" w:type="dxa"/>
            <w:vAlign w:val="top"/>
          </w:tcPr>
          <w:p>
            <w:pPr>
              <w:rPr>
                <w:rFonts w:ascii="Arial"/>
                <w:sz w:val="21"/>
              </w:rPr>
            </w:pPr>
            <w:r/>
          </w:p>
        </w:tc>
        <w:tc>
          <w:tcPr>
            <w:tcW w:w="8175" w:type="dxa"/>
            <w:vAlign w:val="top"/>
          </w:tcPr>
          <w:p>
            <w:pPr>
              <w:pStyle w:val="TableText"/>
              <w:ind w:left="160" w:right="364" w:firstLine="9"/>
              <w:spacing w:before="44" w:line="355" w:lineRule="auto"/>
              <w:jc w:val="both"/>
              <w:rPr>
                <w:sz w:val="25"/>
                <w:szCs w:val="25"/>
              </w:rPr>
            </w:pPr>
            <w:r>
              <w:rPr>
                <w:sz w:val="25"/>
                <w:szCs w:val="25"/>
              </w:rPr>
              <w:t>台锅炉配5根高25m的排气烟道。其中DA023为3台15t/h锅炉废气合并排</w:t>
            </w:r>
            <w:r>
              <w:rPr>
                <w:sz w:val="25"/>
                <w:szCs w:val="25"/>
                <w:spacing w:val="3"/>
              </w:rPr>
              <w:t xml:space="preserve"> </w:t>
            </w:r>
            <w:r>
              <w:rPr>
                <w:sz w:val="25"/>
                <w:szCs w:val="25"/>
              </w:rPr>
              <w:t>放、DA021、DA022均为2台15t/h锅炉废气合并排放，DA011、DA012均</w:t>
            </w:r>
          </w:p>
          <w:p>
            <w:pPr>
              <w:pStyle w:val="TableText"/>
              <w:ind w:left="160"/>
              <w:spacing w:line="220" w:lineRule="auto"/>
              <w:rPr>
                <w:sz w:val="25"/>
                <w:szCs w:val="25"/>
              </w:rPr>
            </w:pPr>
            <w:r>
              <w:rPr>
                <w:sz w:val="25"/>
                <w:szCs w:val="25"/>
                <w:spacing w:val="-1"/>
              </w:rPr>
              <w:t>为1台12t/h锅炉废气排放。</w:t>
            </w:r>
          </w:p>
          <w:p>
            <w:pPr>
              <w:pStyle w:val="TableText"/>
              <w:ind w:right="19"/>
              <w:spacing w:before="147" w:line="453" w:lineRule="exact"/>
              <w:jc w:val="right"/>
              <w:rPr>
                <w:sz w:val="25"/>
                <w:szCs w:val="25"/>
              </w:rPr>
            </w:pPr>
            <w:r>
              <w:rPr>
                <w:sz w:val="25"/>
                <w:szCs w:val="25"/>
                <w:position w:val="15"/>
              </w:rPr>
              <w:t>蒸汽锅炉平均每天运行22h,年工作时间按6600h/a。阶段性验收阶段7</w:t>
            </w:r>
          </w:p>
          <w:p>
            <w:pPr>
              <w:pStyle w:val="TableText"/>
              <w:ind w:left="160"/>
              <w:spacing w:line="219" w:lineRule="auto"/>
              <w:rPr>
                <w:sz w:val="25"/>
                <w:szCs w:val="25"/>
              </w:rPr>
            </w:pPr>
            <w:r>
              <w:rPr>
                <w:sz w:val="25"/>
                <w:szCs w:val="25"/>
              </w:rPr>
              <w:t>台锅炉(分别为一期5台锅炉和二期2台锅炉)通过5根高25m的排气烟道</w:t>
            </w:r>
          </w:p>
          <w:p>
            <w:pPr>
              <w:pStyle w:val="TableText"/>
              <w:ind w:left="150"/>
              <w:spacing w:before="183" w:line="219" w:lineRule="auto"/>
              <w:rPr>
                <w:sz w:val="25"/>
                <w:szCs w:val="25"/>
              </w:rPr>
            </w:pPr>
            <w:r>
              <w:rPr>
                <w:sz w:val="25"/>
                <w:szCs w:val="25"/>
                <w:spacing w:val="1"/>
              </w:rPr>
              <w:t>新增的2台锅炉废气分别并入2根高25m的排气烟道排放(</w:t>
            </w:r>
            <w:r>
              <w:rPr>
                <w:sz w:val="25"/>
                <w:szCs w:val="25"/>
              </w:rPr>
              <w:t>DA</w:t>
            </w:r>
            <w:r>
              <w:rPr>
                <w:sz w:val="25"/>
                <w:szCs w:val="25"/>
                <w:spacing w:val="1"/>
              </w:rPr>
              <w:t>021、</w:t>
            </w:r>
            <w:r>
              <w:rPr>
                <w:sz w:val="25"/>
                <w:szCs w:val="25"/>
              </w:rPr>
              <w:t>DA</w:t>
            </w:r>
            <w:r>
              <w:rPr>
                <w:sz w:val="25"/>
                <w:szCs w:val="25"/>
                <w:spacing w:val="1"/>
              </w:rPr>
              <w:t>022)</w:t>
            </w:r>
          </w:p>
          <w:p>
            <w:pPr>
              <w:pStyle w:val="TableText"/>
              <w:ind w:left="140" w:firstLine="493"/>
              <w:spacing w:before="166" w:line="342" w:lineRule="auto"/>
              <w:rPr>
                <w:sz w:val="25"/>
                <w:szCs w:val="25"/>
              </w:rPr>
            </w:pPr>
            <w:r>
              <w:rPr>
                <w:sz w:val="25"/>
                <w:szCs w:val="25"/>
                <w:spacing w:val="-5"/>
              </w:rPr>
              <w:t>根据《时代一汽动力电池有限公司年产20gwh动力电池生产线扩建项目</w:t>
            </w:r>
            <w:r>
              <w:rPr>
                <w:sz w:val="25"/>
                <w:szCs w:val="25"/>
                <w:spacing w:val="13"/>
              </w:rPr>
              <w:t xml:space="preserve"> </w:t>
            </w:r>
            <w:r>
              <w:rPr>
                <w:sz w:val="25"/>
                <w:szCs w:val="25"/>
                <w:spacing w:val="-2"/>
              </w:rPr>
              <w:t>阶段性竣工环境保护验收报告表》(6.7gwh)可知：验收监</w:t>
            </w:r>
            <w:r>
              <w:rPr>
                <w:sz w:val="25"/>
                <w:szCs w:val="25"/>
                <w:spacing w:val="-3"/>
              </w:rPr>
              <w:t>测期间，锅炉废 </w:t>
            </w:r>
            <w:r>
              <w:rPr>
                <w:sz w:val="25"/>
                <w:szCs w:val="25"/>
                <w:spacing w:val="8"/>
              </w:rPr>
              <w:t>气排放口</w:t>
            </w:r>
            <w:r>
              <w:rPr>
                <w:sz w:val="25"/>
                <w:szCs w:val="25"/>
              </w:rPr>
              <w:t>DA</w:t>
            </w:r>
            <w:r>
              <w:rPr>
                <w:sz w:val="25"/>
                <w:szCs w:val="25"/>
                <w:spacing w:val="8"/>
              </w:rPr>
              <w:t>021颗粒物、</w:t>
            </w:r>
            <w:r>
              <w:rPr>
                <w:sz w:val="25"/>
                <w:szCs w:val="25"/>
              </w:rPr>
              <w:t>SO</w:t>
            </w:r>
            <w:r>
              <w:rPr>
                <w:rFonts w:ascii="Calibri" w:hAnsi="Calibri" w:eastAsia="Calibri" w:cs="Calibri"/>
                <w:sz w:val="25"/>
                <w:szCs w:val="25"/>
                <w:spacing w:val="8"/>
              </w:rPr>
              <w:t>₂</w:t>
            </w:r>
            <w:r>
              <w:rPr>
                <w:rFonts w:ascii="Calibri" w:hAnsi="Calibri" w:eastAsia="Calibri" w:cs="Calibri"/>
                <w:sz w:val="25"/>
                <w:szCs w:val="25"/>
                <w:spacing w:val="-30"/>
              </w:rPr>
              <w:t xml:space="preserve"> </w:t>
            </w:r>
            <w:r>
              <w:rPr>
                <w:sz w:val="25"/>
                <w:szCs w:val="25"/>
                <w:spacing w:val="8"/>
              </w:rPr>
              <w:t>、</w:t>
            </w:r>
            <w:r>
              <w:rPr>
                <w:sz w:val="25"/>
                <w:szCs w:val="25"/>
              </w:rPr>
              <w:t>NOx</w:t>
            </w:r>
            <w:r>
              <w:rPr>
                <w:sz w:val="25"/>
                <w:szCs w:val="25"/>
                <w:spacing w:val="8"/>
              </w:rPr>
              <w:t>排放浓度1.4~2.0</w:t>
            </w:r>
            <w:r>
              <w:rPr>
                <w:sz w:val="25"/>
                <w:szCs w:val="25"/>
              </w:rPr>
              <w:t>mg</w:t>
            </w:r>
            <w:r>
              <w:rPr>
                <w:sz w:val="25"/>
                <w:szCs w:val="25"/>
                <w:spacing w:val="8"/>
              </w:rPr>
              <w:t>/m³、&lt;3.0</w:t>
            </w:r>
            <w:r>
              <w:rPr>
                <w:sz w:val="25"/>
                <w:szCs w:val="25"/>
              </w:rPr>
              <w:t>mg</w:t>
            </w:r>
            <w:r>
              <w:rPr>
                <w:sz w:val="25"/>
                <w:szCs w:val="25"/>
                <w:spacing w:val="8"/>
              </w:rPr>
              <w:t>/m³、</w:t>
            </w:r>
          </w:p>
          <w:p>
            <w:pPr>
              <w:pStyle w:val="TableText"/>
              <w:ind w:left="160"/>
              <w:spacing w:before="1" w:line="213" w:lineRule="auto"/>
              <w:rPr>
                <w:sz w:val="25"/>
                <w:szCs w:val="25"/>
              </w:rPr>
            </w:pPr>
            <w:r>
              <w:rPr>
                <w:sz w:val="25"/>
                <w:szCs w:val="25"/>
                <w:spacing w:val="2"/>
              </w:rPr>
              <w:t>30~34</w:t>
            </w:r>
            <w:r>
              <w:rPr>
                <w:sz w:val="25"/>
                <w:szCs w:val="25"/>
              </w:rPr>
              <w:t>mg</w:t>
            </w:r>
            <w:r>
              <w:rPr>
                <w:sz w:val="25"/>
                <w:szCs w:val="25"/>
                <w:spacing w:val="2"/>
              </w:rPr>
              <w:t>/m³,烟气黑度平均排放浓度均&lt;1级；锅炉废气排放口(</w:t>
            </w:r>
            <w:r>
              <w:rPr>
                <w:sz w:val="25"/>
                <w:szCs w:val="25"/>
              </w:rPr>
              <w:t>DA</w:t>
            </w:r>
            <w:r>
              <w:rPr>
                <w:sz w:val="25"/>
                <w:szCs w:val="25"/>
                <w:spacing w:val="2"/>
              </w:rPr>
              <w:t>022)</w:t>
            </w:r>
          </w:p>
          <w:p>
            <w:pPr>
              <w:pStyle w:val="TableText"/>
              <w:spacing w:before="190" w:line="458" w:lineRule="exact"/>
              <w:jc w:val="right"/>
              <w:rPr>
                <w:sz w:val="25"/>
                <w:szCs w:val="25"/>
              </w:rPr>
            </w:pPr>
            <w:r>
              <w:rPr>
                <w:sz w:val="25"/>
                <w:szCs w:val="25"/>
                <w:spacing w:val="4"/>
                <w:position w:val="15"/>
              </w:rPr>
              <w:t>颗粒物、</w:t>
            </w:r>
            <w:r>
              <w:rPr>
                <w:sz w:val="25"/>
                <w:szCs w:val="25"/>
                <w:position w:val="15"/>
              </w:rPr>
              <w:t>SO</w:t>
            </w:r>
            <w:r>
              <w:rPr>
                <w:rFonts w:ascii="Calibri" w:hAnsi="Calibri" w:eastAsia="Calibri" w:cs="Calibri"/>
                <w:sz w:val="25"/>
                <w:szCs w:val="25"/>
                <w:spacing w:val="4"/>
                <w:position w:val="15"/>
              </w:rPr>
              <w:t>₂</w:t>
            </w:r>
            <w:r>
              <w:rPr>
                <w:rFonts w:ascii="Calibri" w:hAnsi="Calibri" w:eastAsia="Calibri" w:cs="Calibri"/>
                <w:sz w:val="25"/>
                <w:szCs w:val="25"/>
                <w:spacing w:val="-29"/>
                <w:position w:val="15"/>
              </w:rPr>
              <w:t xml:space="preserve"> </w:t>
            </w:r>
            <w:r>
              <w:rPr>
                <w:sz w:val="25"/>
                <w:szCs w:val="25"/>
                <w:spacing w:val="4"/>
                <w:position w:val="15"/>
              </w:rPr>
              <w:t>、</w:t>
            </w:r>
            <w:r>
              <w:rPr>
                <w:sz w:val="25"/>
                <w:szCs w:val="25"/>
                <w:position w:val="15"/>
              </w:rPr>
              <w:t>NOx</w:t>
            </w:r>
            <w:r>
              <w:rPr>
                <w:sz w:val="25"/>
                <w:szCs w:val="25"/>
                <w:spacing w:val="4"/>
                <w:position w:val="15"/>
              </w:rPr>
              <w:t>排放浓度1.5~2.2</w:t>
            </w:r>
            <w:r>
              <w:rPr>
                <w:sz w:val="25"/>
                <w:szCs w:val="25"/>
                <w:position w:val="15"/>
              </w:rPr>
              <w:t>mg</w:t>
            </w:r>
            <w:r>
              <w:rPr>
                <w:sz w:val="25"/>
                <w:szCs w:val="25"/>
                <w:spacing w:val="4"/>
                <w:position w:val="15"/>
              </w:rPr>
              <w:t>/m³、&lt;3.</w:t>
            </w:r>
            <w:r>
              <w:rPr>
                <w:sz w:val="25"/>
                <w:szCs w:val="25"/>
                <w:spacing w:val="3"/>
                <w:position w:val="15"/>
              </w:rPr>
              <w:t>0</w:t>
            </w:r>
            <w:r>
              <w:rPr>
                <w:sz w:val="25"/>
                <w:szCs w:val="25"/>
                <w:position w:val="15"/>
              </w:rPr>
              <w:t>mg</w:t>
            </w:r>
            <w:r>
              <w:rPr>
                <w:sz w:val="25"/>
                <w:szCs w:val="25"/>
                <w:spacing w:val="3"/>
                <w:position w:val="15"/>
              </w:rPr>
              <w:t>/m³、6~53</w:t>
            </w:r>
            <w:r>
              <w:rPr>
                <w:sz w:val="25"/>
                <w:szCs w:val="25"/>
                <w:position w:val="15"/>
              </w:rPr>
              <w:t>mg</w:t>
            </w:r>
            <w:r>
              <w:rPr>
                <w:sz w:val="25"/>
                <w:szCs w:val="25"/>
                <w:spacing w:val="3"/>
                <w:position w:val="15"/>
              </w:rPr>
              <w:t>/m³,烟气</w:t>
            </w:r>
          </w:p>
          <w:p>
            <w:pPr>
              <w:pStyle w:val="TableText"/>
              <w:ind w:left="160"/>
              <w:spacing w:before="1" w:line="219" w:lineRule="auto"/>
              <w:rPr>
                <w:sz w:val="25"/>
                <w:szCs w:val="25"/>
              </w:rPr>
            </w:pPr>
            <w:r>
              <w:rPr>
                <w:sz w:val="25"/>
                <w:szCs w:val="25"/>
              </w:rPr>
              <w:t>黑度平均排放浓度均&lt;1级；均满足《锅炉</w:t>
            </w:r>
            <w:r>
              <w:rPr>
                <w:sz w:val="25"/>
                <w:szCs w:val="25"/>
                <w:spacing w:val="-1"/>
              </w:rPr>
              <w:t>大气污染物排放标准》</w:t>
            </w:r>
          </w:p>
          <w:p>
            <w:pPr>
              <w:pStyle w:val="TableText"/>
              <w:ind w:left="241"/>
              <w:spacing w:before="165" w:line="470" w:lineRule="exact"/>
              <w:rPr>
                <w:sz w:val="25"/>
                <w:szCs w:val="25"/>
              </w:rPr>
            </w:pPr>
            <w:r>
              <w:rPr>
                <w:sz w:val="25"/>
                <w:szCs w:val="25"/>
                <w:spacing w:val="4"/>
                <w:position w:val="16"/>
              </w:rPr>
              <w:t>(</w:t>
            </w:r>
            <w:r>
              <w:rPr>
                <w:sz w:val="25"/>
                <w:szCs w:val="25"/>
                <w:position w:val="16"/>
              </w:rPr>
              <w:t>GB</w:t>
            </w:r>
            <w:r>
              <w:rPr>
                <w:sz w:val="25"/>
                <w:szCs w:val="25"/>
                <w:spacing w:val="4"/>
                <w:position w:val="16"/>
              </w:rPr>
              <w:t>13271-2014)表2标准限值要求，即颗粒物≤</w:t>
            </w:r>
            <w:r>
              <w:rPr>
                <w:sz w:val="25"/>
                <w:szCs w:val="25"/>
                <w:spacing w:val="3"/>
                <w:position w:val="16"/>
              </w:rPr>
              <w:t>20</w:t>
            </w:r>
            <w:r>
              <w:rPr>
                <w:sz w:val="25"/>
                <w:szCs w:val="25"/>
                <w:position w:val="16"/>
              </w:rPr>
              <w:t>mg</w:t>
            </w:r>
            <w:r>
              <w:rPr>
                <w:sz w:val="25"/>
                <w:szCs w:val="25"/>
                <w:spacing w:val="3"/>
                <w:position w:val="16"/>
              </w:rPr>
              <w:t>/m³,二氧化硫</w:t>
            </w:r>
          </w:p>
          <w:p>
            <w:pPr>
              <w:pStyle w:val="TableText"/>
              <w:ind w:left="120"/>
              <w:spacing w:before="1" w:line="213" w:lineRule="auto"/>
              <w:rPr>
                <w:sz w:val="25"/>
                <w:szCs w:val="25"/>
              </w:rPr>
            </w:pPr>
            <w:r>
              <w:rPr>
                <w:sz w:val="25"/>
                <w:szCs w:val="25"/>
                <w:spacing w:val="7"/>
              </w:rPr>
              <w:t>≤50</w:t>
            </w:r>
            <w:r>
              <w:rPr>
                <w:sz w:val="25"/>
                <w:szCs w:val="25"/>
              </w:rPr>
              <w:t>mg</w:t>
            </w:r>
            <w:r>
              <w:rPr>
                <w:sz w:val="25"/>
                <w:szCs w:val="25"/>
                <w:spacing w:val="7"/>
              </w:rPr>
              <w:t>/m³,氮氧化物≤200</w:t>
            </w:r>
            <w:r>
              <w:rPr>
                <w:sz w:val="25"/>
                <w:szCs w:val="25"/>
              </w:rPr>
              <w:t>mg</w:t>
            </w:r>
            <w:r>
              <w:rPr>
                <w:sz w:val="25"/>
                <w:szCs w:val="25"/>
                <w:spacing w:val="7"/>
              </w:rPr>
              <w:t>/m³,烟气黑度(林格曼黑度)≤1级。</w:t>
            </w:r>
          </w:p>
          <w:p>
            <w:pPr>
              <w:pStyle w:val="TableText"/>
              <w:ind w:left="581"/>
              <w:spacing w:before="219" w:line="219" w:lineRule="auto"/>
              <w:rPr>
                <w:sz w:val="25"/>
                <w:szCs w:val="25"/>
              </w:rPr>
            </w:pPr>
            <w:r>
              <w:rPr>
                <w:sz w:val="25"/>
                <w:szCs w:val="25"/>
                <w:spacing w:val="-2"/>
              </w:rPr>
              <w:t>8)污水处理站恶臭</w:t>
            </w:r>
          </w:p>
          <w:p>
            <w:pPr>
              <w:pStyle w:val="TableText"/>
              <w:spacing w:before="151" w:line="472" w:lineRule="exact"/>
              <w:jc w:val="right"/>
              <w:rPr>
                <w:sz w:val="25"/>
                <w:szCs w:val="25"/>
              </w:rPr>
            </w:pPr>
            <w:r>
              <w:rPr>
                <w:sz w:val="25"/>
                <w:szCs w:val="25"/>
                <w:spacing w:val="-2"/>
                <w:position w:val="16"/>
              </w:rPr>
              <w:t>污水处理站恶臭通过引风机负压收集引至“碱洗喷淋+UV光催化氧化”</w:t>
            </w:r>
          </w:p>
          <w:p>
            <w:pPr>
              <w:pStyle w:val="TableText"/>
              <w:ind w:left="150"/>
              <w:spacing w:line="219" w:lineRule="auto"/>
              <w:rPr>
                <w:sz w:val="25"/>
                <w:szCs w:val="25"/>
              </w:rPr>
            </w:pPr>
            <w:r>
              <w:rPr>
                <w:sz w:val="25"/>
                <w:szCs w:val="25"/>
                <w:spacing w:val="-6"/>
              </w:rPr>
              <w:t>处理后由1根15m(DA006)高排气筒。</w:t>
            </w:r>
          </w:p>
          <w:p>
            <w:pPr>
              <w:pStyle w:val="TableText"/>
              <w:ind w:left="140" w:firstLine="477"/>
              <w:spacing w:before="166" w:line="344" w:lineRule="auto"/>
              <w:rPr>
                <w:sz w:val="25"/>
                <w:szCs w:val="25"/>
              </w:rPr>
            </w:pPr>
            <w:r>
              <w:rPr>
                <w:sz w:val="25"/>
                <w:szCs w:val="25"/>
                <w:spacing w:val="-2"/>
              </w:rPr>
              <w:t>根据《时代一汽动力电池有限公司年产20</w:t>
            </w:r>
            <w:r>
              <w:rPr>
                <w:sz w:val="25"/>
                <w:szCs w:val="25"/>
                <w:spacing w:val="-3"/>
              </w:rPr>
              <w:t>gwh动力电池生产线扩建项目</w:t>
            </w:r>
            <w:r>
              <w:rPr>
                <w:sz w:val="25"/>
                <w:szCs w:val="25"/>
              </w:rPr>
              <w:t xml:space="preserve"> </w:t>
            </w:r>
            <w:r>
              <w:rPr>
                <w:sz w:val="25"/>
                <w:szCs w:val="25"/>
                <w:spacing w:val="-1"/>
              </w:rPr>
              <w:t>阶段性竣工环境保护验收报告表》(6.7gwh)可知：验收监测期间，2023年</w:t>
            </w:r>
            <w:r>
              <w:rPr>
                <w:sz w:val="25"/>
                <w:szCs w:val="25"/>
                <w:spacing w:val="4"/>
              </w:rPr>
              <w:t xml:space="preserve"> </w:t>
            </w:r>
            <w:r>
              <w:rPr>
                <w:sz w:val="25"/>
                <w:szCs w:val="25"/>
                <w:spacing w:val="4"/>
              </w:rPr>
              <w:t>3月2日～3日，工业污水处理站除臭塔废气排放口</w:t>
            </w:r>
            <w:r>
              <w:rPr>
                <w:sz w:val="25"/>
                <w:szCs w:val="25"/>
              </w:rPr>
              <w:t>NH</w:t>
            </w:r>
            <w:r>
              <w:rPr>
                <w:rFonts w:ascii="Calibri" w:hAnsi="Calibri" w:eastAsia="Calibri" w:cs="Calibri"/>
                <w:sz w:val="25"/>
                <w:szCs w:val="25"/>
                <w:spacing w:val="4"/>
              </w:rPr>
              <w:t>₃</w:t>
            </w:r>
            <w:r>
              <w:rPr>
                <w:rFonts w:ascii="Calibri" w:hAnsi="Calibri" w:eastAsia="Calibri" w:cs="Calibri"/>
                <w:sz w:val="25"/>
                <w:szCs w:val="25"/>
                <w:spacing w:val="-18"/>
              </w:rPr>
              <w:t xml:space="preserve"> </w:t>
            </w:r>
            <w:r>
              <w:rPr>
                <w:sz w:val="25"/>
                <w:szCs w:val="25"/>
                <w:spacing w:val="4"/>
              </w:rPr>
              <w:t>、H</w:t>
            </w:r>
            <w:r>
              <w:rPr>
                <w:rFonts w:ascii="Calibri" w:hAnsi="Calibri" w:eastAsia="Calibri" w:cs="Calibri"/>
                <w:sz w:val="25"/>
                <w:szCs w:val="25"/>
                <w:spacing w:val="4"/>
              </w:rPr>
              <w:t>₂</w:t>
            </w:r>
            <w:r>
              <w:rPr>
                <w:sz w:val="25"/>
                <w:szCs w:val="25"/>
                <w:spacing w:val="4"/>
              </w:rPr>
              <w:t>S排放速率分别</w:t>
            </w:r>
            <w:r>
              <w:rPr>
                <w:sz w:val="25"/>
                <w:szCs w:val="25"/>
              </w:rPr>
              <w:t xml:space="preserve"> </w:t>
            </w:r>
            <w:r>
              <w:rPr>
                <w:sz w:val="25"/>
                <w:szCs w:val="25"/>
                <w:spacing w:val="-16"/>
              </w:rPr>
              <w:t>为4.30×10³~6.78×10~kg/h、2.69×104~4.52×104kg/h,臭气排放浓度最大值为</w:t>
            </w:r>
          </w:p>
          <w:p>
            <w:pPr>
              <w:pStyle w:val="TableText"/>
              <w:ind w:left="160"/>
              <w:spacing w:before="1" w:line="216" w:lineRule="auto"/>
              <w:rPr>
                <w:sz w:val="25"/>
                <w:szCs w:val="25"/>
              </w:rPr>
            </w:pPr>
            <w:r>
              <w:rPr>
                <w:sz w:val="25"/>
                <w:szCs w:val="25"/>
                <w:spacing w:val="-1"/>
              </w:rPr>
              <w:t>132(无量纲),均满足《恶臭污染物排放标准》(GB14554-93)表2恶臭</w:t>
            </w:r>
          </w:p>
          <w:p>
            <w:pPr>
              <w:pStyle w:val="TableText"/>
              <w:spacing w:before="173" w:line="489" w:lineRule="exact"/>
              <w:jc w:val="right"/>
              <w:rPr>
                <w:sz w:val="25"/>
                <w:szCs w:val="25"/>
              </w:rPr>
            </w:pPr>
            <w:r>
              <w:rPr>
                <w:sz w:val="25"/>
                <w:szCs w:val="25"/>
                <w:spacing w:val="-3"/>
                <w:position w:val="18"/>
              </w:rPr>
              <w:t>污染物排放限值的要求：排气筒高度15m,硫化氢排放量≤0.33kg/h,氨排放</w:t>
            </w:r>
          </w:p>
          <w:p>
            <w:pPr>
              <w:pStyle w:val="TableText"/>
              <w:ind w:left="140"/>
              <w:spacing w:before="1" w:line="213" w:lineRule="auto"/>
              <w:rPr>
                <w:sz w:val="25"/>
                <w:szCs w:val="25"/>
              </w:rPr>
            </w:pPr>
            <w:r>
              <w:rPr>
                <w:sz w:val="25"/>
                <w:szCs w:val="25"/>
                <w:spacing w:val="-1"/>
              </w:rPr>
              <w:t>量≤4.9kg/h,臭气排放浓度≤2000(无量纲)。</w:t>
            </w:r>
          </w:p>
          <w:p>
            <w:pPr>
              <w:pStyle w:val="TableText"/>
              <w:ind w:left="621"/>
              <w:spacing w:before="190" w:line="220" w:lineRule="auto"/>
              <w:rPr>
                <w:sz w:val="25"/>
                <w:szCs w:val="25"/>
              </w:rPr>
            </w:pPr>
            <w:r>
              <w:rPr>
                <w:sz w:val="25"/>
                <w:szCs w:val="25"/>
                <w:spacing w:val="2"/>
              </w:rPr>
              <w:t>9)食堂油烟废气</w:t>
            </w:r>
          </w:p>
          <w:p>
            <w:pPr>
              <w:pStyle w:val="TableText"/>
              <w:ind w:left="631"/>
              <w:spacing w:before="150" w:line="485" w:lineRule="exact"/>
              <w:rPr>
                <w:sz w:val="25"/>
                <w:szCs w:val="25"/>
              </w:rPr>
            </w:pPr>
            <w:r>
              <w:rPr>
                <w:sz w:val="25"/>
                <w:szCs w:val="25"/>
                <w:spacing w:val="4"/>
                <w:position w:val="17"/>
              </w:rPr>
              <w:t>食堂油烟通过抽风机引至油烟净化器处理后引至屋顶排放(</w:t>
            </w:r>
            <w:r>
              <w:rPr>
                <w:sz w:val="25"/>
                <w:szCs w:val="25"/>
                <w:position w:val="17"/>
              </w:rPr>
              <w:t>DA</w:t>
            </w:r>
            <w:r>
              <w:rPr>
                <w:sz w:val="25"/>
                <w:szCs w:val="25"/>
                <w:spacing w:val="4"/>
                <w:position w:val="17"/>
              </w:rPr>
              <w:t>018、</w:t>
            </w:r>
          </w:p>
          <w:p>
            <w:pPr>
              <w:pStyle w:val="TableText"/>
              <w:ind w:left="140"/>
              <w:spacing w:line="222" w:lineRule="auto"/>
              <w:rPr>
                <w:sz w:val="25"/>
                <w:szCs w:val="25"/>
              </w:rPr>
            </w:pPr>
            <w:r>
              <w:rPr>
                <w:sz w:val="25"/>
                <w:szCs w:val="25"/>
                <w:spacing w:val="-3"/>
              </w:rPr>
              <w:t>DA019、DA025)。</w:t>
            </w:r>
          </w:p>
          <w:p>
            <w:pPr>
              <w:pStyle w:val="TableText"/>
              <w:spacing w:before="117" w:line="481" w:lineRule="exact"/>
              <w:jc w:val="right"/>
              <w:rPr>
                <w:sz w:val="25"/>
                <w:szCs w:val="25"/>
              </w:rPr>
            </w:pPr>
            <w:r>
              <w:rPr>
                <w:sz w:val="25"/>
                <w:szCs w:val="25"/>
                <w:spacing w:val="-2"/>
                <w:position w:val="17"/>
              </w:rPr>
              <w:t>二期工程——时代一汽动力电池有限公司年产20gwh动力电池生产线扩</w:t>
            </w:r>
          </w:p>
          <w:p>
            <w:pPr>
              <w:pStyle w:val="TableText"/>
              <w:ind w:left="120"/>
              <w:spacing w:line="213" w:lineRule="auto"/>
              <w:rPr>
                <w:sz w:val="25"/>
                <w:szCs w:val="25"/>
              </w:rPr>
            </w:pPr>
            <w:r>
              <w:rPr>
                <w:sz w:val="25"/>
                <w:szCs w:val="25"/>
                <w:spacing w:val="3"/>
              </w:rPr>
              <w:t>建项目阶段性(6.7</w:t>
            </w:r>
            <w:r>
              <w:rPr>
                <w:sz w:val="25"/>
                <w:szCs w:val="25"/>
              </w:rPr>
              <w:t>gwh</w:t>
            </w:r>
            <w:r>
              <w:rPr>
                <w:sz w:val="25"/>
                <w:szCs w:val="25"/>
                <w:spacing w:val="3"/>
              </w:rPr>
              <w:t>)废气排放情况见表2.8-7.</w:t>
            </w:r>
          </w:p>
        </w:tc>
      </w:tr>
    </w:tbl>
    <w:p>
      <w:pPr>
        <w:rPr>
          <w:rFonts w:ascii="Arial"/>
          <w:sz w:val="21"/>
        </w:rPr>
      </w:pPr>
      <w:r/>
    </w:p>
    <w:p>
      <w:pPr>
        <w:sectPr>
          <w:footerReference w:type="default" r:id="rId46"/>
          <w:pgSz w:w="11900" w:h="16840"/>
          <w:pgMar w:top="1431" w:right="1375" w:bottom="988" w:left="1524" w:header="0" w:footer="849" w:gutter="0"/>
        </w:sectPr>
        <w:rPr>
          <w:rFonts w:ascii="Arial" w:hAnsi="Arial" w:eastAsia="Arial" w:cs="Arial"/>
          <w:sz w:val="21"/>
          <w:szCs w:val="21"/>
        </w:rPr>
      </w:pPr>
    </w:p>
    <w:p>
      <w:pPr>
        <w:pStyle w:val="BodyText"/>
        <w:ind w:left="1098"/>
        <w:spacing w:before="49" w:line="214" w:lineRule="auto"/>
        <w:rPr>
          <w:sz w:val="25"/>
          <w:szCs w:val="25"/>
        </w:rPr>
      </w:pPr>
      <w:r>
        <w:rPr>
          <w:sz w:val="25"/>
          <w:szCs w:val="25"/>
          <w:b/>
          <w:bCs/>
          <w:spacing w:val="-3"/>
        </w:rPr>
        <w:t>表2.8-7二期工程——时代一汽年产20gwh动力电池生产线扩建项目阶段性(6.7gwh)废气污染物排放量一览表</w:t>
      </w:r>
    </w:p>
    <w:p>
      <w:pPr>
        <w:spacing w:line="74" w:lineRule="auto"/>
        <w:rPr>
          <w:rFonts w:ascii="Arial"/>
          <w:sz w:val="2"/>
        </w:rPr>
      </w:pPr>
      <w:r>
        <w:rPr>
          <w:rFonts w:ascii="Arial"/>
          <w:sz w:val="2"/>
        </w:rPr>
      </w:r>
    </w:p>
    <w:tbl>
      <w:tblPr>
        <w:tblStyle w:val="TableNormal"/>
        <w:tblW w:w="140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74"/>
        <w:gridCol w:w="789"/>
        <w:gridCol w:w="1969"/>
        <w:gridCol w:w="1669"/>
        <w:gridCol w:w="2118"/>
        <w:gridCol w:w="2209"/>
        <w:gridCol w:w="2468"/>
        <w:gridCol w:w="1294"/>
      </w:tblGrid>
      <w:tr>
        <w:trPr>
          <w:trHeight w:val="274" w:hRule="atLeast"/>
        </w:trPr>
        <w:tc>
          <w:tcPr>
            <w:tcW w:w="1574" w:type="dxa"/>
            <w:vAlign w:val="top"/>
            <w:vMerge w:val="restart"/>
            <w:tcBorders>
              <w:bottom w:val="nil"/>
            </w:tcBorders>
          </w:tcPr>
          <w:p>
            <w:pPr>
              <w:pStyle w:val="TableText"/>
              <w:ind w:left="565"/>
              <w:spacing w:before="173" w:line="219" w:lineRule="auto"/>
              <w:rPr>
                <w:sz w:val="21"/>
                <w:szCs w:val="21"/>
              </w:rPr>
            </w:pPr>
            <w:r>
              <w:rPr>
                <w:sz w:val="21"/>
                <w:szCs w:val="21"/>
                <w:spacing w:val="6"/>
              </w:rPr>
              <w:t>编号</w:t>
            </w:r>
          </w:p>
        </w:tc>
        <w:tc>
          <w:tcPr>
            <w:tcW w:w="2758" w:type="dxa"/>
            <w:vAlign w:val="top"/>
            <w:gridSpan w:val="2"/>
            <w:vMerge w:val="restart"/>
            <w:tcBorders>
              <w:bottom w:val="nil"/>
            </w:tcBorders>
          </w:tcPr>
          <w:p>
            <w:pPr>
              <w:pStyle w:val="TableText"/>
              <w:ind w:left="951"/>
              <w:spacing w:before="173" w:line="219" w:lineRule="auto"/>
              <w:rPr>
                <w:sz w:val="21"/>
                <w:szCs w:val="21"/>
              </w:rPr>
            </w:pPr>
            <w:r>
              <w:rPr>
                <w:sz w:val="21"/>
                <w:szCs w:val="21"/>
                <w:spacing w:val="4"/>
              </w:rPr>
              <w:t>废气类别</w:t>
            </w:r>
          </w:p>
        </w:tc>
        <w:tc>
          <w:tcPr>
            <w:tcW w:w="1669" w:type="dxa"/>
            <w:vAlign w:val="top"/>
            <w:vMerge w:val="restart"/>
            <w:tcBorders>
              <w:bottom w:val="nil"/>
            </w:tcBorders>
          </w:tcPr>
          <w:p>
            <w:pPr>
              <w:pStyle w:val="TableText"/>
              <w:ind w:left="512"/>
              <w:spacing w:before="174" w:line="220" w:lineRule="auto"/>
              <w:rPr>
                <w:sz w:val="21"/>
                <w:szCs w:val="21"/>
              </w:rPr>
            </w:pPr>
            <w:r>
              <w:rPr>
                <w:sz w:val="21"/>
                <w:szCs w:val="21"/>
                <w:spacing w:val="3"/>
              </w:rPr>
              <w:t>污染物</w:t>
            </w:r>
          </w:p>
        </w:tc>
        <w:tc>
          <w:tcPr>
            <w:tcW w:w="2118" w:type="dxa"/>
            <w:vAlign w:val="top"/>
            <w:vMerge w:val="restart"/>
            <w:tcBorders>
              <w:bottom w:val="nil"/>
            </w:tcBorders>
          </w:tcPr>
          <w:p>
            <w:pPr>
              <w:pStyle w:val="TableText"/>
              <w:ind w:left="634"/>
              <w:spacing w:before="174" w:line="220" w:lineRule="auto"/>
              <w:rPr>
                <w:sz w:val="21"/>
                <w:szCs w:val="21"/>
              </w:rPr>
            </w:pPr>
            <w:r>
              <w:rPr>
                <w:sz w:val="21"/>
                <w:szCs w:val="21"/>
                <w:spacing w:val="2"/>
              </w:rPr>
              <w:t>治理措施</w:t>
            </w:r>
          </w:p>
        </w:tc>
        <w:tc>
          <w:tcPr>
            <w:tcW w:w="5971" w:type="dxa"/>
            <w:vAlign w:val="top"/>
            <w:gridSpan w:val="3"/>
          </w:tcPr>
          <w:p>
            <w:pPr>
              <w:pStyle w:val="TableText"/>
              <w:ind w:left="2035"/>
              <w:spacing w:before="33" w:line="203" w:lineRule="auto"/>
              <w:rPr>
                <w:sz w:val="21"/>
                <w:szCs w:val="21"/>
              </w:rPr>
            </w:pPr>
            <w:r>
              <w:rPr>
                <w:sz w:val="21"/>
                <w:szCs w:val="21"/>
                <w:spacing w:val="4"/>
              </w:rPr>
              <w:t>阶段性验收(6.7</w:t>
            </w:r>
            <w:r>
              <w:rPr>
                <w:sz w:val="21"/>
                <w:szCs w:val="21"/>
              </w:rPr>
              <w:t>GWh</w:t>
            </w:r>
            <w:r>
              <w:rPr>
                <w:sz w:val="21"/>
                <w:szCs w:val="21"/>
                <w:spacing w:val="4"/>
              </w:rPr>
              <w:t>)</w:t>
            </w:r>
          </w:p>
        </w:tc>
      </w:tr>
      <w:tr>
        <w:trPr>
          <w:trHeight w:val="270" w:hRule="atLeast"/>
        </w:trPr>
        <w:tc>
          <w:tcPr>
            <w:tcW w:w="1574" w:type="dxa"/>
            <w:vAlign w:val="top"/>
            <w:vMerge w:val="continue"/>
            <w:tcBorders>
              <w:top w:val="nil"/>
            </w:tcBorders>
          </w:tcPr>
          <w:p>
            <w:pPr>
              <w:rPr>
                <w:rFonts w:ascii="Arial"/>
                <w:sz w:val="21"/>
              </w:rPr>
            </w:pPr>
            <w:r/>
          </w:p>
        </w:tc>
        <w:tc>
          <w:tcPr>
            <w:tcW w:w="2758" w:type="dxa"/>
            <w:vAlign w:val="top"/>
            <w:gridSpan w:val="2"/>
            <w:vMerge w:val="continue"/>
            <w:tcBorders>
              <w:top w:val="nil"/>
            </w:tcBorders>
          </w:tcPr>
          <w:p>
            <w:pPr>
              <w:rPr>
                <w:rFonts w:ascii="Arial"/>
                <w:sz w:val="21"/>
              </w:rPr>
            </w:pPr>
            <w:r/>
          </w:p>
        </w:tc>
        <w:tc>
          <w:tcPr>
            <w:tcW w:w="1669" w:type="dxa"/>
            <w:vAlign w:val="top"/>
            <w:vMerge w:val="continue"/>
            <w:tcBorders>
              <w:top w:val="nil"/>
            </w:tcBorders>
          </w:tcPr>
          <w:p>
            <w:pPr>
              <w:rPr>
                <w:rFonts w:ascii="Arial"/>
                <w:sz w:val="21"/>
              </w:rPr>
            </w:pPr>
            <w:r/>
          </w:p>
        </w:tc>
        <w:tc>
          <w:tcPr>
            <w:tcW w:w="2118" w:type="dxa"/>
            <w:vAlign w:val="top"/>
            <w:vMerge w:val="continue"/>
            <w:tcBorders>
              <w:top w:val="nil"/>
            </w:tcBorders>
          </w:tcPr>
          <w:p>
            <w:pPr>
              <w:rPr>
                <w:rFonts w:ascii="Arial"/>
                <w:sz w:val="21"/>
              </w:rPr>
            </w:pPr>
            <w:r/>
          </w:p>
        </w:tc>
        <w:tc>
          <w:tcPr>
            <w:tcW w:w="2209" w:type="dxa"/>
            <w:vAlign w:val="top"/>
          </w:tcPr>
          <w:p>
            <w:pPr>
              <w:pStyle w:val="TableText"/>
              <w:ind w:left="236"/>
              <w:spacing w:before="23" w:line="208" w:lineRule="auto"/>
              <w:rPr>
                <w:sz w:val="21"/>
                <w:szCs w:val="21"/>
              </w:rPr>
            </w:pPr>
            <w:r>
              <w:rPr>
                <w:sz w:val="21"/>
                <w:szCs w:val="21"/>
                <w:spacing w:val="16"/>
              </w:rPr>
              <w:t>排放浓度(</w:t>
            </w:r>
            <w:r>
              <w:rPr>
                <w:sz w:val="21"/>
                <w:szCs w:val="21"/>
              </w:rPr>
              <w:t>mg</w:t>
            </w:r>
            <w:r>
              <w:rPr>
                <w:sz w:val="21"/>
                <w:szCs w:val="21"/>
                <w:spacing w:val="16"/>
              </w:rPr>
              <w:t>/m³)</w:t>
            </w:r>
          </w:p>
        </w:tc>
        <w:tc>
          <w:tcPr>
            <w:tcW w:w="2468" w:type="dxa"/>
            <w:vAlign w:val="top"/>
          </w:tcPr>
          <w:p>
            <w:pPr>
              <w:pStyle w:val="TableText"/>
              <w:ind w:left="416"/>
              <w:spacing w:before="23" w:line="208" w:lineRule="auto"/>
              <w:rPr>
                <w:sz w:val="21"/>
                <w:szCs w:val="21"/>
              </w:rPr>
            </w:pPr>
            <w:r>
              <w:rPr>
                <w:sz w:val="21"/>
                <w:szCs w:val="21"/>
                <w:spacing w:val="5"/>
              </w:rPr>
              <w:t>排放速率(</w:t>
            </w:r>
            <w:r>
              <w:rPr>
                <w:sz w:val="21"/>
                <w:szCs w:val="21"/>
              </w:rPr>
              <w:t>kg</w:t>
            </w:r>
            <w:r>
              <w:rPr>
                <w:sz w:val="21"/>
                <w:szCs w:val="21"/>
                <w:spacing w:val="5"/>
              </w:rPr>
              <w:t>/h)</w:t>
            </w:r>
          </w:p>
        </w:tc>
        <w:tc>
          <w:tcPr>
            <w:tcW w:w="1294" w:type="dxa"/>
            <w:vAlign w:val="top"/>
          </w:tcPr>
          <w:p>
            <w:pPr>
              <w:pStyle w:val="TableText"/>
              <w:ind w:left="59"/>
              <w:spacing w:before="31" w:line="201" w:lineRule="auto"/>
              <w:rPr>
                <w:sz w:val="21"/>
                <w:szCs w:val="21"/>
              </w:rPr>
            </w:pPr>
            <w:r>
              <w:rPr>
                <w:sz w:val="21"/>
                <w:szCs w:val="21"/>
                <w:spacing w:val="6"/>
              </w:rPr>
              <w:t>排放量(t/a)</w:t>
            </w:r>
          </w:p>
        </w:tc>
      </w:tr>
      <w:tr>
        <w:trPr>
          <w:trHeight w:val="279" w:hRule="atLeast"/>
        </w:trPr>
        <w:tc>
          <w:tcPr>
            <w:tcW w:w="1574" w:type="dxa"/>
            <w:vAlign w:val="top"/>
          </w:tcPr>
          <w:p>
            <w:pPr>
              <w:pStyle w:val="TableText"/>
              <w:ind w:left="515"/>
              <w:spacing w:before="92" w:line="177" w:lineRule="exact"/>
              <w:rPr>
                <w:sz w:val="21"/>
                <w:szCs w:val="21"/>
              </w:rPr>
            </w:pPr>
            <w:r>
              <w:rPr>
                <w:sz w:val="21"/>
                <w:szCs w:val="21"/>
                <w:spacing w:val="-1"/>
                <w:position w:val="-2"/>
              </w:rPr>
              <w:t>DA015</w:t>
            </w:r>
          </w:p>
        </w:tc>
        <w:tc>
          <w:tcPr>
            <w:tcW w:w="789" w:type="dxa"/>
            <w:vAlign w:val="top"/>
            <w:vMerge w:val="restart"/>
            <w:tcBorders>
              <w:bottom w:val="nil"/>
            </w:tcBorders>
          </w:tcPr>
          <w:p>
            <w:pPr>
              <w:spacing w:line="338" w:lineRule="auto"/>
              <w:rPr>
                <w:rFonts w:ascii="Arial"/>
                <w:sz w:val="21"/>
              </w:rPr>
            </w:pPr>
            <w:r/>
          </w:p>
          <w:p>
            <w:pPr>
              <w:spacing w:line="339" w:lineRule="auto"/>
              <w:rPr>
                <w:rFonts w:ascii="Arial"/>
                <w:sz w:val="21"/>
              </w:rPr>
            </w:pPr>
            <w:r/>
          </w:p>
          <w:p>
            <w:pPr>
              <w:pStyle w:val="TableText"/>
              <w:ind w:left="171"/>
              <w:spacing w:before="69" w:line="329" w:lineRule="exact"/>
              <w:rPr>
                <w:sz w:val="21"/>
                <w:szCs w:val="21"/>
              </w:rPr>
            </w:pPr>
            <w:r>
              <w:rPr>
                <w:sz w:val="21"/>
                <w:szCs w:val="21"/>
                <w:spacing w:val="7"/>
                <w:position w:val="8"/>
              </w:rPr>
              <w:t>厂房</w:t>
            </w:r>
          </w:p>
          <w:p>
            <w:pPr>
              <w:pStyle w:val="TableText"/>
              <w:ind w:left="280"/>
              <w:spacing w:line="178" w:lineRule="auto"/>
              <w:rPr>
                <w:sz w:val="21"/>
                <w:szCs w:val="21"/>
              </w:rPr>
            </w:pPr>
            <w:r>
              <w:rPr>
                <w:sz w:val="21"/>
                <w:szCs w:val="21"/>
              </w:rPr>
              <w:t>二</w:t>
            </w:r>
          </w:p>
        </w:tc>
        <w:tc>
          <w:tcPr>
            <w:tcW w:w="1969" w:type="dxa"/>
            <w:vAlign w:val="top"/>
            <w:vMerge w:val="restart"/>
            <w:tcBorders>
              <w:bottom w:val="nil"/>
            </w:tcBorders>
          </w:tcPr>
          <w:p>
            <w:pPr>
              <w:pStyle w:val="TableText"/>
              <w:ind w:left="341"/>
              <w:spacing w:before="178" w:line="219" w:lineRule="auto"/>
              <w:rPr>
                <w:sz w:val="21"/>
                <w:szCs w:val="21"/>
              </w:rPr>
            </w:pPr>
            <w:r>
              <w:rPr>
                <w:sz w:val="21"/>
                <w:szCs w:val="21"/>
                <w:spacing w:val="2"/>
              </w:rPr>
              <w:t>涂布烘干废气</w:t>
            </w:r>
          </w:p>
        </w:tc>
        <w:tc>
          <w:tcPr>
            <w:tcW w:w="1669" w:type="dxa"/>
            <w:vAlign w:val="top"/>
            <w:vMerge w:val="restart"/>
            <w:tcBorders>
              <w:bottom w:val="nil"/>
            </w:tcBorders>
          </w:tcPr>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302"/>
              <w:spacing w:before="68" w:line="220" w:lineRule="auto"/>
              <w:rPr>
                <w:sz w:val="21"/>
                <w:szCs w:val="21"/>
              </w:rPr>
            </w:pPr>
            <w:r>
              <w:rPr>
                <w:sz w:val="21"/>
                <w:szCs w:val="21"/>
                <w:spacing w:val="-2"/>
              </w:rPr>
              <w:t>非甲烷总烃</w:t>
            </w:r>
          </w:p>
        </w:tc>
        <w:tc>
          <w:tcPr>
            <w:tcW w:w="2118" w:type="dxa"/>
            <w:vAlign w:val="top"/>
          </w:tcPr>
          <w:p>
            <w:pPr>
              <w:pStyle w:val="TableText"/>
              <w:ind w:left="104"/>
              <w:spacing w:before="39" w:line="202" w:lineRule="auto"/>
              <w:rPr>
                <w:sz w:val="21"/>
                <w:szCs w:val="21"/>
              </w:rPr>
            </w:pPr>
            <w:r>
              <w:rPr>
                <w:sz w:val="21"/>
                <w:szCs w:val="21"/>
                <w:spacing w:val="-1"/>
              </w:rPr>
              <w:t>4台NMP转轮回收装置</w:t>
            </w:r>
          </w:p>
        </w:tc>
        <w:tc>
          <w:tcPr>
            <w:tcW w:w="2209" w:type="dxa"/>
            <w:vAlign w:val="top"/>
          </w:tcPr>
          <w:p>
            <w:pPr>
              <w:rPr>
                <w:rFonts w:ascii="Arial"/>
                <w:sz w:val="21"/>
              </w:rPr>
            </w:pPr>
            <w:r/>
          </w:p>
        </w:tc>
        <w:tc>
          <w:tcPr>
            <w:tcW w:w="2468" w:type="dxa"/>
            <w:vAlign w:val="top"/>
          </w:tcPr>
          <w:p>
            <w:pPr>
              <w:rPr>
                <w:rFonts w:ascii="Arial"/>
                <w:sz w:val="21"/>
              </w:rPr>
            </w:pPr>
            <w:r/>
          </w:p>
        </w:tc>
        <w:tc>
          <w:tcPr>
            <w:tcW w:w="1294" w:type="dxa"/>
            <w:vAlign w:val="top"/>
          </w:tcPr>
          <w:p>
            <w:pPr>
              <w:rPr>
                <w:rFonts w:ascii="Arial"/>
                <w:sz w:val="21"/>
              </w:rPr>
            </w:pPr>
            <w:r/>
          </w:p>
        </w:tc>
      </w:tr>
      <w:tr>
        <w:trPr>
          <w:trHeight w:val="269" w:hRule="atLeast"/>
        </w:trPr>
        <w:tc>
          <w:tcPr>
            <w:tcW w:w="1574" w:type="dxa"/>
            <w:vAlign w:val="top"/>
          </w:tcPr>
          <w:p>
            <w:pPr>
              <w:pStyle w:val="TableText"/>
              <w:ind w:left="515"/>
              <w:spacing w:before="83" w:line="176" w:lineRule="exact"/>
              <w:rPr>
                <w:sz w:val="21"/>
                <w:szCs w:val="21"/>
              </w:rPr>
            </w:pPr>
            <w:r>
              <w:rPr>
                <w:sz w:val="21"/>
                <w:szCs w:val="21"/>
                <w:spacing w:val="-1"/>
                <w:position w:val="-2"/>
              </w:rPr>
              <w:t>DA020</w:t>
            </w:r>
          </w:p>
        </w:tc>
        <w:tc>
          <w:tcPr>
            <w:tcW w:w="789" w:type="dxa"/>
            <w:vAlign w:val="top"/>
            <w:vMerge w:val="continue"/>
            <w:tcBorders>
              <w:top w:val="nil"/>
              <w:bottom w:val="nil"/>
            </w:tcBorders>
          </w:tcPr>
          <w:p>
            <w:pPr>
              <w:rPr>
                <w:rFonts w:ascii="Arial"/>
                <w:sz w:val="21"/>
              </w:rPr>
            </w:pPr>
            <w:r/>
          </w:p>
        </w:tc>
        <w:tc>
          <w:tcPr>
            <w:tcW w:w="1969" w:type="dxa"/>
            <w:vAlign w:val="top"/>
            <w:vMerge w:val="continue"/>
            <w:tcBorders>
              <w:top w:val="nil"/>
            </w:tcBorders>
          </w:tcPr>
          <w:p>
            <w:pPr>
              <w:rPr>
                <w:rFonts w:ascii="Arial"/>
                <w:sz w:val="21"/>
              </w:rPr>
            </w:pPr>
            <w:r/>
          </w:p>
        </w:tc>
        <w:tc>
          <w:tcPr>
            <w:tcW w:w="1669" w:type="dxa"/>
            <w:vAlign w:val="top"/>
            <w:vMerge w:val="continue"/>
            <w:tcBorders>
              <w:top w:val="nil"/>
              <w:bottom w:val="nil"/>
            </w:tcBorders>
          </w:tcPr>
          <w:p>
            <w:pPr>
              <w:rPr>
                <w:rFonts w:ascii="Arial"/>
                <w:sz w:val="21"/>
              </w:rPr>
            </w:pPr>
            <w:r/>
          </w:p>
        </w:tc>
        <w:tc>
          <w:tcPr>
            <w:tcW w:w="2118" w:type="dxa"/>
            <w:vAlign w:val="top"/>
          </w:tcPr>
          <w:p>
            <w:pPr>
              <w:pStyle w:val="TableText"/>
              <w:ind w:left="104"/>
              <w:spacing w:before="30" w:line="201" w:lineRule="auto"/>
              <w:rPr>
                <w:sz w:val="21"/>
                <w:szCs w:val="21"/>
              </w:rPr>
            </w:pPr>
            <w:r>
              <w:rPr>
                <w:sz w:val="21"/>
                <w:szCs w:val="21"/>
                <w:spacing w:val="-1"/>
              </w:rPr>
              <w:t>4台NMP转轮回收装置</w:t>
            </w:r>
          </w:p>
        </w:tc>
        <w:tc>
          <w:tcPr>
            <w:tcW w:w="2209" w:type="dxa"/>
            <w:vAlign w:val="top"/>
          </w:tcPr>
          <w:p>
            <w:pPr>
              <w:rPr>
                <w:rFonts w:ascii="Arial"/>
                <w:sz w:val="21"/>
              </w:rPr>
            </w:pPr>
            <w:r/>
          </w:p>
        </w:tc>
        <w:tc>
          <w:tcPr>
            <w:tcW w:w="2468" w:type="dxa"/>
            <w:vAlign w:val="top"/>
          </w:tcPr>
          <w:p>
            <w:pPr>
              <w:rPr>
                <w:rFonts w:ascii="Arial"/>
                <w:sz w:val="21"/>
              </w:rPr>
            </w:pPr>
            <w:r/>
          </w:p>
        </w:tc>
        <w:tc>
          <w:tcPr>
            <w:tcW w:w="1294" w:type="dxa"/>
            <w:vAlign w:val="top"/>
          </w:tcPr>
          <w:p>
            <w:pPr>
              <w:rPr>
                <w:rFonts w:ascii="Arial"/>
                <w:sz w:val="21"/>
              </w:rPr>
            </w:pPr>
            <w:r/>
          </w:p>
        </w:tc>
      </w:tr>
      <w:tr>
        <w:trPr>
          <w:trHeight w:val="279" w:hRule="atLeast"/>
        </w:trPr>
        <w:tc>
          <w:tcPr>
            <w:tcW w:w="1574" w:type="dxa"/>
            <w:vAlign w:val="top"/>
          </w:tcPr>
          <w:p>
            <w:pPr>
              <w:pStyle w:val="TableText"/>
              <w:ind w:left="515"/>
              <w:spacing w:before="94" w:line="175" w:lineRule="exact"/>
              <w:rPr>
                <w:sz w:val="21"/>
                <w:szCs w:val="21"/>
              </w:rPr>
            </w:pPr>
            <w:r>
              <w:rPr>
                <w:sz w:val="21"/>
                <w:szCs w:val="21"/>
                <w:spacing w:val="-1"/>
                <w:position w:val="-2"/>
              </w:rPr>
              <w:t>DA024</w:t>
            </w:r>
          </w:p>
        </w:tc>
        <w:tc>
          <w:tcPr>
            <w:tcW w:w="789" w:type="dxa"/>
            <w:vAlign w:val="top"/>
            <w:vMerge w:val="continue"/>
            <w:tcBorders>
              <w:top w:val="nil"/>
              <w:bottom w:val="nil"/>
            </w:tcBorders>
          </w:tcPr>
          <w:p>
            <w:pPr>
              <w:rPr>
                <w:rFonts w:ascii="Arial"/>
                <w:sz w:val="21"/>
              </w:rPr>
            </w:pPr>
            <w:r/>
          </w:p>
        </w:tc>
        <w:tc>
          <w:tcPr>
            <w:tcW w:w="1969" w:type="dxa"/>
            <w:vAlign w:val="top"/>
          </w:tcPr>
          <w:p>
            <w:pPr>
              <w:pStyle w:val="TableText"/>
              <w:ind w:left="341"/>
              <w:spacing w:before="41" w:line="200" w:lineRule="auto"/>
              <w:rPr>
                <w:sz w:val="21"/>
                <w:szCs w:val="21"/>
              </w:rPr>
            </w:pPr>
            <w:r>
              <w:rPr>
                <w:sz w:val="21"/>
                <w:szCs w:val="21"/>
                <w:spacing w:val="2"/>
              </w:rPr>
              <w:t>一次注液废气</w:t>
            </w:r>
          </w:p>
        </w:tc>
        <w:tc>
          <w:tcPr>
            <w:tcW w:w="1669" w:type="dxa"/>
            <w:vAlign w:val="top"/>
            <w:vMerge w:val="continue"/>
            <w:tcBorders>
              <w:top w:val="nil"/>
              <w:bottom w:val="nil"/>
            </w:tcBorders>
          </w:tcPr>
          <w:p>
            <w:pPr>
              <w:rPr>
                <w:rFonts w:ascii="Arial"/>
                <w:sz w:val="21"/>
              </w:rPr>
            </w:pPr>
            <w:r/>
          </w:p>
        </w:tc>
        <w:tc>
          <w:tcPr>
            <w:tcW w:w="2118" w:type="dxa"/>
            <w:vAlign w:val="top"/>
          </w:tcPr>
          <w:p>
            <w:pPr>
              <w:pStyle w:val="TableText"/>
              <w:ind w:left="524"/>
              <w:spacing w:before="40" w:line="201" w:lineRule="auto"/>
              <w:rPr>
                <w:sz w:val="21"/>
                <w:szCs w:val="21"/>
              </w:rPr>
            </w:pPr>
            <w:r>
              <w:rPr>
                <w:sz w:val="21"/>
                <w:szCs w:val="21"/>
                <w:spacing w:val="1"/>
              </w:rPr>
              <w:t>活性炭吸附</w:t>
            </w:r>
          </w:p>
        </w:tc>
        <w:tc>
          <w:tcPr>
            <w:tcW w:w="2209" w:type="dxa"/>
            <w:vAlign w:val="top"/>
          </w:tcPr>
          <w:p>
            <w:pPr>
              <w:rPr>
                <w:rFonts w:ascii="Arial"/>
                <w:sz w:val="21"/>
              </w:rPr>
            </w:pPr>
            <w:r/>
          </w:p>
        </w:tc>
        <w:tc>
          <w:tcPr>
            <w:tcW w:w="2468" w:type="dxa"/>
            <w:vAlign w:val="top"/>
          </w:tcPr>
          <w:p>
            <w:pPr>
              <w:rPr>
                <w:rFonts w:ascii="Arial"/>
                <w:sz w:val="21"/>
              </w:rPr>
            </w:pPr>
            <w:r/>
          </w:p>
        </w:tc>
        <w:tc>
          <w:tcPr>
            <w:tcW w:w="1294" w:type="dxa"/>
            <w:vAlign w:val="top"/>
          </w:tcPr>
          <w:p>
            <w:pPr>
              <w:rPr>
                <w:rFonts w:ascii="Arial"/>
                <w:sz w:val="21"/>
              </w:rPr>
            </w:pPr>
            <w:r/>
          </w:p>
        </w:tc>
      </w:tr>
      <w:tr>
        <w:trPr>
          <w:trHeight w:val="250" w:hRule="atLeast"/>
        </w:trPr>
        <w:tc>
          <w:tcPr>
            <w:tcW w:w="1574" w:type="dxa"/>
            <w:vAlign w:val="top"/>
          </w:tcPr>
          <w:p>
            <w:pPr>
              <w:pStyle w:val="TableText"/>
              <w:ind w:left="515"/>
              <w:spacing w:before="75" w:line="165" w:lineRule="exact"/>
              <w:rPr>
                <w:sz w:val="21"/>
                <w:szCs w:val="21"/>
              </w:rPr>
            </w:pPr>
            <w:r>
              <w:rPr>
                <w:sz w:val="21"/>
                <w:szCs w:val="21"/>
                <w:spacing w:val="-1"/>
                <w:position w:val="-2"/>
              </w:rPr>
              <w:t>DA016</w:t>
            </w:r>
          </w:p>
        </w:tc>
        <w:tc>
          <w:tcPr>
            <w:tcW w:w="789" w:type="dxa"/>
            <w:vAlign w:val="top"/>
            <w:vMerge w:val="continue"/>
            <w:tcBorders>
              <w:top w:val="nil"/>
              <w:bottom w:val="nil"/>
            </w:tcBorders>
          </w:tcPr>
          <w:p>
            <w:pPr>
              <w:rPr>
                <w:rFonts w:ascii="Arial"/>
                <w:sz w:val="21"/>
              </w:rPr>
            </w:pPr>
            <w:r/>
          </w:p>
        </w:tc>
        <w:tc>
          <w:tcPr>
            <w:tcW w:w="1969" w:type="dxa"/>
            <w:vAlign w:val="top"/>
          </w:tcPr>
          <w:p>
            <w:pPr>
              <w:pStyle w:val="TableText"/>
              <w:ind w:left="341"/>
              <w:spacing w:before="22" w:line="191" w:lineRule="auto"/>
              <w:rPr>
                <w:sz w:val="21"/>
                <w:szCs w:val="21"/>
              </w:rPr>
            </w:pPr>
            <w:r>
              <w:rPr>
                <w:sz w:val="21"/>
                <w:szCs w:val="21"/>
                <w:spacing w:val="2"/>
              </w:rPr>
              <w:t>二次注液废气</w:t>
            </w:r>
          </w:p>
        </w:tc>
        <w:tc>
          <w:tcPr>
            <w:tcW w:w="1669" w:type="dxa"/>
            <w:vAlign w:val="top"/>
            <w:vMerge w:val="continue"/>
            <w:tcBorders>
              <w:top w:val="nil"/>
              <w:bottom w:val="nil"/>
            </w:tcBorders>
          </w:tcPr>
          <w:p>
            <w:pPr>
              <w:rPr>
                <w:rFonts w:ascii="Arial"/>
                <w:sz w:val="21"/>
              </w:rPr>
            </w:pPr>
            <w:r/>
          </w:p>
        </w:tc>
        <w:tc>
          <w:tcPr>
            <w:tcW w:w="2118" w:type="dxa"/>
            <w:vAlign w:val="top"/>
          </w:tcPr>
          <w:p>
            <w:pPr>
              <w:pStyle w:val="TableText"/>
              <w:ind w:left="524"/>
              <w:spacing w:before="21" w:line="192" w:lineRule="auto"/>
              <w:rPr>
                <w:sz w:val="21"/>
                <w:szCs w:val="21"/>
              </w:rPr>
            </w:pPr>
            <w:r>
              <w:rPr>
                <w:sz w:val="21"/>
                <w:szCs w:val="21"/>
                <w:spacing w:val="1"/>
              </w:rPr>
              <w:t>活性炭吸附</w:t>
            </w:r>
          </w:p>
        </w:tc>
        <w:tc>
          <w:tcPr>
            <w:tcW w:w="2209" w:type="dxa"/>
            <w:vAlign w:val="top"/>
          </w:tcPr>
          <w:p>
            <w:pPr>
              <w:spacing w:line="240" w:lineRule="exact"/>
              <w:rPr>
                <w:rFonts w:ascii="Arial"/>
                <w:sz w:val="20"/>
              </w:rPr>
            </w:pPr>
            <w:r/>
          </w:p>
        </w:tc>
        <w:tc>
          <w:tcPr>
            <w:tcW w:w="2468" w:type="dxa"/>
            <w:vAlign w:val="top"/>
          </w:tcPr>
          <w:p>
            <w:pPr>
              <w:spacing w:line="240" w:lineRule="exact"/>
              <w:rPr>
                <w:rFonts w:ascii="Arial"/>
                <w:sz w:val="20"/>
              </w:rPr>
            </w:pPr>
            <w:r/>
          </w:p>
        </w:tc>
        <w:tc>
          <w:tcPr>
            <w:tcW w:w="1294" w:type="dxa"/>
            <w:vAlign w:val="top"/>
          </w:tcPr>
          <w:p>
            <w:pPr>
              <w:spacing w:line="240" w:lineRule="exact"/>
              <w:rPr>
                <w:rFonts w:ascii="Arial"/>
                <w:sz w:val="20"/>
              </w:rPr>
            </w:pPr>
            <w:r/>
          </w:p>
        </w:tc>
      </w:tr>
      <w:tr>
        <w:trPr>
          <w:trHeight w:val="549" w:hRule="atLeast"/>
        </w:trPr>
        <w:tc>
          <w:tcPr>
            <w:tcW w:w="1574" w:type="dxa"/>
            <w:vAlign w:val="top"/>
          </w:tcPr>
          <w:p>
            <w:pPr>
              <w:pStyle w:val="TableText"/>
              <w:ind w:left="515"/>
              <w:spacing w:before="224" w:line="185" w:lineRule="auto"/>
              <w:rPr>
                <w:sz w:val="21"/>
                <w:szCs w:val="21"/>
              </w:rPr>
            </w:pPr>
            <w:r>
              <w:rPr>
                <w:sz w:val="21"/>
                <w:szCs w:val="21"/>
                <w:spacing w:val="-1"/>
              </w:rPr>
              <w:t>DA017</w:t>
            </w:r>
          </w:p>
        </w:tc>
        <w:tc>
          <w:tcPr>
            <w:tcW w:w="789" w:type="dxa"/>
            <w:vAlign w:val="top"/>
            <w:vMerge w:val="continue"/>
            <w:tcBorders>
              <w:top w:val="nil"/>
              <w:bottom w:val="nil"/>
            </w:tcBorders>
          </w:tcPr>
          <w:p>
            <w:pPr>
              <w:rPr>
                <w:rFonts w:ascii="Arial"/>
                <w:sz w:val="21"/>
              </w:rPr>
            </w:pPr>
            <w:r/>
          </w:p>
        </w:tc>
        <w:tc>
          <w:tcPr>
            <w:tcW w:w="1969" w:type="dxa"/>
            <w:vAlign w:val="top"/>
          </w:tcPr>
          <w:p>
            <w:pPr>
              <w:pStyle w:val="TableText"/>
              <w:ind w:left="761" w:right="136" w:hanging="630"/>
              <w:spacing w:before="52" w:line="214" w:lineRule="auto"/>
              <w:rPr>
                <w:sz w:val="21"/>
                <w:szCs w:val="21"/>
              </w:rPr>
            </w:pPr>
            <w:r>
              <w:rPr>
                <w:sz w:val="21"/>
                <w:szCs w:val="21"/>
                <w:spacing w:val="1"/>
              </w:rPr>
              <w:t>真空干燥、真空泵 </w:t>
            </w:r>
            <w:r>
              <w:rPr>
                <w:sz w:val="21"/>
                <w:szCs w:val="21"/>
                <w:spacing w:val="6"/>
              </w:rPr>
              <w:t>废气</w:t>
            </w:r>
          </w:p>
        </w:tc>
        <w:tc>
          <w:tcPr>
            <w:tcW w:w="1669" w:type="dxa"/>
            <w:vAlign w:val="top"/>
            <w:vMerge w:val="continue"/>
            <w:tcBorders>
              <w:top w:val="nil"/>
              <w:bottom w:val="nil"/>
            </w:tcBorders>
          </w:tcPr>
          <w:p>
            <w:pPr>
              <w:rPr>
                <w:rFonts w:ascii="Arial"/>
                <w:sz w:val="21"/>
              </w:rPr>
            </w:pPr>
            <w:r/>
          </w:p>
        </w:tc>
        <w:tc>
          <w:tcPr>
            <w:tcW w:w="2118" w:type="dxa"/>
            <w:vAlign w:val="top"/>
          </w:tcPr>
          <w:p>
            <w:pPr>
              <w:pStyle w:val="TableText"/>
              <w:ind w:left="213" w:right="155" w:hanging="60"/>
              <w:spacing w:before="52" w:line="214" w:lineRule="auto"/>
              <w:rPr>
                <w:sz w:val="21"/>
                <w:szCs w:val="21"/>
              </w:rPr>
            </w:pPr>
            <w:r>
              <w:rPr>
                <w:sz w:val="21"/>
                <w:szCs w:val="21"/>
                <w:spacing w:val="1"/>
              </w:rPr>
              <w:t>冷凝+滤筒除油碱洗</w:t>
            </w:r>
            <w:r>
              <w:rPr>
                <w:sz w:val="21"/>
                <w:szCs w:val="21"/>
                <w:spacing w:val="3"/>
              </w:rPr>
              <w:t xml:space="preserve"> </w:t>
            </w:r>
            <w:r>
              <w:rPr>
                <w:sz w:val="21"/>
                <w:szCs w:val="21"/>
                <w:spacing w:val="-1"/>
              </w:rPr>
              <w:t>+TO燃烧+高温除尘</w:t>
            </w:r>
          </w:p>
        </w:tc>
        <w:tc>
          <w:tcPr>
            <w:tcW w:w="2209" w:type="dxa"/>
            <w:vAlign w:val="top"/>
          </w:tcPr>
          <w:p>
            <w:pPr>
              <w:rPr>
                <w:rFonts w:ascii="Arial"/>
                <w:sz w:val="21"/>
              </w:rPr>
            </w:pPr>
            <w:r/>
          </w:p>
        </w:tc>
        <w:tc>
          <w:tcPr>
            <w:tcW w:w="2468" w:type="dxa"/>
            <w:vAlign w:val="top"/>
          </w:tcPr>
          <w:p>
            <w:pPr>
              <w:rPr>
                <w:rFonts w:ascii="Arial"/>
                <w:sz w:val="21"/>
              </w:rPr>
            </w:pPr>
            <w:r/>
          </w:p>
        </w:tc>
        <w:tc>
          <w:tcPr>
            <w:tcW w:w="1294" w:type="dxa"/>
            <w:vAlign w:val="top"/>
          </w:tcPr>
          <w:p>
            <w:pPr>
              <w:rPr>
                <w:rFonts w:ascii="Arial"/>
                <w:sz w:val="21"/>
              </w:rPr>
            </w:pPr>
            <w:r/>
          </w:p>
        </w:tc>
      </w:tr>
      <w:tr>
        <w:trPr>
          <w:trHeight w:val="269" w:hRule="atLeast"/>
        </w:trPr>
        <w:tc>
          <w:tcPr>
            <w:tcW w:w="1574" w:type="dxa"/>
            <w:vAlign w:val="top"/>
          </w:tcPr>
          <w:p>
            <w:pPr>
              <w:pStyle w:val="TableText"/>
              <w:ind w:left="515"/>
              <w:spacing w:before="86" w:line="173" w:lineRule="exact"/>
              <w:rPr>
                <w:sz w:val="21"/>
                <w:szCs w:val="21"/>
              </w:rPr>
            </w:pPr>
            <w:r>
              <w:rPr>
                <w:sz w:val="21"/>
                <w:szCs w:val="21"/>
                <w:spacing w:val="-1"/>
                <w:position w:val="-2"/>
              </w:rPr>
              <w:t>DA014</w:t>
            </w:r>
          </w:p>
        </w:tc>
        <w:tc>
          <w:tcPr>
            <w:tcW w:w="789" w:type="dxa"/>
            <w:vAlign w:val="top"/>
            <w:vMerge w:val="continue"/>
            <w:tcBorders>
              <w:top w:val="nil"/>
            </w:tcBorders>
          </w:tcPr>
          <w:p>
            <w:pPr>
              <w:rPr>
                <w:rFonts w:ascii="Arial"/>
                <w:sz w:val="21"/>
              </w:rPr>
            </w:pPr>
            <w:r/>
          </w:p>
        </w:tc>
        <w:tc>
          <w:tcPr>
            <w:tcW w:w="1969" w:type="dxa"/>
            <w:vAlign w:val="top"/>
          </w:tcPr>
          <w:p>
            <w:pPr>
              <w:pStyle w:val="TableText"/>
              <w:ind w:left="452"/>
              <w:spacing w:before="33" w:line="198" w:lineRule="auto"/>
              <w:rPr>
                <w:sz w:val="21"/>
                <w:szCs w:val="21"/>
              </w:rPr>
            </w:pPr>
            <w:r>
              <w:rPr>
                <w:sz w:val="21"/>
                <w:szCs w:val="21"/>
                <w:spacing w:val="2"/>
              </w:rPr>
              <w:t>搅拌罐废气</w:t>
            </w:r>
          </w:p>
        </w:tc>
        <w:tc>
          <w:tcPr>
            <w:tcW w:w="1669" w:type="dxa"/>
            <w:vAlign w:val="top"/>
            <w:vMerge w:val="continue"/>
            <w:tcBorders>
              <w:top w:val="nil"/>
            </w:tcBorders>
          </w:tcPr>
          <w:p>
            <w:pPr>
              <w:rPr>
                <w:rFonts w:ascii="Arial"/>
                <w:sz w:val="21"/>
              </w:rPr>
            </w:pPr>
            <w:r/>
          </w:p>
        </w:tc>
        <w:tc>
          <w:tcPr>
            <w:tcW w:w="2118" w:type="dxa"/>
            <w:vAlign w:val="top"/>
          </w:tcPr>
          <w:p>
            <w:pPr>
              <w:pStyle w:val="TableText"/>
              <w:ind w:left="524"/>
              <w:spacing w:before="32" w:line="199" w:lineRule="auto"/>
              <w:rPr>
                <w:sz w:val="21"/>
                <w:szCs w:val="21"/>
              </w:rPr>
            </w:pPr>
            <w:r>
              <w:rPr>
                <w:sz w:val="21"/>
                <w:szCs w:val="21"/>
                <w:spacing w:val="1"/>
              </w:rPr>
              <w:t>活性炭吸附</w:t>
            </w:r>
          </w:p>
        </w:tc>
        <w:tc>
          <w:tcPr>
            <w:tcW w:w="2209" w:type="dxa"/>
            <w:vAlign w:val="top"/>
          </w:tcPr>
          <w:p>
            <w:pPr>
              <w:rPr>
                <w:rFonts w:ascii="Arial"/>
                <w:sz w:val="21"/>
              </w:rPr>
            </w:pPr>
            <w:r/>
          </w:p>
        </w:tc>
        <w:tc>
          <w:tcPr>
            <w:tcW w:w="2468" w:type="dxa"/>
            <w:vAlign w:val="top"/>
          </w:tcPr>
          <w:p>
            <w:pPr>
              <w:rPr>
                <w:rFonts w:ascii="Arial"/>
                <w:sz w:val="21"/>
              </w:rPr>
            </w:pPr>
            <w:r/>
          </w:p>
        </w:tc>
        <w:tc>
          <w:tcPr>
            <w:tcW w:w="1294" w:type="dxa"/>
            <w:vAlign w:val="top"/>
          </w:tcPr>
          <w:p>
            <w:pPr>
              <w:rPr>
                <w:rFonts w:ascii="Arial"/>
                <w:sz w:val="21"/>
              </w:rPr>
            </w:pPr>
            <w:r/>
          </w:p>
        </w:tc>
      </w:tr>
      <w:tr>
        <w:trPr>
          <w:trHeight w:val="250" w:hRule="atLeast"/>
        </w:trPr>
        <w:tc>
          <w:tcPr>
            <w:tcW w:w="1574" w:type="dxa"/>
            <w:vAlign w:val="top"/>
            <w:vMerge w:val="restart"/>
            <w:tcBorders>
              <w:bottom w:val="nil"/>
            </w:tcBorders>
          </w:tcPr>
          <w:p>
            <w:pPr>
              <w:spacing w:line="276" w:lineRule="auto"/>
              <w:rPr>
                <w:rFonts w:ascii="Arial"/>
                <w:sz w:val="21"/>
              </w:rPr>
            </w:pPr>
            <w:r/>
          </w:p>
          <w:p>
            <w:pPr>
              <w:pStyle w:val="TableText"/>
              <w:ind w:left="515"/>
              <w:spacing w:before="68" w:line="185" w:lineRule="auto"/>
              <w:rPr>
                <w:sz w:val="21"/>
                <w:szCs w:val="21"/>
              </w:rPr>
            </w:pPr>
            <w:r>
              <w:rPr>
                <w:sz w:val="21"/>
                <w:szCs w:val="21"/>
                <w:spacing w:val="-1"/>
              </w:rPr>
              <w:t>DA011</w:t>
            </w:r>
          </w:p>
        </w:tc>
        <w:tc>
          <w:tcPr>
            <w:tcW w:w="2758" w:type="dxa"/>
            <w:vAlign w:val="top"/>
            <w:gridSpan w:val="2"/>
            <w:vMerge w:val="restart"/>
            <w:tcBorders>
              <w:bottom w:val="nil"/>
            </w:tcBorders>
          </w:tcPr>
          <w:p>
            <w:pPr>
              <w:spacing w:line="301" w:lineRule="auto"/>
              <w:rPr>
                <w:rFonts w:ascii="Arial"/>
                <w:sz w:val="21"/>
              </w:rPr>
            </w:pPr>
            <w:r/>
          </w:p>
          <w:p>
            <w:pPr>
              <w:spacing w:line="302" w:lineRule="auto"/>
              <w:rPr>
                <w:rFonts w:ascii="Arial"/>
                <w:sz w:val="21"/>
              </w:rPr>
            </w:pPr>
            <w:r/>
          </w:p>
          <w:p>
            <w:pPr>
              <w:pStyle w:val="TableText"/>
              <w:ind w:left="470"/>
              <w:spacing w:before="68" w:line="220" w:lineRule="auto"/>
              <w:rPr>
                <w:sz w:val="21"/>
                <w:szCs w:val="21"/>
              </w:rPr>
            </w:pPr>
            <w:r>
              <w:rPr>
                <w:sz w:val="21"/>
                <w:szCs w:val="21"/>
                <w:spacing w:val="1"/>
              </w:rPr>
              <w:t>12t/h蒸汽锅炉废气</w:t>
            </w:r>
          </w:p>
        </w:tc>
        <w:tc>
          <w:tcPr>
            <w:tcW w:w="1669" w:type="dxa"/>
            <w:vAlign w:val="top"/>
          </w:tcPr>
          <w:p>
            <w:pPr>
              <w:pStyle w:val="TableText"/>
              <w:ind w:left="612"/>
              <w:spacing w:before="58" w:line="160" w:lineRule="auto"/>
              <w:rPr>
                <w:rFonts w:ascii="Calibri" w:hAnsi="Calibri" w:eastAsia="Calibri" w:cs="Calibri"/>
                <w:sz w:val="21"/>
                <w:szCs w:val="21"/>
              </w:rPr>
            </w:pPr>
            <w:r>
              <w:rPr>
                <w:sz w:val="21"/>
                <w:szCs w:val="21"/>
                <w:spacing w:val="-4"/>
              </w:rPr>
              <w:t>SO</w:t>
            </w:r>
            <w:r>
              <w:rPr>
                <w:rFonts w:ascii="Calibri" w:hAnsi="Calibri" w:eastAsia="Calibri" w:cs="Calibri"/>
                <w:sz w:val="21"/>
                <w:szCs w:val="21"/>
                <w:spacing w:val="-4"/>
              </w:rPr>
              <w:t>₂</w:t>
            </w:r>
          </w:p>
        </w:tc>
        <w:tc>
          <w:tcPr>
            <w:tcW w:w="2118" w:type="dxa"/>
            <w:vAlign w:val="top"/>
            <w:vMerge w:val="restart"/>
            <w:tcBorders>
              <w:bottom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634"/>
              <w:spacing w:before="68" w:line="219" w:lineRule="auto"/>
              <w:rPr>
                <w:sz w:val="21"/>
                <w:szCs w:val="21"/>
              </w:rPr>
            </w:pPr>
            <w:r>
              <w:rPr>
                <w:sz w:val="21"/>
                <w:szCs w:val="21"/>
                <w:spacing w:val="-2"/>
              </w:rPr>
              <w:t>低氮燃烧</w:t>
            </w:r>
          </w:p>
        </w:tc>
        <w:tc>
          <w:tcPr>
            <w:tcW w:w="2209" w:type="dxa"/>
            <w:vAlign w:val="top"/>
          </w:tcPr>
          <w:p>
            <w:pPr>
              <w:spacing w:line="240" w:lineRule="exact"/>
              <w:rPr>
                <w:rFonts w:ascii="Arial"/>
                <w:sz w:val="20"/>
              </w:rPr>
            </w:pPr>
            <w:r/>
          </w:p>
        </w:tc>
        <w:tc>
          <w:tcPr>
            <w:tcW w:w="2468" w:type="dxa"/>
            <w:vAlign w:val="top"/>
          </w:tcPr>
          <w:p>
            <w:pPr>
              <w:spacing w:line="240" w:lineRule="exact"/>
              <w:rPr>
                <w:rFonts w:ascii="Arial"/>
                <w:sz w:val="20"/>
              </w:rPr>
            </w:pPr>
            <w:r/>
          </w:p>
        </w:tc>
        <w:tc>
          <w:tcPr>
            <w:tcW w:w="1294" w:type="dxa"/>
            <w:vAlign w:val="top"/>
          </w:tcPr>
          <w:p>
            <w:pPr>
              <w:spacing w:line="240" w:lineRule="exact"/>
              <w:rPr>
                <w:rFonts w:ascii="Arial"/>
                <w:sz w:val="20"/>
              </w:rPr>
            </w:pPr>
            <w:r/>
          </w:p>
        </w:tc>
      </w:tr>
      <w:tr>
        <w:trPr>
          <w:trHeight w:val="250" w:hRule="atLeast"/>
        </w:trPr>
        <w:tc>
          <w:tcPr>
            <w:tcW w:w="1574" w:type="dxa"/>
            <w:vAlign w:val="top"/>
            <w:vMerge w:val="continue"/>
            <w:tcBorders>
              <w:top w:val="nil"/>
              <w:bottom w:val="nil"/>
            </w:tcBorders>
          </w:tcPr>
          <w:p>
            <w:pPr>
              <w:rPr>
                <w:rFonts w:ascii="Arial"/>
                <w:sz w:val="21"/>
              </w:rPr>
            </w:pPr>
            <w:r/>
          </w:p>
        </w:tc>
        <w:tc>
          <w:tcPr>
            <w:tcW w:w="2758" w:type="dxa"/>
            <w:vAlign w:val="top"/>
            <w:gridSpan w:val="2"/>
            <w:vMerge w:val="continue"/>
            <w:tcBorders>
              <w:top w:val="nil"/>
              <w:bottom w:val="nil"/>
            </w:tcBorders>
          </w:tcPr>
          <w:p>
            <w:pPr>
              <w:rPr>
                <w:rFonts w:ascii="Arial"/>
                <w:sz w:val="21"/>
              </w:rPr>
            </w:pPr>
            <w:r/>
          </w:p>
        </w:tc>
        <w:tc>
          <w:tcPr>
            <w:tcW w:w="1669" w:type="dxa"/>
            <w:vAlign w:val="top"/>
          </w:tcPr>
          <w:p>
            <w:pPr>
              <w:pStyle w:val="TableText"/>
              <w:ind w:left="662"/>
              <w:spacing w:before="78" w:line="162" w:lineRule="exact"/>
              <w:rPr>
                <w:sz w:val="21"/>
                <w:szCs w:val="21"/>
              </w:rPr>
            </w:pPr>
            <w:r>
              <w:rPr>
                <w:sz w:val="21"/>
                <w:szCs w:val="21"/>
                <w:spacing w:val="-1"/>
                <w:position w:val="-3"/>
              </w:rPr>
              <w:t>NOx</w:t>
            </w:r>
          </w:p>
        </w:tc>
        <w:tc>
          <w:tcPr>
            <w:tcW w:w="2118" w:type="dxa"/>
            <w:vAlign w:val="top"/>
            <w:vMerge w:val="continue"/>
            <w:tcBorders>
              <w:top w:val="nil"/>
              <w:bottom w:val="nil"/>
            </w:tcBorders>
          </w:tcPr>
          <w:p>
            <w:pPr>
              <w:rPr>
                <w:rFonts w:ascii="Arial"/>
                <w:sz w:val="21"/>
              </w:rPr>
            </w:pPr>
            <w:r/>
          </w:p>
        </w:tc>
        <w:tc>
          <w:tcPr>
            <w:tcW w:w="5971" w:type="dxa"/>
            <w:vAlign w:val="top"/>
            <w:gridSpan w:val="3"/>
            <w:vMerge w:val="restart"/>
            <w:tcBorders>
              <w:bottom w:val="nil"/>
            </w:tcBorders>
          </w:tcPr>
          <w:p>
            <w:pPr>
              <w:pStyle w:val="TableText"/>
              <w:ind w:left="2248"/>
              <w:spacing w:before="282" w:line="221" w:lineRule="auto"/>
              <w:rPr>
                <w:sz w:val="21"/>
                <w:szCs w:val="21"/>
              </w:rPr>
            </w:pPr>
            <w:r>
              <w:rPr>
                <w:sz w:val="21"/>
                <w:szCs w:val="21"/>
                <w:b/>
                <w:bCs/>
                <w:spacing w:val="-4"/>
              </w:rPr>
              <w:t>涉密，不予公开</w:t>
            </w:r>
          </w:p>
        </w:tc>
      </w:tr>
      <w:tr>
        <w:trPr>
          <w:trHeight w:val="270" w:hRule="atLeast"/>
        </w:trPr>
        <w:tc>
          <w:tcPr>
            <w:tcW w:w="1574" w:type="dxa"/>
            <w:vAlign w:val="top"/>
            <w:vMerge w:val="continue"/>
            <w:tcBorders>
              <w:top w:val="nil"/>
            </w:tcBorders>
          </w:tcPr>
          <w:p>
            <w:pPr>
              <w:rPr>
                <w:rFonts w:ascii="Arial"/>
                <w:sz w:val="21"/>
              </w:rPr>
            </w:pPr>
            <w:r/>
          </w:p>
        </w:tc>
        <w:tc>
          <w:tcPr>
            <w:tcW w:w="2758" w:type="dxa"/>
            <w:vAlign w:val="top"/>
            <w:gridSpan w:val="2"/>
            <w:vMerge w:val="continue"/>
            <w:tcBorders>
              <w:top w:val="nil"/>
              <w:bottom w:val="nil"/>
            </w:tcBorders>
          </w:tcPr>
          <w:p>
            <w:pPr>
              <w:rPr>
                <w:rFonts w:ascii="Arial"/>
                <w:sz w:val="21"/>
              </w:rPr>
            </w:pPr>
            <w:r/>
          </w:p>
        </w:tc>
        <w:tc>
          <w:tcPr>
            <w:tcW w:w="1669" w:type="dxa"/>
            <w:vAlign w:val="top"/>
          </w:tcPr>
          <w:p>
            <w:pPr>
              <w:pStyle w:val="TableText"/>
              <w:ind w:left="512"/>
              <w:spacing w:before="34" w:line="198" w:lineRule="auto"/>
              <w:rPr>
                <w:sz w:val="21"/>
                <w:szCs w:val="21"/>
              </w:rPr>
            </w:pPr>
            <w:r>
              <w:rPr>
                <w:sz w:val="21"/>
                <w:szCs w:val="21"/>
                <w:spacing w:val="-2"/>
              </w:rPr>
              <w:t>颗粒物</w:t>
            </w:r>
          </w:p>
        </w:tc>
        <w:tc>
          <w:tcPr>
            <w:tcW w:w="2118" w:type="dxa"/>
            <w:vAlign w:val="top"/>
            <w:vMerge w:val="continue"/>
            <w:tcBorders>
              <w:top w:val="nil"/>
              <w:bottom w:val="nil"/>
            </w:tcBorders>
          </w:tcPr>
          <w:p>
            <w:pPr>
              <w:rPr>
                <w:rFonts w:ascii="Arial"/>
                <w:sz w:val="21"/>
              </w:rPr>
            </w:pPr>
            <w:r/>
          </w:p>
        </w:tc>
        <w:tc>
          <w:tcPr>
            <w:tcW w:w="5971" w:type="dxa"/>
            <w:vAlign w:val="top"/>
            <w:gridSpan w:val="3"/>
            <w:vMerge w:val="continue"/>
            <w:tcBorders>
              <w:top w:val="nil"/>
              <w:bottom w:val="nil"/>
            </w:tcBorders>
          </w:tcPr>
          <w:p>
            <w:pPr>
              <w:rPr>
                <w:rFonts w:ascii="Arial"/>
                <w:sz w:val="21"/>
              </w:rPr>
            </w:pPr>
            <w:r/>
          </w:p>
        </w:tc>
      </w:tr>
      <w:tr>
        <w:trPr>
          <w:trHeight w:val="219" w:hRule="atLeast"/>
        </w:trPr>
        <w:tc>
          <w:tcPr>
            <w:tcW w:w="1574" w:type="dxa"/>
            <w:vAlign w:val="top"/>
            <w:vMerge w:val="restart"/>
            <w:tcBorders>
              <w:bottom w:val="nil"/>
            </w:tcBorders>
          </w:tcPr>
          <w:p>
            <w:pPr>
              <w:spacing w:line="256" w:lineRule="auto"/>
              <w:rPr>
                <w:rFonts w:ascii="Arial"/>
                <w:sz w:val="21"/>
              </w:rPr>
            </w:pPr>
            <w:r/>
          </w:p>
          <w:p>
            <w:pPr>
              <w:pStyle w:val="TableText"/>
              <w:ind w:left="515"/>
              <w:spacing w:before="69" w:line="185" w:lineRule="auto"/>
              <w:rPr>
                <w:sz w:val="21"/>
                <w:szCs w:val="21"/>
              </w:rPr>
            </w:pPr>
            <w:r>
              <w:rPr>
                <w:sz w:val="21"/>
                <w:szCs w:val="21"/>
                <w:spacing w:val="-1"/>
              </w:rPr>
              <w:t>DA012</w:t>
            </w:r>
          </w:p>
        </w:tc>
        <w:tc>
          <w:tcPr>
            <w:tcW w:w="2758" w:type="dxa"/>
            <w:vAlign w:val="top"/>
            <w:gridSpan w:val="2"/>
            <w:vMerge w:val="continue"/>
            <w:tcBorders>
              <w:top w:val="nil"/>
              <w:bottom w:val="nil"/>
            </w:tcBorders>
          </w:tcPr>
          <w:p>
            <w:pPr>
              <w:rPr>
                <w:rFonts w:ascii="Arial"/>
                <w:sz w:val="21"/>
              </w:rPr>
            </w:pPr>
            <w:r/>
          </w:p>
        </w:tc>
        <w:tc>
          <w:tcPr>
            <w:tcW w:w="1669" w:type="dxa"/>
            <w:vAlign w:val="top"/>
          </w:tcPr>
          <w:p>
            <w:pPr>
              <w:pStyle w:val="TableText"/>
              <w:ind w:left="612"/>
              <w:spacing w:before="58" w:line="151" w:lineRule="exact"/>
              <w:rPr>
                <w:rFonts w:ascii="Calibri" w:hAnsi="Calibri" w:eastAsia="Calibri" w:cs="Calibri"/>
                <w:sz w:val="21"/>
                <w:szCs w:val="21"/>
              </w:rPr>
            </w:pPr>
            <w:r>
              <w:rPr>
                <w:sz w:val="21"/>
                <w:szCs w:val="21"/>
                <w:spacing w:val="-4"/>
                <w:position w:val="-2"/>
              </w:rPr>
              <w:t>SO</w:t>
            </w:r>
            <w:r>
              <w:rPr>
                <w:rFonts w:ascii="Calibri" w:hAnsi="Calibri" w:eastAsia="Calibri" w:cs="Calibri"/>
                <w:sz w:val="21"/>
                <w:szCs w:val="21"/>
                <w:spacing w:val="-4"/>
                <w:position w:val="-2"/>
              </w:rPr>
              <w:t>₂</w:t>
            </w:r>
          </w:p>
        </w:tc>
        <w:tc>
          <w:tcPr>
            <w:tcW w:w="2118" w:type="dxa"/>
            <w:vAlign w:val="top"/>
            <w:vMerge w:val="continue"/>
            <w:tcBorders>
              <w:top w:val="nil"/>
              <w:bottom w:val="nil"/>
            </w:tcBorders>
          </w:tcPr>
          <w:p>
            <w:pPr>
              <w:rPr>
                <w:rFonts w:ascii="Arial"/>
                <w:sz w:val="21"/>
              </w:rPr>
            </w:pPr>
            <w:r/>
          </w:p>
        </w:tc>
        <w:tc>
          <w:tcPr>
            <w:tcW w:w="5971" w:type="dxa"/>
            <w:vAlign w:val="top"/>
            <w:gridSpan w:val="3"/>
            <w:vMerge w:val="continue"/>
            <w:tcBorders>
              <w:top w:val="nil"/>
            </w:tcBorders>
          </w:tcPr>
          <w:p>
            <w:pPr>
              <w:rPr>
                <w:rFonts w:ascii="Arial"/>
                <w:sz w:val="21"/>
              </w:rPr>
            </w:pPr>
            <w:r/>
          </w:p>
        </w:tc>
      </w:tr>
      <w:tr>
        <w:trPr>
          <w:trHeight w:val="240" w:hRule="atLeast"/>
        </w:trPr>
        <w:tc>
          <w:tcPr>
            <w:tcW w:w="1574" w:type="dxa"/>
            <w:vAlign w:val="top"/>
            <w:vMerge w:val="continue"/>
            <w:tcBorders>
              <w:top w:val="nil"/>
              <w:bottom w:val="nil"/>
            </w:tcBorders>
          </w:tcPr>
          <w:p>
            <w:pPr>
              <w:rPr>
                <w:rFonts w:ascii="Arial"/>
                <w:sz w:val="21"/>
              </w:rPr>
            </w:pPr>
            <w:r/>
          </w:p>
        </w:tc>
        <w:tc>
          <w:tcPr>
            <w:tcW w:w="2758" w:type="dxa"/>
            <w:vAlign w:val="top"/>
            <w:gridSpan w:val="2"/>
            <w:vMerge w:val="continue"/>
            <w:tcBorders>
              <w:top w:val="nil"/>
              <w:bottom w:val="nil"/>
            </w:tcBorders>
          </w:tcPr>
          <w:p>
            <w:pPr>
              <w:rPr>
                <w:rFonts w:ascii="Arial"/>
                <w:sz w:val="21"/>
              </w:rPr>
            </w:pPr>
            <w:r/>
          </w:p>
        </w:tc>
        <w:tc>
          <w:tcPr>
            <w:tcW w:w="1669" w:type="dxa"/>
            <w:vAlign w:val="top"/>
          </w:tcPr>
          <w:p>
            <w:pPr>
              <w:pStyle w:val="TableText"/>
              <w:ind w:left="662"/>
              <w:spacing w:before="79" w:line="151" w:lineRule="exact"/>
              <w:rPr>
                <w:sz w:val="21"/>
                <w:szCs w:val="21"/>
              </w:rPr>
            </w:pPr>
            <w:r>
              <w:rPr>
                <w:sz w:val="21"/>
                <w:szCs w:val="21"/>
                <w:spacing w:val="-1"/>
                <w:position w:val="-3"/>
              </w:rPr>
              <w:t>NOx</w:t>
            </w:r>
          </w:p>
        </w:tc>
        <w:tc>
          <w:tcPr>
            <w:tcW w:w="2118" w:type="dxa"/>
            <w:vAlign w:val="top"/>
            <w:vMerge w:val="continue"/>
            <w:tcBorders>
              <w:top w:val="nil"/>
              <w:bottom w:val="nil"/>
            </w:tcBorders>
          </w:tcPr>
          <w:p>
            <w:pPr>
              <w:rPr>
                <w:rFonts w:ascii="Arial"/>
                <w:sz w:val="21"/>
              </w:rPr>
            </w:pPr>
            <w:r/>
          </w:p>
        </w:tc>
        <w:tc>
          <w:tcPr>
            <w:tcW w:w="2209" w:type="dxa"/>
            <w:vAlign w:val="top"/>
          </w:tcPr>
          <w:p>
            <w:pPr>
              <w:spacing w:line="230" w:lineRule="exact"/>
              <w:rPr>
                <w:rFonts w:ascii="Arial"/>
                <w:sz w:val="20"/>
              </w:rPr>
            </w:pPr>
            <w:r/>
          </w:p>
        </w:tc>
        <w:tc>
          <w:tcPr>
            <w:tcW w:w="2468" w:type="dxa"/>
            <w:vAlign w:val="top"/>
          </w:tcPr>
          <w:p>
            <w:pPr>
              <w:spacing w:line="230" w:lineRule="exact"/>
              <w:rPr>
                <w:rFonts w:ascii="Arial"/>
                <w:sz w:val="20"/>
              </w:rPr>
            </w:pPr>
            <w:r/>
          </w:p>
        </w:tc>
        <w:tc>
          <w:tcPr>
            <w:tcW w:w="1294" w:type="dxa"/>
            <w:vAlign w:val="top"/>
          </w:tcPr>
          <w:p>
            <w:pPr>
              <w:spacing w:line="230" w:lineRule="exact"/>
              <w:rPr>
                <w:rFonts w:ascii="Arial"/>
                <w:sz w:val="20"/>
              </w:rPr>
            </w:pPr>
            <w:r/>
          </w:p>
        </w:tc>
      </w:tr>
      <w:tr>
        <w:trPr>
          <w:trHeight w:val="270" w:hRule="atLeast"/>
        </w:trPr>
        <w:tc>
          <w:tcPr>
            <w:tcW w:w="1574" w:type="dxa"/>
            <w:vAlign w:val="top"/>
            <w:vMerge w:val="continue"/>
            <w:tcBorders>
              <w:top w:val="nil"/>
            </w:tcBorders>
          </w:tcPr>
          <w:p>
            <w:pPr>
              <w:rPr>
                <w:rFonts w:ascii="Arial"/>
                <w:sz w:val="21"/>
              </w:rPr>
            </w:pPr>
            <w:r/>
          </w:p>
        </w:tc>
        <w:tc>
          <w:tcPr>
            <w:tcW w:w="2758" w:type="dxa"/>
            <w:vAlign w:val="top"/>
            <w:gridSpan w:val="2"/>
            <w:vMerge w:val="continue"/>
            <w:tcBorders>
              <w:top w:val="nil"/>
            </w:tcBorders>
          </w:tcPr>
          <w:p>
            <w:pPr>
              <w:rPr>
                <w:rFonts w:ascii="Arial"/>
                <w:sz w:val="21"/>
              </w:rPr>
            </w:pPr>
            <w:r/>
          </w:p>
        </w:tc>
        <w:tc>
          <w:tcPr>
            <w:tcW w:w="1669" w:type="dxa"/>
            <w:vAlign w:val="top"/>
          </w:tcPr>
          <w:p>
            <w:pPr>
              <w:pStyle w:val="TableText"/>
              <w:ind w:left="512"/>
              <w:spacing w:before="35" w:line="197" w:lineRule="auto"/>
              <w:rPr>
                <w:sz w:val="21"/>
                <w:szCs w:val="21"/>
              </w:rPr>
            </w:pPr>
            <w:r>
              <w:rPr>
                <w:sz w:val="21"/>
                <w:szCs w:val="21"/>
                <w:spacing w:val="-2"/>
              </w:rPr>
              <w:t>颗粒物</w:t>
            </w:r>
          </w:p>
        </w:tc>
        <w:tc>
          <w:tcPr>
            <w:tcW w:w="2118" w:type="dxa"/>
            <w:vAlign w:val="top"/>
            <w:vMerge w:val="continue"/>
            <w:tcBorders>
              <w:top w:val="nil"/>
              <w:bottom w:val="nil"/>
            </w:tcBorders>
          </w:tcPr>
          <w:p>
            <w:pPr>
              <w:rPr>
                <w:rFonts w:ascii="Arial"/>
                <w:sz w:val="21"/>
              </w:rPr>
            </w:pPr>
            <w:r/>
          </w:p>
        </w:tc>
        <w:tc>
          <w:tcPr>
            <w:tcW w:w="2209" w:type="dxa"/>
            <w:vAlign w:val="top"/>
          </w:tcPr>
          <w:p>
            <w:pPr>
              <w:rPr>
                <w:rFonts w:ascii="Arial"/>
                <w:sz w:val="21"/>
              </w:rPr>
            </w:pPr>
            <w:r/>
          </w:p>
        </w:tc>
        <w:tc>
          <w:tcPr>
            <w:tcW w:w="2468" w:type="dxa"/>
            <w:vAlign w:val="top"/>
          </w:tcPr>
          <w:p>
            <w:pPr>
              <w:rPr>
                <w:rFonts w:ascii="Arial"/>
                <w:sz w:val="21"/>
              </w:rPr>
            </w:pPr>
            <w:r/>
          </w:p>
        </w:tc>
        <w:tc>
          <w:tcPr>
            <w:tcW w:w="1294" w:type="dxa"/>
            <w:vAlign w:val="top"/>
          </w:tcPr>
          <w:p>
            <w:pPr>
              <w:rPr>
                <w:rFonts w:ascii="Arial"/>
                <w:sz w:val="21"/>
              </w:rPr>
            </w:pPr>
            <w:r/>
          </w:p>
        </w:tc>
      </w:tr>
      <w:tr>
        <w:trPr>
          <w:trHeight w:val="250" w:hRule="atLeast"/>
        </w:trPr>
        <w:tc>
          <w:tcPr>
            <w:tcW w:w="1574" w:type="dxa"/>
            <w:vAlign w:val="top"/>
            <w:vMerge w:val="restart"/>
            <w:tcBorders>
              <w:bottom w:val="nil"/>
            </w:tcBorders>
          </w:tcPr>
          <w:p>
            <w:pPr>
              <w:pStyle w:val="TableText"/>
              <w:ind w:left="515"/>
              <w:spacing w:before="238" w:line="176" w:lineRule="auto"/>
              <w:rPr>
                <w:sz w:val="21"/>
                <w:szCs w:val="21"/>
              </w:rPr>
            </w:pPr>
            <w:r>
              <w:rPr>
                <w:sz w:val="21"/>
                <w:szCs w:val="21"/>
                <w:spacing w:val="-1"/>
              </w:rPr>
              <w:t>DA021</w:t>
            </w:r>
          </w:p>
          <w:p>
            <w:pPr>
              <w:pStyle w:val="TableText"/>
              <w:ind w:left="465"/>
              <w:spacing w:line="222" w:lineRule="auto"/>
              <w:rPr>
                <w:sz w:val="21"/>
                <w:szCs w:val="21"/>
              </w:rPr>
            </w:pPr>
            <w:r>
              <w:rPr>
                <w:sz w:val="21"/>
                <w:szCs w:val="21"/>
                <w:spacing w:val="9"/>
              </w:rPr>
              <w:t>(2合1)</w:t>
            </w:r>
          </w:p>
        </w:tc>
        <w:tc>
          <w:tcPr>
            <w:tcW w:w="2758" w:type="dxa"/>
            <w:vAlign w:val="top"/>
            <w:gridSpan w:val="2"/>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pStyle w:val="TableText"/>
              <w:ind w:left="531"/>
              <w:spacing w:before="69" w:line="220" w:lineRule="auto"/>
              <w:rPr>
                <w:sz w:val="21"/>
                <w:szCs w:val="21"/>
              </w:rPr>
            </w:pPr>
            <w:r>
              <w:rPr>
                <w:sz w:val="21"/>
                <w:szCs w:val="21"/>
                <w:spacing w:val="1"/>
              </w:rPr>
              <w:t>5t/h蒸汽锅炉废气</w:t>
            </w:r>
          </w:p>
        </w:tc>
        <w:tc>
          <w:tcPr>
            <w:tcW w:w="1669" w:type="dxa"/>
            <w:vAlign w:val="top"/>
          </w:tcPr>
          <w:p>
            <w:pPr>
              <w:pStyle w:val="TableText"/>
              <w:ind w:left="612"/>
              <w:spacing w:before="59" w:line="159" w:lineRule="auto"/>
              <w:rPr>
                <w:rFonts w:ascii="Calibri" w:hAnsi="Calibri" w:eastAsia="Calibri" w:cs="Calibri"/>
                <w:sz w:val="21"/>
                <w:szCs w:val="21"/>
              </w:rPr>
            </w:pPr>
            <w:r>
              <w:rPr>
                <w:sz w:val="21"/>
                <w:szCs w:val="21"/>
                <w:spacing w:val="-4"/>
              </w:rPr>
              <w:t>SO</w:t>
            </w:r>
            <w:r>
              <w:rPr>
                <w:rFonts w:ascii="Calibri" w:hAnsi="Calibri" w:eastAsia="Calibri" w:cs="Calibri"/>
                <w:sz w:val="21"/>
                <w:szCs w:val="21"/>
                <w:spacing w:val="-4"/>
              </w:rPr>
              <w:t>₂</w:t>
            </w:r>
          </w:p>
        </w:tc>
        <w:tc>
          <w:tcPr>
            <w:tcW w:w="2118" w:type="dxa"/>
            <w:vAlign w:val="top"/>
            <w:vMerge w:val="continue"/>
            <w:tcBorders>
              <w:top w:val="nil"/>
              <w:bottom w:val="nil"/>
            </w:tcBorders>
          </w:tcPr>
          <w:p>
            <w:pPr>
              <w:rPr>
                <w:rFonts w:ascii="Arial"/>
                <w:sz w:val="21"/>
              </w:rPr>
            </w:pPr>
            <w:r/>
          </w:p>
        </w:tc>
        <w:tc>
          <w:tcPr>
            <w:tcW w:w="2209" w:type="dxa"/>
            <w:vAlign w:val="top"/>
          </w:tcPr>
          <w:p>
            <w:pPr>
              <w:spacing w:line="240" w:lineRule="exact"/>
              <w:rPr>
                <w:rFonts w:ascii="Arial"/>
                <w:sz w:val="20"/>
              </w:rPr>
            </w:pPr>
            <w:r/>
          </w:p>
        </w:tc>
        <w:tc>
          <w:tcPr>
            <w:tcW w:w="2468" w:type="dxa"/>
            <w:vAlign w:val="top"/>
          </w:tcPr>
          <w:p>
            <w:pPr>
              <w:spacing w:line="240" w:lineRule="exact"/>
              <w:rPr>
                <w:rFonts w:ascii="Arial"/>
                <w:sz w:val="20"/>
              </w:rPr>
            </w:pPr>
            <w:r/>
          </w:p>
        </w:tc>
        <w:tc>
          <w:tcPr>
            <w:tcW w:w="1294" w:type="dxa"/>
            <w:vAlign w:val="top"/>
          </w:tcPr>
          <w:p>
            <w:pPr>
              <w:spacing w:line="240" w:lineRule="exact"/>
              <w:rPr>
                <w:rFonts w:ascii="Arial"/>
                <w:sz w:val="20"/>
              </w:rPr>
            </w:pPr>
            <w:r/>
          </w:p>
        </w:tc>
      </w:tr>
      <w:tr>
        <w:trPr>
          <w:trHeight w:val="250" w:hRule="atLeast"/>
        </w:trPr>
        <w:tc>
          <w:tcPr>
            <w:tcW w:w="1574" w:type="dxa"/>
            <w:vAlign w:val="top"/>
            <w:vMerge w:val="continue"/>
            <w:tcBorders>
              <w:top w:val="nil"/>
              <w:bottom w:val="nil"/>
            </w:tcBorders>
          </w:tcPr>
          <w:p>
            <w:pPr>
              <w:rPr>
                <w:rFonts w:ascii="Arial"/>
                <w:sz w:val="21"/>
              </w:rPr>
            </w:pPr>
            <w:r/>
          </w:p>
        </w:tc>
        <w:tc>
          <w:tcPr>
            <w:tcW w:w="2758" w:type="dxa"/>
            <w:vAlign w:val="top"/>
            <w:gridSpan w:val="2"/>
            <w:vMerge w:val="continue"/>
            <w:tcBorders>
              <w:top w:val="nil"/>
              <w:bottom w:val="nil"/>
            </w:tcBorders>
          </w:tcPr>
          <w:p>
            <w:pPr>
              <w:rPr>
                <w:rFonts w:ascii="Arial"/>
                <w:sz w:val="21"/>
              </w:rPr>
            </w:pPr>
            <w:r/>
          </w:p>
        </w:tc>
        <w:tc>
          <w:tcPr>
            <w:tcW w:w="1669" w:type="dxa"/>
            <w:vAlign w:val="top"/>
          </w:tcPr>
          <w:p>
            <w:pPr>
              <w:pStyle w:val="TableText"/>
              <w:ind w:left="662"/>
              <w:spacing w:before="79" w:line="161" w:lineRule="exact"/>
              <w:rPr>
                <w:sz w:val="21"/>
                <w:szCs w:val="21"/>
              </w:rPr>
            </w:pPr>
            <w:r>
              <w:rPr>
                <w:sz w:val="21"/>
                <w:szCs w:val="21"/>
                <w:spacing w:val="-1"/>
                <w:position w:val="-3"/>
              </w:rPr>
              <w:t>NOx</w:t>
            </w:r>
          </w:p>
        </w:tc>
        <w:tc>
          <w:tcPr>
            <w:tcW w:w="2118" w:type="dxa"/>
            <w:vAlign w:val="top"/>
            <w:vMerge w:val="continue"/>
            <w:tcBorders>
              <w:top w:val="nil"/>
              <w:bottom w:val="nil"/>
            </w:tcBorders>
          </w:tcPr>
          <w:p>
            <w:pPr>
              <w:rPr>
                <w:rFonts w:ascii="Arial"/>
                <w:sz w:val="21"/>
              </w:rPr>
            </w:pPr>
            <w:r/>
          </w:p>
        </w:tc>
        <w:tc>
          <w:tcPr>
            <w:tcW w:w="2209" w:type="dxa"/>
            <w:vAlign w:val="top"/>
          </w:tcPr>
          <w:p>
            <w:pPr>
              <w:spacing w:line="240" w:lineRule="exact"/>
              <w:rPr>
                <w:rFonts w:ascii="Arial"/>
                <w:sz w:val="20"/>
              </w:rPr>
            </w:pPr>
            <w:r/>
          </w:p>
        </w:tc>
        <w:tc>
          <w:tcPr>
            <w:tcW w:w="2468" w:type="dxa"/>
            <w:vAlign w:val="top"/>
          </w:tcPr>
          <w:p>
            <w:pPr>
              <w:spacing w:line="240" w:lineRule="exact"/>
              <w:rPr>
                <w:rFonts w:ascii="Arial"/>
                <w:sz w:val="20"/>
              </w:rPr>
            </w:pPr>
            <w:r/>
          </w:p>
        </w:tc>
        <w:tc>
          <w:tcPr>
            <w:tcW w:w="1294" w:type="dxa"/>
            <w:vAlign w:val="top"/>
          </w:tcPr>
          <w:p>
            <w:pPr>
              <w:spacing w:line="240" w:lineRule="exact"/>
              <w:rPr>
                <w:rFonts w:ascii="Arial"/>
                <w:sz w:val="20"/>
              </w:rPr>
            </w:pPr>
            <w:r/>
          </w:p>
        </w:tc>
      </w:tr>
      <w:tr>
        <w:trPr>
          <w:trHeight w:val="269" w:hRule="atLeast"/>
        </w:trPr>
        <w:tc>
          <w:tcPr>
            <w:tcW w:w="1574" w:type="dxa"/>
            <w:vAlign w:val="top"/>
            <w:vMerge w:val="continue"/>
            <w:tcBorders>
              <w:top w:val="nil"/>
            </w:tcBorders>
          </w:tcPr>
          <w:p>
            <w:pPr>
              <w:rPr>
                <w:rFonts w:ascii="Arial"/>
                <w:sz w:val="21"/>
              </w:rPr>
            </w:pPr>
            <w:r/>
          </w:p>
        </w:tc>
        <w:tc>
          <w:tcPr>
            <w:tcW w:w="2758" w:type="dxa"/>
            <w:vAlign w:val="top"/>
            <w:gridSpan w:val="2"/>
            <w:vMerge w:val="continue"/>
            <w:tcBorders>
              <w:top w:val="nil"/>
              <w:bottom w:val="nil"/>
            </w:tcBorders>
          </w:tcPr>
          <w:p>
            <w:pPr>
              <w:rPr>
                <w:rFonts w:ascii="Arial"/>
                <w:sz w:val="21"/>
              </w:rPr>
            </w:pPr>
            <w:r/>
          </w:p>
        </w:tc>
        <w:tc>
          <w:tcPr>
            <w:tcW w:w="1669" w:type="dxa"/>
            <w:vAlign w:val="top"/>
          </w:tcPr>
          <w:p>
            <w:pPr>
              <w:pStyle w:val="TableText"/>
              <w:ind w:left="512"/>
              <w:spacing w:before="36" w:line="196" w:lineRule="auto"/>
              <w:rPr>
                <w:sz w:val="21"/>
                <w:szCs w:val="21"/>
              </w:rPr>
            </w:pPr>
            <w:r>
              <w:rPr>
                <w:sz w:val="21"/>
                <w:szCs w:val="21"/>
                <w:spacing w:val="-2"/>
              </w:rPr>
              <w:t>颗粒物</w:t>
            </w:r>
          </w:p>
        </w:tc>
        <w:tc>
          <w:tcPr>
            <w:tcW w:w="2118" w:type="dxa"/>
            <w:vAlign w:val="top"/>
            <w:vMerge w:val="continue"/>
            <w:tcBorders>
              <w:top w:val="nil"/>
              <w:bottom w:val="nil"/>
            </w:tcBorders>
          </w:tcPr>
          <w:p>
            <w:pPr>
              <w:rPr>
                <w:rFonts w:ascii="Arial"/>
                <w:sz w:val="21"/>
              </w:rPr>
            </w:pPr>
            <w:r/>
          </w:p>
        </w:tc>
        <w:tc>
          <w:tcPr>
            <w:tcW w:w="2209" w:type="dxa"/>
            <w:vAlign w:val="top"/>
          </w:tcPr>
          <w:p>
            <w:pPr>
              <w:rPr>
                <w:rFonts w:ascii="Arial"/>
                <w:sz w:val="21"/>
              </w:rPr>
            </w:pPr>
            <w:r/>
          </w:p>
        </w:tc>
        <w:tc>
          <w:tcPr>
            <w:tcW w:w="2468" w:type="dxa"/>
            <w:vAlign w:val="top"/>
          </w:tcPr>
          <w:p>
            <w:pPr>
              <w:rPr>
                <w:rFonts w:ascii="Arial"/>
                <w:sz w:val="21"/>
              </w:rPr>
            </w:pPr>
            <w:r/>
          </w:p>
        </w:tc>
        <w:tc>
          <w:tcPr>
            <w:tcW w:w="1294" w:type="dxa"/>
            <w:vAlign w:val="top"/>
          </w:tcPr>
          <w:p>
            <w:pPr>
              <w:rPr>
                <w:rFonts w:ascii="Arial"/>
                <w:sz w:val="21"/>
              </w:rPr>
            </w:pPr>
            <w:r/>
          </w:p>
        </w:tc>
      </w:tr>
      <w:tr>
        <w:trPr>
          <w:trHeight w:val="250" w:hRule="atLeast"/>
        </w:trPr>
        <w:tc>
          <w:tcPr>
            <w:tcW w:w="1574" w:type="dxa"/>
            <w:vAlign w:val="top"/>
            <w:vMerge w:val="restart"/>
            <w:tcBorders>
              <w:bottom w:val="nil"/>
            </w:tcBorders>
          </w:tcPr>
          <w:p>
            <w:pPr>
              <w:pStyle w:val="TableText"/>
              <w:ind w:left="515"/>
              <w:spacing w:before="209" w:line="194" w:lineRule="auto"/>
              <w:rPr>
                <w:sz w:val="21"/>
                <w:szCs w:val="21"/>
              </w:rPr>
            </w:pPr>
            <w:r>
              <w:rPr>
                <w:sz w:val="21"/>
                <w:szCs w:val="21"/>
                <w:spacing w:val="-1"/>
              </w:rPr>
              <w:t>DA022</w:t>
            </w:r>
          </w:p>
          <w:p>
            <w:pPr>
              <w:pStyle w:val="TableText"/>
              <w:ind w:left="465"/>
              <w:spacing w:line="222" w:lineRule="auto"/>
              <w:rPr>
                <w:sz w:val="21"/>
                <w:szCs w:val="21"/>
              </w:rPr>
            </w:pPr>
            <w:r>
              <w:rPr>
                <w:sz w:val="21"/>
                <w:szCs w:val="21"/>
                <w:spacing w:val="9"/>
              </w:rPr>
              <w:t>(2合1)</w:t>
            </w:r>
          </w:p>
        </w:tc>
        <w:tc>
          <w:tcPr>
            <w:tcW w:w="2758" w:type="dxa"/>
            <w:vAlign w:val="top"/>
            <w:gridSpan w:val="2"/>
            <w:vMerge w:val="continue"/>
            <w:tcBorders>
              <w:top w:val="nil"/>
              <w:bottom w:val="nil"/>
            </w:tcBorders>
          </w:tcPr>
          <w:p>
            <w:pPr>
              <w:rPr>
                <w:rFonts w:ascii="Arial"/>
                <w:sz w:val="21"/>
              </w:rPr>
            </w:pPr>
            <w:r/>
          </w:p>
        </w:tc>
        <w:tc>
          <w:tcPr>
            <w:tcW w:w="1669" w:type="dxa"/>
            <w:vAlign w:val="top"/>
          </w:tcPr>
          <w:p>
            <w:pPr>
              <w:pStyle w:val="TableText"/>
              <w:ind w:left="612"/>
              <w:spacing w:before="60" w:line="158" w:lineRule="auto"/>
              <w:rPr>
                <w:rFonts w:ascii="Calibri" w:hAnsi="Calibri" w:eastAsia="Calibri" w:cs="Calibri"/>
                <w:sz w:val="21"/>
                <w:szCs w:val="21"/>
              </w:rPr>
            </w:pPr>
            <w:r>
              <w:rPr>
                <w:sz w:val="21"/>
                <w:szCs w:val="21"/>
                <w:spacing w:val="-4"/>
              </w:rPr>
              <w:t>SO</w:t>
            </w:r>
            <w:r>
              <w:rPr>
                <w:rFonts w:ascii="Calibri" w:hAnsi="Calibri" w:eastAsia="Calibri" w:cs="Calibri"/>
                <w:sz w:val="21"/>
                <w:szCs w:val="21"/>
                <w:spacing w:val="-4"/>
              </w:rPr>
              <w:t>₂</w:t>
            </w:r>
          </w:p>
        </w:tc>
        <w:tc>
          <w:tcPr>
            <w:tcW w:w="2118" w:type="dxa"/>
            <w:vAlign w:val="top"/>
            <w:vMerge w:val="continue"/>
            <w:tcBorders>
              <w:top w:val="nil"/>
              <w:bottom w:val="nil"/>
            </w:tcBorders>
          </w:tcPr>
          <w:p>
            <w:pPr>
              <w:rPr>
                <w:rFonts w:ascii="Arial"/>
                <w:sz w:val="21"/>
              </w:rPr>
            </w:pPr>
            <w:r/>
          </w:p>
        </w:tc>
        <w:tc>
          <w:tcPr>
            <w:tcW w:w="2209" w:type="dxa"/>
            <w:vAlign w:val="top"/>
          </w:tcPr>
          <w:p>
            <w:pPr>
              <w:spacing w:line="240" w:lineRule="exact"/>
              <w:rPr>
                <w:rFonts w:ascii="Arial"/>
                <w:sz w:val="20"/>
              </w:rPr>
            </w:pPr>
            <w:r/>
          </w:p>
        </w:tc>
        <w:tc>
          <w:tcPr>
            <w:tcW w:w="2468" w:type="dxa"/>
            <w:vAlign w:val="top"/>
          </w:tcPr>
          <w:p>
            <w:pPr>
              <w:spacing w:line="240" w:lineRule="exact"/>
              <w:rPr>
                <w:rFonts w:ascii="Arial"/>
                <w:sz w:val="20"/>
              </w:rPr>
            </w:pPr>
            <w:r/>
          </w:p>
        </w:tc>
        <w:tc>
          <w:tcPr>
            <w:tcW w:w="1294" w:type="dxa"/>
            <w:vAlign w:val="top"/>
          </w:tcPr>
          <w:p>
            <w:pPr>
              <w:spacing w:line="240" w:lineRule="exact"/>
              <w:rPr>
                <w:rFonts w:ascii="Arial"/>
                <w:sz w:val="20"/>
              </w:rPr>
            </w:pPr>
            <w:r/>
          </w:p>
        </w:tc>
      </w:tr>
      <w:tr>
        <w:trPr>
          <w:trHeight w:val="240" w:hRule="atLeast"/>
        </w:trPr>
        <w:tc>
          <w:tcPr>
            <w:tcW w:w="1574" w:type="dxa"/>
            <w:vAlign w:val="top"/>
            <w:vMerge w:val="continue"/>
            <w:tcBorders>
              <w:top w:val="nil"/>
              <w:bottom w:val="nil"/>
            </w:tcBorders>
          </w:tcPr>
          <w:p>
            <w:pPr>
              <w:rPr>
                <w:rFonts w:ascii="Arial"/>
                <w:sz w:val="21"/>
              </w:rPr>
            </w:pPr>
            <w:r/>
          </w:p>
        </w:tc>
        <w:tc>
          <w:tcPr>
            <w:tcW w:w="2758" w:type="dxa"/>
            <w:vAlign w:val="top"/>
            <w:gridSpan w:val="2"/>
            <w:vMerge w:val="continue"/>
            <w:tcBorders>
              <w:top w:val="nil"/>
              <w:bottom w:val="nil"/>
            </w:tcBorders>
          </w:tcPr>
          <w:p>
            <w:pPr>
              <w:rPr>
                <w:rFonts w:ascii="Arial"/>
                <w:sz w:val="21"/>
              </w:rPr>
            </w:pPr>
            <w:r/>
          </w:p>
        </w:tc>
        <w:tc>
          <w:tcPr>
            <w:tcW w:w="1669" w:type="dxa"/>
            <w:vAlign w:val="top"/>
          </w:tcPr>
          <w:p>
            <w:pPr>
              <w:pStyle w:val="TableText"/>
              <w:ind w:left="662"/>
              <w:spacing w:before="80" w:line="150" w:lineRule="exact"/>
              <w:rPr>
                <w:sz w:val="21"/>
                <w:szCs w:val="21"/>
              </w:rPr>
            </w:pPr>
            <w:r>
              <w:rPr>
                <w:sz w:val="21"/>
                <w:szCs w:val="21"/>
                <w:spacing w:val="-1"/>
                <w:position w:val="-3"/>
              </w:rPr>
              <w:t>NOx</w:t>
            </w:r>
          </w:p>
        </w:tc>
        <w:tc>
          <w:tcPr>
            <w:tcW w:w="2118" w:type="dxa"/>
            <w:vAlign w:val="top"/>
            <w:vMerge w:val="continue"/>
            <w:tcBorders>
              <w:top w:val="nil"/>
              <w:bottom w:val="nil"/>
            </w:tcBorders>
          </w:tcPr>
          <w:p>
            <w:pPr>
              <w:rPr>
                <w:rFonts w:ascii="Arial"/>
                <w:sz w:val="21"/>
              </w:rPr>
            </w:pPr>
            <w:r/>
          </w:p>
        </w:tc>
        <w:tc>
          <w:tcPr>
            <w:tcW w:w="2209" w:type="dxa"/>
            <w:vAlign w:val="top"/>
          </w:tcPr>
          <w:p>
            <w:pPr>
              <w:spacing w:line="230" w:lineRule="exact"/>
              <w:rPr>
                <w:rFonts w:ascii="Arial"/>
                <w:sz w:val="20"/>
              </w:rPr>
            </w:pPr>
            <w:r/>
          </w:p>
        </w:tc>
        <w:tc>
          <w:tcPr>
            <w:tcW w:w="2468" w:type="dxa"/>
            <w:vAlign w:val="top"/>
          </w:tcPr>
          <w:p>
            <w:pPr>
              <w:spacing w:line="230" w:lineRule="exact"/>
              <w:rPr>
                <w:rFonts w:ascii="Arial"/>
                <w:sz w:val="20"/>
              </w:rPr>
            </w:pPr>
            <w:r/>
          </w:p>
        </w:tc>
        <w:tc>
          <w:tcPr>
            <w:tcW w:w="1294" w:type="dxa"/>
            <w:vAlign w:val="top"/>
          </w:tcPr>
          <w:p>
            <w:pPr>
              <w:spacing w:line="230" w:lineRule="exact"/>
              <w:rPr>
                <w:rFonts w:ascii="Arial"/>
                <w:sz w:val="20"/>
              </w:rPr>
            </w:pPr>
            <w:r/>
          </w:p>
        </w:tc>
      </w:tr>
      <w:tr>
        <w:trPr>
          <w:trHeight w:val="249" w:hRule="atLeast"/>
        </w:trPr>
        <w:tc>
          <w:tcPr>
            <w:tcW w:w="1574" w:type="dxa"/>
            <w:vAlign w:val="top"/>
            <w:vMerge w:val="continue"/>
            <w:tcBorders>
              <w:top w:val="nil"/>
            </w:tcBorders>
          </w:tcPr>
          <w:p>
            <w:pPr>
              <w:rPr>
                <w:rFonts w:ascii="Arial"/>
                <w:sz w:val="21"/>
              </w:rPr>
            </w:pPr>
            <w:r/>
          </w:p>
        </w:tc>
        <w:tc>
          <w:tcPr>
            <w:tcW w:w="2758" w:type="dxa"/>
            <w:vAlign w:val="top"/>
            <w:gridSpan w:val="2"/>
            <w:vMerge w:val="continue"/>
            <w:tcBorders>
              <w:top w:val="nil"/>
              <w:bottom w:val="nil"/>
            </w:tcBorders>
          </w:tcPr>
          <w:p>
            <w:pPr>
              <w:rPr>
                <w:rFonts w:ascii="Arial"/>
                <w:sz w:val="21"/>
              </w:rPr>
            </w:pPr>
            <w:r/>
          </w:p>
        </w:tc>
        <w:tc>
          <w:tcPr>
            <w:tcW w:w="1669" w:type="dxa"/>
            <w:vAlign w:val="top"/>
          </w:tcPr>
          <w:p>
            <w:pPr>
              <w:pStyle w:val="TableText"/>
              <w:ind w:left="512"/>
              <w:spacing w:before="27" w:line="186" w:lineRule="auto"/>
              <w:rPr>
                <w:sz w:val="21"/>
                <w:szCs w:val="21"/>
              </w:rPr>
            </w:pPr>
            <w:r>
              <w:rPr>
                <w:sz w:val="21"/>
                <w:szCs w:val="21"/>
                <w:spacing w:val="-2"/>
              </w:rPr>
              <w:t>颗粒物</w:t>
            </w:r>
          </w:p>
        </w:tc>
        <w:tc>
          <w:tcPr>
            <w:tcW w:w="2118" w:type="dxa"/>
            <w:vAlign w:val="top"/>
            <w:vMerge w:val="continue"/>
            <w:tcBorders>
              <w:top w:val="nil"/>
              <w:bottom w:val="nil"/>
            </w:tcBorders>
          </w:tcPr>
          <w:p>
            <w:pPr>
              <w:rPr>
                <w:rFonts w:ascii="Arial"/>
                <w:sz w:val="21"/>
              </w:rPr>
            </w:pPr>
            <w:r/>
          </w:p>
        </w:tc>
        <w:tc>
          <w:tcPr>
            <w:tcW w:w="2209" w:type="dxa"/>
            <w:vAlign w:val="top"/>
          </w:tcPr>
          <w:p>
            <w:pPr>
              <w:spacing w:line="238" w:lineRule="exact"/>
              <w:rPr>
                <w:rFonts w:ascii="Arial"/>
                <w:sz w:val="20"/>
              </w:rPr>
            </w:pPr>
            <w:r/>
          </w:p>
        </w:tc>
        <w:tc>
          <w:tcPr>
            <w:tcW w:w="2468" w:type="dxa"/>
            <w:vAlign w:val="top"/>
          </w:tcPr>
          <w:p>
            <w:pPr>
              <w:spacing w:line="238" w:lineRule="exact"/>
              <w:rPr>
                <w:rFonts w:ascii="Arial"/>
                <w:sz w:val="20"/>
              </w:rPr>
            </w:pPr>
            <w:r/>
          </w:p>
        </w:tc>
        <w:tc>
          <w:tcPr>
            <w:tcW w:w="1294" w:type="dxa"/>
            <w:vAlign w:val="top"/>
          </w:tcPr>
          <w:p>
            <w:pPr>
              <w:spacing w:line="238" w:lineRule="exact"/>
              <w:rPr>
                <w:rFonts w:ascii="Arial"/>
                <w:sz w:val="20"/>
              </w:rPr>
            </w:pPr>
            <w:r/>
          </w:p>
        </w:tc>
      </w:tr>
      <w:tr>
        <w:trPr>
          <w:trHeight w:val="240" w:hRule="atLeast"/>
        </w:trPr>
        <w:tc>
          <w:tcPr>
            <w:tcW w:w="1574" w:type="dxa"/>
            <w:vAlign w:val="top"/>
            <w:vMerge w:val="restart"/>
            <w:tcBorders>
              <w:bottom w:val="nil"/>
            </w:tcBorders>
          </w:tcPr>
          <w:p>
            <w:pPr>
              <w:pStyle w:val="TableText"/>
              <w:ind w:left="515"/>
              <w:spacing w:before="240" w:line="159" w:lineRule="auto"/>
              <w:rPr>
                <w:sz w:val="21"/>
                <w:szCs w:val="21"/>
              </w:rPr>
            </w:pPr>
            <w:r>
              <w:rPr>
                <w:sz w:val="21"/>
                <w:szCs w:val="21"/>
                <w:spacing w:val="-1"/>
              </w:rPr>
              <w:t>DA023</w:t>
            </w:r>
          </w:p>
          <w:p>
            <w:pPr>
              <w:pStyle w:val="TableText"/>
              <w:ind w:left="465"/>
              <w:spacing w:line="222" w:lineRule="auto"/>
              <w:rPr>
                <w:sz w:val="21"/>
                <w:szCs w:val="21"/>
              </w:rPr>
            </w:pPr>
            <w:r>
              <w:rPr>
                <w:sz w:val="21"/>
                <w:szCs w:val="21"/>
                <w:spacing w:val="9"/>
              </w:rPr>
              <w:t>(3合1)</w:t>
            </w:r>
          </w:p>
        </w:tc>
        <w:tc>
          <w:tcPr>
            <w:tcW w:w="2758" w:type="dxa"/>
            <w:vAlign w:val="top"/>
            <w:gridSpan w:val="2"/>
            <w:vMerge w:val="continue"/>
            <w:tcBorders>
              <w:top w:val="nil"/>
              <w:bottom w:val="nil"/>
            </w:tcBorders>
          </w:tcPr>
          <w:p>
            <w:pPr>
              <w:rPr>
                <w:rFonts w:ascii="Arial"/>
                <w:sz w:val="21"/>
              </w:rPr>
            </w:pPr>
            <w:r/>
          </w:p>
        </w:tc>
        <w:tc>
          <w:tcPr>
            <w:tcW w:w="1669" w:type="dxa"/>
            <w:vAlign w:val="top"/>
          </w:tcPr>
          <w:p>
            <w:pPr>
              <w:pStyle w:val="TableText"/>
              <w:ind w:left="612"/>
              <w:spacing w:before="61" w:line="168" w:lineRule="exact"/>
              <w:rPr>
                <w:rFonts w:ascii="Calibri" w:hAnsi="Calibri" w:eastAsia="Calibri" w:cs="Calibri"/>
                <w:sz w:val="21"/>
                <w:szCs w:val="21"/>
              </w:rPr>
            </w:pPr>
            <w:r>
              <w:rPr>
                <w:sz w:val="21"/>
                <w:szCs w:val="21"/>
                <w:spacing w:val="-4"/>
                <w:position w:val="-1"/>
              </w:rPr>
              <w:t>SO</w:t>
            </w:r>
            <w:r>
              <w:rPr>
                <w:rFonts w:ascii="Calibri" w:hAnsi="Calibri" w:eastAsia="Calibri" w:cs="Calibri"/>
                <w:sz w:val="21"/>
                <w:szCs w:val="21"/>
                <w:spacing w:val="-4"/>
                <w:position w:val="-1"/>
              </w:rPr>
              <w:t>₂</w:t>
            </w:r>
          </w:p>
        </w:tc>
        <w:tc>
          <w:tcPr>
            <w:tcW w:w="2118" w:type="dxa"/>
            <w:vAlign w:val="top"/>
            <w:vMerge w:val="continue"/>
            <w:tcBorders>
              <w:top w:val="nil"/>
              <w:bottom w:val="nil"/>
            </w:tcBorders>
          </w:tcPr>
          <w:p>
            <w:pPr>
              <w:rPr>
                <w:rFonts w:ascii="Arial"/>
                <w:sz w:val="21"/>
              </w:rPr>
            </w:pPr>
            <w:r/>
          </w:p>
        </w:tc>
        <w:tc>
          <w:tcPr>
            <w:tcW w:w="2209" w:type="dxa"/>
            <w:vAlign w:val="top"/>
          </w:tcPr>
          <w:p>
            <w:pPr>
              <w:spacing w:line="230" w:lineRule="exact"/>
              <w:rPr>
                <w:rFonts w:ascii="Arial"/>
                <w:sz w:val="20"/>
              </w:rPr>
            </w:pPr>
            <w:r/>
          </w:p>
        </w:tc>
        <w:tc>
          <w:tcPr>
            <w:tcW w:w="2468" w:type="dxa"/>
            <w:vAlign w:val="top"/>
          </w:tcPr>
          <w:p>
            <w:pPr>
              <w:spacing w:line="230" w:lineRule="exact"/>
              <w:rPr>
                <w:rFonts w:ascii="Arial"/>
                <w:sz w:val="20"/>
              </w:rPr>
            </w:pPr>
            <w:r/>
          </w:p>
        </w:tc>
        <w:tc>
          <w:tcPr>
            <w:tcW w:w="1294" w:type="dxa"/>
            <w:vAlign w:val="top"/>
          </w:tcPr>
          <w:p>
            <w:pPr>
              <w:spacing w:line="230" w:lineRule="exact"/>
              <w:rPr>
                <w:rFonts w:ascii="Arial"/>
                <w:sz w:val="20"/>
              </w:rPr>
            </w:pPr>
            <w:r/>
          </w:p>
        </w:tc>
      </w:tr>
      <w:tr>
        <w:trPr>
          <w:trHeight w:val="250" w:hRule="atLeast"/>
        </w:trPr>
        <w:tc>
          <w:tcPr>
            <w:tcW w:w="1574" w:type="dxa"/>
            <w:vAlign w:val="top"/>
            <w:vMerge w:val="continue"/>
            <w:tcBorders>
              <w:top w:val="nil"/>
              <w:bottom w:val="nil"/>
            </w:tcBorders>
          </w:tcPr>
          <w:p>
            <w:pPr>
              <w:rPr>
                <w:rFonts w:ascii="Arial"/>
                <w:sz w:val="21"/>
              </w:rPr>
            </w:pPr>
            <w:r/>
          </w:p>
        </w:tc>
        <w:tc>
          <w:tcPr>
            <w:tcW w:w="2758" w:type="dxa"/>
            <w:vAlign w:val="top"/>
            <w:gridSpan w:val="2"/>
            <w:vMerge w:val="continue"/>
            <w:tcBorders>
              <w:top w:val="nil"/>
              <w:bottom w:val="nil"/>
            </w:tcBorders>
          </w:tcPr>
          <w:p>
            <w:pPr>
              <w:rPr>
                <w:rFonts w:ascii="Arial"/>
                <w:sz w:val="21"/>
              </w:rPr>
            </w:pPr>
            <w:r/>
          </w:p>
        </w:tc>
        <w:tc>
          <w:tcPr>
            <w:tcW w:w="1669" w:type="dxa"/>
            <w:vAlign w:val="top"/>
          </w:tcPr>
          <w:p>
            <w:pPr>
              <w:pStyle w:val="TableText"/>
              <w:ind w:left="662"/>
              <w:spacing w:before="81" w:line="158" w:lineRule="exact"/>
              <w:rPr>
                <w:sz w:val="21"/>
                <w:szCs w:val="21"/>
              </w:rPr>
            </w:pPr>
            <w:r>
              <w:rPr>
                <w:sz w:val="21"/>
                <w:szCs w:val="21"/>
                <w:spacing w:val="-1"/>
                <w:position w:val="-3"/>
              </w:rPr>
              <w:t>NOx</w:t>
            </w:r>
          </w:p>
        </w:tc>
        <w:tc>
          <w:tcPr>
            <w:tcW w:w="2118" w:type="dxa"/>
            <w:vAlign w:val="top"/>
            <w:vMerge w:val="continue"/>
            <w:tcBorders>
              <w:top w:val="nil"/>
              <w:bottom w:val="nil"/>
            </w:tcBorders>
          </w:tcPr>
          <w:p>
            <w:pPr>
              <w:rPr>
                <w:rFonts w:ascii="Arial"/>
                <w:sz w:val="21"/>
              </w:rPr>
            </w:pPr>
            <w:r/>
          </w:p>
        </w:tc>
        <w:tc>
          <w:tcPr>
            <w:tcW w:w="2209" w:type="dxa"/>
            <w:vAlign w:val="top"/>
          </w:tcPr>
          <w:p>
            <w:pPr>
              <w:spacing w:line="240" w:lineRule="exact"/>
              <w:rPr>
                <w:rFonts w:ascii="Arial"/>
                <w:sz w:val="20"/>
              </w:rPr>
            </w:pPr>
            <w:r/>
          </w:p>
        </w:tc>
        <w:tc>
          <w:tcPr>
            <w:tcW w:w="2468" w:type="dxa"/>
            <w:vAlign w:val="top"/>
          </w:tcPr>
          <w:p>
            <w:pPr>
              <w:spacing w:line="240" w:lineRule="exact"/>
              <w:rPr>
                <w:rFonts w:ascii="Arial"/>
                <w:sz w:val="20"/>
              </w:rPr>
            </w:pPr>
            <w:r/>
          </w:p>
        </w:tc>
        <w:tc>
          <w:tcPr>
            <w:tcW w:w="1294" w:type="dxa"/>
            <w:vAlign w:val="top"/>
          </w:tcPr>
          <w:p>
            <w:pPr>
              <w:spacing w:line="240" w:lineRule="exact"/>
              <w:rPr>
                <w:rFonts w:ascii="Arial"/>
                <w:sz w:val="20"/>
              </w:rPr>
            </w:pPr>
            <w:r/>
          </w:p>
        </w:tc>
      </w:tr>
      <w:tr>
        <w:trPr>
          <w:trHeight w:val="270" w:hRule="atLeast"/>
        </w:trPr>
        <w:tc>
          <w:tcPr>
            <w:tcW w:w="1574" w:type="dxa"/>
            <w:vAlign w:val="top"/>
            <w:vMerge w:val="continue"/>
            <w:tcBorders>
              <w:top w:val="nil"/>
            </w:tcBorders>
          </w:tcPr>
          <w:p>
            <w:pPr>
              <w:rPr>
                <w:rFonts w:ascii="Arial"/>
                <w:sz w:val="21"/>
              </w:rPr>
            </w:pPr>
            <w:r/>
          </w:p>
        </w:tc>
        <w:tc>
          <w:tcPr>
            <w:tcW w:w="2758" w:type="dxa"/>
            <w:vAlign w:val="top"/>
            <w:gridSpan w:val="2"/>
            <w:vMerge w:val="continue"/>
            <w:tcBorders>
              <w:top w:val="nil"/>
            </w:tcBorders>
          </w:tcPr>
          <w:p>
            <w:pPr>
              <w:rPr>
                <w:rFonts w:ascii="Arial"/>
                <w:sz w:val="21"/>
              </w:rPr>
            </w:pPr>
            <w:r/>
          </w:p>
        </w:tc>
        <w:tc>
          <w:tcPr>
            <w:tcW w:w="1669" w:type="dxa"/>
            <w:vAlign w:val="top"/>
          </w:tcPr>
          <w:p>
            <w:pPr>
              <w:pStyle w:val="TableText"/>
              <w:ind w:left="512"/>
              <w:spacing w:before="38" w:line="195" w:lineRule="auto"/>
              <w:rPr>
                <w:sz w:val="21"/>
                <w:szCs w:val="21"/>
              </w:rPr>
            </w:pPr>
            <w:r>
              <w:rPr>
                <w:sz w:val="21"/>
                <w:szCs w:val="21"/>
                <w:spacing w:val="-2"/>
              </w:rPr>
              <w:t>颗粒物</w:t>
            </w:r>
          </w:p>
        </w:tc>
        <w:tc>
          <w:tcPr>
            <w:tcW w:w="2118" w:type="dxa"/>
            <w:vAlign w:val="top"/>
            <w:vMerge w:val="continue"/>
            <w:tcBorders>
              <w:top w:val="nil"/>
            </w:tcBorders>
          </w:tcPr>
          <w:p>
            <w:pPr>
              <w:rPr>
                <w:rFonts w:ascii="Arial"/>
                <w:sz w:val="21"/>
              </w:rPr>
            </w:pPr>
            <w:r/>
          </w:p>
        </w:tc>
        <w:tc>
          <w:tcPr>
            <w:tcW w:w="2209" w:type="dxa"/>
            <w:vAlign w:val="top"/>
          </w:tcPr>
          <w:p>
            <w:pPr>
              <w:rPr>
                <w:rFonts w:ascii="Arial"/>
                <w:sz w:val="21"/>
              </w:rPr>
            </w:pPr>
            <w:r/>
          </w:p>
        </w:tc>
        <w:tc>
          <w:tcPr>
            <w:tcW w:w="2468" w:type="dxa"/>
            <w:vAlign w:val="top"/>
          </w:tcPr>
          <w:p>
            <w:pPr>
              <w:rPr>
                <w:rFonts w:ascii="Arial"/>
                <w:sz w:val="21"/>
              </w:rPr>
            </w:pPr>
            <w:r/>
          </w:p>
        </w:tc>
        <w:tc>
          <w:tcPr>
            <w:tcW w:w="1294" w:type="dxa"/>
            <w:vAlign w:val="top"/>
          </w:tcPr>
          <w:p>
            <w:pPr>
              <w:rPr>
                <w:rFonts w:ascii="Arial"/>
                <w:sz w:val="21"/>
              </w:rPr>
            </w:pPr>
            <w:r/>
          </w:p>
        </w:tc>
      </w:tr>
      <w:tr>
        <w:trPr>
          <w:trHeight w:val="250" w:hRule="atLeast"/>
        </w:trPr>
        <w:tc>
          <w:tcPr>
            <w:tcW w:w="1574" w:type="dxa"/>
            <w:vAlign w:val="top"/>
            <w:vMerge w:val="restart"/>
            <w:tcBorders>
              <w:bottom w:val="nil"/>
            </w:tcBorders>
          </w:tcPr>
          <w:p>
            <w:pPr>
              <w:pStyle w:val="TableText"/>
              <w:ind w:left="515"/>
              <w:spacing w:before="209" w:line="185" w:lineRule="auto"/>
              <w:rPr>
                <w:sz w:val="21"/>
                <w:szCs w:val="21"/>
              </w:rPr>
            </w:pPr>
            <w:r>
              <w:rPr>
                <w:sz w:val="21"/>
                <w:szCs w:val="21"/>
                <w:spacing w:val="-1"/>
              </w:rPr>
              <w:t>DA006</w:t>
            </w:r>
          </w:p>
        </w:tc>
        <w:tc>
          <w:tcPr>
            <w:tcW w:w="2758" w:type="dxa"/>
            <w:vAlign w:val="top"/>
            <w:gridSpan w:val="2"/>
            <w:vMerge w:val="restart"/>
            <w:tcBorders>
              <w:bottom w:val="nil"/>
            </w:tcBorders>
          </w:tcPr>
          <w:p>
            <w:pPr>
              <w:pStyle w:val="TableText"/>
              <w:ind w:left="840"/>
              <w:spacing w:before="157" w:line="219" w:lineRule="auto"/>
              <w:rPr>
                <w:sz w:val="21"/>
                <w:szCs w:val="21"/>
              </w:rPr>
            </w:pPr>
            <w:r>
              <w:rPr>
                <w:sz w:val="21"/>
                <w:szCs w:val="21"/>
                <w:spacing w:val="-2"/>
              </w:rPr>
              <w:t>污水站恶臭</w:t>
            </w:r>
          </w:p>
        </w:tc>
        <w:tc>
          <w:tcPr>
            <w:tcW w:w="1669" w:type="dxa"/>
            <w:vAlign w:val="top"/>
          </w:tcPr>
          <w:p>
            <w:pPr>
              <w:pStyle w:val="TableText"/>
              <w:ind w:left="612"/>
              <w:spacing w:before="61" w:line="157" w:lineRule="auto"/>
              <w:rPr>
                <w:rFonts w:ascii="Calibri" w:hAnsi="Calibri" w:eastAsia="Calibri" w:cs="Calibri"/>
                <w:sz w:val="21"/>
                <w:szCs w:val="21"/>
              </w:rPr>
            </w:pPr>
            <w:r>
              <w:rPr>
                <w:sz w:val="21"/>
                <w:szCs w:val="21"/>
                <w:spacing w:val="-1"/>
              </w:rPr>
              <w:t>NH</w:t>
            </w:r>
            <w:r>
              <w:rPr>
                <w:rFonts w:ascii="Calibri" w:hAnsi="Calibri" w:eastAsia="Calibri" w:cs="Calibri"/>
                <w:sz w:val="21"/>
                <w:szCs w:val="21"/>
                <w:spacing w:val="-1"/>
              </w:rPr>
              <w:t>₃</w:t>
            </w:r>
          </w:p>
        </w:tc>
        <w:tc>
          <w:tcPr>
            <w:tcW w:w="2118" w:type="dxa"/>
            <w:vAlign w:val="top"/>
            <w:vMerge w:val="restart"/>
            <w:tcBorders>
              <w:bottom w:val="nil"/>
            </w:tcBorders>
          </w:tcPr>
          <w:p>
            <w:pPr>
              <w:pStyle w:val="TableText"/>
              <w:ind w:left="474"/>
              <w:spacing w:before="155" w:line="218" w:lineRule="auto"/>
              <w:rPr>
                <w:sz w:val="21"/>
                <w:szCs w:val="21"/>
              </w:rPr>
            </w:pPr>
            <w:r>
              <w:rPr>
                <w:sz w:val="21"/>
                <w:szCs w:val="21"/>
                <w:spacing w:val="-1"/>
              </w:rPr>
              <w:t>碱液喷淋+UV</w:t>
            </w:r>
          </w:p>
        </w:tc>
        <w:tc>
          <w:tcPr>
            <w:tcW w:w="2209" w:type="dxa"/>
            <w:vAlign w:val="top"/>
          </w:tcPr>
          <w:p>
            <w:pPr>
              <w:spacing w:line="240" w:lineRule="exact"/>
              <w:rPr>
                <w:rFonts w:ascii="Arial"/>
                <w:sz w:val="20"/>
              </w:rPr>
            </w:pPr>
            <w:r/>
          </w:p>
        </w:tc>
        <w:tc>
          <w:tcPr>
            <w:tcW w:w="2468" w:type="dxa"/>
            <w:vAlign w:val="top"/>
          </w:tcPr>
          <w:p>
            <w:pPr>
              <w:spacing w:line="240" w:lineRule="exact"/>
              <w:rPr>
                <w:rFonts w:ascii="Arial"/>
                <w:sz w:val="20"/>
              </w:rPr>
            </w:pPr>
            <w:r/>
          </w:p>
        </w:tc>
        <w:tc>
          <w:tcPr>
            <w:tcW w:w="1294" w:type="dxa"/>
            <w:vAlign w:val="top"/>
          </w:tcPr>
          <w:p>
            <w:pPr>
              <w:spacing w:line="240" w:lineRule="exact"/>
              <w:rPr>
                <w:rFonts w:ascii="Arial"/>
                <w:sz w:val="20"/>
              </w:rPr>
            </w:pPr>
            <w:r/>
          </w:p>
        </w:tc>
      </w:tr>
      <w:tr>
        <w:trPr>
          <w:trHeight w:val="250" w:hRule="atLeast"/>
        </w:trPr>
        <w:tc>
          <w:tcPr>
            <w:tcW w:w="1574" w:type="dxa"/>
            <w:vAlign w:val="top"/>
            <w:vMerge w:val="continue"/>
            <w:tcBorders>
              <w:top w:val="nil"/>
            </w:tcBorders>
          </w:tcPr>
          <w:p>
            <w:pPr>
              <w:rPr>
                <w:rFonts w:ascii="Arial"/>
                <w:sz w:val="21"/>
              </w:rPr>
            </w:pPr>
            <w:r/>
          </w:p>
        </w:tc>
        <w:tc>
          <w:tcPr>
            <w:tcW w:w="2758" w:type="dxa"/>
            <w:vAlign w:val="top"/>
            <w:gridSpan w:val="2"/>
            <w:vMerge w:val="continue"/>
            <w:tcBorders>
              <w:top w:val="nil"/>
            </w:tcBorders>
          </w:tcPr>
          <w:p>
            <w:pPr>
              <w:rPr>
                <w:rFonts w:ascii="Arial"/>
                <w:sz w:val="21"/>
              </w:rPr>
            </w:pPr>
            <w:r/>
          </w:p>
        </w:tc>
        <w:tc>
          <w:tcPr>
            <w:tcW w:w="1669" w:type="dxa"/>
            <w:vAlign w:val="top"/>
          </w:tcPr>
          <w:p>
            <w:pPr>
              <w:pStyle w:val="TableText"/>
              <w:ind w:left="612"/>
              <w:spacing w:before="61" w:line="157" w:lineRule="auto"/>
              <w:rPr>
                <w:sz w:val="21"/>
                <w:szCs w:val="21"/>
              </w:rPr>
            </w:pPr>
            <w:r>
              <w:rPr>
                <w:sz w:val="21"/>
                <w:szCs w:val="21"/>
                <w:spacing w:val="-2"/>
              </w:rPr>
              <w:t>H</w:t>
            </w:r>
            <w:r>
              <w:rPr>
                <w:rFonts w:ascii="Calibri" w:hAnsi="Calibri" w:eastAsia="Calibri" w:cs="Calibri"/>
                <w:sz w:val="21"/>
                <w:szCs w:val="21"/>
                <w:spacing w:val="-2"/>
              </w:rPr>
              <w:t>₂</w:t>
            </w:r>
            <w:r>
              <w:rPr>
                <w:sz w:val="21"/>
                <w:szCs w:val="21"/>
                <w:spacing w:val="-2"/>
              </w:rPr>
              <w:t>S</w:t>
            </w:r>
          </w:p>
        </w:tc>
        <w:tc>
          <w:tcPr>
            <w:tcW w:w="2118" w:type="dxa"/>
            <w:vAlign w:val="top"/>
            <w:vMerge w:val="continue"/>
            <w:tcBorders>
              <w:top w:val="nil"/>
            </w:tcBorders>
          </w:tcPr>
          <w:p>
            <w:pPr>
              <w:rPr>
                <w:rFonts w:ascii="Arial"/>
                <w:sz w:val="21"/>
              </w:rPr>
            </w:pPr>
            <w:r/>
          </w:p>
        </w:tc>
        <w:tc>
          <w:tcPr>
            <w:tcW w:w="2209" w:type="dxa"/>
            <w:vAlign w:val="top"/>
          </w:tcPr>
          <w:p>
            <w:pPr>
              <w:spacing w:line="240" w:lineRule="exact"/>
              <w:rPr>
                <w:rFonts w:ascii="Arial"/>
                <w:sz w:val="20"/>
              </w:rPr>
            </w:pPr>
            <w:r/>
          </w:p>
        </w:tc>
        <w:tc>
          <w:tcPr>
            <w:tcW w:w="2468" w:type="dxa"/>
            <w:vAlign w:val="top"/>
          </w:tcPr>
          <w:p>
            <w:pPr>
              <w:spacing w:line="240" w:lineRule="exact"/>
              <w:rPr>
                <w:rFonts w:ascii="Arial"/>
                <w:sz w:val="20"/>
              </w:rPr>
            </w:pPr>
            <w:r/>
          </w:p>
        </w:tc>
        <w:tc>
          <w:tcPr>
            <w:tcW w:w="1294" w:type="dxa"/>
            <w:vAlign w:val="top"/>
          </w:tcPr>
          <w:p>
            <w:pPr>
              <w:spacing w:line="240" w:lineRule="exact"/>
              <w:rPr>
                <w:rFonts w:ascii="Arial"/>
                <w:sz w:val="20"/>
              </w:rPr>
            </w:pPr>
            <w:r/>
          </w:p>
        </w:tc>
      </w:tr>
      <w:tr>
        <w:trPr>
          <w:trHeight w:val="270" w:hRule="atLeast"/>
        </w:trPr>
        <w:tc>
          <w:tcPr>
            <w:tcW w:w="4332" w:type="dxa"/>
            <w:vAlign w:val="top"/>
            <w:gridSpan w:val="3"/>
            <w:vMerge w:val="restart"/>
            <w:tcBorders>
              <w:bottom w:val="nil"/>
            </w:tcBorders>
          </w:tcPr>
          <w:p>
            <w:pPr>
              <w:spacing w:line="333" w:lineRule="auto"/>
              <w:rPr>
                <w:rFonts w:ascii="Arial"/>
                <w:sz w:val="21"/>
              </w:rPr>
            </w:pPr>
            <w:r/>
          </w:p>
          <w:p>
            <w:pPr>
              <w:spacing w:line="333" w:lineRule="auto"/>
              <w:rPr>
                <w:rFonts w:ascii="Arial"/>
                <w:sz w:val="21"/>
              </w:rPr>
            </w:pPr>
            <w:r/>
          </w:p>
          <w:p>
            <w:pPr>
              <w:pStyle w:val="TableText"/>
              <w:ind w:left="1964"/>
              <w:spacing w:before="68" w:line="221" w:lineRule="auto"/>
              <w:rPr>
                <w:sz w:val="21"/>
                <w:szCs w:val="21"/>
              </w:rPr>
            </w:pPr>
            <w:r>
              <w:rPr>
                <w:sz w:val="21"/>
                <w:szCs w:val="21"/>
                <w:spacing w:val="-3"/>
              </w:rPr>
              <w:t>合计</w:t>
            </w:r>
          </w:p>
        </w:tc>
        <w:tc>
          <w:tcPr>
            <w:tcW w:w="1669" w:type="dxa"/>
            <w:vAlign w:val="top"/>
          </w:tcPr>
          <w:p>
            <w:pPr>
              <w:pStyle w:val="TableText"/>
              <w:ind w:left="302"/>
              <w:spacing w:before="38" w:line="195" w:lineRule="auto"/>
              <w:rPr>
                <w:sz w:val="21"/>
                <w:szCs w:val="21"/>
              </w:rPr>
            </w:pPr>
            <w:r>
              <w:rPr>
                <w:sz w:val="21"/>
                <w:szCs w:val="21"/>
                <w:spacing w:val="-2"/>
              </w:rPr>
              <w:t>非甲烷总烃</w:t>
            </w:r>
          </w:p>
        </w:tc>
        <w:tc>
          <w:tcPr>
            <w:tcW w:w="2118" w:type="dxa"/>
            <w:vAlign w:val="top"/>
          </w:tcPr>
          <w:p>
            <w:pPr>
              <w:rPr>
                <w:rFonts w:ascii="Arial"/>
                <w:sz w:val="21"/>
              </w:rPr>
            </w:pPr>
            <w:r/>
          </w:p>
        </w:tc>
        <w:tc>
          <w:tcPr>
            <w:tcW w:w="2209" w:type="dxa"/>
            <w:vAlign w:val="top"/>
          </w:tcPr>
          <w:p>
            <w:pPr>
              <w:rPr>
                <w:rFonts w:ascii="Arial"/>
                <w:sz w:val="21"/>
              </w:rPr>
            </w:pPr>
            <w:r/>
          </w:p>
        </w:tc>
        <w:tc>
          <w:tcPr>
            <w:tcW w:w="2468" w:type="dxa"/>
            <w:vAlign w:val="top"/>
          </w:tcPr>
          <w:p>
            <w:pPr>
              <w:rPr>
                <w:rFonts w:ascii="Arial"/>
                <w:sz w:val="21"/>
              </w:rPr>
            </w:pPr>
            <w:r/>
          </w:p>
        </w:tc>
        <w:tc>
          <w:tcPr>
            <w:tcW w:w="1294" w:type="dxa"/>
            <w:vAlign w:val="top"/>
          </w:tcPr>
          <w:p>
            <w:pPr>
              <w:pStyle w:val="TableText"/>
              <w:ind w:left="378"/>
              <w:spacing w:before="91" w:line="168" w:lineRule="exact"/>
              <w:rPr>
                <w:sz w:val="21"/>
                <w:szCs w:val="21"/>
              </w:rPr>
            </w:pPr>
            <w:r>
              <w:rPr>
                <w:sz w:val="21"/>
                <w:szCs w:val="21"/>
                <w:spacing w:val="-4"/>
                <w:position w:val="-2"/>
              </w:rPr>
              <w:t>1.097</w:t>
            </w:r>
          </w:p>
        </w:tc>
      </w:tr>
      <w:tr>
        <w:trPr>
          <w:trHeight w:val="279" w:hRule="atLeast"/>
        </w:trPr>
        <w:tc>
          <w:tcPr>
            <w:tcW w:w="4332" w:type="dxa"/>
            <w:vAlign w:val="top"/>
            <w:gridSpan w:val="3"/>
            <w:vMerge w:val="continue"/>
            <w:tcBorders>
              <w:top w:val="nil"/>
              <w:bottom w:val="nil"/>
            </w:tcBorders>
          </w:tcPr>
          <w:p>
            <w:pPr>
              <w:rPr>
                <w:rFonts w:ascii="Arial"/>
                <w:sz w:val="21"/>
              </w:rPr>
            </w:pPr>
            <w:r/>
          </w:p>
        </w:tc>
        <w:tc>
          <w:tcPr>
            <w:tcW w:w="1669" w:type="dxa"/>
            <w:vAlign w:val="top"/>
          </w:tcPr>
          <w:p>
            <w:pPr>
              <w:pStyle w:val="TableText"/>
              <w:ind w:left="612"/>
              <w:spacing w:before="81" w:line="165" w:lineRule="auto"/>
              <w:rPr>
                <w:rFonts w:ascii="Calibri" w:hAnsi="Calibri" w:eastAsia="Calibri" w:cs="Calibri"/>
                <w:sz w:val="21"/>
                <w:szCs w:val="21"/>
              </w:rPr>
            </w:pPr>
            <w:r>
              <w:rPr>
                <w:sz w:val="21"/>
                <w:szCs w:val="21"/>
                <w:spacing w:val="-4"/>
              </w:rPr>
              <w:t>SO</w:t>
            </w:r>
            <w:r>
              <w:rPr>
                <w:rFonts w:ascii="Calibri" w:hAnsi="Calibri" w:eastAsia="Calibri" w:cs="Calibri"/>
                <w:sz w:val="21"/>
                <w:szCs w:val="21"/>
                <w:spacing w:val="-4"/>
              </w:rPr>
              <w:t>₂</w:t>
            </w:r>
          </w:p>
        </w:tc>
        <w:tc>
          <w:tcPr>
            <w:tcW w:w="2118" w:type="dxa"/>
            <w:vAlign w:val="top"/>
          </w:tcPr>
          <w:p>
            <w:pPr>
              <w:rPr>
                <w:rFonts w:ascii="Arial"/>
                <w:sz w:val="21"/>
              </w:rPr>
            </w:pPr>
            <w:r/>
          </w:p>
        </w:tc>
        <w:tc>
          <w:tcPr>
            <w:tcW w:w="2209" w:type="dxa"/>
            <w:vAlign w:val="top"/>
          </w:tcPr>
          <w:p>
            <w:pPr>
              <w:rPr>
                <w:rFonts w:ascii="Arial"/>
                <w:sz w:val="21"/>
              </w:rPr>
            </w:pPr>
            <w:r/>
          </w:p>
        </w:tc>
        <w:tc>
          <w:tcPr>
            <w:tcW w:w="2468" w:type="dxa"/>
            <w:vAlign w:val="top"/>
          </w:tcPr>
          <w:p>
            <w:pPr>
              <w:rPr>
                <w:rFonts w:ascii="Arial"/>
                <w:sz w:val="21"/>
              </w:rPr>
            </w:pPr>
            <w:r/>
          </w:p>
        </w:tc>
        <w:tc>
          <w:tcPr>
            <w:tcW w:w="1294" w:type="dxa"/>
            <w:vAlign w:val="top"/>
          </w:tcPr>
          <w:p>
            <w:pPr>
              <w:pStyle w:val="TableText"/>
              <w:ind w:left="378"/>
              <w:spacing w:before="101" w:line="167" w:lineRule="exact"/>
              <w:rPr>
                <w:sz w:val="21"/>
                <w:szCs w:val="21"/>
              </w:rPr>
            </w:pPr>
            <w:r>
              <w:rPr>
                <w:sz w:val="21"/>
                <w:szCs w:val="21"/>
                <w:spacing w:val="-2"/>
                <w:position w:val="-2"/>
              </w:rPr>
              <w:t>0.239</w:t>
            </w:r>
          </w:p>
        </w:tc>
      </w:tr>
      <w:tr>
        <w:trPr>
          <w:trHeight w:val="270" w:hRule="atLeast"/>
        </w:trPr>
        <w:tc>
          <w:tcPr>
            <w:tcW w:w="4332" w:type="dxa"/>
            <w:vAlign w:val="top"/>
            <w:gridSpan w:val="3"/>
            <w:vMerge w:val="continue"/>
            <w:tcBorders>
              <w:top w:val="nil"/>
              <w:bottom w:val="nil"/>
            </w:tcBorders>
          </w:tcPr>
          <w:p>
            <w:pPr>
              <w:rPr>
                <w:rFonts w:ascii="Arial"/>
                <w:sz w:val="21"/>
              </w:rPr>
            </w:pPr>
            <w:r/>
          </w:p>
        </w:tc>
        <w:tc>
          <w:tcPr>
            <w:tcW w:w="1669" w:type="dxa"/>
            <w:vAlign w:val="top"/>
          </w:tcPr>
          <w:p>
            <w:pPr>
              <w:pStyle w:val="TableText"/>
              <w:ind w:left="662"/>
              <w:spacing w:before="92" w:line="167" w:lineRule="exact"/>
              <w:rPr>
                <w:sz w:val="21"/>
                <w:szCs w:val="21"/>
              </w:rPr>
            </w:pPr>
            <w:r>
              <w:rPr>
                <w:sz w:val="21"/>
                <w:szCs w:val="21"/>
                <w:spacing w:val="-1"/>
                <w:position w:val="-2"/>
              </w:rPr>
              <w:t>NOx</w:t>
            </w:r>
          </w:p>
        </w:tc>
        <w:tc>
          <w:tcPr>
            <w:tcW w:w="2118" w:type="dxa"/>
            <w:vAlign w:val="top"/>
          </w:tcPr>
          <w:p>
            <w:pPr>
              <w:rPr>
                <w:rFonts w:ascii="Arial"/>
                <w:sz w:val="21"/>
              </w:rPr>
            </w:pPr>
            <w:r/>
          </w:p>
        </w:tc>
        <w:tc>
          <w:tcPr>
            <w:tcW w:w="2209" w:type="dxa"/>
            <w:vAlign w:val="top"/>
          </w:tcPr>
          <w:p>
            <w:pPr>
              <w:rPr>
                <w:rFonts w:ascii="Arial"/>
                <w:sz w:val="21"/>
              </w:rPr>
            </w:pPr>
            <w:r/>
          </w:p>
        </w:tc>
        <w:tc>
          <w:tcPr>
            <w:tcW w:w="2468" w:type="dxa"/>
            <w:vAlign w:val="top"/>
          </w:tcPr>
          <w:p>
            <w:pPr>
              <w:rPr>
                <w:rFonts w:ascii="Arial"/>
                <w:sz w:val="21"/>
              </w:rPr>
            </w:pPr>
            <w:r/>
          </w:p>
        </w:tc>
        <w:tc>
          <w:tcPr>
            <w:tcW w:w="1294" w:type="dxa"/>
            <w:vAlign w:val="top"/>
          </w:tcPr>
          <w:p>
            <w:pPr>
              <w:pStyle w:val="TableText"/>
              <w:ind w:left="378"/>
              <w:spacing w:before="92" w:line="167" w:lineRule="exact"/>
              <w:rPr>
                <w:sz w:val="21"/>
                <w:szCs w:val="21"/>
              </w:rPr>
            </w:pPr>
            <w:r>
              <w:rPr>
                <w:sz w:val="21"/>
                <w:szCs w:val="21"/>
                <w:spacing w:val="-2"/>
                <w:position w:val="-2"/>
              </w:rPr>
              <w:t>2.346</w:t>
            </w:r>
          </w:p>
        </w:tc>
      </w:tr>
      <w:tr>
        <w:trPr>
          <w:trHeight w:val="270" w:hRule="atLeast"/>
        </w:trPr>
        <w:tc>
          <w:tcPr>
            <w:tcW w:w="4332" w:type="dxa"/>
            <w:vAlign w:val="top"/>
            <w:gridSpan w:val="3"/>
            <w:vMerge w:val="continue"/>
            <w:tcBorders>
              <w:top w:val="nil"/>
              <w:bottom w:val="nil"/>
            </w:tcBorders>
          </w:tcPr>
          <w:p>
            <w:pPr>
              <w:rPr>
                <w:rFonts w:ascii="Arial"/>
                <w:sz w:val="21"/>
              </w:rPr>
            </w:pPr>
            <w:r/>
          </w:p>
        </w:tc>
        <w:tc>
          <w:tcPr>
            <w:tcW w:w="1669" w:type="dxa"/>
            <w:vAlign w:val="top"/>
          </w:tcPr>
          <w:p>
            <w:pPr>
              <w:pStyle w:val="TableText"/>
              <w:ind w:left="512"/>
              <w:spacing w:before="39" w:line="194" w:lineRule="auto"/>
              <w:rPr>
                <w:sz w:val="21"/>
                <w:szCs w:val="21"/>
              </w:rPr>
            </w:pPr>
            <w:r>
              <w:rPr>
                <w:sz w:val="21"/>
                <w:szCs w:val="21"/>
                <w:spacing w:val="-2"/>
              </w:rPr>
              <w:t>颗粒物</w:t>
            </w:r>
          </w:p>
        </w:tc>
        <w:tc>
          <w:tcPr>
            <w:tcW w:w="2118" w:type="dxa"/>
            <w:vAlign w:val="top"/>
          </w:tcPr>
          <w:p>
            <w:pPr>
              <w:rPr>
                <w:rFonts w:ascii="Arial"/>
                <w:sz w:val="21"/>
              </w:rPr>
            </w:pPr>
            <w:r/>
          </w:p>
        </w:tc>
        <w:tc>
          <w:tcPr>
            <w:tcW w:w="2209" w:type="dxa"/>
            <w:vAlign w:val="top"/>
          </w:tcPr>
          <w:p>
            <w:pPr>
              <w:rPr>
                <w:rFonts w:ascii="Arial"/>
                <w:sz w:val="21"/>
              </w:rPr>
            </w:pPr>
            <w:r/>
          </w:p>
        </w:tc>
        <w:tc>
          <w:tcPr>
            <w:tcW w:w="2468" w:type="dxa"/>
            <w:vAlign w:val="top"/>
          </w:tcPr>
          <w:p>
            <w:pPr>
              <w:rPr>
                <w:rFonts w:ascii="Arial"/>
                <w:sz w:val="21"/>
              </w:rPr>
            </w:pPr>
            <w:r/>
          </w:p>
        </w:tc>
        <w:tc>
          <w:tcPr>
            <w:tcW w:w="1294" w:type="dxa"/>
            <w:vAlign w:val="top"/>
          </w:tcPr>
          <w:p>
            <w:pPr>
              <w:pStyle w:val="TableText"/>
              <w:ind w:left="378"/>
              <w:spacing w:before="91" w:line="168" w:lineRule="exact"/>
              <w:rPr>
                <w:sz w:val="21"/>
                <w:szCs w:val="21"/>
              </w:rPr>
            </w:pPr>
            <w:r>
              <w:rPr>
                <w:sz w:val="21"/>
                <w:szCs w:val="21"/>
                <w:spacing w:val="-2"/>
                <w:position w:val="-2"/>
              </w:rPr>
              <w:t>0.127</w:t>
            </w:r>
          </w:p>
        </w:tc>
      </w:tr>
      <w:tr>
        <w:trPr>
          <w:trHeight w:val="260" w:hRule="atLeast"/>
        </w:trPr>
        <w:tc>
          <w:tcPr>
            <w:tcW w:w="4332" w:type="dxa"/>
            <w:vAlign w:val="top"/>
            <w:gridSpan w:val="3"/>
            <w:vMerge w:val="continue"/>
            <w:tcBorders>
              <w:top w:val="nil"/>
              <w:bottom w:val="nil"/>
            </w:tcBorders>
          </w:tcPr>
          <w:p>
            <w:pPr>
              <w:rPr>
                <w:rFonts w:ascii="Arial"/>
                <w:sz w:val="21"/>
              </w:rPr>
            </w:pPr>
            <w:r/>
          </w:p>
        </w:tc>
        <w:tc>
          <w:tcPr>
            <w:tcW w:w="1669" w:type="dxa"/>
            <w:vAlign w:val="top"/>
          </w:tcPr>
          <w:p>
            <w:pPr>
              <w:pStyle w:val="TableText"/>
              <w:ind w:left="612"/>
              <w:spacing w:before="72" w:line="177" w:lineRule="exact"/>
              <w:rPr>
                <w:rFonts w:ascii="Calibri" w:hAnsi="Calibri" w:eastAsia="Calibri" w:cs="Calibri"/>
                <w:sz w:val="21"/>
                <w:szCs w:val="21"/>
              </w:rPr>
            </w:pPr>
            <w:r>
              <w:rPr>
                <w:sz w:val="21"/>
                <w:szCs w:val="21"/>
                <w:spacing w:val="-1"/>
                <w:position w:val="-1"/>
              </w:rPr>
              <w:t>NH</w:t>
            </w:r>
            <w:r>
              <w:rPr>
                <w:rFonts w:ascii="Calibri" w:hAnsi="Calibri" w:eastAsia="Calibri" w:cs="Calibri"/>
                <w:sz w:val="21"/>
                <w:szCs w:val="21"/>
                <w:spacing w:val="-1"/>
                <w:position w:val="-1"/>
              </w:rPr>
              <w:t>₃</w:t>
            </w:r>
          </w:p>
        </w:tc>
        <w:tc>
          <w:tcPr>
            <w:tcW w:w="2118" w:type="dxa"/>
            <w:vAlign w:val="top"/>
          </w:tcPr>
          <w:p>
            <w:pPr>
              <w:rPr>
                <w:rFonts w:ascii="Arial"/>
                <w:sz w:val="21"/>
              </w:rPr>
            </w:pPr>
            <w:r/>
          </w:p>
        </w:tc>
        <w:tc>
          <w:tcPr>
            <w:tcW w:w="2209" w:type="dxa"/>
            <w:vAlign w:val="top"/>
          </w:tcPr>
          <w:p>
            <w:pPr>
              <w:rPr>
                <w:rFonts w:ascii="Arial"/>
                <w:sz w:val="21"/>
              </w:rPr>
            </w:pPr>
            <w:r/>
          </w:p>
        </w:tc>
        <w:tc>
          <w:tcPr>
            <w:tcW w:w="2468" w:type="dxa"/>
            <w:vAlign w:val="top"/>
          </w:tcPr>
          <w:p>
            <w:pPr>
              <w:rPr>
                <w:rFonts w:ascii="Arial"/>
                <w:sz w:val="21"/>
              </w:rPr>
            </w:pPr>
            <w:r/>
          </w:p>
        </w:tc>
        <w:tc>
          <w:tcPr>
            <w:tcW w:w="1294" w:type="dxa"/>
            <w:vAlign w:val="top"/>
          </w:tcPr>
          <w:p>
            <w:pPr>
              <w:pStyle w:val="TableText"/>
              <w:ind w:left="378"/>
              <w:spacing w:before="92" w:line="158" w:lineRule="exact"/>
              <w:rPr>
                <w:sz w:val="21"/>
                <w:szCs w:val="21"/>
              </w:rPr>
            </w:pPr>
            <w:r>
              <w:rPr>
                <w:sz w:val="21"/>
                <w:szCs w:val="21"/>
                <w:spacing w:val="-2"/>
                <w:position w:val="-3"/>
              </w:rPr>
              <w:t>0.004</w:t>
            </w:r>
          </w:p>
        </w:tc>
      </w:tr>
      <w:tr>
        <w:trPr>
          <w:trHeight w:val="274" w:hRule="atLeast"/>
        </w:trPr>
        <w:tc>
          <w:tcPr>
            <w:tcW w:w="4332" w:type="dxa"/>
            <w:vAlign w:val="top"/>
            <w:gridSpan w:val="3"/>
            <w:vMerge w:val="continue"/>
            <w:tcBorders>
              <w:top w:val="nil"/>
            </w:tcBorders>
          </w:tcPr>
          <w:p>
            <w:pPr>
              <w:rPr>
                <w:rFonts w:ascii="Arial"/>
                <w:sz w:val="21"/>
              </w:rPr>
            </w:pPr>
            <w:r/>
          </w:p>
        </w:tc>
        <w:tc>
          <w:tcPr>
            <w:tcW w:w="1669" w:type="dxa"/>
            <w:vAlign w:val="top"/>
          </w:tcPr>
          <w:p>
            <w:pPr>
              <w:pStyle w:val="TableText"/>
              <w:ind w:left="672"/>
              <w:spacing w:before="90" w:line="183" w:lineRule="auto"/>
              <w:rPr>
                <w:sz w:val="15"/>
                <w:szCs w:val="15"/>
              </w:rPr>
            </w:pPr>
            <w:r>
              <w:rPr>
                <w:sz w:val="15"/>
                <w:szCs w:val="15"/>
                <w:spacing w:val="-1"/>
              </w:rPr>
              <w:t>H</w:t>
            </w:r>
            <w:r>
              <w:rPr>
                <w:rFonts w:ascii="Calibri" w:hAnsi="Calibri" w:eastAsia="Calibri" w:cs="Calibri"/>
                <w:sz w:val="15"/>
                <w:szCs w:val="15"/>
                <w:spacing w:val="-1"/>
              </w:rPr>
              <w:t>₂</w:t>
            </w:r>
            <w:r>
              <w:rPr>
                <w:sz w:val="15"/>
                <w:szCs w:val="15"/>
                <w:spacing w:val="-1"/>
              </w:rPr>
              <w:t>S</w:t>
            </w:r>
          </w:p>
        </w:tc>
        <w:tc>
          <w:tcPr>
            <w:tcW w:w="2118" w:type="dxa"/>
            <w:vAlign w:val="top"/>
          </w:tcPr>
          <w:p>
            <w:pPr>
              <w:rPr>
                <w:rFonts w:ascii="Arial"/>
                <w:sz w:val="21"/>
              </w:rPr>
            </w:pPr>
            <w:r/>
          </w:p>
        </w:tc>
        <w:tc>
          <w:tcPr>
            <w:tcW w:w="2209" w:type="dxa"/>
            <w:vAlign w:val="top"/>
          </w:tcPr>
          <w:p>
            <w:pPr>
              <w:rPr>
                <w:rFonts w:ascii="Arial"/>
                <w:sz w:val="21"/>
              </w:rPr>
            </w:pPr>
            <w:r/>
          </w:p>
        </w:tc>
        <w:tc>
          <w:tcPr>
            <w:tcW w:w="2468" w:type="dxa"/>
            <w:vAlign w:val="top"/>
          </w:tcPr>
          <w:p>
            <w:pPr>
              <w:rPr>
                <w:rFonts w:ascii="Arial"/>
                <w:sz w:val="21"/>
              </w:rPr>
            </w:pPr>
            <w:r/>
          </w:p>
        </w:tc>
        <w:tc>
          <w:tcPr>
            <w:tcW w:w="1294" w:type="dxa"/>
            <w:vAlign w:val="top"/>
          </w:tcPr>
          <w:p>
            <w:pPr>
              <w:pStyle w:val="TableText"/>
              <w:ind w:left="378"/>
              <w:spacing w:before="92" w:line="171" w:lineRule="exact"/>
              <w:rPr>
                <w:sz w:val="21"/>
                <w:szCs w:val="21"/>
              </w:rPr>
            </w:pPr>
            <w:r>
              <w:rPr>
                <w:sz w:val="21"/>
                <w:szCs w:val="21"/>
                <w:spacing w:val="-2"/>
                <w:position w:val="-2"/>
              </w:rPr>
              <w:t>0.003</w:t>
            </w:r>
          </w:p>
        </w:tc>
      </w:tr>
    </w:tbl>
    <w:p>
      <w:pPr>
        <w:rPr>
          <w:rFonts w:ascii="Arial"/>
          <w:sz w:val="21"/>
        </w:rPr>
      </w:pPr>
      <w:r/>
    </w:p>
    <w:p>
      <w:pPr>
        <w:sectPr>
          <w:footerReference w:type="default" r:id="rId47"/>
          <w:pgSz w:w="16840" w:h="11900"/>
          <w:pgMar w:top="968" w:right="1414" w:bottom="978" w:left="1325" w:header="0" w:footer="839" w:gutter="0"/>
        </w:sectPr>
        <w:rPr>
          <w:rFonts w:ascii="Arial" w:hAnsi="Arial" w:eastAsia="Arial" w:cs="Arial"/>
          <w:sz w:val="21"/>
          <w:szCs w:val="21"/>
        </w:rPr>
      </w:pPr>
    </w:p>
    <w:tbl>
      <w:tblPr>
        <w:tblStyle w:val="TableNormal"/>
        <w:tblW w:w="100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44"/>
        <w:gridCol w:w="9466"/>
      </w:tblGrid>
      <w:tr>
        <w:trPr>
          <w:trHeight w:val="14000" w:hRule="atLeast"/>
        </w:trPr>
        <w:tc>
          <w:tcPr>
            <w:tcW w:w="544" w:type="dxa"/>
            <w:vAlign w:val="top"/>
            <w:textDirection w:val="tbRlV"/>
          </w:tcPr>
          <w:p>
            <w:pPr>
              <w:pStyle w:val="TableText"/>
              <w:ind w:left="5301"/>
              <w:spacing w:before="118" w:line="217" w:lineRule="auto"/>
              <w:rPr>
                <w:sz w:val="24"/>
                <w:szCs w:val="24"/>
              </w:rPr>
            </w:pPr>
            <w:r>
              <w:rPr>
                <w:sz w:val="24"/>
                <w:szCs w:val="24"/>
                <w:spacing w:val="1"/>
              </w:rPr>
              <w:t>与项目有关的原有环境污染问题</w:t>
            </w:r>
          </w:p>
        </w:tc>
        <w:tc>
          <w:tcPr>
            <w:tcW w:w="9466" w:type="dxa"/>
            <w:vAlign w:val="top"/>
          </w:tcPr>
          <w:p>
            <w:pPr>
              <w:pStyle w:val="TableText"/>
              <w:ind w:left="124"/>
              <w:spacing w:before="51" w:line="219" w:lineRule="auto"/>
              <w:rPr>
                <w:sz w:val="24"/>
                <w:szCs w:val="24"/>
              </w:rPr>
            </w:pPr>
            <w:r>
              <w:rPr>
                <w:sz w:val="24"/>
                <w:szCs w:val="24"/>
                <w:b/>
                <w:bCs/>
                <w:spacing w:val="-4"/>
              </w:rPr>
              <w:t>2、废水治理及排放情况</w:t>
            </w:r>
          </w:p>
          <w:p>
            <w:pPr>
              <w:pStyle w:val="TableText"/>
              <w:ind w:left="120" w:right="205" w:firstLine="480"/>
              <w:spacing w:before="151" w:line="371" w:lineRule="auto"/>
              <w:jc w:val="both"/>
              <w:rPr>
                <w:sz w:val="24"/>
                <w:szCs w:val="24"/>
              </w:rPr>
            </w:pPr>
            <w:r>
              <w:rPr>
                <w:sz w:val="24"/>
                <w:szCs w:val="24"/>
              </w:rPr>
              <w:t>二期工程——时代一汽年产20gwh动力电池生产线扩建项目产生的废水主要为阴极</w:t>
            </w:r>
            <w:r>
              <w:rPr>
                <w:sz w:val="24"/>
                <w:szCs w:val="24"/>
                <w:spacing w:val="4"/>
              </w:rPr>
              <w:t xml:space="preserve">  </w:t>
            </w:r>
            <w:r>
              <w:rPr>
                <w:sz w:val="24"/>
                <w:szCs w:val="24"/>
                <w:spacing w:val="1"/>
              </w:rPr>
              <w:t>清洗废水(含阴极料罐设备清洗废水、阴极区车间地面冲洗废水</w:t>
            </w:r>
            <w:r>
              <w:rPr>
                <w:sz w:val="24"/>
                <w:szCs w:val="24"/>
              </w:rPr>
              <w:t>)、阳极清洗废水(含阳 </w:t>
            </w:r>
            <w:r>
              <w:rPr>
                <w:sz w:val="24"/>
                <w:szCs w:val="24"/>
              </w:rPr>
              <w:t>极料罐设备清洗废水、阳极区车间地面冲洗废水)、锅炉废水、RO/DI水系统废水、喷淋</w:t>
            </w:r>
          </w:p>
          <w:p>
            <w:pPr>
              <w:pStyle w:val="TableText"/>
              <w:ind w:left="120"/>
              <w:spacing w:line="219" w:lineRule="auto"/>
              <w:rPr>
                <w:sz w:val="24"/>
                <w:szCs w:val="24"/>
              </w:rPr>
            </w:pPr>
            <w:r>
              <w:rPr>
                <w:sz w:val="24"/>
                <w:szCs w:val="24"/>
              </w:rPr>
              <w:t>塔废水以及食堂废水、生活污水。</w:t>
            </w:r>
          </w:p>
          <w:p>
            <w:pPr>
              <w:pStyle w:val="TableText"/>
              <w:ind w:left="624"/>
              <w:spacing w:before="181" w:line="219" w:lineRule="auto"/>
              <w:rPr>
                <w:sz w:val="24"/>
                <w:szCs w:val="24"/>
              </w:rPr>
            </w:pPr>
            <w:r>
              <w:rPr>
                <w:sz w:val="24"/>
                <w:szCs w:val="24"/>
                <w:b/>
                <w:bCs/>
                <w:spacing w:val="-2"/>
              </w:rPr>
              <w:t>1)阴极清洗废水</w:t>
            </w:r>
          </w:p>
          <w:p>
            <w:pPr>
              <w:pStyle w:val="TableText"/>
              <w:ind w:left="120" w:firstLine="494"/>
              <w:spacing w:before="167" w:line="354" w:lineRule="auto"/>
              <w:rPr>
                <w:sz w:val="24"/>
                <w:szCs w:val="24"/>
              </w:rPr>
            </w:pPr>
            <w:r>
              <w:rPr>
                <w:sz w:val="24"/>
                <w:szCs w:val="24"/>
                <w:spacing w:val="-4"/>
              </w:rPr>
              <w:t>阴极清洗废水经车间阴极废水三级沉淀预处理后排入污水处理站，进</w:t>
            </w:r>
            <w:r>
              <w:rPr>
                <w:sz w:val="24"/>
                <w:szCs w:val="24"/>
                <w:spacing w:val="-5"/>
              </w:rPr>
              <w:t>入阴极废水预处</w:t>
            </w:r>
            <w:r>
              <w:rPr>
                <w:sz w:val="24"/>
                <w:szCs w:val="24"/>
              </w:rPr>
              <w:t xml:space="preserve">  </w:t>
            </w:r>
            <w:r>
              <w:rPr>
                <w:sz w:val="24"/>
                <w:szCs w:val="24"/>
                <w:spacing w:val="-3"/>
              </w:rPr>
              <w:t>理系统，处理工艺为“芬顿氧化+混凝沉淀”,Co、Ni在阴极废水预处理系统出口达《电   </w:t>
            </w:r>
            <w:r>
              <w:rPr>
                <w:sz w:val="24"/>
                <w:szCs w:val="24"/>
                <w:spacing w:val="-2"/>
              </w:rPr>
              <w:t>池工业污染物排放标准》(GB30484-2013)</w:t>
            </w:r>
            <w:r>
              <w:rPr>
                <w:sz w:val="24"/>
                <w:szCs w:val="24"/>
                <w:spacing w:val="-3"/>
              </w:rPr>
              <w:t>表2间接排放标准(Co≤0.1mg/L、Ni≤0.5mg/L)。</w:t>
            </w:r>
            <w:r>
              <w:rPr>
                <w:sz w:val="24"/>
                <w:szCs w:val="24"/>
              </w:rPr>
              <w:t xml:space="preserve"> </w:t>
            </w:r>
            <w:r>
              <w:rPr>
                <w:sz w:val="24"/>
                <w:szCs w:val="24"/>
                <w:spacing w:val="1"/>
              </w:rPr>
              <w:t>经过预处理后的废水进入生化处理系统，处理工</w:t>
            </w:r>
            <w:r>
              <w:rPr>
                <w:sz w:val="24"/>
                <w:szCs w:val="24"/>
              </w:rPr>
              <w:t>艺“预酸化+A²/O+二沉池”,处理后排</w:t>
            </w:r>
          </w:p>
          <w:p>
            <w:pPr>
              <w:pStyle w:val="TableText"/>
              <w:ind w:left="140"/>
              <w:spacing w:before="1" w:line="219" w:lineRule="auto"/>
              <w:rPr>
                <w:sz w:val="24"/>
                <w:szCs w:val="24"/>
              </w:rPr>
            </w:pPr>
            <w:r>
              <w:rPr>
                <w:sz w:val="24"/>
                <w:szCs w:val="24"/>
                <w:spacing w:val="-3"/>
              </w:rPr>
              <w:t>入东侧长富路的市政污水管网，纳入霞浦县污水处理厂集中处理，尾水排入罗汉溪。</w:t>
            </w:r>
          </w:p>
          <w:p>
            <w:pPr>
              <w:pStyle w:val="TableText"/>
              <w:ind w:left="624"/>
              <w:spacing w:before="212" w:line="219" w:lineRule="auto"/>
              <w:rPr>
                <w:sz w:val="24"/>
                <w:szCs w:val="24"/>
              </w:rPr>
            </w:pPr>
            <w:r>
              <w:rPr>
                <w:sz w:val="24"/>
                <w:szCs w:val="24"/>
                <w:b/>
                <w:bCs/>
                <w:spacing w:val="-4"/>
              </w:rPr>
              <w:t>2)阳极清洗废水</w:t>
            </w:r>
          </w:p>
          <w:p>
            <w:pPr>
              <w:pStyle w:val="TableText"/>
              <w:ind w:left="621"/>
              <w:spacing w:before="165" w:line="216" w:lineRule="auto"/>
              <w:rPr>
                <w:sz w:val="24"/>
                <w:szCs w:val="24"/>
              </w:rPr>
            </w:pPr>
            <w:r>
              <w:rPr>
                <w:sz w:val="24"/>
                <w:szCs w:val="24"/>
              </w:rPr>
              <w:t>阳极清洗废水主要污染物为COD、BODs、SS,经车间阳极废水三级沉淀预处理后排</w:t>
            </w:r>
          </w:p>
          <w:p>
            <w:pPr>
              <w:pStyle w:val="TableText"/>
              <w:ind w:left="120"/>
              <w:spacing w:before="189" w:line="483" w:lineRule="exact"/>
              <w:rPr>
                <w:sz w:val="24"/>
                <w:szCs w:val="24"/>
              </w:rPr>
            </w:pPr>
            <w:r>
              <w:rPr>
                <w:sz w:val="24"/>
                <w:szCs w:val="24"/>
                <w:position w:val="18"/>
              </w:rPr>
              <w:t>入污水处理站，进入阳极废水预处理系统，处理工艺为“混凝沉淀”,经过预处理后的废</w:t>
            </w:r>
          </w:p>
          <w:p>
            <w:pPr>
              <w:pStyle w:val="TableText"/>
              <w:ind w:left="150"/>
              <w:spacing w:before="1" w:line="219" w:lineRule="auto"/>
              <w:rPr>
                <w:sz w:val="24"/>
                <w:szCs w:val="24"/>
              </w:rPr>
            </w:pPr>
            <w:r>
              <w:rPr>
                <w:sz w:val="24"/>
                <w:szCs w:val="24"/>
              </w:rPr>
              <w:t>水进入生化处理系统。</w:t>
            </w:r>
          </w:p>
          <w:p>
            <w:pPr>
              <w:pStyle w:val="TableText"/>
              <w:ind w:left="604"/>
              <w:spacing w:before="181" w:line="219" w:lineRule="auto"/>
              <w:rPr>
                <w:sz w:val="24"/>
                <w:szCs w:val="24"/>
              </w:rPr>
            </w:pPr>
            <w:r>
              <w:rPr>
                <w:sz w:val="24"/>
                <w:szCs w:val="24"/>
                <w:b/>
                <w:bCs/>
                <w:spacing w:val="-5"/>
              </w:rPr>
              <w:t>3)锅炉废水</w:t>
            </w:r>
          </w:p>
          <w:p>
            <w:pPr>
              <w:pStyle w:val="TableText"/>
              <w:ind w:right="2"/>
              <w:spacing w:before="179" w:line="480" w:lineRule="exact"/>
              <w:jc w:val="right"/>
              <w:rPr>
                <w:sz w:val="24"/>
                <w:szCs w:val="24"/>
              </w:rPr>
            </w:pPr>
            <w:r>
              <w:rPr>
                <w:sz w:val="24"/>
                <w:szCs w:val="24"/>
                <w:spacing w:val="-1"/>
                <w:position w:val="18"/>
              </w:rPr>
              <w:t>锅炉软化水经厂区生活污水管网直接排入市政污水管网。</w:t>
            </w:r>
            <w:r>
              <w:rPr>
                <w:sz w:val="24"/>
                <w:szCs w:val="24"/>
                <w:spacing w:val="-2"/>
                <w:position w:val="18"/>
              </w:rPr>
              <w:t>锅炉排污水经厂区生活污水</w:t>
            </w:r>
          </w:p>
          <w:p>
            <w:pPr>
              <w:pStyle w:val="TableText"/>
              <w:ind w:left="150"/>
              <w:spacing w:line="219" w:lineRule="auto"/>
              <w:rPr>
                <w:sz w:val="24"/>
                <w:szCs w:val="24"/>
              </w:rPr>
            </w:pPr>
            <w:r>
              <w:rPr>
                <w:sz w:val="24"/>
                <w:szCs w:val="24"/>
              </w:rPr>
              <w:t>管网直接排入市政污水管网。</w:t>
            </w:r>
          </w:p>
          <w:p>
            <w:pPr>
              <w:pStyle w:val="TableText"/>
              <w:ind w:left="624"/>
              <w:spacing w:before="182" w:line="219" w:lineRule="auto"/>
              <w:rPr>
                <w:sz w:val="24"/>
                <w:szCs w:val="24"/>
              </w:rPr>
            </w:pPr>
            <w:r>
              <w:rPr>
                <w:sz w:val="24"/>
                <w:szCs w:val="24"/>
                <w:b/>
                <w:bCs/>
                <w:spacing w:val="-3"/>
              </w:rPr>
              <w:t>4)RO/DI水系统废水、循环冷却废水</w:t>
            </w:r>
          </w:p>
          <w:p>
            <w:pPr>
              <w:pStyle w:val="TableText"/>
              <w:ind w:left="601"/>
              <w:spacing w:before="168" w:line="470" w:lineRule="exact"/>
              <w:rPr>
                <w:sz w:val="24"/>
                <w:szCs w:val="24"/>
              </w:rPr>
            </w:pPr>
            <w:r>
              <w:rPr>
                <w:sz w:val="24"/>
                <w:szCs w:val="24"/>
                <w:position w:val="17"/>
              </w:rPr>
              <w:t>RO/DI水系统废水经厂区生活污水管网直接排入市政污水管网。</w:t>
            </w:r>
          </w:p>
          <w:p>
            <w:pPr>
              <w:pStyle w:val="TableText"/>
              <w:ind w:left="611"/>
              <w:spacing w:before="1" w:line="219" w:lineRule="auto"/>
              <w:rPr>
                <w:sz w:val="24"/>
                <w:szCs w:val="24"/>
              </w:rPr>
            </w:pPr>
            <w:r>
              <w:rPr>
                <w:sz w:val="24"/>
                <w:szCs w:val="24"/>
              </w:rPr>
              <w:t>循环冷却系统废水经厂区生活污水管网直接排入市政污水管网。</w:t>
            </w:r>
          </w:p>
          <w:p>
            <w:pPr>
              <w:pStyle w:val="TableText"/>
              <w:ind w:left="604"/>
              <w:spacing w:before="192" w:line="219" w:lineRule="auto"/>
              <w:rPr>
                <w:sz w:val="24"/>
                <w:szCs w:val="24"/>
              </w:rPr>
            </w:pPr>
            <w:r>
              <w:rPr>
                <w:sz w:val="24"/>
                <w:szCs w:val="24"/>
                <w:b/>
                <w:bCs/>
                <w:spacing w:val="-5"/>
              </w:rPr>
              <w:t>5)生活污水</w:t>
            </w:r>
          </w:p>
          <w:p>
            <w:pPr>
              <w:pStyle w:val="TableText"/>
              <w:spacing w:before="168" w:line="470" w:lineRule="exact"/>
              <w:jc w:val="right"/>
              <w:rPr>
                <w:sz w:val="24"/>
                <w:szCs w:val="24"/>
              </w:rPr>
            </w:pPr>
            <w:r>
              <w:rPr>
                <w:sz w:val="24"/>
                <w:szCs w:val="24"/>
                <w:spacing w:val="-1"/>
                <w:position w:val="17"/>
              </w:rPr>
              <w:t>食堂废水经隔油池处理后，与其他生活污水再经化粪池处理后，生活区的生活污水排</w:t>
            </w:r>
          </w:p>
          <w:p>
            <w:pPr>
              <w:pStyle w:val="TableText"/>
              <w:ind w:left="130"/>
              <w:spacing w:line="219" w:lineRule="auto"/>
              <w:rPr>
                <w:sz w:val="24"/>
                <w:szCs w:val="24"/>
              </w:rPr>
            </w:pPr>
            <w:r>
              <w:rPr>
                <w:sz w:val="24"/>
                <w:szCs w:val="24"/>
              </w:rPr>
              <w:t>入北侧南一路的市政污水管网，办公区的生活污水排入东侧长富路的市政污水管网</w:t>
            </w:r>
          </w:p>
          <w:p>
            <w:pPr>
              <w:pStyle w:val="TableText"/>
              <w:ind w:left="611"/>
              <w:spacing w:before="178" w:line="470" w:lineRule="exact"/>
              <w:rPr>
                <w:sz w:val="24"/>
                <w:szCs w:val="24"/>
              </w:rPr>
            </w:pPr>
            <w:r>
              <w:rPr>
                <w:sz w:val="24"/>
                <w:szCs w:val="24"/>
                <w:position w:val="17"/>
              </w:rPr>
              <w:t>根据《时代一汽动力电池有限公司年产20gwh动力电池生产线扩建项目阶段性竣工</w:t>
            </w:r>
          </w:p>
          <w:p>
            <w:pPr>
              <w:pStyle w:val="TableText"/>
              <w:ind w:left="130"/>
              <w:spacing w:before="1" w:line="213" w:lineRule="auto"/>
              <w:rPr>
                <w:sz w:val="24"/>
                <w:szCs w:val="24"/>
              </w:rPr>
            </w:pPr>
            <w:r>
              <w:rPr>
                <w:sz w:val="24"/>
                <w:szCs w:val="24"/>
              </w:rPr>
              <w:t>环境保护验收报告表》(6.7gwh)可知：验收监测期间，2023年</w:t>
            </w:r>
            <w:r>
              <w:rPr>
                <w:sz w:val="24"/>
                <w:szCs w:val="24"/>
                <w:spacing w:val="-1"/>
              </w:rPr>
              <w:t>3月2日～3日，阴极混</w:t>
            </w:r>
          </w:p>
          <w:p>
            <w:pPr>
              <w:pStyle w:val="TableText"/>
              <w:ind w:left="120"/>
              <w:spacing w:before="162" w:line="487" w:lineRule="exact"/>
              <w:rPr>
                <w:sz w:val="24"/>
                <w:szCs w:val="24"/>
              </w:rPr>
            </w:pPr>
            <w:r>
              <w:rPr>
                <w:sz w:val="24"/>
                <w:szCs w:val="24"/>
                <w:position w:val="19"/>
              </w:rPr>
              <w:t>凝出口废水中污染物排放浓度总镍&lt;0.05～0.08mg/L,总钴&lt;0.06mg/L</w:t>
            </w:r>
            <w:r>
              <w:rPr>
                <w:sz w:val="24"/>
                <w:szCs w:val="24"/>
                <w:spacing w:val="-1"/>
                <w:position w:val="19"/>
              </w:rPr>
              <w:t>,阴极混凝池出口(车</w:t>
            </w:r>
          </w:p>
          <w:p>
            <w:pPr>
              <w:pStyle w:val="TableText"/>
              <w:ind w:left="130"/>
              <w:spacing w:before="1" w:line="219" w:lineRule="auto"/>
              <w:rPr>
                <w:sz w:val="24"/>
                <w:szCs w:val="24"/>
              </w:rPr>
            </w:pPr>
            <w:r>
              <w:rPr>
                <w:sz w:val="24"/>
                <w:szCs w:val="24"/>
                <w:spacing w:val="1"/>
              </w:rPr>
              <w:t>间排放口)总镍、总钴排放浓度均符合《电池工业污染物排放标准》(</w:t>
            </w:r>
            <w:r>
              <w:rPr>
                <w:sz w:val="24"/>
                <w:szCs w:val="24"/>
              </w:rPr>
              <w:t>GB</w:t>
            </w:r>
            <w:r>
              <w:rPr>
                <w:sz w:val="24"/>
                <w:szCs w:val="24"/>
                <w:spacing w:val="1"/>
              </w:rPr>
              <w:t>30484-2013;</w:t>
            </w:r>
          </w:p>
          <w:p>
            <w:pPr>
              <w:pStyle w:val="TableText"/>
              <w:ind w:left="120"/>
              <w:spacing w:before="185" w:line="219" w:lineRule="auto"/>
              <w:rPr>
                <w:sz w:val="24"/>
                <w:szCs w:val="24"/>
              </w:rPr>
            </w:pPr>
            <w:r>
              <w:rPr>
                <w:sz w:val="24"/>
                <w:szCs w:val="24"/>
              </w:rPr>
              <w:t>表2中“车间或者车间处理设施排放口”排放标准限值要</w:t>
            </w:r>
            <w:r>
              <w:rPr>
                <w:sz w:val="24"/>
                <w:szCs w:val="24"/>
                <w:spacing w:val="-1"/>
              </w:rPr>
              <w:t>求。</w:t>
            </w:r>
          </w:p>
          <w:p>
            <w:pPr>
              <w:pStyle w:val="TableText"/>
              <w:ind w:left="621"/>
              <w:spacing w:before="187" w:line="214" w:lineRule="auto"/>
              <w:rPr>
                <w:sz w:val="24"/>
                <w:szCs w:val="24"/>
              </w:rPr>
            </w:pPr>
            <w:r>
              <w:rPr>
                <w:sz w:val="24"/>
                <w:szCs w:val="24"/>
              </w:rPr>
              <w:t>工业废水排放口废水中污染物浓度pH7.1,SS:6~7mg/L,COD15~16mg/L,总磷</w:t>
            </w:r>
          </w:p>
        </w:tc>
      </w:tr>
    </w:tbl>
    <w:p>
      <w:pPr>
        <w:rPr>
          <w:rFonts w:ascii="Arial"/>
          <w:sz w:val="21"/>
        </w:rPr>
      </w:pPr>
      <w:r/>
    </w:p>
    <w:p>
      <w:pPr>
        <w:sectPr>
          <w:footerReference w:type="default" r:id="rId48"/>
          <w:pgSz w:w="11900" w:h="16840"/>
          <w:pgMar w:top="985" w:right="1024" w:bottom="988" w:left="855" w:header="0" w:footer="849" w:gutter="0"/>
        </w:sectPr>
        <w:rPr>
          <w:rFonts w:ascii="Arial" w:hAnsi="Arial" w:eastAsia="Arial" w:cs="Arial"/>
          <w:sz w:val="21"/>
          <w:szCs w:val="21"/>
        </w:rPr>
      </w:pPr>
    </w:p>
    <w:p>
      <w:pPr>
        <w:spacing w:line="20" w:lineRule="exact"/>
        <w:rPr/>
      </w:pPr>
      <w:r>
        <w:rPr/>
        <w:drawing>
          <wp:inline distT="0" distB="0" distL="0" distR="0">
            <wp:extent cx="6381766" cy="12725"/>
            <wp:effectExtent l="0" t="0" r="0" b="0"/>
            <wp:docPr id="2" name="IM 2"/>
            <wp:cNvGraphicFramePr/>
            <a:graphic>
              <a:graphicData uri="http://schemas.openxmlformats.org/drawingml/2006/picture">
                <pic:pic>
                  <pic:nvPicPr>
                    <pic:cNvPr id="2" name="IM 2"/>
                    <pic:cNvPicPr/>
                  </pic:nvPicPr>
                  <pic:blipFill>
                    <a:blip r:embed="rId50"/>
                    <a:stretch>
                      <a:fillRect/>
                    </a:stretch>
                  </pic:blipFill>
                  <pic:spPr>
                    <a:xfrm rot="0">
                      <a:off x="0" y="0"/>
                      <a:ext cx="6381766" cy="12725"/>
                    </a:xfrm>
                    <a:prstGeom prst="rect">
                      <a:avLst/>
                    </a:prstGeom>
                  </pic:spPr>
                </pic:pic>
              </a:graphicData>
            </a:graphic>
          </wp:inline>
        </w:drawing>
      </w:r>
    </w:p>
    <w:p>
      <w:pPr>
        <w:pStyle w:val="BodyText"/>
        <w:ind w:left="669" w:right="138"/>
        <w:spacing w:before="21" w:line="361" w:lineRule="auto"/>
        <w:jc w:val="both"/>
        <w:rPr>
          <w:sz w:val="24"/>
          <w:szCs w:val="24"/>
        </w:rPr>
      </w:pPr>
      <w:r>
        <w:rPr>
          <w:sz w:val="24"/>
          <w:szCs w:val="24"/>
        </w:rPr>
        <w:t>1.70~1.72mg/L,氨氮21.6~23.1</w:t>
      </w:r>
      <w:r>
        <w:rPr>
          <w:rFonts w:ascii="Times New Roman" w:hAnsi="Times New Roman" w:eastAsia="Times New Roman" w:cs="Times New Roman"/>
          <w:sz w:val="24"/>
          <w:szCs w:val="24"/>
        </w:rPr>
        <w:t>mg/L,   </w:t>
      </w:r>
      <w:r>
        <w:rPr>
          <w:sz w:val="24"/>
          <w:szCs w:val="24"/>
        </w:rPr>
        <w:t>总氮35.3~37.2</w:t>
      </w:r>
      <w:r>
        <w:rPr>
          <w:rFonts w:ascii="Times New Roman" w:hAnsi="Times New Roman" w:eastAsia="Times New Roman" w:cs="Times New Roman"/>
          <w:sz w:val="24"/>
          <w:szCs w:val="24"/>
        </w:rPr>
        <w:t>mg/L,  </w:t>
      </w:r>
      <w:r>
        <w:rPr>
          <w:rFonts w:ascii="Times New Roman" w:hAnsi="Times New Roman" w:eastAsia="Times New Roman" w:cs="Times New Roman"/>
          <w:sz w:val="24"/>
          <w:szCs w:val="24"/>
          <w:spacing w:val="-1"/>
        </w:rPr>
        <w:t xml:space="preserve"> </w:t>
      </w:r>
      <w:r>
        <w:rPr>
          <w:sz w:val="24"/>
          <w:szCs w:val="24"/>
          <w:spacing w:val="-1"/>
        </w:rPr>
        <w:t>总锰0.10</w:t>
      </w:r>
      <w:r>
        <w:rPr>
          <w:rFonts w:ascii="Times New Roman" w:hAnsi="Times New Roman" w:eastAsia="Times New Roman" w:cs="Times New Roman"/>
          <w:sz w:val="24"/>
          <w:szCs w:val="24"/>
          <w:spacing w:val="-1"/>
        </w:rPr>
        <w:t>mg/L,   </w:t>
      </w:r>
      <w:r>
        <w:rPr>
          <w:sz w:val="24"/>
          <w:szCs w:val="24"/>
          <w:spacing w:val="-1"/>
        </w:rPr>
        <w:t>生产废水生</w:t>
      </w:r>
      <w:r>
        <w:rPr>
          <w:sz w:val="24"/>
          <w:szCs w:val="24"/>
        </w:rPr>
        <w:t xml:space="preserve"> </w:t>
      </w:r>
      <w:r>
        <w:rPr>
          <w:sz w:val="24"/>
          <w:szCs w:val="24"/>
          <w:spacing w:val="-4"/>
        </w:rPr>
        <w:t>化系统出口</w:t>
      </w:r>
      <w:r>
        <w:rPr>
          <w:rFonts w:ascii="Times New Roman" w:hAnsi="Times New Roman" w:eastAsia="Times New Roman" w:cs="Times New Roman"/>
          <w:sz w:val="24"/>
          <w:szCs w:val="24"/>
          <w:spacing w:val="-4"/>
        </w:rPr>
        <w:t>pH </w:t>
      </w:r>
      <w:r>
        <w:rPr>
          <w:sz w:val="24"/>
          <w:szCs w:val="24"/>
          <w:spacing w:val="-4"/>
        </w:rPr>
        <w:t>值 、</w:t>
      </w:r>
      <w:r>
        <w:rPr>
          <w:rFonts w:ascii="Times New Roman" w:hAnsi="Times New Roman" w:eastAsia="Times New Roman" w:cs="Times New Roman"/>
          <w:sz w:val="24"/>
          <w:szCs w:val="24"/>
          <w:spacing w:val="-4"/>
        </w:rPr>
        <w:t>COD</w:t>
      </w:r>
      <w:r>
        <w:rPr>
          <w:rFonts w:ascii="Times New Roman" w:hAnsi="Times New Roman" w:eastAsia="Times New Roman" w:cs="Times New Roman"/>
          <w:sz w:val="24"/>
          <w:szCs w:val="24"/>
          <w:spacing w:val="-34"/>
        </w:rPr>
        <w:t xml:space="preserve"> </w:t>
      </w:r>
      <w:r>
        <w:rPr>
          <w:sz w:val="24"/>
          <w:szCs w:val="24"/>
          <w:spacing w:val="-4"/>
        </w:rPr>
        <w:t>、氨氮、总氮、总磷、总锰排放浓度均符合《电池工业污染物排</w:t>
      </w:r>
      <w:r>
        <w:rPr>
          <w:sz w:val="24"/>
          <w:szCs w:val="24"/>
        </w:rPr>
        <w:t xml:space="preserve"> </w:t>
      </w:r>
      <w:r>
        <w:rPr>
          <w:sz w:val="24"/>
          <w:szCs w:val="24"/>
          <w:spacing w:val="3"/>
        </w:rPr>
        <w:t>放标准》  (</w:t>
      </w:r>
      <w:r>
        <w:rPr>
          <w:sz w:val="24"/>
          <w:szCs w:val="24"/>
        </w:rPr>
        <w:t>GB</w:t>
      </w:r>
      <w:r>
        <w:rPr>
          <w:sz w:val="24"/>
          <w:szCs w:val="24"/>
          <w:spacing w:val="3"/>
        </w:rPr>
        <w:t>30484-2013)  表2中污染物间接</w:t>
      </w:r>
      <w:r>
        <w:rPr>
          <w:sz w:val="24"/>
          <w:szCs w:val="24"/>
          <w:spacing w:val="2"/>
        </w:rPr>
        <w:t>排放标准限值要求(其中生产废水中锰参</w:t>
      </w:r>
    </w:p>
    <w:p>
      <w:pPr>
        <w:pStyle w:val="BodyText"/>
        <w:ind w:left="669"/>
        <w:spacing w:line="219" w:lineRule="auto"/>
        <w:rPr>
          <w:sz w:val="24"/>
          <w:szCs w:val="24"/>
        </w:rPr>
      </w:pPr>
      <w:r>
        <w:rPr>
          <w:sz w:val="24"/>
          <w:szCs w:val="24"/>
          <w:spacing w:val="-10"/>
        </w:rPr>
        <w:t>照执行标准中“镉镍/氢镍电池”中的总锰排放标准)。</w:t>
      </w:r>
    </w:p>
    <w:p>
      <w:pPr>
        <w:pStyle w:val="BodyText"/>
        <w:ind w:left="1150"/>
        <w:spacing w:before="196" w:line="214" w:lineRule="auto"/>
        <w:rPr>
          <w:sz w:val="24"/>
          <w:szCs w:val="24"/>
        </w:rPr>
      </w:pPr>
      <w:r>
        <w:rPr>
          <w:sz w:val="24"/>
          <w:szCs w:val="24"/>
        </w:rPr>
        <w:t>生活污水总排口废水中污染物浓度</w:t>
      </w:r>
      <w:r>
        <w:rPr>
          <w:sz w:val="24"/>
          <w:szCs w:val="24"/>
          <w:spacing w:val="-39"/>
        </w:rPr>
        <w:t xml:space="preserve"> </w:t>
      </w:r>
      <w:r>
        <w:rPr>
          <w:sz w:val="24"/>
          <w:szCs w:val="24"/>
        </w:rPr>
        <w:t>pH7.3,SS12～15mg/L,</w:t>
      </w:r>
      <w:r>
        <w:rPr>
          <w:sz w:val="24"/>
          <w:szCs w:val="24"/>
          <w:spacing w:val="-1"/>
        </w:rPr>
        <w:t>COD130～13244.2mg/L,</w:t>
      </w:r>
    </w:p>
    <w:p>
      <w:pPr>
        <w:pStyle w:val="BodyText"/>
        <w:ind w:left="669"/>
        <w:spacing w:before="152" w:line="460"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position w:val="17"/>
        </w:rPr>
        <w:t>BODs35.1</w:t>
      </w:r>
      <w:r>
        <w:rPr>
          <w:sz w:val="24"/>
          <w:szCs w:val="24"/>
          <w:spacing w:val="-2"/>
          <w:position w:val="17"/>
        </w:rPr>
        <w:t>～</w:t>
      </w:r>
      <w:r>
        <w:rPr>
          <w:rFonts w:ascii="Times New Roman" w:hAnsi="Times New Roman" w:eastAsia="Times New Roman" w:cs="Times New Roman"/>
          <w:sz w:val="24"/>
          <w:szCs w:val="24"/>
          <w:spacing w:val="-2"/>
          <w:position w:val="17"/>
        </w:rPr>
        <w:t>46.0mg/L,</w:t>
      </w:r>
      <w:r>
        <w:rPr>
          <w:rFonts w:ascii="Times New Roman" w:hAnsi="Times New Roman" w:eastAsia="Times New Roman" w:cs="Times New Roman"/>
          <w:sz w:val="24"/>
          <w:szCs w:val="24"/>
          <w:spacing w:val="35"/>
          <w:position w:val="17"/>
        </w:rPr>
        <w:t xml:space="preserve"> </w:t>
      </w:r>
      <w:r>
        <w:rPr>
          <w:sz w:val="24"/>
          <w:szCs w:val="24"/>
          <w:spacing w:val="-2"/>
          <w:position w:val="17"/>
        </w:rPr>
        <w:t>氨氮38.</w:t>
      </w:r>
      <w:r>
        <w:rPr>
          <w:sz w:val="24"/>
          <w:szCs w:val="24"/>
          <w:spacing w:val="-3"/>
          <w:position w:val="17"/>
        </w:rPr>
        <w:t>3～39.7</w:t>
      </w:r>
      <w:r>
        <w:rPr>
          <w:rFonts w:ascii="Times New Roman" w:hAnsi="Times New Roman" w:eastAsia="Times New Roman" w:cs="Times New Roman"/>
          <w:sz w:val="24"/>
          <w:szCs w:val="24"/>
          <w:spacing w:val="-3"/>
          <w:position w:val="17"/>
        </w:rPr>
        <w:t>mg/L,  </w:t>
      </w:r>
      <w:r>
        <w:rPr>
          <w:sz w:val="24"/>
          <w:szCs w:val="24"/>
          <w:spacing w:val="-3"/>
          <w:position w:val="17"/>
        </w:rPr>
        <w:t>总磷2.92～2.98</w:t>
      </w:r>
      <w:r>
        <w:rPr>
          <w:rFonts w:ascii="Times New Roman" w:hAnsi="Times New Roman" w:eastAsia="Times New Roman" w:cs="Times New Roman"/>
          <w:sz w:val="24"/>
          <w:szCs w:val="24"/>
          <w:spacing w:val="-3"/>
          <w:position w:val="17"/>
        </w:rPr>
        <w:t>mg/L,  </w:t>
      </w:r>
      <w:r>
        <w:rPr>
          <w:sz w:val="24"/>
          <w:szCs w:val="24"/>
          <w:spacing w:val="-3"/>
          <w:position w:val="17"/>
        </w:rPr>
        <w:t>总氮46.3～47.5</w:t>
      </w:r>
      <w:r>
        <w:rPr>
          <w:rFonts w:ascii="Times New Roman" w:hAnsi="Times New Roman" w:eastAsia="Times New Roman" w:cs="Times New Roman"/>
          <w:sz w:val="24"/>
          <w:szCs w:val="24"/>
          <w:spacing w:val="-3"/>
          <w:position w:val="17"/>
        </w:rPr>
        <w:t>mg/L,</w:t>
      </w:r>
    </w:p>
    <w:p>
      <w:pPr>
        <w:pStyle w:val="BodyText"/>
        <w:ind w:left="669"/>
        <w:spacing w:before="1" w:line="212" w:lineRule="auto"/>
        <w:rPr>
          <w:sz w:val="24"/>
          <w:szCs w:val="24"/>
        </w:rPr>
      </w:pPr>
      <w:r>
        <w:rPr>
          <w:sz w:val="24"/>
          <w:szCs w:val="24"/>
          <w:spacing w:val="3"/>
        </w:rPr>
        <w:t>厂区生活废水总排口</w:t>
      </w:r>
      <w:r>
        <w:rPr>
          <w:rFonts w:ascii="Times New Roman" w:hAnsi="Times New Roman" w:eastAsia="Times New Roman" w:cs="Times New Roman"/>
          <w:sz w:val="24"/>
          <w:szCs w:val="24"/>
        </w:rPr>
        <w:t>pH</w:t>
      </w:r>
      <w:r>
        <w:rPr>
          <w:rFonts w:ascii="Times New Roman" w:hAnsi="Times New Roman" w:eastAsia="Times New Roman" w:cs="Times New Roman"/>
          <w:sz w:val="24"/>
          <w:szCs w:val="24"/>
          <w:spacing w:val="34"/>
        </w:rPr>
        <w:t xml:space="preserve"> </w:t>
      </w:r>
      <w:r>
        <w:rPr>
          <w:sz w:val="24"/>
          <w:szCs w:val="24"/>
          <w:spacing w:val="3"/>
        </w:rPr>
        <w:t>值、</w:t>
      </w:r>
      <w:r>
        <w:rPr>
          <w:rFonts w:ascii="Times New Roman" w:hAnsi="Times New Roman" w:eastAsia="Times New Roman" w:cs="Times New Roman"/>
          <w:sz w:val="24"/>
          <w:szCs w:val="24"/>
        </w:rPr>
        <w:t>COD</w:t>
      </w:r>
      <w:r>
        <w:rPr>
          <w:rFonts w:ascii="Times New Roman" w:hAnsi="Times New Roman" w:eastAsia="Times New Roman" w:cs="Times New Roman"/>
          <w:sz w:val="24"/>
          <w:szCs w:val="24"/>
          <w:spacing w:val="-34"/>
        </w:rPr>
        <w:t xml:space="preserve"> </w:t>
      </w:r>
      <w:r>
        <w:rPr>
          <w:sz w:val="24"/>
          <w:szCs w:val="24"/>
          <w:spacing w:val="3"/>
        </w:rPr>
        <w:t>、</w:t>
      </w:r>
      <w:r>
        <w:rPr>
          <w:rFonts w:ascii="Times New Roman" w:hAnsi="Times New Roman" w:eastAsia="Times New Roman" w:cs="Times New Roman"/>
          <w:sz w:val="24"/>
          <w:szCs w:val="24"/>
        </w:rPr>
        <w:t>BODs</w:t>
      </w:r>
      <w:r>
        <w:rPr>
          <w:rFonts w:ascii="Times New Roman" w:hAnsi="Times New Roman" w:eastAsia="Times New Roman" w:cs="Times New Roman"/>
          <w:sz w:val="24"/>
          <w:szCs w:val="24"/>
          <w:spacing w:val="-34"/>
        </w:rPr>
        <w:t xml:space="preserve"> </w:t>
      </w:r>
      <w:r>
        <w:rPr>
          <w:sz w:val="24"/>
          <w:szCs w:val="24"/>
          <w:spacing w:val="3"/>
        </w:rPr>
        <w:t>、</w:t>
      </w:r>
      <w:r>
        <w:rPr>
          <w:rFonts w:ascii="Times New Roman" w:hAnsi="Times New Roman" w:eastAsia="Times New Roman" w:cs="Times New Roman"/>
          <w:sz w:val="24"/>
          <w:szCs w:val="24"/>
        </w:rPr>
        <w:t>SS</w:t>
      </w:r>
      <w:r>
        <w:rPr>
          <w:rFonts w:ascii="Times New Roman" w:hAnsi="Times New Roman" w:eastAsia="Times New Roman" w:cs="Times New Roman"/>
          <w:sz w:val="24"/>
          <w:szCs w:val="24"/>
          <w:spacing w:val="35"/>
          <w:w w:val="101"/>
        </w:rPr>
        <w:t xml:space="preserve"> </w:t>
      </w:r>
      <w:r>
        <w:rPr>
          <w:sz w:val="24"/>
          <w:szCs w:val="24"/>
          <w:spacing w:val="3"/>
        </w:rPr>
        <w:t>排放浓度均符合《污水综合排放标准》</w:t>
      </w:r>
    </w:p>
    <w:p>
      <w:pPr>
        <w:pStyle w:val="BodyText"/>
        <w:ind w:left="810"/>
        <w:spacing w:before="210" w:line="461" w:lineRule="exact"/>
        <w:rPr>
          <w:sz w:val="24"/>
          <w:szCs w:val="24"/>
        </w:rPr>
      </w:pPr>
      <w:r>
        <w:rPr>
          <w:sz w:val="24"/>
          <w:szCs w:val="24"/>
          <w:spacing w:val="-2"/>
          <w:position w:val="16"/>
        </w:rPr>
        <w:t>(GB8978-1996)</w:t>
      </w:r>
      <w:r>
        <w:rPr>
          <w:sz w:val="24"/>
          <w:szCs w:val="24"/>
          <w:spacing w:val="92"/>
          <w:position w:val="16"/>
        </w:rPr>
        <w:t xml:space="preserve"> </w:t>
      </w:r>
      <w:r>
        <w:rPr>
          <w:sz w:val="24"/>
          <w:szCs w:val="24"/>
          <w:spacing w:val="-2"/>
          <w:position w:val="16"/>
        </w:rPr>
        <w:t>中的三级排放标准限</w:t>
      </w:r>
      <w:r>
        <w:rPr>
          <w:sz w:val="24"/>
          <w:szCs w:val="24"/>
          <w:spacing w:val="-3"/>
          <w:position w:val="16"/>
        </w:rPr>
        <w:t>值要求，氨氮、总磷、总氮排放浓度均符合《污水</w:t>
      </w:r>
    </w:p>
    <w:p>
      <w:pPr>
        <w:pStyle w:val="BodyText"/>
        <w:ind w:left="669"/>
        <w:spacing w:line="219" w:lineRule="auto"/>
        <w:rPr>
          <w:sz w:val="24"/>
          <w:szCs w:val="24"/>
        </w:rPr>
      </w:pPr>
      <w:r>
        <w:rPr>
          <w:sz w:val="24"/>
          <w:szCs w:val="24"/>
          <w:spacing w:val="-4"/>
        </w:rPr>
        <w:t>排入城镇下水道水质标准》  (GB/T</w:t>
      </w:r>
      <w:r>
        <w:rPr>
          <w:sz w:val="24"/>
          <w:szCs w:val="24"/>
          <w:spacing w:val="-5"/>
        </w:rPr>
        <w:t>31962-2015)</w:t>
      </w:r>
      <w:r>
        <w:rPr>
          <w:sz w:val="24"/>
          <w:szCs w:val="24"/>
          <w:spacing w:val="92"/>
        </w:rPr>
        <w:t xml:space="preserve"> </w:t>
      </w:r>
      <w:r>
        <w:rPr>
          <w:sz w:val="24"/>
          <w:szCs w:val="24"/>
          <w:spacing w:val="-5"/>
        </w:rPr>
        <w:t>中排入城市下水道系统的限值要求。</w:t>
      </w:r>
    </w:p>
    <w:p>
      <w:pPr>
        <w:pStyle w:val="BodyText"/>
        <w:ind w:left="1180"/>
        <w:spacing w:before="168" w:line="507" w:lineRule="exact"/>
        <w:rPr>
          <w:sz w:val="24"/>
          <w:szCs w:val="24"/>
        </w:rPr>
      </w:pPr>
      <w:r>
        <w:rPr>
          <w:sz w:val="24"/>
          <w:szCs w:val="24"/>
          <w:spacing w:val="4"/>
          <w:position w:val="20"/>
        </w:rPr>
        <w:t>二期工程——时代一汽年产20</w:t>
      </w:r>
      <w:r>
        <w:rPr>
          <w:rFonts w:ascii="Times New Roman" w:hAnsi="Times New Roman" w:eastAsia="Times New Roman" w:cs="Times New Roman"/>
          <w:sz w:val="24"/>
          <w:szCs w:val="24"/>
          <w:position w:val="20"/>
        </w:rPr>
        <w:t>gwh</w:t>
      </w:r>
      <w:r>
        <w:rPr>
          <w:rFonts w:ascii="Times New Roman" w:hAnsi="Times New Roman" w:eastAsia="Times New Roman" w:cs="Times New Roman"/>
          <w:sz w:val="24"/>
          <w:szCs w:val="24"/>
          <w:spacing w:val="4"/>
          <w:position w:val="20"/>
        </w:rPr>
        <w:t xml:space="preserve"> </w:t>
      </w:r>
      <w:r>
        <w:rPr>
          <w:sz w:val="24"/>
          <w:szCs w:val="24"/>
          <w:spacing w:val="4"/>
          <w:position w:val="20"/>
        </w:rPr>
        <w:t>动力电池生产线扩建项目阶段性(6.7</w:t>
      </w:r>
      <w:r>
        <w:rPr>
          <w:rFonts w:ascii="Times New Roman" w:hAnsi="Times New Roman" w:eastAsia="Times New Roman" w:cs="Times New Roman"/>
          <w:sz w:val="24"/>
          <w:szCs w:val="24"/>
          <w:position w:val="20"/>
        </w:rPr>
        <w:t>gwh</w:t>
      </w:r>
      <w:r>
        <w:rPr>
          <w:rFonts w:ascii="Times New Roman" w:hAnsi="Times New Roman" w:eastAsia="Times New Roman" w:cs="Times New Roman"/>
          <w:sz w:val="24"/>
          <w:szCs w:val="24"/>
          <w:spacing w:val="4"/>
          <w:position w:val="20"/>
        </w:rPr>
        <w:t>)</w:t>
      </w:r>
      <w:r>
        <w:rPr>
          <w:rFonts w:ascii="Times New Roman" w:hAnsi="Times New Roman" w:eastAsia="Times New Roman" w:cs="Times New Roman"/>
          <w:sz w:val="24"/>
          <w:szCs w:val="24"/>
          <w:spacing w:val="27"/>
          <w:position w:val="20"/>
        </w:rPr>
        <w:t xml:space="preserve">  </w:t>
      </w:r>
      <w:r>
        <w:rPr>
          <w:sz w:val="24"/>
          <w:szCs w:val="24"/>
          <w:spacing w:val="4"/>
          <w:position w:val="20"/>
        </w:rPr>
        <w:t>废水</w:t>
      </w:r>
    </w:p>
    <w:p>
      <w:pPr>
        <w:pStyle w:val="BodyText"/>
        <w:ind w:left="669"/>
        <w:spacing w:line="219" w:lineRule="auto"/>
        <w:rPr>
          <w:sz w:val="24"/>
          <w:szCs w:val="24"/>
        </w:rPr>
      </w:pPr>
      <w:r>
        <w:rPr>
          <w:sz w:val="24"/>
          <w:szCs w:val="24"/>
          <w:spacing w:val="-5"/>
        </w:rPr>
        <w:t>处置及排放情况见表2.8-8。</w:t>
      </w:r>
    </w:p>
    <w:p>
      <w:pPr>
        <w:pStyle w:val="BodyText"/>
        <w:ind w:left="673"/>
        <w:spacing w:before="188" w:line="212" w:lineRule="auto"/>
        <w:rPr>
          <w:sz w:val="24"/>
          <w:szCs w:val="24"/>
        </w:rPr>
      </w:pPr>
      <w:r>
        <w:rPr>
          <w:sz w:val="24"/>
          <w:szCs w:val="24"/>
          <w:b/>
          <w:bCs/>
          <w:spacing w:val="1"/>
        </w:rPr>
        <w:t>表2.8-8</w:t>
      </w:r>
      <w:r>
        <w:rPr>
          <w:sz w:val="24"/>
          <w:szCs w:val="24"/>
          <w:spacing w:val="1"/>
        </w:rPr>
        <w:t xml:space="preserve">  </w:t>
      </w:r>
      <w:r>
        <w:rPr>
          <w:sz w:val="24"/>
          <w:szCs w:val="24"/>
          <w:b/>
          <w:bCs/>
          <w:spacing w:val="1"/>
        </w:rPr>
        <w:t>二期工程——时代一汽年产20</w:t>
      </w:r>
      <w:r>
        <w:rPr>
          <w:rFonts w:ascii="Times New Roman" w:hAnsi="Times New Roman" w:eastAsia="Times New Roman" w:cs="Times New Roman"/>
          <w:sz w:val="24"/>
          <w:szCs w:val="24"/>
          <w:b/>
          <w:bCs/>
        </w:rPr>
        <w:t>gwh</w:t>
      </w:r>
      <w:r>
        <w:rPr>
          <w:rFonts w:ascii="Times New Roman" w:hAnsi="Times New Roman" w:eastAsia="Times New Roman" w:cs="Times New Roman"/>
          <w:sz w:val="24"/>
          <w:szCs w:val="24"/>
          <w:b/>
          <w:bCs/>
          <w:spacing w:val="1"/>
        </w:rPr>
        <w:t xml:space="preserve"> </w:t>
      </w:r>
      <w:r>
        <w:rPr>
          <w:sz w:val="24"/>
          <w:szCs w:val="24"/>
          <w:b/>
          <w:bCs/>
          <w:spacing w:val="1"/>
        </w:rPr>
        <w:t>动力电</w:t>
      </w:r>
      <w:r>
        <w:rPr>
          <w:sz w:val="24"/>
          <w:szCs w:val="24"/>
          <w:b/>
          <w:bCs/>
        </w:rPr>
        <w:t>池生产线扩建项目阶段性(6.7</w:t>
      </w:r>
      <w:r>
        <w:rPr>
          <w:rFonts w:ascii="Times New Roman" w:hAnsi="Times New Roman" w:eastAsia="Times New Roman" w:cs="Times New Roman"/>
          <w:sz w:val="24"/>
          <w:szCs w:val="24"/>
          <w:b/>
          <w:bCs/>
        </w:rPr>
        <w:t>gwh</w:t>
      </w:r>
      <w:r>
        <w:rPr>
          <w:sz w:val="24"/>
          <w:szCs w:val="24"/>
        </w:rPr>
        <w:t>)</w:t>
      </w:r>
    </w:p>
    <w:p>
      <w:pPr>
        <w:spacing w:line="57" w:lineRule="exact"/>
        <w:rPr/>
      </w:pPr>
      <w:r/>
    </w:p>
    <w:tbl>
      <w:tblPr>
        <w:tblStyle w:val="TableNormal"/>
        <w:tblW w:w="9969" w:type="dxa"/>
        <w:tblInd w:w="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25"/>
        <w:gridCol w:w="539"/>
        <w:gridCol w:w="1458"/>
        <w:gridCol w:w="1099"/>
        <w:gridCol w:w="3566"/>
        <w:gridCol w:w="1239"/>
        <w:gridCol w:w="1543"/>
      </w:tblGrid>
      <w:tr>
        <w:trPr>
          <w:trHeight w:val="255" w:hRule="atLeast"/>
        </w:trPr>
        <w:tc>
          <w:tcPr>
            <w:tcW w:w="9969" w:type="dxa"/>
            <w:vAlign w:val="top"/>
            <w:gridSpan w:val="7"/>
          </w:tcPr>
          <w:p>
            <w:pPr>
              <w:pStyle w:val="TableText"/>
              <w:ind w:left="4187"/>
              <w:spacing w:before="20" w:line="197" w:lineRule="auto"/>
              <w:rPr>
                <w:sz w:val="21"/>
                <w:szCs w:val="21"/>
              </w:rPr>
            </w:pPr>
            <w:r>
              <w:rPr>
                <w:sz w:val="21"/>
                <w:szCs w:val="21"/>
                <w:b/>
                <w:bCs/>
                <w:spacing w:val="-3"/>
              </w:rPr>
              <w:t>废水处置及排放情况</w:t>
            </w:r>
          </w:p>
        </w:tc>
      </w:tr>
      <w:tr>
        <w:trPr>
          <w:trHeight w:val="829" w:hRule="atLeast"/>
        </w:trPr>
        <w:tc>
          <w:tcPr>
            <w:tcW w:w="525" w:type="dxa"/>
            <w:vAlign w:val="top"/>
            <w:vMerge w:val="restart"/>
            <w:tcBorders>
              <w:bottom w:val="nil"/>
            </w:tcBorders>
          </w:tcPr>
          <w:p>
            <w:pPr>
              <w:rPr>
                <w:rFonts w:ascii="Arial"/>
                <w:sz w:val="21"/>
              </w:rPr>
            </w:pPr>
            <w:r/>
          </w:p>
        </w:tc>
        <w:tc>
          <w:tcPr>
            <w:tcW w:w="1997" w:type="dxa"/>
            <w:vAlign w:val="top"/>
            <w:gridSpan w:val="2"/>
          </w:tcPr>
          <w:p>
            <w:pPr>
              <w:pStyle w:val="TableText"/>
              <w:ind w:left="570"/>
              <w:spacing w:before="308" w:line="219" w:lineRule="auto"/>
              <w:rPr>
                <w:sz w:val="21"/>
                <w:szCs w:val="21"/>
              </w:rPr>
            </w:pPr>
            <w:r>
              <w:rPr>
                <w:sz w:val="21"/>
                <w:szCs w:val="21"/>
                <w:spacing w:val="4"/>
              </w:rPr>
              <w:t>废水类别</w:t>
            </w:r>
          </w:p>
        </w:tc>
        <w:tc>
          <w:tcPr>
            <w:tcW w:w="1099" w:type="dxa"/>
            <w:vAlign w:val="top"/>
          </w:tcPr>
          <w:p>
            <w:pPr>
              <w:pStyle w:val="TableText"/>
              <w:ind w:left="222"/>
              <w:spacing w:before="309" w:line="220" w:lineRule="auto"/>
              <w:rPr>
                <w:sz w:val="21"/>
                <w:szCs w:val="21"/>
              </w:rPr>
            </w:pPr>
            <w:r>
              <w:rPr>
                <w:sz w:val="21"/>
                <w:szCs w:val="21"/>
                <w:spacing w:val="3"/>
              </w:rPr>
              <w:t>污染物</w:t>
            </w:r>
          </w:p>
        </w:tc>
        <w:tc>
          <w:tcPr>
            <w:tcW w:w="3566" w:type="dxa"/>
            <w:vAlign w:val="top"/>
          </w:tcPr>
          <w:p>
            <w:pPr>
              <w:pStyle w:val="TableText"/>
              <w:ind w:left="1044"/>
              <w:spacing w:before="209" w:line="229" w:lineRule="auto"/>
              <w:rPr>
                <w:sz w:val="21"/>
                <w:szCs w:val="21"/>
              </w:rPr>
            </w:pPr>
            <w:r>
              <w:rPr>
                <w:sz w:val="21"/>
                <w:szCs w:val="21"/>
                <w:spacing w:val="1"/>
              </w:rPr>
              <w:t>处置措施及排放</w:t>
            </w:r>
          </w:p>
          <w:p>
            <w:pPr>
              <w:pStyle w:val="TableText"/>
              <w:ind w:left="1563"/>
              <w:spacing w:line="220" w:lineRule="auto"/>
              <w:rPr>
                <w:sz w:val="21"/>
                <w:szCs w:val="21"/>
              </w:rPr>
            </w:pPr>
            <w:r>
              <w:rPr>
                <w:sz w:val="21"/>
                <w:szCs w:val="21"/>
                <w:spacing w:val="11"/>
              </w:rPr>
              <w:t>去向</w:t>
            </w:r>
          </w:p>
        </w:tc>
        <w:tc>
          <w:tcPr>
            <w:tcW w:w="1239" w:type="dxa"/>
            <w:vAlign w:val="top"/>
          </w:tcPr>
          <w:p>
            <w:pPr>
              <w:pStyle w:val="TableText"/>
              <w:ind w:left="408" w:right="173" w:hanging="210"/>
              <w:spacing w:before="59" w:line="220" w:lineRule="auto"/>
              <w:rPr>
                <w:sz w:val="21"/>
                <w:szCs w:val="21"/>
              </w:rPr>
            </w:pPr>
            <w:r>
              <w:rPr>
                <w:sz w:val="21"/>
                <w:szCs w:val="21"/>
                <w:spacing w:val="4"/>
              </w:rPr>
              <w:t>验收监测</w:t>
            </w:r>
            <w:r>
              <w:rPr>
                <w:sz w:val="21"/>
                <w:szCs w:val="21"/>
              </w:rPr>
              <w:t xml:space="preserve"> </w:t>
            </w:r>
            <w:r>
              <w:rPr>
                <w:sz w:val="21"/>
                <w:szCs w:val="21"/>
                <w:spacing w:val="6"/>
              </w:rPr>
              <w:t>浓度</w:t>
            </w:r>
          </w:p>
          <w:p>
            <w:pPr>
              <w:pStyle w:val="TableText"/>
              <w:ind w:left="297"/>
              <w:spacing w:before="42" w:line="191" w:lineRule="auto"/>
              <w:rPr>
                <w:sz w:val="21"/>
                <w:szCs w:val="21"/>
              </w:rPr>
            </w:pPr>
            <w:r>
              <w:rPr>
                <w:sz w:val="21"/>
                <w:szCs w:val="21"/>
                <w:spacing w:val="-7"/>
              </w:rPr>
              <w:t>(mg/L)</w:t>
            </w:r>
          </w:p>
        </w:tc>
        <w:tc>
          <w:tcPr>
            <w:tcW w:w="1543" w:type="dxa"/>
            <w:vAlign w:val="top"/>
          </w:tcPr>
          <w:p>
            <w:pPr>
              <w:pStyle w:val="TableText"/>
              <w:ind w:left="238"/>
              <w:spacing w:before="58" w:line="219" w:lineRule="auto"/>
              <w:rPr>
                <w:sz w:val="21"/>
                <w:szCs w:val="21"/>
              </w:rPr>
            </w:pPr>
            <w:r>
              <w:rPr>
                <w:sz w:val="21"/>
                <w:szCs w:val="21"/>
                <w:spacing w:val="1"/>
              </w:rPr>
              <w:t>阶段性验收</w:t>
            </w:r>
          </w:p>
          <w:p>
            <w:pPr>
              <w:pStyle w:val="TableText"/>
              <w:ind w:left="238"/>
              <w:spacing w:before="31" w:line="220" w:lineRule="auto"/>
              <w:rPr>
                <w:sz w:val="21"/>
                <w:szCs w:val="21"/>
              </w:rPr>
            </w:pPr>
            <w:r>
              <w:rPr>
                <w:sz w:val="21"/>
                <w:szCs w:val="21"/>
                <w:spacing w:val="1"/>
              </w:rPr>
              <w:t>实际排放量</w:t>
            </w:r>
          </w:p>
          <w:p>
            <w:pPr>
              <w:pStyle w:val="TableText"/>
              <w:ind w:left="498"/>
              <w:spacing w:before="22" w:line="182" w:lineRule="auto"/>
              <w:rPr>
                <w:sz w:val="21"/>
                <w:szCs w:val="21"/>
              </w:rPr>
            </w:pPr>
            <w:r>
              <w:rPr>
                <w:sz w:val="21"/>
                <w:szCs w:val="21"/>
                <w:spacing w:val="-8"/>
              </w:rPr>
              <w:t>(t/a)</w:t>
            </w:r>
          </w:p>
        </w:tc>
      </w:tr>
      <w:tr>
        <w:trPr>
          <w:trHeight w:val="309" w:hRule="atLeast"/>
        </w:trPr>
        <w:tc>
          <w:tcPr>
            <w:tcW w:w="525" w:type="dxa"/>
            <w:vAlign w:val="top"/>
            <w:vMerge w:val="continue"/>
            <w:tcBorders>
              <w:top w:val="nil"/>
              <w:bottom w:val="nil"/>
            </w:tcBorders>
          </w:tcPr>
          <w:p>
            <w:pPr>
              <w:rPr>
                <w:rFonts w:ascii="Arial"/>
                <w:sz w:val="21"/>
              </w:rPr>
            </w:pPr>
            <w:r/>
          </w:p>
        </w:tc>
        <w:tc>
          <w:tcPr>
            <w:tcW w:w="539" w:type="dxa"/>
            <w:vAlign w:val="top"/>
            <w:vMerge w:val="restart"/>
            <w:textDirection w:val="tbRlV"/>
            <w:tcBorders>
              <w:bottom w:val="nil"/>
            </w:tcBorders>
          </w:tcPr>
          <w:p>
            <w:pPr>
              <w:pStyle w:val="TableText"/>
              <w:ind w:left="1070"/>
              <w:spacing w:before="99" w:line="216" w:lineRule="auto"/>
              <w:rPr>
                <w:sz w:val="21"/>
                <w:szCs w:val="21"/>
              </w:rPr>
            </w:pPr>
            <w:r>
              <w:rPr>
                <w:sz w:val="21"/>
                <w:szCs w:val="21"/>
                <w:spacing w:val="-2"/>
              </w:rPr>
              <w:t>生 产</w:t>
            </w:r>
            <w:r>
              <w:rPr>
                <w:sz w:val="21"/>
                <w:szCs w:val="21"/>
                <w:spacing w:val="-5"/>
              </w:rPr>
              <w:t xml:space="preserve"> </w:t>
            </w:r>
            <w:r>
              <w:rPr>
                <w:sz w:val="21"/>
                <w:szCs w:val="21"/>
                <w:spacing w:val="-2"/>
              </w:rPr>
              <w:t>废</w:t>
            </w:r>
            <w:r>
              <w:rPr>
                <w:sz w:val="21"/>
                <w:szCs w:val="21"/>
                <w:spacing w:val="-7"/>
              </w:rPr>
              <w:t xml:space="preserve"> </w:t>
            </w:r>
            <w:r>
              <w:rPr>
                <w:sz w:val="21"/>
                <w:szCs w:val="21"/>
                <w:spacing w:val="-2"/>
              </w:rPr>
              <w:t>水</w:t>
            </w:r>
          </w:p>
        </w:tc>
        <w:tc>
          <w:tcPr>
            <w:tcW w:w="1458" w:type="dxa"/>
            <w:vAlign w:val="top"/>
            <w:vMerge w:val="restart"/>
            <w:tcBorders>
              <w:bottom w:val="nil"/>
            </w:tcBorders>
          </w:tcPr>
          <w:p>
            <w:pPr>
              <w:spacing w:line="387" w:lineRule="auto"/>
              <w:rPr>
                <w:rFonts w:ascii="Arial"/>
                <w:sz w:val="21"/>
              </w:rPr>
            </w:pPr>
            <w:r/>
          </w:p>
          <w:p>
            <w:pPr>
              <w:pStyle w:val="TableText"/>
              <w:ind w:left="130" w:right="90" w:firstLine="59"/>
              <w:spacing w:before="68" w:line="242" w:lineRule="auto"/>
              <w:rPr>
                <w:sz w:val="21"/>
                <w:szCs w:val="21"/>
              </w:rPr>
            </w:pPr>
            <w:r>
              <w:rPr>
                <w:sz w:val="21"/>
                <w:szCs w:val="21"/>
                <w:spacing w:val="2"/>
              </w:rPr>
              <w:t>阴极生产废</w:t>
            </w:r>
            <w:r>
              <w:rPr>
                <w:sz w:val="21"/>
                <w:szCs w:val="21"/>
              </w:rPr>
              <w:t xml:space="preserve">  </w:t>
            </w:r>
            <w:r>
              <w:rPr>
                <w:sz w:val="21"/>
                <w:szCs w:val="21"/>
                <w:spacing w:val="19"/>
                <w:w w:val="113"/>
              </w:rPr>
              <w:t>水(DW001)</w:t>
            </w:r>
          </w:p>
        </w:tc>
        <w:tc>
          <w:tcPr>
            <w:tcW w:w="1099" w:type="dxa"/>
            <w:vAlign w:val="top"/>
          </w:tcPr>
          <w:p>
            <w:pPr>
              <w:pStyle w:val="TableText"/>
              <w:ind w:left="222"/>
              <w:spacing w:before="49" w:line="219" w:lineRule="auto"/>
              <w:rPr>
                <w:sz w:val="21"/>
                <w:szCs w:val="21"/>
              </w:rPr>
            </w:pPr>
            <w:r>
              <w:rPr>
                <w:sz w:val="21"/>
                <w:szCs w:val="21"/>
                <w:spacing w:val="-2"/>
              </w:rPr>
              <w:t>废水量</w:t>
            </w:r>
          </w:p>
        </w:tc>
        <w:tc>
          <w:tcPr>
            <w:tcW w:w="3566" w:type="dxa"/>
            <w:vAlign w:val="top"/>
            <w:vMerge w:val="restart"/>
            <w:tcBorders>
              <w:bottom w:val="nil"/>
            </w:tcBorders>
          </w:tcPr>
          <w:p>
            <w:pPr>
              <w:pStyle w:val="TableText"/>
              <w:ind w:left="204"/>
              <w:spacing w:before="69" w:line="219" w:lineRule="auto"/>
              <w:rPr>
                <w:sz w:val="21"/>
                <w:szCs w:val="21"/>
              </w:rPr>
            </w:pPr>
            <w:r>
              <w:rPr>
                <w:sz w:val="21"/>
                <w:szCs w:val="21"/>
              </w:rPr>
              <w:t>阴极废水预处理系统(三级沉淀+芬</w:t>
            </w:r>
          </w:p>
          <w:p>
            <w:pPr>
              <w:pStyle w:val="TableText"/>
              <w:ind w:left="253"/>
              <w:spacing w:before="19" w:line="219" w:lineRule="auto"/>
              <w:rPr>
                <w:sz w:val="21"/>
                <w:szCs w:val="21"/>
              </w:rPr>
            </w:pPr>
            <w:r>
              <w:rPr>
                <w:sz w:val="21"/>
                <w:szCs w:val="21"/>
                <w:spacing w:val="-1"/>
              </w:rPr>
              <w:t>顿氧化+混凝沉淀)+生化处理系统</w:t>
            </w:r>
          </w:p>
          <w:p>
            <w:pPr>
              <w:pStyle w:val="TableText"/>
              <w:ind w:left="204"/>
              <w:spacing w:before="19" w:line="216" w:lineRule="auto"/>
              <w:rPr>
                <w:sz w:val="21"/>
                <w:szCs w:val="21"/>
              </w:rPr>
            </w:pPr>
            <w:r>
              <w:rPr>
                <w:sz w:val="21"/>
                <w:szCs w:val="21"/>
                <w:spacing w:val="6"/>
              </w:rPr>
              <w:t>(预酸化+A²/O+二沉池),镍、钴在</w:t>
            </w:r>
          </w:p>
          <w:p>
            <w:pPr>
              <w:pStyle w:val="TableText"/>
              <w:ind w:left="253"/>
              <w:spacing w:before="37" w:line="219" w:lineRule="auto"/>
              <w:rPr>
                <w:sz w:val="21"/>
                <w:szCs w:val="21"/>
              </w:rPr>
            </w:pPr>
            <w:r>
              <w:rPr>
                <w:sz w:val="21"/>
                <w:szCs w:val="21"/>
              </w:rPr>
              <w:t>车间处理设施(阴极废水预处理系</w:t>
            </w:r>
          </w:p>
          <w:p>
            <w:pPr>
              <w:pStyle w:val="TableText"/>
              <w:ind w:left="1404"/>
              <w:spacing w:before="21" w:line="182" w:lineRule="auto"/>
              <w:rPr>
                <w:sz w:val="21"/>
                <w:szCs w:val="21"/>
              </w:rPr>
            </w:pPr>
            <w:r>
              <w:rPr>
                <w:sz w:val="21"/>
                <w:szCs w:val="21"/>
                <w:spacing w:val="3"/>
              </w:rPr>
              <w:t>统)达标</w:t>
            </w:r>
          </w:p>
        </w:tc>
        <w:tc>
          <w:tcPr>
            <w:tcW w:w="1239" w:type="dxa"/>
            <w:vAlign w:val="top"/>
          </w:tcPr>
          <w:p>
            <w:pPr>
              <w:rPr>
                <w:rFonts w:ascii="Arial"/>
                <w:sz w:val="21"/>
              </w:rPr>
            </w:pPr>
            <w:r/>
          </w:p>
        </w:tc>
        <w:tc>
          <w:tcPr>
            <w:tcW w:w="1543" w:type="dxa"/>
            <w:vAlign w:val="top"/>
          </w:tcPr>
          <w:p>
            <w:pPr>
              <w:pStyle w:val="TableText"/>
              <w:ind w:left="558"/>
              <w:spacing w:before="103" w:line="172" w:lineRule="auto"/>
              <w:rPr>
                <w:sz w:val="21"/>
                <w:szCs w:val="21"/>
              </w:rPr>
            </w:pPr>
            <w:r>
              <w:rPr>
                <w:sz w:val="21"/>
                <w:szCs w:val="21"/>
                <w:spacing w:val="-3"/>
              </w:rPr>
              <w:t>5670</w:t>
            </w:r>
          </w:p>
        </w:tc>
      </w:tr>
      <w:tr>
        <w:trPr>
          <w:trHeight w:val="509" w:hRule="atLeast"/>
        </w:trPr>
        <w:tc>
          <w:tcPr>
            <w:tcW w:w="525" w:type="dxa"/>
            <w:vAlign w:val="top"/>
            <w:vMerge w:val="continue"/>
            <w:tcBorders>
              <w:top w:val="nil"/>
              <w:bottom w:val="nil"/>
            </w:tcBorders>
          </w:tcPr>
          <w:p>
            <w:pPr>
              <w:rPr>
                <w:rFonts w:ascii="Arial"/>
                <w:sz w:val="21"/>
              </w:rPr>
            </w:pPr>
            <w:r/>
          </w:p>
        </w:tc>
        <w:tc>
          <w:tcPr>
            <w:tcW w:w="539" w:type="dxa"/>
            <w:vAlign w:val="top"/>
            <w:vMerge w:val="continue"/>
            <w:textDirection w:val="tbRlV"/>
            <w:tcBorders>
              <w:top w:val="nil"/>
              <w:bottom w:val="nil"/>
            </w:tcBorders>
          </w:tcPr>
          <w:p>
            <w:pPr>
              <w:rPr>
                <w:rFonts w:ascii="Arial"/>
                <w:sz w:val="21"/>
              </w:rPr>
            </w:pPr>
            <w:r/>
          </w:p>
        </w:tc>
        <w:tc>
          <w:tcPr>
            <w:tcW w:w="1458" w:type="dxa"/>
            <w:vAlign w:val="top"/>
            <w:vMerge w:val="continue"/>
            <w:tcBorders>
              <w:top w:val="nil"/>
              <w:bottom w:val="nil"/>
            </w:tcBorders>
          </w:tcPr>
          <w:p>
            <w:pPr>
              <w:rPr>
                <w:rFonts w:ascii="Arial"/>
                <w:sz w:val="21"/>
              </w:rPr>
            </w:pPr>
            <w:r/>
          </w:p>
        </w:tc>
        <w:tc>
          <w:tcPr>
            <w:tcW w:w="1099" w:type="dxa"/>
            <w:vAlign w:val="top"/>
          </w:tcPr>
          <w:p>
            <w:pPr>
              <w:pStyle w:val="TableText"/>
              <w:ind w:left="433"/>
              <w:spacing w:before="204" w:line="183" w:lineRule="auto"/>
              <w:rPr>
                <w:sz w:val="21"/>
                <w:szCs w:val="21"/>
              </w:rPr>
            </w:pPr>
            <w:r>
              <w:rPr>
                <w:sz w:val="21"/>
                <w:szCs w:val="21"/>
                <w:spacing w:val="-1"/>
              </w:rPr>
              <w:t>Ni</w:t>
            </w:r>
          </w:p>
        </w:tc>
        <w:tc>
          <w:tcPr>
            <w:tcW w:w="3566" w:type="dxa"/>
            <w:vAlign w:val="top"/>
            <w:vMerge w:val="continue"/>
            <w:tcBorders>
              <w:top w:val="nil"/>
              <w:bottom w:val="nil"/>
            </w:tcBorders>
          </w:tcPr>
          <w:p>
            <w:pPr>
              <w:rPr>
                <w:rFonts w:ascii="Arial"/>
                <w:sz w:val="21"/>
              </w:rPr>
            </w:pPr>
            <w:r/>
          </w:p>
        </w:tc>
        <w:tc>
          <w:tcPr>
            <w:tcW w:w="1239" w:type="dxa"/>
            <w:vAlign w:val="top"/>
          </w:tcPr>
          <w:p>
            <w:pPr>
              <w:pStyle w:val="TableText"/>
              <w:ind w:left="247"/>
              <w:spacing w:before="71"/>
              <w:rPr>
                <w:sz w:val="21"/>
                <w:szCs w:val="21"/>
              </w:rPr>
            </w:pPr>
            <w:r>
              <w:rPr>
                <w:sz w:val="21"/>
                <w:szCs w:val="21"/>
                <w:spacing w:val="12"/>
              </w:rPr>
              <w:t>&lt;0.05~</w:t>
            </w:r>
          </w:p>
          <w:p>
            <w:pPr>
              <w:pStyle w:val="TableText"/>
              <w:ind w:left="408"/>
              <w:spacing w:line="154" w:lineRule="exact"/>
              <w:rPr>
                <w:sz w:val="21"/>
                <w:szCs w:val="21"/>
              </w:rPr>
            </w:pPr>
            <w:r>
              <w:rPr>
                <w:sz w:val="21"/>
                <w:szCs w:val="21"/>
                <w:spacing w:val="-2"/>
                <w:position w:val="-3"/>
              </w:rPr>
              <w:t>0.08</w:t>
            </w:r>
          </w:p>
        </w:tc>
        <w:tc>
          <w:tcPr>
            <w:tcW w:w="1543" w:type="dxa"/>
            <w:vAlign w:val="top"/>
          </w:tcPr>
          <w:p>
            <w:pPr>
              <w:pStyle w:val="TableText"/>
              <w:ind w:left="449"/>
              <w:spacing w:before="204" w:line="183" w:lineRule="auto"/>
              <w:rPr>
                <w:sz w:val="21"/>
                <w:szCs w:val="21"/>
              </w:rPr>
            </w:pPr>
            <w:r>
              <w:rPr>
                <w:sz w:val="21"/>
                <w:szCs w:val="21"/>
                <w:spacing w:val="-2"/>
              </w:rPr>
              <w:t>0.0005</w:t>
            </w:r>
          </w:p>
        </w:tc>
      </w:tr>
      <w:tr>
        <w:trPr>
          <w:trHeight w:val="539" w:hRule="atLeast"/>
        </w:trPr>
        <w:tc>
          <w:tcPr>
            <w:tcW w:w="525" w:type="dxa"/>
            <w:vAlign w:val="top"/>
            <w:vMerge w:val="continue"/>
            <w:tcBorders>
              <w:top w:val="nil"/>
              <w:bottom w:val="nil"/>
            </w:tcBorders>
          </w:tcPr>
          <w:p>
            <w:pPr>
              <w:rPr>
                <w:rFonts w:ascii="Arial"/>
                <w:sz w:val="21"/>
              </w:rPr>
            </w:pPr>
            <w:r/>
          </w:p>
        </w:tc>
        <w:tc>
          <w:tcPr>
            <w:tcW w:w="539" w:type="dxa"/>
            <w:vAlign w:val="top"/>
            <w:vMerge w:val="continue"/>
            <w:textDirection w:val="tbRlV"/>
            <w:tcBorders>
              <w:top w:val="nil"/>
              <w:bottom w:val="nil"/>
            </w:tcBorders>
          </w:tcPr>
          <w:p>
            <w:pPr>
              <w:rPr>
                <w:rFonts w:ascii="Arial"/>
                <w:sz w:val="21"/>
              </w:rPr>
            </w:pPr>
            <w:r/>
          </w:p>
        </w:tc>
        <w:tc>
          <w:tcPr>
            <w:tcW w:w="1458" w:type="dxa"/>
            <w:vAlign w:val="top"/>
            <w:vMerge w:val="continue"/>
            <w:tcBorders>
              <w:top w:val="nil"/>
            </w:tcBorders>
          </w:tcPr>
          <w:p>
            <w:pPr>
              <w:rPr>
                <w:rFonts w:ascii="Arial"/>
                <w:sz w:val="21"/>
              </w:rPr>
            </w:pPr>
            <w:r/>
          </w:p>
        </w:tc>
        <w:tc>
          <w:tcPr>
            <w:tcW w:w="1099" w:type="dxa"/>
            <w:vAlign w:val="top"/>
          </w:tcPr>
          <w:p>
            <w:pPr>
              <w:pStyle w:val="TableText"/>
              <w:ind w:left="433"/>
              <w:spacing w:before="225" w:line="183" w:lineRule="auto"/>
              <w:rPr>
                <w:sz w:val="21"/>
                <w:szCs w:val="21"/>
              </w:rPr>
            </w:pPr>
            <w:r>
              <w:rPr>
                <w:sz w:val="21"/>
                <w:szCs w:val="21"/>
                <w:spacing w:val="-2"/>
              </w:rPr>
              <w:t>Co</w:t>
            </w:r>
          </w:p>
        </w:tc>
        <w:tc>
          <w:tcPr>
            <w:tcW w:w="3566" w:type="dxa"/>
            <w:vAlign w:val="top"/>
            <w:vMerge w:val="continue"/>
            <w:tcBorders>
              <w:top w:val="nil"/>
            </w:tcBorders>
          </w:tcPr>
          <w:p>
            <w:pPr>
              <w:rPr>
                <w:rFonts w:ascii="Arial"/>
                <w:sz w:val="21"/>
              </w:rPr>
            </w:pPr>
            <w:r/>
          </w:p>
        </w:tc>
        <w:tc>
          <w:tcPr>
            <w:tcW w:w="1239" w:type="dxa"/>
            <w:vAlign w:val="top"/>
          </w:tcPr>
          <w:p>
            <w:pPr>
              <w:pStyle w:val="TableText"/>
              <w:ind w:left="347"/>
              <w:spacing w:before="192" w:line="239" w:lineRule="auto"/>
              <w:rPr>
                <w:sz w:val="21"/>
                <w:szCs w:val="21"/>
              </w:rPr>
            </w:pPr>
            <w:r>
              <w:rPr>
                <w:sz w:val="21"/>
                <w:szCs w:val="21"/>
                <w:spacing w:val="-3"/>
              </w:rPr>
              <w:t>&lt;0.06</w:t>
            </w:r>
          </w:p>
        </w:tc>
        <w:tc>
          <w:tcPr>
            <w:tcW w:w="1543" w:type="dxa"/>
            <w:vAlign w:val="top"/>
          </w:tcPr>
          <w:p>
            <w:pPr>
              <w:pStyle w:val="TableText"/>
              <w:ind w:left="399"/>
              <w:spacing w:before="224" w:line="184" w:lineRule="auto"/>
              <w:rPr>
                <w:sz w:val="21"/>
                <w:szCs w:val="21"/>
              </w:rPr>
            </w:pPr>
            <w:r>
              <w:rPr>
                <w:sz w:val="21"/>
                <w:szCs w:val="21"/>
                <w:spacing w:val="-2"/>
              </w:rPr>
              <w:t>0.00017</w:t>
            </w:r>
          </w:p>
        </w:tc>
      </w:tr>
      <w:tr>
        <w:trPr>
          <w:trHeight w:val="309" w:hRule="atLeast"/>
        </w:trPr>
        <w:tc>
          <w:tcPr>
            <w:tcW w:w="525" w:type="dxa"/>
            <w:vAlign w:val="top"/>
            <w:vMerge w:val="continue"/>
            <w:tcBorders>
              <w:top w:val="nil"/>
              <w:bottom w:val="nil"/>
            </w:tcBorders>
          </w:tcPr>
          <w:p>
            <w:pPr>
              <w:rPr>
                <w:rFonts w:ascii="Arial"/>
                <w:sz w:val="21"/>
              </w:rPr>
            </w:pPr>
            <w:r/>
          </w:p>
        </w:tc>
        <w:tc>
          <w:tcPr>
            <w:tcW w:w="539" w:type="dxa"/>
            <w:vAlign w:val="top"/>
            <w:vMerge w:val="continue"/>
            <w:textDirection w:val="tbRlV"/>
            <w:tcBorders>
              <w:top w:val="nil"/>
              <w:bottom w:val="nil"/>
            </w:tcBorders>
          </w:tcPr>
          <w:p>
            <w:pPr>
              <w:rPr>
                <w:rFonts w:ascii="Arial"/>
                <w:sz w:val="21"/>
              </w:rPr>
            </w:pPr>
            <w:r/>
          </w:p>
        </w:tc>
        <w:tc>
          <w:tcPr>
            <w:tcW w:w="1458" w:type="dxa"/>
            <w:vAlign w:val="top"/>
            <w:vMerge w:val="restart"/>
            <w:tcBorders>
              <w:bottom w:val="nil"/>
            </w:tcBorders>
          </w:tcPr>
          <w:p>
            <w:pPr>
              <w:spacing w:line="362" w:lineRule="auto"/>
              <w:rPr>
                <w:rFonts w:ascii="Arial"/>
                <w:sz w:val="21"/>
              </w:rPr>
            </w:pPr>
            <w:r/>
          </w:p>
          <w:p>
            <w:pPr>
              <w:pStyle w:val="TableText"/>
              <w:ind w:left="190"/>
              <w:spacing w:before="68" w:line="219" w:lineRule="auto"/>
              <w:rPr>
                <w:sz w:val="21"/>
                <w:szCs w:val="21"/>
              </w:rPr>
            </w:pPr>
            <w:r>
              <w:rPr>
                <w:sz w:val="21"/>
                <w:szCs w:val="21"/>
                <w:spacing w:val="2"/>
              </w:rPr>
              <w:t>阴极生产废</w:t>
            </w:r>
          </w:p>
          <w:p>
            <w:pPr>
              <w:pStyle w:val="TableText"/>
              <w:ind w:left="91"/>
              <w:spacing w:before="30" w:line="219" w:lineRule="auto"/>
              <w:rPr>
                <w:sz w:val="21"/>
                <w:szCs w:val="21"/>
              </w:rPr>
            </w:pPr>
            <w:r>
              <w:rPr>
                <w:sz w:val="21"/>
                <w:szCs w:val="21"/>
                <w:spacing w:val="2"/>
              </w:rPr>
              <w:t>水、阳极生产</w:t>
            </w:r>
          </w:p>
          <w:p>
            <w:pPr>
              <w:pStyle w:val="TableText"/>
              <w:ind w:left="510"/>
              <w:spacing w:before="80" w:line="219" w:lineRule="auto"/>
              <w:rPr>
                <w:sz w:val="21"/>
                <w:szCs w:val="21"/>
              </w:rPr>
            </w:pPr>
            <w:r>
              <w:rPr>
                <w:sz w:val="21"/>
                <w:szCs w:val="21"/>
                <w:spacing w:val="-2"/>
              </w:rPr>
              <w:t>废水</w:t>
            </w:r>
          </w:p>
          <w:p>
            <w:pPr>
              <w:pStyle w:val="TableText"/>
              <w:ind w:left="351"/>
              <w:spacing w:before="44" w:line="222" w:lineRule="auto"/>
              <w:rPr>
                <w:sz w:val="21"/>
                <w:szCs w:val="21"/>
              </w:rPr>
            </w:pPr>
            <w:r>
              <w:rPr>
                <w:sz w:val="21"/>
                <w:szCs w:val="21"/>
                <w:spacing w:val="-6"/>
              </w:rPr>
              <w:t>(DW003)</w:t>
            </w:r>
          </w:p>
        </w:tc>
        <w:tc>
          <w:tcPr>
            <w:tcW w:w="1099" w:type="dxa"/>
            <w:vAlign w:val="top"/>
          </w:tcPr>
          <w:p>
            <w:pPr>
              <w:pStyle w:val="TableText"/>
              <w:ind w:left="222"/>
              <w:spacing w:before="52" w:line="217" w:lineRule="auto"/>
              <w:rPr>
                <w:sz w:val="21"/>
                <w:szCs w:val="21"/>
              </w:rPr>
            </w:pPr>
            <w:r>
              <w:rPr>
                <w:sz w:val="21"/>
                <w:szCs w:val="21"/>
                <w:spacing w:val="-2"/>
              </w:rPr>
              <w:t>废水量</w:t>
            </w:r>
          </w:p>
        </w:tc>
        <w:tc>
          <w:tcPr>
            <w:tcW w:w="3566" w:type="dxa"/>
            <w:vAlign w:val="top"/>
            <w:vMerge w:val="restart"/>
            <w:tcBorders>
              <w:bottom w:val="nil"/>
            </w:tcBorders>
          </w:tcPr>
          <w:p>
            <w:pPr>
              <w:pStyle w:val="TableText"/>
              <w:ind w:left="93"/>
              <w:spacing w:before="22" w:line="219" w:lineRule="auto"/>
              <w:rPr>
                <w:sz w:val="21"/>
                <w:szCs w:val="21"/>
              </w:rPr>
            </w:pPr>
            <w:r>
              <w:rPr>
                <w:sz w:val="21"/>
                <w:szCs w:val="21"/>
              </w:rPr>
              <w:t>阴极生产废水：阴极废水预处理系统</w:t>
            </w:r>
          </w:p>
          <w:p>
            <w:pPr>
              <w:pStyle w:val="TableText"/>
              <w:ind w:left="253"/>
              <w:spacing w:before="49" w:line="219" w:lineRule="auto"/>
              <w:rPr>
                <w:sz w:val="21"/>
                <w:szCs w:val="21"/>
              </w:rPr>
            </w:pPr>
            <w:r>
              <w:rPr>
                <w:sz w:val="21"/>
                <w:szCs w:val="21"/>
              </w:rPr>
              <w:t>(三级沉淀+芬顿氧化+混凝沉淀)+</w:t>
            </w:r>
          </w:p>
          <w:p>
            <w:pPr>
              <w:pStyle w:val="TableText"/>
              <w:ind w:left="204"/>
              <w:spacing w:before="22" w:line="220" w:lineRule="auto"/>
              <w:rPr>
                <w:sz w:val="21"/>
                <w:szCs w:val="21"/>
              </w:rPr>
            </w:pPr>
            <w:r>
              <w:rPr>
                <w:sz w:val="21"/>
                <w:szCs w:val="21"/>
                <w:spacing w:val="6"/>
              </w:rPr>
              <w:t>生化处理系统(预酸化+A²/O+二沉</w:t>
            </w:r>
          </w:p>
          <w:p>
            <w:pPr>
              <w:pStyle w:val="TableText"/>
              <w:ind w:left="1563"/>
              <w:spacing w:before="21" w:line="221" w:lineRule="auto"/>
              <w:rPr>
                <w:sz w:val="21"/>
                <w:szCs w:val="21"/>
              </w:rPr>
            </w:pPr>
            <w:r>
              <w:rPr>
                <w:sz w:val="21"/>
                <w:szCs w:val="21"/>
                <w:spacing w:val="14"/>
              </w:rPr>
              <w:t>池);</w:t>
            </w:r>
          </w:p>
          <w:p>
            <w:pPr>
              <w:pStyle w:val="TableText"/>
              <w:ind w:left="93"/>
              <w:spacing w:before="16" w:line="219" w:lineRule="auto"/>
              <w:rPr>
                <w:sz w:val="21"/>
                <w:szCs w:val="21"/>
              </w:rPr>
            </w:pPr>
            <w:r>
              <w:rPr>
                <w:sz w:val="21"/>
                <w:szCs w:val="21"/>
              </w:rPr>
              <w:t>阳极生产废水：阳极废水预处理系统</w:t>
            </w:r>
          </w:p>
          <w:p>
            <w:pPr>
              <w:pStyle w:val="TableText"/>
              <w:ind w:left="204"/>
              <w:spacing w:before="22" w:line="220" w:lineRule="auto"/>
              <w:rPr>
                <w:sz w:val="21"/>
                <w:szCs w:val="21"/>
              </w:rPr>
            </w:pPr>
            <w:r>
              <w:rPr>
                <w:sz w:val="21"/>
                <w:szCs w:val="21"/>
                <w:spacing w:val="1"/>
              </w:rPr>
              <w:t>(三级沉淀+混凝沉淀)+生化处理系</w:t>
            </w:r>
          </w:p>
          <w:p>
            <w:pPr>
              <w:pStyle w:val="TableText"/>
              <w:ind w:left="563"/>
              <w:spacing w:before="29" w:line="188" w:lineRule="auto"/>
              <w:rPr>
                <w:sz w:val="21"/>
                <w:szCs w:val="21"/>
              </w:rPr>
            </w:pPr>
            <w:r>
              <w:rPr>
                <w:sz w:val="21"/>
                <w:szCs w:val="21"/>
                <w:spacing w:val="10"/>
              </w:rPr>
              <w:t>统(预酸化+A²/O+二沉池)</w:t>
            </w:r>
          </w:p>
        </w:tc>
        <w:tc>
          <w:tcPr>
            <w:tcW w:w="1239" w:type="dxa"/>
            <w:vAlign w:val="top"/>
          </w:tcPr>
          <w:p>
            <w:pPr>
              <w:pStyle w:val="TableText"/>
              <w:ind w:left="597"/>
              <w:spacing w:before="82" w:line="20" w:lineRule="exact"/>
              <w:rPr>
                <w:sz w:val="3"/>
                <w:szCs w:val="3"/>
              </w:rPr>
            </w:pPr>
            <w:r>
              <w:rPr>
                <w:sz w:val="3"/>
                <w:szCs w:val="3"/>
              </w:rPr>
              <w:t>—</w:t>
            </w:r>
          </w:p>
        </w:tc>
        <w:tc>
          <w:tcPr>
            <w:tcW w:w="1543" w:type="dxa"/>
            <w:vAlign w:val="top"/>
          </w:tcPr>
          <w:p>
            <w:pPr>
              <w:pStyle w:val="TableText"/>
              <w:ind w:left="498"/>
              <w:spacing w:before="105" w:line="170" w:lineRule="auto"/>
              <w:rPr>
                <w:sz w:val="21"/>
                <w:szCs w:val="21"/>
              </w:rPr>
            </w:pPr>
            <w:r>
              <w:rPr>
                <w:sz w:val="21"/>
                <w:szCs w:val="21"/>
                <w:spacing w:val="-4"/>
              </w:rPr>
              <w:t>12420</w:t>
            </w:r>
          </w:p>
        </w:tc>
      </w:tr>
      <w:tr>
        <w:trPr>
          <w:trHeight w:val="290" w:hRule="atLeast"/>
        </w:trPr>
        <w:tc>
          <w:tcPr>
            <w:tcW w:w="525" w:type="dxa"/>
            <w:vAlign w:val="top"/>
            <w:vMerge w:val="continue"/>
            <w:tcBorders>
              <w:top w:val="nil"/>
              <w:bottom w:val="nil"/>
            </w:tcBorders>
          </w:tcPr>
          <w:p>
            <w:pPr>
              <w:rPr>
                <w:rFonts w:ascii="Arial"/>
                <w:sz w:val="21"/>
              </w:rPr>
            </w:pPr>
            <w:r/>
          </w:p>
        </w:tc>
        <w:tc>
          <w:tcPr>
            <w:tcW w:w="539" w:type="dxa"/>
            <w:vAlign w:val="top"/>
            <w:vMerge w:val="continue"/>
            <w:textDirection w:val="tbRlV"/>
            <w:tcBorders>
              <w:top w:val="nil"/>
              <w:bottom w:val="nil"/>
            </w:tcBorders>
          </w:tcPr>
          <w:p>
            <w:pPr>
              <w:rPr>
                <w:rFonts w:ascii="Arial"/>
                <w:sz w:val="21"/>
              </w:rPr>
            </w:pPr>
            <w:r/>
          </w:p>
        </w:tc>
        <w:tc>
          <w:tcPr>
            <w:tcW w:w="1458" w:type="dxa"/>
            <w:vAlign w:val="top"/>
            <w:vMerge w:val="continue"/>
            <w:tcBorders>
              <w:top w:val="nil"/>
              <w:bottom w:val="nil"/>
            </w:tcBorders>
          </w:tcPr>
          <w:p>
            <w:pPr>
              <w:rPr>
                <w:rFonts w:ascii="Arial"/>
                <w:sz w:val="21"/>
              </w:rPr>
            </w:pPr>
            <w:r/>
          </w:p>
        </w:tc>
        <w:tc>
          <w:tcPr>
            <w:tcW w:w="1099" w:type="dxa"/>
            <w:vAlign w:val="top"/>
          </w:tcPr>
          <w:p>
            <w:pPr>
              <w:pStyle w:val="TableText"/>
              <w:ind w:left="383"/>
              <w:spacing w:before="98" w:line="160" w:lineRule="auto"/>
              <w:rPr>
                <w:sz w:val="21"/>
                <w:szCs w:val="21"/>
              </w:rPr>
            </w:pPr>
            <w:r>
              <w:rPr>
                <w:sz w:val="21"/>
                <w:szCs w:val="21"/>
                <w:spacing w:val="-2"/>
              </w:rPr>
              <w:t>COD</w:t>
            </w:r>
          </w:p>
        </w:tc>
        <w:tc>
          <w:tcPr>
            <w:tcW w:w="3566" w:type="dxa"/>
            <w:vAlign w:val="top"/>
            <w:vMerge w:val="continue"/>
            <w:tcBorders>
              <w:top w:val="nil"/>
              <w:bottom w:val="nil"/>
            </w:tcBorders>
          </w:tcPr>
          <w:p>
            <w:pPr>
              <w:rPr>
                <w:rFonts w:ascii="Arial"/>
                <w:sz w:val="21"/>
              </w:rPr>
            </w:pPr>
            <w:r/>
          </w:p>
        </w:tc>
        <w:tc>
          <w:tcPr>
            <w:tcW w:w="1239" w:type="dxa"/>
            <w:vAlign w:val="top"/>
          </w:tcPr>
          <w:p>
            <w:pPr>
              <w:pStyle w:val="TableText"/>
              <w:ind w:left="297"/>
              <w:spacing w:before="96" w:line="161" w:lineRule="auto"/>
              <w:rPr>
                <w:sz w:val="21"/>
                <w:szCs w:val="21"/>
              </w:rPr>
            </w:pPr>
            <w:r>
              <w:rPr>
                <w:sz w:val="21"/>
                <w:szCs w:val="21"/>
                <w:spacing w:val="-4"/>
              </w:rPr>
              <w:t>15～18</w:t>
            </w:r>
          </w:p>
        </w:tc>
        <w:tc>
          <w:tcPr>
            <w:tcW w:w="1543" w:type="dxa"/>
            <w:vAlign w:val="top"/>
          </w:tcPr>
          <w:p>
            <w:pPr>
              <w:pStyle w:val="TableText"/>
              <w:ind w:left="498"/>
              <w:spacing w:before="96" w:line="161" w:lineRule="auto"/>
              <w:rPr>
                <w:sz w:val="21"/>
                <w:szCs w:val="21"/>
              </w:rPr>
            </w:pPr>
            <w:r>
              <w:rPr>
                <w:sz w:val="21"/>
                <w:szCs w:val="21"/>
                <w:spacing w:val="-2"/>
              </w:rPr>
              <w:t>0.192</w:t>
            </w:r>
          </w:p>
        </w:tc>
      </w:tr>
      <w:tr>
        <w:trPr>
          <w:trHeight w:val="309" w:hRule="atLeast"/>
        </w:trPr>
        <w:tc>
          <w:tcPr>
            <w:tcW w:w="525" w:type="dxa"/>
            <w:vAlign w:val="top"/>
            <w:vMerge w:val="continue"/>
            <w:tcBorders>
              <w:top w:val="nil"/>
              <w:bottom w:val="nil"/>
            </w:tcBorders>
          </w:tcPr>
          <w:p>
            <w:pPr>
              <w:rPr>
                <w:rFonts w:ascii="Arial"/>
                <w:sz w:val="21"/>
              </w:rPr>
            </w:pPr>
            <w:r/>
          </w:p>
        </w:tc>
        <w:tc>
          <w:tcPr>
            <w:tcW w:w="539" w:type="dxa"/>
            <w:vAlign w:val="top"/>
            <w:vMerge w:val="continue"/>
            <w:textDirection w:val="tbRlV"/>
            <w:tcBorders>
              <w:top w:val="nil"/>
              <w:bottom w:val="nil"/>
            </w:tcBorders>
          </w:tcPr>
          <w:p>
            <w:pPr>
              <w:rPr>
                <w:rFonts w:ascii="Arial"/>
                <w:sz w:val="21"/>
              </w:rPr>
            </w:pPr>
            <w:r/>
          </w:p>
        </w:tc>
        <w:tc>
          <w:tcPr>
            <w:tcW w:w="1458" w:type="dxa"/>
            <w:vAlign w:val="top"/>
            <w:vMerge w:val="continue"/>
            <w:tcBorders>
              <w:top w:val="nil"/>
              <w:bottom w:val="nil"/>
            </w:tcBorders>
          </w:tcPr>
          <w:p>
            <w:pPr>
              <w:rPr>
                <w:rFonts w:ascii="Arial"/>
                <w:sz w:val="21"/>
              </w:rPr>
            </w:pPr>
            <w:r/>
          </w:p>
        </w:tc>
        <w:tc>
          <w:tcPr>
            <w:tcW w:w="1099" w:type="dxa"/>
            <w:vAlign w:val="top"/>
          </w:tcPr>
          <w:p>
            <w:pPr>
              <w:pStyle w:val="TableText"/>
              <w:ind w:left="222"/>
              <w:spacing w:before="86" w:line="182" w:lineRule="auto"/>
              <w:rPr>
                <w:sz w:val="21"/>
                <w:szCs w:val="21"/>
              </w:rPr>
            </w:pPr>
            <w:r>
              <w:rPr>
                <w:sz w:val="21"/>
                <w:szCs w:val="21"/>
                <w:spacing w:val="-1"/>
              </w:rPr>
              <w:t>NH</w:t>
            </w:r>
            <w:r>
              <w:rPr>
                <w:rFonts w:ascii="Calibri" w:hAnsi="Calibri" w:eastAsia="Calibri" w:cs="Calibri"/>
                <w:sz w:val="21"/>
                <w:szCs w:val="21"/>
                <w:spacing w:val="-1"/>
              </w:rPr>
              <w:t>₃</w:t>
            </w:r>
            <w:r>
              <w:rPr>
                <w:sz w:val="21"/>
                <w:szCs w:val="21"/>
                <w:spacing w:val="-1"/>
              </w:rPr>
              <w:t>-N</w:t>
            </w:r>
          </w:p>
        </w:tc>
        <w:tc>
          <w:tcPr>
            <w:tcW w:w="3566" w:type="dxa"/>
            <w:vAlign w:val="top"/>
            <w:vMerge w:val="continue"/>
            <w:tcBorders>
              <w:top w:val="nil"/>
              <w:bottom w:val="nil"/>
            </w:tcBorders>
          </w:tcPr>
          <w:p>
            <w:pPr>
              <w:rPr>
                <w:rFonts w:ascii="Arial"/>
                <w:sz w:val="21"/>
              </w:rPr>
            </w:pPr>
            <w:r/>
          </w:p>
        </w:tc>
        <w:tc>
          <w:tcPr>
            <w:tcW w:w="1239" w:type="dxa"/>
            <w:vAlign w:val="top"/>
          </w:tcPr>
          <w:p>
            <w:pPr>
              <w:pStyle w:val="TableText"/>
              <w:ind w:left="138"/>
              <w:spacing w:before="74" w:line="197" w:lineRule="auto"/>
              <w:rPr>
                <w:sz w:val="21"/>
                <w:szCs w:val="21"/>
              </w:rPr>
            </w:pPr>
            <w:r>
              <w:rPr>
                <w:sz w:val="21"/>
                <w:szCs w:val="21"/>
                <w:spacing w:val="-2"/>
              </w:rPr>
              <w:t>21.6~23.1</w:t>
            </w:r>
          </w:p>
        </w:tc>
        <w:tc>
          <w:tcPr>
            <w:tcW w:w="1543" w:type="dxa"/>
            <w:vAlign w:val="top"/>
          </w:tcPr>
          <w:p>
            <w:pPr>
              <w:pStyle w:val="TableText"/>
              <w:ind w:left="498"/>
              <w:spacing w:before="107" w:line="168" w:lineRule="auto"/>
              <w:rPr>
                <w:sz w:val="21"/>
                <w:szCs w:val="21"/>
              </w:rPr>
            </w:pPr>
            <w:r>
              <w:rPr>
                <w:sz w:val="21"/>
                <w:szCs w:val="21"/>
                <w:spacing w:val="-2"/>
              </w:rPr>
              <w:t>0.278</w:t>
            </w:r>
          </w:p>
        </w:tc>
      </w:tr>
      <w:tr>
        <w:trPr>
          <w:trHeight w:val="310" w:hRule="atLeast"/>
        </w:trPr>
        <w:tc>
          <w:tcPr>
            <w:tcW w:w="525" w:type="dxa"/>
            <w:vAlign w:val="top"/>
            <w:vMerge w:val="continue"/>
            <w:tcBorders>
              <w:top w:val="nil"/>
              <w:bottom w:val="nil"/>
            </w:tcBorders>
          </w:tcPr>
          <w:p>
            <w:pPr>
              <w:rPr>
                <w:rFonts w:ascii="Arial"/>
                <w:sz w:val="21"/>
              </w:rPr>
            </w:pPr>
            <w:r/>
          </w:p>
        </w:tc>
        <w:tc>
          <w:tcPr>
            <w:tcW w:w="539" w:type="dxa"/>
            <w:vAlign w:val="top"/>
            <w:vMerge w:val="continue"/>
            <w:textDirection w:val="tbRlV"/>
            <w:tcBorders>
              <w:top w:val="nil"/>
              <w:bottom w:val="nil"/>
            </w:tcBorders>
          </w:tcPr>
          <w:p>
            <w:pPr>
              <w:rPr>
                <w:rFonts w:ascii="Arial"/>
                <w:sz w:val="21"/>
              </w:rPr>
            </w:pPr>
            <w:r/>
          </w:p>
        </w:tc>
        <w:tc>
          <w:tcPr>
            <w:tcW w:w="1458" w:type="dxa"/>
            <w:vAlign w:val="top"/>
            <w:vMerge w:val="continue"/>
            <w:tcBorders>
              <w:top w:val="nil"/>
              <w:bottom w:val="nil"/>
            </w:tcBorders>
          </w:tcPr>
          <w:p>
            <w:pPr>
              <w:rPr>
                <w:rFonts w:ascii="Arial"/>
                <w:sz w:val="21"/>
              </w:rPr>
            </w:pPr>
            <w:r/>
          </w:p>
        </w:tc>
        <w:tc>
          <w:tcPr>
            <w:tcW w:w="1099" w:type="dxa"/>
            <w:vAlign w:val="top"/>
          </w:tcPr>
          <w:p>
            <w:pPr>
              <w:pStyle w:val="TableText"/>
              <w:ind w:left="433"/>
              <w:spacing w:before="108" w:line="168" w:lineRule="auto"/>
              <w:rPr>
                <w:sz w:val="21"/>
                <w:szCs w:val="21"/>
              </w:rPr>
            </w:pPr>
            <w:r>
              <w:rPr>
                <w:sz w:val="21"/>
                <w:szCs w:val="21"/>
                <w:spacing w:val="-5"/>
              </w:rPr>
              <w:t>SS</w:t>
            </w:r>
          </w:p>
        </w:tc>
        <w:tc>
          <w:tcPr>
            <w:tcW w:w="3566" w:type="dxa"/>
            <w:vAlign w:val="top"/>
            <w:vMerge w:val="continue"/>
            <w:tcBorders>
              <w:top w:val="nil"/>
              <w:bottom w:val="nil"/>
            </w:tcBorders>
          </w:tcPr>
          <w:p>
            <w:pPr>
              <w:rPr>
                <w:rFonts w:ascii="Arial"/>
                <w:sz w:val="21"/>
              </w:rPr>
            </w:pPr>
            <w:r/>
          </w:p>
        </w:tc>
        <w:tc>
          <w:tcPr>
            <w:tcW w:w="1239" w:type="dxa"/>
            <w:vAlign w:val="top"/>
          </w:tcPr>
          <w:p>
            <w:pPr>
              <w:pStyle w:val="TableText"/>
              <w:ind w:left="458"/>
              <w:spacing w:before="75" w:line="197" w:lineRule="auto"/>
              <w:rPr>
                <w:sz w:val="21"/>
                <w:szCs w:val="21"/>
              </w:rPr>
            </w:pPr>
            <w:r>
              <w:rPr>
                <w:sz w:val="21"/>
                <w:szCs w:val="21"/>
                <w:spacing w:val="-3"/>
              </w:rPr>
              <w:t>6~7</w:t>
            </w:r>
          </w:p>
        </w:tc>
        <w:tc>
          <w:tcPr>
            <w:tcW w:w="1543" w:type="dxa"/>
            <w:vAlign w:val="top"/>
          </w:tcPr>
          <w:p>
            <w:pPr>
              <w:pStyle w:val="TableText"/>
              <w:ind w:left="498"/>
              <w:spacing w:before="107" w:line="169" w:lineRule="auto"/>
              <w:rPr>
                <w:sz w:val="21"/>
                <w:szCs w:val="21"/>
              </w:rPr>
            </w:pPr>
            <w:r>
              <w:rPr>
                <w:sz w:val="21"/>
                <w:szCs w:val="21"/>
                <w:spacing w:val="-2"/>
              </w:rPr>
              <w:t>0.081</w:t>
            </w:r>
          </w:p>
        </w:tc>
      </w:tr>
      <w:tr>
        <w:trPr>
          <w:trHeight w:val="649" w:hRule="atLeast"/>
        </w:trPr>
        <w:tc>
          <w:tcPr>
            <w:tcW w:w="525" w:type="dxa"/>
            <w:vAlign w:val="top"/>
            <w:vMerge w:val="continue"/>
            <w:tcBorders>
              <w:top w:val="nil"/>
              <w:bottom w:val="nil"/>
            </w:tcBorders>
          </w:tcPr>
          <w:p>
            <w:pPr>
              <w:rPr>
                <w:rFonts w:ascii="Arial"/>
                <w:sz w:val="21"/>
              </w:rPr>
            </w:pPr>
            <w:r/>
          </w:p>
        </w:tc>
        <w:tc>
          <w:tcPr>
            <w:tcW w:w="539" w:type="dxa"/>
            <w:vAlign w:val="top"/>
            <w:vMerge w:val="continue"/>
            <w:textDirection w:val="tbRlV"/>
            <w:tcBorders>
              <w:top w:val="nil"/>
            </w:tcBorders>
          </w:tcPr>
          <w:p>
            <w:pPr>
              <w:rPr>
                <w:rFonts w:ascii="Arial"/>
                <w:sz w:val="21"/>
              </w:rPr>
            </w:pPr>
            <w:r/>
          </w:p>
        </w:tc>
        <w:tc>
          <w:tcPr>
            <w:tcW w:w="1458" w:type="dxa"/>
            <w:vAlign w:val="top"/>
            <w:vMerge w:val="continue"/>
            <w:tcBorders>
              <w:top w:val="nil"/>
            </w:tcBorders>
          </w:tcPr>
          <w:p>
            <w:pPr>
              <w:rPr>
                <w:rFonts w:ascii="Arial"/>
                <w:sz w:val="21"/>
              </w:rPr>
            </w:pPr>
            <w:r/>
          </w:p>
        </w:tc>
        <w:tc>
          <w:tcPr>
            <w:tcW w:w="1099" w:type="dxa"/>
            <w:vAlign w:val="top"/>
          </w:tcPr>
          <w:p>
            <w:pPr>
              <w:pStyle w:val="TableText"/>
              <w:ind w:left="433"/>
              <w:spacing w:before="279" w:line="182" w:lineRule="auto"/>
              <w:rPr>
                <w:sz w:val="21"/>
                <w:szCs w:val="21"/>
              </w:rPr>
            </w:pPr>
            <w:r>
              <w:rPr>
                <w:sz w:val="21"/>
                <w:szCs w:val="21"/>
                <w:spacing w:val="-1"/>
              </w:rPr>
              <w:t>Mn</w:t>
            </w:r>
          </w:p>
        </w:tc>
        <w:tc>
          <w:tcPr>
            <w:tcW w:w="3566" w:type="dxa"/>
            <w:vAlign w:val="top"/>
            <w:vMerge w:val="continue"/>
            <w:tcBorders>
              <w:top w:val="nil"/>
            </w:tcBorders>
          </w:tcPr>
          <w:p>
            <w:pPr>
              <w:rPr>
                <w:rFonts w:ascii="Arial"/>
                <w:sz w:val="21"/>
              </w:rPr>
            </w:pPr>
            <w:r/>
          </w:p>
        </w:tc>
        <w:tc>
          <w:tcPr>
            <w:tcW w:w="1239" w:type="dxa"/>
            <w:vAlign w:val="top"/>
          </w:tcPr>
          <w:p>
            <w:pPr>
              <w:pStyle w:val="TableText"/>
              <w:ind w:left="408"/>
              <w:spacing w:before="277" w:line="184" w:lineRule="auto"/>
              <w:rPr>
                <w:sz w:val="21"/>
                <w:szCs w:val="21"/>
              </w:rPr>
            </w:pPr>
            <w:r>
              <w:rPr>
                <w:sz w:val="21"/>
                <w:szCs w:val="21"/>
                <w:spacing w:val="-2"/>
              </w:rPr>
              <w:t>0.10</w:t>
            </w:r>
          </w:p>
        </w:tc>
        <w:tc>
          <w:tcPr>
            <w:tcW w:w="1543" w:type="dxa"/>
            <w:vAlign w:val="top"/>
          </w:tcPr>
          <w:p>
            <w:pPr>
              <w:pStyle w:val="TableText"/>
              <w:ind w:left="498"/>
              <w:spacing w:before="277" w:line="184" w:lineRule="auto"/>
              <w:rPr>
                <w:sz w:val="21"/>
                <w:szCs w:val="21"/>
              </w:rPr>
            </w:pPr>
            <w:r>
              <w:rPr>
                <w:sz w:val="21"/>
                <w:szCs w:val="21"/>
                <w:spacing w:val="-2"/>
              </w:rPr>
              <w:t>0.012</w:t>
            </w:r>
          </w:p>
        </w:tc>
      </w:tr>
      <w:tr>
        <w:trPr>
          <w:trHeight w:val="310" w:hRule="atLeast"/>
        </w:trPr>
        <w:tc>
          <w:tcPr>
            <w:tcW w:w="525" w:type="dxa"/>
            <w:vAlign w:val="top"/>
            <w:vMerge w:val="continue"/>
            <w:tcBorders>
              <w:top w:val="nil"/>
              <w:bottom w:val="nil"/>
            </w:tcBorders>
          </w:tcPr>
          <w:p>
            <w:pPr>
              <w:rPr>
                <w:rFonts w:ascii="Arial"/>
                <w:sz w:val="21"/>
              </w:rPr>
            </w:pPr>
            <w:r/>
          </w:p>
        </w:tc>
        <w:tc>
          <w:tcPr>
            <w:tcW w:w="1997" w:type="dxa"/>
            <w:vAlign w:val="top"/>
            <w:gridSpan w:val="2"/>
            <w:vMerge w:val="restart"/>
            <w:tcBorders>
              <w:bottom w:val="nil"/>
            </w:tcBorders>
          </w:tcPr>
          <w:p>
            <w:pPr>
              <w:spacing w:line="257" w:lineRule="auto"/>
              <w:rPr>
                <w:rFonts w:ascii="Arial"/>
                <w:sz w:val="21"/>
              </w:rPr>
            </w:pPr>
            <w:r/>
          </w:p>
          <w:p>
            <w:pPr>
              <w:spacing w:line="257" w:lineRule="auto"/>
              <w:rPr>
                <w:rFonts w:ascii="Arial"/>
                <w:sz w:val="21"/>
              </w:rPr>
            </w:pPr>
            <w:r/>
          </w:p>
          <w:p>
            <w:pPr>
              <w:pStyle w:val="TableText"/>
              <w:ind w:left="199"/>
              <w:spacing w:before="68" w:line="219" w:lineRule="auto"/>
              <w:rPr>
                <w:sz w:val="21"/>
                <w:szCs w:val="21"/>
              </w:rPr>
            </w:pPr>
            <w:r>
              <w:rPr>
                <w:sz w:val="21"/>
                <w:szCs w:val="21"/>
                <w:spacing w:val="-2"/>
              </w:rPr>
              <w:t>生活污水(含食堂</w:t>
            </w:r>
          </w:p>
          <w:p>
            <w:pPr>
              <w:pStyle w:val="TableText"/>
              <w:ind w:left="719"/>
              <w:spacing w:before="40" w:line="219" w:lineRule="auto"/>
              <w:rPr>
                <w:sz w:val="21"/>
                <w:szCs w:val="21"/>
              </w:rPr>
            </w:pPr>
            <w:r>
              <w:rPr>
                <w:sz w:val="21"/>
                <w:szCs w:val="21"/>
                <w:spacing w:val="17"/>
              </w:rPr>
              <w:t>废水)</w:t>
            </w:r>
          </w:p>
        </w:tc>
        <w:tc>
          <w:tcPr>
            <w:tcW w:w="1099" w:type="dxa"/>
            <w:vAlign w:val="top"/>
          </w:tcPr>
          <w:p>
            <w:pPr>
              <w:pStyle w:val="TableText"/>
              <w:ind w:left="222"/>
              <w:spacing w:before="55" w:line="215" w:lineRule="auto"/>
              <w:rPr>
                <w:sz w:val="21"/>
                <w:szCs w:val="21"/>
              </w:rPr>
            </w:pPr>
            <w:r>
              <w:rPr>
                <w:sz w:val="21"/>
                <w:szCs w:val="21"/>
                <w:spacing w:val="-2"/>
              </w:rPr>
              <w:t>废水量</w:t>
            </w:r>
          </w:p>
        </w:tc>
        <w:tc>
          <w:tcPr>
            <w:tcW w:w="3566" w:type="dxa"/>
            <w:vAlign w:val="top"/>
            <w:vMerge w:val="restart"/>
            <w:tcBorders>
              <w:bottom w:val="nil"/>
            </w:tcBorders>
          </w:tcPr>
          <w:p>
            <w:pPr>
              <w:spacing w:line="311" w:lineRule="auto"/>
              <w:rPr>
                <w:rFonts w:ascii="Arial"/>
                <w:sz w:val="21"/>
              </w:rPr>
            </w:pPr>
            <w:r/>
          </w:p>
          <w:p>
            <w:pPr>
              <w:spacing w:line="312" w:lineRule="auto"/>
              <w:rPr>
                <w:rFonts w:ascii="Arial"/>
                <w:sz w:val="21"/>
              </w:rPr>
            </w:pPr>
            <w:r/>
          </w:p>
          <w:p>
            <w:pPr>
              <w:pStyle w:val="TableText"/>
              <w:ind w:left="93"/>
              <w:spacing w:before="68" w:line="219" w:lineRule="auto"/>
              <w:rPr>
                <w:sz w:val="21"/>
                <w:szCs w:val="21"/>
              </w:rPr>
            </w:pPr>
            <w:r>
              <w:rPr>
                <w:sz w:val="21"/>
                <w:szCs w:val="21"/>
                <w:spacing w:val="1"/>
              </w:rPr>
              <w:t>经化粪池处理后，排入市政污水管网</w:t>
            </w:r>
          </w:p>
        </w:tc>
        <w:tc>
          <w:tcPr>
            <w:tcW w:w="1239" w:type="dxa"/>
            <w:vAlign w:val="top"/>
          </w:tcPr>
          <w:p>
            <w:pPr>
              <w:pStyle w:val="TableText"/>
              <w:ind w:left="597"/>
              <w:spacing w:before="115" w:line="20" w:lineRule="exact"/>
              <w:rPr>
                <w:sz w:val="3"/>
                <w:szCs w:val="3"/>
              </w:rPr>
            </w:pPr>
            <w:r>
              <w:rPr>
                <w:sz w:val="3"/>
                <w:szCs w:val="3"/>
              </w:rPr>
              <w:t>—</w:t>
            </w:r>
          </w:p>
        </w:tc>
        <w:tc>
          <w:tcPr>
            <w:tcW w:w="1543" w:type="dxa"/>
            <w:vAlign w:val="top"/>
          </w:tcPr>
          <w:p>
            <w:pPr>
              <w:pStyle w:val="TableText"/>
              <w:ind w:left="498"/>
              <w:spacing w:before="110" w:line="167" w:lineRule="auto"/>
              <w:rPr>
                <w:sz w:val="21"/>
                <w:szCs w:val="21"/>
              </w:rPr>
            </w:pPr>
            <w:r>
              <w:rPr>
                <w:sz w:val="21"/>
                <w:szCs w:val="21"/>
                <w:spacing w:val="-2"/>
              </w:rPr>
              <w:t>37920</w:t>
            </w:r>
          </w:p>
        </w:tc>
      </w:tr>
      <w:tr>
        <w:trPr>
          <w:trHeight w:val="310" w:hRule="atLeast"/>
        </w:trPr>
        <w:tc>
          <w:tcPr>
            <w:tcW w:w="525" w:type="dxa"/>
            <w:vAlign w:val="top"/>
            <w:vMerge w:val="continue"/>
            <w:tcBorders>
              <w:top w:val="nil"/>
              <w:bottom w:val="nil"/>
            </w:tcBorders>
          </w:tcPr>
          <w:p>
            <w:pPr>
              <w:rPr>
                <w:rFonts w:ascii="Arial"/>
                <w:sz w:val="21"/>
              </w:rPr>
            </w:pPr>
            <w:r/>
          </w:p>
        </w:tc>
        <w:tc>
          <w:tcPr>
            <w:tcW w:w="1997" w:type="dxa"/>
            <w:vAlign w:val="top"/>
            <w:gridSpan w:val="2"/>
            <w:vMerge w:val="continue"/>
            <w:tcBorders>
              <w:top w:val="nil"/>
              <w:bottom w:val="nil"/>
            </w:tcBorders>
          </w:tcPr>
          <w:p>
            <w:pPr>
              <w:rPr>
                <w:rFonts w:ascii="Arial"/>
                <w:sz w:val="21"/>
              </w:rPr>
            </w:pPr>
            <w:r/>
          </w:p>
        </w:tc>
        <w:tc>
          <w:tcPr>
            <w:tcW w:w="1099" w:type="dxa"/>
            <w:vAlign w:val="top"/>
          </w:tcPr>
          <w:p>
            <w:pPr>
              <w:pStyle w:val="TableText"/>
              <w:ind w:left="383"/>
              <w:spacing w:before="110" w:line="167" w:lineRule="auto"/>
              <w:rPr>
                <w:sz w:val="21"/>
                <w:szCs w:val="21"/>
              </w:rPr>
            </w:pPr>
            <w:r>
              <w:rPr>
                <w:sz w:val="21"/>
                <w:szCs w:val="21"/>
                <w:spacing w:val="-2"/>
              </w:rPr>
              <w:t>COD</w:t>
            </w:r>
          </w:p>
        </w:tc>
        <w:tc>
          <w:tcPr>
            <w:tcW w:w="3566" w:type="dxa"/>
            <w:vAlign w:val="top"/>
            <w:vMerge w:val="continue"/>
            <w:tcBorders>
              <w:top w:val="nil"/>
              <w:bottom w:val="nil"/>
            </w:tcBorders>
          </w:tcPr>
          <w:p>
            <w:pPr>
              <w:rPr>
                <w:rFonts w:ascii="Arial"/>
                <w:sz w:val="21"/>
              </w:rPr>
            </w:pPr>
            <w:r/>
          </w:p>
        </w:tc>
        <w:tc>
          <w:tcPr>
            <w:tcW w:w="1239" w:type="dxa"/>
            <w:vAlign w:val="top"/>
          </w:tcPr>
          <w:p>
            <w:pPr>
              <w:pStyle w:val="TableText"/>
              <w:ind w:left="198"/>
              <w:spacing w:before="108" w:line="168" w:lineRule="auto"/>
              <w:rPr>
                <w:sz w:val="21"/>
                <w:szCs w:val="21"/>
              </w:rPr>
            </w:pPr>
            <w:r>
              <w:rPr>
                <w:sz w:val="21"/>
                <w:szCs w:val="21"/>
                <w:spacing w:val="-3"/>
              </w:rPr>
              <w:t>130～132</w:t>
            </w:r>
          </w:p>
        </w:tc>
        <w:tc>
          <w:tcPr>
            <w:tcW w:w="1543" w:type="dxa"/>
            <w:vAlign w:val="top"/>
          </w:tcPr>
          <w:p>
            <w:pPr>
              <w:pStyle w:val="TableText"/>
              <w:ind w:left="498"/>
              <w:spacing w:before="110" w:line="167" w:lineRule="auto"/>
              <w:rPr>
                <w:sz w:val="21"/>
                <w:szCs w:val="21"/>
              </w:rPr>
            </w:pPr>
            <w:r>
              <w:rPr>
                <w:sz w:val="21"/>
                <w:szCs w:val="21"/>
                <w:spacing w:val="-2"/>
              </w:rPr>
              <w:t>4.968</w:t>
            </w:r>
          </w:p>
        </w:tc>
      </w:tr>
      <w:tr>
        <w:trPr>
          <w:trHeight w:val="300" w:hRule="atLeast"/>
        </w:trPr>
        <w:tc>
          <w:tcPr>
            <w:tcW w:w="525" w:type="dxa"/>
            <w:vAlign w:val="top"/>
            <w:vMerge w:val="continue"/>
            <w:tcBorders>
              <w:top w:val="nil"/>
              <w:bottom w:val="nil"/>
            </w:tcBorders>
          </w:tcPr>
          <w:p>
            <w:pPr>
              <w:rPr>
                <w:rFonts w:ascii="Arial"/>
                <w:sz w:val="21"/>
              </w:rPr>
            </w:pPr>
            <w:r/>
          </w:p>
        </w:tc>
        <w:tc>
          <w:tcPr>
            <w:tcW w:w="1997" w:type="dxa"/>
            <w:vAlign w:val="top"/>
            <w:gridSpan w:val="2"/>
            <w:vMerge w:val="continue"/>
            <w:tcBorders>
              <w:top w:val="nil"/>
              <w:bottom w:val="nil"/>
            </w:tcBorders>
          </w:tcPr>
          <w:p>
            <w:pPr>
              <w:rPr>
                <w:rFonts w:ascii="Arial"/>
                <w:sz w:val="21"/>
              </w:rPr>
            </w:pPr>
            <w:r/>
          </w:p>
        </w:tc>
        <w:tc>
          <w:tcPr>
            <w:tcW w:w="1099" w:type="dxa"/>
            <w:vAlign w:val="top"/>
          </w:tcPr>
          <w:p>
            <w:pPr>
              <w:pStyle w:val="TableText"/>
              <w:ind w:left="333"/>
              <w:spacing w:before="110" w:line="158" w:lineRule="auto"/>
              <w:rPr>
                <w:sz w:val="21"/>
                <w:szCs w:val="21"/>
              </w:rPr>
            </w:pPr>
            <w:r>
              <w:rPr>
                <w:sz w:val="21"/>
                <w:szCs w:val="21"/>
                <w:spacing w:val="-1"/>
              </w:rPr>
              <w:t>BODs</w:t>
            </w:r>
          </w:p>
        </w:tc>
        <w:tc>
          <w:tcPr>
            <w:tcW w:w="3566" w:type="dxa"/>
            <w:vAlign w:val="top"/>
            <w:vMerge w:val="continue"/>
            <w:tcBorders>
              <w:top w:val="nil"/>
              <w:bottom w:val="nil"/>
            </w:tcBorders>
          </w:tcPr>
          <w:p>
            <w:pPr>
              <w:rPr>
                <w:rFonts w:ascii="Arial"/>
                <w:sz w:val="21"/>
              </w:rPr>
            </w:pPr>
            <w:r/>
          </w:p>
        </w:tc>
        <w:tc>
          <w:tcPr>
            <w:tcW w:w="1239" w:type="dxa"/>
            <w:vAlign w:val="top"/>
          </w:tcPr>
          <w:p>
            <w:pPr>
              <w:pStyle w:val="TableText"/>
              <w:ind w:left="138"/>
              <w:spacing w:before="76" w:line="188" w:lineRule="auto"/>
              <w:rPr>
                <w:sz w:val="21"/>
                <w:szCs w:val="21"/>
              </w:rPr>
            </w:pPr>
            <w:r>
              <w:rPr>
                <w:sz w:val="21"/>
                <w:szCs w:val="21"/>
                <w:spacing w:val="-2"/>
              </w:rPr>
              <w:t>35.1~46.0</w:t>
            </w:r>
          </w:p>
        </w:tc>
        <w:tc>
          <w:tcPr>
            <w:tcW w:w="1543" w:type="dxa"/>
            <w:vAlign w:val="top"/>
          </w:tcPr>
          <w:p>
            <w:pPr>
              <w:pStyle w:val="TableText"/>
              <w:ind w:left="498"/>
              <w:spacing w:before="109" w:line="159" w:lineRule="auto"/>
              <w:rPr>
                <w:sz w:val="21"/>
                <w:szCs w:val="21"/>
              </w:rPr>
            </w:pPr>
            <w:r>
              <w:rPr>
                <w:sz w:val="21"/>
                <w:szCs w:val="21"/>
                <w:spacing w:val="-4"/>
              </w:rPr>
              <w:t>1.538</w:t>
            </w:r>
          </w:p>
        </w:tc>
      </w:tr>
      <w:tr>
        <w:trPr>
          <w:trHeight w:val="310" w:hRule="atLeast"/>
        </w:trPr>
        <w:tc>
          <w:tcPr>
            <w:tcW w:w="525" w:type="dxa"/>
            <w:vAlign w:val="top"/>
            <w:vMerge w:val="continue"/>
            <w:tcBorders>
              <w:top w:val="nil"/>
              <w:bottom w:val="nil"/>
            </w:tcBorders>
          </w:tcPr>
          <w:p>
            <w:pPr>
              <w:rPr>
                <w:rFonts w:ascii="Arial"/>
                <w:sz w:val="21"/>
              </w:rPr>
            </w:pPr>
            <w:r/>
          </w:p>
        </w:tc>
        <w:tc>
          <w:tcPr>
            <w:tcW w:w="1997" w:type="dxa"/>
            <w:vAlign w:val="top"/>
            <w:gridSpan w:val="2"/>
            <w:vMerge w:val="continue"/>
            <w:tcBorders>
              <w:top w:val="nil"/>
              <w:bottom w:val="nil"/>
            </w:tcBorders>
          </w:tcPr>
          <w:p>
            <w:pPr>
              <w:rPr>
                <w:rFonts w:ascii="Arial"/>
                <w:sz w:val="21"/>
              </w:rPr>
            </w:pPr>
            <w:r/>
          </w:p>
        </w:tc>
        <w:tc>
          <w:tcPr>
            <w:tcW w:w="1099" w:type="dxa"/>
            <w:vAlign w:val="top"/>
          </w:tcPr>
          <w:p>
            <w:pPr>
              <w:pStyle w:val="TableText"/>
              <w:ind w:left="222"/>
              <w:spacing w:before="88" w:line="182" w:lineRule="auto"/>
              <w:rPr>
                <w:sz w:val="21"/>
                <w:szCs w:val="21"/>
              </w:rPr>
            </w:pPr>
            <w:r>
              <w:rPr>
                <w:sz w:val="21"/>
                <w:szCs w:val="21"/>
                <w:spacing w:val="-1"/>
              </w:rPr>
              <w:t>NH</w:t>
            </w:r>
            <w:r>
              <w:rPr>
                <w:rFonts w:ascii="Calibri" w:hAnsi="Calibri" w:eastAsia="Calibri" w:cs="Calibri"/>
                <w:sz w:val="21"/>
                <w:szCs w:val="21"/>
                <w:spacing w:val="-1"/>
              </w:rPr>
              <w:t>₃</w:t>
            </w:r>
            <w:r>
              <w:rPr>
                <w:sz w:val="21"/>
                <w:szCs w:val="21"/>
                <w:spacing w:val="-1"/>
              </w:rPr>
              <w:t>-N</w:t>
            </w:r>
          </w:p>
        </w:tc>
        <w:tc>
          <w:tcPr>
            <w:tcW w:w="3566" w:type="dxa"/>
            <w:vAlign w:val="top"/>
            <w:vMerge w:val="continue"/>
            <w:tcBorders>
              <w:top w:val="nil"/>
              <w:bottom w:val="nil"/>
            </w:tcBorders>
          </w:tcPr>
          <w:p>
            <w:pPr>
              <w:rPr>
                <w:rFonts w:ascii="Arial"/>
                <w:sz w:val="21"/>
              </w:rPr>
            </w:pPr>
            <w:r/>
          </w:p>
        </w:tc>
        <w:tc>
          <w:tcPr>
            <w:tcW w:w="1239" w:type="dxa"/>
            <w:vAlign w:val="top"/>
          </w:tcPr>
          <w:p>
            <w:pPr>
              <w:pStyle w:val="TableText"/>
              <w:ind w:left="87"/>
              <w:spacing w:before="110" w:line="167" w:lineRule="auto"/>
              <w:rPr>
                <w:sz w:val="21"/>
                <w:szCs w:val="21"/>
              </w:rPr>
            </w:pPr>
            <w:r>
              <w:rPr>
                <w:sz w:val="21"/>
                <w:szCs w:val="21"/>
                <w:spacing w:val="-2"/>
              </w:rPr>
              <w:t>38.3～39.7</w:t>
            </w:r>
          </w:p>
        </w:tc>
        <w:tc>
          <w:tcPr>
            <w:tcW w:w="1543" w:type="dxa"/>
            <w:vAlign w:val="top"/>
          </w:tcPr>
          <w:p>
            <w:pPr>
              <w:pStyle w:val="TableText"/>
              <w:ind w:left="498"/>
              <w:spacing w:before="108" w:line="168" w:lineRule="auto"/>
              <w:rPr>
                <w:sz w:val="21"/>
                <w:szCs w:val="21"/>
              </w:rPr>
            </w:pPr>
            <w:r>
              <w:rPr>
                <w:sz w:val="21"/>
                <w:szCs w:val="21"/>
                <w:spacing w:val="-4"/>
              </w:rPr>
              <w:t>1.479</w:t>
            </w:r>
          </w:p>
        </w:tc>
      </w:tr>
      <w:tr>
        <w:trPr>
          <w:trHeight w:val="310" w:hRule="atLeast"/>
        </w:trPr>
        <w:tc>
          <w:tcPr>
            <w:tcW w:w="525" w:type="dxa"/>
            <w:vAlign w:val="top"/>
            <w:vMerge w:val="continue"/>
            <w:tcBorders>
              <w:top w:val="nil"/>
              <w:bottom w:val="nil"/>
            </w:tcBorders>
          </w:tcPr>
          <w:p>
            <w:pPr>
              <w:rPr>
                <w:rFonts w:ascii="Arial"/>
                <w:sz w:val="21"/>
              </w:rPr>
            </w:pPr>
            <w:r/>
          </w:p>
        </w:tc>
        <w:tc>
          <w:tcPr>
            <w:tcW w:w="1997" w:type="dxa"/>
            <w:vAlign w:val="top"/>
            <w:gridSpan w:val="2"/>
            <w:vMerge w:val="continue"/>
            <w:tcBorders>
              <w:top w:val="nil"/>
            </w:tcBorders>
          </w:tcPr>
          <w:p>
            <w:pPr>
              <w:rPr>
                <w:rFonts w:ascii="Arial"/>
                <w:sz w:val="21"/>
              </w:rPr>
            </w:pPr>
            <w:r/>
          </w:p>
        </w:tc>
        <w:tc>
          <w:tcPr>
            <w:tcW w:w="1099" w:type="dxa"/>
            <w:vAlign w:val="top"/>
          </w:tcPr>
          <w:p>
            <w:pPr>
              <w:pStyle w:val="TableText"/>
              <w:ind w:left="433"/>
              <w:spacing w:before="110" w:line="167" w:lineRule="auto"/>
              <w:rPr>
                <w:sz w:val="21"/>
                <w:szCs w:val="21"/>
              </w:rPr>
            </w:pPr>
            <w:r>
              <w:rPr>
                <w:sz w:val="21"/>
                <w:szCs w:val="21"/>
                <w:spacing w:val="-5"/>
              </w:rPr>
              <w:t>SS</w:t>
            </w:r>
          </w:p>
        </w:tc>
        <w:tc>
          <w:tcPr>
            <w:tcW w:w="3566" w:type="dxa"/>
            <w:vAlign w:val="top"/>
            <w:vMerge w:val="continue"/>
            <w:tcBorders>
              <w:top w:val="nil"/>
            </w:tcBorders>
          </w:tcPr>
          <w:p>
            <w:pPr>
              <w:rPr>
                <w:rFonts w:ascii="Arial"/>
                <w:sz w:val="21"/>
              </w:rPr>
            </w:pPr>
            <w:r/>
          </w:p>
        </w:tc>
        <w:tc>
          <w:tcPr>
            <w:tcW w:w="1239" w:type="dxa"/>
            <w:vAlign w:val="top"/>
          </w:tcPr>
          <w:p>
            <w:pPr>
              <w:pStyle w:val="TableText"/>
              <w:ind w:left="347"/>
              <w:spacing w:before="77" w:line="196" w:lineRule="auto"/>
              <w:rPr>
                <w:sz w:val="21"/>
                <w:szCs w:val="21"/>
              </w:rPr>
            </w:pPr>
            <w:r>
              <w:rPr>
                <w:sz w:val="21"/>
                <w:szCs w:val="21"/>
                <w:spacing w:val="-4"/>
              </w:rPr>
              <w:t>12~15</w:t>
            </w:r>
          </w:p>
        </w:tc>
        <w:tc>
          <w:tcPr>
            <w:tcW w:w="1543" w:type="dxa"/>
            <w:vAlign w:val="top"/>
          </w:tcPr>
          <w:p>
            <w:pPr>
              <w:pStyle w:val="TableText"/>
              <w:ind w:left="498"/>
              <w:spacing w:before="108" w:line="168" w:lineRule="auto"/>
              <w:rPr>
                <w:sz w:val="21"/>
                <w:szCs w:val="21"/>
              </w:rPr>
            </w:pPr>
            <w:r>
              <w:rPr>
                <w:sz w:val="21"/>
                <w:szCs w:val="21"/>
                <w:spacing w:val="-2"/>
              </w:rPr>
              <w:t>0.512</w:t>
            </w:r>
          </w:p>
        </w:tc>
      </w:tr>
      <w:tr>
        <w:trPr>
          <w:trHeight w:val="589" w:hRule="atLeast"/>
        </w:trPr>
        <w:tc>
          <w:tcPr>
            <w:tcW w:w="525" w:type="dxa"/>
            <w:vAlign w:val="top"/>
            <w:vMerge w:val="continue"/>
            <w:tcBorders>
              <w:top w:val="nil"/>
              <w:bottom w:val="nil"/>
            </w:tcBorders>
          </w:tcPr>
          <w:p>
            <w:pPr>
              <w:rPr>
                <w:rFonts w:ascii="Arial"/>
                <w:sz w:val="21"/>
              </w:rPr>
            </w:pPr>
            <w:r/>
          </w:p>
        </w:tc>
        <w:tc>
          <w:tcPr>
            <w:tcW w:w="539" w:type="dxa"/>
            <w:vAlign w:val="top"/>
            <w:vMerge w:val="restart"/>
            <w:textDirection w:val="tbRlV"/>
            <w:tcBorders>
              <w:bottom w:val="nil"/>
            </w:tcBorders>
          </w:tcPr>
          <w:p>
            <w:pPr>
              <w:pStyle w:val="TableText"/>
              <w:ind w:left="636"/>
              <w:spacing w:before="108" w:line="217" w:lineRule="auto"/>
              <w:rPr>
                <w:sz w:val="21"/>
                <w:szCs w:val="21"/>
              </w:rPr>
            </w:pPr>
            <w:r>
              <w:rPr>
                <w:sz w:val="21"/>
                <w:szCs w:val="21"/>
              </w:rPr>
              <w:t>其</w:t>
            </w:r>
            <w:r>
              <w:rPr>
                <w:sz w:val="21"/>
                <w:szCs w:val="21"/>
                <w:spacing w:val="29"/>
              </w:rPr>
              <w:t xml:space="preserve"> </w:t>
            </w:r>
            <w:r>
              <w:rPr>
                <w:sz w:val="21"/>
                <w:szCs w:val="21"/>
              </w:rPr>
              <w:t>他</w:t>
            </w:r>
          </w:p>
        </w:tc>
        <w:tc>
          <w:tcPr>
            <w:tcW w:w="1458" w:type="dxa"/>
            <w:vAlign w:val="top"/>
          </w:tcPr>
          <w:p>
            <w:pPr>
              <w:pStyle w:val="TableText"/>
              <w:ind w:left="508" w:hanging="417"/>
              <w:spacing w:before="76" w:line="221" w:lineRule="auto"/>
              <w:rPr>
                <w:sz w:val="21"/>
                <w:szCs w:val="21"/>
              </w:rPr>
            </w:pPr>
            <w:r>
              <w:rPr>
                <w:sz w:val="21"/>
                <w:szCs w:val="21"/>
                <w:spacing w:val="16"/>
              </w:rPr>
              <w:t>锅炉排污水、</w:t>
            </w:r>
            <w:r>
              <w:rPr>
                <w:sz w:val="21"/>
                <w:szCs w:val="21"/>
              </w:rPr>
              <w:t xml:space="preserve"> </w:t>
            </w:r>
            <w:r>
              <w:rPr>
                <w:sz w:val="21"/>
                <w:szCs w:val="21"/>
                <w:spacing w:val="-3"/>
              </w:rPr>
              <w:t>浓水</w:t>
            </w:r>
          </w:p>
        </w:tc>
        <w:tc>
          <w:tcPr>
            <w:tcW w:w="1099" w:type="dxa"/>
            <w:vAlign w:val="top"/>
          </w:tcPr>
          <w:p>
            <w:pPr>
              <w:pStyle w:val="TableText"/>
              <w:ind w:left="222"/>
              <w:spacing w:before="195" w:line="219" w:lineRule="auto"/>
              <w:rPr>
                <w:sz w:val="21"/>
                <w:szCs w:val="21"/>
              </w:rPr>
            </w:pPr>
            <w:r>
              <w:rPr>
                <w:sz w:val="21"/>
                <w:szCs w:val="21"/>
                <w:spacing w:val="-2"/>
              </w:rPr>
              <w:t>废水量</w:t>
            </w:r>
          </w:p>
        </w:tc>
        <w:tc>
          <w:tcPr>
            <w:tcW w:w="3566" w:type="dxa"/>
            <w:vAlign w:val="top"/>
          </w:tcPr>
          <w:p>
            <w:pPr>
              <w:pStyle w:val="TableText"/>
              <w:ind w:left="724"/>
              <w:spacing w:before="195" w:line="219" w:lineRule="auto"/>
              <w:rPr>
                <w:sz w:val="21"/>
                <w:szCs w:val="21"/>
              </w:rPr>
            </w:pPr>
            <w:r>
              <w:rPr>
                <w:sz w:val="21"/>
                <w:szCs w:val="21"/>
                <w:spacing w:val="2"/>
              </w:rPr>
              <w:t>排入厂区生活污水管网</w:t>
            </w:r>
          </w:p>
        </w:tc>
        <w:tc>
          <w:tcPr>
            <w:tcW w:w="1239" w:type="dxa"/>
            <w:vAlign w:val="top"/>
          </w:tcPr>
          <w:p>
            <w:pPr>
              <w:spacing w:line="283" w:lineRule="auto"/>
              <w:rPr>
                <w:rFonts w:ascii="Arial"/>
                <w:sz w:val="21"/>
              </w:rPr>
            </w:pPr>
            <w:r/>
          </w:p>
          <w:p>
            <w:pPr>
              <w:pStyle w:val="TableText"/>
              <w:ind w:left="587"/>
              <w:spacing w:before="10" w:line="20" w:lineRule="exact"/>
              <w:rPr>
                <w:sz w:val="3"/>
                <w:szCs w:val="3"/>
              </w:rPr>
            </w:pPr>
            <w:r>
              <w:rPr>
                <w:sz w:val="3"/>
                <w:szCs w:val="3"/>
                <w:spacing w:val="-1"/>
              </w:rPr>
              <w:t>——</w:t>
            </w:r>
          </w:p>
        </w:tc>
        <w:tc>
          <w:tcPr>
            <w:tcW w:w="1543" w:type="dxa"/>
            <w:vAlign w:val="top"/>
          </w:tcPr>
          <w:p>
            <w:pPr>
              <w:pStyle w:val="TableText"/>
              <w:ind w:left="498"/>
              <w:spacing w:before="248" w:line="184" w:lineRule="auto"/>
              <w:rPr>
                <w:sz w:val="21"/>
                <w:szCs w:val="21"/>
              </w:rPr>
            </w:pPr>
            <w:r>
              <w:rPr>
                <w:sz w:val="21"/>
                <w:szCs w:val="21"/>
                <w:spacing w:val="-4"/>
              </w:rPr>
              <w:t>12672</w:t>
            </w:r>
          </w:p>
        </w:tc>
      </w:tr>
      <w:tr>
        <w:trPr>
          <w:trHeight w:val="609" w:hRule="atLeast"/>
        </w:trPr>
        <w:tc>
          <w:tcPr>
            <w:tcW w:w="525" w:type="dxa"/>
            <w:vAlign w:val="top"/>
            <w:vMerge w:val="continue"/>
            <w:tcBorders>
              <w:top w:val="nil"/>
              <w:bottom w:val="nil"/>
            </w:tcBorders>
          </w:tcPr>
          <w:p>
            <w:pPr>
              <w:rPr>
                <w:rFonts w:ascii="Arial"/>
                <w:sz w:val="21"/>
              </w:rPr>
            </w:pPr>
            <w:r/>
          </w:p>
        </w:tc>
        <w:tc>
          <w:tcPr>
            <w:tcW w:w="539" w:type="dxa"/>
            <w:vAlign w:val="top"/>
            <w:vMerge w:val="continue"/>
            <w:textDirection w:val="tbRlV"/>
            <w:tcBorders>
              <w:top w:val="nil"/>
              <w:bottom w:val="nil"/>
            </w:tcBorders>
          </w:tcPr>
          <w:p>
            <w:pPr>
              <w:rPr>
                <w:rFonts w:ascii="Arial"/>
                <w:sz w:val="21"/>
              </w:rPr>
            </w:pPr>
            <w:r/>
          </w:p>
        </w:tc>
        <w:tc>
          <w:tcPr>
            <w:tcW w:w="1458" w:type="dxa"/>
            <w:vAlign w:val="top"/>
          </w:tcPr>
          <w:p>
            <w:pPr>
              <w:pStyle w:val="TableText"/>
              <w:ind w:left="509" w:right="158" w:hanging="369"/>
              <w:spacing w:before="75" w:line="230" w:lineRule="auto"/>
              <w:rPr>
                <w:sz w:val="21"/>
                <w:szCs w:val="21"/>
              </w:rPr>
            </w:pPr>
            <w:r>
              <w:rPr>
                <w:sz w:val="21"/>
                <w:szCs w:val="21"/>
                <w:spacing w:val="-1"/>
              </w:rPr>
              <w:t>RO/DI水系统</w:t>
            </w:r>
            <w:r>
              <w:rPr>
                <w:sz w:val="21"/>
                <w:szCs w:val="21"/>
              </w:rPr>
              <w:t xml:space="preserve"> </w:t>
            </w:r>
            <w:r>
              <w:rPr>
                <w:sz w:val="21"/>
                <w:szCs w:val="21"/>
                <w:spacing w:val="-2"/>
              </w:rPr>
              <w:t>废水</w:t>
            </w:r>
          </w:p>
        </w:tc>
        <w:tc>
          <w:tcPr>
            <w:tcW w:w="1099" w:type="dxa"/>
            <w:vAlign w:val="top"/>
          </w:tcPr>
          <w:p>
            <w:pPr>
              <w:pStyle w:val="TableText"/>
              <w:ind w:left="222"/>
              <w:spacing w:before="206" w:line="219" w:lineRule="auto"/>
              <w:rPr>
                <w:sz w:val="21"/>
                <w:szCs w:val="21"/>
              </w:rPr>
            </w:pPr>
            <w:r>
              <w:rPr>
                <w:sz w:val="21"/>
                <w:szCs w:val="21"/>
                <w:spacing w:val="-2"/>
              </w:rPr>
              <w:t>废水量</w:t>
            </w:r>
          </w:p>
        </w:tc>
        <w:tc>
          <w:tcPr>
            <w:tcW w:w="3566" w:type="dxa"/>
            <w:vAlign w:val="top"/>
          </w:tcPr>
          <w:p>
            <w:pPr>
              <w:pStyle w:val="TableText"/>
              <w:ind w:left="724"/>
              <w:spacing w:before="206" w:line="219" w:lineRule="auto"/>
              <w:rPr>
                <w:sz w:val="21"/>
                <w:szCs w:val="21"/>
              </w:rPr>
            </w:pPr>
            <w:r>
              <w:rPr>
                <w:sz w:val="21"/>
                <w:szCs w:val="21"/>
                <w:spacing w:val="2"/>
              </w:rPr>
              <w:t>排入厂区生活污水管网</w:t>
            </w:r>
          </w:p>
        </w:tc>
        <w:tc>
          <w:tcPr>
            <w:tcW w:w="1239" w:type="dxa"/>
            <w:vAlign w:val="top"/>
          </w:tcPr>
          <w:p>
            <w:pPr>
              <w:ind w:left="597"/>
              <w:spacing w:before="113" w:line="242" w:lineRule="exact"/>
              <w:tabs>
                <w:tab w:val="left" w:pos="637"/>
              </w:tabs>
              <w:rPr>
                <w:rFonts w:ascii="Arial"/>
                <w:sz w:val="21"/>
              </w:rPr>
            </w:pPr>
            <w:r>
              <w:rPr>
                <w:rFonts w:ascii="Arial" w:hAnsi="Arial" w:eastAsia="Arial" w:cs="Arial"/>
                <w:sz w:val="21"/>
                <w:szCs w:val="21"/>
                <w:u w:val="single" w:color="auto"/>
              </w:rPr>
              <w:tab/>
            </w:r>
          </w:p>
        </w:tc>
        <w:tc>
          <w:tcPr>
            <w:tcW w:w="1543" w:type="dxa"/>
            <w:vAlign w:val="top"/>
          </w:tcPr>
          <w:p>
            <w:pPr>
              <w:pStyle w:val="TableText"/>
              <w:ind w:left="558"/>
              <w:spacing w:before="260" w:line="183" w:lineRule="auto"/>
              <w:rPr>
                <w:sz w:val="21"/>
                <w:szCs w:val="21"/>
              </w:rPr>
            </w:pPr>
            <w:r>
              <w:rPr>
                <w:sz w:val="21"/>
                <w:szCs w:val="21"/>
                <w:spacing w:val="-2"/>
              </w:rPr>
              <w:t>9480</w:t>
            </w:r>
          </w:p>
        </w:tc>
      </w:tr>
      <w:tr>
        <w:trPr>
          <w:trHeight w:val="609" w:hRule="atLeast"/>
        </w:trPr>
        <w:tc>
          <w:tcPr>
            <w:tcW w:w="525" w:type="dxa"/>
            <w:vAlign w:val="top"/>
            <w:vMerge w:val="continue"/>
            <w:tcBorders>
              <w:top w:val="nil"/>
              <w:bottom w:val="nil"/>
            </w:tcBorders>
          </w:tcPr>
          <w:p>
            <w:pPr>
              <w:rPr>
                <w:rFonts w:ascii="Arial"/>
                <w:sz w:val="21"/>
              </w:rPr>
            </w:pPr>
            <w:r/>
          </w:p>
        </w:tc>
        <w:tc>
          <w:tcPr>
            <w:tcW w:w="539" w:type="dxa"/>
            <w:vAlign w:val="top"/>
            <w:vMerge w:val="continue"/>
            <w:textDirection w:val="tbRlV"/>
            <w:tcBorders>
              <w:top w:val="nil"/>
            </w:tcBorders>
          </w:tcPr>
          <w:p>
            <w:pPr>
              <w:rPr>
                <w:rFonts w:ascii="Arial"/>
                <w:sz w:val="21"/>
              </w:rPr>
            </w:pPr>
            <w:r/>
          </w:p>
        </w:tc>
        <w:tc>
          <w:tcPr>
            <w:tcW w:w="1458" w:type="dxa"/>
            <w:vAlign w:val="top"/>
          </w:tcPr>
          <w:p>
            <w:pPr>
              <w:pStyle w:val="TableText"/>
              <w:ind w:left="610" w:right="215" w:hanging="420"/>
              <w:spacing w:before="87" w:line="225" w:lineRule="auto"/>
              <w:rPr>
                <w:sz w:val="21"/>
                <w:szCs w:val="21"/>
              </w:rPr>
            </w:pPr>
            <w:r>
              <w:rPr>
                <w:sz w:val="21"/>
                <w:szCs w:val="21"/>
                <w:spacing w:val="-2"/>
              </w:rPr>
              <w:t>循环冷却废</w:t>
            </w:r>
            <w:r>
              <w:rPr>
                <w:sz w:val="21"/>
                <w:szCs w:val="21"/>
              </w:rPr>
              <w:t xml:space="preserve"> </w:t>
            </w:r>
            <w:r>
              <w:rPr>
                <w:sz w:val="21"/>
                <w:szCs w:val="21"/>
              </w:rPr>
              <w:t>水</w:t>
            </w:r>
          </w:p>
        </w:tc>
        <w:tc>
          <w:tcPr>
            <w:tcW w:w="1099" w:type="dxa"/>
            <w:vAlign w:val="top"/>
          </w:tcPr>
          <w:p>
            <w:pPr>
              <w:pStyle w:val="TableText"/>
              <w:ind w:left="222"/>
              <w:spacing w:before="207" w:line="219" w:lineRule="auto"/>
              <w:rPr>
                <w:sz w:val="21"/>
                <w:szCs w:val="21"/>
              </w:rPr>
            </w:pPr>
            <w:r>
              <w:rPr>
                <w:sz w:val="21"/>
                <w:szCs w:val="21"/>
                <w:spacing w:val="-2"/>
              </w:rPr>
              <w:t>废水量</w:t>
            </w:r>
          </w:p>
        </w:tc>
        <w:tc>
          <w:tcPr>
            <w:tcW w:w="3566" w:type="dxa"/>
            <w:vAlign w:val="top"/>
          </w:tcPr>
          <w:p>
            <w:pPr>
              <w:pStyle w:val="TableText"/>
              <w:ind w:left="724"/>
              <w:spacing w:before="207" w:line="219" w:lineRule="auto"/>
              <w:rPr>
                <w:sz w:val="21"/>
                <w:szCs w:val="21"/>
              </w:rPr>
            </w:pPr>
            <w:r>
              <w:rPr>
                <w:sz w:val="21"/>
                <w:szCs w:val="21"/>
                <w:spacing w:val="2"/>
              </w:rPr>
              <w:t>排入厂区生活污水管网</w:t>
            </w:r>
          </w:p>
        </w:tc>
        <w:tc>
          <w:tcPr>
            <w:tcW w:w="1239" w:type="dxa"/>
            <w:vAlign w:val="top"/>
          </w:tcPr>
          <w:p>
            <w:pPr>
              <w:spacing w:line="295" w:lineRule="auto"/>
              <w:rPr>
                <w:rFonts w:ascii="Arial"/>
                <w:sz w:val="21"/>
              </w:rPr>
            </w:pPr>
            <w:r/>
          </w:p>
          <w:p>
            <w:pPr>
              <w:pStyle w:val="TableText"/>
              <w:ind w:left="587"/>
              <w:spacing w:before="10" w:line="20" w:lineRule="exact"/>
              <w:rPr>
                <w:sz w:val="3"/>
                <w:szCs w:val="3"/>
              </w:rPr>
            </w:pPr>
            <w:r>
              <w:rPr>
                <w:sz w:val="3"/>
                <w:szCs w:val="3"/>
                <w:spacing w:val="-1"/>
              </w:rPr>
              <w:t>——</w:t>
            </w:r>
          </w:p>
        </w:tc>
        <w:tc>
          <w:tcPr>
            <w:tcW w:w="1543" w:type="dxa"/>
            <w:vAlign w:val="top"/>
          </w:tcPr>
          <w:p>
            <w:pPr>
              <w:pStyle w:val="TableText"/>
              <w:ind w:left="558"/>
              <w:spacing w:before="261" w:line="183" w:lineRule="auto"/>
              <w:rPr>
                <w:sz w:val="21"/>
                <w:szCs w:val="21"/>
              </w:rPr>
            </w:pPr>
            <w:r>
              <w:rPr>
                <w:sz w:val="21"/>
                <w:szCs w:val="21"/>
                <w:spacing w:val="-2"/>
              </w:rPr>
              <w:t>4020</w:t>
            </w:r>
          </w:p>
        </w:tc>
      </w:tr>
      <w:tr>
        <w:trPr>
          <w:trHeight w:val="614" w:hRule="atLeast"/>
        </w:trPr>
        <w:tc>
          <w:tcPr>
            <w:tcW w:w="525" w:type="dxa"/>
            <w:vAlign w:val="top"/>
            <w:vMerge w:val="continue"/>
            <w:tcBorders>
              <w:top w:val="nil"/>
            </w:tcBorders>
          </w:tcPr>
          <w:p>
            <w:pPr>
              <w:rPr>
                <w:rFonts w:ascii="Arial"/>
                <w:sz w:val="21"/>
              </w:rPr>
            </w:pPr>
            <w:r/>
          </w:p>
        </w:tc>
        <w:tc>
          <w:tcPr>
            <w:tcW w:w="9444" w:type="dxa"/>
            <w:vAlign w:val="top"/>
            <w:gridSpan w:val="6"/>
          </w:tcPr>
          <w:p>
            <w:pPr>
              <w:pStyle w:val="TableText"/>
              <w:ind w:left="249" w:right="594" w:hanging="30"/>
              <w:spacing w:before="57"/>
              <w:rPr>
                <w:sz w:val="21"/>
                <w:szCs w:val="21"/>
              </w:rPr>
            </w:pPr>
            <w:r>
              <w:rPr>
                <w:sz w:val="21"/>
                <w:szCs w:val="21"/>
              </w:rPr>
              <w:t>备注：(1)工作制度以300天/年计；(2)锅炉软化浓水及排污水，纯水制备废水，循环冷却系统</w:t>
            </w:r>
            <w:r>
              <w:rPr>
                <w:sz w:val="21"/>
                <w:szCs w:val="21"/>
                <w:spacing w:val="8"/>
              </w:rPr>
              <w:t xml:space="preserve"> </w:t>
            </w:r>
            <w:r>
              <w:rPr>
                <w:sz w:val="21"/>
                <w:szCs w:val="21"/>
                <w:spacing w:val="-5"/>
              </w:rPr>
              <w:t>废水不计算污染物排放量；    (3)阶段性验</w:t>
            </w:r>
            <w:r>
              <w:rPr>
                <w:sz w:val="21"/>
                <w:szCs w:val="21"/>
                <w:spacing w:val="-6"/>
              </w:rPr>
              <w:t>收排放量按验收监测数据的平均值计算</w:t>
            </w:r>
          </w:p>
        </w:tc>
      </w:tr>
    </w:tbl>
    <w:p>
      <w:pPr>
        <w:rPr>
          <w:rFonts w:ascii="Arial"/>
          <w:sz w:val="21"/>
        </w:rPr>
      </w:pPr>
      <w:r/>
    </w:p>
    <w:p>
      <w:pPr>
        <w:sectPr>
          <w:footerReference w:type="default" r:id="rId49"/>
          <w:pgSz w:w="11900" w:h="16840"/>
          <w:pgMar w:top="990" w:right="1009" w:bottom="1005" w:left="840" w:header="0" w:footer="856" w:gutter="0"/>
        </w:sectPr>
        <w:rPr>
          <w:rFonts w:ascii="Arial" w:hAnsi="Arial" w:eastAsia="Arial" w:cs="Arial"/>
          <w:sz w:val="21"/>
          <w:szCs w:val="21"/>
        </w:rPr>
      </w:pPr>
    </w:p>
    <w:tbl>
      <w:tblPr>
        <w:tblStyle w:val="TableNormal"/>
        <w:tblW w:w="10003"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34"/>
        <w:gridCol w:w="9469"/>
      </w:tblGrid>
      <w:tr>
        <w:trPr>
          <w:trHeight w:val="10520" w:hRule="atLeast"/>
        </w:trPr>
        <w:tc>
          <w:tcPr>
            <w:tcW w:w="534" w:type="dxa"/>
            <w:vAlign w:val="top"/>
          </w:tcPr>
          <w:p>
            <w:pPr>
              <w:rPr>
                <w:rFonts w:ascii="Arial"/>
                <w:sz w:val="21"/>
              </w:rPr>
            </w:pPr>
            <w:r/>
          </w:p>
        </w:tc>
        <w:tc>
          <w:tcPr>
            <w:tcW w:w="9469" w:type="dxa"/>
            <w:vAlign w:val="top"/>
          </w:tcPr>
          <w:p>
            <w:pPr>
              <w:pStyle w:val="TableText"/>
              <w:ind w:left="114"/>
              <w:spacing w:before="52" w:line="220" w:lineRule="auto"/>
              <w:rPr>
                <w:sz w:val="24"/>
                <w:szCs w:val="24"/>
              </w:rPr>
            </w:pPr>
            <w:r>
              <w:rPr>
                <w:sz w:val="24"/>
                <w:szCs w:val="24"/>
                <w:b/>
                <w:bCs/>
                <w:spacing w:val="-4"/>
              </w:rPr>
              <w:t>3、噪声治理及排放情况</w:t>
            </w:r>
          </w:p>
          <w:p>
            <w:pPr>
              <w:pStyle w:val="TableText"/>
              <w:ind w:left="591"/>
              <w:spacing w:before="138" w:line="214" w:lineRule="auto"/>
              <w:rPr>
                <w:sz w:val="24"/>
                <w:szCs w:val="24"/>
              </w:rPr>
            </w:pPr>
            <w:r>
              <w:rPr>
                <w:sz w:val="24"/>
                <w:szCs w:val="24"/>
              </w:rPr>
              <w:t>现有工程——时代一汽年产20gwh动力电池生产线扩建项目噪声主要来源于厂房搅</w:t>
            </w:r>
          </w:p>
          <w:p>
            <w:pPr>
              <w:pStyle w:val="TableText"/>
              <w:spacing w:before="219" w:line="463" w:lineRule="exact"/>
              <w:jc w:val="right"/>
              <w:rPr>
                <w:sz w:val="24"/>
                <w:szCs w:val="24"/>
              </w:rPr>
            </w:pPr>
            <w:r>
              <w:rPr>
                <w:sz w:val="24"/>
                <w:szCs w:val="24"/>
                <w:spacing w:val="-1"/>
                <w:position w:val="16"/>
              </w:rPr>
              <w:t>拌区的搅拌机、模切分条机、空压机、冻水机组、锅炉以及污水处理站的鼓风机、废气处</w:t>
            </w:r>
          </w:p>
          <w:p>
            <w:pPr>
              <w:pStyle w:val="TableText"/>
              <w:ind w:left="120"/>
              <w:spacing w:line="213" w:lineRule="auto"/>
              <w:rPr>
                <w:sz w:val="24"/>
                <w:szCs w:val="24"/>
              </w:rPr>
            </w:pPr>
            <w:r>
              <w:rPr>
                <w:sz w:val="24"/>
                <w:szCs w:val="24"/>
              </w:rPr>
              <w:t>理设施的风机。现有工程——时代一汽年产20gwh动力电池生产线扩建项目采取了优先</w:t>
            </w:r>
          </w:p>
          <w:p>
            <w:pPr>
              <w:pStyle w:val="TableText"/>
              <w:ind w:left="120"/>
              <w:spacing w:before="188" w:line="219" w:lineRule="auto"/>
              <w:rPr>
                <w:sz w:val="24"/>
                <w:szCs w:val="24"/>
              </w:rPr>
            </w:pPr>
            <w:r>
              <w:rPr>
                <w:sz w:val="24"/>
                <w:szCs w:val="24"/>
                <w:spacing w:val="3"/>
              </w:rPr>
              <w:t>选用低噪声、低振动型号的设备；采取减振隔声，高噪声设备大多数设置在室内；</w:t>
            </w:r>
          </w:p>
          <w:p>
            <w:pPr>
              <w:pStyle w:val="TableText"/>
              <w:ind w:left="120"/>
              <w:spacing w:before="186" w:line="440" w:lineRule="exact"/>
              <w:rPr>
                <w:sz w:val="24"/>
                <w:szCs w:val="24"/>
              </w:rPr>
            </w:pPr>
            <w:r>
              <w:rPr>
                <w:sz w:val="24"/>
                <w:szCs w:val="24"/>
                <w:position w:val="15"/>
              </w:rPr>
              <w:t>合理布局室外噪声源；加强对各噪声设备的保养、检</w:t>
            </w:r>
            <w:r>
              <w:rPr>
                <w:sz w:val="24"/>
                <w:szCs w:val="24"/>
                <w:spacing w:val="-1"/>
                <w:position w:val="15"/>
              </w:rPr>
              <w:t>修与润滑，保证设备良好运</w:t>
            </w:r>
          </w:p>
          <w:p>
            <w:pPr>
              <w:pStyle w:val="TableText"/>
              <w:ind w:left="110"/>
              <w:spacing w:before="1" w:line="219" w:lineRule="auto"/>
              <w:rPr>
                <w:sz w:val="24"/>
                <w:szCs w:val="24"/>
              </w:rPr>
            </w:pPr>
            <w:r>
              <w:rPr>
                <w:sz w:val="24"/>
                <w:szCs w:val="24"/>
              </w:rPr>
              <w:t>转，减轻运行噪声强度，杜绝因设备不正常运转时产生的高噪声现</w:t>
            </w:r>
            <w:r>
              <w:rPr>
                <w:sz w:val="24"/>
                <w:szCs w:val="24"/>
                <w:spacing w:val="-1"/>
              </w:rPr>
              <w:t>象。</w:t>
            </w:r>
          </w:p>
          <w:p>
            <w:pPr>
              <w:pStyle w:val="TableText"/>
              <w:ind w:left="130" w:right="335" w:firstLine="460"/>
              <w:spacing w:before="186" w:line="366" w:lineRule="auto"/>
              <w:rPr>
                <w:sz w:val="24"/>
                <w:szCs w:val="24"/>
              </w:rPr>
            </w:pPr>
            <w:r>
              <w:rPr>
                <w:sz w:val="24"/>
                <w:szCs w:val="24"/>
              </w:rPr>
              <w:t>根据《时代一汽动力电池有限公司年产20gwh动力电池生产线扩建项目阶段性竣工</w:t>
            </w:r>
            <w:r>
              <w:rPr>
                <w:sz w:val="24"/>
                <w:szCs w:val="24"/>
                <w:spacing w:val="11"/>
              </w:rPr>
              <w:t xml:space="preserve"> </w:t>
            </w:r>
            <w:r>
              <w:rPr>
                <w:sz w:val="24"/>
                <w:szCs w:val="24"/>
              </w:rPr>
              <w:t>环境保护验收报告表》(6.7gwh)可知：验收监测期间，厂界噪声</w:t>
            </w:r>
            <w:r>
              <w:rPr>
                <w:sz w:val="24"/>
                <w:szCs w:val="24"/>
                <w:spacing w:val="-1"/>
              </w:rPr>
              <w:t>各监测点昼间LAeq值</w:t>
            </w:r>
          </w:p>
          <w:p>
            <w:pPr>
              <w:pStyle w:val="TableText"/>
              <w:ind w:left="130"/>
              <w:spacing w:before="1" w:line="214" w:lineRule="auto"/>
              <w:rPr>
                <w:sz w:val="24"/>
                <w:szCs w:val="24"/>
              </w:rPr>
            </w:pPr>
            <w:r>
              <w:rPr>
                <w:sz w:val="24"/>
                <w:szCs w:val="24"/>
              </w:rPr>
              <w:t>范围为53.8～56.1dB(A),夜间LAeq值范围为44.2～49.9dB(A),均符合《工业企业</w:t>
            </w:r>
          </w:p>
          <w:p>
            <w:pPr>
              <w:pStyle w:val="TableText"/>
              <w:ind w:left="120" w:right="405"/>
              <w:spacing w:before="188" w:line="359" w:lineRule="auto"/>
              <w:rPr>
                <w:sz w:val="24"/>
                <w:szCs w:val="24"/>
              </w:rPr>
            </w:pPr>
            <w:r>
              <w:rPr>
                <w:sz w:val="24"/>
                <w:szCs w:val="24"/>
                <w:spacing w:val="1"/>
              </w:rPr>
              <w:t>厂界环境噪声排放标准》(</w:t>
            </w:r>
            <w:r>
              <w:rPr>
                <w:sz w:val="24"/>
                <w:szCs w:val="24"/>
              </w:rPr>
              <w:t>GB</w:t>
            </w:r>
            <w:r>
              <w:rPr>
                <w:sz w:val="24"/>
                <w:szCs w:val="24"/>
                <w:spacing w:val="1"/>
              </w:rPr>
              <w:t>12348-2008)中3类区标准限值的要求，即昼间≤65</w:t>
            </w:r>
            <w:r>
              <w:rPr>
                <w:sz w:val="24"/>
                <w:szCs w:val="24"/>
              </w:rPr>
              <w:t>dB</w:t>
            </w:r>
            <w:r>
              <w:rPr>
                <w:sz w:val="24"/>
                <w:szCs w:val="24"/>
                <w:spacing w:val="1"/>
              </w:rPr>
              <w:t>(A)</w:t>
            </w:r>
            <w:r>
              <w:rPr>
                <w:sz w:val="24"/>
                <w:szCs w:val="24"/>
                <w:spacing w:val="7"/>
              </w:rPr>
              <w:t xml:space="preserve"> </w:t>
            </w:r>
            <w:r>
              <w:rPr>
                <w:sz w:val="24"/>
                <w:szCs w:val="24"/>
                <w:spacing w:val="2"/>
              </w:rPr>
              <w:t>夜间≤55</w:t>
            </w:r>
            <w:r>
              <w:rPr>
                <w:sz w:val="24"/>
                <w:szCs w:val="24"/>
              </w:rPr>
              <w:t>dB</w:t>
            </w:r>
            <w:r>
              <w:rPr>
                <w:sz w:val="24"/>
                <w:szCs w:val="24"/>
                <w:spacing w:val="2"/>
              </w:rPr>
              <w:t>(A);敏感点大沙村、石雷洋村声环境昼间</w:t>
            </w:r>
            <w:r>
              <w:rPr>
                <w:sz w:val="24"/>
                <w:szCs w:val="24"/>
              </w:rPr>
              <w:t>LAeq</w:t>
            </w:r>
            <w:r>
              <w:rPr>
                <w:sz w:val="24"/>
                <w:szCs w:val="24"/>
                <w:spacing w:val="2"/>
              </w:rPr>
              <w:t>值范围为53</w:t>
            </w:r>
            <w:r>
              <w:rPr>
                <w:sz w:val="24"/>
                <w:szCs w:val="24"/>
                <w:spacing w:val="1"/>
              </w:rPr>
              <w:t>.0-55.5</w:t>
            </w:r>
            <w:r>
              <w:rPr>
                <w:sz w:val="24"/>
                <w:szCs w:val="24"/>
              </w:rPr>
              <w:t>dB</w:t>
            </w:r>
            <w:r>
              <w:rPr>
                <w:sz w:val="24"/>
                <w:szCs w:val="24"/>
                <w:spacing w:val="1"/>
              </w:rPr>
              <w:t>(A),</w:t>
            </w:r>
          </w:p>
          <w:p>
            <w:pPr>
              <w:pStyle w:val="TableText"/>
              <w:ind w:left="120"/>
              <w:spacing w:line="214" w:lineRule="auto"/>
              <w:rPr>
                <w:sz w:val="24"/>
                <w:szCs w:val="24"/>
              </w:rPr>
            </w:pPr>
            <w:r>
              <w:rPr>
                <w:sz w:val="24"/>
                <w:szCs w:val="24"/>
                <w:spacing w:val="1"/>
              </w:rPr>
              <w:t>夜间</w:t>
            </w:r>
            <w:r>
              <w:rPr>
                <w:sz w:val="24"/>
                <w:szCs w:val="24"/>
              </w:rPr>
              <w:t>LAeq</w:t>
            </w:r>
            <w:r>
              <w:rPr>
                <w:sz w:val="24"/>
                <w:szCs w:val="24"/>
                <w:spacing w:val="1"/>
              </w:rPr>
              <w:t>值范围为42.9～48.8</w:t>
            </w:r>
            <w:r>
              <w:rPr>
                <w:sz w:val="24"/>
                <w:szCs w:val="24"/>
              </w:rPr>
              <w:t>dB</w:t>
            </w:r>
            <w:r>
              <w:rPr>
                <w:sz w:val="24"/>
                <w:szCs w:val="24"/>
                <w:spacing w:val="1"/>
              </w:rPr>
              <w:t>(A),均符合《声</w:t>
            </w:r>
            <w:r>
              <w:rPr>
                <w:sz w:val="24"/>
                <w:szCs w:val="24"/>
              </w:rPr>
              <w:t>环境质量标准》(GB3096-2008)中</w:t>
            </w:r>
          </w:p>
          <w:p>
            <w:pPr>
              <w:pStyle w:val="TableText"/>
              <w:ind w:left="100"/>
              <w:spacing w:before="175" w:line="216" w:lineRule="auto"/>
              <w:rPr>
                <w:sz w:val="24"/>
                <w:szCs w:val="24"/>
              </w:rPr>
            </w:pPr>
            <w:r>
              <w:rPr>
                <w:sz w:val="24"/>
                <w:szCs w:val="24"/>
              </w:rPr>
              <w:t>2类区标准限值的要求，即昼间≤60dB(A),夜间≤50dB(A</w:t>
            </w:r>
            <w:r>
              <w:rPr>
                <w:sz w:val="24"/>
                <w:szCs w:val="24"/>
                <w:spacing w:val="-1"/>
              </w:rPr>
              <w:t>)。</w:t>
            </w:r>
          </w:p>
          <w:p>
            <w:pPr>
              <w:pStyle w:val="TableText"/>
              <w:ind w:left="591"/>
              <w:spacing w:before="213" w:line="220" w:lineRule="auto"/>
              <w:rPr>
                <w:sz w:val="24"/>
                <w:szCs w:val="24"/>
              </w:rPr>
            </w:pPr>
            <w:r>
              <w:rPr>
                <w:sz w:val="24"/>
                <w:szCs w:val="24"/>
                <w:spacing w:val="-1"/>
              </w:rPr>
              <w:t>项目噪声排放对周边声环境影响是可接受的。</w:t>
            </w:r>
          </w:p>
          <w:p>
            <w:pPr>
              <w:pStyle w:val="TableText"/>
              <w:ind w:left="124"/>
              <w:spacing w:before="201" w:line="220" w:lineRule="auto"/>
              <w:rPr>
                <w:sz w:val="24"/>
                <w:szCs w:val="24"/>
              </w:rPr>
            </w:pPr>
            <w:r>
              <w:rPr>
                <w:sz w:val="24"/>
                <w:szCs w:val="24"/>
                <w:b/>
                <w:bCs/>
                <w:spacing w:val="-4"/>
              </w:rPr>
              <w:t>4、固体废物处置及排放情况</w:t>
            </w:r>
          </w:p>
          <w:p>
            <w:pPr>
              <w:pStyle w:val="TableText"/>
              <w:ind w:left="130" w:right="314" w:firstLine="480"/>
              <w:spacing w:before="156" w:line="370" w:lineRule="auto"/>
              <w:jc w:val="both"/>
              <w:rPr>
                <w:sz w:val="24"/>
                <w:szCs w:val="24"/>
              </w:rPr>
            </w:pPr>
            <w:r>
              <w:rPr>
                <w:sz w:val="24"/>
                <w:szCs w:val="24"/>
              </w:rPr>
              <w:t>因阶段性验收期间仅统计2023年1月-2月的转运数据，不全面，故二期工程——时</w:t>
            </w:r>
            <w:r>
              <w:rPr>
                <w:sz w:val="24"/>
                <w:szCs w:val="24"/>
                <w:spacing w:val="12"/>
              </w:rPr>
              <w:t xml:space="preserve"> </w:t>
            </w:r>
            <w:r>
              <w:rPr>
                <w:sz w:val="24"/>
                <w:szCs w:val="24"/>
              </w:rPr>
              <w:t>代一汽年产20gwh动力电池生产线扩建项目固体废物产生及处置引用环评阶段数据，见</w:t>
            </w:r>
          </w:p>
          <w:p>
            <w:pPr>
              <w:pStyle w:val="TableText"/>
              <w:ind w:left="120"/>
              <w:spacing w:before="1" w:line="220" w:lineRule="auto"/>
              <w:rPr>
                <w:sz w:val="24"/>
                <w:szCs w:val="24"/>
              </w:rPr>
            </w:pPr>
            <w:r>
              <w:rPr>
                <w:sz w:val="24"/>
                <w:szCs w:val="24"/>
                <w:spacing w:val="1"/>
              </w:rPr>
              <w:t>表2.8-9。</w:t>
            </w:r>
          </w:p>
        </w:tc>
      </w:tr>
    </w:tbl>
    <w:p>
      <w:pPr>
        <w:rPr>
          <w:rFonts w:ascii="Arial"/>
          <w:sz w:val="21"/>
        </w:rPr>
      </w:pPr>
      <w:r/>
    </w:p>
    <w:p>
      <w:pPr>
        <w:sectPr>
          <w:footerReference w:type="default" r:id="rId51"/>
          <w:pgSz w:w="11900" w:h="16840"/>
          <w:pgMar w:top="985" w:right="1021" w:bottom="988" w:left="865" w:header="0" w:footer="849" w:gutter="0"/>
        </w:sectPr>
        <w:rPr>
          <w:rFonts w:ascii="Arial" w:hAnsi="Arial" w:eastAsia="Arial" w:cs="Arial"/>
          <w:sz w:val="21"/>
          <w:szCs w:val="21"/>
        </w:rPr>
      </w:pPr>
    </w:p>
    <w:p>
      <w:pPr>
        <w:pStyle w:val="BodyText"/>
        <w:ind w:left="2098"/>
        <w:spacing w:before="53" w:line="212" w:lineRule="auto"/>
        <w:rPr>
          <w:sz w:val="25"/>
          <w:szCs w:val="25"/>
        </w:rPr>
      </w:pPr>
      <w:r>
        <w:rPr>
          <w:sz w:val="25"/>
          <w:szCs w:val="25"/>
          <w:b/>
          <w:bCs/>
          <w:spacing w:val="-10"/>
        </w:rPr>
        <w:t>表2.8-9</w:t>
      </w:r>
      <w:r>
        <w:rPr>
          <w:sz w:val="25"/>
          <w:szCs w:val="25"/>
          <w:spacing w:val="-10"/>
        </w:rPr>
        <w:t xml:space="preserve">  </w:t>
      </w:r>
      <w:r>
        <w:rPr>
          <w:sz w:val="25"/>
          <w:szCs w:val="25"/>
          <w:b/>
          <w:bCs/>
          <w:spacing w:val="-10"/>
        </w:rPr>
        <w:t>二期工程——时代一汽年产20</w:t>
      </w:r>
      <w:r>
        <w:rPr>
          <w:rFonts w:ascii="Times New Roman" w:hAnsi="Times New Roman" w:eastAsia="Times New Roman" w:cs="Times New Roman"/>
          <w:sz w:val="25"/>
          <w:szCs w:val="25"/>
          <w:b/>
          <w:bCs/>
          <w:spacing w:val="-10"/>
        </w:rPr>
        <w:t>gwh</w:t>
      </w:r>
      <w:r>
        <w:rPr>
          <w:rFonts w:ascii="Times New Roman" w:hAnsi="Times New Roman" w:eastAsia="Times New Roman" w:cs="Times New Roman"/>
          <w:sz w:val="25"/>
          <w:szCs w:val="25"/>
          <w:b/>
          <w:bCs/>
          <w:spacing w:val="-12"/>
        </w:rPr>
        <w:t xml:space="preserve"> </w:t>
      </w:r>
      <w:r>
        <w:rPr>
          <w:sz w:val="25"/>
          <w:szCs w:val="25"/>
          <w:b/>
          <w:bCs/>
          <w:spacing w:val="-10"/>
        </w:rPr>
        <w:t>动力电池生产线扩建项目固体废物产生及处置情况</w:t>
      </w:r>
    </w:p>
    <w:p>
      <w:pPr>
        <w:spacing w:line="166" w:lineRule="exact"/>
        <w:rPr/>
      </w:pPr>
      <w:r/>
    </w:p>
    <w:tbl>
      <w:tblPr>
        <w:tblStyle w:val="TableNormal"/>
        <w:tblW w:w="141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35"/>
        <w:gridCol w:w="2548"/>
        <w:gridCol w:w="849"/>
        <w:gridCol w:w="1629"/>
        <w:gridCol w:w="1359"/>
        <w:gridCol w:w="1389"/>
        <w:gridCol w:w="2328"/>
        <w:gridCol w:w="1679"/>
        <w:gridCol w:w="1424"/>
      </w:tblGrid>
      <w:tr>
        <w:trPr>
          <w:trHeight w:val="295" w:hRule="atLeast"/>
        </w:trPr>
        <w:tc>
          <w:tcPr>
            <w:tcW w:w="935" w:type="dxa"/>
            <w:vAlign w:val="top"/>
            <w:vMerge w:val="restart"/>
            <w:tcBorders>
              <w:bottom w:val="nil"/>
            </w:tcBorders>
          </w:tcPr>
          <w:p>
            <w:pPr>
              <w:pStyle w:val="TableText"/>
              <w:ind w:left="255"/>
              <w:spacing w:before="193" w:line="219" w:lineRule="auto"/>
              <w:rPr>
                <w:sz w:val="20"/>
                <w:szCs w:val="20"/>
              </w:rPr>
            </w:pPr>
            <w:r>
              <w:rPr>
                <w:sz w:val="20"/>
                <w:szCs w:val="20"/>
                <w:spacing w:val="8"/>
              </w:rPr>
              <w:t>类别</w:t>
            </w:r>
          </w:p>
        </w:tc>
        <w:tc>
          <w:tcPr>
            <w:tcW w:w="2548" w:type="dxa"/>
            <w:vAlign w:val="top"/>
            <w:vMerge w:val="restart"/>
            <w:tcBorders>
              <w:bottom w:val="nil"/>
            </w:tcBorders>
          </w:tcPr>
          <w:p>
            <w:pPr>
              <w:pStyle w:val="TableText"/>
              <w:ind w:left="759"/>
              <w:spacing w:before="193" w:line="220" w:lineRule="auto"/>
              <w:rPr>
                <w:sz w:val="20"/>
                <w:szCs w:val="20"/>
              </w:rPr>
            </w:pPr>
            <w:r>
              <w:rPr>
                <w:sz w:val="20"/>
                <w:szCs w:val="20"/>
                <w:spacing w:val="-2"/>
              </w:rPr>
              <w:t>污染物名称</w:t>
            </w:r>
          </w:p>
        </w:tc>
        <w:tc>
          <w:tcPr>
            <w:tcW w:w="849" w:type="dxa"/>
            <w:vAlign w:val="top"/>
            <w:vMerge w:val="restart"/>
            <w:tcBorders>
              <w:bottom w:val="nil"/>
            </w:tcBorders>
          </w:tcPr>
          <w:p>
            <w:pPr>
              <w:pStyle w:val="TableText"/>
              <w:ind w:left="212"/>
              <w:spacing w:before="195" w:line="221" w:lineRule="auto"/>
              <w:rPr>
                <w:sz w:val="20"/>
                <w:szCs w:val="20"/>
              </w:rPr>
            </w:pPr>
            <w:r>
              <w:rPr>
                <w:sz w:val="20"/>
                <w:szCs w:val="20"/>
                <w:spacing w:val="5"/>
              </w:rPr>
              <w:t>形态</w:t>
            </w:r>
          </w:p>
        </w:tc>
        <w:tc>
          <w:tcPr>
            <w:tcW w:w="1629" w:type="dxa"/>
            <w:vAlign w:val="top"/>
            <w:vMerge w:val="restart"/>
            <w:tcBorders>
              <w:bottom w:val="nil"/>
            </w:tcBorders>
          </w:tcPr>
          <w:p>
            <w:pPr>
              <w:pStyle w:val="TableText"/>
              <w:ind w:left="203"/>
              <w:spacing w:before="193" w:line="220" w:lineRule="auto"/>
              <w:rPr>
                <w:sz w:val="20"/>
                <w:szCs w:val="20"/>
              </w:rPr>
            </w:pPr>
            <w:r>
              <w:rPr>
                <w:sz w:val="20"/>
                <w:szCs w:val="20"/>
                <w:spacing w:val="-2"/>
              </w:rPr>
              <w:t>主要有害成分</w:t>
            </w:r>
          </w:p>
        </w:tc>
        <w:tc>
          <w:tcPr>
            <w:tcW w:w="1359" w:type="dxa"/>
            <w:vAlign w:val="top"/>
            <w:vMerge w:val="restart"/>
            <w:tcBorders>
              <w:bottom w:val="nil"/>
            </w:tcBorders>
          </w:tcPr>
          <w:p>
            <w:pPr>
              <w:pStyle w:val="TableText"/>
              <w:ind w:left="124"/>
              <w:spacing w:before="193" w:line="219" w:lineRule="auto"/>
              <w:rPr>
                <w:sz w:val="20"/>
                <w:szCs w:val="20"/>
              </w:rPr>
            </w:pPr>
            <w:r>
              <w:rPr>
                <w:sz w:val="20"/>
                <w:szCs w:val="20"/>
                <w:spacing w:val="5"/>
              </w:rPr>
              <w:t>产生量(t/a)</w:t>
            </w:r>
          </w:p>
        </w:tc>
        <w:tc>
          <w:tcPr>
            <w:tcW w:w="5396" w:type="dxa"/>
            <w:vAlign w:val="top"/>
            <w:gridSpan w:val="3"/>
          </w:tcPr>
          <w:p>
            <w:pPr>
              <w:pStyle w:val="TableText"/>
              <w:ind w:left="2295"/>
              <w:spacing w:before="53" w:line="214" w:lineRule="auto"/>
              <w:rPr>
                <w:sz w:val="20"/>
                <w:szCs w:val="20"/>
              </w:rPr>
            </w:pPr>
            <w:r>
              <w:rPr>
                <w:sz w:val="20"/>
                <w:szCs w:val="20"/>
                <w:spacing w:val="-2"/>
              </w:rPr>
              <w:t>种类判断</w:t>
            </w:r>
          </w:p>
        </w:tc>
        <w:tc>
          <w:tcPr>
            <w:tcW w:w="1424" w:type="dxa"/>
            <w:vAlign w:val="top"/>
            <w:vMerge w:val="restart"/>
            <w:tcBorders>
              <w:bottom w:val="nil"/>
            </w:tcBorders>
          </w:tcPr>
          <w:p>
            <w:pPr>
              <w:pStyle w:val="TableText"/>
              <w:ind w:left="309"/>
              <w:spacing w:before="193" w:line="220" w:lineRule="auto"/>
              <w:rPr>
                <w:sz w:val="20"/>
                <w:szCs w:val="20"/>
              </w:rPr>
            </w:pPr>
            <w:r>
              <w:rPr>
                <w:sz w:val="20"/>
                <w:szCs w:val="20"/>
                <w:spacing w:val="2"/>
              </w:rPr>
              <w:t>处置措施</w:t>
            </w:r>
          </w:p>
        </w:tc>
      </w:tr>
      <w:tr>
        <w:trPr>
          <w:trHeight w:val="270" w:hRule="atLeast"/>
        </w:trPr>
        <w:tc>
          <w:tcPr>
            <w:tcW w:w="935" w:type="dxa"/>
            <w:vAlign w:val="top"/>
            <w:vMerge w:val="continue"/>
            <w:tcBorders>
              <w:top w:val="nil"/>
            </w:tcBorders>
          </w:tcPr>
          <w:p>
            <w:pPr>
              <w:rPr>
                <w:rFonts w:ascii="Arial"/>
                <w:sz w:val="21"/>
              </w:rPr>
            </w:pPr>
            <w:r/>
          </w:p>
        </w:tc>
        <w:tc>
          <w:tcPr>
            <w:tcW w:w="2548" w:type="dxa"/>
            <w:vAlign w:val="top"/>
            <w:vMerge w:val="continue"/>
            <w:tcBorders>
              <w:top w:val="nil"/>
            </w:tcBorders>
          </w:tcPr>
          <w:p>
            <w:pPr>
              <w:rPr>
                <w:rFonts w:ascii="Arial"/>
                <w:sz w:val="21"/>
              </w:rPr>
            </w:pPr>
            <w:r/>
          </w:p>
        </w:tc>
        <w:tc>
          <w:tcPr>
            <w:tcW w:w="849" w:type="dxa"/>
            <w:vAlign w:val="top"/>
            <w:vMerge w:val="continue"/>
            <w:tcBorders>
              <w:top w:val="nil"/>
            </w:tcBorders>
          </w:tcPr>
          <w:p>
            <w:pPr>
              <w:rPr>
                <w:rFonts w:ascii="Arial"/>
                <w:sz w:val="21"/>
              </w:rPr>
            </w:pPr>
            <w:r/>
          </w:p>
        </w:tc>
        <w:tc>
          <w:tcPr>
            <w:tcW w:w="1629" w:type="dxa"/>
            <w:vAlign w:val="top"/>
            <w:vMerge w:val="continue"/>
            <w:tcBorders>
              <w:top w:val="nil"/>
            </w:tcBorders>
          </w:tcPr>
          <w:p>
            <w:pPr>
              <w:rPr>
                <w:rFonts w:ascii="Arial"/>
                <w:sz w:val="21"/>
              </w:rPr>
            </w:pPr>
            <w:r/>
          </w:p>
        </w:tc>
        <w:tc>
          <w:tcPr>
            <w:tcW w:w="1359" w:type="dxa"/>
            <w:vAlign w:val="top"/>
            <w:vMerge w:val="continue"/>
            <w:tcBorders>
              <w:top w:val="nil"/>
            </w:tcBorders>
          </w:tcPr>
          <w:p>
            <w:pPr>
              <w:rPr>
                <w:rFonts w:ascii="Arial"/>
                <w:sz w:val="21"/>
              </w:rPr>
            </w:pPr>
            <w:r/>
          </w:p>
        </w:tc>
        <w:tc>
          <w:tcPr>
            <w:tcW w:w="1389" w:type="dxa"/>
            <w:vAlign w:val="top"/>
          </w:tcPr>
          <w:p>
            <w:pPr>
              <w:pStyle w:val="TableText"/>
              <w:ind w:left="285"/>
              <w:spacing w:before="37" w:line="205" w:lineRule="auto"/>
              <w:rPr>
                <w:sz w:val="20"/>
                <w:szCs w:val="20"/>
              </w:rPr>
            </w:pPr>
            <w:r>
              <w:rPr>
                <w:sz w:val="20"/>
                <w:szCs w:val="20"/>
                <w:spacing w:val="-2"/>
              </w:rPr>
              <w:t>危险特性</w:t>
            </w:r>
          </w:p>
        </w:tc>
        <w:tc>
          <w:tcPr>
            <w:tcW w:w="2328" w:type="dxa"/>
            <w:vAlign w:val="top"/>
          </w:tcPr>
          <w:p>
            <w:pPr>
              <w:pStyle w:val="TableText"/>
              <w:ind w:left="756"/>
              <w:spacing w:before="37" w:line="205" w:lineRule="auto"/>
              <w:rPr>
                <w:sz w:val="20"/>
                <w:szCs w:val="20"/>
              </w:rPr>
            </w:pPr>
            <w:r>
              <w:rPr>
                <w:sz w:val="20"/>
                <w:szCs w:val="20"/>
                <w:spacing w:val="4"/>
              </w:rPr>
              <w:t>废物类别</w:t>
            </w:r>
          </w:p>
        </w:tc>
        <w:tc>
          <w:tcPr>
            <w:tcW w:w="1679" w:type="dxa"/>
            <w:vAlign w:val="top"/>
          </w:tcPr>
          <w:p>
            <w:pPr>
              <w:pStyle w:val="TableText"/>
              <w:ind w:left="438"/>
              <w:spacing w:before="37" w:line="205" w:lineRule="auto"/>
              <w:rPr>
                <w:sz w:val="20"/>
                <w:szCs w:val="20"/>
              </w:rPr>
            </w:pPr>
            <w:r>
              <w:rPr>
                <w:sz w:val="20"/>
                <w:szCs w:val="20"/>
                <w:spacing w:val="-2"/>
              </w:rPr>
              <w:t>废物代码</w:t>
            </w:r>
          </w:p>
        </w:tc>
        <w:tc>
          <w:tcPr>
            <w:tcW w:w="1424" w:type="dxa"/>
            <w:vAlign w:val="top"/>
            <w:vMerge w:val="continue"/>
            <w:tcBorders>
              <w:top w:val="nil"/>
            </w:tcBorders>
          </w:tcPr>
          <w:p>
            <w:pPr>
              <w:rPr>
                <w:rFonts w:ascii="Arial"/>
                <w:sz w:val="21"/>
              </w:rPr>
            </w:pPr>
            <w:r/>
          </w:p>
        </w:tc>
      </w:tr>
      <w:tr>
        <w:trPr>
          <w:trHeight w:val="529" w:hRule="atLeast"/>
        </w:trPr>
        <w:tc>
          <w:tcPr>
            <w:tcW w:w="935"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pStyle w:val="TableText"/>
              <w:ind w:left="255"/>
              <w:spacing w:before="65" w:line="270" w:lineRule="exact"/>
              <w:rPr>
                <w:sz w:val="20"/>
                <w:szCs w:val="20"/>
              </w:rPr>
            </w:pPr>
            <w:r>
              <w:rPr>
                <w:sz w:val="20"/>
                <w:szCs w:val="20"/>
                <w:spacing w:val="-3"/>
                <w:position w:val="4"/>
              </w:rPr>
              <w:t>危险</w:t>
            </w:r>
          </w:p>
          <w:p>
            <w:pPr>
              <w:pStyle w:val="TableText"/>
              <w:ind w:left="255"/>
              <w:spacing w:line="220" w:lineRule="auto"/>
              <w:rPr>
                <w:sz w:val="20"/>
                <w:szCs w:val="20"/>
              </w:rPr>
            </w:pPr>
            <w:r>
              <w:rPr>
                <w:sz w:val="20"/>
                <w:szCs w:val="20"/>
                <w:spacing w:val="-2"/>
              </w:rPr>
              <w:t>废物</w:t>
            </w:r>
          </w:p>
        </w:tc>
        <w:tc>
          <w:tcPr>
            <w:tcW w:w="2548" w:type="dxa"/>
            <w:vAlign w:val="top"/>
          </w:tcPr>
          <w:p>
            <w:pPr>
              <w:pStyle w:val="TableText"/>
              <w:ind w:left="759"/>
              <w:spacing w:before="166" w:line="219" w:lineRule="auto"/>
              <w:rPr>
                <w:sz w:val="20"/>
                <w:szCs w:val="20"/>
              </w:rPr>
            </w:pPr>
            <w:r>
              <w:rPr>
                <w:sz w:val="20"/>
                <w:szCs w:val="20"/>
                <w:spacing w:val="-2"/>
              </w:rPr>
              <w:t>废有机溶剂</w:t>
            </w:r>
          </w:p>
        </w:tc>
        <w:tc>
          <w:tcPr>
            <w:tcW w:w="849" w:type="dxa"/>
            <w:vAlign w:val="top"/>
          </w:tcPr>
          <w:p>
            <w:pPr>
              <w:pStyle w:val="TableText"/>
              <w:ind w:left="212"/>
              <w:spacing w:before="168" w:line="220" w:lineRule="auto"/>
              <w:rPr>
                <w:sz w:val="20"/>
                <w:szCs w:val="20"/>
              </w:rPr>
            </w:pPr>
            <w:r>
              <w:rPr>
                <w:sz w:val="20"/>
                <w:szCs w:val="20"/>
                <w:spacing w:val="-3"/>
              </w:rPr>
              <w:t>液态</w:t>
            </w:r>
          </w:p>
        </w:tc>
        <w:tc>
          <w:tcPr>
            <w:tcW w:w="1629" w:type="dxa"/>
            <w:vAlign w:val="top"/>
          </w:tcPr>
          <w:p>
            <w:pPr>
              <w:pStyle w:val="TableText"/>
              <w:ind w:left="303"/>
              <w:spacing w:before="168" w:line="220" w:lineRule="auto"/>
              <w:rPr>
                <w:sz w:val="20"/>
                <w:szCs w:val="20"/>
              </w:rPr>
            </w:pPr>
            <w:r>
              <w:rPr>
                <w:sz w:val="20"/>
                <w:szCs w:val="20"/>
                <w:spacing w:val="2"/>
              </w:rPr>
              <w:t>碳酸二甲酯</w:t>
            </w:r>
          </w:p>
        </w:tc>
        <w:tc>
          <w:tcPr>
            <w:tcW w:w="1359" w:type="dxa"/>
            <w:vAlign w:val="top"/>
          </w:tcPr>
          <w:p>
            <w:pPr>
              <w:pStyle w:val="TableText"/>
              <w:ind w:left="424"/>
              <w:spacing w:before="219" w:line="183" w:lineRule="auto"/>
              <w:rPr>
                <w:sz w:val="20"/>
                <w:szCs w:val="20"/>
              </w:rPr>
            </w:pPr>
            <w:r>
              <w:rPr>
                <w:sz w:val="20"/>
                <w:szCs w:val="20"/>
                <w:spacing w:val="-2"/>
              </w:rPr>
              <w:t>223.8</w:t>
            </w:r>
          </w:p>
        </w:tc>
        <w:tc>
          <w:tcPr>
            <w:tcW w:w="1389" w:type="dxa"/>
            <w:vAlign w:val="top"/>
          </w:tcPr>
          <w:p>
            <w:pPr>
              <w:pStyle w:val="TableText"/>
              <w:ind w:left="435"/>
              <w:spacing w:before="197" w:line="182" w:lineRule="auto"/>
              <w:rPr>
                <w:sz w:val="20"/>
                <w:szCs w:val="20"/>
              </w:rPr>
            </w:pPr>
            <w:r>
              <w:rPr>
                <w:sz w:val="20"/>
                <w:szCs w:val="20"/>
                <w:spacing w:val="-2"/>
              </w:rPr>
              <w:t>T,I,R</w:t>
            </w:r>
          </w:p>
        </w:tc>
        <w:tc>
          <w:tcPr>
            <w:tcW w:w="2328" w:type="dxa"/>
            <w:vAlign w:val="top"/>
          </w:tcPr>
          <w:p>
            <w:pPr>
              <w:pStyle w:val="TableText"/>
              <w:ind w:left="555" w:right="265" w:hanging="299"/>
              <w:spacing w:before="46" w:line="218" w:lineRule="auto"/>
              <w:rPr>
                <w:sz w:val="20"/>
                <w:szCs w:val="20"/>
              </w:rPr>
            </w:pPr>
            <w:r>
              <w:rPr>
                <w:sz w:val="20"/>
                <w:szCs w:val="20"/>
                <w:spacing w:val="-1"/>
              </w:rPr>
              <w:t>HW06废有机溶剂与含</w:t>
            </w:r>
            <w:r>
              <w:rPr>
                <w:sz w:val="20"/>
                <w:szCs w:val="20"/>
                <w:spacing w:val="6"/>
              </w:rPr>
              <w:t xml:space="preserve"> </w:t>
            </w:r>
            <w:r>
              <w:rPr>
                <w:sz w:val="20"/>
                <w:szCs w:val="20"/>
                <w:spacing w:val="-2"/>
              </w:rPr>
              <w:t>有机溶剂废物</w:t>
            </w:r>
          </w:p>
        </w:tc>
        <w:tc>
          <w:tcPr>
            <w:tcW w:w="1679" w:type="dxa"/>
            <w:vAlign w:val="top"/>
          </w:tcPr>
          <w:p>
            <w:pPr>
              <w:pStyle w:val="TableText"/>
              <w:ind w:left="338"/>
              <w:spacing w:before="219" w:line="183" w:lineRule="auto"/>
              <w:rPr>
                <w:sz w:val="20"/>
                <w:szCs w:val="20"/>
              </w:rPr>
            </w:pPr>
            <w:r>
              <w:rPr>
                <w:sz w:val="20"/>
                <w:szCs w:val="20"/>
                <w:spacing w:val="-1"/>
              </w:rPr>
              <w:t>900-404-06</w:t>
            </w:r>
          </w:p>
        </w:tc>
        <w:tc>
          <w:tcPr>
            <w:tcW w:w="1424" w:type="dxa"/>
            <w:vAlign w:val="top"/>
            <w:vMerge w:val="restart"/>
            <w:tcBorders>
              <w:bottom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309" w:right="182" w:hanging="100"/>
              <w:spacing w:before="65" w:line="235" w:lineRule="auto"/>
              <w:rPr>
                <w:sz w:val="20"/>
                <w:szCs w:val="20"/>
              </w:rPr>
            </w:pPr>
            <w:r>
              <w:rPr>
                <w:sz w:val="20"/>
                <w:szCs w:val="20"/>
                <w:spacing w:val="4"/>
              </w:rPr>
              <w:t>委托有资质</w:t>
            </w:r>
            <w:r>
              <w:rPr>
                <w:sz w:val="20"/>
                <w:szCs w:val="20"/>
                <w:spacing w:val="1"/>
              </w:rPr>
              <w:t xml:space="preserve"> </w:t>
            </w:r>
            <w:r>
              <w:rPr>
                <w:sz w:val="20"/>
                <w:szCs w:val="20"/>
                <w:spacing w:val="-2"/>
              </w:rPr>
              <w:t>单位处置</w:t>
            </w:r>
          </w:p>
        </w:tc>
      </w:tr>
      <w:tr>
        <w:trPr>
          <w:trHeight w:val="559" w:hRule="atLeast"/>
        </w:trPr>
        <w:tc>
          <w:tcPr>
            <w:tcW w:w="935" w:type="dxa"/>
            <w:vAlign w:val="top"/>
            <w:vMerge w:val="continue"/>
            <w:tcBorders>
              <w:top w:val="nil"/>
              <w:bottom w:val="nil"/>
            </w:tcBorders>
          </w:tcPr>
          <w:p>
            <w:pPr>
              <w:rPr>
                <w:rFonts w:ascii="Arial"/>
                <w:sz w:val="21"/>
              </w:rPr>
            </w:pPr>
            <w:r/>
          </w:p>
        </w:tc>
        <w:tc>
          <w:tcPr>
            <w:tcW w:w="2548" w:type="dxa"/>
            <w:vAlign w:val="top"/>
          </w:tcPr>
          <w:p>
            <w:pPr>
              <w:pStyle w:val="TableText"/>
              <w:ind w:left="960"/>
              <w:spacing w:before="177" w:line="219" w:lineRule="auto"/>
              <w:rPr>
                <w:sz w:val="20"/>
                <w:szCs w:val="20"/>
              </w:rPr>
            </w:pPr>
            <w:r>
              <w:rPr>
                <w:sz w:val="20"/>
                <w:szCs w:val="20"/>
                <w:spacing w:val="7"/>
              </w:rPr>
              <w:t>废机油</w:t>
            </w:r>
          </w:p>
        </w:tc>
        <w:tc>
          <w:tcPr>
            <w:tcW w:w="849" w:type="dxa"/>
            <w:vAlign w:val="top"/>
          </w:tcPr>
          <w:p>
            <w:pPr>
              <w:pStyle w:val="TableText"/>
              <w:ind w:left="212"/>
              <w:spacing w:before="179" w:line="220" w:lineRule="auto"/>
              <w:rPr>
                <w:sz w:val="20"/>
                <w:szCs w:val="20"/>
              </w:rPr>
            </w:pPr>
            <w:r>
              <w:rPr>
                <w:sz w:val="20"/>
                <w:szCs w:val="20"/>
                <w:spacing w:val="-3"/>
              </w:rPr>
              <w:t>液态</w:t>
            </w:r>
          </w:p>
        </w:tc>
        <w:tc>
          <w:tcPr>
            <w:tcW w:w="1629" w:type="dxa"/>
            <w:vAlign w:val="top"/>
          </w:tcPr>
          <w:p>
            <w:pPr>
              <w:pStyle w:val="TableText"/>
              <w:ind w:left="503"/>
              <w:spacing w:before="179" w:line="220" w:lineRule="auto"/>
              <w:rPr>
                <w:sz w:val="20"/>
                <w:szCs w:val="20"/>
              </w:rPr>
            </w:pPr>
            <w:r>
              <w:rPr>
                <w:sz w:val="20"/>
                <w:szCs w:val="20"/>
                <w:spacing w:val="6"/>
              </w:rPr>
              <w:t>润滑油</w:t>
            </w:r>
          </w:p>
        </w:tc>
        <w:tc>
          <w:tcPr>
            <w:tcW w:w="1359" w:type="dxa"/>
            <w:vAlign w:val="top"/>
          </w:tcPr>
          <w:p>
            <w:pPr>
              <w:pStyle w:val="TableText"/>
              <w:ind w:left="424"/>
              <w:spacing w:before="230" w:line="183" w:lineRule="auto"/>
              <w:rPr>
                <w:sz w:val="20"/>
                <w:szCs w:val="20"/>
              </w:rPr>
            </w:pPr>
            <w:r>
              <w:rPr>
                <w:sz w:val="20"/>
                <w:szCs w:val="20"/>
                <w:spacing w:val="-2"/>
              </w:rPr>
              <w:t>48.88</w:t>
            </w:r>
          </w:p>
        </w:tc>
        <w:tc>
          <w:tcPr>
            <w:tcW w:w="1389" w:type="dxa"/>
            <w:vAlign w:val="top"/>
          </w:tcPr>
          <w:p>
            <w:pPr>
              <w:pStyle w:val="TableText"/>
              <w:ind w:left="535"/>
              <w:spacing w:before="208" w:line="182" w:lineRule="auto"/>
              <w:rPr>
                <w:sz w:val="20"/>
                <w:szCs w:val="20"/>
              </w:rPr>
            </w:pPr>
            <w:r>
              <w:rPr>
                <w:sz w:val="20"/>
                <w:szCs w:val="20"/>
                <w:spacing w:val="-2"/>
              </w:rPr>
              <w:t>T,I</w:t>
            </w:r>
          </w:p>
        </w:tc>
        <w:tc>
          <w:tcPr>
            <w:tcW w:w="2328" w:type="dxa"/>
            <w:vAlign w:val="top"/>
          </w:tcPr>
          <w:p>
            <w:pPr>
              <w:pStyle w:val="TableText"/>
              <w:ind w:left="755" w:right="265" w:hanging="499"/>
              <w:spacing w:before="68" w:line="222" w:lineRule="auto"/>
              <w:rPr>
                <w:sz w:val="20"/>
                <w:szCs w:val="20"/>
              </w:rPr>
            </w:pPr>
            <w:r>
              <w:rPr>
                <w:sz w:val="20"/>
                <w:szCs w:val="20"/>
                <w:spacing w:val="-1"/>
              </w:rPr>
              <w:t>HW08废矿物油与含矿</w:t>
            </w:r>
            <w:r>
              <w:rPr>
                <w:sz w:val="20"/>
                <w:szCs w:val="20"/>
                <w:spacing w:val="6"/>
              </w:rPr>
              <w:t xml:space="preserve"> </w:t>
            </w:r>
            <w:r>
              <w:rPr>
                <w:sz w:val="20"/>
                <w:szCs w:val="20"/>
                <w:spacing w:val="-2"/>
              </w:rPr>
              <w:t>物油废物</w:t>
            </w:r>
          </w:p>
        </w:tc>
        <w:tc>
          <w:tcPr>
            <w:tcW w:w="1679" w:type="dxa"/>
            <w:vAlign w:val="top"/>
          </w:tcPr>
          <w:p>
            <w:pPr>
              <w:pStyle w:val="TableText"/>
              <w:ind w:left="338"/>
              <w:spacing w:before="230" w:line="183" w:lineRule="auto"/>
              <w:rPr>
                <w:sz w:val="20"/>
                <w:szCs w:val="20"/>
              </w:rPr>
            </w:pPr>
            <w:r>
              <w:rPr>
                <w:sz w:val="20"/>
                <w:szCs w:val="20"/>
                <w:spacing w:val="-1"/>
              </w:rPr>
              <w:t>900-249-08</w:t>
            </w:r>
          </w:p>
        </w:tc>
        <w:tc>
          <w:tcPr>
            <w:tcW w:w="1424" w:type="dxa"/>
            <w:vAlign w:val="top"/>
            <w:vMerge w:val="continue"/>
            <w:tcBorders>
              <w:top w:val="nil"/>
              <w:bottom w:val="nil"/>
            </w:tcBorders>
          </w:tcPr>
          <w:p>
            <w:pPr>
              <w:rPr>
                <w:rFonts w:ascii="Arial"/>
                <w:sz w:val="21"/>
              </w:rPr>
            </w:pPr>
            <w:r/>
          </w:p>
        </w:tc>
      </w:tr>
      <w:tr>
        <w:trPr>
          <w:trHeight w:val="280" w:hRule="atLeast"/>
        </w:trPr>
        <w:tc>
          <w:tcPr>
            <w:tcW w:w="935" w:type="dxa"/>
            <w:vAlign w:val="top"/>
            <w:vMerge w:val="continue"/>
            <w:tcBorders>
              <w:top w:val="nil"/>
              <w:bottom w:val="nil"/>
            </w:tcBorders>
          </w:tcPr>
          <w:p>
            <w:pPr>
              <w:rPr>
                <w:rFonts w:ascii="Arial"/>
                <w:sz w:val="21"/>
              </w:rPr>
            </w:pPr>
            <w:r/>
          </w:p>
        </w:tc>
        <w:tc>
          <w:tcPr>
            <w:tcW w:w="2548" w:type="dxa"/>
            <w:vAlign w:val="top"/>
          </w:tcPr>
          <w:p>
            <w:pPr>
              <w:pStyle w:val="TableText"/>
              <w:ind w:left="960"/>
              <w:spacing w:before="40" w:line="212" w:lineRule="auto"/>
              <w:rPr>
                <w:sz w:val="20"/>
                <w:szCs w:val="20"/>
              </w:rPr>
            </w:pPr>
            <w:r>
              <w:rPr>
                <w:sz w:val="20"/>
                <w:szCs w:val="20"/>
                <w:spacing w:val="4"/>
              </w:rPr>
              <w:t>废胶桶</w:t>
            </w:r>
          </w:p>
        </w:tc>
        <w:tc>
          <w:tcPr>
            <w:tcW w:w="849" w:type="dxa"/>
            <w:vAlign w:val="top"/>
          </w:tcPr>
          <w:p>
            <w:pPr>
              <w:pStyle w:val="TableText"/>
              <w:ind w:left="212"/>
              <w:spacing w:before="40" w:line="212" w:lineRule="auto"/>
              <w:rPr>
                <w:sz w:val="20"/>
                <w:szCs w:val="20"/>
              </w:rPr>
            </w:pPr>
            <w:r>
              <w:rPr>
                <w:sz w:val="20"/>
                <w:szCs w:val="20"/>
                <w:spacing w:val="5"/>
              </w:rPr>
              <w:t>固态</w:t>
            </w:r>
          </w:p>
        </w:tc>
        <w:tc>
          <w:tcPr>
            <w:tcW w:w="1629" w:type="dxa"/>
            <w:vAlign w:val="top"/>
          </w:tcPr>
          <w:p>
            <w:pPr>
              <w:pStyle w:val="TableText"/>
              <w:ind w:left="703"/>
              <w:spacing w:before="40" w:line="212" w:lineRule="auto"/>
              <w:rPr>
                <w:sz w:val="20"/>
                <w:szCs w:val="20"/>
              </w:rPr>
            </w:pPr>
            <w:r>
              <w:rPr>
                <w:sz w:val="20"/>
                <w:szCs w:val="20"/>
              </w:rPr>
              <w:t>胶</w:t>
            </w:r>
          </w:p>
        </w:tc>
        <w:tc>
          <w:tcPr>
            <w:tcW w:w="1359" w:type="dxa"/>
            <w:vAlign w:val="top"/>
          </w:tcPr>
          <w:p>
            <w:pPr>
              <w:pStyle w:val="TableText"/>
              <w:ind w:left="424"/>
              <w:spacing w:before="91" w:line="165" w:lineRule="auto"/>
              <w:rPr>
                <w:sz w:val="20"/>
                <w:szCs w:val="20"/>
              </w:rPr>
            </w:pPr>
            <w:r>
              <w:rPr>
                <w:sz w:val="20"/>
                <w:szCs w:val="20"/>
                <w:spacing w:val="-2"/>
              </w:rPr>
              <w:t>24.12</w:t>
            </w:r>
          </w:p>
        </w:tc>
        <w:tc>
          <w:tcPr>
            <w:tcW w:w="1389" w:type="dxa"/>
            <w:vAlign w:val="top"/>
          </w:tcPr>
          <w:p>
            <w:pPr>
              <w:pStyle w:val="TableText"/>
              <w:ind w:left="485"/>
              <w:spacing w:before="45" w:line="207" w:lineRule="auto"/>
              <w:rPr>
                <w:sz w:val="20"/>
                <w:szCs w:val="20"/>
              </w:rPr>
            </w:pPr>
            <w:r>
              <w:rPr>
                <w:sz w:val="20"/>
                <w:szCs w:val="20"/>
                <w:spacing w:val="-2"/>
              </w:rPr>
              <w:t>T/In</w:t>
            </w:r>
          </w:p>
        </w:tc>
        <w:tc>
          <w:tcPr>
            <w:tcW w:w="2328" w:type="dxa"/>
            <w:vAlign w:val="top"/>
          </w:tcPr>
          <w:p>
            <w:pPr>
              <w:pStyle w:val="TableText"/>
              <w:ind w:left="556"/>
              <w:spacing w:before="40" w:line="212" w:lineRule="auto"/>
              <w:rPr>
                <w:sz w:val="20"/>
                <w:szCs w:val="20"/>
              </w:rPr>
            </w:pPr>
            <w:r>
              <w:rPr>
                <w:sz w:val="20"/>
                <w:szCs w:val="20"/>
                <w:spacing w:val="-1"/>
              </w:rPr>
              <w:t>HW49其他废物</w:t>
            </w:r>
          </w:p>
        </w:tc>
        <w:tc>
          <w:tcPr>
            <w:tcW w:w="1679" w:type="dxa"/>
            <w:vAlign w:val="top"/>
          </w:tcPr>
          <w:p>
            <w:pPr>
              <w:pStyle w:val="TableText"/>
              <w:ind w:left="338"/>
              <w:spacing w:before="91" w:line="165" w:lineRule="auto"/>
              <w:rPr>
                <w:sz w:val="20"/>
                <w:szCs w:val="20"/>
              </w:rPr>
            </w:pPr>
            <w:r>
              <w:rPr>
                <w:sz w:val="20"/>
                <w:szCs w:val="20"/>
                <w:spacing w:val="-1"/>
              </w:rPr>
              <w:t>900-041-49</w:t>
            </w:r>
          </w:p>
        </w:tc>
        <w:tc>
          <w:tcPr>
            <w:tcW w:w="1424" w:type="dxa"/>
            <w:vAlign w:val="top"/>
            <w:vMerge w:val="continue"/>
            <w:tcBorders>
              <w:top w:val="nil"/>
              <w:bottom w:val="nil"/>
            </w:tcBorders>
          </w:tcPr>
          <w:p>
            <w:pPr>
              <w:rPr>
                <w:rFonts w:ascii="Arial"/>
                <w:sz w:val="21"/>
              </w:rPr>
            </w:pPr>
            <w:r/>
          </w:p>
        </w:tc>
      </w:tr>
      <w:tr>
        <w:trPr>
          <w:trHeight w:val="299" w:hRule="atLeast"/>
        </w:trPr>
        <w:tc>
          <w:tcPr>
            <w:tcW w:w="935" w:type="dxa"/>
            <w:vAlign w:val="top"/>
            <w:vMerge w:val="continue"/>
            <w:tcBorders>
              <w:top w:val="nil"/>
              <w:bottom w:val="nil"/>
            </w:tcBorders>
          </w:tcPr>
          <w:p>
            <w:pPr>
              <w:rPr>
                <w:rFonts w:ascii="Arial"/>
                <w:sz w:val="21"/>
              </w:rPr>
            </w:pPr>
            <w:r/>
          </w:p>
        </w:tc>
        <w:tc>
          <w:tcPr>
            <w:tcW w:w="2548" w:type="dxa"/>
            <w:vAlign w:val="top"/>
          </w:tcPr>
          <w:p>
            <w:pPr>
              <w:pStyle w:val="TableText"/>
              <w:ind w:left="960"/>
              <w:spacing w:before="50" w:line="219" w:lineRule="auto"/>
              <w:rPr>
                <w:sz w:val="20"/>
                <w:szCs w:val="20"/>
              </w:rPr>
            </w:pPr>
            <w:r>
              <w:rPr>
                <w:sz w:val="20"/>
                <w:szCs w:val="20"/>
                <w:spacing w:val="-2"/>
              </w:rPr>
              <w:t>废胶水</w:t>
            </w:r>
          </w:p>
        </w:tc>
        <w:tc>
          <w:tcPr>
            <w:tcW w:w="849" w:type="dxa"/>
            <w:vAlign w:val="top"/>
          </w:tcPr>
          <w:p>
            <w:pPr>
              <w:pStyle w:val="TableText"/>
              <w:ind w:left="212"/>
              <w:spacing w:before="50" w:line="220" w:lineRule="auto"/>
              <w:rPr>
                <w:sz w:val="20"/>
                <w:szCs w:val="20"/>
              </w:rPr>
            </w:pPr>
            <w:r>
              <w:rPr>
                <w:sz w:val="20"/>
                <w:szCs w:val="20"/>
                <w:spacing w:val="5"/>
              </w:rPr>
              <w:t>固态</w:t>
            </w:r>
          </w:p>
        </w:tc>
        <w:tc>
          <w:tcPr>
            <w:tcW w:w="1629" w:type="dxa"/>
            <w:vAlign w:val="top"/>
          </w:tcPr>
          <w:p>
            <w:pPr>
              <w:pStyle w:val="TableText"/>
              <w:ind w:left="703"/>
              <w:spacing w:before="50" w:line="219" w:lineRule="auto"/>
              <w:rPr>
                <w:sz w:val="20"/>
                <w:szCs w:val="20"/>
              </w:rPr>
            </w:pPr>
            <w:r>
              <w:rPr>
                <w:sz w:val="20"/>
                <w:szCs w:val="20"/>
              </w:rPr>
              <w:t>胶</w:t>
            </w:r>
          </w:p>
        </w:tc>
        <w:tc>
          <w:tcPr>
            <w:tcW w:w="1359" w:type="dxa"/>
            <w:vAlign w:val="top"/>
          </w:tcPr>
          <w:p>
            <w:pPr>
              <w:pStyle w:val="TableText"/>
              <w:ind w:left="524"/>
              <w:spacing w:before="101" w:line="173" w:lineRule="auto"/>
              <w:rPr>
                <w:sz w:val="20"/>
                <w:szCs w:val="20"/>
              </w:rPr>
            </w:pPr>
            <w:r>
              <w:rPr>
                <w:sz w:val="20"/>
                <w:szCs w:val="20"/>
                <w:spacing w:val="-2"/>
              </w:rPr>
              <w:t>467</w:t>
            </w:r>
          </w:p>
        </w:tc>
        <w:tc>
          <w:tcPr>
            <w:tcW w:w="1389" w:type="dxa"/>
            <w:vAlign w:val="top"/>
          </w:tcPr>
          <w:p>
            <w:pPr>
              <w:pStyle w:val="TableText"/>
              <w:ind w:left="635"/>
              <w:spacing w:before="102" w:line="172" w:lineRule="auto"/>
              <w:rPr>
                <w:sz w:val="20"/>
                <w:szCs w:val="20"/>
              </w:rPr>
            </w:pPr>
            <w:r>
              <w:rPr>
                <w:sz w:val="20"/>
                <w:szCs w:val="20"/>
              </w:rPr>
              <w:t>T</w:t>
            </w:r>
          </w:p>
        </w:tc>
        <w:tc>
          <w:tcPr>
            <w:tcW w:w="2328" w:type="dxa"/>
            <w:vAlign w:val="top"/>
          </w:tcPr>
          <w:p>
            <w:pPr>
              <w:pStyle w:val="TableText"/>
              <w:ind w:left="256"/>
              <w:spacing w:before="48" w:line="219" w:lineRule="auto"/>
              <w:rPr>
                <w:sz w:val="20"/>
                <w:szCs w:val="20"/>
              </w:rPr>
            </w:pPr>
            <w:r>
              <w:rPr>
                <w:sz w:val="20"/>
                <w:szCs w:val="20"/>
                <w:spacing w:val="-1"/>
              </w:rPr>
              <w:t>HW13有机树脂类废物</w:t>
            </w:r>
          </w:p>
        </w:tc>
        <w:tc>
          <w:tcPr>
            <w:tcW w:w="1679" w:type="dxa"/>
            <w:vAlign w:val="top"/>
          </w:tcPr>
          <w:p>
            <w:pPr>
              <w:pStyle w:val="TableText"/>
              <w:ind w:left="338"/>
              <w:spacing w:before="100" w:line="174" w:lineRule="auto"/>
              <w:rPr>
                <w:sz w:val="20"/>
                <w:szCs w:val="20"/>
              </w:rPr>
            </w:pPr>
            <w:r>
              <w:rPr>
                <w:sz w:val="20"/>
                <w:szCs w:val="20"/>
                <w:spacing w:val="-1"/>
              </w:rPr>
              <w:t>900-014-13</w:t>
            </w:r>
          </w:p>
        </w:tc>
        <w:tc>
          <w:tcPr>
            <w:tcW w:w="1424" w:type="dxa"/>
            <w:vAlign w:val="top"/>
            <w:vMerge w:val="continue"/>
            <w:tcBorders>
              <w:top w:val="nil"/>
              <w:bottom w:val="nil"/>
            </w:tcBorders>
          </w:tcPr>
          <w:p>
            <w:pPr>
              <w:rPr>
                <w:rFonts w:ascii="Arial"/>
                <w:sz w:val="21"/>
              </w:rPr>
            </w:pPr>
            <w:r/>
          </w:p>
        </w:tc>
      </w:tr>
      <w:tr>
        <w:trPr>
          <w:trHeight w:val="270" w:hRule="atLeast"/>
        </w:trPr>
        <w:tc>
          <w:tcPr>
            <w:tcW w:w="935" w:type="dxa"/>
            <w:vAlign w:val="top"/>
            <w:vMerge w:val="continue"/>
            <w:tcBorders>
              <w:top w:val="nil"/>
              <w:bottom w:val="nil"/>
            </w:tcBorders>
          </w:tcPr>
          <w:p>
            <w:pPr>
              <w:rPr>
                <w:rFonts w:ascii="Arial"/>
                <w:sz w:val="21"/>
              </w:rPr>
            </w:pPr>
            <w:r/>
          </w:p>
        </w:tc>
        <w:tc>
          <w:tcPr>
            <w:tcW w:w="2548" w:type="dxa"/>
            <w:vAlign w:val="top"/>
          </w:tcPr>
          <w:p>
            <w:pPr>
              <w:pStyle w:val="TableText"/>
              <w:ind w:left="759"/>
              <w:spacing w:before="41" w:line="202" w:lineRule="auto"/>
              <w:rPr>
                <w:sz w:val="20"/>
                <w:szCs w:val="20"/>
              </w:rPr>
            </w:pPr>
            <w:r>
              <w:rPr>
                <w:sz w:val="20"/>
                <w:szCs w:val="20"/>
                <w:spacing w:val="-5"/>
              </w:rPr>
              <w:t>废</w:t>
            </w:r>
            <w:r>
              <w:rPr>
                <w:sz w:val="20"/>
                <w:szCs w:val="20"/>
                <w:spacing w:val="-41"/>
              </w:rPr>
              <w:t xml:space="preserve"> </w:t>
            </w:r>
            <w:r>
              <w:rPr>
                <w:sz w:val="20"/>
                <w:szCs w:val="20"/>
                <w:spacing w:val="-5"/>
              </w:rPr>
              <w:t>U</w:t>
            </w:r>
            <w:r>
              <w:rPr>
                <w:sz w:val="20"/>
                <w:szCs w:val="20"/>
                <w:spacing w:val="-42"/>
              </w:rPr>
              <w:t xml:space="preserve"> </w:t>
            </w:r>
            <w:r>
              <w:rPr>
                <w:sz w:val="20"/>
                <w:szCs w:val="20"/>
                <w:spacing w:val="-5"/>
              </w:rPr>
              <w:t>V</w:t>
            </w:r>
            <w:r>
              <w:rPr>
                <w:sz w:val="20"/>
                <w:szCs w:val="20"/>
                <w:spacing w:val="-37"/>
              </w:rPr>
              <w:t xml:space="preserve"> </w:t>
            </w:r>
            <w:r>
              <w:rPr>
                <w:sz w:val="20"/>
                <w:szCs w:val="20"/>
                <w:spacing w:val="-5"/>
              </w:rPr>
              <w:t>灯</w:t>
            </w:r>
            <w:r>
              <w:rPr>
                <w:sz w:val="20"/>
                <w:szCs w:val="20"/>
                <w:spacing w:val="-33"/>
              </w:rPr>
              <w:t xml:space="preserve"> </w:t>
            </w:r>
            <w:r>
              <w:rPr>
                <w:sz w:val="20"/>
                <w:szCs w:val="20"/>
                <w:spacing w:val="-5"/>
              </w:rPr>
              <w:t>管</w:t>
            </w:r>
          </w:p>
        </w:tc>
        <w:tc>
          <w:tcPr>
            <w:tcW w:w="849" w:type="dxa"/>
            <w:vAlign w:val="top"/>
          </w:tcPr>
          <w:p>
            <w:pPr>
              <w:pStyle w:val="TableText"/>
              <w:ind w:left="212"/>
              <w:spacing w:before="42" w:line="201" w:lineRule="auto"/>
              <w:rPr>
                <w:sz w:val="20"/>
                <w:szCs w:val="20"/>
              </w:rPr>
            </w:pPr>
            <w:r>
              <w:rPr>
                <w:sz w:val="20"/>
                <w:szCs w:val="20"/>
                <w:spacing w:val="5"/>
              </w:rPr>
              <w:t>固态</w:t>
            </w:r>
          </w:p>
        </w:tc>
        <w:tc>
          <w:tcPr>
            <w:tcW w:w="1629" w:type="dxa"/>
            <w:vAlign w:val="top"/>
          </w:tcPr>
          <w:p>
            <w:pPr>
              <w:pStyle w:val="TableText"/>
              <w:ind w:left="703"/>
              <w:spacing w:before="42" w:line="201" w:lineRule="auto"/>
              <w:rPr>
                <w:sz w:val="20"/>
                <w:szCs w:val="20"/>
              </w:rPr>
            </w:pPr>
            <w:r>
              <w:rPr>
                <w:sz w:val="20"/>
                <w:szCs w:val="20"/>
              </w:rPr>
              <w:t>汞</w:t>
            </w:r>
          </w:p>
        </w:tc>
        <w:tc>
          <w:tcPr>
            <w:tcW w:w="1359" w:type="dxa"/>
            <w:vAlign w:val="top"/>
          </w:tcPr>
          <w:p>
            <w:pPr>
              <w:pStyle w:val="TableText"/>
              <w:ind w:left="474"/>
              <w:spacing w:before="91" w:line="168" w:lineRule="exact"/>
              <w:rPr>
                <w:sz w:val="20"/>
                <w:szCs w:val="20"/>
              </w:rPr>
            </w:pPr>
            <w:r>
              <w:rPr>
                <w:sz w:val="20"/>
                <w:szCs w:val="20"/>
                <w:spacing w:val="-5"/>
                <w:position w:val="-2"/>
              </w:rPr>
              <w:t>1.02</w:t>
            </w:r>
          </w:p>
        </w:tc>
        <w:tc>
          <w:tcPr>
            <w:tcW w:w="1389" w:type="dxa"/>
            <w:vAlign w:val="top"/>
          </w:tcPr>
          <w:p>
            <w:pPr>
              <w:pStyle w:val="TableText"/>
              <w:ind w:left="635"/>
              <w:spacing w:before="94" w:line="166" w:lineRule="exact"/>
              <w:rPr>
                <w:sz w:val="20"/>
                <w:szCs w:val="20"/>
              </w:rPr>
            </w:pPr>
            <w:r>
              <w:rPr>
                <w:sz w:val="20"/>
                <w:szCs w:val="20"/>
                <w:position w:val="-2"/>
              </w:rPr>
              <w:t>T</w:t>
            </w:r>
          </w:p>
        </w:tc>
        <w:tc>
          <w:tcPr>
            <w:tcW w:w="2328" w:type="dxa"/>
            <w:vAlign w:val="top"/>
          </w:tcPr>
          <w:p>
            <w:pPr>
              <w:pStyle w:val="TableText"/>
              <w:ind w:left="556"/>
              <w:spacing w:before="41" w:line="202" w:lineRule="auto"/>
              <w:rPr>
                <w:sz w:val="20"/>
                <w:szCs w:val="20"/>
              </w:rPr>
            </w:pPr>
            <w:r>
              <w:rPr>
                <w:sz w:val="20"/>
                <w:szCs w:val="20"/>
                <w:spacing w:val="-1"/>
              </w:rPr>
              <w:t>HW29含汞废物</w:t>
            </w:r>
          </w:p>
        </w:tc>
        <w:tc>
          <w:tcPr>
            <w:tcW w:w="1679" w:type="dxa"/>
            <w:vAlign w:val="top"/>
          </w:tcPr>
          <w:p>
            <w:pPr>
              <w:pStyle w:val="TableText"/>
              <w:ind w:left="338"/>
              <w:spacing w:before="92" w:line="167" w:lineRule="exact"/>
              <w:rPr>
                <w:sz w:val="20"/>
                <w:szCs w:val="20"/>
              </w:rPr>
            </w:pPr>
            <w:r>
              <w:rPr>
                <w:sz w:val="20"/>
                <w:szCs w:val="20"/>
                <w:spacing w:val="-1"/>
                <w:position w:val="-2"/>
              </w:rPr>
              <w:t>900-023-29</w:t>
            </w:r>
          </w:p>
        </w:tc>
        <w:tc>
          <w:tcPr>
            <w:tcW w:w="1424" w:type="dxa"/>
            <w:vAlign w:val="top"/>
            <w:vMerge w:val="continue"/>
            <w:tcBorders>
              <w:top w:val="nil"/>
              <w:bottom w:val="nil"/>
            </w:tcBorders>
          </w:tcPr>
          <w:p>
            <w:pPr>
              <w:rPr>
                <w:rFonts w:ascii="Arial"/>
                <w:sz w:val="21"/>
              </w:rPr>
            </w:pPr>
            <w:r/>
          </w:p>
        </w:tc>
      </w:tr>
      <w:tr>
        <w:trPr>
          <w:trHeight w:val="279" w:hRule="atLeast"/>
        </w:trPr>
        <w:tc>
          <w:tcPr>
            <w:tcW w:w="935" w:type="dxa"/>
            <w:vAlign w:val="top"/>
            <w:vMerge w:val="continue"/>
            <w:tcBorders>
              <w:top w:val="nil"/>
              <w:bottom w:val="nil"/>
            </w:tcBorders>
          </w:tcPr>
          <w:p>
            <w:pPr>
              <w:rPr>
                <w:rFonts w:ascii="Arial"/>
                <w:sz w:val="21"/>
              </w:rPr>
            </w:pPr>
            <w:r/>
          </w:p>
        </w:tc>
        <w:tc>
          <w:tcPr>
            <w:tcW w:w="2548" w:type="dxa"/>
            <w:vAlign w:val="top"/>
          </w:tcPr>
          <w:p>
            <w:pPr>
              <w:pStyle w:val="TableText"/>
              <w:ind w:left="860"/>
              <w:spacing w:before="41" w:line="210" w:lineRule="auto"/>
              <w:rPr>
                <w:sz w:val="20"/>
                <w:szCs w:val="20"/>
              </w:rPr>
            </w:pPr>
            <w:r>
              <w:rPr>
                <w:sz w:val="20"/>
                <w:szCs w:val="20"/>
                <w:spacing w:val="-2"/>
              </w:rPr>
              <w:t>废活性炭</w:t>
            </w:r>
          </w:p>
        </w:tc>
        <w:tc>
          <w:tcPr>
            <w:tcW w:w="849" w:type="dxa"/>
            <w:vAlign w:val="top"/>
          </w:tcPr>
          <w:p>
            <w:pPr>
              <w:pStyle w:val="TableText"/>
              <w:ind w:left="212"/>
              <w:spacing w:before="41" w:line="210" w:lineRule="auto"/>
              <w:rPr>
                <w:sz w:val="20"/>
                <w:szCs w:val="20"/>
              </w:rPr>
            </w:pPr>
            <w:r>
              <w:rPr>
                <w:sz w:val="20"/>
                <w:szCs w:val="20"/>
                <w:spacing w:val="5"/>
              </w:rPr>
              <w:t>固态</w:t>
            </w:r>
          </w:p>
        </w:tc>
        <w:tc>
          <w:tcPr>
            <w:tcW w:w="1629" w:type="dxa"/>
            <w:vAlign w:val="top"/>
          </w:tcPr>
          <w:p>
            <w:pPr>
              <w:pStyle w:val="TableText"/>
              <w:ind w:left="303"/>
              <w:spacing w:before="41" w:line="210" w:lineRule="auto"/>
              <w:rPr>
                <w:sz w:val="20"/>
                <w:szCs w:val="20"/>
              </w:rPr>
            </w:pPr>
            <w:r>
              <w:rPr>
                <w:sz w:val="20"/>
                <w:szCs w:val="20"/>
                <w:spacing w:val="-2"/>
              </w:rPr>
              <w:t>非甲烷总烃</w:t>
            </w:r>
          </w:p>
        </w:tc>
        <w:tc>
          <w:tcPr>
            <w:tcW w:w="1359" w:type="dxa"/>
            <w:vAlign w:val="top"/>
          </w:tcPr>
          <w:p>
            <w:pPr>
              <w:pStyle w:val="TableText"/>
              <w:ind w:left="374"/>
              <w:spacing w:before="92" w:line="163" w:lineRule="auto"/>
              <w:rPr>
                <w:sz w:val="20"/>
                <w:szCs w:val="20"/>
              </w:rPr>
            </w:pPr>
            <w:r>
              <w:rPr>
                <w:sz w:val="20"/>
                <w:szCs w:val="20"/>
                <w:spacing w:val="-2"/>
              </w:rPr>
              <w:t>26.573</w:t>
            </w:r>
          </w:p>
        </w:tc>
        <w:tc>
          <w:tcPr>
            <w:tcW w:w="1389" w:type="dxa"/>
            <w:vAlign w:val="top"/>
          </w:tcPr>
          <w:p>
            <w:pPr>
              <w:pStyle w:val="TableText"/>
              <w:ind w:left="635"/>
              <w:spacing w:before="94" w:line="161" w:lineRule="auto"/>
              <w:rPr>
                <w:sz w:val="20"/>
                <w:szCs w:val="20"/>
              </w:rPr>
            </w:pPr>
            <w:r>
              <w:rPr>
                <w:sz w:val="20"/>
                <w:szCs w:val="20"/>
              </w:rPr>
              <w:t>T</w:t>
            </w:r>
          </w:p>
        </w:tc>
        <w:tc>
          <w:tcPr>
            <w:tcW w:w="2328" w:type="dxa"/>
            <w:vAlign w:val="top"/>
          </w:tcPr>
          <w:p>
            <w:pPr>
              <w:pStyle w:val="TableText"/>
              <w:ind w:left="556"/>
              <w:spacing w:before="41" w:line="210" w:lineRule="auto"/>
              <w:rPr>
                <w:sz w:val="20"/>
                <w:szCs w:val="20"/>
              </w:rPr>
            </w:pPr>
            <w:r>
              <w:rPr>
                <w:sz w:val="20"/>
                <w:szCs w:val="20"/>
                <w:spacing w:val="-1"/>
              </w:rPr>
              <w:t>HW49其他废物</w:t>
            </w:r>
          </w:p>
        </w:tc>
        <w:tc>
          <w:tcPr>
            <w:tcW w:w="1679" w:type="dxa"/>
            <w:vAlign w:val="top"/>
          </w:tcPr>
          <w:p>
            <w:pPr>
              <w:pStyle w:val="TableText"/>
              <w:ind w:left="338"/>
              <w:spacing w:before="92" w:line="163" w:lineRule="auto"/>
              <w:rPr>
                <w:sz w:val="20"/>
                <w:szCs w:val="20"/>
              </w:rPr>
            </w:pPr>
            <w:r>
              <w:rPr>
                <w:sz w:val="20"/>
                <w:szCs w:val="20"/>
                <w:spacing w:val="-1"/>
              </w:rPr>
              <w:t>900-039-49</w:t>
            </w:r>
          </w:p>
        </w:tc>
        <w:tc>
          <w:tcPr>
            <w:tcW w:w="1424" w:type="dxa"/>
            <w:vAlign w:val="top"/>
            <w:vMerge w:val="continue"/>
            <w:tcBorders>
              <w:top w:val="nil"/>
              <w:bottom w:val="nil"/>
            </w:tcBorders>
          </w:tcPr>
          <w:p>
            <w:pPr>
              <w:rPr>
                <w:rFonts w:ascii="Arial"/>
                <w:sz w:val="21"/>
              </w:rPr>
            </w:pPr>
            <w:r/>
          </w:p>
        </w:tc>
      </w:tr>
      <w:tr>
        <w:trPr>
          <w:trHeight w:val="549" w:hRule="atLeast"/>
        </w:trPr>
        <w:tc>
          <w:tcPr>
            <w:tcW w:w="935" w:type="dxa"/>
            <w:vAlign w:val="top"/>
            <w:vMerge w:val="continue"/>
            <w:tcBorders>
              <w:top w:val="nil"/>
              <w:bottom w:val="nil"/>
            </w:tcBorders>
          </w:tcPr>
          <w:p>
            <w:pPr>
              <w:rPr>
                <w:rFonts w:ascii="Arial"/>
                <w:sz w:val="21"/>
              </w:rPr>
            </w:pPr>
            <w:r/>
          </w:p>
        </w:tc>
        <w:tc>
          <w:tcPr>
            <w:tcW w:w="2548" w:type="dxa"/>
            <w:vAlign w:val="top"/>
          </w:tcPr>
          <w:p>
            <w:pPr>
              <w:pStyle w:val="TableText"/>
              <w:ind w:left="1159" w:right="169" w:hanging="999"/>
              <w:spacing w:before="62" w:line="220" w:lineRule="auto"/>
              <w:rPr>
                <w:sz w:val="20"/>
                <w:szCs w:val="20"/>
              </w:rPr>
            </w:pPr>
            <w:r>
              <w:rPr>
                <w:sz w:val="20"/>
                <w:szCs w:val="20"/>
              </w:rPr>
              <w:t>沾染有机溶剂废抹布、手</w:t>
            </w:r>
            <w:r>
              <w:rPr>
                <w:sz w:val="20"/>
                <w:szCs w:val="20"/>
                <w:spacing w:val="7"/>
              </w:rPr>
              <w:t xml:space="preserve"> </w:t>
            </w:r>
            <w:r>
              <w:rPr>
                <w:sz w:val="20"/>
                <w:szCs w:val="20"/>
              </w:rPr>
              <w:t>套</w:t>
            </w:r>
          </w:p>
        </w:tc>
        <w:tc>
          <w:tcPr>
            <w:tcW w:w="849" w:type="dxa"/>
            <w:vAlign w:val="top"/>
          </w:tcPr>
          <w:p>
            <w:pPr>
              <w:pStyle w:val="TableText"/>
              <w:ind w:left="212"/>
              <w:spacing w:before="182" w:line="220" w:lineRule="auto"/>
              <w:rPr>
                <w:sz w:val="20"/>
                <w:szCs w:val="20"/>
              </w:rPr>
            </w:pPr>
            <w:r>
              <w:rPr>
                <w:sz w:val="20"/>
                <w:szCs w:val="20"/>
                <w:spacing w:val="5"/>
              </w:rPr>
              <w:t>固态</w:t>
            </w:r>
          </w:p>
        </w:tc>
        <w:tc>
          <w:tcPr>
            <w:tcW w:w="1629" w:type="dxa"/>
            <w:vAlign w:val="top"/>
          </w:tcPr>
          <w:p>
            <w:pPr>
              <w:pStyle w:val="TableText"/>
              <w:ind w:left="403"/>
              <w:spacing w:before="180" w:line="219" w:lineRule="auto"/>
              <w:rPr>
                <w:sz w:val="20"/>
                <w:szCs w:val="20"/>
              </w:rPr>
            </w:pPr>
            <w:r>
              <w:rPr>
                <w:sz w:val="20"/>
                <w:szCs w:val="20"/>
                <w:spacing w:val="2"/>
              </w:rPr>
              <w:t>有机溶剂</w:t>
            </w:r>
          </w:p>
        </w:tc>
        <w:tc>
          <w:tcPr>
            <w:tcW w:w="1359" w:type="dxa"/>
            <w:vAlign w:val="top"/>
          </w:tcPr>
          <w:p>
            <w:pPr>
              <w:pStyle w:val="TableText"/>
              <w:ind w:left="524"/>
              <w:spacing w:before="233" w:line="183" w:lineRule="auto"/>
              <w:rPr>
                <w:sz w:val="20"/>
                <w:szCs w:val="20"/>
              </w:rPr>
            </w:pPr>
            <w:r>
              <w:rPr>
                <w:sz w:val="20"/>
                <w:szCs w:val="20"/>
                <w:spacing w:val="-3"/>
              </w:rPr>
              <w:t>0.6</w:t>
            </w:r>
          </w:p>
        </w:tc>
        <w:tc>
          <w:tcPr>
            <w:tcW w:w="1389" w:type="dxa"/>
            <w:vAlign w:val="top"/>
          </w:tcPr>
          <w:p>
            <w:pPr>
              <w:pStyle w:val="TableText"/>
              <w:ind w:left="485"/>
              <w:spacing w:before="188" w:line="224" w:lineRule="auto"/>
              <w:rPr>
                <w:sz w:val="20"/>
                <w:szCs w:val="20"/>
              </w:rPr>
            </w:pPr>
            <w:r>
              <w:rPr>
                <w:sz w:val="20"/>
                <w:szCs w:val="20"/>
                <w:spacing w:val="-2"/>
              </w:rPr>
              <w:t>T/In</w:t>
            </w:r>
          </w:p>
        </w:tc>
        <w:tc>
          <w:tcPr>
            <w:tcW w:w="2328" w:type="dxa"/>
            <w:vAlign w:val="top"/>
          </w:tcPr>
          <w:p>
            <w:pPr>
              <w:pStyle w:val="TableText"/>
              <w:ind w:left="556"/>
              <w:spacing w:before="182" w:line="220" w:lineRule="auto"/>
              <w:rPr>
                <w:sz w:val="20"/>
                <w:szCs w:val="20"/>
              </w:rPr>
            </w:pPr>
            <w:r>
              <w:rPr>
                <w:sz w:val="20"/>
                <w:szCs w:val="20"/>
                <w:spacing w:val="-1"/>
              </w:rPr>
              <w:t>HW49其他废物</w:t>
            </w:r>
          </w:p>
        </w:tc>
        <w:tc>
          <w:tcPr>
            <w:tcW w:w="1679" w:type="dxa"/>
            <w:vAlign w:val="top"/>
          </w:tcPr>
          <w:p>
            <w:pPr>
              <w:pStyle w:val="TableText"/>
              <w:ind w:left="338"/>
              <w:spacing w:before="232" w:line="184" w:lineRule="auto"/>
              <w:rPr>
                <w:sz w:val="20"/>
                <w:szCs w:val="20"/>
              </w:rPr>
            </w:pPr>
            <w:r>
              <w:rPr>
                <w:sz w:val="20"/>
                <w:szCs w:val="20"/>
                <w:spacing w:val="-1"/>
              </w:rPr>
              <w:t>900-041-49</w:t>
            </w:r>
          </w:p>
        </w:tc>
        <w:tc>
          <w:tcPr>
            <w:tcW w:w="1424" w:type="dxa"/>
            <w:vAlign w:val="top"/>
            <w:vMerge w:val="continue"/>
            <w:tcBorders>
              <w:top w:val="nil"/>
              <w:bottom w:val="nil"/>
            </w:tcBorders>
          </w:tcPr>
          <w:p>
            <w:pPr>
              <w:rPr>
                <w:rFonts w:ascii="Arial"/>
                <w:sz w:val="21"/>
              </w:rPr>
            </w:pPr>
            <w:r/>
          </w:p>
        </w:tc>
      </w:tr>
      <w:tr>
        <w:trPr>
          <w:trHeight w:val="270" w:hRule="atLeast"/>
        </w:trPr>
        <w:tc>
          <w:tcPr>
            <w:tcW w:w="935" w:type="dxa"/>
            <w:vAlign w:val="top"/>
            <w:vMerge w:val="continue"/>
            <w:tcBorders>
              <w:top w:val="nil"/>
            </w:tcBorders>
          </w:tcPr>
          <w:p>
            <w:pPr>
              <w:rPr>
                <w:rFonts w:ascii="Arial"/>
                <w:sz w:val="21"/>
              </w:rPr>
            </w:pPr>
            <w:r/>
          </w:p>
        </w:tc>
        <w:tc>
          <w:tcPr>
            <w:tcW w:w="2548" w:type="dxa"/>
            <w:vAlign w:val="top"/>
          </w:tcPr>
          <w:p>
            <w:pPr>
              <w:pStyle w:val="TableText"/>
              <w:ind w:left="260"/>
              <w:spacing w:before="42" w:line="201" w:lineRule="auto"/>
              <w:rPr>
                <w:sz w:val="20"/>
                <w:szCs w:val="20"/>
              </w:rPr>
            </w:pPr>
            <w:r>
              <w:rPr>
                <w:sz w:val="20"/>
                <w:szCs w:val="20"/>
                <w:spacing w:val="-1"/>
              </w:rPr>
              <w:t>含废油的废抹布、手套</w:t>
            </w:r>
          </w:p>
        </w:tc>
        <w:tc>
          <w:tcPr>
            <w:tcW w:w="849" w:type="dxa"/>
            <w:vAlign w:val="top"/>
          </w:tcPr>
          <w:p>
            <w:pPr>
              <w:pStyle w:val="TableText"/>
              <w:ind w:left="212"/>
              <w:spacing w:before="43" w:line="200" w:lineRule="auto"/>
              <w:rPr>
                <w:sz w:val="20"/>
                <w:szCs w:val="20"/>
              </w:rPr>
            </w:pPr>
            <w:r>
              <w:rPr>
                <w:sz w:val="20"/>
                <w:szCs w:val="20"/>
                <w:spacing w:val="5"/>
              </w:rPr>
              <w:t>固态</w:t>
            </w:r>
          </w:p>
        </w:tc>
        <w:tc>
          <w:tcPr>
            <w:tcW w:w="1629" w:type="dxa"/>
            <w:vAlign w:val="top"/>
          </w:tcPr>
          <w:p>
            <w:pPr>
              <w:pStyle w:val="TableText"/>
              <w:ind w:left="503"/>
              <w:spacing w:before="43" w:line="200" w:lineRule="auto"/>
              <w:rPr>
                <w:sz w:val="20"/>
                <w:szCs w:val="20"/>
              </w:rPr>
            </w:pPr>
            <w:r>
              <w:rPr>
                <w:sz w:val="20"/>
                <w:szCs w:val="20"/>
                <w:spacing w:val="6"/>
              </w:rPr>
              <w:t>润滑油</w:t>
            </w:r>
          </w:p>
        </w:tc>
        <w:tc>
          <w:tcPr>
            <w:tcW w:w="1359" w:type="dxa"/>
            <w:vAlign w:val="top"/>
          </w:tcPr>
          <w:p>
            <w:pPr>
              <w:pStyle w:val="TableText"/>
              <w:ind w:left="524"/>
              <w:spacing w:before="94" w:line="166" w:lineRule="exact"/>
              <w:rPr>
                <w:sz w:val="20"/>
                <w:szCs w:val="20"/>
              </w:rPr>
            </w:pPr>
            <w:r>
              <w:rPr>
                <w:sz w:val="20"/>
                <w:szCs w:val="20"/>
                <w:spacing w:val="-3"/>
                <w:position w:val="-2"/>
              </w:rPr>
              <w:t>0.5</w:t>
            </w:r>
          </w:p>
        </w:tc>
        <w:tc>
          <w:tcPr>
            <w:tcW w:w="1389" w:type="dxa"/>
            <w:vAlign w:val="top"/>
          </w:tcPr>
          <w:p>
            <w:pPr>
              <w:pStyle w:val="TableText"/>
              <w:ind w:left="485"/>
              <w:spacing w:before="48" w:line="195" w:lineRule="auto"/>
              <w:rPr>
                <w:sz w:val="20"/>
                <w:szCs w:val="20"/>
              </w:rPr>
            </w:pPr>
            <w:r>
              <w:rPr>
                <w:sz w:val="20"/>
                <w:szCs w:val="20"/>
                <w:spacing w:val="-2"/>
              </w:rPr>
              <w:t>T/In</w:t>
            </w:r>
          </w:p>
        </w:tc>
        <w:tc>
          <w:tcPr>
            <w:tcW w:w="2328" w:type="dxa"/>
            <w:vAlign w:val="top"/>
          </w:tcPr>
          <w:p>
            <w:pPr>
              <w:pStyle w:val="TableText"/>
              <w:ind w:left="556"/>
              <w:spacing w:before="43" w:line="200" w:lineRule="auto"/>
              <w:rPr>
                <w:sz w:val="20"/>
                <w:szCs w:val="20"/>
              </w:rPr>
            </w:pPr>
            <w:r>
              <w:rPr>
                <w:sz w:val="20"/>
                <w:szCs w:val="20"/>
                <w:spacing w:val="-1"/>
              </w:rPr>
              <w:t>HW49其他废物</w:t>
            </w:r>
          </w:p>
        </w:tc>
        <w:tc>
          <w:tcPr>
            <w:tcW w:w="1679" w:type="dxa"/>
            <w:vAlign w:val="top"/>
          </w:tcPr>
          <w:p>
            <w:pPr>
              <w:pStyle w:val="TableText"/>
              <w:ind w:left="338"/>
              <w:spacing w:before="93" w:line="167" w:lineRule="exact"/>
              <w:rPr>
                <w:sz w:val="20"/>
                <w:szCs w:val="20"/>
              </w:rPr>
            </w:pPr>
            <w:r>
              <w:rPr>
                <w:sz w:val="20"/>
                <w:szCs w:val="20"/>
                <w:spacing w:val="-1"/>
                <w:position w:val="-2"/>
              </w:rPr>
              <w:t>900-041-49</w:t>
            </w:r>
          </w:p>
        </w:tc>
        <w:tc>
          <w:tcPr>
            <w:tcW w:w="1424" w:type="dxa"/>
            <w:vAlign w:val="top"/>
            <w:vMerge w:val="continue"/>
            <w:tcBorders>
              <w:top w:val="nil"/>
            </w:tcBorders>
          </w:tcPr>
          <w:p>
            <w:pPr>
              <w:rPr>
                <w:rFonts w:ascii="Arial"/>
                <w:sz w:val="21"/>
              </w:rPr>
            </w:pPr>
            <w:r/>
          </w:p>
        </w:tc>
      </w:tr>
      <w:tr>
        <w:trPr>
          <w:trHeight w:val="309" w:hRule="atLeast"/>
        </w:trPr>
        <w:tc>
          <w:tcPr>
            <w:tcW w:w="935"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155" w:right="158"/>
              <w:spacing w:before="65" w:line="230" w:lineRule="auto"/>
              <w:jc w:val="both"/>
              <w:rPr>
                <w:sz w:val="20"/>
                <w:szCs w:val="20"/>
              </w:rPr>
            </w:pPr>
            <w:r>
              <w:rPr>
                <w:sz w:val="20"/>
                <w:szCs w:val="20"/>
                <w:spacing w:val="3"/>
              </w:rPr>
              <w:t>一般工</w:t>
            </w:r>
            <w:r>
              <w:rPr>
                <w:sz w:val="20"/>
                <w:szCs w:val="20"/>
              </w:rPr>
              <w:t xml:space="preserve"> </w:t>
            </w:r>
            <w:r>
              <w:rPr>
                <w:sz w:val="20"/>
                <w:szCs w:val="20"/>
                <w:spacing w:val="-3"/>
              </w:rPr>
              <w:t>业固体</w:t>
            </w:r>
            <w:r>
              <w:rPr>
                <w:sz w:val="20"/>
                <w:szCs w:val="20"/>
                <w:spacing w:val="1"/>
              </w:rPr>
              <w:t xml:space="preserve"> </w:t>
            </w:r>
            <w:r>
              <w:rPr>
                <w:sz w:val="20"/>
                <w:szCs w:val="20"/>
                <w:spacing w:val="46"/>
              </w:rPr>
              <w:t>废物</w:t>
            </w:r>
          </w:p>
        </w:tc>
        <w:tc>
          <w:tcPr>
            <w:tcW w:w="2548" w:type="dxa"/>
            <w:vAlign w:val="top"/>
          </w:tcPr>
          <w:p>
            <w:pPr>
              <w:pStyle w:val="TableText"/>
              <w:ind w:left="960"/>
              <w:spacing w:before="62" w:line="218" w:lineRule="auto"/>
              <w:rPr>
                <w:sz w:val="20"/>
                <w:szCs w:val="20"/>
              </w:rPr>
            </w:pPr>
            <w:r>
              <w:rPr>
                <w:sz w:val="20"/>
                <w:szCs w:val="20"/>
                <w:spacing w:val="-2"/>
              </w:rPr>
              <w:t>集尘灰</w:t>
            </w:r>
          </w:p>
        </w:tc>
        <w:tc>
          <w:tcPr>
            <w:tcW w:w="849" w:type="dxa"/>
            <w:vAlign w:val="top"/>
          </w:tcPr>
          <w:p>
            <w:pPr>
              <w:pStyle w:val="TableText"/>
              <w:ind w:left="212"/>
              <w:spacing w:before="63" w:line="217" w:lineRule="auto"/>
              <w:rPr>
                <w:sz w:val="20"/>
                <w:szCs w:val="20"/>
              </w:rPr>
            </w:pPr>
            <w:r>
              <w:rPr>
                <w:sz w:val="20"/>
                <w:szCs w:val="20"/>
                <w:spacing w:val="4"/>
              </w:rPr>
              <w:t>固体</w:t>
            </w:r>
          </w:p>
        </w:tc>
        <w:tc>
          <w:tcPr>
            <w:tcW w:w="1629" w:type="dxa"/>
            <w:vAlign w:val="top"/>
          </w:tcPr>
          <w:p>
            <w:pPr>
              <w:rPr>
                <w:rFonts w:ascii="Arial"/>
                <w:sz w:val="21"/>
              </w:rPr>
            </w:pPr>
            <w:r/>
          </w:p>
        </w:tc>
        <w:tc>
          <w:tcPr>
            <w:tcW w:w="1359" w:type="dxa"/>
            <w:vAlign w:val="top"/>
          </w:tcPr>
          <w:p>
            <w:pPr>
              <w:pStyle w:val="TableText"/>
              <w:ind w:left="524"/>
              <w:spacing w:before="114" w:line="170" w:lineRule="auto"/>
              <w:rPr>
                <w:sz w:val="20"/>
                <w:szCs w:val="20"/>
              </w:rPr>
            </w:pPr>
            <w:r>
              <w:rPr>
                <w:sz w:val="20"/>
                <w:szCs w:val="20"/>
                <w:spacing w:val="-3"/>
              </w:rPr>
              <w:t>288</w:t>
            </w:r>
          </w:p>
        </w:tc>
        <w:tc>
          <w:tcPr>
            <w:tcW w:w="6820" w:type="dxa"/>
            <w:vAlign w:val="top"/>
            <w:gridSpan w:val="4"/>
            <w:vMerge w:val="restart"/>
            <w:tcBorders>
              <w:bottom w:val="nil"/>
            </w:tcBorders>
          </w:tcPr>
          <w:p>
            <w:pPr>
              <w:spacing w:line="284" w:lineRule="auto"/>
              <w:rPr>
                <w:rFonts w:ascii="Arial"/>
                <w:sz w:val="21"/>
              </w:rPr>
            </w:pPr>
            <w:r/>
          </w:p>
          <w:p>
            <w:pPr>
              <w:spacing w:line="284" w:lineRule="auto"/>
              <w:rPr>
                <w:rFonts w:ascii="Arial"/>
                <w:sz w:val="21"/>
              </w:rPr>
            </w:pPr>
            <w:r/>
          </w:p>
          <w:p>
            <w:pPr>
              <w:spacing w:line="285" w:lineRule="auto"/>
              <w:rPr>
                <w:rFonts w:ascii="Arial"/>
                <w:sz w:val="21"/>
              </w:rPr>
            </w:pPr>
            <w:r/>
          </w:p>
          <w:p>
            <w:pPr>
              <w:pStyle w:val="TableText"/>
              <w:ind w:left="2805"/>
              <w:spacing w:before="65" w:line="220" w:lineRule="auto"/>
              <w:rPr>
                <w:sz w:val="20"/>
                <w:szCs w:val="20"/>
              </w:rPr>
            </w:pPr>
            <w:r>
              <w:rPr>
                <w:sz w:val="20"/>
                <w:szCs w:val="20"/>
                <w:spacing w:val="4"/>
              </w:rPr>
              <w:t>外售综合利用</w:t>
            </w:r>
          </w:p>
        </w:tc>
      </w:tr>
      <w:tr>
        <w:trPr>
          <w:trHeight w:val="270" w:hRule="atLeast"/>
        </w:trPr>
        <w:tc>
          <w:tcPr>
            <w:tcW w:w="935" w:type="dxa"/>
            <w:vAlign w:val="top"/>
            <w:vMerge w:val="continue"/>
            <w:tcBorders>
              <w:top w:val="nil"/>
              <w:bottom w:val="nil"/>
            </w:tcBorders>
          </w:tcPr>
          <w:p>
            <w:pPr>
              <w:rPr>
                <w:rFonts w:ascii="Arial"/>
                <w:sz w:val="21"/>
              </w:rPr>
            </w:pPr>
            <w:r/>
          </w:p>
        </w:tc>
        <w:tc>
          <w:tcPr>
            <w:tcW w:w="2548" w:type="dxa"/>
            <w:vAlign w:val="top"/>
          </w:tcPr>
          <w:p>
            <w:pPr>
              <w:pStyle w:val="TableText"/>
              <w:ind w:left="960"/>
              <w:spacing w:before="44" w:line="199" w:lineRule="auto"/>
              <w:rPr>
                <w:sz w:val="20"/>
                <w:szCs w:val="20"/>
              </w:rPr>
            </w:pPr>
            <w:r>
              <w:rPr>
                <w:sz w:val="20"/>
                <w:szCs w:val="20"/>
                <w:spacing w:val="-2"/>
              </w:rPr>
              <w:t>废浆料</w:t>
            </w:r>
          </w:p>
        </w:tc>
        <w:tc>
          <w:tcPr>
            <w:tcW w:w="849" w:type="dxa"/>
            <w:vAlign w:val="top"/>
          </w:tcPr>
          <w:p>
            <w:pPr>
              <w:pStyle w:val="TableText"/>
              <w:ind w:left="212"/>
              <w:spacing w:before="44" w:line="199" w:lineRule="auto"/>
              <w:rPr>
                <w:sz w:val="20"/>
                <w:szCs w:val="20"/>
              </w:rPr>
            </w:pPr>
            <w:r>
              <w:rPr>
                <w:sz w:val="20"/>
                <w:szCs w:val="20"/>
                <w:spacing w:val="-3"/>
              </w:rPr>
              <w:t>液体</w:t>
            </w:r>
          </w:p>
        </w:tc>
        <w:tc>
          <w:tcPr>
            <w:tcW w:w="1629" w:type="dxa"/>
            <w:vAlign w:val="top"/>
          </w:tcPr>
          <w:p>
            <w:pPr>
              <w:rPr>
                <w:rFonts w:ascii="Arial"/>
                <w:sz w:val="21"/>
              </w:rPr>
            </w:pPr>
            <w:r/>
          </w:p>
        </w:tc>
        <w:tc>
          <w:tcPr>
            <w:tcW w:w="1359" w:type="dxa"/>
            <w:vAlign w:val="top"/>
          </w:tcPr>
          <w:p>
            <w:pPr>
              <w:pStyle w:val="TableText"/>
              <w:ind w:left="374"/>
              <w:spacing w:before="95" w:line="165" w:lineRule="exact"/>
              <w:rPr>
                <w:sz w:val="20"/>
                <w:szCs w:val="20"/>
              </w:rPr>
            </w:pPr>
            <w:r>
              <w:rPr>
                <w:sz w:val="20"/>
                <w:szCs w:val="20"/>
                <w:spacing w:val="-2"/>
                <w:position w:val="-2"/>
              </w:rPr>
              <w:t>904.48</w:t>
            </w:r>
          </w:p>
        </w:tc>
        <w:tc>
          <w:tcPr>
            <w:tcW w:w="6820" w:type="dxa"/>
            <w:vAlign w:val="top"/>
            <w:gridSpan w:val="4"/>
            <w:vMerge w:val="continue"/>
            <w:tcBorders>
              <w:top w:val="nil"/>
              <w:bottom w:val="nil"/>
            </w:tcBorders>
          </w:tcPr>
          <w:p>
            <w:pPr>
              <w:rPr>
                <w:rFonts w:ascii="Arial"/>
                <w:sz w:val="21"/>
              </w:rPr>
            </w:pPr>
            <w:r/>
          </w:p>
        </w:tc>
      </w:tr>
      <w:tr>
        <w:trPr>
          <w:trHeight w:val="280" w:hRule="atLeast"/>
        </w:trPr>
        <w:tc>
          <w:tcPr>
            <w:tcW w:w="935" w:type="dxa"/>
            <w:vAlign w:val="top"/>
            <w:vMerge w:val="continue"/>
            <w:tcBorders>
              <w:top w:val="nil"/>
              <w:bottom w:val="nil"/>
            </w:tcBorders>
          </w:tcPr>
          <w:p>
            <w:pPr>
              <w:rPr>
                <w:rFonts w:ascii="Arial"/>
                <w:sz w:val="21"/>
              </w:rPr>
            </w:pPr>
            <w:r/>
          </w:p>
        </w:tc>
        <w:tc>
          <w:tcPr>
            <w:tcW w:w="2548" w:type="dxa"/>
            <w:vAlign w:val="top"/>
          </w:tcPr>
          <w:p>
            <w:pPr>
              <w:pStyle w:val="TableText"/>
              <w:ind w:left="260"/>
              <w:spacing w:before="43" w:line="209" w:lineRule="auto"/>
              <w:rPr>
                <w:sz w:val="20"/>
                <w:szCs w:val="20"/>
              </w:rPr>
            </w:pPr>
            <w:r>
              <w:rPr>
                <w:sz w:val="20"/>
                <w:szCs w:val="20"/>
                <w:spacing w:val="1"/>
              </w:rPr>
              <w:t>原料(粉料)包装袋、桶</w:t>
            </w:r>
          </w:p>
        </w:tc>
        <w:tc>
          <w:tcPr>
            <w:tcW w:w="849" w:type="dxa"/>
            <w:vAlign w:val="top"/>
          </w:tcPr>
          <w:p>
            <w:pPr>
              <w:pStyle w:val="TableText"/>
              <w:ind w:left="212"/>
              <w:spacing w:before="44" w:line="208" w:lineRule="auto"/>
              <w:rPr>
                <w:sz w:val="20"/>
                <w:szCs w:val="20"/>
              </w:rPr>
            </w:pPr>
            <w:r>
              <w:rPr>
                <w:sz w:val="20"/>
                <w:szCs w:val="20"/>
                <w:spacing w:val="4"/>
              </w:rPr>
              <w:t>固体</w:t>
            </w:r>
          </w:p>
        </w:tc>
        <w:tc>
          <w:tcPr>
            <w:tcW w:w="1629" w:type="dxa"/>
            <w:vAlign w:val="top"/>
          </w:tcPr>
          <w:p>
            <w:pPr>
              <w:rPr>
                <w:rFonts w:ascii="Arial"/>
                <w:sz w:val="21"/>
              </w:rPr>
            </w:pPr>
            <w:r/>
          </w:p>
        </w:tc>
        <w:tc>
          <w:tcPr>
            <w:tcW w:w="1359" w:type="dxa"/>
            <w:vAlign w:val="top"/>
          </w:tcPr>
          <w:p>
            <w:pPr>
              <w:pStyle w:val="TableText"/>
              <w:ind w:left="424"/>
              <w:spacing w:before="94" w:line="162" w:lineRule="auto"/>
              <w:rPr>
                <w:sz w:val="20"/>
                <w:szCs w:val="20"/>
              </w:rPr>
            </w:pPr>
            <w:r>
              <w:rPr>
                <w:sz w:val="20"/>
                <w:szCs w:val="20"/>
                <w:spacing w:val="-2"/>
              </w:rPr>
              <w:t>20.12</w:t>
            </w:r>
          </w:p>
        </w:tc>
        <w:tc>
          <w:tcPr>
            <w:tcW w:w="6820" w:type="dxa"/>
            <w:vAlign w:val="top"/>
            <w:gridSpan w:val="4"/>
            <w:vMerge w:val="continue"/>
            <w:tcBorders>
              <w:top w:val="nil"/>
              <w:bottom w:val="nil"/>
            </w:tcBorders>
          </w:tcPr>
          <w:p>
            <w:pPr>
              <w:rPr>
                <w:rFonts w:ascii="Arial"/>
                <w:sz w:val="21"/>
              </w:rPr>
            </w:pPr>
            <w:r/>
          </w:p>
        </w:tc>
      </w:tr>
      <w:tr>
        <w:trPr>
          <w:trHeight w:val="549" w:hRule="atLeast"/>
        </w:trPr>
        <w:tc>
          <w:tcPr>
            <w:tcW w:w="935" w:type="dxa"/>
            <w:vAlign w:val="top"/>
            <w:vMerge w:val="continue"/>
            <w:tcBorders>
              <w:top w:val="nil"/>
              <w:bottom w:val="nil"/>
            </w:tcBorders>
          </w:tcPr>
          <w:p>
            <w:pPr>
              <w:rPr>
                <w:rFonts w:ascii="Arial"/>
                <w:sz w:val="21"/>
              </w:rPr>
            </w:pPr>
            <w:r/>
          </w:p>
        </w:tc>
        <w:tc>
          <w:tcPr>
            <w:tcW w:w="2548" w:type="dxa"/>
            <w:vAlign w:val="top"/>
          </w:tcPr>
          <w:p>
            <w:pPr>
              <w:pStyle w:val="TableText"/>
              <w:ind w:left="759" w:right="160" w:hanging="599"/>
              <w:spacing w:before="64" w:line="219" w:lineRule="auto"/>
              <w:rPr>
                <w:sz w:val="20"/>
                <w:szCs w:val="20"/>
              </w:rPr>
            </w:pPr>
            <w:r>
              <w:rPr>
                <w:sz w:val="20"/>
                <w:szCs w:val="20"/>
                <w:spacing w:val="1"/>
              </w:rPr>
              <w:t>废铜箔、废铝箔、废金属</w:t>
            </w:r>
            <w:r>
              <w:rPr>
                <w:sz w:val="20"/>
                <w:szCs w:val="20"/>
                <w:spacing w:val="5"/>
              </w:rPr>
              <w:t xml:space="preserve"> </w:t>
            </w:r>
            <w:r>
              <w:rPr>
                <w:sz w:val="20"/>
                <w:szCs w:val="20"/>
                <w:spacing w:val="-3"/>
              </w:rPr>
              <w:t>片、废塑料</w:t>
            </w:r>
          </w:p>
        </w:tc>
        <w:tc>
          <w:tcPr>
            <w:tcW w:w="849" w:type="dxa"/>
            <w:vAlign w:val="top"/>
          </w:tcPr>
          <w:p>
            <w:pPr>
              <w:pStyle w:val="TableText"/>
              <w:ind w:left="212"/>
              <w:spacing w:before="184" w:line="220" w:lineRule="auto"/>
              <w:rPr>
                <w:sz w:val="20"/>
                <w:szCs w:val="20"/>
              </w:rPr>
            </w:pPr>
            <w:r>
              <w:rPr>
                <w:sz w:val="20"/>
                <w:szCs w:val="20"/>
                <w:spacing w:val="4"/>
              </w:rPr>
              <w:t>固体</w:t>
            </w:r>
          </w:p>
        </w:tc>
        <w:tc>
          <w:tcPr>
            <w:tcW w:w="1629" w:type="dxa"/>
            <w:vAlign w:val="top"/>
          </w:tcPr>
          <w:p>
            <w:pPr>
              <w:rPr>
                <w:rFonts w:ascii="Arial"/>
                <w:sz w:val="21"/>
              </w:rPr>
            </w:pPr>
            <w:r/>
          </w:p>
        </w:tc>
        <w:tc>
          <w:tcPr>
            <w:tcW w:w="1359" w:type="dxa"/>
            <w:vAlign w:val="top"/>
          </w:tcPr>
          <w:p>
            <w:pPr>
              <w:pStyle w:val="TableText"/>
              <w:ind w:left="324"/>
              <w:spacing w:before="234" w:line="184" w:lineRule="auto"/>
              <w:rPr>
                <w:sz w:val="20"/>
                <w:szCs w:val="20"/>
              </w:rPr>
            </w:pPr>
            <w:r>
              <w:rPr>
                <w:sz w:val="20"/>
                <w:szCs w:val="20"/>
                <w:spacing w:val="-2"/>
              </w:rPr>
              <w:t>2116.14</w:t>
            </w:r>
          </w:p>
        </w:tc>
        <w:tc>
          <w:tcPr>
            <w:tcW w:w="6820" w:type="dxa"/>
            <w:vAlign w:val="top"/>
            <w:gridSpan w:val="4"/>
            <w:vMerge w:val="continue"/>
            <w:tcBorders>
              <w:top w:val="nil"/>
              <w:bottom w:val="nil"/>
            </w:tcBorders>
          </w:tcPr>
          <w:p>
            <w:pPr>
              <w:rPr>
                <w:rFonts w:ascii="Arial"/>
                <w:sz w:val="21"/>
              </w:rPr>
            </w:pPr>
            <w:r/>
          </w:p>
        </w:tc>
      </w:tr>
      <w:tr>
        <w:trPr>
          <w:trHeight w:val="280" w:hRule="atLeast"/>
        </w:trPr>
        <w:tc>
          <w:tcPr>
            <w:tcW w:w="935" w:type="dxa"/>
            <w:vAlign w:val="top"/>
            <w:vMerge w:val="continue"/>
            <w:tcBorders>
              <w:top w:val="nil"/>
              <w:bottom w:val="nil"/>
            </w:tcBorders>
          </w:tcPr>
          <w:p>
            <w:pPr>
              <w:rPr>
                <w:rFonts w:ascii="Arial"/>
                <w:sz w:val="21"/>
              </w:rPr>
            </w:pPr>
            <w:r/>
          </w:p>
        </w:tc>
        <w:tc>
          <w:tcPr>
            <w:tcW w:w="2548" w:type="dxa"/>
            <w:vAlign w:val="top"/>
          </w:tcPr>
          <w:p>
            <w:pPr>
              <w:pStyle w:val="TableText"/>
              <w:ind w:left="960"/>
              <w:spacing w:before="45" w:line="207" w:lineRule="auto"/>
              <w:rPr>
                <w:sz w:val="20"/>
                <w:szCs w:val="20"/>
              </w:rPr>
            </w:pPr>
            <w:r>
              <w:rPr>
                <w:sz w:val="20"/>
                <w:szCs w:val="20"/>
                <w:spacing w:val="-2"/>
              </w:rPr>
              <w:t>废手套</w:t>
            </w:r>
          </w:p>
        </w:tc>
        <w:tc>
          <w:tcPr>
            <w:tcW w:w="849" w:type="dxa"/>
            <w:vAlign w:val="top"/>
          </w:tcPr>
          <w:p>
            <w:pPr>
              <w:pStyle w:val="TableText"/>
              <w:ind w:left="212"/>
              <w:spacing w:before="45" w:line="207" w:lineRule="auto"/>
              <w:rPr>
                <w:sz w:val="20"/>
                <w:szCs w:val="20"/>
              </w:rPr>
            </w:pPr>
            <w:r>
              <w:rPr>
                <w:sz w:val="20"/>
                <w:szCs w:val="20"/>
                <w:spacing w:val="5"/>
              </w:rPr>
              <w:t>固态</w:t>
            </w:r>
          </w:p>
        </w:tc>
        <w:tc>
          <w:tcPr>
            <w:tcW w:w="1629" w:type="dxa"/>
            <w:vAlign w:val="top"/>
          </w:tcPr>
          <w:p>
            <w:pPr>
              <w:rPr>
                <w:rFonts w:ascii="Arial"/>
                <w:sz w:val="21"/>
              </w:rPr>
            </w:pPr>
            <w:r/>
          </w:p>
        </w:tc>
        <w:tc>
          <w:tcPr>
            <w:tcW w:w="1359" w:type="dxa"/>
            <w:vAlign w:val="top"/>
          </w:tcPr>
          <w:p>
            <w:pPr>
              <w:pStyle w:val="TableText"/>
              <w:ind w:left="424"/>
              <w:spacing w:before="95" w:line="161" w:lineRule="auto"/>
              <w:rPr>
                <w:sz w:val="20"/>
                <w:szCs w:val="20"/>
              </w:rPr>
            </w:pPr>
            <w:r>
              <w:rPr>
                <w:sz w:val="20"/>
                <w:szCs w:val="20"/>
                <w:spacing w:val="-4"/>
              </w:rPr>
              <w:t>126.2</w:t>
            </w:r>
          </w:p>
        </w:tc>
        <w:tc>
          <w:tcPr>
            <w:tcW w:w="6820" w:type="dxa"/>
            <w:vAlign w:val="top"/>
            <w:gridSpan w:val="4"/>
            <w:vMerge w:val="continue"/>
            <w:tcBorders>
              <w:top w:val="nil"/>
              <w:bottom w:val="nil"/>
            </w:tcBorders>
          </w:tcPr>
          <w:p>
            <w:pPr>
              <w:rPr>
                <w:rFonts w:ascii="Arial"/>
                <w:sz w:val="21"/>
              </w:rPr>
            </w:pPr>
            <w:r/>
          </w:p>
        </w:tc>
      </w:tr>
      <w:tr>
        <w:trPr>
          <w:trHeight w:val="299" w:hRule="atLeast"/>
        </w:trPr>
        <w:tc>
          <w:tcPr>
            <w:tcW w:w="935" w:type="dxa"/>
            <w:vAlign w:val="top"/>
            <w:vMerge w:val="continue"/>
            <w:tcBorders>
              <w:top w:val="nil"/>
              <w:bottom w:val="nil"/>
            </w:tcBorders>
          </w:tcPr>
          <w:p>
            <w:pPr>
              <w:rPr>
                <w:rFonts w:ascii="Arial"/>
                <w:sz w:val="21"/>
              </w:rPr>
            </w:pPr>
            <w:r/>
          </w:p>
        </w:tc>
        <w:tc>
          <w:tcPr>
            <w:tcW w:w="2548" w:type="dxa"/>
            <w:vAlign w:val="top"/>
          </w:tcPr>
          <w:p>
            <w:pPr>
              <w:pStyle w:val="TableText"/>
              <w:ind w:left="810"/>
              <w:spacing w:before="54" w:line="216" w:lineRule="auto"/>
              <w:rPr>
                <w:sz w:val="20"/>
                <w:szCs w:val="20"/>
              </w:rPr>
            </w:pPr>
            <w:r>
              <w:rPr>
                <w:sz w:val="20"/>
                <w:szCs w:val="20"/>
                <w:spacing w:val="-1"/>
              </w:rPr>
              <w:t>废LED灯管</w:t>
            </w:r>
          </w:p>
        </w:tc>
        <w:tc>
          <w:tcPr>
            <w:tcW w:w="849" w:type="dxa"/>
            <w:vAlign w:val="top"/>
          </w:tcPr>
          <w:p>
            <w:pPr>
              <w:pStyle w:val="TableText"/>
              <w:ind w:left="212"/>
              <w:spacing w:before="56" w:line="215" w:lineRule="auto"/>
              <w:rPr>
                <w:sz w:val="20"/>
                <w:szCs w:val="20"/>
              </w:rPr>
            </w:pPr>
            <w:r>
              <w:rPr>
                <w:sz w:val="20"/>
                <w:szCs w:val="20"/>
                <w:spacing w:val="4"/>
              </w:rPr>
              <w:t>固体</w:t>
            </w:r>
          </w:p>
        </w:tc>
        <w:tc>
          <w:tcPr>
            <w:tcW w:w="1629" w:type="dxa"/>
            <w:vAlign w:val="top"/>
          </w:tcPr>
          <w:p>
            <w:pPr>
              <w:rPr>
                <w:rFonts w:ascii="Arial"/>
                <w:sz w:val="21"/>
              </w:rPr>
            </w:pPr>
            <w:r/>
          </w:p>
        </w:tc>
        <w:tc>
          <w:tcPr>
            <w:tcW w:w="1359" w:type="dxa"/>
            <w:vAlign w:val="top"/>
          </w:tcPr>
          <w:p>
            <w:pPr>
              <w:pStyle w:val="TableText"/>
              <w:ind w:left="524"/>
              <w:spacing w:before="106" w:line="168" w:lineRule="auto"/>
              <w:rPr>
                <w:sz w:val="20"/>
                <w:szCs w:val="20"/>
              </w:rPr>
            </w:pPr>
            <w:r>
              <w:rPr>
                <w:sz w:val="20"/>
                <w:szCs w:val="20"/>
                <w:spacing w:val="-2"/>
              </w:rPr>
              <w:t>4.4</w:t>
            </w:r>
          </w:p>
        </w:tc>
        <w:tc>
          <w:tcPr>
            <w:tcW w:w="6820" w:type="dxa"/>
            <w:vAlign w:val="top"/>
            <w:gridSpan w:val="4"/>
            <w:vMerge w:val="continue"/>
            <w:tcBorders>
              <w:top w:val="nil"/>
            </w:tcBorders>
          </w:tcPr>
          <w:p>
            <w:pPr>
              <w:rPr>
                <w:rFonts w:ascii="Arial"/>
                <w:sz w:val="21"/>
              </w:rPr>
            </w:pPr>
            <w:r/>
          </w:p>
        </w:tc>
      </w:tr>
      <w:tr>
        <w:trPr>
          <w:trHeight w:val="270" w:hRule="atLeast"/>
        </w:trPr>
        <w:tc>
          <w:tcPr>
            <w:tcW w:w="935" w:type="dxa"/>
            <w:vAlign w:val="top"/>
            <w:vMerge w:val="continue"/>
            <w:tcBorders>
              <w:top w:val="nil"/>
              <w:bottom w:val="nil"/>
            </w:tcBorders>
          </w:tcPr>
          <w:p>
            <w:pPr>
              <w:rPr>
                <w:rFonts w:ascii="Arial"/>
                <w:sz w:val="21"/>
              </w:rPr>
            </w:pPr>
            <w:r/>
          </w:p>
        </w:tc>
        <w:tc>
          <w:tcPr>
            <w:tcW w:w="2548" w:type="dxa"/>
            <w:vAlign w:val="top"/>
          </w:tcPr>
          <w:p>
            <w:pPr>
              <w:pStyle w:val="TableText"/>
              <w:ind w:left="860"/>
              <w:spacing w:before="46" w:line="197" w:lineRule="auto"/>
              <w:rPr>
                <w:sz w:val="20"/>
                <w:szCs w:val="20"/>
              </w:rPr>
            </w:pPr>
            <w:r>
              <w:rPr>
                <w:sz w:val="20"/>
                <w:szCs w:val="20"/>
                <w:spacing w:val="-2"/>
              </w:rPr>
              <w:t>废隔离膜</w:t>
            </w:r>
          </w:p>
        </w:tc>
        <w:tc>
          <w:tcPr>
            <w:tcW w:w="849" w:type="dxa"/>
            <w:vAlign w:val="top"/>
          </w:tcPr>
          <w:p>
            <w:pPr>
              <w:pStyle w:val="TableText"/>
              <w:ind w:left="212"/>
              <w:spacing w:before="46" w:line="197" w:lineRule="auto"/>
              <w:rPr>
                <w:sz w:val="20"/>
                <w:szCs w:val="20"/>
              </w:rPr>
            </w:pPr>
            <w:r>
              <w:rPr>
                <w:sz w:val="20"/>
                <w:szCs w:val="20"/>
                <w:spacing w:val="4"/>
              </w:rPr>
              <w:t>固体</w:t>
            </w:r>
          </w:p>
        </w:tc>
        <w:tc>
          <w:tcPr>
            <w:tcW w:w="1629" w:type="dxa"/>
            <w:vAlign w:val="top"/>
          </w:tcPr>
          <w:p>
            <w:pPr>
              <w:rPr>
                <w:rFonts w:ascii="Arial"/>
                <w:sz w:val="21"/>
              </w:rPr>
            </w:pPr>
            <w:r/>
          </w:p>
        </w:tc>
        <w:tc>
          <w:tcPr>
            <w:tcW w:w="1359" w:type="dxa"/>
            <w:vAlign w:val="top"/>
          </w:tcPr>
          <w:p>
            <w:pPr>
              <w:pStyle w:val="TableText"/>
              <w:ind w:left="374"/>
              <w:spacing w:before="96" w:line="163" w:lineRule="exact"/>
              <w:rPr>
                <w:sz w:val="20"/>
                <w:szCs w:val="20"/>
              </w:rPr>
            </w:pPr>
            <w:r>
              <w:rPr>
                <w:sz w:val="20"/>
                <w:szCs w:val="20"/>
                <w:spacing w:val="-4"/>
                <w:position w:val="-2"/>
              </w:rPr>
              <w:t>105.62</w:t>
            </w:r>
          </w:p>
        </w:tc>
        <w:tc>
          <w:tcPr>
            <w:tcW w:w="6820" w:type="dxa"/>
            <w:vAlign w:val="top"/>
            <w:gridSpan w:val="4"/>
            <w:vMerge w:val="restart"/>
            <w:tcBorders>
              <w:bottom w:val="nil"/>
            </w:tcBorders>
          </w:tcPr>
          <w:p>
            <w:pPr>
              <w:spacing w:line="280" w:lineRule="auto"/>
              <w:rPr>
                <w:rFonts w:ascii="Arial"/>
                <w:sz w:val="21"/>
              </w:rPr>
            </w:pPr>
            <w:r/>
          </w:p>
          <w:p>
            <w:pPr>
              <w:pStyle w:val="TableText"/>
              <w:ind w:left="2405"/>
              <w:spacing w:before="65" w:line="220" w:lineRule="auto"/>
              <w:rPr>
                <w:sz w:val="20"/>
                <w:szCs w:val="20"/>
              </w:rPr>
            </w:pPr>
            <w:r>
              <w:rPr>
                <w:sz w:val="20"/>
                <w:szCs w:val="20"/>
                <w:spacing w:val="-1"/>
              </w:rPr>
              <w:t>委托相关单位外运处置</w:t>
            </w:r>
          </w:p>
        </w:tc>
      </w:tr>
      <w:tr>
        <w:trPr>
          <w:trHeight w:val="280" w:hRule="atLeast"/>
        </w:trPr>
        <w:tc>
          <w:tcPr>
            <w:tcW w:w="935" w:type="dxa"/>
            <w:vAlign w:val="top"/>
            <w:vMerge w:val="continue"/>
            <w:tcBorders>
              <w:top w:val="nil"/>
              <w:bottom w:val="nil"/>
            </w:tcBorders>
          </w:tcPr>
          <w:p>
            <w:pPr>
              <w:rPr>
                <w:rFonts w:ascii="Arial"/>
                <w:sz w:val="21"/>
              </w:rPr>
            </w:pPr>
            <w:r/>
          </w:p>
        </w:tc>
        <w:tc>
          <w:tcPr>
            <w:tcW w:w="2548" w:type="dxa"/>
            <w:vAlign w:val="top"/>
          </w:tcPr>
          <w:p>
            <w:pPr>
              <w:pStyle w:val="TableText"/>
              <w:ind w:left="960"/>
              <w:spacing w:before="46" w:line="206" w:lineRule="auto"/>
              <w:rPr>
                <w:sz w:val="20"/>
                <w:szCs w:val="20"/>
              </w:rPr>
            </w:pPr>
            <w:r>
              <w:rPr>
                <w:sz w:val="20"/>
                <w:szCs w:val="20"/>
                <w:spacing w:val="5"/>
              </w:rPr>
              <w:t>废极片</w:t>
            </w:r>
          </w:p>
        </w:tc>
        <w:tc>
          <w:tcPr>
            <w:tcW w:w="849" w:type="dxa"/>
            <w:vAlign w:val="top"/>
          </w:tcPr>
          <w:p>
            <w:pPr>
              <w:pStyle w:val="TableText"/>
              <w:ind w:left="212"/>
              <w:spacing w:before="46" w:line="206" w:lineRule="auto"/>
              <w:rPr>
                <w:sz w:val="20"/>
                <w:szCs w:val="20"/>
              </w:rPr>
            </w:pPr>
            <w:r>
              <w:rPr>
                <w:sz w:val="20"/>
                <w:szCs w:val="20"/>
                <w:spacing w:val="4"/>
              </w:rPr>
              <w:t>固体</w:t>
            </w:r>
          </w:p>
        </w:tc>
        <w:tc>
          <w:tcPr>
            <w:tcW w:w="1629" w:type="dxa"/>
            <w:vAlign w:val="top"/>
          </w:tcPr>
          <w:p>
            <w:pPr>
              <w:rPr>
                <w:rFonts w:ascii="Arial"/>
                <w:sz w:val="21"/>
              </w:rPr>
            </w:pPr>
            <w:r/>
          </w:p>
        </w:tc>
        <w:tc>
          <w:tcPr>
            <w:tcW w:w="1359" w:type="dxa"/>
            <w:vAlign w:val="top"/>
          </w:tcPr>
          <w:p>
            <w:pPr>
              <w:pStyle w:val="TableText"/>
              <w:ind w:left="324"/>
              <w:spacing w:before="97" w:line="159" w:lineRule="auto"/>
              <w:rPr>
                <w:sz w:val="20"/>
                <w:szCs w:val="20"/>
              </w:rPr>
            </w:pPr>
            <w:r>
              <w:rPr>
                <w:sz w:val="20"/>
                <w:szCs w:val="20"/>
                <w:spacing w:val="-2"/>
              </w:rPr>
              <w:t>3783.68</w:t>
            </w:r>
          </w:p>
        </w:tc>
        <w:tc>
          <w:tcPr>
            <w:tcW w:w="6820" w:type="dxa"/>
            <w:vAlign w:val="top"/>
            <w:gridSpan w:val="4"/>
            <w:vMerge w:val="continue"/>
            <w:tcBorders>
              <w:top w:val="nil"/>
              <w:bottom w:val="nil"/>
            </w:tcBorders>
          </w:tcPr>
          <w:p>
            <w:pPr>
              <w:rPr>
                <w:rFonts w:ascii="Arial"/>
                <w:sz w:val="21"/>
              </w:rPr>
            </w:pPr>
            <w:r/>
          </w:p>
        </w:tc>
      </w:tr>
      <w:tr>
        <w:trPr>
          <w:trHeight w:val="299" w:hRule="atLeast"/>
        </w:trPr>
        <w:tc>
          <w:tcPr>
            <w:tcW w:w="935" w:type="dxa"/>
            <w:vAlign w:val="top"/>
            <w:vMerge w:val="continue"/>
            <w:tcBorders>
              <w:top w:val="nil"/>
              <w:bottom w:val="nil"/>
            </w:tcBorders>
          </w:tcPr>
          <w:p>
            <w:pPr>
              <w:rPr>
                <w:rFonts w:ascii="Arial"/>
                <w:sz w:val="21"/>
              </w:rPr>
            </w:pPr>
            <w:r/>
          </w:p>
        </w:tc>
        <w:tc>
          <w:tcPr>
            <w:tcW w:w="2548" w:type="dxa"/>
            <w:vAlign w:val="top"/>
          </w:tcPr>
          <w:p>
            <w:pPr>
              <w:pStyle w:val="TableText"/>
              <w:ind w:left="960"/>
              <w:spacing w:before="57" w:line="214" w:lineRule="auto"/>
              <w:rPr>
                <w:sz w:val="20"/>
                <w:szCs w:val="20"/>
              </w:rPr>
            </w:pPr>
            <w:r>
              <w:rPr>
                <w:sz w:val="20"/>
                <w:szCs w:val="20"/>
                <w:spacing w:val="-2"/>
              </w:rPr>
              <w:t>废电芯</w:t>
            </w:r>
          </w:p>
        </w:tc>
        <w:tc>
          <w:tcPr>
            <w:tcW w:w="849" w:type="dxa"/>
            <w:vAlign w:val="top"/>
          </w:tcPr>
          <w:p>
            <w:pPr>
              <w:pStyle w:val="TableText"/>
              <w:ind w:left="212"/>
              <w:spacing w:before="57" w:line="214" w:lineRule="auto"/>
              <w:rPr>
                <w:sz w:val="20"/>
                <w:szCs w:val="20"/>
              </w:rPr>
            </w:pPr>
            <w:r>
              <w:rPr>
                <w:sz w:val="20"/>
                <w:szCs w:val="20"/>
                <w:spacing w:val="4"/>
              </w:rPr>
              <w:t>固体</w:t>
            </w:r>
          </w:p>
        </w:tc>
        <w:tc>
          <w:tcPr>
            <w:tcW w:w="1629" w:type="dxa"/>
            <w:vAlign w:val="top"/>
          </w:tcPr>
          <w:p>
            <w:pPr>
              <w:rPr>
                <w:rFonts w:ascii="Arial"/>
                <w:sz w:val="21"/>
              </w:rPr>
            </w:pPr>
            <w:r/>
          </w:p>
        </w:tc>
        <w:tc>
          <w:tcPr>
            <w:tcW w:w="1359" w:type="dxa"/>
            <w:vAlign w:val="top"/>
          </w:tcPr>
          <w:p>
            <w:pPr>
              <w:pStyle w:val="TableText"/>
              <w:ind w:left="324"/>
              <w:spacing w:before="108" w:line="167" w:lineRule="auto"/>
              <w:rPr>
                <w:sz w:val="20"/>
                <w:szCs w:val="20"/>
              </w:rPr>
            </w:pPr>
            <w:r>
              <w:rPr>
                <w:sz w:val="20"/>
                <w:szCs w:val="20"/>
                <w:spacing w:val="-2"/>
              </w:rPr>
              <w:t>3994.02</w:t>
            </w:r>
          </w:p>
        </w:tc>
        <w:tc>
          <w:tcPr>
            <w:tcW w:w="6820" w:type="dxa"/>
            <w:vAlign w:val="top"/>
            <w:gridSpan w:val="4"/>
            <w:vMerge w:val="continue"/>
            <w:tcBorders>
              <w:top w:val="nil"/>
            </w:tcBorders>
          </w:tcPr>
          <w:p>
            <w:pPr>
              <w:rPr>
                <w:rFonts w:ascii="Arial"/>
                <w:sz w:val="21"/>
              </w:rPr>
            </w:pPr>
            <w:r/>
          </w:p>
        </w:tc>
      </w:tr>
      <w:tr>
        <w:trPr>
          <w:trHeight w:val="270" w:hRule="atLeast"/>
        </w:trPr>
        <w:tc>
          <w:tcPr>
            <w:tcW w:w="935" w:type="dxa"/>
            <w:vAlign w:val="top"/>
            <w:vMerge w:val="continue"/>
            <w:tcBorders>
              <w:top w:val="nil"/>
              <w:bottom w:val="nil"/>
            </w:tcBorders>
          </w:tcPr>
          <w:p>
            <w:pPr>
              <w:rPr>
                <w:rFonts w:ascii="Arial"/>
                <w:sz w:val="21"/>
              </w:rPr>
            </w:pPr>
            <w:r/>
          </w:p>
        </w:tc>
        <w:tc>
          <w:tcPr>
            <w:tcW w:w="2548" w:type="dxa"/>
            <w:vAlign w:val="top"/>
          </w:tcPr>
          <w:p>
            <w:pPr>
              <w:pStyle w:val="TableText"/>
              <w:ind w:left="910"/>
              <w:spacing w:before="47" w:line="196" w:lineRule="auto"/>
              <w:rPr>
                <w:sz w:val="20"/>
                <w:szCs w:val="20"/>
              </w:rPr>
            </w:pPr>
            <w:r>
              <w:rPr>
                <w:sz w:val="20"/>
                <w:szCs w:val="20"/>
                <w:spacing w:val="-1"/>
              </w:rPr>
              <w:t>NMP废液</w:t>
            </w:r>
          </w:p>
        </w:tc>
        <w:tc>
          <w:tcPr>
            <w:tcW w:w="849" w:type="dxa"/>
            <w:vAlign w:val="top"/>
          </w:tcPr>
          <w:p>
            <w:pPr>
              <w:pStyle w:val="TableText"/>
              <w:ind w:left="212"/>
              <w:spacing w:before="47" w:line="196" w:lineRule="auto"/>
              <w:rPr>
                <w:sz w:val="20"/>
                <w:szCs w:val="20"/>
              </w:rPr>
            </w:pPr>
            <w:r>
              <w:rPr>
                <w:sz w:val="20"/>
                <w:szCs w:val="20"/>
                <w:spacing w:val="-3"/>
              </w:rPr>
              <w:t>液体</w:t>
            </w:r>
          </w:p>
        </w:tc>
        <w:tc>
          <w:tcPr>
            <w:tcW w:w="1629" w:type="dxa"/>
            <w:vAlign w:val="top"/>
          </w:tcPr>
          <w:p>
            <w:pPr>
              <w:rPr>
                <w:rFonts w:ascii="Arial"/>
                <w:sz w:val="21"/>
              </w:rPr>
            </w:pPr>
            <w:r/>
          </w:p>
        </w:tc>
        <w:tc>
          <w:tcPr>
            <w:tcW w:w="1359" w:type="dxa"/>
            <w:vAlign w:val="top"/>
          </w:tcPr>
          <w:p>
            <w:pPr>
              <w:pStyle w:val="TableText"/>
              <w:ind w:left="324"/>
              <w:spacing w:before="97" w:line="162" w:lineRule="exact"/>
              <w:rPr>
                <w:sz w:val="20"/>
                <w:szCs w:val="20"/>
              </w:rPr>
            </w:pPr>
            <w:r>
              <w:rPr>
                <w:sz w:val="20"/>
                <w:szCs w:val="20"/>
                <w:spacing w:val="-2"/>
                <w:position w:val="-2"/>
              </w:rPr>
              <w:t>27371.3</w:t>
            </w:r>
          </w:p>
        </w:tc>
        <w:tc>
          <w:tcPr>
            <w:tcW w:w="6820" w:type="dxa"/>
            <w:vAlign w:val="top"/>
            <w:gridSpan w:val="4"/>
          </w:tcPr>
          <w:p>
            <w:pPr>
              <w:pStyle w:val="TableText"/>
              <w:ind w:left="2405"/>
              <w:spacing w:before="47" w:line="196" w:lineRule="auto"/>
              <w:rPr>
                <w:sz w:val="20"/>
                <w:szCs w:val="20"/>
              </w:rPr>
            </w:pPr>
            <w:r>
              <w:rPr>
                <w:sz w:val="20"/>
                <w:szCs w:val="20"/>
                <w:spacing w:val="-1"/>
              </w:rPr>
              <w:t>委托相关单位外运处置</w:t>
            </w:r>
          </w:p>
        </w:tc>
      </w:tr>
      <w:tr>
        <w:trPr>
          <w:trHeight w:val="280" w:hRule="atLeast"/>
        </w:trPr>
        <w:tc>
          <w:tcPr>
            <w:tcW w:w="935" w:type="dxa"/>
            <w:vAlign w:val="top"/>
            <w:vMerge w:val="continue"/>
            <w:tcBorders>
              <w:top w:val="nil"/>
              <w:bottom w:val="nil"/>
            </w:tcBorders>
          </w:tcPr>
          <w:p>
            <w:pPr>
              <w:rPr>
                <w:rFonts w:ascii="Arial"/>
                <w:sz w:val="21"/>
              </w:rPr>
            </w:pPr>
            <w:r/>
          </w:p>
        </w:tc>
        <w:tc>
          <w:tcPr>
            <w:tcW w:w="2548" w:type="dxa"/>
            <w:vAlign w:val="top"/>
          </w:tcPr>
          <w:p>
            <w:pPr>
              <w:pStyle w:val="TableText"/>
              <w:ind w:left="860"/>
              <w:spacing w:before="47" w:line="205" w:lineRule="auto"/>
              <w:rPr>
                <w:sz w:val="20"/>
                <w:szCs w:val="20"/>
              </w:rPr>
            </w:pPr>
            <w:r>
              <w:rPr>
                <w:sz w:val="20"/>
                <w:szCs w:val="20"/>
                <w:spacing w:val="2"/>
              </w:rPr>
              <w:t>阳极污泥</w:t>
            </w:r>
          </w:p>
        </w:tc>
        <w:tc>
          <w:tcPr>
            <w:tcW w:w="849" w:type="dxa"/>
            <w:vAlign w:val="top"/>
          </w:tcPr>
          <w:p>
            <w:pPr>
              <w:pStyle w:val="TableText"/>
              <w:ind w:left="112"/>
              <w:spacing w:before="47" w:line="205" w:lineRule="auto"/>
              <w:rPr>
                <w:sz w:val="20"/>
                <w:szCs w:val="20"/>
              </w:rPr>
            </w:pPr>
            <w:r>
              <w:rPr>
                <w:sz w:val="20"/>
                <w:szCs w:val="20"/>
                <w:spacing w:val="3"/>
              </w:rPr>
              <w:t>半固态</w:t>
            </w:r>
          </w:p>
        </w:tc>
        <w:tc>
          <w:tcPr>
            <w:tcW w:w="1629" w:type="dxa"/>
            <w:vAlign w:val="top"/>
          </w:tcPr>
          <w:p>
            <w:pPr>
              <w:rPr>
                <w:rFonts w:ascii="Arial"/>
                <w:sz w:val="21"/>
              </w:rPr>
            </w:pPr>
            <w:r/>
          </w:p>
        </w:tc>
        <w:tc>
          <w:tcPr>
            <w:tcW w:w="1359" w:type="dxa"/>
            <w:vAlign w:val="top"/>
          </w:tcPr>
          <w:p>
            <w:pPr>
              <w:pStyle w:val="TableText"/>
              <w:ind w:left="424"/>
              <w:spacing w:before="98" w:line="158" w:lineRule="auto"/>
              <w:rPr>
                <w:sz w:val="20"/>
                <w:szCs w:val="20"/>
              </w:rPr>
            </w:pPr>
            <w:r>
              <w:rPr>
                <w:sz w:val="20"/>
                <w:szCs w:val="20"/>
                <w:spacing w:val="-2"/>
              </w:rPr>
              <w:t>22.28</w:t>
            </w:r>
          </w:p>
        </w:tc>
        <w:tc>
          <w:tcPr>
            <w:tcW w:w="6820" w:type="dxa"/>
            <w:vAlign w:val="top"/>
            <w:gridSpan w:val="4"/>
          </w:tcPr>
          <w:p>
            <w:pPr>
              <w:pStyle w:val="TableText"/>
              <w:ind w:left="2205"/>
              <w:spacing w:before="47" w:line="205" w:lineRule="auto"/>
              <w:rPr>
                <w:sz w:val="20"/>
                <w:szCs w:val="20"/>
              </w:rPr>
            </w:pPr>
            <w:r>
              <w:rPr>
                <w:sz w:val="20"/>
                <w:szCs w:val="20"/>
                <w:spacing w:val="-1"/>
              </w:rPr>
              <w:t>委托污泥处置公司外运处置</w:t>
            </w:r>
          </w:p>
        </w:tc>
      </w:tr>
      <w:tr>
        <w:trPr>
          <w:trHeight w:val="299" w:hRule="atLeast"/>
        </w:trPr>
        <w:tc>
          <w:tcPr>
            <w:tcW w:w="935" w:type="dxa"/>
            <w:vAlign w:val="top"/>
            <w:vMerge w:val="continue"/>
            <w:tcBorders>
              <w:top w:val="nil"/>
              <w:bottom w:val="nil"/>
            </w:tcBorders>
          </w:tcPr>
          <w:p>
            <w:pPr>
              <w:rPr>
                <w:rFonts w:ascii="Arial"/>
                <w:sz w:val="21"/>
              </w:rPr>
            </w:pPr>
            <w:r/>
          </w:p>
        </w:tc>
        <w:tc>
          <w:tcPr>
            <w:tcW w:w="2548" w:type="dxa"/>
            <w:vAlign w:val="top"/>
          </w:tcPr>
          <w:p>
            <w:pPr>
              <w:pStyle w:val="TableText"/>
              <w:ind w:left="560"/>
              <w:spacing w:before="57" w:line="214" w:lineRule="auto"/>
              <w:rPr>
                <w:sz w:val="20"/>
                <w:szCs w:val="20"/>
              </w:rPr>
            </w:pPr>
            <w:r>
              <w:rPr>
                <w:sz w:val="20"/>
                <w:szCs w:val="20"/>
                <w:spacing w:val="1"/>
              </w:rPr>
              <w:t>纯水制备废滤芯</w:t>
            </w:r>
          </w:p>
        </w:tc>
        <w:tc>
          <w:tcPr>
            <w:tcW w:w="849" w:type="dxa"/>
            <w:vAlign w:val="top"/>
          </w:tcPr>
          <w:p>
            <w:pPr>
              <w:pStyle w:val="TableText"/>
              <w:ind w:left="212"/>
              <w:spacing w:before="58" w:line="213" w:lineRule="auto"/>
              <w:rPr>
                <w:sz w:val="20"/>
                <w:szCs w:val="20"/>
              </w:rPr>
            </w:pPr>
            <w:r>
              <w:rPr>
                <w:sz w:val="20"/>
                <w:szCs w:val="20"/>
                <w:spacing w:val="4"/>
              </w:rPr>
              <w:t>固体</w:t>
            </w:r>
          </w:p>
        </w:tc>
        <w:tc>
          <w:tcPr>
            <w:tcW w:w="1629" w:type="dxa"/>
            <w:vAlign w:val="top"/>
          </w:tcPr>
          <w:p>
            <w:pPr>
              <w:rPr>
                <w:rFonts w:ascii="Arial"/>
                <w:sz w:val="21"/>
              </w:rPr>
            </w:pPr>
            <w:r/>
          </w:p>
        </w:tc>
        <w:tc>
          <w:tcPr>
            <w:tcW w:w="1359" w:type="dxa"/>
            <w:vAlign w:val="top"/>
          </w:tcPr>
          <w:p>
            <w:pPr>
              <w:pStyle w:val="TableText"/>
              <w:ind w:left="524"/>
              <w:spacing w:before="110" w:line="165" w:lineRule="auto"/>
              <w:rPr>
                <w:sz w:val="20"/>
                <w:szCs w:val="20"/>
              </w:rPr>
            </w:pPr>
            <w:r>
              <w:rPr>
                <w:sz w:val="20"/>
                <w:szCs w:val="20"/>
                <w:spacing w:val="-3"/>
              </w:rPr>
              <w:t>5.5</w:t>
            </w:r>
          </w:p>
        </w:tc>
        <w:tc>
          <w:tcPr>
            <w:tcW w:w="6820" w:type="dxa"/>
            <w:vAlign w:val="top"/>
            <w:gridSpan w:val="4"/>
          </w:tcPr>
          <w:p>
            <w:pPr>
              <w:pStyle w:val="TableText"/>
              <w:ind w:left="2705"/>
              <w:spacing w:before="57" w:line="214" w:lineRule="auto"/>
              <w:rPr>
                <w:sz w:val="20"/>
                <w:szCs w:val="20"/>
              </w:rPr>
            </w:pPr>
            <w:r>
              <w:rPr>
                <w:sz w:val="20"/>
                <w:szCs w:val="20"/>
                <w:spacing w:val="1"/>
              </w:rPr>
              <w:t>由设备厂家回收</w:t>
            </w:r>
          </w:p>
        </w:tc>
      </w:tr>
      <w:tr>
        <w:trPr>
          <w:trHeight w:val="270" w:hRule="atLeast"/>
        </w:trPr>
        <w:tc>
          <w:tcPr>
            <w:tcW w:w="935" w:type="dxa"/>
            <w:vAlign w:val="top"/>
            <w:vMerge w:val="continue"/>
            <w:tcBorders>
              <w:top w:val="nil"/>
              <w:bottom w:val="nil"/>
            </w:tcBorders>
          </w:tcPr>
          <w:p>
            <w:pPr>
              <w:rPr>
                <w:rFonts w:ascii="Arial"/>
                <w:sz w:val="21"/>
              </w:rPr>
            </w:pPr>
            <w:r/>
          </w:p>
        </w:tc>
        <w:tc>
          <w:tcPr>
            <w:tcW w:w="2548" w:type="dxa"/>
            <w:vAlign w:val="top"/>
          </w:tcPr>
          <w:p>
            <w:pPr>
              <w:pStyle w:val="TableText"/>
              <w:ind w:left="860"/>
              <w:spacing w:before="48" w:line="195" w:lineRule="auto"/>
              <w:rPr>
                <w:sz w:val="20"/>
                <w:szCs w:val="20"/>
              </w:rPr>
            </w:pPr>
            <w:r>
              <w:rPr>
                <w:sz w:val="20"/>
                <w:szCs w:val="20"/>
                <w:spacing w:val="2"/>
              </w:rPr>
              <w:t>阴极污泥</w:t>
            </w:r>
          </w:p>
        </w:tc>
        <w:tc>
          <w:tcPr>
            <w:tcW w:w="849" w:type="dxa"/>
            <w:vAlign w:val="top"/>
          </w:tcPr>
          <w:p>
            <w:pPr>
              <w:pStyle w:val="TableText"/>
              <w:ind w:left="112"/>
              <w:spacing w:before="48" w:line="195" w:lineRule="auto"/>
              <w:rPr>
                <w:sz w:val="20"/>
                <w:szCs w:val="20"/>
              </w:rPr>
            </w:pPr>
            <w:r>
              <w:rPr>
                <w:sz w:val="20"/>
                <w:szCs w:val="20"/>
                <w:spacing w:val="3"/>
              </w:rPr>
              <w:t>半固态</w:t>
            </w:r>
          </w:p>
        </w:tc>
        <w:tc>
          <w:tcPr>
            <w:tcW w:w="1629" w:type="dxa"/>
            <w:vAlign w:val="top"/>
          </w:tcPr>
          <w:p>
            <w:pPr>
              <w:rPr>
                <w:rFonts w:ascii="Arial"/>
                <w:sz w:val="21"/>
              </w:rPr>
            </w:pPr>
            <w:r/>
          </w:p>
        </w:tc>
        <w:tc>
          <w:tcPr>
            <w:tcW w:w="1359" w:type="dxa"/>
            <w:vAlign w:val="top"/>
          </w:tcPr>
          <w:p>
            <w:pPr>
              <w:pStyle w:val="TableText"/>
              <w:ind w:left="474"/>
              <w:spacing w:before="99" w:line="161" w:lineRule="exact"/>
              <w:rPr>
                <w:sz w:val="20"/>
                <w:szCs w:val="20"/>
              </w:rPr>
            </w:pPr>
            <w:r>
              <w:rPr>
                <w:sz w:val="20"/>
                <w:szCs w:val="20"/>
                <w:spacing w:val="-2"/>
                <w:position w:val="-2"/>
              </w:rPr>
              <w:t>9.66</w:t>
            </w:r>
          </w:p>
        </w:tc>
        <w:tc>
          <w:tcPr>
            <w:tcW w:w="6820" w:type="dxa"/>
            <w:vAlign w:val="top"/>
            <w:gridSpan w:val="4"/>
            <w:vMerge w:val="restart"/>
            <w:tcBorders>
              <w:bottom w:val="nil"/>
            </w:tcBorders>
          </w:tcPr>
          <w:p>
            <w:pPr>
              <w:pStyle w:val="TableText"/>
              <w:ind w:left="2205"/>
              <w:spacing w:before="198" w:line="220" w:lineRule="auto"/>
              <w:rPr>
                <w:sz w:val="20"/>
                <w:szCs w:val="20"/>
              </w:rPr>
            </w:pPr>
            <w:r>
              <w:rPr>
                <w:sz w:val="20"/>
                <w:szCs w:val="20"/>
                <w:spacing w:val="-1"/>
              </w:rPr>
              <w:t>委托污泥处置公司外运处置</w:t>
            </w:r>
          </w:p>
        </w:tc>
      </w:tr>
      <w:tr>
        <w:trPr>
          <w:trHeight w:val="299" w:hRule="atLeast"/>
        </w:trPr>
        <w:tc>
          <w:tcPr>
            <w:tcW w:w="935" w:type="dxa"/>
            <w:vAlign w:val="top"/>
            <w:vMerge w:val="continue"/>
            <w:tcBorders>
              <w:top w:val="nil"/>
            </w:tcBorders>
          </w:tcPr>
          <w:p>
            <w:pPr>
              <w:rPr>
                <w:rFonts w:ascii="Arial"/>
                <w:sz w:val="21"/>
              </w:rPr>
            </w:pPr>
            <w:r/>
          </w:p>
        </w:tc>
        <w:tc>
          <w:tcPr>
            <w:tcW w:w="2548" w:type="dxa"/>
            <w:vAlign w:val="top"/>
          </w:tcPr>
          <w:p>
            <w:pPr>
              <w:pStyle w:val="TableText"/>
              <w:ind w:left="860"/>
              <w:spacing w:before="59" w:line="212" w:lineRule="auto"/>
              <w:rPr>
                <w:sz w:val="20"/>
                <w:szCs w:val="20"/>
              </w:rPr>
            </w:pPr>
            <w:r>
              <w:rPr>
                <w:sz w:val="20"/>
                <w:szCs w:val="20"/>
                <w:spacing w:val="2"/>
              </w:rPr>
              <w:t>综合污泥</w:t>
            </w:r>
          </w:p>
        </w:tc>
        <w:tc>
          <w:tcPr>
            <w:tcW w:w="849" w:type="dxa"/>
            <w:vAlign w:val="top"/>
          </w:tcPr>
          <w:p>
            <w:pPr>
              <w:pStyle w:val="TableText"/>
              <w:ind w:left="112"/>
              <w:spacing w:before="59" w:line="212" w:lineRule="auto"/>
              <w:rPr>
                <w:sz w:val="20"/>
                <w:szCs w:val="20"/>
              </w:rPr>
            </w:pPr>
            <w:r>
              <w:rPr>
                <w:sz w:val="20"/>
                <w:szCs w:val="20"/>
                <w:spacing w:val="3"/>
              </w:rPr>
              <w:t>半固态</w:t>
            </w:r>
          </w:p>
        </w:tc>
        <w:tc>
          <w:tcPr>
            <w:tcW w:w="1629" w:type="dxa"/>
            <w:vAlign w:val="top"/>
          </w:tcPr>
          <w:p>
            <w:pPr>
              <w:rPr>
                <w:rFonts w:ascii="Arial"/>
                <w:sz w:val="21"/>
              </w:rPr>
            </w:pPr>
            <w:r/>
          </w:p>
        </w:tc>
        <w:tc>
          <w:tcPr>
            <w:tcW w:w="1359" w:type="dxa"/>
            <w:vAlign w:val="top"/>
          </w:tcPr>
          <w:p>
            <w:pPr>
              <w:pStyle w:val="TableText"/>
              <w:ind w:left="424"/>
              <w:spacing w:before="109" w:line="166" w:lineRule="auto"/>
              <w:rPr>
                <w:sz w:val="20"/>
                <w:szCs w:val="20"/>
              </w:rPr>
            </w:pPr>
            <w:r>
              <w:rPr>
                <w:sz w:val="20"/>
                <w:szCs w:val="20"/>
                <w:spacing w:val="-4"/>
              </w:rPr>
              <w:t>11.34</w:t>
            </w:r>
          </w:p>
        </w:tc>
        <w:tc>
          <w:tcPr>
            <w:tcW w:w="6820" w:type="dxa"/>
            <w:vAlign w:val="top"/>
            <w:gridSpan w:val="4"/>
            <w:vMerge w:val="continue"/>
            <w:tcBorders>
              <w:top w:val="nil"/>
            </w:tcBorders>
          </w:tcPr>
          <w:p>
            <w:pPr>
              <w:rPr>
                <w:rFonts w:ascii="Arial"/>
                <w:sz w:val="21"/>
              </w:rPr>
            </w:pPr>
            <w:r/>
          </w:p>
        </w:tc>
      </w:tr>
      <w:tr>
        <w:trPr>
          <w:trHeight w:val="270" w:hRule="atLeast"/>
        </w:trPr>
        <w:tc>
          <w:tcPr>
            <w:tcW w:w="3483" w:type="dxa"/>
            <w:vAlign w:val="top"/>
            <w:gridSpan w:val="2"/>
          </w:tcPr>
          <w:p>
            <w:pPr>
              <w:pStyle w:val="TableText"/>
              <w:ind w:left="1345"/>
              <w:spacing w:before="49" w:line="194" w:lineRule="auto"/>
              <w:rPr>
                <w:sz w:val="20"/>
                <w:szCs w:val="20"/>
              </w:rPr>
            </w:pPr>
            <w:r>
              <w:rPr>
                <w:sz w:val="20"/>
                <w:szCs w:val="20"/>
                <w:spacing w:val="-2"/>
              </w:rPr>
              <w:t>生活垃圾</w:t>
            </w:r>
          </w:p>
        </w:tc>
        <w:tc>
          <w:tcPr>
            <w:tcW w:w="849" w:type="dxa"/>
            <w:vAlign w:val="top"/>
          </w:tcPr>
          <w:p>
            <w:pPr>
              <w:pStyle w:val="TableText"/>
              <w:ind w:left="212"/>
              <w:spacing w:before="49" w:line="194" w:lineRule="auto"/>
              <w:rPr>
                <w:sz w:val="20"/>
                <w:szCs w:val="20"/>
              </w:rPr>
            </w:pPr>
            <w:r>
              <w:rPr>
                <w:sz w:val="20"/>
                <w:szCs w:val="20"/>
                <w:spacing w:val="4"/>
              </w:rPr>
              <w:t>固体</w:t>
            </w:r>
          </w:p>
        </w:tc>
        <w:tc>
          <w:tcPr>
            <w:tcW w:w="1629" w:type="dxa"/>
            <w:vAlign w:val="top"/>
          </w:tcPr>
          <w:p>
            <w:pPr>
              <w:rPr>
                <w:rFonts w:ascii="Arial"/>
                <w:sz w:val="21"/>
              </w:rPr>
            </w:pPr>
            <w:r/>
          </w:p>
        </w:tc>
        <w:tc>
          <w:tcPr>
            <w:tcW w:w="1359" w:type="dxa"/>
            <w:vAlign w:val="top"/>
          </w:tcPr>
          <w:p>
            <w:pPr>
              <w:pStyle w:val="TableText"/>
              <w:ind w:left="424"/>
              <w:spacing w:before="100" w:line="160" w:lineRule="exact"/>
              <w:rPr>
                <w:sz w:val="20"/>
                <w:szCs w:val="20"/>
              </w:rPr>
            </w:pPr>
            <w:r>
              <w:rPr>
                <w:sz w:val="20"/>
                <w:szCs w:val="20"/>
                <w:spacing w:val="-2"/>
                <w:position w:val="-2"/>
              </w:rPr>
              <w:t>644.7</w:t>
            </w:r>
          </w:p>
        </w:tc>
        <w:tc>
          <w:tcPr>
            <w:tcW w:w="6820" w:type="dxa"/>
            <w:vAlign w:val="top"/>
            <w:gridSpan w:val="4"/>
          </w:tcPr>
          <w:p>
            <w:pPr>
              <w:pStyle w:val="TableText"/>
              <w:ind w:left="2405"/>
              <w:spacing w:before="48" w:line="195" w:lineRule="auto"/>
              <w:rPr>
                <w:sz w:val="20"/>
                <w:szCs w:val="20"/>
              </w:rPr>
            </w:pPr>
            <w:r>
              <w:rPr>
                <w:sz w:val="20"/>
                <w:szCs w:val="20"/>
              </w:rPr>
              <w:t>区域环卫部门统一清运</w:t>
            </w:r>
          </w:p>
        </w:tc>
      </w:tr>
      <w:tr>
        <w:trPr>
          <w:trHeight w:val="285" w:hRule="atLeast"/>
        </w:trPr>
        <w:tc>
          <w:tcPr>
            <w:tcW w:w="14140" w:type="dxa"/>
            <w:vAlign w:val="top"/>
            <w:gridSpan w:val="9"/>
          </w:tcPr>
          <w:p>
            <w:pPr>
              <w:pStyle w:val="TableText"/>
              <w:ind w:left="115"/>
              <w:spacing w:before="48" w:line="209" w:lineRule="auto"/>
              <w:rPr>
                <w:sz w:val="20"/>
                <w:szCs w:val="20"/>
              </w:rPr>
            </w:pPr>
            <w:r>
              <w:rPr>
                <w:sz w:val="20"/>
                <w:szCs w:val="20"/>
                <w:spacing w:val="-1"/>
              </w:rPr>
              <w:t>注：表中产生量来源于环评数据</w:t>
            </w:r>
          </w:p>
        </w:tc>
      </w:tr>
    </w:tbl>
    <w:p>
      <w:pPr>
        <w:rPr>
          <w:rFonts w:ascii="Arial"/>
          <w:sz w:val="21"/>
        </w:rPr>
      </w:pPr>
      <w:r/>
    </w:p>
    <w:p>
      <w:pPr>
        <w:sectPr>
          <w:footerReference w:type="default" r:id="rId52"/>
          <w:pgSz w:w="16840" w:h="11900"/>
          <w:pgMar w:top="937" w:right="1375" w:bottom="978" w:left="1314" w:header="0" w:footer="839" w:gutter="0"/>
        </w:sectPr>
        <w:rPr>
          <w:rFonts w:ascii="Arial" w:hAnsi="Arial" w:eastAsia="Arial" w:cs="Arial"/>
          <w:sz w:val="21"/>
          <w:szCs w:val="21"/>
        </w:rPr>
      </w:pPr>
    </w:p>
    <w:tbl>
      <w:tblPr>
        <w:tblStyle w:val="TableNormal"/>
        <w:tblW w:w="897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24"/>
        <w:gridCol w:w="1139"/>
        <w:gridCol w:w="1678"/>
        <w:gridCol w:w="1249"/>
        <w:gridCol w:w="1258"/>
        <w:gridCol w:w="1248"/>
        <w:gridCol w:w="1583"/>
      </w:tblGrid>
      <w:tr>
        <w:trPr>
          <w:trHeight w:val="2043" w:hRule="atLeast"/>
        </w:trPr>
        <w:tc>
          <w:tcPr>
            <w:tcW w:w="824"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95"/>
              <w:spacing w:before="68" w:line="228" w:lineRule="auto"/>
              <w:rPr>
                <w:sz w:val="21"/>
                <w:szCs w:val="21"/>
              </w:rPr>
            </w:pPr>
            <w:r>
              <w:rPr>
                <w:sz w:val="21"/>
                <w:szCs w:val="21"/>
                <w:spacing w:val="6"/>
              </w:rPr>
              <w:t>与项</w:t>
            </w:r>
          </w:p>
          <w:p>
            <w:pPr>
              <w:pStyle w:val="TableText"/>
              <w:ind w:left="195"/>
              <w:spacing w:line="220" w:lineRule="auto"/>
              <w:rPr>
                <w:sz w:val="21"/>
                <w:szCs w:val="21"/>
              </w:rPr>
            </w:pPr>
            <w:r>
              <w:rPr>
                <w:sz w:val="21"/>
                <w:szCs w:val="21"/>
                <w:spacing w:val="9"/>
              </w:rPr>
              <w:t>目有</w:t>
            </w:r>
          </w:p>
          <w:p>
            <w:pPr>
              <w:pStyle w:val="TableText"/>
              <w:ind w:left="195"/>
              <w:spacing w:before="39" w:line="220" w:lineRule="auto"/>
              <w:rPr>
                <w:sz w:val="21"/>
                <w:szCs w:val="21"/>
              </w:rPr>
            </w:pPr>
            <w:r>
              <w:rPr>
                <w:sz w:val="21"/>
                <w:szCs w:val="21"/>
                <w:spacing w:val="8"/>
              </w:rPr>
              <w:t>关的</w:t>
            </w:r>
          </w:p>
          <w:p>
            <w:pPr>
              <w:pStyle w:val="TableText"/>
              <w:ind w:left="195"/>
              <w:spacing w:line="220" w:lineRule="auto"/>
              <w:rPr>
                <w:sz w:val="21"/>
                <w:szCs w:val="21"/>
              </w:rPr>
            </w:pPr>
            <w:r>
              <w:rPr>
                <w:sz w:val="21"/>
                <w:szCs w:val="21"/>
                <w:spacing w:val="5"/>
              </w:rPr>
              <w:t>原有</w:t>
            </w:r>
          </w:p>
          <w:p>
            <w:pPr>
              <w:pStyle w:val="TableText"/>
              <w:ind w:left="195"/>
              <w:spacing w:before="39" w:line="220" w:lineRule="auto"/>
              <w:rPr>
                <w:sz w:val="21"/>
                <w:szCs w:val="21"/>
              </w:rPr>
            </w:pPr>
            <w:r>
              <w:rPr>
                <w:sz w:val="21"/>
                <w:szCs w:val="21"/>
                <w:spacing w:val="-3"/>
              </w:rPr>
              <w:t>环境</w:t>
            </w:r>
          </w:p>
          <w:p>
            <w:pPr>
              <w:pStyle w:val="TableText"/>
              <w:ind w:left="195"/>
              <w:spacing w:before="19" w:line="220" w:lineRule="auto"/>
              <w:rPr>
                <w:sz w:val="21"/>
                <w:szCs w:val="21"/>
              </w:rPr>
            </w:pPr>
            <w:r>
              <w:rPr>
                <w:sz w:val="21"/>
                <w:szCs w:val="21"/>
                <w:spacing w:val="-3"/>
              </w:rPr>
              <w:t>污染</w:t>
            </w:r>
          </w:p>
          <w:p>
            <w:pPr>
              <w:pStyle w:val="TableText"/>
              <w:ind w:left="195"/>
              <w:spacing w:before="32" w:line="221" w:lineRule="auto"/>
              <w:rPr>
                <w:sz w:val="21"/>
                <w:szCs w:val="21"/>
              </w:rPr>
            </w:pPr>
            <w:r>
              <w:rPr>
                <w:sz w:val="21"/>
                <w:szCs w:val="21"/>
                <w:spacing w:val="5"/>
              </w:rPr>
              <w:t>问题</w:t>
            </w:r>
          </w:p>
        </w:tc>
        <w:tc>
          <w:tcPr>
            <w:tcW w:w="8155" w:type="dxa"/>
            <w:vAlign w:val="top"/>
            <w:gridSpan w:val="6"/>
          </w:tcPr>
          <w:p>
            <w:pPr>
              <w:pStyle w:val="TableText"/>
              <w:ind w:left="113"/>
              <w:spacing w:before="51" w:line="220" w:lineRule="auto"/>
              <w:rPr>
                <w:sz w:val="21"/>
                <w:szCs w:val="21"/>
              </w:rPr>
            </w:pPr>
            <w:r>
              <w:rPr>
                <w:sz w:val="21"/>
                <w:szCs w:val="21"/>
                <w:b/>
                <w:bCs/>
                <w:spacing w:val="-4"/>
              </w:rPr>
              <w:t>5、污染物排放汇总</w:t>
            </w:r>
          </w:p>
          <w:p>
            <w:pPr>
              <w:pStyle w:val="TableText"/>
              <w:ind w:left="621"/>
              <w:spacing w:before="225" w:line="476" w:lineRule="exact"/>
              <w:rPr>
                <w:sz w:val="21"/>
                <w:szCs w:val="21"/>
              </w:rPr>
            </w:pPr>
            <w:r>
              <w:rPr>
                <w:sz w:val="21"/>
                <w:szCs w:val="21"/>
                <w:position w:val="20"/>
              </w:rPr>
              <w:t>根据上述各类污染物排放量核算，时代一汽年产20</w:t>
            </w:r>
            <w:r>
              <w:rPr>
                <w:sz w:val="21"/>
                <w:szCs w:val="21"/>
                <w:spacing w:val="-1"/>
                <w:position w:val="20"/>
              </w:rPr>
              <w:t>gwh动力电池生产线</w:t>
            </w:r>
          </w:p>
          <w:p>
            <w:pPr>
              <w:pStyle w:val="TableText"/>
              <w:ind w:left="130"/>
              <w:spacing w:line="219" w:lineRule="auto"/>
              <w:rPr>
                <w:sz w:val="21"/>
                <w:szCs w:val="21"/>
              </w:rPr>
            </w:pPr>
            <w:r>
              <w:rPr>
                <w:sz w:val="21"/>
                <w:szCs w:val="21"/>
              </w:rPr>
              <w:t>扩建项目污染物排放量汇总见下表2.8-10。</w:t>
            </w:r>
          </w:p>
          <w:p>
            <w:pPr>
              <w:pStyle w:val="TableText"/>
              <w:ind w:left="113"/>
              <w:spacing w:before="190" w:line="214" w:lineRule="auto"/>
              <w:rPr>
                <w:sz w:val="21"/>
                <w:szCs w:val="21"/>
              </w:rPr>
            </w:pPr>
            <w:r>
              <w:rPr>
                <w:sz w:val="21"/>
                <w:szCs w:val="21"/>
                <w:b/>
                <w:bCs/>
                <w:spacing w:val="25"/>
              </w:rPr>
              <w:t>表2</w:t>
            </w:r>
            <w:r>
              <w:rPr>
                <w:sz w:val="21"/>
                <w:szCs w:val="21"/>
                <w:spacing w:val="-43"/>
              </w:rPr>
              <w:t xml:space="preserve"> </w:t>
            </w:r>
            <w:r>
              <w:rPr>
                <w:sz w:val="21"/>
                <w:szCs w:val="21"/>
                <w:b/>
                <w:bCs/>
                <w:spacing w:val="25"/>
              </w:rPr>
              <w:t>.</w:t>
            </w:r>
            <w:r>
              <w:rPr>
                <w:sz w:val="21"/>
                <w:szCs w:val="21"/>
                <w:spacing w:val="-62"/>
              </w:rPr>
              <w:t xml:space="preserve"> </w:t>
            </w:r>
            <w:r>
              <w:rPr>
                <w:sz w:val="21"/>
                <w:szCs w:val="21"/>
                <w:b/>
                <w:bCs/>
                <w:spacing w:val="25"/>
              </w:rPr>
              <w:t>8-</w:t>
            </w:r>
            <w:r>
              <w:rPr>
                <w:sz w:val="21"/>
                <w:szCs w:val="21"/>
                <w:spacing w:val="-46"/>
              </w:rPr>
              <w:t xml:space="preserve"> </w:t>
            </w:r>
            <w:r>
              <w:rPr>
                <w:sz w:val="21"/>
                <w:szCs w:val="21"/>
                <w:b/>
                <w:bCs/>
                <w:spacing w:val="25"/>
              </w:rPr>
              <w:t>10</w:t>
            </w:r>
            <w:r>
              <w:rPr>
                <w:sz w:val="21"/>
                <w:szCs w:val="21"/>
                <w:spacing w:val="5"/>
              </w:rPr>
              <w:t xml:space="preserve">   </w:t>
            </w:r>
            <w:r>
              <w:rPr>
                <w:sz w:val="21"/>
                <w:szCs w:val="21"/>
                <w:b/>
                <w:bCs/>
                <w:spacing w:val="25"/>
              </w:rPr>
              <w:t>时代</w:t>
            </w:r>
            <w:r>
              <w:rPr>
                <w:sz w:val="21"/>
                <w:szCs w:val="21"/>
                <w:spacing w:val="-57"/>
              </w:rPr>
              <w:t xml:space="preserve"> </w:t>
            </w:r>
            <w:r>
              <w:rPr>
                <w:sz w:val="21"/>
                <w:szCs w:val="21"/>
                <w:b/>
                <w:bCs/>
                <w:spacing w:val="25"/>
              </w:rPr>
              <w:t>一</w:t>
            </w:r>
            <w:r>
              <w:rPr>
                <w:sz w:val="21"/>
                <w:szCs w:val="21"/>
                <w:spacing w:val="-63"/>
              </w:rPr>
              <w:t xml:space="preserve"> </w:t>
            </w:r>
            <w:r>
              <w:rPr>
                <w:sz w:val="21"/>
                <w:szCs w:val="21"/>
                <w:b/>
                <w:bCs/>
                <w:spacing w:val="25"/>
              </w:rPr>
              <w:t>汽年产20</w:t>
            </w:r>
            <w:r>
              <w:rPr>
                <w:sz w:val="21"/>
                <w:szCs w:val="21"/>
                <w:b/>
                <w:bCs/>
              </w:rPr>
              <w:t>gwh</w:t>
            </w:r>
            <w:r>
              <w:rPr>
                <w:sz w:val="21"/>
                <w:szCs w:val="21"/>
                <w:b/>
                <w:bCs/>
                <w:spacing w:val="25"/>
              </w:rPr>
              <w:t>动力电池生产线扩建项目(在建)污染物排</w:t>
            </w:r>
          </w:p>
          <w:p>
            <w:pPr>
              <w:pStyle w:val="TableText"/>
              <w:ind w:left="3383"/>
              <w:spacing w:before="124" w:line="195" w:lineRule="auto"/>
              <w:rPr>
                <w:sz w:val="21"/>
                <w:szCs w:val="21"/>
              </w:rPr>
            </w:pPr>
            <w:r>
              <w:rPr>
                <w:sz w:val="21"/>
                <w:szCs w:val="21"/>
                <w:b/>
                <w:bCs/>
                <w:spacing w:val="-4"/>
              </w:rPr>
              <w:t>放总量一览表</w:t>
            </w:r>
          </w:p>
        </w:tc>
      </w:tr>
      <w:tr>
        <w:trPr>
          <w:trHeight w:val="280" w:hRule="atLeast"/>
        </w:trPr>
        <w:tc>
          <w:tcPr>
            <w:tcW w:w="824" w:type="dxa"/>
            <w:vAlign w:val="top"/>
            <w:vMerge w:val="continue"/>
            <w:tcBorders>
              <w:top w:val="nil"/>
              <w:bottom w:val="nil"/>
            </w:tcBorders>
          </w:tcPr>
          <w:p>
            <w:pPr>
              <w:rPr>
                <w:rFonts w:ascii="Arial"/>
                <w:sz w:val="21"/>
              </w:rPr>
            </w:pPr>
            <w:r/>
          </w:p>
        </w:tc>
        <w:tc>
          <w:tcPr>
            <w:tcW w:w="1139" w:type="dxa"/>
            <w:vAlign w:val="top"/>
            <w:vMerge w:val="restart"/>
            <w:tcBorders>
              <w:bottom w:val="nil"/>
            </w:tcBorders>
          </w:tcPr>
          <w:p>
            <w:pPr>
              <w:spacing w:line="400" w:lineRule="auto"/>
              <w:rPr>
                <w:rFonts w:ascii="Arial"/>
                <w:sz w:val="21"/>
              </w:rPr>
            </w:pPr>
            <w:r/>
          </w:p>
          <w:p>
            <w:pPr>
              <w:pStyle w:val="TableText"/>
              <w:ind w:left="351"/>
              <w:spacing w:before="68" w:line="219" w:lineRule="auto"/>
              <w:rPr>
                <w:sz w:val="21"/>
                <w:szCs w:val="21"/>
              </w:rPr>
            </w:pPr>
            <w:r>
              <w:rPr>
                <w:sz w:val="21"/>
                <w:szCs w:val="21"/>
                <w:spacing w:val="6"/>
              </w:rPr>
              <w:t>类型</w:t>
            </w:r>
          </w:p>
        </w:tc>
        <w:tc>
          <w:tcPr>
            <w:tcW w:w="1678" w:type="dxa"/>
            <w:vAlign w:val="top"/>
            <w:vMerge w:val="restart"/>
            <w:tcBorders>
              <w:bottom w:val="nil"/>
            </w:tcBorders>
          </w:tcPr>
          <w:p>
            <w:pPr>
              <w:spacing w:line="400" w:lineRule="auto"/>
              <w:rPr>
                <w:rFonts w:ascii="Arial"/>
                <w:sz w:val="21"/>
              </w:rPr>
            </w:pPr>
            <w:r/>
          </w:p>
          <w:p>
            <w:pPr>
              <w:pStyle w:val="TableText"/>
              <w:ind w:left="511"/>
              <w:spacing w:before="68" w:line="220" w:lineRule="auto"/>
              <w:rPr>
                <w:sz w:val="21"/>
                <w:szCs w:val="21"/>
              </w:rPr>
            </w:pPr>
            <w:r>
              <w:rPr>
                <w:sz w:val="21"/>
                <w:szCs w:val="21"/>
                <w:spacing w:val="3"/>
              </w:rPr>
              <w:t>污染物</w:t>
            </w:r>
          </w:p>
        </w:tc>
        <w:tc>
          <w:tcPr>
            <w:tcW w:w="5338" w:type="dxa"/>
            <w:vAlign w:val="top"/>
            <w:gridSpan w:val="4"/>
          </w:tcPr>
          <w:p>
            <w:pPr>
              <w:pStyle w:val="TableText"/>
              <w:ind w:left="2004"/>
              <w:spacing w:before="42" w:line="200" w:lineRule="auto"/>
              <w:rPr>
                <w:sz w:val="21"/>
                <w:szCs w:val="21"/>
              </w:rPr>
            </w:pPr>
            <w:r>
              <w:rPr>
                <w:sz w:val="21"/>
                <w:szCs w:val="21"/>
                <w:spacing w:val="5"/>
              </w:rPr>
              <w:t>排放量(t/a)</w:t>
            </w:r>
          </w:p>
        </w:tc>
      </w:tr>
      <w:tr>
        <w:trPr>
          <w:trHeight w:val="549" w:hRule="atLeast"/>
        </w:trPr>
        <w:tc>
          <w:tcPr>
            <w:tcW w:w="824" w:type="dxa"/>
            <w:vAlign w:val="top"/>
            <w:vMerge w:val="continue"/>
            <w:tcBorders>
              <w:top w:val="nil"/>
              <w:bottom w:val="nil"/>
            </w:tcBorders>
          </w:tcPr>
          <w:p>
            <w:pPr>
              <w:rPr>
                <w:rFonts w:ascii="Arial"/>
                <w:sz w:val="21"/>
              </w:rPr>
            </w:pPr>
            <w:r/>
          </w:p>
        </w:tc>
        <w:tc>
          <w:tcPr>
            <w:tcW w:w="1139" w:type="dxa"/>
            <w:vAlign w:val="top"/>
            <w:vMerge w:val="continue"/>
            <w:tcBorders>
              <w:top w:val="nil"/>
              <w:bottom w:val="nil"/>
            </w:tcBorders>
          </w:tcPr>
          <w:p>
            <w:pPr>
              <w:rPr>
                <w:rFonts w:ascii="Arial"/>
                <w:sz w:val="21"/>
              </w:rPr>
            </w:pPr>
            <w:r/>
          </w:p>
        </w:tc>
        <w:tc>
          <w:tcPr>
            <w:tcW w:w="1678" w:type="dxa"/>
            <w:vAlign w:val="top"/>
            <w:vMerge w:val="continue"/>
            <w:tcBorders>
              <w:top w:val="nil"/>
              <w:bottom w:val="nil"/>
            </w:tcBorders>
          </w:tcPr>
          <w:p>
            <w:pPr>
              <w:rPr>
                <w:rFonts w:ascii="Arial"/>
                <w:sz w:val="21"/>
              </w:rPr>
            </w:pPr>
            <w:r/>
          </w:p>
        </w:tc>
        <w:tc>
          <w:tcPr>
            <w:tcW w:w="2507" w:type="dxa"/>
            <w:vAlign w:val="top"/>
            <w:gridSpan w:val="2"/>
          </w:tcPr>
          <w:p>
            <w:pPr>
              <w:pStyle w:val="TableText"/>
              <w:ind w:left="454"/>
              <w:spacing w:before="170" w:line="219" w:lineRule="auto"/>
              <w:rPr>
                <w:sz w:val="21"/>
                <w:szCs w:val="21"/>
              </w:rPr>
            </w:pPr>
            <w:r>
              <w:rPr>
                <w:sz w:val="21"/>
                <w:szCs w:val="21"/>
                <w:spacing w:val="6"/>
              </w:rPr>
              <w:t>20</w:t>
            </w:r>
            <w:r>
              <w:rPr>
                <w:sz w:val="21"/>
                <w:szCs w:val="21"/>
              </w:rPr>
              <w:t>GWh</w:t>
            </w:r>
            <w:r>
              <w:rPr>
                <w:sz w:val="21"/>
                <w:szCs w:val="21"/>
                <w:spacing w:val="6"/>
              </w:rPr>
              <w:t>(环评数据)</w:t>
            </w:r>
          </w:p>
        </w:tc>
        <w:tc>
          <w:tcPr>
            <w:tcW w:w="2831" w:type="dxa"/>
            <w:vAlign w:val="top"/>
            <w:gridSpan w:val="2"/>
          </w:tcPr>
          <w:p>
            <w:pPr>
              <w:pStyle w:val="TableText"/>
              <w:ind w:left="567"/>
              <w:spacing w:before="70" w:line="211" w:lineRule="auto"/>
              <w:rPr>
                <w:sz w:val="21"/>
                <w:szCs w:val="21"/>
              </w:rPr>
            </w:pPr>
            <w:r>
              <w:rPr>
                <w:sz w:val="21"/>
                <w:szCs w:val="21"/>
              </w:rPr>
              <w:t>阶段性验收6.7GWh</w:t>
            </w:r>
          </w:p>
          <w:p>
            <w:pPr>
              <w:pStyle w:val="TableText"/>
              <w:ind w:left="887"/>
              <w:spacing w:line="201" w:lineRule="auto"/>
              <w:rPr>
                <w:sz w:val="21"/>
                <w:szCs w:val="21"/>
              </w:rPr>
            </w:pPr>
            <w:r>
              <w:rPr>
                <w:sz w:val="21"/>
                <w:szCs w:val="21"/>
                <w:spacing w:val="7"/>
              </w:rPr>
              <w:t>(验收数据)</w:t>
            </w:r>
          </w:p>
        </w:tc>
      </w:tr>
      <w:tr>
        <w:trPr>
          <w:trHeight w:val="299" w:hRule="atLeast"/>
        </w:trPr>
        <w:tc>
          <w:tcPr>
            <w:tcW w:w="824" w:type="dxa"/>
            <w:vAlign w:val="top"/>
            <w:vMerge w:val="continue"/>
            <w:tcBorders>
              <w:top w:val="nil"/>
              <w:bottom w:val="nil"/>
            </w:tcBorders>
          </w:tcPr>
          <w:p>
            <w:pPr>
              <w:rPr>
                <w:rFonts w:ascii="Arial"/>
                <w:sz w:val="21"/>
              </w:rPr>
            </w:pPr>
            <w:r/>
          </w:p>
        </w:tc>
        <w:tc>
          <w:tcPr>
            <w:tcW w:w="1139" w:type="dxa"/>
            <w:vAlign w:val="top"/>
            <w:vMerge w:val="continue"/>
            <w:tcBorders>
              <w:top w:val="nil"/>
            </w:tcBorders>
          </w:tcPr>
          <w:p>
            <w:pPr>
              <w:rPr>
                <w:rFonts w:ascii="Arial"/>
                <w:sz w:val="21"/>
              </w:rPr>
            </w:pPr>
            <w:r/>
          </w:p>
        </w:tc>
        <w:tc>
          <w:tcPr>
            <w:tcW w:w="1678" w:type="dxa"/>
            <w:vAlign w:val="top"/>
            <w:vMerge w:val="continue"/>
            <w:tcBorders>
              <w:top w:val="nil"/>
            </w:tcBorders>
          </w:tcPr>
          <w:p>
            <w:pPr>
              <w:rPr>
                <w:rFonts w:ascii="Arial"/>
                <w:sz w:val="21"/>
              </w:rPr>
            </w:pPr>
            <w:r/>
          </w:p>
        </w:tc>
        <w:tc>
          <w:tcPr>
            <w:tcW w:w="1249" w:type="dxa"/>
            <w:vAlign w:val="top"/>
          </w:tcPr>
          <w:p>
            <w:pPr>
              <w:pStyle w:val="TableText"/>
              <w:ind w:left="194"/>
              <w:spacing w:before="53" w:line="207" w:lineRule="auto"/>
              <w:rPr>
                <w:sz w:val="21"/>
                <w:szCs w:val="21"/>
              </w:rPr>
            </w:pPr>
            <w:r>
              <w:rPr>
                <w:sz w:val="21"/>
                <w:szCs w:val="21"/>
                <w:spacing w:val="2"/>
              </w:rPr>
              <w:t>总排放量</w:t>
            </w:r>
          </w:p>
        </w:tc>
        <w:tc>
          <w:tcPr>
            <w:tcW w:w="1258" w:type="dxa"/>
            <w:vAlign w:val="top"/>
          </w:tcPr>
          <w:p>
            <w:pPr>
              <w:pStyle w:val="TableText"/>
              <w:ind w:left="204"/>
              <w:spacing w:before="51" w:line="209" w:lineRule="auto"/>
              <w:rPr>
                <w:sz w:val="21"/>
                <w:szCs w:val="21"/>
              </w:rPr>
            </w:pPr>
            <w:r>
              <w:rPr>
                <w:sz w:val="21"/>
                <w:szCs w:val="21"/>
                <w:spacing w:val="-2"/>
              </w:rPr>
              <w:t>生产废水</w:t>
            </w:r>
          </w:p>
        </w:tc>
        <w:tc>
          <w:tcPr>
            <w:tcW w:w="1248" w:type="dxa"/>
            <w:vAlign w:val="top"/>
          </w:tcPr>
          <w:p>
            <w:pPr>
              <w:pStyle w:val="TableText"/>
              <w:ind w:left="196"/>
              <w:spacing w:before="53" w:line="207" w:lineRule="auto"/>
              <w:rPr>
                <w:sz w:val="21"/>
                <w:szCs w:val="21"/>
              </w:rPr>
            </w:pPr>
            <w:r>
              <w:rPr>
                <w:sz w:val="21"/>
                <w:szCs w:val="21"/>
                <w:spacing w:val="2"/>
              </w:rPr>
              <w:t>总排放量</w:t>
            </w:r>
          </w:p>
        </w:tc>
        <w:tc>
          <w:tcPr>
            <w:tcW w:w="1583" w:type="dxa"/>
            <w:vAlign w:val="top"/>
          </w:tcPr>
          <w:p>
            <w:pPr>
              <w:pStyle w:val="TableText"/>
              <w:ind w:left="368"/>
              <w:spacing w:before="51" w:line="209" w:lineRule="auto"/>
              <w:rPr>
                <w:sz w:val="21"/>
                <w:szCs w:val="21"/>
              </w:rPr>
            </w:pPr>
            <w:r>
              <w:rPr>
                <w:sz w:val="21"/>
                <w:szCs w:val="21"/>
                <w:spacing w:val="-2"/>
              </w:rPr>
              <w:t>生产废水</w:t>
            </w:r>
          </w:p>
        </w:tc>
      </w:tr>
      <w:tr>
        <w:trPr>
          <w:trHeight w:val="290" w:hRule="atLeast"/>
        </w:trPr>
        <w:tc>
          <w:tcPr>
            <w:tcW w:w="824" w:type="dxa"/>
            <w:vAlign w:val="top"/>
            <w:vMerge w:val="continue"/>
            <w:tcBorders>
              <w:top w:val="nil"/>
              <w:bottom w:val="nil"/>
            </w:tcBorders>
          </w:tcPr>
          <w:p>
            <w:pPr>
              <w:rPr>
                <w:rFonts w:ascii="Arial"/>
                <w:sz w:val="21"/>
              </w:rPr>
            </w:pPr>
            <w:r/>
          </w:p>
        </w:tc>
        <w:tc>
          <w:tcPr>
            <w:tcW w:w="1139" w:type="dxa"/>
            <w:vAlign w:val="top"/>
            <w:vMerge w:val="restart"/>
            <w:tcBorders>
              <w:bottom w:val="nil"/>
            </w:tcBorders>
          </w:tcPr>
          <w:p>
            <w:pPr>
              <w:spacing w:line="280" w:lineRule="auto"/>
              <w:rPr>
                <w:rFonts w:ascii="Arial"/>
                <w:sz w:val="21"/>
              </w:rPr>
            </w:pPr>
            <w:r/>
          </w:p>
          <w:p>
            <w:pPr>
              <w:spacing w:line="281" w:lineRule="auto"/>
              <w:rPr>
                <w:rFonts w:ascii="Arial"/>
                <w:sz w:val="21"/>
              </w:rPr>
            </w:pPr>
            <w:r/>
          </w:p>
          <w:p>
            <w:pPr>
              <w:pStyle w:val="TableText"/>
              <w:ind w:left="351"/>
              <w:spacing w:before="68" w:line="219" w:lineRule="auto"/>
              <w:rPr>
                <w:sz w:val="21"/>
                <w:szCs w:val="21"/>
              </w:rPr>
            </w:pPr>
            <w:r>
              <w:rPr>
                <w:sz w:val="21"/>
                <w:szCs w:val="21"/>
                <w:spacing w:val="-2"/>
              </w:rPr>
              <w:t>废水</w:t>
            </w:r>
          </w:p>
        </w:tc>
        <w:tc>
          <w:tcPr>
            <w:tcW w:w="1678" w:type="dxa"/>
            <w:vAlign w:val="top"/>
          </w:tcPr>
          <w:p>
            <w:pPr>
              <w:pStyle w:val="TableText"/>
              <w:ind w:left="411"/>
              <w:spacing w:before="42" w:line="209" w:lineRule="auto"/>
              <w:rPr>
                <w:sz w:val="21"/>
                <w:szCs w:val="21"/>
              </w:rPr>
            </w:pPr>
            <w:r>
              <w:rPr>
                <w:sz w:val="21"/>
                <w:szCs w:val="21"/>
                <w:spacing w:val="2"/>
              </w:rPr>
              <w:t>总废水量</w:t>
            </w:r>
          </w:p>
        </w:tc>
        <w:tc>
          <w:tcPr>
            <w:tcW w:w="1249" w:type="dxa"/>
            <w:vAlign w:val="top"/>
          </w:tcPr>
          <w:p>
            <w:pPr>
              <w:pStyle w:val="TableText"/>
              <w:ind w:left="303"/>
              <w:spacing w:before="96" w:line="161" w:lineRule="auto"/>
              <w:rPr>
                <w:sz w:val="21"/>
                <w:szCs w:val="21"/>
              </w:rPr>
            </w:pPr>
            <w:r>
              <w:rPr>
                <w:sz w:val="21"/>
                <w:szCs w:val="21"/>
                <w:spacing w:val="-2"/>
              </w:rPr>
              <w:t>200700</w:t>
            </w:r>
          </w:p>
        </w:tc>
        <w:tc>
          <w:tcPr>
            <w:tcW w:w="1258" w:type="dxa"/>
            <w:vAlign w:val="top"/>
          </w:tcPr>
          <w:p>
            <w:pPr>
              <w:pStyle w:val="TableText"/>
              <w:ind w:left="355"/>
              <w:spacing w:before="96" w:line="161" w:lineRule="auto"/>
              <w:rPr>
                <w:sz w:val="21"/>
                <w:szCs w:val="21"/>
              </w:rPr>
            </w:pPr>
            <w:r>
              <w:rPr>
                <w:sz w:val="21"/>
                <w:szCs w:val="21"/>
                <w:spacing w:val="-2"/>
              </w:rPr>
              <w:t>23220</w:t>
            </w:r>
          </w:p>
        </w:tc>
        <w:tc>
          <w:tcPr>
            <w:tcW w:w="1248" w:type="dxa"/>
            <w:vAlign w:val="top"/>
          </w:tcPr>
          <w:p>
            <w:pPr>
              <w:pStyle w:val="TableText"/>
              <w:ind w:left="357"/>
              <w:spacing w:before="95" w:line="162" w:lineRule="auto"/>
              <w:rPr>
                <w:sz w:val="21"/>
                <w:szCs w:val="21"/>
              </w:rPr>
            </w:pPr>
            <w:r>
              <w:rPr>
                <w:sz w:val="21"/>
                <w:szCs w:val="21"/>
                <w:spacing w:val="-3"/>
              </w:rPr>
              <w:t>76512</w:t>
            </w:r>
          </w:p>
        </w:tc>
        <w:tc>
          <w:tcPr>
            <w:tcW w:w="1583" w:type="dxa"/>
            <w:vAlign w:val="top"/>
          </w:tcPr>
          <w:p>
            <w:pPr>
              <w:pStyle w:val="TableText"/>
              <w:ind w:left="519"/>
              <w:spacing w:before="95" w:line="162" w:lineRule="auto"/>
              <w:rPr>
                <w:sz w:val="21"/>
                <w:szCs w:val="21"/>
              </w:rPr>
            </w:pPr>
            <w:r>
              <w:rPr>
                <w:sz w:val="21"/>
                <w:szCs w:val="21"/>
                <w:spacing w:val="-4"/>
              </w:rPr>
              <w:t>12420</w:t>
            </w:r>
          </w:p>
        </w:tc>
      </w:tr>
      <w:tr>
        <w:trPr>
          <w:trHeight w:val="300" w:hRule="atLeast"/>
        </w:trPr>
        <w:tc>
          <w:tcPr>
            <w:tcW w:w="824" w:type="dxa"/>
            <w:vAlign w:val="top"/>
            <w:vMerge w:val="continue"/>
            <w:tcBorders>
              <w:top w:val="nil"/>
              <w:bottom w:val="nil"/>
            </w:tcBorders>
          </w:tcPr>
          <w:p>
            <w:pPr>
              <w:rPr>
                <w:rFonts w:ascii="Arial"/>
                <w:sz w:val="21"/>
              </w:rPr>
            </w:pPr>
            <w:r/>
          </w:p>
        </w:tc>
        <w:tc>
          <w:tcPr>
            <w:tcW w:w="1139" w:type="dxa"/>
            <w:vAlign w:val="top"/>
            <w:vMerge w:val="continue"/>
            <w:tcBorders>
              <w:top w:val="nil"/>
              <w:bottom w:val="nil"/>
            </w:tcBorders>
          </w:tcPr>
          <w:p>
            <w:pPr>
              <w:rPr>
                <w:rFonts w:ascii="Arial"/>
                <w:sz w:val="21"/>
              </w:rPr>
            </w:pPr>
            <w:r/>
          </w:p>
        </w:tc>
        <w:tc>
          <w:tcPr>
            <w:tcW w:w="1678" w:type="dxa"/>
            <w:vAlign w:val="top"/>
          </w:tcPr>
          <w:p>
            <w:pPr>
              <w:pStyle w:val="TableText"/>
              <w:ind w:left="672"/>
              <w:spacing w:before="106" w:line="161" w:lineRule="auto"/>
              <w:rPr>
                <w:sz w:val="21"/>
                <w:szCs w:val="21"/>
              </w:rPr>
            </w:pPr>
            <w:r>
              <w:rPr>
                <w:sz w:val="21"/>
                <w:szCs w:val="21"/>
                <w:spacing w:val="-2"/>
              </w:rPr>
              <w:t>COD</w:t>
            </w:r>
          </w:p>
        </w:tc>
        <w:tc>
          <w:tcPr>
            <w:tcW w:w="1249" w:type="dxa"/>
            <w:vAlign w:val="top"/>
          </w:tcPr>
          <w:p>
            <w:pPr>
              <w:pStyle w:val="TableText"/>
              <w:ind w:left="354"/>
              <w:spacing w:before="106" w:line="161" w:lineRule="auto"/>
              <w:rPr>
                <w:sz w:val="21"/>
                <w:szCs w:val="21"/>
              </w:rPr>
            </w:pPr>
            <w:r>
              <w:rPr>
                <w:sz w:val="21"/>
                <w:szCs w:val="21"/>
                <w:spacing w:val="-2"/>
              </w:rPr>
              <w:t>6.060</w:t>
            </w:r>
          </w:p>
        </w:tc>
        <w:tc>
          <w:tcPr>
            <w:tcW w:w="1258" w:type="dxa"/>
            <w:vAlign w:val="top"/>
          </w:tcPr>
          <w:p>
            <w:pPr>
              <w:pStyle w:val="TableText"/>
              <w:ind w:left="355"/>
              <w:spacing w:before="105" w:line="162" w:lineRule="auto"/>
              <w:rPr>
                <w:sz w:val="21"/>
                <w:szCs w:val="21"/>
              </w:rPr>
            </w:pPr>
            <w:r>
              <w:rPr>
                <w:sz w:val="21"/>
                <w:szCs w:val="21"/>
                <w:spacing w:val="-4"/>
              </w:rPr>
              <w:t>1.161</w:t>
            </w:r>
          </w:p>
        </w:tc>
        <w:tc>
          <w:tcPr>
            <w:tcW w:w="1248" w:type="dxa"/>
            <w:vAlign w:val="top"/>
          </w:tcPr>
          <w:p>
            <w:pPr>
              <w:pStyle w:val="TableText"/>
              <w:ind w:left="357"/>
              <w:spacing w:before="105" w:line="162" w:lineRule="auto"/>
              <w:rPr>
                <w:sz w:val="21"/>
                <w:szCs w:val="21"/>
              </w:rPr>
            </w:pPr>
            <w:r>
              <w:rPr>
                <w:sz w:val="21"/>
                <w:szCs w:val="21"/>
                <w:spacing w:val="-2"/>
              </w:rPr>
              <w:t>2.517</w:t>
            </w:r>
          </w:p>
        </w:tc>
        <w:tc>
          <w:tcPr>
            <w:tcW w:w="1583" w:type="dxa"/>
            <w:vAlign w:val="top"/>
          </w:tcPr>
          <w:p>
            <w:pPr>
              <w:pStyle w:val="TableText"/>
              <w:ind w:left="519"/>
              <w:spacing w:before="105" w:line="162" w:lineRule="auto"/>
              <w:rPr>
                <w:sz w:val="21"/>
                <w:szCs w:val="21"/>
              </w:rPr>
            </w:pPr>
            <w:r>
              <w:rPr>
                <w:sz w:val="21"/>
                <w:szCs w:val="21"/>
                <w:spacing w:val="-2"/>
              </w:rPr>
              <w:t>0.621</w:t>
            </w:r>
          </w:p>
        </w:tc>
      </w:tr>
      <w:tr>
        <w:trPr>
          <w:trHeight w:val="270" w:hRule="atLeast"/>
        </w:trPr>
        <w:tc>
          <w:tcPr>
            <w:tcW w:w="824" w:type="dxa"/>
            <w:vAlign w:val="top"/>
            <w:vMerge w:val="continue"/>
            <w:tcBorders>
              <w:top w:val="nil"/>
              <w:bottom w:val="nil"/>
            </w:tcBorders>
          </w:tcPr>
          <w:p>
            <w:pPr>
              <w:rPr>
                <w:rFonts w:ascii="Arial"/>
                <w:sz w:val="21"/>
              </w:rPr>
            </w:pPr>
            <w:r/>
          </w:p>
        </w:tc>
        <w:tc>
          <w:tcPr>
            <w:tcW w:w="1139" w:type="dxa"/>
            <w:vAlign w:val="top"/>
            <w:vMerge w:val="continue"/>
            <w:tcBorders>
              <w:top w:val="nil"/>
              <w:bottom w:val="nil"/>
            </w:tcBorders>
          </w:tcPr>
          <w:p>
            <w:pPr>
              <w:rPr>
                <w:rFonts w:ascii="Arial"/>
                <w:sz w:val="21"/>
              </w:rPr>
            </w:pPr>
            <w:r/>
          </w:p>
        </w:tc>
        <w:tc>
          <w:tcPr>
            <w:tcW w:w="1678" w:type="dxa"/>
            <w:vAlign w:val="top"/>
          </w:tcPr>
          <w:p>
            <w:pPr>
              <w:pStyle w:val="TableText"/>
              <w:ind w:left="622"/>
              <w:spacing w:before="31" w:line="201" w:lineRule="auto"/>
              <w:rPr>
                <w:sz w:val="21"/>
                <w:szCs w:val="21"/>
              </w:rPr>
            </w:pPr>
            <w:r>
              <w:rPr>
                <w:sz w:val="21"/>
                <w:szCs w:val="21"/>
                <w:spacing w:val="-3"/>
              </w:rPr>
              <w:t>氨氮</w:t>
            </w:r>
          </w:p>
        </w:tc>
        <w:tc>
          <w:tcPr>
            <w:tcW w:w="1249" w:type="dxa"/>
            <w:vAlign w:val="top"/>
          </w:tcPr>
          <w:p>
            <w:pPr>
              <w:pStyle w:val="TableText"/>
              <w:ind w:left="354"/>
              <w:spacing w:before="86" w:line="173" w:lineRule="exact"/>
              <w:rPr>
                <w:sz w:val="21"/>
                <w:szCs w:val="21"/>
              </w:rPr>
            </w:pPr>
            <w:r>
              <w:rPr>
                <w:sz w:val="21"/>
                <w:szCs w:val="21"/>
                <w:spacing w:val="-2"/>
                <w:position w:val="-2"/>
              </w:rPr>
              <w:t>0.606</w:t>
            </w:r>
          </w:p>
        </w:tc>
        <w:tc>
          <w:tcPr>
            <w:tcW w:w="1258" w:type="dxa"/>
            <w:vAlign w:val="top"/>
          </w:tcPr>
          <w:p>
            <w:pPr>
              <w:pStyle w:val="TableText"/>
              <w:ind w:left="355"/>
              <w:spacing w:before="85" w:line="175" w:lineRule="exact"/>
              <w:rPr>
                <w:sz w:val="21"/>
                <w:szCs w:val="21"/>
              </w:rPr>
            </w:pPr>
            <w:r>
              <w:rPr>
                <w:sz w:val="21"/>
                <w:szCs w:val="21"/>
                <w:spacing w:val="-4"/>
                <w:position w:val="-2"/>
              </w:rPr>
              <w:t>1.161</w:t>
            </w:r>
          </w:p>
        </w:tc>
        <w:tc>
          <w:tcPr>
            <w:tcW w:w="1248" w:type="dxa"/>
            <w:vAlign w:val="top"/>
          </w:tcPr>
          <w:p>
            <w:pPr>
              <w:pStyle w:val="TableText"/>
              <w:ind w:left="307"/>
              <w:spacing w:before="85" w:line="175" w:lineRule="exact"/>
              <w:rPr>
                <w:sz w:val="21"/>
                <w:szCs w:val="21"/>
              </w:rPr>
            </w:pPr>
            <w:r>
              <w:rPr>
                <w:sz w:val="21"/>
                <w:szCs w:val="21"/>
                <w:spacing w:val="-2"/>
                <w:position w:val="-2"/>
              </w:rPr>
              <w:t>0.2517</w:t>
            </w:r>
          </w:p>
        </w:tc>
        <w:tc>
          <w:tcPr>
            <w:tcW w:w="1583" w:type="dxa"/>
            <w:vAlign w:val="top"/>
          </w:tcPr>
          <w:p>
            <w:pPr>
              <w:pStyle w:val="TableText"/>
              <w:ind w:left="469"/>
              <w:spacing w:before="85" w:line="175" w:lineRule="exact"/>
              <w:rPr>
                <w:sz w:val="21"/>
                <w:szCs w:val="21"/>
              </w:rPr>
            </w:pPr>
            <w:r>
              <w:rPr>
                <w:sz w:val="21"/>
                <w:szCs w:val="21"/>
                <w:spacing w:val="-2"/>
                <w:position w:val="-2"/>
              </w:rPr>
              <w:t>0.0621</w:t>
            </w:r>
          </w:p>
        </w:tc>
      </w:tr>
      <w:tr>
        <w:trPr>
          <w:trHeight w:val="300" w:hRule="atLeast"/>
        </w:trPr>
        <w:tc>
          <w:tcPr>
            <w:tcW w:w="824" w:type="dxa"/>
            <w:vAlign w:val="top"/>
            <w:vMerge w:val="continue"/>
            <w:tcBorders>
              <w:top w:val="nil"/>
              <w:bottom w:val="nil"/>
            </w:tcBorders>
          </w:tcPr>
          <w:p>
            <w:pPr>
              <w:rPr>
                <w:rFonts w:ascii="Arial"/>
                <w:sz w:val="21"/>
              </w:rPr>
            </w:pPr>
            <w:r/>
          </w:p>
        </w:tc>
        <w:tc>
          <w:tcPr>
            <w:tcW w:w="1139" w:type="dxa"/>
            <w:vAlign w:val="top"/>
            <w:vMerge w:val="continue"/>
            <w:tcBorders>
              <w:top w:val="nil"/>
              <w:bottom w:val="nil"/>
            </w:tcBorders>
          </w:tcPr>
          <w:p>
            <w:pPr>
              <w:rPr>
                <w:rFonts w:ascii="Arial"/>
                <w:sz w:val="21"/>
              </w:rPr>
            </w:pPr>
            <w:r/>
          </w:p>
        </w:tc>
        <w:tc>
          <w:tcPr>
            <w:tcW w:w="1678" w:type="dxa"/>
            <w:vAlign w:val="top"/>
          </w:tcPr>
          <w:p>
            <w:pPr>
              <w:pStyle w:val="TableText"/>
              <w:ind w:left="622"/>
              <w:spacing w:before="54" w:line="207" w:lineRule="auto"/>
              <w:rPr>
                <w:sz w:val="21"/>
                <w:szCs w:val="21"/>
              </w:rPr>
            </w:pPr>
            <w:r>
              <w:rPr>
                <w:sz w:val="21"/>
                <w:szCs w:val="21"/>
                <w:spacing w:val="4"/>
              </w:rPr>
              <w:t>总钴</w:t>
            </w:r>
          </w:p>
        </w:tc>
        <w:tc>
          <w:tcPr>
            <w:tcW w:w="1249" w:type="dxa"/>
            <w:vAlign w:val="top"/>
          </w:tcPr>
          <w:p>
            <w:pPr>
              <w:pStyle w:val="TableText"/>
              <w:ind w:left="354"/>
              <w:spacing w:before="105" w:line="162" w:lineRule="auto"/>
              <w:rPr>
                <w:sz w:val="21"/>
                <w:szCs w:val="21"/>
              </w:rPr>
            </w:pPr>
            <w:r>
              <w:rPr>
                <w:sz w:val="21"/>
                <w:szCs w:val="21"/>
                <w:spacing w:val="-2"/>
              </w:rPr>
              <w:t>0.001</w:t>
            </w:r>
          </w:p>
        </w:tc>
        <w:tc>
          <w:tcPr>
            <w:tcW w:w="1258" w:type="dxa"/>
            <w:vAlign w:val="top"/>
          </w:tcPr>
          <w:p>
            <w:pPr>
              <w:pStyle w:val="TableText"/>
              <w:ind w:left="355"/>
              <w:spacing w:before="105" w:line="162" w:lineRule="auto"/>
              <w:rPr>
                <w:sz w:val="21"/>
                <w:szCs w:val="21"/>
              </w:rPr>
            </w:pPr>
            <w:r>
              <w:rPr>
                <w:sz w:val="21"/>
                <w:szCs w:val="21"/>
                <w:spacing w:val="-2"/>
              </w:rPr>
              <w:t>0.001</w:t>
            </w:r>
          </w:p>
        </w:tc>
        <w:tc>
          <w:tcPr>
            <w:tcW w:w="1248" w:type="dxa"/>
            <w:vAlign w:val="top"/>
          </w:tcPr>
          <w:p>
            <w:pPr>
              <w:pStyle w:val="TableText"/>
              <w:ind w:left="247"/>
              <w:spacing w:before="105" w:line="162" w:lineRule="auto"/>
              <w:rPr>
                <w:sz w:val="21"/>
                <w:szCs w:val="21"/>
              </w:rPr>
            </w:pPr>
            <w:r>
              <w:rPr>
                <w:sz w:val="21"/>
                <w:szCs w:val="21"/>
                <w:spacing w:val="-2"/>
              </w:rPr>
              <w:t>0.00017</w:t>
            </w:r>
          </w:p>
        </w:tc>
        <w:tc>
          <w:tcPr>
            <w:tcW w:w="1583" w:type="dxa"/>
            <w:vAlign w:val="top"/>
          </w:tcPr>
          <w:p>
            <w:pPr>
              <w:pStyle w:val="TableText"/>
              <w:ind w:left="418"/>
              <w:spacing w:before="105" w:line="162" w:lineRule="auto"/>
              <w:rPr>
                <w:sz w:val="21"/>
                <w:szCs w:val="21"/>
              </w:rPr>
            </w:pPr>
            <w:r>
              <w:rPr>
                <w:sz w:val="21"/>
                <w:szCs w:val="21"/>
                <w:spacing w:val="-2"/>
              </w:rPr>
              <w:t>0.00017</w:t>
            </w:r>
          </w:p>
        </w:tc>
      </w:tr>
      <w:tr>
        <w:trPr>
          <w:trHeight w:val="270" w:hRule="atLeast"/>
        </w:trPr>
        <w:tc>
          <w:tcPr>
            <w:tcW w:w="824" w:type="dxa"/>
            <w:vAlign w:val="top"/>
            <w:vMerge w:val="continue"/>
            <w:tcBorders>
              <w:top w:val="nil"/>
              <w:bottom w:val="nil"/>
            </w:tcBorders>
          </w:tcPr>
          <w:p>
            <w:pPr>
              <w:rPr>
                <w:rFonts w:ascii="Arial"/>
                <w:sz w:val="21"/>
              </w:rPr>
            </w:pPr>
            <w:r/>
          </w:p>
        </w:tc>
        <w:tc>
          <w:tcPr>
            <w:tcW w:w="1139" w:type="dxa"/>
            <w:vAlign w:val="top"/>
            <w:vMerge w:val="continue"/>
            <w:tcBorders>
              <w:top w:val="nil"/>
            </w:tcBorders>
          </w:tcPr>
          <w:p>
            <w:pPr>
              <w:rPr>
                <w:rFonts w:ascii="Arial"/>
                <w:sz w:val="21"/>
              </w:rPr>
            </w:pPr>
            <w:r/>
          </w:p>
        </w:tc>
        <w:tc>
          <w:tcPr>
            <w:tcW w:w="1678" w:type="dxa"/>
            <w:vAlign w:val="top"/>
          </w:tcPr>
          <w:p>
            <w:pPr>
              <w:pStyle w:val="TableText"/>
              <w:ind w:left="622"/>
              <w:spacing w:before="33" w:line="199" w:lineRule="auto"/>
              <w:rPr>
                <w:sz w:val="21"/>
                <w:szCs w:val="21"/>
              </w:rPr>
            </w:pPr>
            <w:r>
              <w:rPr>
                <w:sz w:val="21"/>
                <w:szCs w:val="21"/>
                <w:spacing w:val="4"/>
              </w:rPr>
              <w:t>总镍</w:t>
            </w:r>
          </w:p>
        </w:tc>
        <w:tc>
          <w:tcPr>
            <w:tcW w:w="1249" w:type="dxa"/>
            <w:vAlign w:val="top"/>
          </w:tcPr>
          <w:p>
            <w:pPr>
              <w:pStyle w:val="TableText"/>
              <w:ind w:left="354"/>
              <w:spacing w:before="86" w:line="173" w:lineRule="exact"/>
              <w:rPr>
                <w:sz w:val="21"/>
                <w:szCs w:val="21"/>
              </w:rPr>
            </w:pPr>
            <w:r>
              <w:rPr>
                <w:sz w:val="21"/>
                <w:szCs w:val="21"/>
                <w:spacing w:val="-2"/>
                <w:position w:val="-2"/>
              </w:rPr>
              <w:t>0.005</w:t>
            </w:r>
          </w:p>
        </w:tc>
        <w:tc>
          <w:tcPr>
            <w:tcW w:w="1258" w:type="dxa"/>
            <w:vAlign w:val="top"/>
          </w:tcPr>
          <w:p>
            <w:pPr>
              <w:pStyle w:val="TableText"/>
              <w:ind w:left="355"/>
              <w:spacing w:before="86" w:line="173" w:lineRule="exact"/>
              <w:rPr>
                <w:sz w:val="21"/>
                <w:szCs w:val="21"/>
              </w:rPr>
            </w:pPr>
            <w:r>
              <w:rPr>
                <w:sz w:val="21"/>
                <w:szCs w:val="21"/>
                <w:spacing w:val="-2"/>
                <w:position w:val="-2"/>
              </w:rPr>
              <w:t>0.005</w:t>
            </w:r>
          </w:p>
        </w:tc>
        <w:tc>
          <w:tcPr>
            <w:tcW w:w="1248" w:type="dxa"/>
            <w:vAlign w:val="top"/>
          </w:tcPr>
          <w:p>
            <w:pPr>
              <w:pStyle w:val="TableText"/>
              <w:ind w:left="307"/>
              <w:spacing w:before="86" w:line="173" w:lineRule="exact"/>
              <w:rPr>
                <w:sz w:val="21"/>
                <w:szCs w:val="21"/>
              </w:rPr>
            </w:pPr>
            <w:r>
              <w:rPr>
                <w:sz w:val="21"/>
                <w:szCs w:val="21"/>
                <w:spacing w:val="-2"/>
                <w:position w:val="-2"/>
              </w:rPr>
              <w:t>0.0009</w:t>
            </w:r>
          </w:p>
        </w:tc>
        <w:tc>
          <w:tcPr>
            <w:tcW w:w="1583" w:type="dxa"/>
            <w:vAlign w:val="top"/>
          </w:tcPr>
          <w:p>
            <w:pPr>
              <w:pStyle w:val="TableText"/>
              <w:ind w:left="469"/>
              <w:spacing w:before="86" w:line="173" w:lineRule="exact"/>
              <w:rPr>
                <w:sz w:val="21"/>
                <w:szCs w:val="21"/>
              </w:rPr>
            </w:pPr>
            <w:r>
              <w:rPr>
                <w:sz w:val="21"/>
                <w:szCs w:val="21"/>
                <w:spacing w:val="-2"/>
                <w:position w:val="-2"/>
              </w:rPr>
              <w:t>0.0009</w:t>
            </w:r>
          </w:p>
        </w:tc>
      </w:tr>
      <w:tr>
        <w:trPr>
          <w:trHeight w:val="290" w:hRule="atLeast"/>
        </w:trPr>
        <w:tc>
          <w:tcPr>
            <w:tcW w:w="824" w:type="dxa"/>
            <w:vAlign w:val="top"/>
            <w:vMerge w:val="continue"/>
            <w:tcBorders>
              <w:top w:val="nil"/>
              <w:bottom w:val="nil"/>
            </w:tcBorders>
          </w:tcPr>
          <w:p>
            <w:pPr>
              <w:rPr>
                <w:rFonts w:ascii="Arial"/>
                <w:sz w:val="21"/>
              </w:rPr>
            </w:pPr>
            <w:r/>
          </w:p>
        </w:tc>
        <w:tc>
          <w:tcPr>
            <w:tcW w:w="1139" w:type="dxa"/>
            <w:vAlign w:val="top"/>
            <w:vMerge w:val="restart"/>
            <w:tcBorders>
              <w:bottom w:val="nil"/>
            </w:tcBorders>
          </w:tcPr>
          <w:p>
            <w:pPr>
              <w:spacing w:line="350" w:lineRule="auto"/>
              <w:rPr>
                <w:rFonts w:ascii="Arial"/>
                <w:sz w:val="21"/>
              </w:rPr>
            </w:pPr>
            <w:r/>
          </w:p>
          <w:p>
            <w:pPr>
              <w:spacing w:line="350" w:lineRule="auto"/>
              <w:rPr>
                <w:rFonts w:ascii="Arial"/>
                <w:sz w:val="21"/>
              </w:rPr>
            </w:pPr>
            <w:r/>
          </w:p>
          <w:p>
            <w:pPr>
              <w:pStyle w:val="TableText"/>
              <w:ind w:left="351"/>
              <w:spacing w:before="69" w:line="220" w:lineRule="auto"/>
              <w:rPr>
                <w:sz w:val="21"/>
                <w:szCs w:val="21"/>
              </w:rPr>
            </w:pPr>
            <w:r>
              <w:rPr>
                <w:sz w:val="21"/>
                <w:szCs w:val="21"/>
                <w:spacing w:val="6"/>
              </w:rPr>
              <w:t>废气</w:t>
            </w:r>
          </w:p>
        </w:tc>
        <w:tc>
          <w:tcPr>
            <w:tcW w:w="1678" w:type="dxa"/>
            <w:vAlign w:val="top"/>
          </w:tcPr>
          <w:p>
            <w:pPr>
              <w:pStyle w:val="TableText"/>
              <w:ind w:left="302"/>
              <w:spacing w:before="43" w:line="208" w:lineRule="auto"/>
              <w:rPr>
                <w:sz w:val="21"/>
                <w:szCs w:val="21"/>
              </w:rPr>
            </w:pPr>
            <w:r>
              <w:rPr>
                <w:sz w:val="21"/>
                <w:szCs w:val="21"/>
                <w:spacing w:val="-2"/>
              </w:rPr>
              <w:t>非甲烷总烃</w:t>
            </w:r>
          </w:p>
        </w:tc>
        <w:tc>
          <w:tcPr>
            <w:tcW w:w="2507" w:type="dxa"/>
            <w:vAlign w:val="top"/>
            <w:gridSpan w:val="2"/>
          </w:tcPr>
          <w:p>
            <w:pPr>
              <w:pStyle w:val="TableText"/>
              <w:ind w:left="984"/>
              <w:spacing w:before="96" w:line="161" w:lineRule="auto"/>
              <w:rPr>
                <w:sz w:val="21"/>
                <w:szCs w:val="21"/>
              </w:rPr>
            </w:pPr>
            <w:r>
              <w:rPr>
                <w:sz w:val="21"/>
                <w:szCs w:val="21"/>
                <w:spacing w:val="-2"/>
              </w:rPr>
              <w:t>9.829</w:t>
            </w:r>
          </w:p>
        </w:tc>
        <w:tc>
          <w:tcPr>
            <w:tcW w:w="2831" w:type="dxa"/>
            <w:vAlign w:val="top"/>
            <w:gridSpan w:val="2"/>
          </w:tcPr>
          <w:p>
            <w:pPr>
              <w:pStyle w:val="TableText"/>
              <w:ind w:left="1147"/>
              <w:spacing w:before="95" w:line="162" w:lineRule="auto"/>
              <w:rPr>
                <w:sz w:val="21"/>
                <w:szCs w:val="21"/>
              </w:rPr>
            </w:pPr>
            <w:r>
              <w:rPr>
                <w:sz w:val="21"/>
                <w:szCs w:val="21"/>
                <w:spacing w:val="-4"/>
              </w:rPr>
              <w:t>1.097</w:t>
            </w:r>
          </w:p>
        </w:tc>
      </w:tr>
      <w:tr>
        <w:trPr>
          <w:trHeight w:val="269" w:hRule="atLeast"/>
        </w:trPr>
        <w:tc>
          <w:tcPr>
            <w:tcW w:w="824" w:type="dxa"/>
            <w:vAlign w:val="top"/>
            <w:vMerge w:val="continue"/>
            <w:tcBorders>
              <w:top w:val="nil"/>
              <w:bottom w:val="nil"/>
            </w:tcBorders>
          </w:tcPr>
          <w:p>
            <w:pPr>
              <w:rPr>
                <w:rFonts w:ascii="Arial"/>
                <w:sz w:val="21"/>
              </w:rPr>
            </w:pPr>
            <w:r/>
          </w:p>
        </w:tc>
        <w:tc>
          <w:tcPr>
            <w:tcW w:w="1139" w:type="dxa"/>
            <w:vAlign w:val="top"/>
            <w:vMerge w:val="continue"/>
            <w:tcBorders>
              <w:top w:val="nil"/>
              <w:bottom w:val="nil"/>
            </w:tcBorders>
          </w:tcPr>
          <w:p>
            <w:pPr>
              <w:rPr>
                <w:rFonts w:ascii="Arial"/>
                <w:sz w:val="21"/>
              </w:rPr>
            </w:pPr>
            <w:r/>
          </w:p>
        </w:tc>
        <w:tc>
          <w:tcPr>
            <w:tcW w:w="1678" w:type="dxa"/>
            <w:vAlign w:val="top"/>
          </w:tcPr>
          <w:p>
            <w:pPr>
              <w:pStyle w:val="TableText"/>
              <w:ind w:left="511"/>
              <w:spacing w:before="33" w:line="198" w:lineRule="auto"/>
              <w:rPr>
                <w:sz w:val="21"/>
                <w:szCs w:val="21"/>
              </w:rPr>
            </w:pPr>
            <w:r>
              <w:rPr>
                <w:sz w:val="21"/>
                <w:szCs w:val="21"/>
                <w:spacing w:val="-2"/>
              </w:rPr>
              <w:t>颗粒物</w:t>
            </w:r>
          </w:p>
        </w:tc>
        <w:tc>
          <w:tcPr>
            <w:tcW w:w="2507" w:type="dxa"/>
            <w:vAlign w:val="top"/>
            <w:gridSpan w:val="2"/>
          </w:tcPr>
          <w:p>
            <w:pPr>
              <w:pStyle w:val="TableText"/>
              <w:ind w:left="873"/>
              <w:spacing w:before="85" w:line="174" w:lineRule="exact"/>
              <w:rPr>
                <w:sz w:val="21"/>
                <w:szCs w:val="21"/>
              </w:rPr>
            </w:pPr>
            <w:r>
              <w:rPr>
                <w:sz w:val="21"/>
                <w:szCs w:val="21"/>
                <w:spacing w:val="-4"/>
                <w:position w:val="-2"/>
              </w:rPr>
              <w:t>12.198*</w:t>
            </w:r>
          </w:p>
        </w:tc>
        <w:tc>
          <w:tcPr>
            <w:tcW w:w="2831" w:type="dxa"/>
            <w:vAlign w:val="top"/>
            <w:gridSpan w:val="2"/>
          </w:tcPr>
          <w:p>
            <w:pPr>
              <w:pStyle w:val="TableText"/>
              <w:ind w:left="1147"/>
              <w:spacing w:before="85" w:line="174" w:lineRule="exact"/>
              <w:rPr>
                <w:sz w:val="21"/>
                <w:szCs w:val="21"/>
              </w:rPr>
            </w:pPr>
            <w:r>
              <w:rPr>
                <w:sz w:val="21"/>
                <w:szCs w:val="21"/>
                <w:spacing w:val="-2"/>
                <w:position w:val="-2"/>
              </w:rPr>
              <w:t>0.127</w:t>
            </w:r>
          </w:p>
        </w:tc>
      </w:tr>
      <w:tr>
        <w:trPr>
          <w:trHeight w:val="300" w:hRule="atLeast"/>
        </w:trPr>
        <w:tc>
          <w:tcPr>
            <w:tcW w:w="824" w:type="dxa"/>
            <w:vAlign w:val="top"/>
            <w:vMerge w:val="continue"/>
            <w:tcBorders>
              <w:top w:val="nil"/>
              <w:bottom w:val="nil"/>
            </w:tcBorders>
          </w:tcPr>
          <w:p>
            <w:pPr>
              <w:rPr>
                <w:rFonts w:ascii="Arial"/>
                <w:sz w:val="21"/>
              </w:rPr>
            </w:pPr>
            <w:r/>
          </w:p>
        </w:tc>
        <w:tc>
          <w:tcPr>
            <w:tcW w:w="1139" w:type="dxa"/>
            <w:vAlign w:val="top"/>
            <w:vMerge w:val="continue"/>
            <w:tcBorders>
              <w:top w:val="nil"/>
              <w:bottom w:val="nil"/>
            </w:tcBorders>
          </w:tcPr>
          <w:p>
            <w:pPr>
              <w:rPr>
                <w:rFonts w:ascii="Arial"/>
                <w:sz w:val="21"/>
              </w:rPr>
            </w:pPr>
            <w:r/>
          </w:p>
        </w:tc>
        <w:tc>
          <w:tcPr>
            <w:tcW w:w="1678" w:type="dxa"/>
            <w:vAlign w:val="top"/>
          </w:tcPr>
          <w:p>
            <w:pPr>
              <w:pStyle w:val="TableText"/>
              <w:ind w:left="622"/>
              <w:spacing w:before="87" w:line="178" w:lineRule="auto"/>
              <w:rPr>
                <w:rFonts w:ascii="Calibri" w:hAnsi="Calibri" w:eastAsia="Calibri" w:cs="Calibri"/>
                <w:sz w:val="21"/>
                <w:szCs w:val="21"/>
              </w:rPr>
            </w:pPr>
            <w:r>
              <w:rPr>
                <w:sz w:val="21"/>
                <w:szCs w:val="21"/>
                <w:spacing w:val="-4"/>
              </w:rPr>
              <w:t>SO</w:t>
            </w:r>
            <w:r>
              <w:rPr>
                <w:rFonts w:ascii="Calibri" w:hAnsi="Calibri" w:eastAsia="Calibri" w:cs="Calibri"/>
                <w:sz w:val="21"/>
                <w:szCs w:val="21"/>
                <w:spacing w:val="-4"/>
              </w:rPr>
              <w:t>₂</w:t>
            </w:r>
          </w:p>
        </w:tc>
        <w:tc>
          <w:tcPr>
            <w:tcW w:w="2507" w:type="dxa"/>
            <w:vAlign w:val="top"/>
            <w:gridSpan w:val="2"/>
          </w:tcPr>
          <w:p>
            <w:pPr>
              <w:pStyle w:val="TableText"/>
              <w:ind w:left="934"/>
              <w:spacing w:before="106" w:line="161" w:lineRule="auto"/>
              <w:rPr>
                <w:sz w:val="21"/>
                <w:szCs w:val="21"/>
              </w:rPr>
            </w:pPr>
            <w:r>
              <w:rPr>
                <w:sz w:val="21"/>
                <w:szCs w:val="21"/>
                <w:spacing w:val="-4"/>
              </w:rPr>
              <w:t>1.792*</w:t>
            </w:r>
          </w:p>
        </w:tc>
        <w:tc>
          <w:tcPr>
            <w:tcW w:w="2831" w:type="dxa"/>
            <w:vAlign w:val="top"/>
            <w:gridSpan w:val="2"/>
          </w:tcPr>
          <w:p>
            <w:pPr>
              <w:pStyle w:val="TableText"/>
              <w:ind w:left="1147"/>
              <w:spacing w:before="108" w:line="160" w:lineRule="auto"/>
              <w:rPr>
                <w:sz w:val="21"/>
                <w:szCs w:val="21"/>
              </w:rPr>
            </w:pPr>
            <w:r>
              <w:rPr>
                <w:sz w:val="21"/>
                <w:szCs w:val="21"/>
                <w:spacing w:val="-2"/>
              </w:rPr>
              <w:t>0.239</w:t>
            </w:r>
          </w:p>
        </w:tc>
      </w:tr>
      <w:tr>
        <w:trPr>
          <w:trHeight w:val="270" w:hRule="atLeast"/>
        </w:trPr>
        <w:tc>
          <w:tcPr>
            <w:tcW w:w="824" w:type="dxa"/>
            <w:vAlign w:val="top"/>
            <w:vMerge w:val="continue"/>
            <w:tcBorders>
              <w:top w:val="nil"/>
              <w:bottom w:val="nil"/>
            </w:tcBorders>
          </w:tcPr>
          <w:p>
            <w:pPr>
              <w:rPr>
                <w:rFonts w:ascii="Arial"/>
                <w:sz w:val="21"/>
              </w:rPr>
            </w:pPr>
            <w:r/>
          </w:p>
        </w:tc>
        <w:tc>
          <w:tcPr>
            <w:tcW w:w="1139" w:type="dxa"/>
            <w:vAlign w:val="top"/>
            <w:vMerge w:val="continue"/>
            <w:tcBorders>
              <w:top w:val="nil"/>
              <w:bottom w:val="nil"/>
            </w:tcBorders>
          </w:tcPr>
          <w:p>
            <w:pPr>
              <w:rPr>
                <w:rFonts w:ascii="Arial"/>
                <w:sz w:val="21"/>
              </w:rPr>
            </w:pPr>
            <w:r/>
          </w:p>
        </w:tc>
        <w:tc>
          <w:tcPr>
            <w:tcW w:w="1678" w:type="dxa"/>
            <w:vAlign w:val="top"/>
          </w:tcPr>
          <w:p>
            <w:pPr>
              <w:pStyle w:val="TableText"/>
              <w:ind w:left="672"/>
              <w:spacing w:before="87" w:line="172" w:lineRule="exact"/>
              <w:rPr>
                <w:sz w:val="21"/>
                <w:szCs w:val="21"/>
              </w:rPr>
            </w:pPr>
            <w:r>
              <w:rPr>
                <w:sz w:val="21"/>
                <w:szCs w:val="21"/>
                <w:spacing w:val="-1"/>
                <w:position w:val="-2"/>
              </w:rPr>
              <w:t>NOx</w:t>
            </w:r>
          </w:p>
        </w:tc>
        <w:tc>
          <w:tcPr>
            <w:tcW w:w="2507" w:type="dxa"/>
            <w:vAlign w:val="top"/>
            <w:gridSpan w:val="2"/>
          </w:tcPr>
          <w:p>
            <w:pPr>
              <w:pStyle w:val="TableText"/>
              <w:ind w:left="873"/>
              <w:spacing w:before="87" w:line="172" w:lineRule="exact"/>
              <w:rPr>
                <w:sz w:val="21"/>
                <w:szCs w:val="21"/>
              </w:rPr>
            </w:pPr>
            <w:r>
              <w:rPr>
                <w:sz w:val="21"/>
                <w:szCs w:val="21"/>
                <w:spacing w:val="-2"/>
                <w:position w:val="-2"/>
              </w:rPr>
              <w:t>29.872*</w:t>
            </w:r>
          </w:p>
        </w:tc>
        <w:tc>
          <w:tcPr>
            <w:tcW w:w="2831" w:type="dxa"/>
            <w:vAlign w:val="top"/>
            <w:gridSpan w:val="2"/>
          </w:tcPr>
          <w:p>
            <w:pPr>
              <w:pStyle w:val="TableText"/>
              <w:ind w:left="1147"/>
              <w:spacing w:before="87" w:line="172" w:lineRule="exact"/>
              <w:rPr>
                <w:sz w:val="21"/>
                <w:szCs w:val="21"/>
              </w:rPr>
            </w:pPr>
            <w:r>
              <w:rPr>
                <w:sz w:val="21"/>
                <w:szCs w:val="21"/>
                <w:spacing w:val="-2"/>
                <w:position w:val="-2"/>
              </w:rPr>
              <w:t>2.346</w:t>
            </w:r>
          </w:p>
        </w:tc>
      </w:tr>
      <w:tr>
        <w:trPr>
          <w:trHeight w:val="300" w:hRule="atLeast"/>
        </w:trPr>
        <w:tc>
          <w:tcPr>
            <w:tcW w:w="824" w:type="dxa"/>
            <w:vAlign w:val="top"/>
            <w:vMerge w:val="continue"/>
            <w:tcBorders>
              <w:top w:val="nil"/>
              <w:bottom w:val="nil"/>
            </w:tcBorders>
          </w:tcPr>
          <w:p>
            <w:pPr>
              <w:rPr>
                <w:rFonts w:ascii="Arial"/>
                <w:sz w:val="21"/>
              </w:rPr>
            </w:pPr>
            <w:r/>
          </w:p>
        </w:tc>
        <w:tc>
          <w:tcPr>
            <w:tcW w:w="1139" w:type="dxa"/>
            <w:vAlign w:val="top"/>
            <w:vMerge w:val="continue"/>
            <w:tcBorders>
              <w:top w:val="nil"/>
              <w:bottom w:val="nil"/>
            </w:tcBorders>
          </w:tcPr>
          <w:p>
            <w:pPr>
              <w:rPr>
                <w:rFonts w:ascii="Arial"/>
                <w:sz w:val="21"/>
              </w:rPr>
            </w:pPr>
            <w:r/>
          </w:p>
        </w:tc>
        <w:tc>
          <w:tcPr>
            <w:tcW w:w="1678" w:type="dxa"/>
            <w:vAlign w:val="top"/>
          </w:tcPr>
          <w:p>
            <w:pPr>
              <w:pStyle w:val="TableText"/>
              <w:ind w:left="622"/>
              <w:spacing w:before="87" w:line="178" w:lineRule="auto"/>
              <w:rPr>
                <w:rFonts w:ascii="Calibri" w:hAnsi="Calibri" w:eastAsia="Calibri" w:cs="Calibri"/>
                <w:sz w:val="21"/>
                <w:szCs w:val="21"/>
              </w:rPr>
            </w:pPr>
            <w:r>
              <w:rPr>
                <w:sz w:val="21"/>
                <w:szCs w:val="21"/>
                <w:spacing w:val="-1"/>
              </w:rPr>
              <w:t>NH</w:t>
            </w:r>
            <w:r>
              <w:rPr>
                <w:rFonts w:ascii="Calibri" w:hAnsi="Calibri" w:eastAsia="Calibri" w:cs="Calibri"/>
                <w:sz w:val="21"/>
                <w:szCs w:val="21"/>
                <w:spacing w:val="-1"/>
              </w:rPr>
              <w:t>₃</w:t>
            </w:r>
          </w:p>
        </w:tc>
        <w:tc>
          <w:tcPr>
            <w:tcW w:w="2507" w:type="dxa"/>
            <w:vAlign w:val="top"/>
            <w:gridSpan w:val="2"/>
          </w:tcPr>
          <w:p>
            <w:pPr>
              <w:pStyle w:val="TableText"/>
              <w:ind w:left="984"/>
              <w:spacing w:before="108" w:line="160" w:lineRule="auto"/>
              <w:rPr>
                <w:sz w:val="21"/>
                <w:szCs w:val="21"/>
              </w:rPr>
            </w:pPr>
            <w:r>
              <w:rPr>
                <w:sz w:val="21"/>
                <w:szCs w:val="21"/>
                <w:spacing w:val="-2"/>
              </w:rPr>
              <w:t>0.498</w:t>
            </w:r>
          </w:p>
        </w:tc>
        <w:tc>
          <w:tcPr>
            <w:tcW w:w="2831" w:type="dxa"/>
            <w:vAlign w:val="top"/>
            <w:gridSpan w:val="2"/>
          </w:tcPr>
          <w:p>
            <w:pPr>
              <w:pStyle w:val="TableText"/>
              <w:ind w:left="1147"/>
              <w:spacing w:before="108" w:line="160" w:lineRule="auto"/>
              <w:rPr>
                <w:sz w:val="21"/>
                <w:szCs w:val="21"/>
              </w:rPr>
            </w:pPr>
            <w:r>
              <w:rPr>
                <w:sz w:val="21"/>
                <w:szCs w:val="21"/>
                <w:spacing w:val="-2"/>
              </w:rPr>
              <w:t>0.004</w:t>
            </w:r>
          </w:p>
        </w:tc>
      </w:tr>
      <w:tr>
        <w:trPr>
          <w:trHeight w:val="270" w:hRule="atLeast"/>
        </w:trPr>
        <w:tc>
          <w:tcPr>
            <w:tcW w:w="824" w:type="dxa"/>
            <w:vAlign w:val="top"/>
            <w:vMerge w:val="continue"/>
            <w:tcBorders>
              <w:top w:val="nil"/>
              <w:bottom w:val="nil"/>
            </w:tcBorders>
          </w:tcPr>
          <w:p>
            <w:pPr>
              <w:rPr>
                <w:rFonts w:ascii="Arial"/>
                <w:sz w:val="21"/>
              </w:rPr>
            </w:pPr>
            <w:r/>
          </w:p>
        </w:tc>
        <w:tc>
          <w:tcPr>
            <w:tcW w:w="1139" w:type="dxa"/>
            <w:vAlign w:val="top"/>
            <w:vMerge w:val="continue"/>
            <w:tcBorders>
              <w:top w:val="nil"/>
            </w:tcBorders>
          </w:tcPr>
          <w:p>
            <w:pPr>
              <w:rPr>
                <w:rFonts w:ascii="Arial"/>
                <w:sz w:val="21"/>
              </w:rPr>
            </w:pPr>
            <w:r/>
          </w:p>
        </w:tc>
        <w:tc>
          <w:tcPr>
            <w:tcW w:w="1678" w:type="dxa"/>
            <w:vAlign w:val="top"/>
          </w:tcPr>
          <w:p>
            <w:pPr>
              <w:pStyle w:val="TableText"/>
              <w:ind w:left="622"/>
              <w:spacing w:before="66" w:line="170" w:lineRule="auto"/>
              <w:rPr>
                <w:sz w:val="21"/>
                <w:szCs w:val="21"/>
              </w:rPr>
            </w:pPr>
            <w:r>
              <w:rPr>
                <w:sz w:val="21"/>
                <w:szCs w:val="21"/>
                <w:spacing w:val="-2"/>
              </w:rPr>
              <w:t>H</w:t>
            </w:r>
            <w:r>
              <w:rPr>
                <w:rFonts w:ascii="Calibri" w:hAnsi="Calibri" w:eastAsia="Calibri" w:cs="Calibri"/>
                <w:sz w:val="21"/>
                <w:szCs w:val="21"/>
                <w:spacing w:val="-2"/>
              </w:rPr>
              <w:t>₂</w:t>
            </w:r>
            <w:r>
              <w:rPr>
                <w:sz w:val="21"/>
                <w:szCs w:val="21"/>
                <w:spacing w:val="-2"/>
              </w:rPr>
              <w:t>S</w:t>
            </w:r>
          </w:p>
        </w:tc>
        <w:tc>
          <w:tcPr>
            <w:tcW w:w="2507" w:type="dxa"/>
            <w:vAlign w:val="top"/>
            <w:gridSpan w:val="2"/>
          </w:tcPr>
          <w:p>
            <w:pPr>
              <w:pStyle w:val="TableText"/>
              <w:ind w:left="984"/>
              <w:spacing w:before="86" w:line="173" w:lineRule="exact"/>
              <w:rPr>
                <w:sz w:val="21"/>
                <w:szCs w:val="21"/>
              </w:rPr>
            </w:pPr>
            <w:r>
              <w:rPr>
                <w:sz w:val="21"/>
                <w:szCs w:val="21"/>
                <w:spacing w:val="-2"/>
                <w:position w:val="-2"/>
              </w:rPr>
              <w:t>0.010</w:t>
            </w:r>
          </w:p>
        </w:tc>
        <w:tc>
          <w:tcPr>
            <w:tcW w:w="2831" w:type="dxa"/>
            <w:vAlign w:val="top"/>
            <w:gridSpan w:val="2"/>
          </w:tcPr>
          <w:p>
            <w:pPr>
              <w:pStyle w:val="TableText"/>
              <w:ind w:left="1147"/>
              <w:spacing w:before="87" w:line="172" w:lineRule="exact"/>
              <w:rPr>
                <w:sz w:val="21"/>
                <w:szCs w:val="21"/>
              </w:rPr>
            </w:pPr>
            <w:r>
              <w:rPr>
                <w:sz w:val="21"/>
                <w:szCs w:val="21"/>
                <w:spacing w:val="-2"/>
                <w:position w:val="-2"/>
              </w:rPr>
              <w:t>0.003</w:t>
            </w:r>
          </w:p>
        </w:tc>
      </w:tr>
      <w:tr>
        <w:trPr>
          <w:trHeight w:val="1928" w:hRule="atLeast"/>
        </w:trPr>
        <w:tc>
          <w:tcPr>
            <w:tcW w:w="824" w:type="dxa"/>
            <w:vAlign w:val="top"/>
            <w:vMerge w:val="continue"/>
            <w:tcBorders>
              <w:top w:val="nil"/>
              <w:bottom w:val="nil"/>
            </w:tcBorders>
          </w:tcPr>
          <w:p>
            <w:pPr>
              <w:rPr>
                <w:rFonts w:ascii="Arial"/>
                <w:sz w:val="21"/>
              </w:rPr>
            </w:pPr>
            <w:r/>
          </w:p>
        </w:tc>
        <w:tc>
          <w:tcPr>
            <w:tcW w:w="8155" w:type="dxa"/>
            <w:vAlign w:val="top"/>
            <w:gridSpan w:val="6"/>
          </w:tcPr>
          <w:p>
            <w:pPr>
              <w:pStyle w:val="TableText"/>
              <w:ind w:left="250" w:right="343" w:hanging="19"/>
              <w:spacing w:before="53" w:line="237" w:lineRule="auto"/>
              <w:rPr>
                <w:sz w:val="21"/>
                <w:szCs w:val="21"/>
              </w:rPr>
            </w:pPr>
            <w:r>
              <w:rPr>
                <w:sz w:val="21"/>
                <w:szCs w:val="21"/>
              </w:rPr>
              <w:t>备注：1)实际排放废水合计含锅炉排污、软化水，纯水制备废水、循环冷却废水等</w:t>
            </w:r>
            <w:r>
              <w:rPr>
                <w:sz w:val="21"/>
                <w:szCs w:val="21"/>
                <w:spacing w:val="9"/>
              </w:rPr>
              <w:t xml:space="preserve"> </w:t>
            </w:r>
            <w:r>
              <w:rPr>
                <w:sz w:val="21"/>
                <w:szCs w:val="21"/>
                <w:spacing w:val="8"/>
              </w:rPr>
              <w:t>水量，不计其污染物排放量；</w:t>
            </w:r>
          </w:p>
          <w:p>
            <w:pPr>
              <w:pStyle w:val="TableText"/>
              <w:ind w:left="220" w:right="804" w:hanging="9"/>
              <w:spacing w:before="4" w:line="231" w:lineRule="auto"/>
              <w:rPr>
                <w:sz w:val="21"/>
                <w:szCs w:val="21"/>
              </w:rPr>
            </w:pPr>
            <w:r>
              <w:rPr>
                <w:sz w:val="21"/>
                <w:szCs w:val="21"/>
              </w:rPr>
              <w:t>2)表中的COD、氨氮排放量按霞浦县污水处理厂出水浓度COD50</w:t>
            </w:r>
            <w:r>
              <w:rPr>
                <w:sz w:val="21"/>
                <w:szCs w:val="21"/>
                <w:spacing w:val="-1"/>
              </w:rPr>
              <w:t>mg/L,氨氮5mg/L</w:t>
            </w:r>
            <w:r>
              <w:rPr>
                <w:sz w:val="21"/>
                <w:szCs w:val="21"/>
              </w:rPr>
              <w:t xml:space="preserve"> </w:t>
            </w:r>
            <w:r>
              <w:rPr>
                <w:sz w:val="21"/>
                <w:szCs w:val="21"/>
                <w:spacing w:val="-7"/>
              </w:rPr>
              <w:t>计</w:t>
            </w:r>
            <w:r>
              <w:rPr>
                <w:sz w:val="21"/>
                <w:szCs w:val="21"/>
                <w:spacing w:val="-13"/>
              </w:rPr>
              <w:t xml:space="preserve"> </w:t>
            </w:r>
            <w:r>
              <w:rPr>
                <w:sz w:val="21"/>
                <w:szCs w:val="21"/>
                <w:spacing w:val="-7"/>
              </w:rPr>
              <w:t>算</w:t>
            </w:r>
            <w:r>
              <w:rPr>
                <w:sz w:val="21"/>
                <w:szCs w:val="21"/>
                <w:spacing w:val="-23"/>
              </w:rPr>
              <w:t xml:space="preserve"> </w:t>
            </w:r>
            <w:r>
              <w:rPr>
                <w:sz w:val="21"/>
                <w:szCs w:val="21"/>
                <w:spacing w:val="-7"/>
              </w:rPr>
              <w:t>；</w:t>
            </w:r>
          </w:p>
          <w:p>
            <w:pPr>
              <w:pStyle w:val="TableText"/>
              <w:ind w:left="240" w:right="339" w:hanging="29"/>
              <w:spacing w:before="23" w:line="226" w:lineRule="auto"/>
              <w:jc w:val="both"/>
              <w:rPr>
                <w:sz w:val="21"/>
                <w:szCs w:val="21"/>
              </w:rPr>
            </w:pPr>
            <w:r>
              <w:rPr>
                <w:sz w:val="21"/>
                <w:szCs w:val="21"/>
              </w:rPr>
              <w:t>3)*表中时代一汽年产20gwh动力电池生产线扩建项目环评数据中颗粒物含锅炉废气</w:t>
            </w:r>
            <w:r>
              <w:rPr>
                <w:sz w:val="21"/>
                <w:szCs w:val="21"/>
                <w:spacing w:val="13"/>
              </w:rPr>
              <w:t xml:space="preserve"> </w:t>
            </w:r>
            <w:r>
              <w:rPr>
                <w:sz w:val="21"/>
                <w:szCs w:val="21"/>
                <w:spacing w:val="3"/>
              </w:rPr>
              <w:t>中的颗粒物排放量11.944t/a,颗粒物、</w:t>
            </w:r>
            <w:r>
              <w:rPr>
                <w:sz w:val="21"/>
                <w:szCs w:val="21"/>
              </w:rPr>
              <w:t>SO</w:t>
            </w:r>
            <w:r>
              <w:rPr>
                <w:rFonts w:ascii="Calibri" w:hAnsi="Calibri" w:eastAsia="Calibri" w:cs="Calibri"/>
                <w:sz w:val="21"/>
                <w:szCs w:val="21"/>
                <w:spacing w:val="3"/>
              </w:rPr>
              <w:t>₂</w:t>
            </w:r>
            <w:r>
              <w:rPr>
                <w:rFonts w:ascii="Calibri" w:hAnsi="Calibri" w:eastAsia="Calibri" w:cs="Calibri"/>
                <w:sz w:val="21"/>
                <w:szCs w:val="21"/>
                <w:spacing w:val="-22"/>
              </w:rPr>
              <w:t xml:space="preserve"> </w:t>
            </w:r>
            <w:r>
              <w:rPr>
                <w:sz w:val="21"/>
                <w:szCs w:val="21"/>
                <w:spacing w:val="3"/>
              </w:rPr>
              <w:t>、</w:t>
            </w:r>
            <w:r>
              <w:rPr>
                <w:sz w:val="21"/>
                <w:szCs w:val="21"/>
              </w:rPr>
              <w:t>NOx</w:t>
            </w:r>
            <w:r>
              <w:rPr>
                <w:sz w:val="21"/>
                <w:szCs w:val="21"/>
                <w:spacing w:val="3"/>
              </w:rPr>
              <w:t>均含时代一汽动力电池项目(年产</w:t>
            </w:r>
            <w:r>
              <w:rPr>
                <w:sz w:val="21"/>
                <w:szCs w:val="21"/>
              </w:rPr>
              <w:t xml:space="preserve"> </w:t>
            </w:r>
            <w:r>
              <w:rPr>
                <w:sz w:val="21"/>
                <w:szCs w:val="21"/>
              </w:rPr>
              <w:t>10GWh)锅炉污染物排放量。</w:t>
            </w:r>
          </w:p>
        </w:tc>
      </w:tr>
      <w:tr>
        <w:trPr>
          <w:trHeight w:val="4351" w:hRule="atLeast"/>
        </w:trPr>
        <w:tc>
          <w:tcPr>
            <w:tcW w:w="824" w:type="dxa"/>
            <w:vAlign w:val="top"/>
            <w:vMerge w:val="continue"/>
            <w:tcBorders>
              <w:top w:val="nil"/>
            </w:tcBorders>
          </w:tcPr>
          <w:p>
            <w:pPr>
              <w:rPr>
                <w:rFonts w:ascii="Arial"/>
                <w:sz w:val="21"/>
              </w:rPr>
            </w:pPr>
            <w:r/>
          </w:p>
        </w:tc>
        <w:tc>
          <w:tcPr>
            <w:tcW w:w="8155" w:type="dxa"/>
            <w:vAlign w:val="top"/>
            <w:gridSpan w:val="6"/>
          </w:tcPr>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TableText"/>
              <w:ind w:left="113"/>
              <w:spacing w:before="68" w:line="220" w:lineRule="auto"/>
              <w:rPr>
                <w:sz w:val="21"/>
                <w:szCs w:val="21"/>
              </w:rPr>
            </w:pPr>
            <w:hyperlink w:history="true" r:id="rId54">
              <w:r>
                <w:rPr>
                  <w:sz w:val="21"/>
                  <w:szCs w:val="21"/>
                  <w:b/>
                  <w:bCs/>
                  <w:spacing w:val="-3"/>
                </w:rPr>
                <w:t>2.8.3.3</w:t>
              </w:r>
            </w:hyperlink>
            <w:r>
              <w:rPr>
                <w:sz w:val="21"/>
                <w:szCs w:val="21"/>
                <w:b/>
                <w:bCs/>
                <w:spacing w:val="-3"/>
              </w:rPr>
              <w:t>现有工程污染物实际排放情况汇总</w:t>
            </w:r>
          </w:p>
          <w:p>
            <w:pPr>
              <w:pStyle w:val="TableText"/>
              <w:ind w:left="611"/>
              <w:spacing w:before="241" w:line="470" w:lineRule="exact"/>
              <w:rPr>
                <w:sz w:val="21"/>
                <w:szCs w:val="21"/>
              </w:rPr>
            </w:pPr>
            <w:r>
              <w:rPr>
                <w:sz w:val="21"/>
                <w:szCs w:val="21"/>
                <w:position w:val="20"/>
              </w:rPr>
              <w:t>根据上述现有工程各类污染物排放量核算，现有工程污染物排放量汇总</w:t>
            </w:r>
          </w:p>
          <w:p>
            <w:pPr>
              <w:pStyle w:val="TableText"/>
              <w:ind w:left="140"/>
              <w:spacing w:line="219" w:lineRule="auto"/>
              <w:rPr>
                <w:sz w:val="21"/>
                <w:szCs w:val="21"/>
              </w:rPr>
            </w:pPr>
            <w:r>
              <w:rPr>
                <w:sz w:val="21"/>
                <w:szCs w:val="21"/>
              </w:rPr>
              <w:t>见下表2.8-11。</w:t>
            </w:r>
          </w:p>
        </w:tc>
      </w:tr>
    </w:tbl>
    <w:p>
      <w:pPr>
        <w:rPr>
          <w:rFonts w:ascii="Arial"/>
          <w:sz w:val="21"/>
        </w:rPr>
      </w:pPr>
      <w:r/>
    </w:p>
    <w:p>
      <w:pPr>
        <w:sectPr>
          <w:footerReference w:type="default" r:id="rId53"/>
          <w:pgSz w:w="11900" w:h="16840"/>
          <w:pgMar w:top="1425" w:right="1385" w:bottom="988" w:left="1524" w:header="0" w:footer="849" w:gutter="0"/>
        </w:sectPr>
        <w:rPr>
          <w:rFonts w:ascii="Arial" w:hAnsi="Arial" w:eastAsia="Arial" w:cs="Arial"/>
          <w:sz w:val="21"/>
          <w:szCs w:val="21"/>
        </w:rPr>
      </w:pPr>
    </w:p>
    <w:p>
      <w:pPr>
        <w:pStyle w:val="BodyText"/>
        <w:ind w:left="4918"/>
        <w:spacing w:before="222" w:line="220" w:lineRule="auto"/>
        <w:rPr>
          <w:sz w:val="24"/>
          <w:szCs w:val="24"/>
        </w:rPr>
      </w:pPr>
      <w:r>
        <w:rPr>
          <w:sz w:val="24"/>
          <w:szCs w:val="24"/>
          <w:b/>
          <w:bCs/>
          <w:spacing w:val="-6"/>
        </w:rPr>
        <w:t>表2.8-11</w:t>
      </w:r>
      <w:r>
        <w:rPr>
          <w:sz w:val="24"/>
          <w:szCs w:val="24"/>
          <w:spacing w:val="106"/>
        </w:rPr>
        <w:t xml:space="preserve"> </w:t>
      </w:r>
      <w:r>
        <w:rPr>
          <w:sz w:val="24"/>
          <w:szCs w:val="24"/>
          <w:b/>
          <w:bCs/>
          <w:spacing w:val="-6"/>
        </w:rPr>
        <w:t>现有工程污染物排放总量一览表</w:t>
      </w:r>
    </w:p>
    <w:p>
      <w:pPr>
        <w:spacing w:line="141" w:lineRule="exact"/>
        <w:rPr/>
      </w:pPr>
      <w:r/>
    </w:p>
    <w:tbl>
      <w:tblPr>
        <w:tblStyle w:val="TableNormal"/>
        <w:tblW w:w="1413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35"/>
        <w:gridCol w:w="1009"/>
        <w:gridCol w:w="1169"/>
        <w:gridCol w:w="1169"/>
        <w:gridCol w:w="1009"/>
        <w:gridCol w:w="1010"/>
        <w:gridCol w:w="1179"/>
        <w:gridCol w:w="1179"/>
        <w:gridCol w:w="1169"/>
        <w:gridCol w:w="1179"/>
        <w:gridCol w:w="1169"/>
        <w:gridCol w:w="1199"/>
        <w:gridCol w:w="1164"/>
      </w:tblGrid>
      <w:tr>
        <w:trPr>
          <w:trHeight w:val="424" w:hRule="atLeast"/>
        </w:trPr>
        <w:tc>
          <w:tcPr>
            <w:tcW w:w="535" w:type="dxa"/>
            <w:vAlign w:val="top"/>
            <w:vMerge w:val="restart"/>
            <w:textDirection w:val="tbRlV"/>
            <w:tcBorders>
              <w:bottom w:val="nil"/>
            </w:tcBorders>
          </w:tcPr>
          <w:p>
            <w:pPr>
              <w:pStyle w:val="TableText"/>
              <w:ind w:left="774"/>
              <w:spacing w:before="180" w:line="216" w:lineRule="auto"/>
              <w:rPr>
                <w:sz w:val="20"/>
                <w:szCs w:val="20"/>
              </w:rPr>
            </w:pPr>
            <w:r>
              <w:rPr>
                <w:sz w:val="20"/>
                <w:szCs w:val="20"/>
              </w:rPr>
              <w:t>类 型</w:t>
            </w:r>
          </w:p>
        </w:tc>
        <w:tc>
          <w:tcPr>
            <w:tcW w:w="1009" w:type="dxa"/>
            <w:vAlign w:val="top"/>
            <w:vMerge w:val="restart"/>
            <w:tcBorders>
              <w:bottom w:val="nil"/>
            </w:tcBorders>
          </w:tcPr>
          <w:p>
            <w:pPr>
              <w:spacing w:line="287" w:lineRule="auto"/>
              <w:rPr>
                <w:rFonts w:ascii="Arial"/>
                <w:sz w:val="21"/>
              </w:rPr>
            </w:pPr>
            <w:r/>
          </w:p>
          <w:p>
            <w:pPr>
              <w:spacing w:line="288" w:lineRule="auto"/>
              <w:rPr>
                <w:rFonts w:ascii="Arial"/>
                <w:sz w:val="21"/>
              </w:rPr>
            </w:pPr>
            <w:r/>
          </w:p>
          <w:p>
            <w:pPr>
              <w:spacing w:line="288" w:lineRule="auto"/>
              <w:rPr>
                <w:rFonts w:ascii="Arial"/>
                <w:sz w:val="21"/>
              </w:rPr>
            </w:pPr>
            <w:r/>
          </w:p>
          <w:p>
            <w:pPr>
              <w:pStyle w:val="TableText"/>
              <w:ind w:left="189"/>
              <w:spacing w:before="65" w:line="220" w:lineRule="auto"/>
              <w:rPr>
                <w:sz w:val="20"/>
                <w:szCs w:val="20"/>
              </w:rPr>
            </w:pPr>
            <w:r>
              <w:rPr>
                <w:sz w:val="20"/>
                <w:szCs w:val="20"/>
                <w:spacing w:val="-3"/>
              </w:rPr>
              <w:t>污染物</w:t>
            </w:r>
          </w:p>
        </w:tc>
        <w:tc>
          <w:tcPr>
            <w:tcW w:w="11431" w:type="dxa"/>
            <w:vAlign w:val="top"/>
            <w:gridSpan w:val="10"/>
          </w:tcPr>
          <w:p>
            <w:pPr>
              <w:pStyle w:val="TableText"/>
              <w:ind w:left="5110"/>
              <w:spacing w:before="114" w:line="221" w:lineRule="auto"/>
              <w:rPr>
                <w:sz w:val="20"/>
                <w:szCs w:val="20"/>
              </w:rPr>
            </w:pPr>
            <w:r>
              <w:rPr>
                <w:sz w:val="20"/>
                <w:szCs w:val="20"/>
                <w:spacing w:val="5"/>
              </w:rPr>
              <w:t>排放量(t/a)</w:t>
            </w:r>
          </w:p>
        </w:tc>
        <w:tc>
          <w:tcPr>
            <w:tcW w:w="1164" w:type="dxa"/>
            <w:vAlign w:val="top"/>
            <w:vMerge w:val="restart"/>
            <w:tcBorders>
              <w:bottom w:val="nil"/>
            </w:tcBorders>
          </w:tcPr>
          <w:p>
            <w:pPr>
              <w:spacing w:line="297" w:lineRule="auto"/>
              <w:rPr>
                <w:rFonts w:ascii="Arial"/>
                <w:sz w:val="21"/>
              </w:rPr>
            </w:pPr>
            <w:r/>
          </w:p>
          <w:p>
            <w:pPr>
              <w:spacing w:line="298" w:lineRule="auto"/>
              <w:rPr>
                <w:rFonts w:ascii="Arial"/>
                <w:sz w:val="21"/>
              </w:rPr>
            </w:pPr>
            <w:r/>
          </w:p>
          <w:p>
            <w:pPr>
              <w:pStyle w:val="TableText"/>
              <w:ind w:left="129" w:right="80" w:firstLine="50"/>
              <w:spacing w:before="65"/>
              <w:rPr>
                <w:sz w:val="20"/>
                <w:szCs w:val="20"/>
              </w:rPr>
            </w:pPr>
            <w:r>
              <w:rPr>
                <w:sz w:val="20"/>
                <w:szCs w:val="20"/>
                <w:spacing w:val="1"/>
              </w:rPr>
              <w:t>原环评达  </w:t>
            </w:r>
            <w:r>
              <w:rPr>
                <w:sz w:val="20"/>
                <w:szCs w:val="20"/>
                <w:spacing w:val="10"/>
              </w:rPr>
              <w:t>标排放量</w:t>
            </w:r>
            <w:r>
              <w:rPr>
                <w:sz w:val="20"/>
                <w:szCs w:val="20"/>
              </w:rPr>
              <w:t xml:space="preserve">  </w:t>
            </w:r>
            <w:r>
              <w:rPr>
                <w:sz w:val="20"/>
                <w:szCs w:val="20"/>
                <w:spacing w:val="6"/>
              </w:rPr>
              <w:t>合计(t/a)</w:t>
            </w:r>
          </w:p>
        </w:tc>
      </w:tr>
      <w:tr>
        <w:trPr>
          <w:trHeight w:val="359" w:hRule="atLeast"/>
        </w:trPr>
        <w:tc>
          <w:tcPr>
            <w:tcW w:w="535" w:type="dxa"/>
            <w:vAlign w:val="top"/>
            <w:vMerge w:val="continue"/>
            <w:textDirection w:val="tbRlV"/>
            <w:tcBorders>
              <w:top w:val="nil"/>
              <w:bottom w:val="nil"/>
            </w:tcBorders>
          </w:tcPr>
          <w:p>
            <w:pPr>
              <w:rPr>
                <w:rFonts w:ascii="Arial"/>
                <w:sz w:val="21"/>
              </w:rPr>
            </w:pPr>
            <w:r/>
          </w:p>
        </w:tc>
        <w:tc>
          <w:tcPr>
            <w:tcW w:w="1009" w:type="dxa"/>
            <w:vAlign w:val="top"/>
            <w:vMerge w:val="continue"/>
            <w:tcBorders>
              <w:top w:val="nil"/>
              <w:bottom w:val="nil"/>
            </w:tcBorders>
          </w:tcPr>
          <w:p>
            <w:pPr>
              <w:rPr>
                <w:rFonts w:ascii="Arial"/>
                <w:sz w:val="21"/>
              </w:rPr>
            </w:pPr>
            <w:r/>
          </w:p>
        </w:tc>
        <w:tc>
          <w:tcPr>
            <w:tcW w:w="2338" w:type="dxa"/>
            <w:vAlign w:val="top"/>
            <w:gridSpan w:val="2"/>
            <w:vMerge w:val="restart"/>
            <w:tcBorders>
              <w:bottom w:val="nil"/>
            </w:tcBorders>
          </w:tcPr>
          <w:p>
            <w:pPr>
              <w:pStyle w:val="TableText"/>
              <w:ind w:left="410" w:right="366" w:firstLine="50"/>
              <w:spacing w:before="219" w:line="231" w:lineRule="auto"/>
              <w:rPr>
                <w:sz w:val="20"/>
                <w:szCs w:val="20"/>
              </w:rPr>
            </w:pPr>
            <w:r>
              <w:rPr>
                <w:sz w:val="20"/>
                <w:szCs w:val="20"/>
              </w:rPr>
              <w:t>一期工程(已建， </w:t>
            </w:r>
            <w:r>
              <w:rPr>
                <w:sz w:val="20"/>
                <w:szCs w:val="20"/>
                <w:spacing w:val="5"/>
              </w:rPr>
              <w:t>10</w:t>
            </w:r>
            <w:r>
              <w:rPr>
                <w:sz w:val="20"/>
                <w:szCs w:val="20"/>
              </w:rPr>
              <w:t>GWh</w:t>
            </w:r>
            <w:r>
              <w:rPr>
                <w:sz w:val="20"/>
                <w:szCs w:val="20"/>
                <w:spacing w:val="5"/>
              </w:rPr>
              <w:t>,验收数据)</w:t>
            </w:r>
          </w:p>
        </w:tc>
        <w:tc>
          <w:tcPr>
            <w:tcW w:w="4377" w:type="dxa"/>
            <w:vAlign w:val="top"/>
            <w:gridSpan w:val="4"/>
          </w:tcPr>
          <w:p>
            <w:pPr>
              <w:pStyle w:val="TableText"/>
              <w:ind w:left="1372"/>
              <w:spacing w:before="79" w:line="220" w:lineRule="auto"/>
              <w:rPr>
                <w:sz w:val="20"/>
                <w:szCs w:val="20"/>
              </w:rPr>
            </w:pPr>
            <w:r>
              <w:rPr>
                <w:sz w:val="20"/>
                <w:szCs w:val="20"/>
                <w:spacing w:val="5"/>
              </w:rPr>
              <w:t>二期工程(在建)</w:t>
            </w:r>
          </w:p>
        </w:tc>
        <w:tc>
          <w:tcPr>
            <w:tcW w:w="4716" w:type="dxa"/>
            <w:vAlign w:val="top"/>
            <w:gridSpan w:val="4"/>
          </w:tcPr>
          <w:p>
            <w:pPr>
              <w:pStyle w:val="TableText"/>
              <w:ind w:left="2176"/>
              <w:spacing w:before="80" w:line="221" w:lineRule="auto"/>
              <w:rPr>
                <w:sz w:val="20"/>
                <w:szCs w:val="20"/>
              </w:rPr>
            </w:pPr>
            <w:r>
              <w:rPr>
                <w:sz w:val="20"/>
                <w:szCs w:val="20"/>
                <w:spacing w:val="-3"/>
              </w:rPr>
              <w:t>合计</w:t>
            </w:r>
          </w:p>
        </w:tc>
        <w:tc>
          <w:tcPr>
            <w:tcW w:w="1164" w:type="dxa"/>
            <w:vAlign w:val="top"/>
            <w:vMerge w:val="continue"/>
            <w:tcBorders>
              <w:top w:val="nil"/>
              <w:bottom w:val="nil"/>
            </w:tcBorders>
          </w:tcPr>
          <w:p>
            <w:pPr>
              <w:rPr>
                <w:rFonts w:ascii="Arial"/>
                <w:sz w:val="21"/>
              </w:rPr>
            </w:pPr>
            <w:r/>
          </w:p>
        </w:tc>
      </w:tr>
      <w:tr>
        <w:trPr>
          <w:trHeight w:val="509" w:hRule="atLeast"/>
        </w:trPr>
        <w:tc>
          <w:tcPr>
            <w:tcW w:w="535" w:type="dxa"/>
            <w:vAlign w:val="top"/>
            <w:vMerge w:val="continue"/>
            <w:textDirection w:val="tbRlV"/>
            <w:tcBorders>
              <w:top w:val="nil"/>
              <w:bottom w:val="nil"/>
            </w:tcBorders>
          </w:tcPr>
          <w:p>
            <w:pPr>
              <w:rPr>
                <w:rFonts w:ascii="Arial"/>
                <w:sz w:val="21"/>
              </w:rPr>
            </w:pPr>
            <w:r/>
          </w:p>
        </w:tc>
        <w:tc>
          <w:tcPr>
            <w:tcW w:w="1009" w:type="dxa"/>
            <w:vAlign w:val="top"/>
            <w:vMerge w:val="continue"/>
            <w:tcBorders>
              <w:top w:val="nil"/>
              <w:bottom w:val="nil"/>
            </w:tcBorders>
          </w:tcPr>
          <w:p>
            <w:pPr>
              <w:rPr>
                <w:rFonts w:ascii="Arial"/>
                <w:sz w:val="21"/>
              </w:rPr>
            </w:pPr>
            <w:r/>
          </w:p>
        </w:tc>
        <w:tc>
          <w:tcPr>
            <w:tcW w:w="2338" w:type="dxa"/>
            <w:vAlign w:val="top"/>
            <w:gridSpan w:val="2"/>
            <w:vMerge w:val="continue"/>
            <w:tcBorders>
              <w:top w:val="nil"/>
            </w:tcBorders>
          </w:tcPr>
          <w:p>
            <w:pPr>
              <w:rPr>
                <w:rFonts w:ascii="Arial"/>
                <w:sz w:val="21"/>
              </w:rPr>
            </w:pPr>
            <w:r/>
          </w:p>
        </w:tc>
        <w:tc>
          <w:tcPr>
            <w:tcW w:w="2019" w:type="dxa"/>
            <w:vAlign w:val="top"/>
            <w:gridSpan w:val="2"/>
          </w:tcPr>
          <w:p>
            <w:pPr>
              <w:pStyle w:val="TableText"/>
              <w:ind w:left="752"/>
              <w:spacing w:before="67" w:line="169" w:lineRule="auto"/>
              <w:rPr>
                <w:sz w:val="20"/>
                <w:szCs w:val="20"/>
              </w:rPr>
            </w:pPr>
            <w:r>
              <w:rPr>
                <w:sz w:val="20"/>
                <w:szCs w:val="20"/>
                <w:spacing w:val="-3"/>
              </w:rPr>
              <w:t>20GWh</w:t>
            </w:r>
          </w:p>
          <w:p>
            <w:pPr>
              <w:pStyle w:val="TableText"/>
              <w:ind w:left="502"/>
              <w:spacing w:before="29" w:line="202" w:lineRule="auto"/>
              <w:rPr>
                <w:sz w:val="20"/>
                <w:szCs w:val="20"/>
              </w:rPr>
            </w:pPr>
            <w:r>
              <w:rPr>
                <w:sz w:val="20"/>
                <w:szCs w:val="20"/>
                <w:spacing w:val="7"/>
              </w:rPr>
              <w:t>(环评数据)</w:t>
            </w:r>
          </w:p>
        </w:tc>
        <w:tc>
          <w:tcPr>
            <w:tcW w:w="2358" w:type="dxa"/>
            <w:vAlign w:val="top"/>
            <w:gridSpan w:val="2"/>
          </w:tcPr>
          <w:p>
            <w:pPr>
              <w:pStyle w:val="TableText"/>
              <w:ind w:left="353"/>
              <w:spacing w:before="160" w:line="219" w:lineRule="auto"/>
              <w:rPr>
                <w:sz w:val="20"/>
                <w:szCs w:val="20"/>
              </w:rPr>
            </w:pPr>
            <w:r>
              <w:rPr>
                <w:sz w:val="20"/>
                <w:szCs w:val="20"/>
                <w:spacing w:val="28"/>
              </w:rPr>
              <w:t>6</w:t>
            </w:r>
            <w:r>
              <w:rPr>
                <w:sz w:val="20"/>
                <w:szCs w:val="20"/>
                <w:spacing w:val="-43"/>
              </w:rPr>
              <w:t xml:space="preserve"> </w:t>
            </w:r>
            <w:r>
              <w:rPr>
                <w:sz w:val="20"/>
                <w:szCs w:val="20"/>
                <w:spacing w:val="28"/>
              </w:rPr>
              <w:t>.</w:t>
            </w:r>
            <w:r>
              <w:rPr>
                <w:sz w:val="20"/>
                <w:szCs w:val="20"/>
                <w:spacing w:val="-48"/>
              </w:rPr>
              <w:t xml:space="preserve"> </w:t>
            </w:r>
            <w:r>
              <w:rPr>
                <w:sz w:val="20"/>
                <w:szCs w:val="20"/>
                <w:spacing w:val="28"/>
              </w:rPr>
              <w:t>7</w:t>
            </w:r>
            <w:r>
              <w:rPr>
                <w:sz w:val="20"/>
                <w:szCs w:val="20"/>
              </w:rPr>
              <w:t>G</w:t>
            </w:r>
            <w:r>
              <w:rPr>
                <w:sz w:val="20"/>
                <w:szCs w:val="20"/>
                <w:spacing w:val="-59"/>
              </w:rPr>
              <w:t xml:space="preserve"> </w:t>
            </w:r>
            <w:r>
              <w:rPr>
                <w:sz w:val="20"/>
                <w:szCs w:val="20"/>
              </w:rPr>
              <w:t>Wh</w:t>
            </w:r>
            <w:r>
              <w:rPr>
                <w:sz w:val="20"/>
                <w:szCs w:val="20"/>
                <w:spacing w:val="28"/>
              </w:rPr>
              <w:t>(已验收</w:t>
            </w:r>
          </w:p>
        </w:tc>
        <w:tc>
          <w:tcPr>
            <w:tcW w:w="2348" w:type="dxa"/>
            <w:vAlign w:val="top"/>
            <w:gridSpan w:val="2"/>
          </w:tcPr>
          <w:p>
            <w:pPr>
              <w:pStyle w:val="TableText"/>
              <w:ind w:left="915"/>
              <w:spacing w:before="206" w:line="188" w:lineRule="auto"/>
              <w:rPr>
                <w:sz w:val="20"/>
                <w:szCs w:val="20"/>
              </w:rPr>
            </w:pPr>
            <w:r>
              <w:rPr>
                <w:sz w:val="20"/>
                <w:szCs w:val="20"/>
                <w:spacing w:val="-3"/>
              </w:rPr>
              <w:t>30GWh</w:t>
            </w:r>
          </w:p>
        </w:tc>
        <w:tc>
          <w:tcPr>
            <w:tcW w:w="2368" w:type="dxa"/>
            <w:vAlign w:val="top"/>
            <w:gridSpan w:val="2"/>
          </w:tcPr>
          <w:p>
            <w:pPr>
              <w:pStyle w:val="TableText"/>
              <w:ind w:left="427"/>
              <w:spacing w:before="160" w:line="219" w:lineRule="auto"/>
              <w:rPr>
                <w:sz w:val="20"/>
                <w:szCs w:val="20"/>
              </w:rPr>
            </w:pPr>
            <w:r>
              <w:rPr>
                <w:sz w:val="20"/>
                <w:szCs w:val="20"/>
                <w:spacing w:val="4"/>
              </w:rPr>
              <w:t>16.7</w:t>
            </w:r>
            <w:r>
              <w:rPr>
                <w:sz w:val="20"/>
                <w:szCs w:val="20"/>
              </w:rPr>
              <w:t>GWh</w:t>
            </w:r>
            <w:r>
              <w:rPr>
                <w:sz w:val="20"/>
                <w:szCs w:val="20"/>
                <w:spacing w:val="4"/>
              </w:rPr>
              <w:t>(已验收)</w:t>
            </w:r>
          </w:p>
        </w:tc>
        <w:tc>
          <w:tcPr>
            <w:tcW w:w="1164" w:type="dxa"/>
            <w:vAlign w:val="top"/>
            <w:vMerge w:val="continue"/>
            <w:tcBorders>
              <w:top w:val="nil"/>
              <w:bottom w:val="nil"/>
            </w:tcBorders>
          </w:tcPr>
          <w:p>
            <w:pPr>
              <w:rPr>
                <w:rFonts w:ascii="Arial"/>
                <w:sz w:val="21"/>
              </w:rPr>
            </w:pPr>
            <w:r/>
          </w:p>
        </w:tc>
      </w:tr>
      <w:tr>
        <w:trPr>
          <w:trHeight w:val="729" w:hRule="atLeast"/>
        </w:trPr>
        <w:tc>
          <w:tcPr>
            <w:tcW w:w="535" w:type="dxa"/>
            <w:vAlign w:val="top"/>
            <w:vMerge w:val="continue"/>
            <w:textDirection w:val="tbRlV"/>
            <w:tcBorders>
              <w:top w:val="nil"/>
            </w:tcBorders>
          </w:tcPr>
          <w:p>
            <w:pPr>
              <w:rPr>
                <w:rFonts w:ascii="Arial"/>
                <w:sz w:val="21"/>
              </w:rPr>
            </w:pPr>
            <w:r/>
          </w:p>
        </w:tc>
        <w:tc>
          <w:tcPr>
            <w:tcW w:w="1009" w:type="dxa"/>
            <w:vAlign w:val="top"/>
            <w:vMerge w:val="continue"/>
            <w:tcBorders>
              <w:top w:val="nil"/>
            </w:tcBorders>
          </w:tcPr>
          <w:p>
            <w:pPr>
              <w:rPr>
                <w:rFonts w:ascii="Arial"/>
                <w:sz w:val="21"/>
              </w:rPr>
            </w:pPr>
            <w:r/>
          </w:p>
        </w:tc>
        <w:tc>
          <w:tcPr>
            <w:tcW w:w="1169" w:type="dxa"/>
            <w:vAlign w:val="top"/>
          </w:tcPr>
          <w:p>
            <w:pPr>
              <w:pStyle w:val="TableText"/>
              <w:ind w:left="170"/>
              <w:spacing w:before="272" w:line="221" w:lineRule="auto"/>
              <w:rPr>
                <w:sz w:val="20"/>
                <w:szCs w:val="20"/>
              </w:rPr>
            </w:pPr>
            <w:r>
              <w:rPr>
                <w:sz w:val="20"/>
                <w:szCs w:val="20"/>
                <w:spacing w:val="1"/>
              </w:rPr>
              <w:t>总排放量</w:t>
            </w:r>
          </w:p>
        </w:tc>
        <w:tc>
          <w:tcPr>
            <w:tcW w:w="1169" w:type="dxa"/>
            <w:vAlign w:val="top"/>
          </w:tcPr>
          <w:p>
            <w:pPr>
              <w:pStyle w:val="TableText"/>
              <w:ind w:left="171"/>
              <w:spacing w:before="271" w:line="219" w:lineRule="auto"/>
              <w:rPr>
                <w:sz w:val="20"/>
                <w:szCs w:val="20"/>
              </w:rPr>
            </w:pPr>
            <w:r>
              <w:rPr>
                <w:sz w:val="20"/>
                <w:szCs w:val="20"/>
                <w:spacing w:val="-2"/>
              </w:rPr>
              <w:t>生产废水</w:t>
            </w:r>
          </w:p>
        </w:tc>
        <w:tc>
          <w:tcPr>
            <w:tcW w:w="1009" w:type="dxa"/>
            <w:vAlign w:val="top"/>
          </w:tcPr>
          <w:p>
            <w:pPr>
              <w:pStyle w:val="TableText"/>
              <w:ind w:left="392" w:right="198" w:hanging="200"/>
              <w:spacing w:before="122" w:line="244" w:lineRule="auto"/>
              <w:rPr>
                <w:sz w:val="20"/>
                <w:szCs w:val="20"/>
              </w:rPr>
            </w:pPr>
            <w:r>
              <w:rPr>
                <w:sz w:val="20"/>
                <w:szCs w:val="20"/>
                <w:spacing w:val="2"/>
              </w:rPr>
              <w:t>总排放</w:t>
            </w:r>
            <w:r>
              <w:rPr>
                <w:sz w:val="20"/>
                <w:szCs w:val="20"/>
              </w:rPr>
              <w:t xml:space="preserve"> </w:t>
            </w:r>
            <w:r>
              <w:rPr>
                <w:sz w:val="20"/>
                <w:szCs w:val="20"/>
              </w:rPr>
              <w:t>量</w:t>
            </w:r>
          </w:p>
        </w:tc>
        <w:tc>
          <w:tcPr>
            <w:tcW w:w="1010" w:type="dxa"/>
            <w:vAlign w:val="top"/>
          </w:tcPr>
          <w:p>
            <w:pPr>
              <w:pStyle w:val="TableText"/>
              <w:ind w:left="193"/>
              <w:spacing w:before="121" w:line="280" w:lineRule="exact"/>
              <w:rPr>
                <w:sz w:val="20"/>
                <w:szCs w:val="20"/>
              </w:rPr>
            </w:pPr>
            <w:r>
              <w:rPr>
                <w:sz w:val="20"/>
                <w:szCs w:val="20"/>
                <w:spacing w:val="-3"/>
                <w:position w:val="5"/>
              </w:rPr>
              <w:t>生产废</w:t>
            </w:r>
          </w:p>
          <w:p>
            <w:pPr>
              <w:pStyle w:val="TableText"/>
              <w:ind w:left="393"/>
              <w:spacing w:line="219" w:lineRule="auto"/>
              <w:rPr>
                <w:sz w:val="20"/>
                <w:szCs w:val="20"/>
              </w:rPr>
            </w:pPr>
            <w:r>
              <w:rPr>
                <w:sz w:val="20"/>
                <w:szCs w:val="20"/>
              </w:rPr>
              <w:t>水</w:t>
            </w:r>
          </w:p>
        </w:tc>
        <w:tc>
          <w:tcPr>
            <w:tcW w:w="1179" w:type="dxa"/>
            <w:vAlign w:val="top"/>
          </w:tcPr>
          <w:p>
            <w:pPr>
              <w:pStyle w:val="TableText"/>
              <w:ind w:left="183"/>
              <w:spacing w:before="272" w:line="221" w:lineRule="auto"/>
              <w:rPr>
                <w:sz w:val="20"/>
                <w:szCs w:val="20"/>
              </w:rPr>
            </w:pPr>
            <w:r>
              <w:rPr>
                <w:sz w:val="20"/>
                <w:szCs w:val="20"/>
                <w:spacing w:val="1"/>
              </w:rPr>
              <w:t>总排放量</w:t>
            </w:r>
          </w:p>
        </w:tc>
        <w:tc>
          <w:tcPr>
            <w:tcW w:w="1179" w:type="dxa"/>
            <w:vAlign w:val="top"/>
          </w:tcPr>
          <w:p>
            <w:pPr>
              <w:pStyle w:val="TableText"/>
              <w:ind w:left="184"/>
              <w:spacing w:before="271" w:line="219" w:lineRule="auto"/>
              <w:rPr>
                <w:sz w:val="20"/>
                <w:szCs w:val="20"/>
              </w:rPr>
            </w:pPr>
            <w:r>
              <w:rPr>
                <w:sz w:val="20"/>
                <w:szCs w:val="20"/>
                <w:spacing w:val="-2"/>
              </w:rPr>
              <w:t>生产废水</w:t>
            </w:r>
          </w:p>
        </w:tc>
        <w:tc>
          <w:tcPr>
            <w:tcW w:w="1169" w:type="dxa"/>
            <w:vAlign w:val="top"/>
          </w:tcPr>
          <w:p>
            <w:pPr>
              <w:pStyle w:val="TableText"/>
              <w:ind w:left="175"/>
              <w:spacing w:before="272" w:line="221" w:lineRule="auto"/>
              <w:rPr>
                <w:sz w:val="20"/>
                <w:szCs w:val="20"/>
              </w:rPr>
            </w:pPr>
            <w:r>
              <w:rPr>
                <w:sz w:val="20"/>
                <w:szCs w:val="20"/>
                <w:spacing w:val="1"/>
              </w:rPr>
              <w:t>总排放量</w:t>
            </w:r>
          </w:p>
        </w:tc>
        <w:tc>
          <w:tcPr>
            <w:tcW w:w="1179" w:type="dxa"/>
            <w:vAlign w:val="top"/>
          </w:tcPr>
          <w:p>
            <w:pPr>
              <w:pStyle w:val="TableText"/>
              <w:ind w:left="186"/>
              <w:spacing w:before="271" w:line="219" w:lineRule="auto"/>
              <w:rPr>
                <w:sz w:val="20"/>
                <w:szCs w:val="20"/>
              </w:rPr>
            </w:pPr>
            <w:r>
              <w:rPr>
                <w:sz w:val="20"/>
                <w:szCs w:val="20"/>
                <w:spacing w:val="-2"/>
              </w:rPr>
              <w:t>生产废水</w:t>
            </w:r>
          </w:p>
        </w:tc>
        <w:tc>
          <w:tcPr>
            <w:tcW w:w="1169" w:type="dxa"/>
            <w:vAlign w:val="top"/>
          </w:tcPr>
          <w:p>
            <w:pPr>
              <w:pStyle w:val="TableText"/>
              <w:ind w:left="177"/>
              <w:spacing w:before="272" w:line="221" w:lineRule="auto"/>
              <w:rPr>
                <w:sz w:val="20"/>
                <w:szCs w:val="20"/>
              </w:rPr>
            </w:pPr>
            <w:r>
              <w:rPr>
                <w:sz w:val="20"/>
                <w:szCs w:val="20"/>
                <w:spacing w:val="1"/>
              </w:rPr>
              <w:t>总排放量</w:t>
            </w:r>
          </w:p>
        </w:tc>
        <w:tc>
          <w:tcPr>
            <w:tcW w:w="1199" w:type="dxa"/>
            <w:vAlign w:val="top"/>
          </w:tcPr>
          <w:p>
            <w:pPr>
              <w:pStyle w:val="TableText"/>
              <w:ind w:left="198"/>
              <w:spacing w:before="271" w:line="219" w:lineRule="auto"/>
              <w:rPr>
                <w:sz w:val="20"/>
                <w:szCs w:val="20"/>
              </w:rPr>
            </w:pPr>
            <w:r>
              <w:rPr>
                <w:sz w:val="20"/>
                <w:szCs w:val="20"/>
                <w:spacing w:val="-2"/>
              </w:rPr>
              <w:t>生产废水</w:t>
            </w:r>
          </w:p>
        </w:tc>
        <w:tc>
          <w:tcPr>
            <w:tcW w:w="1164" w:type="dxa"/>
            <w:vAlign w:val="top"/>
            <w:vMerge w:val="continue"/>
            <w:tcBorders>
              <w:top w:val="nil"/>
            </w:tcBorders>
          </w:tcPr>
          <w:p>
            <w:pPr>
              <w:rPr>
                <w:rFonts w:ascii="Arial"/>
                <w:sz w:val="21"/>
              </w:rPr>
            </w:pPr>
            <w:r/>
          </w:p>
        </w:tc>
      </w:tr>
      <w:tr>
        <w:trPr>
          <w:trHeight w:val="639" w:hRule="atLeast"/>
        </w:trPr>
        <w:tc>
          <w:tcPr>
            <w:tcW w:w="535" w:type="dxa"/>
            <w:vAlign w:val="top"/>
            <w:vMerge w:val="restart"/>
            <w:textDirection w:val="tbRlV"/>
            <w:tcBorders>
              <w:bottom w:val="nil"/>
            </w:tcBorders>
          </w:tcPr>
          <w:p>
            <w:pPr>
              <w:pStyle w:val="TableText"/>
              <w:ind w:left="775"/>
              <w:spacing w:before="180" w:line="216" w:lineRule="auto"/>
              <w:rPr>
                <w:sz w:val="20"/>
                <w:szCs w:val="20"/>
              </w:rPr>
            </w:pPr>
            <w:r>
              <w:rPr>
                <w:sz w:val="20"/>
                <w:szCs w:val="20"/>
              </w:rPr>
              <w:t>废水</w:t>
            </w:r>
          </w:p>
        </w:tc>
        <w:tc>
          <w:tcPr>
            <w:tcW w:w="1009" w:type="dxa"/>
            <w:vAlign w:val="top"/>
          </w:tcPr>
          <w:p>
            <w:pPr>
              <w:pStyle w:val="TableText"/>
              <w:ind w:left="389" w:right="199" w:hanging="200"/>
              <w:spacing w:before="102" w:line="226" w:lineRule="auto"/>
              <w:rPr>
                <w:sz w:val="20"/>
                <w:szCs w:val="20"/>
              </w:rPr>
            </w:pPr>
            <w:r>
              <w:rPr>
                <w:sz w:val="20"/>
                <w:szCs w:val="20"/>
                <w:spacing w:val="3"/>
              </w:rPr>
              <w:t>总废水</w:t>
            </w:r>
            <w:r>
              <w:rPr>
                <w:sz w:val="20"/>
                <w:szCs w:val="20"/>
              </w:rPr>
              <w:t xml:space="preserve"> </w:t>
            </w:r>
            <w:r>
              <w:rPr>
                <w:sz w:val="20"/>
                <w:szCs w:val="20"/>
              </w:rPr>
              <w:t>量</w:t>
            </w:r>
          </w:p>
        </w:tc>
        <w:tc>
          <w:tcPr>
            <w:tcW w:w="1169" w:type="dxa"/>
            <w:vAlign w:val="top"/>
          </w:tcPr>
          <w:p>
            <w:pPr>
              <w:pStyle w:val="TableText"/>
              <w:ind w:left="270"/>
              <w:spacing w:before="273" w:line="183" w:lineRule="auto"/>
              <w:rPr>
                <w:sz w:val="20"/>
                <w:szCs w:val="20"/>
              </w:rPr>
            </w:pPr>
            <w:r>
              <w:rPr>
                <w:sz w:val="20"/>
                <w:szCs w:val="20"/>
                <w:spacing w:val="-2"/>
              </w:rPr>
              <w:t>209700</w:t>
            </w:r>
          </w:p>
        </w:tc>
        <w:tc>
          <w:tcPr>
            <w:tcW w:w="1169" w:type="dxa"/>
            <w:vAlign w:val="top"/>
          </w:tcPr>
          <w:p>
            <w:pPr>
              <w:pStyle w:val="TableText"/>
              <w:ind w:left="321"/>
              <w:spacing w:before="272" w:line="184" w:lineRule="auto"/>
              <w:rPr>
                <w:sz w:val="20"/>
                <w:szCs w:val="20"/>
              </w:rPr>
            </w:pPr>
            <w:r>
              <w:rPr>
                <w:sz w:val="20"/>
                <w:szCs w:val="20"/>
                <w:spacing w:val="-4"/>
              </w:rPr>
              <w:t>18900</w:t>
            </w:r>
          </w:p>
        </w:tc>
        <w:tc>
          <w:tcPr>
            <w:tcW w:w="1009" w:type="dxa"/>
            <w:vAlign w:val="top"/>
          </w:tcPr>
          <w:p>
            <w:pPr>
              <w:pStyle w:val="TableText"/>
              <w:ind w:left="192"/>
              <w:spacing w:before="273" w:line="183" w:lineRule="auto"/>
              <w:rPr>
                <w:sz w:val="20"/>
                <w:szCs w:val="20"/>
              </w:rPr>
            </w:pPr>
            <w:r>
              <w:rPr>
                <w:sz w:val="20"/>
                <w:szCs w:val="20"/>
                <w:spacing w:val="-2"/>
              </w:rPr>
              <w:t>200700</w:t>
            </w:r>
          </w:p>
        </w:tc>
        <w:tc>
          <w:tcPr>
            <w:tcW w:w="1010" w:type="dxa"/>
            <w:vAlign w:val="top"/>
          </w:tcPr>
          <w:p>
            <w:pPr>
              <w:pStyle w:val="TableText"/>
              <w:ind w:left="243"/>
              <w:spacing w:before="273" w:line="183" w:lineRule="auto"/>
              <w:rPr>
                <w:sz w:val="20"/>
                <w:szCs w:val="20"/>
              </w:rPr>
            </w:pPr>
            <w:r>
              <w:rPr>
                <w:sz w:val="20"/>
                <w:szCs w:val="20"/>
                <w:spacing w:val="-2"/>
              </w:rPr>
              <w:t>23220</w:t>
            </w:r>
          </w:p>
        </w:tc>
        <w:tc>
          <w:tcPr>
            <w:tcW w:w="1179" w:type="dxa"/>
            <w:vAlign w:val="top"/>
          </w:tcPr>
          <w:p>
            <w:pPr>
              <w:pStyle w:val="TableText"/>
              <w:ind w:left="333"/>
              <w:spacing w:before="272" w:line="184" w:lineRule="auto"/>
              <w:rPr>
                <w:sz w:val="20"/>
                <w:szCs w:val="20"/>
              </w:rPr>
            </w:pPr>
            <w:r>
              <w:rPr>
                <w:sz w:val="20"/>
                <w:szCs w:val="20"/>
                <w:spacing w:val="-3"/>
              </w:rPr>
              <w:t>76512</w:t>
            </w:r>
          </w:p>
        </w:tc>
        <w:tc>
          <w:tcPr>
            <w:tcW w:w="1179" w:type="dxa"/>
            <w:vAlign w:val="top"/>
          </w:tcPr>
          <w:p>
            <w:pPr>
              <w:pStyle w:val="TableText"/>
              <w:ind w:left="334"/>
              <w:spacing w:before="272" w:line="184" w:lineRule="auto"/>
              <w:rPr>
                <w:sz w:val="20"/>
                <w:szCs w:val="20"/>
              </w:rPr>
            </w:pPr>
            <w:r>
              <w:rPr>
                <w:sz w:val="20"/>
                <w:szCs w:val="20"/>
                <w:spacing w:val="-4"/>
              </w:rPr>
              <w:t>12420</w:t>
            </w:r>
          </w:p>
        </w:tc>
        <w:tc>
          <w:tcPr>
            <w:tcW w:w="1169" w:type="dxa"/>
            <w:vAlign w:val="top"/>
          </w:tcPr>
          <w:p>
            <w:pPr>
              <w:pStyle w:val="TableText"/>
              <w:ind w:left="278"/>
              <w:spacing w:before="271" w:line="184" w:lineRule="auto"/>
              <w:rPr>
                <w:sz w:val="20"/>
                <w:szCs w:val="20"/>
              </w:rPr>
            </w:pPr>
            <w:r>
              <w:rPr>
                <w:sz w:val="20"/>
                <w:szCs w:val="20"/>
                <w:b/>
                <w:bCs/>
                <w:spacing w:val="-4"/>
              </w:rPr>
              <w:t>410400</w:t>
            </w:r>
          </w:p>
        </w:tc>
        <w:tc>
          <w:tcPr>
            <w:tcW w:w="1179" w:type="dxa"/>
            <w:vAlign w:val="top"/>
          </w:tcPr>
          <w:p>
            <w:pPr>
              <w:pStyle w:val="TableText"/>
              <w:ind w:left="336"/>
              <w:spacing w:before="272" w:line="184" w:lineRule="auto"/>
              <w:rPr>
                <w:sz w:val="20"/>
                <w:szCs w:val="20"/>
              </w:rPr>
            </w:pPr>
            <w:r>
              <w:rPr>
                <w:sz w:val="20"/>
                <w:szCs w:val="20"/>
                <w:spacing w:val="-2"/>
              </w:rPr>
              <w:t>42120</w:t>
            </w:r>
          </w:p>
        </w:tc>
        <w:tc>
          <w:tcPr>
            <w:tcW w:w="1169" w:type="dxa"/>
            <w:vAlign w:val="top"/>
          </w:tcPr>
          <w:p>
            <w:pPr>
              <w:pStyle w:val="TableText"/>
              <w:ind w:left="277"/>
              <w:spacing w:before="272" w:line="184" w:lineRule="auto"/>
              <w:rPr>
                <w:sz w:val="20"/>
                <w:szCs w:val="20"/>
              </w:rPr>
            </w:pPr>
            <w:r>
              <w:rPr>
                <w:sz w:val="20"/>
                <w:szCs w:val="20"/>
                <w:spacing w:val="-2"/>
              </w:rPr>
              <w:t>286212</w:t>
            </w:r>
          </w:p>
        </w:tc>
        <w:tc>
          <w:tcPr>
            <w:tcW w:w="1199" w:type="dxa"/>
            <w:vAlign w:val="top"/>
          </w:tcPr>
          <w:p>
            <w:pPr>
              <w:pStyle w:val="TableText"/>
              <w:ind w:left="348"/>
              <w:spacing w:before="272" w:line="184" w:lineRule="auto"/>
              <w:rPr>
                <w:sz w:val="20"/>
                <w:szCs w:val="20"/>
              </w:rPr>
            </w:pPr>
            <w:r>
              <w:rPr>
                <w:sz w:val="20"/>
                <w:szCs w:val="20"/>
                <w:spacing w:val="-2"/>
              </w:rPr>
              <w:t>31320</w:t>
            </w:r>
          </w:p>
        </w:tc>
        <w:tc>
          <w:tcPr>
            <w:tcW w:w="1164" w:type="dxa"/>
            <w:vAlign w:val="top"/>
          </w:tcPr>
          <w:p>
            <w:pPr>
              <w:pStyle w:val="TableText"/>
              <w:ind w:left="529"/>
              <w:spacing w:before="228" w:line="224" w:lineRule="auto"/>
              <w:rPr>
                <w:sz w:val="20"/>
                <w:szCs w:val="20"/>
              </w:rPr>
            </w:pPr>
            <w:r>
              <w:rPr>
                <w:sz w:val="20"/>
                <w:szCs w:val="20"/>
              </w:rPr>
              <w:t>/</w:t>
            </w:r>
          </w:p>
        </w:tc>
      </w:tr>
      <w:tr>
        <w:trPr>
          <w:trHeight w:val="339" w:hRule="atLeast"/>
        </w:trPr>
        <w:tc>
          <w:tcPr>
            <w:tcW w:w="535" w:type="dxa"/>
            <w:vAlign w:val="top"/>
            <w:vMerge w:val="continue"/>
            <w:textDirection w:val="tbRlV"/>
            <w:tcBorders>
              <w:top w:val="nil"/>
              <w:bottom w:val="nil"/>
            </w:tcBorders>
          </w:tcPr>
          <w:p>
            <w:pPr>
              <w:rPr>
                <w:rFonts w:ascii="Arial"/>
                <w:sz w:val="21"/>
              </w:rPr>
            </w:pPr>
            <w:r/>
          </w:p>
        </w:tc>
        <w:tc>
          <w:tcPr>
            <w:tcW w:w="1009" w:type="dxa"/>
            <w:vAlign w:val="top"/>
          </w:tcPr>
          <w:p>
            <w:pPr>
              <w:pStyle w:val="TableText"/>
              <w:ind w:left="339"/>
              <w:spacing w:before="124" w:line="183" w:lineRule="auto"/>
              <w:rPr>
                <w:sz w:val="20"/>
                <w:szCs w:val="20"/>
              </w:rPr>
            </w:pPr>
            <w:r>
              <w:rPr>
                <w:sz w:val="20"/>
                <w:szCs w:val="20"/>
                <w:spacing w:val="-2"/>
              </w:rPr>
              <w:t>COD</w:t>
            </w:r>
          </w:p>
        </w:tc>
        <w:tc>
          <w:tcPr>
            <w:tcW w:w="1169" w:type="dxa"/>
            <w:vAlign w:val="top"/>
          </w:tcPr>
          <w:p>
            <w:pPr>
              <w:pStyle w:val="TableText"/>
              <w:ind w:left="320"/>
              <w:spacing w:before="124" w:line="183" w:lineRule="auto"/>
              <w:rPr>
                <w:sz w:val="20"/>
                <w:szCs w:val="20"/>
              </w:rPr>
            </w:pPr>
            <w:r>
              <w:rPr>
                <w:sz w:val="20"/>
                <w:szCs w:val="20"/>
                <w:spacing w:val="-3"/>
              </w:rPr>
              <w:t>7.377</w:t>
            </w:r>
          </w:p>
        </w:tc>
        <w:tc>
          <w:tcPr>
            <w:tcW w:w="1169" w:type="dxa"/>
            <w:vAlign w:val="top"/>
          </w:tcPr>
          <w:p>
            <w:pPr>
              <w:pStyle w:val="TableText"/>
              <w:ind w:left="321"/>
              <w:spacing w:before="124" w:line="183" w:lineRule="auto"/>
              <w:rPr>
                <w:sz w:val="20"/>
                <w:szCs w:val="20"/>
              </w:rPr>
            </w:pPr>
            <w:r>
              <w:rPr>
                <w:sz w:val="20"/>
                <w:szCs w:val="20"/>
                <w:spacing w:val="-2"/>
              </w:rPr>
              <w:t>0.945</w:t>
            </w:r>
          </w:p>
        </w:tc>
        <w:tc>
          <w:tcPr>
            <w:tcW w:w="1009" w:type="dxa"/>
            <w:vAlign w:val="top"/>
          </w:tcPr>
          <w:p>
            <w:pPr>
              <w:pStyle w:val="TableText"/>
              <w:ind w:left="292"/>
              <w:spacing w:before="124" w:line="183" w:lineRule="auto"/>
              <w:rPr>
                <w:sz w:val="20"/>
                <w:szCs w:val="20"/>
              </w:rPr>
            </w:pPr>
            <w:r>
              <w:rPr>
                <w:sz w:val="20"/>
                <w:szCs w:val="20"/>
                <w:spacing w:val="-2"/>
              </w:rPr>
              <w:t>6.06</w:t>
            </w:r>
          </w:p>
        </w:tc>
        <w:tc>
          <w:tcPr>
            <w:tcW w:w="1010" w:type="dxa"/>
            <w:vAlign w:val="top"/>
          </w:tcPr>
          <w:p>
            <w:pPr>
              <w:pStyle w:val="TableText"/>
              <w:ind w:left="243"/>
              <w:spacing w:before="123" w:line="184" w:lineRule="auto"/>
              <w:rPr>
                <w:sz w:val="20"/>
                <w:szCs w:val="20"/>
              </w:rPr>
            </w:pPr>
            <w:r>
              <w:rPr>
                <w:sz w:val="20"/>
                <w:szCs w:val="20"/>
                <w:spacing w:val="-4"/>
              </w:rPr>
              <w:t>1.161</w:t>
            </w:r>
          </w:p>
        </w:tc>
        <w:tc>
          <w:tcPr>
            <w:tcW w:w="1179" w:type="dxa"/>
            <w:vAlign w:val="top"/>
          </w:tcPr>
          <w:p>
            <w:pPr>
              <w:pStyle w:val="TableText"/>
              <w:ind w:left="333"/>
              <w:spacing w:before="123" w:line="184" w:lineRule="auto"/>
              <w:rPr>
                <w:sz w:val="20"/>
                <w:szCs w:val="20"/>
              </w:rPr>
            </w:pPr>
            <w:r>
              <w:rPr>
                <w:sz w:val="20"/>
                <w:szCs w:val="20"/>
                <w:spacing w:val="-2"/>
              </w:rPr>
              <w:t>2.517</w:t>
            </w:r>
          </w:p>
        </w:tc>
        <w:tc>
          <w:tcPr>
            <w:tcW w:w="1179" w:type="dxa"/>
            <w:vAlign w:val="top"/>
          </w:tcPr>
          <w:p>
            <w:pPr>
              <w:pStyle w:val="TableText"/>
              <w:ind w:left="334"/>
              <w:spacing w:before="123" w:line="184" w:lineRule="auto"/>
              <w:rPr>
                <w:sz w:val="20"/>
                <w:szCs w:val="20"/>
              </w:rPr>
            </w:pPr>
            <w:r>
              <w:rPr>
                <w:sz w:val="20"/>
                <w:szCs w:val="20"/>
                <w:spacing w:val="-2"/>
              </w:rPr>
              <w:t>0.621</w:t>
            </w:r>
          </w:p>
        </w:tc>
        <w:tc>
          <w:tcPr>
            <w:tcW w:w="1169" w:type="dxa"/>
            <w:vAlign w:val="top"/>
          </w:tcPr>
          <w:p>
            <w:pPr>
              <w:pStyle w:val="TableText"/>
              <w:ind w:left="278"/>
              <w:spacing w:before="121" w:line="184" w:lineRule="auto"/>
              <w:rPr>
                <w:sz w:val="20"/>
                <w:szCs w:val="20"/>
              </w:rPr>
            </w:pPr>
            <w:r>
              <w:rPr>
                <w:sz w:val="20"/>
                <w:szCs w:val="20"/>
                <w:b/>
                <w:bCs/>
                <w:spacing w:val="-6"/>
              </w:rPr>
              <w:t>13.437</w:t>
            </w:r>
          </w:p>
        </w:tc>
        <w:tc>
          <w:tcPr>
            <w:tcW w:w="1179" w:type="dxa"/>
            <w:vAlign w:val="top"/>
          </w:tcPr>
          <w:p>
            <w:pPr>
              <w:pStyle w:val="TableText"/>
              <w:ind w:left="336"/>
              <w:spacing w:before="123" w:line="184" w:lineRule="auto"/>
              <w:rPr>
                <w:sz w:val="20"/>
                <w:szCs w:val="20"/>
              </w:rPr>
            </w:pPr>
            <w:r>
              <w:rPr>
                <w:sz w:val="20"/>
                <w:szCs w:val="20"/>
                <w:spacing w:val="-2"/>
              </w:rPr>
              <w:t>2.106</w:t>
            </w:r>
          </w:p>
        </w:tc>
        <w:tc>
          <w:tcPr>
            <w:tcW w:w="1169" w:type="dxa"/>
            <w:vAlign w:val="top"/>
          </w:tcPr>
          <w:p>
            <w:pPr>
              <w:pStyle w:val="TableText"/>
              <w:ind w:left="327"/>
              <w:spacing w:before="124" w:line="183" w:lineRule="auto"/>
              <w:rPr>
                <w:sz w:val="20"/>
                <w:szCs w:val="20"/>
              </w:rPr>
            </w:pPr>
            <w:r>
              <w:rPr>
                <w:sz w:val="20"/>
                <w:szCs w:val="20"/>
                <w:spacing w:val="-2"/>
              </w:rPr>
              <w:t>9.894</w:t>
            </w:r>
          </w:p>
        </w:tc>
        <w:tc>
          <w:tcPr>
            <w:tcW w:w="1199" w:type="dxa"/>
            <w:vAlign w:val="top"/>
          </w:tcPr>
          <w:p>
            <w:pPr>
              <w:pStyle w:val="TableText"/>
              <w:ind w:left="348"/>
              <w:spacing w:before="123" w:line="184" w:lineRule="auto"/>
              <w:rPr>
                <w:sz w:val="20"/>
                <w:szCs w:val="20"/>
              </w:rPr>
            </w:pPr>
            <w:r>
              <w:rPr>
                <w:sz w:val="20"/>
                <w:szCs w:val="20"/>
                <w:spacing w:val="-4"/>
              </w:rPr>
              <w:t>1.566</w:t>
            </w:r>
          </w:p>
        </w:tc>
        <w:tc>
          <w:tcPr>
            <w:tcW w:w="1164" w:type="dxa"/>
            <w:vAlign w:val="top"/>
          </w:tcPr>
          <w:p>
            <w:pPr>
              <w:pStyle w:val="TableText"/>
              <w:ind w:left="332"/>
              <w:spacing w:before="121" w:line="184" w:lineRule="auto"/>
              <w:rPr>
                <w:sz w:val="20"/>
                <w:szCs w:val="20"/>
              </w:rPr>
            </w:pPr>
            <w:r>
              <w:rPr>
                <w:sz w:val="20"/>
                <w:szCs w:val="20"/>
                <w:b/>
                <w:bCs/>
                <w:spacing w:val="-6"/>
              </w:rPr>
              <w:t>13.59</w:t>
            </w:r>
          </w:p>
        </w:tc>
      </w:tr>
      <w:tr>
        <w:trPr>
          <w:trHeight w:val="340" w:hRule="atLeast"/>
        </w:trPr>
        <w:tc>
          <w:tcPr>
            <w:tcW w:w="535" w:type="dxa"/>
            <w:vAlign w:val="top"/>
            <w:vMerge w:val="continue"/>
            <w:textDirection w:val="tbRlV"/>
            <w:tcBorders>
              <w:top w:val="nil"/>
              <w:bottom w:val="nil"/>
            </w:tcBorders>
          </w:tcPr>
          <w:p>
            <w:pPr>
              <w:rPr>
                <w:rFonts w:ascii="Arial"/>
                <w:sz w:val="21"/>
              </w:rPr>
            </w:pPr>
            <w:r/>
          </w:p>
        </w:tc>
        <w:tc>
          <w:tcPr>
            <w:tcW w:w="1009" w:type="dxa"/>
            <w:vAlign w:val="top"/>
          </w:tcPr>
          <w:p>
            <w:pPr>
              <w:pStyle w:val="TableText"/>
              <w:ind w:left="289"/>
              <w:spacing w:before="72" w:line="219" w:lineRule="auto"/>
              <w:rPr>
                <w:sz w:val="20"/>
                <w:szCs w:val="20"/>
              </w:rPr>
            </w:pPr>
            <w:r>
              <w:rPr>
                <w:sz w:val="20"/>
                <w:szCs w:val="20"/>
                <w:spacing w:val="-2"/>
              </w:rPr>
              <w:t>氨氮</w:t>
            </w:r>
          </w:p>
        </w:tc>
        <w:tc>
          <w:tcPr>
            <w:tcW w:w="1169" w:type="dxa"/>
            <w:vAlign w:val="top"/>
          </w:tcPr>
          <w:p>
            <w:pPr>
              <w:pStyle w:val="TableText"/>
              <w:ind w:left="270"/>
              <w:spacing w:before="125" w:line="183" w:lineRule="auto"/>
              <w:rPr>
                <w:sz w:val="20"/>
                <w:szCs w:val="20"/>
              </w:rPr>
            </w:pPr>
            <w:r>
              <w:rPr>
                <w:sz w:val="20"/>
                <w:szCs w:val="20"/>
                <w:spacing w:val="-2"/>
              </w:rPr>
              <w:t>0.7375</w:t>
            </w:r>
          </w:p>
        </w:tc>
        <w:tc>
          <w:tcPr>
            <w:tcW w:w="1169" w:type="dxa"/>
            <w:vAlign w:val="top"/>
          </w:tcPr>
          <w:p>
            <w:pPr>
              <w:pStyle w:val="TableText"/>
              <w:ind w:left="271"/>
              <w:spacing w:before="125" w:line="183" w:lineRule="auto"/>
              <w:rPr>
                <w:sz w:val="20"/>
                <w:szCs w:val="20"/>
              </w:rPr>
            </w:pPr>
            <w:r>
              <w:rPr>
                <w:sz w:val="20"/>
                <w:szCs w:val="20"/>
                <w:spacing w:val="-2"/>
              </w:rPr>
              <w:t>0.0945</w:t>
            </w:r>
          </w:p>
        </w:tc>
        <w:tc>
          <w:tcPr>
            <w:tcW w:w="1009" w:type="dxa"/>
            <w:vAlign w:val="top"/>
          </w:tcPr>
          <w:p>
            <w:pPr>
              <w:pStyle w:val="TableText"/>
              <w:ind w:left="242"/>
              <w:spacing w:before="125" w:line="183" w:lineRule="auto"/>
              <w:rPr>
                <w:sz w:val="20"/>
                <w:szCs w:val="20"/>
              </w:rPr>
            </w:pPr>
            <w:r>
              <w:rPr>
                <w:sz w:val="20"/>
                <w:szCs w:val="20"/>
                <w:spacing w:val="-2"/>
              </w:rPr>
              <w:t>0.606</w:t>
            </w:r>
          </w:p>
        </w:tc>
        <w:tc>
          <w:tcPr>
            <w:tcW w:w="1010" w:type="dxa"/>
            <w:vAlign w:val="top"/>
          </w:tcPr>
          <w:p>
            <w:pPr>
              <w:pStyle w:val="TableText"/>
              <w:ind w:left="193"/>
              <w:spacing w:before="124" w:line="184" w:lineRule="auto"/>
              <w:rPr>
                <w:sz w:val="20"/>
                <w:szCs w:val="20"/>
              </w:rPr>
            </w:pPr>
            <w:r>
              <w:rPr>
                <w:sz w:val="20"/>
                <w:szCs w:val="20"/>
                <w:spacing w:val="-2"/>
              </w:rPr>
              <w:t>0.1161</w:t>
            </w:r>
          </w:p>
        </w:tc>
        <w:tc>
          <w:tcPr>
            <w:tcW w:w="1179" w:type="dxa"/>
            <w:vAlign w:val="top"/>
          </w:tcPr>
          <w:p>
            <w:pPr>
              <w:pStyle w:val="TableText"/>
              <w:ind w:left="283"/>
              <w:spacing w:before="124" w:line="184" w:lineRule="auto"/>
              <w:rPr>
                <w:sz w:val="20"/>
                <w:szCs w:val="20"/>
              </w:rPr>
            </w:pPr>
            <w:r>
              <w:rPr>
                <w:sz w:val="20"/>
                <w:szCs w:val="20"/>
                <w:spacing w:val="-2"/>
              </w:rPr>
              <w:t>0.2517</w:t>
            </w:r>
          </w:p>
        </w:tc>
        <w:tc>
          <w:tcPr>
            <w:tcW w:w="1179" w:type="dxa"/>
            <w:vAlign w:val="top"/>
          </w:tcPr>
          <w:p>
            <w:pPr>
              <w:pStyle w:val="TableText"/>
              <w:ind w:left="284"/>
              <w:spacing w:before="124" w:line="184" w:lineRule="auto"/>
              <w:rPr>
                <w:sz w:val="20"/>
                <w:szCs w:val="20"/>
              </w:rPr>
            </w:pPr>
            <w:r>
              <w:rPr>
                <w:sz w:val="20"/>
                <w:szCs w:val="20"/>
                <w:spacing w:val="-2"/>
              </w:rPr>
              <w:t>0.0621</w:t>
            </w:r>
          </w:p>
        </w:tc>
        <w:tc>
          <w:tcPr>
            <w:tcW w:w="1169" w:type="dxa"/>
            <w:vAlign w:val="top"/>
          </w:tcPr>
          <w:p>
            <w:pPr>
              <w:pStyle w:val="TableText"/>
              <w:ind w:left="278"/>
              <w:spacing w:before="122" w:line="184" w:lineRule="auto"/>
              <w:rPr>
                <w:sz w:val="20"/>
                <w:szCs w:val="20"/>
              </w:rPr>
            </w:pPr>
            <w:r>
              <w:rPr>
                <w:sz w:val="20"/>
                <w:szCs w:val="20"/>
                <w:b/>
                <w:bCs/>
                <w:spacing w:val="-6"/>
              </w:rPr>
              <w:t>1.3437</w:t>
            </w:r>
          </w:p>
        </w:tc>
        <w:tc>
          <w:tcPr>
            <w:tcW w:w="1179" w:type="dxa"/>
            <w:vAlign w:val="top"/>
          </w:tcPr>
          <w:p>
            <w:pPr>
              <w:pStyle w:val="TableText"/>
              <w:ind w:left="286"/>
              <w:spacing w:before="124" w:line="184" w:lineRule="auto"/>
              <w:rPr>
                <w:sz w:val="20"/>
                <w:szCs w:val="20"/>
              </w:rPr>
            </w:pPr>
            <w:r>
              <w:rPr>
                <w:sz w:val="20"/>
                <w:szCs w:val="20"/>
                <w:spacing w:val="-2"/>
              </w:rPr>
              <w:t>0.2106</w:t>
            </w:r>
          </w:p>
        </w:tc>
        <w:tc>
          <w:tcPr>
            <w:tcW w:w="1169" w:type="dxa"/>
            <w:vAlign w:val="top"/>
          </w:tcPr>
          <w:p>
            <w:pPr>
              <w:pStyle w:val="TableText"/>
              <w:ind w:left="277"/>
              <w:spacing w:before="125" w:line="183" w:lineRule="auto"/>
              <w:rPr>
                <w:sz w:val="20"/>
                <w:szCs w:val="20"/>
              </w:rPr>
            </w:pPr>
            <w:r>
              <w:rPr>
                <w:sz w:val="20"/>
                <w:szCs w:val="20"/>
                <w:spacing w:val="-2"/>
              </w:rPr>
              <w:t>0.9894</w:t>
            </w:r>
          </w:p>
        </w:tc>
        <w:tc>
          <w:tcPr>
            <w:tcW w:w="1199" w:type="dxa"/>
            <w:vAlign w:val="top"/>
          </w:tcPr>
          <w:p>
            <w:pPr>
              <w:pStyle w:val="TableText"/>
              <w:ind w:left="298"/>
              <w:spacing w:before="124" w:line="184" w:lineRule="auto"/>
              <w:rPr>
                <w:sz w:val="20"/>
                <w:szCs w:val="20"/>
              </w:rPr>
            </w:pPr>
            <w:r>
              <w:rPr>
                <w:sz w:val="20"/>
                <w:szCs w:val="20"/>
                <w:spacing w:val="-2"/>
              </w:rPr>
              <w:t>0.1566</w:t>
            </w:r>
          </w:p>
        </w:tc>
        <w:tc>
          <w:tcPr>
            <w:tcW w:w="1164" w:type="dxa"/>
            <w:vAlign w:val="top"/>
          </w:tcPr>
          <w:p>
            <w:pPr>
              <w:pStyle w:val="TableText"/>
              <w:ind w:left="332"/>
              <w:spacing w:before="122" w:line="184" w:lineRule="auto"/>
              <w:rPr>
                <w:sz w:val="20"/>
                <w:szCs w:val="20"/>
              </w:rPr>
            </w:pPr>
            <w:r>
              <w:rPr>
                <w:sz w:val="20"/>
                <w:szCs w:val="20"/>
                <w:b/>
                <w:bCs/>
                <w:spacing w:val="-6"/>
              </w:rPr>
              <w:t>1.359</w:t>
            </w:r>
          </w:p>
        </w:tc>
      </w:tr>
      <w:tr>
        <w:trPr>
          <w:trHeight w:val="270" w:hRule="atLeast"/>
        </w:trPr>
        <w:tc>
          <w:tcPr>
            <w:tcW w:w="535" w:type="dxa"/>
            <w:vAlign w:val="top"/>
            <w:vMerge w:val="continue"/>
            <w:textDirection w:val="tbRlV"/>
            <w:tcBorders>
              <w:top w:val="nil"/>
              <w:bottom w:val="nil"/>
            </w:tcBorders>
          </w:tcPr>
          <w:p>
            <w:pPr>
              <w:rPr>
                <w:rFonts w:ascii="Arial"/>
                <w:sz w:val="21"/>
              </w:rPr>
            </w:pPr>
            <w:r/>
          </w:p>
        </w:tc>
        <w:tc>
          <w:tcPr>
            <w:tcW w:w="1009" w:type="dxa"/>
            <w:vAlign w:val="top"/>
          </w:tcPr>
          <w:p>
            <w:pPr>
              <w:pStyle w:val="TableText"/>
              <w:ind w:left="289"/>
              <w:spacing w:before="46" w:line="197" w:lineRule="auto"/>
              <w:rPr>
                <w:sz w:val="20"/>
                <w:szCs w:val="20"/>
              </w:rPr>
            </w:pPr>
            <w:r>
              <w:rPr>
                <w:sz w:val="20"/>
                <w:szCs w:val="20"/>
                <w:spacing w:val="4"/>
              </w:rPr>
              <w:t>总钴</w:t>
            </w:r>
          </w:p>
        </w:tc>
        <w:tc>
          <w:tcPr>
            <w:tcW w:w="1169" w:type="dxa"/>
            <w:vAlign w:val="top"/>
          </w:tcPr>
          <w:p>
            <w:pPr>
              <w:pStyle w:val="TableText"/>
              <w:ind w:left="220"/>
              <w:spacing w:before="95" w:line="165" w:lineRule="exact"/>
              <w:rPr>
                <w:sz w:val="20"/>
                <w:szCs w:val="20"/>
              </w:rPr>
            </w:pPr>
            <w:r>
              <w:rPr>
                <w:sz w:val="20"/>
                <w:szCs w:val="20"/>
                <w:spacing w:val="-2"/>
                <w:position w:val="-2"/>
              </w:rPr>
              <w:t>0.00001</w:t>
            </w:r>
          </w:p>
        </w:tc>
        <w:tc>
          <w:tcPr>
            <w:tcW w:w="1169" w:type="dxa"/>
            <w:vAlign w:val="top"/>
          </w:tcPr>
          <w:p>
            <w:pPr>
              <w:pStyle w:val="TableText"/>
              <w:ind w:left="221"/>
              <w:spacing w:before="95" w:line="165" w:lineRule="exact"/>
              <w:rPr>
                <w:sz w:val="20"/>
                <w:szCs w:val="20"/>
              </w:rPr>
            </w:pPr>
            <w:r>
              <w:rPr>
                <w:sz w:val="20"/>
                <w:szCs w:val="20"/>
                <w:spacing w:val="-2"/>
                <w:position w:val="-2"/>
              </w:rPr>
              <w:t>0.00001</w:t>
            </w:r>
          </w:p>
        </w:tc>
        <w:tc>
          <w:tcPr>
            <w:tcW w:w="1009" w:type="dxa"/>
            <w:vAlign w:val="top"/>
          </w:tcPr>
          <w:p>
            <w:pPr>
              <w:pStyle w:val="TableText"/>
              <w:ind w:left="242"/>
              <w:spacing w:before="95" w:line="165" w:lineRule="exact"/>
              <w:rPr>
                <w:sz w:val="20"/>
                <w:szCs w:val="20"/>
              </w:rPr>
            </w:pPr>
            <w:r>
              <w:rPr>
                <w:sz w:val="20"/>
                <w:szCs w:val="20"/>
                <w:spacing w:val="-2"/>
                <w:position w:val="-2"/>
              </w:rPr>
              <w:t>0.001</w:t>
            </w:r>
          </w:p>
        </w:tc>
        <w:tc>
          <w:tcPr>
            <w:tcW w:w="1010" w:type="dxa"/>
            <w:vAlign w:val="top"/>
          </w:tcPr>
          <w:p>
            <w:pPr>
              <w:pStyle w:val="TableText"/>
              <w:ind w:left="243"/>
              <w:spacing w:before="95" w:line="165" w:lineRule="exact"/>
              <w:rPr>
                <w:sz w:val="20"/>
                <w:szCs w:val="20"/>
              </w:rPr>
            </w:pPr>
            <w:r>
              <w:rPr>
                <w:sz w:val="20"/>
                <w:szCs w:val="20"/>
                <w:spacing w:val="-2"/>
                <w:position w:val="-2"/>
              </w:rPr>
              <w:t>0.001</w:t>
            </w:r>
          </w:p>
        </w:tc>
        <w:tc>
          <w:tcPr>
            <w:tcW w:w="1179" w:type="dxa"/>
            <w:vAlign w:val="top"/>
          </w:tcPr>
          <w:p>
            <w:pPr>
              <w:pStyle w:val="TableText"/>
              <w:ind w:left="233"/>
              <w:spacing w:before="95" w:line="165" w:lineRule="exact"/>
              <w:rPr>
                <w:sz w:val="20"/>
                <w:szCs w:val="20"/>
              </w:rPr>
            </w:pPr>
            <w:r>
              <w:rPr>
                <w:sz w:val="20"/>
                <w:szCs w:val="20"/>
                <w:spacing w:val="-2"/>
                <w:position w:val="-2"/>
              </w:rPr>
              <w:t>0.00017</w:t>
            </w:r>
          </w:p>
        </w:tc>
        <w:tc>
          <w:tcPr>
            <w:tcW w:w="1179" w:type="dxa"/>
            <w:vAlign w:val="top"/>
          </w:tcPr>
          <w:p>
            <w:pPr>
              <w:pStyle w:val="TableText"/>
              <w:ind w:left="234"/>
              <w:spacing w:before="95" w:line="165" w:lineRule="exact"/>
              <w:rPr>
                <w:sz w:val="20"/>
                <w:szCs w:val="20"/>
              </w:rPr>
            </w:pPr>
            <w:r>
              <w:rPr>
                <w:sz w:val="20"/>
                <w:szCs w:val="20"/>
                <w:spacing w:val="-2"/>
                <w:position w:val="-2"/>
              </w:rPr>
              <w:t>0.00017</w:t>
            </w:r>
          </w:p>
        </w:tc>
        <w:tc>
          <w:tcPr>
            <w:tcW w:w="1169" w:type="dxa"/>
            <w:vAlign w:val="top"/>
          </w:tcPr>
          <w:p>
            <w:pPr>
              <w:pStyle w:val="TableText"/>
              <w:ind w:left="228"/>
              <w:spacing w:before="93" w:line="167" w:lineRule="exact"/>
              <w:rPr>
                <w:sz w:val="20"/>
                <w:szCs w:val="20"/>
              </w:rPr>
            </w:pPr>
            <w:r>
              <w:rPr>
                <w:sz w:val="20"/>
                <w:szCs w:val="20"/>
                <w:b/>
                <w:bCs/>
                <w:spacing w:val="-4"/>
                <w:position w:val="-2"/>
              </w:rPr>
              <w:t>0.00101</w:t>
            </w:r>
          </w:p>
        </w:tc>
        <w:tc>
          <w:tcPr>
            <w:tcW w:w="1179" w:type="dxa"/>
            <w:vAlign w:val="top"/>
          </w:tcPr>
          <w:p>
            <w:pPr>
              <w:pStyle w:val="TableText"/>
              <w:ind w:left="236"/>
              <w:spacing w:before="95" w:line="165" w:lineRule="exact"/>
              <w:rPr>
                <w:sz w:val="20"/>
                <w:szCs w:val="20"/>
              </w:rPr>
            </w:pPr>
            <w:r>
              <w:rPr>
                <w:sz w:val="20"/>
                <w:szCs w:val="20"/>
                <w:spacing w:val="-2"/>
                <w:position w:val="-2"/>
              </w:rPr>
              <w:t>0.00101</w:t>
            </w:r>
          </w:p>
        </w:tc>
        <w:tc>
          <w:tcPr>
            <w:tcW w:w="1169" w:type="dxa"/>
            <w:vAlign w:val="top"/>
          </w:tcPr>
          <w:p>
            <w:pPr>
              <w:pStyle w:val="TableText"/>
              <w:ind w:left="227"/>
              <w:spacing w:before="95" w:line="165" w:lineRule="exact"/>
              <w:rPr>
                <w:sz w:val="20"/>
                <w:szCs w:val="20"/>
              </w:rPr>
            </w:pPr>
            <w:r>
              <w:rPr>
                <w:sz w:val="20"/>
                <w:szCs w:val="20"/>
                <w:spacing w:val="-2"/>
                <w:position w:val="-2"/>
              </w:rPr>
              <w:t>0.00018</w:t>
            </w:r>
          </w:p>
        </w:tc>
        <w:tc>
          <w:tcPr>
            <w:tcW w:w="1199" w:type="dxa"/>
            <w:vAlign w:val="top"/>
          </w:tcPr>
          <w:p>
            <w:pPr>
              <w:pStyle w:val="TableText"/>
              <w:ind w:left="248"/>
              <w:spacing w:before="95" w:line="165" w:lineRule="exact"/>
              <w:rPr>
                <w:sz w:val="20"/>
                <w:szCs w:val="20"/>
              </w:rPr>
            </w:pPr>
            <w:r>
              <w:rPr>
                <w:sz w:val="20"/>
                <w:szCs w:val="20"/>
                <w:spacing w:val="-2"/>
                <w:position w:val="-2"/>
              </w:rPr>
              <w:t>0.00018</w:t>
            </w:r>
          </w:p>
        </w:tc>
        <w:tc>
          <w:tcPr>
            <w:tcW w:w="1164" w:type="dxa"/>
            <w:vAlign w:val="top"/>
          </w:tcPr>
          <w:p>
            <w:pPr>
              <w:pStyle w:val="TableText"/>
              <w:ind w:left="232"/>
              <w:spacing w:before="93" w:line="167" w:lineRule="exact"/>
              <w:rPr>
                <w:sz w:val="20"/>
                <w:szCs w:val="20"/>
              </w:rPr>
            </w:pPr>
            <w:r>
              <w:rPr>
                <w:sz w:val="20"/>
                <w:szCs w:val="20"/>
                <w:b/>
                <w:bCs/>
                <w:spacing w:val="-4"/>
                <w:position w:val="-2"/>
              </w:rPr>
              <w:t>0.00101</w:t>
            </w:r>
          </w:p>
        </w:tc>
      </w:tr>
      <w:tr>
        <w:trPr>
          <w:trHeight w:val="340" w:hRule="atLeast"/>
        </w:trPr>
        <w:tc>
          <w:tcPr>
            <w:tcW w:w="535" w:type="dxa"/>
            <w:vAlign w:val="top"/>
            <w:vMerge w:val="continue"/>
            <w:textDirection w:val="tbRlV"/>
            <w:tcBorders>
              <w:top w:val="nil"/>
            </w:tcBorders>
          </w:tcPr>
          <w:p>
            <w:pPr>
              <w:rPr>
                <w:rFonts w:ascii="Arial"/>
                <w:sz w:val="21"/>
              </w:rPr>
            </w:pPr>
            <w:r/>
          </w:p>
        </w:tc>
        <w:tc>
          <w:tcPr>
            <w:tcW w:w="1009" w:type="dxa"/>
            <w:vAlign w:val="top"/>
          </w:tcPr>
          <w:p>
            <w:pPr>
              <w:pStyle w:val="TableText"/>
              <w:ind w:left="289"/>
              <w:spacing w:before="74" w:line="220" w:lineRule="auto"/>
              <w:rPr>
                <w:sz w:val="20"/>
                <w:szCs w:val="20"/>
              </w:rPr>
            </w:pPr>
            <w:r>
              <w:rPr>
                <w:sz w:val="20"/>
                <w:szCs w:val="20"/>
                <w:spacing w:val="3"/>
              </w:rPr>
              <w:t>总镍</w:t>
            </w:r>
          </w:p>
        </w:tc>
        <w:tc>
          <w:tcPr>
            <w:tcW w:w="1169" w:type="dxa"/>
            <w:vAlign w:val="top"/>
          </w:tcPr>
          <w:p>
            <w:pPr>
              <w:pStyle w:val="TableText"/>
              <w:ind w:left="270"/>
              <w:spacing w:before="125" w:line="183" w:lineRule="auto"/>
              <w:rPr>
                <w:sz w:val="20"/>
                <w:szCs w:val="20"/>
              </w:rPr>
            </w:pPr>
            <w:r>
              <w:rPr>
                <w:sz w:val="20"/>
                <w:szCs w:val="20"/>
                <w:spacing w:val="-2"/>
              </w:rPr>
              <w:t>0.0003</w:t>
            </w:r>
          </w:p>
        </w:tc>
        <w:tc>
          <w:tcPr>
            <w:tcW w:w="1169" w:type="dxa"/>
            <w:vAlign w:val="top"/>
          </w:tcPr>
          <w:p>
            <w:pPr>
              <w:pStyle w:val="TableText"/>
              <w:ind w:left="271"/>
              <w:spacing w:before="125" w:line="183" w:lineRule="auto"/>
              <w:rPr>
                <w:sz w:val="20"/>
                <w:szCs w:val="20"/>
              </w:rPr>
            </w:pPr>
            <w:r>
              <w:rPr>
                <w:sz w:val="20"/>
                <w:szCs w:val="20"/>
                <w:spacing w:val="-2"/>
              </w:rPr>
              <w:t>0.0003</w:t>
            </w:r>
          </w:p>
        </w:tc>
        <w:tc>
          <w:tcPr>
            <w:tcW w:w="1009" w:type="dxa"/>
            <w:vAlign w:val="top"/>
          </w:tcPr>
          <w:p>
            <w:pPr>
              <w:pStyle w:val="TableText"/>
              <w:ind w:left="242"/>
              <w:spacing w:before="125" w:line="183" w:lineRule="auto"/>
              <w:rPr>
                <w:sz w:val="20"/>
                <w:szCs w:val="20"/>
              </w:rPr>
            </w:pPr>
            <w:r>
              <w:rPr>
                <w:sz w:val="20"/>
                <w:szCs w:val="20"/>
                <w:spacing w:val="-2"/>
              </w:rPr>
              <w:t>0.005</w:t>
            </w:r>
          </w:p>
        </w:tc>
        <w:tc>
          <w:tcPr>
            <w:tcW w:w="1010" w:type="dxa"/>
            <w:vAlign w:val="top"/>
          </w:tcPr>
          <w:p>
            <w:pPr>
              <w:pStyle w:val="TableText"/>
              <w:ind w:left="243"/>
              <w:spacing w:before="125" w:line="183" w:lineRule="auto"/>
              <w:rPr>
                <w:sz w:val="20"/>
                <w:szCs w:val="20"/>
              </w:rPr>
            </w:pPr>
            <w:r>
              <w:rPr>
                <w:sz w:val="20"/>
                <w:szCs w:val="20"/>
                <w:spacing w:val="-2"/>
              </w:rPr>
              <w:t>0.005</w:t>
            </w:r>
          </w:p>
        </w:tc>
        <w:tc>
          <w:tcPr>
            <w:tcW w:w="1179" w:type="dxa"/>
            <w:vAlign w:val="top"/>
          </w:tcPr>
          <w:p>
            <w:pPr>
              <w:pStyle w:val="TableText"/>
              <w:ind w:left="283"/>
              <w:spacing w:before="125" w:line="183" w:lineRule="auto"/>
              <w:rPr>
                <w:sz w:val="20"/>
                <w:szCs w:val="20"/>
              </w:rPr>
            </w:pPr>
            <w:r>
              <w:rPr>
                <w:sz w:val="20"/>
                <w:szCs w:val="20"/>
                <w:spacing w:val="-2"/>
              </w:rPr>
              <w:t>0.0009</w:t>
            </w:r>
          </w:p>
        </w:tc>
        <w:tc>
          <w:tcPr>
            <w:tcW w:w="1179" w:type="dxa"/>
            <w:vAlign w:val="top"/>
          </w:tcPr>
          <w:p>
            <w:pPr>
              <w:pStyle w:val="TableText"/>
              <w:ind w:left="284"/>
              <w:spacing w:before="125" w:line="183" w:lineRule="auto"/>
              <w:rPr>
                <w:sz w:val="20"/>
                <w:szCs w:val="20"/>
              </w:rPr>
            </w:pPr>
            <w:r>
              <w:rPr>
                <w:sz w:val="20"/>
                <w:szCs w:val="20"/>
                <w:spacing w:val="-2"/>
              </w:rPr>
              <w:t>0.0009</w:t>
            </w:r>
          </w:p>
        </w:tc>
        <w:tc>
          <w:tcPr>
            <w:tcW w:w="1169" w:type="dxa"/>
            <w:vAlign w:val="top"/>
          </w:tcPr>
          <w:p>
            <w:pPr>
              <w:pStyle w:val="TableText"/>
              <w:ind w:left="278"/>
              <w:spacing w:before="123" w:line="183" w:lineRule="auto"/>
              <w:rPr>
                <w:sz w:val="20"/>
                <w:szCs w:val="20"/>
              </w:rPr>
            </w:pPr>
            <w:r>
              <w:rPr>
                <w:sz w:val="20"/>
                <w:szCs w:val="20"/>
                <w:b/>
                <w:bCs/>
                <w:spacing w:val="-4"/>
              </w:rPr>
              <w:t>0.0053</w:t>
            </w:r>
          </w:p>
        </w:tc>
        <w:tc>
          <w:tcPr>
            <w:tcW w:w="1179" w:type="dxa"/>
            <w:vAlign w:val="top"/>
          </w:tcPr>
          <w:p>
            <w:pPr>
              <w:pStyle w:val="TableText"/>
              <w:ind w:left="286"/>
              <w:spacing w:before="125" w:line="183" w:lineRule="auto"/>
              <w:rPr>
                <w:sz w:val="20"/>
                <w:szCs w:val="20"/>
              </w:rPr>
            </w:pPr>
            <w:r>
              <w:rPr>
                <w:sz w:val="20"/>
                <w:szCs w:val="20"/>
                <w:spacing w:val="-2"/>
              </w:rPr>
              <w:t>0.0053</w:t>
            </w:r>
          </w:p>
        </w:tc>
        <w:tc>
          <w:tcPr>
            <w:tcW w:w="1169" w:type="dxa"/>
            <w:vAlign w:val="top"/>
          </w:tcPr>
          <w:p>
            <w:pPr>
              <w:pStyle w:val="TableText"/>
              <w:ind w:left="277"/>
              <w:spacing w:before="124" w:line="184" w:lineRule="auto"/>
              <w:rPr>
                <w:sz w:val="20"/>
                <w:szCs w:val="20"/>
              </w:rPr>
            </w:pPr>
            <w:r>
              <w:rPr>
                <w:sz w:val="20"/>
                <w:szCs w:val="20"/>
                <w:spacing w:val="-2"/>
              </w:rPr>
              <w:t>0.0012</w:t>
            </w:r>
          </w:p>
        </w:tc>
        <w:tc>
          <w:tcPr>
            <w:tcW w:w="1199" w:type="dxa"/>
            <w:vAlign w:val="top"/>
          </w:tcPr>
          <w:p>
            <w:pPr>
              <w:pStyle w:val="TableText"/>
              <w:ind w:left="298"/>
              <w:spacing w:before="124" w:line="184" w:lineRule="auto"/>
              <w:rPr>
                <w:sz w:val="20"/>
                <w:szCs w:val="20"/>
              </w:rPr>
            </w:pPr>
            <w:r>
              <w:rPr>
                <w:sz w:val="20"/>
                <w:szCs w:val="20"/>
                <w:spacing w:val="-2"/>
              </w:rPr>
              <w:t>0.0012</w:t>
            </w:r>
          </w:p>
        </w:tc>
        <w:tc>
          <w:tcPr>
            <w:tcW w:w="1164" w:type="dxa"/>
            <w:vAlign w:val="top"/>
          </w:tcPr>
          <w:p>
            <w:pPr>
              <w:pStyle w:val="TableText"/>
              <w:ind w:left="282"/>
              <w:spacing w:before="123" w:line="183" w:lineRule="auto"/>
              <w:rPr>
                <w:sz w:val="20"/>
                <w:szCs w:val="20"/>
              </w:rPr>
            </w:pPr>
            <w:r>
              <w:rPr>
                <w:sz w:val="20"/>
                <w:szCs w:val="20"/>
                <w:b/>
                <w:bCs/>
                <w:spacing w:val="-4"/>
              </w:rPr>
              <w:t>0.0053</w:t>
            </w:r>
          </w:p>
        </w:tc>
      </w:tr>
      <w:tr>
        <w:trPr>
          <w:trHeight w:val="549" w:hRule="atLeast"/>
        </w:trPr>
        <w:tc>
          <w:tcPr>
            <w:tcW w:w="535" w:type="dxa"/>
            <w:vAlign w:val="top"/>
            <w:vMerge w:val="restart"/>
            <w:textDirection w:val="tbRlV"/>
            <w:tcBorders>
              <w:bottom w:val="nil"/>
            </w:tcBorders>
          </w:tcPr>
          <w:p>
            <w:pPr>
              <w:pStyle w:val="TableText"/>
              <w:ind w:left="887"/>
              <w:spacing w:before="169" w:line="217" w:lineRule="auto"/>
              <w:rPr>
                <w:sz w:val="20"/>
                <w:szCs w:val="20"/>
              </w:rPr>
            </w:pPr>
            <w:r>
              <w:rPr>
                <w:sz w:val="20"/>
                <w:szCs w:val="20"/>
              </w:rPr>
              <w:t>废</w:t>
            </w:r>
            <w:r>
              <w:rPr>
                <w:sz w:val="20"/>
                <w:szCs w:val="20"/>
                <w:spacing w:val="14"/>
              </w:rPr>
              <w:t xml:space="preserve"> </w:t>
            </w:r>
            <w:r>
              <w:rPr>
                <w:sz w:val="20"/>
                <w:szCs w:val="20"/>
              </w:rPr>
              <w:t>气</w:t>
            </w:r>
          </w:p>
        </w:tc>
        <w:tc>
          <w:tcPr>
            <w:tcW w:w="1009" w:type="dxa"/>
            <w:vAlign w:val="top"/>
          </w:tcPr>
          <w:p>
            <w:pPr>
              <w:pStyle w:val="TableText"/>
              <w:ind w:left="189"/>
              <w:spacing w:before="54" w:line="280" w:lineRule="exact"/>
              <w:rPr>
                <w:sz w:val="20"/>
                <w:szCs w:val="20"/>
              </w:rPr>
            </w:pPr>
            <w:r>
              <w:rPr>
                <w:sz w:val="20"/>
                <w:szCs w:val="20"/>
                <w:spacing w:val="-3"/>
                <w:position w:val="5"/>
              </w:rPr>
              <w:t>非甲烷</w:t>
            </w:r>
          </w:p>
          <w:p>
            <w:pPr>
              <w:pStyle w:val="TableText"/>
              <w:ind w:left="289"/>
              <w:spacing w:line="188" w:lineRule="auto"/>
              <w:rPr>
                <w:sz w:val="20"/>
                <w:szCs w:val="20"/>
              </w:rPr>
            </w:pPr>
            <w:r>
              <w:rPr>
                <w:sz w:val="20"/>
                <w:szCs w:val="20"/>
                <w:spacing w:val="3"/>
              </w:rPr>
              <w:t>总烃</w:t>
            </w:r>
          </w:p>
        </w:tc>
        <w:tc>
          <w:tcPr>
            <w:tcW w:w="2338" w:type="dxa"/>
            <w:vAlign w:val="top"/>
            <w:gridSpan w:val="2"/>
          </w:tcPr>
          <w:p>
            <w:pPr>
              <w:pStyle w:val="TableText"/>
              <w:ind w:left="910"/>
              <w:spacing w:before="234" w:line="184" w:lineRule="auto"/>
              <w:rPr>
                <w:sz w:val="20"/>
                <w:szCs w:val="20"/>
              </w:rPr>
            </w:pPr>
            <w:r>
              <w:rPr>
                <w:sz w:val="20"/>
                <w:szCs w:val="20"/>
                <w:spacing w:val="-4"/>
              </w:rPr>
              <w:t>1.534</w:t>
            </w:r>
          </w:p>
        </w:tc>
        <w:tc>
          <w:tcPr>
            <w:tcW w:w="2019" w:type="dxa"/>
            <w:vAlign w:val="top"/>
            <w:gridSpan w:val="2"/>
          </w:tcPr>
          <w:p>
            <w:pPr>
              <w:pStyle w:val="TableText"/>
              <w:ind w:left="752"/>
              <w:spacing w:before="235" w:line="183" w:lineRule="auto"/>
              <w:rPr>
                <w:sz w:val="20"/>
                <w:szCs w:val="20"/>
              </w:rPr>
            </w:pPr>
            <w:r>
              <w:rPr>
                <w:sz w:val="20"/>
                <w:szCs w:val="20"/>
                <w:spacing w:val="-2"/>
              </w:rPr>
              <w:t>9.829</w:t>
            </w:r>
          </w:p>
        </w:tc>
        <w:tc>
          <w:tcPr>
            <w:tcW w:w="2358" w:type="dxa"/>
            <w:vAlign w:val="top"/>
            <w:gridSpan w:val="2"/>
          </w:tcPr>
          <w:p>
            <w:pPr>
              <w:pStyle w:val="TableText"/>
              <w:ind w:left="924"/>
              <w:spacing w:before="234" w:line="184" w:lineRule="auto"/>
              <w:rPr>
                <w:sz w:val="20"/>
                <w:szCs w:val="20"/>
              </w:rPr>
            </w:pPr>
            <w:r>
              <w:rPr>
                <w:sz w:val="20"/>
                <w:szCs w:val="20"/>
                <w:spacing w:val="-4"/>
              </w:rPr>
              <w:t>1.097</w:t>
            </w:r>
          </w:p>
        </w:tc>
        <w:tc>
          <w:tcPr>
            <w:tcW w:w="2348" w:type="dxa"/>
            <w:vAlign w:val="top"/>
            <w:gridSpan w:val="2"/>
          </w:tcPr>
          <w:p>
            <w:pPr>
              <w:pStyle w:val="TableText"/>
              <w:ind w:left="868"/>
              <w:spacing w:before="232" w:line="184" w:lineRule="auto"/>
              <w:rPr>
                <w:sz w:val="20"/>
                <w:szCs w:val="20"/>
              </w:rPr>
            </w:pPr>
            <w:r>
              <w:rPr>
                <w:sz w:val="20"/>
                <w:szCs w:val="20"/>
                <w:b/>
                <w:bCs/>
                <w:spacing w:val="-6"/>
              </w:rPr>
              <w:t>11.363</w:t>
            </w:r>
          </w:p>
        </w:tc>
        <w:tc>
          <w:tcPr>
            <w:tcW w:w="2368" w:type="dxa"/>
            <w:vAlign w:val="top"/>
            <w:gridSpan w:val="2"/>
          </w:tcPr>
          <w:p>
            <w:pPr>
              <w:pStyle w:val="TableText"/>
              <w:ind w:left="927"/>
              <w:spacing w:before="234" w:line="184" w:lineRule="auto"/>
              <w:rPr>
                <w:sz w:val="20"/>
                <w:szCs w:val="20"/>
              </w:rPr>
            </w:pPr>
            <w:r>
              <w:rPr>
                <w:sz w:val="20"/>
                <w:szCs w:val="20"/>
                <w:spacing w:val="-2"/>
              </w:rPr>
              <w:t>2.631</w:t>
            </w:r>
          </w:p>
        </w:tc>
        <w:tc>
          <w:tcPr>
            <w:tcW w:w="1164" w:type="dxa"/>
            <w:vAlign w:val="top"/>
          </w:tcPr>
          <w:p>
            <w:pPr>
              <w:pStyle w:val="TableText"/>
              <w:ind w:left="282"/>
              <w:spacing w:before="232" w:line="184" w:lineRule="auto"/>
              <w:rPr>
                <w:sz w:val="20"/>
                <w:szCs w:val="20"/>
              </w:rPr>
            </w:pPr>
            <w:r>
              <w:rPr>
                <w:sz w:val="20"/>
                <w:szCs w:val="20"/>
                <w:b/>
                <w:bCs/>
                <w:spacing w:val="-6"/>
              </w:rPr>
              <w:t>12.116</w:t>
            </w:r>
          </w:p>
        </w:tc>
      </w:tr>
      <w:tr>
        <w:trPr>
          <w:trHeight w:val="330" w:hRule="atLeast"/>
        </w:trPr>
        <w:tc>
          <w:tcPr>
            <w:tcW w:w="535" w:type="dxa"/>
            <w:vAlign w:val="top"/>
            <w:vMerge w:val="continue"/>
            <w:textDirection w:val="tbRlV"/>
            <w:tcBorders>
              <w:top w:val="nil"/>
              <w:bottom w:val="nil"/>
            </w:tcBorders>
          </w:tcPr>
          <w:p>
            <w:pPr>
              <w:rPr>
                <w:rFonts w:ascii="Arial"/>
                <w:sz w:val="21"/>
              </w:rPr>
            </w:pPr>
            <w:r/>
          </w:p>
        </w:tc>
        <w:tc>
          <w:tcPr>
            <w:tcW w:w="1009" w:type="dxa"/>
            <w:vAlign w:val="top"/>
          </w:tcPr>
          <w:p>
            <w:pPr>
              <w:pStyle w:val="TableText"/>
              <w:ind w:left="189"/>
              <w:spacing w:before="75" w:line="220" w:lineRule="auto"/>
              <w:rPr>
                <w:sz w:val="20"/>
                <w:szCs w:val="20"/>
              </w:rPr>
            </w:pPr>
            <w:r>
              <w:rPr>
                <w:sz w:val="20"/>
                <w:szCs w:val="20"/>
                <w:spacing w:val="-2"/>
              </w:rPr>
              <w:t>颗粒物</w:t>
            </w:r>
          </w:p>
        </w:tc>
        <w:tc>
          <w:tcPr>
            <w:tcW w:w="2338" w:type="dxa"/>
            <w:vAlign w:val="top"/>
            <w:gridSpan w:val="2"/>
          </w:tcPr>
          <w:p>
            <w:pPr>
              <w:pStyle w:val="TableText"/>
              <w:ind w:left="910"/>
              <w:spacing w:before="127" w:line="178" w:lineRule="auto"/>
              <w:rPr>
                <w:sz w:val="20"/>
                <w:szCs w:val="20"/>
              </w:rPr>
            </w:pPr>
            <w:r>
              <w:rPr>
                <w:sz w:val="20"/>
                <w:szCs w:val="20"/>
                <w:spacing w:val="-2"/>
              </w:rPr>
              <w:t>0.443</w:t>
            </w:r>
          </w:p>
        </w:tc>
        <w:tc>
          <w:tcPr>
            <w:tcW w:w="2019" w:type="dxa"/>
            <w:vAlign w:val="top"/>
            <w:gridSpan w:val="2"/>
          </w:tcPr>
          <w:p>
            <w:pPr>
              <w:pStyle w:val="TableText"/>
              <w:ind w:left="702"/>
              <w:spacing w:before="126" w:line="179" w:lineRule="auto"/>
              <w:rPr>
                <w:sz w:val="20"/>
                <w:szCs w:val="20"/>
              </w:rPr>
            </w:pPr>
            <w:r>
              <w:rPr>
                <w:sz w:val="20"/>
                <w:szCs w:val="20"/>
                <w:spacing w:val="-4"/>
              </w:rPr>
              <w:t>12.198</w:t>
            </w:r>
          </w:p>
        </w:tc>
        <w:tc>
          <w:tcPr>
            <w:tcW w:w="2358" w:type="dxa"/>
            <w:vAlign w:val="top"/>
            <w:gridSpan w:val="2"/>
          </w:tcPr>
          <w:p>
            <w:pPr>
              <w:pStyle w:val="TableText"/>
              <w:ind w:left="924"/>
              <w:spacing w:before="126" w:line="179" w:lineRule="auto"/>
              <w:rPr>
                <w:sz w:val="20"/>
                <w:szCs w:val="20"/>
              </w:rPr>
            </w:pPr>
            <w:r>
              <w:rPr>
                <w:sz w:val="20"/>
                <w:szCs w:val="20"/>
                <w:spacing w:val="-2"/>
              </w:rPr>
              <w:t>0.127</w:t>
            </w:r>
          </w:p>
        </w:tc>
        <w:tc>
          <w:tcPr>
            <w:tcW w:w="2348" w:type="dxa"/>
            <w:vAlign w:val="top"/>
            <w:gridSpan w:val="2"/>
          </w:tcPr>
          <w:p>
            <w:pPr>
              <w:pStyle w:val="TableText"/>
              <w:ind w:left="868"/>
              <w:spacing w:before="123" w:line="181" w:lineRule="auto"/>
              <w:rPr>
                <w:sz w:val="20"/>
                <w:szCs w:val="20"/>
              </w:rPr>
            </w:pPr>
            <w:r>
              <w:rPr>
                <w:sz w:val="20"/>
                <w:szCs w:val="20"/>
                <w:b/>
                <w:bCs/>
                <w:spacing w:val="-6"/>
              </w:rPr>
              <w:t>12.198</w:t>
            </w:r>
          </w:p>
        </w:tc>
        <w:tc>
          <w:tcPr>
            <w:tcW w:w="2368" w:type="dxa"/>
            <w:vAlign w:val="top"/>
            <w:gridSpan w:val="2"/>
          </w:tcPr>
          <w:p>
            <w:pPr>
              <w:pStyle w:val="TableText"/>
              <w:ind w:left="977"/>
              <w:spacing w:before="127" w:line="178" w:lineRule="auto"/>
              <w:rPr>
                <w:sz w:val="20"/>
                <w:szCs w:val="20"/>
              </w:rPr>
            </w:pPr>
            <w:r>
              <w:rPr>
                <w:sz w:val="20"/>
                <w:szCs w:val="20"/>
                <w:spacing w:val="-2"/>
              </w:rPr>
              <w:t>0.57</w:t>
            </w:r>
          </w:p>
        </w:tc>
        <w:tc>
          <w:tcPr>
            <w:tcW w:w="1164" w:type="dxa"/>
            <w:vAlign w:val="top"/>
          </w:tcPr>
          <w:p>
            <w:pPr>
              <w:pStyle w:val="TableText"/>
              <w:ind w:left="282"/>
              <w:spacing w:before="123" w:line="181" w:lineRule="auto"/>
              <w:rPr>
                <w:sz w:val="20"/>
                <w:szCs w:val="20"/>
              </w:rPr>
            </w:pPr>
            <w:r>
              <w:rPr>
                <w:sz w:val="20"/>
                <w:szCs w:val="20"/>
                <w:b/>
                <w:bCs/>
                <w:spacing w:val="-6"/>
              </w:rPr>
              <w:t>12.434</w:t>
            </w:r>
          </w:p>
        </w:tc>
      </w:tr>
      <w:tr>
        <w:trPr>
          <w:trHeight w:val="349" w:hRule="atLeast"/>
        </w:trPr>
        <w:tc>
          <w:tcPr>
            <w:tcW w:w="535" w:type="dxa"/>
            <w:vAlign w:val="top"/>
            <w:vMerge w:val="continue"/>
            <w:textDirection w:val="tbRlV"/>
            <w:tcBorders>
              <w:top w:val="nil"/>
              <w:bottom w:val="nil"/>
            </w:tcBorders>
          </w:tcPr>
          <w:p>
            <w:pPr>
              <w:rPr>
                <w:rFonts w:ascii="Arial"/>
                <w:sz w:val="21"/>
              </w:rPr>
            </w:pPr>
            <w:r/>
          </w:p>
        </w:tc>
        <w:tc>
          <w:tcPr>
            <w:tcW w:w="1009" w:type="dxa"/>
            <w:vAlign w:val="top"/>
          </w:tcPr>
          <w:p>
            <w:pPr>
              <w:pStyle w:val="TableText"/>
              <w:ind w:left="289"/>
              <w:spacing w:before="117" w:line="183" w:lineRule="auto"/>
              <w:rPr>
                <w:rFonts w:ascii="Calibri" w:hAnsi="Calibri" w:eastAsia="Calibri" w:cs="Calibri"/>
                <w:sz w:val="20"/>
                <w:szCs w:val="20"/>
              </w:rPr>
            </w:pPr>
            <w:r>
              <w:rPr>
                <w:sz w:val="20"/>
                <w:szCs w:val="20"/>
                <w:spacing w:val="-3"/>
              </w:rPr>
              <w:t>SO</w:t>
            </w:r>
            <w:r>
              <w:rPr>
                <w:rFonts w:ascii="Calibri" w:hAnsi="Calibri" w:eastAsia="Calibri" w:cs="Calibri"/>
                <w:sz w:val="20"/>
                <w:szCs w:val="20"/>
                <w:spacing w:val="-3"/>
              </w:rPr>
              <w:t>₂</w:t>
            </w:r>
          </w:p>
        </w:tc>
        <w:tc>
          <w:tcPr>
            <w:tcW w:w="2338" w:type="dxa"/>
            <w:vAlign w:val="top"/>
            <w:gridSpan w:val="2"/>
          </w:tcPr>
          <w:p>
            <w:pPr>
              <w:pStyle w:val="TableText"/>
              <w:ind w:left="910"/>
              <w:spacing w:before="136" w:line="183" w:lineRule="auto"/>
              <w:rPr>
                <w:sz w:val="20"/>
                <w:szCs w:val="20"/>
              </w:rPr>
            </w:pPr>
            <w:r>
              <w:rPr>
                <w:sz w:val="20"/>
                <w:szCs w:val="20"/>
                <w:spacing w:val="-2"/>
              </w:rPr>
              <w:t>0.330</w:t>
            </w:r>
          </w:p>
        </w:tc>
        <w:tc>
          <w:tcPr>
            <w:tcW w:w="2019" w:type="dxa"/>
            <w:vAlign w:val="top"/>
            <w:gridSpan w:val="2"/>
          </w:tcPr>
          <w:p>
            <w:pPr>
              <w:pStyle w:val="TableText"/>
              <w:ind w:left="752"/>
              <w:spacing w:before="135" w:line="184" w:lineRule="auto"/>
              <w:rPr>
                <w:sz w:val="20"/>
                <w:szCs w:val="20"/>
              </w:rPr>
            </w:pPr>
            <w:r>
              <w:rPr>
                <w:sz w:val="20"/>
                <w:szCs w:val="20"/>
                <w:spacing w:val="-4"/>
              </w:rPr>
              <w:t>1.792</w:t>
            </w:r>
          </w:p>
        </w:tc>
        <w:tc>
          <w:tcPr>
            <w:tcW w:w="2358" w:type="dxa"/>
            <w:vAlign w:val="top"/>
            <w:gridSpan w:val="2"/>
          </w:tcPr>
          <w:p>
            <w:pPr>
              <w:pStyle w:val="TableText"/>
              <w:ind w:left="924"/>
              <w:spacing w:before="136" w:line="183" w:lineRule="auto"/>
              <w:rPr>
                <w:sz w:val="20"/>
                <w:szCs w:val="20"/>
              </w:rPr>
            </w:pPr>
            <w:r>
              <w:rPr>
                <w:sz w:val="20"/>
                <w:szCs w:val="20"/>
                <w:spacing w:val="-2"/>
              </w:rPr>
              <w:t>0.239</w:t>
            </w:r>
          </w:p>
        </w:tc>
        <w:tc>
          <w:tcPr>
            <w:tcW w:w="2348" w:type="dxa"/>
            <w:vAlign w:val="top"/>
            <w:gridSpan w:val="2"/>
          </w:tcPr>
          <w:p>
            <w:pPr>
              <w:pStyle w:val="TableText"/>
              <w:ind w:left="918"/>
              <w:spacing w:before="133" w:line="184" w:lineRule="auto"/>
              <w:rPr>
                <w:sz w:val="20"/>
                <w:szCs w:val="20"/>
              </w:rPr>
            </w:pPr>
            <w:r>
              <w:rPr>
                <w:sz w:val="20"/>
                <w:szCs w:val="20"/>
                <w:b/>
                <w:bCs/>
                <w:spacing w:val="-6"/>
              </w:rPr>
              <w:t>1.792</w:t>
            </w:r>
          </w:p>
        </w:tc>
        <w:tc>
          <w:tcPr>
            <w:tcW w:w="2368" w:type="dxa"/>
            <w:vAlign w:val="top"/>
            <w:gridSpan w:val="2"/>
          </w:tcPr>
          <w:p>
            <w:pPr>
              <w:pStyle w:val="TableText"/>
              <w:ind w:left="927"/>
              <w:spacing w:before="136" w:line="183" w:lineRule="auto"/>
              <w:rPr>
                <w:sz w:val="20"/>
                <w:szCs w:val="20"/>
              </w:rPr>
            </w:pPr>
            <w:r>
              <w:rPr>
                <w:sz w:val="20"/>
                <w:szCs w:val="20"/>
                <w:spacing w:val="-2"/>
              </w:rPr>
              <w:t>0.567</w:t>
            </w:r>
          </w:p>
        </w:tc>
        <w:tc>
          <w:tcPr>
            <w:tcW w:w="1164" w:type="dxa"/>
            <w:vAlign w:val="top"/>
          </w:tcPr>
          <w:p>
            <w:pPr>
              <w:pStyle w:val="TableText"/>
              <w:ind w:left="332"/>
              <w:spacing w:before="133" w:line="184" w:lineRule="auto"/>
              <w:rPr>
                <w:sz w:val="20"/>
                <w:szCs w:val="20"/>
              </w:rPr>
            </w:pPr>
            <w:r>
              <w:rPr>
                <w:sz w:val="20"/>
                <w:szCs w:val="20"/>
                <w:b/>
                <w:bCs/>
                <w:spacing w:val="-6"/>
              </w:rPr>
              <w:t>1.792</w:t>
            </w:r>
          </w:p>
        </w:tc>
      </w:tr>
      <w:tr>
        <w:trPr>
          <w:trHeight w:val="330" w:hRule="atLeast"/>
        </w:trPr>
        <w:tc>
          <w:tcPr>
            <w:tcW w:w="535" w:type="dxa"/>
            <w:vAlign w:val="top"/>
            <w:vMerge w:val="continue"/>
            <w:textDirection w:val="tbRlV"/>
            <w:tcBorders>
              <w:top w:val="nil"/>
              <w:bottom w:val="nil"/>
            </w:tcBorders>
          </w:tcPr>
          <w:p>
            <w:pPr>
              <w:rPr>
                <w:rFonts w:ascii="Arial"/>
                <w:sz w:val="21"/>
              </w:rPr>
            </w:pPr>
            <w:r/>
          </w:p>
        </w:tc>
        <w:tc>
          <w:tcPr>
            <w:tcW w:w="1009" w:type="dxa"/>
            <w:vAlign w:val="top"/>
          </w:tcPr>
          <w:p>
            <w:pPr>
              <w:pStyle w:val="TableText"/>
              <w:ind w:left="339"/>
              <w:spacing w:before="128" w:line="177" w:lineRule="auto"/>
              <w:rPr>
                <w:sz w:val="20"/>
                <w:szCs w:val="20"/>
              </w:rPr>
            </w:pPr>
            <w:r>
              <w:rPr>
                <w:sz w:val="20"/>
                <w:szCs w:val="20"/>
                <w:spacing w:val="-1"/>
              </w:rPr>
              <w:t>NOx</w:t>
            </w:r>
          </w:p>
        </w:tc>
        <w:tc>
          <w:tcPr>
            <w:tcW w:w="2338" w:type="dxa"/>
            <w:vAlign w:val="top"/>
            <w:gridSpan w:val="2"/>
          </w:tcPr>
          <w:p>
            <w:pPr>
              <w:pStyle w:val="TableText"/>
              <w:ind w:left="910"/>
              <w:spacing w:before="127" w:line="178" w:lineRule="auto"/>
              <w:rPr>
                <w:sz w:val="20"/>
                <w:szCs w:val="20"/>
              </w:rPr>
            </w:pPr>
            <w:r>
              <w:rPr>
                <w:sz w:val="20"/>
                <w:szCs w:val="20"/>
                <w:spacing w:val="-2"/>
              </w:rPr>
              <w:t>9.181</w:t>
            </w:r>
          </w:p>
        </w:tc>
        <w:tc>
          <w:tcPr>
            <w:tcW w:w="2019" w:type="dxa"/>
            <w:vAlign w:val="top"/>
            <w:gridSpan w:val="2"/>
          </w:tcPr>
          <w:p>
            <w:pPr>
              <w:pStyle w:val="TableText"/>
              <w:ind w:left="702"/>
              <w:spacing w:before="128" w:line="177" w:lineRule="auto"/>
              <w:rPr>
                <w:sz w:val="20"/>
                <w:szCs w:val="20"/>
              </w:rPr>
            </w:pPr>
            <w:r>
              <w:rPr>
                <w:sz w:val="20"/>
                <w:szCs w:val="20"/>
                <w:spacing w:val="-2"/>
              </w:rPr>
              <w:t>29.872</w:t>
            </w:r>
          </w:p>
        </w:tc>
        <w:tc>
          <w:tcPr>
            <w:tcW w:w="2358" w:type="dxa"/>
            <w:vAlign w:val="top"/>
            <w:gridSpan w:val="2"/>
          </w:tcPr>
          <w:p>
            <w:pPr>
              <w:pStyle w:val="TableText"/>
              <w:ind w:left="924"/>
              <w:spacing w:before="128" w:line="177" w:lineRule="auto"/>
              <w:rPr>
                <w:sz w:val="20"/>
                <w:szCs w:val="20"/>
              </w:rPr>
            </w:pPr>
            <w:r>
              <w:rPr>
                <w:sz w:val="20"/>
                <w:szCs w:val="20"/>
                <w:spacing w:val="-2"/>
              </w:rPr>
              <w:t>2.346</w:t>
            </w:r>
          </w:p>
        </w:tc>
        <w:tc>
          <w:tcPr>
            <w:tcW w:w="2348" w:type="dxa"/>
            <w:vAlign w:val="top"/>
            <w:gridSpan w:val="2"/>
          </w:tcPr>
          <w:p>
            <w:pPr>
              <w:pStyle w:val="TableText"/>
              <w:ind w:left="868"/>
              <w:spacing w:before="126" w:line="179" w:lineRule="auto"/>
              <w:rPr>
                <w:sz w:val="20"/>
                <w:szCs w:val="20"/>
              </w:rPr>
            </w:pPr>
            <w:r>
              <w:rPr>
                <w:sz w:val="20"/>
                <w:szCs w:val="20"/>
                <w:b/>
                <w:bCs/>
                <w:spacing w:val="-4"/>
              </w:rPr>
              <w:t>29.872</w:t>
            </w:r>
          </w:p>
        </w:tc>
        <w:tc>
          <w:tcPr>
            <w:tcW w:w="2368" w:type="dxa"/>
            <w:vAlign w:val="top"/>
            <w:gridSpan w:val="2"/>
          </w:tcPr>
          <w:p>
            <w:pPr>
              <w:pStyle w:val="TableText"/>
              <w:ind w:left="877"/>
              <w:spacing w:before="127" w:line="178" w:lineRule="auto"/>
              <w:rPr>
                <w:sz w:val="20"/>
                <w:szCs w:val="20"/>
              </w:rPr>
            </w:pPr>
            <w:r>
              <w:rPr>
                <w:sz w:val="20"/>
                <w:szCs w:val="20"/>
                <w:spacing w:val="-4"/>
              </w:rPr>
              <w:t>11.527</w:t>
            </w:r>
          </w:p>
        </w:tc>
        <w:tc>
          <w:tcPr>
            <w:tcW w:w="1164" w:type="dxa"/>
            <w:vAlign w:val="top"/>
          </w:tcPr>
          <w:p>
            <w:pPr>
              <w:pStyle w:val="TableText"/>
              <w:ind w:left="282"/>
              <w:spacing w:before="126" w:line="179" w:lineRule="auto"/>
              <w:rPr>
                <w:sz w:val="20"/>
                <w:szCs w:val="20"/>
              </w:rPr>
            </w:pPr>
            <w:r>
              <w:rPr>
                <w:sz w:val="20"/>
                <w:szCs w:val="20"/>
                <w:b/>
                <w:bCs/>
                <w:spacing w:val="-4"/>
              </w:rPr>
              <w:t>29.872</w:t>
            </w:r>
          </w:p>
        </w:tc>
      </w:tr>
      <w:tr>
        <w:trPr>
          <w:trHeight w:val="349" w:hRule="atLeast"/>
        </w:trPr>
        <w:tc>
          <w:tcPr>
            <w:tcW w:w="535" w:type="dxa"/>
            <w:vAlign w:val="top"/>
            <w:vMerge w:val="continue"/>
            <w:textDirection w:val="tbRlV"/>
            <w:tcBorders>
              <w:top w:val="nil"/>
              <w:bottom w:val="nil"/>
            </w:tcBorders>
          </w:tcPr>
          <w:p>
            <w:pPr>
              <w:rPr>
                <w:rFonts w:ascii="Arial"/>
                <w:sz w:val="21"/>
              </w:rPr>
            </w:pPr>
            <w:r/>
          </w:p>
        </w:tc>
        <w:tc>
          <w:tcPr>
            <w:tcW w:w="1009" w:type="dxa"/>
            <w:vAlign w:val="top"/>
          </w:tcPr>
          <w:p>
            <w:pPr>
              <w:pStyle w:val="TableText"/>
              <w:ind w:left="289"/>
              <w:spacing w:before="117" w:line="182" w:lineRule="auto"/>
              <w:rPr>
                <w:rFonts w:ascii="Calibri" w:hAnsi="Calibri" w:eastAsia="Calibri" w:cs="Calibri"/>
                <w:sz w:val="20"/>
                <w:szCs w:val="20"/>
              </w:rPr>
            </w:pPr>
            <w:r>
              <w:rPr>
                <w:sz w:val="20"/>
                <w:szCs w:val="20"/>
                <w:spacing w:val="-1"/>
              </w:rPr>
              <w:t>NH</w:t>
            </w:r>
            <w:r>
              <w:rPr>
                <w:rFonts w:ascii="Calibri" w:hAnsi="Calibri" w:eastAsia="Calibri" w:cs="Calibri"/>
                <w:sz w:val="20"/>
                <w:szCs w:val="20"/>
                <w:spacing w:val="-1"/>
              </w:rPr>
              <w:t>₃</w:t>
            </w:r>
          </w:p>
        </w:tc>
        <w:tc>
          <w:tcPr>
            <w:tcW w:w="2338" w:type="dxa"/>
            <w:vAlign w:val="top"/>
            <w:gridSpan w:val="2"/>
          </w:tcPr>
          <w:p>
            <w:pPr>
              <w:pStyle w:val="TableText"/>
              <w:ind w:left="910"/>
              <w:spacing w:before="136" w:line="184" w:lineRule="auto"/>
              <w:rPr>
                <w:sz w:val="20"/>
                <w:szCs w:val="20"/>
              </w:rPr>
            </w:pPr>
            <w:r>
              <w:rPr>
                <w:sz w:val="20"/>
                <w:szCs w:val="20"/>
                <w:spacing w:val="-2"/>
              </w:rPr>
              <w:t>0.158</w:t>
            </w:r>
          </w:p>
        </w:tc>
        <w:tc>
          <w:tcPr>
            <w:tcW w:w="2019" w:type="dxa"/>
            <w:vAlign w:val="top"/>
            <w:gridSpan w:val="2"/>
          </w:tcPr>
          <w:p>
            <w:pPr>
              <w:pStyle w:val="TableText"/>
              <w:ind w:left="752"/>
              <w:spacing w:before="137" w:line="183" w:lineRule="auto"/>
              <w:rPr>
                <w:sz w:val="20"/>
                <w:szCs w:val="20"/>
              </w:rPr>
            </w:pPr>
            <w:r>
              <w:rPr>
                <w:sz w:val="20"/>
                <w:szCs w:val="20"/>
                <w:spacing w:val="-2"/>
              </w:rPr>
              <w:t>0.498</w:t>
            </w:r>
          </w:p>
        </w:tc>
        <w:tc>
          <w:tcPr>
            <w:tcW w:w="2358" w:type="dxa"/>
            <w:vAlign w:val="top"/>
            <w:gridSpan w:val="2"/>
          </w:tcPr>
          <w:p>
            <w:pPr>
              <w:pStyle w:val="TableText"/>
              <w:ind w:left="924"/>
              <w:spacing w:before="137" w:line="183" w:lineRule="auto"/>
              <w:rPr>
                <w:sz w:val="20"/>
                <w:szCs w:val="20"/>
              </w:rPr>
            </w:pPr>
            <w:r>
              <w:rPr>
                <w:sz w:val="20"/>
                <w:szCs w:val="20"/>
                <w:spacing w:val="-2"/>
              </w:rPr>
              <w:t>0.004</w:t>
            </w:r>
          </w:p>
        </w:tc>
        <w:tc>
          <w:tcPr>
            <w:tcW w:w="2348" w:type="dxa"/>
            <w:vAlign w:val="top"/>
            <w:gridSpan w:val="2"/>
          </w:tcPr>
          <w:p>
            <w:pPr>
              <w:pStyle w:val="TableText"/>
              <w:ind w:left="918"/>
              <w:spacing w:before="135" w:line="183" w:lineRule="auto"/>
              <w:rPr>
                <w:sz w:val="20"/>
                <w:szCs w:val="20"/>
              </w:rPr>
            </w:pPr>
            <w:r>
              <w:rPr>
                <w:sz w:val="20"/>
                <w:szCs w:val="20"/>
                <w:b/>
                <w:bCs/>
                <w:spacing w:val="-4"/>
              </w:rPr>
              <w:t>0.656</w:t>
            </w:r>
          </w:p>
        </w:tc>
        <w:tc>
          <w:tcPr>
            <w:tcW w:w="2368" w:type="dxa"/>
            <w:vAlign w:val="top"/>
            <w:gridSpan w:val="2"/>
          </w:tcPr>
          <w:p>
            <w:pPr>
              <w:pStyle w:val="TableText"/>
              <w:ind w:left="927"/>
              <w:spacing w:before="136" w:line="184" w:lineRule="auto"/>
              <w:rPr>
                <w:sz w:val="20"/>
                <w:szCs w:val="20"/>
              </w:rPr>
            </w:pPr>
            <w:r>
              <w:rPr>
                <w:sz w:val="20"/>
                <w:szCs w:val="20"/>
                <w:spacing w:val="-2"/>
              </w:rPr>
              <w:t>0.162</w:t>
            </w:r>
          </w:p>
        </w:tc>
        <w:tc>
          <w:tcPr>
            <w:tcW w:w="1164" w:type="dxa"/>
            <w:vAlign w:val="top"/>
          </w:tcPr>
          <w:p>
            <w:pPr>
              <w:pStyle w:val="TableText"/>
              <w:ind w:left="332"/>
              <w:spacing w:before="135" w:line="183" w:lineRule="auto"/>
              <w:rPr>
                <w:sz w:val="20"/>
                <w:szCs w:val="20"/>
              </w:rPr>
            </w:pPr>
            <w:r>
              <w:rPr>
                <w:sz w:val="20"/>
                <w:szCs w:val="20"/>
                <w:b/>
                <w:bCs/>
                <w:spacing w:val="-4"/>
              </w:rPr>
              <w:t>0.685</w:t>
            </w:r>
          </w:p>
        </w:tc>
      </w:tr>
      <w:tr>
        <w:trPr>
          <w:trHeight w:val="330" w:hRule="atLeast"/>
        </w:trPr>
        <w:tc>
          <w:tcPr>
            <w:tcW w:w="535" w:type="dxa"/>
            <w:vAlign w:val="top"/>
            <w:vMerge w:val="continue"/>
            <w:textDirection w:val="tbRlV"/>
            <w:tcBorders>
              <w:top w:val="nil"/>
            </w:tcBorders>
          </w:tcPr>
          <w:p>
            <w:pPr>
              <w:rPr>
                <w:rFonts w:ascii="Arial"/>
                <w:sz w:val="21"/>
              </w:rPr>
            </w:pPr>
            <w:r/>
          </w:p>
        </w:tc>
        <w:tc>
          <w:tcPr>
            <w:tcW w:w="1009" w:type="dxa"/>
            <w:vAlign w:val="top"/>
          </w:tcPr>
          <w:p>
            <w:pPr>
              <w:pStyle w:val="TableText"/>
              <w:ind w:left="289"/>
              <w:spacing w:before="109" w:line="183" w:lineRule="auto"/>
              <w:rPr>
                <w:sz w:val="20"/>
                <w:szCs w:val="20"/>
              </w:rPr>
            </w:pPr>
            <w:r>
              <w:rPr>
                <w:sz w:val="20"/>
                <w:szCs w:val="20"/>
                <w:spacing w:val="-2"/>
              </w:rPr>
              <w:t>H</w:t>
            </w:r>
            <w:r>
              <w:rPr>
                <w:rFonts w:ascii="Calibri" w:hAnsi="Calibri" w:eastAsia="Calibri" w:cs="Calibri"/>
                <w:sz w:val="20"/>
                <w:szCs w:val="20"/>
                <w:spacing w:val="-2"/>
              </w:rPr>
              <w:t>₂</w:t>
            </w:r>
            <w:r>
              <w:rPr>
                <w:sz w:val="20"/>
                <w:szCs w:val="20"/>
                <w:spacing w:val="-2"/>
              </w:rPr>
              <w:t>S</w:t>
            </w:r>
          </w:p>
        </w:tc>
        <w:tc>
          <w:tcPr>
            <w:tcW w:w="2338" w:type="dxa"/>
            <w:vAlign w:val="top"/>
            <w:gridSpan w:val="2"/>
          </w:tcPr>
          <w:p>
            <w:pPr>
              <w:pStyle w:val="TableText"/>
              <w:ind w:left="910"/>
              <w:spacing w:before="129" w:line="176" w:lineRule="auto"/>
              <w:rPr>
                <w:sz w:val="20"/>
                <w:szCs w:val="20"/>
              </w:rPr>
            </w:pPr>
            <w:r>
              <w:rPr>
                <w:sz w:val="20"/>
                <w:szCs w:val="20"/>
                <w:spacing w:val="-2"/>
              </w:rPr>
              <w:t>0.002</w:t>
            </w:r>
          </w:p>
        </w:tc>
        <w:tc>
          <w:tcPr>
            <w:tcW w:w="2019" w:type="dxa"/>
            <w:vAlign w:val="top"/>
            <w:gridSpan w:val="2"/>
          </w:tcPr>
          <w:p>
            <w:pPr>
              <w:pStyle w:val="TableText"/>
              <w:ind w:left="752"/>
              <w:spacing w:before="128" w:line="177" w:lineRule="auto"/>
              <w:rPr>
                <w:sz w:val="20"/>
                <w:szCs w:val="20"/>
              </w:rPr>
            </w:pPr>
            <w:r>
              <w:rPr>
                <w:sz w:val="20"/>
                <w:szCs w:val="20"/>
                <w:spacing w:val="-2"/>
              </w:rPr>
              <w:t>0.010</w:t>
            </w:r>
          </w:p>
        </w:tc>
        <w:tc>
          <w:tcPr>
            <w:tcW w:w="2358" w:type="dxa"/>
            <w:vAlign w:val="top"/>
            <w:gridSpan w:val="2"/>
          </w:tcPr>
          <w:p>
            <w:pPr>
              <w:pStyle w:val="TableText"/>
              <w:ind w:left="924"/>
              <w:spacing w:before="129" w:line="176" w:lineRule="auto"/>
              <w:rPr>
                <w:sz w:val="20"/>
                <w:szCs w:val="20"/>
              </w:rPr>
            </w:pPr>
            <w:r>
              <w:rPr>
                <w:sz w:val="20"/>
                <w:szCs w:val="20"/>
                <w:spacing w:val="-2"/>
              </w:rPr>
              <w:t>0.003</w:t>
            </w:r>
          </w:p>
        </w:tc>
        <w:tc>
          <w:tcPr>
            <w:tcW w:w="2348" w:type="dxa"/>
            <w:vAlign w:val="top"/>
            <w:gridSpan w:val="2"/>
          </w:tcPr>
          <w:p>
            <w:pPr>
              <w:pStyle w:val="TableText"/>
              <w:ind w:left="918"/>
              <w:spacing w:before="126" w:line="179" w:lineRule="auto"/>
              <w:rPr>
                <w:sz w:val="20"/>
                <w:szCs w:val="20"/>
              </w:rPr>
            </w:pPr>
            <w:r>
              <w:rPr>
                <w:sz w:val="20"/>
                <w:szCs w:val="20"/>
                <w:b/>
                <w:bCs/>
                <w:spacing w:val="-4"/>
              </w:rPr>
              <w:t>0.012</w:t>
            </w:r>
          </w:p>
        </w:tc>
        <w:tc>
          <w:tcPr>
            <w:tcW w:w="2368" w:type="dxa"/>
            <w:vAlign w:val="top"/>
            <w:gridSpan w:val="2"/>
          </w:tcPr>
          <w:p>
            <w:pPr>
              <w:pStyle w:val="TableText"/>
              <w:ind w:left="927"/>
              <w:spacing w:before="129" w:line="176" w:lineRule="auto"/>
              <w:rPr>
                <w:sz w:val="20"/>
                <w:szCs w:val="20"/>
              </w:rPr>
            </w:pPr>
            <w:r>
              <w:rPr>
                <w:sz w:val="20"/>
                <w:szCs w:val="20"/>
                <w:spacing w:val="-2"/>
              </w:rPr>
              <w:t>0.005</w:t>
            </w:r>
          </w:p>
        </w:tc>
        <w:tc>
          <w:tcPr>
            <w:tcW w:w="1164" w:type="dxa"/>
            <w:vAlign w:val="top"/>
          </w:tcPr>
          <w:p>
            <w:pPr>
              <w:pStyle w:val="TableText"/>
              <w:ind w:left="332"/>
              <w:spacing w:before="126" w:line="179" w:lineRule="auto"/>
              <w:rPr>
                <w:sz w:val="20"/>
                <w:szCs w:val="20"/>
              </w:rPr>
            </w:pPr>
            <w:r>
              <w:rPr>
                <w:sz w:val="20"/>
                <w:szCs w:val="20"/>
                <w:b/>
                <w:bCs/>
                <w:spacing w:val="-4"/>
              </w:rPr>
              <w:t>0.015</w:t>
            </w:r>
          </w:p>
        </w:tc>
      </w:tr>
      <w:tr>
        <w:trPr>
          <w:trHeight w:val="814" w:hRule="atLeast"/>
        </w:trPr>
        <w:tc>
          <w:tcPr>
            <w:tcW w:w="14139" w:type="dxa"/>
            <w:vAlign w:val="top"/>
            <w:gridSpan w:val="13"/>
          </w:tcPr>
          <w:p>
            <w:pPr>
              <w:pStyle w:val="TableText"/>
              <w:ind w:left="494"/>
              <w:spacing w:before="57" w:line="219" w:lineRule="auto"/>
              <w:rPr>
                <w:sz w:val="20"/>
                <w:szCs w:val="20"/>
              </w:rPr>
            </w:pPr>
            <w:r>
              <w:rPr>
                <w:sz w:val="20"/>
                <w:szCs w:val="20"/>
              </w:rPr>
              <w:t>备注：1)*总量控制指标仅含生产废水排放量，不含生活污水排放</w:t>
            </w:r>
            <w:r>
              <w:rPr>
                <w:sz w:val="20"/>
                <w:szCs w:val="20"/>
                <w:spacing w:val="-1"/>
              </w:rPr>
              <w:t>量。</w:t>
            </w:r>
          </w:p>
          <w:p>
            <w:pPr>
              <w:pStyle w:val="TableText"/>
              <w:ind w:left="494"/>
              <w:spacing w:before="22" w:line="234" w:lineRule="auto"/>
              <w:rPr>
                <w:sz w:val="20"/>
                <w:szCs w:val="20"/>
              </w:rPr>
            </w:pPr>
            <w:r>
              <w:rPr>
                <w:sz w:val="20"/>
                <w:szCs w:val="20"/>
              </w:rPr>
              <w:t>2)实际排放废水合计含锅炉排污、软化水，纯水制备废水、循环冷却废水等水</w:t>
            </w:r>
            <w:r>
              <w:rPr>
                <w:sz w:val="20"/>
                <w:szCs w:val="20"/>
                <w:spacing w:val="-1"/>
              </w:rPr>
              <w:t>量，不计其污染物排放量</w:t>
            </w:r>
          </w:p>
          <w:p>
            <w:pPr>
              <w:pStyle w:val="TableText"/>
              <w:ind w:left="494"/>
              <w:spacing w:line="213" w:lineRule="auto"/>
              <w:rPr>
                <w:sz w:val="20"/>
                <w:szCs w:val="20"/>
              </w:rPr>
            </w:pPr>
            <w:r>
              <w:rPr>
                <w:sz w:val="20"/>
                <w:szCs w:val="20"/>
              </w:rPr>
              <w:t>3)表中的COD、氨氮排放量按霞浦县污水处理厂出水浓度COD50mg/L,氨氮5mg/L计</w:t>
            </w:r>
            <w:r>
              <w:rPr>
                <w:sz w:val="20"/>
                <w:szCs w:val="20"/>
                <w:spacing w:val="-1"/>
              </w:rPr>
              <w:t>算。</w:t>
            </w:r>
          </w:p>
        </w:tc>
      </w:tr>
    </w:tbl>
    <w:p>
      <w:pPr>
        <w:rPr>
          <w:rFonts w:ascii="Arial"/>
          <w:sz w:val="21"/>
        </w:rPr>
      </w:pPr>
      <w:r/>
    </w:p>
    <w:p>
      <w:pPr>
        <w:sectPr>
          <w:footerReference w:type="default" r:id="rId55"/>
          <w:pgSz w:w="16950" w:h="12060"/>
          <w:pgMar w:top="1025" w:right="1425" w:bottom="1062" w:left="1375" w:header="0" w:footer="903" w:gutter="0"/>
        </w:sectPr>
        <w:rPr>
          <w:rFonts w:ascii="Arial" w:hAnsi="Arial" w:eastAsia="Arial" w:cs="Arial"/>
          <w:sz w:val="21"/>
          <w:szCs w:val="21"/>
        </w:rPr>
      </w:pPr>
    </w:p>
    <w:p>
      <w:pPr>
        <w:spacing w:line="325" w:lineRule="auto"/>
        <w:rPr>
          <w:rFonts w:ascii="Arial"/>
          <w:sz w:val="21"/>
        </w:rPr>
      </w:pPr>
      <w:r>
        <w:drawing>
          <wp:anchor distT="0" distB="0" distL="0" distR="0" simplePos="0" relativeHeight="251712512" behindDoc="0" locked="0" layoutInCell="0" allowOverlap="1">
            <wp:simplePos x="0" y="0"/>
            <wp:positionH relativeFrom="page">
              <wp:posOffset>812805</wp:posOffset>
            </wp:positionH>
            <wp:positionV relativeFrom="page">
              <wp:posOffset>1079520</wp:posOffset>
            </wp:positionV>
            <wp:extent cx="9048756" cy="6350"/>
            <wp:effectExtent l="0" t="0" r="0" b="0"/>
            <wp:wrapNone/>
            <wp:docPr id="4" name="IM 4"/>
            <wp:cNvGraphicFramePr/>
            <a:graphic>
              <a:graphicData uri="http://schemas.openxmlformats.org/drawingml/2006/picture">
                <pic:pic>
                  <pic:nvPicPr>
                    <pic:cNvPr id="4" name="IM 4"/>
                    <pic:cNvPicPr/>
                  </pic:nvPicPr>
                  <pic:blipFill>
                    <a:blip r:embed="rId57"/>
                    <a:stretch>
                      <a:fillRect/>
                    </a:stretch>
                  </pic:blipFill>
                  <pic:spPr>
                    <a:xfrm rot="0">
                      <a:off x="0" y="0"/>
                      <a:ext cx="9048756" cy="6350"/>
                    </a:xfrm>
                    <a:prstGeom prst="rect">
                      <a:avLst/>
                    </a:prstGeom>
                  </pic:spPr>
                </pic:pic>
              </a:graphicData>
            </a:graphic>
          </wp:anchor>
        </w:drawing>
      </w:r>
      <w:r/>
    </w:p>
    <w:p>
      <w:pPr>
        <w:spacing w:line="326" w:lineRule="auto"/>
        <w:rPr>
          <w:rFonts w:ascii="Arial"/>
          <w:sz w:val="21"/>
        </w:rPr>
      </w:pPr>
      <w:r/>
    </w:p>
    <w:p>
      <w:pPr>
        <w:pStyle w:val="BodyText"/>
        <w:ind w:left="964"/>
        <w:spacing w:before="91" w:line="219" w:lineRule="auto"/>
        <w:outlineLvl w:val="6"/>
        <w:rPr>
          <w:sz w:val="28"/>
          <w:szCs w:val="28"/>
        </w:rPr>
      </w:pPr>
      <w:r>
        <w:rPr>
          <w:sz w:val="28"/>
          <w:szCs w:val="28"/>
          <w:b/>
          <w:bCs/>
          <w:spacing w:val="-4"/>
        </w:rPr>
        <w:t>2.9现有工程环评、验收落实情况</w:t>
      </w:r>
    </w:p>
    <w:p>
      <w:pPr>
        <w:pStyle w:val="BodyText"/>
        <w:ind w:left="962"/>
        <w:spacing w:before="206" w:line="219" w:lineRule="auto"/>
        <w:outlineLvl w:val="6"/>
        <w:rPr>
          <w:sz w:val="24"/>
          <w:szCs w:val="24"/>
        </w:rPr>
      </w:pPr>
      <w:r>
        <w:rPr>
          <w:sz w:val="24"/>
          <w:szCs w:val="24"/>
          <w:b/>
          <w:bCs/>
          <w:spacing w:val="-8"/>
        </w:rPr>
        <w:t>2.9.1、现有工程环评批复、验收意见落实情况</w:t>
      </w:r>
    </w:p>
    <w:p>
      <w:pPr>
        <w:pStyle w:val="BodyText"/>
        <w:ind w:left="1460"/>
        <w:spacing w:before="184" w:line="454" w:lineRule="exact"/>
        <w:rPr>
          <w:sz w:val="24"/>
          <w:szCs w:val="24"/>
        </w:rPr>
      </w:pPr>
      <w:r>
        <w:rPr>
          <w:sz w:val="24"/>
          <w:szCs w:val="24"/>
          <w:spacing w:val="-4"/>
          <w:position w:val="16"/>
        </w:rPr>
        <w:t>一期工程于2019年10月11日通过宁德市霞浦生态</w:t>
      </w:r>
      <w:r>
        <w:rPr>
          <w:sz w:val="24"/>
          <w:szCs w:val="24"/>
          <w:spacing w:val="-5"/>
          <w:position w:val="16"/>
        </w:rPr>
        <w:t>环境局审批(霞环保审(2019)27号),于2022年8月25日通过竣工验收。根据一</w:t>
      </w:r>
    </w:p>
    <w:p>
      <w:pPr>
        <w:pStyle w:val="BodyText"/>
        <w:ind w:left="960"/>
        <w:spacing w:line="219" w:lineRule="auto"/>
        <w:rPr>
          <w:sz w:val="24"/>
          <w:szCs w:val="24"/>
        </w:rPr>
      </w:pPr>
      <w:r>
        <w:rPr>
          <w:sz w:val="24"/>
          <w:szCs w:val="24"/>
          <w:spacing w:val="-7"/>
        </w:rPr>
        <w:t>期工程环评批复、竣工验收意见中提出的各项污染防治措施，</w:t>
      </w:r>
      <w:r>
        <w:rPr>
          <w:sz w:val="24"/>
          <w:szCs w:val="24"/>
          <w:spacing w:val="64"/>
        </w:rPr>
        <w:t xml:space="preserve"> </w:t>
      </w:r>
      <w:r>
        <w:rPr>
          <w:sz w:val="24"/>
          <w:szCs w:val="24"/>
          <w:spacing w:val="-7"/>
        </w:rPr>
        <w:t>一期工程实际落实情况见表</w:t>
      </w:r>
      <w:r>
        <w:rPr>
          <w:sz w:val="24"/>
          <w:szCs w:val="24"/>
          <w:spacing w:val="-8"/>
        </w:rPr>
        <w:t>2.9-1。</w:t>
      </w:r>
    </w:p>
    <w:p>
      <w:pPr>
        <w:pStyle w:val="BodyText"/>
        <w:ind w:left="1469"/>
        <w:spacing w:before="181" w:line="473" w:lineRule="exact"/>
        <w:rPr>
          <w:sz w:val="24"/>
          <w:szCs w:val="24"/>
        </w:rPr>
      </w:pPr>
      <w:r>
        <w:rPr>
          <w:sz w:val="24"/>
          <w:szCs w:val="24"/>
          <w:spacing w:val="-5"/>
          <w:position w:val="17"/>
        </w:rPr>
        <w:t>二期工程于2022年1月25日通过宁德市霞浦生态环境局审批(宁霞环评(2022)3号),于2023年4月15日通过阶段性</w:t>
      </w:r>
      <w:r>
        <w:rPr>
          <w:sz w:val="24"/>
          <w:szCs w:val="24"/>
          <w:spacing w:val="-6"/>
          <w:position w:val="17"/>
        </w:rPr>
        <w:t>竣工验收。根</w:t>
      </w:r>
    </w:p>
    <w:p>
      <w:pPr>
        <w:pStyle w:val="BodyText"/>
        <w:ind w:left="960"/>
        <w:spacing w:before="1" w:line="219" w:lineRule="auto"/>
        <w:rPr>
          <w:sz w:val="24"/>
          <w:szCs w:val="24"/>
        </w:rPr>
      </w:pPr>
      <w:r>
        <w:rPr>
          <w:sz w:val="24"/>
          <w:szCs w:val="24"/>
          <w:spacing w:val="-3"/>
        </w:rPr>
        <w:t>据二期工程环评批复、阶段性竣工验收意见中提出的各项污染防治措施，二期工程实际落实情况见表2.9-2。</w:t>
      </w:r>
    </w:p>
    <w:p>
      <w:pPr>
        <w:spacing w:line="191" w:lineRule="exact"/>
        <w:rPr/>
      </w:pPr>
      <w:r/>
    </w:p>
    <w:tbl>
      <w:tblPr>
        <w:tblStyle w:val="TableNormal"/>
        <w:tblW w:w="14170" w:type="dxa"/>
        <w:tblInd w:w="5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94"/>
        <w:gridCol w:w="850"/>
        <w:gridCol w:w="4936"/>
        <w:gridCol w:w="5676"/>
        <w:gridCol w:w="1914"/>
      </w:tblGrid>
      <w:tr>
        <w:trPr>
          <w:trHeight w:val="433" w:hRule="atLeast"/>
        </w:trPr>
        <w:tc>
          <w:tcPr>
            <w:tcW w:w="794" w:type="dxa"/>
            <w:vAlign w:val="top"/>
            <w:vMerge w:val="restart"/>
            <w:tcBorders>
              <w:top w:val="nil"/>
              <w:bottom w:val="nil"/>
            </w:tcBorders>
          </w:tcPr>
          <w:p>
            <w:pPr>
              <w:pStyle w:val="TableText"/>
              <w:ind w:left="175"/>
              <w:spacing w:before="173" w:line="320" w:lineRule="exact"/>
              <w:rPr>
                <w:sz w:val="21"/>
                <w:szCs w:val="21"/>
              </w:rPr>
            </w:pPr>
            <w:r>
              <w:pict>
                <v:shape id="_x0000_s8" style="position:absolute;margin-left:-39.45pt;margin-top:7.44318pt;mso-position-vertical-relative:top-margin-area;mso-position-horizontal-relative:right-margin-area;width:39.5pt;height:0.5pt;z-index:-251604992;" filled="false" strokecolor="#000000" strokeweight="0.50pt" coordsize="790,10" coordorigin="0,0" path="m0,5l789,5e">
                  <v:stroke joinstyle="miter" miterlimit="10"/>
                </v:shape>
              </w:pict>
            </w:r>
            <w:r>
              <w:rPr>
                <w:sz w:val="21"/>
                <w:szCs w:val="21"/>
                <w:spacing w:val="6"/>
                <w:position w:val="8"/>
              </w:rPr>
              <w:t>与项</w:t>
            </w:r>
          </w:p>
          <w:p>
            <w:pPr>
              <w:pStyle w:val="TableText"/>
              <w:ind w:left="175"/>
              <w:spacing w:line="220" w:lineRule="auto"/>
              <w:rPr>
                <w:sz w:val="21"/>
                <w:szCs w:val="21"/>
              </w:rPr>
            </w:pPr>
            <w:r>
              <w:rPr>
                <w:sz w:val="21"/>
                <w:szCs w:val="21"/>
                <w:spacing w:val="9"/>
              </w:rPr>
              <w:t>目有</w:t>
            </w:r>
          </w:p>
          <w:p>
            <w:pPr>
              <w:pStyle w:val="TableText"/>
              <w:ind w:left="175"/>
              <w:spacing w:before="59" w:line="220" w:lineRule="auto"/>
              <w:rPr>
                <w:sz w:val="21"/>
                <w:szCs w:val="21"/>
              </w:rPr>
            </w:pPr>
            <w:r>
              <w:rPr>
                <w:sz w:val="21"/>
                <w:szCs w:val="21"/>
                <w:spacing w:val="8"/>
              </w:rPr>
              <w:t>关的</w:t>
            </w:r>
          </w:p>
          <w:p>
            <w:pPr>
              <w:pStyle w:val="TableText"/>
              <w:ind w:left="175"/>
              <w:spacing w:before="59" w:line="220" w:lineRule="auto"/>
              <w:rPr>
                <w:sz w:val="21"/>
                <w:szCs w:val="21"/>
              </w:rPr>
            </w:pPr>
            <w:r>
              <w:rPr>
                <w:sz w:val="21"/>
                <w:szCs w:val="21"/>
                <w:spacing w:val="5"/>
              </w:rPr>
              <w:t>原有</w:t>
            </w:r>
          </w:p>
          <w:p>
            <w:pPr>
              <w:pStyle w:val="TableText"/>
              <w:ind w:left="175"/>
              <w:spacing w:before="49" w:line="220" w:lineRule="auto"/>
              <w:rPr>
                <w:sz w:val="21"/>
                <w:szCs w:val="21"/>
              </w:rPr>
            </w:pPr>
            <w:r>
              <w:rPr>
                <w:sz w:val="21"/>
                <w:szCs w:val="21"/>
                <w:spacing w:val="-3"/>
              </w:rPr>
              <w:t>环境</w:t>
            </w:r>
          </w:p>
          <w:p>
            <w:pPr>
              <w:pStyle w:val="TableText"/>
              <w:ind w:left="175"/>
              <w:spacing w:before="60" w:line="220" w:lineRule="auto"/>
              <w:rPr>
                <w:sz w:val="21"/>
                <w:szCs w:val="21"/>
              </w:rPr>
            </w:pPr>
            <w:r>
              <w:rPr>
                <w:sz w:val="21"/>
                <w:szCs w:val="21"/>
                <w:spacing w:val="-3"/>
              </w:rPr>
              <w:t>污染</w:t>
            </w:r>
          </w:p>
          <w:p>
            <w:pPr>
              <w:pStyle w:val="TableText"/>
              <w:ind w:left="175"/>
              <w:spacing w:before="62" w:line="221" w:lineRule="auto"/>
              <w:rPr>
                <w:sz w:val="21"/>
                <w:szCs w:val="21"/>
              </w:rPr>
            </w:pPr>
            <w:r>
              <w:rPr>
                <w:sz w:val="21"/>
                <w:szCs w:val="21"/>
                <w:spacing w:val="5"/>
              </w:rPr>
              <w:t>问题</w:t>
            </w:r>
          </w:p>
        </w:tc>
        <w:tc>
          <w:tcPr>
            <w:tcW w:w="13376" w:type="dxa"/>
            <w:vAlign w:val="top"/>
            <w:gridSpan w:val="4"/>
            <w:tcBorders>
              <w:top w:val="nil"/>
            </w:tcBorders>
          </w:tcPr>
          <w:p>
            <w:pPr>
              <w:pStyle w:val="TableText"/>
              <w:spacing w:line="219" w:lineRule="auto"/>
              <w:tabs>
                <w:tab w:val="left" w:pos="3768"/>
              </w:tabs>
              <w:rPr>
                <w:sz w:val="24"/>
                <w:szCs w:val="24"/>
              </w:rPr>
            </w:pPr>
            <w:r>
              <w:rPr>
                <w:sz w:val="24"/>
                <w:szCs w:val="24"/>
                <w:strike/>
              </w:rPr>
              <w:tab/>
            </w:r>
            <w:r>
              <w:rPr>
                <w:sz w:val="24"/>
                <w:szCs w:val="24"/>
                <w:b/>
                <w:bCs/>
                <w:strike/>
                <w:spacing w:val="-3"/>
              </w:rPr>
              <w:t>表2</w:t>
            </w:r>
            <w:r>
              <w:rPr>
                <w:sz w:val="24"/>
                <w:szCs w:val="24"/>
                <w:strike/>
                <w:spacing w:val="-3"/>
              </w:rPr>
              <w:t xml:space="preserve"> </w:t>
            </w:r>
            <w:r>
              <w:rPr>
                <w:sz w:val="24"/>
                <w:szCs w:val="24"/>
                <w:b/>
                <w:bCs/>
                <w:strike/>
                <w:spacing w:val="-3"/>
              </w:rPr>
              <w:t>9</w:t>
            </w:r>
            <w:r>
              <w:rPr>
                <w:sz w:val="24"/>
                <w:szCs w:val="24"/>
                <w:b/>
                <w:bCs/>
                <w:spacing w:val="-3"/>
              </w:rPr>
              <w:t>-</w:t>
            </w:r>
            <w:r>
              <w:rPr>
                <w:sz w:val="24"/>
                <w:szCs w:val="24"/>
                <w:b/>
                <w:bCs/>
                <w:strike/>
                <w:spacing w:val="-3"/>
              </w:rPr>
              <w:t>1</w:t>
            </w:r>
            <w:r>
              <w:rPr>
                <w:sz w:val="24"/>
                <w:szCs w:val="24"/>
                <w:strike/>
                <w:spacing w:val="113"/>
              </w:rPr>
              <w:t xml:space="preserve"> </w:t>
            </w:r>
            <w:r>
              <w:rPr>
                <w:sz w:val="24"/>
                <w:szCs w:val="24"/>
                <w:b/>
                <w:bCs/>
                <w:spacing w:val="-3"/>
              </w:rPr>
              <w:t>一</w:t>
            </w:r>
            <w:r>
              <w:rPr>
                <w:sz w:val="24"/>
                <w:szCs w:val="24"/>
                <w:b/>
                <w:bCs/>
                <w:strike/>
                <w:spacing w:val="-3"/>
              </w:rPr>
              <w:t>期工程环评批复、验收意见执行情况</w:t>
            </w:r>
            <w:r>
              <w:rPr>
                <w:sz w:val="24"/>
                <w:szCs w:val="24"/>
                <w:b/>
                <w:bCs/>
                <w:spacing w:val="-3"/>
              </w:rPr>
              <w:t>一</w:t>
            </w:r>
            <w:r>
              <w:rPr>
                <w:sz w:val="24"/>
                <w:szCs w:val="24"/>
                <w:b/>
                <w:bCs/>
                <w:strike/>
                <w:spacing w:val="-3"/>
              </w:rPr>
              <w:t>览表</w:t>
            </w:r>
            <w:r>
              <w:rPr>
                <w:sz w:val="24"/>
                <w:szCs w:val="24"/>
                <w:strike/>
                <w:spacing w:val="-3"/>
              </w:rPr>
              <w:t xml:space="preserve">                         </w:t>
            </w:r>
            <w:r>
              <w:rPr>
                <w:sz w:val="24"/>
                <w:szCs w:val="24"/>
                <w:strike/>
                <w:spacing w:val="-4"/>
              </w:rPr>
              <w:t xml:space="preserve">       </w:t>
            </w:r>
          </w:p>
        </w:tc>
      </w:tr>
      <w:tr>
        <w:trPr>
          <w:trHeight w:val="269" w:hRule="atLeast"/>
        </w:trPr>
        <w:tc>
          <w:tcPr>
            <w:tcW w:w="794" w:type="dxa"/>
            <w:vAlign w:val="top"/>
            <w:vMerge w:val="continue"/>
            <w:tcBorders>
              <w:top w:val="nil"/>
              <w:bottom w:val="nil"/>
            </w:tcBorders>
          </w:tcPr>
          <w:p>
            <w:pPr>
              <w:rPr>
                <w:rFonts w:ascii="Arial"/>
                <w:sz w:val="21"/>
              </w:rPr>
            </w:pPr>
            <w:r/>
          </w:p>
        </w:tc>
        <w:tc>
          <w:tcPr>
            <w:tcW w:w="850" w:type="dxa"/>
            <w:vAlign w:val="top"/>
          </w:tcPr>
          <w:p>
            <w:pPr>
              <w:pStyle w:val="TableText"/>
              <w:ind w:left="200"/>
              <w:spacing w:before="31" w:line="200" w:lineRule="auto"/>
              <w:rPr>
                <w:sz w:val="21"/>
                <w:szCs w:val="21"/>
              </w:rPr>
            </w:pPr>
            <w:r>
              <w:rPr>
                <w:sz w:val="21"/>
                <w:szCs w:val="21"/>
                <w:spacing w:val="6"/>
              </w:rPr>
              <w:t>序号</w:t>
            </w:r>
          </w:p>
        </w:tc>
        <w:tc>
          <w:tcPr>
            <w:tcW w:w="4936" w:type="dxa"/>
            <w:vAlign w:val="top"/>
          </w:tcPr>
          <w:p>
            <w:pPr>
              <w:pStyle w:val="TableText"/>
              <w:ind w:left="1511"/>
              <w:spacing w:before="29" w:line="202" w:lineRule="auto"/>
              <w:rPr>
                <w:sz w:val="21"/>
                <w:szCs w:val="21"/>
              </w:rPr>
            </w:pPr>
            <w:r>
              <w:rPr>
                <w:sz w:val="21"/>
                <w:szCs w:val="21"/>
                <w:spacing w:val="-1"/>
              </w:rPr>
              <w:t>环评批复、验收要求</w:t>
            </w:r>
          </w:p>
        </w:tc>
        <w:tc>
          <w:tcPr>
            <w:tcW w:w="5676" w:type="dxa"/>
            <w:vAlign w:val="top"/>
          </w:tcPr>
          <w:p>
            <w:pPr>
              <w:pStyle w:val="TableText"/>
              <w:ind w:left="2414"/>
              <w:spacing w:before="30" w:line="201" w:lineRule="auto"/>
              <w:rPr>
                <w:sz w:val="21"/>
                <w:szCs w:val="21"/>
              </w:rPr>
            </w:pPr>
            <w:r>
              <w:rPr>
                <w:sz w:val="21"/>
                <w:szCs w:val="21"/>
                <w:spacing w:val="-2"/>
              </w:rPr>
              <w:t>落实情况</w:t>
            </w:r>
          </w:p>
        </w:tc>
        <w:tc>
          <w:tcPr>
            <w:tcW w:w="1914" w:type="dxa"/>
            <w:vAlign w:val="top"/>
          </w:tcPr>
          <w:p>
            <w:pPr>
              <w:pStyle w:val="TableText"/>
              <w:ind w:left="738"/>
              <w:spacing w:before="31" w:line="200" w:lineRule="auto"/>
              <w:rPr>
                <w:sz w:val="21"/>
                <w:szCs w:val="21"/>
              </w:rPr>
            </w:pPr>
            <w:r>
              <w:rPr>
                <w:sz w:val="21"/>
                <w:szCs w:val="21"/>
                <w:spacing w:val="5"/>
              </w:rPr>
              <w:t>备注</w:t>
            </w:r>
          </w:p>
        </w:tc>
      </w:tr>
      <w:tr>
        <w:trPr>
          <w:trHeight w:val="279" w:hRule="atLeast"/>
        </w:trPr>
        <w:tc>
          <w:tcPr>
            <w:tcW w:w="794" w:type="dxa"/>
            <w:vAlign w:val="top"/>
            <w:vMerge w:val="continue"/>
            <w:tcBorders>
              <w:top w:val="nil"/>
              <w:bottom w:val="nil"/>
            </w:tcBorders>
          </w:tcPr>
          <w:p>
            <w:pPr>
              <w:rPr>
                <w:rFonts w:ascii="Arial"/>
                <w:sz w:val="21"/>
              </w:rPr>
            </w:pPr>
            <w:r/>
          </w:p>
        </w:tc>
        <w:tc>
          <w:tcPr>
            <w:tcW w:w="13376" w:type="dxa"/>
            <w:vAlign w:val="top"/>
            <w:gridSpan w:val="4"/>
          </w:tcPr>
          <w:p>
            <w:pPr>
              <w:pStyle w:val="TableText"/>
              <w:ind w:left="2403"/>
              <w:spacing w:before="35" w:line="205" w:lineRule="auto"/>
              <w:rPr>
                <w:sz w:val="21"/>
                <w:szCs w:val="21"/>
              </w:rPr>
            </w:pPr>
            <w:r>
              <w:rPr>
                <w:sz w:val="21"/>
                <w:szCs w:val="21"/>
                <w:b/>
                <w:bCs/>
                <w:spacing w:val="-2"/>
              </w:rPr>
              <w:t>关于时代一汽动力电池项目(年产10GWh)环境影响报告表的</w:t>
            </w:r>
            <w:r>
              <w:rPr>
                <w:sz w:val="21"/>
                <w:szCs w:val="21"/>
                <w:b/>
                <w:bCs/>
                <w:spacing w:val="-3"/>
              </w:rPr>
              <w:t>批复</w:t>
            </w:r>
            <w:r>
              <w:rPr>
                <w:sz w:val="21"/>
                <w:szCs w:val="21"/>
                <w:spacing w:val="-3"/>
              </w:rPr>
              <w:t xml:space="preserve">  </w:t>
            </w:r>
            <w:r>
              <w:rPr>
                <w:sz w:val="21"/>
                <w:szCs w:val="21"/>
                <w:b/>
                <w:bCs/>
                <w:spacing w:val="-3"/>
              </w:rPr>
              <w:t>霞环保审〔2019〕27号</w:t>
            </w:r>
          </w:p>
        </w:tc>
      </w:tr>
      <w:tr>
        <w:trPr>
          <w:trHeight w:val="1098" w:hRule="atLeast"/>
        </w:trPr>
        <w:tc>
          <w:tcPr>
            <w:tcW w:w="794" w:type="dxa"/>
            <w:vAlign w:val="top"/>
            <w:vMerge w:val="continue"/>
            <w:tcBorders>
              <w:top w:val="nil"/>
              <w:bottom w:val="nil"/>
            </w:tcBorders>
          </w:tcPr>
          <w:p>
            <w:pPr>
              <w:rPr>
                <w:rFonts w:ascii="Arial"/>
                <w:sz w:val="21"/>
              </w:rPr>
            </w:pPr>
            <w:r/>
          </w:p>
        </w:tc>
        <w:tc>
          <w:tcPr>
            <w:tcW w:w="850" w:type="dxa"/>
            <w:vAlign w:val="top"/>
          </w:tcPr>
          <w:p>
            <w:pPr>
              <w:rPr>
                <w:rFonts w:ascii="Arial"/>
                <w:sz w:val="21"/>
              </w:rPr>
            </w:pPr>
            <w:r>
              <w:pict>
                <v:shape id="_x0000_s10" style="position:absolute;margin-left:-23.9511pt;margin-top:-5.00232pt;mso-position-vertical-relative:top-margin-area;mso-position-horizontal-relative:right-margin-area;width:4.85pt;height:14.1pt;z-index:251713536;" filled="false" stroked="false" type="#_x0000_t202">
                  <v:fill on="false"/>
                  <v:stroke on="false"/>
                  <v:path/>
                  <v:imagedata o:title=""/>
                  <o:lock v:ext="edit" aspectratio="false"/>
                  <v:textbox inset="0mm,0mm,0mm,0mm">
                    <w:txbxContent>
                      <w:p>
                        <w:pPr>
                          <w:ind w:left="20"/>
                          <w:spacing w:before="20" w:line="241" w:lineRule="exact"/>
                          <w:tabs>
                            <w:tab w:val="left" w:pos="75"/>
                          </w:tabs>
                          <w:rPr>
                            <w:rFonts w:ascii="Arial"/>
                            <w:sz w:val="21"/>
                          </w:rPr>
                        </w:pPr>
                        <w:r>
                          <w:rPr>
                            <w:rFonts w:ascii="Arial" w:hAnsi="Arial" w:eastAsia="Arial" w:cs="Arial"/>
                            <w:sz w:val="21"/>
                            <w:szCs w:val="21"/>
                            <w:u w:val="single" w:color="auto"/>
                          </w:rPr>
                          <w:tab/>
                        </w:r>
                      </w:p>
                    </w:txbxContent>
                  </v:textbox>
                </v:shape>
              </w:pict>
            </w:r>
            <w:r/>
          </w:p>
        </w:tc>
        <w:tc>
          <w:tcPr>
            <w:tcW w:w="4936" w:type="dxa"/>
            <w:vAlign w:val="top"/>
          </w:tcPr>
          <w:p>
            <w:pPr>
              <w:pStyle w:val="TableText"/>
              <w:ind w:left="411"/>
              <w:spacing w:before="41" w:line="219" w:lineRule="auto"/>
              <w:rPr>
                <w:sz w:val="21"/>
                <w:szCs w:val="21"/>
              </w:rPr>
            </w:pPr>
            <w:r>
              <w:rPr>
                <w:sz w:val="21"/>
                <w:szCs w:val="21"/>
                <w:spacing w:val="-1"/>
              </w:rPr>
              <w:t>亚格执行《建筑施工场界环境噪声排放标准》</w:t>
            </w:r>
          </w:p>
          <w:p>
            <w:pPr>
              <w:pStyle w:val="TableText"/>
              <w:ind w:left="251"/>
              <w:spacing w:before="20" w:line="219" w:lineRule="auto"/>
              <w:rPr>
                <w:sz w:val="21"/>
                <w:szCs w:val="21"/>
              </w:rPr>
            </w:pPr>
            <w:r>
              <w:rPr>
                <w:sz w:val="21"/>
                <w:szCs w:val="21"/>
              </w:rPr>
              <w:t>(GB12523-2011)和关于施工期环境管理的相关规</w:t>
            </w:r>
          </w:p>
          <w:p>
            <w:pPr>
              <w:pStyle w:val="TableText"/>
              <w:ind w:left="40"/>
              <w:spacing w:before="19" w:line="219" w:lineRule="auto"/>
              <w:rPr>
                <w:sz w:val="21"/>
                <w:szCs w:val="21"/>
              </w:rPr>
            </w:pPr>
            <w:r>
              <w:rPr>
                <w:sz w:val="21"/>
                <w:szCs w:val="21"/>
              </w:rPr>
              <w:t>定，加强项目施工过程的环境管理，切实采取有效措</w:t>
            </w:r>
          </w:p>
          <w:p>
            <w:pPr>
              <w:pStyle w:val="TableText"/>
              <w:spacing w:before="11" w:line="217" w:lineRule="auto"/>
              <w:jc w:val="right"/>
              <w:rPr>
                <w:sz w:val="21"/>
                <w:szCs w:val="21"/>
              </w:rPr>
            </w:pPr>
            <w:r>
              <w:rPr>
                <w:sz w:val="21"/>
                <w:szCs w:val="21"/>
              </w:rPr>
              <w:t>施控制施工中噪声、粉尘、废水、固体废物的污染。</w:t>
            </w:r>
          </w:p>
        </w:tc>
        <w:tc>
          <w:tcPr>
            <w:tcW w:w="5676" w:type="dxa"/>
            <w:vAlign w:val="top"/>
          </w:tcPr>
          <w:p>
            <w:pPr>
              <w:pStyle w:val="TableText"/>
              <w:spacing w:before="170" w:line="219" w:lineRule="auto"/>
              <w:jc w:val="right"/>
              <w:rPr>
                <w:sz w:val="21"/>
                <w:szCs w:val="21"/>
              </w:rPr>
            </w:pPr>
            <w:r>
              <w:rPr>
                <w:sz w:val="21"/>
                <w:szCs w:val="21"/>
                <w:spacing w:val="-2"/>
              </w:rPr>
              <w:t>项目施工期间，施工场地采取设置施工围挡，控制施工时间，</w:t>
            </w:r>
          </w:p>
          <w:p>
            <w:pPr>
              <w:pStyle w:val="TableText"/>
              <w:ind w:left="155" w:right="91" w:hanging="50"/>
              <w:spacing w:before="31" w:line="225" w:lineRule="auto"/>
              <w:rPr>
                <w:sz w:val="21"/>
                <w:szCs w:val="21"/>
              </w:rPr>
            </w:pPr>
            <w:r>
              <w:rPr>
                <w:sz w:val="21"/>
                <w:szCs w:val="21"/>
              </w:rPr>
              <w:t>明确规章制度等措施，控制施工中噪声、粉尘、废水、固体</w:t>
            </w:r>
            <w:r>
              <w:rPr>
                <w:sz w:val="21"/>
                <w:szCs w:val="21"/>
                <w:spacing w:val="8"/>
              </w:rPr>
              <w:t xml:space="preserve"> </w:t>
            </w:r>
            <w:r>
              <w:rPr>
                <w:sz w:val="21"/>
                <w:szCs w:val="21"/>
                <w:spacing w:val="-1"/>
              </w:rPr>
              <w:t>废物的污染。</w:t>
            </w:r>
          </w:p>
        </w:tc>
        <w:tc>
          <w:tcPr>
            <w:tcW w:w="1914" w:type="dxa"/>
            <w:vAlign w:val="top"/>
          </w:tcPr>
          <w:p>
            <w:pPr>
              <w:spacing w:line="381" w:lineRule="auto"/>
              <w:rPr>
                <w:rFonts w:ascii="Arial"/>
                <w:sz w:val="21"/>
              </w:rPr>
            </w:pPr>
            <w:r/>
          </w:p>
          <w:p>
            <w:pPr>
              <w:pStyle w:val="TableText"/>
              <w:ind w:left="218"/>
              <w:spacing w:before="68" w:line="220" w:lineRule="auto"/>
              <w:rPr>
                <w:sz w:val="21"/>
                <w:szCs w:val="21"/>
              </w:rPr>
            </w:pPr>
            <w:r>
              <w:rPr>
                <w:sz w:val="21"/>
                <w:szCs w:val="21"/>
                <w:spacing w:val="1"/>
              </w:rPr>
              <w:t>已落实批复要求</w:t>
            </w:r>
          </w:p>
        </w:tc>
      </w:tr>
      <w:tr>
        <w:trPr>
          <w:trHeight w:val="1887" w:hRule="atLeast"/>
        </w:trPr>
        <w:tc>
          <w:tcPr>
            <w:tcW w:w="794" w:type="dxa"/>
            <w:vAlign w:val="top"/>
            <w:vMerge w:val="continue"/>
            <w:tcBorders>
              <w:top w:val="nil"/>
              <w:bottom w:val="nil"/>
            </w:tcBorders>
          </w:tcPr>
          <w:p>
            <w:pPr>
              <w:rPr>
                <w:rFonts w:ascii="Arial"/>
                <w:sz w:val="21"/>
              </w:rPr>
            </w:pPr>
            <w:r/>
          </w:p>
        </w:tc>
        <w:tc>
          <w:tcPr>
            <w:tcW w:w="850" w:type="dxa"/>
            <w:vAlign w:val="top"/>
            <w:vMerge w:val="restart"/>
            <w:tcBorders>
              <w:bottom w:val="nil"/>
            </w:tcBorders>
          </w:tcPr>
          <w:p>
            <w:pPr>
              <w:pStyle w:val="TableText"/>
              <w:ind w:left="310"/>
              <w:spacing w:before="83" w:line="178" w:lineRule="auto"/>
              <w:rPr>
                <w:sz w:val="21"/>
                <w:szCs w:val="21"/>
              </w:rPr>
            </w:pPr>
            <w:r>
              <w:rPr>
                <w:sz w:val="21"/>
                <w:szCs w:val="21"/>
              </w:rPr>
              <w:t>二</w:t>
            </w:r>
          </w:p>
        </w:tc>
        <w:tc>
          <w:tcPr>
            <w:tcW w:w="4936" w:type="dxa"/>
            <w:vAlign w:val="top"/>
          </w:tcPr>
          <w:p>
            <w:pPr>
              <w:spacing w:line="244" w:lineRule="auto"/>
              <w:rPr>
                <w:rFonts w:ascii="Arial"/>
                <w:sz w:val="21"/>
              </w:rPr>
            </w:pPr>
            <w:r/>
          </w:p>
          <w:p>
            <w:pPr>
              <w:pStyle w:val="TableText"/>
              <w:ind w:left="40" w:right="46" w:firstLine="110"/>
              <w:spacing w:before="68" w:line="234" w:lineRule="auto"/>
              <w:jc w:val="both"/>
              <w:rPr>
                <w:sz w:val="21"/>
                <w:szCs w:val="21"/>
              </w:rPr>
            </w:pPr>
            <w:r>
              <w:rPr>
                <w:sz w:val="21"/>
                <w:szCs w:val="21"/>
              </w:rPr>
              <w:t>1.严格实行“雨污分流、清污分流”原则，锅炉排</w:t>
            </w:r>
            <w:r>
              <w:rPr>
                <w:sz w:val="21"/>
                <w:szCs w:val="21"/>
                <w:spacing w:val="3"/>
              </w:rPr>
              <w:t xml:space="preserve">  </w:t>
            </w:r>
            <w:r>
              <w:rPr>
                <w:sz w:val="21"/>
                <w:szCs w:val="21"/>
                <w:spacing w:val="3"/>
              </w:rPr>
              <w:t>污水、</w:t>
            </w:r>
            <w:r>
              <w:rPr>
                <w:sz w:val="21"/>
                <w:szCs w:val="21"/>
              </w:rPr>
              <w:t>RO</w:t>
            </w:r>
            <w:r>
              <w:rPr>
                <w:sz w:val="21"/>
                <w:szCs w:val="21"/>
                <w:spacing w:val="3"/>
              </w:rPr>
              <w:t>/</w:t>
            </w:r>
            <w:r>
              <w:rPr>
                <w:sz w:val="21"/>
                <w:szCs w:val="21"/>
              </w:rPr>
              <w:t>DI</w:t>
            </w:r>
            <w:r>
              <w:rPr>
                <w:sz w:val="21"/>
                <w:szCs w:val="21"/>
                <w:spacing w:val="3"/>
              </w:rPr>
              <w:t>水系统浓水等清净下水和雨水就近排入</w:t>
            </w:r>
            <w:r>
              <w:rPr>
                <w:sz w:val="21"/>
                <w:szCs w:val="21"/>
              </w:rPr>
              <w:t xml:space="preserve"> </w:t>
            </w:r>
            <w:r>
              <w:rPr>
                <w:sz w:val="21"/>
                <w:szCs w:val="21"/>
              </w:rPr>
              <w:t>市政雨水管网；食堂废水经隔油池处理、生活污水经</w:t>
            </w:r>
          </w:p>
          <w:p>
            <w:pPr>
              <w:pStyle w:val="TableText"/>
              <w:ind w:left="140" w:right="142" w:firstLine="10"/>
              <w:spacing w:before="20" w:line="224" w:lineRule="auto"/>
              <w:jc w:val="both"/>
              <w:rPr>
                <w:sz w:val="21"/>
                <w:szCs w:val="21"/>
              </w:rPr>
            </w:pPr>
            <w:r>
              <w:rPr>
                <w:sz w:val="21"/>
                <w:szCs w:val="21"/>
              </w:rPr>
              <w:t>化粪池处理后排入市政污水管网纳入县污水处理厂</w:t>
            </w:r>
            <w:r>
              <w:rPr>
                <w:sz w:val="21"/>
                <w:szCs w:val="21"/>
                <w:spacing w:val="11"/>
              </w:rPr>
              <w:t xml:space="preserve"> </w:t>
            </w:r>
            <w:r>
              <w:rPr>
                <w:sz w:val="21"/>
                <w:szCs w:val="21"/>
                <w:spacing w:val="-1"/>
              </w:rPr>
              <w:t>处理；生产废水全部纳入厂内污水处理站处理。</w:t>
            </w:r>
          </w:p>
        </w:tc>
        <w:tc>
          <w:tcPr>
            <w:tcW w:w="5676" w:type="dxa"/>
            <w:vAlign w:val="top"/>
          </w:tcPr>
          <w:p>
            <w:pPr>
              <w:pStyle w:val="TableText"/>
              <w:ind w:left="105" w:right="87" w:firstLine="50"/>
              <w:spacing w:before="304" w:line="237" w:lineRule="auto"/>
              <w:jc w:val="both"/>
              <w:rPr>
                <w:sz w:val="21"/>
                <w:szCs w:val="21"/>
              </w:rPr>
            </w:pPr>
            <w:r>
              <w:rPr>
                <w:sz w:val="21"/>
                <w:szCs w:val="21"/>
                <w:spacing w:val="-1"/>
              </w:rPr>
              <w:t>亚格实行“雨污分流、清污分流”原则，RO/DI水系统浓水 </w:t>
            </w:r>
            <w:r>
              <w:rPr>
                <w:sz w:val="21"/>
                <w:szCs w:val="21"/>
                <w:spacing w:val="-1"/>
              </w:rPr>
              <w:t>等清净下水和雨水就近排入市政污水管网，锅炉排污水排入</w:t>
            </w:r>
            <w:r>
              <w:rPr>
                <w:sz w:val="21"/>
                <w:szCs w:val="21"/>
                <w:spacing w:val="15"/>
              </w:rPr>
              <w:t xml:space="preserve"> </w:t>
            </w:r>
            <w:r>
              <w:rPr>
                <w:sz w:val="21"/>
                <w:szCs w:val="21"/>
                <w:spacing w:val="-1"/>
              </w:rPr>
              <w:t>厂区生活污水管网；食堂废水经隔油池处理、生活污水经化</w:t>
            </w:r>
            <w:r>
              <w:rPr>
                <w:sz w:val="21"/>
                <w:szCs w:val="21"/>
                <w:spacing w:val="14"/>
              </w:rPr>
              <w:t xml:space="preserve"> </w:t>
            </w:r>
            <w:r>
              <w:rPr>
                <w:sz w:val="21"/>
                <w:szCs w:val="21"/>
              </w:rPr>
              <w:t>粪池处理后排入市政污水管网纳入县污水处理厂处理；生产</w:t>
            </w:r>
            <w:r>
              <w:rPr>
                <w:sz w:val="21"/>
                <w:szCs w:val="21"/>
                <w:spacing w:val="12"/>
              </w:rPr>
              <w:t xml:space="preserve"> </w:t>
            </w:r>
            <w:r>
              <w:rPr>
                <w:sz w:val="21"/>
                <w:szCs w:val="21"/>
                <w:spacing w:val="2"/>
              </w:rPr>
              <w:t>废水全部纳入厂内污水处理站处理。</w:t>
            </w:r>
          </w:p>
        </w:tc>
        <w:tc>
          <w:tcPr>
            <w:tcW w:w="1914" w:type="dxa"/>
            <w:vAlign w:val="top"/>
          </w:tcPr>
          <w:p>
            <w:pPr>
              <w:pStyle w:val="TableText"/>
              <w:ind w:left="159"/>
              <w:spacing w:before="44" w:line="220" w:lineRule="auto"/>
              <w:rPr>
                <w:sz w:val="21"/>
                <w:szCs w:val="21"/>
              </w:rPr>
            </w:pPr>
            <w:r>
              <w:rPr>
                <w:sz w:val="21"/>
                <w:szCs w:val="21"/>
              </w:rPr>
              <w:t>已落实批复要求，</w:t>
            </w:r>
          </w:p>
          <w:p>
            <w:pPr>
              <w:pStyle w:val="TableText"/>
              <w:ind w:left="268"/>
              <w:spacing w:before="19" w:line="219" w:lineRule="auto"/>
              <w:rPr>
                <w:sz w:val="21"/>
                <w:szCs w:val="21"/>
              </w:rPr>
            </w:pPr>
            <w:r>
              <w:rPr>
                <w:sz w:val="21"/>
                <w:szCs w:val="21"/>
                <w:spacing w:val="-1"/>
              </w:rPr>
              <w:t>RO/DI水系统浓</w:t>
            </w:r>
          </w:p>
          <w:p>
            <w:pPr>
              <w:pStyle w:val="TableText"/>
              <w:ind w:left="108"/>
              <w:spacing w:before="20" w:line="219" w:lineRule="auto"/>
              <w:rPr>
                <w:sz w:val="21"/>
                <w:szCs w:val="21"/>
              </w:rPr>
            </w:pPr>
            <w:r>
              <w:rPr>
                <w:sz w:val="21"/>
                <w:szCs w:val="21"/>
                <w:spacing w:val="1"/>
              </w:rPr>
              <w:t>水、循环冷却废水</w:t>
            </w:r>
          </w:p>
          <w:p>
            <w:pPr>
              <w:pStyle w:val="TableText"/>
              <w:ind w:left="159"/>
              <w:spacing w:before="40" w:line="219" w:lineRule="auto"/>
              <w:rPr>
                <w:sz w:val="21"/>
                <w:szCs w:val="21"/>
              </w:rPr>
            </w:pPr>
            <w:r>
              <w:rPr>
                <w:sz w:val="21"/>
                <w:szCs w:val="21"/>
              </w:rPr>
              <w:t>将改进排放措施，</w:t>
            </w:r>
          </w:p>
          <w:p>
            <w:pPr>
              <w:pStyle w:val="TableText"/>
              <w:ind w:left="218"/>
              <w:spacing w:before="11" w:line="219" w:lineRule="auto"/>
              <w:rPr>
                <w:sz w:val="21"/>
                <w:szCs w:val="21"/>
              </w:rPr>
            </w:pPr>
            <w:r>
              <w:rPr>
                <w:sz w:val="21"/>
                <w:szCs w:val="21"/>
                <w:spacing w:val="2"/>
              </w:rPr>
              <w:t>由排入雨水管网</w:t>
            </w:r>
          </w:p>
          <w:p>
            <w:pPr>
              <w:pStyle w:val="TableText"/>
              <w:ind w:left="218"/>
              <w:spacing w:before="10" w:line="219" w:lineRule="auto"/>
              <w:rPr>
                <w:sz w:val="21"/>
                <w:szCs w:val="21"/>
              </w:rPr>
            </w:pPr>
            <w:r>
              <w:rPr>
                <w:sz w:val="21"/>
                <w:szCs w:val="21"/>
                <w:spacing w:val="-2"/>
              </w:rPr>
              <w:t>调整为排入市政</w:t>
            </w:r>
          </w:p>
          <w:p>
            <w:pPr>
              <w:pStyle w:val="TableText"/>
              <w:ind w:left="528"/>
              <w:spacing w:before="31" w:line="179" w:lineRule="auto"/>
              <w:rPr>
                <w:sz w:val="21"/>
                <w:szCs w:val="21"/>
              </w:rPr>
            </w:pPr>
            <w:r>
              <w:rPr>
                <w:sz w:val="21"/>
                <w:szCs w:val="21"/>
                <w:spacing w:val="5"/>
              </w:rPr>
              <w:t>污水管网</w:t>
            </w:r>
          </w:p>
        </w:tc>
      </w:tr>
      <w:tr>
        <w:trPr>
          <w:trHeight w:val="1652" w:hRule="atLeast"/>
        </w:trPr>
        <w:tc>
          <w:tcPr>
            <w:tcW w:w="794" w:type="dxa"/>
            <w:vAlign w:val="top"/>
            <w:vMerge w:val="continue"/>
            <w:tcBorders>
              <w:top w:val="nil"/>
            </w:tcBorders>
          </w:tcPr>
          <w:p>
            <w:pPr>
              <w:rPr>
                <w:rFonts w:ascii="Arial"/>
                <w:sz w:val="21"/>
              </w:rPr>
            </w:pPr>
            <w:r/>
          </w:p>
        </w:tc>
        <w:tc>
          <w:tcPr>
            <w:tcW w:w="850" w:type="dxa"/>
            <w:vAlign w:val="top"/>
            <w:vMerge w:val="continue"/>
            <w:tcBorders>
              <w:top w:val="nil"/>
            </w:tcBorders>
          </w:tcPr>
          <w:p>
            <w:pPr>
              <w:rPr>
                <w:rFonts w:ascii="Arial"/>
                <w:sz w:val="21"/>
              </w:rPr>
            </w:pPr>
            <w:r/>
          </w:p>
        </w:tc>
        <w:tc>
          <w:tcPr>
            <w:tcW w:w="4936" w:type="dxa"/>
            <w:vAlign w:val="top"/>
          </w:tcPr>
          <w:p>
            <w:pPr>
              <w:pStyle w:val="TableText"/>
              <w:ind w:left="151"/>
              <w:spacing w:before="36" w:line="219" w:lineRule="auto"/>
              <w:rPr>
                <w:sz w:val="21"/>
                <w:szCs w:val="21"/>
              </w:rPr>
            </w:pPr>
            <w:r>
              <w:rPr>
                <w:sz w:val="21"/>
                <w:szCs w:val="21"/>
                <w:spacing w:val="-1"/>
              </w:rPr>
              <w:t>2.阴极清洗废水进入厂区污水处理站的阴极废水预</w:t>
            </w:r>
          </w:p>
          <w:p>
            <w:pPr>
              <w:pStyle w:val="TableText"/>
              <w:ind w:left="40"/>
              <w:spacing w:before="49" w:line="219" w:lineRule="auto"/>
              <w:rPr>
                <w:sz w:val="21"/>
                <w:szCs w:val="21"/>
              </w:rPr>
            </w:pPr>
            <w:r>
              <w:rPr>
                <w:sz w:val="21"/>
                <w:szCs w:val="21"/>
              </w:rPr>
              <w:t>处理系统采用两级混凝沉的处理工艺预处理，阳极清</w:t>
            </w:r>
          </w:p>
          <w:p>
            <w:pPr>
              <w:pStyle w:val="TableText"/>
              <w:ind w:left="151"/>
              <w:spacing w:before="20" w:line="219" w:lineRule="auto"/>
              <w:rPr>
                <w:sz w:val="21"/>
                <w:szCs w:val="21"/>
              </w:rPr>
            </w:pPr>
            <w:r>
              <w:rPr>
                <w:sz w:val="21"/>
                <w:szCs w:val="21"/>
                <w:spacing w:val="-1"/>
              </w:rPr>
              <w:t>洗废水进入阳极废水预处理系统采用一级混凝沉淀</w:t>
            </w:r>
          </w:p>
          <w:p>
            <w:pPr>
              <w:pStyle w:val="TableText"/>
              <w:ind w:left="40"/>
              <w:spacing w:before="42" w:line="219" w:lineRule="auto"/>
              <w:rPr>
                <w:sz w:val="21"/>
                <w:szCs w:val="21"/>
              </w:rPr>
            </w:pPr>
            <w:r>
              <w:rPr>
                <w:sz w:val="21"/>
                <w:szCs w:val="21"/>
              </w:rPr>
              <w:t>的处理工艺预处理，预处理后的阴极废水和阳极废水</w:t>
            </w:r>
          </w:p>
          <w:p>
            <w:pPr>
              <w:pStyle w:val="TableText"/>
              <w:ind w:left="40"/>
              <w:spacing w:before="19" w:line="218" w:lineRule="auto"/>
              <w:rPr>
                <w:sz w:val="21"/>
                <w:szCs w:val="21"/>
              </w:rPr>
            </w:pPr>
            <w:r>
              <w:rPr>
                <w:sz w:val="21"/>
                <w:szCs w:val="21"/>
                <w:spacing w:val="-1"/>
              </w:rPr>
              <w:t>与锅炉软化浓水、喷淋塔废水一并进入厂区污水处理</w:t>
            </w:r>
          </w:p>
          <w:p>
            <w:pPr>
              <w:pStyle w:val="TableText"/>
              <w:ind w:left="151"/>
              <w:spacing w:before="13" w:line="190" w:lineRule="auto"/>
              <w:rPr>
                <w:sz w:val="21"/>
                <w:szCs w:val="21"/>
              </w:rPr>
            </w:pPr>
            <w:r>
              <w:rPr>
                <w:sz w:val="21"/>
                <w:szCs w:val="21"/>
                <w:spacing w:val="-1"/>
              </w:rPr>
              <w:t>站的生化处理系统处理后排入市政污水管网纳入县</w:t>
            </w:r>
          </w:p>
        </w:tc>
        <w:tc>
          <w:tcPr>
            <w:tcW w:w="5676" w:type="dxa"/>
            <w:vAlign w:val="top"/>
          </w:tcPr>
          <w:p>
            <w:pPr>
              <w:pStyle w:val="TableText"/>
              <w:ind w:left="105" w:right="55" w:firstLine="100"/>
              <w:spacing w:before="58" w:line="232" w:lineRule="auto"/>
              <w:rPr>
                <w:sz w:val="21"/>
                <w:szCs w:val="21"/>
              </w:rPr>
            </w:pPr>
            <w:r>
              <w:rPr>
                <w:sz w:val="21"/>
                <w:szCs w:val="21"/>
              </w:rPr>
              <w:t>阴极清洗废水经车间三级沉淀处理后进入厂区污水处理站</w:t>
            </w:r>
            <w:r>
              <w:rPr>
                <w:sz w:val="21"/>
                <w:szCs w:val="21"/>
                <w:spacing w:val="5"/>
              </w:rPr>
              <w:t xml:space="preserve">  </w:t>
            </w:r>
            <w:r>
              <w:rPr>
                <w:sz w:val="21"/>
                <w:szCs w:val="21"/>
                <w:spacing w:val="2"/>
              </w:rPr>
              <w:t>的阴极废水预处理系统，采用“芬顿氧化+混凝沉淀”的处</w:t>
            </w:r>
            <w:r>
              <w:rPr>
                <w:sz w:val="21"/>
                <w:szCs w:val="21"/>
              </w:rPr>
              <w:t xml:space="preserve">  </w:t>
            </w:r>
            <w:r>
              <w:rPr>
                <w:sz w:val="21"/>
                <w:szCs w:val="21"/>
                <w:spacing w:val="1"/>
              </w:rPr>
              <w:t>理工艺预处理，阳极清洗废水经车间三级沉淀处</w:t>
            </w:r>
            <w:r>
              <w:rPr>
                <w:sz w:val="21"/>
                <w:szCs w:val="21"/>
              </w:rPr>
              <w:t>理后进入阳 </w:t>
            </w:r>
            <w:r>
              <w:rPr>
                <w:sz w:val="21"/>
                <w:szCs w:val="21"/>
                <w:spacing w:val="1"/>
              </w:rPr>
              <w:t>极废水预处理系统，采用“混凝沉淀”的处理工艺预处理，</w:t>
            </w:r>
            <w:r>
              <w:rPr>
                <w:sz w:val="21"/>
                <w:szCs w:val="21"/>
                <w:spacing w:val="17"/>
              </w:rPr>
              <w:t xml:space="preserve"> </w:t>
            </w:r>
            <w:r>
              <w:rPr>
                <w:sz w:val="21"/>
                <w:szCs w:val="21"/>
                <w:spacing w:val="2"/>
              </w:rPr>
              <w:t>预处理后的阴极废水和阳极废水进入厂区污水处理站的生  </w:t>
            </w:r>
            <w:r>
              <w:rPr>
                <w:sz w:val="21"/>
                <w:szCs w:val="21"/>
                <w:spacing w:val="3"/>
              </w:rPr>
              <w:t>化处理系统处理后排入市政污水管网纳入县污水处理厂处</w:t>
            </w:r>
          </w:p>
        </w:tc>
        <w:tc>
          <w:tcPr>
            <w:tcW w:w="1914" w:type="dxa"/>
            <w:vAlign w:val="top"/>
          </w:tcPr>
          <w:p>
            <w:pPr>
              <w:spacing w:line="254" w:lineRule="auto"/>
              <w:rPr>
                <w:rFonts w:ascii="Arial"/>
                <w:sz w:val="21"/>
              </w:rPr>
            </w:pPr>
            <w:r/>
          </w:p>
          <w:p>
            <w:pPr>
              <w:pStyle w:val="TableText"/>
              <w:ind w:left="218"/>
              <w:spacing w:before="69" w:line="218" w:lineRule="auto"/>
              <w:rPr>
                <w:sz w:val="21"/>
                <w:szCs w:val="21"/>
              </w:rPr>
            </w:pPr>
            <w:r>
              <w:rPr>
                <w:sz w:val="21"/>
                <w:szCs w:val="21"/>
                <w:spacing w:val="1"/>
              </w:rPr>
              <w:t>喷淋塔废水循环</w:t>
            </w:r>
          </w:p>
          <w:p>
            <w:pPr>
              <w:pStyle w:val="TableText"/>
              <w:ind w:left="108"/>
              <w:spacing w:before="14" w:line="219" w:lineRule="auto"/>
              <w:rPr>
                <w:sz w:val="21"/>
                <w:szCs w:val="21"/>
              </w:rPr>
            </w:pPr>
            <w:r>
              <w:rPr>
                <w:sz w:val="21"/>
                <w:szCs w:val="21"/>
                <w:spacing w:val="2"/>
              </w:rPr>
              <w:t>使用，定期补充消</w:t>
            </w:r>
          </w:p>
          <w:p>
            <w:pPr>
              <w:pStyle w:val="TableText"/>
              <w:ind w:left="108"/>
              <w:spacing w:before="30" w:line="219" w:lineRule="auto"/>
              <w:rPr>
                <w:sz w:val="21"/>
                <w:szCs w:val="21"/>
              </w:rPr>
            </w:pPr>
            <w:r>
              <w:rPr>
                <w:sz w:val="21"/>
                <w:szCs w:val="21"/>
                <w:spacing w:val="-1"/>
              </w:rPr>
              <w:t>耗量，已落实批复</w:t>
            </w:r>
          </w:p>
          <w:p>
            <w:pPr>
              <w:pStyle w:val="TableText"/>
              <w:ind w:left="738"/>
              <w:spacing w:before="1" w:line="221" w:lineRule="auto"/>
              <w:rPr>
                <w:sz w:val="21"/>
                <w:szCs w:val="21"/>
              </w:rPr>
            </w:pPr>
            <w:r>
              <w:rPr>
                <w:sz w:val="21"/>
                <w:szCs w:val="21"/>
                <w:spacing w:val="-3"/>
              </w:rPr>
              <w:t>要求</w:t>
            </w:r>
          </w:p>
        </w:tc>
      </w:tr>
    </w:tbl>
    <w:p>
      <w:pPr>
        <w:rPr>
          <w:rFonts w:ascii="Arial"/>
          <w:sz w:val="21"/>
        </w:rPr>
      </w:pPr>
      <w:r/>
    </w:p>
    <w:p>
      <w:pPr>
        <w:sectPr>
          <w:footerReference w:type="default" r:id="rId56"/>
          <w:pgSz w:w="16840" w:h="11900"/>
          <w:pgMar w:top="1011" w:right="1309" w:bottom="978" w:left="1280" w:header="0" w:footer="839" w:gutter="0"/>
        </w:sectPr>
        <w:rPr>
          <w:rFonts w:ascii="Arial" w:hAnsi="Arial" w:eastAsia="Arial" w:cs="Arial"/>
          <w:sz w:val="21"/>
          <w:szCs w:val="21"/>
        </w:rPr>
      </w:pPr>
    </w:p>
    <w:p>
      <w:pPr>
        <w:spacing w:before="115"/>
        <w:rPr/>
      </w:pPr>
      <w:r/>
    </w:p>
    <w:p>
      <w:pPr>
        <w:spacing w:before="115"/>
        <w:rPr/>
      </w:pPr>
      <w:r/>
    </w:p>
    <w:tbl>
      <w:tblPr>
        <w:tblStyle w:val="TableNormal"/>
        <w:tblW w:w="141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94"/>
        <w:gridCol w:w="849"/>
        <w:gridCol w:w="4956"/>
        <w:gridCol w:w="5646"/>
        <w:gridCol w:w="1904"/>
      </w:tblGrid>
      <w:tr>
        <w:trPr>
          <w:trHeight w:val="265" w:hRule="atLeast"/>
        </w:trPr>
        <w:tc>
          <w:tcPr>
            <w:tcW w:w="794" w:type="dxa"/>
            <w:vAlign w:val="top"/>
            <w:vMerge w:val="restart"/>
            <w:tcBorders>
              <w:bottom w:val="nil"/>
            </w:tcBorders>
          </w:tcPr>
          <w:p>
            <w:pPr>
              <w:rPr>
                <w:rFonts w:ascii="Arial"/>
                <w:sz w:val="21"/>
              </w:rPr>
            </w:pPr>
            <w:r/>
          </w:p>
        </w:tc>
        <w:tc>
          <w:tcPr>
            <w:tcW w:w="849" w:type="dxa"/>
            <w:vAlign w:val="top"/>
            <w:vMerge w:val="restart"/>
            <w:tcBorders>
              <w:bottom w:val="nil"/>
            </w:tcBorders>
          </w:tcPr>
          <w:p>
            <w:pPr>
              <w:rPr>
                <w:rFonts w:ascii="Arial"/>
                <w:sz w:val="21"/>
              </w:rPr>
            </w:pPr>
            <w:r/>
          </w:p>
        </w:tc>
        <w:tc>
          <w:tcPr>
            <w:tcW w:w="4956" w:type="dxa"/>
            <w:vAlign w:val="top"/>
          </w:tcPr>
          <w:p>
            <w:pPr>
              <w:pStyle w:val="TableText"/>
              <w:ind w:left="122"/>
              <w:spacing w:before="33" w:line="195" w:lineRule="auto"/>
              <w:rPr>
                <w:sz w:val="21"/>
                <w:szCs w:val="21"/>
              </w:rPr>
            </w:pPr>
            <w:r>
              <w:rPr>
                <w:sz w:val="21"/>
                <w:szCs w:val="21"/>
                <w:spacing w:val="-1"/>
              </w:rPr>
              <w:t>污水处理厂处理。</w:t>
            </w:r>
          </w:p>
        </w:tc>
        <w:tc>
          <w:tcPr>
            <w:tcW w:w="5646" w:type="dxa"/>
            <w:vAlign w:val="top"/>
          </w:tcPr>
          <w:p>
            <w:pPr>
              <w:pStyle w:val="TableText"/>
              <w:ind w:left="75"/>
              <w:spacing w:before="44" w:line="185" w:lineRule="auto"/>
              <w:rPr>
                <w:sz w:val="21"/>
                <w:szCs w:val="21"/>
              </w:rPr>
            </w:pPr>
            <w:r>
              <w:rPr>
                <w:sz w:val="21"/>
                <w:szCs w:val="21"/>
                <w:spacing w:val="-2"/>
              </w:rPr>
              <w:t>理。</w:t>
            </w:r>
          </w:p>
        </w:tc>
        <w:tc>
          <w:tcPr>
            <w:tcW w:w="1904" w:type="dxa"/>
            <w:vAlign w:val="top"/>
          </w:tcPr>
          <w:p>
            <w:pPr>
              <w:rPr>
                <w:rFonts w:ascii="Arial"/>
                <w:sz w:val="21"/>
              </w:rPr>
            </w:pPr>
            <w:r/>
          </w:p>
        </w:tc>
      </w:tr>
      <w:tr>
        <w:trPr>
          <w:trHeight w:val="1917" w:hRule="atLeast"/>
        </w:trPr>
        <w:tc>
          <w:tcPr>
            <w:tcW w:w="794" w:type="dxa"/>
            <w:vAlign w:val="top"/>
            <w:vMerge w:val="continue"/>
            <w:tcBorders>
              <w:top w:val="nil"/>
              <w:bottom w:val="nil"/>
            </w:tcBorders>
          </w:tcPr>
          <w:p>
            <w:pPr>
              <w:rPr>
                <w:rFonts w:ascii="Arial"/>
                <w:sz w:val="21"/>
              </w:rPr>
            </w:pPr>
            <w:r/>
          </w:p>
        </w:tc>
        <w:tc>
          <w:tcPr>
            <w:tcW w:w="849" w:type="dxa"/>
            <w:vAlign w:val="top"/>
            <w:vMerge w:val="continue"/>
            <w:tcBorders>
              <w:top w:val="nil"/>
              <w:bottom w:val="nil"/>
            </w:tcBorders>
          </w:tcPr>
          <w:p>
            <w:pPr>
              <w:rPr>
                <w:rFonts w:ascii="Arial"/>
                <w:sz w:val="21"/>
              </w:rPr>
            </w:pPr>
            <w:r/>
          </w:p>
        </w:tc>
        <w:tc>
          <w:tcPr>
            <w:tcW w:w="4956" w:type="dxa"/>
            <w:vAlign w:val="top"/>
          </w:tcPr>
          <w:p>
            <w:pPr>
              <w:pStyle w:val="TableText"/>
              <w:ind w:left="161"/>
              <w:spacing w:before="38" w:line="219" w:lineRule="auto"/>
              <w:rPr>
                <w:sz w:val="21"/>
                <w:szCs w:val="21"/>
              </w:rPr>
            </w:pPr>
            <w:r>
              <w:rPr>
                <w:sz w:val="21"/>
                <w:szCs w:val="21"/>
              </w:rPr>
              <w:t>3.项目生产废水排放执行《电池工业污染物排放标</w:t>
            </w:r>
          </w:p>
          <w:p>
            <w:pPr>
              <w:pStyle w:val="TableText"/>
              <w:ind w:left="51" w:right="72" w:firstLine="159"/>
              <w:spacing w:before="62" w:line="235" w:lineRule="auto"/>
              <w:rPr>
                <w:sz w:val="21"/>
                <w:szCs w:val="21"/>
              </w:rPr>
            </w:pPr>
            <w:r>
              <w:rPr>
                <w:sz w:val="21"/>
                <w:szCs w:val="21"/>
                <w:spacing w:val="-3"/>
              </w:rPr>
              <w:t>准》   (GB30484-2013)表2间接排放标准，其中总</w:t>
            </w:r>
            <w:r>
              <w:rPr>
                <w:sz w:val="21"/>
                <w:szCs w:val="21"/>
              </w:rPr>
              <w:t xml:space="preserve">  </w:t>
            </w:r>
            <w:r>
              <w:rPr>
                <w:sz w:val="21"/>
                <w:szCs w:val="21"/>
                <w:spacing w:val="2"/>
              </w:rPr>
              <w:t>镍、总钴在阴极废水预处理系统出口需达到表2间接</w:t>
            </w:r>
            <w:r>
              <w:rPr>
                <w:sz w:val="21"/>
                <w:szCs w:val="21"/>
                <w:spacing w:val="16"/>
              </w:rPr>
              <w:t xml:space="preserve"> </w:t>
            </w:r>
            <w:r>
              <w:rPr>
                <w:sz w:val="21"/>
                <w:szCs w:val="21"/>
                <w:spacing w:val="-1"/>
              </w:rPr>
              <w:t>排放标准；食堂废水、生活污水排放执行《污水综合</w:t>
            </w:r>
            <w:r>
              <w:rPr>
                <w:sz w:val="21"/>
                <w:szCs w:val="21"/>
                <w:spacing w:val="13"/>
              </w:rPr>
              <w:t xml:space="preserve"> </w:t>
            </w:r>
            <w:r>
              <w:rPr>
                <w:sz w:val="21"/>
                <w:szCs w:val="21"/>
                <w:spacing w:val="3"/>
              </w:rPr>
              <w:t>排放标准》(</w:t>
            </w:r>
            <w:r>
              <w:rPr>
                <w:sz w:val="21"/>
                <w:szCs w:val="21"/>
              </w:rPr>
              <w:t>GB</w:t>
            </w:r>
            <w:r>
              <w:rPr>
                <w:sz w:val="21"/>
                <w:szCs w:val="21"/>
                <w:spacing w:val="3"/>
              </w:rPr>
              <w:t>8978-1996)表4中三级标准，其中</w:t>
            </w:r>
          </w:p>
          <w:p>
            <w:pPr>
              <w:pStyle w:val="TableText"/>
              <w:ind w:left="131"/>
              <w:spacing w:before="17" w:line="219" w:lineRule="auto"/>
              <w:rPr>
                <w:sz w:val="21"/>
                <w:szCs w:val="21"/>
              </w:rPr>
            </w:pPr>
            <w:r>
              <w:rPr>
                <w:sz w:val="21"/>
                <w:szCs w:val="21"/>
                <w:spacing w:val="-1"/>
              </w:rPr>
              <w:t>氨氮参照执行《污水排入城镇下水道水质标准》</w:t>
            </w:r>
          </w:p>
          <w:p>
            <w:pPr>
              <w:pStyle w:val="TableText"/>
              <w:ind w:left="221"/>
              <w:spacing w:before="12" w:line="183" w:lineRule="auto"/>
              <w:rPr>
                <w:sz w:val="21"/>
                <w:szCs w:val="21"/>
              </w:rPr>
            </w:pPr>
            <w:r>
              <w:rPr>
                <w:sz w:val="21"/>
                <w:szCs w:val="21"/>
              </w:rPr>
              <w:t>(GB/T31962-2015)B级标准。</w:t>
            </w:r>
          </w:p>
        </w:tc>
        <w:tc>
          <w:tcPr>
            <w:tcW w:w="5646" w:type="dxa"/>
            <w:vAlign w:val="top"/>
          </w:tcPr>
          <w:p>
            <w:pPr>
              <w:pStyle w:val="TableText"/>
              <w:ind w:left="86"/>
              <w:spacing w:before="198" w:line="219" w:lineRule="auto"/>
              <w:rPr>
                <w:sz w:val="21"/>
                <w:szCs w:val="21"/>
              </w:rPr>
            </w:pPr>
            <w:r>
              <w:rPr>
                <w:sz w:val="21"/>
                <w:szCs w:val="21"/>
                <w:spacing w:val="-1"/>
              </w:rPr>
              <w:t>根据项目验收监测数据：项目生产废水排放符合《电池工业</w:t>
            </w:r>
          </w:p>
          <w:p>
            <w:pPr>
              <w:pStyle w:val="TableText"/>
              <w:ind w:left="246"/>
              <w:spacing w:before="1" w:line="220" w:lineRule="auto"/>
              <w:rPr>
                <w:sz w:val="21"/>
                <w:szCs w:val="21"/>
              </w:rPr>
            </w:pPr>
            <w:r>
              <w:rPr>
                <w:sz w:val="21"/>
                <w:szCs w:val="21"/>
              </w:rPr>
              <w:t>污染物排放标准》(GB30484-2013</w:t>
            </w:r>
            <w:r>
              <w:rPr>
                <w:sz w:val="21"/>
                <w:szCs w:val="21"/>
                <w:spacing w:val="-1"/>
              </w:rPr>
              <w:t>)表2间接排放标准，其</w:t>
            </w:r>
          </w:p>
          <w:p>
            <w:pPr>
              <w:pStyle w:val="TableText"/>
              <w:ind w:left="136"/>
              <w:spacing w:before="47" w:line="231" w:lineRule="auto"/>
              <w:rPr>
                <w:sz w:val="21"/>
                <w:szCs w:val="21"/>
              </w:rPr>
            </w:pPr>
            <w:r>
              <w:rPr>
                <w:sz w:val="21"/>
                <w:szCs w:val="21"/>
                <w:spacing w:val="-4"/>
              </w:rPr>
              <w:t>中总镍、总钴在阴极废水预处理系统出口可达到表2间接排</w:t>
            </w:r>
            <w:r>
              <w:rPr>
                <w:sz w:val="21"/>
                <w:szCs w:val="21"/>
                <w:spacing w:val="5"/>
              </w:rPr>
              <w:t xml:space="preserve">   </w:t>
            </w:r>
            <w:r>
              <w:rPr>
                <w:sz w:val="21"/>
                <w:szCs w:val="21"/>
                <w:spacing w:val="-7"/>
              </w:rPr>
              <w:t>放标准；食堂废水、生活污水排放符合《污水综合排放标准》</w:t>
            </w:r>
            <w:r>
              <w:rPr>
                <w:sz w:val="21"/>
                <w:szCs w:val="21"/>
                <w:spacing w:val="17"/>
              </w:rPr>
              <w:t xml:space="preserve"> </w:t>
            </w:r>
            <w:r>
              <w:rPr>
                <w:sz w:val="21"/>
                <w:szCs w:val="21"/>
                <w:spacing w:val="-4"/>
              </w:rPr>
              <w:t>GB8978-1996)表4中三级标准，其中氨</w:t>
            </w:r>
            <w:r>
              <w:rPr>
                <w:sz w:val="21"/>
                <w:szCs w:val="21"/>
                <w:spacing w:val="-5"/>
              </w:rPr>
              <w:t>氮参照符合《污水排   </w:t>
            </w:r>
            <w:r>
              <w:rPr>
                <w:sz w:val="21"/>
                <w:szCs w:val="21"/>
                <w:spacing w:val="-3"/>
              </w:rPr>
              <w:t>入城镇下水道水质标准》(GB/T31962-2015)B级标准。</w:t>
            </w:r>
          </w:p>
        </w:tc>
        <w:tc>
          <w:tcPr>
            <w:tcW w:w="1904" w:type="dxa"/>
            <w:vAlign w:val="top"/>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09"/>
              <w:spacing w:before="68" w:line="220" w:lineRule="auto"/>
              <w:rPr>
                <w:sz w:val="21"/>
                <w:szCs w:val="21"/>
              </w:rPr>
            </w:pPr>
            <w:r>
              <w:rPr>
                <w:sz w:val="21"/>
                <w:szCs w:val="21"/>
                <w:spacing w:val="1"/>
              </w:rPr>
              <w:t>已落实批复要求</w:t>
            </w:r>
          </w:p>
        </w:tc>
      </w:tr>
      <w:tr>
        <w:trPr>
          <w:trHeight w:val="1348" w:hRule="atLeast"/>
        </w:trPr>
        <w:tc>
          <w:tcPr>
            <w:tcW w:w="794" w:type="dxa"/>
            <w:vAlign w:val="top"/>
            <w:vMerge w:val="continue"/>
            <w:tcBorders>
              <w:top w:val="nil"/>
              <w:bottom w:val="nil"/>
            </w:tcBorders>
          </w:tcPr>
          <w:p>
            <w:pPr>
              <w:rPr>
                <w:rFonts w:ascii="Arial"/>
                <w:sz w:val="21"/>
              </w:rPr>
            </w:pPr>
            <w:r/>
          </w:p>
        </w:tc>
        <w:tc>
          <w:tcPr>
            <w:tcW w:w="849" w:type="dxa"/>
            <w:vAlign w:val="top"/>
            <w:vMerge w:val="continue"/>
            <w:tcBorders>
              <w:top w:val="nil"/>
              <w:bottom w:val="nil"/>
            </w:tcBorders>
          </w:tcPr>
          <w:p>
            <w:pPr>
              <w:rPr>
                <w:rFonts w:ascii="Arial"/>
                <w:sz w:val="21"/>
              </w:rPr>
            </w:pPr>
            <w:r/>
          </w:p>
        </w:tc>
        <w:tc>
          <w:tcPr>
            <w:tcW w:w="4956" w:type="dxa"/>
            <w:vAlign w:val="top"/>
          </w:tcPr>
          <w:p>
            <w:pPr>
              <w:pStyle w:val="TableText"/>
              <w:ind w:left="51"/>
              <w:spacing w:before="201" w:line="219" w:lineRule="auto"/>
              <w:rPr>
                <w:sz w:val="21"/>
                <w:szCs w:val="21"/>
              </w:rPr>
            </w:pPr>
            <w:r>
              <w:rPr>
                <w:sz w:val="21"/>
                <w:szCs w:val="21"/>
                <w:spacing w:val="-1"/>
              </w:rPr>
              <w:t>4.规范污水排放口在线监测设施运行和管理，阴极废</w:t>
            </w:r>
          </w:p>
          <w:p>
            <w:pPr>
              <w:pStyle w:val="TableText"/>
              <w:ind w:left="102" w:right="9"/>
              <w:spacing w:before="3" w:line="234" w:lineRule="auto"/>
              <w:jc w:val="both"/>
              <w:rPr>
                <w:sz w:val="21"/>
                <w:szCs w:val="21"/>
              </w:rPr>
            </w:pPr>
            <w:r>
              <w:rPr>
                <w:sz w:val="21"/>
                <w:szCs w:val="21"/>
              </w:rPr>
              <w:t>水预处理系统出口应按照总镍、总钴在线监测设施，</w:t>
            </w:r>
            <w:r>
              <w:rPr>
                <w:sz w:val="21"/>
                <w:szCs w:val="21"/>
                <w:spacing w:val="3"/>
              </w:rPr>
              <w:t xml:space="preserve"> </w:t>
            </w:r>
            <w:r>
              <w:rPr>
                <w:sz w:val="21"/>
                <w:szCs w:val="21"/>
                <w:spacing w:val="4"/>
              </w:rPr>
              <w:t>生产废水排放口应自动安装测流设施并开展流量自</w:t>
            </w:r>
            <w:r>
              <w:rPr>
                <w:sz w:val="21"/>
                <w:szCs w:val="21"/>
                <w:spacing w:val="3"/>
              </w:rPr>
              <w:t xml:space="preserve">  </w:t>
            </w:r>
            <w:r>
              <w:rPr>
                <w:sz w:val="21"/>
                <w:szCs w:val="21"/>
                <w:spacing w:val="-1"/>
              </w:rPr>
              <w:t>动监测。</w:t>
            </w:r>
          </w:p>
        </w:tc>
        <w:tc>
          <w:tcPr>
            <w:tcW w:w="5646" w:type="dxa"/>
            <w:vAlign w:val="top"/>
          </w:tcPr>
          <w:p>
            <w:pPr>
              <w:pStyle w:val="TableText"/>
              <w:ind w:left="86" w:right="58"/>
              <w:spacing w:before="41" w:line="228" w:lineRule="auto"/>
              <w:jc w:val="both"/>
              <w:rPr>
                <w:sz w:val="21"/>
                <w:szCs w:val="21"/>
              </w:rPr>
            </w:pPr>
            <w:r>
              <w:rPr>
                <w:sz w:val="21"/>
                <w:szCs w:val="21"/>
                <w:spacing w:val="-1"/>
              </w:rPr>
              <w:t>废水排放口设置规范化采样口，并配有标示，阴极废水预处</w:t>
            </w:r>
            <w:r>
              <w:rPr>
                <w:sz w:val="21"/>
                <w:szCs w:val="21"/>
                <w:spacing w:val="17"/>
              </w:rPr>
              <w:t xml:space="preserve"> </w:t>
            </w:r>
            <w:r>
              <w:rPr>
                <w:sz w:val="21"/>
                <w:szCs w:val="21"/>
                <w:spacing w:val="1"/>
              </w:rPr>
              <w:t>理系统出口设置总镍、总钴在线监测设备，生产废水总排口</w:t>
            </w:r>
            <w:r>
              <w:rPr>
                <w:sz w:val="21"/>
                <w:szCs w:val="21"/>
                <w:spacing w:val="4"/>
              </w:rPr>
              <w:t xml:space="preserve"> </w:t>
            </w:r>
            <w:r>
              <w:rPr>
                <w:sz w:val="21"/>
                <w:szCs w:val="21"/>
              </w:rPr>
              <w:t>设置流量自动监测设备，委托宁德银典物业管理服务有限公</w:t>
            </w:r>
            <w:r>
              <w:rPr>
                <w:sz w:val="21"/>
                <w:szCs w:val="21"/>
                <w:spacing w:val="11"/>
              </w:rPr>
              <w:t xml:space="preserve"> </w:t>
            </w:r>
            <w:r>
              <w:rPr>
                <w:sz w:val="21"/>
                <w:szCs w:val="21"/>
              </w:rPr>
              <w:t>司对监测设备进行运维管理，委托第三方检测机构开展自行</w:t>
            </w:r>
            <w:r>
              <w:rPr>
                <w:sz w:val="21"/>
                <w:szCs w:val="21"/>
                <w:spacing w:val="9"/>
              </w:rPr>
              <w:t xml:space="preserve"> </w:t>
            </w:r>
            <w:r>
              <w:rPr>
                <w:sz w:val="21"/>
                <w:szCs w:val="21"/>
                <w:spacing w:val="4"/>
              </w:rPr>
              <w:t>检测。</w:t>
            </w:r>
          </w:p>
        </w:tc>
        <w:tc>
          <w:tcPr>
            <w:tcW w:w="1904" w:type="dxa"/>
            <w:vAlign w:val="top"/>
          </w:tcPr>
          <w:p>
            <w:pPr>
              <w:spacing w:line="250" w:lineRule="auto"/>
              <w:rPr>
                <w:rFonts w:ascii="Arial"/>
                <w:sz w:val="21"/>
              </w:rPr>
            </w:pPr>
            <w:r/>
          </w:p>
          <w:p>
            <w:pPr>
              <w:spacing w:line="250" w:lineRule="auto"/>
              <w:rPr>
                <w:rFonts w:ascii="Arial"/>
                <w:sz w:val="21"/>
              </w:rPr>
            </w:pPr>
            <w:r/>
          </w:p>
          <w:p>
            <w:pPr>
              <w:pStyle w:val="TableText"/>
              <w:ind w:left="209"/>
              <w:spacing w:before="69" w:line="220" w:lineRule="auto"/>
              <w:rPr>
                <w:sz w:val="21"/>
                <w:szCs w:val="21"/>
              </w:rPr>
            </w:pPr>
            <w:r>
              <w:rPr>
                <w:sz w:val="21"/>
                <w:szCs w:val="21"/>
                <w:spacing w:val="1"/>
              </w:rPr>
              <w:t>已落实批复要求</w:t>
            </w:r>
          </w:p>
        </w:tc>
      </w:tr>
      <w:tr>
        <w:trPr>
          <w:trHeight w:val="819" w:hRule="atLeast"/>
        </w:trPr>
        <w:tc>
          <w:tcPr>
            <w:tcW w:w="794" w:type="dxa"/>
            <w:vAlign w:val="top"/>
            <w:vMerge w:val="continue"/>
            <w:tcBorders>
              <w:top w:val="nil"/>
              <w:bottom w:val="nil"/>
            </w:tcBorders>
          </w:tcPr>
          <w:p>
            <w:pPr>
              <w:rPr>
                <w:rFonts w:ascii="Arial"/>
                <w:sz w:val="21"/>
              </w:rPr>
            </w:pPr>
            <w:r/>
          </w:p>
        </w:tc>
        <w:tc>
          <w:tcPr>
            <w:tcW w:w="849" w:type="dxa"/>
            <w:vAlign w:val="top"/>
            <w:vMerge w:val="continue"/>
            <w:tcBorders>
              <w:top w:val="nil"/>
            </w:tcBorders>
          </w:tcPr>
          <w:p>
            <w:pPr>
              <w:rPr>
                <w:rFonts w:ascii="Arial"/>
                <w:sz w:val="21"/>
              </w:rPr>
            </w:pPr>
            <w:r/>
          </w:p>
        </w:tc>
        <w:tc>
          <w:tcPr>
            <w:tcW w:w="4956" w:type="dxa"/>
            <w:vAlign w:val="top"/>
          </w:tcPr>
          <w:p>
            <w:pPr>
              <w:pStyle w:val="TableText"/>
              <w:ind w:left="51" w:right="72" w:firstLine="109"/>
              <w:spacing w:before="34" w:line="227" w:lineRule="auto"/>
              <w:jc w:val="both"/>
              <w:rPr>
                <w:sz w:val="21"/>
                <w:szCs w:val="21"/>
              </w:rPr>
            </w:pPr>
            <w:r>
              <w:rPr>
                <w:sz w:val="21"/>
                <w:szCs w:val="21"/>
              </w:rPr>
              <w:t>5.项目排放污水应当按照《城镇排水与污水处理条 </w:t>
            </w:r>
            <w:r>
              <w:rPr>
                <w:sz w:val="21"/>
                <w:szCs w:val="21"/>
                <w:spacing w:val="-1"/>
              </w:rPr>
              <w:t>例》的有关规定向城镇排水主管部门申请领取污水排</w:t>
            </w:r>
            <w:r>
              <w:rPr>
                <w:sz w:val="21"/>
                <w:szCs w:val="21"/>
                <w:spacing w:val="13"/>
              </w:rPr>
              <w:t xml:space="preserve"> </w:t>
            </w:r>
            <w:r>
              <w:rPr>
                <w:sz w:val="21"/>
                <w:szCs w:val="21"/>
                <w:spacing w:val="9"/>
              </w:rPr>
              <w:t>入排水管网许可证。</w:t>
            </w:r>
          </w:p>
        </w:tc>
        <w:tc>
          <w:tcPr>
            <w:tcW w:w="5646" w:type="dxa"/>
            <w:vAlign w:val="top"/>
          </w:tcPr>
          <w:p>
            <w:pPr>
              <w:spacing w:line="244" w:lineRule="auto"/>
              <w:rPr>
                <w:rFonts w:ascii="Arial"/>
                <w:sz w:val="21"/>
              </w:rPr>
            </w:pPr>
            <w:r/>
          </w:p>
          <w:p>
            <w:pPr>
              <w:pStyle w:val="TableText"/>
              <w:ind w:left="136"/>
              <w:spacing w:before="68" w:line="219" w:lineRule="auto"/>
              <w:rPr>
                <w:sz w:val="21"/>
                <w:szCs w:val="21"/>
              </w:rPr>
            </w:pPr>
            <w:r>
              <w:rPr>
                <w:sz w:val="21"/>
                <w:szCs w:val="21"/>
              </w:rPr>
              <w:t>建设单位于2021.10.20取得城镇污水排入排水管网许可证。</w:t>
            </w:r>
          </w:p>
        </w:tc>
        <w:tc>
          <w:tcPr>
            <w:tcW w:w="1904" w:type="dxa"/>
            <w:vAlign w:val="top"/>
          </w:tcPr>
          <w:p>
            <w:pPr>
              <w:spacing w:line="244" w:lineRule="auto"/>
              <w:rPr>
                <w:rFonts w:ascii="Arial"/>
                <w:sz w:val="21"/>
              </w:rPr>
            </w:pPr>
            <w:r/>
          </w:p>
          <w:p>
            <w:pPr>
              <w:pStyle w:val="TableText"/>
              <w:ind w:left="209"/>
              <w:spacing w:before="68" w:line="220" w:lineRule="auto"/>
              <w:rPr>
                <w:sz w:val="21"/>
                <w:szCs w:val="21"/>
              </w:rPr>
            </w:pPr>
            <w:r>
              <w:rPr>
                <w:sz w:val="21"/>
                <w:szCs w:val="21"/>
                <w:spacing w:val="1"/>
              </w:rPr>
              <w:t>已落实批复要求</w:t>
            </w:r>
          </w:p>
        </w:tc>
      </w:tr>
      <w:tr>
        <w:trPr>
          <w:trHeight w:val="4110" w:hRule="atLeast"/>
        </w:trPr>
        <w:tc>
          <w:tcPr>
            <w:tcW w:w="794" w:type="dxa"/>
            <w:vAlign w:val="top"/>
            <w:vMerge w:val="continue"/>
            <w:tcBorders>
              <w:top w:val="nil"/>
            </w:tcBorders>
          </w:tcPr>
          <w:p>
            <w:pPr>
              <w:rPr>
                <w:rFonts w:ascii="Arial"/>
                <w:sz w:val="21"/>
              </w:rPr>
            </w:pPr>
            <w:r/>
          </w:p>
        </w:tc>
        <w:tc>
          <w:tcPr>
            <w:tcW w:w="849" w:type="dxa"/>
            <w:vAlign w:val="top"/>
          </w:tcPr>
          <w:p>
            <w:pPr>
              <w:pStyle w:val="TableText"/>
              <w:ind w:left="191"/>
              <w:spacing w:before="61" w:line="237" w:lineRule="auto"/>
              <w:rPr>
                <w:sz w:val="27"/>
                <w:szCs w:val="27"/>
              </w:rPr>
            </w:pPr>
            <w:r>
              <w:rPr>
                <w:sz w:val="27"/>
                <w:szCs w:val="27"/>
              </w:rPr>
              <w:t>三</w:t>
            </w:r>
          </w:p>
        </w:tc>
        <w:tc>
          <w:tcPr>
            <w:tcW w:w="4956" w:type="dxa"/>
            <w:vAlign w:val="top"/>
          </w:tcPr>
          <w:p>
            <w:pPr>
              <w:spacing w:line="271" w:lineRule="auto"/>
              <w:rPr>
                <w:rFonts w:ascii="Arial"/>
                <w:sz w:val="21"/>
              </w:rPr>
            </w:pPr>
            <w:r/>
          </w:p>
          <w:p>
            <w:pPr>
              <w:spacing w:line="271" w:lineRule="auto"/>
              <w:rPr>
                <w:rFonts w:ascii="Arial"/>
                <w:sz w:val="21"/>
              </w:rPr>
            </w:pPr>
            <w:r/>
          </w:p>
          <w:p>
            <w:pPr>
              <w:pStyle w:val="TableText"/>
              <w:ind w:left="210" w:right="73" w:hanging="159"/>
              <w:spacing w:before="68" w:line="233" w:lineRule="auto"/>
              <w:rPr>
                <w:sz w:val="21"/>
                <w:szCs w:val="21"/>
              </w:rPr>
            </w:pPr>
            <w:r>
              <w:rPr>
                <w:sz w:val="21"/>
                <w:szCs w:val="21"/>
                <w:spacing w:val="-1"/>
              </w:rPr>
              <w:t>车间粉尘采用移动式除尘器处理后排放；涂布废气通</w:t>
            </w:r>
            <w:r>
              <w:rPr>
                <w:sz w:val="21"/>
                <w:szCs w:val="21"/>
                <w:spacing w:val="12"/>
              </w:rPr>
              <w:t xml:space="preserve"> </w:t>
            </w:r>
            <w:r>
              <w:rPr>
                <w:sz w:val="21"/>
                <w:szCs w:val="21"/>
                <w:spacing w:val="-1"/>
              </w:rPr>
              <w:t>过全密闭集气罩收集进入NMP轮转回收装置经转轮</w:t>
            </w:r>
          </w:p>
          <w:p>
            <w:pPr>
              <w:pStyle w:val="TableText"/>
              <w:ind w:left="141"/>
              <w:spacing w:before="19" w:line="219" w:lineRule="auto"/>
              <w:rPr>
                <w:sz w:val="21"/>
                <w:szCs w:val="21"/>
              </w:rPr>
            </w:pPr>
            <w:r>
              <w:rPr>
                <w:sz w:val="21"/>
                <w:szCs w:val="21"/>
              </w:rPr>
              <w:t>回收后通过UV光氧活性炭装置处理后由不低于</w:t>
            </w:r>
          </w:p>
          <w:p>
            <w:pPr>
              <w:pStyle w:val="TableText"/>
              <w:ind w:left="211"/>
              <w:spacing w:before="20" w:line="219" w:lineRule="auto"/>
              <w:rPr>
                <w:sz w:val="21"/>
                <w:szCs w:val="21"/>
              </w:rPr>
            </w:pPr>
            <w:r>
              <w:rPr>
                <w:sz w:val="21"/>
                <w:szCs w:val="21"/>
                <w:spacing w:val="-1"/>
              </w:rPr>
              <w:t>25m高排气简排放；注液废气通过抽风机引至UV光</w:t>
            </w:r>
          </w:p>
          <w:p>
            <w:pPr>
              <w:pStyle w:val="TableText"/>
              <w:ind w:left="211" w:right="104" w:hanging="109"/>
              <w:spacing w:before="21" w:line="233" w:lineRule="auto"/>
              <w:rPr>
                <w:sz w:val="21"/>
                <w:szCs w:val="21"/>
              </w:rPr>
            </w:pPr>
            <w:r>
              <w:rPr>
                <w:sz w:val="21"/>
                <w:szCs w:val="21"/>
              </w:rPr>
              <w:t>氧活性炭吸附处理后由不低于25m高排气筒排放；天</w:t>
            </w:r>
            <w:r>
              <w:rPr>
                <w:sz w:val="21"/>
                <w:szCs w:val="21"/>
                <w:spacing w:val="13"/>
              </w:rPr>
              <w:t xml:space="preserve"> </w:t>
            </w:r>
            <w:r>
              <w:rPr>
                <w:sz w:val="21"/>
                <w:szCs w:val="21"/>
              </w:rPr>
              <w:t>然气锅炉废气通过每台锅炉配备的不低于25m高的</w:t>
            </w:r>
          </w:p>
          <w:p>
            <w:pPr>
              <w:pStyle w:val="TableText"/>
              <w:ind w:left="208" w:hanging="86"/>
              <w:spacing w:before="29" w:line="224" w:lineRule="auto"/>
              <w:rPr>
                <w:sz w:val="21"/>
                <w:szCs w:val="21"/>
              </w:rPr>
            </w:pPr>
            <w:r>
              <w:rPr>
                <w:sz w:val="21"/>
                <w:szCs w:val="21"/>
                <w:spacing w:val="-5"/>
              </w:rPr>
              <w:t>排气简排放；污水处理站恶臭气体引至“喷淋塔+UV”</w:t>
            </w:r>
            <w:r>
              <w:rPr>
                <w:sz w:val="21"/>
                <w:szCs w:val="21"/>
                <w:spacing w:val="12"/>
              </w:rPr>
              <w:t xml:space="preserve"> </w:t>
            </w:r>
            <w:r>
              <w:rPr>
                <w:sz w:val="21"/>
                <w:szCs w:val="21"/>
                <w:spacing w:val="-9"/>
              </w:rPr>
              <w:t>处理后由不低于15m高排气筒排放；焚烧炉废气通</w:t>
            </w:r>
          </w:p>
          <w:p>
            <w:pPr>
              <w:pStyle w:val="TableText"/>
              <w:ind w:left="211" w:right="228"/>
              <w:spacing w:before="19" w:line="225" w:lineRule="auto"/>
              <w:rPr>
                <w:sz w:val="21"/>
                <w:szCs w:val="21"/>
              </w:rPr>
            </w:pPr>
            <w:r>
              <w:rPr>
                <w:sz w:val="21"/>
                <w:szCs w:val="21"/>
                <w:spacing w:val="-1"/>
              </w:rPr>
              <w:t>过“喷淋+UV光氧活性炭吸附装置”处理后由不低</w:t>
            </w:r>
            <w:r>
              <w:rPr>
                <w:sz w:val="21"/>
                <w:szCs w:val="21"/>
                <w:spacing w:val="12"/>
              </w:rPr>
              <w:t xml:space="preserve"> </w:t>
            </w:r>
            <w:r>
              <w:rPr>
                <w:sz w:val="21"/>
                <w:szCs w:val="21"/>
                <w:spacing w:val="-1"/>
              </w:rPr>
              <w:t>于27m高排气筒排放；食堂油烟废气经油烟净化器</w:t>
            </w:r>
          </w:p>
          <w:p>
            <w:pPr>
              <w:pStyle w:val="TableText"/>
              <w:ind w:left="161"/>
              <w:spacing w:before="11" w:line="219" w:lineRule="auto"/>
              <w:rPr>
                <w:sz w:val="21"/>
                <w:szCs w:val="21"/>
              </w:rPr>
            </w:pPr>
            <w:r>
              <w:rPr>
                <w:sz w:val="21"/>
                <w:szCs w:val="21"/>
                <w:spacing w:val="-1"/>
              </w:rPr>
              <w:t>处理后引至屋顶排放。</w:t>
            </w:r>
          </w:p>
        </w:tc>
        <w:tc>
          <w:tcPr>
            <w:tcW w:w="5646" w:type="dxa"/>
            <w:vAlign w:val="top"/>
          </w:tcPr>
          <w:p>
            <w:pPr>
              <w:pStyle w:val="TableText"/>
              <w:ind w:left="105" w:right="181" w:firstLine="90"/>
              <w:spacing w:before="44" w:line="237" w:lineRule="auto"/>
              <w:rPr>
                <w:sz w:val="21"/>
                <w:szCs w:val="21"/>
              </w:rPr>
            </w:pPr>
            <w:r>
              <w:rPr>
                <w:sz w:val="21"/>
                <w:szCs w:val="21"/>
              </w:rPr>
              <w:t>1)车间粉尘：移动式除尘器或设备自带的滤筒处理后直接</w:t>
            </w:r>
            <w:r>
              <w:rPr>
                <w:sz w:val="21"/>
                <w:szCs w:val="21"/>
                <w:spacing w:val="7"/>
              </w:rPr>
              <w:t xml:space="preserve"> </w:t>
            </w:r>
            <w:r>
              <w:rPr>
                <w:sz w:val="21"/>
                <w:szCs w:val="21"/>
                <w:spacing w:val="-6"/>
              </w:rPr>
              <w:t>排</w:t>
            </w:r>
            <w:r>
              <w:rPr>
                <w:sz w:val="21"/>
                <w:szCs w:val="21"/>
                <w:spacing w:val="-15"/>
              </w:rPr>
              <w:t xml:space="preserve"> </w:t>
            </w:r>
            <w:r>
              <w:rPr>
                <w:sz w:val="21"/>
                <w:szCs w:val="21"/>
                <w:spacing w:val="-6"/>
              </w:rPr>
              <w:t>放</w:t>
            </w:r>
            <w:r>
              <w:rPr>
                <w:sz w:val="21"/>
                <w:szCs w:val="21"/>
                <w:spacing w:val="-24"/>
              </w:rPr>
              <w:t xml:space="preserve"> </w:t>
            </w:r>
            <w:r>
              <w:rPr>
                <w:sz w:val="21"/>
                <w:szCs w:val="21"/>
                <w:spacing w:val="-6"/>
              </w:rPr>
              <w:t>；</w:t>
            </w:r>
          </w:p>
          <w:p>
            <w:pPr>
              <w:pStyle w:val="TableText"/>
              <w:ind w:left="136"/>
              <w:spacing w:line="218" w:lineRule="auto"/>
              <w:rPr>
                <w:sz w:val="21"/>
                <w:szCs w:val="21"/>
              </w:rPr>
            </w:pPr>
            <w:r>
              <w:rPr>
                <w:sz w:val="21"/>
                <w:szCs w:val="21"/>
                <w:spacing w:val="-1"/>
              </w:rPr>
              <w:t>2)涂布废气：8套NMP轮转回收装置+2根25m高排气筒</w:t>
            </w:r>
          </w:p>
          <w:p>
            <w:pPr>
              <w:pStyle w:val="TableText"/>
              <w:ind w:left="125"/>
              <w:spacing w:before="65" w:line="221" w:lineRule="auto"/>
              <w:rPr>
                <w:sz w:val="21"/>
                <w:szCs w:val="21"/>
              </w:rPr>
            </w:pPr>
            <w:r>
              <w:rPr>
                <w:sz w:val="21"/>
                <w:szCs w:val="21"/>
                <w:spacing w:val="-4"/>
              </w:rPr>
              <w:t>(DA001、DA013);</w:t>
            </w:r>
          </w:p>
          <w:p>
            <w:pPr>
              <w:pStyle w:val="TableText"/>
              <w:ind w:left="125" w:right="153" w:firstLine="70"/>
              <w:spacing w:before="16" w:line="231" w:lineRule="auto"/>
              <w:rPr>
                <w:sz w:val="21"/>
                <w:szCs w:val="21"/>
              </w:rPr>
            </w:pPr>
            <w:r>
              <w:rPr>
                <w:sz w:val="21"/>
                <w:szCs w:val="21"/>
              </w:rPr>
              <w:t>3)一次注液、二次注液、后氦检废气：车间各工序设置收</w:t>
            </w:r>
            <w:r>
              <w:rPr>
                <w:sz w:val="21"/>
                <w:szCs w:val="21"/>
                <w:spacing w:val="7"/>
              </w:rPr>
              <w:t xml:space="preserve"> </w:t>
            </w:r>
            <w:r>
              <w:rPr>
                <w:sz w:val="21"/>
                <w:szCs w:val="21"/>
              </w:rPr>
              <w:t>集系统后经各自配套的活性炭吸附处理后经各自配套的25m </w:t>
            </w:r>
            <w:r>
              <w:rPr>
                <w:sz w:val="21"/>
                <w:szCs w:val="21"/>
                <w:spacing w:val="1"/>
              </w:rPr>
              <w:t>高排气筒排放，共3根(</w:t>
            </w:r>
            <w:r>
              <w:rPr>
                <w:sz w:val="21"/>
                <w:szCs w:val="21"/>
              </w:rPr>
              <w:t>DA</w:t>
            </w:r>
            <w:r>
              <w:rPr>
                <w:sz w:val="21"/>
                <w:szCs w:val="21"/>
                <w:spacing w:val="1"/>
              </w:rPr>
              <w:t>002、</w:t>
            </w:r>
            <w:r>
              <w:rPr>
                <w:sz w:val="21"/>
                <w:szCs w:val="21"/>
              </w:rPr>
              <w:t>DA</w:t>
            </w:r>
            <w:r>
              <w:rPr>
                <w:sz w:val="21"/>
                <w:szCs w:val="21"/>
                <w:spacing w:val="1"/>
              </w:rPr>
              <w:t>003、</w:t>
            </w:r>
            <w:r>
              <w:rPr>
                <w:sz w:val="21"/>
                <w:szCs w:val="21"/>
              </w:rPr>
              <w:t>DA</w:t>
            </w:r>
            <w:r>
              <w:rPr>
                <w:sz w:val="21"/>
                <w:szCs w:val="21"/>
                <w:spacing w:val="1"/>
              </w:rPr>
              <w:t>004);</w:t>
            </w:r>
          </w:p>
          <w:p>
            <w:pPr>
              <w:pStyle w:val="TableText"/>
              <w:ind w:left="125"/>
              <w:spacing w:before="40" w:line="219" w:lineRule="auto"/>
              <w:rPr>
                <w:sz w:val="21"/>
                <w:szCs w:val="21"/>
              </w:rPr>
            </w:pPr>
            <w:r>
              <w:rPr>
                <w:sz w:val="21"/>
                <w:szCs w:val="21"/>
              </w:rPr>
              <w:t>4)注液真空泵系统废气收集后引至设施房</w:t>
            </w:r>
            <w:r>
              <w:rPr>
                <w:sz w:val="21"/>
                <w:szCs w:val="21"/>
                <w:spacing w:val="-1"/>
              </w:rPr>
              <w:t>(X14)经RTO</w:t>
            </w:r>
          </w:p>
          <w:p>
            <w:pPr>
              <w:pStyle w:val="TableText"/>
              <w:ind w:left="136"/>
              <w:spacing w:before="20" w:line="219" w:lineRule="auto"/>
              <w:rPr>
                <w:sz w:val="21"/>
                <w:szCs w:val="21"/>
              </w:rPr>
            </w:pPr>
            <w:r>
              <w:rPr>
                <w:sz w:val="21"/>
                <w:szCs w:val="21"/>
                <w:spacing w:val="1"/>
              </w:rPr>
              <w:t>燃烧处理系统处理后经1根25m高排气筒排放(</w:t>
            </w:r>
            <w:r>
              <w:rPr>
                <w:sz w:val="21"/>
                <w:szCs w:val="21"/>
              </w:rPr>
              <w:t>DA</w:t>
            </w:r>
            <w:r>
              <w:rPr>
                <w:sz w:val="21"/>
                <w:szCs w:val="21"/>
                <w:spacing w:val="1"/>
              </w:rPr>
              <w:t>007);</w:t>
            </w:r>
          </w:p>
          <w:p>
            <w:pPr>
              <w:pStyle w:val="TableText"/>
              <w:ind w:left="125" w:right="84" w:firstLine="70"/>
              <w:spacing w:before="10" w:line="229" w:lineRule="auto"/>
              <w:rPr>
                <w:sz w:val="21"/>
                <w:szCs w:val="21"/>
              </w:rPr>
            </w:pPr>
            <w:r>
              <w:rPr>
                <w:sz w:val="21"/>
                <w:szCs w:val="21"/>
              </w:rPr>
              <w:t>5)锅炉废气；采用低氮燃烧技术，结合2期工程提升改造， </w:t>
            </w:r>
            <w:r>
              <w:rPr>
                <w:sz w:val="21"/>
                <w:szCs w:val="21"/>
                <w:spacing w:val="4"/>
              </w:rPr>
              <w:t>5台锅炉，排气筒一、二期共用，共设置排气筒</w:t>
            </w:r>
            <w:r>
              <w:rPr>
                <w:sz w:val="21"/>
                <w:szCs w:val="21"/>
              </w:rPr>
              <w:t>DA</w:t>
            </w:r>
            <w:r>
              <w:rPr>
                <w:sz w:val="21"/>
                <w:szCs w:val="21"/>
                <w:spacing w:val="4"/>
              </w:rPr>
              <w:t>011、</w:t>
            </w:r>
          </w:p>
          <w:p>
            <w:pPr>
              <w:pStyle w:val="TableText"/>
              <w:ind w:left="125"/>
              <w:spacing w:before="61" w:line="184" w:lineRule="auto"/>
              <w:rPr>
                <w:sz w:val="21"/>
                <w:szCs w:val="21"/>
              </w:rPr>
            </w:pPr>
            <w:r>
              <w:rPr>
                <w:sz w:val="21"/>
                <w:szCs w:val="21"/>
                <w:spacing w:val="-2"/>
              </w:rPr>
              <w:t>DA012、DA021、DA022、DA023。</w:t>
            </w:r>
          </w:p>
          <w:p>
            <w:pPr>
              <w:pStyle w:val="TableText"/>
              <w:ind w:left="145" w:right="536" w:firstLine="9"/>
              <w:spacing w:before="9" w:line="238" w:lineRule="auto"/>
              <w:rPr>
                <w:sz w:val="21"/>
                <w:szCs w:val="21"/>
              </w:rPr>
            </w:pPr>
            <w:r>
              <w:rPr>
                <w:sz w:val="21"/>
                <w:szCs w:val="21"/>
              </w:rPr>
              <w:t>5)污水处理站恶臭：1套“喷淋塔+UV”+1根15m高排气</w:t>
            </w:r>
            <w:r>
              <w:rPr>
                <w:sz w:val="21"/>
                <w:szCs w:val="21"/>
                <w:spacing w:val="7"/>
              </w:rPr>
              <w:t xml:space="preserve"> </w:t>
            </w:r>
            <w:r>
              <w:rPr>
                <w:sz w:val="21"/>
                <w:szCs w:val="21"/>
                <w:spacing w:val="24"/>
                <w:w w:val="109"/>
              </w:rPr>
              <w:t>筒(DW006);</w:t>
            </w:r>
          </w:p>
          <w:p>
            <w:pPr>
              <w:pStyle w:val="TableText"/>
              <w:ind w:left="246"/>
              <w:spacing w:before="9" w:line="199" w:lineRule="auto"/>
              <w:rPr>
                <w:sz w:val="21"/>
                <w:szCs w:val="21"/>
              </w:rPr>
            </w:pPr>
            <w:r>
              <w:rPr>
                <w:sz w:val="21"/>
                <w:szCs w:val="21"/>
                <w:spacing w:val="-1"/>
              </w:rPr>
              <w:t>7)焚烧炉废气：1套“冷凝+脉冲布袋器+碱洗+丝网除雾+</w:t>
            </w:r>
          </w:p>
        </w:tc>
        <w:tc>
          <w:tcPr>
            <w:tcW w:w="1904" w:type="dxa"/>
            <w:vAlign w:val="top"/>
          </w:tcPr>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209"/>
              <w:spacing w:before="68" w:line="220" w:lineRule="auto"/>
              <w:rPr>
                <w:sz w:val="21"/>
                <w:szCs w:val="21"/>
              </w:rPr>
            </w:pPr>
            <w:r>
              <w:rPr>
                <w:sz w:val="21"/>
                <w:szCs w:val="21"/>
                <w:spacing w:val="1"/>
              </w:rPr>
              <w:t>已落实批复要求</w:t>
            </w:r>
          </w:p>
        </w:tc>
      </w:tr>
    </w:tbl>
    <w:p>
      <w:pPr>
        <w:rPr>
          <w:rFonts w:ascii="Arial"/>
          <w:sz w:val="21"/>
        </w:rPr>
      </w:pPr>
      <w:r/>
    </w:p>
    <w:p>
      <w:pPr>
        <w:sectPr>
          <w:footerReference w:type="default" r:id="rId58"/>
          <w:pgSz w:w="16840" w:h="11900"/>
          <w:pgMar w:top="1011" w:right="1354" w:bottom="978" w:left="1325" w:header="0" w:footer="839" w:gutter="0"/>
        </w:sectPr>
        <w:rPr>
          <w:rFonts w:ascii="Arial" w:hAnsi="Arial" w:eastAsia="Arial" w:cs="Arial"/>
          <w:sz w:val="21"/>
          <w:szCs w:val="21"/>
        </w:rPr>
      </w:pPr>
    </w:p>
    <w:p>
      <w:pPr>
        <w:spacing w:before="115"/>
        <w:rPr/>
      </w:pPr>
      <w:r/>
    </w:p>
    <w:p>
      <w:pPr>
        <w:spacing w:before="115"/>
        <w:rPr/>
      </w:pPr>
      <w:r/>
    </w:p>
    <w:tbl>
      <w:tblPr>
        <w:tblStyle w:val="TableNormal"/>
        <w:tblW w:w="141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94"/>
        <w:gridCol w:w="849"/>
        <w:gridCol w:w="4956"/>
        <w:gridCol w:w="5646"/>
        <w:gridCol w:w="1904"/>
      </w:tblGrid>
      <w:tr>
        <w:trPr>
          <w:trHeight w:val="834" w:hRule="atLeast"/>
        </w:trPr>
        <w:tc>
          <w:tcPr>
            <w:tcW w:w="794" w:type="dxa"/>
            <w:vAlign w:val="top"/>
            <w:vMerge w:val="restart"/>
            <w:tcBorders>
              <w:bottom w:val="nil"/>
            </w:tcBorders>
          </w:tcPr>
          <w:p>
            <w:pPr>
              <w:rPr>
                <w:rFonts w:ascii="Arial"/>
                <w:sz w:val="21"/>
              </w:rPr>
            </w:pPr>
            <w:r/>
          </w:p>
        </w:tc>
        <w:tc>
          <w:tcPr>
            <w:tcW w:w="849" w:type="dxa"/>
            <w:vAlign w:val="top"/>
            <w:vMerge w:val="restart"/>
            <w:tcBorders>
              <w:bottom w:val="nil"/>
            </w:tcBorders>
          </w:tcPr>
          <w:p>
            <w:pPr>
              <w:rPr>
                <w:rFonts w:ascii="Arial"/>
                <w:sz w:val="21"/>
              </w:rPr>
            </w:pPr>
            <w:r/>
          </w:p>
        </w:tc>
        <w:tc>
          <w:tcPr>
            <w:tcW w:w="4956" w:type="dxa"/>
            <w:vAlign w:val="top"/>
          </w:tcPr>
          <w:p>
            <w:pPr>
              <w:rPr>
                <w:rFonts w:ascii="Arial"/>
                <w:sz w:val="21"/>
              </w:rPr>
            </w:pPr>
            <w:r/>
          </w:p>
        </w:tc>
        <w:tc>
          <w:tcPr>
            <w:tcW w:w="5646" w:type="dxa"/>
            <w:vAlign w:val="top"/>
          </w:tcPr>
          <w:p>
            <w:pPr>
              <w:pStyle w:val="TableText"/>
              <w:ind w:left="125"/>
              <w:spacing w:before="42" w:line="219" w:lineRule="auto"/>
              <w:rPr>
                <w:sz w:val="22"/>
                <w:szCs w:val="22"/>
              </w:rPr>
            </w:pPr>
            <w:r>
              <w:rPr>
                <w:sz w:val="22"/>
                <w:szCs w:val="22"/>
                <w:spacing w:val="2"/>
              </w:rPr>
              <w:t>活性炭吸附设施”+1根27m高排气筒(</w:t>
            </w:r>
            <w:r>
              <w:rPr>
                <w:sz w:val="22"/>
                <w:szCs w:val="22"/>
              </w:rPr>
              <w:t>DA</w:t>
            </w:r>
            <w:r>
              <w:rPr>
                <w:sz w:val="22"/>
                <w:szCs w:val="22"/>
                <w:spacing w:val="2"/>
              </w:rPr>
              <w:t>00</w:t>
            </w:r>
            <w:r>
              <w:rPr>
                <w:sz w:val="22"/>
                <w:szCs w:val="22"/>
                <w:spacing w:val="1"/>
              </w:rPr>
              <w:t>5);</w:t>
            </w:r>
          </w:p>
          <w:p>
            <w:pPr>
              <w:pStyle w:val="TableText"/>
              <w:ind w:left="125" w:right="129"/>
              <w:spacing w:before="10" w:line="214" w:lineRule="auto"/>
              <w:rPr>
                <w:sz w:val="22"/>
                <w:szCs w:val="22"/>
              </w:rPr>
            </w:pPr>
            <w:r>
              <w:rPr>
                <w:sz w:val="22"/>
                <w:szCs w:val="22"/>
                <w:spacing w:val="-1"/>
              </w:rPr>
              <w:t>8)食堂油烟：油烟净化器处理后引至屋顶排放，共3根排</w:t>
            </w:r>
            <w:r>
              <w:rPr>
                <w:sz w:val="22"/>
                <w:szCs w:val="22"/>
                <w:spacing w:val="15"/>
              </w:rPr>
              <w:t xml:space="preserve"> </w:t>
            </w:r>
            <w:r>
              <w:rPr>
                <w:sz w:val="22"/>
                <w:szCs w:val="22"/>
              </w:rPr>
              <w:t>气筒(DW008～DW010)。</w:t>
            </w:r>
          </w:p>
        </w:tc>
        <w:tc>
          <w:tcPr>
            <w:tcW w:w="1904" w:type="dxa"/>
            <w:vAlign w:val="top"/>
          </w:tcPr>
          <w:p>
            <w:pPr>
              <w:rPr>
                <w:rFonts w:ascii="Arial"/>
                <w:sz w:val="21"/>
              </w:rPr>
            </w:pPr>
            <w:r/>
          </w:p>
        </w:tc>
      </w:tr>
      <w:tr>
        <w:trPr>
          <w:trHeight w:val="3256" w:hRule="atLeast"/>
        </w:trPr>
        <w:tc>
          <w:tcPr>
            <w:tcW w:w="794" w:type="dxa"/>
            <w:vAlign w:val="top"/>
            <w:vMerge w:val="continue"/>
            <w:tcBorders>
              <w:top w:val="nil"/>
              <w:bottom w:val="nil"/>
            </w:tcBorders>
          </w:tcPr>
          <w:p>
            <w:pPr>
              <w:rPr>
                <w:rFonts w:ascii="Arial"/>
                <w:sz w:val="21"/>
              </w:rPr>
            </w:pPr>
            <w:r/>
          </w:p>
        </w:tc>
        <w:tc>
          <w:tcPr>
            <w:tcW w:w="849" w:type="dxa"/>
            <w:vAlign w:val="top"/>
            <w:vMerge w:val="continue"/>
            <w:tcBorders>
              <w:top w:val="nil"/>
              <w:bottom w:val="nil"/>
            </w:tcBorders>
          </w:tcPr>
          <w:p>
            <w:pPr>
              <w:rPr>
                <w:rFonts w:ascii="Arial"/>
                <w:sz w:val="21"/>
              </w:rPr>
            </w:pPr>
            <w:r/>
          </w:p>
        </w:tc>
        <w:tc>
          <w:tcPr>
            <w:tcW w:w="4956" w:type="dxa"/>
            <w:vAlign w:val="top"/>
          </w:tcPr>
          <w:p>
            <w:pPr>
              <w:spacing w:line="310" w:lineRule="auto"/>
              <w:rPr>
                <w:rFonts w:ascii="Arial"/>
                <w:sz w:val="21"/>
              </w:rPr>
            </w:pPr>
            <w:r/>
          </w:p>
          <w:p>
            <w:pPr>
              <w:spacing w:line="310" w:lineRule="auto"/>
              <w:rPr>
                <w:rFonts w:ascii="Arial"/>
                <w:sz w:val="21"/>
              </w:rPr>
            </w:pPr>
            <w:r/>
          </w:p>
          <w:p>
            <w:pPr>
              <w:spacing w:line="311" w:lineRule="auto"/>
              <w:rPr>
                <w:rFonts w:ascii="Arial"/>
                <w:sz w:val="21"/>
              </w:rPr>
            </w:pPr>
            <w:r/>
          </w:p>
          <w:p>
            <w:pPr>
              <w:pStyle w:val="TableText"/>
              <w:ind w:left="51" w:right="41"/>
              <w:spacing w:before="71" w:line="223" w:lineRule="auto"/>
              <w:rPr>
                <w:sz w:val="22"/>
                <w:szCs w:val="22"/>
              </w:rPr>
            </w:pPr>
            <w:r>
              <w:rPr>
                <w:sz w:val="22"/>
                <w:szCs w:val="22"/>
                <w:spacing w:val="-1"/>
              </w:rPr>
              <w:t>亚格落实报告表提出的挥发性有机物无组织排放控</w:t>
            </w:r>
            <w:r>
              <w:rPr>
                <w:sz w:val="22"/>
                <w:szCs w:val="22"/>
                <w:spacing w:val="10"/>
              </w:rPr>
              <w:t xml:space="preserve"> </w:t>
            </w:r>
            <w:r>
              <w:rPr>
                <w:sz w:val="22"/>
                <w:szCs w:val="22"/>
              </w:rPr>
              <w:t>制措施，通过强化VOCs物料储存、转移、输送和工</w:t>
            </w:r>
          </w:p>
          <w:p>
            <w:pPr>
              <w:pStyle w:val="TableText"/>
              <w:ind w:left="102" w:right="4" w:firstLine="169"/>
              <w:spacing w:before="3" w:line="220" w:lineRule="auto"/>
              <w:rPr>
                <w:sz w:val="22"/>
                <w:szCs w:val="22"/>
              </w:rPr>
            </w:pPr>
            <w:r>
              <w:rPr>
                <w:sz w:val="22"/>
                <w:szCs w:val="22"/>
              </w:rPr>
              <w:t>艺过程无组织排放控制措施和设备与管线组件</w:t>
            </w:r>
            <w:r>
              <w:rPr>
                <w:sz w:val="22"/>
                <w:szCs w:val="22"/>
                <w:spacing w:val="2"/>
              </w:rPr>
              <w:t xml:space="preserve">   </w:t>
            </w:r>
            <w:r>
              <w:rPr>
                <w:sz w:val="22"/>
                <w:szCs w:val="22"/>
              </w:rPr>
              <w:t>VOCs</w:t>
            </w:r>
            <w:r>
              <w:rPr>
                <w:sz w:val="22"/>
                <w:szCs w:val="22"/>
                <w:spacing w:val="3"/>
              </w:rPr>
              <w:t>泄漏控制措施，规范</w:t>
            </w:r>
            <w:r>
              <w:rPr>
                <w:sz w:val="22"/>
                <w:szCs w:val="22"/>
              </w:rPr>
              <w:t>VOCs</w:t>
            </w:r>
            <w:r>
              <w:rPr>
                <w:sz w:val="22"/>
                <w:szCs w:val="22"/>
                <w:spacing w:val="3"/>
              </w:rPr>
              <w:t>无组织排放废气收</w:t>
            </w:r>
            <w:r>
              <w:rPr>
                <w:sz w:val="22"/>
                <w:szCs w:val="22"/>
                <w:spacing w:val="2"/>
              </w:rPr>
              <w:t xml:space="preserve">  </w:t>
            </w:r>
            <w:r>
              <w:rPr>
                <w:sz w:val="22"/>
                <w:szCs w:val="22"/>
              </w:rPr>
              <w:t>集处理系统建设，减少挥发性有机物无组织排</w:t>
            </w:r>
            <w:r>
              <w:rPr>
                <w:sz w:val="22"/>
                <w:szCs w:val="22"/>
                <w:spacing w:val="-1"/>
              </w:rPr>
              <w:t>放。</w:t>
            </w:r>
          </w:p>
        </w:tc>
        <w:tc>
          <w:tcPr>
            <w:tcW w:w="5646" w:type="dxa"/>
            <w:vAlign w:val="top"/>
          </w:tcPr>
          <w:p>
            <w:pPr>
              <w:pStyle w:val="TableText"/>
              <w:ind w:left="65" w:right="1" w:firstLine="109"/>
              <w:spacing w:before="48" w:line="225" w:lineRule="auto"/>
              <w:rPr>
                <w:sz w:val="22"/>
                <w:szCs w:val="22"/>
              </w:rPr>
            </w:pPr>
            <w:r>
              <w:rPr>
                <w:sz w:val="22"/>
                <w:szCs w:val="22"/>
                <w:spacing w:val="-1"/>
              </w:rPr>
              <w:t>)NMP罐区因消防合规性问题不能设置雨棚，罐区地面防  </w:t>
            </w:r>
            <w:r>
              <w:rPr>
                <w:sz w:val="22"/>
                <w:szCs w:val="22"/>
                <w:spacing w:val="3"/>
              </w:rPr>
              <w:t>渗，设有应急收集池，并连接到污水处理站，</w:t>
            </w:r>
            <w:r>
              <w:rPr>
                <w:sz w:val="22"/>
                <w:szCs w:val="22"/>
              </w:rPr>
              <w:t>NMP</w:t>
            </w:r>
            <w:r>
              <w:rPr>
                <w:sz w:val="22"/>
                <w:szCs w:val="22"/>
                <w:spacing w:val="3"/>
              </w:rPr>
              <w:t>储罐为</w:t>
            </w:r>
            <w:r>
              <w:rPr>
                <w:sz w:val="22"/>
                <w:szCs w:val="22"/>
              </w:rPr>
              <w:t xml:space="preserve">  </w:t>
            </w:r>
            <w:r>
              <w:rPr>
                <w:sz w:val="22"/>
                <w:szCs w:val="22"/>
                <w:spacing w:val="3"/>
              </w:rPr>
              <w:t>固定顶储罐，罐体完好，全密闭，通过密闭</w:t>
            </w:r>
            <w:r>
              <w:rPr>
                <w:sz w:val="22"/>
                <w:szCs w:val="22"/>
                <w:spacing w:val="2"/>
              </w:rPr>
              <w:t>管道输送</w:t>
            </w:r>
            <w:r>
              <w:rPr>
                <w:sz w:val="22"/>
                <w:szCs w:val="22"/>
              </w:rPr>
              <w:t>NMP</w:t>
            </w:r>
            <w:r>
              <w:rPr>
                <w:sz w:val="22"/>
                <w:szCs w:val="22"/>
                <w:spacing w:val="2"/>
              </w:rPr>
              <w:t>,</w:t>
            </w:r>
            <w:r>
              <w:rPr>
                <w:sz w:val="22"/>
                <w:szCs w:val="22"/>
              </w:rPr>
              <w:t xml:space="preserve"> </w:t>
            </w:r>
            <w:r>
              <w:rPr>
                <w:sz w:val="22"/>
                <w:szCs w:val="22"/>
              </w:rPr>
              <w:t>NMP</w:t>
            </w:r>
            <w:r>
              <w:rPr>
                <w:sz w:val="22"/>
                <w:szCs w:val="22"/>
                <w:spacing w:val="13"/>
              </w:rPr>
              <w:t>泵房设置气体报警检测仪；</w:t>
            </w:r>
          </w:p>
          <w:p>
            <w:pPr>
              <w:pStyle w:val="TableText"/>
              <w:ind w:left="154" w:right="58" w:hanging="89"/>
              <w:spacing w:before="7" w:line="215" w:lineRule="auto"/>
              <w:rPr>
                <w:sz w:val="22"/>
                <w:szCs w:val="22"/>
              </w:rPr>
            </w:pPr>
            <w:r>
              <w:rPr>
                <w:sz w:val="22"/>
                <w:szCs w:val="22"/>
              </w:rPr>
              <w:t>2)电解液采用全密闭不锈钢桶，使用过程通过密闭管道传</w:t>
            </w:r>
            <w:r>
              <w:rPr>
                <w:sz w:val="22"/>
                <w:szCs w:val="22"/>
                <w:spacing w:val="10"/>
              </w:rPr>
              <w:t xml:space="preserve"> </w:t>
            </w:r>
            <w:r>
              <w:rPr>
                <w:sz w:val="22"/>
                <w:szCs w:val="22"/>
                <w:spacing w:val="6"/>
              </w:rPr>
              <w:t>输，电解液仓设置气体报警检测仪；</w:t>
            </w:r>
          </w:p>
          <w:p>
            <w:pPr>
              <w:pStyle w:val="TableText"/>
              <w:ind w:left="125"/>
              <w:spacing w:before="48" w:line="200" w:lineRule="auto"/>
              <w:rPr>
                <w:sz w:val="22"/>
                <w:szCs w:val="22"/>
              </w:rPr>
            </w:pPr>
            <w:r>
              <w:rPr>
                <w:sz w:val="22"/>
                <w:szCs w:val="22"/>
                <w:spacing w:val="7"/>
              </w:rPr>
              <w:t>3)电解液仓及</w:t>
            </w:r>
            <w:r>
              <w:rPr>
                <w:sz w:val="22"/>
                <w:szCs w:val="22"/>
              </w:rPr>
              <w:t>NMP</w:t>
            </w:r>
            <w:r>
              <w:rPr>
                <w:sz w:val="22"/>
                <w:szCs w:val="22"/>
                <w:spacing w:val="7"/>
              </w:rPr>
              <w:t>灌区每周检查一次；</w:t>
            </w:r>
          </w:p>
          <w:p>
            <w:pPr>
              <w:pStyle w:val="TableText"/>
              <w:ind w:left="154" w:right="127" w:hanging="29"/>
              <w:spacing w:line="224" w:lineRule="auto"/>
              <w:rPr>
                <w:sz w:val="22"/>
                <w:szCs w:val="22"/>
              </w:rPr>
            </w:pPr>
            <w:r>
              <w:rPr>
                <w:sz w:val="22"/>
                <w:szCs w:val="22"/>
                <w:spacing w:val="-1"/>
              </w:rPr>
              <w:t>4)污水处理站池体均加盖密闭收集，废气经喷淋+UV氧化</w:t>
            </w:r>
            <w:r>
              <w:rPr>
                <w:sz w:val="22"/>
                <w:szCs w:val="22"/>
                <w:spacing w:val="18"/>
              </w:rPr>
              <w:t xml:space="preserve"> </w:t>
            </w:r>
            <w:r>
              <w:rPr>
                <w:sz w:val="22"/>
                <w:szCs w:val="22"/>
                <w:spacing w:val="9"/>
              </w:rPr>
              <w:t>装置进行处理达标后排放；</w:t>
            </w:r>
          </w:p>
          <w:p>
            <w:pPr>
              <w:pStyle w:val="TableText"/>
              <w:ind w:left="125" w:firstLine="10"/>
              <w:spacing w:before="36" w:line="209" w:lineRule="auto"/>
              <w:jc w:val="both"/>
              <w:rPr>
                <w:sz w:val="22"/>
                <w:szCs w:val="22"/>
              </w:rPr>
            </w:pPr>
            <w:r>
              <w:rPr>
                <w:sz w:val="22"/>
                <w:szCs w:val="22"/>
                <w:spacing w:val="-6"/>
              </w:rPr>
              <w:t>根据验收监测结果，厂内监控点非甲烷总烃1小时均值浓度</w:t>
            </w:r>
            <w:r>
              <w:rPr>
                <w:sz w:val="22"/>
                <w:szCs w:val="22"/>
                <w:spacing w:val="11"/>
              </w:rPr>
              <w:t xml:space="preserve"> </w:t>
            </w:r>
            <w:r>
              <w:rPr>
                <w:sz w:val="22"/>
                <w:szCs w:val="22"/>
                <w:spacing w:val="-6"/>
              </w:rPr>
              <w:t>满足《挥发性有机物无组织排放控制标准》(</w:t>
            </w:r>
            <w:r>
              <w:rPr>
                <w:sz w:val="22"/>
                <w:szCs w:val="22"/>
                <w:spacing w:val="-7"/>
              </w:rPr>
              <w:t>GB37822-2019)</w:t>
            </w:r>
            <w:r>
              <w:rPr>
                <w:sz w:val="22"/>
                <w:szCs w:val="22"/>
              </w:rPr>
              <w:t xml:space="preserve"> </w:t>
            </w:r>
            <w:r>
              <w:rPr>
                <w:sz w:val="22"/>
                <w:szCs w:val="22"/>
                <w:spacing w:val="-2"/>
              </w:rPr>
              <w:t>附录A中表1排放限值要求。</w:t>
            </w:r>
          </w:p>
        </w:tc>
        <w:tc>
          <w:tcPr>
            <w:tcW w:w="1904" w:type="dxa"/>
            <w:vAlign w:val="top"/>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pStyle w:val="TableText"/>
              <w:ind w:left="179"/>
              <w:spacing w:before="71" w:line="220" w:lineRule="auto"/>
              <w:rPr>
                <w:sz w:val="22"/>
                <w:szCs w:val="22"/>
              </w:rPr>
            </w:pPr>
            <w:r>
              <w:rPr>
                <w:sz w:val="22"/>
                <w:szCs w:val="22"/>
                <w:spacing w:val="1"/>
              </w:rPr>
              <w:t>已落实批复要求</w:t>
            </w:r>
          </w:p>
        </w:tc>
      </w:tr>
      <w:tr>
        <w:trPr>
          <w:trHeight w:val="4369" w:hRule="atLeast"/>
        </w:trPr>
        <w:tc>
          <w:tcPr>
            <w:tcW w:w="794" w:type="dxa"/>
            <w:vAlign w:val="top"/>
            <w:vMerge w:val="continue"/>
            <w:tcBorders>
              <w:top w:val="nil"/>
            </w:tcBorders>
          </w:tcPr>
          <w:p>
            <w:pPr>
              <w:rPr>
                <w:rFonts w:ascii="Arial"/>
                <w:sz w:val="21"/>
              </w:rPr>
            </w:pPr>
            <w:r/>
          </w:p>
        </w:tc>
        <w:tc>
          <w:tcPr>
            <w:tcW w:w="849" w:type="dxa"/>
            <w:vAlign w:val="top"/>
            <w:vMerge w:val="continue"/>
            <w:tcBorders>
              <w:top w:val="nil"/>
            </w:tcBorders>
          </w:tcPr>
          <w:p>
            <w:pPr>
              <w:rPr>
                <w:rFonts w:ascii="Arial"/>
                <w:sz w:val="21"/>
              </w:rPr>
            </w:pPr>
            <w:r/>
          </w:p>
        </w:tc>
        <w:tc>
          <w:tcPr>
            <w:tcW w:w="4956" w:type="dxa"/>
            <w:vAlign w:val="top"/>
          </w:tcPr>
          <w:p>
            <w:pPr>
              <w:spacing w:line="281" w:lineRule="auto"/>
              <w:rPr>
                <w:rFonts w:ascii="Arial"/>
                <w:sz w:val="21"/>
              </w:rPr>
            </w:pPr>
            <w:r/>
          </w:p>
          <w:p>
            <w:pPr>
              <w:pStyle w:val="TableText"/>
              <w:ind w:left="122" w:firstLine="19"/>
              <w:spacing w:before="72" w:line="220" w:lineRule="auto"/>
              <w:rPr>
                <w:sz w:val="22"/>
                <w:szCs w:val="22"/>
              </w:rPr>
            </w:pPr>
            <w:r>
              <w:rPr>
                <w:sz w:val="22"/>
                <w:szCs w:val="22"/>
                <w:spacing w:val="-11"/>
              </w:rPr>
              <w:t>项目生产车间颗粒物、非甲烷总烃排放执行</w:t>
            </w:r>
            <w:r>
              <w:rPr>
                <w:sz w:val="22"/>
                <w:szCs w:val="22"/>
                <w:spacing w:val="-12"/>
              </w:rPr>
              <w:t>《电池工</w:t>
            </w:r>
            <w:r>
              <w:rPr>
                <w:sz w:val="22"/>
                <w:szCs w:val="22"/>
              </w:rPr>
              <w:t xml:space="preserve"> </w:t>
            </w:r>
            <w:r>
              <w:rPr>
                <w:sz w:val="22"/>
                <w:szCs w:val="22"/>
                <w:spacing w:val="-6"/>
              </w:rPr>
              <w:t>业污染物排放标准》</w:t>
            </w:r>
            <w:r>
              <w:rPr>
                <w:sz w:val="22"/>
                <w:szCs w:val="22"/>
                <w:spacing w:val="24"/>
              </w:rPr>
              <w:t xml:space="preserve">   </w:t>
            </w:r>
            <w:r>
              <w:rPr>
                <w:sz w:val="22"/>
                <w:szCs w:val="22"/>
                <w:spacing w:val="-6"/>
              </w:rPr>
              <w:t>(GB30484-2013)表5、表6  </w:t>
            </w:r>
            <w:r>
              <w:rPr>
                <w:sz w:val="22"/>
                <w:szCs w:val="22"/>
                <w:spacing w:val="-11"/>
              </w:rPr>
              <w:t>排放限值，厂区内监控点非甲烷总烃无组织排放执行</w:t>
            </w:r>
            <w:r>
              <w:rPr>
                <w:sz w:val="22"/>
                <w:szCs w:val="22"/>
                <w:spacing w:val="15"/>
              </w:rPr>
              <w:t xml:space="preserve"> </w:t>
            </w:r>
            <w:r>
              <w:rPr>
                <w:sz w:val="22"/>
                <w:szCs w:val="22"/>
                <w:spacing w:val="47"/>
              </w:rPr>
              <w:t>《</w:t>
            </w:r>
            <w:r>
              <w:rPr>
                <w:sz w:val="22"/>
                <w:szCs w:val="22"/>
                <w:spacing w:val="-10"/>
              </w:rPr>
              <w:t xml:space="preserve"> </w:t>
            </w:r>
            <w:r>
              <w:rPr>
                <w:sz w:val="22"/>
                <w:szCs w:val="22"/>
                <w:spacing w:val="47"/>
              </w:rPr>
              <w:t>挥发性有机物无组织排放控制标准</w:t>
            </w:r>
            <w:r>
              <w:rPr>
                <w:sz w:val="22"/>
                <w:szCs w:val="22"/>
                <w:spacing w:val="-28"/>
              </w:rPr>
              <w:t xml:space="preserve"> </w:t>
            </w:r>
            <w:r>
              <w:rPr>
                <w:sz w:val="22"/>
                <w:szCs w:val="22"/>
                <w:spacing w:val="47"/>
              </w:rPr>
              <w:t>》</w:t>
            </w:r>
          </w:p>
          <w:p>
            <w:pPr>
              <w:pStyle w:val="TableText"/>
              <w:ind w:left="161"/>
              <w:spacing w:before="9" w:line="219" w:lineRule="auto"/>
              <w:rPr>
                <w:sz w:val="22"/>
                <w:szCs w:val="22"/>
              </w:rPr>
            </w:pPr>
            <w:r>
              <w:rPr>
                <w:sz w:val="22"/>
                <w:szCs w:val="22"/>
              </w:rPr>
              <w:t>(GB37822-2019)附录A中表A.1标准；锅炉废气排</w:t>
            </w:r>
          </w:p>
          <w:p>
            <w:pPr>
              <w:pStyle w:val="TableText"/>
              <w:ind w:left="51" w:firstLine="89"/>
              <w:spacing w:before="21" w:line="221" w:lineRule="auto"/>
              <w:rPr>
                <w:sz w:val="22"/>
                <w:szCs w:val="22"/>
              </w:rPr>
            </w:pPr>
            <w:r>
              <w:rPr>
                <w:sz w:val="22"/>
                <w:szCs w:val="22"/>
                <w:spacing w:val="-9"/>
              </w:rPr>
              <w:t>放执行《锅炉大气污染物排放标准》(GB13271-2014)</w:t>
            </w:r>
            <w:r>
              <w:rPr>
                <w:sz w:val="22"/>
                <w:szCs w:val="22"/>
                <w:spacing w:val="13"/>
              </w:rPr>
              <w:t xml:space="preserve"> </w:t>
            </w:r>
            <w:r>
              <w:rPr>
                <w:sz w:val="22"/>
                <w:szCs w:val="22"/>
                <w:spacing w:val="-4"/>
              </w:rPr>
              <w:t>表中2中燃气锅炉排放限值；厂内污水处理站恶臭气</w:t>
            </w:r>
            <w:r>
              <w:rPr>
                <w:sz w:val="22"/>
                <w:szCs w:val="22"/>
                <w:spacing w:val="3"/>
              </w:rPr>
              <w:t xml:space="preserve"> </w:t>
            </w:r>
            <w:r>
              <w:rPr>
                <w:sz w:val="22"/>
                <w:szCs w:val="22"/>
              </w:rPr>
              <w:t>体排放执行《恶臭污染物排放标准》(GB14554-93)</w:t>
            </w:r>
          </w:p>
          <w:p>
            <w:pPr>
              <w:pStyle w:val="TableText"/>
              <w:ind w:left="102" w:firstLine="59"/>
              <w:spacing w:before="16" w:line="227" w:lineRule="auto"/>
              <w:rPr>
                <w:sz w:val="22"/>
                <w:szCs w:val="22"/>
              </w:rPr>
            </w:pPr>
            <w:r>
              <w:rPr>
                <w:sz w:val="22"/>
                <w:szCs w:val="22"/>
              </w:rPr>
              <w:t>中表2标准，厂界无组织排放的恶臭气体执行表1</w:t>
            </w:r>
            <w:r>
              <w:rPr>
                <w:sz w:val="22"/>
                <w:szCs w:val="22"/>
                <w:spacing w:val="7"/>
              </w:rPr>
              <w:t xml:space="preserve">  </w:t>
            </w:r>
            <w:r>
              <w:rPr>
                <w:sz w:val="22"/>
                <w:szCs w:val="22"/>
                <w:spacing w:val="-10"/>
              </w:rPr>
              <w:t>中二级新改扩建标准值；食堂油烟废气排放执行《饮</w:t>
            </w:r>
            <w:r>
              <w:rPr>
                <w:sz w:val="22"/>
                <w:szCs w:val="22"/>
                <w:spacing w:val="12"/>
              </w:rPr>
              <w:t xml:space="preserve"> </w:t>
            </w:r>
            <w:r>
              <w:rPr>
                <w:sz w:val="22"/>
                <w:szCs w:val="22"/>
              </w:rPr>
              <w:t>食业油烟排放标准(试行)》(GB18483-2001)表2中</w:t>
            </w:r>
            <w:r>
              <w:rPr>
                <w:sz w:val="22"/>
                <w:szCs w:val="22"/>
                <w:spacing w:val="8"/>
              </w:rPr>
              <w:t xml:space="preserve">  </w:t>
            </w:r>
            <w:r>
              <w:rPr>
                <w:sz w:val="22"/>
                <w:szCs w:val="22"/>
                <w:spacing w:val="-10"/>
              </w:rPr>
              <w:t>标准；焚烧炉废气中颗粒物和氮氧化物排放执行《大</w:t>
            </w:r>
          </w:p>
          <w:p>
            <w:pPr>
              <w:pStyle w:val="TableText"/>
              <w:ind w:left="111" w:right="210" w:firstLine="100"/>
              <w:spacing w:before="11" w:line="223" w:lineRule="auto"/>
              <w:rPr>
                <w:sz w:val="22"/>
                <w:szCs w:val="22"/>
              </w:rPr>
            </w:pPr>
            <w:r>
              <w:rPr>
                <w:sz w:val="22"/>
                <w:szCs w:val="22"/>
              </w:rPr>
              <w:t>气污染物综合排放标准》(GB16297-1996)中表2</w:t>
            </w:r>
            <w:r>
              <w:rPr>
                <w:sz w:val="22"/>
                <w:szCs w:val="22"/>
                <w:spacing w:val="12"/>
              </w:rPr>
              <w:t xml:space="preserve"> </w:t>
            </w:r>
            <w:r>
              <w:rPr>
                <w:sz w:val="22"/>
                <w:szCs w:val="22"/>
              </w:rPr>
              <w:t>二级标准。</w:t>
            </w:r>
          </w:p>
        </w:tc>
        <w:tc>
          <w:tcPr>
            <w:tcW w:w="5646" w:type="dxa"/>
            <w:vAlign w:val="top"/>
          </w:tcPr>
          <w:p>
            <w:pPr>
              <w:pStyle w:val="TableText"/>
              <w:ind w:left="145"/>
              <w:spacing w:before="12" w:line="219" w:lineRule="auto"/>
              <w:rPr>
                <w:sz w:val="22"/>
                <w:szCs w:val="22"/>
              </w:rPr>
            </w:pPr>
            <w:r>
              <w:rPr>
                <w:sz w:val="22"/>
                <w:szCs w:val="22"/>
                <w:spacing w:val="2"/>
              </w:rPr>
              <w:t>1)有机废气</w:t>
            </w:r>
          </w:p>
          <w:p>
            <w:pPr>
              <w:pStyle w:val="TableText"/>
              <w:ind w:left="95" w:firstLine="29"/>
              <w:spacing w:before="52" w:line="223" w:lineRule="auto"/>
              <w:rPr>
                <w:sz w:val="22"/>
                <w:szCs w:val="22"/>
              </w:rPr>
            </w:pPr>
            <w:r>
              <w:rPr>
                <w:sz w:val="22"/>
                <w:szCs w:val="22"/>
                <w:spacing w:val="-1"/>
              </w:rPr>
              <w:t>验收监测期间，NMP转轮回收装置排放口、真空泵尾气处</w:t>
            </w:r>
            <w:r>
              <w:rPr>
                <w:sz w:val="22"/>
                <w:szCs w:val="22"/>
                <w:spacing w:val="3"/>
              </w:rPr>
              <w:t xml:space="preserve">  </w:t>
            </w:r>
            <w:r>
              <w:rPr>
                <w:sz w:val="22"/>
                <w:szCs w:val="22"/>
                <w:spacing w:val="-7"/>
              </w:rPr>
              <w:t>理、注液尾气处理设施排放口非甲烷总烃满足《电池工业污</w:t>
            </w:r>
            <w:r>
              <w:rPr>
                <w:sz w:val="22"/>
                <w:szCs w:val="22"/>
                <w:spacing w:val="1"/>
              </w:rPr>
              <w:t xml:space="preserve"> </w:t>
            </w:r>
            <w:r>
              <w:rPr>
                <w:sz w:val="22"/>
                <w:szCs w:val="22"/>
                <w:spacing w:val="1"/>
              </w:rPr>
              <w:t>染物排放标准》(</w:t>
            </w:r>
            <w:r>
              <w:rPr>
                <w:sz w:val="22"/>
                <w:szCs w:val="22"/>
              </w:rPr>
              <w:t>GB</w:t>
            </w:r>
            <w:r>
              <w:rPr>
                <w:sz w:val="22"/>
                <w:szCs w:val="22"/>
                <w:spacing w:val="1"/>
              </w:rPr>
              <w:t>30484-2013)表5规定的排放限值的要</w:t>
            </w:r>
            <w:r>
              <w:rPr>
                <w:sz w:val="22"/>
                <w:szCs w:val="22"/>
              </w:rPr>
              <w:t xml:space="preserve">  </w:t>
            </w:r>
            <w:r>
              <w:rPr>
                <w:sz w:val="22"/>
                <w:szCs w:val="22"/>
                <w:spacing w:val="-6"/>
              </w:rPr>
              <w:t>求</w:t>
            </w:r>
            <w:r>
              <w:rPr>
                <w:sz w:val="22"/>
                <w:szCs w:val="22"/>
                <w:spacing w:val="61"/>
              </w:rPr>
              <w:t xml:space="preserve"> </w:t>
            </w:r>
            <w:r>
              <w:rPr>
                <w:sz w:val="22"/>
                <w:szCs w:val="22"/>
                <w:spacing w:val="-6"/>
              </w:rPr>
              <w:t>；</w:t>
            </w:r>
          </w:p>
          <w:p>
            <w:pPr>
              <w:pStyle w:val="TableText"/>
              <w:ind w:left="125"/>
              <w:spacing w:before="26" w:line="220" w:lineRule="auto"/>
              <w:rPr>
                <w:sz w:val="22"/>
                <w:szCs w:val="22"/>
              </w:rPr>
            </w:pPr>
            <w:r>
              <w:rPr>
                <w:sz w:val="22"/>
                <w:szCs w:val="22"/>
                <w:spacing w:val="2"/>
              </w:rPr>
              <w:t>2)锅炉废气</w:t>
            </w:r>
          </w:p>
          <w:p>
            <w:pPr>
              <w:pStyle w:val="TableText"/>
              <w:ind w:left="155"/>
              <w:spacing w:before="16" w:line="219" w:lineRule="auto"/>
              <w:rPr>
                <w:sz w:val="22"/>
                <w:szCs w:val="22"/>
              </w:rPr>
            </w:pPr>
            <w:r>
              <w:rPr>
                <w:sz w:val="22"/>
                <w:szCs w:val="22"/>
                <w:spacing w:val="-9"/>
              </w:rPr>
              <w:t>验收监测期间，锅炉废气出口中颗粒物、二</w:t>
            </w:r>
            <w:r>
              <w:rPr>
                <w:sz w:val="22"/>
                <w:szCs w:val="22"/>
                <w:spacing w:val="-10"/>
              </w:rPr>
              <w:t>氧化硫、氮氧化</w:t>
            </w:r>
            <w:r>
              <w:rPr>
                <w:sz w:val="22"/>
                <w:szCs w:val="22"/>
              </w:rPr>
              <w:t xml:space="preserve"> </w:t>
            </w:r>
            <w:r>
              <w:rPr>
                <w:sz w:val="22"/>
                <w:szCs w:val="22"/>
                <w:spacing w:val="-1"/>
              </w:rPr>
              <w:t>物、烟气黑度，均满足《锅炉大气污染物排放</w:t>
            </w:r>
            <w:r>
              <w:rPr>
                <w:sz w:val="22"/>
                <w:szCs w:val="22"/>
                <w:spacing w:val="-2"/>
              </w:rPr>
              <w:t>标准》</w:t>
            </w:r>
          </w:p>
          <w:p>
            <w:pPr>
              <w:pStyle w:val="TableText"/>
              <w:ind w:left="235"/>
              <w:spacing w:before="18" w:line="218" w:lineRule="auto"/>
              <w:rPr>
                <w:sz w:val="22"/>
                <w:szCs w:val="22"/>
              </w:rPr>
            </w:pPr>
            <w:r>
              <w:rPr>
                <w:sz w:val="22"/>
                <w:szCs w:val="22"/>
              </w:rPr>
              <w:t>(GB13271-2014)表2标准限值要求。</w:t>
            </w:r>
          </w:p>
          <w:p>
            <w:pPr>
              <w:pStyle w:val="TableText"/>
              <w:ind w:left="125"/>
              <w:spacing w:line="219" w:lineRule="auto"/>
              <w:rPr>
                <w:sz w:val="22"/>
                <w:szCs w:val="22"/>
              </w:rPr>
            </w:pPr>
            <w:r>
              <w:rPr>
                <w:sz w:val="22"/>
                <w:szCs w:val="22"/>
                <w:spacing w:val="1"/>
              </w:rPr>
              <w:t>3)污水处理站废气</w:t>
            </w:r>
          </w:p>
          <w:p>
            <w:pPr>
              <w:pStyle w:val="TableText"/>
              <w:ind w:left="125" w:firstLine="10"/>
              <w:spacing w:before="8" w:line="227" w:lineRule="auto"/>
              <w:rPr>
                <w:sz w:val="22"/>
                <w:szCs w:val="22"/>
              </w:rPr>
            </w:pPr>
            <w:r>
              <w:rPr>
                <w:sz w:val="22"/>
                <w:szCs w:val="22"/>
                <w:spacing w:val="-9"/>
              </w:rPr>
              <w:t>验收监测期间，污水处理站废气处理设施出口硫化氢平均排</w:t>
            </w:r>
            <w:r>
              <w:rPr>
                <w:sz w:val="22"/>
                <w:szCs w:val="22"/>
                <w:spacing w:val="10"/>
              </w:rPr>
              <w:t xml:space="preserve"> </w:t>
            </w:r>
            <w:r>
              <w:rPr>
                <w:sz w:val="22"/>
                <w:szCs w:val="22"/>
                <w:spacing w:val="-8"/>
              </w:rPr>
              <w:t>放速率、氨平均排放速率、臭气排放浓度最大值均满</w:t>
            </w:r>
            <w:r>
              <w:rPr>
                <w:sz w:val="22"/>
                <w:szCs w:val="22"/>
                <w:spacing w:val="-9"/>
              </w:rPr>
              <w:t>足《恶</w:t>
            </w:r>
            <w:r>
              <w:rPr>
                <w:sz w:val="22"/>
                <w:szCs w:val="22"/>
              </w:rPr>
              <w:t xml:space="preserve"> </w:t>
            </w:r>
            <w:r>
              <w:rPr>
                <w:sz w:val="22"/>
                <w:szCs w:val="22"/>
              </w:rPr>
              <w:t>臭污染物排放标准》(GB14554-93)表2恶臭污染物排放限  </w:t>
            </w:r>
            <w:r>
              <w:rPr>
                <w:sz w:val="22"/>
                <w:szCs w:val="22"/>
                <w:spacing w:val="-1"/>
              </w:rPr>
              <w:t>值的要求。</w:t>
            </w:r>
          </w:p>
          <w:p>
            <w:pPr>
              <w:pStyle w:val="TableText"/>
              <w:ind w:left="116"/>
              <w:spacing w:before="20" w:line="217" w:lineRule="auto"/>
              <w:rPr>
                <w:sz w:val="22"/>
                <w:szCs w:val="22"/>
              </w:rPr>
            </w:pPr>
            <w:r>
              <w:rPr>
                <w:sz w:val="22"/>
                <w:szCs w:val="22"/>
                <w:spacing w:val="1"/>
              </w:rPr>
              <w:t>4)食堂油烟废气</w:t>
            </w:r>
          </w:p>
          <w:p>
            <w:pPr>
              <w:pStyle w:val="TableText"/>
              <w:spacing w:line="197" w:lineRule="auto"/>
              <w:jc w:val="right"/>
              <w:rPr>
                <w:sz w:val="22"/>
                <w:szCs w:val="22"/>
              </w:rPr>
            </w:pPr>
            <w:r>
              <w:rPr>
                <w:sz w:val="22"/>
                <w:szCs w:val="22"/>
                <w:spacing w:val="-9"/>
              </w:rPr>
              <w:t>验收监测期间，食堂油烟废气处理设施出口油烟均满足《饮</w:t>
            </w:r>
          </w:p>
        </w:tc>
        <w:tc>
          <w:tcPr>
            <w:tcW w:w="1904"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179"/>
              <w:spacing w:before="72" w:line="220" w:lineRule="auto"/>
              <w:rPr>
                <w:sz w:val="22"/>
                <w:szCs w:val="22"/>
              </w:rPr>
            </w:pPr>
            <w:r>
              <w:rPr>
                <w:sz w:val="22"/>
                <w:szCs w:val="22"/>
                <w:spacing w:val="1"/>
              </w:rPr>
              <w:t>已落实批复要求</w:t>
            </w:r>
          </w:p>
        </w:tc>
      </w:tr>
    </w:tbl>
    <w:p>
      <w:pPr>
        <w:rPr>
          <w:rFonts w:ascii="Arial"/>
          <w:sz w:val="21"/>
        </w:rPr>
      </w:pPr>
      <w:r/>
    </w:p>
    <w:p>
      <w:pPr>
        <w:sectPr>
          <w:footerReference w:type="default" r:id="rId59"/>
          <w:pgSz w:w="16840" w:h="11900"/>
          <w:pgMar w:top="1011" w:right="1354" w:bottom="978" w:left="1325" w:header="0" w:footer="839" w:gutter="0"/>
        </w:sectPr>
        <w:rPr>
          <w:rFonts w:ascii="Arial" w:hAnsi="Arial" w:eastAsia="Arial" w:cs="Arial"/>
          <w:sz w:val="21"/>
          <w:szCs w:val="21"/>
        </w:rPr>
      </w:pPr>
    </w:p>
    <w:p>
      <w:pPr>
        <w:spacing w:before="110"/>
        <w:rPr/>
      </w:pPr>
      <w:r/>
    </w:p>
    <w:p>
      <w:pPr>
        <w:spacing w:before="110"/>
        <w:rPr/>
      </w:pPr>
      <w:r/>
    </w:p>
    <w:tbl>
      <w:tblPr>
        <w:tblStyle w:val="TableNormal"/>
        <w:tblW w:w="141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94"/>
        <w:gridCol w:w="849"/>
        <w:gridCol w:w="4956"/>
        <w:gridCol w:w="5646"/>
        <w:gridCol w:w="1904"/>
      </w:tblGrid>
      <w:tr>
        <w:trPr>
          <w:trHeight w:val="1343" w:hRule="atLeast"/>
        </w:trPr>
        <w:tc>
          <w:tcPr>
            <w:tcW w:w="794" w:type="dxa"/>
            <w:vAlign w:val="top"/>
            <w:vMerge w:val="restart"/>
            <w:tcBorders>
              <w:bottom w:val="nil"/>
            </w:tcBorders>
          </w:tcPr>
          <w:p>
            <w:pPr>
              <w:rPr>
                <w:rFonts w:ascii="Arial"/>
                <w:sz w:val="21"/>
              </w:rPr>
            </w:pPr>
            <w:r/>
          </w:p>
        </w:tc>
        <w:tc>
          <w:tcPr>
            <w:tcW w:w="849" w:type="dxa"/>
            <w:vAlign w:val="top"/>
            <w:vMerge w:val="restart"/>
            <w:tcBorders>
              <w:bottom w:val="nil"/>
            </w:tcBorders>
          </w:tcPr>
          <w:p>
            <w:pPr>
              <w:rPr>
                <w:rFonts w:ascii="Arial"/>
                <w:sz w:val="21"/>
              </w:rPr>
            </w:pPr>
            <w:r/>
          </w:p>
        </w:tc>
        <w:tc>
          <w:tcPr>
            <w:tcW w:w="4956" w:type="dxa"/>
            <w:vAlign w:val="top"/>
          </w:tcPr>
          <w:p>
            <w:pPr>
              <w:rPr>
                <w:rFonts w:ascii="Arial"/>
                <w:sz w:val="21"/>
              </w:rPr>
            </w:pPr>
            <w:r/>
          </w:p>
        </w:tc>
        <w:tc>
          <w:tcPr>
            <w:tcW w:w="5646" w:type="dxa"/>
            <w:vAlign w:val="top"/>
          </w:tcPr>
          <w:p>
            <w:pPr>
              <w:pStyle w:val="TableText"/>
              <w:ind w:left="116" w:right="195" w:firstLine="180"/>
              <w:spacing w:before="33" w:line="232" w:lineRule="auto"/>
              <w:rPr>
                <w:sz w:val="21"/>
                <w:szCs w:val="21"/>
              </w:rPr>
            </w:pPr>
            <w:r>
              <w:rPr>
                <w:sz w:val="21"/>
                <w:szCs w:val="21"/>
              </w:rPr>
              <w:t>食业油烟排放标准》(试行)GB18483-2001表2限值要</w:t>
            </w:r>
            <w:r>
              <w:rPr>
                <w:sz w:val="21"/>
                <w:szCs w:val="21"/>
                <w:spacing w:val="-1"/>
              </w:rPr>
              <w:t>求。</w:t>
            </w:r>
            <w:r>
              <w:rPr>
                <w:sz w:val="21"/>
                <w:szCs w:val="21"/>
              </w:rPr>
              <w:t xml:space="preserve"> </w:t>
            </w:r>
            <w:r>
              <w:rPr>
                <w:sz w:val="21"/>
                <w:szCs w:val="21"/>
                <w:spacing w:val="1"/>
              </w:rPr>
              <w:t>5)焚烧塔废气</w:t>
            </w:r>
          </w:p>
          <w:p>
            <w:pPr>
              <w:pStyle w:val="TableText"/>
              <w:ind w:left="86"/>
              <w:spacing w:before="10" w:line="219" w:lineRule="auto"/>
              <w:rPr>
                <w:sz w:val="21"/>
                <w:szCs w:val="21"/>
              </w:rPr>
            </w:pPr>
            <w:r>
              <w:rPr>
                <w:sz w:val="21"/>
                <w:szCs w:val="21"/>
                <w:spacing w:val="-1"/>
              </w:rPr>
              <w:t>验收监测期间，焚烧塔废气出口颗粒物、二氧化硫、氮氧化</w:t>
            </w:r>
          </w:p>
          <w:p>
            <w:pPr>
              <w:pStyle w:val="TableText"/>
              <w:ind w:left="204" w:hanging="189"/>
              <w:spacing w:before="31" w:line="211" w:lineRule="auto"/>
              <w:rPr>
                <w:sz w:val="21"/>
                <w:szCs w:val="21"/>
              </w:rPr>
            </w:pPr>
            <w:r>
              <w:rPr>
                <w:sz w:val="21"/>
                <w:szCs w:val="21"/>
                <w:spacing w:val="-2"/>
              </w:rPr>
              <w:t>物、非甲烷总烃均满足《大气污染物综合排放标准》(GB16297</w:t>
            </w:r>
            <w:r>
              <w:rPr>
                <w:sz w:val="21"/>
                <w:szCs w:val="21"/>
                <w:spacing w:val="11"/>
              </w:rPr>
              <w:t xml:space="preserve"> </w:t>
            </w:r>
            <w:r>
              <w:rPr>
                <w:sz w:val="21"/>
                <w:szCs w:val="21"/>
                <w:spacing w:val="-1"/>
              </w:rPr>
              <w:t>-1996)表2新污染源大气污染物排放限值的要求。</w:t>
            </w:r>
          </w:p>
        </w:tc>
        <w:tc>
          <w:tcPr>
            <w:tcW w:w="1904" w:type="dxa"/>
            <w:vAlign w:val="top"/>
          </w:tcPr>
          <w:p>
            <w:pPr>
              <w:rPr>
                <w:rFonts w:ascii="Arial"/>
                <w:sz w:val="21"/>
              </w:rPr>
            </w:pPr>
            <w:r/>
          </w:p>
        </w:tc>
      </w:tr>
      <w:tr>
        <w:trPr>
          <w:trHeight w:val="1638" w:hRule="atLeast"/>
        </w:trPr>
        <w:tc>
          <w:tcPr>
            <w:tcW w:w="794" w:type="dxa"/>
            <w:vAlign w:val="top"/>
            <w:vMerge w:val="continue"/>
            <w:tcBorders>
              <w:top w:val="nil"/>
              <w:bottom w:val="nil"/>
            </w:tcBorders>
          </w:tcPr>
          <w:p>
            <w:pPr>
              <w:rPr>
                <w:rFonts w:ascii="Arial"/>
                <w:sz w:val="21"/>
              </w:rPr>
            </w:pPr>
            <w:r/>
          </w:p>
        </w:tc>
        <w:tc>
          <w:tcPr>
            <w:tcW w:w="849" w:type="dxa"/>
            <w:vAlign w:val="top"/>
            <w:vMerge w:val="continue"/>
            <w:tcBorders>
              <w:top w:val="nil"/>
            </w:tcBorders>
          </w:tcPr>
          <w:p>
            <w:pPr>
              <w:rPr>
                <w:rFonts w:ascii="Arial"/>
                <w:sz w:val="21"/>
              </w:rPr>
            </w:pPr>
            <w:r/>
          </w:p>
        </w:tc>
        <w:tc>
          <w:tcPr>
            <w:tcW w:w="4956" w:type="dxa"/>
            <w:vAlign w:val="top"/>
          </w:tcPr>
          <w:p>
            <w:pPr>
              <w:pStyle w:val="TableText"/>
              <w:ind w:left="51" w:firstLine="109"/>
              <w:spacing w:before="200" w:line="232" w:lineRule="auto"/>
              <w:rPr>
                <w:sz w:val="21"/>
                <w:szCs w:val="21"/>
              </w:rPr>
            </w:pPr>
            <w:r>
              <w:rPr>
                <w:sz w:val="21"/>
                <w:szCs w:val="21"/>
                <w:spacing w:val="-2"/>
              </w:rPr>
              <w:t>4.加强不利气象条件下各项废气污染防治设施和措</w:t>
            </w:r>
            <w:r>
              <w:rPr>
                <w:sz w:val="21"/>
                <w:szCs w:val="21"/>
              </w:rPr>
              <w:t xml:space="preserve">   </w:t>
            </w:r>
            <w:r>
              <w:rPr>
                <w:sz w:val="21"/>
                <w:szCs w:val="21"/>
              </w:rPr>
              <w:t>施的运行与落实情况检查，确保废气稳定达标排放。</w:t>
            </w:r>
            <w:r>
              <w:rPr>
                <w:sz w:val="21"/>
                <w:szCs w:val="21"/>
                <w:spacing w:val="14"/>
              </w:rPr>
              <w:t xml:space="preserve"> </w:t>
            </w:r>
            <w:r>
              <w:rPr>
                <w:sz w:val="21"/>
                <w:szCs w:val="21"/>
                <w:spacing w:val="-1"/>
              </w:rPr>
              <w:t>按照报告表要求落实项目的环境防护距离，并</w:t>
            </w:r>
            <w:r>
              <w:rPr>
                <w:sz w:val="21"/>
                <w:szCs w:val="21"/>
                <w:spacing w:val="-2"/>
              </w:rPr>
              <w:t>向规划</w:t>
            </w:r>
            <w:r>
              <w:rPr>
                <w:sz w:val="21"/>
                <w:szCs w:val="21"/>
              </w:rPr>
              <w:t xml:space="preserve">  </w:t>
            </w:r>
            <w:r>
              <w:rPr>
                <w:sz w:val="21"/>
                <w:szCs w:val="21"/>
                <w:spacing w:val="2"/>
              </w:rPr>
              <w:t>部门报告环境防护距离内不规划建设居住区、学校、</w:t>
            </w:r>
            <w:r>
              <w:rPr>
                <w:sz w:val="21"/>
                <w:szCs w:val="21"/>
                <w:spacing w:val="17"/>
              </w:rPr>
              <w:t xml:space="preserve"> </w:t>
            </w:r>
            <w:r>
              <w:rPr>
                <w:sz w:val="21"/>
                <w:szCs w:val="21"/>
                <w:spacing w:val="4"/>
              </w:rPr>
              <w:t>兵院、疗养院等环境敏感目标</w:t>
            </w:r>
          </w:p>
        </w:tc>
        <w:tc>
          <w:tcPr>
            <w:tcW w:w="5646" w:type="dxa"/>
            <w:vAlign w:val="top"/>
          </w:tcPr>
          <w:p>
            <w:pPr>
              <w:pStyle w:val="TableText"/>
              <w:ind w:left="86"/>
              <w:spacing w:before="40" w:line="219" w:lineRule="auto"/>
              <w:rPr>
                <w:sz w:val="21"/>
                <w:szCs w:val="21"/>
              </w:rPr>
            </w:pPr>
            <w:r>
              <w:rPr>
                <w:sz w:val="21"/>
                <w:szCs w:val="21"/>
              </w:rPr>
              <w:t>项目通过设立制度，加强不利气象条件下各项废气污染防治</w:t>
            </w:r>
          </w:p>
          <w:p>
            <w:pPr>
              <w:pStyle w:val="TableText"/>
              <w:ind w:left="95" w:right="201" w:firstLine="100"/>
              <w:spacing w:before="40" w:line="221" w:lineRule="auto"/>
              <w:rPr>
                <w:sz w:val="21"/>
                <w:szCs w:val="21"/>
              </w:rPr>
            </w:pPr>
            <w:r>
              <w:rPr>
                <w:sz w:val="21"/>
                <w:szCs w:val="21"/>
                <w:spacing w:val="-1"/>
              </w:rPr>
              <w:t>设施和措施的运行与落实情况检查，确保废气稳定达标排</w:t>
            </w:r>
            <w:r>
              <w:rPr>
                <w:sz w:val="21"/>
                <w:szCs w:val="21"/>
                <w:spacing w:val="12"/>
              </w:rPr>
              <w:t xml:space="preserve"> </w:t>
            </w:r>
            <w:r>
              <w:rPr>
                <w:sz w:val="21"/>
                <w:szCs w:val="21"/>
                <w:spacing w:val="-2"/>
              </w:rPr>
              <w:t>放。</w:t>
            </w:r>
          </w:p>
          <w:p>
            <w:pPr>
              <w:pStyle w:val="TableText"/>
              <w:ind w:left="86" w:right="77"/>
              <w:spacing w:before="44" w:line="220" w:lineRule="auto"/>
              <w:jc w:val="both"/>
              <w:rPr>
                <w:sz w:val="21"/>
                <w:szCs w:val="21"/>
              </w:rPr>
            </w:pPr>
            <w:r>
              <w:rPr>
                <w:sz w:val="21"/>
                <w:szCs w:val="21"/>
                <w:spacing w:val="-1"/>
              </w:rPr>
              <w:t>按照报告表要求落实项目的环境防护距离，并向规划部门报</w:t>
            </w:r>
            <w:r>
              <w:rPr>
                <w:sz w:val="21"/>
                <w:szCs w:val="21"/>
                <w:spacing w:val="15"/>
              </w:rPr>
              <w:t xml:space="preserve"> </w:t>
            </w:r>
            <w:r>
              <w:rPr>
                <w:sz w:val="21"/>
                <w:szCs w:val="21"/>
              </w:rPr>
              <w:t>告环境防护距离内不规划建设居住区、学校、医院、疗养院</w:t>
            </w:r>
            <w:r>
              <w:rPr>
                <w:sz w:val="21"/>
                <w:szCs w:val="21"/>
                <w:spacing w:val="11"/>
              </w:rPr>
              <w:t xml:space="preserve"> </w:t>
            </w:r>
            <w:r>
              <w:rPr>
                <w:sz w:val="21"/>
                <w:szCs w:val="21"/>
                <w:spacing w:val="5"/>
              </w:rPr>
              <w:t>等环境敏感目标。</w:t>
            </w:r>
          </w:p>
        </w:tc>
        <w:tc>
          <w:tcPr>
            <w:tcW w:w="1904" w:type="dxa"/>
            <w:vAlign w:val="top"/>
          </w:tcPr>
          <w:p>
            <w:pPr>
              <w:spacing w:line="324" w:lineRule="auto"/>
              <w:rPr>
                <w:rFonts w:ascii="Arial"/>
                <w:sz w:val="21"/>
              </w:rPr>
            </w:pPr>
            <w:r/>
          </w:p>
          <w:p>
            <w:pPr>
              <w:spacing w:line="324" w:lineRule="auto"/>
              <w:rPr>
                <w:rFonts w:ascii="Arial"/>
                <w:sz w:val="21"/>
              </w:rPr>
            </w:pPr>
            <w:r/>
          </w:p>
          <w:p>
            <w:pPr>
              <w:pStyle w:val="TableText"/>
              <w:ind w:left="209"/>
              <w:spacing w:before="69" w:line="220" w:lineRule="auto"/>
              <w:rPr>
                <w:sz w:val="21"/>
                <w:szCs w:val="21"/>
              </w:rPr>
            </w:pPr>
            <w:r>
              <w:rPr>
                <w:sz w:val="21"/>
                <w:szCs w:val="21"/>
                <w:spacing w:val="1"/>
              </w:rPr>
              <w:t>已落实批复要求</w:t>
            </w:r>
          </w:p>
        </w:tc>
      </w:tr>
      <w:tr>
        <w:trPr>
          <w:trHeight w:val="1638" w:hRule="atLeast"/>
        </w:trPr>
        <w:tc>
          <w:tcPr>
            <w:tcW w:w="794" w:type="dxa"/>
            <w:vAlign w:val="top"/>
            <w:vMerge w:val="continue"/>
            <w:tcBorders>
              <w:top w:val="nil"/>
              <w:bottom w:val="nil"/>
            </w:tcBorders>
          </w:tcPr>
          <w:p>
            <w:pPr>
              <w:rPr>
                <w:rFonts w:ascii="Arial"/>
                <w:sz w:val="21"/>
              </w:rPr>
            </w:pPr>
            <w:r/>
          </w:p>
        </w:tc>
        <w:tc>
          <w:tcPr>
            <w:tcW w:w="849" w:type="dxa"/>
            <w:vAlign w:val="top"/>
          </w:tcPr>
          <w:p>
            <w:pPr>
              <w:pStyle w:val="TableText"/>
              <w:ind w:left="310"/>
              <w:spacing w:before="46" w:line="222" w:lineRule="auto"/>
              <w:rPr>
                <w:sz w:val="21"/>
                <w:szCs w:val="21"/>
              </w:rPr>
            </w:pPr>
            <w:r>
              <w:rPr>
                <w:sz w:val="21"/>
                <w:szCs w:val="21"/>
              </w:rPr>
              <w:t>四</w:t>
            </w:r>
          </w:p>
        </w:tc>
        <w:tc>
          <w:tcPr>
            <w:tcW w:w="4956" w:type="dxa"/>
            <w:vAlign w:val="top"/>
          </w:tcPr>
          <w:p>
            <w:pPr>
              <w:pStyle w:val="TableText"/>
              <w:ind w:left="51"/>
              <w:spacing w:before="51" w:line="219" w:lineRule="auto"/>
              <w:rPr>
                <w:sz w:val="21"/>
                <w:szCs w:val="21"/>
              </w:rPr>
            </w:pPr>
            <w:r>
              <w:rPr>
                <w:sz w:val="21"/>
                <w:szCs w:val="21"/>
                <w:spacing w:val="-1"/>
              </w:rPr>
              <w:t>严格落实噪声污染防治措施。合理优化厂区布局，选</w:t>
            </w:r>
          </w:p>
          <w:p>
            <w:pPr>
              <w:pStyle w:val="TableText"/>
              <w:ind w:left="51"/>
              <w:spacing w:before="20" w:line="219" w:lineRule="auto"/>
              <w:rPr>
                <w:sz w:val="21"/>
                <w:szCs w:val="21"/>
              </w:rPr>
            </w:pPr>
            <w:r>
              <w:rPr>
                <w:sz w:val="21"/>
                <w:szCs w:val="21"/>
                <w:spacing w:val="-1"/>
              </w:rPr>
              <w:t>用低噪声设备，并采取隔声、消声、减震措施，厂界</w:t>
            </w:r>
          </w:p>
          <w:p>
            <w:pPr>
              <w:pStyle w:val="TableText"/>
              <w:ind w:right="8"/>
              <w:spacing w:before="32" w:line="220" w:lineRule="auto"/>
              <w:jc w:val="right"/>
              <w:rPr>
                <w:sz w:val="21"/>
                <w:szCs w:val="21"/>
              </w:rPr>
            </w:pPr>
            <w:r>
              <w:rPr>
                <w:sz w:val="21"/>
                <w:szCs w:val="21"/>
              </w:rPr>
              <w:t>环境噪声应达到《工业企业厂界环境噪声排放标准》</w:t>
            </w:r>
          </w:p>
          <w:p>
            <w:pPr>
              <w:pStyle w:val="TableText"/>
              <w:ind w:left="312"/>
              <w:spacing w:before="29" w:line="219" w:lineRule="auto"/>
              <w:rPr>
                <w:sz w:val="21"/>
                <w:szCs w:val="21"/>
              </w:rPr>
            </w:pPr>
            <w:r>
              <w:rPr>
                <w:sz w:val="21"/>
                <w:szCs w:val="21"/>
              </w:rPr>
              <w:t>(GB12348-2008)中的3类标准，且应确保石雷洋</w:t>
            </w:r>
          </w:p>
          <w:p>
            <w:pPr>
              <w:pStyle w:val="TableText"/>
              <w:ind w:left="140" w:right="73" w:hanging="89"/>
              <w:spacing w:before="9" w:line="214" w:lineRule="auto"/>
              <w:rPr>
                <w:sz w:val="21"/>
                <w:szCs w:val="21"/>
              </w:rPr>
            </w:pPr>
            <w:r>
              <w:rPr>
                <w:sz w:val="21"/>
                <w:szCs w:val="21"/>
                <w:spacing w:val="-1"/>
              </w:rPr>
              <w:t>村和大沙村等周边村庄的声环境满足《声环境质量标</w:t>
            </w:r>
            <w:r>
              <w:rPr>
                <w:sz w:val="21"/>
                <w:szCs w:val="21"/>
                <w:spacing w:val="12"/>
              </w:rPr>
              <w:t xml:space="preserve"> </w:t>
            </w:r>
            <w:r>
              <w:rPr>
                <w:sz w:val="21"/>
                <w:szCs w:val="21"/>
                <w:spacing w:val="-1"/>
              </w:rPr>
              <w:t>准》(GB3096-2008)2类标准要求。</w:t>
            </w:r>
          </w:p>
        </w:tc>
        <w:tc>
          <w:tcPr>
            <w:tcW w:w="5646" w:type="dxa"/>
            <w:vAlign w:val="top"/>
          </w:tcPr>
          <w:p>
            <w:pPr>
              <w:pStyle w:val="TableText"/>
              <w:ind w:left="86" w:right="54"/>
              <w:spacing w:before="190" w:line="232" w:lineRule="auto"/>
              <w:jc w:val="both"/>
              <w:rPr>
                <w:sz w:val="21"/>
                <w:szCs w:val="21"/>
              </w:rPr>
            </w:pPr>
            <w:r>
              <w:rPr>
                <w:sz w:val="21"/>
                <w:szCs w:val="21"/>
              </w:rPr>
              <w:t>项目大多数声源都安置在厂房车间内或相应设备房内，且采</w:t>
            </w:r>
            <w:r>
              <w:rPr>
                <w:sz w:val="21"/>
                <w:szCs w:val="21"/>
                <w:spacing w:val="7"/>
              </w:rPr>
              <w:t xml:space="preserve"> </w:t>
            </w:r>
            <w:r>
              <w:rPr>
                <w:sz w:val="21"/>
                <w:szCs w:val="21"/>
              </w:rPr>
              <w:t>用基础减震、消声等措施。结合验收监测数据显示；厂界环</w:t>
            </w:r>
            <w:r>
              <w:rPr>
                <w:sz w:val="21"/>
                <w:szCs w:val="21"/>
                <w:spacing w:val="9"/>
              </w:rPr>
              <w:t xml:space="preserve"> </w:t>
            </w:r>
            <w:r>
              <w:rPr>
                <w:sz w:val="21"/>
                <w:szCs w:val="21"/>
                <w:spacing w:val="-9"/>
              </w:rPr>
              <w:t>境</w:t>
            </w:r>
            <w:r>
              <w:rPr>
                <w:sz w:val="21"/>
                <w:szCs w:val="21"/>
                <w:spacing w:val="-29"/>
              </w:rPr>
              <w:t xml:space="preserve"> </w:t>
            </w:r>
            <w:r>
              <w:rPr>
                <w:sz w:val="21"/>
                <w:szCs w:val="21"/>
                <w:spacing w:val="-9"/>
              </w:rPr>
              <w:t>噪</w:t>
            </w:r>
            <w:r>
              <w:rPr>
                <w:sz w:val="21"/>
                <w:szCs w:val="21"/>
                <w:spacing w:val="-41"/>
              </w:rPr>
              <w:t xml:space="preserve"> </w:t>
            </w:r>
            <w:r>
              <w:rPr>
                <w:sz w:val="21"/>
                <w:szCs w:val="21"/>
                <w:spacing w:val="-9"/>
              </w:rPr>
              <w:t>声</w:t>
            </w:r>
            <w:r>
              <w:rPr>
                <w:sz w:val="21"/>
                <w:szCs w:val="21"/>
                <w:spacing w:val="-43"/>
              </w:rPr>
              <w:t xml:space="preserve"> </w:t>
            </w:r>
            <w:r>
              <w:rPr>
                <w:sz w:val="21"/>
                <w:szCs w:val="21"/>
                <w:spacing w:val="-9"/>
              </w:rPr>
              <w:t>符</w:t>
            </w:r>
            <w:r>
              <w:rPr>
                <w:sz w:val="21"/>
                <w:szCs w:val="21"/>
                <w:spacing w:val="-45"/>
              </w:rPr>
              <w:t xml:space="preserve"> </w:t>
            </w:r>
            <w:r>
              <w:rPr>
                <w:sz w:val="21"/>
                <w:szCs w:val="21"/>
                <w:spacing w:val="-9"/>
              </w:rPr>
              <w:t>合</w:t>
            </w:r>
            <w:r>
              <w:rPr>
                <w:sz w:val="21"/>
                <w:szCs w:val="21"/>
                <w:spacing w:val="-53"/>
              </w:rPr>
              <w:t xml:space="preserve"> </w:t>
            </w:r>
            <w:r>
              <w:rPr>
                <w:sz w:val="21"/>
                <w:szCs w:val="21"/>
                <w:spacing w:val="-9"/>
              </w:rPr>
              <w:t>《</w:t>
            </w:r>
            <w:r>
              <w:rPr>
                <w:sz w:val="21"/>
                <w:szCs w:val="21"/>
                <w:spacing w:val="-22"/>
              </w:rPr>
              <w:t xml:space="preserve"> </w:t>
            </w:r>
            <w:r>
              <w:rPr>
                <w:sz w:val="21"/>
                <w:szCs w:val="21"/>
                <w:spacing w:val="-9"/>
              </w:rPr>
              <w:t>工</w:t>
            </w:r>
            <w:r>
              <w:rPr>
                <w:sz w:val="21"/>
                <w:szCs w:val="21"/>
                <w:spacing w:val="-46"/>
              </w:rPr>
              <w:t xml:space="preserve"> </w:t>
            </w:r>
            <w:r>
              <w:rPr>
                <w:sz w:val="21"/>
                <w:szCs w:val="21"/>
                <w:spacing w:val="-9"/>
              </w:rPr>
              <w:t>业</w:t>
            </w:r>
            <w:r>
              <w:rPr>
                <w:sz w:val="21"/>
                <w:szCs w:val="21"/>
                <w:spacing w:val="-42"/>
              </w:rPr>
              <w:t xml:space="preserve"> </w:t>
            </w:r>
            <w:r>
              <w:rPr>
                <w:sz w:val="21"/>
                <w:szCs w:val="21"/>
                <w:spacing w:val="-9"/>
              </w:rPr>
              <w:t>企</w:t>
            </w:r>
            <w:r>
              <w:rPr>
                <w:sz w:val="21"/>
                <w:szCs w:val="21"/>
                <w:spacing w:val="-46"/>
              </w:rPr>
              <w:t xml:space="preserve"> </w:t>
            </w:r>
            <w:r>
              <w:rPr>
                <w:sz w:val="21"/>
                <w:szCs w:val="21"/>
                <w:spacing w:val="-9"/>
              </w:rPr>
              <w:t>业</w:t>
            </w:r>
            <w:r>
              <w:rPr>
                <w:sz w:val="21"/>
                <w:szCs w:val="21"/>
                <w:spacing w:val="-43"/>
              </w:rPr>
              <w:t xml:space="preserve"> </w:t>
            </w:r>
            <w:r>
              <w:rPr>
                <w:sz w:val="21"/>
                <w:szCs w:val="21"/>
                <w:spacing w:val="-9"/>
              </w:rPr>
              <w:t>厂</w:t>
            </w:r>
            <w:r>
              <w:rPr>
                <w:sz w:val="21"/>
                <w:szCs w:val="21"/>
                <w:spacing w:val="-40"/>
              </w:rPr>
              <w:t xml:space="preserve"> </w:t>
            </w:r>
            <w:r>
              <w:rPr>
                <w:sz w:val="21"/>
                <w:szCs w:val="21"/>
                <w:spacing w:val="-9"/>
              </w:rPr>
              <w:t>界</w:t>
            </w:r>
            <w:r>
              <w:rPr>
                <w:sz w:val="21"/>
                <w:szCs w:val="21"/>
                <w:spacing w:val="-45"/>
              </w:rPr>
              <w:t xml:space="preserve"> </w:t>
            </w:r>
            <w:r>
              <w:rPr>
                <w:sz w:val="21"/>
                <w:szCs w:val="21"/>
                <w:spacing w:val="-9"/>
              </w:rPr>
              <w:t>环</w:t>
            </w:r>
            <w:r>
              <w:rPr>
                <w:sz w:val="21"/>
                <w:szCs w:val="21"/>
                <w:spacing w:val="-44"/>
              </w:rPr>
              <w:t xml:space="preserve"> </w:t>
            </w:r>
            <w:r>
              <w:rPr>
                <w:sz w:val="21"/>
                <w:szCs w:val="21"/>
                <w:spacing w:val="-9"/>
              </w:rPr>
              <w:t>境</w:t>
            </w:r>
            <w:r>
              <w:rPr>
                <w:sz w:val="21"/>
                <w:szCs w:val="21"/>
                <w:spacing w:val="-36"/>
              </w:rPr>
              <w:t xml:space="preserve"> </w:t>
            </w:r>
            <w:r>
              <w:rPr>
                <w:sz w:val="21"/>
                <w:szCs w:val="21"/>
                <w:spacing w:val="-9"/>
              </w:rPr>
              <w:t>噪</w:t>
            </w:r>
            <w:r>
              <w:rPr>
                <w:sz w:val="21"/>
                <w:szCs w:val="21"/>
                <w:spacing w:val="-41"/>
              </w:rPr>
              <w:t xml:space="preserve"> </w:t>
            </w:r>
            <w:r>
              <w:rPr>
                <w:sz w:val="21"/>
                <w:szCs w:val="21"/>
                <w:spacing w:val="-9"/>
              </w:rPr>
              <w:t>声</w:t>
            </w:r>
            <w:r>
              <w:rPr>
                <w:sz w:val="21"/>
                <w:szCs w:val="21"/>
                <w:spacing w:val="-45"/>
              </w:rPr>
              <w:t xml:space="preserve"> </w:t>
            </w:r>
            <w:r>
              <w:rPr>
                <w:sz w:val="21"/>
                <w:szCs w:val="21"/>
                <w:spacing w:val="-9"/>
              </w:rPr>
              <w:t>排</w:t>
            </w:r>
            <w:r>
              <w:rPr>
                <w:sz w:val="21"/>
                <w:szCs w:val="21"/>
                <w:spacing w:val="-45"/>
              </w:rPr>
              <w:t xml:space="preserve"> </w:t>
            </w:r>
            <w:r>
              <w:rPr>
                <w:sz w:val="21"/>
                <w:szCs w:val="21"/>
                <w:spacing w:val="-9"/>
              </w:rPr>
              <w:t>放</w:t>
            </w:r>
            <w:r>
              <w:rPr>
                <w:sz w:val="21"/>
                <w:szCs w:val="21"/>
                <w:spacing w:val="-44"/>
              </w:rPr>
              <w:t xml:space="preserve"> </w:t>
            </w:r>
            <w:r>
              <w:rPr>
                <w:sz w:val="21"/>
                <w:szCs w:val="21"/>
                <w:spacing w:val="-9"/>
              </w:rPr>
              <w:t>标</w:t>
            </w:r>
            <w:r>
              <w:rPr>
                <w:sz w:val="21"/>
                <w:szCs w:val="21"/>
                <w:spacing w:val="-44"/>
              </w:rPr>
              <w:t xml:space="preserve"> </w:t>
            </w:r>
            <w:r>
              <w:rPr>
                <w:sz w:val="21"/>
                <w:szCs w:val="21"/>
                <w:spacing w:val="-9"/>
              </w:rPr>
              <w:t>准</w:t>
            </w:r>
            <w:r>
              <w:rPr>
                <w:sz w:val="21"/>
                <w:szCs w:val="21"/>
                <w:spacing w:val="-33"/>
              </w:rPr>
              <w:t xml:space="preserve"> </w:t>
            </w:r>
            <w:r>
              <w:rPr>
                <w:sz w:val="21"/>
                <w:szCs w:val="21"/>
                <w:spacing w:val="-9"/>
              </w:rPr>
              <w:t>》</w:t>
            </w:r>
          </w:p>
          <w:p>
            <w:pPr>
              <w:pStyle w:val="TableText"/>
              <w:ind w:left="116" w:right="241" w:firstLine="130"/>
              <w:spacing w:before="20" w:line="224" w:lineRule="auto"/>
              <w:rPr>
                <w:sz w:val="21"/>
                <w:szCs w:val="21"/>
              </w:rPr>
            </w:pPr>
            <w:r>
              <w:rPr>
                <w:sz w:val="21"/>
                <w:szCs w:val="21"/>
              </w:rPr>
              <w:t>(GB12348-2008)中的3类标准，石雷洋村和大沙村声环境</w:t>
            </w:r>
            <w:r>
              <w:rPr>
                <w:sz w:val="21"/>
                <w:szCs w:val="21"/>
                <w:spacing w:val="2"/>
              </w:rPr>
              <w:t xml:space="preserve"> </w:t>
            </w:r>
            <w:r>
              <w:rPr>
                <w:sz w:val="21"/>
                <w:szCs w:val="21"/>
              </w:rPr>
              <w:t>满足《声环境质量标准》(GB3096-2008)2类</w:t>
            </w:r>
            <w:r>
              <w:rPr>
                <w:sz w:val="21"/>
                <w:szCs w:val="21"/>
                <w:spacing w:val="-1"/>
              </w:rPr>
              <w:t>标准要求。</w:t>
            </w:r>
          </w:p>
        </w:tc>
        <w:tc>
          <w:tcPr>
            <w:tcW w:w="1904" w:type="dxa"/>
            <w:vAlign w:val="top"/>
          </w:tcPr>
          <w:p>
            <w:pPr>
              <w:spacing w:line="325" w:lineRule="auto"/>
              <w:rPr>
                <w:rFonts w:ascii="Arial"/>
                <w:sz w:val="21"/>
              </w:rPr>
            </w:pPr>
            <w:r/>
          </w:p>
          <w:p>
            <w:pPr>
              <w:spacing w:line="326" w:lineRule="auto"/>
              <w:rPr>
                <w:rFonts w:ascii="Arial"/>
                <w:sz w:val="21"/>
              </w:rPr>
            </w:pPr>
            <w:r/>
          </w:p>
          <w:p>
            <w:pPr>
              <w:pStyle w:val="TableText"/>
              <w:ind w:left="209"/>
              <w:spacing w:before="68" w:line="220" w:lineRule="auto"/>
              <w:rPr>
                <w:sz w:val="21"/>
                <w:szCs w:val="21"/>
              </w:rPr>
            </w:pPr>
            <w:r>
              <w:rPr>
                <w:sz w:val="21"/>
                <w:szCs w:val="21"/>
                <w:spacing w:val="1"/>
              </w:rPr>
              <w:t>已落实批复要求</w:t>
            </w:r>
          </w:p>
        </w:tc>
      </w:tr>
      <w:tr>
        <w:trPr>
          <w:trHeight w:val="3830" w:hRule="atLeast"/>
        </w:trPr>
        <w:tc>
          <w:tcPr>
            <w:tcW w:w="794" w:type="dxa"/>
            <w:vAlign w:val="top"/>
            <w:vMerge w:val="continue"/>
            <w:tcBorders>
              <w:top w:val="nil"/>
            </w:tcBorders>
          </w:tcPr>
          <w:p>
            <w:pPr>
              <w:rPr>
                <w:rFonts w:ascii="Arial"/>
                <w:sz w:val="21"/>
              </w:rPr>
            </w:pPr>
            <w:r/>
          </w:p>
        </w:tc>
        <w:tc>
          <w:tcPr>
            <w:tcW w:w="849" w:type="dxa"/>
            <w:vAlign w:val="top"/>
          </w:tcPr>
          <w:p>
            <w:pPr>
              <w:pStyle w:val="TableText"/>
              <w:ind w:left="310"/>
              <w:spacing w:before="46" w:line="229" w:lineRule="auto"/>
              <w:rPr>
                <w:sz w:val="21"/>
                <w:szCs w:val="21"/>
              </w:rPr>
            </w:pPr>
            <w:r>
              <w:rPr>
                <w:sz w:val="21"/>
                <w:szCs w:val="21"/>
              </w:rPr>
              <w:t>五</w:t>
            </w:r>
          </w:p>
        </w:tc>
        <w:tc>
          <w:tcPr>
            <w:tcW w:w="4956" w:type="dxa"/>
            <w:vAlign w:val="top"/>
          </w:tcPr>
          <w:p>
            <w:pPr>
              <w:pStyle w:val="TableText"/>
              <w:ind w:left="51" w:right="9"/>
              <w:spacing w:before="37" w:line="238" w:lineRule="auto"/>
              <w:jc w:val="both"/>
              <w:rPr>
                <w:sz w:val="21"/>
                <w:szCs w:val="21"/>
              </w:rPr>
            </w:pPr>
            <w:r>
              <w:rPr>
                <w:sz w:val="21"/>
                <w:szCs w:val="21"/>
                <w:spacing w:val="1"/>
              </w:rPr>
              <w:t>严格落实固体废物分类处置和综合利用措施。</w:t>
            </w:r>
            <w:r>
              <w:rPr>
                <w:sz w:val="21"/>
                <w:szCs w:val="21"/>
              </w:rPr>
              <w:t>根据国 </w:t>
            </w:r>
            <w:r>
              <w:rPr>
                <w:sz w:val="21"/>
                <w:szCs w:val="21"/>
              </w:rPr>
              <w:t>家和地方的有关规定，按照“减量化、资源化、无害</w:t>
            </w:r>
            <w:r>
              <w:rPr>
                <w:sz w:val="21"/>
                <w:szCs w:val="21"/>
                <w:spacing w:val="12"/>
              </w:rPr>
              <w:t xml:space="preserve"> </w:t>
            </w:r>
            <w:r>
              <w:rPr>
                <w:sz w:val="21"/>
                <w:szCs w:val="21"/>
                <w:spacing w:val="2"/>
              </w:rPr>
              <w:t>化”原则，对固体废物进行分类收集、处理和处置。</w:t>
            </w:r>
            <w:r>
              <w:rPr>
                <w:sz w:val="21"/>
                <w:szCs w:val="21"/>
                <w:spacing w:val="7"/>
              </w:rPr>
              <w:t xml:space="preserve"> </w:t>
            </w:r>
            <w:r>
              <w:rPr>
                <w:sz w:val="21"/>
                <w:szCs w:val="21"/>
                <w:spacing w:val="3"/>
              </w:rPr>
              <w:t>1.项目产生的</w:t>
            </w:r>
            <w:r>
              <w:rPr>
                <w:sz w:val="21"/>
                <w:szCs w:val="21"/>
              </w:rPr>
              <w:t>NMP</w:t>
            </w:r>
            <w:r>
              <w:rPr>
                <w:sz w:val="21"/>
                <w:szCs w:val="21"/>
                <w:spacing w:val="3"/>
              </w:rPr>
              <w:t>废液由供应厂商回收；废极片</w:t>
            </w:r>
            <w:r>
              <w:rPr>
                <w:sz w:val="21"/>
                <w:szCs w:val="21"/>
                <w:spacing w:val="2"/>
              </w:rPr>
              <w:t>、废</w:t>
            </w:r>
            <w:r>
              <w:rPr>
                <w:sz w:val="21"/>
                <w:szCs w:val="21"/>
              </w:rPr>
              <w:t xml:space="preserve">  </w:t>
            </w:r>
            <w:r>
              <w:rPr>
                <w:sz w:val="21"/>
                <w:szCs w:val="21"/>
                <w:spacing w:val="1"/>
              </w:rPr>
              <w:t>隔膜、废电芯由具有相应经营范围的物资回收公</w:t>
            </w:r>
            <w:r>
              <w:rPr>
                <w:sz w:val="21"/>
                <w:szCs w:val="21"/>
              </w:rPr>
              <w:t>司回 </w:t>
            </w:r>
            <w:r>
              <w:rPr>
                <w:sz w:val="21"/>
                <w:szCs w:val="21"/>
              </w:rPr>
              <w:t>收处置；废铝箔废铜箔、粉料回收、废包装袋、废手</w:t>
            </w:r>
            <w:r>
              <w:rPr>
                <w:sz w:val="21"/>
                <w:szCs w:val="21"/>
                <w:spacing w:val="8"/>
              </w:rPr>
              <w:t xml:space="preserve"> </w:t>
            </w:r>
            <w:r>
              <w:rPr>
                <w:sz w:val="21"/>
                <w:szCs w:val="21"/>
                <w:spacing w:val="5"/>
              </w:rPr>
              <w:t>套抹布等由一般物资回收公司回收利用。</w:t>
            </w:r>
          </w:p>
          <w:p>
            <w:pPr>
              <w:pStyle w:val="TableText"/>
              <w:ind w:left="51" w:right="47" w:firstLine="109"/>
              <w:spacing w:before="41" w:line="233" w:lineRule="auto"/>
              <w:rPr>
                <w:sz w:val="21"/>
                <w:szCs w:val="21"/>
              </w:rPr>
            </w:pPr>
            <w:r>
              <w:rPr>
                <w:sz w:val="21"/>
                <w:szCs w:val="21"/>
                <w:spacing w:val="-1"/>
              </w:rPr>
              <w:t>2.项目产生的危险废物必须分类收集、分区临时贮</w:t>
            </w:r>
            <w:r>
              <w:rPr>
                <w:sz w:val="21"/>
                <w:szCs w:val="21"/>
                <w:spacing w:val="5"/>
              </w:rPr>
              <w:t xml:space="preserve">  </w:t>
            </w:r>
            <w:r>
              <w:rPr>
                <w:sz w:val="21"/>
                <w:szCs w:val="21"/>
                <w:spacing w:val="-1"/>
              </w:rPr>
              <w:t>存，并委托具有相应资质的单位进行处置，执行危险</w:t>
            </w:r>
            <w:r>
              <w:rPr>
                <w:sz w:val="21"/>
                <w:szCs w:val="21"/>
                <w:spacing w:val="14"/>
              </w:rPr>
              <w:t xml:space="preserve"> </w:t>
            </w:r>
            <w:r>
              <w:rPr>
                <w:sz w:val="21"/>
                <w:szCs w:val="21"/>
              </w:rPr>
              <w:t>废物转移联单制度严禁随意倾倒或处置。危险废物临</w:t>
            </w:r>
            <w:r>
              <w:rPr>
                <w:sz w:val="21"/>
                <w:szCs w:val="21"/>
                <w:spacing w:val="15"/>
              </w:rPr>
              <w:t xml:space="preserve"> </w:t>
            </w:r>
            <w:r>
              <w:rPr>
                <w:sz w:val="21"/>
                <w:szCs w:val="21"/>
                <w:spacing w:val="4"/>
              </w:rPr>
              <w:t>时贮存应执行《危险废物贮存污染控制标准》</w:t>
            </w:r>
          </w:p>
          <w:p>
            <w:pPr>
              <w:pStyle w:val="TableText"/>
              <w:ind w:left="261"/>
              <w:spacing w:before="10" w:line="219" w:lineRule="auto"/>
              <w:rPr>
                <w:sz w:val="21"/>
                <w:szCs w:val="21"/>
              </w:rPr>
            </w:pPr>
            <w:r>
              <w:rPr>
                <w:sz w:val="21"/>
                <w:szCs w:val="21"/>
              </w:rPr>
              <w:t>(GB18597-2001)及2013</w:t>
            </w:r>
            <w:r>
              <w:rPr>
                <w:sz w:val="21"/>
                <w:szCs w:val="21"/>
                <w:spacing w:val="-1"/>
              </w:rPr>
              <w:t>年修改单要求。</w:t>
            </w:r>
          </w:p>
          <w:p>
            <w:pPr>
              <w:pStyle w:val="TableText"/>
              <w:ind w:left="51" w:right="53"/>
              <w:spacing w:before="39" w:line="214" w:lineRule="auto"/>
              <w:rPr>
                <w:sz w:val="21"/>
                <w:szCs w:val="21"/>
              </w:rPr>
            </w:pPr>
            <w:r>
              <w:rPr>
                <w:sz w:val="21"/>
                <w:szCs w:val="21"/>
              </w:rPr>
              <w:t>3.及时组织对焚烧炉的残渣、阴极污泥、综合污泥进</w:t>
            </w:r>
            <w:r>
              <w:rPr>
                <w:sz w:val="21"/>
                <w:szCs w:val="21"/>
                <w:spacing w:val="7"/>
              </w:rPr>
              <w:t xml:space="preserve"> </w:t>
            </w:r>
            <w:r>
              <w:rPr>
                <w:sz w:val="21"/>
                <w:szCs w:val="21"/>
              </w:rPr>
              <w:t>行危险废物鉴别，并在项目投入试生产三个月内将鉴</w:t>
            </w:r>
          </w:p>
        </w:tc>
        <w:tc>
          <w:tcPr>
            <w:tcW w:w="5646" w:type="dxa"/>
            <w:vAlign w:val="top"/>
          </w:tcPr>
          <w:p>
            <w:pPr>
              <w:pStyle w:val="TableText"/>
              <w:ind w:left="86" w:right="77"/>
              <w:spacing w:before="33" w:line="241" w:lineRule="auto"/>
              <w:jc w:val="both"/>
              <w:rPr>
                <w:sz w:val="21"/>
                <w:szCs w:val="21"/>
              </w:rPr>
            </w:pPr>
            <w:r>
              <w:rPr>
                <w:sz w:val="21"/>
                <w:szCs w:val="21"/>
              </w:rPr>
              <w:t>项目工业固体废物均分类收集、暂存于相应的暂存间内。产</w:t>
            </w:r>
            <w:r>
              <w:rPr>
                <w:sz w:val="21"/>
                <w:szCs w:val="21"/>
                <w:spacing w:val="11"/>
              </w:rPr>
              <w:t xml:space="preserve"> </w:t>
            </w:r>
            <w:r>
              <w:rPr>
                <w:sz w:val="21"/>
                <w:szCs w:val="21"/>
                <w:spacing w:val="-1"/>
              </w:rPr>
              <w:t>生的阴极污泥、综合污泥经鉴别，不具有危险特性，按一般</w:t>
            </w:r>
            <w:r>
              <w:rPr>
                <w:sz w:val="21"/>
                <w:szCs w:val="21"/>
                <w:spacing w:val="15"/>
              </w:rPr>
              <w:t xml:space="preserve"> </w:t>
            </w:r>
            <w:r>
              <w:rPr>
                <w:sz w:val="21"/>
                <w:szCs w:val="21"/>
                <w:spacing w:val="7"/>
              </w:rPr>
              <w:t>工业固体废物。</w:t>
            </w:r>
          </w:p>
          <w:p>
            <w:pPr>
              <w:pStyle w:val="TableText"/>
              <w:ind w:left="166"/>
              <w:spacing w:before="27" w:line="219" w:lineRule="auto"/>
              <w:rPr>
                <w:sz w:val="21"/>
                <w:szCs w:val="21"/>
              </w:rPr>
            </w:pPr>
            <w:r>
              <w:rPr>
                <w:sz w:val="21"/>
                <w:szCs w:val="21"/>
              </w:rPr>
              <w:t>.NMP废液委托安徽晟捷新能源科技股份有限公司回收处</w:t>
            </w:r>
          </w:p>
          <w:p>
            <w:pPr>
              <w:pStyle w:val="TableText"/>
              <w:ind w:left="86" w:firstLine="58"/>
              <w:spacing w:before="19" w:line="234" w:lineRule="auto"/>
              <w:rPr>
                <w:sz w:val="21"/>
                <w:szCs w:val="21"/>
              </w:rPr>
            </w:pPr>
            <w:r>
              <w:rPr>
                <w:sz w:val="21"/>
                <w:szCs w:val="21"/>
                <w:spacing w:val="-7"/>
              </w:rPr>
              <w:t>置；废极片、废电芯由湖南邦普循环科技有限公司回收处置；</w:t>
            </w:r>
            <w:r>
              <w:rPr>
                <w:sz w:val="21"/>
                <w:szCs w:val="21"/>
                <w:spacing w:val="9"/>
              </w:rPr>
              <w:t xml:space="preserve"> </w:t>
            </w:r>
            <w:r>
              <w:rPr>
                <w:sz w:val="21"/>
                <w:szCs w:val="21"/>
                <w:spacing w:val="-5"/>
              </w:rPr>
              <w:t>废铝箔、废隔膜、废铜箔、废粉料、废包装袋、废浆料、废</w:t>
            </w:r>
            <w:r>
              <w:rPr>
                <w:sz w:val="21"/>
                <w:szCs w:val="21"/>
              </w:rPr>
              <w:t xml:space="preserve">   </w:t>
            </w:r>
            <w:r>
              <w:rPr>
                <w:sz w:val="21"/>
                <w:szCs w:val="21"/>
                <w:spacing w:val="-5"/>
              </w:rPr>
              <w:t>手套等委托宁德源宏环保有限公司综合利用处置；污水处理</w:t>
            </w:r>
            <w:r>
              <w:rPr>
                <w:sz w:val="21"/>
                <w:szCs w:val="21"/>
              </w:rPr>
              <w:t xml:space="preserve">   </w:t>
            </w:r>
            <w:r>
              <w:rPr>
                <w:sz w:val="21"/>
                <w:szCs w:val="21"/>
                <w:spacing w:val="-5"/>
              </w:rPr>
              <w:t>站污泥委托宁德源宏环保有限公司外运，用于福建毒宝环保</w:t>
            </w:r>
            <w:r>
              <w:rPr>
                <w:sz w:val="21"/>
                <w:szCs w:val="21"/>
              </w:rPr>
              <w:t xml:space="preserve">   </w:t>
            </w:r>
            <w:r>
              <w:rPr>
                <w:sz w:val="21"/>
                <w:szCs w:val="21"/>
              </w:rPr>
              <w:t>科技有限公司制砖。</w:t>
            </w:r>
          </w:p>
          <w:p>
            <w:pPr>
              <w:pStyle w:val="TableText"/>
              <w:ind w:left="155" w:right="179" w:firstLine="40"/>
              <w:spacing w:before="28" w:line="225" w:lineRule="auto"/>
              <w:rPr>
                <w:sz w:val="21"/>
                <w:szCs w:val="21"/>
              </w:rPr>
            </w:pPr>
            <w:r>
              <w:rPr>
                <w:sz w:val="21"/>
                <w:szCs w:val="21"/>
              </w:rPr>
              <w:t>2,项目危险废物包含废有机溶剂、废胶罐、废活性炭、废</w:t>
            </w:r>
            <w:r>
              <w:rPr>
                <w:sz w:val="21"/>
                <w:szCs w:val="21"/>
                <w:spacing w:val="9"/>
              </w:rPr>
              <w:t xml:space="preserve"> </w:t>
            </w:r>
            <w:r>
              <w:rPr>
                <w:sz w:val="21"/>
                <w:szCs w:val="21"/>
              </w:rPr>
              <w:t>UV灯管、废机油、废酸、废UV灯管等，分类</w:t>
            </w:r>
            <w:r>
              <w:rPr>
                <w:sz w:val="21"/>
                <w:szCs w:val="21"/>
                <w:spacing w:val="-1"/>
              </w:rPr>
              <w:t>收集后暂存</w:t>
            </w:r>
          </w:p>
          <w:p>
            <w:pPr>
              <w:pStyle w:val="TableText"/>
              <w:ind w:left="86"/>
              <w:spacing w:before="22" w:line="219" w:lineRule="auto"/>
              <w:rPr>
                <w:sz w:val="21"/>
                <w:szCs w:val="21"/>
              </w:rPr>
            </w:pPr>
            <w:r>
              <w:rPr>
                <w:sz w:val="21"/>
                <w:szCs w:val="21"/>
                <w:spacing w:val="-1"/>
              </w:rPr>
              <w:t>在危险废物暂存间，根据危险废物性质分别委托福建志坤能</w:t>
            </w:r>
          </w:p>
          <w:p>
            <w:pPr>
              <w:pStyle w:val="TableText"/>
              <w:ind w:left="95" w:right="197" w:firstLine="100"/>
              <w:spacing w:before="18" w:line="223" w:lineRule="auto"/>
              <w:rPr>
                <w:sz w:val="21"/>
                <w:szCs w:val="21"/>
              </w:rPr>
            </w:pPr>
            <w:r>
              <w:rPr>
                <w:sz w:val="21"/>
                <w:szCs w:val="21"/>
                <w:spacing w:val="-1"/>
              </w:rPr>
              <w:t>源科技开发有限公司、福建绿洲固体废物处置有限公司处</w:t>
            </w:r>
            <w:r>
              <w:rPr>
                <w:sz w:val="21"/>
                <w:szCs w:val="21"/>
                <w:spacing w:val="16"/>
              </w:rPr>
              <w:t xml:space="preserve"> </w:t>
            </w:r>
            <w:r>
              <w:rPr>
                <w:sz w:val="21"/>
                <w:szCs w:val="21"/>
                <w:spacing w:val="-2"/>
              </w:rPr>
              <w:t>置。</w:t>
            </w:r>
          </w:p>
        </w:tc>
        <w:tc>
          <w:tcPr>
            <w:tcW w:w="1904"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209"/>
              <w:spacing w:before="68" w:line="220" w:lineRule="auto"/>
              <w:rPr>
                <w:sz w:val="21"/>
                <w:szCs w:val="21"/>
              </w:rPr>
            </w:pPr>
            <w:r>
              <w:rPr>
                <w:sz w:val="21"/>
                <w:szCs w:val="21"/>
                <w:spacing w:val="1"/>
              </w:rPr>
              <w:t>已落实批复要求</w:t>
            </w:r>
          </w:p>
        </w:tc>
      </w:tr>
    </w:tbl>
    <w:p>
      <w:pPr>
        <w:rPr>
          <w:rFonts w:ascii="Arial"/>
          <w:sz w:val="21"/>
        </w:rPr>
      </w:pPr>
      <w:r/>
    </w:p>
    <w:p>
      <w:pPr>
        <w:sectPr>
          <w:footerReference w:type="default" r:id="rId60"/>
          <w:pgSz w:w="16840" w:h="11900"/>
          <w:pgMar w:top="1011" w:right="1354" w:bottom="977" w:left="1325" w:header="0" w:footer="839" w:gutter="0"/>
        </w:sectPr>
        <w:rPr>
          <w:rFonts w:ascii="Arial" w:hAnsi="Arial" w:eastAsia="Arial" w:cs="Arial"/>
          <w:sz w:val="21"/>
          <w:szCs w:val="21"/>
        </w:rPr>
      </w:pPr>
    </w:p>
    <w:p>
      <w:pPr>
        <w:spacing w:before="110"/>
        <w:rPr/>
      </w:pPr>
      <w:r/>
    </w:p>
    <w:p>
      <w:pPr>
        <w:spacing w:before="110"/>
        <w:rPr/>
      </w:pPr>
      <w:r/>
    </w:p>
    <w:tbl>
      <w:tblPr>
        <w:tblStyle w:val="TableNormal"/>
        <w:tblW w:w="141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94"/>
        <w:gridCol w:w="849"/>
        <w:gridCol w:w="4956"/>
        <w:gridCol w:w="5646"/>
        <w:gridCol w:w="1904"/>
      </w:tblGrid>
      <w:tr>
        <w:trPr>
          <w:trHeight w:val="1892" w:hRule="atLeast"/>
        </w:trPr>
        <w:tc>
          <w:tcPr>
            <w:tcW w:w="794" w:type="dxa"/>
            <w:vAlign w:val="top"/>
            <w:vMerge w:val="restart"/>
            <w:tcBorders>
              <w:bottom w:val="nil"/>
            </w:tcBorders>
          </w:tcPr>
          <w:p>
            <w:pPr>
              <w:rPr>
                <w:rFonts w:ascii="Arial"/>
                <w:sz w:val="21"/>
              </w:rPr>
            </w:pPr>
            <w:r/>
          </w:p>
        </w:tc>
        <w:tc>
          <w:tcPr>
            <w:tcW w:w="849" w:type="dxa"/>
            <w:vAlign w:val="top"/>
          </w:tcPr>
          <w:p>
            <w:pPr>
              <w:rPr>
                <w:rFonts w:ascii="Arial"/>
                <w:sz w:val="21"/>
              </w:rPr>
            </w:pPr>
            <w:r/>
          </w:p>
        </w:tc>
        <w:tc>
          <w:tcPr>
            <w:tcW w:w="4956" w:type="dxa"/>
            <w:vAlign w:val="top"/>
          </w:tcPr>
          <w:p>
            <w:pPr>
              <w:pStyle w:val="TableText"/>
              <w:ind w:left="51"/>
              <w:spacing w:before="21" w:line="218" w:lineRule="auto"/>
              <w:rPr>
                <w:sz w:val="21"/>
                <w:szCs w:val="21"/>
              </w:rPr>
            </w:pPr>
            <w:r>
              <w:rPr>
                <w:sz w:val="21"/>
                <w:szCs w:val="21"/>
              </w:rPr>
              <w:t>别报告向宁德市生态环境局报备。若经鉴别确定为危</w:t>
            </w:r>
          </w:p>
          <w:p>
            <w:pPr>
              <w:pStyle w:val="TableText"/>
              <w:ind w:left="51" w:right="54" w:firstLine="109"/>
              <w:spacing w:before="43" w:line="235" w:lineRule="auto"/>
              <w:jc w:val="both"/>
              <w:rPr>
                <w:sz w:val="21"/>
                <w:szCs w:val="21"/>
              </w:rPr>
            </w:pPr>
            <w:r>
              <w:rPr>
                <w:sz w:val="21"/>
                <w:szCs w:val="21"/>
              </w:rPr>
              <w:t>险废物则按照危险废物规范贮存并委托有资质单位</w:t>
            </w:r>
            <w:r>
              <w:rPr>
                <w:sz w:val="21"/>
                <w:szCs w:val="21"/>
                <w:spacing w:val="3"/>
              </w:rPr>
              <w:t xml:space="preserve">  </w:t>
            </w:r>
            <w:r>
              <w:rPr>
                <w:sz w:val="21"/>
                <w:szCs w:val="21"/>
                <w:spacing w:val="-1"/>
              </w:rPr>
              <w:t>进行处置；若为一般工业固体废物，则由般物资回收</w:t>
            </w:r>
            <w:r>
              <w:rPr>
                <w:sz w:val="21"/>
                <w:szCs w:val="21"/>
                <w:spacing w:val="15"/>
              </w:rPr>
              <w:t xml:space="preserve"> </w:t>
            </w:r>
            <w:r>
              <w:rPr>
                <w:sz w:val="21"/>
                <w:szCs w:val="21"/>
              </w:rPr>
              <w:t>公司回收综合利用。在危险废物鉴别工作完成前，应</w:t>
            </w:r>
            <w:r>
              <w:rPr>
                <w:sz w:val="21"/>
                <w:szCs w:val="21"/>
                <w:spacing w:val="8"/>
              </w:rPr>
              <w:t xml:space="preserve"> </w:t>
            </w:r>
            <w:r>
              <w:rPr>
                <w:sz w:val="21"/>
                <w:szCs w:val="21"/>
                <w:spacing w:val="8"/>
              </w:rPr>
              <w:t>按照危险废物规范管理。</w:t>
            </w:r>
          </w:p>
          <w:p>
            <w:pPr>
              <w:pStyle w:val="TableText"/>
              <w:ind w:left="122" w:right="171" w:firstLine="39"/>
              <w:spacing w:before="21" w:line="210" w:lineRule="auto"/>
              <w:jc w:val="both"/>
              <w:rPr>
                <w:sz w:val="21"/>
                <w:szCs w:val="21"/>
              </w:rPr>
            </w:pPr>
            <w:r>
              <w:rPr>
                <w:sz w:val="21"/>
                <w:szCs w:val="21"/>
                <w:spacing w:val="-1"/>
              </w:rPr>
              <w:t>4.项目产生的生活垃圾统一收集后委托环卫部门及</w:t>
            </w:r>
            <w:r>
              <w:rPr>
                <w:sz w:val="21"/>
                <w:szCs w:val="21"/>
                <w:spacing w:val="14"/>
              </w:rPr>
              <w:t xml:space="preserve"> </w:t>
            </w:r>
            <w:r>
              <w:rPr>
                <w:sz w:val="21"/>
                <w:szCs w:val="21"/>
                <w:spacing w:val="-1"/>
              </w:rPr>
              <w:t>时清运处理。</w:t>
            </w:r>
          </w:p>
        </w:tc>
        <w:tc>
          <w:tcPr>
            <w:tcW w:w="5646" w:type="dxa"/>
            <w:vAlign w:val="top"/>
          </w:tcPr>
          <w:p>
            <w:pPr>
              <w:pStyle w:val="TableText"/>
              <w:spacing w:before="40" w:line="216" w:lineRule="auto"/>
              <w:jc w:val="right"/>
              <w:rPr>
                <w:sz w:val="21"/>
                <w:szCs w:val="21"/>
              </w:rPr>
            </w:pPr>
            <w:r>
              <w:rPr>
                <w:sz w:val="21"/>
                <w:szCs w:val="21"/>
                <w:spacing w:val="2"/>
              </w:rPr>
              <w:t>3、项目危险废物暂存间位于电解液仓(X13</w:t>
            </w:r>
            <w:r>
              <w:rPr>
                <w:sz w:val="21"/>
                <w:szCs w:val="21"/>
                <w:spacing w:val="1"/>
              </w:rPr>
              <w:t>)1层，面积140m²,</w:t>
            </w:r>
          </w:p>
          <w:p>
            <w:pPr>
              <w:pStyle w:val="TableText"/>
              <w:ind w:left="125"/>
              <w:spacing w:before="24" w:line="216" w:lineRule="auto"/>
              <w:rPr>
                <w:sz w:val="21"/>
                <w:szCs w:val="21"/>
              </w:rPr>
            </w:pPr>
            <w:r>
              <w:rPr>
                <w:sz w:val="21"/>
                <w:szCs w:val="21"/>
              </w:rPr>
              <w:t>高度5.1m,设计最大存储能力250t。</w:t>
            </w:r>
          </w:p>
          <w:p>
            <w:pPr>
              <w:pStyle w:val="TableText"/>
              <w:ind w:left="86"/>
              <w:spacing w:before="17" w:line="219" w:lineRule="auto"/>
              <w:rPr>
                <w:sz w:val="21"/>
                <w:szCs w:val="21"/>
              </w:rPr>
            </w:pPr>
            <w:r>
              <w:rPr>
                <w:sz w:val="21"/>
                <w:szCs w:val="21"/>
                <w:spacing w:val="-1"/>
              </w:rPr>
              <w:t>4.项目产生的生活垃圾统一收集后委托环卫部门及时清运处</w:t>
            </w:r>
          </w:p>
          <w:p>
            <w:pPr>
              <w:pStyle w:val="TableText"/>
              <w:ind w:left="95"/>
              <w:spacing w:before="27" w:line="225" w:lineRule="auto"/>
              <w:rPr>
                <w:sz w:val="21"/>
                <w:szCs w:val="21"/>
              </w:rPr>
            </w:pPr>
            <w:r>
              <w:rPr>
                <w:sz w:val="21"/>
                <w:szCs w:val="21"/>
                <w:spacing w:val="-2"/>
              </w:rPr>
              <w:t>置。</w:t>
            </w:r>
          </w:p>
        </w:tc>
        <w:tc>
          <w:tcPr>
            <w:tcW w:w="1904" w:type="dxa"/>
            <w:vAlign w:val="top"/>
          </w:tcPr>
          <w:p>
            <w:pPr>
              <w:rPr>
                <w:rFonts w:ascii="Arial"/>
                <w:sz w:val="21"/>
              </w:rPr>
            </w:pPr>
            <w:r/>
          </w:p>
        </w:tc>
      </w:tr>
      <w:tr>
        <w:trPr>
          <w:trHeight w:val="809" w:hRule="atLeast"/>
        </w:trPr>
        <w:tc>
          <w:tcPr>
            <w:tcW w:w="794" w:type="dxa"/>
            <w:vAlign w:val="top"/>
            <w:vMerge w:val="continue"/>
            <w:tcBorders>
              <w:top w:val="nil"/>
              <w:bottom w:val="nil"/>
            </w:tcBorders>
          </w:tcPr>
          <w:p>
            <w:pPr>
              <w:rPr>
                <w:rFonts w:ascii="Arial"/>
                <w:sz w:val="21"/>
              </w:rPr>
            </w:pPr>
            <w:r/>
          </w:p>
        </w:tc>
        <w:tc>
          <w:tcPr>
            <w:tcW w:w="849" w:type="dxa"/>
            <w:vAlign w:val="top"/>
          </w:tcPr>
          <w:p>
            <w:pPr>
              <w:pStyle w:val="TableText"/>
              <w:ind w:left="310"/>
              <w:spacing w:before="56" w:line="224" w:lineRule="auto"/>
              <w:rPr>
                <w:sz w:val="21"/>
                <w:szCs w:val="21"/>
              </w:rPr>
            </w:pPr>
            <w:r>
              <w:rPr>
                <w:sz w:val="21"/>
                <w:szCs w:val="21"/>
              </w:rPr>
              <w:t>六</w:t>
            </w:r>
          </w:p>
        </w:tc>
        <w:tc>
          <w:tcPr>
            <w:tcW w:w="4956" w:type="dxa"/>
            <w:vAlign w:val="top"/>
          </w:tcPr>
          <w:p>
            <w:pPr>
              <w:pStyle w:val="TableText"/>
              <w:ind w:left="121" w:right="73" w:hanging="70"/>
              <w:spacing w:before="210" w:line="220" w:lineRule="auto"/>
              <w:rPr>
                <w:sz w:val="21"/>
                <w:szCs w:val="21"/>
              </w:rPr>
            </w:pPr>
            <w:r>
              <w:rPr>
                <w:sz w:val="21"/>
                <w:szCs w:val="21"/>
                <w:spacing w:val="-1"/>
              </w:rPr>
              <w:t>严格按照报告表要求落实分区防渗措施，防止项目对</w:t>
            </w:r>
            <w:r>
              <w:rPr>
                <w:sz w:val="21"/>
                <w:szCs w:val="21"/>
                <w:spacing w:val="12"/>
              </w:rPr>
              <w:t xml:space="preserve"> </w:t>
            </w:r>
            <w:r>
              <w:rPr>
                <w:sz w:val="21"/>
                <w:szCs w:val="21"/>
                <w:spacing w:val="-1"/>
              </w:rPr>
              <w:t>地下水、土壤造成影响。</w:t>
            </w:r>
          </w:p>
        </w:tc>
        <w:tc>
          <w:tcPr>
            <w:tcW w:w="5646" w:type="dxa"/>
            <w:vAlign w:val="top"/>
          </w:tcPr>
          <w:p>
            <w:pPr>
              <w:pStyle w:val="TableText"/>
              <w:ind w:left="125" w:right="127" w:firstLine="10"/>
              <w:spacing w:before="41" w:line="222" w:lineRule="auto"/>
              <w:jc w:val="both"/>
              <w:rPr>
                <w:sz w:val="21"/>
                <w:szCs w:val="21"/>
              </w:rPr>
            </w:pPr>
            <w:r>
              <w:rPr>
                <w:sz w:val="21"/>
                <w:szCs w:val="21"/>
              </w:rPr>
              <w:t>厂区内设置5个地下水监控井，根据日常自行检测结果，厂</w:t>
            </w:r>
            <w:r>
              <w:rPr>
                <w:sz w:val="21"/>
                <w:szCs w:val="21"/>
                <w:spacing w:val="16"/>
              </w:rPr>
              <w:t xml:space="preserve"> </w:t>
            </w:r>
            <w:r>
              <w:rPr>
                <w:sz w:val="21"/>
                <w:szCs w:val="21"/>
                <w:spacing w:val="1"/>
              </w:rPr>
              <w:t>区地下水符合地下水质量(</w:t>
            </w:r>
            <w:r>
              <w:rPr>
                <w:sz w:val="21"/>
                <w:szCs w:val="21"/>
              </w:rPr>
              <w:t>GB</w:t>
            </w:r>
            <w:r>
              <w:rPr>
                <w:sz w:val="21"/>
                <w:szCs w:val="21"/>
                <w:spacing w:val="1"/>
              </w:rPr>
              <w:t>/T-14848-20</w:t>
            </w:r>
            <w:r>
              <w:rPr>
                <w:sz w:val="21"/>
                <w:szCs w:val="21"/>
              </w:rPr>
              <w:t>17)中的Ⅲ类标准 </w:t>
            </w:r>
            <w:r>
              <w:rPr>
                <w:sz w:val="21"/>
                <w:szCs w:val="21"/>
                <w:spacing w:val="-1"/>
              </w:rPr>
              <w:t>限值要求。</w:t>
            </w:r>
          </w:p>
        </w:tc>
        <w:tc>
          <w:tcPr>
            <w:tcW w:w="1904" w:type="dxa"/>
            <w:vAlign w:val="top"/>
          </w:tcPr>
          <w:p>
            <w:pPr>
              <w:pStyle w:val="TableText"/>
              <w:ind w:left="838" w:right="222" w:hanging="629"/>
              <w:spacing w:before="189" w:line="226" w:lineRule="auto"/>
              <w:rPr>
                <w:sz w:val="21"/>
                <w:szCs w:val="21"/>
              </w:rPr>
            </w:pPr>
            <w:r>
              <w:rPr>
                <w:sz w:val="21"/>
                <w:szCs w:val="21"/>
                <w:spacing w:val="-2"/>
              </w:rPr>
              <w:t>基本落实批复要</w:t>
            </w:r>
            <w:r>
              <w:rPr>
                <w:sz w:val="21"/>
                <w:szCs w:val="21"/>
                <w:spacing w:val="4"/>
              </w:rPr>
              <w:t xml:space="preserve"> </w:t>
            </w:r>
            <w:r>
              <w:rPr>
                <w:sz w:val="21"/>
                <w:szCs w:val="21"/>
              </w:rPr>
              <w:t>求</w:t>
            </w:r>
          </w:p>
        </w:tc>
      </w:tr>
      <w:tr>
        <w:trPr>
          <w:trHeight w:val="1638" w:hRule="atLeast"/>
        </w:trPr>
        <w:tc>
          <w:tcPr>
            <w:tcW w:w="794" w:type="dxa"/>
            <w:vAlign w:val="top"/>
            <w:vMerge w:val="continue"/>
            <w:tcBorders>
              <w:top w:val="nil"/>
              <w:bottom w:val="nil"/>
            </w:tcBorders>
          </w:tcPr>
          <w:p>
            <w:pPr>
              <w:rPr>
                <w:rFonts w:ascii="Arial"/>
                <w:sz w:val="21"/>
              </w:rPr>
            </w:pPr>
            <w:r/>
          </w:p>
        </w:tc>
        <w:tc>
          <w:tcPr>
            <w:tcW w:w="849" w:type="dxa"/>
            <w:vAlign w:val="top"/>
          </w:tcPr>
          <w:p>
            <w:pPr>
              <w:pStyle w:val="TableText"/>
              <w:ind w:left="310"/>
              <w:spacing w:before="65" w:line="231" w:lineRule="auto"/>
              <w:rPr>
                <w:sz w:val="21"/>
                <w:szCs w:val="21"/>
              </w:rPr>
            </w:pPr>
            <w:r>
              <w:rPr>
                <w:sz w:val="21"/>
                <w:szCs w:val="21"/>
              </w:rPr>
              <w:t>七</w:t>
            </w:r>
          </w:p>
        </w:tc>
        <w:tc>
          <w:tcPr>
            <w:tcW w:w="4956" w:type="dxa"/>
            <w:vAlign w:val="top"/>
          </w:tcPr>
          <w:p>
            <w:pPr>
              <w:pStyle w:val="TableText"/>
              <w:ind w:left="51"/>
              <w:spacing w:before="65" w:line="229" w:lineRule="auto"/>
              <w:rPr>
                <w:sz w:val="21"/>
                <w:szCs w:val="21"/>
              </w:rPr>
            </w:pPr>
            <w:r>
              <w:rPr>
                <w:sz w:val="21"/>
                <w:szCs w:val="21"/>
                <w:spacing w:val="-2"/>
              </w:rPr>
              <w:t>认真落实和执行污染物排放总量控制要求。项目的化</w:t>
            </w:r>
            <w:r>
              <w:rPr>
                <w:sz w:val="21"/>
                <w:szCs w:val="21"/>
                <w:spacing w:val="9"/>
              </w:rPr>
              <w:t xml:space="preserve">  </w:t>
            </w:r>
            <w:r>
              <w:rPr>
                <w:sz w:val="21"/>
                <w:szCs w:val="21"/>
                <w:spacing w:val="-1"/>
              </w:rPr>
              <w:t>学需氧量、氨氮、二氧化硫、氮氧化物、挥发性有机 </w:t>
            </w:r>
            <w:r>
              <w:rPr>
                <w:sz w:val="21"/>
                <w:szCs w:val="21"/>
                <w:spacing w:val="2"/>
              </w:rPr>
              <w:t>物(</w:t>
            </w:r>
            <w:r>
              <w:rPr>
                <w:sz w:val="21"/>
                <w:szCs w:val="21"/>
              </w:rPr>
              <w:t>VOCs</w:t>
            </w:r>
            <w:r>
              <w:rPr>
                <w:sz w:val="21"/>
                <w:szCs w:val="21"/>
                <w:spacing w:val="2"/>
              </w:rPr>
              <w:t>)排放总量分别不超过1.515吨/</w:t>
            </w:r>
            <w:r>
              <w:rPr>
                <w:sz w:val="21"/>
                <w:szCs w:val="21"/>
                <w:spacing w:val="1"/>
              </w:rPr>
              <w:t>年、0.706吨</w:t>
            </w:r>
            <w:r>
              <w:rPr>
                <w:sz w:val="21"/>
                <w:szCs w:val="21"/>
              </w:rPr>
              <w:t xml:space="preserve">  </w:t>
            </w:r>
            <w:r>
              <w:rPr>
                <w:sz w:val="21"/>
                <w:szCs w:val="21"/>
                <w:spacing w:val="-1"/>
              </w:rPr>
              <w:t>/年、4.704吨/年、22.121吨/年、14.9</w:t>
            </w:r>
            <w:r>
              <w:rPr>
                <w:sz w:val="21"/>
                <w:szCs w:val="21"/>
                <w:spacing w:val="-2"/>
              </w:rPr>
              <w:t>87吨/年，其中</w:t>
            </w:r>
            <w:r>
              <w:rPr>
                <w:sz w:val="21"/>
                <w:szCs w:val="21"/>
              </w:rPr>
              <w:t xml:space="preserve"> </w:t>
            </w:r>
            <w:r>
              <w:rPr>
                <w:sz w:val="21"/>
                <w:szCs w:val="21"/>
                <w:spacing w:val="-1"/>
              </w:rPr>
              <w:t>化学需氧量、氨氮、二氧化硫、氮氧化物的排污权指 </w:t>
            </w:r>
            <w:r>
              <w:rPr>
                <w:sz w:val="21"/>
                <w:szCs w:val="21"/>
                <w:spacing w:val="8"/>
              </w:rPr>
              <w:t>标必须通过交易取得。</w:t>
            </w:r>
          </w:p>
        </w:tc>
        <w:tc>
          <w:tcPr>
            <w:tcW w:w="5646" w:type="dxa"/>
            <w:vAlign w:val="top"/>
          </w:tcPr>
          <w:p>
            <w:pPr>
              <w:spacing w:line="259" w:lineRule="auto"/>
              <w:rPr>
                <w:rFonts w:ascii="Arial"/>
                <w:sz w:val="21"/>
              </w:rPr>
            </w:pPr>
            <w:r/>
          </w:p>
          <w:p>
            <w:pPr>
              <w:pStyle w:val="TableText"/>
              <w:ind w:left="195"/>
              <w:spacing w:before="69" w:line="216" w:lineRule="auto"/>
              <w:rPr>
                <w:sz w:val="21"/>
                <w:szCs w:val="21"/>
              </w:rPr>
            </w:pPr>
            <w:r>
              <w:rPr>
                <w:sz w:val="21"/>
                <w:szCs w:val="21"/>
              </w:rPr>
              <w:t>根据验收监测报告显示(表2.8-6),</w:t>
            </w:r>
            <w:r>
              <w:rPr>
                <w:sz w:val="21"/>
                <w:szCs w:val="21"/>
                <w:spacing w:val="-1"/>
              </w:rPr>
              <w:t>项目生产废水化学需氧</w:t>
            </w:r>
          </w:p>
          <w:p>
            <w:pPr>
              <w:pStyle w:val="TableText"/>
              <w:ind w:left="15" w:firstLine="69"/>
              <w:spacing w:before="14" w:line="229" w:lineRule="auto"/>
              <w:rPr>
                <w:sz w:val="21"/>
                <w:szCs w:val="21"/>
              </w:rPr>
            </w:pPr>
            <w:r>
              <w:rPr>
                <w:sz w:val="21"/>
                <w:szCs w:val="21"/>
                <w:spacing w:val="-1"/>
              </w:rPr>
              <w:t>量排放量为0.945t/a,氨氮排放量0</w:t>
            </w:r>
            <w:r>
              <w:rPr>
                <w:sz w:val="21"/>
                <w:szCs w:val="21"/>
                <w:spacing w:val="-2"/>
              </w:rPr>
              <w:t>.0945t/a、二氧化硫排放</w:t>
            </w:r>
            <w:r>
              <w:rPr>
                <w:sz w:val="21"/>
                <w:szCs w:val="21"/>
              </w:rPr>
              <w:t xml:space="preserve">  </w:t>
            </w:r>
            <w:r>
              <w:rPr>
                <w:sz w:val="21"/>
                <w:szCs w:val="21"/>
                <w:spacing w:val="-1"/>
              </w:rPr>
              <w:t>量0.330t/a、氮氧化物排放量9.181t/a</w:t>
            </w:r>
            <w:r>
              <w:rPr>
                <w:sz w:val="21"/>
                <w:szCs w:val="21"/>
                <w:spacing w:val="-2"/>
              </w:rPr>
              <w:t>、挥发性有机物(VOCs)</w:t>
            </w:r>
          </w:p>
          <w:p>
            <w:pPr>
              <w:pStyle w:val="TableText"/>
              <w:ind w:left="125"/>
              <w:spacing w:before="39" w:line="216" w:lineRule="auto"/>
              <w:rPr>
                <w:sz w:val="21"/>
                <w:szCs w:val="21"/>
              </w:rPr>
            </w:pPr>
            <w:r>
              <w:rPr>
                <w:sz w:val="21"/>
                <w:szCs w:val="21"/>
              </w:rPr>
              <w:t>排放量1.534t/a,符合总量要求。</w:t>
            </w:r>
          </w:p>
        </w:tc>
        <w:tc>
          <w:tcPr>
            <w:tcW w:w="1904" w:type="dxa"/>
            <w:vAlign w:val="top"/>
          </w:tcPr>
          <w:p>
            <w:pPr>
              <w:spacing w:line="325" w:lineRule="auto"/>
              <w:rPr>
                <w:rFonts w:ascii="Arial"/>
                <w:sz w:val="21"/>
              </w:rPr>
            </w:pPr>
            <w:r/>
          </w:p>
          <w:p>
            <w:pPr>
              <w:spacing w:line="326" w:lineRule="auto"/>
              <w:rPr>
                <w:rFonts w:ascii="Arial"/>
                <w:sz w:val="21"/>
              </w:rPr>
            </w:pPr>
            <w:r/>
          </w:p>
          <w:p>
            <w:pPr>
              <w:pStyle w:val="TableText"/>
              <w:ind w:left="209"/>
              <w:spacing w:before="68" w:line="220" w:lineRule="auto"/>
              <w:rPr>
                <w:sz w:val="21"/>
                <w:szCs w:val="21"/>
              </w:rPr>
            </w:pPr>
            <w:r>
              <w:rPr>
                <w:sz w:val="21"/>
                <w:szCs w:val="21"/>
                <w:spacing w:val="1"/>
              </w:rPr>
              <w:t>已落实批复要求</w:t>
            </w:r>
          </w:p>
        </w:tc>
      </w:tr>
      <w:tr>
        <w:trPr>
          <w:trHeight w:val="1099" w:hRule="atLeast"/>
        </w:trPr>
        <w:tc>
          <w:tcPr>
            <w:tcW w:w="794" w:type="dxa"/>
            <w:vAlign w:val="top"/>
            <w:vMerge w:val="continue"/>
            <w:tcBorders>
              <w:top w:val="nil"/>
              <w:bottom w:val="nil"/>
            </w:tcBorders>
          </w:tcPr>
          <w:p>
            <w:pPr>
              <w:rPr>
                <w:rFonts w:ascii="Arial"/>
                <w:sz w:val="21"/>
              </w:rPr>
            </w:pPr>
            <w:r/>
          </w:p>
        </w:tc>
        <w:tc>
          <w:tcPr>
            <w:tcW w:w="849" w:type="dxa"/>
            <w:vAlign w:val="top"/>
          </w:tcPr>
          <w:p>
            <w:pPr>
              <w:pStyle w:val="TableText"/>
              <w:ind w:left="310"/>
              <w:spacing w:before="45" w:line="220" w:lineRule="auto"/>
              <w:rPr>
                <w:sz w:val="21"/>
                <w:szCs w:val="21"/>
              </w:rPr>
            </w:pPr>
            <w:r>
              <w:rPr>
                <w:sz w:val="21"/>
                <w:szCs w:val="21"/>
              </w:rPr>
              <w:t>八</w:t>
            </w:r>
          </w:p>
        </w:tc>
        <w:tc>
          <w:tcPr>
            <w:tcW w:w="4956" w:type="dxa"/>
            <w:vAlign w:val="top"/>
          </w:tcPr>
          <w:p>
            <w:pPr>
              <w:pStyle w:val="TableText"/>
              <w:ind w:left="51" w:right="53"/>
              <w:spacing w:before="33" w:line="232" w:lineRule="auto"/>
              <w:jc w:val="both"/>
              <w:rPr>
                <w:sz w:val="21"/>
                <w:szCs w:val="21"/>
              </w:rPr>
            </w:pPr>
            <w:r>
              <w:rPr>
                <w:sz w:val="21"/>
                <w:szCs w:val="21"/>
              </w:rPr>
              <w:t>强化环境风险防范和应急措施。按照报告表要求落实</w:t>
            </w:r>
            <w:r>
              <w:rPr>
                <w:sz w:val="21"/>
                <w:szCs w:val="21"/>
                <w:spacing w:val="9"/>
              </w:rPr>
              <w:t xml:space="preserve"> </w:t>
            </w:r>
            <w:r>
              <w:rPr>
                <w:sz w:val="21"/>
                <w:szCs w:val="21"/>
              </w:rPr>
              <w:t>各项环境风险防范和应急措施，合理设置事故应急水</w:t>
            </w:r>
            <w:r>
              <w:rPr>
                <w:sz w:val="21"/>
                <w:szCs w:val="21"/>
                <w:spacing w:val="8"/>
              </w:rPr>
              <w:t xml:space="preserve"> </w:t>
            </w:r>
            <w:r>
              <w:rPr>
                <w:sz w:val="21"/>
                <w:szCs w:val="21"/>
                <w:spacing w:val="-1"/>
              </w:rPr>
              <w:t>池及配套的事故废水切换装置，按要求编制突发环境</w:t>
            </w:r>
            <w:r>
              <w:rPr>
                <w:sz w:val="21"/>
                <w:szCs w:val="21"/>
                <w:spacing w:val="13"/>
              </w:rPr>
              <w:t xml:space="preserve"> </w:t>
            </w:r>
            <w:r>
              <w:rPr>
                <w:sz w:val="21"/>
                <w:szCs w:val="21"/>
                <w:spacing w:val="4"/>
              </w:rPr>
              <w:t>事件应急预案并及时报生态环境部门备案。</w:t>
            </w:r>
          </w:p>
        </w:tc>
        <w:tc>
          <w:tcPr>
            <w:tcW w:w="5646" w:type="dxa"/>
            <w:vAlign w:val="top"/>
          </w:tcPr>
          <w:p>
            <w:pPr>
              <w:pStyle w:val="TableText"/>
              <w:ind w:left="346"/>
              <w:spacing w:before="61" w:line="216" w:lineRule="auto"/>
              <w:rPr>
                <w:sz w:val="21"/>
                <w:szCs w:val="21"/>
              </w:rPr>
            </w:pPr>
            <w:r>
              <w:rPr>
                <w:sz w:val="21"/>
                <w:szCs w:val="21"/>
                <w:spacing w:val="5"/>
              </w:rPr>
              <w:t>项目污水处理站设有事故池250m³,</w:t>
            </w:r>
            <w:r>
              <w:rPr>
                <w:sz w:val="21"/>
                <w:szCs w:val="21"/>
              </w:rPr>
              <w:t>NMP</w:t>
            </w:r>
            <w:r>
              <w:rPr>
                <w:sz w:val="21"/>
                <w:szCs w:val="21"/>
                <w:spacing w:val="5"/>
              </w:rPr>
              <w:t>储罐区A设置围</w:t>
            </w:r>
          </w:p>
          <w:p>
            <w:pPr>
              <w:pStyle w:val="TableText"/>
              <w:ind w:left="125" w:right="199" w:firstLine="120"/>
              <w:spacing w:before="24" w:line="222" w:lineRule="auto"/>
              <w:rPr>
                <w:sz w:val="21"/>
                <w:szCs w:val="21"/>
              </w:rPr>
            </w:pPr>
            <w:r>
              <w:rPr>
                <w:sz w:val="21"/>
                <w:szCs w:val="21"/>
                <w:spacing w:val="4"/>
              </w:rPr>
              <w:t>堰(有效容积240m³),企业已修编了突发环境</w:t>
            </w:r>
            <w:r>
              <w:rPr>
                <w:sz w:val="21"/>
                <w:szCs w:val="21"/>
                <w:spacing w:val="3"/>
              </w:rPr>
              <w:t>事件应急预</w:t>
            </w:r>
            <w:r>
              <w:rPr>
                <w:sz w:val="21"/>
                <w:szCs w:val="21"/>
              </w:rPr>
              <w:t xml:space="preserve"> </w:t>
            </w:r>
            <w:r>
              <w:rPr>
                <w:sz w:val="21"/>
                <w:szCs w:val="21"/>
                <w:spacing w:val="2"/>
              </w:rPr>
              <w:t>案，并于2023年3月17日在宁德市霞浦生态环境局备案(备</w:t>
            </w:r>
            <w:r>
              <w:rPr>
                <w:sz w:val="21"/>
                <w:szCs w:val="21"/>
                <w:spacing w:val="1"/>
              </w:rPr>
              <w:t xml:space="preserve"> </w:t>
            </w:r>
            <w:r>
              <w:rPr>
                <w:sz w:val="21"/>
                <w:szCs w:val="21"/>
              </w:rPr>
              <w:t>案号：350921-2023-003-M)。</w:t>
            </w:r>
          </w:p>
        </w:tc>
        <w:tc>
          <w:tcPr>
            <w:tcW w:w="1904" w:type="dxa"/>
            <w:vAlign w:val="top"/>
          </w:tcPr>
          <w:p>
            <w:pPr>
              <w:spacing w:line="384" w:lineRule="auto"/>
              <w:rPr>
                <w:rFonts w:ascii="Arial"/>
                <w:sz w:val="21"/>
              </w:rPr>
            </w:pPr>
            <w:r/>
          </w:p>
          <w:p>
            <w:pPr>
              <w:pStyle w:val="TableText"/>
              <w:ind w:left="209"/>
              <w:spacing w:before="68" w:line="220" w:lineRule="auto"/>
              <w:rPr>
                <w:sz w:val="21"/>
                <w:szCs w:val="21"/>
              </w:rPr>
            </w:pPr>
            <w:r>
              <w:rPr>
                <w:sz w:val="21"/>
                <w:szCs w:val="21"/>
                <w:spacing w:val="1"/>
              </w:rPr>
              <w:t>已落实批复要求</w:t>
            </w:r>
          </w:p>
        </w:tc>
      </w:tr>
      <w:tr>
        <w:trPr>
          <w:trHeight w:val="1128" w:hRule="atLeast"/>
        </w:trPr>
        <w:tc>
          <w:tcPr>
            <w:tcW w:w="794" w:type="dxa"/>
            <w:vAlign w:val="top"/>
            <w:vMerge w:val="continue"/>
            <w:tcBorders>
              <w:top w:val="nil"/>
              <w:bottom w:val="nil"/>
            </w:tcBorders>
          </w:tcPr>
          <w:p>
            <w:pPr>
              <w:rPr>
                <w:rFonts w:ascii="Arial"/>
                <w:sz w:val="21"/>
              </w:rPr>
            </w:pPr>
            <w:r/>
          </w:p>
        </w:tc>
        <w:tc>
          <w:tcPr>
            <w:tcW w:w="849" w:type="dxa"/>
            <w:vAlign w:val="top"/>
          </w:tcPr>
          <w:p>
            <w:pPr>
              <w:pStyle w:val="TableText"/>
              <w:ind w:left="310"/>
              <w:spacing w:before="48" w:line="222" w:lineRule="auto"/>
              <w:rPr>
                <w:sz w:val="21"/>
                <w:szCs w:val="21"/>
              </w:rPr>
            </w:pPr>
            <w:r>
              <w:rPr>
                <w:sz w:val="21"/>
                <w:szCs w:val="21"/>
              </w:rPr>
              <w:t>九</w:t>
            </w:r>
          </w:p>
        </w:tc>
        <w:tc>
          <w:tcPr>
            <w:tcW w:w="4956" w:type="dxa"/>
            <w:vAlign w:val="top"/>
          </w:tcPr>
          <w:p>
            <w:pPr>
              <w:pStyle w:val="TableText"/>
              <w:ind w:left="51" w:right="8"/>
              <w:spacing w:before="205" w:line="231" w:lineRule="auto"/>
              <w:jc w:val="both"/>
              <w:rPr>
                <w:sz w:val="21"/>
                <w:szCs w:val="21"/>
              </w:rPr>
            </w:pPr>
            <w:r>
              <w:rPr>
                <w:sz w:val="21"/>
                <w:szCs w:val="21"/>
                <w:spacing w:val="-1"/>
              </w:rPr>
              <w:t>在项目实施过程中，应建立畅通的公众参与平台，及</w:t>
            </w:r>
            <w:r>
              <w:rPr>
                <w:sz w:val="21"/>
                <w:szCs w:val="21"/>
                <w:spacing w:val="14"/>
              </w:rPr>
              <w:t xml:space="preserve"> </w:t>
            </w:r>
            <w:r>
              <w:rPr>
                <w:sz w:val="21"/>
                <w:szCs w:val="21"/>
              </w:rPr>
              <w:t>时解决公众担忧的环境问题，满足公众合理的环境诉</w:t>
            </w:r>
            <w:r>
              <w:rPr>
                <w:sz w:val="21"/>
                <w:szCs w:val="21"/>
                <w:spacing w:val="8"/>
              </w:rPr>
              <w:t xml:space="preserve"> </w:t>
            </w:r>
            <w:r>
              <w:rPr>
                <w:sz w:val="21"/>
                <w:szCs w:val="21"/>
                <w:spacing w:val="2"/>
              </w:rPr>
              <w:t>求。定期发布企业环境信息，并主动接受社会监督。</w:t>
            </w:r>
          </w:p>
        </w:tc>
        <w:tc>
          <w:tcPr>
            <w:tcW w:w="5646" w:type="dxa"/>
            <w:vAlign w:val="top"/>
          </w:tcPr>
          <w:p>
            <w:pPr>
              <w:pStyle w:val="TableText"/>
              <w:ind w:left="86" w:right="97"/>
              <w:spacing w:before="225" w:line="225" w:lineRule="auto"/>
              <w:jc w:val="both"/>
              <w:rPr>
                <w:sz w:val="21"/>
                <w:szCs w:val="21"/>
              </w:rPr>
            </w:pPr>
            <w:r>
              <w:rPr>
                <w:sz w:val="21"/>
                <w:szCs w:val="21"/>
                <w:spacing w:val="-1"/>
              </w:rPr>
              <w:t>在项目实施过程中，建立畅通的公众参与平台，及时解决公</w:t>
            </w:r>
            <w:r>
              <w:rPr>
                <w:sz w:val="21"/>
                <w:szCs w:val="21"/>
                <w:spacing w:val="17"/>
              </w:rPr>
              <w:t xml:space="preserve"> </w:t>
            </w:r>
            <w:r>
              <w:rPr>
                <w:sz w:val="21"/>
                <w:szCs w:val="21"/>
                <w:spacing w:val="-1"/>
              </w:rPr>
              <w:t>众担忧的环境问题，满足公众合理的环境诉求。定期发布企</w:t>
            </w:r>
            <w:r>
              <w:rPr>
                <w:sz w:val="21"/>
                <w:szCs w:val="21"/>
                <w:spacing w:val="15"/>
              </w:rPr>
              <w:t xml:space="preserve"> </w:t>
            </w:r>
            <w:r>
              <w:rPr>
                <w:sz w:val="21"/>
                <w:szCs w:val="21"/>
                <w:spacing w:val="3"/>
              </w:rPr>
              <w:t>业环境信息，并主动接受社会监督。</w:t>
            </w:r>
          </w:p>
        </w:tc>
        <w:tc>
          <w:tcPr>
            <w:tcW w:w="1904" w:type="dxa"/>
            <w:vAlign w:val="top"/>
          </w:tcPr>
          <w:p>
            <w:pPr>
              <w:spacing w:line="395" w:lineRule="auto"/>
              <w:rPr>
                <w:rFonts w:ascii="Arial"/>
                <w:sz w:val="21"/>
              </w:rPr>
            </w:pPr>
            <w:r/>
          </w:p>
          <w:p>
            <w:pPr>
              <w:pStyle w:val="TableText"/>
              <w:ind w:left="209"/>
              <w:spacing w:before="68" w:line="220" w:lineRule="auto"/>
              <w:rPr>
                <w:sz w:val="21"/>
                <w:szCs w:val="21"/>
              </w:rPr>
            </w:pPr>
            <w:r>
              <w:rPr>
                <w:sz w:val="21"/>
                <w:szCs w:val="21"/>
                <w:spacing w:val="1"/>
              </w:rPr>
              <w:t>已落实批复要求</w:t>
            </w:r>
          </w:p>
        </w:tc>
      </w:tr>
      <w:tr>
        <w:trPr>
          <w:trHeight w:val="1813" w:hRule="atLeast"/>
        </w:trPr>
        <w:tc>
          <w:tcPr>
            <w:tcW w:w="794" w:type="dxa"/>
            <w:vAlign w:val="top"/>
            <w:vMerge w:val="continue"/>
            <w:tcBorders>
              <w:top w:val="nil"/>
            </w:tcBorders>
          </w:tcPr>
          <w:p>
            <w:pPr>
              <w:rPr>
                <w:rFonts w:ascii="Arial"/>
                <w:sz w:val="21"/>
              </w:rPr>
            </w:pPr>
            <w:r/>
          </w:p>
        </w:tc>
        <w:tc>
          <w:tcPr>
            <w:tcW w:w="849" w:type="dxa"/>
            <w:vAlign w:val="top"/>
          </w:tcPr>
          <w:p>
            <w:pPr>
              <w:pStyle w:val="TableText"/>
              <w:ind w:left="310"/>
              <w:spacing w:before="78" w:line="221" w:lineRule="auto"/>
              <w:rPr>
                <w:sz w:val="21"/>
                <w:szCs w:val="21"/>
              </w:rPr>
            </w:pPr>
            <w:r>
              <w:rPr>
                <w:sz w:val="21"/>
                <w:szCs w:val="21"/>
              </w:rPr>
              <w:t>十</w:t>
            </w:r>
          </w:p>
        </w:tc>
        <w:tc>
          <w:tcPr>
            <w:tcW w:w="4956" w:type="dxa"/>
            <w:vAlign w:val="top"/>
          </w:tcPr>
          <w:p>
            <w:pPr>
              <w:pStyle w:val="TableText"/>
              <w:ind w:left="51"/>
              <w:spacing w:before="137" w:line="219" w:lineRule="auto"/>
              <w:rPr>
                <w:sz w:val="21"/>
                <w:szCs w:val="21"/>
              </w:rPr>
            </w:pPr>
            <w:r>
              <w:rPr>
                <w:sz w:val="21"/>
                <w:szCs w:val="21"/>
                <w:spacing w:val="-1"/>
              </w:rPr>
              <w:t>进一步强化污染源管理工作。按照国家和地方有关规</w:t>
            </w:r>
          </w:p>
          <w:p>
            <w:pPr>
              <w:pStyle w:val="TableText"/>
              <w:ind w:left="161" w:right="150"/>
              <w:spacing w:before="40" w:line="215" w:lineRule="auto"/>
              <w:rPr>
                <w:sz w:val="21"/>
                <w:szCs w:val="21"/>
              </w:rPr>
            </w:pPr>
            <w:r>
              <w:rPr>
                <w:sz w:val="21"/>
                <w:szCs w:val="21"/>
              </w:rPr>
              <w:t>定设置规范的污染物排放口和固体废物临时贮存场</w:t>
            </w:r>
            <w:r>
              <w:rPr>
                <w:sz w:val="21"/>
                <w:szCs w:val="21"/>
                <w:spacing w:val="12"/>
              </w:rPr>
              <w:t xml:space="preserve"> </w:t>
            </w:r>
            <w:r>
              <w:rPr>
                <w:sz w:val="21"/>
                <w:szCs w:val="21"/>
                <w:spacing w:val="-1"/>
              </w:rPr>
              <w:t>所，并设立标志牌。</w:t>
            </w:r>
          </w:p>
          <w:p>
            <w:pPr>
              <w:pStyle w:val="TableText"/>
              <w:ind w:left="51" w:right="73"/>
              <w:spacing w:before="41" w:line="237" w:lineRule="auto"/>
              <w:jc w:val="both"/>
              <w:rPr>
                <w:sz w:val="21"/>
                <w:szCs w:val="21"/>
              </w:rPr>
            </w:pPr>
            <w:r>
              <w:rPr>
                <w:sz w:val="21"/>
                <w:szCs w:val="21"/>
                <w:spacing w:val="-1"/>
              </w:rPr>
              <w:t>制定并实施覆盖各环境要素的环境监测计划，做好环</w:t>
            </w:r>
            <w:r>
              <w:rPr>
                <w:sz w:val="21"/>
                <w:szCs w:val="21"/>
                <w:spacing w:val="12"/>
              </w:rPr>
              <w:t xml:space="preserve"> </w:t>
            </w:r>
            <w:r>
              <w:rPr>
                <w:sz w:val="21"/>
                <w:szCs w:val="21"/>
                <w:spacing w:val="-1"/>
              </w:rPr>
              <w:t>境管理账记录。项目应在启动生产设施或实际排污前</w:t>
            </w:r>
            <w:r>
              <w:rPr>
                <w:sz w:val="21"/>
                <w:szCs w:val="21"/>
                <w:spacing w:val="12"/>
              </w:rPr>
              <w:t xml:space="preserve"> </w:t>
            </w:r>
            <w:r>
              <w:rPr>
                <w:sz w:val="21"/>
                <w:szCs w:val="21"/>
                <w:spacing w:val="5"/>
              </w:rPr>
              <w:t>取得排污权指标和排污许可证。</w:t>
            </w:r>
          </w:p>
        </w:tc>
        <w:tc>
          <w:tcPr>
            <w:tcW w:w="5646" w:type="dxa"/>
            <w:vAlign w:val="top"/>
          </w:tcPr>
          <w:p>
            <w:pPr>
              <w:pStyle w:val="TableText"/>
              <w:ind w:left="86" w:right="81" w:firstLine="109"/>
              <w:spacing w:before="278" w:line="231" w:lineRule="auto"/>
              <w:rPr>
                <w:sz w:val="21"/>
                <w:szCs w:val="21"/>
              </w:rPr>
            </w:pPr>
            <w:r>
              <w:rPr>
                <w:sz w:val="21"/>
                <w:szCs w:val="21"/>
                <w:spacing w:val="-1"/>
              </w:rPr>
              <w:t>按照国家和地方有关规定设置规范的污染物排放口和固体</w:t>
            </w:r>
            <w:r>
              <w:rPr>
                <w:sz w:val="21"/>
                <w:szCs w:val="21"/>
                <w:spacing w:val="7"/>
              </w:rPr>
              <w:t xml:space="preserve">  </w:t>
            </w:r>
            <w:r>
              <w:rPr>
                <w:sz w:val="21"/>
                <w:szCs w:val="21"/>
              </w:rPr>
              <w:t>发物临时贮存场所，并设立标志牌。委托第三方检测机构开</w:t>
            </w:r>
            <w:r>
              <w:rPr>
                <w:sz w:val="21"/>
                <w:szCs w:val="21"/>
                <w:spacing w:val="7"/>
              </w:rPr>
              <w:t xml:space="preserve"> </w:t>
            </w:r>
            <w:r>
              <w:rPr>
                <w:sz w:val="21"/>
                <w:szCs w:val="21"/>
                <w:spacing w:val="4"/>
              </w:rPr>
              <w:t>展自行检测。</w:t>
            </w:r>
          </w:p>
          <w:p>
            <w:pPr>
              <w:pStyle w:val="TableText"/>
              <w:ind w:left="186"/>
              <w:spacing w:before="37" w:line="216" w:lineRule="auto"/>
              <w:rPr>
                <w:sz w:val="21"/>
                <w:szCs w:val="21"/>
              </w:rPr>
            </w:pPr>
            <w:r>
              <w:rPr>
                <w:sz w:val="21"/>
                <w:szCs w:val="21"/>
                <w:spacing w:val="-11"/>
              </w:rPr>
              <w:t>建 设 单 位</w:t>
            </w:r>
            <w:r>
              <w:rPr>
                <w:sz w:val="21"/>
                <w:szCs w:val="21"/>
                <w:spacing w:val="36"/>
              </w:rPr>
              <w:t xml:space="preserve"> </w:t>
            </w:r>
            <w:r>
              <w:rPr>
                <w:sz w:val="21"/>
                <w:szCs w:val="21"/>
                <w:spacing w:val="-11"/>
              </w:rPr>
              <w:t>已</w:t>
            </w:r>
            <w:r>
              <w:rPr>
                <w:sz w:val="21"/>
                <w:szCs w:val="21"/>
                <w:spacing w:val="27"/>
              </w:rPr>
              <w:t xml:space="preserve"> </w:t>
            </w:r>
            <w:r>
              <w:rPr>
                <w:sz w:val="21"/>
                <w:szCs w:val="21"/>
                <w:spacing w:val="-11"/>
              </w:rPr>
              <w:t>申 领</w:t>
            </w:r>
            <w:r>
              <w:rPr>
                <w:sz w:val="21"/>
                <w:szCs w:val="21"/>
                <w:spacing w:val="19"/>
              </w:rPr>
              <w:t xml:space="preserve"> </w:t>
            </w:r>
            <w:r>
              <w:rPr>
                <w:sz w:val="21"/>
                <w:szCs w:val="21"/>
                <w:spacing w:val="-11"/>
              </w:rPr>
              <w:t>了</w:t>
            </w:r>
            <w:r>
              <w:rPr>
                <w:sz w:val="21"/>
                <w:szCs w:val="21"/>
              </w:rPr>
              <w:t xml:space="preserve"> </w:t>
            </w:r>
            <w:r>
              <w:rPr>
                <w:sz w:val="21"/>
                <w:szCs w:val="21"/>
                <w:spacing w:val="-11"/>
              </w:rPr>
              <w:t>排</w:t>
            </w:r>
            <w:r>
              <w:rPr>
                <w:sz w:val="21"/>
                <w:szCs w:val="21"/>
                <w:spacing w:val="2"/>
              </w:rPr>
              <w:t xml:space="preserve"> </w:t>
            </w:r>
            <w:r>
              <w:rPr>
                <w:sz w:val="21"/>
                <w:szCs w:val="21"/>
                <w:spacing w:val="-11"/>
              </w:rPr>
              <w:t>污</w:t>
            </w:r>
            <w:r>
              <w:rPr>
                <w:sz w:val="21"/>
                <w:szCs w:val="21"/>
                <w:spacing w:val="1"/>
              </w:rPr>
              <w:t xml:space="preserve"> </w:t>
            </w:r>
            <w:r>
              <w:rPr>
                <w:sz w:val="21"/>
                <w:szCs w:val="21"/>
                <w:spacing w:val="-11"/>
              </w:rPr>
              <w:t>许</w:t>
            </w:r>
            <w:r>
              <w:rPr>
                <w:sz w:val="21"/>
                <w:szCs w:val="21"/>
                <w:spacing w:val="1"/>
              </w:rPr>
              <w:t xml:space="preserve"> </w:t>
            </w:r>
            <w:r>
              <w:rPr>
                <w:sz w:val="21"/>
                <w:szCs w:val="21"/>
                <w:spacing w:val="-11"/>
              </w:rPr>
              <w:t>可</w:t>
            </w:r>
            <w:r>
              <w:rPr>
                <w:sz w:val="21"/>
                <w:szCs w:val="21"/>
              </w:rPr>
              <w:t xml:space="preserve"> </w:t>
            </w:r>
            <w:r>
              <w:rPr>
                <w:sz w:val="21"/>
                <w:szCs w:val="21"/>
                <w:spacing w:val="-11"/>
              </w:rPr>
              <w:t>证</w:t>
            </w:r>
            <w:r>
              <w:rPr>
                <w:sz w:val="21"/>
                <w:szCs w:val="21"/>
                <w:spacing w:val="4"/>
              </w:rPr>
              <w:t xml:space="preserve"> </w:t>
            </w:r>
            <w:r>
              <w:rPr>
                <w:sz w:val="21"/>
                <w:szCs w:val="21"/>
                <w:spacing w:val="-11"/>
              </w:rPr>
              <w:t>,</w:t>
            </w:r>
            <w:r>
              <w:rPr>
                <w:sz w:val="21"/>
                <w:szCs w:val="21"/>
                <w:spacing w:val="22"/>
              </w:rPr>
              <w:t xml:space="preserve">    </w:t>
            </w:r>
            <w:r>
              <w:rPr>
                <w:sz w:val="21"/>
                <w:szCs w:val="21"/>
                <w:spacing w:val="-11"/>
              </w:rPr>
              <w:t>编</w:t>
            </w:r>
            <w:r>
              <w:rPr>
                <w:sz w:val="21"/>
                <w:szCs w:val="21"/>
                <w:spacing w:val="7"/>
              </w:rPr>
              <w:t xml:space="preserve"> </w:t>
            </w:r>
            <w:r>
              <w:rPr>
                <w:sz w:val="21"/>
                <w:szCs w:val="21"/>
                <w:spacing w:val="-11"/>
              </w:rPr>
              <w:t>号</w:t>
            </w:r>
            <w:r>
              <w:rPr>
                <w:sz w:val="21"/>
                <w:szCs w:val="21"/>
                <w:spacing w:val="32"/>
              </w:rPr>
              <w:t xml:space="preserve"> </w:t>
            </w:r>
            <w:r>
              <w:rPr>
                <w:sz w:val="21"/>
                <w:szCs w:val="21"/>
                <w:spacing w:val="-11"/>
              </w:rPr>
              <w:t>:</w:t>
            </w:r>
          </w:p>
          <w:p>
            <w:pPr>
              <w:pStyle w:val="TableText"/>
              <w:ind w:left="116"/>
              <w:spacing w:before="64" w:line="184" w:lineRule="auto"/>
              <w:rPr>
                <w:sz w:val="21"/>
                <w:szCs w:val="21"/>
              </w:rPr>
            </w:pPr>
            <w:r>
              <w:rPr>
                <w:sz w:val="21"/>
                <w:szCs w:val="21"/>
                <w:spacing w:val="-2"/>
              </w:rPr>
              <w:t>91350921MA32G3QY35001Q。</w:t>
            </w:r>
          </w:p>
        </w:tc>
        <w:tc>
          <w:tcPr>
            <w:tcW w:w="1904"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209"/>
              <w:spacing w:before="68" w:line="220" w:lineRule="auto"/>
              <w:rPr>
                <w:sz w:val="21"/>
                <w:szCs w:val="21"/>
              </w:rPr>
            </w:pPr>
            <w:r>
              <w:rPr>
                <w:sz w:val="21"/>
                <w:szCs w:val="21"/>
                <w:spacing w:val="1"/>
              </w:rPr>
              <w:t>已落实批复要求</w:t>
            </w:r>
          </w:p>
        </w:tc>
      </w:tr>
    </w:tbl>
    <w:p>
      <w:pPr>
        <w:rPr>
          <w:rFonts w:ascii="Arial"/>
          <w:sz w:val="21"/>
        </w:rPr>
      </w:pPr>
      <w:r/>
    </w:p>
    <w:p>
      <w:pPr>
        <w:sectPr>
          <w:footerReference w:type="default" r:id="rId61"/>
          <w:pgSz w:w="16840" w:h="11900"/>
          <w:pgMar w:top="1011" w:right="1354" w:bottom="978" w:left="1325" w:header="0" w:footer="839" w:gutter="0"/>
        </w:sectPr>
        <w:rPr>
          <w:rFonts w:ascii="Arial" w:hAnsi="Arial" w:eastAsia="Arial" w:cs="Arial"/>
          <w:sz w:val="21"/>
          <w:szCs w:val="21"/>
        </w:rPr>
      </w:pPr>
    </w:p>
    <w:p>
      <w:pPr>
        <w:spacing w:before="105"/>
        <w:rPr/>
      </w:pPr>
      <w:r/>
    </w:p>
    <w:p>
      <w:pPr>
        <w:spacing w:before="105"/>
        <w:rPr/>
      </w:pPr>
      <w:r/>
    </w:p>
    <w:tbl>
      <w:tblPr>
        <w:tblStyle w:val="TableNormal"/>
        <w:tblW w:w="141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94"/>
        <w:gridCol w:w="849"/>
        <w:gridCol w:w="4956"/>
        <w:gridCol w:w="5646"/>
        <w:gridCol w:w="1904"/>
      </w:tblGrid>
      <w:tr>
        <w:trPr>
          <w:trHeight w:val="304" w:hRule="atLeast"/>
        </w:trPr>
        <w:tc>
          <w:tcPr>
            <w:tcW w:w="794" w:type="dxa"/>
            <w:vAlign w:val="top"/>
            <w:vMerge w:val="restart"/>
            <w:tcBorders>
              <w:bottom w:val="nil"/>
            </w:tcBorders>
          </w:tcPr>
          <w:p>
            <w:pPr>
              <w:rPr>
                <w:rFonts w:ascii="Arial"/>
                <w:sz w:val="21"/>
              </w:rPr>
            </w:pPr>
            <w:r/>
          </w:p>
        </w:tc>
        <w:tc>
          <w:tcPr>
            <w:tcW w:w="13355" w:type="dxa"/>
            <w:vAlign w:val="top"/>
            <w:gridSpan w:val="4"/>
          </w:tcPr>
          <w:p>
            <w:pPr>
              <w:pStyle w:val="TableText"/>
              <w:ind w:left="3804"/>
              <w:spacing w:before="50" w:line="214" w:lineRule="auto"/>
              <w:rPr>
                <w:sz w:val="21"/>
                <w:szCs w:val="21"/>
              </w:rPr>
            </w:pPr>
            <w:r>
              <w:rPr>
                <w:sz w:val="21"/>
                <w:szCs w:val="21"/>
                <w:b/>
                <w:bCs/>
                <w:spacing w:val="-3"/>
              </w:rPr>
              <w:t>时代一汽动力电池项目(年产10GWh)竣工环境保护验收意见</w:t>
            </w:r>
          </w:p>
        </w:tc>
      </w:tr>
      <w:tr>
        <w:trPr>
          <w:trHeight w:val="808" w:hRule="atLeast"/>
        </w:trPr>
        <w:tc>
          <w:tcPr>
            <w:tcW w:w="794" w:type="dxa"/>
            <w:vAlign w:val="top"/>
            <w:vMerge w:val="continue"/>
            <w:tcBorders>
              <w:top w:val="nil"/>
              <w:bottom w:val="nil"/>
            </w:tcBorders>
          </w:tcPr>
          <w:p>
            <w:pPr>
              <w:rPr>
                <w:rFonts w:ascii="Arial"/>
                <w:sz w:val="21"/>
              </w:rPr>
            </w:pPr>
            <w:r/>
          </w:p>
        </w:tc>
        <w:tc>
          <w:tcPr>
            <w:tcW w:w="849" w:type="dxa"/>
            <w:vAlign w:val="top"/>
          </w:tcPr>
          <w:p>
            <w:pPr>
              <w:spacing w:line="282" w:lineRule="auto"/>
              <w:rPr>
                <w:rFonts w:ascii="Arial"/>
                <w:sz w:val="21"/>
              </w:rPr>
            </w:pPr>
            <w:r/>
          </w:p>
          <w:p>
            <w:pPr>
              <w:pStyle w:val="TableText"/>
              <w:ind w:left="360"/>
              <w:spacing w:before="68" w:line="184" w:lineRule="auto"/>
              <w:rPr>
                <w:sz w:val="21"/>
                <w:szCs w:val="21"/>
              </w:rPr>
            </w:pPr>
            <w:r>
              <w:rPr>
                <w:sz w:val="21"/>
                <w:szCs w:val="21"/>
              </w:rPr>
              <w:t>1</w:t>
            </w:r>
          </w:p>
        </w:tc>
        <w:tc>
          <w:tcPr>
            <w:tcW w:w="4956" w:type="dxa"/>
            <w:vAlign w:val="top"/>
          </w:tcPr>
          <w:p>
            <w:pPr>
              <w:pStyle w:val="TableText"/>
              <w:ind w:left="170" w:hanging="9"/>
              <w:spacing w:before="158" w:line="242" w:lineRule="auto"/>
              <w:rPr>
                <w:sz w:val="21"/>
                <w:szCs w:val="21"/>
              </w:rPr>
            </w:pPr>
            <w:r>
              <w:rPr>
                <w:sz w:val="21"/>
                <w:szCs w:val="21"/>
                <w:spacing w:val="-2"/>
              </w:rPr>
              <w:t>完善环保管理机构和制度，强化各处理设施的日常运</w:t>
            </w:r>
            <w:r>
              <w:rPr>
                <w:sz w:val="21"/>
                <w:szCs w:val="21"/>
              </w:rPr>
              <w:t xml:space="preserve"> </w:t>
            </w:r>
            <w:r>
              <w:rPr>
                <w:sz w:val="21"/>
                <w:szCs w:val="21"/>
                <w:spacing w:val="5"/>
              </w:rPr>
              <w:t>行管理和维护，保证污染物稳定达标排放；</w:t>
            </w:r>
          </w:p>
        </w:tc>
        <w:tc>
          <w:tcPr>
            <w:tcW w:w="5646" w:type="dxa"/>
            <w:vAlign w:val="top"/>
          </w:tcPr>
          <w:p>
            <w:pPr>
              <w:pStyle w:val="TableText"/>
              <w:ind w:left="136"/>
              <w:spacing w:before="39" w:line="219" w:lineRule="auto"/>
              <w:rPr>
                <w:sz w:val="21"/>
                <w:szCs w:val="21"/>
              </w:rPr>
            </w:pPr>
            <w:r>
              <w:rPr>
                <w:sz w:val="21"/>
                <w:szCs w:val="21"/>
              </w:rPr>
              <w:t>建立环保管理制度，落实各类环保设施运行的的日常点检，</w:t>
            </w:r>
          </w:p>
          <w:p>
            <w:pPr>
              <w:pStyle w:val="TableText"/>
              <w:ind w:left="86" w:right="181" w:firstLine="109"/>
              <w:spacing w:before="19" w:line="215" w:lineRule="auto"/>
              <w:rPr>
                <w:sz w:val="21"/>
                <w:szCs w:val="21"/>
              </w:rPr>
            </w:pPr>
            <w:r>
              <w:rPr>
                <w:sz w:val="21"/>
                <w:szCs w:val="21"/>
              </w:rPr>
              <w:t>并开展年度监测及日常监测，保证各类污染物稳定达标排</w:t>
            </w:r>
            <w:r>
              <w:rPr>
                <w:sz w:val="21"/>
                <w:szCs w:val="21"/>
                <w:spacing w:val="7"/>
              </w:rPr>
              <w:t xml:space="preserve"> </w:t>
            </w:r>
            <w:r>
              <w:rPr>
                <w:sz w:val="21"/>
                <w:szCs w:val="21"/>
                <w:spacing w:val="-2"/>
              </w:rPr>
              <w:t>放。</w:t>
            </w:r>
          </w:p>
        </w:tc>
        <w:tc>
          <w:tcPr>
            <w:tcW w:w="1904" w:type="dxa"/>
            <w:vAlign w:val="top"/>
          </w:tcPr>
          <w:p>
            <w:pPr>
              <w:pStyle w:val="TableText"/>
              <w:ind w:left="629"/>
              <w:spacing w:before="300" w:line="220" w:lineRule="auto"/>
              <w:rPr>
                <w:sz w:val="21"/>
                <w:szCs w:val="21"/>
              </w:rPr>
            </w:pPr>
            <w:r>
              <w:rPr>
                <w:sz w:val="21"/>
                <w:szCs w:val="21"/>
                <w:spacing w:val="3"/>
              </w:rPr>
              <w:t>已落实</w:t>
            </w:r>
          </w:p>
        </w:tc>
      </w:tr>
      <w:tr>
        <w:trPr>
          <w:trHeight w:val="807" w:hRule="atLeast"/>
        </w:trPr>
        <w:tc>
          <w:tcPr>
            <w:tcW w:w="794" w:type="dxa"/>
            <w:vAlign w:val="top"/>
            <w:vMerge w:val="continue"/>
            <w:tcBorders>
              <w:top w:val="nil"/>
              <w:bottom w:val="nil"/>
            </w:tcBorders>
          </w:tcPr>
          <w:p>
            <w:pPr>
              <w:rPr>
                <w:rFonts w:ascii="Arial"/>
                <w:sz w:val="21"/>
              </w:rPr>
            </w:pPr>
            <w:r/>
          </w:p>
        </w:tc>
        <w:tc>
          <w:tcPr>
            <w:tcW w:w="849" w:type="dxa"/>
            <w:vAlign w:val="top"/>
          </w:tcPr>
          <w:p>
            <w:pPr>
              <w:spacing w:line="285" w:lineRule="auto"/>
              <w:rPr>
                <w:rFonts w:ascii="Arial"/>
                <w:sz w:val="21"/>
              </w:rPr>
            </w:pPr>
            <w:r/>
          </w:p>
          <w:p>
            <w:pPr>
              <w:pStyle w:val="TableText"/>
              <w:ind w:left="360"/>
              <w:spacing w:before="68" w:line="183" w:lineRule="auto"/>
              <w:rPr>
                <w:sz w:val="21"/>
                <w:szCs w:val="21"/>
              </w:rPr>
            </w:pPr>
            <w:r>
              <w:rPr>
                <w:sz w:val="21"/>
                <w:szCs w:val="21"/>
              </w:rPr>
              <w:t>2</w:t>
            </w:r>
          </w:p>
        </w:tc>
        <w:tc>
          <w:tcPr>
            <w:tcW w:w="4956" w:type="dxa"/>
            <w:vAlign w:val="top"/>
          </w:tcPr>
          <w:p>
            <w:pPr>
              <w:pStyle w:val="TableText"/>
              <w:ind w:left="170" w:hanging="29"/>
              <w:spacing w:before="202" w:line="228" w:lineRule="auto"/>
              <w:rPr>
                <w:sz w:val="21"/>
                <w:szCs w:val="21"/>
              </w:rPr>
            </w:pPr>
            <w:r>
              <w:rPr>
                <w:sz w:val="21"/>
                <w:szCs w:val="21"/>
                <w:spacing w:val="-1"/>
              </w:rPr>
              <w:t>做好各类固体废物的收集、管理和处置；完</w:t>
            </w:r>
            <w:r>
              <w:rPr>
                <w:sz w:val="21"/>
                <w:szCs w:val="21"/>
                <w:spacing w:val="-2"/>
              </w:rPr>
              <w:t>善危险废</w:t>
            </w:r>
            <w:r>
              <w:rPr>
                <w:sz w:val="21"/>
                <w:szCs w:val="21"/>
              </w:rPr>
              <w:t xml:space="preserve"> </w:t>
            </w:r>
            <w:r>
              <w:rPr>
                <w:sz w:val="21"/>
                <w:szCs w:val="21"/>
                <w:spacing w:val="7"/>
              </w:rPr>
              <w:t>物暂存、处置的规范化管理；</w:t>
            </w:r>
          </w:p>
        </w:tc>
        <w:tc>
          <w:tcPr>
            <w:tcW w:w="5646" w:type="dxa"/>
            <w:vAlign w:val="top"/>
          </w:tcPr>
          <w:p>
            <w:pPr>
              <w:pStyle w:val="TableText"/>
              <w:ind w:left="86" w:right="81"/>
              <w:spacing w:before="22" w:line="227" w:lineRule="auto"/>
              <w:jc w:val="both"/>
              <w:rPr>
                <w:sz w:val="21"/>
                <w:szCs w:val="21"/>
              </w:rPr>
            </w:pPr>
            <w:r>
              <w:rPr>
                <w:sz w:val="21"/>
                <w:szCs w:val="21"/>
              </w:rPr>
              <w:t>项目各类固体废物的收集、管理均由专人负责，并根据一般</w:t>
            </w:r>
            <w:r>
              <w:rPr>
                <w:sz w:val="21"/>
                <w:szCs w:val="21"/>
                <w:spacing w:val="7"/>
              </w:rPr>
              <w:t xml:space="preserve"> </w:t>
            </w:r>
            <w:r>
              <w:rPr>
                <w:sz w:val="21"/>
                <w:szCs w:val="21"/>
                <w:spacing w:val="-1"/>
              </w:rPr>
              <w:t>工业固体废物的类别，分别委托相关单位处置；危险废物委</w:t>
            </w:r>
            <w:r>
              <w:rPr>
                <w:sz w:val="21"/>
                <w:szCs w:val="21"/>
                <w:spacing w:val="14"/>
              </w:rPr>
              <w:t xml:space="preserve"> </w:t>
            </w:r>
            <w:r>
              <w:rPr>
                <w:sz w:val="21"/>
                <w:szCs w:val="21"/>
                <w:spacing w:val="3"/>
              </w:rPr>
              <w:t>托有资质单位处置，并做好台账等管理。</w:t>
            </w:r>
          </w:p>
        </w:tc>
        <w:tc>
          <w:tcPr>
            <w:tcW w:w="1904" w:type="dxa"/>
            <w:vAlign w:val="top"/>
          </w:tcPr>
          <w:p>
            <w:pPr>
              <w:pStyle w:val="TableText"/>
              <w:ind w:left="629"/>
              <w:spacing w:before="302" w:line="220" w:lineRule="auto"/>
              <w:rPr>
                <w:sz w:val="21"/>
                <w:szCs w:val="21"/>
              </w:rPr>
            </w:pPr>
            <w:r>
              <w:rPr>
                <w:sz w:val="21"/>
                <w:szCs w:val="21"/>
                <w:spacing w:val="3"/>
              </w:rPr>
              <w:t>已落实</w:t>
            </w:r>
          </w:p>
        </w:tc>
      </w:tr>
      <w:tr>
        <w:trPr>
          <w:trHeight w:val="558" w:hRule="atLeast"/>
        </w:trPr>
        <w:tc>
          <w:tcPr>
            <w:tcW w:w="794" w:type="dxa"/>
            <w:vAlign w:val="top"/>
            <w:vMerge w:val="continue"/>
            <w:tcBorders>
              <w:top w:val="nil"/>
              <w:bottom w:val="nil"/>
            </w:tcBorders>
          </w:tcPr>
          <w:p>
            <w:pPr>
              <w:rPr>
                <w:rFonts w:ascii="Arial"/>
                <w:sz w:val="21"/>
              </w:rPr>
            </w:pPr>
            <w:r/>
          </w:p>
        </w:tc>
        <w:tc>
          <w:tcPr>
            <w:tcW w:w="849" w:type="dxa"/>
            <w:vAlign w:val="top"/>
          </w:tcPr>
          <w:p>
            <w:pPr>
              <w:pStyle w:val="TableText"/>
              <w:ind w:left="360"/>
              <w:spacing w:before="238" w:line="183" w:lineRule="auto"/>
              <w:rPr>
                <w:sz w:val="21"/>
                <w:szCs w:val="21"/>
              </w:rPr>
            </w:pPr>
            <w:r>
              <w:rPr>
                <w:sz w:val="21"/>
                <w:szCs w:val="21"/>
              </w:rPr>
              <w:t>3</w:t>
            </w:r>
          </w:p>
        </w:tc>
        <w:tc>
          <w:tcPr>
            <w:tcW w:w="4956" w:type="dxa"/>
            <w:vAlign w:val="top"/>
          </w:tcPr>
          <w:p>
            <w:pPr>
              <w:pStyle w:val="TableText"/>
              <w:ind w:left="170" w:right="173" w:hanging="29"/>
              <w:spacing w:before="74" w:line="208" w:lineRule="auto"/>
              <w:rPr>
                <w:sz w:val="21"/>
                <w:szCs w:val="21"/>
              </w:rPr>
            </w:pPr>
            <w:r>
              <w:rPr>
                <w:sz w:val="21"/>
                <w:szCs w:val="21"/>
              </w:rPr>
              <w:t>按《排污单位自行监测技术指南总则》要求，完善</w:t>
            </w:r>
            <w:r>
              <w:rPr>
                <w:sz w:val="21"/>
                <w:szCs w:val="21"/>
                <w:spacing w:val="9"/>
              </w:rPr>
              <w:t xml:space="preserve"> </w:t>
            </w:r>
            <w:r>
              <w:rPr>
                <w:sz w:val="21"/>
                <w:szCs w:val="21"/>
                <w:spacing w:val="5"/>
              </w:rPr>
              <w:t>日常自行监测计划和管理计划并严格落实；</w:t>
            </w:r>
          </w:p>
        </w:tc>
        <w:tc>
          <w:tcPr>
            <w:tcW w:w="5646" w:type="dxa"/>
            <w:vAlign w:val="top"/>
          </w:tcPr>
          <w:p>
            <w:pPr>
              <w:pStyle w:val="TableText"/>
              <w:ind w:left="86"/>
              <w:spacing w:before="44" w:line="219" w:lineRule="auto"/>
              <w:rPr>
                <w:sz w:val="21"/>
                <w:szCs w:val="21"/>
              </w:rPr>
            </w:pPr>
            <w:r>
              <w:rPr>
                <w:sz w:val="21"/>
                <w:szCs w:val="21"/>
                <w:spacing w:val="-1"/>
              </w:rPr>
              <w:t>按《排污单位自行监测技术指南  总则》要求，开展年度监</w:t>
            </w:r>
          </w:p>
          <w:p>
            <w:pPr>
              <w:pStyle w:val="TableText"/>
              <w:ind w:left="125"/>
              <w:spacing w:before="41" w:line="187" w:lineRule="auto"/>
              <w:rPr>
                <w:sz w:val="21"/>
                <w:szCs w:val="21"/>
              </w:rPr>
            </w:pPr>
            <w:r>
              <w:rPr>
                <w:sz w:val="21"/>
                <w:szCs w:val="21"/>
                <w:spacing w:val="-1"/>
              </w:rPr>
              <w:t>测及日常监测。</w:t>
            </w:r>
          </w:p>
        </w:tc>
        <w:tc>
          <w:tcPr>
            <w:tcW w:w="1904" w:type="dxa"/>
            <w:vAlign w:val="top"/>
          </w:tcPr>
          <w:p>
            <w:pPr>
              <w:pStyle w:val="TableText"/>
              <w:ind w:left="629"/>
              <w:spacing w:before="185" w:line="220" w:lineRule="auto"/>
              <w:rPr>
                <w:sz w:val="21"/>
                <w:szCs w:val="21"/>
              </w:rPr>
            </w:pPr>
            <w:r>
              <w:rPr>
                <w:sz w:val="21"/>
                <w:szCs w:val="21"/>
                <w:spacing w:val="3"/>
              </w:rPr>
              <w:t>已落实</w:t>
            </w:r>
          </w:p>
        </w:tc>
      </w:tr>
      <w:tr>
        <w:trPr>
          <w:trHeight w:val="812" w:hRule="atLeast"/>
        </w:trPr>
        <w:tc>
          <w:tcPr>
            <w:tcW w:w="794" w:type="dxa"/>
            <w:vAlign w:val="top"/>
            <w:vMerge w:val="continue"/>
            <w:tcBorders>
              <w:top w:val="nil"/>
            </w:tcBorders>
          </w:tcPr>
          <w:p>
            <w:pPr>
              <w:rPr>
                <w:rFonts w:ascii="Arial"/>
                <w:sz w:val="21"/>
              </w:rPr>
            </w:pPr>
            <w:r/>
          </w:p>
        </w:tc>
        <w:tc>
          <w:tcPr>
            <w:tcW w:w="849" w:type="dxa"/>
            <w:vAlign w:val="top"/>
          </w:tcPr>
          <w:p>
            <w:pPr>
              <w:spacing w:line="290" w:lineRule="auto"/>
              <w:rPr>
                <w:rFonts w:ascii="Arial"/>
                <w:sz w:val="21"/>
              </w:rPr>
            </w:pPr>
            <w:r/>
          </w:p>
          <w:p>
            <w:pPr>
              <w:pStyle w:val="TableText"/>
              <w:ind w:left="360"/>
              <w:spacing w:before="68" w:line="183" w:lineRule="auto"/>
              <w:rPr>
                <w:sz w:val="21"/>
                <w:szCs w:val="21"/>
              </w:rPr>
            </w:pPr>
            <w:r>
              <w:rPr>
                <w:sz w:val="21"/>
                <w:szCs w:val="21"/>
              </w:rPr>
              <w:t>4</w:t>
            </w:r>
          </w:p>
        </w:tc>
        <w:tc>
          <w:tcPr>
            <w:tcW w:w="4956" w:type="dxa"/>
            <w:vAlign w:val="top"/>
          </w:tcPr>
          <w:p>
            <w:pPr>
              <w:pStyle w:val="TableText"/>
              <w:ind w:left="171"/>
              <w:spacing w:before="306" w:line="219" w:lineRule="auto"/>
              <w:rPr>
                <w:sz w:val="21"/>
                <w:szCs w:val="21"/>
              </w:rPr>
            </w:pPr>
            <w:r>
              <w:rPr>
                <w:sz w:val="21"/>
                <w:szCs w:val="21"/>
              </w:rPr>
              <w:t>根据要求对项目突发环境事件应急预案进行修编</w:t>
            </w:r>
          </w:p>
        </w:tc>
        <w:tc>
          <w:tcPr>
            <w:tcW w:w="5646" w:type="dxa"/>
            <w:vAlign w:val="top"/>
          </w:tcPr>
          <w:p>
            <w:pPr>
              <w:pStyle w:val="TableText"/>
              <w:ind w:left="116" w:right="157" w:firstLine="130"/>
              <w:spacing w:before="37" w:line="224" w:lineRule="auto"/>
              <w:jc w:val="both"/>
              <w:rPr>
                <w:sz w:val="21"/>
                <w:szCs w:val="21"/>
              </w:rPr>
            </w:pPr>
            <w:r>
              <w:rPr>
                <w:sz w:val="21"/>
                <w:szCs w:val="21"/>
                <w:spacing w:val="1"/>
              </w:rPr>
              <w:t>企业已修编突发环境事件应急预案，并于2023年3月17日</w:t>
            </w:r>
            <w:r>
              <w:rPr>
                <w:sz w:val="21"/>
                <w:szCs w:val="21"/>
                <w:spacing w:val="3"/>
              </w:rPr>
              <w:t xml:space="preserve"> </w:t>
            </w:r>
            <w:r>
              <w:rPr>
                <w:sz w:val="21"/>
                <w:szCs w:val="21"/>
                <w:spacing w:val="-9"/>
              </w:rPr>
              <w:t>在 宁 德 市</w:t>
            </w:r>
            <w:r>
              <w:rPr>
                <w:sz w:val="21"/>
                <w:szCs w:val="21"/>
                <w:spacing w:val="-13"/>
              </w:rPr>
              <w:t xml:space="preserve"> </w:t>
            </w:r>
            <w:r>
              <w:rPr>
                <w:sz w:val="21"/>
                <w:szCs w:val="21"/>
                <w:spacing w:val="-9"/>
              </w:rPr>
              <w:t>霞</w:t>
            </w:r>
            <w:r>
              <w:rPr>
                <w:sz w:val="21"/>
                <w:szCs w:val="21"/>
                <w:spacing w:val="-17"/>
              </w:rPr>
              <w:t xml:space="preserve"> </w:t>
            </w:r>
            <w:r>
              <w:rPr>
                <w:sz w:val="21"/>
                <w:szCs w:val="21"/>
                <w:spacing w:val="-9"/>
              </w:rPr>
              <w:t>浦</w:t>
            </w:r>
            <w:r>
              <w:rPr>
                <w:sz w:val="21"/>
                <w:szCs w:val="21"/>
                <w:spacing w:val="-15"/>
              </w:rPr>
              <w:t xml:space="preserve"> </w:t>
            </w:r>
            <w:r>
              <w:rPr>
                <w:sz w:val="21"/>
                <w:szCs w:val="21"/>
                <w:spacing w:val="-9"/>
              </w:rPr>
              <w:t>生</w:t>
            </w:r>
            <w:r>
              <w:rPr>
                <w:sz w:val="21"/>
                <w:szCs w:val="21"/>
                <w:spacing w:val="-18"/>
              </w:rPr>
              <w:t xml:space="preserve"> </w:t>
            </w:r>
            <w:r>
              <w:rPr>
                <w:sz w:val="21"/>
                <w:szCs w:val="21"/>
                <w:spacing w:val="-9"/>
              </w:rPr>
              <w:t>态</w:t>
            </w:r>
            <w:r>
              <w:rPr>
                <w:sz w:val="21"/>
                <w:szCs w:val="21"/>
                <w:spacing w:val="-17"/>
              </w:rPr>
              <w:t xml:space="preserve"> </w:t>
            </w:r>
            <w:r>
              <w:rPr>
                <w:sz w:val="21"/>
                <w:szCs w:val="21"/>
                <w:spacing w:val="-9"/>
              </w:rPr>
              <w:t>环</w:t>
            </w:r>
            <w:r>
              <w:rPr>
                <w:sz w:val="21"/>
                <w:szCs w:val="21"/>
                <w:spacing w:val="-17"/>
              </w:rPr>
              <w:t xml:space="preserve"> </w:t>
            </w:r>
            <w:r>
              <w:rPr>
                <w:sz w:val="21"/>
                <w:szCs w:val="21"/>
                <w:spacing w:val="-9"/>
              </w:rPr>
              <w:t>境</w:t>
            </w:r>
            <w:r>
              <w:rPr>
                <w:sz w:val="21"/>
                <w:szCs w:val="21"/>
                <w:spacing w:val="-14"/>
              </w:rPr>
              <w:t xml:space="preserve"> </w:t>
            </w:r>
            <w:r>
              <w:rPr>
                <w:sz w:val="21"/>
                <w:szCs w:val="21"/>
                <w:spacing w:val="-9"/>
              </w:rPr>
              <w:t>局</w:t>
            </w:r>
            <w:r>
              <w:rPr>
                <w:sz w:val="21"/>
                <w:szCs w:val="21"/>
                <w:spacing w:val="-15"/>
              </w:rPr>
              <w:t xml:space="preserve"> </w:t>
            </w:r>
            <w:r>
              <w:rPr>
                <w:sz w:val="21"/>
                <w:szCs w:val="21"/>
                <w:spacing w:val="-9"/>
              </w:rPr>
              <w:t>备</w:t>
            </w:r>
            <w:r>
              <w:rPr>
                <w:sz w:val="21"/>
                <w:szCs w:val="21"/>
                <w:spacing w:val="-16"/>
              </w:rPr>
              <w:t xml:space="preserve"> </w:t>
            </w:r>
            <w:r>
              <w:rPr>
                <w:sz w:val="21"/>
                <w:szCs w:val="21"/>
                <w:spacing w:val="-9"/>
              </w:rPr>
              <w:t>案</w:t>
            </w:r>
            <w:r>
              <w:rPr>
                <w:sz w:val="21"/>
                <w:szCs w:val="21"/>
                <w:spacing w:val="18"/>
              </w:rPr>
              <w:t xml:space="preserve">    </w:t>
            </w:r>
            <w:r>
              <w:rPr>
                <w:sz w:val="21"/>
                <w:szCs w:val="21"/>
                <w:spacing w:val="-9"/>
              </w:rPr>
              <w:t>(</w:t>
            </w:r>
            <w:r>
              <w:rPr>
                <w:sz w:val="21"/>
                <w:szCs w:val="21"/>
                <w:spacing w:val="-13"/>
              </w:rPr>
              <w:t xml:space="preserve"> </w:t>
            </w:r>
            <w:r>
              <w:rPr>
                <w:sz w:val="21"/>
                <w:szCs w:val="21"/>
                <w:spacing w:val="-9"/>
              </w:rPr>
              <w:t>备</w:t>
            </w:r>
            <w:r>
              <w:rPr>
                <w:sz w:val="21"/>
                <w:szCs w:val="21"/>
                <w:spacing w:val="-16"/>
              </w:rPr>
              <w:t xml:space="preserve"> </w:t>
            </w:r>
            <w:r>
              <w:rPr>
                <w:sz w:val="21"/>
                <w:szCs w:val="21"/>
                <w:spacing w:val="-9"/>
              </w:rPr>
              <w:t>案</w:t>
            </w:r>
            <w:r>
              <w:rPr>
                <w:sz w:val="21"/>
                <w:szCs w:val="21"/>
                <w:spacing w:val="-12"/>
              </w:rPr>
              <w:t xml:space="preserve"> </w:t>
            </w:r>
            <w:r>
              <w:rPr>
                <w:sz w:val="21"/>
                <w:szCs w:val="21"/>
                <w:spacing w:val="-9"/>
              </w:rPr>
              <w:t>号 :</w:t>
            </w:r>
            <w:r>
              <w:rPr>
                <w:sz w:val="21"/>
                <w:szCs w:val="21"/>
              </w:rPr>
              <w:t xml:space="preserve"> </w:t>
            </w:r>
            <w:r>
              <w:rPr>
                <w:sz w:val="21"/>
                <w:szCs w:val="21"/>
                <w:spacing w:val="-2"/>
              </w:rPr>
              <w:t>350921-2023-003-M)。</w:t>
            </w:r>
          </w:p>
        </w:tc>
        <w:tc>
          <w:tcPr>
            <w:tcW w:w="1904" w:type="dxa"/>
            <w:vAlign w:val="top"/>
          </w:tcPr>
          <w:p>
            <w:pPr>
              <w:pStyle w:val="TableText"/>
              <w:ind w:left="629"/>
              <w:spacing w:before="307" w:line="220" w:lineRule="auto"/>
              <w:rPr>
                <w:sz w:val="21"/>
                <w:szCs w:val="21"/>
              </w:rPr>
            </w:pPr>
            <w:r>
              <w:rPr>
                <w:sz w:val="21"/>
                <w:szCs w:val="21"/>
                <w:spacing w:val="3"/>
              </w:rPr>
              <w:t>已落实</w:t>
            </w:r>
          </w:p>
        </w:tc>
      </w:tr>
    </w:tbl>
    <w:p>
      <w:pPr>
        <w:spacing w:line="401" w:lineRule="auto"/>
        <w:rPr>
          <w:rFonts w:ascii="Arial"/>
          <w:sz w:val="21"/>
        </w:rPr>
      </w:pPr>
      <w:r/>
    </w:p>
    <w:p>
      <w:pPr>
        <w:pStyle w:val="BodyText"/>
        <w:ind w:left="4588"/>
        <w:spacing w:before="78" w:line="219" w:lineRule="auto"/>
        <w:rPr>
          <w:sz w:val="24"/>
          <w:szCs w:val="24"/>
        </w:rPr>
      </w:pPr>
      <w:r>
        <w:rPr>
          <w:sz w:val="24"/>
          <w:szCs w:val="24"/>
          <w:b/>
          <w:bCs/>
          <w:spacing w:val="-6"/>
        </w:rPr>
        <w:t>表2.9-2</w:t>
      </w:r>
      <w:r>
        <w:rPr>
          <w:sz w:val="24"/>
          <w:szCs w:val="24"/>
          <w:spacing w:val="-6"/>
        </w:rPr>
        <w:t xml:space="preserve">  </w:t>
      </w:r>
      <w:r>
        <w:rPr>
          <w:sz w:val="24"/>
          <w:szCs w:val="24"/>
          <w:b/>
          <w:bCs/>
          <w:spacing w:val="-6"/>
        </w:rPr>
        <w:t>二期工程环评批复、验收意见执行情况一览表</w:t>
      </w:r>
    </w:p>
    <w:p>
      <w:pPr>
        <w:spacing w:line="163" w:lineRule="exact"/>
        <w:rPr/>
      </w:pPr>
      <w:r/>
    </w:p>
    <w:tbl>
      <w:tblPr>
        <w:tblStyle w:val="TableNormal"/>
        <w:tblW w:w="141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94"/>
        <w:gridCol w:w="849"/>
        <w:gridCol w:w="4956"/>
        <w:gridCol w:w="5646"/>
        <w:gridCol w:w="1904"/>
      </w:tblGrid>
      <w:tr>
        <w:trPr>
          <w:trHeight w:val="264" w:hRule="atLeast"/>
        </w:trPr>
        <w:tc>
          <w:tcPr>
            <w:tcW w:w="794" w:type="dxa"/>
            <w:vAlign w:val="top"/>
            <w:vMerge w:val="restart"/>
            <w:tcBorders>
              <w:bottom w:val="nil"/>
            </w:tcBorders>
          </w:tcPr>
          <w:p>
            <w:pPr>
              <w:rPr>
                <w:rFonts w:ascii="Arial"/>
                <w:sz w:val="21"/>
              </w:rPr>
            </w:pPr>
            <w:r/>
          </w:p>
        </w:tc>
        <w:tc>
          <w:tcPr>
            <w:tcW w:w="849" w:type="dxa"/>
            <w:vAlign w:val="top"/>
          </w:tcPr>
          <w:p>
            <w:pPr>
              <w:pStyle w:val="TableText"/>
              <w:ind w:left="200"/>
              <w:spacing w:before="35" w:line="192" w:lineRule="auto"/>
              <w:rPr>
                <w:sz w:val="21"/>
                <w:szCs w:val="21"/>
              </w:rPr>
            </w:pPr>
            <w:r>
              <w:rPr>
                <w:sz w:val="21"/>
                <w:szCs w:val="21"/>
                <w:spacing w:val="6"/>
              </w:rPr>
              <w:t>序号</w:t>
            </w:r>
          </w:p>
        </w:tc>
        <w:tc>
          <w:tcPr>
            <w:tcW w:w="4956" w:type="dxa"/>
            <w:vAlign w:val="top"/>
          </w:tcPr>
          <w:p>
            <w:pPr>
              <w:pStyle w:val="TableText"/>
              <w:ind w:left="1521"/>
              <w:spacing w:before="33" w:line="194" w:lineRule="auto"/>
              <w:rPr>
                <w:sz w:val="21"/>
                <w:szCs w:val="21"/>
              </w:rPr>
            </w:pPr>
            <w:r>
              <w:rPr>
                <w:sz w:val="21"/>
                <w:szCs w:val="21"/>
                <w:spacing w:val="-1"/>
              </w:rPr>
              <w:t>环评批复、验收要求</w:t>
            </w:r>
          </w:p>
        </w:tc>
        <w:tc>
          <w:tcPr>
            <w:tcW w:w="5646" w:type="dxa"/>
            <w:vAlign w:val="top"/>
          </w:tcPr>
          <w:p>
            <w:pPr>
              <w:pStyle w:val="TableText"/>
              <w:ind w:left="2395"/>
              <w:spacing w:before="34" w:line="193" w:lineRule="auto"/>
              <w:rPr>
                <w:sz w:val="21"/>
                <w:szCs w:val="21"/>
              </w:rPr>
            </w:pPr>
            <w:r>
              <w:rPr>
                <w:sz w:val="21"/>
                <w:szCs w:val="21"/>
                <w:spacing w:val="-2"/>
              </w:rPr>
              <w:t>落实情况</w:t>
            </w:r>
          </w:p>
        </w:tc>
        <w:tc>
          <w:tcPr>
            <w:tcW w:w="1904" w:type="dxa"/>
            <w:vAlign w:val="top"/>
          </w:tcPr>
          <w:p>
            <w:pPr>
              <w:pStyle w:val="TableText"/>
              <w:ind w:left="740"/>
              <w:spacing w:before="35" w:line="192" w:lineRule="auto"/>
              <w:rPr>
                <w:sz w:val="21"/>
                <w:szCs w:val="21"/>
              </w:rPr>
            </w:pPr>
            <w:r>
              <w:rPr>
                <w:sz w:val="21"/>
                <w:szCs w:val="21"/>
                <w:spacing w:val="5"/>
              </w:rPr>
              <w:t>备注</w:t>
            </w:r>
          </w:p>
        </w:tc>
      </w:tr>
      <w:tr>
        <w:trPr>
          <w:trHeight w:val="279" w:hRule="atLeast"/>
        </w:trPr>
        <w:tc>
          <w:tcPr>
            <w:tcW w:w="794" w:type="dxa"/>
            <w:vAlign w:val="top"/>
            <w:vMerge w:val="continue"/>
            <w:tcBorders>
              <w:top w:val="nil"/>
              <w:bottom w:val="nil"/>
            </w:tcBorders>
          </w:tcPr>
          <w:p>
            <w:pPr>
              <w:rPr>
                <w:rFonts w:ascii="Arial"/>
                <w:sz w:val="21"/>
              </w:rPr>
            </w:pPr>
            <w:r/>
          </w:p>
        </w:tc>
        <w:tc>
          <w:tcPr>
            <w:tcW w:w="13355" w:type="dxa"/>
            <w:vAlign w:val="top"/>
            <w:gridSpan w:val="4"/>
          </w:tcPr>
          <w:p>
            <w:pPr>
              <w:pStyle w:val="TableText"/>
              <w:ind w:left="2243"/>
              <w:spacing w:before="30" w:line="210" w:lineRule="auto"/>
              <w:rPr>
                <w:sz w:val="21"/>
                <w:szCs w:val="21"/>
              </w:rPr>
            </w:pPr>
            <w:r>
              <w:rPr>
                <w:sz w:val="21"/>
                <w:szCs w:val="21"/>
                <w:b/>
                <w:bCs/>
                <w:spacing w:val="-2"/>
              </w:rPr>
              <w:t>关于时代一汽年产20gwh动力电池生产线扩建项目</w:t>
            </w:r>
            <w:r>
              <w:rPr>
                <w:sz w:val="21"/>
                <w:szCs w:val="21"/>
                <w:b/>
                <w:bCs/>
                <w:spacing w:val="-3"/>
              </w:rPr>
              <w:t>环境影响报告表的批复宁霞环评(2022)3号</w:t>
            </w:r>
          </w:p>
        </w:tc>
      </w:tr>
      <w:tr>
        <w:trPr>
          <w:trHeight w:val="1088" w:hRule="atLeast"/>
        </w:trPr>
        <w:tc>
          <w:tcPr>
            <w:tcW w:w="794" w:type="dxa"/>
            <w:vAlign w:val="top"/>
            <w:vMerge w:val="continue"/>
            <w:tcBorders>
              <w:top w:val="nil"/>
              <w:bottom w:val="nil"/>
            </w:tcBorders>
          </w:tcPr>
          <w:p>
            <w:pPr>
              <w:rPr>
                <w:rFonts w:ascii="Arial"/>
                <w:sz w:val="21"/>
              </w:rPr>
            </w:pPr>
            <w:r/>
          </w:p>
        </w:tc>
        <w:tc>
          <w:tcPr>
            <w:tcW w:w="849" w:type="dxa"/>
            <w:vAlign w:val="top"/>
          </w:tcPr>
          <w:p>
            <w:pPr>
              <w:rPr>
                <w:rFonts w:ascii="Arial"/>
                <w:sz w:val="21"/>
              </w:rPr>
            </w:pPr>
            <w:r/>
          </w:p>
        </w:tc>
        <w:tc>
          <w:tcPr>
            <w:tcW w:w="4956" w:type="dxa"/>
            <w:vAlign w:val="top"/>
          </w:tcPr>
          <w:p>
            <w:pPr>
              <w:pStyle w:val="TableText"/>
              <w:ind w:left="421"/>
              <w:spacing w:before="30" w:line="219" w:lineRule="auto"/>
              <w:rPr>
                <w:sz w:val="21"/>
                <w:szCs w:val="21"/>
              </w:rPr>
            </w:pPr>
            <w:r>
              <w:rPr>
                <w:sz w:val="21"/>
                <w:szCs w:val="21"/>
                <w:spacing w:val="-1"/>
              </w:rPr>
              <w:t>亚格执行《建筑施工场界环境噪声排放标准》</w:t>
            </w:r>
          </w:p>
          <w:p>
            <w:pPr>
              <w:pStyle w:val="TableText"/>
              <w:ind w:left="261"/>
              <w:spacing w:before="20" w:line="219" w:lineRule="auto"/>
              <w:rPr>
                <w:sz w:val="21"/>
                <w:szCs w:val="21"/>
              </w:rPr>
            </w:pPr>
            <w:r>
              <w:rPr>
                <w:sz w:val="21"/>
                <w:szCs w:val="21"/>
              </w:rPr>
              <w:t>(GB12523-2011)和关于施工期环境管理的相关规</w:t>
            </w:r>
          </w:p>
          <w:p>
            <w:pPr>
              <w:pStyle w:val="TableText"/>
              <w:ind w:left="51"/>
              <w:spacing w:before="39" w:line="219" w:lineRule="auto"/>
              <w:rPr>
                <w:sz w:val="21"/>
                <w:szCs w:val="21"/>
              </w:rPr>
            </w:pPr>
            <w:r>
              <w:rPr>
                <w:sz w:val="21"/>
                <w:szCs w:val="21"/>
              </w:rPr>
              <w:t>定，加强项目施工过程的环境管理，切实采取有效措</w:t>
            </w:r>
          </w:p>
          <w:p>
            <w:pPr>
              <w:pStyle w:val="TableText"/>
              <w:ind w:right="9"/>
              <w:spacing w:before="12" w:line="200" w:lineRule="auto"/>
              <w:jc w:val="right"/>
              <w:rPr>
                <w:sz w:val="21"/>
                <w:szCs w:val="21"/>
              </w:rPr>
            </w:pPr>
            <w:r>
              <w:rPr>
                <w:sz w:val="21"/>
                <w:szCs w:val="21"/>
              </w:rPr>
              <w:t>施控制施工中噪声、粉尘、废水、固体废物的污染。</w:t>
            </w:r>
          </w:p>
        </w:tc>
        <w:tc>
          <w:tcPr>
            <w:tcW w:w="5646" w:type="dxa"/>
            <w:vAlign w:val="top"/>
          </w:tcPr>
          <w:p>
            <w:pPr>
              <w:pStyle w:val="TableText"/>
              <w:ind w:left="85" w:hanging="49"/>
              <w:spacing w:before="169" w:line="232" w:lineRule="auto"/>
              <w:jc w:val="both"/>
              <w:rPr>
                <w:sz w:val="21"/>
                <w:szCs w:val="21"/>
              </w:rPr>
            </w:pPr>
            <w:r>
              <w:rPr>
                <w:sz w:val="21"/>
                <w:szCs w:val="21"/>
                <w:spacing w:val="-3"/>
              </w:rPr>
              <w:t>项目施工期间，施工场地采取设置施工围挡，控制施工时间，</w:t>
            </w:r>
            <w:r>
              <w:rPr>
                <w:sz w:val="21"/>
                <w:szCs w:val="21"/>
                <w:spacing w:val="9"/>
              </w:rPr>
              <w:t xml:space="preserve"> </w:t>
            </w:r>
            <w:r>
              <w:rPr>
                <w:sz w:val="21"/>
                <w:szCs w:val="21"/>
                <w:spacing w:val="-2"/>
              </w:rPr>
              <w:t>明确规章制度等措施，控制施工中噪声、粉尘、废水</w:t>
            </w:r>
            <w:r>
              <w:rPr>
                <w:sz w:val="21"/>
                <w:szCs w:val="21"/>
                <w:spacing w:val="-3"/>
              </w:rPr>
              <w:t>、固体</w:t>
            </w:r>
            <w:r>
              <w:rPr>
                <w:sz w:val="21"/>
                <w:szCs w:val="21"/>
              </w:rPr>
              <w:t xml:space="preserve">  </w:t>
            </w:r>
            <w:r>
              <w:rPr>
                <w:sz w:val="21"/>
                <w:szCs w:val="21"/>
                <w:spacing w:val="5"/>
              </w:rPr>
              <w:t>废物的污染。</w:t>
            </w:r>
          </w:p>
        </w:tc>
        <w:tc>
          <w:tcPr>
            <w:tcW w:w="1904" w:type="dxa"/>
            <w:vAlign w:val="top"/>
          </w:tcPr>
          <w:p>
            <w:pPr>
              <w:spacing w:line="370" w:lineRule="auto"/>
              <w:rPr>
                <w:rFonts w:ascii="Arial"/>
                <w:sz w:val="21"/>
              </w:rPr>
            </w:pPr>
            <w:r/>
          </w:p>
          <w:p>
            <w:pPr>
              <w:pStyle w:val="TableText"/>
              <w:ind w:left="209"/>
              <w:spacing w:before="69" w:line="220" w:lineRule="auto"/>
              <w:rPr>
                <w:sz w:val="21"/>
                <w:szCs w:val="21"/>
              </w:rPr>
            </w:pPr>
            <w:r>
              <w:rPr>
                <w:sz w:val="21"/>
                <w:szCs w:val="21"/>
                <w:spacing w:val="1"/>
              </w:rPr>
              <w:t>已落实批复要求</w:t>
            </w:r>
          </w:p>
        </w:tc>
      </w:tr>
      <w:tr>
        <w:trPr>
          <w:trHeight w:val="1357" w:hRule="atLeast"/>
        </w:trPr>
        <w:tc>
          <w:tcPr>
            <w:tcW w:w="794" w:type="dxa"/>
            <w:vAlign w:val="top"/>
            <w:vMerge w:val="continue"/>
            <w:tcBorders>
              <w:top w:val="nil"/>
              <w:bottom w:val="nil"/>
            </w:tcBorders>
          </w:tcPr>
          <w:p>
            <w:pPr>
              <w:rPr>
                <w:rFonts w:ascii="Arial"/>
                <w:sz w:val="21"/>
              </w:rPr>
            </w:pPr>
            <w:r/>
          </w:p>
        </w:tc>
        <w:tc>
          <w:tcPr>
            <w:tcW w:w="849" w:type="dxa"/>
            <w:vAlign w:val="top"/>
            <w:vMerge w:val="restart"/>
            <w:tcBorders>
              <w:bottom w:val="nil"/>
            </w:tcBorders>
          </w:tcPr>
          <w:p>
            <w:pPr>
              <w:pStyle w:val="TableText"/>
              <w:ind w:left="310"/>
              <w:spacing w:before="72" w:line="178" w:lineRule="auto"/>
              <w:rPr>
                <w:sz w:val="21"/>
                <w:szCs w:val="21"/>
              </w:rPr>
            </w:pPr>
            <w:r>
              <w:rPr>
                <w:sz w:val="21"/>
                <w:szCs w:val="21"/>
              </w:rPr>
              <w:t>二</w:t>
            </w:r>
          </w:p>
        </w:tc>
        <w:tc>
          <w:tcPr>
            <w:tcW w:w="4956" w:type="dxa"/>
            <w:vAlign w:val="top"/>
          </w:tcPr>
          <w:p>
            <w:pPr>
              <w:pStyle w:val="TableText"/>
              <w:ind w:left="51"/>
              <w:spacing w:before="22" w:line="219" w:lineRule="auto"/>
              <w:rPr>
                <w:sz w:val="21"/>
                <w:szCs w:val="21"/>
              </w:rPr>
            </w:pPr>
            <w:r>
              <w:rPr>
                <w:sz w:val="21"/>
                <w:szCs w:val="21"/>
              </w:rPr>
              <w:t>1.严格实行“雨污分流、清污分流”原则，锅炉排污</w:t>
            </w:r>
          </w:p>
          <w:p>
            <w:pPr>
              <w:pStyle w:val="TableText"/>
              <w:ind w:left="51"/>
              <w:spacing w:before="50" w:line="219" w:lineRule="auto"/>
              <w:rPr>
                <w:sz w:val="21"/>
                <w:szCs w:val="21"/>
              </w:rPr>
            </w:pPr>
            <w:r>
              <w:rPr>
                <w:sz w:val="21"/>
                <w:szCs w:val="21"/>
              </w:rPr>
              <w:t>水、软化浓水、纯水制备浓水、循环冷却系统排污水</w:t>
            </w:r>
          </w:p>
          <w:p>
            <w:pPr>
              <w:pStyle w:val="TableText"/>
              <w:ind w:left="51"/>
              <w:spacing w:before="20" w:line="219" w:lineRule="auto"/>
              <w:rPr>
                <w:sz w:val="21"/>
                <w:szCs w:val="21"/>
              </w:rPr>
            </w:pPr>
            <w:r>
              <w:rPr>
                <w:sz w:val="21"/>
                <w:szCs w:val="21"/>
                <w:spacing w:val="-1"/>
              </w:rPr>
              <w:t>等排入市政污水管网；食堂废水经隔油池处理后与生</w:t>
            </w:r>
          </w:p>
          <w:p>
            <w:pPr>
              <w:pStyle w:val="TableText"/>
              <w:ind w:left="161"/>
              <w:spacing w:before="21" w:line="219" w:lineRule="auto"/>
              <w:rPr>
                <w:sz w:val="21"/>
                <w:szCs w:val="21"/>
              </w:rPr>
            </w:pPr>
            <w:r>
              <w:rPr>
                <w:sz w:val="21"/>
                <w:szCs w:val="21"/>
              </w:rPr>
              <w:t>活污水一同经化粪池处理后排入市政污水管网纳入</w:t>
            </w:r>
          </w:p>
          <w:p>
            <w:pPr>
              <w:pStyle w:val="TableText"/>
              <w:spacing w:before="19" w:line="190" w:lineRule="auto"/>
              <w:jc w:val="right"/>
              <w:rPr>
                <w:sz w:val="21"/>
                <w:szCs w:val="21"/>
              </w:rPr>
            </w:pPr>
            <w:r>
              <w:rPr>
                <w:sz w:val="21"/>
                <w:szCs w:val="21"/>
                <w:spacing w:val="-4"/>
              </w:rPr>
              <w:t>县污水处理厂处理；喷淋塔废水循环使用，不得外排。</w:t>
            </w:r>
          </w:p>
        </w:tc>
        <w:tc>
          <w:tcPr>
            <w:tcW w:w="5646" w:type="dxa"/>
            <w:vAlign w:val="top"/>
          </w:tcPr>
          <w:p>
            <w:pPr>
              <w:pStyle w:val="TableText"/>
              <w:ind w:left="86" w:right="80"/>
              <w:spacing w:before="44" w:line="229" w:lineRule="auto"/>
              <w:jc w:val="both"/>
              <w:rPr>
                <w:sz w:val="21"/>
                <w:szCs w:val="21"/>
              </w:rPr>
            </w:pPr>
            <w:r>
              <w:rPr>
                <w:sz w:val="21"/>
                <w:szCs w:val="21"/>
                <w:spacing w:val="-1"/>
              </w:rPr>
              <w:t>严格实行“雨污分流、清污分流”原则，锅炉排污水、软化</w:t>
            </w:r>
            <w:r>
              <w:rPr>
                <w:sz w:val="21"/>
                <w:szCs w:val="21"/>
                <w:spacing w:val="15"/>
              </w:rPr>
              <w:t xml:space="preserve"> </w:t>
            </w:r>
            <w:r>
              <w:rPr>
                <w:sz w:val="21"/>
                <w:szCs w:val="21"/>
                <w:spacing w:val="-1"/>
              </w:rPr>
              <w:t>浓水、纯水制备浓水、循环冷却系统排污水等排入市政污水</w:t>
            </w:r>
            <w:r>
              <w:rPr>
                <w:sz w:val="21"/>
                <w:szCs w:val="21"/>
                <w:spacing w:val="16"/>
              </w:rPr>
              <w:t xml:space="preserve"> </w:t>
            </w:r>
            <w:r>
              <w:rPr>
                <w:sz w:val="21"/>
                <w:szCs w:val="21"/>
              </w:rPr>
              <w:t>管网；食堂废水经隔油池处理后与生活污水一同经化粪池处</w:t>
            </w:r>
            <w:r>
              <w:rPr>
                <w:sz w:val="21"/>
                <w:szCs w:val="21"/>
                <w:spacing w:val="8"/>
              </w:rPr>
              <w:t xml:space="preserve"> </w:t>
            </w:r>
            <w:r>
              <w:rPr>
                <w:sz w:val="21"/>
                <w:szCs w:val="21"/>
              </w:rPr>
              <w:t>理后排入市政污水管网纳入县污水处理厂处理；喷淋塔废水</w:t>
            </w:r>
            <w:r>
              <w:rPr>
                <w:sz w:val="21"/>
                <w:szCs w:val="21"/>
                <w:spacing w:val="8"/>
              </w:rPr>
              <w:t xml:space="preserve"> </w:t>
            </w:r>
            <w:r>
              <w:rPr>
                <w:sz w:val="21"/>
                <w:szCs w:val="21"/>
                <w:spacing w:val="3"/>
              </w:rPr>
              <w:t>循环使用，没有外排。</w:t>
            </w:r>
          </w:p>
        </w:tc>
        <w:tc>
          <w:tcPr>
            <w:tcW w:w="1904" w:type="dxa"/>
            <w:vAlign w:val="top"/>
          </w:tcPr>
          <w:p>
            <w:pPr>
              <w:spacing w:line="255" w:lineRule="auto"/>
              <w:rPr>
                <w:rFonts w:ascii="Arial"/>
                <w:sz w:val="21"/>
              </w:rPr>
            </w:pPr>
            <w:r/>
          </w:p>
          <w:p>
            <w:pPr>
              <w:spacing w:line="256" w:lineRule="auto"/>
              <w:rPr>
                <w:rFonts w:ascii="Arial"/>
                <w:sz w:val="21"/>
              </w:rPr>
            </w:pPr>
            <w:r/>
          </w:p>
          <w:p>
            <w:pPr>
              <w:pStyle w:val="TableText"/>
              <w:ind w:left="209"/>
              <w:spacing w:before="69" w:line="220" w:lineRule="auto"/>
              <w:rPr>
                <w:sz w:val="21"/>
                <w:szCs w:val="21"/>
              </w:rPr>
            </w:pPr>
            <w:r>
              <w:rPr>
                <w:sz w:val="21"/>
                <w:szCs w:val="21"/>
                <w:spacing w:val="1"/>
              </w:rPr>
              <w:t>已落实批复要求</w:t>
            </w:r>
          </w:p>
        </w:tc>
      </w:tr>
      <w:tr>
        <w:trPr>
          <w:trHeight w:val="1092" w:hRule="atLeast"/>
        </w:trPr>
        <w:tc>
          <w:tcPr>
            <w:tcW w:w="794" w:type="dxa"/>
            <w:vAlign w:val="top"/>
            <w:vMerge w:val="continue"/>
            <w:tcBorders>
              <w:top w:val="nil"/>
            </w:tcBorders>
          </w:tcPr>
          <w:p>
            <w:pPr>
              <w:rPr>
                <w:rFonts w:ascii="Arial"/>
                <w:sz w:val="21"/>
              </w:rPr>
            </w:pPr>
            <w:r/>
          </w:p>
        </w:tc>
        <w:tc>
          <w:tcPr>
            <w:tcW w:w="849" w:type="dxa"/>
            <w:vAlign w:val="top"/>
            <w:vMerge w:val="continue"/>
            <w:tcBorders>
              <w:top w:val="nil"/>
            </w:tcBorders>
          </w:tcPr>
          <w:p>
            <w:pPr>
              <w:rPr>
                <w:rFonts w:ascii="Arial"/>
                <w:sz w:val="21"/>
              </w:rPr>
            </w:pPr>
            <w:r/>
          </w:p>
        </w:tc>
        <w:tc>
          <w:tcPr>
            <w:tcW w:w="4956" w:type="dxa"/>
            <w:vAlign w:val="top"/>
          </w:tcPr>
          <w:p>
            <w:pPr>
              <w:pStyle w:val="TableText"/>
              <w:ind w:left="161"/>
              <w:spacing w:before="45" w:line="219" w:lineRule="auto"/>
              <w:rPr>
                <w:sz w:val="21"/>
                <w:szCs w:val="21"/>
              </w:rPr>
            </w:pPr>
            <w:r>
              <w:rPr>
                <w:sz w:val="21"/>
                <w:szCs w:val="21"/>
                <w:spacing w:val="-1"/>
              </w:rPr>
              <w:t>2.阴极极片生产废水经三级沉淀后进入阴极废水预</w:t>
            </w:r>
          </w:p>
          <w:p>
            <w:pPr>
              <w:pStyle w:val="TableText"/>
              <w:ind w:left="211"/>
              <w:spacing w:before="39" w:line="219" w:lineRule="auto"/>
              <w:rPr>
                <w:sz w:val="21"/>
                <w:szCs w:val="21"/>
              </w:rPr>
            </w:pPr>
            <w:r>
              <w:rPr>
                <w:sz w:val="21"/>
                <w:szCs w:val="21"/>
              </w:rPr>
              <w:t>处理系统(芬顿氧化+混凝沉淀)预处理，阳极极片</w:t>
            </w:r>
          </w:p>
          <w:p>
            <w:pPr>
              <w:pStyle w:val="TableText"/>
              <w:ind w:left="102"/>
              <w:spacing w:before="12" w:line="219" w:lineRule="auto"/>
              <w:rPr>
                <w:sz w:val="21"/>
                <w:szCs w:val="21"/>
              </w:rPr>
            </w:pPr>
            <w:r>
              <w:rPr>
                <w:sz w:val="21"/>
                <w:szCs w:val="21"/>
              </w:rPr>
              <w:t>生产废水经三级沉淀后进入阳极废水预处理系统(混</w:t>
            </w:r>
          </w:p>
          <w:p>
            <w:pPr>
              <w:pStyle w:val="TableText"/>
              <w:ind w:left="102"/>
              <w:spacing w:before="30" w:line="182" w:lineRule="auto"/>
              <w:rPr>
                <w:sz w:val="21"/>
                <w:szCs w:val="21"/>
              </w:rPr>
            </w:pPr>
            <w:r>
              <w:rPr>
                <w:sz w:val="21"/>
                <w:szCs w:val="21"/>
                <w:spacing w:val="1"/>
              </w:rPr>
              <w:t>疑沉淀)预处理，预处理后的阴极废水和阳极废水一</w:t>
            </w:r>
          </w:p>
        </w:tc>
        <w:tc>
          <w:tcPr>
            <w:tcW w:w="5646" w:type="dxa"/>
            <w:vAlign w:val="top"/>
          </w:tcPr>
          <w:p>
            <w:pPr>
              <w:pStyle w:val="TableText"/>
              <w:ind w:left="195" w:right="180"/>
              <w:spacing w:before="44" w:line="228" w:lineRule="auto"/>
              <w:rPr>
                <w:sz w:val="21"/>
                <w:szCs w:val="21"/>
              </w:rPr>
            </w:pPr>
            <w:r>
              <w:rPr>
                <w:sz w:val="21"/>
                <w:szCs w:val="21"/>
              </w:rPr>
              <w:t>阴极极片生产废水经三级沉淀后进入阴极废水预处理系统</w:t>
            </w:r>
            <w:r>
              <w:rPr>
                <w:sz w:val="21"/>
                <w:szCs w:val="21"/>
                <w:spacing w:val="8"/>
              </w:rPr>
              <w:t xml:space="preserve"> </w:t>
            </w:r>
            <w:r>
              <w:rPr>
                <w:sz w:val="21"/>
                <w:szCs w:val="21"/>
                <w:spacing w:val="4"/>
              </w:rPr>
              <w:t>芬顿氧化+混凝沉淀)预处理，阳极极片生产废水经三级</w:t>
            </w:r>
            <w:r>
              <w:rPr>
                <w:sz w:val="21"/>
                <w:szCs w:val="21"/>
                <w:spacing w:val="5"/>
              </w:rPr>
              <w:t xml:space="preserve">  </w:t>
            </w:r>
            <w:r>
              <w:rPr>
                <w:sz w:val="21"/>
                <w:szCs w:val="21"/>
                <w:spacing w:val="-1"/>
              </w:rPr>
              <w:t>沉淀后进入阳极废水预处理系统(混凝沉淀)预处理，预处</w:t>
            </w:r>
            <w:r>
              <w:rPr>
                <w:sz w:val="21"/>
                <w:szCs w:val="21"/>
                <w:spacing w:val="16"/>
              </w:rPr>
              <w:t xml:space="preserve"> </w:t>
            </w:r>
            <w:r>
              <w:rPr>
                <w:sz w:val="21"/>
                <w:szCs w:val="21"/>
              </w:rPr>
              <w:t>理后的阴极废水和阳极废水一并进入厂区污水处理站的生</w:t>
            </w:r>
          </w:p>
        </w:tc>
        <w:tc>
          <w:tcPr>
            <w:tcW w:w="1904" w:type="dxa"/>
            <w:vAlign w:val="top"/>
          </w:tcPr>
          <w:p>
            <w:pPr>
              <w:spacing w:line="375" w:lineRule="auto"/>
              <w:rPr>
                <w:rFonts w:ascii="Arial"/>
                <w:sz w:val="21"/>
              </w:rPr>
            </w:pPr>
            <w:r/>
          </w:p>
          <w:p>
            <w:pPr>
              <w:pStyle w:val="TableText"/>
              <w:ind w:left="209"/>
              <w:spacing w:before="69" w:line="220" w:lineRule="auto"/>
              <w:rPr>
                <w:sz w:val="21"/>
                <w:szCs w:val="21"/>
              </w:rPr>
            </w:pPr>
            <w:r>
              <w:rPr>
                <w:sz w:val="21"/>
                <w:szCs w:val="21"/>
                <w:spacing w:val="1"/>
              </w:rPr>
              <w:t>已落实批复要求</w:t>
            </w:r>
          </w:p>
        </w:tc>
      </w:tr>
    </w:tbl>
    <w:p>
      <w:pPr>
        <w:rPr>
          <w:rFonts w:ascii="Arial"/>
          <w:sz w:val="21"/>
        </w:rPr>
      </w:pPr>
      <w:r/>
    </w:p>
    <w:p>
      <w:pPr>
        <w:sectPr>
          <w:footerReference w:type="default" r:id="rId62"/>
          <w:pgSz w:w="16840" w:h="11900"/>
          <w:pgMar w:top="1011" w:right="1354" w:bottom="977" w:left="1325" w:header="0" w:footer="839" w:gutter="0"/>
        </w:sectPr>
        <w:rPr>
          <w:rFonts w:ascii="Arial" w:hAnsi="Arial" w:eastAsia="Arial" w:cs="Arial"/>
          <w:sz w:val="21"/>
          <w:szCs w:val="21"/>
        </w:rPr>
      </w:pPr>
    </w:p>
    <w:p>
      <w:pPr>
        <w:spacing w:before="115"/>
        <w:rPr/>
      </w:pPr>
      <w:r/>
    </w:p>
    <w:p>
      <w:pPr>
        <w:spacing w:before="115"/>
        <w:rPr/>
      </w:pPr>
      <w:r/>
    </w:p>
    <w:tbl>
      <w:tblPr>
        <w:tblStyle w:val="TableNormal"/>
        <w:tblW w:w="1415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95"/>
        <w:gridCol w:w="849"/>
        <w:gridCol w:w="4946"/>
        <w:gridCol w:w="5656"/>
        <w:gridCol w:w="1904"/>
      </w:tblGrid>
      <w:tr>
        <w:trPr>
          <w:trHeight w:val="824" w:hRule="atLeast"/>
        </w:trPr>
        <w:tc>
          <w:tcPr>
            <w:tcW w:w="795" w:type="dxa"/>
            <w:vAlign w:val="top"/>
            <w:vMerge w:val="restart"/>
            <w:tcBorders>
              <w:bottom w:val="nil"/>
            </w:tcBorders>
          </w:tcPr>
          <w:p>
            <w:pPr>
              <w:rPr>
                <w:rFonts w:ascii="Arial"/>
                <w:sz w:val="21"/>
              </w:rPr>
            </w:pPr>
            <w:r/>
          </w:p>
        </w:tc>
        <w:tc>
          <w:tcPr>
            <w:tcW w:w="849" w:type="dxa"/>
            <w:vAlign w:val="top"/>
            <w:vMerge w:val="restart"/>
            <w:tcBorders>
              <w:bottom w:val="nil"/>
            </w:tcBorders>
          </w:tcPr>
          <w:p>
            <w:pPr>
              <w:rPr>
                <w:rFonts w:ascii="Arial"/>
                <w:sz w:val="21"/>
              </w:rPr>
            </w:pPr>
            <w:r/>
          </w:p>
        </w:tc>
        <w:tc>
          <w:tcPr>
            <w:tcW w:w="4946" w:type="dxa"/>
            <w:vAlign w:val="top"/>
          </w:tcPr>
          <w:p>
            <w:pPr>
              <w:pStyle w:val="TableText"/>
              <w:ind w:left="131" w:right="204" w:firstLine="179"/>
              <w:spacing w:before="42" w:line="226" w:lineRule="auto"/>
              <w:rPr>
                <w:sz w:val="21"/>
                <w:szCs w:val="21"/>
              </w:rPr>
            </w:pPr>
            <w:r>
              <w:rPr>
                <w:sz w:val="21"/>
                <w:szCs w:val="21"/>
                <w:spacing w:val="-1"/>
              </w:rPr>
              <w:t>并进入厂区污水处理站的生化处理系统(预酸化</w:t>
            </w:r>
            <w:r>
              <w:rPr>
                <w:sz w:val="21"/>
                <w:szCs w:val="21"/>
                <w:spacing w:val="3"/>
              </w:rPr>
              <w:t xml:space="preserve">  </w:t>
            </w:r>
            <w:r>
              <w:rPr>
                <w:sz w:val="21"/>
                <w:szCs w:val="21"/>
                <w:spacing w:val="3"/>
              </w:rPr>
              <w:t>+A2/O+沉淀)处理后排入市政污水管网纳入县污水</w:t>
            </w:r>
            <w:r>
              <w:rPr>
                <w:sz w:val="21"/>
                <w:szCs w:val="21"/>
                <w:spacing w:val="8"/>
              </w:rPr>
              <w:t xml:space="preserve"> </w:t>
            </w:r>
            <w:r>
              <w:rPr>
                <w:sz w:val="21"/>
                <w:szCs w:val="21"/>
                <w:spacing w:val="-1"/>
              </w:rPr>
              <w:t>处理厂处理。</w:t>
            </w:r>
          </w:p>
        </w:tc>
        <w:tc>
          <w:tcPr>
            <w:tcW w:w="5656" w:type="dxa"/>
            <w:vAlign w:val="top"/>
          </w:tcPr>
          <w:p>
            <w:pPr>
              <w:pStyle w:val="TableText"/>
              <w:ind w:left="135" w:right="210" w:firstLine="29"/>
              <w:spacing w:before="32" w:line="233" w:lineRule="auto"/>
              <w:rPr>
                <w:sz w:val="21"/>
                <w:szCs w:val="21"/>
              </w:rPr>
            </w:pPr>
            <w:r>
              <w:rPr>
                <w:sz w:val="21"/>
                <w:szCs w:val="21"/>
                <w:spacing w:val="1"/>
              </w:rPr>
              <w:t>化处理系统(预酸化+A2/O+沉淀)处</w:t>
            </w:r>
            <w:r>
              <w:rPr>
                <w:sz w:val="21"/>
                <w:szCs w:val="21"/>
              </w:rPr>
              <w:t>理后排入市政污水管网 </w:t>
            </w:r>
            <w:r>
              <w:rPr>
                <w:sz w:val="21"/>
                <w:szCs w:val="21"/>
                <w:spacing w:val="-1"/>
              </w:rPr>
              <w:t>纳入县污水处理厂处理。</w:t>
            </w:r>
          </w:p>
        </w:tc>
        <w:tc>
          <w:tcPr>
            <w:tcW w:w="1904" w:type="dxa"/>
            <w:vAlign w:val="top"/>
          </w:tcPr>
          <w:p>
            <w:pPr>
              <w:rPr>
                <w:rFonts w:ascii="Arial"/>
                <w:sz w:val="21"/>
              </w:rPr>
            </w:pPr>
            <w:r/>
          </w:p>
        </w:tc>
      </w:tr>
      <w:tr>
        <w:trPr>
          <w:trHeight w:val="1897" w:hRule="atLeast"/>
        </w:trPr>
        <w:tc>
          <w:tcPr>
            <w:tcW w:w="795" w:type="dxa"/>
            <w:vAlign w:val="top"/>
            <w:vMerge w:val="continue"/>
            <w:tcBorders>
              <w:top w:val="nil"/>
              <w:bottom w:val="nil"/>
            </w:tcBorders>
          </w:tcPr>
          <w:p>
            <w:pPr>
              <w:rPr>
                <w:rFonts w:ascii="Arial"/>
                <w:sz w:val="21"/>
              </w:rPr>
            </w:pPr>
            <w:r/>
          </w:p>
        </w:tc>
        <w:tc>
          <w:tcPr>
            <w:tcW w:w="849" w:type="dxa"/>
            <w:vAlign w:val="top"/>
            <w:vMerge w:val="continue"/>
            <w:tcBorders>
              <w:top w:val="nil"/>
              <w:bottom w:val="nil"/>
            </w:tcBorders>
          </w:tcPr>
          <w:p>
            <w:pPr>
              <w:rPr>
                <w:rFonts w:ascii="Arial"/>
                <w:sz w:val="21"/>
              </w:rPr>
            </w:pPr>
            <w:r/>
          </w:p>
        </w:tc>
        <w:tc>
          <w:tcPr>
            <w:tcW w:w="4946" w:type="dxa"/>
            <w:vAlign w:val="top"/>
          </w:tcPr>
          <w:p>
            <w:pPr>
              <w:pStyle w:val="TableText"/>
              <w:ind w:left="151"/>
              <w:spacing w:before="19" w:line="219" w:lineRule="auto"/>
              <w:rPr>
                <w:sz w:val="21"/>
                <w:szCs w:val="21"/>
              </w:rPr>
            </w:pPr>
            <w:r>
              <w:rPr>
                <w:sz w:val="21"/>
                <w:szCs w:val="21"/>
              </w:rPr>
              <w:t>3.项目生产废水排放执行《电池工业污染物排放标</w:t>
            </w:r>
          </w:p>
          <w:p>
            <w:pPr>
              <w:pStyle w:val="TableText"/>
              <w:ind w:left="50" w:right="63" w:firstLine="150"/>
              <w:spacing w:before="53" w:line="237" w:lineRule="auto"/>
              <w:rPr>
                <w:sz w:val="21"/>
                <w:szCs w:val="21"/>
              </w:rPr>
            </w:pPr>
            <w:r>
              <w:rPr>
                <w:sz w:val="21"/>
                <w:szCs w:val="21"/>
                <w:spacing w:val="-3"/>
              </w:rPr>
              <w:t>准》   (GB30484-2013)表2间接排放标准，其中总</w:t>
            </w:r>
            <w:r>
              <w:rPr>
                <w:sz w:val="21"/>
                <w:szCs w:val="21"/>
                <w:spacing w:val="5"/>
              </w:rPr>
              <w:t xml:space="preserve">  </w:t>
            </w:r>
            <w:r>
              <w:rPr>
                <w:sz w:val="21"/>
                <w:szCs w:val="21"/>
                <w:spacing w:val="1"/>
              </w:rPr>
              <w:t>镍、总钴在阴极废水预处理系统出口需达到表2间接</w:t>
            </w:r>
            <w:r>
              <w:rPr>
                <w:sz w:val="21"/>
                <w:szCs w:val="21"/>
                <w:spacing w:val="18"/>
              </w:rPr>
              <w:t xml:space="preserve"> </w:t>
            </w:r>
            <w:r>
              <w:rPr>
                <w:sz w:val="21"/>
                <w:szCs w:val="21"/>
                <w:spacing w:val="-1"/>
              </w:rPr>
              <w:t>排放标准；食堂废水、生活污水排放执行《污水综合</w:t>
            </w:r>
            <w:r>
              <w:rPr>
                <w:sz w:val="21"/>
                <w:szCs w:val="21"/>
                <w:spacing w:val="13"/>
              </w:rPr>
              <w:t xml:space="preserve"> </w:t>
            </w:r>
            <w:r>
              <w:rPr>
                <w:sz w:val="21"/>
                <w:szCs w:val="21"/>
                <w:spacing w:val="4"/>
              </w:rPr>
              <w:t>排放标准》(</w:t>
            </w:r>
            <w:r>
              <w:rPr>
                <w:sz w:val="21"/>
                <w:szCs w:val="21"/>
              </w:rPr>
              <w:t>GB</w:t>
            </w:r>
            <w:r>
              <w:rPr>
                <w:sz w:val="21"/>
                <w:szCs w:val="21"/>
                <w:spacing w:val="4"/>
              </w:rPr>
              <w:t>8978-1996)表4中三级标准，其中</w:t>
            </w:r>
          </w:p>
          <w:p>
            <w:pPr>
              <w:pStyle w:val="TableText"/>
              <w:ind w:left="141"/>
              <w:spacing w:before="17" w:line="219" w:lineRule="auto"/>
              <w:rPr>
                <w:sz w:val="21"/>
                <w:szCs w:val="21"/>
              </w:rPr>
            </w:pPr>
            <w:r>
              <w:rPr>
                <w:sz w:val="21"/>
                <w:szCs w:val="21"/>
                <w:spacing w:val="-1"/>
              </w:rPr>
              <w:t>氨氮参照执行《污水排入城镇下水道水质标准》</w:t>
            </w:r>
          </w:p>
          <w:p>
            <w:pPr>
              <w:pStyle w:val="TableText"/>
              <w:ind w:left="251"/>
              <w:spacing w:before="12" w:line="182" w:lineRule="auto"/>
              <w:rPr>
                <w:sz w:val="21"/>
                <w:szCs w:val="21"/>
              </w:rPr>
            </w:pPr>
            <w:r>
              <w:rPr>
                <w:sz w:val="21"/>
                <w:szCs w:val="21"/>
                <w:spacing w:val="-1"/>
              </w:rPr>
              <w:t>GB/T31962-2015)B级标准。</w:t>
            </w:r>
          </w:p>
        </w:tc>
        <w:tc>
          <w:tcPr>
            <w:tcW w:w="5656" w:type="dxa"/>
            <w:vAlign w:val="top"/>
          </w:tcPr>
          <w:p>
            <w:pPr>
              <w:pStyle w:val="TableText"/>
              <w:ind w:left="165" w:right="28" w:hanging="20"/>
              <w:spacing w:before="40" w:line="233" w:lineRule="auto"/>
              <w:rPr>
                <w:sz w:val="21"/>
                <w:szCs w:val="21"/>
              </w:rPr>
            </w:pPr>
            <w:r>
              <w:rPr>
                <w:sz w:val="21"/>
                <w:szCs w:val="21"/>
              </w:rPr>
              <w:t>根据项目阶段性验收监测数据：项目生产废水排放符合《电</w:t>
            </w:r>
            <w:r>
              <w:rPr>
                <w:sz w:val="21"/>
                <w:szCs w:val="21"/>
                <w:spacing w:val="11"/>
              </w:rPr>
              <w:t xml:space="preserve"> </w:t>
            </w:r>
            <w:r>
              <w:rPr>
                <w:sz w:val="21"/>
                <w:szCs w:val="21"/>
              </w:rPr>
              <w:t>池工业污染物排放标准》(GB30484-20</w:t>
            </w:r>
            <w:r>
              <w:rPr>
                <w:sz w:val="21"/>
                <w:szCs w:val="21"/>
                <w:spacing w:val="-1"/>
              </w:rPr>
              <w:t>13)表2间接排放标</w:t>
            </w:r>
          </w:p>
          <w:p>
            <w:pPr>
              <w:pStyle w:val="TableText"/>
              <w:ind w:left="145" w:right="12"/>
              <w:spacing w:before="40" w:line="228" w:lineRule="auto"/>
              <w:rPr>
                <w:sz w:val="21"/>
                <w:szCs w:val="21"/>
              </w:rPr>
            </w:pPr>
            <w:r>
              <w:rPr>
                <w:sz w:val="21"/>
                <w:szCs w:val="21"/>
                <w:spacing w:val="-1"/>
              </w:rPr>
              <w:t>准，其中总镍、总钴在阴极废水预处理系统出口可达到表2</w:t>
            </w:r>
            <w:r>
              <w:rPr>
                <w:sz w:val="21"/>
                <w:szCs w:val="21"/>
                <w:spacing w:val="7"/>
              </w:rPr>
              <w:t xml:space="preserve">  </w:t>
            </w:r>
            <w:r>
              <w:rPr>
                <w:sz w:val="21"/>
                <w:szCs w:val="21"/>
                <w:spacing w:val="1"/>
              </w:rPr>
              <w:t>间接排放标准；食堂废水、生活污水排放符合《污水综合排 </w:t>
            </w:r>
            <w:r>
              <w:rPr>
                <w:sz w:val="21"/>
                <w:szCs w:val="21"/>
              </w:rPr>
              <w:t>放标准》(GB8978-1996)表4中三级标</w:t>
            </w:r>
            <w:r>
              <w:rPr>
                <w:sz w:val="21"/>
                <w:szCs w:val="21"/>
                <w:spacing w:val="-1"/>
              </w:rPr>
              <w:t>准，其中氨氮参照符合</w:t>
            </w:r>
            <w:r>
              <w:rPr>
                <w:sz w:val="21"/>
                <w:szCs w:val="21"/>
              </w:rPr>
              <w:t xml:space="preserve"> </w:t>
            </w:r>
            <w:r>
              <w:rPr>
                <w:sz w:val="21"/>
                <w:szCs w:val="21"/>
                <w:spacing w:val="1"/>
              </w:rPr>
              <w:t>《污水排入城镇下水道水质标准》(</w:t>
            </w:r>
            <w:r>
              <w:rPr>
                <w:sz w:val="21"/>
                <w:szCs w:val="21"/>
              </w:rPr>
              <w:t>GB</w:t>
            </w:r>
            <w:r>
              <w:rPr>
                <w:sz w:val="21"/>
                <w:szCs w:val="21"/>
                <w:spacing w:val="1"/>
              </w:rPr>
              <w:t>/T31962-2015)B级</w:t>
            </w:r>
          </w:p>
          <w:p>
            <w:pPr>
              <w:pStyle w:val="TableText"/>
              <w:ind w:left="125"/>
              <w:spacing w:before="20" w:line="191" w:lineRule="auto"/>
              <w:rPr>
                <w:sz w:val="21"/>
                <w:szCs w:val="21"/>
              </w:rPr>
            </w:pPr>
            <w:r>
              <w:rPr>
                <w:sz w:val="21"/>
                <w:szCs w:val="21"/>
                <w:spacing w:val="-2"/>
              </w:rPr>
              <w:t>标准。</w:t>
            </w:r>
          </w:p>
        </w:tc>
        <w:tc>
          <w:tcPr>
            <w:tcW w:w="1904" w:type="dxa"/>
            <w:vAlign w:val="top"/>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209"/>
              <w:spacing w:before="68" w:line="220" w:lineRule="auto"/>
              <w:rPr>
                <w:sz w:val="21"/>
                <w:szCs w:val="21"/>
              </w:rPr>
            </w:pPr>
            <w:r>
              <w:rPr>
                <w:sz w:val="21"/>
                <w:szCs w:val="21"/>
                <w:spacing w:val="1"/>
              </w:rPr>
              <w:t>已落实批复要求</w:t>
            </w:r>
          </w:p>
        </w:tc>
      </w:tr>
      <w:tr>
        <w:trPr>
          <w:trHeight w:val="1368" w:hRule="atLeast"/>
        </w:trPr>
        <w:tc>
          <w:tcPr>
            <w:tcW w:w="795" w:type="dxa"/>
            <w:vAlign w:val="top"/>
            <w:vMerge w:val="continue"/>
            <w:tcBorders>
              <w:top w:val="nil"/>
              <w:bottom w:val="nil"/>
            </w:tcBorders>
          </w:tcPr>
          <w:p>
            <w:pPr>
              <w:rPr>
                <w:rFonts w:ascii="Arial"/>
                <w:sz w:val="21"/>
              </w:rPr>
            </w:pPr>
            <w:r/>
          </w:p>
        </w:tc>
        <w:tc>
          <w:tcPr>
            <w:tcW w:w="849" w:type="dxa"/>
            <w:vAlign w:val="top"/>
            <w:vMerge w:val="continue"/>
            <w:tcBorders>
              <w:top w:val="nil"/>
              <w:bottom w:val="nil"/>
            </w:tcBorders>
          </w:tcPr>
          <w:p>
            <w:pPr>
              <w:rPr>
                <w:rFonts w:ascii="Arial"/>
                <w:sz w:val="21"/>
              </w:rPr>
            </w:pPr>
            <w:r/>
          </w:p>
        </w:tc>
        <w:tc>
          <w:tcPr>
            <w:tcW w:w="4946" w:type="dxa"/>
            <w:vAlign w:val="top"/>
          </w:tcPr>
          <w:p>
            <w:pPr>
              <w:pStyle w:val="TableText"/>
              <w:ind w:left="100" w:right="9" w:hanging="50"/>
              <w:spacing w:before="183" w:line="233" w:lineRule="auto"/>
              <w:jc w:val="both"/>
              <w:rPr>
                <w:sz w:val="21"/>
                <w:szCs w:val="21"/>
              </w:rPr>
            </w:pPr>
            <w:r>
              <w:rPr>
                <w:sz w:val="21"/>
                <w:szCs w:val="21"/>
                <w:spacing w:val="-1"/>
              </w:rPr>
              <w:t>4.规范污水排放口在线监测设施运行和管理，阴极废</w:t>
            </w:r>
            <w:r>
              <w:rPr>
                <w:sz w:val="21"/>
                <w:szCs w:val="21"/>
                <w:spacing w:val="15"/>
              </w:rPr>
              <w:t xml:space="preserve"> </w:t>
            </w:r>
            <w:r>
              <w:rPr>
                <w:sz w:val="21"/>
                <w:szCs w:val="21"/>
                <w:spacing w:val="-1"/>
              </w:rPr>
              <w:t>水预处理系统出口应按照总镍、总钴在线监测设施，</w:t>
            </w:r>
            <w:r>
              <w:rPr>
                <w:sz w:val="21"/>
                <w:szCs w:val="21"/>
                <w:spacing w:val="17"/>
              </w:rPr>
              <w:t xml:space="preserve"> </w:t>
            </w:r>
            <w:r>
              <w:rPr>
                <w:sz w:val="21"/>
                <w:szCs w:val="21"/>
                <w:spacing w:val="3"/>
              </w:rPr>
              <w:t>生产废水排放口应自动安装测流设施并开展流量自</w:t>
            </w:r>
            <w:r>
              <w:rPr>
                <w:sz w:val="21"/>
                <w:szCs w:val="21"/>
                <w:spacing w:val="9"/>
              </w:rPr>
              <w:t xml:space="preserve">  </w:t>
            </w:r>
            <w:r>
              <w:rPr>
                <w:sz w:val="21"/>
                <w:szCs w:val="21"/>
                <w:spacing w:val="1"/>
              </w:rPr>
              <w:t>动监测。</w:t>
            </w:r>
          </w:p>
        </w:tc>
        <w:tc>
          <w:tcPr>
            <w:tcW w:w="5656" w:type="dxa"/>
            <w:vAlign w:val="top"/>
          </w:tcPr>
          <w:p>
            <w:pPr>
              <w:pStyle w:val="TableText"/>
              <w:ind w:left="115" w:right="9" w:firstLine="29"/>
              <w:spacing w:before="61" w:line="228" w:lineRule="auto"/>
              <w:jc w:val="both"/>
              <w:rPr>
                <w:sz w:val="21"/>
                <w:szCs w:val="21"/>
              </w:rPr>
            </w:pPr>
            <w:r>
              <w:rPr>
                <w:sz w:val="21"/>
                <w:szCs w:val="21"/>
                <w:spacing w:val="-1"/>
              </w:rPr>
              <w:t>废水排放口设置规范化采样口，并配有标示，阴极废水预处</w:t>
            </w:r>
            <w:r>
              <w:rPr>
                <w:sz w:val="21"/>
                <w:szCs w:val="21"/>
                <w:spacing w:val="17"/>
              </w:rPr>
              <w:t xml:space="preserve"> </w:t>
            </w:r>
            <w:r>
              <w:rPr>
                <w:sz w:val="21"/>
                <w:szCs w:val="21"/>
                <w:spacing w:val="2"/>
              </w:rPr>
              <w:t>理系统出口设置总镍、总钴在线监测设备，生产废水总排口</w:t>
            </w:r>
            <w:r>
              <w:rPr>
                <w:sz w:val="21"/>
                <w:szCs w:val="21"/>
                <w:spacing w:val="8"/>
              </w:rPr>
              <w:t xml:space="preserve"> </w:t>
            </w:r>
            <w:r>
              <w:rPr>
                <w:sz w:val="21"/>
                <w:szCs w:val="21"/>
                <w:spacing w:val="1"/>
              </w:rPr>
              <w:t>设置流量自动监测设备，委托宁德银典物业管理服务有限公</w:t>
            </w:r>
            <w:r>
              <w:rPr>
                <w:sz w:val="21"/>
                <w:szCs w:val="21"/>
                <w:spacing w:val="15"/>
              </w:rPr>
              <w:t xml:space="preserve"> </w:t>
            </w:r>
            <w:r>
              <w:rPr>
                <w:sz w:val="21"/>
                <w:szCs w:val="21"/>
                <w:spacing w:val="2"/>
              </w:rPr>
              <w:t>司对监测设备进行运维管理，委托第三方检测机构开展自行</w:t>
            </w:r>
            <w:r>
              <w:rPr>
                <w:sz w:val="21"/>
                <w:szCs w:val="21"/>
                <w:spacing w:val="7"/>
              </w:rPr>
              <w:t xml:space="preserve"> </w:t>
            </w:r>
            <w:r>
              <w:rPr>
                <w:sz w:val="21"/>
                <w:szCs w:val="21"/>
                <w:spacing w:val="-2"/>
              </w:rPr>
              <w:t>检测。</w:t>
            </w:r>
          </w:p>
        </w:tc>
        <w:tc>
          <w:tcPr>
            <w:tcW w:w="1904" w:type="dxa"/>
            <w:vAlign w:val="top"/>
          </w:tcPr>
          <w:p>
            <w:pPr>
              <w:spacing w:line="255" w:lineRule="auto"/>
              <w:rPr>
                <w:rFonts w:ascii="Arial"/>
                <w:sz w:val="21"/>
              </w:rPr>
            </w:pPr>
            <w:r/>
          </w:p>
          <w:p>
            <w:pPr>
              <w:spacing w:line="256" w:lineRule="auto"/>
              <w:rPr>
                <w:rFonts w:ascii="Arial"/>
                <w:sz w:val="21"/>
              </w:rPr>
            </w:pPr>
            <w:r/>
          </w:p>
          <w:p>
            <w:pPr>
              <w:pStyle w:val="TableText"/>
              <w:ind w:left="209"/>
              <w:spacing w:before="69" w:line="220" w:lineRule="auto"/>
              <w:rPr>
                <w:sz w:val="21"/>
                <w:szCs w:val="21"/>
              </w:rPr>
            </w:pPr>
            <w:r>
              <w:rPr>
                <w:sz w:val="21"/>
                <w:szCs w:val="21"/>
                <w:spacing w:val="1"/>
              </w:rPr>
              <w:t>已落实批复要求</w:t>
            </w:r>
          </w:p>
        </w:tc>
      </w:tr>
      <w:tr>
        <w:trPr>
          <w:trHeight w:val="819" w:hRule="atLeast"/>
        </w:trPr>
        <w:tc>
          <w:tcPr>
            <w:tcW w:w="795" w:type="dxa"/>
            <w:vAlign w:val="top"/>
            <w:vMerge w:val="continue"/>
            <w:tcBorders>
              <w:top w:val="nil"/>
              <w:bottom w:val="nil"/>
            </w:tcBorders>
          </w:tcPr>
          <w:p>
            <w:pPr>
              <w:rPr>
                <w:rFonts w:ascii="Arial"/>
                <w:sz w:val="21"/>
              </w:rPr>
            </w:pPr>
            <w:r/>
          </w:p>
        </w:tc>
        <w:tc>
          <w:tcPr>
            <w:tcW w:w="849" w:type="dxa"/>
            <w:vAlign w:val="top"/>
            <w:vMerge w:val="continue"/>
            <w:tcBorders>
              <w:top w:val="nil"/>
            </w:tcBorders>
          </w:tcPr>
          <w:p>
            <w:pPr>
              <w:rPr>
                <w:rFonts w:ascii="Arial"/>
                <w:sz w:val="21"/>
              </w:rPr>
            </w:pPr>
            <w:r/>
          </w:p>
        </w:tc>
        <w:tc>
          <w:tcPr>
            <w:tcW w:w="4946" w:type="dxa"/>
            <w:vAlign w:val="top"/>
          </w:tcPr>
          <w:p>
            <w:pPr>
              <w:pStyle w:val="TableText"/>
              <w:ind w:left="50" w:right="63" w:firstLine="100"/>
              <w:spacing w:before="34" w:line="227" w:lineRule="auto"/>
              <w:jc w:val="both"/>
              <w:rPr>
                <w:sz w:val="21"/>
                <w:szCs w:val="21"/>
              </w:rPr>
            </w:pPr>
            <w:r>
              <w:rPr>
                <w:sz w:val="21"/>
                <w:szCs w:val="21"/>
              </w:rPr>
              <w:t>5.项目排放污水应当按照《城镇排水与污水处理条</w:t>
            </w:r>
            <w:r>
              <w:rPr>
                <w:sz w:val="21"/>
                <w:szCs w:val="21"/>
                <w:spacing w:val="4"/>
              </w:rPr>
              <w:t xml:space="preserve">  </w:t>
            </w:r>
            <w:r>
              <w:rPr>
                <w:sz w:val="21"/>
                <w:szCs w:val="21"/>
                <w:spacing w:val="-1"/>
              </w:rPr>
              <w:t>例》的有关规定向城镇排水主管部门申请领取污水排</w:t>
            </w:r>
            <w:r>
              <w:rPr>
                <w:sz w:val="21"/>
                <w:szCs w:val="21"/>
                <w:spacing w:val="13"/>
              </w:rPr>
              <w:t xml:space="preserve"> </w:t>
            </w:r>
            <w:r>
              <w:rPr>
                <w:sz w:val="21"/>
                <w:szCs w:val="21"/>
                <w:spacing w:val="9"/>
              </w:rPr>
              <w:t>入排水管网许可证。</w:t>
            </w:r>
          </w:p>
        </w:tc>
        <w:tc>
          <w:tcPr>
            <w:tcW w:w="5656" w:type="dxa"/>
            <w:vAlign w:val="top"/>
          </w:tcPr>
          <w:p>
            <w:pPr>
              <w:spacing w:line="244" w:lineRule="auto"/>
              <w:rPr>
                <w:rFonts w:ascii="Arial"/>
                <w:sz w:val="21"/>
              </w:rPr>
            </w:pPr>
            <w:r/>
          </w:p>
          <w:p>
            <w:pPr>
              <w:pStyle w:val="TableText"/>
              <w:ind w:left="145"/>
              <w:spacing w:before="69" w:line="219" w:lineRule="auto"/>
              <w:rPr>
                <w:sz w:val="21"/>
                <w:szCs w:val="21"/>
              </w:rPr>
            </w:pPr>
            <w:r>
              <w:rPr>
                <w:sz w:val="21"/>
                <w:szCs w:val="21"/>
              </w:rPr>
              <w:t>建设单位于2021.10.20取得城镇污水排入排水</w:t>
            </w:r>
            <w:r>
              <w:rPr>
                <w:sz w:val="21"/>
                <w:szCs w:val="21"/>
                <w:spacing w:val="-1"/>
              </w:rPr>
              <w:t>管网许可证。</w:t>
            </w:r>
          </w:p>
        </w:tc>
        <w:tc>
          <w:tcPr>
            <w:tcW w:w="1904" w:type="dxa"/>
            <w:vAlign w:val="top"/>
          </w:tcPr>
          <w:p>
            <w:pPr>
              <w:spacing w:line="245" w:lineRule="auto"/>
              <w:rPr>
                <w:rFonts w:ascii="Arial"/>
                <w:sz w:val="21"/>
              </w:rPr>
            </w:pPr>
            <w:r/>
          </w:p>
          <w:p>
            <w:pPr>
              <w:pStyle w:val="TableText"/>
              <w:ind w:left="209"/>
              <w:spacing w:before="68" w:line="220" w:lineRule="auto"/>
              <w:rPr>
                <w:sz w:val="21"/>
                <w:szCs w:val="21"/>
              </w:rPr>
            </w:pPr>
            <w:r>
              <w:rPr>
                <w:sz w:val="21"/>
                <w:szCs w:val="21"/>
                <w:spacing w:val="1"/>
              </w:rPr>
              <w:t>已落实批复要求</w:t>
            </w:r>
          </w:p>
        </w:tc>
      </w:tr>
      <w:tr>
        <w:trPr>
          <w:trHeight w:val="2717" w:hRule="atLeast"/>
        </w:trPr>
        <w:tc>
          <w:tcPr>
            <w:tcW w:w="795" w:type="dxa"/>
            <w:vAlign w:val="top"/>
            <w:vMerge w:val="continue"/>
            <w:tcBorders>
              <w:top w:val="nil"/>
              <w:bottom w:val="nil"/>
            </w:tcBorders>
          </w:tcPr>
          <w:p>
            <w:pPr>
              <w:rPr>
                <w:rFonts w:ascii="Arial"/>
                <w:sz w:val="21"/>
              </w:rPr>
            </w:pPr>
            <w:r/>
          </w:p>
        </w:tc>
        <w:tc>
          <w:tcPr>
            <w:tcW w:w="849" w:type="dxa"/>
            <w:vAlign w:val="top"/>
            <w:vMerge w:val="restart"/>
            <w:tcBorders>
              <w:bottom w:val="nil"/>
            </w:tcBorders>
          </w:tcPr>
          <w:p>
            <w:pPr>
              <w:pStyle w:val="TableText"/>
              <w:ind w:left="200"/>
              <w:spacing w:before="54" w:line="237" w:lineRule="auto"/>
              <w:rPr>
                <w:sz w:val="21"/>
                <w:szCs w:val="21"/>
              </w:rPr>
            </w:pPr>
            <w:r>
              <w:rPr>
                <w:sz w:val="21"/>
                <w:szCs w:val="21"/>
              </w:rPr>
              <w:t>三</w:t>
            </w:r>
          </w:p>
        </w:tc>
        <w:tc>
          <w:tcPr>
            <w:tcW w:w="4946" w:type="dxa"/>
            <w:vAlign w:val="top"/>
          </w:tcPr>
          <w:p>
            <w:pPr>
              <w:pStyle w:val="TableText"/>
              <w:ind w:left="101" w:right="9" w:firstLine="100"/>
              <w:spacing w:before="24" w:line="239" w:lineRule="auto"/>
              <w:jc w:val="both"/>
              <w:rPr>
                <w:sz w:val="21"/>
                <w:szCs w:val="21"/>
              </w:rPr>
            </w:pPr>
            <w:r>
              <w:rPr>
                <w:sz w:val="21"/>
                <w:szCs w:val="21"/>
              </w:rPr>
              <w:t>项目涂布废气通过全密闭集气罩收集进入NMP轮转</w:t>
            </w:r>
            <w:r>
              <w:rPr>
                <w:sz w:val="21"/>
                <w:szCs w:val="21"/>
                <w:spacing w:val="4"/>
              </w:rPr>
              <w:t xml:space="preserve">   </w:t>
            </w:r>
            <w:r>
              <w:rPr>
                <w:sz w:val="21"/>
                <w:szCs w:val="21"/>
                <w:spacing w:val="4"/>
              </w:rPr>
              <w:t>回收装置经转轮回收后由不低于27m高排气筒排放；</w:t>
            </w:r>
            <w:r>
              <w:rPr>
                <w:sz w:val="21"/>
                <w:szCs w:val="21"/>
                <w:spacing w:val="3"/>
              </w:rPr>
              <w:t xml:space="preserve"> </w:t>
            </w:r>
            <w:r>
              <w:rPr>
                <w:sz w:val="21"/>
                <w:szCs w:val="21"/>
                <w:spacing w:val="3"/>
              </w:rPr>
              <w:t>注液废气通过抽风机引至活性炭吸附设施处理后由  </w:t>
            </w:r>
            <w:r>
              <w:rPr>
                <w:sz w:val="21"/>
                <w:szCs w:val="21"/>
                <w:spacing w:val="5"/>
              </w:rPr>
              <w:t>不低于27m高排气筒排放；真空干燥及化成废</w:t>
            </w:r>
            <w:r>
              <w:rPr>
                <w:sz w:val="21"/>
                <w:szCs w:val="21"/>
                <w:spacing w:val="4"/>
              </w:rPr>
              <w:t>气经</w:t>
            </w:r>
            <w:r>
              <w:rPr>
                <w:sz w:val="21"/>
                <w:szCs w:val="21"/>
              </w:rPr>
              <w:t xml:space="preserve">   </w:t>
            </w:r>
            <w:r>
              <w:rPr>
                <w:sz w:val="21"/>
                <w:szCs w:val="21"/>
                <w:spacing w:val="5"/>
              </w:rPr>
              <w:t>活性炭吸附后由不低于27m高排气筒排放；真空泵</w:t>
            </w:r>
          </w:p>
          <w:p>
            <w:pPr>
              <w:pStyle w:val="TableText"/>
              <w:ind w:left="50" w:right="45" w:firstLine="150"/>
              <w:spacing w:before="41" w:line="228" w:lineRule="auto"/>
              <w:rPr>
                <w:sz w:val="21"/>
                <w:szCs w:val="21"/>
              </w:rPr>
            </w:pPr>
            <w:r>
              <w:rPr>
                <w:sz w:val="21"/>
                <w:szCs w:val="21"/>
                <w:spacing w:val="-1"/>
              </w:rPr>
              <w:t>系统废气经滤筒除油+RTO催化燃烧后由不低于27m  </w:t>
            </w:r>
            <w:r>
              <w:rPr>
                <w:sz w:val="21"/>
                <w:szCs w:val="21"/>
              </w:rPr>
              <w:t>高排气筒排放；天然气锅炉采用低氮燃烧技术，燃烧</w:t>
            </w:r>
          </w:p>
          <w:p>
            <w:pPr>
              <w:pStyle w:val="TableText"/>
              <w:ind w:left="131" w:right="201" w:firstLine="69"/>
              <w:spacing w:before="12" w:line="228" w:lineRule="auto"/>
              <w:rPr>
                <w:sz w:val="21"/>
                <w:szCs w:val="21"/>
              </w:rPr>
            </w:pPr>
            <w:r>
              <w:rPr>
                <w:sz w:val="21"/>
                <w:szCs w:val="21"/>
              </w:rPr>
              <w:t>废气收集后通过25m高的排气筒排放。以上排气筒</w:t>
            </w:r>
            <w:r>
              <w:rPr>
                <w:sz w:val="21"/>
                <w:szCs w:val="21"/>
                <w:spacing w:val="17"/>
              </w:rPr>
              <w:t xml:space="preserve"> </w:t>
            </w:r>
            <w:r>
              <w:rPr>
                <w:sz w:val="21"/>
                <w:szCs w:val="21"/>
                <w:spacing w:val="-1"/>
              </w:rPr>
              <w:t>高度还应高出周围半径200m距离内最高建筑物3m</w:t>
            </w:r>
          </w:p>
          <w:p>
            <w:pPr>
              <w:pStyle w:val="TableText"/>
              <w:ind w:left="131"/>
              <w:spacing w:before="13" w:line="192" w:lineRule="auto"/>
              <w:rPr>
                <w:sz w:val="21"/>
                <w:szCs w:val="21"/>
              </w:rPr>
            </w:pPr>
            <w:r>
              <w:rPr>
                <w:sz w:val="21"/>
                <w:szCs w:val="21"/>
                <w:spacing w:val="-2"/>
              </w:rPr>
              <w:t>以上。</w:t>
            </w:r>
          </w:p>
        </w:tc>
        <w:tc>
          <w:tcPr>
            <w:tcW w:w="5656" w:type="dxa"/>
            <w:vAlign w:val="top"/>
            <w:vMerge w:val="restart"/>
            <w:tcBorders>
              <w:bottom w:val="nil"/>
            </w:tcBorders>
          </w:tcPr>
          <w:p>
            <w:pPr>
              <w:pStyle w:val="TableText"/>
              <w:ind w:left="165" w:right="335" w:firstLine="9"/>
              <w:spacing w:before="44" w:line="230" w:lineRule="auto"/>
              <w:rPr>
                <w:sz w:val="21"/>
                <w:szCs w:val="21"/>
              </w:rPr>
            </w:pPr>
            <w:r>
              <w:rPr>
                <w:sz w:val="21"/>
                <w:szCs w:val="21"/>
                <w:spacing w:val="-1"/>
              </w:rPr>
              <w:t>)车间粉尘：固定式单体除尘器或设备自带的滤筒处理后</w:t>
            </w:r>
            <w:r>
              <w:rPr>
                <w:sz w:val="21"/>
                <w:szCs w:val="21"/>
                <w:spacing w:val="14"/>
              </w:rPr>
              <w:t xml:space="preserve"> </w:t>
            </w:r>
            <w:r>
              <w:rPr>
                <w:sz w:val="21"/>
                <w:szCs w:val="21"/>
                <w:spacing w:val="20"/>
              </w:rPr>
              <w:t>直接排放；</w:t>
            </w:r>
          </w:p>
          <w:p>
            <w:pPr>
              <w:pStyle w:val="TableText"/>
              <w:ind w:left="245" w:right="786" w:hanging="100"/>
              <w:spacing w:before="26" w:line="233" w:lineRule="auto"/>
              <w:rPr>
                <w:sz w:val="21"/>
                <w:szCs w:val="21"/>
              </w:rPr>
            </w:pPr>
            <w:r>
              <w:rPr>
                <w:sz w:val="21"/>
                <w:szCs w:val="21"/>
                <w:spacing w:val="-1"/>
              </w:rPr>
              <w:t>2)涂布废气：8套NMP轮转回收装置+2根27m高排气筒</w:t>
            </w:r>
            <w:r>
              <w:rPr>
                <w:sz w:val="21"/>
                <w:szCs w:val="21"/>
                <w:spacing w:val="16"/>
              </w:rPr>
              <w:t xml:space="preserve"> </w:t>
            </w:r>
            <w:r>
              <w:rPr>
                <w:sz w:val="21"/>
                <w:szCs w:val="21"/>
                <w:spacing w:val="-4"/>
              </w:rPr>
              <w:t>(DA015、DA020);</w:t>
            </w:r>
          </w:p>
          <w:p>
            <w:pPr>
              <w:pStyle w:val="TableText"/>
              <w:ind w:left="245" w:right="447" w:hanging="100"/>
              <w:rPr>
                <w:sz w:val="21"/>
                <w:szCs w:val="21"/>
              </w:rPr>
            </w:pPr>
            <w:r>
              <w:rPr>
                <w:sz w:val="21"/>
                <w:szCs w:val="21"/>
              </w:rPr>
              <w:t>3)搅拌罐废气：经活性炭吸附处理后通过1根25m排气筒</w:t>
            </w:r>
            <w:r>
              <w:rPr>
                <w:sz w:val="21"/>
                <w:szCs w:val="21"/>
                <w:spacing w:val="12"/>
              </w:rPr>
              <w:t xml:space="preserve"> </w:t>
            </w:r>
            <w:r>
              <w:rPr>
                <w:sz w:val="21"/>
                <w:szCs w:val="21"/>
                <w:spacing w:val="-6"/>
              </w:rPr>
              <w:t>(DA014)</w:t>
            </w:r>
          </w:p>
          <w:p>
            <w:pPr>
              <w:pStyle w:val="TableText"/>
              <w:ind w:left="135"/>
              <w:spacing w:before="23" w:line="219" w:lineRule="auto"/>
              <w:rPr>
                <w:sz w:val="21"/>
                <w:szCs w:val="21"/>
              </w:rPr>
            </w:pPr>
            <w:r>
              <w:rPr>
                <w:sz w:val="21"/>
                <w:szCs w:val="21"/>
                <w:spacing w:val="3"/>
              </w:rPr>
              <w:t>4)注液废气：2套活性炭吸附+2根27m高排气筒(</w:t>
            </w:r>
            <w:r>
              <w:rPr>
                <w:sz w:val="21"/>
                <w:szCs w:val="21"/>
              </w:rPr>
              <w:t>DA</w:t>
            </w:r>
            <w:r>
              <w:rPr>
                <w:sz w:val="21"/>
                <w:szCs w:val="21"/>
                <w:spacing w:val="3"/>
              </w:rPr>
              <w:t>016、</w:t>
            </w:r>
          </w:p>
          <w:p>
            <w:pPr>
              <w:pStyle w:val="TableText"/>
              <w:ind w:left="135"/>
              <w:spacing w:before="25" w:line="221" w:lineRule="auto"/>
              <w:rPr>
                <w:sz w:val="21"/>
                <w:szCs w:val="21"/>
              </w:rPr>
            </w:pPr>
            <w:r>
              <w:rPr>
                <w:sz w:val="21"/>
                <w:szCs w:val="21"/>
                <w:spacing w:val="-1"/>
              </w:rPr>
              <w:t>DA024);</w:t>
            </w:r>
          </w:p>
          <w:p>
            <w:pPr>
              <w:pStyle w:val="TableText"/>
              <w:ind w:left="145" w:right="138" w:firstLine="20"/>
              <w:spacing w:before="5" w:line="232" w:lineRule="auto"/>
              <w:rPr>
                <w:sz w:val="21"/>
                <w:szCs w:val="21"/>
              </w:rPr>
            </w:pPr>
            <w:r>
              <w:rPr>
                <w:sz w:val="21"/>
                <w:szCs w:val="21"/>
                <w:spacing w:val="-1"/>
              </w:rPr>
              <w:t>5)真空干燥、真空泵系统废气：1套冷凝+滤筒除油碱洗+TO</w:t>
            </w:r>
            <w:r>
              <w:rPr>
                <w:sz w:val="21"/>
                <w:szCs w:val="21"/>
                <w:spacing w:val="15"/>
              </w:rPr>
              <w:t xml:space="preserve"> </w:t>
            </w:r>
            <w:r>
              <w:rPr>
                <w:sz w:val="21"/>
                <w:szCs w:val="21"/>
                <w:spacing w:val="2"/>
              </w:rPr>
              <w:t>燃烧+高温除尘+1根27m高排气筒(</w:t>
            </w:r>
            <w:r>
              <w:rPr>
                <w:sz w:val="21"/>
                <w:szCs w:val="21"/>
              </w:rPr>
              <w:t>DA</w:t>
            </w:r>
            <w:r>
              <w:rPr>
                <w:sz w:val="21"/>
                <w:szCs w:val="21"/>
                <w:spacing w:val="2"/>
              </w:rPr>
              <w:t>01</w:t>
            </w:r>
            <w:r>
              <w:rPr>
                <w:sz w:val="21"/>
                <w:szCs w:val="21"/>
                <w:spacing w:val="1"/>
              </w:rPr>
              <w:t>7);</w:t>
            </w:r>
          </w:p>
          <w:p>
            <w:pPr>
              <w:pStyle w:val="TableText"/>
              <w:ind w:left="145" w:right="149" w:firstLine="20"/>
              <w:spacing w:before="13" w:line="237" w:lineRule="auto"/>
              <w:rPr>
                <w:sz w:val="21"/>
                <w:szCs w:val="21"/>
              </w:rPr>
            </w:pPr>
            <w:r>
              <w:rPr>
                <w:sz w:val="21"/>
                <w:szCs w:val="21"/>
                <w:spacing w:val="-1"/>
              </w:rPr>
              <w:t>5)锅炉废气：采用低氮燃烧技术，9台锅炉，排气筒一、二</w:t>
            </w:r>
            <w:r>
              <w:rPr>
                <w:sz w:val="21"/>
                <w:szCs w:val="21"/>
                <w:spacing w:val="2"/>
              </w:rPr>
              <w:t xml:space="preserve"> </w:t>
            </w:r>
            <w:r>
              <w:rPr>
                <w:sz w:val="21"/>
                <w:szCs w:val="21"/>
                <w:spacing w:val="4"/>
              </w:rPr>
              <w:t>期共用，共设置排气筒</w:t>
            </w:r>
            <w:r>
              <w:rPr>
                <w:sz w:val="21"/>
                <w:szCs w:val="21"/>
              </w:rPr>
              <w:t>DA</w:t>
            </w:r>
            <w:r>
              <w:rPr>
                <w:sz w:val="21"/>
                <w:szCs w:val="21"/>
                <w:spacing w:val="4"/>
              </w:rPr>
              <w:t>011、</w:t>
            </w:r>
            <w:r>
              <w:rPr>
                <w:sz w:val="21"/>
                <w:szCs w:val="21"/>
              </w:rPr>
              <w:t>DA</w:t>
            </w:r>
            <w:r>
              <w:rPr>
                <w:sz w:val="21"/>
                <w:szCs w:val="21"/>
                <w:spacing w:val="4"/>
              </w:rPr>
              <w:t>012、</w:t>
            </w:r>
            <w:r>
              <w:rPr>
                <w:sz w:val="21"/>
                <w:szCs w:val="21"/>
              </w:rPr>
              <w:t>DA</w:t>
            </w:r>
            <w:r>
              <w:rPr>
                <w:sz w:val="21"/>
                <w:szCs w:val="21"/>
                <w:spacing w:val="4"/>
              </w:rPr>
              <w:t>021、</w:t>
            </w:r>
            <w:r>
              <w:rPr>
                <w:sz w:val="21"/>
                <w:szCs w:val="21"/>
              </w:rPr>
              <w:t>DA</w:t>
            </w:r>
            <w:r>
              <w:rPr>
                <w:sz w:val="21"/>
                <w:szCs w:val="21"/>
                <w:spacing w:val="4"/>
              </w:rPr>
              <w:t>022、</w:t>
            </w:r>
          </w:p>
          <w:p>
            <w:pPr>
              <w:pStyle w:val="TableText"/>
              <w:ind w:left="125"/>
              <w:spacing w:before="72" w:line="174" w:lineRule="exact"/>
              <w:rPr>
                <w:sz w:val="21"/>
                <w:szCs w:val="21"/>
              </w:rPr>
            </w:pPr>
            <w:r>
              <w:rPr>
                <w:sz w:val="21"/>
                <w:szCs w:val="21"/>
                <w:spacing w:val="-5"/>
                <w:position w:val="-2"/>
              </w:rPr>
              <w:t>DA023。</w:t>
            </w:r>
          </w:p>
        </w:tc>
        <w:tc>
          <w:tcPr>
            <w:tcW w:w="1904" w:type="dxa"/>
            <w:vAlign w:val="top"/>
            <w:vMerge w:val="restart"/>
            <w:tcBorders>
              <w:bottom w:val="nil"/>
            </w:tcBorders>
          </w:tcPr>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209"/>
              <w:spacing w:before="68" w:line="220" w:lineRule="auto"/>
              <w:rPr>
                <w:sz w:val="21"/>
                <w:szCs w:val="21"/>
              </w:rPr>
            </w:pPr>
            <w:r>
              <w:rPr>
                <w:sz w:val="21"/>
                <w:szCs w:val="21"/>
                <w:spacing w:val="1"/>
              </w:rPr>
              <w:t>已落实批复要求</w:t>
            </w:r>
          </w:p>
        </w:tc>
      </w:tr>
      <w:tr>
        <w:trPr>
          <w:trHeight w:val="834" w:hRule="atLeast"/>
        </w:trPr>
        <w:tc>
          <w:tcPr>
            <w:tcW w:w="795" w:type="dxa"/>
            <w:vAlign w:val="top"/>
            <w:vMerge w:val="continue"/>
            <w:tcBorders>
              <w:top w:val="nil"/>
            </w:tcBorders>
          </w:tcPr>
          <w:p>
            <w:pPr>
              <w:rPr>
                <w:rFonts w:ascii="Arial"/>
                <w:sz w:val="21"/>
              </w:rPr>
            </w:pPr>
            <w:r/>
          </w:p>
        </w:tc>
        <w:tc>
          <w:tcPr>
            <w:tcW w:w="849" w:type="dxa"/>
            <w:vAlign w:val="top"/>
            <w:vMerge w:val="continue"/>
            <w:tcBorders>
              <w:top w:val="nil"/>
            </w:tcBorders>
          </w:tcPr>
          <w:p>
            <w:pPr>
              <w:rPr>
                <w:rFonts w:ascii="Arial"/>
                <w:sz w:val="21"/>
              </w:rPr>
            </w:pPr>
            <w:r/>
          </w:p>
        </w:tc>
        <w:tc>
          <w:tcPr>
            <w:tcW w:w="4946" w:type="dxa"/>
            <w:vAlign w:val="top"/>
          </w:tcPr>
          <w:p>
            <w:pPr>
              <w:pStyle w:val="TableText"/>
              <w:ind w:left="150" w:right="66" w:hanging="100"/>
              <w:spacing w:before="56" w:line="238" w:lineRule="auto"/>
              <w:rPr>
                <w:sz w:val="21"/>
                <w:szCs w:val="21"/>
              </w:rPr>
            </w:pPr>
            <w:r>
              <w:rPr>
                <w:sz w:val="21"/>
                <w:szCs w:val="21"/>
                <w:spacing w:val="-1"/>
              </w:rPr>
              <w:t>项目污水处理站依托现有工程，恶臭气体引至“喷淋</w:t>
            </w:r>
            <w:r>
              <w:rPr>
                <w:sz w:val="21"/>
                <w:szCs w:val="21"/>
                <w:spacing w:val="10"/>
              </w:rPr>
              <w:t xml:space="preserve"> </w:t>
            </w:r>
            <w:r>
              <w:rPr>
                <w:sz w:val="21"/>
                <w:szCs w:val="21"/>
                <w:spacing w:val="-1"/>
              </w:rPr>
              <w:t>塔+UV”设施处理后由不低于15m高排气筒排放</w:t>
            </w:r>
          </w:p>
          <w:p>
            <w:pPr>
              <w:pStyle w:val="TableText"/>
              <w:ind w:left="151"/>
              <w:spacing w:line="198" w:lineRule="auto"/>
              <w:rPr>
                <w:sz w:val="21"/>
                <w:szCs w:val="21"/>
              </w:rPr>
            </w:pPr>
            <w:r>
              <w:rPr>
                <w:sz w:val="21"/>
                <w:szCs w:val="21"/>
              </w:rPr>
              <w:t>食堂油烟废气经油烟净化器处理后引至15米高排气</w:t>
            </w:r>
          </w:p>
        </w:tc>
        <w:tc>
          <w:tcPr>
            <w:tcW w:w="5656" w:type="dxa"/>
            <w:vAlign w:val="top"/>
            <w:vMerge w:val="continue"/>
            <w:tcBorders>
              <w:top w:val="nil"/>
            </w:tcBorders>
          </w:tcPr>
          <w:p>
            <w:pPr>
              <w:rPr>
                <w:rFonts w:ascii="Arial"/>
                <w:sz w:val="21"/>
              </w:rPr>
            </w:pPr>
            <w:r/>
          </w:p>
        </w:tc>
        <w:tc>
          <w:tcPr>
            <w:tcW w:w="1904" w:type="dxa"/>
            <w:vAlign w:val="top"/>
            <w:vMerge w:val="continue"/>
            <w:tcBorders>
              <w:top w:val="nil"/>
            </w:tcBorders>
          </w:tcPr>
          <w:p>
            <w:pPr>
              <w:rPr>
                <w:rFonts w:ascii="Arial"/>
                <w:sz w:val="21"/>
              </w:rPr>
            </w:pPr>
            <w:r/>
          </w:p>
        </w:tc>
      </w:tr>
    </w:tbl>
    <w:p>
      <w:pPr>
        <w:rPr>
          <w:rFonts w:ascii="Arial"/>
          <w:sz w:val="21"/>
        </w:rPr>
      </w:pPr>
      <w:r/>
    </w:p>
    <w:p>
      <w:pPr>
        <w:sectPr>
          <w:footerReference w:type="default" r:id="rId63"/>
          <w:pgSz w:w="16840" w:h="11900"/>
          <w:pgMar w:top="1011" w:right="1364" w:bottom="978" w:left="1314" w:header="0" w:footer="839" w:gutter="0"/>
        </w:sectPr>
        <w:rPr>
          <w:rFonts w:ascii="Arial" w:hAnsi="Arial" w:eastAsia="Arial" w:cs="Arial"/>
          <w:sz w:val="21"/>
          <w:szCs w:val="21"/>
        </w:rPr>
      </w:pPr>
    </w:p>
    <w:p>
      <w:pPr>
        <w:spacing w:before="115"/>
        <w:rPr/>
      </w:pPr>
      <w:r/>
    </w:p>
    <w:p>
      <w:pPr>
        <w:spacing w:before="115"/>
        <w:rPr/>
      </w:pPr>
      <w:r/>
    </w:p>
    <w:tbl>
      <w:tblPr>
        <w:tblStyle w:val="TableNormal"/>
        <w:tblW w:w="141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94"/>
        <w:gridCol w:w="849"/>
        <w:gridCol w:w="4956"/>
        <w:gridCol w:w="5646"/>
        <w:gridCol w:w="1904"/>
      </w:tblGrid>
      <w:tr>
        <w:trPr>
          <w:trHeight w:val="1083" w:hRule="atLeast"/>
        </w:trPr>
        <w:tc>
          <w:tcPr>
            <w:tcW w:w="794" w:type="dxa"/>
            <w:vAlign w:val="top"/>
            <w:vMerge w:val="restart"/>
            <w:tcBorders>
              <w:bottom w:val="nil"/>
            </w:tcBorders>
          </w:tcPr>
          <w:p>
            <w:pPr>
              <w:rPr>
                <w:rFonts w:ascii="Arial"/>
                <w:sz w:val="21"/>
              </w:rPr>
            </w:pPr>
            <w:r/>
          </w:p>
        </w:tc>
        <w:tc>
          <w:tcPr>
            <w:tcW w:w="849" w:type="dxa"/>
            <w:vAlign w:val="top"/>
            <w:vMerge w:val="restart"/>
            <w:tcBorders>
              <w:bottom w:val="nil"/>
            </w:tcBorders>
          </w:tcPr>
          <w:p>
            <w:pPr>
              <w:rPr>
                <w:rFonts w:ascii="Arial"/>
                <w:sz w:val="21"/>
              </w:rPr>
            </w:pPr>
            <w:r/>
          </w:p>
        </w:tc>
        <w:tc>
          <w:tcPr>
            <w:tcW w:w="4956" w:type="dxa"/>
            <w:vAlign w:val="top"/>
          </w:tcPr>
          <w:p>
            <w:pPr>
              <w:pStyle w:val="TableText"/>
              <w:ind w:left="110" w:right="48" w:hanging="59"/>
              <w:spacing w:before="13" w:line="243" w:lineRule="auto"/>
              <w:rPr>
                <w:sz w:val="21"/>
                <w:szCs w:val="21"/>
              </w:rPr>
            </w:pPr>
            <w:r>
              <w:rPr>
                <w:sz w:val="21"/>
                <w:szCs w:val="21"/>
              </w:rPr>
              <w:t>筒排放；车间投料粉尘采用固定式单体除尘器处理后</w:t>
            </w:r>
            <w:r>
              <w:rPr>
                <w:sz w:val="21"/>
                <w:szCs w:val="21"/>
                <w:spacing w:val="14"/>
              </w:rPr>
              <w:t xml:space="preserve"> </w:t>
            </w:r>
            <w:r>
              <w:rPr>
                <w:sz w:val="21"/>
                <w:szCs w:val="21"/>
                <w:spacing w:val="-2"/>
              </w:rPr>
              <w:t>排放。</w:t>
            </w:r>
          </w:p>
        </w:tc>
        <w:tc>
          <w:tcPr>
            <w:tcW w:w="5646" w:type="dxa"/>
            <w:vAlign w:val="top"/>
          </w:tcPr>
          <w:p>
            <w:pPr>
              <w:pStyle w:val="TableText"/>
              <w:ind w:left="136" w:right="168" w:firstLine="59"/>
              <w:spacing w:before="32" w:line="233" w:lineRule="auto"/>
              <w:rPr>
                <w:sz w:val="21"/>
                <w:szCs w:val="21"/>
              </w:rPr>
            </w:pPr>
            <w:r>
              <w:rPr>
                <w:sz w:val="21"/>
                <w:szCs w:val="21"/>
                <w:spacing w:val="1"/>
              </w:rPr>
              <w:t>7)污水处理站恶臭：依托现有工程，1套“</w:t>
            </w:r>
            <w:r>
              <w:rPr>
                <w:sz w:val="21"/>
                <w:szCs w:val="21"/>
              </w:rPr>
              <w:t>喷淋塔+UV”+1 </w:t>
            </w:r>
            <w:r>
              <w:rPr>
                <w:sz w:val="21"/>
                <w:szCs w:val="21"/>
                <w:spacing w:val="31"/>
              </w:rPr>
              <w:t>根15m高排气筒(</w:t>
            </w:r>
            <w:r>
              <w:rPr>
                <w:sz w:val="21"/>
                <w:szCs w:val="21"/>
              </w:rPr>
              <w:t>DA</w:t>
            </w:r>
            <w:r>
              <w:rPr>
                <w:sz w:val="21"/>
                <w:szCs w:val="21"/>
                <w:spacing w:val="31"/>
              </w:rPr>
              <w:t>006);</w:t>
            </w:r>
          </w:p>
          <w:p>
            <w:pPr>
              <w:pStyle w:val="TableText"/>
              <w:ind w:left="235" w:right="341" w:firstLine="110"/>
              <w:spacing w:before="20" w:line="215" w:lineRule="auto"/>
              <w:rPr>
                <w:sz w:val="21"/>
                <w:szCs w:val="21"/>
              </w:rPr>
            </w:pPr>
            <w:r>
              <w:rPr>
                <w:sz w:val="21"/>
                <w:szCs w:val="21"/>
              </w:rPr>
              <w:t>3)食堂油烟：油烟净化器处理后引至屋顶排放，共2根</w:t>
            </w:r>
            <w:r>
              <w:rPr>
                <w:sz w:val="21"/>
                <w:szCs w:val="21"/>
                <w:spacing w:val="12"/>
              </w:rPr>
              <w:t xml:space="preserve"> </w:t>
            </w:r>
            <w:r>
              <w:rPr>
                <w:sz w:val="21"/>
                <w:szCs w:val="21"/>
                <w:spacing w:val="-5"/>
              </w:rPr>
              <w:t>(DA018、DA019)。</w:t>
            </w:r>
          </w:p>
        </w:tc>
        <w:tc>
          <w:tcPr>
            <w:tcW w:w="1904" w:type="dxa"/>
            <w:vAlign w:val="top"/>
          </w:tcPr>
          <w:p>
            <w:pPr>
              <w:rPr>
                <w:rFonts w:ascii="Arial"/>
                <w:sz w:val="21"/>
              </w:rPr>
            </w:pPr>
            <w:r/>
          </w:p>
        </w:tc>
      </w:tr>
      <w:tr>
        <w:trPr>
          <w:trHeight w:val="3276" w:hRule="atLeast"/>
        </w:trPr>
        <w:tc>
          <w:tcPr>
            <w:tcW w:w="794" w:type="dxa"/>
            <w:vAlign w:val="top"/>
            <w:vMerge w:val="continue"/>
            <w:tcBorders>
              <w:top w:val="nil"/>
              <w:bottom w:val="nil"/>
            </w:tcBorders>
          </w:tcPr>
          <w:p>
            <w:pPr>
              <w:rPr>
                <w:rFonts w:ascii="Arial"/>
                <w:sz w:val="21"/>
              </w:rPr>
            </w:pPr>
            <w:r/>
          </w:p>
        </w:tc>
        <w:tc>
          <w:tcPr>
            <w:tcW w:w="849" w:type="dxa"/>
            <w:vAlign w:val="top"/>
            <w:vMerge w:val="continue"/>
            <w:tcBorders>
              <w:top w:val="nil"/>
              <w:bottom w:val="nil"/>
            </w:tcBorders>
          </w:tcPr>
          <w:p>
            <w:pPr>
              <w:rPr>
                <w:rFonts w:ascii="Arial"/>
                <w:sz w:val="21"/>
              </w:rPr>
            </w:pPr>
            <w:r/>
          </w:p>
        </w:tc>
        <w:tc>
          <w:tcPr>
            <w:tcW w:w="4956" w:type="dxa"/>
            <w:vAlign w:val="top"/>
          </w:tcPr>
          <w:p>
            <w:pPr>
              <w:spacing w:line="317" w:lineRule="auto"/>
              <w:rPr>
                <w:rFonts w:ascii="Arial"/>
                <w:sz w:val="21"/>
              </w:rPr>
            </w:pPr>
            <w:r/>
          </w:p>
          <w:p>
            <w:pPr>
              <w:spacing w:line="318" w:lineRule="auto"/>
              <w:rPr>
                <w:rFonts w:ascii="Arial"/>
                <w:sz w:val="21"/>
              </w:rPr>
            </w:pPr>
            <w:r/>
          </w:p>
          <w:p>
            <w:pPr>
              <w:spacing w:line="318" w:lineRule="auto"/>
              <w:rPr>
                <w:rFonts w:ascii="Arial"/>
                <w:sz w:val="21"/>
              </w:rPr>
            </w:pPr>
            <w:r/>
          </w:p>
          <w:p>
            <w:pPr>
              <w:pStyle w:val="TableText"/>
              <w:ind w:left="161" w:right="152"/>
              <w:spacing w:before="69" w:line="225" w:lineRule="auto"/>
              <w:rPr>
                <w:sz w:val="21"/>
                <w:szCs w:val="21"/>
              </w:rPr>
            </w:pPr>
            <w:r>
              <w:rPr>
                <w:sz w:val="21"/>
                <w:szCs w:val="21"/>
                <w:spacing w:val="-1"/>
              </w:rPr>
              <w:t>亚格落实报告表提出的挥发性有机物无组织排放控</w:t>
            </w:r>
            <w:r>
              <w:rPr>
                <w:sz w:val="21"/>
                <w:szCs w:val="21"/>
                <w:spacing w:val="11"/>
              </w:rPr>
              <w:t xml:space="preserve"> </w:t>
            </w:r>
            <w:r>
              <w:rPr>
                <w:sz w:val="21"/>
                <w:szCs w:val="21"/>
              </w:rPr>
              <w:t>制措施，通过强化VOCs物料储存、转移、输送和工</w:t>
            </w:r>
          </w:p>
          <w:p>
            <w:pPr>
              <w:pStyle w:val="TableText"/>
              <w:ind w:left="211" w:right="119" w:firstLine="159"/>
              <w:spacing w:before="10" w:line="231" w:lineRule="auto"/>
              <w:rPr>
                <w:sz w:val="21"/>
                <w:szCs w:val="21"/>
              </w:rPr>
            </w:pPr>
            <w:r>
              <w:rPr>
                <w:sz w:val="21"/>
                <w:szCs w:val="21"/>
              </w:rPr>
              <w:t>艺过程无组织排放控制措施和设备与管线组件</w:t>
            </w:r>
            <w:r>
              <w:rPr>
                <w:sz w:val="21"/>
                <w:szCs w:val="21"/>
                <w:spacing w:val="2"/>
              </w:rPr>
              <w:t xml:space="preserve">   </w:t>
            </w:r>
            <w:r>
              <w:rPr>
                <w:sz w:val="21"/>
                <w:szCs w:val="21"/>
              </w:rPr>
              <w:t>VOCs泄漏控制措施，规范VOCs无组织排放废气收  </w:t>
            </w:r>
            <w:r>
              <w:rPr>
                <w:sz w:val="21"/>
                <w:szCs w:val="21"/>
                <w:spacing w:val="-1"/>
              </w:rPr>
              <w:t>集处理系统建设，减少挥发性有机物无组织排放。</w:t>
            </w:r>
          </w:p>
        </w:tc>
        <w:tc>
          <w:tcPr>
            <w:tcW w:w="5646" w:type="dxa"/>
            <w:vAlign w:val="top"/>
          </w:tcPr>
          <w:p>
            <w:pPr>
              <w:pStyle w:val="TableText"/>
              <w:ind w:left="125" w:right="238" w:firstLine="120"/>
              <w:spacing w:before="49" w:line="242" w:lineRule="auto"/>
              <w:rPr>
                <w:sz w:val="21"/>
                <w:szCs w:val="21"/>
              </w:rPr>
            </w:pPr>
            <w:r>
              <w:rPr>
                <w:sz w:val="21"/>
                <w:szCs w:val="21"/>
              </w:rPr>
              <w:t>1)NMP罐区因消防合规性问题不能设置雨棚，罐区地面防</w:t>
            </w:r>
            <w:r>
              <w:rPr>
                <w:sz w:val="21"/>
                <w:szCs w:val="21"/>
                <w:spacing w:val="5"/>
              </w:rPr>
              <w:t xml:space="preserve"> </w:t>
            </w:r>
            <w:r>
              <w:rPr>
                <w:sz w:val="21"/>
                <w:szCs w:val="21"/>
                <w:spacing w:val="-1"/>
              </w:rPr>
              <w:t>渗，设有应急收集池，并连接到污水处理站，NMP储罐为</w:t>
            </w:r>
          </w:p>
          <w:p>
            <w:pPr>
              <w:pStyle w:val="TableText"/>
              <w:ind w:left="116" w:right="125" w:firstLine="79"/>
              <w:spacing w:before="18" w:line="225" w:lineRule="auto"/>
              <w:rPr>
                <w:sz w:val="21"/>
                <w:szCs w:val="21"/>
              </w:rPr>
            </w:pPr>
            <w:r>
              <w:rPr>
                <w:sz w:val="21"/>
                <w:szCs w:val="21"/>
                <w:spacing w:val="2"/>
              </w:rPr>
              <w:t>固定顶储罐，罐体完好，全密闭，通过密闭管道输送</w:t>
            </w:r>
            <w:r>
              <w:rPr>
                <w:sz w:val="21"/>
                <w:szCs w:val="21"/>
              </w:rPr>
              <w:t>NMP</w:t>
            </w:r>
            <w:r>
              <w:rPr>
                <w:sz w:val="21"/>
                <w:szCs w:val="21"/>
                <w:spacing w:val="2"/>
              </w:rPr>
              <w:t>,</w:t>
            </w:r>
            <w:r>
              <w:rPr>
                <w:sz w:val="21"/>
                <w:szCs w:val="21"/>
                <w:spacing w:val="15"/>
              </w:rPr>
              <w:t xml:space="preserve"> </w:t>
            </w:r>
            <w:r>
              <w:rPr>
                <w:sz w:val="21"/>
                <w:szCs w:val="21"/>
              </w:rPr>
              <w:t>NMP</w:t>
            </w:r>
            <w:r>
              <w:rPr>
                <w:sz w:val="21"/>
                <w:szCs w:val="21"/>
                <w:spacing w:val="8"/>
              </w:rPr>
              <w:t>泵房设置气体报警检测仪；</w:t>
            </w:r>
          </w:p>
          <w:p>
            <w:pPr>
              <w:pStyle w:val="TableText"/>
              <w:ind w:left="125" w:right="179" w:firstLine="70"/>
              <w:spacing w:before="19" w:line="229" w:lineRule="auto"/>
              <w:rPr>
                <w:sz w:val="21"/>
                <w:szCs w:val="21"/>
              </w:rPr>
            </w:pPr>
            <w:r>
              <w:rPr>
                <w:sz w:val="21"/>
                <w:szCs w:val="21"/>
              </w:rPr>
              <w:t>2)电解液采用全密闭不锈钢桶，使用过程通过密闭管道传</w:t>
            </w:r>
            <w:r>
              <w:rPr>
                <w:sz w:val="21"/>
                <w:szCs w:val="21"/>
                <w:spacing w:val="9"/>
              </w:rPr>
              <w:t xml:space="preserve"> </w:t>
            </w:r>
            <w:r>
              <w:rPr>
                <w:sz w:val="21"/>
                <w:szCs w:val="21"/>
                <w:spacing w:val="6"/>
              </w:rPr>
              <w:t>输，电解液仓设置气体报警检测仪；</w:t>
            </w:r>
          </w:p>
          <w:p>
            <w:pPr>
              <w:pStyle w:val="TableText"/>
              <w:ind w:left="145"/>
              <w:spacing w:line="219" w:lineRule="auto"/>
              <w:rPr>
                <w:sz w:val="21"/>
                <w:szCs w:val="21"/>
              </w:rPr>
            </w:pPr>
            <w:r>
              <w:rPr>
                <w:sz w:val="21"/>
                <w:szCs w:val="21"/>
                <w:spacing w:val="7"/>
              </w:rPr>
              <w:t>3)电解液仓及</w:t>
            </w:r>
            <w:r>
              <w:rPr>
                <w:sz w:val="21"/>
                <w:szCs w:val="21"/>
              </w:rPr>
              <w:t>NMP</w:t>
            </w:r>
            <w:r>
              <w:rPr>
                <w:sz w:val="21"/>
                <w:szCs w:val="21"/>
                <w:spacing w:val="7"/>
              </w:rPr>
              <w:t>灌区每周检查一次；</w:t>
            </w:r>
          </w:p>
          <w:p>
            <w:pPr>
              <w:pStyle w:val="TableText"/>
              <w:ind w:left="125" w:right="252" w:firstLine="120"/>
              <w:spacing w:before="49" w:line="225" w:lineRule="auto"/>
              <w:rPr>
                <w:sz w:val="21"/>
                <w:szCs w:val="21"/>
              </w:rPr>
            </w:pPr>
            <w:r>
              <w:rPr>
                <w:sz w:val="21"/>
                <w:szCs w:val="21"/>
                <w:spacing w:val="-1"/>
              </w:rPr>
              <w:t>4)污水处理站池体均加盖密闭收集，废气经喷淋+UV氧化</w:t>
            </w:r>
            <w:r>
              <w:rPr>
                <w:sz w:val="21"/>
                <w:szCs w:val="21"/>
                <w:spacing w:val="18"/>
              </w:rPr>
              <w:t xml:space="preserve"> </w:t>
            </w:r>
            <w:r>
              <w:rPr>
                <w:sz w:val="21"/>
                <w:szCs w:val="21"/>
                <w:spacing w:val="8"/>
              </w:rPr>
              <w:t>装置进行处理达标后排放；</w:t>
            </w:r>
          </w:p>
          <w:p>
            <w:pPr>
              <w:pStyle w:val="TableText"/>
              <w:ind w:left="136"/>
              <w:spacing w:before="39" w:line="219" w:lineRule="auto"/>
              <w:rPr>
                <w:sz w:val="21"/>
                <w:szCs w:val="21"/>
              </w:rPr>
            </w:pPr>
            <w:r>
              <w:rPr>
                <w:sz w:val="21"/>
                <w:szCs w:val="21"/>
              </w:rPr>
              <w:t>根据阶段性验收监测结果，厂内监控点非甲烷总烃1小时均</w:t>
            </w:r>
          </w:p>
          <w:p>
            <w:pPr>
              <w:pStyle w:val="TableText"/>
              <w:ind w:left="265" w:right="906" w:hanging="140"/>
              <w:spacing w:before="30" w:line="205" w:lineRule="auto"/>
              <w:rPr>
                <w:sz w:val="21"/>
                <w:szCs w:val="21"/>
              </w:rPr>
            </w:pPr>
            <w:r>
              <w:rPr>
                <w:sz w:val="21"/>
                <w:szCs w:val="21"/>
                <w:spacing w:val="-1"/>
              </w:rPr>
              <w:t>值浓度满足《挥发性有机物无组织排放控制标准》</w:t>
            </w:r>
            <w:r>
              <w:rPr>
                <w:sz w:val="21"/>
                <w:szCs w:val="21"/>
                <w:spacing w:val="4"/>
              </w:rPr>
              <w:t xml:space="preserve"> </w:t>
            </w:r>
            <w:r>
              <w:rPr>
                <w:sz w:val="21"/>
                <w:szCs w:val="21"/>
              </w:rPr>
              <w:t>GB37822-2019)附录A中表1排放限值要求。</w:t>
            </w:r>
          </w:p>
        </w:tc>
        <w:tc>
          <w:tcPr>
            <w:tcW w:w="1904" w:type="dxa"/>
            <w:vAlign w:val="top"/>
          </w:tcPr>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209"/>
              <w:spacing w:before="69" w:line="220" w:lineRule="auto"/>
              <w:rPr>
                <w:sz w:val="21"/>
                <w:szCs w:val="21"/>
              </w:rPr>
            </w:pPr>
            <w:r>
              <w:rPr>
                <w:sz w:val="21"/>
                <w:szCs w:val="21"/>
                <w:spacing w:val="1"/>
              </w:rPr>
              <w:t>已落实批复要求</w:t>
            </w:r>
          </w:p>
        </w:tc>
      </w:tr>
      <w:tr>
        <w:trPr>
          <w:trHeight w:val="4100" w:hRule="atLeast"/>
        </w:trPr>
        <w:tc>
          <w:tcPr>
            <w:tcW w:w="794" w:type="dxa"/>
            <w:vAlign w:val="top"/>
            <w:vMerge w:val="continue"/>
            <w:tcBorders>
              <w:top w:val="nil"/>
            </w:tcBorders>
          </w:tcPr>
          <w:p>
            <w:pPr>
              <w:rPr>
                <w:rFonts w:ascii="Arial"/>
                <w:sz w:val="21"/>
              </w:rPr>
            </w:pPr>
            <w:r/>
          </w:p>
        </w:tc>
        <w:tc>
          <w:tcPr>
            <w:tcW w:w="849" w:type="dxa"/>
            <w:vAlign w:val="top"/>
            <w:vMerge w:val="continue"/>
            <w:tcBorders>
              <w:top w:val="nil"/>
            </w:tcBorders>
          </w:tcPr>
          <w:p>
            <w:pPr>
              <w:rPr>
                <w:rFonts w:ascii="Arial"/>
                <w:sz w:val="21"/>
              </w:rPr>
            </w:pPr>
            <w:r/>
          </w:p>
        </w:tc>
        <w:tc>
          <w:tcPr>
            <w:tcW w:w="4956" w:type="dxa"/>
            <w:vAlign w:val="top"/>
          </w:tcPr>
          <w:p>
            <w:pPr>
              <w:pStyle w:val="TableText"/>
              <w:ind w:left="140" w:right="52" w:hanging="89"/>
              <w:spacing w:before="184" w:line="229" w:lineRule="auto"/>
              <w:rPr>
                <w:sz w:val="21"/>
                <w:szCs w:val="21"/>
              </w:rPr>
            </w:pPr>
            <w:r>
              <w:rPr>
                <w:sz w:val="21"/>
                <w:szCs w:val="21"/>
              </w:rPr>
              <w:t>项目生产车间颗粒物、非甲烷总烃排放执行《电池工</w:t>
            </w:r>
            <w:r>
              <w:rPr>
                <w:sz w:val="21"/>
                <w:szCs w:val="21"/>
                <w:spacing w:val="10"/>
              </w:rPr>
              <w:t xml:space="preserve"> </w:t>
            </w:r>
            <w:r>
              <w:rPr>
                <w:sz w:val="21"/>
                <w:szCs w:val="21"/>
              </w:rPr>
              <w:t>业污染物排放标准》(GB30484-2</w:t>
            </w:r>
            <w:r>
              <w:rPr>
                <w:sz w:val="21"/>
                <w:szCs w:val="21"/>
                <w:spacing w:val="-1"/>
              </w:rPr>
              <w:t>013)表5、表6</w:t>
            </w:r>
          </w:p>
          <w:p>
            <w:pPr>
              <w:pStyle w:val="TableText"/>
              <w:ind w:left="115" w:right="72" w:hanging="64"/>
              <w:spacing w:before="17" w:line="237" w:lineRule="auto"/>
              <w:rPr>
                <w:sz w:val="21"/>
                <w:szCs w:val="21"/>
              </w:rPr>
            </w:pPr>
            <w:r>
              <w:rPr>
                <w:sz w:val="21"/>
                <w:szCs w:val="21"/>
                <w:spacing w:val="-1"/>
              </w:rPr>
              <w:t>排放限值，厂区内监控点非甲烷总烃无组织排放执行</w:t>
            </w:r>
            <w:r>
              <w:rPr>
                <w:sz w:val="21"/>
                <w:szCs w:val="21"/>
                <w:spacing w:val="13"/>
              </w:rPr>
              <w:t xml:space="preserve"> </w:t>
            </w:r>
            <w:r>
              <w:rPr>
                <w:sz w:val="21"/>
                <w:szCs w:val="21"/>
                <w:spacing w:val="-11"/>
              </w:rPr>
              <w:t>《 挥 发</w:t>
            </w:r>
            <w:r>
              <w:rPr>
                <w:sz w:val="21"/>
                <w:szCs w:val="21"/>
                <w:spacing w:val="-10"/>
              </w:rPr>
              <w:t xml:space="preserve"> </w:t>
            </w:r>
            <w:r>
              <w:rPr>
                <w:sz w:val="21"/>
                <w:szCs w:val="21"/>
                <w:spacing w:val="-11"/>
              </w:rPr>
              <w:t>性</w:t>
            </w:r>
            <w:r>
              <w:rPr>
                <w:sz w:val="21"/>
                <w:szCs w:val="21"/>
                <w:spacing w:val="-24"/>
              </w:rPr>
              <w:t xml:space="preserve"> </w:t>
            </w:r>
            <w:r>
              <w:rPr>
                <w:sz w:val="21"/>
                <w:szCs w:val="21"/>
                <w:spacing w:val="-11"/>
              </w:rPr>
              <w:t>有</w:t>
            </w:r>
            <w:r>
              <w:rPr>
                <w:sz w:val="21"/>
                <w:szCs w:val="21"/>
                <w:spacing w:val="-25"/>
              </w:rPr>
              <w:t xml:space="preserve"> </w:t>
            </w:r>
            <w:r>
              <w:rPr>
                <w:sz w:val="21"/>
                <w:szCs w:val="21"/>
                <w:spacing w:val="-11"/>
              </w:rPr>
              <w:t>机</w:t>
            </w:r>
            <w:r>
              <w:rPr>
                <w:sz w:val="21"/>
                <w:szCs w:val="21"/>
                <w:spacing w:val="-24"/>
              </w:rPr>
              <w:t xml:space="preserve"> </w:t>
            </w:r>
            <w:r>
              <w:rPr>
                <w:sz w:val="21"/>
                <w:szCs w:val="21"/>
                <w:spacing w:val="-11"/>
              </w:rPr>
              <w:t>物</w:t>
            </w:r>
            <w:r>
              <w:rPr>
                <w:sz w:val="21"/>
                <w:szCs w:val="21"/>
                <w:spacing w:val="-23"/>
              </w:rPr>
              <w:t xml:space="preserve"> </w:t>
            </w:r>
            <w:r>
              <w:rPr>
                <w:sz w:val="21"/>
                <w:szCs w:val="21"/>
                <w:spacing w:val="-11"/>
              </w:rPr>
              <w:t>无</w:t>
            </w:r>
            <w:r>
              <w:rPr>
                <w:sz w:val="21"/>
                <w:szCs w:val="21"/>
                <w:spacing w:val="-22"/>
              </w:rPr>
              <w:t xml:space="preserve"> </w:t>
            </w:r>
            <w:r>
              <w:rPr>
                <w:sz w:val="21"/>
                <w:szCs w:val="21"/>
                <w:spacing w:val="-11"/>
              </w:rPr>
              <w:t>组</w:t>
            </w:r>
            <w:r>
              <w:rPr>
                <w:sz w:val="21"/>
                <w:szCs w:val="21"/>
                <w:spacing w:val="-21"/>
              </w:rPr>
              <w:t xml:space="preserve"> </w:t>
            </w:r>
            <w:r>
              <w:rPr>
                <w:sz w:val="21"/>
                <w:szCs w:val="21"/>
                <w:spacing w:val="-11"/>
              </w:rPr>
              <w:t>织</w:t>
            </w:r>
            <w:r>
              <w:rPr>
                <w:sz w:val="21"/>
                <w:szCs w:val="21"/>
                <w:spacing w:val="-25"/>
              </w:rPr>
              <w:t xml:space="preserve"> </w:t>
            </w:r>
            <w:r>
              <w:rPr>
                <w:sz w:val="21"/>
                <w:szCs w:val="21"/>
                <w:spacing w:val="-11"/>
              </w:rPr>
              <w:t>排</w:t>
            </w:r>
            <w:r>
              <w:rPr>
                <w:sz w:val="21"/>
                <w:szCs w:val="21"/>
                <w:spacing w:val="-24"/>
              </w:rPr>
              <w:t xml:space="preserve"> </w:t>
            </w:r>
            <w:r>
              <w:rPr>
                <w:sz w:val="21"/>
                <w:szCs w:val="21"/>
                <w:spacing w:val="-11"/>
              </w:rPr>
              <w:t>放</w:t>
            </w:r>
            <w:r>
              <w:rPr>
                <w:sz w:val="21"/>
                <w:szCs w:val="21"/>
                <w:spacing w:val="-26"/>
              </w:rPr>
              <w:t xml:space="preserve"> </w:t>
            </w:r>
            <w:r>
              <w:rPr>
                <w:sz w:val="21"/>
                <w:szCs w:val="21"/>
                <w:spacing w:val="-11"/>
              </w:rPr>
              <w:t>控</w:t>
            </w:r>
            <w:r>
              <w:rPr>
                <w:sz w:val="21"/>
                <w:szCs w:val="21"/>
                <w:spacing w:val="-23"/>
              </w:rPr>
              <w:t xml:space="preserve"> </w:t>
            </w:r>
            <w:r>
              <w:rPr>
                <w:sz w:val="21"/>
                <w:szCs w:val="21"/>
                <w:spacing w:val="-11"/>
              </w:rPr>
              <w:t>制</w:t>
            </w:r>
            <w:r>
              <w:rPr>
                <w:sz w:val="21"/>
                <w:szCs w:val="21"/>
                <w:spacing w:val="-24"/>
              </w:rPr>
              <w:t xml:space="preserve"> </w:t>
            </w:r>
            <w:r>
              <w:rPr>
                <w:sz w:val="21"/>
                <w:szCs w:val="21"/>
                <w:spacing w:val="-11"/>
              </w:rPr>
              <w:t>标</w:t>
            </w:r>
            <w:r>
              <w:rPr>
                <w:sz w:val="21"/>
                <w:szCs w:val="21"/>
                <w:spacing w:val="-23"/>
              </w:rPr>
              <w:t xml:space="preserve"> </w:t>
            </w:r>
            <w:r>
              <w:rPr>
                <w:sz w:val="21"/>
                <w:szCs w:val="21"/>
                <w:spacing w:val="-11"/>
              </w:rPr>
              <w:t>准 》</w:t>
            </w:r>
          </w:p>
          <w:p>
            <w:pPr>
              <w:pStyle w:val="TableText"/>
              <w:ind w:left="261"/>
              <w:spacing w:before="20" w:line="219" w:lineRule="auto"/>
              <w:rPr>
                <w:sz w:val="21"/>
                <w:szCs w:val="21"/>
              </w:rPr>
            </w:pPr>
            <w:r>
              <w:rPr>
                <w:sz w:val="21"/>
                <w:szCs w:val="21"/>
              </w:rPr>
              <w:t>(GB37822-2019)附录A中表A.1标准；锅炉废气排</w:t>
            </w:r>
          </w:p>
          <w:p>
            <w:pPr>
              <w:pStyle w:val="TableText"/>
              <w:ind w:left="101" w:right="18" w:hanging="50"/>
              <w:spacing w:before="12" w:line="228" w:lineRule="auto"/>
              <w:rPr>
                <w:sz w:val="21"/>
                <w:szCs w:val="21"/>
              </w:rPr>
            </w:pPr>
            <w:r>
              <w:rPr>
                <w:sz w:val="21"/>
                <w:szCs w:val="21"/>
                <w:spacing w:val="1"/>
              </w:rPr>
              <w:t>放执行《锅炉大气污染物排放标准》(</w:t>
            </w:r>
            <w:r>
              <w:rPr>
                <w:sz w:val="21"/>
                <w:szCs w:val="21"/>
              </w:rPr>
              <w:t>GB</w:t>
            </w:r>
            <w:r>
              <w:rPr>
                <w:sz w:val="21"/>
                <w:szCs w:val="21"/>
                <w:spacing w:val="1"/>
              </w:rPr>
              <w:t>13271-2014)</w:t>
            </w:r>
            <w:r>
              <w:rPr>
                <w:sz w:val="21"/>
                <w:szCs w:val="21"/>
                <w:spacing w:val="16"/>
              </w:rPr>
              <w:t xml:space="preserve"> </w:t>
            </w:r>
            <w:r>
              <w:rPr>
                <w:sz w:val="21"/>
                <w:szCs w:val="21"/>
              </w:rPr>
              <w:t>表中2中燃气锅炉排放限值；厂内污水处理站恶臭气</w:t>
            </w:r>
          </w:p>
          <w:p>
            <w:pPr>
              <w:pStyle w:val="TableText"/>
              <w:ind w:left="131" w:right="118" w:firstLine="29"/>
              <w:spacing w:before="42" w:line="228" w:lineRule="auto"/>
              <w:rPr>
                <w:sz w:val="21"/>
                <w:szCs w:val="21"/>
              </w:rPr>
            </w:pPr>
            <w:r>
              <w:rPr>
                <w:sz w:val="21"/>
                <w:szCs w:val="21"/>
                <w:spacing w:val="1"/>
              </w:rPr>
              <w:t>体排放执行《恶臭污染物排放标准》(</w:t>
            </w:r>
            <w:r>
              <w:rPr>
                <w:sz w:val="21"/>
                <w:szCs w:val="21"/>
              </w:rPr>
              <w:t>GB</w:t>
            </w:r>
            <w:r>
              <w:rPr>
                <w:sz w:val="21"/>
                <w:szCs w:val="21"/>
                <w:spacing w:val="1"/>
              </w:rPr>
              <w:t>14554-93)</w:t>
            </w:r>
            <w:r>
              <w:rPr>
                <w:sz w:val="21"/>
                <w:szCs w:val="21"/>
                <w:spacing w:val="18"/>
              </w:rPr>
              <w:t xml:space="preserve"> </w:t>
            </w:r>
            <w:r>
              <w:rPr>
                <w:sz w:val="21"/>
                <w:szCs w:val="21"/>
                <w:spacing w:val="1"/>
              </w:rPr>
              <w:t>中表2标准，厂界无组织排放的恶臭气体执行</w:t>
            </w:r>
            <w:r>
              <w:rPr>
                <w:sz w:val="21"/>
                <w:szCs w:val="21"/>
              </w:rPr>
              <w:t>表1</w:t>
            </w:r>
          </w:p>
          <w:p>
            <w:pPr>
              <w:pStyle w:val="TableText"/>
              <w:ind w:left="51"/>
              <w:spacing w:before="21" w:line="219" w:lineRule="auto"/>
              <w:rPr>
                <w:sz w:val="21"/>
                <w:szCs w:val="21"/>
              </w:rPr>
            </w:pPr>
            <w:r>
              <w:rPr>
                <w:sz w:val="21"/>
                <w:szCs w:val="21"/>
              </w:rPr>
              <w:t>中二级新改扩建标准值；食堂油烟废气排放执行《饮</w:t>
            </w:r>
          </w:p>
          <w:p>
            <w:pPr>
              <w:pStyle w:val="TableText"/>
              <w:ind w:left="51" w:right="73" w:firstLine="159"/>
              <w:spacing w:before="21" w:line="236" w:lineRule="auto"/>
              <w:rPr>
                <w:sz w:val="21"/>
                <w:szCs w:val="21"/>
              </w:rPr>
            </w:pPr>
            <w:r>
              <w:rPr>
                <w:sz w:val="21"/>
                <w:szCs w:val="21"/>
              </w:rPr>
              <w:t>食业油烟排放标准(试行)》(GB18483-2001)表2中</w:t>
            </w:r>
            <w:r>
              <w:rPr>
                <w:sz w:val="21"/>
                <w:szCs w:val="21"/>
                <w:spacing w:val="8"/>
              </w:rPr>
              <w:t xml:space="preserve">  </w:t>
            </w:r>
            <w:r>
              <w:rPr>
                <w:sz w:val="21"/>
                <w:szCs w:val="21"/>
                <w:spacing w:val="-1"/>
              </w:rPr>
              <w:t>标准；焚烧炉废气中颗粒物和氮氧化物排放执行《大</w:t>
            </w:r>
          </w:p>
          <w:p>
            <w:pPr>
              <w:pStyle w:val="TableText"/>
              <w:ind w:left="122" w:right="228" w:firstLine="89"/>
              <w:spacing w:before="24" w:line="224" w:lineRule="auto"/>
              <w:rPr>
                <w:sz w:val="21"/>
                <w:szCs w:val="21"/>
              </w:rPr>
            </w:pPr>
            <w:r>
              <w:rPr>
                <w:sz w:val="21"/>
                <w:szCs w:val="21"/>
                <w:spacing w:val="-6"/>
              </w:rPr>
              <w:t>气污染物综合排放标准》</w:t>
            </w:r>
            <w:r>
              <w:rPr>
                <w:sz w:val="21"/>
                <w:szCs w:val="21"/>
                <w:spacing w:val="17"/>
              </w:rPr>
              <w:t xml:space="preserve">   </w:t>
            </w:r>
            <w:r>
              <w:rPr>
                <w:sz w:val="21"/>
                <w:szCs w:val="21"/>
                <w:spacing w:val="-6"/>
              </w:rPr>
              <w:t>(GB16297-1996)中表2</w:t>
            </w:r>
            <w:r>
              <w:rPr>
                <w:sz w:val="21"/>
                <w:szCs w:val="21"/>
                <w:spacing w:val="1"/>
              </w:rPr>
              <w:t xml:space="preserve"> </w:t>
            </w:r>
            <w:r>
              <w:rPr>
                <w:sz w:val="21"/>
                <w:szCs w:val="21"/>
                <w:spacing w:val="-1"/>
              </w:rPr>
              <w:t>二级标准。</w:t>
            </w:r>
          </w:p>
        </w:tc>
        <w:tc>
          <w:tcPr>
            <w:tcW w:w="5646" w:type="dxa"/>
            <w:vAlign w:val="top"/>
          </w:tcPr>
          <w:p>
            <w:pPr>
              <w:pStyle w:val="TableText"/>
              <w:ind w:left="145"/>
              <w:spacing w:before="43" w:line="219" w:lineRule="auto"/>
              <w:rPr>
                <w:sz w:val="21"/>
                <w:szCs w:val="21"/>
              </w:rPr>
            </w:pPr>
            <w:r>
              <w:rPr>
                <w:sz w:val="21"/>
                <w:szCs w:val="21"/>
                <w:spacing w:val="2"/>
              </w:rPr>
              <w:t>1)有机废气</w:t>
            </w:r>
          </w:p>
          <w:p>
            <w:pPr>
              <w:pStyle w:val="TableText"/>
              <w:ind w:left="136"/>
              <w:spacing w:before="32" w:line="219" w:lineRule="auto"/>
              <w:rPr>
                <w:sz w:val="21"/>
                <w:szCs w:val="21"/>
              </w:rPr>
            </w:pPr>
            <w:r>
              <w:rPr>
                <w:sz w:val="21"/>
                <w:szCs w:val="21"/>
              </w:rPr>
              <w:t>阶段性验收监测期间，NMP转轮回收装置排放口、真空泵</w:t>
            </w:r>
          </w:p>
          <w:p>
            <w:pPr>
              <w:pStyle w:val="TableText"/>
              <w:ind w:left="86"/>
              <w:spacing w:before="20" w:line="219" w:lineRule="auto"/>
              <w:rPr>
                <w:sz w:val="21"/>
                <w:szCs w:val="21"/>
              </w:rPr>
            </w:pPr>
            <w:r>
              <w:rPr>
                <w:sz w:val="21"/>
                <w:szCs w:val="21"/>
                <w:spacing w:val="-1"/>
              </w:rPr>
              <w:t>尾气处理、注液尾气处理设施排放口非甲烷总烃满足《电池</w:t>
            </w:r>
          </w:p>
          <w:p>
            <w:pPr>
              <w:pStyle w:val="TableText"/>
              <w:ind w:left="125" w:right="255" w:firstLine="120"/>
              <w:spacing w:before="22" w:line="232" w:lineRule="auto"/>
              <w:rPr>
                <w:sz w:val="21"/>
                <w:szCs w:val="21"/>
              </w:rPr>
            </w:pPr>
            <w:r>
              <w:rPr>
                <w:sz w:val="21"/>
                <w:szCs w:val="21"/>
              </w:rPr>
              <w:t>工业污染物排放标准》(GB30484-2</w:t>
            </w:r>
            <w:r>
              <w:rPr>
                <w:sz w:val="21"/>
                <w:szCs w:val="21"/>
                <w:spacing w:val="-1"/>
              </w:rPr>
              <w:t>013)表5规定的排放限</w:t>
            </w:r>
            <w:r>
              <w:rPr>
                <w:sz w:val="21"/>
                <w:szCs w:val="21"/>
              </w:rPr>
              <w:t xml:space="preserve"> </w:t>
            </w:r>
            <w:r>
              <w:rPr>
                <w:sz w:val="21"/>
                <w:szCs w:val="21"/>
                <w:spacing w:val="20"/>
              </w:rPr>
              <w:t>值的要求；</w:t>
            </w:r>
          </w:p>
          <w:p>
            <w:pPr>
              <w:pStyle w:val="TableText"/>
              <w:ind w:left="105"/>
              <w:spacing w:before="1" w:line="220" w:lineRule="auto"/>
              <w:rPr>
                <w:sz w:val="21"/>
                <w:szCs w:val="21"/>
              </w:rPr>
            </w:pPr>
            <w:r>
              <w:rPr>
                <w:sz w:val="21"/>
                <w:szCs w:val="21"/>
                <w:spacing w:val="2"/>
              </w:rPr>
              <w:t>2)锅炉废气</w:t>
            </w:r>
          </w:p>
          <w:p>
            <w:pPr>
              <w:pStyle w:val="TableText"/>
              <w:ind w:left="135" w:hanging="49"/>
              <w:spacing w:before="27" w:line="237" w:lineRule="auto"/>
              <w:rPr>
                <w:sz w:val="21"/>
                <w:szCs w:val="21"/>
              </w:rPr>
            </w:pPr>
            <w:r>
              <w:rPr>
                <w:sz w:val="21"/>
                <w:szCs w:val="21"/>
                <w:spacing w:val="3"/>
              </w:rPr>
              <w:t>阶段性验收监测期间，锅炉废气出口中颗粒物、二氧化硫、</w:t>
            </w:r>
            <w:r>
              <w:rPr>
                <w:sz w:val="21"/>
                <w:szCs w:val="21"/>
                <w:spacing w:val="10"/>
              </w:rPr>
              <w:t xml:space="preserve"> </w:t>
            </w:r>
            <w:r>
              <w:rPr>
                <w:sz w:val="21"/>
                <w:szCs w:val="21"/>
                <w:spacing w:val="-1"/>
              </w:rPr>
              <w:t>氮氧化物、烟气黑度，均满足《锅炉大气污染物排放</w:t>
            </w:r>
            <w:r>
              <w:rPr>
                <w:sz w:val="21"/>
                <w:szCs w:val="21"/>
                <w:spacing w:val="-2"/>
              </w:rPr>
              <w:t>标准》</w:t>
            </w:r>
          </w:p>
          <w:p>
            <w:pPr>
              <w:pStyle w:val="TableText"/>
              <w:ind w:left="266"/>
              <w:spacing w:before="12" w:line="280" w:lineRule="exact"/>
              <w:rPr>
                <w:sz w:val="21"/>
                <w:szCs w:val="21"/>
              </w:rPr>
            </w:pPr>
            <w:r>
              <w:rPr>
                <w:sz w:val="21"/>
                <w:szCs w:val="21"/>
                <w:position w:val="4"/>
              </w:rPr>
              <w:t>(GB13271-2014)表2标准限值要求。</w:t>
            </w:r>
          </w:p>
          <w:p>
            <w:pPr>
              <w:pStyle w:val="TableText"/>
              <w:ind w:left="136"/>
              <w:spacing w:before="1" w:line="219" w:lineRule="auto"/>
              <w:rPr>
                <w:sz w:val="21"/>
                <w:szCs w:val="21"/>
              </w:rPr>
            </w:pPr>
            <w:r>
              <w:rPr>
                <w:sz w:val="21"/>
                <w:szCs w:val="21"/>
                <w:spacing w:val="1"/>
              </w:rPr>
              <w:t>3)污水处理站废气</w:t>
            </w:r>
          </w:p>
          <w:p>
            <w:pPr>
              <w:pStyle w:val="TableText"/>
              <w:ind w:left="86"/>
              <w:spacing w:before="41" w:line="219" w:lineRule="auto"/>
              <w:rPr>
                <w:sz w:val="21"/>
                <w:szCs w:val="21"/>
              </w:rPr>
            </w:pPr>
            <w:r>
              <w:rPr>
                <w:sz w:val="21"/>
                <w:szCs w:val="21"/>
              </w:rPr>
              <w:t>阶段性验收监测期间，污水处理站废气处理设施出口硫化氢</w:t>
            </w:r>
          </w:p>
          <w:p>
            <w:pPr>
              <w:pStyle w:val="TableText"/>
              <w:ind w:left="86"/>
              <w:spacing w:before="10" w:line="219" w:lineRule="auto"/>
              <w:rPr>
                <w:sz w:val="21"/>
                <w:szCs w:val="21"/>
              </w:rPr>
            </w:pPr>
            <w:r>
              <w:rPr>
                <w:sz w:val="21"/>
                <w:szCs w:val="21"/>
                <w:spacing w:val="-1"/>
              </w:rPr>
              <w:t>平均排放速率、氨平均排放速率、臭气排放浓度最大值均满</w:t>
            </w:r>
          </w:p>
          <w:p>
            <w:pPr>
              <w:pStyle w:val="TableText"/>
              <w:ind w:left="246"/>
              <w:spacing w:before="21" w:line="219" w:lineRule="auto"/>
              <w:rPr>
                <w:sz w:val="21"/>
                <w:szCs w:val="21"/>
              </w:rPr>
            </w:pPr>
            <w:r>
              <w:rPr>
                <w:sz w:val="21"/>
                <w:szCs w:val="21"/>
                <w:spacing w:val="-1"/>
              </w:rPr>
              <w:t>足《恶臭污染物排放标准》(GB14554-93)表2恶臭污染物</w:t>
            </w:r>
          </w:p>
          <w:p>
            <w:pPr>
              <w:pStyle w:val="TableText"/>
              <w:ind w:left="125"/>
              <w:spacing w:before="40" w:line="221" w:lineRule="auto"/>
              <w:rPr>
                <w:sz w:val="21"/>
                <w:szCs w:val="21"/>
              </w:rPr>
            </w:pPr>
            <w:r>
              <w:rPr>
                <w:sz w:val="21"/>
                <w:szCs w:val="21"/>
                <w:spacing w:val="-1"/>
              </w:rPr>
              <w:t>排放限值的要求。</w:t>
            </w:r>
          </w:p>
          <w:p>
            <w:pPr>
              <w:pStyle w:val="TableText"/>
              <w:ind w:left="136"/>
              <w:spacing w:before="1" w:line="197" w:lineRule="auto"/>
              <w:rPr>
                <w:sz w:val="21"/>
                <w:szCs w:val="21"/>
              </w:rPr>
            </w:pPr>
            <w:r>
              <w:rPr>
                <w:sz w:val="21"/>
                <w:szCs w:val="21"/>
                <w:spacing w:val="1"/>
              </w:rPr>
              <w:t>4)食堂油烟废气</w:t>
            </w:r>
          </w:p>
        </w:tc>
        <w:tc>
          <w:tcPr>
            <w:tcW w:w="1904" w:type="dxa"/>
            <w:vAlign w:val="top"/>
          </w:tcPr>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209"/>
              <w:spacing w:before="68" w:line="220" w:lineRule="auto"/>
              <w:rPr>
                <w:sz w:val="21"/>
                <w:szCs w:val="21"/>
              </w:rPr>
            </w:pPr>
            <w:r>
              <w:rPr>
                <w:sz w:val="21"/>
                <w:szCs w:val="21"/>
                <w:spacing w:val="1"/>
              </w:rPr>
              <w:t>已落实批复要求</w:t>
            </w:r>
          </w:p>
        </w:tc>
      </w:tr>
    </w:tbl>
    <w:p>
      <w:pPr>
        <w:rPr>
          <w:rFonts w:ascii="Arial"/>
          <w:sz w:val="21"/>
        </w:rPr>
      </w:pPr>
      <w:r/>
    </w:p>
    <w:p>
      <w:pPr>
        <w:sectPr>
          <w:footerReference w:type="default" r:id="rId64"/>
          <w:pgSz w:w="16840" w:h="11900"/>
          <w:pgMar w:top="1011" w:right="1354" w:bottom="978" w:left="1325" w:header="0" w:footer="839" w:gutter="0"/>
        </w:sectPr>
        <w:rPr>
          <w:rFonts w:ascii="Arial" w:hAnsi="Arial" w:eastAsia="Arial" w:cs="Arial"/>
          <w:sz w:val="21"/>
          <w:szCs w:val="21"/>
        </w:rPr>
      </w:pPr>
    </w:p>
    <w:p>
      <w:pPr>
        <w:spacing w:before="115"/>
        <w:rPr/>
      </w:pPr>
      <w:r/>
    </w:p>
    <w:p>
      <w:pPr>
        <w:spacing w:before="115"/>
        <w:rPr/>
      </w:pPr>
      <w:r/>
    </w:p>
    <w:tbl>
      <w:tblPr>
        <w:tblStyle w:val="TableNormal"/>
        <w:tblW w:w="141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94"/>
        <w:gridCol w:w="849"/>
        <w:gridCol w:w="4956"/>
        <w:gridCol w:w="5646"/>
        <w:gridCol w:w="1904"/>
      </w:tblGrid>
      <w:tr>
        <w:trPr>
          <w:trHeight w:val="2192" w:hRule="atLeast"/>
        </w:trPr>
        <w:tc>
          <w:tcPr>
            <w:tcW w:w="794" w:type="dxa"/>
            <w:vAlign w:val="top"/>
            <w:vMerge w:val="restart"/>
            <w:tcBorders>
              <w:bottom w:val="nil"/>
            </w:tcBorders>
          </w:tcPr>
          <w:p>
            <w:pPr>
              <w:rPr>
                <w:rFonts w:ascii="Arial"/>
                <w:sz w:val="21"/>
              </w:rPr>
            </w:pPr>
            <w:r/>
          </w:p>
        </w:tc>
        <w:tc>
          <w:tcPr>
            <w:tcW w:w="849" w:type="dxa"/>
            <w:vAlign w:val="top"/>
          </w:tcPr>
          <w:p>
            <w:pPr>
              <w:rPr>
                <w:rFonts w:ascii="Arial"/>
                <w:sz w:val="21"/>
              </w:rPr>
            </w:pPr>
            <w:r/>
          </w:p>
        </w:tc>
        <w:tc>
          <w:tcPr>
            <w:tcW w:w="4956" w:type="dxa"/>
            <w:vAlign w:val="top"/>
          </w:tcPr>
          <w:p>
            <w:pPr>
              <w:rPr>
                <w:rFonts w:ascii="Arial"/>
                <w:sz w:val="21"/>
              </w:rPr>
            </w:pPr>
            <w:r/>
          </w:p>
        </w:tc>
        <w:tc>
          <w:tcPr>
            <w:tcW w:w="5646" w:type="dxa"/>
            <w:vAlign w:val="top"/>
          </w:tcPr>
          <w:p>
            <w:pPr>
              <w:pStyle w:val="TableText"/>
              <w:ind w:left="216"/>
              <w:spacing w:before="43" w:line="219" w:lineRule="auto"/>
              <w:rPr>
                <w:sz w:val="20"/>
                <w:szCs w:val="20"/>
              </w:rPr>
            </w:pPr>
            <w:r>
              <w:rPr>
                <w:sz w:val="20"/>
                <w:szCs w:val="20"/>
              </w:rPr>
              <w:t>阶段性验收监测期间，食堂油烟废气处理设施出口油烟均满</w:t>
            </w:r>
          </w:p>
          <w:p>
            <w:pPr>
              <w:pStyle w:val="TableText"/>
              <w:ind w:left="125" w:right="689" w:firstLine="10"/>
              <w:spacing w:before="33" w:line="229" w:lineRule="auto"/>
              <w:rPr>
                <w:sz w:val="20"/>
                <w:szCs w:val="20"/>
              </w:rPr>
            </w:pPr>
            <w:r>
              <w:rPr>
                <w:sz w:val="20"/>
                <w:szCs w:val="20"/>
              </w:rPr>
              <w:t>足《饮食业油烟排放标准》(试行)GB 18483-2001表2限</w:t>
            </w:r>
            <w:r>
              <w:rPr>
                <w:sz w:val="20"/>
                <w:szCs w:val="20"/>
                <w:spacing w:val="9"/>
              </w:rPr>
              <w:t xml:space="preserve"> </w:t>
            </w:r>
            <w:r>
              <w:rPr>
                <w:sz w:val="20"/>
                <w:szCs w:val="20"/>
              </w:rPr>
              <w:t>值要求。</w:t>
            </w:r>
          </w:p>
          <w:p>
            <w:pPr>
              <w:pStyle w:val="TableText"/>
              <w:ind w:left="116"/>
              <w:spacing w:before="51" w:line="219" w:lineRule="auto"/>
              <w:rPr>
                <w:sz w:val="20"/>
                <w:szCs w:val="20"/>
              </w:rPr>
            </w:pPr>
            <w:r>
              <w:rPr>
                <w:sz w:val="20"/>
                <w:szCs w:val="20"/>
                <w:spacing w:val="1"/>
              </w:rPr>
              <w:t>5)焚烧塔废气</w:t>
            </w:r>
          </w:p>
          <w:p>
            <w:pPr>
              <w:pStyle w:val="TableText"/>
              <w:ind w:left="216" w:right="227"/>
              <w:spacing w:before="43" w:line="229" w:lineRule="auto"/>
              <w:rPr>
                <w:sz w:val="20"/>
                <w:szCs w:val="20"/>
              </w:rPr>
            </w:pPr>
            <w:r>
              <w:rPr>
                <w:sz w:val="20"/>
                <w:szCs w:val="20"/>
                <w:spacing w:val="-1"/>
              </w:rPr>
              <w:t>依托一期工程，根据一期工程验收监测，焚烧塔废气出口颗</w:t>
            </w:r>
            <w:r>
              <w:rPr>
                <w:sz w:val="20"/>
                <w:szCs w:val="20"/>
                <w:spacing w:val="15"/>
              </w:rPr>
              <w:t xml:space="preserve"> </w:t>
            </w:r>
            <w:r>
              <w:rPr>
                <w:sz w:val="20"/>
                <w:szCs w:val="20"/>
                <w:spacing w:val="-1"/>
              </w:rPr>
              <w:t>粒物、二氧化硫、氮氧化物、非甲烷总烃均满足《大气污染</w:t>
            </w:r>
          </w:p>
          <w:p>
            <w:pPr>
              <w:pStyle w:val="TableText"/>
              <w:ind w:left="125" w:right="817"/>
              <w:spacing w:before="64" w:line="221" w:lineRule="auto"/>
              <w:rPr>
                <w:sz w:val="20"/>
                <w:szCs w:val="20"/>
              </w:rPr>
            </w:pPr>
            <w:r>
              <w:rPr>
                <w:sz w:val="20"/>
                <w:szCs w:val="20"/>
              </w:rPr>
              <w:t>物综合排放标准》(GB16297-1996)</w:t>
            </w:r>
            <w:r>
              <w:rPr>
                <w:sz w:val="20"/>
                <w:szCs w:val="20"/>
                <w:spacing w:val="-1"/>
              </w:rPr>
              <w:t>表2新污染源大气污</w:t>
            </w:r>
            <w:r>
              <w:rPr>
                <w:sz w:val="20"/>
                <w:szCs w:val="20"/>
              </w:rPr>
              <w:t xml:space="preserve"> </w:t>
            </w:r>
            <w:r>
              <w:rPr>
                <w:sz w:val="20"/>
                <w:szCs w:val="20"/>
              </w:rPr>
              <w:t>染物排放限值的要求。</w:t>
            </w:r>
          </w:p>
        </w:tc>
        <w:tc>
          <w:tcPr>
            <w:tcW w:w="1904" w:type="dxa"/>
            <w:vAlign w:val="top"/>
          </w:tcPr>
          <w:p>
            <w:pPr>
              <w:rPr>
                <w:rFonts w:ascii="Arial"/>
                <w:sz w:val="21"/>
              </w:rPr>
            </w:pPr>
            <w:r/>
          </w:p>
        </w:tc>
      </w:tr>
      <w:tr>
        <w:trPr>
          <w:trHeight w:val="1638" w:hRule="atLeast"/>
        </w:trPr>
        <w:tc>
          <w:tcPr>
            <w:tcW w:w="794" w:type="dxa"/>
            <w:vAlign w:val="top"/>
            <w:vMerge w:val="continue"/>
            <w:tcBorders>
              <w:top w:val="nil"/>
              <w:bottom w:val="nil"/>
            </w:tcBorders>
          </w:tcPr>
          <w:p>
            <w:pPr>
              <w:rPr>
                <w:rFonts w:ascii="Arial"/>
                <w:sz w:val="21"/>
              </w:rPr>
            </w:pPr>
            <w:r/>
          </w:p>
        </w:tc>
        <w:tc>
          <w:tcPr>
            <w:tcW w:w="849" w:type="dxa"/>
            <w:vAlign w:val="top"/>
          </w:tcPr>
          <w:p>
            <w:pPr>
              <w:pStyle w:val="TableText"/>
              <w:ind w:left="310"/>
              <w:spacing w:before="24" w:line="222" w:lineRule="auto"/>
              <w:rPr>
                <w:sz w:val="20"/>
                <w:szCs w:val="20"/>
              </w:rPr>
            </w:pPr>
            <w:r>
              <w:rPr>
                <w:sz w:val="20"/>
                <w:szCs w:val="20"/>
              </w:rPr>
              <w:t>四</w:t>
            </w:r>
          </w:p>
        </w:tc>
        <w:tc>
          <w:tcPr>
            <w:tcW w:w="4956" w:type="dxa"/>
            <w:vAlign w:val="top"/>
          </w:tcPr>
          <w:p>
            <w:pPr>
              <w:pStyle w:val="TableText"/>
              <w:ind w:left="171" w:right="139"/>
              <w:spacing w:before="29" w:line="249" w:lineRule="auto"/>
              <w:jc w:val="both"/>
              <w:rPr>
                <w:sz w:val="20"/>
                <w:szCs w:val="20"/>
              </w:rPr>
            </w:pPr>
            <w:r>
              <w:rPr>
                <w:sz w:val="20"/>
                <w:szCs w:val="20"/>
                <w:spacing w:val="-1"/>
              </w:rPr>
              <w:t>严格落实噪声污染防治措施。合理优化厂区布局，选</w:t>
            </w:r>
            <w:r>
              <w:rPr>
                <w:sz w:val="20"/>
                <w:szCs w:val="20"/>
                <w:spacing w:val="13"/>
              </w:rPr>
              <w:t xml:space="preserve"> </w:t>
            </w:r>
            <w:r>
              <w:rPr>
                <w:sz w:val="20"/>
                <w:szCs w:val="20"/>
                <w:spacing w:val="-1"/>
              </w:rPr>
              <w:t>用低噪声设备，并采取隔声、消声、减震措施，厂界</w:t>
            </w:r>
            <w:r>
              <w:rPr>
                <w:sz w:val="20"/>
                <w:szCs w:val="20"/>
                <w:spacing w:val="12"/>
              </w:rPr>
              <w:t xml:space="preserve"> </w:t>
            </w:r>
            <w:r>
              <w:rPr>
                <w:sz w:val="20"/>
                <w:szCs w:val="20"/>
                <w:spacing w:val="1"/>
              </w:rPr>
              <w:t>环境噪声应达到《工业企业厂界环境噪声排放标准》</w:t>
            </w:r>
            <w:r>
              <w:rPr>
                <w:sz w:val="20"/>
                <w:szCs w:val="20"/>
                <w:spacing w:val="10"/>
              </w:rPr>
              <w:t xml:space="preserve"> </w:t>
            </w:r>
            <w:r>
              <w:rPr>
                <w:sz w:val="20"/>
                <w:szCs w:val="20"/>
              </w:rPr>
              <w:t>GB</w:t>
            </w:r>
            <w:r>
              <w:rPr>
                <w:sz w:val="20"/>
                <w:szCs w:val="20"/>
                <w:spacing w:val="3"/>
              </w:rPr>
              <w:t>12348-2008)中的3类标准，且应确保石</w:t>
            </w:r>
            <w:r>
              <w:rPr>
                <w:sz w:val="20"/>
                <w:szCs w:val="20"/>
                <w:spacing w:val="2"/>
              </w:rPr>
              <w:t>雷洋</w:t>
            </w:r>
          </w:p>
          <w:p>
            <w:pPr>
              <w:pStyle w:val="TableText"/>
              <w:ind w:left="161" w:right="182" w:firstLine="9"/>
              <w:spacing w:before="22" w:line="225" w:lineRule="auto"/>
              <w:rPr>
                <w:sz w:val="20"/>
                <w:szCs w:val="20"/>
              </w:rPr>
            </w:pPr>
            <w:r>
              <w:rPr>
                <w:sz w:val="20"/>
                <w:szCs w:val="20"/>
                <w:spacing w:val="-1"/>
              </w:rPr>
              <w:t>村和大沙村等周边村庄的声环境满足《声环境质量标</w:t>
            </w:r>
            <w:r>
              <w:rPr>
                <w:sz w:val="20"/>
                <w:szCs w:val="20"/>
                <w:spacing w:val="13"/>
              </w:rPr>
              <w:t xml:space="preserve"> </w:t>
            </w:r>
            <w:r>
              <w:rPr>
                <w:sz w:val="20"/>
                <w:szCs w:val="20"/>
                <w:spacing w:val="-4"/>
              </w:rPr>
              <w:t>准》   (GB3096-2008)2类标准要求。</w:t>
            </w:r>
          </w:p>
        </w:tc>
        <w:tc>
          <w:tcPr>
            <w:tcW w:w="5646" w:type="dxa"/>
            <w:vAlign w:val="top"/>
          </w:tcPr>
          <w:p>
            <w:pPr>
              <w:pStyle w:val="TableText"/>
              <w:ind w:left="216"/>
              <w:spacing w:before="190" w:line="219" w:lineRule="auto"/>
              <w:rPr>
                <w:sz w:val="20"/>
                <w:szCs w:val="20"/>
              </w:rPr>
            </w:pPr>
            <w:r>
              <w:rPr>
                <w:sz w:val="20"/>
                <w:szCs w:val="20"/>
                <w:spacing w:val="-1"/>
              </w:rPr>
              <w:t>项目大多数声源都安置在厂房车间内或相应设备房内，且采</w:t>
            </w:r>
          </w:p>
          <w:p>
            <w:pPr>
              <w:pStyle w:val="TableText"/>
              <w:ind w:left="266"/>
              <w:spacing w:before="24" w:line="219" w:lineRule="auto"/>
              <w:rPr>
                <w:sz w:val="20"/>
                <w:szCs w:val="20"/>
              </w:rPr>
            </w:pPr>
            <w:r>
              <w:rPr>
                <w:sz w:val="20"/>
                <w:szCs w:val="20"/>
              </w:rPr>
              <w:t>用基础减震、消声等措施。结合阶段性验收监测数据显示：</w:t>
            </w:r>
          </w:p>
          <w:p>
            <w:pPr>
              <w:pStyle w:val="TableText"/>
              <w:ind w:left="465"/>
              <w:spacing w:before="12" w:line="219" w:lineRule="auto"/>
              <w:rPr>
                <w:sz w:val="20"/>
                <w:szCs w:val="20"/>
              </w:rPr>
            </w:pPr>
            <w:r>
              <w:rPr>
                <w:sz w:val="20"/>
                <w:szCs w:val="20"/>
                <w:spacing w:val="-1"/>
              </w:rPr>
              <w:t>厂界环境噪声符合《工业企业厂界环境噪声排放标准》</w:t>
            </w:r>
          </w:p>
          <w:p>
            <w:pPr>
              <w:pStyle w:val="TableText"/>
              <w:ind w:left="116" w:right="575" w:firstLine="150"/>
              <w:spacing w:before="31" w:line="244" w:lineRule="auto"/>
              <w:rPr>
                <w:sz w:val="20"/>
                <w:szCs w:val="20"/>
              </w:rPr>
            </w:pPr>
            <w:r>
              <w:rPr>
                <w:sz w:val="20"/>
                <w:szCs w:val="20"/>
              </w:rPr>
              <w:t>GB12348-2008)中的3类标准，石雷洋村</w:t>
            </w:r>
            <w:r>
              <w:rPr>
                <w:sz w:val="20"/>
                <w:szCs w:val="20"/>
                <w:spacing w:val="-1"/>
              </w:rPr>
              <w:t>和大沙村声环境</w:t>
            </w:r>
            <w:r>
              <w:rPr>
                <w:sz w:val="20"/>
                <w:szCs w:val="20"/>
              </w:rPr>
              <w:t xml:space="preserve"> </w:t>
            </w:r>
            <w:r>
              <w:rPr>
                <w:sz w:val="20"/>
                <w:szCs w:val="20"/>
              </w:rPr>
              <w:t>满足《声环境质量标准》(GB3096-2008)2类标准要求。</w:t>
            </w:r>
          </w:p>
        </w:tc>
        <w:tc>
          <w:tcPr>
            <w:tcW w:w="1904" w:type="dxa"/>
            <w:vAlign w:val="top"/>
          </w:tcPr>
          <w:p>
            <w:pPr>
              <w:spacing w:line="326" w:lineRule="auto"/>
              <w:rPr>
                <w:rFonts w:ascii="Arial"/>
                <w:sz w:val="21"/>
              </w:rPr>
            </w:pPr>
            <w:r/>
          </w:p>
          <w:p>
            <w:pPr>
              <w:spacing w:line="326" w:lineRule="auto"/>
              <w:rPr>
                <w:rFonts w:ascii="Arial"/>
                <w:sz w:val="21"/>
              </w:rPr>
            </w:pPr>
            <w:r/>
          </w:p>
          <w:p>
            <w:pPr>
              <w:pStyle w:val="TableText"/>
              <w:ind w:left="249"/>
              <w:spacing w:before="65" w:line="220" w:lineRule="auto"/>
              <w:rPr>
                <w:sz w:val="20"/>
                <w:szCs w:val="20"/>
              </w:rPr>
            </w:pPr>
            <w:r>
              <w:rPr>
                <w:sz w:val="20"/>
                <w:szCs w:val="20"/>
                <w:spacing w:val="1"/>
              </w:rPr>
              <w:t>已落实批复要求</w:t>
            </w:r>
          </w:p>
        </w:tc>
      </w:tr>
      <w:tr>
        <w:trPr>
          <w:trHeight w:val="4639" w:hRule="atLeast"/>
        </w:trPr>
        <w:tc>
          <w:tcPr>
            <w:tcW w:w="794" w:type="dxa"/>
            <w:vAlign w:val="top"/>
            <w:vMerge w:val="continue"/>
            <w:tcBorders>
              <w:top w:val="nil"/>
            </w:tcBorders>
          </w:tcPr>
          <w:p>
            <w:pPr>
              <w:rPr>
                <w:rFonts w:ascii="Arial"/>
                <w:sz w:val="21"/>
              </w:rPr>
            </w:pPr>
            <w:r/>
          </w:p>
        </w:tc>
        <w:tc>
          <w:tcPr>
            <w:tcW w:w="849" w:type="dxa"/>
            <w:vAlign w:val="top"/>
          </w:tcPr>
          <w:p>
            <w:pPr>
              <w:pStyle w:val="TableText"/>
              <w:ind w:left="310"/>
              <w:spacing w:before="44" w:line="229" w:lineRule="auto"/>
              <w:rPr>
                <w:sz w:val="20"/>
                <w:szCs w:val="20"/>
              </w:rPr>
            </w:pPr>
            <w:r>
              <w:rPr>
                <w:sz w:val="20"/>
                <w:szCs w:val="20"/>
              </w:rPr>
              <w:t>五</w:t>
            </w:r>
          </w:p>
        </w:tc>
        <w:tc>
          <w:tcPr>
            <w:tcW w:w="4956" w:type="dxa"/>
            <w:vAlign w:val="top"/>
          </w:tcPr>
          <w:p>
            <w:pPr>
              <w:pStyle w:val="TableText"/>
              <w:ind w:left="152" w:right="124" w:firstLine="19"/>
              <w:spacing w:before="43" w:line="246" w:lineRule="auto"/>
              <w:rPr>
                <w:sz w:val="20"/>
                <w:szCs w:val="20"/>
              </w:rPr>
            </w:pPr>
            <w:r>
              <w:rPr>
                <w:sz w:val="20"/>
                <w:szCs w:val="20"/>
                <w:spacing w:val="1"/>
              </w:rPr>
              <w:t>严格落实固体废物分类处置和综合利用措施</w:t>
            </w:r>
            <w:r>
              <w:rPr>
                <w:sz w:val="20"/>
                <w:szCs w:val="20"/>
              </w:rPr>
              <w:t>。根据国 </w:t>
            </w:r>
            <w:r>
              <w:rPr>
                <w:sz w:val="20"/>
                <w:szCs w:val="20"/>
                <w:spacing w:val="1"/>
              </w:rPr>
              <w:t>家和地方的有关规定，按照“减量化、资源化、无害</w:t>
            </w:r>
            <w:r>
              <w:rPr>
                <w:sz w:val="20"/>
                <w:szCs w:val="20"/>
                <w:spacing w:val="8"/>
              </w:rPr>
              <w:t xml:space="preserve"> </w:t>
            </w:r>
            <w:r>
              <w:rPr>
                <w:sz w:val="20"/>
                <w:szCs w:val="20"/>
                <w:spacing w:val="3"/>
              </w:rPr>
              <w:t>化”原则，对固体废物进行分类收集、处理和处置。</w:t>
            </w:r>
            <w:r>
              <w:rPr>
                <w:sz w:val="20"/>
                <w:szCs w:val="20"/>
              </w:rPr>
              <w:t xml:space="preserve"> </w:t>
            </w:r>
            <w:r>
              <w:rPr>
                <w:sz w:val="20"/>
                <w:szCs w:val="20"/>
                <w:spacing w:val="4"/>
              </w:rPr>
              <w:t>1.项目产生的</w:t>
            </w:r>
            <w:r>
              <w:rPr>
                <w:sz w:val="20"/>
                <w:szCs w:val="20"/>
              </w:rPr>
              <w:t>NMP</w:t>
            </w:r>
            <w:r>
              <w:rPr>
                <w:sz w:val="20"/>
                <w:szCs w:val="20"/>
                <w:spacing w:val="4"/>
              </w:rPr>
              <w:t>废液由供应厂商回收；废极片、</w:t>
            </w:r>
          </w:p>
          <w:p>
            <w:pPr>
              <w:pStyle w:val="TableText"/>
              <w:ind w:left="171" w:right="74"/>
              <w:spacing w:before="29" w:line="249" w:lineRule="auto"/>
              <w:rPr>
                <w:sz w:val="20"/>
                <w:szCs w:val="20"/>
              </w:rPr>
            </w:pPr>
            <w:r>
              <w:rPr>
                <w:sz w:val="20"/>
                <w:szCs w:val="20"/>
              </w:rPr>
              <w:t>废隔膜、废电芯由具有相应经营范围的物资回收公司 </w:t>
            </w:r>
            <w:r>
              <w:rPr>
                <w:sz w:val="20"/>
                <w:szCs w:val="20"/>
                <w:spacing w:val="4"/>
              </w:rPr>
              <w:t>回收处置；废铝箔、废铜箔、粉料回收、废包装袋、</w:t>
            </w:r>
            <w:r>
              <w:rPr>
                <w:sz w:val="20"/>
                <w:szCs w:val="20"/>
                <w:spacing w:val="6"/>
              </w:rPr>
              <w:t xml:space="preserve"> </w:t>
            </w:r>
            <w:r>
              <w:rPr>
                <w:sz w:val="20"/>
                <w:szCs w:val="20"/>
                <w:spacing w:val="-1"/>
              </w:rPr>
              <w:t>废手套抹布等由一般物资回收公司回收利用；项目产</w:t>
            </w:r>
            <w:r>
              <w:rPr>
                <w:sz w:val="20"/>
                <w:szCs w:val="20"/>
                <w:spacing w:val="7"/>
              </w:rPr>
              <w:t xml:space="preserve">  </w:t>
            </w:r>
            <w:r>
              <w:rPr>
                <w:sz w:val="20"/>
                <w:szCs w:val="20"/>
              </w:rPr>
              <w:t>生的阴极污泥、综合污泥经危险废物属性鉴别后，属</w:t>
            </w:r>
            <w:r>
              <w:rPr>
                <w:sz w:val="20"/>
                <w:szCs w:val="20"/>
                <w:spacing w:val="7"/>
              </w:rPr>
              <w:t xml:space="preserve">  </w:t>
            </w:r>
            <w:r>
              <w:rPr>
                <w:sz w:val="20"/>
                <w:szCs w:val="20"/>
                <w:spacing w:val="-1"/>
              </w:rPr>
              <w:t>于一般工业固体废物，应分别单独设立固体废物贮存</w:t>
            </w:r>
            <w:r>
              <w:rPr>
                <w:sz w:val="20"/>
                <w:szCs w:val="20"/>
                <w:spacing w:val="5"/>
              </w:rPr>
              <w:t xml:space="preserve">  </w:t>
            </w:r>
            <w:r>
              <w:rPr>
                <w:sz w:val="20"/>
                <w:szCs w:val="20"/>
                <w:spacing w:val="-7"/>
              </w:rPr>
              <w:t>场所，做好台账管理。</w:t>
            </w:r>
            <w:r>
              <w:rPr>
                <w:sz w:val="20"/>
                <w:szCs w:val="20"/>
                <w:spacing w:val="53"/>
              </w:rPr>
              <w:t xml:space="preserve"> </w:t>
            </w:r>
            <w:r>
              <w:rPr>
                <w:sz w:val="20"/>
                <w:szCs w:val="20"/>
                <w:spacing w:val="-7"/>
              </w:rPr>
              <w:t>一般工业固体废物贮存、处置</w:t>
            </w:r>
            <w:r>
              <w:rPr>
                <w:sz w:val="20"/>
                <w:szCs w:val="20"/>
              </w:rPr>
              <w:t xml:space="preserve">  </w:t>
            </w:r>
            <w:r>
              <w:rPr>
                <w:sz w:val="20"/>
                <w:szCs w:val="20"/>
              </w:rPr>
              <w:t>执行《一般工业固体废物贮存和填埋污染控制标准》 </w:t>
            </w:r>
            <w:r>
              <w:rPr>
                <w:sz w:val="20"/>
                <w:szCs w:val="20"/>
                <w:spacing w:val="-1"/>
              </w:rPr>
              <w:t>(GB18599-2020)。</w:t>
            </w:r>
          </w:p>
          <w:p>
            <w:pPr>
              <w:pStyle w:val="TableText"/>
              <w:ind w:left="131"/>
              <w:spacing w:before="36" w:line="219" w:lineRule="auto"/>
              <w:rPr>
                <w:sz w:val="20"/>
                <w:szCs w:val="20"/>
              </w:rPr>
            </w:pPr>
            <w:r>
              <w:rPr>
                <w:sz w:val="20"/>
                <w:szCs w:val="20"/>
                <w:spacing w:val="-1"/>
              </w:rPr>
              <w:t>2.项目产生的危险废物必须分类收集、分区临时贮</w:t>
            </w:r>
          </w:p>
          <w:p>
            <w:pPr>
              <w:pStyle w:val="TableText"/>
              <w:ind w:left="171" w:right="181"/>
              <w:spacing w:before="22" w:line="239" w:lineRule="auto"/>
              <w:rPr>
                <w:sz w:val="20"/>
                <w:szCs w:val="20"/>
              </w:rPr>
            </w:pPr>
            <w:r>
              <w:rPr>
                <w:sz w:val="20"/>
                <w:szCs w:val="20"/>
                <w:spacing w:val="-1"/>
              </w:rPr>
              <w:t>存，并委托具有相应资质的单位进行处置，执行危险</w:t>
            </w:r>
            <w:r>
              <w:rPr>
                <w:sz w:val="20"/>
                <w:szCs w:val="20"/>
                <w:spacing w:val="15"/>
              </w:rPr>
              <w:t xml:space="preserve"> </w:t>
            </w:r>
            <w:r>
              <w:rPr>
                <w:sz w:val="20"/>
                <w:szCs w:val="20"/>
                <w:spacing w:val="-1"/>
              </w:rPr>
              <w:t>废物转移联单制度，严禁随意倾倒或处置。危险废物</w:t>
            </w:r>
          </w:p>
          <w:p>
            <w:pPr>
              <w:pStyle w:val="TableText"/>
              <w:ind w:left="261" w:right="594" w:hanging="109"/>
              <w:spacing w:before="33" w:line="224" w:lineRule="auto"/>
              <w:rPr>
                <w:sz w:val="20"/>
                <w:szCs w:val="20"/>
              </w:rPr>
            </w:pPr>
            <w:r>
              <w:rPr>
                <w:sz w:val="20"/>
                <w:szCs w:val="20"/>
              </w:rPr>
              <w:t>临时贮存应执行《危险废物贮存污染控制标</w:t>
            </w:r>
            <w:r>
              <w:rPr>
                <w:sz w:val="20"/>
                <w:szCs w:val="20"/>
                <w:spacing w:val="-1"/>
              </w:rPr>
              <w:t>准》</w:t>
            </w:r>
            <w:r>
              <w:rPr>
                <w:sz w:val="20"/>
                <w:szCs w:val="20"/>
              </w:rPr>
              <w:t xml:space="preserve"> </w:t>
            </w:r>
            <w:r>
              <w:rPr>
                <w:sz w:val="20"/>
                <w:szCs w:val="20"/>
              </w:rPr>
              <w:t>(GB18597-2001)及2013年修改单要</w:t>
            </w:r>
            <w:r>
              <w:rPr>
                <w:sz w:val="20"/>
                <w:szCs w:val="20"/>
                <w:spacing w:val="-1"/>
              </w:rPr>
              <w:t>求。</w:t>
            </w:r>
          </w:p>
        </w:tc>
        <w:tc>
          <w:tcPr>
            <w:tcW w:w="5646" w:type="dxa"/>
            <w:vAlign w:val="top"/>
          </w:tcPr>
          <w:p>
            <w:pPr>
              <w:spacing w:line="384" w:lineRule="auto"/>
              <w:rPr>
                <w:rFonts w:ascii="Arial"/>
                <w:sz w:val="21"/>
              </w:rPr>
            </w:pPr>
            <w:r/>
          </w:p>
          <w:p>
            <w:pPr>
              <w:pStyle w:val="TableText"/>
              <w:ind w:left="125" w:right="230" w:firstLine="90"/>
              <w:spacing w:before="65" w:line="235" w:lineRule="auto"/>
              <w:rPr>
                <w:sz w:val="20"/>
                <w:szCs w:val="20"/>
              </w:rPr>
            </w:pPr>
            <w:r>
              <w:rPr>
                <w:sz w:val="20"/>
                <w:szCs w:val="20"/>
                <w:spacing w:val="-1"/>
              </w:rPr>
              <w:t>项目工业固体废物暂存依托一期工程固体废物暂存间，各类</w:t>
            </w:r>
            <w:r>
              <w:rPr>
                <w:sz w:val="20"/>
                <w:szCs w:val="20"/>
                <w:spacing w:val="13"/>
              </w:rPr>
              <w:t xml:space="preserve"> </w:t>
            </w:r>
            <w:r>
              <w:rPr>
                <w:sz w:val="20"/>
                <w:szCs w:val="20"/>
              </w:rPr>
              <w:t>废物均分类收集、暂存于相应的暂存间内。</w:t>
            </w:r>
          </w:p>
          <w:p>
            <w:pPr>
              <w:pStyle w:val="TableText"/>
              <w:ind w:left="155"/>
              <w:spacing w:before="31" w:line="219" w:lineRule="auto"/>
              <w:rPr>
                <w:sz w:val="20"/>
                <w:szCs w:val="20"/>
              </w:rPr>
            </w:pPr>
            <w:r>
              <w:rPr>
                <w:sz w:val="20"/>
                <w:szCs w:val="20"/>
              </w:rPr>
              <w:t>1.NMP废液委托安徽晟捷新能源科技股份有限公司回收处</w:t>
            </w:r>
          </w:p>
          <w:p>
            <w:pPr>
              <w:pStyle w:val="TableText"/>
              <w:ind w:left="116"/>
              <w:spacing w:before="32" w:line="219" w:lineRule="auto"/>
              <w:rPr>
                <w:sz w:val="20"/>
                <w:szCs w:val="20"/>
              </w:rPr>
            </w:pPr>
            <w:r>
              <w:rPr>
                <w:sz w:val="20"/>
                <w:szCs w:val="20"/>
                <w:spacing w:val="3"/>
              </w:rPr>
              <w:t>置；废极片、废电芯由湖南邦普循环科技有限公司回收处置；</w:t>
            </w:r>
          </w:p>
          <w:p>
            <w:pPr>
              <w:pStyle w:val="TableText"/>
              <w:ind w:left="136" w:right="209" w:firstLine="79"/>
              <w:spacing w:before="55" w:line="241" w:lineRule="auto"/>
              <w:jc w:val="both"/>
              <w:rPr>
                <w:sz w:val="20"/>
                <w:szCs w:val="20"/>
              </w:rPr>
            </w:pPr>
            <w:r>
              <w:rPr>
                <w:sz w:val="20"/>
                <w:szCs w:val="20"/>
              </w:rPr>
              <w:t>发铝箔、废隔膜、废铜箔、废粉料、废包装袋、废浆料、废</w:t>
            </w:r>
            <w:r>
              <w:rPr>
                <w:sz w:val="20"/>
                <w:szCs w:val="20"/>
                <w:spacing w:val="8"/>
              </w:rPr>
              <w:t xml:space="preserve"> </w:t>
            </w:r>
            <w:r>
              <w:rPr>
                <w:sz w:val="20"/>
                <w:szCs w:val="20"/>
                <w:spacing w:val="3"/>
              </w:rPr>
              <w:t>手套等委托宁德源宏环保有限公司综合利用</w:t>
            </w:r>
            <w:r>
              <w:rPr>
                <w:sz w:val="20"/>
                <w:szCs w:val="20"/>
                <w:spacing w:val="2"/>
              </w:rPr>
              <w:t>处置；污水处理</w:t>
            </w:r>
            <w:r>
              <w:rPr>
                <w:sz w:val="20"/>
                <w:szCs w:val="20"/>
              </w:rPr>
              <w:t xml:space="preserve"> </w:t>
            </w:r>
            <w:r>
              <w:rPr>
                <w:sz w:val="20"/>
                <w:szCs w:val="20"/>
                <w:spacing w:val="2"/>
              </w:rPr>
              <w:t>站污泥委托宁德源宏环保有限公司外运，用于福建毒宝环保</w:t>
            </w:r>
            <w:r>
              <w:rPr>
                <w:sz w:val="20"/>
                <w:szCs w:val="20"/>
                <w:spacing w:val="18"/>
              </w:rPr>
              <w:t xml:space="preserve"> </w:t>
            </w:r>
            <w:r>
              <w:rPr>
                <w:sz w:val="20"/>
                <w:szCs w:val="20"/>
                <w:spacing w:val="-1"/>
              </w:rPr>
              <w:t>科技有限公司制砖。</w:t>
            </w:r>
          </w:p>
          <w:p>
            <w:pPr>
              <w:pStyle w:val="TableText"/>
              <w:ind w:left="136" w:right="230" w:firstLine="79"/>
              <w:spacing w:before="21" w:line="244" w:lineRule="auto"/>
              <w:rPr>
                <w:sz w:val="20"/>
                <w:szCs w:val="20"/>
              </w:rPr>
            </w:pPr>
            <w:r>
              <w:rPr>
                <w:sz w:val="20"/>
                <w:szCs w:val="20"/>
                <w:spacing w:val="-1"/>
              </w:rPr>
              <w:t>2,项目危险废物包含废有机溶剂、废胶罐、废活性炭、废UV</w:t>
            </w:r>
            <w:r>
              <w:rPr>
                <w:sz w:val="20"/>
                <w:szCs w:val="20"/>
                <w:spacing w:val="16"/>
              </w:rPr>
              <w:t xml:space="preserve"> </w:t>
            </w:r>
            <w:r>
              <w:rPr>
                <w:sz w:val="20"/>
                <w:szCs w:val="20"/>
                <w:spacing w:val="-1"/>
              </w:rPr>
              <w:t>灯管、废机油、废酸、废UV灯管等，分类收集后暂存在危</w:t>
            </w:r>
          </w:p>
          <w:p>
            <w:pPr>
              <w:pStyle w:val="TableText"/>
              <w:ind w:left="136" w:right="212" w:firstLine="79"/>
              <w:spacing w:before="33" w:line="235" w:lineRule="auto"/>
              <w:rPr>
                <w:sz w:val="20"/>
                <w:szCs w:val="20"/>
              </w:rPr>
            </w:pPr>
            <w:r>
              <w:rPr>
                <w:sz w:val="20"/>
                <w:szCs w:val="20"/>
              </w:rPr>
              <w:t>险废物暂存间，根据危险废物性质分别委托福建志坤能源科</w:t>
            </w:r>
            <w:r>
              <w:rPr>
                <w:sz w:val="20"/>
                <w:szCs w:val="20"/>
                <w:spacing w:val="6"/>
              </w:rPr>
              <w:t xml:space="preserve"> </w:t>
            </w:r>
            <w:r>
              <w:rPr>
                <w:sz w:val="20"/>
                <w:szCs w:val="20"/>
              </w:rPr>
              <w:t>技开发有限公司、福建绿洲固体废物处置有限公司处</w:t>
            </w:r>
            <w:r>
              <w:rPr>
                <w:sz w:val="20"/>
                <w:szCs w:val="20"/>
                <w:spacing w:val="-1"/>
              </w:rPr>
              <w:t>置。</w:t>
            </w:r>
          </w:p>
          <w:p>
            <w:pPr>
              <w:pStyle w:val="TableText"/>
              <w:ind w:left="95" w:right="211" w:firstLine="120"/>
              <w:spacing w:before="27" w:line="242" w:lineRule="auto"/>
              <w:rPr>
                <w:sz w:val="20"/>
                <w:szCs w:val="20"/>
              </w:rPr>
            </w:pPr>
            <w:r>
              <w:rPr>
                <w:sz w:val="20"/>
                <w:szCs w:val="20"/>
              </w:rPr>
              <w:t>3,项目产生的生活垃圾统一收集后委托环卫部门及时清运处</w:t>
            </w:r>
            <w:r>
              <w:rPr>
                <w:sz w:val="20"/>
                <w:szCs w:val="20"/>
                <w:spacing w:val="7"/>
              </w:rPr>
              <w:t xml:space="preserve"> </w:t>
            </w:r>
            <w:r>
              <w:rPr>
                <w:sz w:val="20"/>
                <w:szCs w:val="20"/>
              </w:rPr>
              <w:t>置。</w:t>
            </w:r>
          </w:p>
        </w:tc>
        <w:tc>
          <w:tcPr>
            <w:tcW w:w="1904" w:type="dxa"/>
            <w:vAlign w:val="top"/>
          </w:tcPr>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pStyle w:val="TableText"/>
              <w:ind w:left="249"/>
              <w:spacing w:before="65" w:line="220" w:lineRule="auto"/>
              <w:rPr>
                <w:sz w:val="20"/>
                <w:szCs w:val="20"/>
              </w:rPr>
            </w:pPr>
            <w:r>
              <w:rPr>
                <w:sz w:val="20"/>
                <w:szCs w:val="20"/>
                <w:spacing w:val="1"/>
              </w:rPr>
              <w:t>已落实批复要求</w:t>
            </w:r>
          </w:p>
        </w:tc>
      </w:tr>
    </w:tbl>
    <w:p>
      <w:pPr>
        <w:rPr>
          <w:rFonts w:ascii="Arial"/>
          <w:sz w:val="21"/>
        </w:rPr>
      </w:pPr>
      <w:r/>
    </w:p>
    <w:p>
      <w:pPr>
        <w:sectPr>
          <w:footerReference w:type="default" r:id="rId65"/>
          <w:pgSz w:w="16840" w:h="11900"/>
          <w:pgMar w:top="1011" w:right="1354" w:bottom="978" w:left="1325" w:header="0" w:footer="839" w:gutter="0"/>
        </w:sectPr>
        <w:rPr>
          <w:rFonts w:ascii="Arial" w:hAnsi="Arial" w:eastAsia="Arial" w:cs="Arial"/>
          <w:sz w:val="21"/>
          <w:szCs w:val="21"/>
        </w:rPr>
      </w:pPr>
    </w:p>
    <w:p>
      <w:pPr>
        <w:spacing w:before="105"/>
        <w:rPr/>
      </w:pPr>
      <w:r/>
    </w:p>
    <w:p>
      <w:pPr>
        <w:spacing w:before="105"/>
        <w:rPr/>
      </w:pPr>
      <w:r/>
    </w:p>
    <w:tbl>
      <w:tblPr>
        <w:tblStyle w:val="TableNormal"/>
        <w:tblW w:w="141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94"/>
        <w:gridCol w:w="849"/>
        <w:gridCol w:w="4956"/>
        <w:gridCol w:w="5646"/>
        <w:gridCol w:w="1904"/>
      </w:tblGrid>
      <w:tr>
        <w:trPr>
          <w:trHeight w:val="554" w:hRule="atLeast"/>
        </w:trPr>
        <w:tc>
          <w:tcPr>
            <w:tcW w:w="794" w:type="dxa"/>
            <w:vAlign w:val="top"/>
            <w:vMerge w:val="restart"/>
            <w:tcBorders>
              <w:bottom w:val="nil"/>
            </w:tcBorders>
          </w:tcPr>
          <w:p>
            <w:pPr>
              <w:rPr>
                <w:rFonts w:ascii="Arial"/>
                <w:sz w:val="21"/>
              </w:rPr>
            </w:pPr>
            <w:r/>
          </w:p>
        </w:tc>
        <w:tc>
          <w:tcPr>
            <w:tcW w:w="849" w:type="dxa"/>
            <w:vAlign w:val="top"/>
          </w:tcPr>
          <w:p>
            <w:pPr>
              <w:rPr>
                <w:rFonts w:ascii="Arial"/>
                <w:sz w:val="21"/>
              </w:rPr>
            </w:pPr>
            <w:r/>
          </w:p>
        </w:tc>
        <w:tc>
          <w:tcPr>
            <w:tcW w:w="4956" w:type="dxa"/>
            <w:vAlign w:val="top"/>
          </w:tcPr>
          <w:p>
            <w:pPr>
              <w:pStyle w:val="TableText"/>
              <w:ind w:left="122" w:right="402" w:firstLine="9"/>
              <w:spacing w:before="52" w:line="227" w:lineRule="auto"/>
              <w:rPr>
                <w:sz w:val="20"/>
                <w:szCs w:val="20"/>
              </w:rPr>
            </w:pPr>
            <w:r>
              <w:rPr>
                <w:sz w:val="20"/>
                <w:szCs w:val="20"/>
              </w:rPr>
              <w:t>3.项目产生的生活垃圾统一收集后委托环卫部门及</w:t>
            </w:r>
            <w:r>
              <w:rPr>
                <w:sz w:val="20"/>
                <w:szCs w:val="20"/>
                <w:spacing w:val="10"/>
              </w:rPr>
              <w:t xml:space="preserve"> </w:t>
            </w:r>
            <w:r>
              <w:rPr>
                <w:sz w:val="20"/>
                <w:szCs w:val="20"/>
              </w:rPr>
              <w:t>时清运处理。</w:t>
            </w:r>
          </w:p>
        </w:tc>
        <w:tc>
          <w:tcPr>
            <w:tcW w:w="5646" w:type="dxa"/>
            <w:vAlign w:val="top"/>
          </w:tcPr>
          <w:p>
            <w:pPr>
              <w:rPr>
                <w:rFonts w:ascii="Arial"/>
                <w:sz w:val="21"/>
              </w:rPr>
            </w:pPr>
            <w:r/>
          </w:p>
        </w:tc>
        <w:tc>
          <w:tcPr>
            <w:tcW w:w="1904" w:type="dxa"/>
            <w:vAlign w:val="top"/>
          </w:tcPr>
          <w:p>
            <w:pPr>
              <w:rPr>
                <w:rFonts w:ascii="Arial"/>
                <w:sz w:val="21"/>
              </w:rPr>
            </w:pPr>
            <w:r/>
          </w:p>
        </w:tc>
      </w:tr>
      <w:tr>
        <w:trPr>
          <w:trHeight w:val="819" w:hRule="atLeast"/>
        </w:trPr>
        <w:tc>
          <w:tcPr>
            <w:tcW w:w="794" w:type="dxa"/>
            <w:vAlign w:val="top"/>
            <w:vMerge w:val="continue"/>
            <w:tcBorders>
              <w:top w:val="nil"/>
              <w:bottom w:val="nil"/>
            </w:tcBorders>
          </w:tcPr>
          <w:p>
            <w:pPr>
              <w:rPr>
                <w:rFonts w:ascii="Arial"/>
                <w:sz w:val="21"/>
              </w:rPr>
            </w:pPr>
            <w:r/>
          </w:p>
        </w:tc>
        <w:tc>
          <w:tcPr>
            <w:tcW w:w="849" w:type="dxa"/>
            <w:vAlign w:val="top"/>
          </w:tcPr>
          <w:p>
            <w:pPr>
              <w:pStyle w:val="TableText"/>
              <w:ind w:left="310"/>
              <w:spacing w:before="33" w:line="224" w:lineRule="auto"/>
              <w:rPr>
                <w:sz w:val="20"/>
                <w:szCs w:val="20"/>
              </w:rPr>
            </w:pPr>
            <w:r>
              <w:rPr>
                <w:sz w:val="20"/>
                <w:szCs w:val="20"/>
              </w:rPr>
              <w:t>六</w:t>
            </w:r>
          </w:p>
        </w:tc>
        <w:tc>
          <w:tcPr>
            <w:tcW w:w="4956" w:type="dxa"/>
            <w:vAlign w:val="top"/>
          </w:tcPr>
          <w:p>
            <w:pPr>
              <w:pStyle w:val="TableText"/>
              <w:ind w:left="122" w:right="182" w:firstLine="49"/>
              <w:spacing w:before="198" w:line="230" w:lineRule="auto"/>
              <w:rPr>
                <w:sz w:val="20"/>
                <w:szCs w:val="20"/>
              </w:rPr>
            </w:pPr>
            <w:r>
              <w:rPr>
                <w:sz w:val="20"/>
                <w:szCs w:val="20"/>
                <w:spacing w:val="-1"/>
              </w:rPr>
              <w:t>严格按照报告表要求落实分区防渗措施，防止项目对</w:t>
            </w:r>
            <w:r>
              <w:rPr>
                <w:sz w:val="20"/>
                <w:szCs w:val="20"/>
                <w:spacing w:val="13"/>
              </w:rPr>
              <w:t xml:space="preserve"> </w:t>
            </w:r>
            <w:r>
              <w:rPr>
                <w:sz w:val="20"/>
                <w:szCs w:val="20"/>
              </w:rPr>
              <w:t>地下水、土壤造成影响。</w:t>
            </w:r>
          </w:p>
        </w:tc>
        <w:tc>
          <w:tcPr>
            <w:tcW w:w="5646" w:type="dxa"/>
            <w:vAlign w:val="top"/>
          </w:tcPr>
          <w:p>
            <w:pPr>
              <w:pStyle w:val="TableText"/>
              <w:ind w:left="266"/>
              <w:spacing w:before="29" w:line="219" w:lineRule="auto"/>
              <w:rPr>
                <w:sz w:val="20"/>
                <w:szCs w:val="20"/>
              </w:rPr>
            </w:pPr>
            <w:r>
              <w:rPr>
                <w:sz w:val="20"/>
                <w:szCs w:val="20"/>
              </w:rPr>
              <w:t>厂区内设置5个地下水监控井，根据日常自行检测结果，厂</w:t>
            </w:r>
          </w:p>
          <w:p>
            <w:pPr>
              <w:pStyle w:val="TableText"/>
              <w:ind w:left="155" w:right="260" w:firstLine="110"/>
              <w:spacing w:before="61" w:line="222" w:lineRule="auto"/>
              <w:rPr>
                <w:sz w:val="20"/>
                <w:szCs w:val="20"/>
              </w:rPr>
            </w:pPr>
            <w:r>
              <w:rPr>
                <w:sz w:val="20"/>
                <w:szCs w:val="20"/>
              </w:rPr>
              <w:t>区地下水符合地下水质量(GB/T-14848-2017)中的Ⅲ类标准</w:t>
            </w:r>
            <w:r>
              <w:rPr>
                <w:sz w:val="20"/>
                <w:szCs w:val="20"/>
                <w:spacing w:val="8"/>
              </w:rPr>
              <w:t xml:space="preserve"> </w:t>
            </w:r>
            <w:r>
              <w:rPr>
                <w:sz w:val="20"/>
                <w:szCs w:val="20"/>
              </w:rPr>
              <w:t>限值要求。</w:t>
            </w:r>
          </w:p>
        </w:tc>
        <w:tc>
          <w:tcPr>
            <w:tcW w:w="1904" w:type="dxa"/>
            <w:vAlign w:val="top"/>
          </w:tcPr>
          <w:p>
            <w:pPr>
              <w:spacing w:line="243" w:lineRule="auto"/>
              <w:rPr>
                <w:rFonts w:ascii="Arial"/>
                <w:sz w:val="21"/>
              </w:rPr>
            </w:pPr>
            <w:r/>
          </w:p>
          <w:p>
            <w:pPr>
              <w:pStyle w:val="TableText"/>
              <w:ind w:left="249"/>
              <w:spacing w:before="65" w:line="220" w:lineRule="auto"/>
              <w:rPr>
                <w:sz w:val="20"/>
                <w:szCs w:val="20"/>
              </w:rPr>
            </w:pPr>
            <w:r>
              <w:rPr>
                <w:sz w:val="20"/>
                <w:szCs w:val="20"/>
                <w:spacing w:val="1"/>
              </w:rPr>
              <w:t>已落实批复要求</w:t>
            </w:r>
          </w:p>
        </w:tc>
      </w:tr>
      <w:tr>
        <w:trPr>
          <w:trHeight w:val="1069" w:hRule="atLeast"/>
        </w:trPr>
        <w:tc>
          <w:tcPr>
            <w:tcW w:w="794" w:type="dxa"/>
            <w:vAlign w:val="top"/>
            <w:vMerge w:val="continue"/>
            <w:tcBorders>
              <w:top w:val="nil"/>
              <w:bottom w:val="nil"/>
            </w:tcBorders>
          </w:tcPr>
          <w:p>
            <w:pPr>
              <w:rPr>
                <w:rFonts w:ascii="Arial"/>
                <w:sz w:val="21"/>
              </w:rPr>
            </w:pPr>
            <w:r/>
          </w:p>
        </w:tc>
        <w:tc>
          <w:tcPr>
            <w:tcW w:w="849" w:type="dxa"/>
            <w:vAlign w:val="top"/>
          </w:tcPr>
          <w:p>
            <w:pPr>
              <w:pStyle w:val="TableText"/>
              <w:ind w:left="310"/>
              <w:spacing w:before="52" w:line="231" w:lineRule="auto"/>
              <w:rPr>
                <w:sz w:val="20"/>
                <w:szCs w:val="20"/>
              </w:rPr>
            </w:pPr>
            <w:r>
              <w:rPr>
                <w:sz w:val="20"/>
                <w:szCs w:val="20"/>
              </w:rPr>
              <w:t>七</w:t>
            </w:r>
          </w:p>
        </w:tc>
        <w:tc>
          <w:tcPr>
            <w:tcW w:w="4956" w:type="dxa"/>
            <w:vAlign w:val="top"/>
          </w:tcPr>
          <w:p>
            <w:pPr>
              <w:pStyle w:val="TableText"/>
              <w:ind w:left="152" w:right="163" w:firstLine="19"/>
              <w:spacing w:before="49" w:line="233" w:lineRule="auto"/>
              <w:jc w:val="both"/>
              <w:rPr>
                <w:sz w:val="20"/>
                <w:szCs w:val="20"/>
              </w:rPr>
            </w:pPr>
            <w:r>
              <w:rPr>
                <w:sz w:val="20"/>
                <w:szCs w:val="20"/>
              </w:rPr>
              <w:t>强化环境风险防范和应急措施。按照报告表要求落实</w:t>
            </w:r>
            <w:r>
              <w:rPr>
                <w:sz w:val="20"/>
                <w:szCs w:val="20"/>
                <w:spacing w:val="9"/>
              </w:rPr>
              <w:t xml:space="preserve"> </w:t>
            </w:r>
            <w:r>
              <w:rPr>
                <w:sz w:val="20"/>
                <w:szCs w:val="20"/>
              </w:rPr>
              <w:t>各项环境风险防范和应急措施，合理设置事故应急水</w:t>
            </w:r>
            <w:r>
              <w:rPr>
                <w:sz w:val="20"/>
                <w:szCs w:val="20"/>
                <w:spacing w:val="8"/>
              </w:rPr>
              <w:t xml:space="preserve"> </w:t>
            </w:r>
            <w:r>
              <w:rPr>
                <w:sz w:val="20"/>
                <w:szCs w:val="20"/>
              </w:rPr>
              <w:t>池及配套的事故废水切换装置，按要求编制突发环境</w:t>
            </w:r>
            <w:r>
              <w:rPr>
                <w:sz w:val="20"/>
                <w:szCs w:val="20"/>
                <w:spacing w:val="11"/>
              </w:rPr>
              <w:t xml:space="preserve"> </w:t>
            </w:r>
            <w:r>
              <w:rPr>
                <w:sz w:val="20"/>
                <w:szCs w:val="20"/>
                <w:spacing w:val="-1"/>
              </w:rPr>
              <w:t>事件应急预案并及时报生态环境部门备案。</w:t>
            </w:r>
          </w:p>
        </w:tc>
        <w:tc>
          <w:tcPr>
            <w:tcW w:w="5646" w:type="dxa"/>
            <w:vAlign w:val="top"/>
          </w:tcPr>
          <w:p>
            <w:pPr>
              <w:pStyle w:val="TableText"/>
              <w:ind w:left="415" w:right="428" w:firstLine="50"/>
              <w:spacing w:before="17" w:line="242" w:lineRule="auto"/>
              <w:rPr>
                <w:sz w:val="20"/>
                <w:szCs w:val="20"/>
              </w:rPr>
            </w:pPr>
            <w:r>
              <w:rPr>
                <w:sz w:val="20"/>
                <w:szCs w:val="20"/>
                <w:spacing w:val="4"/>
              </w:rPr>
              <w:t>厂区污水处理站设有事故池250m³,</w:t>
            </w:r>
            <w:r>
              <w:rPr>
                <w:sz w:val="20"/>
                <w:szCs w:val="20"/>
              </w:rPr>
              <w:t>NMP</w:t>
            </w:r>
            <w:r>
              <w:rPr>
                <w:sz w:val="20"/>
                <w:szCs w:val="20"/>
                <w:spacing w:val="4"/>
              </w:rPr>
              <w:t>储罐区B设置围</w:t>
            </w:r>
            <w:r>
              <w:rPr>
                <w:sz w:val="20"/>
                <w:szCs w:val="20"/>
                <w:spacing w:val="17"/>
              </w:rPr>
              <w:t xml:space="preserve"> </w:t>
            </w:r>
            <w:r>
              <w:rPr>
                <w:sz w:val="20"/>
                <w:szCs w:val="20"/>
                <w:spacing w:val="-1"/>
              </w:rPr>
              <w:t>堰(有效容积240m3),企业已修编了突发环境事件应急预</w:t>
            </w:r>
          </w:p>
          <w:p>
            <w:pPr>
              <w:pStyle w:val="TableText"/>
              <w:ind w:left="155" w:right="329" w:firstLine="159"/>
              <w:spacing w:before="38" w:line="221" w:lineRule="auto"/>
              <w:rPr>
                <w:sz w:val="20"/>
                <w:szCs w:val="20"/>
              </w:rPr>
            </w:pPr>
            <w:r>
              <w:rPr>
                <w:sz w:val="20"/>
                <w:szCs w:val="20"/>
                <w:spacing w:val="-1"/>
              </w:rPr>
              <w:t>案，并于2023年3月17日在宁德市霞浦生态环境局备案(备</w:t>
            </w:r>
            <w:r>
              <w:rPr>
                <w:sz w:val="20"/>
                <w:szCs w:val="20"/>
                <w:spacing w:val="18"/>
              </w:rPr>
              <w:t xml:space="preserve"> </w:t>
            </w:r>
            <w:r>
              <w:rPr>
                <w:sz w:val="20"/>
                <w:szCs w:val="20"/>
              </w:rPr>
              <w:t>案号：350921-2023-003-M)。</w:t>
            </w:r>
          </w:p>
        </w:tc>
        <w:tc>
          <w:tcPr>
            <w:tcW w:w="1904" w:type="dxa"/>
            <w:vAlign w:val="top"/>
          </w:tcPr>
          <w:p>
            <w:pPr>
              <w:spacing w:line="373" w:lineRule="auto"/>
              <w:rPr>
                <w:rFonts w:ascii="Arial"/>
                <w:sz w:val="21"/>
              </w:rPr>
            </w:pPr>
            <w:r/>
          </w:p>
          <w:p>
            <w:pPr>
              <w:pStyle w:val="TableText"/>
              <w:ind w:left="249"/>
              <w:spacing w:before="65" w:line="220" w:lineRule="auto"/>
              <w:rPr>
                <w:sz w:val="20"/>
                <w:szCs w:val="20"/>
              </w:rPr>
            </w:pPr>
            <w:r>
              <w:rPr>
                <w:sz w:val="20"/>
                <w:szCs w:val="20"/>
                <w:spacing w:val="1"/>
              </w:rPr>
              <w:t>已落实批复要求</w:t>
            </w:r>
          </w:p>
        </w:tc>
      </w:tr>
      <w:tr>
        <w:trPr>
          <w:trHeight w:val="829" w:hRule="atLeast"/>
        </w:trPr>
        <w:tc>
          <w:tcPr>
            <w:tcW w:w="794" w:type="dxa"/>
            <w:vAlign w:val="top"/>
            <w:vMerge w:val="continue"/>
            <w:tcBorders>
              <w:top w:val="nil"/>
              <w:bottom w:val="nil"/>
            </w:tcBorders>
          </w:tcPr>
          <w:p>
            <w:pPr>
              <w:rPr>
                <w:rFonts w:ascii="Arial"/>
                <w:sz w:val="21"/>
              </w:rPr>
            </w:pPr>
            <w:r/>
          </w:p>
        </w:tc>
        <w:tc>
          <w:tcPr>
            <w:tcW w:w="849" w:type="dxa"/>
            <w:vAlign w:val="top"/>
          </w:tcPr>
          <w:p>
            <w:pPr>
              <w:pStyle w:val="TableText"/>
              <w:ind w:left="310"/>
              <w:spacing w:before="51" w:line="220" w:lineRule="auto"/>
              <w:rPr>
                <w:sz w:val="20"/>
                <w:szCs w:val="20"/>
              </w:rPr>
            </w:pPr>
            <w:r>
              <w:rPr>
                <w:sz w:val="20"/>
                <w:szCs w:val="20"/>
              </w:rPr>
              <w:t>八</w:t>
            </w:r>
          </w:p>
        </w:tc>
        <w:tc>
          <w:tcPr>
            <w:tcW w:w="4956" w:type="dxa"/>
            <w:vAlign w:val="top"/>
          </w:tcPr>
          <w:p>
            <w:pPr>
              <w:pStyle w:val="TableText"/>
              <w:ind w:left="171"/>
              <w:spacing w:before="71" w:line="219" w:lineRule="auto"/>
              <w:rPr>
                <w:sz w:val="20"/>
                <w:szCs w:val="20"/>
              </w:rPr>
            </w:pPr>
            <w:r>
              <w:rPr>
                <w:sz w:val="20"/>
                <w:szCs w:val="20"/>
                <w:spacing w:val="-1"/>
              </w:rPr>
              <w:t>进一步强化污染源管理工作。按照国家和地方有关规</w:t>
            </w:r>
          </w:p>
          <w:p>
            <w:pPr>
              <w:pStyle w:val="TableText"/>
              <w:ind w:left="141" w:right="261" w:firstLine="130"/>
              <w:spacing w:before="31" w:line="221" w:lineRule="auto"/>
              <w:rPr>
                <w:sz w:val="20"/>
                <w:szCs w:val="20"/>
              </w:rPr>
            </w:pPr>
            <w:r>
              <w:rPr>
                <w:sz w:val="20"/>
                <w:szCs w:val="20"/>
              </w:rPr>
              <w:t>定设置规范的污染物排放口和固体废物临时贮存场</w:t>
            </w:r>
            <w:r>
              <w:rPr>
                <w:sz w:val="20"/>
                <w:szCs w:val="20"/>
                <w:spacing w:val="11"/>
              </w:rPr>
              <w:t xml:space="preserve"> </w:t>
            </w:r>
            <w:r>
              <w:rPr>
                <w:sz w:val="20"/>
                <w:szCs w:val="20"/>
              </w:rPr>
              <w:t>所，并设立标志牌。</w:t>
            </w:r>
          </w:p>
        </w:tc>
        <w:tc>
          <w:tcPr>
            <w:tcW w:w="5646" w:type="dxa"/>
            <w:vAlign w:val="top"/>
          </w:tcPr>
          <w:p>
            <w:pPr>
              <w:pStyle w:val="TableText"/>
              <w:ind w:left="125" w:right="210" w:firstLine="90"/>
              <w:spacing w:before="29" w:line="243" w:lineRule="auto"/>
              <w:jc w:val="both"/>
              <w:rPr>
                <w:sz w:val="20"/>
                <w:szCs w:val="20"/>
              </w:rPr>
            </w:pPr>
            <w:r>
              <w:rPr>
                <w:sz w:val="20"/>
                <w:szCs w:val="20"/>
              </w:rPr>
              <w:t>项目生产废水、固体废物暂存均依托一期工程，已按规范设</w:t>
            </w:r>
            <w:r>
              <w:rPr>
                <w:sz w:val="20"/>
                <w:szCs w:val="20"/>
                <w:spacing w:val="8"/>
              </w:rPr>
              <w:t xml:space="preserve"> </w:t>
            </w:r>
            <w:r>
              <w:rPr>
                <w:sz w:val="20"/>
                <w:szCs w:val="20"/>
                <w:spacing w:val="3"/>
              </w:rPr>
              <w:t>置排放口、标志牌等；本项目新增的废气排放口均设置规范</w:t>
            </w:r>
            <w:r>
              <w:rPr>
                <w:sz w:val="20"/>
                <w:szCs w:val="20"/>
                <w:spacing w:val="4"/>
              </w:rPr>
              <w:t xml:space="preserve"> </w:t>
            </w:r>
            <w:r>
              <w:rPr>
                <w:sz w:val="20"/>
                <w:szCs w:val="20"/>
              </w:rPr>
              <w:t>化排放口，并设立标志牌。</w:t>
            </w:r>
          </w:p>
        </w:tc>
        <w:tc>
          <w:tcPr>
            <w:tcW w:w="1904" w:type="dxa"/>
            <w:vAlign w:val="top"/>
          </w:tcPr>
          <w:p>
            <w:pPr>
              <w:spacing w:line="255" w:lineRule="auto"/>
              <w:rPr>
                <w:rFonts w:ascii="Arial"/>
                <w:sz w:val="21"/>
              </w:rPr>
            </w:pPr>
            <w:r/>
          </w:p>
          <w:p>
            <w:pPr>
              <w:pStyle w:val="TableText"/>
              <w:ind w:left="249"/>
              <w:spacing w:before="65" w:line="220" w:lineRule="auto"/>
              <w:rPr>
                <w:sz w:val="20"/>
                <w:szCs w:val="20"/>
              </w:rPr>
            </w:pPr>
            <w:r>
              <w:rPr>
                <w:sz w:val="20"/>
                <w:szCs w:val="20"/>
                <w:spacing w:val="1"/>
              </w:rPr>
              <w:t>已落实批复要求</w:t>
            </w:r>
          </w:p>
        </w:tc>
      </w:tr>
      <w:tr>
        <w:trPr>
          <w:trHeight w:val="1618" w:hRule="atLeast"/>
        </w:trPr>
        <w:tc>
          <w:tcPr>
            <w:tcW w:w="794" w:type="dxa"/>
            <w:vAlign w:val="top"/>
            <w:vMerge w:val="continue"/>
            <w:tcBorders>
              <w:top w:val="nil"/>
              <w:bottom w:val="nil"/>
            </w:tcBorders>
          </w:tcPr>
          <w:p>
            <w:pPr>
              <w:rPr>
                <w:rFonts w:ascii="Arial"/>
                <w:sz w:val="21"/>
              </w:rPr>
            </w:pPr>
            <w:r/>
          </w:p>
        </w:tc>
        <w:tc>
          <w:tcPr>
            <w:tcW w:w="849" w:type="dxa"/>
            <w:vAlign w:val="top"/>
          </w:tcPr>
          <w:p>
            <w:pPr>
              <w:pStyle w:val="TableText"/>
              <w:ind w:left="310"/>
              <w:spacing w:before="55" w:line="222" w:lineRule="auto"/>
              <w:rPr>
                <w:sz w:val="20"/>
                <w:szCs w:val="20"/>
              </w:rPr>
            </w:pPr>
            <w:r>
              <w:rPr>
                <w:sz w:val="20"/>
                <w:szCs w:val="20"/>
              </w:rPr>
              <w:t>九</w:t>
            </w:r>
          </w:p>
        </w:tc>
        <w:tc>
          <w:tcPr>
            <w:tcW w:w="4956" w:type="dxa"/>
            <w:vAlign w:val="top"/>
          </w:tcPr>
          <w:p>
            <w:pPr>
              <w:pStyle w:val="TableText"/>
              <w:ind w:left="141" w:right="181" w:firstLine="29"/>
              <w:spacing w:before="32" w:line="248" w:lineRule="auto"/>
              <w:jc w:val="both"/>
              <w:rPr>
                <w:sz w:val="20"/>
                <w:szCs w:val="20"/>
              </w:rPr>
            </w:pPr>
            <w:r>
              <w:rPr>
                <w:sz w:val="20"/>
                <w:szCs w:val="20"/>
                <w:spacing w:val="-1"/>
              </w:rPr>
              <w:t>认真落实和执行污染物排放总量控制要求。本项目实</w:t>
            </w:r>
            <w:r>
              <w:rPr>
                <w:sz w:val="20"/>
                <w:szCs w:val="20"/>
                <w:spacing w:val="14"/>
              </w:rPr>
              <w:t xml:space="preserve"> </w:t>
            </w:r>
            <w:r>
              <w:rPr>
                <w:sz w:val="20"/>
                <w:szCs w:val="20"/>
                <w:spacing w:val="1"/>
              </w:rPr>
              <w:t>施后，全厂产生的化学需氧量、氨氮、二氧化硫</w:t>
            </w:r>
            <w:r>
              <w:rPr>
                <w:sz w:val="20"/>
                <w:szCs w:val="20"/>
              </w:rPr>
              <w:t>、氮 </w:t>
            </w:r>
            <w:r>
              <w:rPr>
                <w:sz w:val="20"/>
                <w:szCs w:val="20"/>
                <w:spacing w:val="-1"/>
              </w:rPr>
              <w:t>氧化物、挥发性有机物(VOCs)排放总量分别不超</w:t>
            </w:r>
          </w:p>
          <w:p>
            <w:pPr>
              <w:pStyle w:val="TableText"/>
              <w:ind w:left="141" w:right="181" w:firstLine="29"/>
              <w:spacing w:before="44" w:line="223" w:lineRule="auto"/>
              <w:jc w:val="both"/>
              <w:rPr>
                <w:sz w:val="20"/>
                <w:szCs w:val="20"/>
              </w:rPr>
            </w:pPr>
            <w:r>
              <w:rPr>
                <w:sz w:val="20"/>
                <w:szCs w:val="20"/>
              </w:rPr>
              <w:t>过1.935吨/年、0.193吨/年、1.792吨</w:t>
            </w:r>
            <w:r>
              <w:rPr>
                <w:sz w:val="20"/>
                <w:szCs w:val="20"/>
                <w:spacing w:val="-1"/>
              </w:rPr>
              <w:t>/年、29.872吨</w:t>
            </w:r>
            <w:r>
              <w:rPr>
                <w:sz w:val="20"/>
                <w:szCs w:val="20"/>
              </w:rPr>
              <w:t xml:space="preserve"> </w:t>
            </w:r>
            <w:r>
              <w:rPr>
                <w:sz w:val="20"/>
                <w:szCs w:val="20"/>
                <w:spacing w:val="1"/>
              </w:rPr>
              <w:t>/年、12.116吨/年，项目投产前应落实</w:t>
            </w:r>
            <w:r>
              <w:rPr>
                <w:sz w:val="20"/>
                <w:szCs w:val="20"/>
              </w:rPr>
              <w:t>以上污染物排 </w:t>
            </w:r>
            <w:r>
              <w:rPr>
                <w:sz w:val="20"/>
                <w:szCs w:val="20"/>
              </w:rPr>
              <w:t>放总量来源。</w:t>
            </w:r>
          </w:p>
        </w:tc>
        <w:tc>
          <w:tcPr>
            <w:tcW w:w="5646" w:type="dxa"/>
            <w:vAlign w:val="top"/>
          </w:tcPr>
          <w:p>
            <w:pPr>
              <w:spacing w:line="405" w:lineRule="auto"/>
              <w:rPr>
                <w:rFonts w:ascii="Arial"/>
                <w:sz w:val="21"/>
              </w:rPr>
            </w:pPr>
            <w:r/>
          </w:p>
          <w:p>
            <w:pPr>
              <w:pStyle w:val="TableText"/>
              <w:ind w:left="125" w:right="202" w:firstLine="90"/>
              <w:spacing w:before="65" w:line="236" w:lineRule="auto"/>
              <w:jc w:val="both"/>
              <w:rPr>
                <w:sz w:val="20"/>
                <w:szCs w:val="20"/>
              </w:rPr>
            </w:pPr>
            <w:r>
              <w:rPr>
                <w:sz w:val="20"/>
                <w:szCs w:val="20"/>
              </w:rPr>
              <w:t>目前二期工程还在建设阶段，根据目前已验收的产能，厂区</w:t>
            </w:r>
            <w:r>
              <w:rPr>
                <w:sz w:val="20"/>
                <w:szCs w:val="20"/>
                <w:spacing w:val="16"/>
              </w:rPr>
              <w:t xml:space="preserve"> </w:t>
            </w:r>
            <w:r>
              <w:rPr>
                <w:sz w:val="20"/>
                <w:szCs w:val="20"/>
                <w:spacing w:val="4"/>
              </w:rPr>
              <w:t>内的总量可满足环评批复的各项指标要求，并且建设单</w:t>
            </w:r>
            <w:r>
              <w:rPr>
                <w:sz w:val="20"/>
                <w:szCs w:val="20"/>
                <w:spacing w:val="3"/>
              </w:rPr>
              <w:t>位已</w:t>
            </w:r>
            <w:r>
              <w:rPr>
                <w:sz w:val="20"/>
                <w:szCs w:val="20"/>
              </w:rPr>
              <w:t xml:space="preserve"> </w:t>
            </w:r>
            <w:r>
              <w:rPr>
                <w:sz w:val="20"/>
                <w:szCs w:val="20"/>
              </w:rPr>
              <w:t>购买了相应污染物排污权。</w:t>
            </w:r>
          </w:p>
        </w:tc>
        <w:tc>
          <w:tcPr>
            <w:tcW w:w="1904" w:type="dxa"/>
            <w:vAlign w:val="top"/>
          </w:tcPr>
          <w:p>
            <w:pPr>
              <w:spacing w:line="321" w:lineRule="auto"/>
              <w:rPr>
                <w:rFonts w:ascii="Arial"/>
                <w:sz w:val="21"/>
              </w:rPr>
            </w:pPr>
            <w:r/>
          </w:p>
          <w:p>
            <w:pPr>
              <w:spacing w:line="322" w:lineRule="auto"/>
              <w:rPr>
                <w:rFonts w:ascii="Arial"/>
                <w:sz w:val="21"/>
              </w:rPr>
            </w:pPr>
            <w:r/>
          </w:p>
          <w:p>
            <w:pPr>
              <w:pStyle w:val="TableText"/>
              <w:ind w:left="249"/>
              <w:spacing w:before="65" w:line="220" w:lineRule="auto"/>
              <w:rPr>
                <w:sz w:val="20"/>
                <w:szCs w:val="20"/>
              </w:rPr>
            </w:pPr>
            <w:r>
              <w:rPr>
                <w:sz w:val="20"/>
                <w:szCs w:val="20"/>
                <w:spacing w:val="1"/>
              </w:rPr>
              <w:t>已落实批复要求</w:t>
            </w:r>
          </w:p>
        </w:tc>
      </w:tr>
      <w:tr>
        <w:trPr>
          <w:trHeight w:val="819" w:hRule="atLeast"/>
        </w:trPr>
        <w:tc>
          <w:tcPr>
            <w:tcW w:w="794" w:type="dxa"/>
            <w:vAlign w:val="top"/>
            <w:vMerge w:val="continue"/>
            <w:tcBorders>
              <w:top w:val="nil"/>
              <w:bottom w:val="nil"/>
            </w:tcBorders>
          </w:tcPr>
          <w:p>
            <w:pPr>
              <w:rPr>
                <w:rFonts w:ascii="Arial"/>
                <w:sz w:val="21"/>
              </w:rPr>
            </w:pPr>
            <w:r/>
          </w:p>
        </w:tc>
        <w:tc>
          <w:tcPr>
            <w:tcW w:w="849" w:type="dxa"/>
            <w:vAlign w:val="top"/>
          </w:tcPr>
          <w:p>
            <w:pPr>
              <w:pStyle w:val="TableText"/>
              <w:ind w:left="310"/>
              <w:spacing w:before="55" w:line="221" w:lineRule="auto"/>
              <w:rPr>
                <w:sz w:val="20"/>
                <w:szCs w:val="20"/>
              </w:rPr>
            </w:pPr>
            <w:r>
              <w:rPr>
                <w:sz w:val="20"/>
                <w:szCs w:val="20"/>
              </w:rPr>
              <w:t>十</w:t>
            </w:r>
          </w:p>
        </w:tc>
        <w:tc>
          <w:tcPr>
            <w:tcW w:w="4956" w:type="dxa"/>
            <w:vAlign w:val="top"/>
          </w:tcPr>
          <w:p>
            <w:pPr>
              <w:pStyle w:val="TableText"/>
              <w:ind w:left="171" w:right="124"/>
              <w:spacing w:before="45" w:line="235" w:lineRule="auto"/>
              <w:jc w:val="both"/>
              <w:rPr>
                <w:sz w:val="20"/>
                <w:szCs w:val="20"/>
              </w:rPr>
            </w:pPr>
            <w:r>
              <w:rPr>
                <w:sz w:val="20"/>
                <w:szCs w:val="20"/>
                <w:spacing w:val="-1"/>
              </w:rPr>
              <w:t>在项目实施过程中，应建立畅通的公众参与平台，及</w:t>
            </w:r>
            <w:r>
              <w:rPr>
                <w:sz w:val="20"/>
                <w:szCs w:val="20"/>
                <w:spacing w:val="15"/>
              </w:rPr>
              <w:t xml:space="preserve"> </w:t>
            </w:r>
            <w:r>
              <w:rPr>
                <w:sz w:val="20"/>
                <w:szCs w:val="20"/>
              </w:rPr>
              <w:t>时解决公众担忧的环境问题，满足公众合理的环境诉</w:t>
            </w:r>
            <w:r>
              <w:rPr>
                <w:sz w:val="20"/>
                <w:szCs w:val="20"/>
                <w:spacing w:val="7"/>
              </w:rPr>
              <w:t xml:space="preserve"> </w:t>
            </w:r>
            <w:r>
              <w:rPr>
                <w:sz w:val="20"/>
                <w:szCs w:val="20"/>
                <w:spacing w:val="2"/>
              </w:rPr>
              <w:t>求。定期发布企业环境信息，并主动接受社会监督。</w:t>
            </w:r>
          </w:p>
        </w:tc>
        <w:tc>
          <w:tcPr>
            <w:tcW w:w="5646" w:type="dxa"/>
            <w:vAlign w:val="top"/>
          </w:tcPr>
          <w:p>
            <w:pPr>
              <w:pStyle w:val="TableText"/>
              <w:ind w:left="145" w:right="226" w:firstLine="70"/>
              <w:spacing w:before="54" w:line="232" w:lineRule="auto"/>
              <w:jc w:val="both"/>
              <w:rPr>
                <w:sz w:val="20"/>
                <w:szCs w:val="20"/>
              </w:rPr>
            </w:pPr>
            <w:r>
              <w:rPr>
                <w:sz w:val="20"/>
                <w:szCs w:val="20"/>
                <w:spacing w:val="-1"/>
              </w:rPr>
              <w:t>在项目实施过程中，建立畅通的公众参与平台，及时解决公</w:t>
            </w:r>
            <w:r>
              <w:rPr>
                <w:sz w:val="20"/>
                <w:szCs w:val="20"/>
                <w:spacing w:val="17"/>
              </w:rPr>
              <w:t xml:space="preserve"> </w:t>
            </w:r>
            <w:r>
              <w:rPr>
                <w:sz w:val="20"/>
                <w:szCs w:val="20"/>
                <w:spacing w:val="2"/>
              </w:rPr>
              <w:t>众担忧的环境问题，满足公众合理的环境诉求。定期发布企</w:t>
            </w:r>
            <w:r>
              <w:rPr>
                <w:sz w:val="20"/>
                <w:szCs w:val="20"/>
                <w:spacing w:val="8"/>
              </w:rPr>
              <w:t xml:space="preserve"> </w:t>
            </w:r>
            <w:r>
              <w:rPr>
                <w:sz w:val="20"/>
                <w:szCs w:val="20"/>
                <w:spacing w:val="-1"/>
              </w:rPr>
              <w:t>业环境信息，并主动接受社会监督。</w:t>
            </w:r>
          </w:p>
        </w:tc>
        <w:tc>
          <w:tcPr>
            <w:tcW w:w="1904" w:type="dxa"/>
            <w:vAlign w:val="top"/>
          </w:tcPr>
          <w:p>
            <w:pPr>
              <w:spacing w:line="248" w:lineRule="auto"/>
              <w:rPr>
                <w:rFonts w:ascii="Arial"/>
                <w:sz w:val="21"/>
              </w:rPr>
            </w:pPr>
            <w:r/>
          </w:p>
          <w:p>
            <w:pPr>
              <w:pStyle w:val="TableText"/>
              <w:ind w:left="249"/>
              <w:spacing w:before="65" w:line="220" w:lineRule="auto"/>
              <w:rPr>
                <w:sz w:val="20"/>
                <w:szCs w:val="20"/>
              </w:rPr>
            </w:pPr>
            <w:r>
              <w:rPr>
                <w:sz w:val="20"/>
                <w:szCs w:val="20"/>
                <w:spacing w:val="1"/>
              </w:rPr>
              <w:t>已落实批复要求</w:t>
            </w:r>
          </w:p>
        </w:tc>
      </w:tr>
      <w:tr>
        <w:trPr>
          <w:trHeight w:val="1099" w:hRule="atLeast"/>
        </w:trPr>
        <w:tc>
          <w:tcPr>
            <w:tcW w:w="794" w:type="dxa"/>
            <w:vAlign w:val="top"/>
            <w:vMerge w:val="continue"/>
            <w:tcBorders>
              <w:top w:val="nil"/>
              <w:bottom w:val="nil"/>
            </w:tcBorders>
          </w:tcPr>
          <w:p>
            <w:pPr>
              <w:rPr>
                <w:rFonts w:ascii="Arial"/>
                <w:sz w:val="21"/>
              </w:rPr>
            </w:pPr>
            <w:r/>
          </w:p>
        </w:tc>
        <w:tc>
          <w:tcPr>
            <w:tcW w:w="849" w:type="dxa"/>
            <w:vAlign w:val="top"/>
          </w:tcPr>
          <w:p>
            <w:pPr>
              <w:pStyle w:val="TableText"/>
              <w:ind w:left="210"/>
              <w:spacing w:before="66" w:line="221" w:lineRule="auto"/>
              <w:rPr>
                <w:sz w:val="20"/>
                <w:szCs w:val="20"/>
              </w:rPr>
            </w:pPr>
            <w:r>
              <w:rPr>
                <w:sz w:val="20"/>
                <w:szCs w:val="20"/>
                <w:spacing w:val="1"/>
              </w:rPr>
              <w:t>十一</w:t>
            </w:r>
          </w:p>
        </w:tc>
        <w:tc>
          <w:tcPr>
            <w:tcW w:w="4956" w:type="dxa"/>
            <w:vAlign w:val="top"/>
          </w:tcPr>
          <w:p>
            <w:pPr>
              <w:pStyle w:val="TableText"/>
              <w:ind w:left="131" w:right="182" w:firstLine="39"/>
              <w:spacing w:before="66" w:line="236" w:lineRule="auto"/>
              <w:jc w:val="both"/>
              <w:rPr>
                <w:sz w:val="20"/>
                <w:szCs w:val="20"/>
              </w:rPr>
            </w:pPr>
            <w:r>
              <w:rPr>
                <w:sz w:val="20"/>
                <w:szCs w:val="20"/>
                <w:spacing w:val="-1"/>
              </w:rPr>
              <w:t>制定并实施覆盖各环境要素的环境监测计划，做好环</w:t>
            </w:r>
            <w:r>
              <w:rPr>
                <w:sz w:val="20"/>
                <w:szCs w:val="20"/>
                <w:spacing w:val="13"/>
              </w:rPr>
              <w:t xml:space="preserve"> </w:t>
            </w:r>
            <w:r>
              <w:rPr>
                <w:sz w:val="20"/>
                <w:szCs w:val="20"/>
                <w:spacing w:val="1"/>
              </w:rPr>
              <w:t>境管理台账记录。项目应在启动生产设施或在实际排</w:t>
            </w:r>
            <w:r>
              <w:rPr>
                <w:sz w:val="20"/>
                <w:szCs w:val="20"/>
                <w:spacing w:val="7"/>
              </w:rPr>
              <w:t xml:space="preserve"> </w:t>
            </w:r>
            <w:r>
              <w:rPr>
                <w:sz w:val="20"/>
                <w:szCs w:val="20"/>
                <w:spacing w:val="1"/>
              </w:rPr>
              <w:t>污前取得排污许可证，严禁无证排污，并按时提交排</w:t>
            </w:r>
            <w:r>
              <w:rPr>
                <w:sz w:val="20"/>
                <w:szCs w:val="20"/>
                <w:spacing w:val="6"/>
              </w:rPr>
              <w:t xml:space="preserve"> </w:t>
            </w:r>
            <w:r>
              <w:rPr>
                <w:sz w:val="20"/>
                <w:szCs w:val="20"/>
              </w:rPr>
              <w:t>污许可证执行报告。</w:t>
            </w:r>
          </w:p>
        </w:tc>
        <w:tc>
          <w:tcPr>
            <w:tcW w:w="5646" w:type="dxa"/>
            <w:vAlign w:val="top"/>
          </w:tcPr>
          <w:p>
            <w:pPr>
              <w:pStyle w:val="TableText"/>
              <w:ind w:left="166"/>
              <w:spacing w:before="183" w:line="219" w:lineRule="auto"/>
              <w:rPr>
                <w:sz w:val="20"/>
                <w:szCs w:val="20"/>
              </w:rPr>
            </w:pPr>
            <w:r>
              <w:rPr>
                <w:sz w:val="20"/>
                <w:szCs w:val="20"/>
                <w:spacing w:val="1"/>
              </w:rPr>
              <w:t>建设单位各污染源均按监测计划委托第三方检测机构展自</w:t>
            </w:r>
          </w:p>
          <w:p>
            <w:pPr>
              <w:pStyle w:val="TableText"/>
              <w:ind w:left="155" w:right="170" w:firstLine="110"/>
              <w:spacing w:before="43" w:line="230" w:lineRule="auto"/>
              <w:rPr>
                <w:sz w:val="20"/>
                <w:szCs w:val="20"/>
              </w:rPr>
            </w:pPr>
            <w:r>
              <w:rPr>
                <w:sz w:val="20"/>
                <w:szCs w:val="20"/>
              </w:rPr>
              <w:t>行检测，并做好台账记录。建设单位已申领了排污许可</w:t>
            </w:r>
            <w:r>
              <w:rPr>
                <w:sz w:val="20"/>
                <w:szCs w:val="20"/>
                <w:spacing w:val="-1"/>
              </w:rPr>
              <w:t>证，</w:t>
            </w:r>
            <w:r>
              <w:rPr>
                <w:sz w:val="20"/>
                <w:szCs w:val="20"/>
              </w:rPr>
              <w:t xml:space="preserve"> </w:t>
            </w:r>
            <w:r>
              <w:rPr>
                <w:sz w:val="20"/>
                <w:szCs w:val="20"/>
              </w:rPr>
              <w:t>编号：91350921MA32G3QY35001Q。</w:t>
            </w:r>
          </w:p>
        </w:tc>
        <w:tc>
          <w:tcPr>
            <w:tcW w:w="1904" w:type="dxa"/>
            <w:vAlign w:val="top"/>
          </w:tcPr>
          <w:p>
            <w:pPr>
              <w:spacing w:line="388" w:lineRule="auto"/>
              <w:rPr>
                <w:rFonts w:ascii="Arial"/>
                <w:sz w:val="21"/>
              </w:rPr>
            </w:pPr>
            <w:r/>
          </w:p>
          <w:p>
            <w:pPr>
              <w:pStyle w:val="TableText"/>
              <w:ind w:left="249"/>
              <w:spacing w:before="65" w:line="220" w:lineRule="auto"/>
              <w:rPr>
                <w:sz w:val="20"/>
                <w:szCs w:val="20"/>
              </w:rPr>
            </w:pPr>
            <w:r>
              <w:rPr>
                <w:sz w:val="20"/>
                <w:szCs w:val="20"/>
                <w:spacing w:val="1"/>
              </w:rPr>
              <w:t>已落实批复要求</w:t>
            </w:r>
          </w:p>
        </w:tc>
      </w:tr>
      <w:tr>
        <w:trPr>
          <w:trHeight w:val="1383" w:hRule="atLeast"/>
        </w:trPr>
        <w:tc>
          <w:tcPr>
            <w:tcW w:w="794" w:type="dxa"/>
            <w:vAlign w:val="top"/>
            <w:vMerge w:val="continue"/>
            <w:tcBorders>
              <w:top w:val="nil"/>
            </w:tcBorders>
          </w:tcPr>
          <w:p>
            <w:pPr>
              <w:rPr>
                <w:rFonts w:ascii="Arial"/>
                <w:sz w:val="21"/>
              </w:rPr>
            </w:pPr>
            <w:r/>
          </w:p>
        </w:tc>
        <w:tc>
          <w:tcPr>
            <w:tcW w:w="849" w:type="dxa"/>
            <w:vAlign w:val="top"/>
          </w:tcPr>
          <w:p>
            <w:pPr>
              <w:pStyle w:val="TableText"/>
              <w:ind w:left="210"/>
              <w:spacing w:before="57" w:line="221" w:lineRule="auto"/>
              <w:rPr>
                <w:sz w:val="20"/>
                <w:szCs w:val="20"/>
              </w:rPr>
            </w:pPr>
            <w:r>
              <w:rPr>
                <w:sz w:val="20"/>
                <w:szCs w:val="20"/>
                <w:spacing w:val="-3"/>
              </w:rPr>
              <w:t>十二</w:t>
            </w:r>
          </w:p>
        </w:tc>
        <w:tc>
          <w:tcPr>
            <w:tcW w:w="4956" w:type="dxa"/>
            <w:vAlign w:val="top"/>
          </w:tcPr>
          <w:p>
            <w:pPr>
              <w:pStyle w:val="TableText"/>
              <w:ind w:left="171" w:right="149"/>
              <w:spacing w:before="56" w:line="243" w:lineRule="auto"/>
              <w:jc w:val="both"/>
              <w:rPr>
                <w:sz w:val="20"/>
                <w:szCs w:val="20"/>
              </w:rPr>
            </w:pPr>
            <w:r>
              <w:rPr>
                <w:sz w:val="20"/>
                <w:szCs w:val="20"/>
              </w:rPr>
              <w:t>项目的环境影响评价文件经批准后，必须严格按照报</w:t>
            </w:r>
            <w:r>
              <w:rPr>
                <w:sz w:val="20"/>
                <w:szCs w:val="20"/>
                <w:spacing w:val="8"/>
              </w:rPr>
              <w:t xml:space="preserve"> </w:t>
            </w:r>
            <w:r>
              <w:rPr>
                <w:sz w:val="20"/>
                <w:szCs w:val="20"/>
              </w:rPr>
              <w:t>告表确定的生产原料及原料来源、生产工艺流程和生</w:t>
            </w:r>
            <w:r>
              <w:rPr>
                <w:sz w:val="20"/>
                <w:szCs w:val="20"/>
                <w:spacing w:val="8"/>
              </w:rPr>
              <w:t xml:space="preserve"> </w:t>
            </w:r>
            <w:r>
              <w:rPr>
                <w:sz w:val="20"/>
                <w:szCs w:val="20"/>
                <w:spacing w:val="1"/>
              </w:rPr>
              <w:t>立内容组织生产，如项目的性质、规模、地点、采用</w:t>
            </w:r>
            <w:r>
              <w:rPr>
                <w:sz w:val="20"/>
                <w:szCs w:val="20"/>
              </w:rPr>
              <w:t xml:space="preserve"> </w:t>
            </w:r>
            <w:r>
              <w:rPr>
                <w:sz w:val="20"/>
                <w:szCs w:val="20"/>
              </w:rPr>
              <w:t>的生产工艺或者防治污染、防止生态破坏的措施发生</w:t>
            </w:r>
            <w:r>
              <w:rPr>
                <w:sz w:val="20"/>
                <w:szCs w:val="20"/>
                <w:spacing w:val="8"/>
              </w:rPr>
              <w:t xml:space="preserve"> </w:t>
            </w:r>
            <w:r>
              <w:rPr>
                <w:sz w:val="20"/>
                <w:szCs w:val="20"/>
                <w:spacing w:val="-1"/>
              </w:rPr>
              <w:t>重大变动，建设单位应当重新报批环境影响评价文件</w:t>
            </w:r>
          </w:p>
        </w:tc>
        <w:tc>
          <w:tcPr>
            <w:tcW w:w="5646" w:type="dxa"/>
            <w:vAlign w:val="top"/>
          </w:tcPr>
          <w:p>
            <w:pPr>
              <w:spacing w:line="386" w:lineRule="auto"/>
              <w:rPr>
                <w:rFonts w:ascii="Arial"/>
                <w:sz w:val="21"/>
              </w:rPr>
            </w:pPr>
            <w:r/>
          </w:p>
          <w:p>
            <w:pPr>
              <w:pStyle w:val="TableText"/>
              <w:ind w:left="125" w:right="228" w:firstLine="90"/>
              <w:spacing w:before="65" w:line="249" w:lineRule="auto"/>
              <w:rPr>
                <w:sz w:val="20"/>
                <w:szCs w:val="20"/>
              </w:rPr>
            </w:pPr>
            <w:r>
              <w:rPr>
                <w:sz w:val="20"/>
                <w:szCs w:val="20"/>
                <w:spacing w:val="-1"/>
              </w:rPr>
              <w:t>本项目按报告表确定的生产原料及原料来源、生产工艺流程</w:t>
            </w:r>
            <w:r>
              <w:rPr>
                <w:sz w:val="20"/>
                <w:szCs w:val="20"/>
                <w:spacing w:val="16"/>
              </w:rPr>
              <w:t xml:space="preserve"> </w:t>
            </w:r>
            <w:r>
              <w:rPr>
                <w:sz w:val="20"/>
                <w:szCs w:val="20"/>
              </w:rPr>
              <w:t>和生产内容组织生产。</w:t>
            </w:r>
          </w:p>
        </w:tc>
        <w:tc>
          <w:tcPr>
            <w:tcW w:w="1904" w:type="dxa"/>
            <w:vAlign w:val="top"/>
          </w:tcPr>
          <w:p>
            <w:pPr>
              <w:spacing w:line="264" w:lineRule="auto"/>
              <w:rPr>
                <w:rFonts w:ascii="Arial"/>
                <w:sz w:val="21"/>
              </w:rPr>
            </w:pPr>
            <w:r/>
          </w:p>
          <w:p>
            <w:pPr>
              <w:spacing w:line="264" w:lineRule="auto"/>
              <w:rPr>
                <w:rFonts w:ascii="Arial"/>
                <w:sz w:val="21"/>
              </w:rPr>
            </w:pPr>
            <w:r/>
          </w:p>
          <w:p>
            <w:pPr>
              <w:pStyle w:val="TableText"/>
              <w:ind w:left="249"/>
              <w:spacing w:before="65" w:line="220" w:lineRule="auto"/>
              <w:rPr>
                <w:sz w:val="20"/>
                <w:szCs w:val="20"/>
              </w:rPr>
            </w:pPr>
            <w:r>
              <w:rPr>
                <w:sz w:val="20"/>
                <w:szCs w:val="20"/>
                <w:spacing w:val="1"/>
              </w:rPr>
              <w:t>已落实批复要求</w:t>
            </w:r>
          </w:p>
        </w:tc>
      </w:tr>
    </w:tbl>
    <w:p>
      <w:pPr>
        <w:rPr>
          <w:rFonts w:ascii="Arial"/>
          <w:sz w:val="21"/>
        </w:rPr>
      </w:pPr>
      <w:r/>
    </w:p>
    <w:p>
      <w:pPr>
        <w:sectPr>
          <w:footerReference w:type="default" r:id="rId66"/>
          <w:pgSz w:w="16840" w:h="11900"/>
          <w:pgMar w:top="1011" w:right="1354" w:bottom="978" w:left="1325" w:header="0" w:footer="839" w:gutter="0"/>
        </w:sectPr>
        <w:rPr>
          <w:rFonts w:ascii="Arial" w:hAnsi="Arial" w:eastAsia="Arial" w:cs="Arial"/>
          <w:sz w:val="21"/>
          <w:szCs w:val="21"/>
        </w:rPr>
      </w:pPr>
    </w:p>
    <w:p>
      <w:pPr>
        <w:spacing w:before="110"/>
        <w:rPr/>
      </w:pPr>
      <w:r/>
    </w:p>
    <w:p>
      <w:pPr>
        <w:spacing w:before="110"/>
        <w:rPr/>
      </w:pPr>
      <w:r/>
    </w:p>
    <w:tbl>
      <w:tblPr>
        <w:tblStyle w:val="TableNormal"/>
        <w:tblW w:w="141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94"/>
        <w:gridCol w:w="849"/>
        <w:gridCol w:w="4956"/>
        <w:gridCol w:w="5646"/>
        <w:gridCol w:w="1904"/>
      </w:tblGrid>
      <w:tr>
        <w:trPr>
          <w:trHeight w:val="1433" w:hRule="atLeast"/>
        </w:trPr>
        <w:tc>
          <w:tcPr>
            <w:tcW w:w="794" w:type="dxa"/>
            <w:vAlign w:val="top"/>
            <w:vMerge w:val="restart"/>
            <w:tcBorders>
              <w:bottom w:val="nil"/>
            </w:tcBorders>
          </w:tcPr>
          <w:p>
            <w:pPr>
              <w:rPr>
                <w:rFonts w:ascii="Arial"/>
                <w:sz w:val="21"/>
              </w:rPr>
            </w:pPr>
            <w:r/>
          </w:p>
        </w:tc>
        <w:tc>
          <w:tcPr>
            <w:tcW w:w="849" w:type="dxa"/>
            <w:vAlign w:val="top"/>
          </w:tcPr>
          <w:p>
            <w:pPr>
              <w:pStyle w:val="TableText"/>
              <w:ind w:left="210"/>
              <w:spacing w:before="74" w:line="221" w:lineRule="auto"/>
              <w:rPr>
                <w:sz w:val="20"/>
                <w:szCs w:val="20"/>
              </w:rPr>
            </w:pPr>
            <w:r>
              <w:rPr>
                <w:sz w:val="20"/>
                <w:szCs w:val="20"/>
                <w:spacing w:val="-3"/>
              </w:rPr>
              <w:t>十三</w:t>
            </w:r>
          </w:p>
        </w:tc>
        <w:tc>
          <w:tcPr>
            <w:tcW w:w="4956" w:type="dxa"/>
            <w:vAlign w:val="top"/>
          </w:tcPr>
          <w:p>
            <w:pPr>
              <w:pStyle w:val="TableText"/>
              <w:ind w:left="141" w:right="156" w:firstLine="130"/>
              <w:spacing w:before="233" w:line="244" w:lineRule="auto"/>
              <w:rPr>
                <w:sz w:val="20"/>
                <w:szCs w:val="20"/>
              </w:rPr>
            </w:pPr>
            <w:r>
              <w:rPr>
                <w:sz w:val="20"/>
                <w:szCs w:val="20"/>
              </w:rPr>
              <w:t>项目建设必须严格执行环境保护设施与主体工程同</w:t>
            </w:r>
            <w:r>
              <w:rPr>
                <w:sz w:val="20"/>
                <w:szCs w:val="20"/>
                <w:spacing w:val="8"/>
              </w:rPr>
              <w:t xml:space="preserve">  </w:t>
            </w:r>
            <w:r>
              <w:rPr>
                <w:sz w:val="20"/>
                <w:szCs w:val="20"/>
                <w:spacing w:val="2"/>
              </w:rPr>
              <w:t>时设计、同时施工、同时投产使用的环境保护“三同</w:t>
            </w:r>
            <w:r>
              <w:rPr>
                <w:sz w:val="20"/>
                <w:szCs w:val="20"/>
              </w:rPr>
              <w:t xml:space="preserve"> </w:t>
            </w:r>
            <w:r>
              <w:rPr>
                <w:sz w:val="20"/>
                <w:szCs w:val="20"/>
                <w:spacing w:val="1"/>
              </w:rPr>
              <w:t>时”制度，落实各项环保措施。项目建成后，应按规</w:t>
            </w:r>
            <w:r>
              <w:rPr>
                <w:sz w:val="20"/>
                <w:szCs w:val="20"/>
                <w:spacing w:val="14"/>
              </w:rPr>
              <w:t xml:space="preserve"> </w:t>
            </w:r>
            <w:r>
              <w:rPr>
                <w:sz w:val="20"/>
                <w:szCs w:val="20"/>
              </w:rPr>
              <w:t>定程序实施竣工环境保护验收。</w:t>
            </w:r>
          </w:p>
        </w:tc>
        <w:tc>
          <w:tcPr>
            <w:tcW w:w="5646" w:type="dxa"/>
            <w:vAlign w:val="top"/>
          </w:tcPr>
          <w:p>
            <w:pPr>
              <w:spacing w:line="433" w:lineRule="auto"/>
              <w:rPr>
                <w:rFonts w:ascii="Arial"/>
                <w:sz w:val="21"/>
              </w:rPr>
            </w:pPr>
            <w:r/>
          </w:p>
          <w:p>
            <w:pPr>
              <w:pStyle w:val="TableText"/>
              <w:ind w:left="125" w:right="202" w:firstLine="90"/>
              <w:spacing w:before="65" w:line="235" w:lineRule="auto"/>
              <w:rPr>
                <w:sz w:val="20"/>
                <w:szCs w:val="20"/>
              </w:rPr>
            </w:pPr>
            <w:r>
              <w:rPr>
                <w:sz w:val="20"/>
                <w:szCs w:val="20"/>
              </w:rPr>
              <w:t>本项目建设严格执行环境保护设施与主体工程同时设计、同</w:t>
            </w:r>
            <w:r>
              <w:rPr>
                <w:sz w:val="20"/>
                <w:szCs w:val="20"/>
                <w:spacing w:val="16"/>
              </w:rPr>
              <w:t xml:space="preserve"> </w:t>
            </w:r>
            <w:r>
              <w:rPr>
                <w:sz w:val="20"/>
                <w:szCs w:val="20"/>
              </w:rPr>
              <w:t>时施工、同时投产使用的环境保护“三同时”制度。</w:t>
            </w:r>
          </w:p>
        </w:tc>
        <w:tc>
          <w:tcPr>
            <w:tcW w:w="1904" w:type="dxa"/>
            <w:vAlign w:val="top"/>
          </w:tcPr>
          <w:p>
            <w:pPr>
              <w:spacing w:line="277" w:lineRule="auto"/>
              <w:rPr>
                <w:rFonts w:ascii="Arial"/>
                <w:sz w:val="21"/>
              </w:rPr>
            </w:pPr>
            <w:r/>
          </w:p>
          <w:p>
            <w:pPr>
              <w:spacing w:line="278" w:lineRule="auto"/>
              <w:rPr>
                <w:rFonts w:ascii="Arial"/>
                <w:sz w:val="21"/>
              </w:rPr>
            </w:pPr>
            <w:r/>
          </w:p>
          <w:p>
            <w:pPr>
              <w:pStyle w:val="TableText"/>
              <w:ind w:left="249"/>
              <w:spacing w:before="65" w:line="220" w:lineRule="auto"/>
              <w:rPr>
                <w:sz w:val="20"/>
                <w:szCs w:val="20"/>
              </w:rPr>
            </w:pPr>
            <w:r>
              <w:rPr>
                <w:sz w:val="20"/>
                <w:szCs w:val="20"/>
                <w:spacing w:val="1"/>
              </w:rPr>
              <w:t>已落实批复要求</w:t>
            </w:r>
          </w:p>
        </w:tc>
      </w:tr>
      <w:tr>
        <w:trPr>
          <w:trHeight w:val="279" w:hRule="atLeast"/>
        </w:trPr>
        <w:tc>
          <w:tcPr>
            <w:tcW w:w="794" w:type="dxa"/>
            <w:vAlign w:val="top"/>
            <w:vMerge w:val="continue"/>
            <w:tcBorders>
              <w:top w:val="nil"/>
              <w:bottom w:val="nil"/>
            </w:tcBorders>
          </w:tcPr>
          <w:p>
            <w:pPr>
              <w:rPr>
                <w:rFonts w:ascii="Arial"/>
                <w:sz w:val="21"/>
              </w:rPr>
            </w:pPr>
            <w:r/>
          </w:p>
        </w:tc>
        <w:tc>
          <w:tcPr>
            <w:tcW w:w="13355" w:type="dxa"/>
            <w:vAlign w:val="top"/>
            <w:gridSpan w:val="4"/>
          </w:tcPr>
          <w:p>
            <w:pPr>
              <w:pStyle w:val="TableText"/>
              <w:ind w:left="3403"/>
              <w:spacing w:before="30" w:line="214" w:lineRule="auto"/>
              <w:rPr>
                <w:sz w:val="20"/>
                <w:szCs w:val="20"/>
              </w:rPr>
            </w:pPr>
            <w:r>
              <w:rPr>
                <w:sz w:val="20"/>
                <w:szCs w:val="20"/>
                <w:b/>
                <w:bCs/>
                <w:spacing w:val="-2"/>
              </w:rPr>
              <w:t>时代一汽20gwh动力电池生产线扩建项目阶段性竣工环境保护验收意见</w:t>
            </w:r>
          </w:p>
        </w:tc>
      </w:tr>
      <w:tr>
        <w:trPr>
          <w:trHeight w:val="809" w:hRule="atLeast"/>
        </w:trPr>
        <w:tc>
          <w:tcPr>
            <w:tcW w:w="794" w:type="dxa"/>
            <w:vAlign w:val="top"/>
            <w:vMerge w:val="continue"/>
            <w:tcBorders>
              <w:top w:val="nil"/>
              <w:bottom w:val="nil"/>
            </w:tcBorders>
          </w:tcPr>
          <w:p>
            <w:pPr>
              <w:rPr>
                <w:rFonts w:ascii="Arial"/>
                <w:sz w:val="21"/>
              </w:rPr>
            </w:pPr>
            <w:r/>
          </w:p>
        </w:tc>
        <w:tc>
          <w:tcPr>
            <w:tcW w:w="849" w:type="dxa"/>
            <w:vAlign w:val="top"/>
          </w:tcPr>
          <w:p>
            <w:pPr>
              <w:spacing w:line="294" w:lineRule="auto"/>
              <w:rPr>
                <w:rFonts w:ascii="Arial"/>
                <w:sz w:val="21"/>
              </w:rPr>
            </w:pPr>
            <w:r/>
          </w:p>
          <w:p>
            <w:pPr>
              <w:pStyle w:val="TableText"/>
              <w:ind w:left="360"/>
              <w:spacing w:before="65" w:line="184" w:lineRule="auto"/>
              <w:rPr>
                <w:sz w:val="20"/>
                <w:szCs w:val="20"/>
              </w:rPr>
            </w:pPr>
            <w:r>
              <w:rPr>
                <w:sz w:val="20"/>
                <w:szCs w:val="20"/>
              </w:rPr>
              <w:t>1</w:t>
            </w:r>
          </w:p>
        </w:tc>
        <w:tc>
          <w:tcPr>
            <w:tcW w:w="4956" w:type="dxa"/>
            <w:vAlign w:val="top"/>
          </w:tcPr>
          <w:p>
            <w:pPr>
              <w:pStyle w:val="TableText"/>
              <w:ind w:left="131" w:right="163" w:firstLine="39"/>
              <w:spacing w:before="179" w:line="235" w:lineRule="auto"/>
              <w:rPr>
                <w:sz w:val="20"/>
                <w:szCs w:val="20"/>
              </w:rPr>
            </w:pPr>
            <w:r>
              <w:rPr>
                <w:sz w:val="20"/>
                <w:szCs w:val="20"/>
              </w:rPr>
              <w:t>完善环保管理机构和制度，强化环保处理设施的日常</w:t>
            </w:r>
            <w:r>
              <w:rPr>
                <w:sz w:val="20"/>
                <w:szCs w:val="20"/>
                <w:spacing w:val="9"/>
              </w:rPr>
              <w:t xml:space="preserve"> </w:t>
            </w:r>
            <w:r>
              <w:rPr>
                <w:sz w:val="20"/>
                <w:szCs w:val="20"/>
                <w:spacing w:val="-1"/>
              </w:rPr>
              <w:t>运行、维护、管理，确保各污染物稳定达标排放</w:t>
            </w:r>
          </w:p>
        </w:tc>
        <w:tc>
          <w:tcPr>
            <w:tcW w:w="5646" w:type="dxa"/>
            <w:vAlign w:val="top"/>
          </w:tcPr>
          <w:p>
            <w:pPr>
              <w:pStyle w:val="TableText"/>
              <w:ind w:left="216"/>
              <w:spacing w:before="21" w:line="219" w:lineRule="auto"/>
              <w:rPr>
                <w:sz w:val="20"/>
                <w:szCs w:val="20"/>
              </w:rPr>
            </w:pPr>
            <w:r>
              <w:rPr>
                <w:sz w:val="20"/>
                <w:szCs w:val="20"/>
              </w:rPr>
              <w:t>公司建立环保管理制度，落实各类环保设施运行的的日常点</w:t>
            </w:r>
          </w:p>
          <w:p>
            <w:pPr>
              <w:pStyle w:val="TableText"/>
              <w:ind w:left="105" w:right="227" w:firstLine="110"/>
              <w:spacing w:before="42" w:line="230" w:lineRule="auto"/>
              <w:rPr>
                <w:sz w:val="20"/>
                <w:szCs w:val="20"/>
              </w:rPr>
            </w:pPr>
            <w:r>
              <w:rPr>
                <w:sz w:val="20"/>
                <w:szCs w:val="20"/>
                <w:spacing w:val="-1"/>
              </w:rPr>
              <w:t>检，并开展年度监测及日常监测，保证各类污染物稳定达标</w:t>
            </w:r>
            <w:r>
              <w:rPr>
                <w:sz w:val="20"/>
                <w:szCs w:val="20"/>
                <w:spacing w:val="17"/>
              </w:rPr>
              <w:t xml:space="preserve"> </w:t>
            </w:r>
            <w:r>
              <w:rPr>
                <w:sz w:val="20"/>
                <w:szCs w:val="20"/>
              </w:rPr>
              <w:t>排放。</w:t>
            </w:r>
          </w:p>
        </w:tc>
        <w:tc>
          <w:tcPr>
            <w:tcW w:w="1904" w:type="dxa"/>
            <w:vAlign w:val="top"/>
          </w:tcPr>
          <w:p>
            <w:pPr>
              <w:spacing w:line="245" w:lineRule="auto"/>
              <w:rPr>
                <w:rFonts w:ascii="Arial"/>
                <w:sz w:val="21"/>
              </w:rPr>
            </w:pPr>
            <w:r/>
          </w:p>
          <w:p>
            <w:pPr>
              <w:pStyle w:val="TableText"/>
              <w:ind w:left="649"/>
              <w:spacing w:before="65" w:line="220" w:lineRule="auto"/>
              <w:rPr>
                <w:sz w:val="20"/>
                <w:szCs w:val="20"/>
              </w:rPr>
            </w:pPr>
            <w:r>
              <w:rPr>
                <w:sz w:val="20"/>
                <w:szCs w:val="20"/>
                <w:spacing w:val="3"/>
              </w:rPr>
              <w:t>已落实</w:t>
            </w:r>
          </w:p>
        </w:tc>
      </w:tr>
      <w:tr>
        <w:trPr>
          <w:trHeight w:val="3319" w:hRule="atLeast"/>
        </w:trPr>
        <w:tc>
          <w:tcPr>
            <w:tcW w:w="794" w:type="dxa"/>
            <w:vAlign w:val="top"/>
            <w:vMerge w:val="continue"/>
            <w:tcBorders>
              <w:top w:val="nil"/>
            </w:tcBorders>
          </w:tcPr>
          <w:p>
            <w:pPr>
              <w:rPr>
                <w:rFonts w:ascii="Arial"/>
                <w:sz w:val="21"/>
              </w:rPr>
            </w:pPr>
            <w:r/>
          </w:p>
        </w:tc>
        <w:tc>
          <w:tcPr>
            <w:tcW w:w="13355" w:type="dxa"/>
            <w:vAlign w:val="top"/>
            <w:gridSpan w:val="4"/>
          </w:tcPr>
          <w:p>
            <w:pPr>
              <w:rPr>
                <w:rFonts w:ascii="Arial"/>
                <w:sz w:val="21"/>
              </w:rPr>
            </w:pPr>
            <w:r/>
          </w:p>
        </w:tc>
      </w:tr>
    </w:tbl>
    <w:p>
      <w:pPr>
        <w:rPr>
          <w:rFonts w:ascii="Arial"/>
          <w:sz w:val="21"/>
        </w:rPr>
      </w:pPr>
      <w:r/>
    </w:p>
    <w:p>
      <w:pPr>
        <w:sectPr>
          <w:footerReference w:type="default" r:id="rId67"/>
          <w:pgSz w:w="16840" w:h="11900"/>
          <w:pgMar w:top="1011" w:right="1354" w:bottom="978" w:left="1325" w:header="0" w:footer="839" w:gutter="0"/>
        </w:sectPr>
        <w:rPr>
          <w:rFonts w:ascii="Arial" w:hAnsi="Arial" w:eastAsia="Arial" w:cs="Arial"/>
          <w:sz w:val="21"/>
          <w:szCs w:val="21"/>
        </w:rPr>
      </w:pPr>
    </w:p>
    <w:p>
      <w:pPr>
        <w:spacing w:line="37" w:lineRule="auto"/>
        <w:rPr>
          <w:rFonts w:ascii="Arial"/>
          <w:sz w:val="2"/>
        </w:rPr>
      </w:pPr>
      <w:r>
        <w:rPr>
          <w:rFonts w:ascii="Arial"/>
          <w:sz w:val="2"/>
        </w:rPr>
      </w:r>
    </w:p>
    <w:tbl>
      <w:tblPr>
        <w:tblStyle w:val="TableNormal"/>
        <w:tblW w:w="88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34"/>
        <w:gridCol w:w="8346"/>
      </w:tblGrid>
      <w:tr>
        <w:trPr>
          <w:trHeight w:val="9099" w:hRule="atLeast"/>
        </w:trPr>
        <w:tc>
          <w:tcPr>
            <w:tcW w:w="534" w:type="dxa"/>
            <w:vAlign w:val="top"/>
            <w:textDirection w:val="tbRlV"/>
          </w:tcPr>
          <w:p>
            <w:pPr>
              <w:pStyle w:val="TableText"/>
              <w:ind w:left="2391"/>
              <w:spacing w:before="138" w:line="217" w:lineRule="auto"/>
              <w:rPr>
                <w:sz w:val="24"/>
                <w:szCs w:val="24"/>
              </w:rPr>
            </w:pPr>
            <w:r>
              <w:rPr>
                <w:sz w:val="24"/>
                <w:szCs w:val="24"/>
              </w:rPr>
              <w:t>与</w:t>
            </w:r>
            <w:r>
              <w:rPr>
                <w:sz w:val="24"/>
                <w:szCs w:val="24"/>
                <w:spacing w:val="-48"/>
              </w:rPr>
              <w:t xml:space="preserve"> </w:t>
            </w:r>
            <w:r>
              <w:rPr>
                <w:sz w:val="24"/>
                <w:szCs w:val="24"/>
              </w:rPr>
              <w:t>项</w:t>
            </w:r>
            <w:r>
              <w:rPr>
                <w:sz w:val="24"/>
                <w:szCs w:val="24"/>
                <w:spacing w:val="-48"/>
              </w:rPr>
              <w:t xml:space="preserve"> </w:t>
            </w:r>
            <w:r>
              <w:rPr>
                <w:sz w:val="24"/>
                <w:szCs w:val="24"/>
              </w:rPr>
              <w:t>目</w:t>
            </w:r>
            <w:r>
              <w:rPr>
                <w:sz w:val="24"/>
                <w:szCs w:val="24"/>
                <w:spacing w:val="-48"/>
              </w:rPr>
              <w:t xml:space="preserve"> </w:t>
            </w:r>
            <w:r>
              <w:rPr>
                <w:sz w:val="24"/>
                <w:szCs w:val="24"/>
              </w:rPr>
              <w:t>有</w:t>
            </w:r>
            <w:r>
              <w:rPr>
                <w:sz w:val="24"/>
                <w:szCs w:val="24"/>
                <w:spacing w:val="-48"/>
              </w:rPr>
              <w:t xml:space="preserve"> </w:t>
            </w:r>
            <w:r>
              <w:rPr>
                <w:sz w:val="24"/>
                <w:szCs w:val="24"/>
              </w:rPr>
              <w:t>关</w:t>
            </w:r>
            <w:r>
              <w:rPr>
                <w:sz w:val="24"/>
                <w:szCs w:val="24"/>
                <w:spacing w:val="-48"/>
              </w:rPr>
              <w:t xml:space="preserve"> </w:t>
            </w:r>
            <w:r>
              <w:rPr>
                <w:sz w:val="24"/>
                <w:szCs w:val="24"/>
              </w:rPr>
              <w:t>的</w:t>
            </w:r>
            <w:r>
              <w:rPr>
                <w:sz w:val="24"/>
                <w:szCs w:val="24"/>
                <w:spacing w:val="-47"/>
              </w:rPr>
              <w:t xml:space="preserve"> </w:t>
            </w:r>
            <w:r>
              <w:rPr>
                <w:sz w:val="24"/>
                <w:szCs w:val="24"/>
              </w:rPr>
              <w:t>原</w:t>
            </w:r>
            <w:r>
              <w:rPr>
                <w:sz w:val="24"/>
                <w:szCs w:val="24"/>
                <w:spacing w:val="-48"/>
              </w:rPr>
              <w:t xml:space="preserve"> </w:t>
            </w:r>
            <w:r>
              <w:rPr>
                <w:sz w:val="24"/>
                <w:szCs w:val="24"/>
              </w:rPr>
              <w:t>有</w:t>
            </w:r>
            <w:r>
              <w:rPr>
                <w:sz w:val="24"/>
                <w:szCs w:val="24"/>
                <w:spacing w:val="-48"/>
              </w:rPr>
              <w:t xml:space="preserve"> </w:t>
            </w:r>
            <w:r>
              <w:rPr>
                <w:sz w:val="24"/>
                <w:szCs w:val="24"/>
              </w:rPr>
              <w:t>环</w:t>
            </w:r>
            <w:r>
              <w:rPr>
                <w:sz w:val="24"/>
                <w:szCs w:val="24"/>
                <w:spacing w:val="-47"/>
              </w:rPr>
              <w:t xml:space="preserve"> </w:t>
            </w:r>
            <w:r>
              <w:rPr>
                <w:sz w:val="24"/>
                <w:szCs w:val="24"/>
              </w:rPr>
              <w:t>境</w:t>
            </w:r>
            <w:r>
              <w:rPr>
                <w:sz w:val="24"/>
                <w:szCs w:val="24"/>
                <w:spacing w:val="-48"/>
              </w:rPr>
              <w:t xml:space="preserve"> </w:t>
            </w:r>
            <w:r>
              <w:rPr>
                <w:sz w:val="24"/>
                <w:szCs w:val="24"/>
              </w:rPr>
              <w:t>污</w:t>
            </w:r>
            <w:r>
              <w:rPr>
                <w:sz w:val="24"/>
                <w:szCs w:val="24"/>
                <w:spacing w:val="-48"/>
              </w:rPr>
              <w:t xml:space="preserve"> </w:t>
            </w:r>
            <w:r>
              <w:rPr>
                <w:sz w:val="24"/>
                <w:szCs w:val="24"/>
              </w:rPr>
              <w:t>染</w:t>
            </w:r>
            <w:r>
              <w:rPr>
                <w:sz w:val="24"/>
                <w:szCs w:val="24"/>
                <w:spacing w:val="-47"/>
              </w:rPr>
              <w:t xml:space="preserve"> </w:t>
            </w:r>
            <w:r>
              <w:rPr>
                <w:sz w:val="24"/>
                <w:szCs w:val="24"/>
              </w:rPr>
              <w:t>问</w:t>
            </w:r>
            <w:r>
              <w:rPr>
                <w:sz w:val="24"/>
                <w:szCs w:val="24"/>
                <w:spacing w:val="-48"/>
              </w:rPr>
              <w:t xml:space="preserve"> </w:t>
            </w:r>
            <w:r>
              <w:rPr>
                <w:sz w:val="24"/>
                <w:szCs w:val="24"/>
              </w:rPr>
              <w:t>题</w:t>
            </w:r>
          </w:p>
        </w:tc>
        <w:tc>
          <w:tcPr>
            <w:tcW w:w="8346" w:type="dxa"/>
            <w:vAlign w:val="top"/>
          </w:tcPr>
          <w:p>
            <w:pPr>
              <w:pStyle w:val="TableText"/>
              <w:ind w:left="114"/>
              <w:spacing w:before="41" w:line="219" w:lineRule="auto"/>
              <w:rPr>
                <w:sz w:val="24"/>
                <w:szCs w:val="24"/>
              </w:rPr>
            </w:pPr>
            <w:r>
              <w:rPr>
                <w:sz w:val="24"/>
                <w:szCs w:val="24"/>
                <w:b/>
                <w:bCs/>
                <w:spacing w:val="-4"/>
              </w:rPr>
              <w:t>2.9.2现有工程存在的问题及整改措施</w:t>
            </w:r>
          </w:p>
          <w:p>
            <w:pPr>
              <w:pStyle w:val="TableText"/>
              <w:ind w:left="611"/>
              <w:spacing w:before="196" w:line="218" w:lineRule="auto"/>
              <w:rPr>
                <w:sz w:val="24"/>
                <w:szCs w:val="24"/>
              </w:rPr>
            </w:pPr>
            <w:r>
              <w:rPr>
                <w:sz w:val="24"/>
                <w:szCs w:val="24"/>
              </w:rPr>
              <w:t>现有工程(已验收部分)已按环评报告及批复的要求设置各类环保措施，</w:t>
            </w:r>
          </w:p>
          <w:p>
            <w:pPr>
              <w:pStyle w:val="TableText"/>
              <w:ind w:left="131"/>
              <w:spacing w:before="174" w:line="465" w:lineRule="exact"/>
              <w:rPr>
                <w:sz w:val="24"/>
                <w:szCs w:val="24"/>
              </w:rPr>
            </w:pPr>
            <w:r>
              <w:rPr>
                <w:sz w:val="24"/>
                <w:szCs w:val="24"/>
                <w:spacing w:val="2"/>
                <w:position w:val="17"/>
              </w:rPr>
              <w:t>落实各项环保设施和主体工程同时设计、同时施工、同时使用的“三同时”,</w:t>
            </w:r>
          </w:p>
          <w:p>
            <w:pPr>
              <w:pStyle w:val="TableText"/>
              <w:ind w:left="121"/>
              <w:spacing w:line="220" w:lineRule="auto"/>
              <w:rPr>
                <w:sz w:val="24"/>
                <w:szCs w:val="24"/>
              </w:rPr>
            </w:pPr>
            <w:r>
              <w:rPr>
                <w:sz w:val="24"/>
                <w:szCs w:val="24"/>
                <w:spacing w:val="-1"/>
              </w:rPr>
              <w:t>运营期间无环保投诉。</w:t>
            </w:r>
          </w:p>
          <w:p>
            <w:pPr>
              <w:pStyle w:val="TableText"/>
              <w:ind w:left="611"/>
              <w:spacing w:before="203" w:line="219" w:lineRule="auto"/>
              <w:rPr>
                <w:sz w:val="24"/>
                <w:szCs w:val="24"/>
              </w:rPr>
            </w:pPr>
            <w:r>
              <w:rPr>
                <w:sz w:val="24"/>
                <w:szCs w:val="24"/>
                <w:spacing w:val="-1"/>
              </w:rPr>
              <w:t>现存在的问题及整改措施：</w:t>
            </w:r>
          </w:p>
          <w:p>
            <w:pPr>
              <w:pStyle w:val="TableText"/>
              <w:ind w:left="621"/>
              <w:spacing w:before="163" w:line="219" w:lineRule="auto"/>
              <w:rPr>
                <w:sz w:val="24"/>
                <w:szCs w:val="24"/>
              </w:rPr>
            </w:pPr>
            <w:r>
              <w:rPr>
                <w:sz w:val="24"/>
                <w:szCs w:val="24"/>
              </w:rPr>
              <w:t>1、现有工程(已验收部分)的排放量COD、氨氮目前未超过总量控制指</w:t>
            </w:r>
          </w:p>
          <w:p>
            <w:pPr>
              <w:pStyle w:val="TableText"/>
              <w:ind w:left="250" w:right="264" w:hanging="139"/>
              <w:spacing w:before="176" w:line="370" w:lineRule="auto"/>
              <w:rPr>
                <w:sz w:val="24"/>
                <w:szCs w:val="24"/>
              </w:rPr>
            </w:pPr>
            <w:r>
              <w:rPr>
                <w:sz w:val="24"/>
                <w:szCs w:val="24"/>
              </w:rPr>
              <w:t>标，但根据一期工程生产废水排放量(验收数据)</w:t>
            </w:r>
            <w:r>
              <w:rPr>
                <w:sz w:val="24"/>
                <w:szCs w:val="24"/>
                <w:spacing w:val="-1"/>
              </w:rPr>
              <w:t>和二期工程生产废水排放量</w:t>
            </w:r>
            <w:r>
              <w:rPr>
                <w:sz w:val="24"/>
                <w:szCs w:val="24"/>
              </w:rPr>
              <w:t xml:space="preserve"> </w:t>
            </w:r>
            <w:r>
              <w:rPr>
                <w:sz w:val="24"/>
                <w:szCs w:val="24"/>
                <w:spacing w:val="1"/>
              </w:rPr>
              <w:t>(环评数据)估算，现有工程及在建工程均</w:t>
            </w:r>
            <w:r>
              <w:rPr>
                <w:sz w:val="24"/>
                <w:szCs w:val="24"/>
              </w:rPr>
              <w:t>投入运营后，COD、氨氮将超过总</w:t>
            </w:r>
          </w:p>
          <w:p>
            <w:pPr>
              <w:pStyle w:val="TableText"/>
              <w:ind w:left="111"/>
              <w:spacing w:line="220" w:lineRule="auto"/>
              <w:rPr>
                <w:sz w:val="24"/>
                <w:szCs w:val="24"/>
              </w:rPr>
            </w:pPr>
            <w:r>
              <w:rPr>
                <w:sz w:val="24"/>
                <w:szCs w:val="24"/>
                <w:spacing w:val="-1"/>
              </w:rPr>
              <w:t>量控制指标。</w:t>
            </w:r>
          </w:p>
          <w:p>
            <w:pPr>
              <w:pStyle w:val="TableText"/>
              <w:ind w:left="751"/>
              <w:spacing w:before="172" w:line="481" w:lineRule="exact"/>
              <w:rPr>
                <w:sz w:val="24"/>
                <w:szCs w:val="24"/>
              </w:rPr>
            </w:pPr>
            <w:r>
              <w:rPr>
                <w:sz w:val="24"/>
                <w:szCs w:val="24"/>
                <w:position w:val="18"/>
              </w:rPr>
              <w:t>整改措施：通过本项目“以新代老”重新核算总量，建设单位向海峡股</w:t>
            </w:r>
          </w:p>
          <w:p>
            <w:pPr>
              <w:pStyle w:val="TableText"/>
              <w:ind w:left="131"/>
              <w:spacing w:line="219" w:lineRule="auto"/>
              <w:rPr>
                <w:sz w:val="24"/>
                <w:szCs w:val="24"/>
              </w:rPr>
            </w:pPr>
            <w:r>
              <w:rPr>
                <w:sz w:val="24"/>
                <w:szCs w:val="24"/>
                <w:spacing w:val="-1"/>
              </w:rPr>
              <w:t>权交易中心购买不足部分。</w:t>
            </w:r>
          </w:p>
          <w:p>
            <w:pPr>
              <w:pStyle w:val="TableText"/>
              <w:ind w:left="591"/>
              <w:spacing w:before="155" w:line="479" w:lineRule="exact"/>
              <w:rPr>
                <w:sz w:val="24"/>
                <w:szCs w:val="24"/>
              </w:rPr>
            </w:pPr>
            <w:r>
              <w:rPr>
                <w:sz w:val="24"/>
                <w:szCs w:val="24"/>
                <w:position w:val="18"/>
              </w:rPr>
              <w:t>2、危险废物暂存间废气未收集处理：现状通过通风口前安装的活性炭吸</w:t>
            </w:r>
          </w:p>
          <w:p>
            <w:pPr>
              <w:pStyle w:val="TableText"/>
              <w:ind w:left="151"/>
              <w:spacing w:before="1" w:line="218" w:lineRule="auto"/>
              <w:rPr>
                <w:sz w:val="24"/>
                <w:szCs w:val="24"/>
              </w:rPr>
            </w:pPr>
            <w:r>
              <w:rPr>
                <w:sz w:val="24"/>
                <w:szCs w:val="24"/>
              </w:rPr>
              <w:t>附装置处理后外排。</w:t>
            </w:r>
          </w:p>
          <w:p>
            <w:pPr>
              <w:pStyle w:val="TableText"/>
              <w:ind w:left="621"/>
              <w:spacing w:before="177" w:line="219" w:lineRule="auto"/>
              <w:rPr>
                <w:sz w:val="24"/>
                <w:szCs w:val="24"/>
              </w:rPr>
            </w:pPr>
            <w:r>
              <w:rPr>
                <w:sz w:val="24"/>
                <w:szCs w:val="24"/>
              </w:rPr>
              <w:t>整改措施：根据《危险废物贮存污染控制标准》(GB18597-2023)相关要</w:t>
            </w:r>
          </w:p>
          <w:p>
            <w:pPr>
              <w:pStyle w:val="TableText"/>
              <w:spacing w:before="175" w:line="470" w:lineRule="exact"/>
              <w:jc w:val="right"/>
              <w:rPr>
                <w:sz w:val="24"/>
                <w:szCs w:val="24"/>
              </w:rPr>
            </w:pPr>
            <w:r>
              <w:rPr>
                <w:sz w:val="24"/>
                <w:szCs w:val="24"/>
                <w:spacing w:val="-5"/>
                <w:position w:val="17"/>
              </w:rPr>
              <w:t>求：   “6.2.3贮存易产生粉尘、VOCs、酸雾、有毒有害大气污染物和刺激</w:t>
            </w:r>
            <w:r>
              <w:rPr>
                <w:sz w:val="24"/>
                <w:szCs w:val="24"/>
                <w:spacing w:val="-6"/>
                <w:position w:val="17"/>
              </w:rPr>
              <w:t>性气</w:t>
            </w:r>
          </w:p>
          <w:p>
            <w:pPr>
              <w:pStyle w:val="TableText"/>
              <w:ind w:left="131"/>
              <w:spacing w:line="219" w:lineRule="auto"/>
              <w:rPr>
                <w:sz w:val="24"/>
                <w:szCs w:val="24"/>
              </w:rPr>
            </w:pPr>
            <w:r>
              <w:rPr>
                <w:sz w:val="24"/>
                <w:szCs w:val="24"/>
              </w:rPr>
              <w:t>味气体的危险废物贮存库，应设置气体收集装置和气体净化设施；气体净化设</w:t>
            </w:r>
          </w:p>
          <w:p>
            <w:pPr>
              <w:pStyle w:val="TableText"/>
              <w:ind w:left="141"/>
              <w:spacing w:before="195" w:line="457" w:lineRule="exact"/>
              <w:rPr>
                <w:sz w:val="24"/>
                <w:szCs w:val="24"/>
              </w:rPr>
            </w:pPr>
            <w:r>
              <w:rPr>
                <w:sz w:val="24"/>
                <w:szCs w:val="24"/>
                <w:position w:val="16"/>
              </w:rPr>
              <w:t>施的排气筒高度应符合GB16297要求”、“9.2贮存设</w:t>
            </w:r>
            <w:r>
              <w:rPr>
                <w:sz w:val="24"/>
                <w:szCs w:val="24"/>
                <w:spacing w:val="-1"/>
                <w:position w:val="16"/>
              </w:rPr>
              <w:t>施产生的废气(含无组</w:t>
            </w:r>
          </w:p>
          <w:p>
            <w:pPr>
              <w:pStyle w:val="TableText"/>
              <w:ind w:left="141"/>
              <w:spacing w:line="216" w:lineRule="auto"/>
              <w:rPr>
                <w:sz w:val="24"/>
                <w:szCs w:val="24"/>
              </w:rPr>
            </w:pPr>
            <w:r>
              <w:rPr>
                <w:sz w:val="24"/>
                <w:szCs w:val="24"/>
                <w:spacing w:val="1"/>
              </w:rPr>
              <w:t>织废气)的排放应符合</w:t>
            </w:r>
            <w:r>
              <w:rPr>
                <w:sz w:val="24"/>
                <w:szCs w:val="24"/>
              </w:rPr>
              <w:t>GB</w:t>
            </w:r>
            <w:r>
              <w:rPr>
                <w:sz w:val="24"/>
                <w:szCs w:val="24"/>
                <w:spacing w:val="1"/>
              </w:rPr>
              <w:t>16297和</w:t>
            </w:r>
            <w:r>
              <w:rPr>
                <w:sz w:val="24"/>
                <w:szCs w:val="24"/>
              </w:rPr>
              <w:t>GB</w:t>
            </w:r>
            <w:r>
              <w:rPr>
                <w:sz w:val="24"/>
                <w:szCs w:val="24"/>
                <w:spacing w:val="1"/>
              </w:rPr>
              <w:t>37822规</w:t>
            </w:r>
            <w:r>
              <w:rPr>
                <w:sz w:val="24"/>
                <w:szCs w:val="24"/>
              </w:rPr>
              <w:t>定的要求”,危险废物暂存间</w:t>
            </w:r>
          </w:p>
          <w:p>
            <w:pPr>
              <w:pStyle w:val="TableText"/>
              <w:ind w:left="141"/>
              <w:spacing w:before="191" w:line="219" w:lineRule="auto"/>
              <w:rPr>
                <w:sz w:val="24"/>
                <w:szCs w:val="24"/>
              </w:rPr>
            </w:pPr>
            <w:r>
              <w:rPr>
                <w:sz w:val="24"/>
                <w:szCs w:val="24"/>
              </w:rPr>
              <w:t>废气应收集通过活性炭吸附装置处理后经不低于15m高排气筒排放。</w:t>
            </w:r>
          </w:p>
        </w:tc>
      </w:tr>
    </w:tbl>
    <w:p>
      <w:pPr>
        <w:rPr>
          <w:rFonts w:ascii="Arial"/>
          <w:sz w:val="21"/>
        </w:rPr>
      </w:pPr>
      <w:r/>
    </w:p>
    <w:p>
      <w:pPr>
        <w:sectPr>
          <w:footerReference w:type="default" r:id="rId68"/>
          <w:pgSz w:w="11900" w:h="16840"/>
          <w:pgMar w:top="1431" w:right="1424" w:bottom="988" w:left="1584" w:header="0" w:footer="849" w:gutter="0"/>
        </w:sectPr>
        <w:rPr>
          <w:rFonts w:ascii="Arial" w:hAnsi="Arial" w:eastAsia="Arial" w:cs="Arial"/>
          <w:sz w:val="21"/>
          <w:szCs w:val="21"/>
        </w:rPr>
      </w:pPr>
    </w:p>
    <w:p>
      <w:pPr>
        <w:pStyle w:val="BodyText"/>
        <w:ind w:left="1344"/>
        <w:spacing w:before="314" w:line="218" w:lineRule="auto"/>
        <w:outlineLvl w:val="6"/>
        <w:rPr>
          <w:sz w:val="30"/>
          <w:szCs w:val="30"/>
        </w:rPr>
      </w:pPr>
      <w:r>
        <w:rPr>
          <w:sz w:val="30"/>
          <w:szCs w:val="30"/>
          <w:b/>
          <w:bCs/>
          <w:spacing w:val="-8"/>
        </w:rPr>
        <w:t>三、</w:t>
      </w:r>
      <w:r>
        <w:rPr>
          <w:sz w:val="30"/>
          <w:szCs w:val="30"/>
          <w:spacing w:val="-67"/>
        </w:rPr>
        <w:t xml:space="preserve"> </w:t>
      </w:r>
      <w:r>
        <w:rPr>
          <w:sz w:val="30"/>
          <w:szCs w:val="30"/>
          <w:b/>
          <w:bCs/>
          <w:spacing w:val="-8"/>
        </w:rPr>
        <w:t>区域环境质量现状、环境保护目标及评价</w:t>
      </w:r>
      <w:r>
        <w:rPr>
          <w:sz w:val="30"/>
          <w:szCs w:val="30"/>
          <w:b/>
          <w:bCs/>
          <w:spacing w:val="-9"/>
        </w:rPr>
        <w:t>标准</w:t>
      </w:r>
    </w:p>
    <w:p>
      <w:pPr>
        <w:spacing w:before="43"/>
        <w:rPr/>
      </w:pPr>
      <w:r/>
    </w:p>
    <w:tbl>
      <w:tblPr>
        <w:tblStyle w:val="TableNormal"/>
        <w:tblW w:w="10419"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910"/>
        <w:gridCol w:w="1547"/>
        <w:gridCol w:w="607"/>
        <w:gridCol w:w="4860"/>
        <w:gridCol w:w="1185"/>
        <w:gridCol w:w="1310"/>
      </w:tblGrid>
      <w:tr>
        <w:trPr>
          <w:trHeight w:val="412" w:hRule="atLeast"/>
        </w:trPr>
        <w:tc>
          <w:tcPr>
            <w:tcW w:w="910" w:type="dxa"/>
            <w:vAlign w:val="top"/>
            <w:tcBorders>
              <w:right w:val="single" w:color="000000" w:sz="4" w:space="0"/>
              <w:top w:val="single" w:color="000000" w:sz="4" w:space="0"/>
            </w:tcBorders>
          </w:tcPr>
          <w:p>
            <w:pPr>
              <w:rPr>
                <w:rFonts w:ascii="Arial"/>
                <w:sz w:val="21"/>
              </w:rPr>
            </w:pPr>
            <w:r/>
          </w:p>
        </w:tc>
        <w:tc>
          <w:tcPr>
            <w:tcW w:w="8199" w:type="dxa"/>
            <w:vAlign w:val="top"/>
            <w:gridSpan w:val="4"/>
            <w:tcBorders>
              <w:left w:val="single" w:color="000000" w:sz="4" w:space="0"/>
              <w:right w:val="single" w:color="000000" w:sz="4" w:space="0"/>
              <w:top w:val="single" w:color="000000" w:sz="4" w:space="0"/>
            </w:tcBorders>
          </w:tcPr>
          <w:p>
            <w:pPr>
              <w:pStyle w:val="TableText"/>
              <w:ind w:left="148"/>
              <w:spacing w:before="61" w:line="219" w:lineRule="auto"/>
              <w:rPr/>
            </w:pPr>
            <w:r>
              <w:rPr>
                <w:b/>
                <w:bCs/>
                <w:spacing w:val="-4"/>
              </w:rPr>
              <w:t>3.1大气环境质量现状</w:t>
            </w:r>
          </w:p>
        </w:tc>
        <w:tc>
          <w:tcPr>
            <w:tcW w:w="1310" w:type="dxa"/>
            <w:vAlign w:val="top"/>
            <w:tcBorders>
              <w:left w:val="single" w:color="000000" w:sz="4" w:space="0"/>
            </w:tcBorders>
          </w:tcPr>
          <w:p>
            <w:pPr>
              <w:rPr>
                <w:rFonts w:ascii="Arial"/>
                <w:sz w:val="21"/>
              </w:rPr>
            </w:pPr>
            <w:r/>
          </w:p>
        </w:tc>
      </w:tr>
      <w:tr>
        <w:trPr>
          <w:trHeight w:val="468" w:hRule="atLeast"/>
        </w:trPr>
        <w:tc>
          <w:tcPr>
            <w:tcW w:w="910" w:type="dxa"/>
            <w:vAlign w:val="top"/>
            <w:tcBorders>
              <w:right w:val="single" w:color="000000" w:sz="4" w:space="0"/>
            </w:tcBorders>
          </w:tcPr>
          <w:p>
            <w:pPr>
              <w:rPr>
                <w:rFonts w:ascii="Arial"/>
                <w:sz w:val="21"/>
              </w:rPr>
            </w:pPr>
            <w:r/>
          </w:p>
        </w:tc>
        <w:tc>
          <w:tcPr>
            <w:tcW w:w="8199" w:type="dxa"/>
            <w:vAlign w:val="top"/>
            <w:gridSpan w:val="4"/>
            <w:tcBorders>
              <w:left w:val="single" w:color="000000" w:sz="4" w:space="0"/>
              <w:right w:val="single" w:color="000000" w:sz="4" w:space="0"/>
            </w:tcBorders>
          </w:tcPr>
          <w:p>
            <w:pPr>
              <w:pStyle w:val="TableText"/>
              <w:ind w:left="734"/>
              <w:spacing w:before="122" w:line="219" w:lineRule="auto"/>
              <w:rPr/>
            </w:pPr>
            <w:r>
              <w:rPr/>
              <w:t>(1)常规环境现状</w:t>
            </w:r>
          </w:p>
        </w:tc>
        <w:tc>
          <w:tcPr>
            <w:tcW w:w="1310" w:type="dxa"/>
            <w:vAlign w:val="top"/>
            <w:tcBorders>
              <w:left w:val="single" w:color="000000" w:sz="4" w:space="0"/>
            </w:tcBorders>
          </w:tcPr>
          <w:p>
            <w:pPr>
              <w:rPr>
                <w:rFonts w:ascii="Arial"/>
                <w:sz w:val="21"/>
              </w:rPr>
            </w:pPr>
            <w:r/>
          </w:p>
        </w:tc>
      </w:tr>
      <w:tr>
        <w:trPr>
          <w:trHeight w:val="465" w:hRule="atLeast"/>
        </w:trPr>
        <w:tc>
          <w:tcPr>
            <w:tcW w:w="910" w:type="dxa"/>
            <w:vAlign w:val="top"/>
            <w:tcBorders>
              <w:right w:val="single" w:color="000000" w:sz="4" w:space="0"/>
            </w:tcBorders>
          </w:tcPr>
          <w:p>
            <w:pPr>
              <w:rPr>
                <w:rFonts w:ascii="Arial"/>
                <w:sz w:val="21"/>
              </w:rPr>
            </w:pPr>
            <w:r/>
          </w:p>
        </w:tc>
        <w:tc>
          <w:tcPr>
            <w:tcW w:w="8199" w:type="dxa"/>
            <w:vAlign w:val="top"/>
            <w:gridSpan w:val="4"/>
            <w:tcBorders>
              <w:left w:val="single" w:color="000000" w:sz="4" w:space="0"/>
              <w:right w:val="single" w:color="000000" w:sz="4" w:space="0"/>
            </w:tcBorders>
          </w:tcPr>
          <w:p>
            <w:pPr>
              <w:pStyle w:val="TableText"/>
              <w:ind w:left="634"/>
              <w:spacing w:before="114" w:line="219" w:lineRule="auto"/>
              <w:rPr/>
            </w:pPr>
            <w:r>
              <w:rPr/>
              <w:t>项目所在地属空气为环境质量二类功能区，环境空气质量执行《环境空</w:t>
            </w:r>
          </w:p>
        </w:tc>
        <w:tc>
          <w:tcPr>
            <w:tcW w:w="1310" w:type="dxa"/>
            <w:vAlign w:val="top"/>
            <w:tcBorders>
              <w:left w:val="single" w:color="000000" w:sz="4" w:space="0"/>
            </w:tcBorders>
          </w:tcPr>
          <w:p>
            <w:pPr>
              <w:rPr>
                <w:rFonts w:ascii="Arial"/>
                <w:sz w:val="21"/>
              </w:rPr>
            </w:pPr>
            <w:r/>
          </w:p>
        </w:tc>
      </w:tr>
      <w:tr>
        <w:trPr>
          <w:trHeight w:val="467" w:hRule="atLeast"/>
        </w:trPr>
        <w:tc>
          <w:tcPr>
            <w:tcW w:w="910" w:type="dxa"/>
            <w:vAlign w:val="top"/>
            <w:tcBorders>
              <w:right w:val="single" w:color="000000" w:sz="4" w:space="0"/>
            </w:tcBorders>
          </w:tcPr>
          <w:p>
            <w:pPr>
              <w:rPr>
                <w:rFonts w:ascii="Arial"/>
                <w:sz w:val="21"/>
              </w:rPr>
            </w:pPr>
            <w:r/>
          </w:p>
        </w:tc>
        <w:tc>
          <w:tcPr>
            <w:tcW w:w="8199" w:type="dxa"/>
            <w:vAlign w:val="top"/>
            <w:gridSpan w:val="4"/>
            <w:tcBorders>
              <w:left w:val="single" w:color="000000" w:sz="4" w:space="0"/>
              <w:right w:val="single" w:color="000000" w:sz="4" w:space="0"/>
            </w:tcBorders>
          </w:tcPr>
          <w:p>
            <w:pPr>
              <w:pStyle w:val="TableText"/>
              <w:ind w:left="144"/>
              <w:spacing w:before="117" w:line="218" w:lineRule="auto"/>
              <w:rPr/>
            </w:pPr>
            <w:r>
              <w:rPr/>
              <w:t>气质量标准》(GB3095-2012)二级标准。评价引用《宁德市环境质量概要(2022</w:t>
            </w:r>
          </w:p>
        </w:tc>
        <w:tc>
          <w:tcPr>
            <w:tcW w:w="1310" w:type="dxa"/>
            <w:vAlign w:val="top"/>
            <w:tcBorders>
              <w:left w:val="single" w:color="000000" w:sz="4" w:space="0"/>
            </w:tcBorders>
          </w:tcPr>
          <w:p>
            <w:pPr>
              <w:rPr>
                <w:rFonts w:ascii="Arial"/>
                <w:sz w:val="21"/>
              </w:rPr>
            </w:pPr>
            <w:r/>
          </w:p>
        </w:tc>
      </w:tr>
      <w:tr>
        <w:trPr>
          <w:trHeight w:val="464" w:hRule="atLeast"/>
        </w:trPr>
        <w:tc>
          <w:tcPr>
            <w:tcW w:w="910" w:type="dxa"/>
            <w:vAlign w:val="top"/>
            <w:tcBorders>
              <w:right w:val="single" w:color="000000" w:sz="4" w:space="0"/>
            </w:tcBorders>
          </w:tcPr>
          <w:p>
            <w:pPr>
              <w:rPr>
                <w:rFonts w:ascii="Arial"/>
                <w:sz w:val="21"/>
              </w:rPr>
            </w:pPr>
            <w:r/>
          </w:p>
        </w:tc>
        <w:tc>
          <w:tcPr>
            <w:tcW w:w="8199" w:type="dxa"/>
            <w:vAlign w:val="top"/>
            <w:gridSpan w:val="4"/>
            <w:tcBorders>
              <w:left w:val="single" w:color="000000" w:sz="4" w:space="0"/>
              <w:right w:val="single" w:color="000000" w:sz="4" w:space="0"/>
            </w:tcBorders>
          </w:tcPr>
          <w:p>
            <w:pPr>
              <w:pStyle w:val="TableText"/>
              <w:ind w:left="144"/>
              <w:spacing w:before="112" w:line="219" w:lineRule="auto"/>
              <w:rPr/>
            </w:pPr>
            <w:r>
              <w:rPr/>
              <w:t>年度)》中的霞浦县监测数据，详见表3.1-1。</w:t>
            </w:r>
          </w:p>
        </w:tc>
        <w:tc>
          <w:tcPr>
            <w:tcW w:w="1310" w:type="dxa"/>
            <w:vAlign w:val="top"/>
            <w:tcBorders>
              <w:left w:val="single" w:color="000000" w:sz="4" w:space="0"/>
            </w:tcBorders>
          </w:tcPr>
          <w:p>
            <w:pPr>
              <w:rPr>
                <w:rFonts w:ascii="Arial"/>
                <w:sz w:val="21"/>
              </w:rPr>
            </w:pPr>
            <w:r/>
          </w:p>
        </w:tc>
      </w:tr>
      <w:tr>
        <w:trPr>
          <w:trHeight w:val="882" w:hRule="atLeast"/>
        </w:trPr>
        <w:tc>
          <w:tcPr>
            <w:tcW w:w="910" w:type="dxa"/>
            <w:vAlign w:val="top"/>
            <w:tcBorders>
              <w:bottom w:val="single" w:color="000000" w:sz="4" w:space="0"/>
              <w:right w:val="single" w:color="000000" w:sz="4" w:space="0"/>
            </w:tcBorders>
          </w:tcPr>
          <w:p>
            <w:pPr>
              <w:rPr>
                <w:rFonts w:ascii="Arial"/>
                <w:sz w:val="21"/>
              </w:rPr>
            </w:pPr>
            <w:r/>
          </w:p>
        </w:tc>
        <w:tc>
          <w:tcPr>
            <w:tcW w:w="1547" w:type="dxa"/>
            <w:vAlign w:val="top"/>
            <w:tcBorders>
              <w:left w:val="single" w:color="000000" w:sz="4" w:space="0"/>
              <w:bottom w:val="single" w:color="000000" w:sz="4" w:space="0"/>
            </w:tcBorders>
          </w:tcPr>
          <w:p>
            <w:pPr>
              <w:spacing w:line="255" w:lineRule="auto"/>
              <w:rPr>
                <w:rFonts w:ascii="Arial"/>
                <w:sz w:val="21"/>
              </w:rPr>
            </w:pPr>
            <w:r/>
          </w:p>
          <w:p>
            <w:pPr>
              <w:spacing w:line="256" w:lineRule="auto"/>
              <w:rPr>
                <w:rFonts w:ascii="Arial"/>
                <w:sz w:val="21"/>
              </w:rPr>
            </w:pPr>
            <w:r/>
          </w:p>
          <w:p>
            <w:pPr>
              <w:pStyle w:val="TableText"/>
              <w:ind w:left="484"/>
              <w:spacing w:before="75" w:line="220" w:lineRule="auto"/>
              <w:rPr/>
            </w:pPr>
            <w:r>
              <w:rPr>
                <w:spacing w:val="2"/>
              </w:rPr>
              <w:t>监测因子</w:t>
            </w:r>
          </w:p>
        </w:tc>
        <w:tc>
          <w:tcPr>
            <w:tcW w:w="5467" w:type="dxa"/>
            <w:vAlign w:val="top"/>
            <w:gridSpan w:val="2"/>
            <w:tcBorders>
              <w:bottom w:val="single" w:color="000000" w:sz="4" w:space="0"/>
            </w:tcBorders>
          </w:tcPr>
          <w:p>
            <w:pPr>
              <w:pStyle w:val="TableText"/>
              <w:ind w:left="126"/>
              <w:spacing w:before="115" w:line="219" w:lineRule="auto"/>
              <w:rPr/>
            </w:pPr>
            <w:r>
              <w:rPr>
                <w:b/>
                <w:bCs/>
                <w:spacing w:val="-3"/>
              </w:rPr>
              <w:t>表3.1-12022年度宁德市霞浦县环境空气质量情况</w:t>
            </w:r>
          </w:p>
          <w:p>
            <w:pPr>
              <w:pStyle w:val="TableText"/>
              <w:ind w:left="542"/>
              <w:spacing w:before="266" w:line="158" w:lineRule="auto"/>
              <w:rPr/>
            </w:pPr>
            <w:r>
              <w:rPr>
                <w:spacing w:val="-1"/>
                <w:position w:val="1"/>
              </w:rPr>
              <w:t>SO</w:t>
            </w:r>
            <w:r>
              <w:rPr>
                <w:rFonts w:ascii="Calibri" w:hAnsi="Calibri" w:eastAsia="Calibri" w:cs="Calibri"/>
                <w:spacing w:val="-1"/>
                <w:position w:val="1"/>
              </w:rPr>
              <w:t>₂               </w:t>
            </w:r>
            <w:r>
              <w:rPr>
                <w:spacing w:val="-1"/>
                <w:position w:val="1"/>
              </w:rPr>
              <w:t>NO</w:t>
            </w:r>
            <w:r>
              <w:rPr>
                <w:rFonts w:ascii="Calibri" w:hAnsi="Calibri" w:eastAsia="Calibri" w:cs="Calibri"/>
                <w:spacing w:val="-1"/>
                <w:position w:val="1"/>
              </w:rPr>
              <w:t>₂</w:t>
            </w:r>
            <w:r>
              <w:rPr>
                <w:rFonts w:ascii="Calibri" w:hAnsi="Calibri" w:eastAsia="Calibri" w:cs="Calibri"/>
                <w:spacing w:val="2"/>
                <w:position w:val="1"/>
              </w:rPr>
              <w:t xml:space="preserve">              </w:t>
            </w:r>
            <w:r>
              <w:rPr>
                <w:spacing w:val="-1"/>
              </w:rPr>
              <w:t>PM1o     PM2.5</w:t>
            </w:r>
            <w:r>
              <w:rPr>
                <w:spacing w:val="7"/>
              </w:rPr>
              <w:t xml:space="preserve">    </w:t>
            </w:r>
            <w:r>
              <w:rPr>
                <w:spacing w:val="-1"/>
                <w:position w:val="-1"/>
              </w:rPr>
              <w:t>CO</w:t>
            </w:r>
          </w:p>
        </w:tc>
        <w:tc>
          <w:tcPr>
            <w:tcW w:w="1185" w:type="dxa"/>
            <w:vAlign w:val="top"/>
            <w:tcBorders>
              <w:bottom w:val="single" w:color="000000" w:sz="4" w:space="0"/>
              <w:right w:val="single" w:color="000000" w:sz="4" w:space="0"/>
            </w:tcBorders>
          </w:tcPr>
          <w:p>
            <w:pPr>
              <w:spacing w:line="292" w:lineRule="auto"/>
              <w:rPr>
                <w:rFonts w:ascii="Arial"/>
                <w:sz w:val="21"/>
              </w:rPr>
            </w:pPr>
            <w:r/>
          </w:p>
          <w:p>
            <w:pPr>
              <w:spacing w:line="293" w:lineRule="auto"/>
              <w:rPr>
                <w:rFonts w:ascii="Arial"/>
                <w:sz w:val="21"/>
              </w:rPr>
            </w:pPr>
            <w:r/>
          </w:p>
          <w:p>
            <w:pPr>
              <w:pStyle w:val="TableText"/>
              <w:ind w:left="406"/>
              <w:spacing w:before="75" w:line="167" w:lineRule="auto"/>
              <w:rPr>
                <w:rFonts w:ascii="Calibri" w:hAnsi="Calibri" w:eastAsia="Calibri" w:cs="Calibri"/>
              </w:rPr>
            </w:pPr>
            <w:r>
              <w:rPr>
                <w:spacing w:val="-5"/>
              </w:rPr>
              <w:t>O</w:t>
            </w:r>
            <w:r>
              <w:rPr>
                <w:rFonts w:ascii="Calibri" w:hAnsi="Calibri" w:eastAsia="Calibri" w:cs="Calibri"/>
                <w:spacing w:val="-5"/>
              </w:rPr>
              <w:t>₃</w:t>
            </w:r>
          </w:p>
        </w:tc>
        <w:tc>
          <w:tcPr>
            <w:tcW w:w="1310" w:type="dxa"/>
            <w:vAlign w:val="top"/>
            <w:vMerge w:val="restart"/>
            <w:tcBorders>
              <w:left w:val="single" w:color="000000" w:sz="4" w:space="0"/>
              <w:bottom w:val="nil"/>
            </w:tcBorders>
          </w:tcPr>
          <w:p>
            <w:pPr>
              <w:rPr>
                <w:rFonts w:ascii="Arial"/>
                <w:sz w:val="21"/>
              </w:rPr>
            </w:pPr>
            <w:r/>
          </w:p>
        </w:tc>
      </w:tr>
      <w:tr>
        <w:trPr>
          <w:trHeight w:val="259" w:hRule="atLeast"/>
        </w:trPr>
        <w:tc>
          <w:tcPr>
            <w:tcW w:w="910" w:type="dxa"/>
            <w:vAlign w:val="top"/>
            <w:tcBorders>
              <w:bottom w:val="single" w:color="000000" w:sz="4" w:space="0"/>
              <w:right w:val="single" w:color="000000" w:sz="4" w:space="0"/>
              <w:top w:val="single" w:color="000000" w:sz="4" w:space="0"/>
            </w:tcBorders>
          </w:tcPr>
          <w:p>
            <w:pPr>
              <w:rPr>
                <w:rFonts w:ascii="Arial"/>
                <w:sz w:val="21"/>
              </w:rPr>
            </w:pPr>
            <w:r/>
          </w:p>
        </w:tc>
        <w:tc>
          <w:tcPr>
            <w:tcW w:w="8199" w:type="dxa"/>
            <w:vAlign w:val="top"/>
            <w:gridSpan w:val="4"/>
            <w:tcBorders>
              <w:left w:val="single" w:color="000000" w:sz="4" w:space="0"/>
              <w:bottom w:val="single" w:color="000000" w:sz="4" w:space="0"/>
              <w:right w:val="single" w:color="000000" w:sz="4" w:space="0"/>
              <w:top w:val="single" w:color="000000" w:sz="4" w:space="0"/>
            </w:tcBorders>
          </w:tcPr>
          <w:p>
            <w:pPr>
              <w:pStyle w:val="TableText"/>
              <w:ind w:left="394"/>
              <w:spacing w:line="249" w:lineRule="exact"/>
              <w:rPr/>
            </w:pPr>
            <w:r>
              <w:rPr>
                <w:spacing w:val="-4"/>
                <w:position w:val="1"/>
              </w:rPr>
              <w:t>年浓度均值      </w:t>
            </w:r>
            <w:r>
              <w:rPr>
                <w:spacing w:val="-4"/>
                <w:position w:val="-4"/>
              </w:rPr>
              <w:t>5</w:t>
            </w:r>
            <w:r>
              <w:rPr>
                <w:spacing w:val="6"/>
                <w:position w:val="-4"/>
              </w:rPr>
              <w:t xml:space="preserve">        </w:t>
            </w:r>
            <w:r>
              <w:rPr>
                <w:spacing w:val="-4"/>
                <w:position w:val="-5"/>
              </w:rPr>
              <w:t>15      </w:t>
            </w:r>
            <w:r>
              <w:rPr>
                <w:spacing w:val="-5"/>
                <w:position w:val="-5"/>
              </w:rPr>
              <w:t xml:space="preserve">  </w:t>
            </w:r>
            <w:r>
              <w:rPr>
                <w:spacing w:val="-5"/>
                <w:position w:val="-4"/>
              </w:rPr>
              <w:t>29</w:t>
            </w:r>
            <w:r>
              <w:rPr>
                <w:spacing w:val="1"/>
                <w:position w:val="-4"/>
              </w:rPr>
              <w:t xml:space="preserve">       </w:t>
            </w:r>
            <w:r>
              <w:rPr>
                <w:spacing w:val="-5"/>
                <w:position w:val="-5"/>
              </w:rPr>
              <w:t>15</w:t>
            </w:r>
            <w:r>
              <w:rPr>
                <w:spacing w:val="22"/>
                <w:position w:val="-5"/>
              </w:rPr>
              <w:t xml:space="preserve">     </w:t>
            </w:r>
            <w:r>
              <w:rPr>
                <w:spacing w:val="-5"/>
                <w:position w:val="-5"/>
              </w:rPr>
              <w:t>0.8       </w:t>
            </w:r>
            <w:r>
              <w:rPr>
                <w:spacing w:val="-5"/>
                <w:position w:val="-4"/>
              </w:rPr>
              <w:t>78</w:t>
            </w:r>
          </w:p>
        </w:tc>
        <w:tc>
          <w:tcPr>
            <w:tcW w:w="1310" w:type="dxa"/>
            <w:vAlign w:val="top"/>
            <w:vMerge w:val="continue"/>
            <w:tcBorders>
              <w:left w:val="single" w:color="000000" w:sz="4" w:space="0"/>
              <w:top w:val="nil"/>
              <w:bottom w:val="nil"/>
            </w:tcBorders>
          </w:tcPr>
          <w:p>
            <w:pPr>
              <w:rPr>
                <w:rFonts w:ascii="Arial"/>
                <w:sz w:val="21"/>
              </w:rPr>
            </w:pPr>
            <w:r/>
          </w:p>
        </w:tc>
      </w:tr>
      <w:tr>
        <w:trPr>
          <w:trHeight w:val="271" w:hRule="atLeast"/>
        </w:trPr>
        <w:tc>
          <w:tcPr>
            <w:tcW w:w="910" w:type="dxa"/>
            <w:vAlign w:val="top"/>
            <w:tcBorders>
              <w:bottom w:val="single" w:color="000000" w:sz="4" w:space="0"/>
              <w:right w:val="single" w:color="000000" w:sz="4" w:space="0"/>
              <w:top w:val="single" w:color="000000" w:sz="4" w:space="0"/>
            </w:tcBorders>
          </w:tcPr>
          <w:p>
            <w:pPr>
              <w:rPr>
                <w:rFonts w:ascii="Arial"/>
                <w:sz w:val="21"/>
              </w:rPr>
            </w:pPr>
            <w:r/>
          </w:p>
        </w:tc>
        <w:tc>
          <w:tcPr>
            <w:tcW w:w="8199" w:type="dxa"/>
            <w:vAlign w:val="top"/>
            <w:gridSpan w:val="4"/>
            <w:tcBorders>
              <w:left w:val="single" w:color="000000" w:sz="4" w:space="0"/>
              <w:bottom w:val="single" w:color="000000" w:sz="4" w:space="0"/>
              <w:right w:val="single" w:color="000000" w:sz="4" w:space="0"/>
              <w:top w:val="single" w:color="000000" w:sz="4" w:space="0"/>
            </w:tcBorders>
          </w:tcPr>
          <w:p>
            <w:pPr>
              <w:pStyle w:val="TableText"/>
              <w:ind w:left="494"/>
              <w:spacing w:line="177" w:lineRule="auto"/>
              <w:rPr/>
            </w:pPr>
            <w:r>
              <w:rPr>
                <w:spacing w:val="-5"/>
                <w:position w:val="2"/>
              </w:rPr>
              <w:t>评价标准</w:t>
            </w:r>
            <w:r>
              <w:rPr>
                <w:spacing w:val="10"/>
                <w:position w:val="2"/>
              </w:rPr>
              <w:t xml:space="preserve">      </w:t>
            </w:r>
            <w:r>
              <w:rPr>
                <w:spacing w:val="-5"/>
                <w:position w:val="-1"/>
              </w:rPr>
              <w:t>60        40        70</w:t>
            </w:r>
            <w:r>
              <w:rPr>
                <w:spacing w:val="19"/>
                <w:position w:val="-1"/>
              </w:rPr>
              <w:t xml:space="preserve">      </w:t>
            </w:r>
            <w:r>
              <w:rPr>
                <w:spacing w:val="-5"/>
              </w:rPr>
              <w:t>35</w:t>
            </w:r>
            <w:r>
              <w:rPr>
                <w:spacing w:val="7"/>
              </w:rPr>
              <w:t xml:space="preserve">      </w:t>
            </w:r>
            <w:r>
              <w:rPr>
                <w:spacing w:val="-5"/>
                <w:position w:val="-1"/>
              </w:rPr>
              <w:t>10</w:t>
            </w:r>
            <w:r>
              <w:rPr>
                <w:spacing w:val="3"/>
                <w:position w:val="-1"/>
              </w:rPr>
              <w:t xml:space="preserve">       </w:t>
            </w:r>
            <w:r>
              <w:rPr>
                <w:spacing w:val="-5"/>
                <w:position w:val="-2"/>
              </w:rPr>
              <w:t>160</w:t>
            </w:r>
          </w:p>
        </w:tc>
        <w:tc>
          <w:tcPr>
            <w:tcW w:w="1310" w:type="dxa"/>
            <w:vAlign w:val="top"/>
            <w:vMerge w:val="continue"/>
            <w:tcBorders>
              <w:left w:val="single" w:color="000000" w:sz="4" w:space="0"/>
              <w:top w:val="nil"/>
              <w:bottom w:val="nil"/>
            </w:tcBorders>
          </w:tcPr>
          <w:p>
            <w:pPr>
              <w:rPr>
                <w:rFonts w:ascii="Arial"/>
                <w:sz w:val="21"/>
              </w:rPr>
            </w:pPr>
            <w:r/>
          </w:p>
        </w:tc>
      </w:tr>
      <w:tr>
        <w:trPr>
          <w:trHeight w:val="238" w:hRule="atLeast"/>
        </w:trPr>
        <w:tc>
          <w:tcPr>
            <w:tcW w:w="910" w:type="dxa"/>
            <w:vAlign w:val="top"/>
            <w:vMerge w:val="restart"/>
            <w:tcBorders>
              <w:right w:val="single" w:color="000000" w:sz="4" w:space="0"/>
              <w:top w:val="single" w:color="000000" w:sz="4" w:space="0"/>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pStyle w:val="TableText"/>
              <w:ind w:left="290"/>
              <w:spacing w:before="75" w:line="207" w:lineRule="auto"/>
              <w:rPr/>
            </w:pPr>
            <w:r>
              <w:rPr>
                <w:spacing w:val="4"/>
              </w:rPr>
              <w:t>区域</w:t>
            </w:r>
          </w:p>
        </w:tc>
        <w:tc>
          <w:tcPr>
            <w:tcW w:w="8199" w:type="dxa"/>
            <w:vAlign w:val="top"/>
            <w:gridSpan w:val="4"/>
            <w:tcBorders>
              <w:left w:val="single" w:color="000000" w:sz="4" w:space="0"/>
              <w:bottom w:val="single" w:color="000000" w:sz="4" w:space="0"/>
              <w:right w:val="single" w:color="000000" w:sz="4" w:space="0"/>
              <w:top w:val="single" w:color="000000" w:sz="4" w:space="0"/>
            </w:tcBorders>
          </w:tcPr>
          <w:p>
            <w:pPr>
              <w:pStyle w:val="TableText"/>
              <w:ind w:left="494"/>
              <w:spacing w:before="1" w:line="166" w:lineRule="auto"/>
              <w:rPr/>
            </w:pPr>
            <w:r>
              <w:rPr>
                <w:spacing w:val="-3"/>
                <w:position w:val="-2"/>
              </w:rPr>
              <w:t>达标情况</w:t>
            </w:r>
            <w:r>
              <w:rPr>
                <w:spacing w:val="15"/>
                <w:position w:val="-2"/>
              </w:rPr>
              <w:t xml:space="preserve">     </w:t>
            </w:r>
            <w:r>
              <w:rPr>
                <w:spacing w:val="-3"/>
              </w:rPr>
              <w:t>达标</w:t>
            </w:r>
            <w:r>
              <w:rPr>
                <w:spacing w:val="14"/>
              </w:rPr>
              <w:t xml:space="preserve">     </w:t>
            </w:r>
            <w:r>
              <w:rPr>
                <w:spacing w:val="-3"/>
              </w:rPr>
              <w:t>达标</w:t>
            </w:r>
            <w:r>
              <w:rPr>
                <w:spacing w:val="15"/>
              </w:rPr>
              <w:t xml:space="preserve">     </w:t>
            </w:r>
            <w:r>
              <w:rPr>
                <w:spacing w:val="-3"/>
              </w:rPr>
              <w:t>达标     达标</w:t>
            </w:r>
            <w:r>
              <w:rPr>
                <w:spacing w:val="15"/>
              </w:rPr>
              <w:t xml:space="preserve">    </w:t>
            </w:r>
            <w:r>
              <w:rPr>
                <w:spacing w:val="-3"/>
              </w:rPr>
              <w:t>达标</w:t>
            </w:r>
            <w:r>
              <w:rPr>
                <w:spacing w:val="10"/>
              </w:rPr>
              <w:t xml:space="preserve">     </w:t>
            </w:r>
            <w:r>
              <w:rPr>
                <w:spacing w:val="-3"/>
              </w:rPr>
              <w:t>达标</w:t>
            </w:r>
          </w:p>
        </w:tc>
        <w:tc>
          <w:tcPr>
            <w:tcW w:w="1310" w:type="dxa"/>
            <w:vAlign w:val="top"/>
            <w:vMerge w:val="continue"/>
            <w:tcBorders>
              <w:left w:val="single" w:color="000000" w:sz="4" w:space="0"/>
              <w:top w:val="nil"/>
              <w:bottom w:val="nil"/>
            </w:tcBorders>
          </w:tcPr>
          <w:p>
            <w:pPr>
              <w:rPr>
                <w:rFonts w:ascii="Arial"/>
                <w:sz w:val="21"/>
              </w:rPr>
            </w:pPr>
            <w:r/>
          </w:p>
        </w:tc>
      </w:tr>
      <w:tr>
        <w:trPr>
          <w:trHeight w:val="2117" w:hRule="atLeast"/>
        </w:trPr>
        <w:tc>
          <w:tcPr>
            <w:tcW w:w="910" w:type="dxa"/>
            <w:vAlign w:val="top"/>
            <w:vMerge w:val="continue"/>
            <w:tcBorders>
              <w:right w:val="single" w:color="000000" w:sz="4" w:space="0"/>
              <w:top w:val="nil"/>
            </w:tcBorders>
          </w:tcPr>
          <w:p>
            <w:pPr>
              <w:rPr>
                <w:rFonts w:ascii="Arial"/>
                <w:sz w:val="21"/>
              </w:rPr>
            </w:pPr>
            <w:r/>
          </w:p>
        </w:tc>
        <w:tc>
          <w:tcPr>
            <w:tcW w:w="8199" w:type="dxa"/>
            <w:vAlign w:val="top"/>
            <w:gridSpan w:val="4"/>
            <w:tcBorders>
              <w:left w:val="single" w:color="000000" w:sz="4" w:space="0"/>
              <w:right w:val="single" w:color="000000" w:sz="4" w:space="0"/>
              <w:top w:val="single" w:color="000000" w:sz="4" w:space="0"/>
            </w:tcBorders>
          </w:tcPr>
          <w:p>
            <w:pPr>
              <w:pStyle w:val="TableText"/>
              <w:ind w:left="245" w:firstLine="19"/>
              <w:spacing w:before="85" w:line="219" w:lineRule="auto"/>
              <w:rPr/>
            </w:pPr>
            <w:r>
              <w:rPr>
                <w:spacing w:val="-4"/>
              </w:rPr>
              <w:t>备注：城市环境空气质量达标情况评价指标为SO</w:t>
            </w:r>
            <w:r>
              <w:rPr>
                <w:rFonts w:ascii="Calibri" w:hAnsi="Calibri" w:eastAsia="Calibri" w:cs="Calibri"/>
                <w:spacing w:val="-4"/>
              </w:rPr>
              <w:t>₂</w:t>
            </w:r>
            <w:r>
              <w:rPr>
                <w:rFonts w:ascii="Calibri" w:hAnsi="Calibri" w:eastAsia="Calibri" w:cs="Calibri"/>
                <w:spacing w:val="-20"/>
              </w:rPr>
              <w:t xml:space="preserve"> </w:t>
            </w:r>
            <w:r>
              <w:rPr>
                <w:spacing w:val="-4"/>
              </w:rPr>
              <w:t>、NO</w:t>
            </w:r>
            <w:r>
              <w:rPr>
                <w:rFonts w:ascii="Calibri" w:hAnsi="Calibri" w:eastAsia="Calibri" w:cs="Calibri"/>
                <w:spacing w:val="-4"/>
              </w:rPr>
              <w:t>₂</w:t>
            </w:r>
            <w:r>
              <w:rPr>
                <w:rFonts w:ascii="Calibri" w:hAnsi="Calibri" w:eastAsia="Calibri" w:cs="Calibri"/>
                <w:spacing w:val="-28"/>
              </w:rPr>
              <w:t xml:space="preserve"> </w:t>
            </w:r>
            <w:r>
              <w:rPr>
                <w:spacing w:val="-4"/>
              </w:rPr>
              <w:t>、PM</w:t>
            </w:r>
            <w:r>
              <w:rPr>
                <w:rFonts w:ascii="Calibri" w:hAnsi="Calibri" w:eastAsia="Calibri" w:cs="Calibri"/>
                <w:spacing w:val="-4"/>
              </w:rPr>
              <w:t>₁</w:t>
            </w:r>
            <w:r>
              <w:rPr>
                <w:spacing w:val="-4"/>
              </w:rPr>
              <w:t>o、PM</w:t>
            </w:r>
            <w:r>
              <w:rPr>
                <w:rFonts w:ascii="Calibri" w:hAnsi="Calibri" w:eastAsia="Calibri" w:cs="Calibri"/>
                <w:spacing w:val="-4"/>
              </w:rPr>
              <w:t>₂</w:t>
            </w:r>
            <w:r>
              <w:rPr>
                <w:spacing w:val="-4"/>
              </w:rPr>
              <w:t>.5、CO和O</w:t>
            </w:r>
            <w:r>
              <w:rPr>
                <w:rFonts w:ascii="Calibri" w:hAnsi="Calibri" w:eastAsia="Calibri" w:cs="Calibri"/>
                <w:spacing w:val="-4"/>
              </w:rPr>
              <w:t>₃</w:t>
            </w:r>
            <w:r>
              <w:rPr>
                <w:spacing w:val="-4"/>
              </w:rPr>
              <w:t>六 </w:t>
            </w:r>
            <w:r>
              <w:rPr>
                <w:spacing w:val="-11"/>
              </w:rPr>
              <w:t>项污染物全部达标即为城市环境空气质量达标。SO</w:t>
            </w:r>
            <w:r>
              <w:rPr>
                <w:rFonts w:ascii="Calibri" w:hAnsi="Calibri" w:eastAsia="Calibri" w:cs="Calibri"/>
                <w:spacing w:val="-11"/>
              </w:rPr>
              <w:t>₂</w:t>
            </w:r>
            <w:r>
              <w:rPr>
                <w:rFonts w:ascii="Calibri" w:hAnsi="Calibri" w:eastAsia="Calibri" w:cs="Calibri"/>
                <w:spacing w:val="-26"/>
              </w:rPr>
              <w:t xml:space="preserve"> </w:t>
            </w:r>
            <w:r>
              <w:rPr>
                <w:spacing w:val="-11"/>
              </w:rPr>
              <w:t>、NO</w:t>
            </w:r>
            <w:r>
              <w:rPr>
                <w:rFonts w:ascii="Calibri" w:hAnsi="Calibri" w:eastAsia="Calibri" w:cs="Calibri"/>
                <w:spacing w:val="-11"/>
              </w:rPr>
              <w:t>₂</w:t>
            </w:r>
            <w:r>
              <w:rPr>
                <w:rFonts w:ascii="Calibri" w:hAnsi="Calibri" w:eastAsia="Calibri" w:cs="Calibri"/>
                <w:spacing w:val="-28"/>
              </w:rPr>
              <w:t xml:space="preserve"> </w:t>
            </w:r>
            <w:r>
              <w:rPr>
                <w:spacing w:val="-11"/>
              </w:rPr>
              <w:t>、PM</w:t>
            </w:r>
            <w:r>
              <w:rPr>
                <w:rFonts w:ascii="Calibri" w:hAnsi="Calibri" w:eastAsia="Calibri" w:cs="Calibri"/>
                <w:spacing w:val="-11"/>
              </w:rPr>
              <w:t>₁</w:t>
            </w:r>
            <w:r>
              <w:rPr>
                <w:spacing w:val="-11"/>
              </w:rPr>
              <w:t>o和PM2s为平均浓度，</w:t>
            </w:r>
            <w:r>
              <w:rPr/>
              <w:t xml:space="preserve"> </w:t>
            </w:r>
            <w:r>
              <w:rPr/>
              <w:t>CO</w:t>
            </w:r>
            <w:r>
              <w:rPr>
                <w:spacing w:val="2"/>
              </w:rPr>
              <w:t>为日均值第95百分位数，O</w:t>
            </w:r>
            <w:r>
              <w:rPr>
                <w:rFonts w:ascii="Calibri" w:hAnsi="Calibri" w:eastAsia="Calibri" w:cs="Calibri"/>
                <w:spacing w:val="2"/>
              </w:rPr>
              <w:t>₃</w:t>
            </w:r>
            <w:r>
              <w:rPr>
                <w:spacing w:val="2"/>
              </w:rPr>
              <w:t>为日最大8小时值第90百分位数</w:t>
            </w:r>
            <w:r>
              <w:rPr>
                <w:spacing w:val="1"/>
              </w:rPr>
              <w:t>，</w:t>
            </w:r>
            <w:r>
              <w:rPr/>
              <w:t>CO</w:t>
            </w:r>
            <w:r>
              <w:rPr>
                <w:spacing w:val="1"/>
              </w:rPr>
              <w:t>浓度单位为  </w:t>
            </w:r>
            <w:r>
              <w:rPr/>
              <w:t>mg</w:t>
            </w:r>
            <w:r>
              <w:rPr>
                <w:spacing w:val="10"/>
              </w:rPr>
              <w:t>/m³,其他浓度单位均为μg/m³。</w:t>
            </w:r>
          </w:p>
          <w:p>
            <w:pPr>
              <w:pStyle w:val="TableText"/>
              <w:ind w:left="644"/>
              <w:spacing w:before="110" w:line="489" w:lineRule="exact"/>
              <w:rPr/>
            </w:pPr>
            <w:r>
              <w:rPr>
                <w:spacing w:val="15"/>
                <w:position w:val="19"/>
              </w:rPr>
              <w:t>由上表可知，项目所在区域</w:t>
            </w:r>
            <w:r>
              <w:rPr>
                <w:position w:val="19"/>
              </w:rPr>
              <w:t>SO</w:t>
            </w:r>
            <w:r>
              <w:rPr>
                <w:rFonts w:ascii="Calibri" w:hAnsi="Calibri" w:eastAsia="Calibri" w:cs="Calibri"/>
                <w:spacing w:val="15"/>
                <w:position w:val="19"/>
              </w:rPr>
              <w:t>₂</w:t>
            </w:r>
            <w:r>
              <w:rPr>
                <w:rFonts w:ascii="Calibri" w:hAnsi="Calibri" w:eastAsia="Calibri" w:cs="Calibri"/>
                <w:spacing w:val="-27"/>
                <w:position w:val="19"/>
              </w:rPr>
              <w:t xml:space="preserve"> </w:t>
            </w:r>
            <w:r>
              <w:rPr>
                <w:spacing w:val="15"/>
                <w:position w:val="19"/>
              </w:rPr>
              <w:t>、</w:t>
            </w:r>
            <w:r>
              <w:rPr>
                <w:position w:val="19"/>
              </w:rPr>
              <w:t>NO</w:t>
            </w:r>
            <w:r>
              <w:rPr>
                <w:rFonts w:ascii="Calibri" w:hAnsi="Calibri" w:eastAsia="Calibri" w:cs="Calibri"/>
                <w:spacing w:val="15"/>
                <w:position w:val="19"/>
              </w:rPr>
              <w:t>₂</w:t>
            </w:r>
            <w:r>
              <w:rPr>
                <w:rFonts w:ascii="Calibri" w:hAnsi="Calibri" w:eastAsia="Calibri" w:cs="Calibri"/>
                <w:spacing w:val="-27"/>
                <w:position w:val="19"/>
              </w:rPr>
              <w:t xml:space="preserve"> </w:t>
            </w:r>
            <w:r>
              <w:rPr>
                <w:spacing w:val="15"/>
                <w:position w:val="19"/>
              </w:rPr>
              <w:t>、</w:t>
            </w:r>
            <w:r>
              <w:rPr>
                <w:position w:val="19"/>
              </w:rPr>
              <w:t>PM</w:t>
            </w:r>
            <w:r>
              <w:rPr>
                <w:rFonts w:ascii="Calibri" w:hAnsi="Calibri" w:eastAsia="Calibri" w:cs="Calibri"/>
                <w:spacing w:val="15"/>
                <w:position w:val="19"/>
              </w:rPr>
              <w:t>₁</w:t>
            </w:r>
            <w:r>
              <w:rPr>
                <w:spacing w:val="15"/>
                <w:position w:val="19"/>
              </w:rPr>
              <w:t>o、</w:t>
            </w:r>
            <w:r>
              <w:rPr>
                <w:position w:val="19"/>
              </w:rPr>
              <w:t>PM</w:t>
            </w:r>
            <w:r>
              <w:rPr>
                <w:spacing w:val="15"/>
                <w:position w:val="19"/>
              </w:rPr>
              <w:t>2s、</w:t>
            </w:r>
            <w:r>
              <w:rPr>
                <w:position w:val="19"/>
              </w:rPr>
              <w:t>CO</w:t>
            </w:r>
            <w:r>
              <w:rPr>
                <w:spacing w:val="15"/>
                <w:position w:val="19"/>
              </w:rPr>
              <w:t>和O</w:t>
            </w:r>
            <w:r>
              <w:rPr>
                <w:rFonts w:ascii="Calibri" w:hAnsi="Calibri" w:eastAsia="Calibri" w:cs="Calibri"/>
                <w:spacing w:val="15"/>
                <w:position w:val="19"/>
              </w:rPr>
              <w:t>₃</w:t>
            </w:r>
            <w:r>
              <w:rPr>
                <w:rFonts w:ascii="Calibri" w:hAnsi="Calibri" w:eastAsia="Calibri" w:cs="Calibri"/>
                <w:spacing w:val="-24"/>
                <w:position w:val="19"/>
              </w:rPr>
              <w:t xml:space="preserve"> </w:t>
            </w:r>
            <w:r>
              <w:rPr>
                <w:spacing w:val="15"/>
                <w:position w:val="19"/>
              </w:rPr>
              <w:t>的年均</w:t>
            </w:r>
          </w:p>
          <w:p>
            <w:pPr>
              <w:pStyle w:val="TableText"/>
              <w:ind w:left="154"/>
              <w:spacing w:before="1" w:line="217" w:lineRule="auto"/>
              <w:rPr/>
            </w:pPr>
            <w:r>
              <w:rPr/>
              <w:t>浓度评价结果符《环境空气质量标准》(GB3095-2012)中二级标准要求和</w:t>
            </w:r>
          </w:p>
        </w:tc>
        <w:tc>
          <w:tcPr>
            <w:tcW w:w="1310" w:type="dxa"/>
            <w:vAlign w:val="top"/>
            <w:vMerge w:val="continue"/>
            <w:tcBorders>
              <w:left w:val="single" w:color="000000" w:sz="4" w:space="0"/>
              <w:top w:val="nil"/>
            </w:tcBorders>
          </w:tcPr>
          <w:p>
            <w:pPr>
              <w:rPr>
                <w:rFonts w:ascii="Arial"/>
                <w:sz w:val="21"/>
              </w:rPr>
            </w:pPr>
            <w:r/>
          </w:p>
        </w:tc>
      </w:tr>
      <w:tr>
        <w:trPr>
          <w:trHeight w:val="457" w:hRule="atLeast"/>
        </w:trPr>
        <w:tc>
          <w:tcPr>
            <w:tcW w:w="910" w:type="dxa"/>
            <w:vAlign w:val="top"/>
            <w:tcBorders>
              <w:right w:val="single" w:color="000000" w:sz="4" w:space="0"/>
            </w:tcBorders>
          </w:tcPr>
          <w:p>
            <w:pPr>
              <w:pStyle w:val="TableText"/>
              <w:ind w:left="290" w:right="163"/>
              <w:spacing w:line="179" w:lineRule="auto"/>
              <w:rPr/>
            </w:pPr>
            <w:r>
              <w:rPr>
                <w:spacing w:val="-5"/>
              </w:rPr>
              <w:t>环境</w:t>
            </w:r>
            <w:r>
              <w:rPr/>
              <w:t xml:space="preserve"> </w:t>
            </w:r>
            <w:r>
              <w:rPr>
                <w:spacing w:val="-5"/>
              </w:rPr>
              <w:t>质量</w:t>
            </w:r>
          </w:p>
        </w:tc>
        <w:tc>
          <w:tcPr>
            <w:tcW w:w="8199" w:type="dxa"/>
            <w:vAlign w:val="top"/>
            <w:gridSpan w:val="4"/>
            <w:tcBorders>
              <w:left w:val="single" w:color="000000" w:sz="4" w:space="0"/>
              <w:right w:val="single" w:color="000000" w:sz="4" w:space="0"/>
            </w:tcBorders>
          </w:tcPr>
          <w:p>
            <w:pPr>
              <w:pStyle w:val="TableText"/>
              <w:ind w:left="154"/>
              <w:spacing w:before="119" w:line="218" w:lineRule="auto"/>
              <w:rPr/>
            </w:pPr>
            <w:r>
              <w:rPr/>
              <w:t>HJ663-2013的规定，因此项目所在区域环境空气质量较好，</w:t>
            </w:r>
            <w:r>
              <w:rPr>
                <w:spacing w:val="-1"/>
              </w:rPr>
              <w:t>属于达标区。</w:t>
            </w:r>
          </w:p>
        </w:tc>
        <w:tc>
          <w:tcPr>
            <w:tcW w:w="1310" w:type="dxa"/>
            <w:vAlign w:val="top"/>
            <w:tcBorders>
              <w:left w:val="single" w:color="000000" w:sz="4" w:space="0"/>
            </w:tcBorders>
          </w:tcPr>
          <w:p>
            <w:pPr>
              <w:rPr>
                <w:rFonts w:ascii="Arial"/>
                <w:sz w:val="21"/>
              </w:rPr>
            </w:pPr>
            <w:r/>
          </w:p>
        </w:tc>
      </w:tr>
      <w:tr>
        <w:trPr>
          <w:trHeight w:val="470" w:hRule="atLeast"/>
        </w:trPr>
        <w:tc>
          <w:tcPr>
            <w:tcW w:w="910" w:type="dxa"/>
            <w:vAlign w:val="top"/>
            <w:tcBorders>
              <w:right w:val="single" w:color="000000" w:sz="4" w:space="0"/>
            </w:tcBorders>
          </w:tcPr>
          <w:p>
            <w:pPr>
              <w:pStyle w:val="TableText"/>
              <w:ind w:left="290"/>
              <w:spacing w:before="94" w:line="219" w:lineRule="auto"/>
              <w:rPr/>
            </w:pPr>
            <w:r>
              <w:rPr>
                <w:spacing w:val="4"/>
              </w:rPr>
              <w:t>现状</w:t>
            </w:r>
          </w:p>
        </w:tc>
        <w:tc>
          <w:tcPr>
            <w:tcW w:w="8199" w:type="dxa"/>
            <w:vAlign w:val="top"/>
            <w:gridSpan w:val="4"/>
            <w:tcBorders>
              <w:left w:val="single" w:color="000000" w:sz="4" w:space="0"/>
              <w:right w:val="single" w:color="000000" w:sz="4" w:space="0"/>
            </w:tcBorders>
          </w:tcPr>
          <w:p>
            <w:pPr>
              <w:pStyle w:val="TableText"/>
              <w:ind w:left="724"/>
              <w:spacing w:before="114" w:line="219" w:lineRule="auto"/>
              <w:rPr/>
            </w:pPr>
            <w:r>
              <w:rPr/>
              <w:t>(2)特征污染物</w:t>
            </w:r>
          </w:p>
        </w:tc>
        <w:tc>
          <w:tcPr>
            <w:tcW w:w="1310" w:type="dxa"/>
            <w:vAlign w:val="top"/>
            <w:tcBorders>
              <w:left w:val="single" w:color="000000" w:sz="4" w:space="0"/>
            </w:tcBorders>
          </w:tcPr>
          <w:p>
            <w:pPr>
              <w:rPr>
                <w:rFonts w:ascii="Arial"/>
                <w:sz w:val="21"/>
              </w:rPr>
            </w:pPr>
            <w:r/>
          </w:p>
        </w:tc>
      </w:tr>
      <w:tr>
        <w:trPr>
          <w:trHeight w:val="480" w:hRule="atLeast"/>
        </w:trPr>
        <w:tc>
          <w:tcPr>
            <w:tcW w:w="910" w:type="dxa"/>
            <w:vAlign w:val="top"/>
            <w:tcBorders>
              <w:right w:val="single" w:color="000000" w:sz="4" w:space="0"/>
            </w:tcBorders>
          </w:tcPr>
          <w:p>
            <w:pPr>
              <w:rPr>
                <w:rFonts w:ascii="Arial"/>
                <w:sz w:val="21"/>
              </w:rPr>
            </w:pPr>
            <w:r/>
          </w:p>
        </w:tc>
        <w:tc>
          <w:tcPr>
            <w:tcW w:w="8199" w:type="dxa"/>
            <w:vAlign w:val="top"/>
            <w:gridSpan w:val="4"/>
            <w:tcBorders>
              <w:left w:val="single" w:color="000000" w:sz="4" w:space="0"/>
              <w:right w:val="single" w:color="000000" w:sz="4" w:space="0"/>
            </w:tcBorders>
          </w:tcPr>
          <w:p>
            <w:pPr>
              <w:pStyle w:val="TableText"/>
              <w:ind w:left="634"/>
              <w:spacing w:before="132" w:line="218" w:lineRule="auto"/>
              <w:rPr/>
            </w:pPr>
            <w:r>
              <w:rPr/>
              <w:t>本项目大气特征污染物为非甲烷总烃，本评价引用****中现状监测数据</w:t>
            </w:r>
          </w:p>
        </w:tc>
        <w:tc>
          <w:tcPr>
            <w:tcW w:w="1310" w:type="dxa"/>
            <w:vAlign w:val="top"/>
            <w:tcBorders>
              <w:left w:val="single" w:color="000000" w:sz="4" w:space="0"/>
            </w:tcBorders>
          </w:tcPr>
          <w:p>
            <w:pPr>
              <w:rPr>
                <w:rFonts w:ascii="Arial"/>
                <w:sz w:val="21"/>
              </w:rPr>
            </w:pPr>
            <w:r/>
          </w:p>
        </w:tc>
      </w:tr>
      <w:tr>
        <w:trPr>
          <w:trHeight w:val="472" w:hRule="atLeast"/>
        </w:trPr>
        <w:tc>
          <w:tcPr>
            <w:tcW w:w="910" w:type="dxa"/>
            <w:vAlign w:val="top"/>
            <w:tcBorders>
              <w:right w:val="single" w:color="000000" w:sz="4" w:space="0"/>
            </w:tcBorders>
          </w:tcPr>
          <w:p>
            <w:pPr>
              <w:rPr>
                <w:rFonts w:ascii="Arial"/>
                <w:sz w:val="21"/>
              </w:rPr>
            </w:pPr>
            <w:r/>
          </w:p>
        </w:tc>
        <w:tc>
          <w:tcPr>
            <w:tcW w:w="8199" w:type="dxa"/>
            <w:vAlign w:val="top"/>
            <w:gridSpan w:val="4"/>
            <w:tcBorders>
              <w:left w:val="single" w:color="000000" w:sz="4" w:space="0"/>
              <w:right w:val="single" w:color="000000" w:sz="4" w:space="0"/>
            </w:tcBorders>
          </w:tcPr>
          <w:p>
            <w:pPr>
              <w:pStyle w:val="TableText"/>
              <w:ind w:left="144"/>
              <w:spacing w:before="121" w:line="216" w:lineRule="auto"/>
              <w:rPr/>
            </w:pPr>
            <w:r>
              <w:rPr/>
              <w:t>进行补充评价，监测结果见表3.1-2,监测点位见附图2。</w:t>
            </w:r>
          </w:p>
        </w:tc>
        <w:tc>
          <w:tcPr>
            <w:tcW w:w="1310" w:type="dxa"/>
            <w:vAlign w:val="top"/>
            <w:tcBorders>
              <w:left w:val="single" w:color="000000" w:sz="4" w:space="0"/>
            </w:tcBorders>
          </w:tcPr>
          <w:p>
            <w:pPr>
              <w:rPr>
                <w:rFonts w:ascii="Arial"/>
                <w:sz w:val="21"/>
              </w:rPr>
            </w:pPr>
            <w:r/>
          </w:p>
        </w:tc>
      </w:tr>
      <w:tr>
        <w:trPr>
          <w:trHeight w:val="464" w:hRule="atLeast"/>
        </w:trPr>
        <w:tc>
          <w:tcPr>
            <w:tcW w:w="910" w:type="dxa"/>
            <w:vAlign w:val="top"/>
            <w:tcBorders>
              <w:right w:val="single" w:color="000000" w:sz="4" w:space="0"/>
            </w:tcBorders>
          </w:tcPr>
          <w:p>
            <w:pPr>
              <w:rPr>
                <w:rFonts w:ascii="Arial"/>
                <w:sz w:val="21"/>
              </w:rPr>
            </w:pPr>
            <w:r/>
          </w:p>
        </w:tc>
        <w:tc>
          <w:tcPr>
            <w:tcW w:w="8199" w:type="dxa"/>
            <w:vAlign w:val="top"/>
            <w:gridSpan w:val="4"/>
            <w:tcBorders>
              <w:left w:val="single" w:color="000000" w:sz="4" w:space="0"/>
              <w:right w:val="single" w:color="000000" w:sz="4" w:space="0"/>
            </w:tcBorders>
          </w:tcPr>
          <w:p>
            <w:pPr>
              <w:pStyle w:val="TableText"/>
              <w:ind w:left="614"/>
              <w:spacing w:before="121" w:line="219" w:lineRule="auto"/>
              <w:rPr/>
            </w:pPr>
            <w:r>
              <w:rPr/>
              <w:t>根据表3.1-2和附图2可知，引用的监测数据采样时间为202</w:t>
            </w:r>
            <w:r>
              <w:rPr>
                <w:spacing w:val="-1"/>
              </w:rPr>
              <w:t>2年11月，</w:t>
            </w:r>
          </w:p>
        </w:tc>
        <w:tc>
          <w:tcPr>
            <w:tcW w:w="1310" w:type="dxa"/>
            <w:vAlign w:val="top"/>
            <w:tcBorders>
              <w:left w:val="single" w:color="000000" w:sz="4" w:space="0"/>
            </w:tcBorders>
          </w:tcPr>
          <w:p>
            <w:pPr>
              <w:rPr>
                <w:rFonts w:ascii="Arial"/>
                <w:sz w:val="21"/>
              </w:rPr>
            </w:pPr>
            <w:r/>
          </w:p>
        </w:tc>
      </w:tr>
      <w:tr>
        <w:trPr>
          <w:trHeight w:val="473" w:hRule="atLeast"/>
        </w:trPr>
        <w:tc>
          <w:tcPr>
            <w:tcW w:w="910" w:type="dxa"/>
            <w:vAlign w:val="top"/>
            <w:tcBorders>
              <w:right w:val="single" w:color="000000" w:sz="4" w:space="0"/>
            </w:tcBorders>
          </w:tcPr>
          <w:p>
            <w:pPr>
              <w:rPr>
                <w:rFonts w:ascii="Arial"/>
                <w:sz w:val="21"/>
              </w:rPr>
            </w:pPr>
            <w:r/>
          </w:p>
        </w:tc>
        <w:tc>
          <w:tcPr>
            <w:tcW w:w="8199" w:type="dxa"/>
            <w:vAlign w:val="top"/>
            <w:gridSpan w:val="4"/>
            <w:tcBorders>
              <w:left w:val="single" w:color="000000" w:sz="4" w:space="0"/>
              <w:right w:val="single" w:color="000000" w:sz="4" w:space="0"/>
            </w:tcBorders>
          </w:tcPr>
          <w:p>
            <w:pPr>
              <w:pStyle w:val="TableText"/>
              <w:ind w:left="154"/>
              <w:spacing w:before="115" w:line="216" w:lineRule="auto"/>
              <w:rPr/>
            </w:pPr>
            <w:r>
              <w:rPr/>
              <w:t>监测点位距离本项目凹版厂房约510m,在本项目周边5km范围内，监测时</w:t>
            </w:r>
          </w:p>
        </w:tc>
        <w:tc>
          <w:tcPr>
            <w:tcW w:w="1310" w:type="dxa"/>
            <w:vAlign w:val="top"/>
            <w:tcBorders>
              <w:left w:val="single" w:color="000000" w:sz="4" w:space="0"/>
            </w:tcBorders>
          </w:tcPr>
          <w:p>
            <w:pPr>
              <w:rPr>
                <w:rFonts w:ascii="Arial"/>
                <w:sz w:val="21"/>
              </w:rPr>
            </w:pPr>
            <w:r/>
          </w:p>
        </w:tc>
      </w:tr>
      <w:tr>
        <w:trPr>
          <w:trHeight w:val="465" w:hRule="atLeast"/>
        </w:trPr>
        <w:tc>
          <w:tcPr>
            <w:tcW w:w="910" w:type="dxa"/>
            <w:vAlign w:val="top"/>
            <w:tcBorders>
              <w:right w:val="single" w:color="000000" w:sz="4" w:space="0"/>
            </w:tcBorders>
          </w:tcPr>
          <w:p>
            <w:pPr>
              <w:rPr>
                <w:rFonts w:ascii="Arial"/>
                <w:sz w:val="21"/>
              </w:rPr>
            </w:pPr>
            <w:r/>
          </w:p>
        </w:tc>
        <w:tc>
          <w:tcPr>
            <w:tcW w:w="8199" w:type="dxa"/>
            <w:vAlign w:val="top"/>
            <w:gridSpan w:val="4"/>
            <w:tcBorders>
              <w:left w:val="single" w:color="000000" w:sz="4" w:space="0"/>
              <w:right w:val="single" w:color="000000" w:sz="4" w:space="0"/>
            </w:tcBorders>
          </w:tcPr>
          <w:p>
            <w:pPr>
              <w:pStyle w:val="TableText"/>
              <w:ind w:left="174"/>
              <w:spacing w:before="125" w:line="219" w:lineRule="auto"/>
              <w:rPr/>
            </w:pPr>
            <w:r>
              <w:rPr>
                <w:spacing w:val="-1"/>
              </w:rPr>
              <w:t>间为近3年，符合资料引用要求。</w:t>
            </w:r>
          </w:p>
        </w:tc>
        <w:tc>
          <w:tcPr>
            <w:tcW w:w="1310" w:type="dxa"/>
            <w:vAlign w:val="top"/>
            <w:tcBorders>
              <w:left w:val="single" w:color="000000" w:sz="4" w:space="0"/>
            </w:tcBorders>
          </w:tcPr>
          <w:p>
            <w:pPr>
              <w:rPr>
                <w:rFonts w:ascii="Arial"/>
                <w:sz w:val="21"/>
              </w:rPr>
            </w:pPr>
            <w:r/>
          </w:p>
        </w:tc>
      </w:tr>
      <w:tr>
        <w:trPr>
          <w:trHeight w:val="469" w:hRule="atLeast"/>
        </w:trPr>
        <w:tc>
          <w:tcPr>
            <w:tcW w:w="910" w:type="dxa"/>
            <w:vAlign w:val="top"/>
            <w:vMerge w:val="restart"/>
            <w:tcBorders>
              <w:bottom w:val="nil"/>
              <w:right w:val="single" w:color="000000" w:sz="4" w:space="0"/>
            </w:tcBorders>
          </w:tcPr>
          <w:p>
            <w:pPr>
              <w:rPr>
                <w:rFonts w:ascii="Arial"/>
                <w:sz w:val="21"/>
              </w:rPr>
            </w:pPr>
            <w:r/>
          </w:p>
        </w:tc>
        <w:tc>
          <w:tcPr>
            <w:tcW w:w="8199" w:type="dxa"/>
            <w:vAlign w:val="top"/>
            <w:gridSpan w:val="4"/>
            <w:tcBorders>
              <w:left w:val="single" w:color="000000" w:sz="4" w:space="0"/>
              <w:right w:val="single" w:color="000000" w:sz="4" w:space="0"/>
            </w:tcBorders>
          </w:tcPr>
          <w:p>
            <w:pPr>
              <w:pStyle w:val="TableText"/>
              <w:ind w:left="2228"/>
              <w:spacing w:before="107" w:line="219" w:lineRule="auto"/>
              <w:rPr/>
            </w:pPr>
            <w:r>
              <w:rPr>
                <w:b/>
                <w:bCs/>
                <w:spacing w:val="-3"/>
              </w:rPr>
              <w:t>表3.1-2项目周边大气环境现状监测结果</w:t>
            </w:r>
          </w:p>
        </w:tc>
        <w:tc>
          <w:tcPr>
            <w:tcW w:w="1310" w:type="dxa"/>
            <w:vAlign w:val="top"/>
            <w:vMerge w:val="restart"/>
            <w:tcBorders>
              <w:left w:val="single" w:color="000000" w:sz="4" w:space="0"/>
              <w:bottom w:val="nil"/>
            </w:tcBorders>
          </w:tcPr>
          <w:p>
            <w:pPr>
              <w:rPr>
                <w:rFonts w:ascii="Arial"/>
                <w:sz w:val="21"/>
              </w:rPr>
            </w:pPr>
            <w:r/>
          </w:p>
        </w:tc>
      </w:tr>
      <w:tr>
        <w:trPr>
          <w:trHeight w:val="650" w:hRule="atLeast"/>
        </w:trPr>
        <w:tc>
          <w:tcPr>
            <w:tcW w:w="910" w:type="dxa"/>
            <w:vAlign w:val="top"/>
            <w:vMerge w:val="continue"/>
            <w:tcBorders>
              <w:bottom w:val="single" w:color="000000" w:sz="4" w:space="0"/>
              <w:right w:val="single" w:color="000000" w:sz="4" w:space="0"/>
              <w:top w:val="nil"/>
            </w:tcBorders>
          </w:tcPr>
          <w:p>
            <w:pPr>
              <w:rPr>
                <w:rFonts w:ascii="Arial"/>
                <w:sz w:val="21"/>
              </w:rPr>
            </w:pPr>
            <w:r/>
          </w:p>
        </w:tc>
        <w:tc>
          <w:tcPr>
            <w:tcW w:w="2154" w:type="dxa"/>
            <w:vAlign w:val="top"/>
            <w:gridSpan w:val="2"/>
            <w:tcBorders>
              <w:left w:val="single" w:color="000000" w:sz="4" w:space="0"/>
              <w:bottom w:val="single" w:color="000000" w:sz="4" w:space="0"/>
            </w:tcBorders>
          </w:tcPr>
          <w:p>
            <w:pPr>
              <w:pStyle w:val="TableText"/>
              <w:ind w:left="304"/>
              <w:spacing w:before="262" w:line="225" w:lineRule="auto"/>
              <w:rPr/>
            </w:pPr>
            <w:r>
              <w:rPr>
                <w:spacing w:val="5"/>
              </w:rPr>
              <w:t>采样时间</w:t>
            </w:r>
            <w:r>
              <w:rPr>
                <w:spacing w:val="33"/>
              </w:rPr>
              <w:t xml:space="preserve">  </w:t>
            </w:r>
            <w:r>
              <w:rPr>
                <w:spacing w:val="5"/>
              </w:rPr>
              <w:t>点位</w:t>
            </w:r>
          </w:p>
        </w:tc>
        <w:tc>
          <w:tcPr>
            <w:tcW w:w="6045" w:type="dxa"/>
            <w:vAlign w:val="top"/>
            <w:gridSpan w:val="2"/>
            <w:tcBorders>
              <w:bottom w:val="single" w:color="000000" w:sz="4" w:space="0"/>
              <w:right w:val="single" w:color="000000" w:sz="4" w:space="0"/>
            </w:tcBorders>
          </w:tcPr>
          <w:p>
            <w:pPr>
              <w:pStyle w:val="TableText"/>
              <w:ind w:left="1545"/>
              <w:spacing w:before="123" w:line="191" w:lineRule="auto"/>
              <w:rPr/>
            </w:pPr>
            <w:r>
              <w:pict>
                <v:shape id="_x0000_s12" style="position:absolute;margin-left:5.79556pt;margin-top:12.599pt;mso-position-vertical-relative:text;mso-position-horizontal-relative:text;width:194.05pt;height:13.5pt;z-index:251737088;" filled="false" stroked="false" type="#_x0000_t202">
                  <v:fill on="false"/>
                  <v:stroke on="false"/>
                  <v:path/>
                  <v:imagedata o:title=""/>
                  <o:lock v:ext="edit" aspectratio="false"/>
                  <v:textbox inset="0mm,0mm,0mm,0mm">
                    <w:txbxContent>
                      <w:p>
                        <w:pPr>
                          <w:pStyle w:val="TableText"/>
                          <w:ind w:left="20"/>
                          <w:spacing w:before="20" w:line="184" w:lineRule="auto"/>
                          <w:rPr/>
                        </w:pPr>
                        <w:r>
                          <w:rPr>
                            <w:spacing w:val="2"/>
                          </w:rPr>
                          <w:t>监测因子</w:t>
                        </w:r>
                        <w:r>
                          <w:rPr>
                            <w:strike/>
                            <w:spacing w:val="5"/>
                          </w:rPr>
                          <w:t xml:space="preserve">    </w:t>
                        </w:r>
                        <w:r>
                          <w:rPr>
                            <w:spacing w:val="7"/>
                          </w:rPr>
                          <w:t xml:space="preserve">               </w:t>
                        </w:r>
                        <w:r>
                          <w:rPr>
                            <w:strike/>
                            <w:spacing w:val="1"/>
                          </w:rPr>
                          <w:t xml:space="preserve">      </w:t>
                        </w:r>
                      </w:p>
                    </w:txbxContent>
                  </v:textbox>
                </v:shape>
              </w:pict>
            </w:r>
            <w:r>
              <w:rPr>
                <w:u w:val="single" w:color="auto"/>
                <w:spacing w:val="9"/>
              </w:rPr>
              <w:t>监测结果(</w:t>
            </w:r>
            <w:r>
              <w:rPr>
                <w:u w:val="single" w:color="auto"/>
              </w:rPr>
              <w:t>mg</w:t>
            </w:r>
            <w:r>
              <w:rPr>
                <w:u w:val="single" w:color="auto"/>
                <w:spacing w:val="9"/>
              </w:rPr>
              <w:t>/m³)</w:t>
            </w:r>
            <w:r>
              <w:rPr>
                <w:spacing w:val="8"/>
              </w:rPr>
              <w:t xml:space="preserve">     </w:t>
            </w:r>
            <w:r>
              <w:rPr>
                <w:spacing w:val="9"/>
              </w:rPr>
              <w:t>评价标准  达标情</w:t>
            </w:r>
          </w:p>
          <w:p>
            <w:pPr>
              <w:pStyle w:val="TableText"/>
              <w:ind w:left="2095"/>
              <w:spacing w:before="52" w:line="165" w:lineRule="auto"/>
              <w:rPr/>
            </w:pPr>
            <w:r>
              <w:rPr>
                <w:spacing w:val="-8"/>
                <w:position w:val="-2"/>
              </w:rPr>
              <w:t>2</w:t>
            </w:r>
            <w:r>
              <w:rPr>
                <w:spacing w:val="3"/>
                <w:position w:val="-2"/>
              </w:rPr>
              <w:t xml:space="preserve">     </w:t>
            </w:r>
            <w:r>
              <w:rPr>
                <w:spacing w:val="-8"/>
                <w:position w:val="-2"/>
              </w:rPr>
              <w:t>3</w:t>
            </w:r>
            <w:r>
              <w:rPr>
                <w:spacing w:val="17"/>
                <w:position w:val="-2"/>
              </w:rPr>
              <w:t xml:space="preserve">    </w:t>
            </w:r>
            <w:r>
              <w:rPr>
                <w:spacing w:val="-8"/>
                <w:position w:val="-1"/>
              </w:rPr>
              <w:t>4</w:t>
            </w:r>
            <w:r>
              <w:rPr>
                <w:spacing w:val="26"/>
                <w:position w:val="-1"/>
              </w:rPr>
              <w:t xml:space="preserve">    </w:t>
            </w:r>
            <w:r>
              <w:rPr>
                <w:spacing w:val="-8"/>
              </w:rPr>
              <w:t>(mg/m³)</w:t>
            </w:r>
            <w:r>
              <w:rPr>
                <w:spacing w:val="1"/>
              </w:rPr>
              <w:t xml:space="preserve">     </w:t>
            </w:r>
            <w:r>
              <w:rPr>
                <w:spacing w:val="-8"/>
              </w:rPr>
              <w:t>况</w:t>
            </w:r>
          </w:p>
        </w:tc>
        <w:tc>
          <w:tcPr>
            <w:tcW w:w="1310" w:type="dxa"/>
            <w:vAlign w:val="top"/>
            <w:vMerge w:val="continue"/>
            <w:tcBorders>
              <w:left w:val="single" w:color="000000" w:sz="4" w:space="0"/>
              <w:bottom w:val="nil"/>
              <w:top w:val="nil"/>
            </w:tcBorders>
          </w:tcPr>
          <w:p>
            <w:pPr>
              <w:rPr>
                <w:rFonts w:ascii="Arial"/>
                <w:sz w:val="21"/>
              </w:rPr>
            </w:pPr>
            <w:r/>
          </w:p>
        </w:tc>
      </w:tr>
      <w:tr>
        <w:trPr>
          <w:trHeight w:val="766" w:hRule="atLeast"/>
        </w:trPr>
        <w:tc>
          <w:tcPr>
            <w:tcW w:w="910" w:type="dxa"/>
            <w:vAlign w:val="top"/>
            <w:vMerge w:val="restart"/>
            <w:tcBorders>
              <w:right w:val="single" w:color="000000" w:sz="4" w:space="0"/>
              <w:top w:val="single" w:color="000000" w:sz="4" w:space="0"/>
              <w:bottom w:val="nil"/>
            </w:tcBorders>
          </w:tcPr>
          <w:p>
            <w:pPr>
              <w:rPr>
                <w:rFonts w:ascii="Arial"/>
                <w:sz w:val="21"/>
              </w:rPr>
            </w:pPr>
            <w:r/>
          </w:p>
        </w:tc>
        <w:tc>
          <w:tcPr>
            <w:tcW w:w="8199" w:type="dxa"/>
            <w:vAlign w:val="top"/>
            <w:gridSpan w:val="4"/>
            <w:vMerge w:val="restart"/>
            <w:tcBorders>
              <w:left w:val="single" w:color="000000" w:sz="4" w:space="0"/>
              <w:right w:val="single" w:color="000000" w:sz="4" w:space="0"/>
              <w:top w:val="single" w:color="000000" w:sz="4" w:space="0"/>
              <w:bottom w:val="nil"/>
            </w:tcBorders>
          </w:tcPr>
          <w:p>
            <w:pPr>
              <w:pStyle w:val="TableText"/>
              <w:ind w:left="193"/>
              <w:spacing w:before="79"/>
              <w:tabs>
                <w:tab w:val="left" w:pos="205"/>
              </w:tabs>
              <w:rPr/>
            </w:pPr>
            <w:r>
              <w:rPr>
                <w:u w:val="single" w:color="auto"/>
              </w:rPr>
              <w:tab/>
            </w:r>
            <w:r>
              <w:rPr>
                <w:position w:val="-27"/>
              </w:rPr>
              <w:drawing>
                <wp:inline distT="0" distB="0" distL="0" distR="0">
                  <wp:extent cx="741862" cy="413559"/>
                  <wp:effectExtent l="0" t="0" r="0" b="0"/>
                  <wp:docPr id="6" name="IM 6"/>
                  <wp:cNvGraphicFramePr/>
                  <a:graphic>
                    <a:graphicData uri="http://schemas.openxmlformats.org/drawingml/2006/picture">
                      <pic:pic>
                        <pic:nvPicPr>
                          <pic:cNvPr id="6" name="IM 6"/>
                          <pic:cNvPicPr/>
                        </pic:nvPicPr>
                        <pic:blipFill>
                          <a:blip r:embed="rId70"/>
                          <a:stretch>
                            <a:fillRect/>
                          </a:stretch>
                        </pic:blipFill>
                        <pic:spPr>
                          <a:xfrm rot="0">
                            <a:off x="0" y="0"/>
                            <a:ext cx="741862" cy="413559"/>
                          </a:xfrm>
                          <a:prstGeom prst="rect">
                            <a:avLst/>
                          </a:prstGeom>
                        </pic:spPr>
                      </pic:pic>
                    </a:graphicData>
                  </a:graphic>
                </wp:inline>
              </w:drawing>
            </w:r>
            <w:r>
              <w:rPr>
                <w:spacing w:val="-4"/>
              </w:rPr>
              <w:t>大沙村</w:t>
            </w:r>
            <w:r>
              <w:rPr>
                <w:spacing w:val="60"/>
              </w:rPr>
              <w:t xml:space="preserve"> </w:t>
            </w:r>
            <w:r>
              <w:rPr>
                <w:spacing w:val="-4"/>
                <w:position w:val="13"/>
              </w:rPr>
              <w:t>非</w:t>
            </w:r>
            <w:r>
              <w:rPr>
                <w:spacing w:val="-66"/>
                <w:position w:val="13"/>
              </w:rPr>
              <w:t xml:space="preserve"> </w:t>
            </w:r>
            <w:r>
              <w:ruby>
                <w:rubyPr>
                  <w:rubyAlign w:val="left"/>
                  <w:hpsRaise w:val="12"/>
                  <w:hps w:val="23"/>
                  <w:hpsBaseText w:val="23"/>
                </w:rubyPr>
                <w:rt>
                  <w:r>
                    <w:rPr>
                      <w:w w:val="83"/>
                    </w:rPr>
                    <w:t>甲</w:t>
                  </w:r>
                </w:rt>
                <w:rubyBase>
                  <w:r>
                    <w:rPr>
                      <w:w w:val="119"/>
                      <w:position w:val="-14"/>
                    </w:rPr>
                    <w:t>体</w:t>
                  </w:r>
                </w:rubyBase>
              </w:ruby>
            </w:r>
            <w:r>
              <w:rPr>
                <w:spacing w:val="-4"/>
                <w:position w:val="13"/>
              </w:rPr>
              <w:t>烷总</w:t>
            </w:r>
            <w:r>
              <w:rPr>
                <w:spacing w:val="23"/>
                <w:position w:val="13"/>
              </w:rPr>
              <w:t xml:space="preserve">    </w:t>
            </w:r>
            <w:r>
              <w:rPr>
                <w:b/>
                <w:bCs/>
                <w:spacing w:val="-4"/>
              </w:rPr>
              <w:t>涉密，不予公开</w:t>
            </w:r>
            <w:r>
              <w:rPr>
                <w:spacing w:val="6"/>
              </w:rPr>
              <w:t xml:space="preserve">         </w:t>
            </w:r>
            <w:r>
              <w:rPr>
                <w:spacing w:val="-4"/>
                <w:position w:val="-5"/>
              </w:rPr>
              <w:t>2.0</w:t>
            </w:r>
            <w:r>
              <w:rPr>
                <w:spacing w:val="20"/>
                <w:position w:val="-5"/>
              </w:rPr>
              <w:t xml:space="preserve">     </w:t>
            </w:r>
            <w:r>
              <w:rPr>
                <w:spacing w:val="-4"/>
                <w:position w:val="1"/>
              </w:rPr>
              <w:t>达标</w:t>
            </w:r>
          </w:p>
          <w:p>
            <w:pPr>
              <w:pStyle w:val="TableText"/>
              <w:ind w:left="624"/>
              <w:spacing w:before="60" w:line="479" w:lineRule="exact"/>
              <w:rPr/>
            </w:pPr>
            <w:r>
              <w:rPr>
                <w:position w:val="19"/>
              </w:rPr>
              <w:t>根据表3.1-2监测结果，项目所在地非甲烷总烃符</w:t>
            </w:r>
            <w:r>
              <w:rPr>
                <w:spacing w:val="-1"/>
                <w:position w:val="19"/>
              </w:rPr>
              <w:t>合《大气污染物综合排</w:t>
            </w:r>
          </w:p>
          <w:p>
            <w:pPr>
              <w:pStyle w:val="TableText"/>
              <w:ind w:left="144"/>
              <w:spacing w:line="218" w:lineRule="auto"/>
              <w:rPr/>
            </w:pPr>
            <w:r>
              <w:rPr>
                <w:spacing w:val="-1"/>
              </w:rPr>
              <w:t>放标准详解》中推荐的标准的浓度限值要求。</w:t>
            </w:r>
          </w:p>
        </w:tc>
        <w:tc>
          <w:tcPr>
            <w:tcW w:w="1310" w:type="dxa"/>
            <w:vAlign w:val="top"/>
            <w:vMerge w:val="continue"/>
            <w:tcBorders>
              <w:left w:val="single" w:color="000000" w:sz="4" w:space="0"/>
              <w:bottom w:val="single" w:color="000000" w:sz="4" w:space="0"/>
              <w:top w:val="nil"/>
            </w:tcBorders>
          </w:tcPr>
          <w:p>
            <w:pPr>
              <w:rPr>
                <w:rFonts w:ascii="Arial"/>
                <w:sz w:val="21"/>
              </w:rPr>
            </w:pPr>
            <w:r/>
          </w:p>
        </w:tc>
      </w:tr>
      <w:tr>
        <w:trPr>
          <w:trHeight w:val="831" w:hRule="atLeast"/>
        </w:trPr>
        <w:tc>
          <w:tcPr>
            <w:tcW w:w="910" w:type="dxa"/>
            <w:vAlign w:val="top"/>
            <w:vMerge w:val="continue"/>
            <w:tcBorders>
              <w:right w:val="single" w:color="000000" w:sz="4" w:space="0"/>
              <w:top w:val="nil"/>
            </w:tcBorders>
          </w:tcPr>
          <w:p>
            <w:pPr>
              <w:rPr>
                <w:rFonts w:ascii="Arial"/>
                <w:sz w:val="21"/>
              </w:rPr>
            </w:pPr>
            <w:r/>
          </w:p>
        </w:tc>
        <w:tc>
          <w:tcPr>
            <w:tcW w:w="8199" w:type="dxa"/>
            <w:vAlign w:val="top"/>
            <w:gridSpan w:val="4"/>
            <w:vMerge w:val="continue"/>
            <w:tcBorders>
              <w:left w:val="single" w:color="000000" w:sz="4" w:space="0"/>
              <w:right w:val="single" w:color="000000" w:sz="4" w:space="0"/>
              <w:top w:val="nil"/>
            </w:tcBorders>
          </w:tcPr>
          <w:p>
            <w:pPr>
              <w:rPr>
                <w:rFonts w:ascii="Arial"/>
                <w:sz w:val="21"/>
              </w:rPr>
            </w:pPr>
            <w:r/>
          </w:p>
        </w:tc>
        <w:tc>
          <w:tcPr>
            <w:tcW w:w="1310" w:type="dxa"/>
            <w:vAlign w:val="top"/>
            <w:tcBorders>
              <w:left w:val="single" w:color="000000" w:sz="4" w:space="0"/>
              <w:top w:val="single" w:color="000000" w:sz="4" w:space="0"/>
            </w:tcBorders>
          </w:tcPr>
          <w:p>
            <w:pPr>
              <w:rPr>
                <w:rFonts w:ascii="Arial"/>
                <w:sz w:val="21"/>
              </w:rPr>
            </w:pPr>
            <w:r/>
          </w:p>
        </w:tc>
      </w:tr>
      <w:tr>
        <w:trPr>
          <w:trHeight w:val="530" w:hRule="atLeast"/>
        </w:trPr>
        <w:tc>
          <w:tcPr>
            <w:tcW w:w="910" w:type="dxa"/>
            <w:vAlign w:val="top"/>
            <w:tcBorders>
              <w:bottom w:val="single" w:color="000000" w:sz="4" w:space="0"/>
              <w:right w:val="single" w:color="000000" w:sz="4" w:space="0"/>
            </w:tcBorders>
          </w:tcPr>
          <w:p>
            <w:pPr>
              <w:rPr>
                <w:rFonts w:ascii="Arial"/>
                <w:sz w:val="21"/>
              </w:rPr>
            </w:pPr>
            <w:r/>
          </w:p>
        </w:tc>
        <w:tc>
          <w:tcPr>
            <w:tcW w:w="8199" w:type="dxa"/>
            <w:vAlign w:val="top"/>
            <w:gridSpan w:val="4"/>
            <w:tcBorders>
              <w:left w:val="single" w:color="000000" w:sz="4" w:space="0"/>
              <w:bottom w:val="single" w:color="000000" w:sz="4" w:space="0"/>
              <w:right w:val="single" w:color="000000" w:sz="4" w:space="0"/>
            </w:tcBorders>
          </w:tcPr>
          <w:p>
            <w:pPr>
              <w:pStyle w:val="TableText"/>
              <w:ind w:left="148"/>
              <w:spacing w:before="131" w:line="219" w:lineRule="auto"/>
              <w:rPr/>
            </w:pPr>
            <w:r>
              <w:rPr>
                <w:b/>
                <w:bCs/>
                <w:spacing w:val="-4"/>
              </w:rPr>
              <w:t>3.2声环境质量现状</w:t>
            </w:r>
          </w:p>
        </w:tc>
        <w:tc>
          <w:tcPr>
            <w:tcW w:w="1310" w:type="dxa"/>
            <w:vAlign w:val="top"/>
            <w:tcBorders>
              <w:left w:val="single" w:color="000000" w:sz="4" w:space="0"/>
            </w:tcBorders>
          </w:tcPr>
          <w:p>
            <w:pPr>
              <w:rPr>
                <w:rFonts w:ascii="Arial"/>
                <w:sz w:val="21"/>
              </w:rPr>
            </w:pPr>
            <w:r/>
          </w:p>
        </w:tc>
      </w:tr>
    </w:tbl>
    <w:p>
      <w:pPr>
        <w:rPr>
          <w:rFonts w:ascii="Arial"/>
          <w:sz w:val="21"/>
        </w:rPr>
      </w:pPr>
      <w:r/>
    </w:p>
    <w:p>
      <w:pPr>
        <w:sectPr>
          <w:footerReference w:type="default" r:id="rId69"/>
          <w:pgSz w:w="11900" w:h="16840"/>
          <w:pgMar w:top="1431" w:right="69" w:bottom="988" w:left="1410" w:header="0" w:footer="849" w:gutter="0"/>
        </w:sectPr>
        <w:rPr>
          <w:rFonts w:ascii="Arial" w:hAnsi="Arial" w:eastAsia="Arial" w:cs="Arial"/>
          <w:sz w:val="21"/>
          <w:szCs w:val="21"/>
        </w:rPr>
      </w:pPr>
    </w:p>
    <w:tbl>
      <w:tblPr>
        <w:tblStyle w:val="TableNormal"/>
        <w:tblW w:w="897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94"/>
        <w:gridCol w:w="729"/>
        <w:gridCol w:w="360"/>
        <w:gridCol w:w="989"/>
        <w:gridCol w:w="559"/>
        <w:gridCol w:w="1129"/>
        <w:gridCol w:w="279"/>
        <w:gridCol w:w="849"/>
        <w:gridCol w:w="479"/>
        <w:gridCol w:w="659"/>
        <w:gridCol w:w="899"/>
        <w:gridCol w:w="240"/>
        <w:gridCol w:w="1014"/>
      </w:tblGrid>
      <w:tr>
        <w:trPr>
          <w:trHeight w:val="2323" w:hRule="atLeast"/>
        </w:trPr>
        <w:tc>
          <w:tcPr>
            <w:tcW w:w="794" w:type="dxa"/>
            <w:vAlign w:val="top"/>
            <w:vMerge w:val="restart"/>
            <w:tcBorders>
              <w:bottom w:val="nil"/>
            </w:tcBorders>
          </w:tcPr>
          <w:p>
            <w:pPr>
              <w:rPr>
                <w:rFonts w:ascii="Arial"/>
                <w:sz w:val="21"/>
              </w:rPr>
            </w:pPr>
            <w:r/>
          </w:p>
        </w:tc>
        <w:tc>
          <w:tcPr>
            <w:tcW w:w="8185" w:type="dxa"/>
            <w:vAlign w:val="top"/>
            <w:gridSpan w:val="12"/>
          </w:tcPr>
          <w:p>
            <w:pPr>
              <w:pStyle w:val="TableText"/>
              <w:ind w:left="571"/>
              <w:spacing w:before="56" w:line="214" w:lineRule="auto"/>
              <w:rPr/>
            </w:pPr>
            <w:r>
              <w:rPr>
                <w:spacing w:val="1"/>
              </w:rPr>
              <w:t>为了解声环境质量现状，本报告引用《时代</w:t>
            </w:r>
            <w:r>
              <w:rPr/>
              <w:t>一汽20gwh动力电池生产线</w:t>
            </w:r>
          </w:p>
          <w:p>
            <w:pPr>
              <w:pStyle w:val="TableText"/>
              <w:ind w:left="341" w:right="338" w:firstLine="119"/>
              <w:spacing w:before="190" w:line="348" w:lineRule="auto"/>
              <w:rPr/>
            </w:pPr>
            <w:r>
              <w:rPr>
                <w:spacing w:val="1"/>
              </w:rPr>
              <w:t>扩建项目阶段性竣工环境保护验收监测报告表》中于2023年3月2日—4</w:t>
            </w:r>
            <w:r>
              <w:rPr/>
              <w:t>日 </w:t>
            </w:r>
            <w:r>
              <w:rPr>
                <w:spacing w:val="1"/>
              </w:rPr>
              <w:t>在项目所在区域周边敏感点进行的现状噪声</w:t>
            </w:r>
            <w:r>
              <w:rPr/>
              <w:t>监测，监测结果进行分析(噪声</w:t>
            </w:r>
          </w:p>
          <w:p>
            <w:pPr>
              <w:pStyle w:val="TableText"/>
              <w:ind w:left="130"/>
              <w:spacing w:line="216" w:lineRule="auto"/>
              <w:rPr/>
            </w:pPr>
            <w:r>
              <w:rPr/>
              <w:t>监测点位见附图2),具体监测结果详见表3.2-1。</w:t>
            </w:r>
          </w:p>
          <w:p>
            <w:pPr>
              <w:pStyle w:val="TableText"/>
              <w:ind w:left="1954"/>
              <w:spacing w:before="220" w:line="219" w:lineRule="auto"/>
              <w:rPr/>
            </w:pPr>
            <w:r>
              <w:rPr>
                <w:b/>
                <w:bCs/>
                <w:spacing w:val="-3"/>
              </w:rPr>
              <w:t>表3.2-1</w:t>
            </w:r>
            <w:r>
              <w:rPr>
                <w:spacing w:val="-3"/>
              </w:rPr>
              <w:t xml:space="preserve">  </w:t>
            </w:r>
            <w:r>
              <w:rPr>
                <w:b/>
                <w:bCs/>
                <w:spacing w:val="-3"/>
              </w:rPr>
              <w:t>声环境质量现状检测结果一览表</w:t>
            </w:r>
          </w:p>
        </w:tc>
      </w:tr>
      <w:tr>
        <w:trPr>
          <w:trHeight w:val="369" w:hRule="atLeast"/>
        </w:trPr>
        <w:tc>
          <w:tcPr>
            <w:tcW w:w="794" w:type="dxa"/>
            <w:vAlign w:val="top"/>
            <w:vMerge w:val="continue"/>
            <w:tcBorders>
              <w:top w:val="nil"/>
              <w:bottom w:val="nil"/>
            </w:tcBorders>
          </w:tcPr>
          <w:p>
            <w:pPr>
              <w:rPr>
                <w:rFonts w:ascii="Arial"/>
                <w:sz w:val="21"/>
              </w:rPr>
            </w:pPr>
            <w:r/>
          </w:p>
        </w:tc>
        <w:tc>
          <w:tcPr>
            <w:tcW w:w="729" w:type="dxa"/>
            <w:vAlign w:val="top"/>
            <w:vMerge w:val="restart"/>
            <w:textDirection w:val="tbRlV"/>
            <w:tcBorders>
              <w:bottom w:val="nil"/>
            </w:tcBorders>
          </w:tcPr>
          <w:p>
            <w:pPr>
              <w:pStyle w:val="TableText"/>
              <w:ind w:left="99"/>
              <w:spacing w:before="248" w:line="217" w:lineRule="auto"/>
              <w:rPr/>
            </w:pPr>
            <w:r>
              <w:rPr/>
              <w:t>序号</w:t>
            </w:r>
          </w:p>
        </w:tc>
        <w:tc>
          <w:tcPr>
            <w:tcW w:w="1908" w:type="dxa"/>
            <w:vAlign w:val="top"/>
            <w:gridSpan w:val="3"/>
            <w:vMerge w:val="restart"/>
            <w:tcBorders>
              <w:bottom w:val="nil"/>
            </w:tcBorders>
          </w:tcPr>
          <w:p>
            <w:pPr>
              <w:pStyle w:val="TableText"/>
              <w:ind w:left="552"/>
              <w:spacing w:before="242" w:line="221" w:lineRule="auto"/>
              <w:rPr/>
            </w:pPr>
            <w:r>
              <w:rPr>
                <w:spacing w:val="-2"/>
              </w:rPr>
              <w:t>监测点位</w:t>
            </w:r>
          </w:p>
        </w:tc>
        <w:tc>
          <w:tcPr>
            <w:tcW w:w="2736" w:type="dxa"/>
            <w:vAlign w:val="top"/>
            <w:gridSpan w:val="4"/>
          </w:tcPr>
          <w:p>
            <w:pPr>
              <w:pStyle w:val="TableText"/>
              <w:ind w:left="483"/>
              <w:spacing w:before="72" w:line="220" w:lineRule="auto"/>
              <w:rPr/>
            </w:pPr>
            <w:r>
              <w:rPr>
                <w:spacing w:val="5"/>
              </w:rPr>
              <w:t>监测结果(</w:t>
            </w:r>
            <w:r>
              <w:rPr/>
              <w:t>dB</w:t>
            </w:r>
            <w:r>
              <w:rPr>
                <w:spacing w:val="5"/>
              </w:rPr>
              <w:t>(A))</w:t>
            </w:r>
          </w:p>
        </w:tc>
        <w:tc>
          <w:tcPr>
            <w:tcW w:w="2812" w:type="dxa"/>
            <w:vAlign w:val="top"/>
            <w:gridSpan w:val="4"/>
          </w:tcPr>
          <w:p>
            <w:pPr>
              <w:pStyle w:val="TableText"/>
              <w:ind w:left="948"/>
              <w:spacing w:before="69" w:line="218" w:lineRule="auto"/>
              <w:rPr/>
            </w:pPr>
            <w:r>
              <w:rPr>
                <w:spacing w:val="-2"/>
              </w:rPr>
              <w:t>评价标准</w:t>
            </w:r>
          </w:p>
        </w:tc>
      </w:tr>
      <w:tr>
        <w:trPr>
          <w:trHeight w:val="320" w:hRule="atLeast"/>
        </w:trPr>
        <w:tc>
          <w:tcPr>
            <w:tcW w:w="794" w:type="dxa"/>
            <w:vAlign w:val="top"/>
            <w:vMerge w:val="continue"/>
            <w:tcBorders>
              <w:top w:val="nil"/>
              <w:bottom w:val="nil"/>
            </w:tcBorders>
          </w:tcPr>
          <w:p>
            <w:pPr>
              <w:rPr>
                <w:rFonts w:ascii="Arial"/>
                <w:sz w:val="21"/>
              </w:rPr>
            </w:pPr>
            <w:r/>
          </w:p>
        </w:tc>
        <w:tc>
          <w:tcPr>
            <w:tcW w:w="729" w:type="dxa"/>
            <w:vAlign w:val="top"/>
            <w:vMerge w:val="continue"/>
            <w:textDirection w:val="tbRlV"/>
            <w:tcBorders>
              <w:top w:val="nil"/>
            </w:tcBorders>
          </w:tcPr>
          <w:p>
            <w:pPr>
              <w:rPr>
                <w:rFonts w:ascii="Arial"/>
                <w:sz w:val="21"/>
              </w:rPr>
            </w:pPr>
            <w:r/>
          </w:p>
        </w:tc>
        <w:tc>
          <w:tcPr>
            <w:tcW w:w="1908" w:type="dxa"/>
            <w:vAlign w:val="top"/>
            <w:gridSpan w:val="3"/>
            <w:vMerge w:val="continue"/>
            <w:tcBorders>
              <w:top w:val="nil"/>
            </w:tcBorders>
          </w:tcPr>
          <w:p>
            <w:pPr>
              <w:rPr>
                <w:rFonts w:ascii="Arial"/>
                <w:sz w:val="21"/>
              </w:rPr>
            </w:pPr>
            <w:r/>
          </w:p>
        </w:tc>
        <w:tc>
          <w:tcPr>
            <w:tcW w:w="1408" w:type="dxa"/>
            <w:vAlign w:val="top"/>
            <w:gridSpan w:val="2"/>
          </w:tcPr>
          <w:p>
            <w:pPr>
              <w:pStyle w:val="TableText"/>
              <w:ind w:left="463"/>
              <w:spacing w:before="55" w:line="204" w:lineRule="auto"/>
              <w:rPr/>
            </w:pPr>
            <w:r>
              <w:rPr>
                <w:spacing w:val="11"/>
              </w:rPr>
              <w:t>昼间</w:t>
            </w:r>
          </w:p>
        </w:tc>
        <w:tc>
          <w:tcPr>
            <w:tcW w:w="1328" w:type="dxa"/>
            <w:vAlign w:val="top"/>
            <w:gridSpan w:val="2"/>
          </w:tcPr>
          <w:p>
            <w:pPr>
              <w:pStyle w:val="TableText"/>
              <w:ind w:left="426"/>
              <w:spacing w:before="52" w:line="207" w:lineRule="auto"/>
              <w:rPr/>
            </w:pPr>
            <w:r>
              <w:rPr>
                <w:spacing w:val="11"/>
              </w:rPr>
              <w:t>夜间</w:t>
            </w:r>
          </w:p>
        </w:tc>
        <w:tc>
          <w:tcPr>
            <w:tcW w:w="1558" w:type="dxa"/>
            <w:vAlign w:val="top"/>
            <w:gridSpan w:val="2"/>
          </w:tcPr>
          <w:p>
            <w:pPr>
              <w:pStyle w:val="TableText"/>
              <w:ind w:left="548"/>
              <w:spacing w:before="55" w:line="204" w:lineRule="auto"/>
              <w:rPr/>
            </w:pPr>
            <w:r>
              <w:rPr>
                <w:spacing w:val="11"/>
              </w:rPr>
              <w:t>昼间</w:t>
            </w:r>
          </w:p>
        </w:tc>
        <w:tc>
          <w:tcPr>
            <w:tcW w:w="1254" w:type="dxa"/>
            <w:vAlign w:val="top"/>
            <w:gridSpan w:val="2"/>
          </w:tcPr>
          <w:p>
            <w:pPr>
              <w:pStyle w:val="TableText"/>
              <w:ind w:left="389"/>
              <w:spacing w:before="52" w:line="207" w:lineRule="auto"/>
              <w:rPr/>
            </w:pPr>
            <w:r>
              <w:rPr>
                <w:spacing w:val="11"/>
              </w:rPr>
              <w:t>夜间</w:t>
            </w:r>
          </w:p>
        </w:tc>
      </w:tr>
      <w:tr>
        <w:trPr>
          <w:trHeight w:val="339" w:hRule="atLeast"/>
        </w:trPr>
        <w:tc>
          <w:tcPr>
            <w:tcW w:w="794" w:type="dxa"/>
            <w:vAlign w:val="top"/>
            <w:vMerge w:val="continue"/>
            <w:tcBorders>
              <w:top w:val="nil"/>
              <w:bottom w:val="nil"/>
            </w:tcBorders>
          </w:tcPr>
          <w:p>
            <w:pPr>
              <w:rPr>
                <w:rFonts w:ascii="Arial"/>
                <w:sz w:val="21"/>
              </w:rPr>
            </w:pPr>
            <w:r/>
          </w:p>
        </w:tc>
        <w:tc>
          <w:tcPr>
            <w:tcW w:w="8185" w:type="dxa"/>
            <w:vAlign w:val="top"/>
            <w:gridSpan w:val="12"/>
          </w:tcPr>
          <w:p>
            <w:pPr>
              <w:pStyle w:val="TableText"/>
              <w:ind w:left="3390"/>
              <w:spacing w:before="141" w:line="188" w:lineRule="exact"/>
              <w:rPr/>
            </w:pPr>
            <w:r>
              <w:rPr>
                <w:spacing w:val="-1"/>
                <w:position w:val="-2"/>
              </w:rPr>
              <w:t>2023.3.2-3.3</w:t>
            </w:r>
          </w:p>
        </w:tc>
      </w:tr>
      <w:tr>
        <w:trPr>
          <w:trHeight w:val="350" w:hRule="atLeast"/>
        </w:trPr>
        <w:tc>
          <w:tcPr>
            <w:tcW w:w="794" w:type="dxa"/>
            <w:vAlign w:val="top"/>
            <w:vMerge w:val="continue"/>
            <w:tcBorders>
              <w:top w:val="nil"/>
              <w:bottom w:val="nil"/>
            </w:tcBorders>
          </w:tcPr>
          <w:p>
            <w:pPr>
              <w:rPr>
                <w:rFonts w:ascii="Arial"/>
                <w:sz w:val="21"/>
              </w:rPr>
            </w:pPr>
            <w:r/>
          </w:p>
        </w:tc>
        <w:tc>
          <w:tcPr>
            <w:tcW w:w="729" w:type="dxa"/>
            <w:vAlign w:val="top"/>
          </w:tcPr>
          <w:p>
            <w:pPr>
              <w:rPr>
                <w:rFonts w:ascii="Arial"/>
                <w:sz w:val="21"/>
              </w:rPr>
            </w:pPr>
            <w:r/>
          </w:p>
        </w:tc>
        <w:tc>
          <w:tcPr>
            <w:tcW w:w="1908" w:type="dxa"/>
            <w:vAlign w:val="top"/>
            <w:gridSpan w:val="3"/>
          </w:tcPr>
          <w:p>
            <w:pPr>
              <w:pStyle w:val="TableText"/>
              <w:ind w:left="102"/>
              <w:spacing w:before="61" w:line="219" w:lineRule="auto"/>
              <w:rPr/>
            </w:pPr>
            <w:r>
              <w:rPr>
                <w:spacing w:val="3"/>
              </w:rPr>
              <w:t>石雷洋村N1</w:t>
            </w:r>
          </w:p>
        </w:tc>
        <w:tc>
          <w:tcPr>
            <w:tcW w:w="1408" w:type="dxa"/>
            <w:vAlign w:val="top"/>
            <w:gridSpan w:val="2"/>
          </w:tcPr>
          <w:p>
            <w:pPr>
              <w:pStyle w:val="TableText"/>
              <w:ind w:left="463"/>
              <w:spacing w:before="123" w:line="174" w:lineRule="auto"/>
              <w:rPr/>
            </w:pPr>
            <w:r>
              <w:rPr>
                <w:spacing w:val="-3"/>
              </w:rPr>
              <w:t>54.8</w:t>
            </w:r>
          </w:p>
        </w:tc>
        <w:tc>
          <w:tcPr>
            <w:tcW w:w="1328" w:type="dxa"/>
            <w:vAlign w:val="top"/>
            <w:gridSpan w:val="2"/>
          </w:tcPr>
          <w:p>
            <w:pPr>
              <w:pStyle w:val="TableText"/>
              <w:ind w:left="545"/>
              <w:spacing w:before="123" w:line="174" w:lineRule="auto"/>
              <w:rPr/>
            </w:pPr>
            <w:r>
              <w:rPr>
                <w:spacing w:val="-3"/>
              </w:rPr>
              <w:t>42</w:t>
            </w:r>
          </w:p>
        </w:tc>
        <w:tc>
          <w:tcPr>
            <w:tcW w:w="1558" w:type="dxa"/>
            <w:vAlign w:val="top"/>
            <w:gridSpan w:val="2"/>
          </w:tcPr>
          <w:p>
            <w:pPr>
              <w:pStyle w:val="TableText"/>
              <w:ind w:left="658"/>
              <w:spacing w:before="123" w:line="174" w:lineRule="auto"/>
              <w:rPr/>
            </w:pPr>
            <w:r>
              <w:rPr>
                <w:spacing w:val="-3"/>
              </w:rPr>
              <w:t>60</w:t>
            </w:r>
          </w:p>
        </w:tc>
        <w:tc>
          <w:tcPr>
            <w:tcW w:w="1254" w:type="dxa"/>
            <w:vAlign w:val="top"/>
            <w:gridSpan w:val="2"/>
          </w:tcPr>
          <w:p>
            <w:pPr>
              <w:pStyle w:val="TableText"/>
              <w:ind w:left="510"/>
              <w:spacing w:before="123" w:line="174" w:lineRule="auto"/>
              <w:rPr/>
            </w:pPr>
            <w:r>
              <w:rPr>
                <w:spacing w:val="-4"/>
              </w:rPr>
              <w:t>50</w:t>
            </w:r>
          </w:p>
        </w:tc>
      </w:tr>
      <w:tr>
        <w:trPr>
          <w:trHeight w:val="320" w:hRule="atLeast"/>
        </w:trPr>
        <w:tc>
          <w:tcPr>
            <w:tcW w:w="794" w:type="dxa"/>
            <w:vAlign w:val="top"/>
            <w:vMerge w:val="continue"/>
            <w:tcBorders>
              <w:top w:val="nil"/>
              <w:bottom w:val="nil"/>
            </w:tcBorders>
          </w:tcPr>
          <w:p>
            <w:pPr>
              <w:rPr>
                <w:rFonts w:ascii="Arial"/>
                <w:sz w:val="21"/>
              </w:rPr>
            </w:pPr>
            <w:r/>
          </w:p>
        </w:tc>
        <w:tc>
          <w:tcPr>
            <w:tcW w:w="729" w:type="dxa"/>
            <w:vAlign w:val="top"/>
          </w:tcPr>
          <w:p>
            <w:pPr>
              <w:pStyle w:val="TableText"/>
              <w:ind w:left="291"/>
              <w:spacing w:before="113" w:line="158" w:lineRule="auto"/>
              <w:rPr/>
            </w:pPr>
            <w:r>
              <w:rPr/>
              <w:t>2</w:t>
            </w:r>
          </w:p>
        </w:tc>
        <w:tc>
          <w:tcPr>
            <w:tcW w:w="1908" w:type="dxa"/>
            <w:vAlign w:val="top"/>
            <w:gridSpan w:val="3"/>
          </w:tcPr>
          <w:p>
            <w:pPr>
              <w:pStyle w:val="TableText"/>
              <w:ind w:left="102"/>
              <w:spacing w:before="52" w:line="207" w:lineRule="auto"/>
              <w:rPr/>
            </w:pPr>
            <w:r>
              <w:rPr>
                <w:spacing w:val="2"/>
              </w:rPr>
              <w:t>大沙村N2</w:t>
            </w:r>
          </w:p>
        </w:tc>
        <w:tc>
          <w:tcPr>
            <w:tcW w:w="1408" w:type="dxa"/>
            <w:vAlign w:val="top"/>
            <w:gridSpan w:val="2"/>
          </w:tcPr>
          <w:p>
            <w:pPr>
              <w:pStyle w:val="TableText"/>
              <w:ind w:left="463"/>
              <w:spacing w:before="113" w:line="158" w:lineRule="auto"/>
              <w:rPr/>
            </w:pPr>
            <w:r>
              <w:rPr>
                <w:spacing w:val="-3"/>
              </w:rPr>
              <w:t>54.8</w:t>
            </w:r>
          </w:p>
        </w:tc>
        <w:tc>
          <w:tcPr>
            <w:tcW w:w="1328" w:type="dxa"/>
            <w:vAlign w:val="top"/>
            <w:gridSpan w:val="2"/>
          </w:tcPr>
          <w:p>
            <w:pPr>
              <w:pStyle w:val="TableText"/>
              <w:ind w:left="426"/>
              <w:spacing w:before="113" w:line="158" w:lineRule="auto"/>
              <w:rPr/>
            </w:pPr>
            <w:r>
              <w:rPr>
                <w:spacing w:val="-2"/>
              </w:rPr>
              <w:t>48.3</w:t>
            </w:r>
          </w:p>
        </w:tc>
        <w:tc>
          <w:tcPr>
            <w:tcW w:w="1558" w:type="dxa"/>
            <w:vAlign w:val="top"/>
            <w:gridSpan w:val="2"/>
          </w:tcPr>
          <w:p>
            <w:pPr>
              <w:pStyle w:val="TableText"/>
              <w:ind w:left="658"/>
              <w:spacing w:before="113" w:line="158" w:lineRule="auto"/>
              <w:rPr/>
            </w:pPr>
            <w:r>
              <w:rPr>
                <w:spacing w:val="-3"/>
              </w:rPr>
              <w:t>60</w:t>
            </w:r>
          </w:p>
        </w:tc>
        <w:tc>
          <w:tcPr>
            <w:tcW w:w="1254" w:type="dxa"/>
            <w:vAlign w:val="top"/>
            <w:gridSpan w:val="2"/>
          </w:tcPr>
          <w:p>
            <w:pPr>
              <w:pStyle w:val="TableText"/>
              <w:ind w:left="510"/>
              <w:spacing w:before="113" w:line="158" w:lineRule="auto"/>
              <w:rPr/>
            </w:pPr>
            <w:r>
              <w:rPr>
                <w:spacing w:val="-4"/>
              </w:rPr>
              <w:t>50</w:t>
            </w:r>
          </w:p>
        </w:tc>
      </w:tr>
      <w:tr>
        <w:trPr>
          <w:trHeight w:val="349" w:hRule="atLeast"/>
        </w:trPr>
        <w:tc>
          <w:tcPr>
            <w:tcW w:w="794" w:type="dxa"/>
            <w:vAlign w:val="top"/>
            <w:vMerge w:val="continue"/>
            <w:tcBorders>
              <w:top w:val="nil"/>
              <w:bottom w:val="nil"/>
            </w:tcBorders>
          </w:tcPr>
          <w:p>
            <w:pPr>
              <w:rPr>
                <w:rFonts w:ascii="Arial"/>
                <w:sz w:val="21"/>
              </w:rPr>
            </w:pPr>
            <w:r/>
          </w:p>
        </w:tc>
        <w:tc>
          <w:tcPr>
            <w:tcW w:w="8185" w:type="dxa"/>
            <w:vAlign w:val="top"/>
            <w:gridSpan w:val="12"/>
          </w:tcPr>
          <w:p>
            <w:pPr>
              <w:pStyle w:val="TableText"/>
              <w:ind w:left="3390"/>
              <w:spacing w:before="122" w:line="174" w:lineRule="auto"/>
              <w:rPr/>
            </w:pPr>
            <w:r>
              <w:rPr>
                <w:spacing w:val="-1"/>
              </w:rPr>
              <w:t>2023.3.3-3.4</w:t>
            </w:r>
          </w:p>
        </w:tc>
      </w:tr>
      <w:tr>
        <w:trPr>
          <w:trHeight w:val="340" w:hRule="atLeast"/>
        </w:trPr>
        <w:tc>
          <w:tcPr>
            <w:tcW w:w="794" w:type="dxa"/>
            <w:vAlign w:val="top"/>
            <w:vMerge w:val="continue"/>
            <w:tcBorders>
              <w:top w:val="nil"/>
              <w:bottom w:val="nil"/>
            </w:tcBorders>
          </w:tcPr>
          <w:p>
            <w:pPr>
              <w:rPr>
                <w:rFonts w:ascii="Arial"/>
                <w:sz w:val="21"/>
              </w:rPr>
            </w:pPr>
            <w:r/>
          </w:p>
        </w:tc>
        <w:tc>
          <w:tcPr>
            <w:tcW w:w="729" w:type="dxa"/>
            <w:vAlign w:val="top"/>
          </w:tcPr>
          <w:p>
            <w:pPr>
              <w:rPr>
                <w:rFonts w:ascii="Arial"/>
                <w:sz w:val="21"/>
              </w:rPr>
            </w:pPr>
            <w:r/>
          </w:p>
        </w:tc>
        <w:tc>
          <w:tcPr>
            <w:tcW w:w="1908" w:type="dxa"/>
            <w:vAlign w:val="top"/>
            <w:gridSpan w:val="3"/>
          </w:tcPr>
          <w:p>
            <w:pPr>
              <w:pStyle w:val="TableText"/>
              <w:ind w:left="102"/>
              <w:spacing w:before="63" w:line="214" w:lineRule="auto"/>
              <w:rPr/>
            </w:pPr>
            <w:r>
              <w:rPr>
                <w:spacing w:val="3"/>
              </w:rPr>
              <w:t>石雷洋村N1</w:t>
            </w:r>
          </w:p>
        </w:tc>
        <w:tc>
          <w:tcPr>
            <w:tcW w:w="1408" w:type="dxa"/>
            <w:vAlign w:val="top"/>
            <w:gridSpan w:val="2"/>
          </w:tcPr>
          <w:p>
            <w:pPr>
              <w:pStyle w:val="TableText"/>
              <w:ind w:left="463"/>
              <w:spacing w:before="125" w:line="164" w:lineRule="auto"/>
              <w:rPr/>
            </w:pPr>
            <w:r>
              <w:rPr>
                <w:spacing w:val="-3"/>
              </w:rPr>
              <w:t>55.5</w:t>
            </w:r>
          </w:p>
        </w:tc>
        <w:tc>
          <w:tcPr>
            <w:tcW w:w="1328" w:type="dxa"/>
            <w:vAlign w:val="top"/>
            <w:gridSpan w:val="2"/>
          </w:tcPr>
          <w:p>
            <w:pPr>
              <w:pStyle w:val="TableText"/>
              <w:ind w:left="426"/>
              <w:spacing w:before="123" w:line="166" w:lineRule="auto"/>
              <w:rPr/>
            </w:pPr>
            <w:r>
              <w:rPr>
                <w:spacing w:val="-2"/>
              </w:rPr>
              <w:t>43.4</w:t>
            </w:r>
          </w:p>
        </w:tc>
        <w:tc>
          <w:tcPr>
            <w:tcW w:w="1558" w:type="dxa"/>
            <w:vAlign w:val="top"/>
            <w:gridSpan w:val="2"/>
          </w:tcPr>
          <w:p>
            <w:pPr>
              <w:pStyle w:val="TableText"/>
              <w:ind w:left="658"/>
              <w:spacing w:before="123" w:line="166" w:lineRule="auto"/>
              <w:rPr/>
            </w:pPr>
            <w:r>
              <w:rPr>
                <w:spacing w:val="-3"/>
              </w:rPr>
              <w:t>60</w:t>
            </w:r>
          </w:p>
        </w:tc>
        <w:tc>
          <w:tcPr>
            <w:tcW w:w="1254" w:type="dxa"/>
            <w:vAlign w:val="top"/>
            <w:gridSpan w:val="2"/>
          </w:tcPr>
          <w:p>
            <w:pPr>
              <w:pStyle w:val="TableText"/>
              <w:ind w:left="510"/>
              <w:spacing w:before="123" w:line="166" w:lineRule="auto"/>
              <w:rPr/>
            </w:pPr>
            <w:r>
              <w:rPr>
                <w:spacing w:val="-4"/>
              </w:rPr>
              <w:t>50</w:t>
            </w:r>
          </w:p>
        </w:tc>
      </w:tr>
      <w:tr>
        <w:trPr>
          <w:trHeight w:val="330" w:hRule="atLeast"/>
        </w:trPr>
        <w:tc>
          <w:tcPr>
            <w:tcW w:w="794" w:type="dxa"/>
            <w:vAlign w:val="top"/>
            <w:vMerge w:val="continue"/>
            <w:tcBorders>
              <w:top w:val="nil"/>
              <w:bottom w:val="nil"/>
            </w:tcBorders>
          </w:tcPr>
          <w:p>
            <w:pPr>
              <w:rPr>
                <w:rFonts w:ascii="Arial"/>
                <w:sz w:val="21"/>
              </w:rPr>
            </w:pPr>
            <w:r/>
          </w:p>
        </w:tc>
        <w:tc>
          <w:tcPr>
            <w:tcW w:w="729" w:type="dxa"/>
            <w:vAlign w:val="top"/>
          </w:tcPr>
          <w:p>
            <w:pPr>
              <w:pStyle w:val="TableText"/>
              <w:ind w:left="291"/>
              <w:spacing w:before="113" w:line="166" w:lineRule="auto"/>
              <w:rPr/>
            </w:pPr>
            <w:r>
              <w:rPr/>
              <w:t>2</w:t>
            </w:r>
          </w:p>
        </w:tc>
        <w:tc>
          <w:tcPr>
            <w:tcW w:w="1908" w:type="dxa"/>
            <w:vAlign w:val="top"/>
            <w:gridSpan w:val="3"/>
          </w:tcPr>
          <w:p>
            <w:pPr>
              <w:pStyle w:val="TableText"/>
              <w:ind w:left="102"/>
              <w:spacing w:before="53" w:line="214" w:lineRule="auto"/>
              <w:rPr/>
            </w:pPr>
            <w:r>
              <w:rPr>
                <w:spacing w:val="2"/>
              </w:rPr>
              <w:t>大沙村N2</w:t>
            </w:r>
          </w:p>
        </w:tc>
        <w:tc>
          <w:tcPr>
            <w:tcW w:w="1408" w:type="dxa"/>
            <w:vAlign w:val="top"/>
            <w:gridSpan w:val="2"/>
          </w:tcPr>
          <w:p>
            <w:pPr>
              <w:pStyle w:val="TableText"/>
              <w:ind w:left="463"/>
              <w:spacing w:before="113" w:line="166" w:lineRule="auto"/>
              <w:rPr/>
            </w:pPr>
            <w:r>
              <w:rPr>
                <w:spacing w:val="-3"/>
              </w:rPr>
              <w:t>53.0</w:t>
            </w:r>
          </w:p>
        </w:tc>
        <w:tc>
          <w:tcPr>
            <w:tcW w:w="1328" w:type="dxa"/>
            <w:vAlign w:val="top"/>
            <w:gridSpan w:val="2"/>
          </w:tcPr>
          <w:p>
            <w:pPr>
              <w:pStyle w:val="TableText"/>
              <w:ind w:left="426"/>
              <w:spacing w:before="113" w:line="166" w:lineRule="auto"/>
              <w:rPr/>
            </w:pPr>
            <w:r>
              <w:rPr>
                <w:spacing w:val="-2"/>
              </w:rPr>
              <w:t>48.8</w:t>
            </w:r>
          </w:p>
        </w:tc>
        <w:tc>
          <w:tcPr>
            <w:tcW w:w="1558" w:type="dxa"/>
            <w:vAlign w:val="top"/>
            <w:gridSpan w:val="2"/>
          </w:tcPr>
          <w:p>
            <w:pPr>
              <w:pStyle w:val="TableText"/>
              <w:ind w:left="658"/>
              <w:spacing w:before="113" w:line="166" w:lineRule="auto"/>
              <w:rPr/>
            </w:pPr>
            <w:r>
              <w:rPr>
                <w:spacing w:val="-3"/>
              </w:rPr>
              <w:t>60</w:t>
            </w:r>
          </w:p>
        </w:tc>
        <w:tc>
          <w:tcPr>
            <w:tcW w:w="1254" w:type="dxa"/>
            <w:vAlign w:val="top"/>
            <w:gridSpan w:val="2"/>
          </w:tcPr>
          <w:p>
            <w:pPr>
              <w:pStyle w:val="TableText"/>
              <w:ind w:left="510"/>
              <w:spacing w:before="113" w:line="166" w:lineRule="auto"/>
              <w:rPr/>
            </w:pPr>
            <w:r>
              <w:rPr>
                <w:spacing w:val="-4"/>
              </w:rPr>
              <w:t>50</w:t>
            </w:r>
          </w:p>
        </w:tc>
      </w:tr>
      <w:tr>
        <w:trPr>
          <w:trHeight w:val="5995" w:hRule="atLeast"/>
        </w:trPr>
        <w:tc>
          <w:tcPr>
            <w:tcW w:w="794" w:type="dxa"/>
            <w:vAlign w:val="top"/>
            <w:vMerge w:val="continue"/>
            <w:tcBorders>
              <w:top w:val="nil"/>
              <w:bottom w:val="nil"/>
            </w:tcBorders>
          </w:tcPr>
          <w:p>
            <w:pPr>
              <w:rPr>
                <w:rFonts w:ascii="Arial"/>
                <w:sz w:val="21"/>
              </w:rPr>
            </w:pPr>
            <w:r/>
          </w:p>
        </w:tc>
        <w:tc>
          <w:tcPr>
            <w:tcW w:w="8185" w:type="dxa"/>
            <w:vAlign w:val="top"/>
            <w:gridSpan w:val="12"/>
          </w:tcPr>
          <w:p>
            <w:pPr>
              <w:pStyle w:val="TableText"/>
              <w:ind w:left="130" w:right="383" w:firstLine="390"/>
              <w:spacing w:before="83" w:line="376" w:lineRule="auto"/>
              <w:rPr/>
            </w:pPr>
            <w:r>
              <w:rPr/>
              <w:t>由上表可知，项目所在用地周边敏感点石雷洋、大沙村昼夜间环境噪声</w:t>
            </w:r>
            <w:r>
              <w:rPr>
                <w:spacing w:val="7"/>
              </w:rPr>
              <w:t xml:space="preserve">  </w:t>
            </w:r>
            <w:r>
              <w:rPr>
                <w:spacing w:val="2"/>
              </w:rPr>
              <w:t>监测值均符合《声环境质量标准》(</w:t>
            </w:r>
            <w:r>
              <w:rPr/>
              <w:t>GB</w:t>
            </w:r>
            <w:r>
              <w:rPr>
                <w:spacing w:val="2"/>
              </w:rPr>
              <w:t>3096-2008)中的2类</w:t>
            </w:r>
            <w:r>
              <w:rPr>
                <w:spacing w:val="1"/>
              </w:rPr>
              <w:t>标准(昼间≤60</w:t>
            </w:r>
            <w:r>
              <w:rPr/>
              <w:t>dB</w:t>
            </w:r>
            <w:r>
              <w:rPr>
                <w:spacing w:val="1"/>
              </w:rPr>
              <w:t>,</w:t>
            </w:r>
          </w:p>
          <w:p>
            <w:pPr>
              <w:pStyle w:val="TableText"/>
              <w:ind w:left="130"/>
              <w:spacing w:line="216" w:lineRule="auto"/>
              <w:rPr/>
            </w:pPr>
            <w:r>
              <w:rPr/>
              <w:t>夜间≤50dB),项目所在区域声环境质</w:t>
            </w:r>
            <w:r>
              <w:rPr>
                <w:spacing w:val="-1"/>
              </w:rPr>
              <w:t>量现状良好。</w:t>
            </w:r>
          </w:p>
          <w:p>
            <w:pPr>
              <w:pStyle w:val="TableText"/>
              <w:ind w:left="134"/>
              <w:spacing w:before="210" w:line="219" w:lineRule="auto"/>
              <w:rPr/>
            </w:pPr>
            <w:r>
              <w:rPr>
                <w:b/>
                <w:bCs/>
                <w:spacing w:val="-4"/>
              </w:rPr>
              <w:t>3.3水环境质量现状</w:t>
            </w:r>
          </w:p>
          <w:p>
            <w:pPr>
              <w:pStyle w:val="TableText"/>
              <w:ind w:left="144"/>
              <w:spacing w:before="197" w:line="219" w:lineRule="auto"/>
              <w:rPr/>
            </w:pPr>
            <w:r>
              <w:rPr>
                <w:b/>
                <w:bCs/>
                <w:spacing w:val="-3"/>
              </w:rPr>
              <w:t>1、地下水环境质量现状</w:t>
            </w:r>
          </w:p>
          <w:p>
            <w:pPr>
              <w:pStyle w:val="TableText"/>
              <w:ind w:left="231" w:right="225" w:firstLine="379"/>
              <w:spacing w:before="178" w:line="378" w:lineRule="auto"/>
              <w:rPr/>
            </w:pPr>
            <w:r>
              <w:rPr/>
              <w:t>根据《建设项目环境影响报告表编制技术指南(污染影</w:t>
            </w:r>
            <w:r>
              <w:rPr>
                <w:spacing w:val="-1"/>
              </w:rPr>
              <w:t>响类)(试行)》(环</w:t>
            </w:r>
            <w:r>
              <w:rPr/>
              <w:t xml:space="preserve">  </w:t>
            </w:r>
            <w:r>
              <w:rPr>
                <w:spacing w:val="-5"/>
              </w:rPr>
              <w:t>办环评〔2020〕33号)规定，    “原</w:t>
            </w:r>
            <w:r>
              <w:rPr>
                <w:spacing w:val="-6"/>
              </w:rPr>
              <w:t>则上不开展地下水、土壤环境质量现状调</w:t>
            </w:r>
          </w:p>
          <w:p>
            <w:pPr>
              <w:pStyle w:val="TableText"/>
              <w:ind w:left="130"/>
              <w:spacing w:before="1" w:line="219" w:lineRule="auto"/>
              <w:rPr/>
            </w:pPr>
            <w:r>
              <w:rPr/>
              <w:t>查。建设项目存在土壤、地下水环境污染途径的，应结合污染源、保护目标</w:t>
            </w:r>
          </w:p>
          <w:p>
            <w:pPr>
              <w:pStyle w:val="TableText"/>
              <w:ind w:left="130"/>
              <w:spacing w:before="175" w:line="219" w:lineRule="auto"/>
              <w:rPr/>
            </w:pPr>
            <w:r>
              <w:rPr>
                <w:spacing w:val="12"/>
              </w:rPr>
              <w:t>分布情况开展现状调查以留作背景值。”</w:t>
            </w:r>
          </w:p>
          <w:p>
            <w:pPr>
              <w:pStyle w:val="TableText"/>
              <w:ind w:left="130" w:right="462" w:firstLine="390"/>
              <w:spacing w:before="218" w:line="344" w:lineRule="auto"/>
              <w:rPr/>
            </w:pPr>
            <w:r>
              <w:rPr/>
              <w:t>项目为改扩建项目，新建厂区位于现有工程厂区的西北侧，现有工程环</w:t>
            </w:r>
            <w:r>
              <w:rPr>
                <w:spacing w:val="10"/>
              </w:rPr>
              <w:t xml:space="preserve"> </w:t>
            </w:r>
            <w:r>
              <w:rPr/>
              <w:t>评阶段已开展地下水、土壤现状调查，留作背景值。</w:t>
            </w:r>
            <w:r>
              <w:rPr>
                <w:spacing w:val="-1"/>
              </w:rPr>
              <w:t>同时现有工程地下水进</w:t>
            </w:r>
          </w:p>
          <w:p>
            <w:pPr>
              <w:pStyle w:val="TableText"/>
              <w:ind w:left="130"/>
              <w:spacing w:line="216" w:lineRule="auto"/>
              <w:rPr/>
            </w:pPr>
            <w:r>
              <w:rPr/>
              <w:t>行日常监测，其结果详见表3.3-1,监测点位见附图2。</w:t>
            </w:r>
          </w:p>
          <w:p>
            <w:pPr>
              <w:pStyle w:val="TableText"/>
              <w:ind w:left="2394"/>
              <w:spacing w:before="171" w:line="219" w:lineRule="auto"/>
              <w:rPr/>
            </w:pPr>
            <w:r>
              <w:rPr>
                <w:b/>
                <w:bCs/>
                <w:spacing w:val="-3"/>
              </w:rPr>
              <w:t>表3.3-1</w:t>
            </w:r>
            <w:r>
              <w:rPr>
                <w:spacing w:val="-3"/>
              </w:rPr>
              <w:t xml:space="preserve">  </w:t>
            </w:r>
            <w:r>
              <w:rPr>
                <w:b/>
                <w:bCs/>
                <w:spacing w:val="-3"/>
              </w:rPr>
              <w:t>地下水日常监测结果一览表</w:t>
            </w:r>
          </w:p>
        </w:tc>
      </w:tr>
      <w:tr>
        <w:trPr>
          <w:trHeight w:val="289" w:hRule="atLeast"/>
        </w:trPr>
        <w:tc>
          <w:tcPr>
            <w:tcW w:w="794" w:type="dxa"/>
            <w:vAlign w:val="top"/>
            <w:vMerge w:val="continue"/>
            <w:tcBorders>
              <w:top w:val="nil"/>
              <w:bottom w:val="nil"/>
            </w:tcBorders>
          </w:tcPr>
          <w:p>
            <w:pPr>
              <w:rPr>
                <w:rFonts w:ascii="Arial"/>
                <w:sz w:val="21"/>
              </w:rPr>
            </w:pPr>
            <w:r/>
          </w:p>
        </w:tc>
        <w:tc>
          <w:tcPr>
            <w:tcW w:w="1089" w:type="dxa"/>
            <w:vAlign w:val="top"/>
            <w:gridSpan w:val="2"/>
            <w:vMerge w:val="restart"/>
            <w:tcBorders>
              <w:bottom w:val="nil"/>
            </w:tcBorders>
          </w:tcPr>
          <w:p>
            <w:pPr>
              <w:pStyle w:val="TableText"/>
              <w:ind w:left="491" w:right="96" w:hanging="240"/>
              <w:spacing w:before="78" w:line="197" w:lineRule="auto"/>
              <w:rPr/>
            </w:pPr>
            <w:r>
              <w:rPr>
                <w:spacing w:val="13"/>
              </w:rPr>
              <w:t>采样日</w:t>
            </w:r>
            <w:r>
              <w:rPr>
                <w:spacing w:val="1"/>
              </w:rPr>
              <w:t xml:space="preserve"> </w:t>
            </w:r>
            <w:r>
              <w:rPr/>
              <w:t>期</w:t>
            </w:r>
          </w:p>
        </w:tc>
        <w:tc>
          <w:tcPr>
            <w:tcW w:w="989" w:type="dxa"/>
            <w:vAlign w:val="top"/>
            <w:vMerge w:val="restart"/>
            <w:tcBorders>
              <w:bottom w:val="nil"/>
            </w:tcBorders>
          </w:tcPr>
          <w:p>
            <w:pPr>
              <w:pStyle w:val="TableText"/>
              <w:ind w:left="372" w:right="126" w:hanging="230"/>
              <w:spacing w:before="68" w:line="201" w:lineRule="auto"/>
              <w:rPr/>
            </w:pPr>
            <w:r>
              <w:rPr>
                <w:spacing w:val="6"/>
              </w:rPr>
              <w:t>检测点</w:t>
            </w:r>
            <w:r>
              <w:rPr>
                <w:spacing w:val="1"/>
              </w:rPr>
              <w:t xml:space="preserve"> </w:t>
            </w:r>
            <w:r>
              <w:rPr/>
              <w:t>位</w:t>
            </w:r>
          </w:p>
        </w:tc>
        <w:tc>
          <w:tcPr>
            <w:tcW w:w="1688" w:type="dxa"/>
            <w:vAlign w:val="top"/>
            <w:gridSpan w:val="2"/>
            <w:vMerge w:val="restart"/>
            <w:tcBorders>
              <w:bottom w:val="nil"/>
            </w:tcBorders>
          </w:tcPr>
          <w:p>
            <w:pPr>
              <w:pStyle w:val="TableText"/>
              <w:ind w:left="373"/>
              <w:spacing w:before="189" w:line="219" w:lineRule="auto"/>
              <w:rPr/>
            </w:pPr>
            <w:r>
              <w:rPr>
                <w:spacing w:val="10"/>
              </w:rPr>
              <w:t>检测项目</w:t>
            </w:r>
          </w:p>
        </w:tc>
        <w:tc>
          <w:tcPr>
            <w:tcW w:w="4419" w:type="dxa"/>
            <w:vAlign w:val="top"/>
            <w:gridSpan w:val="7"/>
          </w:tcPr>
          <w:p>
            <w:pPr>
              <w:pStyle w:val="TableText"/>
              <w:ind w:left="1055"/>
              <w:spacing w:before="32" w:line="198" w:lineRule="auto"/>
              <w:rPr/>
            </w:pPr>
            <w:r>
              <w:rPr>
                <w:spacing w:val="4"/>
              </w:rPr>
              <w:t>检测结果(单位：</w:t>
            </w:r>
            <w:r>
              <w:rPr/>
              <w:t>mg</w:t>
            </w:r>
            <w:r>
              <w:rPr>
                <w:spacing w:val="4"/>
              </w:rPr>
              <w:t>/L)</w:t>
            </w:r>
          </w:p>
        </w:tc>
      </w:tr>
      <w:tr>
        <w:trPr>
          <w:trHeight w:val="280" w:hRule="atLeast"/>
        </w:trPr>
        <w:tc>
          <w:tcPr>
            <w:tcW w:w="794" w:type="dxa"/>
            <w:vAlign w:val="top"/>
            <w:vMerge w:val="continue"/>
            <w:tcBorders>
              <w:top w:val="nil"/>
              <w:bottom w:val="nil"/>
            </w:tcBorders>
          </w:tcPr>
          <w:p>
            <w:pPr>
              <w:rPr>
                <w:rFonts w:ascii="Arial"/>
                <w:sz w:val="21"/>
              </w:rPr>
            </w:pPr>
            <w:r/>
          </w:p>
        </w:tc>
        <w:tc>
          <w:tcPr>
            <w:tcW w:w="1089" w:type="dxa"/>
            <w:vAlign w:val="top"/>
            <w:gridSpan w:val="2"/>
            <w:vMerge w:val="continue"/>
            <w:tcBorders>
              <w:top w:val="nil"/>
            </w:tcBorders>
          </w:tcPr>
          <w:p>
            <w:pPr>
              <w:rPr>
                <w:rFonts w:ascii="Arial"/>
                <w:sz w:val="21"/>
              </w:rPr>
            </w:pPr>
            <w:r/>
          </w:p>
        </w:tc>
        <w:tc>
          <w:tcPr>
            <w:tcW w:w="989" w:type="dxa"/>
            <w:vAlign w:val="top"/>
            <w:vMerge w:val="continue"/>
            <w:tcBorders>
              <w:top w:val="nil"/>
            </w:tcBorders>
          </w:tcPr>
          <w:p>
            <w:pPr>
              <w:rPr>
                <w:rFonts w:ascii="Arial"/>
                <w:sz w:val="21"/>
              </w:rPr>
            </w:pPr>
            <w:r/>
          </w:p>
        </w:tc>
        <w:tc>
          <w:tcPr>
            <w:tcW w:w="1688" w:type="dxa"/>
            <w:vAlign w:val="top"/>
            <w:gridSpan w:val="2"/>
            <w:vMerge w:val="continue"/>
            <w:tcBorders>
              <w:top w:val="nil"/>
            </w:tcBorders>
          </w:tcPr>
          <w:p>
            <w:pPr>
              <w:rPr>
                <w:rFonts w:ascii="Arial"/>
                <w:sz w:val="21"/>
              </w:rPr>
            </w:pPr>
            <w:r/>
          </w:p>
        </w:tc>
        <w:tc>
          <w:tcPr>
            <w:tcW w:w="1128" w:type="dxa"/>
            <w:vAlign w:val="top"/>
            <w:gridSpan w:val="2"/>
          </w:tcPr>
          <w:p>
            <w:pPr>
              <w:pStyle w:val="TableText"/>
              <w:ind w:left="274"/>
              <w:spacing w:before="39" w:line="185" w:lineRule="auto"/>
              <w:rPr/>
            </w:pPr>
            <w:r>
              <w:rPr>
                <w:spacing w:val="-3"/>
              </w:rPr>
              <w:t>第一次</w:t>
            </w:r>
          </w:p>
        </w:tc>
        <w:tc>
          <w:tcPr>
            <w:tcW w:w="1138" w:type="dxa"/>
            <w:vAlign w:val="top"/>
            <w:gridSpan w:val="2"/>
          </w:tcPr>
          <w:p>
            <w:pPr>
              <w:pStyle w:val="TableText"/>
              <w:ind w:left="276"/>
              <w:spacing w:before="39" w:line="185" w:lineRule="auto"/>
              <w:rPr/>
            </w:pPr>
            <w:r>
              <w:rPr>
                <w:spacing w:val="-2"/>
              </w:rPr>
              <w:t>第二次</w:t>
            </w:r>
          </w:p>
        </w:tc>
        <w:tc>
          <w:tcPr>
            <w:tcW w:w="1139" w:type="dxa"/>
            <w:vAlign w:val="top"/>
            <w:gridSpan w:val="2"/>
          </w:tcPr>
          <w:p>
            <w:pPr>
              <w:pStyle w:val="TableText"/>
              <w:ind w:left="249"/>
              <w:spacing w:before="39" w:line="185" w:lineRule="auto"/>
              <w:rPr/>
            </w:pPr>
            <w:r>
              <w:rPr>
                <w:spacing w:val="-2"/>
              </w:rPr>
              <w:t>第三次</w:t>
            </w:r>
          </w:p>
        </w:tc>
        <w:tc>
          <w:tcPr>
            <w:tcW w:w="1014" w:type="dxa"/>
            <w:vAlign w:val="top"/>
          </w:tcPr>
          <w:p>
            <w:pPr>
              <w:pStyle w:val="TableText"/>
              <w:ind w:left="230"/>
              <w:spacing w:before="39" w:line="185" w:lineRule="auto"/>
              <w:rPr/>
            </w:pPr>
            <w:r>
              <w:rPr>
                <w:spacing w:val="-3"/>
              </w:rPr>
              <w:t>均值</w:t>
            </w:r>
          </w:p>
        </w:tc>
      </w:tr>
      <w:tr>
        <w:trPr>
          <w:trHeight w:val="270" w:hRule="atLeast"/>
        </w:trPr>
        <w:tc>
          <w:tcPr>
            <w:tcW w:w="794" w:type="dxa"/>
            <w:vAlign w:val="top"/>
            <w:vMerge w:val="continue"/>
            <w:tcBorders>
              <w:top w:val="nil"/>
              <w:bottom w:val="nil"/>
            </w:tcBorders>
          </w:tcPr>
          <w:p>
            <w:pPr>
              <w:rPr>
                <w:rFonts w:ascii="Arial"/>
                <w:sz w:val="21"/>
              </w:rPr>
            </w:pPr>
            <w:r/>
          </w:p>
        </w:tc>
        <w:tc>
          <w:tcPr>
            <w:tcW w:w="1089" w:type="dxa"/>
            <w:vAlign w:val="top"/>
            <w:gridSpan w:val="2"/>
            <w:vMerge w:val="restart"/>
            <w:tcBorders>
              <w:bottom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541" w:right="149" w:hanging="520"/>
              <w:spacing w:before="75" w:line="188" w:lineRule="auto"/>
              <w:rPr/>
            </w:pPr>
            <w:r>
              <w:rPr>
                <w:spacing w:val="-2"/>
              </w:rPr>
              <w:t>2022.5.1</w:t>
            </w:r>
            <w:r>
              <w:rPr>
                <w:spacing w:val="3"/>
              </w:rPr>
              <w:t xml:space="preserve"> </w:t>
            </w:r>
            <w:r>
              <w:rPr/>
              <w:t>2</w:t>
            </w:r>
          </w:p>
        </w:tc>
        <w:tc>
          <w:tcPr>
            <w:tcW w:w="989" w:type="dxa"/>
            <w:vAlign w:val="top"/>
            <w:vMerge w:val="restart"/>
            <w:tcBorders>
              <w:bottom w:val="nil"/>
            </w:tcBorders>
          </w:tcPr>
          <w:p>
            <w:pPr>
              <w:spacing w:line="404" w:lineRule="auto"/>
              <w:rPr>
                <w:rFonts w:ascii="Arial"/>
                <w:sz w:val="21"/>
              </w:rPr>
            </w:pPr>
            <w:r/>
          </w:p>
          <w:p>
            <w:pPr>
              <w:pStyle w:val="TableText"/>
              <w:ind w:left="142" w:right="137"/>
              <w:spacing w:before="75" w:line="210" w:lineRule="auto"/>
              <w:rPr/>
            </w:pPr>
            <w:r>
              <w:rPr>
                <w:spacing w:val="3"/>
              </w:rPr>
              <w:t>厂区监</w:t>
            </w:r>
            <w:r>
              <w:rPr/>
              <w:t xml:space="preserve"> </w:t>
            </w:r>
            <w:r>
              <w:rPr>
                <w:spacing w:val="-2"/>
              </w:rPr>
              <w:t>控井1#</w:t>
            </w:r>
          </w:p>
        </w:tc>
        <w:tc>
          <w:tcPr>
            <w:tcW w:w="1688" w:type="dxa"/>
            <w:vAlign w:val="top"/>
            <w:gridSpan w:val="2"/>
          </w:tcPr>
          <w:p>
            <w:pPr>
              <w:pStyle w:val="TableText"/>
              <w:ind w:left="142"/>
              <w:spacing w:before="30" w:line="184" w:lineRule="auto"/>
              <w:rPr/>
            </w:pPr>
            <w:r>
              <w:rPr>
                <w:spacing w:val="1"/>
              </w:rPr>
              <w:t>高锰酸盐指数</w:t>
            </w:r>
          </w:p>
        </w:tc>
        <w:tc>
          <w:tcPr>
            <w:tcW w:w="1128" w:type="dxa"/>
            <w:vAlign w:val="top"/>
            <w:gridSpan w:val="2"/>
          </w:tcPr>
          <w:p>
            <w:pPr>
              <w:rPr>
                <w:rFonts w:ascii="Arial"/>
                <w:sz w:val="21"/>
              </w:rPr>
            </w:pPr>
            <w:r/>
          </w:p>
        </w:tc>
        <w:tc>
          <w:tcPr>
            <w:tcW w:w="1138" w:type="dxa"/>
            <w:vAlign w:val="top"/>
            <w:gridSpan w:val="2"/>
          </w:tcPr>
          <w:p>
            <w:pPr>
              <w:rPr>
                <w:rFonts w:ascii="Arial"/>
                <w:sz w:val="21"/>
              </w:rPr>
            </w:pPr>
            <w:r/>
          </w:p>
        </w:tc>
        <w:tc>
          <w:tcPr>
            <w:tcW w:w="1139" w:type="dxa"/>
            <w:vAlign w:val="top"/>
            <w:gridSpan w:val="2"/>
          </w:tcPr>
          <w:p>
            <w:pPr>
              <w:rPr>
                <w:rFonts w:ascii="Arial"/>
                <w:sz w:val="21"/>
              </w:rPr>
            </w:pPr>
            <w:r/>
          </w:p>
        </w:tc>
        <w:tc>
          <w:tcPr>
            <w:tcW w:w="1014" w:type="dxa"/>
            <w:vAlign w:val="top"/>
          </w:tcPr>
          <w:p>
            <w:pPr>
              <w:rPr>
                <w:rFonts w:ascii="Arial"/>
                <w:sz w:val="21"/>
              </w:rPr>
            </w:pPr>
            <w:r/>
          </w:p>
        </w:tc>
      </w:tr>
      <w:tr>
        <w:trPr>
          <w:trHeight w:val="260" w:hRule="atLeast"/>
        </w:trPr>
        <w:tc>
          <w:tcPr>
            <w:tcW w:w="794" w:type="dxa"/>
            <w:vAlign w:val="top"/>
            <w:vMerge w:val="continue"/>
            <w:tcBorders>
              <w:top w:val="nil"/>
              <w:bottom w:val="nil"/>
            </w:tcBorders>
          </w:tcPr>
          <w:p>
            <w:pPr>
              <w:rPr>
                <w:rFonts w:ascii="Arial"/>
                <w:sz w:val="21"/>
              </w:rPr>
            </w:pPr>
            <w:r/>
          </w:p>
        </w:tc>
        <w:tc>
          <w:tcPr>
            <w:tcW w:w="1089" w:type="dxa"/>
            <w:vAlign w:val="top"/>
            <w:gridSpan w:val="2"/>
            <w:vMerge w:val="continue"/>
            <w:tcBorders>
              <w:top w:val="nil"/>
              <w:bottom w:val="nil"/>
            </w:tcBorders>
          </w:tcPr>
          <w:p>
            <w:pPr>
              <w:rPr>
                <w:rFonts w:ascii="Arial"/>
                <w:sz w:val="21"/>
              </w:rPr>
            </w:pPr>
            <w:r/>
          </w:p>
        </w:tc>
        <w:tc>
          <w:tcPr>
            <w:tcW w:w="989" w:type="dxa"/>
            <w:vAlign w:val="top"/>
            <w:vMerge w:val="continue"/>
            <w:tcBorders>
              <w:top w:val="nil"/>
              <w:bottom w:val="nil"/>
            </w:tcBorders>
          </w:tcPr>
          <w:p>
            <w:pPr>
              <w:rPr>
                <w:rFonts w:ascii="Arial"/>
                <w:sz w:val="21"/>
              </w:rPr>
            </w:pPr>
            <w:r/>
          </w:p>
        </w:tc>
        <w:tc>
          <w:tcPr>
            <w:tcW w:w="1688" w:type="dxa"/>
            <w:vAlign w:val="top"/>
            <w:gridSpan w:val="2"/>
          </w:tcPr>
          <w:p>
            <w:pPr>
              <w:pStyle w:val="TableText"/>
              <w:ind w:left="603"/>
              <w:spacing w:before="38" w:line="170" w:lineRule="auto"/>
              <w:rPr/>
            </w:pPr>
            <w:r>
              <w:rPr>
                <w:spacing w:val="3"/>
              </w:rPr>
              <w:t>总锰</w:t>
            </w:r>
          </w:p>
        </w:tc>
        <w:tc>
          <w:tcPr>
            <w:tcW w:w="1128" w:type="dxa"/>
            <w:vAlign w:val="top"/>
            <w:gridSpan w:val="2"/>
          </w:tcPr>
          <w:p>
            <w:pPr>
              <w:rPr>
                <w:rFonts w:ascii="Arial"/>
                <w:sz w:val="21"/>
              </w:rPr>
            </w:pPr>
            <w:r/>
          </w:p>
        </w:tc>
        <w:tc>
          <w:tcPr>
            <w:tcW w:w="1138" w:type="dxa"/>
            <w:vAlign w:val="top"/>
            <w:gridSpan w:val="2"/>
          </w:tcPr>
          <w:p>
            <w:pPr>
              <w:rPr>
                <w:rFonts w:ascii="Arial"/>
                <w:sz w:val="21"/>
              </w:rPr>
            </w:pPr>
            <w:r/>
          </w:p>
        </w:tc>
        <w:tc>
          <w:tcPr>
            <w:tcW w:w="1139" w:type="dxa"/>
            <w:vAlign w:val="top"/>
            <w:gridSpan w:val="2"/>
          </w:tcPr>
          <w:p>
            <w:pPr>
              <w:rPr>
                <w:rFonts w:ascii="Arial"/>
                <w:sz w:val="21"/>
              </w:rPr>
            </w:pPr>
            <w:r/>
          </w:p>
        </w:tc>
        <w:tc>
          <w:tcPr>
            <w:tcW w:w="1014" w:type="dxa"/>
            <w:vAlign w:val="top"/>
          </w:tcPr>
          <w:p>
            <w:pPr>
              <w:rPr>
                <w:rFonts w:ascii="Arial"/>
                <w:sz w:val="21"/>
              </w:rPr>
            </w:pPr>
            <w:r/>
          </w:p>
        </w:tc>
      </w:tr>
      <w:tr>
        <w:trPr>
          <w:trHeight w:val="270" w:hRule="atLeast"/>
        </w:trPr>
        <w:tc>
          <w:tcPr>
            <w:tcW w:w="794" w:type="dxa"/>
            <w:vAlign w:val="top"/>
            <w:vMerge w:val="continue"/>
            <w:tcBorders>
              <w:top w:val="nil"/>
              <w:bottom w:val="nil"/>
            </w:tcBorders>
          </w:tcPr>
          <w:p>
            <w:pPr>
              <w:rPr>
                <w:rFonts w:ascii="Arial"/>
                <w:sz w:val="21"/>
              </w:rPr>
            </w:pPr>
            <w:r/>
          </w:p>
        </w:tc>
        <w:tc>
          <w:tcPr>
            <w:tcW w:w="1089" w:type="dxa"/>
            <w:vAlign w:val="top"/>
            <w:gridSpan w:val="2"/>
            <w:vMerge w:val="continue"/>
            <w:tcBorders>
              <w:top w:val="nil"/>
              <w:bottom w:val="nil"/>
            </w:tcBorders>
          </w:tcPr>
          <w:p>
            <w:pPr>
              <w:rPr>
                <w:rFonts w:ascii="Arial"/>
                <w:sz w:val="21"/>
              </w:rPr>
            </w:pPr>
            <w:r/>
          </w:p>
        </w:tc>
        <w:tc>
          <w:tcPr>
            <w:tcW w:w="989" w:type="dxa"/>
            <w:vAlign w:val="top"/>
            <w:vMerge w:val="continue"/>
            <w:tcBorders>
              <w:top w:val="nil"/>
              <w:bottom w:val="nil"/>
            </w:tcBorders>
          </w:tcPr>
          <w:p>
            <w:pPr>
              <w:rPr>
                <w:rFonts w:ascii="Arial"/>
                <w:sz w:val="21"/>
              </w:rPr>
            </w:pPr>
            <w:r/>
          </w:p>
        </w:tc>
        <w:tc>
          <w:tcPr>
            <w:tcW w:w="1688" w:type="dxa"/>
            <w:vAlign w:val="top"/>
            <w:gridSpan w:val="2"/>
          </w:tcPr>
          <w:p>
            <w:pPr>
              <w:pStyle w:val="TableText"/>
              <w:ind w:left="603"/>
              <w:spacing w:before="29" w:line="185" w:lineRule="auto"/>
              <w:rPr/>
            </w:pPr>
            <w:r>
              <w:rPr>
                <w:spacing w:val="-3"/>
              </w:rPr>
              <w:t>氨氮</w:t>
            </w:r>
          </w:p>
        </w:tc>
        <w:tc>
          <w:tcPr>
            <w:tcW w:w="1128" w:type="dxa"/>
            <w:vAlign w:val="top"/>
            <w:gridSpan w:val="2"/>
          </w:tcPr>
          <w:p>
            <w:pPr>
              <w:rPr>
                <w:rFonts w:ascii="Arial"/>
                <w:sz w:val="21"/>
              </w:rPr>
            </w:pPr>
            <w:r/>
          </w:p>
        </w:tc>
        <w:tc>
          <w:tcPr>
            <w:tcW w:w="1138" w:type="dxa"/>
            <w:vAlign w:val="top"/>
            <w:gridSpan w:val="2"/>
          </w:tcPr>
          <w:p>
            <w:pPr>
              <w:rPr>
                <w:rFonts w:ascii="Arial"/>
                <w:sz w:val="21"/>
              </w:rPr>
            </w:pPr>
            <w:r/>
          </w:p>
        </w:tc>
        <w:tc>
          <w:tcPr>
            <w:tcW w:w="1139" w:type="dxa"/>
            <w:vAlign w:val="top"/>
            <w:gridSpan w:val="2"/>
          </w:tcPr>
          <w:p>
            <w:pPr>
              <w:rPr>
                <w:rFonts w:ascii="Arial"/>
                <w:sz w:val="21"/>
              </w:rPr>
            </w:pPr>
            <w:r/>
          </w:p>
        </w:tc>
        <w:tc>
          <w:tcPr>
            <w:tcW w:w="1014" w:type="dxa"/>
            <w:vAlign w:val="top"/>
          </w:tcPr>
          <w:p>
            <w:pPr>
              <w:rPr>
                <w:rFonts w:ascii="Arial"/>
                <w:sz w:val="21"/>
              </w:rPr>
            </w:pPr>
            <w:r/>
          </w:p>
        </w:tc>
      </w:tr>
      <w:tr>
        <w:trPr>
          <w:trHeight w:val="270" w:hRule="atLeast"/>
        </w:trPr>
        <w:tc>
          <w:tcPr>
            <w:tcW w:w="794" w:type="dxa"/>
            <w:vAlign w:val="top"/>
            <w:vMerge w:val="continue"/>
            <w:tcBorders>
              <w:top w:val="nil"/>
              <w:bottom w:val="nil"/>
            </w:tcBorders>
          </w:tcPr>
          <w:p>
            <w:pPr>
              <w:rPr>
                <w:rFonts w:ascii="Arial"/>
                <w:sz w:val="21"/>
              </w:rPr>
            </w:pPr>
            <w:r/>
          </w:p>
        </w:tc>
        <w:tc>
          <w:tcPr>
            <w:tcW w:w="1089" w:type="dxa"/>
            <w:vAlign w:val="top"/>
            <w:gridSpan w:val="2"/>
            <w:vMerge w:val="continue"/>
            <w:tcBorders>
              <w:top w:val="nil"/>
              <w:bottom w:val="nil"/>
            </w:tcBorders>
          </w:tcPr>
          <w:p>
            <w:pPr>
              <w:rPr>
                <w:rFonts w:ascii="Arial"/>
                <w:sz w:val="21"/>
              </w:rPr>
            </w:pPr>
            <w:r/>
          </w:p>
        </w:tc>
        <w:tc>
          <w:tcPr>
            <w:tcW w:w="989" w:type="dxa"/>
            <w:vAlign w:val="top"/>
            <w:vMerge w:val="continue"/>
            <w:tcBorders>
              <w:top w:val="nil"/>
              <w:bottom w:val="nil"/>
            </w:tcBorders>
          </w:tcPr>
          <w:p>
            <w:pPr>
              <w:rPr>
                <w:rFonts w:ascii="Arial"/>
                <w:sz w:val="21"/>
              </w:rPr>
            </w:pPr>
            <w:r/>
          </w:p>
        </w:tc>
        <w:tc>
          <w:tcPr>
            <w:tcW w:w="1688" w:type="dxa"/>
            <w:vAlign w:val="top"/>
            <w:gridSpan w:val="2"/>
          </w:tcPr>
          <w:p>
            <w:pPr>
              <w:pStyle w:val="TableText"/>
              <w:ind w:left="603"/>
              <w:spacing w:before="33" w:line="182" w:lineRule="auto"/>
              <w:rPr/>
            </w:pPr>
            <w:r>
              <w:rPr>
                <w:spacing w:val="5"/>
              </w:rPr>
              <w:t>总钴</w:t>
            </w:r>
          </w:p>
        </w:tc>
        <w:tc>
          <w:tcPr>
            <w:tcW w:w="1128" w:type="dxa"/>
            <w:vAlign w:val="top"/>
            <w:gridSpan w:val="2"/>
          </w:tcPr>
          <w:p>
            <w:pPr>
              <w:rPr>
                <w:rFonts w:ascii="Arial"/>
                <w:sz w:val="21"/>
              </w:rPr>
            </w:pPr>
            <w:r/>
          </w:p>
        </w:tc>
        <w:tc>
          <w:tcPr>
            <w:tcW w:w="1138" w:type="dxa"/>
            <w:vAlign w:val="top"/>
            <w:gridSpan w:val="2"/>
          </w:tcPr>
          <w:p>
            <w:pPr>
              <w:rPr>
                <w:rFonts w:ascii="Arial"/>
                <w:sz w:val="21"/>
              </w:rPr>
            </w:pPr>
            <w:r/>
          </w:p>
        </w:tc>
        <w:tc>
          <w:tcPr>
            <w:tcW w:w="1139" w:type="dxa"/>
            <w:vAlign w:val="top"/>
            <w:gridSpan w:val="2"/>
          </w:tcPr>
          <w:p>
            <w:pPr>
              <w:rPr>
                <w:rFonts w:ascii="Arial"/>
                <w:sz w:val="21"/>
              </w:rPr>
            </w:pPr>
            <w:r/>
          </w:p>
        </w:tc>
        <w:tc>
          <w:tcPr>
            <w:tcW w:w="1014" w:type="dxa"/>
            <w:vAlign w:val="top"/>
          </w:tcPr>
          <w:p>
            <w:pPr>
              <w:rPr>
                <w:rFonts w:ascii="Arial"/>
                <w:sz w:val="21"/>
              </w:rPr>
            </w:pPr>
            <w:r/>
          </w:p>
        </w:tc>
      </w:tr>
      <w:tr>
        <w:trPr>
          <w:trHeight w:val="290" w:hRule="atLeast"/>
        </w:trPr>
        <w:tc>
          <w:tcPr>
            <w:tcW w:w="794" w:type="dxa"/>
            <w:vAlign w:val="top"/>
            <w:vMerge w:val="continue"/>
            <w:tcBorders>
              <w:top w:val="nil"/>
              <w:bottom w:val="nil"/>
            </w:tcBorders>
          </w:tcPr>
          <w:p>
            <w:pPr>
              <w:rPr>
                <w:rFonts w:ascii="Arial"/>
                <w:sz w:val="21"/>
              </w:rPr>
            </w:pPr>
            <w:r/>
          </w:p>
        </w:tc>
        <w:tc>
          <w:tcPr>
            <w:tcW w:w="1089" w:type="dxa"/>
            <w:vAlign w:val="top"/>
            <w:gridSpan w:val="2"/>
            <w:vMerge w:val="continue"/>
            <w:tcBorders>
              <w:top w:val="nil"/>
              <w:bottom w:val="nil"/>
            </w:tcBorders>
          </w:tcPr>
          <w:p>
            <w:pPr>
              <w:rPr>
                <w:rFonts w:ascii="Arial"/>
                <w:sz w:val="21"/>
              </w:rPr>
            </w:pPr>
            <w:r/>
          </w:p>
        </w:tc>
        <w:tc>
          <w:tcPr>
            <w:tcW w:w="989" w:type="dxa"/>
            <w:vAlign w:val="top"/>
            <w:vMerge w:val="continue"/>
            <w:tcBorders>
              <w:top w:val="nil"/>
            </w:tcBorders>
          </w:tcPr>
          <w:p>
            <w:pPr>
              <w:rPr>
                <w:rFonts w:ascii="Arial"/>
                <w:sz w:val="21"/>
              </w:rPr>
            </w:pPr>
            <w:r/>
          </w:p>
        </w:tc>
        <w:tc>
          <w:tcPr>
            <w:tcW w:w="1688" w:type="dxa"/>
            <w:vAlign w:val="top"/>
            <w:gridSpan w:val="2"/>
          </w:tcPr>
          <w:p>
            <w:pPr>
              <w:pStyle w:val="TableText"/>
              <w:ind w:left="603"/>
              <w:spacing w:before="40" w:line="192" w:lineRule="auto"/>
              <w:rPr/>
            </w:pPr>
            <w:r>
              <w:rPr>
                <w:spacing w:val="4"/>
              </w:rPr>
              <w:t>总镍</w:t>
            </w:r>
          </w:p>
        </w:tc>
        <w:tc>
          <w:tcPr>
            <w:tcW w:w="1128" w:type="dxa"/>
            <w:vAlign w:val="top"/>
            <w:gridSpan w:val="2"/>
          </w:tcPr>
          <w:p>
            <w:pPr>
              <w:rPr>
                <w:rFonts w:ascii="Arial"/>
                <w:sz w:val="21"/>
              </w:rPr>
            </w:pPr>
            <w:r/>
          </w:p>
        </w:tc>
        <w:tc>
          <w:tcPr>
            <w:tcW w:w="1138" w:type="dxa"/>
            <w:vAlign w:val="top"/>
            <w:gridSpan w:val="2"/>
          </w:tcPr>
          <w:p>
            <w:pPr>
              <w:rPr>
                <w:rFonts w:ascii="Arial"/>
                <w:sz w:val="21"/>
              </w:rPr>
            </w:pPr>
            <w:r/>
          </w:p>
        </w:tc>
        <w:tc>
          <w:tcPr>
            <w:tcW w:w="1139" w:type="dxa"/>
            <w:vAlign w:val="top"/>
            <w:gridSpan w:val="2"/>
          </w:tcPr>
          <w:p>
            <w:pPr>
              <w:rPr>
                <w:rFonts w:ascii="Arial"/>
                <w:sz w:val="21"/>
              </w:rPr>
            </w:pPr>
            <w:r/>
          </w:p>
        </w:tc>
        <w:tc>
          <w:tcPr>
            <w:tcW w:w="1014" w:type="dxa"/>
            <w:vAlign w:val="top"/>
          </w:tcPr>
          <w:p>
            <w:pPr>
              <w:rPr>
                <w:rFonts w:ascii="Arial"/>
                <w:sz w:val="21"/>
              </w:rPr>
            </w:pPr>
            <w:r/>
          </w:p>
        </w:tc>
      </w:tr>
      <w:tr>
        <w:trPr>
          <w:trHeight w:val="270" w:hRule="atLeast"/>
        </w:trPr>
        <w:tc>
          <w:tcPr>
            <w:tcW w:w="794" w:type="dxa"/>
            <w:vAlign w:val="top"/>
            <w:vMerge w:val="continue"/>
            <w:tcBorders>
              <w:top w:val="nil"/>
              <w:bottom w:val="nil"/>
            </w:tcBorders>
          </w:tcPr>
          <w:p>
            <w:pPr>
              <w:rPr>
                <w:rFonts w:ascii="Arial"/>
                <w:sz w:val="21"/>
              </w:rPr>
            </w:pPr>
            <w:r/>
          </w:p>
        </w:tc>
        <w:tc>
          <w:tcPr>
            <w:tcW w:w="1089" w:type="dxa"/>
            <w:vAlign w:val="top"/>
            <w:gridSpan w:val="2"/>
            <w:vMerge w:val="continue"/>
            <w:tcBorders>
              <w:top w:val="nil"/>
              <w:bottom w:val="nil"/>
            </w:tcBorders>
          </w:tcPr>
          <w:p>
            <w:pPr>
              <w:rPr>
                <w:rFonts w:ascii="Arial"/>
                <w:sz w:val="21"/>
              </w:rPr>
            </w:pPr>
            <w:r/>
          </w:p>
        </w:tc>
        <w:tc>
          <w:tcPr>
            <w:tcW w:w="989" w:type="dxa"/>
            <w:vAlign w:val="top"/>
            <w:vMerge w:val="restart"/>
            <w:tcBorders>
              <w:bottom w:val="nil"/>
            </w:tcBorders>
          </w:tcPr>
          <w:p>
            <w:pPr>
              <w:pStyle w:val="TableText"/>
              <w:ind w:left="142" w:right="137"/>
              <w:spacing w:before="41" w:line="198" w:lineRule="auto"/>
              <w:rPr/>
            </w:pPr>
            <w:r>
              <w:rPr>
                <w:spacing w:val="3"/>
              </w:rPr>
              <w:t>厂区监</w:t>
            </w:r>
            <w:r>
              <w:rPr/>
              <w:t xml:space="preserve"> </w:t>
            </w:r>
            <w:r>
              <w:rPr>
                <w:spacing w:val="-2"/>
              </w:rPr>
              <w:t>控井2#</w:t>
            </w:r>
          </w:p>
        </w:tc>
        <w:tc>
          <w:tcPr>
            <w:tcW w:w="1688" w:type="dxa"/>
            <w:vAlign w:val="top"/>
            <w:gridSpan w:val="2"/>
          </w:tcPr>
          <w:p>
            <w:pPr>
              <w:pStyle w:val="TableText"/>
              <w:ind w:left="142"/>
              <w:spacing w:before="30" w:line="184" w:lineRule="auto"/>
              <w:rPr/>
            </w:pPr>
            <w:r>
              <w:rPr>
                <w:spacing w:val="1"/>
              </w:rPr>
              <w:t>高锰酸盐指数</w:t>
            </w:r>
          </w:p>
        </w:tc>
        <w:tc>
          <w:tcPr>
            <w:tcW w:w="4419" w:type="dxa"/>
            <w:vAlign w:val="top"/>
            <w:gridSpan w:val="7"/>
            <w:vMerge w:val="restart"/>
            <w:tcBorders>
              <w:bottom w:val="nil"/>
            </w:tcBorders>
          </w:tcPr>
          <w:p>
            <w:pPr>
              <w:pStyle w:val="TableText"/>
              <w:ind w:left="1398"/>
              <w:spacing w:before="168" w:line="221" w:lineRule="auto"/>
              <w:rPr/>
            </w:pPr>
            <w:r>
              <w:rPr>
                <w:b/>
                <w:bCs/>
                <w:spacing w:val="-4"/>
              </w:rPr>
              <w:t>涉密，不予公开</w:t>
            </w:r>
          </w:p>
        </w:tc>
      </w:tr>
      <w:tr>
        <w:trPr>
          <w:trHeight w:val="265" w:hRule="atLeast"/>
        </w:trPr>
        <w:tc>
          <w:tcPr>
            <w:tcW w:w="794" w:type="dxa"/>
            <w:vAlign w:val="top"/>
            <w:vMerge w:val="continue"/>
            <w:tcBorders>
              <w:top w:val="nil"/>
            </w:tcBorders>
          </w:tcPr>
          <w:p>
            <w:pPr>
              <w:rPr>
                <w:rFonts w:ascii="Arial"/>
                <w:sz w:val="21"/>
              </w:rPr>
            </w:pPr>
            <w:r/>
          </w:p>
        </w:tc>
        <w:tc>
          <w:tcPr>
            <w:tcW w:w="1089" w:type="dxa"/>
            <w:vAlign w:val="top"/>
            <w:gridSpan w:val="2"/>
            <w:vMerge w:val="continue"/>
            <w:tcBorders>
              <w:top w:val="nil"/>
            </w:tcBorders>
          </w:tcPr>
          <w:p>
            <w:pPr>
              <w:rPr>
                <w:rFonts w:ascii="Arial"/>
                <w:sz w:val="21"/>
              </w:rPr>
            </w:pPr>
            <w:r/>
          </w:p>
        </w:tc>
        <w:tc>
          <w:tcPr>
            <w:tcW w:w="989" w:type="dxa"/>
            <w:vAlign w:val="top"/>
            <w:vMerge w:val="continue"/>
            <w:tcBorders>
              <w:top w:val="nil"/>
            </w:tcBorders>
          </w:tcPr>
          <w:p>
            <w:pPr>
              <w:rPr>
                <w:rFonts w:ascii="Arial"/>
                <w:sz w:val="21"/>
              </w:rPr>
            </w:pPr>
            <w:r/>
          </w:p>
        </w:tc>
        <w:tc>
          <w:tcPr>
            <w:tcW w:w="1688" w:type="dxa"/>
            <w:vAlign w:val="top"/>
            <w:gridSpan w:val="2"/>
          </w:tcPr>
          <w:p>
            <w:pPr>
              <w:pStyle w:val="TableText"/>
              <w:ind w:left="603"/>
              <w:spacing w:before="38" w:line="174" w:lineRule="auto"/>
              <w:rPr/>
            </w:pPr>
            <w:r>
              <w:rPr>
                <w:spacing w:val="3"/>
              </w:rPr>
              <w:t>总锰</w:t>
            </w:r>
          </w:p>
        </w:tc>
        <w:tc>
          <w:tcPr>
            <w:tcW w:w="4419" w:type="dxa"/>
            <w:vAlign w:val="top"/>
            <w:gridSpan w:val="7"/>
            <w:vMerge w:val="continue"/>
            <w:tcBorders>
              <w:top w:val="nil"/>
            </w:tcBorders>
          </w:tcPr>
          <w:p>
            <w:pPr>
              <w:rPr>
                <w:rFonts w:ascii="Arial"/>
                <w:sz w:val="21"/>
              </w:rPr>
            </w:pPr>
            <w:r/>
          </w:p>
        </w:tc>
      </w:tr>
    </w:tbl>
    <w:p>
      <w:pPr>
        <w:rPr>
          <w:rFonts w:ascii="Arial"/>
          <w:sz w:val="21"/>
        </w:rPr>
      </w:pPr>
      <w:r/>
    </w:p>
    <w:p>
      <w:pPr>
        <w:sectPr>
          <w:footerReference w:type="default" r:id="rId71"/>
          <w:pgSz w:w="11900" w:h="16840"/>
          <w:pgMar w:top="1425" w:right="1375" w:bottom="988" w:left="1534" w:header="0" w:footer="849" w:gutter="0"/>
        </w:sectPr>
        <w:rPr>
          <w:rFonts w:ascii="Arial" w:hAnsi="Arial" w:eastAsia="Arial" w:cs="Arial"/>
          <w:sz w:val="21"/>
          <w:szCs w:val="21"/>
        </w:rPr>
      </w:pPr>
    </w:p>
    <w:p>
      <w:pPr>
        <w:spacing w:line="141" w:lineRule="auto"/>
        <w:rPr>
          <w:rFonts w:ascii="Arial"/>
          <w:sz w:val="2"/>
        </w:rPr>
      </w:pPr>
      <w:r>
        <w:rPr>
          <w:rFonts w:ascii="Arial"/>
          <w:sz w:val="2"/>
        </w:rPr>
      </w:r>
    </w:p>
    <w:tbl>
      <w:tblPr>
        <w:tblStyle w:val="TableNormal"/>
        <w:tblW w:w="89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04"/>
        <w:gridCol w:w="1069"/>
        <w:gridCol w:w="999"/>
        <w:gridCol w:w="1688"/>
        <w:gridCol w:w="1148"/>
        <w:gridCol w:w="1119"/>
        <w:gridCol w:w="1148"/>
        <w:gridCol w:w="1024"/>
      </w:tblGrid>
      <w:tr>
        <w:trPr>
          <w:trHeight w:val="295" w:hRule="atLeast"/>
        </w:trPr>
        <w:tc>
          <w:tcPr>
            <w:tcW w:w="804" w:type="dxa"/>
            <w:vAlign w:val="top"/>
            <w:vMerge w:val="restart"/>
            <w:tcBorders>
              <w:bottom w:val="nil"/>
            </w:tcBorders>
          </w:tcPr>
          <w:p>
            <w:pPr>
              <w:rPr>
                <w:rFonts w:ascii="Arial"/>
                <w:sz w:val="21"/>
              </w:rPr>
            </w:pPr>
            <w:r/>
          </w:p>
        </w:tc>
        <w:tc>
          <w:tcPr>
            <w:tcW w:w="1069" w:type="dxa"/>
            <w:vAlign w:val="top"/>
            <w:vMerge w:val="restart"/>
            <w:tcBorders>
              <w:bottom w:val="nil"/>
            </w:tcBorders>
          </w:tcPr>
          <w:p>
            <w:pPr>
              <w:rPr>
                <w:rFonts w:ascii="Arial"/>
                <w:sz w:val="21"/>
              </w:rPr>
            </w:pPr>
            <w:r/>
          </w:p>
        </w:tc>
        <w:tc>
          <w:tcPr>
            <w:tcW w:w="999" w:type="dxa"/>
            <w:vAlign w:val="top"/>
            <w:vMerge w:val="restart"/>
            <w:tcBorders>
              <w:bottom w:val="nil"/>
            </w:tcBorders>
          </w:tcPr>
          <w:p>
            <w:pPr>
              <w:rPr>
                <w:rFonts w:ascii="Arial"/>
                <w:sz w:val="21"/>
              </w:rPr>
            </w:pPr>
            <w:r/>
          </w:p>
        </w:tc>
        <w:tc>
          <w:tcPr>
            <w:tcW w:w="1688" w:type="dxa"/>
            <w:vAlign w:val="top"/>
          </w:tcPr>
          <w:p>
            <w:pPr>
              <w:pStyle w:val="TableText"/>
              <w:ind w:left="593"/>
              <w:spacing w:before="34" w:line="193" w:lineRule="auto"/>
              <w:rPr>
                <w:sz w:val="24"/>
                <w:szCs w:val="24"/>
              </w:rPr>
            </w:pPr>
            <w:r>
              <w:rPr>
                <w:sz w:val="24"/>
                <w:szCs w:val="24"/>
                <w:spacing w:val="-3"/>
              </w:rPr>
              <w:t>氨氮</w:t>
            </w:r>
          </w:p>
        </w:tc>
        <w:tc>
          <w:tcPr>
            <w:tcW w:w="1148" w:type="dxa"/>
            <w:vAlign w:val="top"/>
          </w:tcPr>
          <w:p>
            <w:pPr>
              <w:rPr>
                <w:rFonts w:ascii="Arial"/>
                <w:sz w:val="21"/>
              </w:rPr>
            </w:pPr>
            <w:r/>
          </w:p>
        </w:tc>
        <w:tc>
          <w:tcPr>
            <w:tcW w:w="1119" w:type="dxa"/>
            <w:vAlign w:val="top"/>
          </w:tcPr>
          <w:p>
            <w:pPr>
              <w:rPr>
                <w:rFonts w:ascii="Arial"/>
                <w:sz w:val="21"/>
              </w:rPr>
            </w:pPr>
            <w:r/>
          </w:p>
        </w:tc>
        <w:tc>
          <w:tcPr>
            <w:tcW w:w="1148" w:type="dxa"/>
            <w:vAlign w:val="top"/>
          </w:tcPr>
          <w:p>
            <w:pPr>
              <w:rPr>
                <w:rFonts w:ascii="Arial"/>
                <w:sz w:val="21"/>
              </w:rPr>
            </w:pPr>
            <w:r/>
          </w:p>
        </w:tc>
        <w:tc>
          <w:tcPr>
            <w:tcW w:w="1024" w:type="dxa"/>
            <w:vAlign w:val="top"/>
          </w:tcPr>
          <w:p>
            <w:pPr>
              <w:rPr>
                <w:rFonts w:ascii="Arial"/>
                <w:sz w:val="21"/>
              </w:rPr>
            </w:pPr>
            <w:r/>
          </w:p>
        </w:tc>
      </w:tr>
      <w:tr>
        <w:trPr>
          <w:trHeight w:val="260" w:hRule="atLeast"/>
        </w:trPr>
        <w:tc>
          <w:tcPr>
            <w:tcW w:w="804" w:type="dxa"/>
            <w:vAlign w:val="top"/>
            <w:vMerge w:val="continue"/>
            <w:tcBorders>
              <w:top w:val="nil"/>
              <w:bottom w:val="nil"/>
            </w:tcBorders>
          </w:tcPr>
          <w:p>
            <w:pPr>
              <w:rPr>
                <w:rFonts w:ascii="Arial"/>
                <w:sz w:val="21"/>
              </w:rPr>
            </w:pPr>
            <w:r/>
          </w:p>
        </w:tc>
        <w:tc>
          <w:tcPr>
            <w:tcW w:w="1069" w:type="dxa"/>
            <w:vAlign w:val="top"/>
            <w:vMerge w:val="continue"/>
            <w:tcBorders>
              <w:top w:val="nil"/>
              <w:bottom w:val="nil"/>
            </w:tcBorders>
          </w:tcPr>
          <w:p>
            <w:pPr>
              <w:rPr>
                <w:rFonts w:ascii="Arial"/>
                <w:sz w:val="21"/>
              </w:rPr>
            </w:pPr>
            <w:r/>
          </w:p>
        </w:tc>
        <w:tc>
          <w:tcPr>
            <w:tcW w:w="999" w:type="dxa"/>
            <w:vAlign w:val="top"/>
            <w:vMerge w:val="continue"/>
            <w:tcBorders>
              <w:top w:val="nil"/>
              <w:bottom w:val="nil"/>
            </w:tcBorders>
          </w:tcPr>
          <w:p>
            <w:pPr>
              <w:rPr>
                <w:rFonts w:ascii="Arial"/>
                <w:sz w:val="21"/>
              </w:rPr>
            </w:pPr>
            <w:r/>
          </w:p>
        </w:tc>
        <w:tc>
          <w:tcPr>
            <w:tcW w:w="1688" w:type="dxa"/>
            <w:vAlign w:val="top"/>
          </w:tcPr>
          <w:p>
            <w:pPr>
              <w:pStyle w:val="TableText"/>
              <w:ind w:left="593"/>
              <w:spacing w:before="32" w:line="167" w:lineRule="auto"/>
              <w:rPr>
                <w:sz w:val="24"/>
                <w:szCs w:val="24"/>
              </w:rPr>
            </w:pPr>
            <w:r>
              <w:rPr>
                <w:sz w:val="24"/>
                <w:szCs w:val="24"/>
                <w:spacing w:val="5"/>
              </w:rPr>
              <w:t>总钴</w:t>
            </w:r>
          </w:p>
        </w:tc>
        <w:tc>
          <w:tcPr>
            <w:tcW w:w="1148" w:type="dxa"/>
            <w:vAlign w:val="top"/>
          </w:tcPr>
          <w:p>
            <w:pPr>
              <w:rPr>
                <w:rFonts w:ascii="Arial"/>
                <w:sz w:val="21"/>
              </w:rPr>
            </w:pPr>
            <w:r/>
          </w:p>
        </w:tc>
        <w:tc>
          <w:tcPr>
            <w:tcW w:w="1119" w:type="dxa"/>
            <w:vAlign w:val="top"/>
          </w:tcPr>
          <w:p>
            <w:pPr>
              <w:rPr>
                <w:rFonts w:ascii="Arial"/>
                <w:sz w:val="21"/>
              </w:rPr>
            </w:pPr>
            <w:r/>
          </w:p>
        </w:tc>
        <w:tc>
          <w:tcPr>
            <w:tcW w:w="1148" w:type="dxa"/>
            <w:vAlign w:val="top"/>
          </w:tcPr>
          <w:p>
            <w:pPr>
              <w:rPr>
                <w:rFonts w:ascii="Arial"/>
                <w:sz w:val="21"/>
              </w:rPr>
            </w:pPr>
            <w:r/>
          </w:p>
        </w:tc>
        <w:tc>
          <w:tcPr>
            <w:tcW w:w="1024" w:type="dxa"/>
            <w:vAlign w:val="top"/>
          </w:tcPr>
          <w:p>
            <w:pPr>
              <w:rPr>
                <w:rFonts w:ascii="Arial"/>
                <w:sz w:val="21"/>
              </w:rPr>
            </w:pPr>
            <w:r/>
          </w:p>
        </w:tc>
      </w:tr>
      <w:tr>
        <w:trPr>
          <w:trHeight w:val="290" w:hRule="atLeast"/>
        </w:trPr>
        <w:tc>
          <w:tcPr>
            <w:tcW w:w="804" w:type="dxa"/>
            <w:vAlign w:val="top"/>
            <w:vMerge w:val="continue"/>
            <w:tcBorders>
              <w:top w:val="nil"/>
              <w:bottom w:val="nil"/>
            </w:tcBorders>
          </w:tcPr>
          <w:p>
            <w:pPr>
              <w:rPr>
                <w:rFonts w:ascii="Arial"/>
                <w:sz w:val="21"/>
              </w:rPr>
            </w:pPr>
            <w:r/>
          </w:p>
        </w:tc>
        <w:tc>
          <w:tcPr>
            <w:tcW w:w="1069" w:type="dxa"/>
            <w:vAlign w:val="top"/>
            <w:vMerge w:val="continue"/>
            <w:tcBorders>
              <w:top w:val="nil"/>
              <w:bottom w:val="nil"/>
            </w:tcBorders>
          </w:tcPr>
          <w:p>
            <w:pPr>
              <w:rPr>
                <w:rFonts w:ascii="Arial"/>
                <w:sz w:val="21"/>
              </w:rPr>
            </w:pPr>
            <w:r/>
          </w:p>
        </w:tc>
        <w:tc>
          <w:tcPr>
            <w:tcW w:w="999" w:type="dxa"/>
            <w:vAlign w:val="top"/>
            <w:vMerge w:val="continue"/>
            <w:tcBorders>
              <w:top w:val="nil"/>
            </w:tcBorders>
          </w:tcPr>
          <w:p>
            <w:pPr>
              <w:rPr>
                <w:rFonts w:ascii="Arial"/>
                <w:sz w:val="21"/>
              </w:rPr>
            </w:pPr>
            <w:r/>
          </w:p>
        </w:tc>
        <w:tc>
          <w:tcPr>
            <w:tcW w:w="1688" w:type="dxa"/>
            <w:vAlign w:val="top"/>
          </w:tcPr>
          <w:p>
            <w:pPr>
              <w:pStyle w:val="TableText"/>
              <w:ind w:left="593"/>
              <w:spacing w:before="30" w:line="192" w:lineRule="auto"/>
              <w:rPr>
                <w:sz w:val="24"/>
                <w:szCs w:val="24"/>
              </w:rPr>
            </w:pPr>
            <w:r>
              <w:rPr>
                <w:sz w:val="24"/>
                <w:szCs w:val="24"/>
                <w:spacing w:val="4"/>
              </w:rPr>
              <w:t>总镍</w:t>
            </w:r>
          </w:p>
        </w:tc>
        <w:tc>
          <w:tcPr>
            <w:tcW w:w="1148" w:type="dxa"/>
            <w:vAlign w:val="top"/>
          </w:tcPr>
          <w:p>
            <w:pPr>
              <w:rPr>
                <w:rFonts w:ascii="Arial"/>
                <w:sz w:val="21"/>
              </w:rPr>
            </w:pPr>
            <w:r/>
          </w:p>
        </w:tc>
        <w:tc>
          <w:tcPr>
            <w:tcW w:w="1119" w:type="dxa"/>
            <w:vAlign w:val="top"/>
          </w:tcPr>
          <w:p>
            <w:pPr>
              <w:rPr>
                <w:rFonts w:ascii="Arial"/>
                <w:sz w:val="21"/>
              </w:rPr>
            </w:pPr>
            <w:r/>
          </w:p>
        </w:tc>
        <w:tc>
          <w:tcPr>
            <w:tcW w:w="1148" w:type="dxa"/>
            <w:vAlign w:val="top"/>
          </w:tcPr>
          <w:p>
            <w:pPr>
              <w:rPr>
                <w:rFonts w:ascii="Arial"/>
                <w:sz w:val="21"/>
              </w:rPr>
            </w:pPr>
            <w:r/>
          </w:p>
        </w:tc>
        <w:tc>
          <w:tcPr>
            <w:tcW w:w="1024" w:type="dxa"/>
            <w:vAlign w:val="top"/>
          </w:tcPr>
          <w:p>
            <w:pPr>
              <w:rPr>
                <w:rFonts w:ascii="Arial"/>
                <w:sz w:val="21"/>
              </w:rPr>
            </w:pPr>
            <w:r/>
          </w:p>
        </w:tc>
      </w:tr>
      <w:tr>
        <w:trPr>
          <w:trHeight w:val="269" w:hRule="atLeast"/>
        </w:trPr>
        <w:tc>
          <w:tcPr>
            <w:tcW w:w="804" w:type="dxa"/>
            <w:vAlign w:val="top"/>
            <w:vMerge w:val="continue"/>
            <w:tcBorders>
              <w:top w:val="nil"/>
              <w:bottom w:val="nil"/>
            </w:tcBorders>
          </w:tcPr>
          <w:p>
            <w:pPr>
              <w:rPr>
                <w:rFonts w:ascii="Arial"/>
                <w:sz w:val="21"/>
              </w:rPr>
            </w:pPr>
            <w:r/>
          </w:p>
        </w:tc>
        <w:tc>
          <w:tcPr>
            <w:tcW w:w="1069" w:type="dxa"/>
            <w:vAlign w:val="top"/>
            <w:vMerge w:val="continue"/>
            <w:tcBorders>
              <w:top w:val="nil"/>
              <w:bottom w:val="nil"/>
            </w:tcBorders>
          </w:tcPr>
          <w:p>
            <w:pPr>
              <w:rPr>
                <w:rFonts w:ascii="Arial"/>
                <w:sz w:val="21"/>
              </w:rPr>
            </w:pPr>
            <w:r/>
          </w:p>
        </w:tc>
        <w:tc>
          <w:tcPr>
            <w:tcW w:w="999" w:type="dxa"/>
            <w:vAlign w:val="top"/>
            <w:vMerge w:val="restart"/>
            <w:tcBorders>
              <w:bottom w:val="nil"/>
            </w:tcBorders>
          </w:tcPr>
          <w:p>
            <w:pPr>
              <w:spacing w:line="379" w:lineRule="auto"/>
              <w:rPr>
                <w:rFonts w:ascii="Arial"/>
                <w:sz w:val="21"/>
              </w:rPr>
            </w:pPr>
            <w:r/>
          </w:p>
          <w:p>
            <w:pPr>
              <w:pStyle w:val="TableText"/>
              <w:ind w:left="132" w:right="126"/>
              <w:spacing w:before="78" w:line="218" w:lineRule="auto"/>
              <w:rPr>
                <w:sz w:val="24"/>
                <w:szCs w:val="24"/>
              </w:rPr>
            </w:pPr>
            <w:r>
              <w:rPr>
                <w:sz w:val="24"/>
                <w:szCs w:val="24"/>
                <w:spacing w:val="3"/>
              </w:rPr>
              <w:t>厂区监</w:t>
            </w:r>
            <w:r>
              <w:rPr>
                <w:sz w:val="24"/>
                <w:szCs w:val="24"/>
              </w:rPr>
              <w:t xml:space="preserve"> </w:t>
            </w:r>
            <w:r>
              <w:rPr>
                <w:sz w:val="24"/>
                <w:szCs w:val="24"/>
                <w:spacing w:val="-2"/>
              </w:rPr>
              <w:t>控井3#</w:t>
            </w:r>
          </w:p>
        </w:tc>
        <w:tc>
          <w:tcPr>
            <w:tcW w:w="1688" w:type="dxa"/>
            <w:vAlign w:val="top"/>
          </w:tcPr>
          <w:p>
            <w:pPr>
              <w:pStyle w:val="TableText"/>
              <w:ind w:left="112"/>
              <w:spacing w:before="19" w:line="184" w:lineRule="auto"/>
              <w:rPr>
                <w:sz w:val="24"/>
                <w:szCs w:val="24"/>
              </w:rPr>
            </w:pPr>
            <w:r>
              <w:rPr>
                <w:sz w:val="24"/>
                <w:szCs w:val="24"/>
                <w:spacing w:val="1"/>
              </w:rPr>
              <w:t>高锰酸盐指数</w:t>
            </w:r>
          </w:p>
        </w:tc>
        <w:tc>
          <w:tcPr>
            <w:tcW w:w="1148" w:type="dxa"/>
            <w:vAlign w:val="top"/>
          </w:tcPr>
          <w:p>
            <w:pPr>
              <w:rPr>
                <w:rFonts w:ascii="Arial"/>
                <w:sz w:val="21"/>
              </w:rPr>
            </w:pPr>
            <w:r/>
          </w:p>
        </w:tc>
        <w:tc>
          <w:tcPr>
            <w:tcW w:w="1119" w:type="dxa"/>
            <w:vAlign w:val="top"/>
          </w:tcPr>
          <w:p>
            <w:pPr>
              <w:rPr>
                <w:rFonts w:ascii="Arial"/>
                <w:sz w:val="21"/>
              </w:rPr>
            </w:pPr>
            <w:r/>
          </w:p>
        </w:tc>
        <w:tc>
          <w:tcPr>
            <w:tcW w:w="1148" w:type="dxa"/>
            <w:vAlign w:val="top"/>
          </w:tcPr>
          <w:p>
            <w:pPr>
              <w:rPr>
                <w:rFonts w:ascii="Arial"/>
                <w:sz w:val="21"/>
              </w:rPr>
            </w:pPr>
            <w:r/>
          </w:p>
        </w:tc>
        <w:tc>
          <w:tcPr>
            <w:tcW w:w="1024" w:type="dxa"/>
            <w:vAlign w:val="top"/>
          </w:tcPr>
          <w:p>
            <w:pPr>
              <w:rPr>
                <w:rFonts w:ascii="Arial"/>
                <w:sz w:val="21"/>
              </w:rPr>
            </w:pPr>
            <w:r/>
          </w:p>
        </w:tc>
      </w:tr>
      <w:tr>
        <w:trPr>
          <w:trHeight w:val="260" w:hRule="atLeast"/>
        </w:trPr>
        <w:tc>
          <w:tcPr>
            <w:tcW w:w="804" w:type="dxa"/>
            <w:vAlign w:val="top"/>
            <w:vMerge w:val="continue"/>
            <w:tcBorders>
              <w:top w:val="nil"/>
              <w:bottom w:val="nil"/>
            </w:tcBorders>
          </w:tcPr>
          <w:p>
            <w:pPr>
              <w:rPr>
                <w:rFonts w:ascii="Arial"/>
                <w:sz w:val="21"/>
              </w:rPr>
            </w:pPr>
            <w:r/>
          </w:p>
        </w:tc>
        <w:tc>
          <w:tcPr>
            <w:tcW w:w="1069" w:type="dxa"/>
            <w:vAlign w:val="top"/>
            <w:vMerge w:val="continue"/>
            <w:tcBorders>
              <w:top w:val="nil"/>
              <w:bottom w:val="nil"/>
            </w:tcBorders>
          </w:tcPr>
          <w:p>
            <w:pPr>
              <w:rPr>
                <w:rFonts w:ascii="Arial"/>
                <w:sz w:val="21"/>
              </w:rPr>
            </w:pPr>
            <w:r/>
          </w:p>
        </w:tc>
        <w:tc>
          <w:tcPr>
            <w:tcW w:w="999" w:type="dxa"/>
            <w:vAlign w:val="top"/>
            <w:vMerge w:val="continue"/>
            <w:tcBorders>
              <w:top w:val="nil"/>
              <w:bottom w:val="nil"/>
            </w:tcBorders>
          </w:tcPr>
          <w:p>
            <w:pPr>
              <w:rPr>
                <w:rFonts w:ascii="Arial"/>
                <w:sz w:val="21"/>
              </w:rPr>
            </w:pPr>
            <w:r/>
          </w:p>
        </w:tc>
        <w:tc>
          <w:tcPr>
            <w:tcW w:w="1688" w:type="dxa"/>
            <w:vAlign w:val="top"/>
          </w:tcPr>
          <w:p>
            <w:pPr>
              <w:pStyle w:val="TableText"/>
              <w:ind w:left="593"/>
              <w:spacing w:before="39" w:line="162" w:lineRule="auto"/>
              <w:rPr>
                <w:sz w:val="24"/>
                <w:szCs w:val="24"/>
              </w:rPr>
            </w:pPr>
            <w:r>
              <w:rPr>
                <w:sz w:val="24"/>
                <w:szCs w:val="24"/>
                <w:spacing w:val="4"/>
              </w:rPr>
              <w:t>总锰</w:t>
            </w:r>
          </w:p>
        </w:tc>
        <w:tc>
          <w:tcPr>
            <w:tcW w:w="1148" w:type="dxa"/>
            <w:vAlign w:val="top"/>
          </w:tcPr>
          <w:p>
            <w:pPr>
              <w:rPr>
                <w:rFonts w:ascii="Arial"/>
                <w:sz w:val="21"/>
              </w:rPr>
            </w:pPr>
            <w:r/>
          </w:p>
        </w:tc>
        <w:tc>
          <w:tcPr>
            <w:tcW w:w="1119" w:type="dxa"/>
            <w:vAlign w:val="top"/>
          </w:tcPr>
          <w:p>
            <w:pPr>
              <w:rPr>
                <w:rFonts w:ascii="Arial"/>
                <w:sz w:val="21"/>
              </w:rPr>
            </w:pPr>
            <w:r/>
          </w:p>
        </w:tc>
        <w:tc>
          <w:tcPr>
            <w:tcW w:w="1148" w:type="dxa"/>
            <w:vAlign w:val="top"/>
          </w:tcPr>
          <w:p>
            <w:pPr>
              <w:rPr>
                <w:rFonts w:ascii="Arial"/>
                <w:sz w:val="21"/>
              </w:rPr>
            </w:pPr>
            <w:r/>
          </w:p>
        </w:tc>
        <w:tc>
          <w:tcPr>
            <w:tcW w:w="1024" w:type="dxa"/>
            <w:vAlign w:val="top"/>
          </w:tcPr>
          <w:p>
            <w:pPr>
              <w:rPr>
                <w:rFonts w:ascii="Arial"/>
                <w:sz w:val="21"/>
              </w:rPr>
            </w:pPr>
            <w:r/>
          </w:p>
        </w:tc>
      </w:tr>
      <w:tr>
        <w:trPr>
          <w:trHeight w:val="290" w:hRule="atLeast"/>
        </w:trPr>
        <w:tc>
          <w:tcPr>
            <w:tcW w:w="804" w:type="dxa"/>
            <w:vAlign w:val="top"/>
            <w:vMerge w:val="continue"/>
            <w:tcBorders>
              <w:top w:val="nil"/>
              <w:bottom w:val="nil"/>
            </w:tcBorders>
          </w:tcPr>
          <w:p>
            <w:pPr>
              <w:rPr>
                <w:rFonts w:ascii="Arial"/>
                <w:sz w:val="21"/>
              </w:rPr>
            </w:pPr>
            <w:r/>
          </w:p>
        </w:tc>
        <w:tc>
          <w:tcPr>
            <w:tcW w:w="1069" w:type="dxa"/>
            <w:vAlign w:val="top"/>
            <w:vMerge w:val="continue"/>
            <w:tcBorders>
              <w:top w:val="nil"/>
              <w:bottom w:val="nil"/>
            </w:tcBorders>
          </w:tcPr>
          <w:p>
            <w:pPr>
              <w:rPr>
                <w:rFonts w:ascii="Arial"/>
                <w:sz w:val="21"/>
              </w:rPr>
            </w:pPr>
            <w:r/>
          </w:p>
        </w:tc>
        <w:tc>
          <w:tcPr>
            <w:tcW w:w="999" w:type="dxa"/>
            <w:vAlign w:val="top"/>
            <w:vMerge w:val="continue"/>
            <w:tcBorders>
              <w:top w:val="nil"/>
              <w:bottom w:val="nil"/>
            </w:tcBorders>
          </w:tcPr>
          <w:p>
            <w:pPr>
              <w:rPr>
                <w:rFonts w:ascii="Arial"/>
                <w:sz w:val="21"/>
              </w:rPr>
            </w:pPr>
            <w:r/>
          </w:p>
        </w:tc>
        <w:tc>
          <w:tcPr>
            <w:tcW w:w="1688" w:type="dxa"/>
            <w:vAlign w:val="top"/>
          </w:tcPr>
          <w:p>
            <w:pPr>
              <w:pStyle w:val="TableText"/>
              <w:ind w:left="593"/>
              <w:spacing w:before="30" w:line="192" w:lineRule="auto"/>
              <w:rPr>
                <w:sz w:val="24"/>
                <w:szCs w:val="24"/>
              </w:rPr>
            </w:pPr>
            <w:r>
              <w:rPr>
                <w:sz w:val="24"/>
                <w:szCs w:val="24"/>
                <w:spacing w:val="-3"/>
              </w:rPr>
              <w:t>氨氮</w:t>
            </w:r>
          </w:p>
        </w:tc>
        <w:tc>
          <w:tcPr>
            <w:tcW w:w="1148" w:type="dxa"/>
            <w:vAlign w:val="top"/>
          </w:tcPr>
          <w:p>
            <w:pPr>
              <w:rPr>
                <w:rFonts w:ascii="Arial"/>
                <w:sz w:val="21"/>
              </w:rPr>
            </w:pPr>
            <w:r/>
          </w:p>
        </w:tc>
        <w:tc>
          <w:tcPr>
            <w:tcW w:w="1119" w:type="dxa"/>
            <w:vAlign w:val="top"/>
          </w:tcPr>
          <w:p>
            <w:pPr>
              <w:rPr>
                <w:rFonts w:ascii="Arial"/>
                <w:sz w:val="21"/>
              </w:rPr>
            </w:pPr>
            <w:r/>
          </w:p>
        </w:tc>
        <w:tc>
          <w:tcPr>
            <w:tcW w:w="1148" w:type="dxa"/>
            <w:vAlign w:val="top"/>
          </w:tcPr>
          <w:p>
            <w:pPr>
              <w:rPr>
                <w:rFonts w:ascii="Arial"/>
                <w:sz w:val="21"/>
              </w:rPr>
            </w:pPr>
            <w:r/>
          </w:p>
        </w:tc>
        <w:tc>
          <w:tcPr>
            <w:tcW w:w="1024" w:type="dxa"/>
            <w:vAlign w:val="top"/>
          </w:tcPr>
          <w:p>
            <w:pPr>
              <w:rPr>
                <w:rFonts w:ascii="Arial"/>
                <w:sz w:val="21"/>
              </w:rPr>
            </w:pPr>
            <w:r/>
          </w:p>
        </w:tc>
      </w:tr>
      <w:tr>
        <w:trPr>
          <w:trHeight w:val="260" w:hRule="atLeast"/>
        </w:trPr>
        <w:tc>
          <w:tcPr>
            <w:tcW w:w="804" w:type="dxa"/>
            <w:vAlign w:val="top"/>
            <w:vMerge w:val="continue"/>
            <w:tcBorders>
              <w:top w:val="nil"/>
              <w:bottom w:val="nil"/>
            </w:tcBorders>
          </w:tcPr>
          <w:p>
            <w:pPr>
              <w:rPr>
                <w:rFonts w:ascii="Arial"/>
                <w:sz w:val="21"/>
              </w:rPr>
            </w:pPr>
            <w:r/>
          </w:p>
        </w:tc>
        <w:tc>
          <w:tcPr>
            <w:tcW w:w="1069" w:type="dxa"/>
            <w:vAlign w:val="top"/>
            <w:vMerge w:val="continue"/>
            <w:tcBorders>
              <w:top w:val="nil"/>
              <w:bottom w:val="nil"/>
            </w:tcBorders>
          </w:tcPr>
          <w:p>
            <w:pPr>
              <w:rPr>
                <w:rFonts w:ascii="Arial"/>
                <w:sz w:val="21"/>
              </w:rPr>
            </w:pPr>
            <w:r/>
          </w:p>
        </w:tc>
        <w:tc>
          <w:tcPr>
            <w:tcW w:w="999" w:type="dxa"/>
            <w:vAlign w:val="top"/>
            <w:vMerge w:val="continue"/>
            <w:tcBorders>
              <w:top w:val="nil"/>
              <w:bottom w:val="nil"/>
            </w:tcBorders>
          </w:tcPr>
          <w:p>
            <w:pPr>
              <w:rPr>
                <w:rFonts w:ascii="Arial"/>
                <w:sz w:val="21"/>
              </w:rPr>
            </w:pPr>
            <w:r/>
          </w:p>
        </w:tc>
        <w:tc>
          <w:tcPr>
            <w:tcW w:w="1688" w:type="dxa"/>
            <w:vAlign w:val="top"/>
          </w:tcPr>
          <w:p>
            <w:pPr>
              <w:pStyle w:val="TableText"/>
              <w:ind w:left="593"/>
              <w:spacing w:before="34" w:line="166" w:lineRule="auto"/>
              <w:rPr>
                <w:sz w:val="24"/>
                <w:szCs w:val="24"/>
              </w:rPr>
            </w:pPr>
            <w:r>
              <w:rPr>
                <w:sz w:val="24"/>
                <w:szCs w:val="24"/>
                <w:spacing w:val="5"/>
              </w:rPr>
              <w:t>总钴</w:t>
            </w:r>
          </w:p>
        </w:tc>
        <w:tc>
          <w:tcPr>
            <w:tcW w:w="1148" w:type="dxa"/>
            <w:vAlign w:val="top"/>
          </w:tcPr>
          <w:p>
            <w:pPr>
              <w:rPr>
                <w:rFonts w:ascii="Arial"/>
                <w:sz w:val="21"/>
              </w:rPr>
            </w:pPr>
            <w:r/>
          </w:p>
        </w:tc>
        <w:tc>
          <w:tcPr>
            <w:tcW w:w="1119" w:type="dxa"/>
            <w:vAlign w:val="top"/>
          </w:tcPr>
          <w:p>
            <w:pPr>
              <w:rPr>
                <w:rFonts w:ascii="Arial"/>
                <w:sz w:val="21"/>
              </w:rPr>
            </w:pPr>
            <w:r/>
          </w:p>
        </w:tc>
        <w:tc>
          <w:tcPr>
            <w:tcW w:w="1148" w:type="dxa"/>
            <w:vAlign w:val="top"/>
          </w:tcPr>
          <w:p>
            <w:pPr>
              <w:rPr>
                <w:rFonts w:ascii="Arial"/>
                <w:sz w:val="21"/>
              </w:rPr>
            </w:pPr>
            <w:r/>
          </w:p>
        </w:tc>
        <w:tc>
          <w:tcPr>
            <w:tcW w:w="1024" w:type="dxa"/>
            <w:vAlign w:val="top"/>
          </w:tcPr>
          <w:p>
            <w:pPr>
              <w:rPr>
                <w:rFonts w:ascii="Arial"/>
                <w:sz w:val="21"/>
              </w:rPr>
            </w:pPr>
            <w:r/>
          </w:p>
        </w:tc>
      </w:tr>
      <w:tr>
        <w:trPr>
          <w:trHeight w:val="269" w:hRule="atLeast"/>
        </w:trPr>
        <w:tc>
          <w:tcPr>
            <w:tcW w:w="804" w:type="dxa"/>
            <w:vAlign w:val="top"/>
            <w:vMerge w:val="continue"/>
            <w:tcBorders>
              <w:top w:val="nil"/>
              <w:bottom w:val="nil"/>
            </w:tcBorders>
          </w:tcPr>
          <w:p>
            <w:pPr>
              <w:rPr>
                <w:rFonts w:ascii="Arial"/>
                <w:sz w:val="21"/>
              </w:rPr>
            </w:pPr>
            <w:r/>
          </w:p>
        </w:tc>
        <w:tc>
          <w:tcPr>
            <w:tcW w:w="1069" w:type="dxa"/>
            <w:vAlign w:val="top"/>
            <w:vMerge w:val="continue"/>
            <w:tcBorders>
              <w:top w:val="nil"/>
            </w:tcBorders>
          </w:tcPr>
          <w:p>
            <w:pPr>
              <w:rPr>
                <w:rFonts w:ascii="Arial"/>
                <w:sz w:val="21"/>
              </w:rPr>
            </w:pPr>
            <w:r/>
          </w:p>
        </w:tc>
        <w:tc>
          <w:tcPr>
            <w:tcW w:w="999" w:type="dxa"/>
            <w:vAlign w:val="top"/>
            <w:vMerge w:val="continue"/>
            <w:tcBorders>
              <w:top w:val="nil"/>
            </w:tcBorders>
          </w:tcPr>
          <w:p>
            <w:pPr>
              <w:rPr>
                <w:rFonts w:ascii="Arial"/>
                <w:sz w:val="21"/>
              </w:rPr>
            </w:pPr>
            <w:r/>
          </w:p>
        </w:tc>
        <w:tc>
          <w:tcPr>
            <w:tcW w:w="1688" w:type="dxa"/>
            <w:vAlign w:val="top"/>
          </w:tcPr>
          <w:p>
            <w:pPr>
              <w:pStyle w:val="TableText"/>
              <w:ind w:left="593"/>
              <w:spacing w:before="21" w:line="183" w:lineRule="auto"/>
              <w:rPr>
                <w:sz w:val="24"/>
                <w:szCs w:val="24"/>
              </w:rPr>
            </w:pPr>
            <w:r>
              <w:rPr>
                <w:sz w:val="24"/>
                <w:szCs w:val="24"/>
                <w:spacing w:val="4"/>
              </w:rPr>
              <w:t>总镍</w:t>
            </w:r>
          </w:p>
        </w:tc>
        <w:tc>
          <w:tcPr>
            <w:tcW w:w="1148" w:type="dxa"/>
            <w:vAlign w:val="top"/>
          </w:tcPr>
          <w:p>
            <w:pPr>
              <w:rPr>
                <w:rFonts w:ascii="Arial"/>
                <w:sz w:val="21"/>
              </w:rPr>
            </w:pPr>
            <w:r/>
          </w:p>
        </w:tc>
        <w:tc>
          <w:tcPr>
            <w:tcW w:w="1119" w:type="dxa"/>
            <w:vAlign w:val="top"/>
          </w:tcPr>
          <w:p>
            <w:pPr>
              <w:rPr>
                <w:rFonts w:ascii="Arial"/>
                <w:sz w:val="21"/>
              </w:rPr>
            </w:pPr>
            <w:r/>
          </w:p>
        </w:tc>
        <w:tc>
          <w:tcPr>
            <w:tcW w:w="1148" w:type="dxa"/>
            <w:vAlign w:val="top"/>
          </w:tcPr>
          <w:p>
            <w:pPr>
              <w:rPr>
                <w:rFonts w:ascii="Arial"/>
                <w:sz w:val="21"/>
              </w:rPr>
            </w:pPr>
            <w:r/>
          </w:p>
        </w:tc>
        <w:tc>
          <w:tcPr>
            <w:tcW w:w="1024" w:type="dxa"/>
            <w:vAlign w:val="top"/>
          </w:tcPr>
          <w:p>
            <w:pPr>
              <w:rPr>
                <w:rFonts w:ascii="Arial"/>
                <w:sz w:val="21"/>
              </w:rPr>
            </w:pPr>
            <w:r/>
          </w:p>
        </w:tc>
      </w:tr>
      <w:tr>
        <w:trPr>
          <w:trHeight w:val="280" w:hRule="atLeast"/>
        </w:trPr>
        <w:tc>
          <w:tcPr>
            <w:tcW w:w="804" w:type="dxa"/>
            <w:vAlign w:val="top"/>
            <w:vMerge w:val="continue"/>
            <w:tcBorders>
              <w:top w:val="nil"/>
              <w:bottom w:val="nil"/>
            </w:tcBorders>
          </w:tcPr>
          <w:p>
            <w:pPr>
              <w:rPr>
                <w:rFonts w:ascii="Arial"/>
                <w:sz w:val="21"/>
              </w:rPr>
            </w:pPr>
            <w:r/>
          </w:p>
        </w:tc>
        <w:tc>
          <w:tcPr>
            <w:tcW w:w="8195" w:type="dxa"/>
            <w:vAlign w:val="top"/>
            <w:gridSpan w:val="7"/>
          </w:tcPr>
          <w:p>
            <w:pPr>
              <w:pStyle w:val="TableText"/>
              <w:ind w:left="231"/>
              <w:spacing w:before="21" w:line="191" w:lineRule="auto"/>
              <w:rPr>
                <w:sz w:val="24"/>
                <w:szCs w:val="24"/>
              </w:rPr>
            </w:pPr>
            <w:r>
              <w:rPr>
                <w:sz w:val="24"/>
                <w:szCs w:val="24"/>
                <w:spacing w:val="-11"/>
              </w:rPr>
              <w:t>备注：    “&lt;”表示检测结果低于检出限。</w:t>
            </w:r>
          </w:p>
        </w:tc>
      </w:tr>
      <w:tr>
        <w:trPr>
          <w:trHeight w:val="3637" w:hRule="atLeast"/>
        </w:trPr>
        <w:tc>
          <w:tcPr>
            <w:tcW w:w="804" w:type="dxa"/>
            <w:vAlign w:val="top"/>
            <w:vMerge w:val="continue"/>
            <w:tcBorders>
              <w:top w:val="nil"/>
            </w:tcBorders>
          </w:tcPr>
          <w:p>
            <w:pPr>
              <w:rPr>
                <w:rFonts w:ascii="Arial"/>
                <w:sz w:val="21"/>
              </w:rPr>
            </w:pPr>
            <w:r/>
          </w:p>
        </w:tc>
        <w:tc>
          <w:tcPr>
            <w:tcW w:w="8195" w:type="dxa"/>
            <w:vAlign w:val="top"/>
            <w:gridSpan w:val="7"/>
          </w:tcPr>
          <w:p>
            <w:pPr>
              <w:spacing w:line="391" w:lineRule="auto"/>
              <w:rPr>
                <w:rFonts w:ascii="Arial"/>
                <w:sz w:val="21"/>
              </w:rPr>
            </w:pPr>
            <w:r/>
          </w:p>
          <w:p>
            <w:pPr>
              <w:pStyle w:val="TableText"/>
              <w:spacing w:before="78" w:line="489" w:lineRule="exact"/>
              <w:jc w:val="right"/>
              <w:rPr>
                <w:sz w:val="24"/>
                <w:szCs w:val="24"/>
              </w:rPr>
            </w:pPr>
            <w:r>
              <w:rPr>
                <w:sz w:val="24"/>
                <w:szCs w:val="24"/>
                <w:spacing w:val="-4"/>
                <w:position w:val="18"/>
              </w:rPr>
              <w:t>由上表可知，现有工程厂区内监控井地下水水质监测指标高锰酸盐指数、</w:t>
            </w:r>
          </w:p>
          <w:p>
            <w:pPr>
              <w:pStyle w:val="TableText"/>
              <w:ind w:left="130"/>
              <w:spacing w:line="218" w:lineRule="auto"/>
              <w:rPr>
                <w:sz w:val="24"/>
                <w:szCs w:val="24"/>
              </w:rPr>
            </w:pPr>
            <w:r>
              <w:rPr>
                <w:sz w:val="24"/>
                <w:szCs w:val="24"/>
                <w:spacing w:val="-3"/>
              </w:rPr>
              <w:t>锰、氨氮、钴、镍可满足《地下水质量标准》(GB/T14848-2017)中Ⅲ类标</w:t>
            </w:r>
          </w:p>
          <w:p>
            <w:pPr>
              <w:pStyle w:val="TableText"/>
              <w:spacing w:before="179" w:line="450" w:lineRule="exact"/>
              <w:jc w:val="right"/>
              <w:rPr>
                <w:sz w:val="24"/>
                <w:szCs w:val="24"/>
              </w:rPr>
            </w:pPr>
            <w:r>
              <w:rPr>
                <w:sz w:val="24"/>
                <w:szCs w:val="24"/>
                <w:spacing w:val="1"/>
                <w:position w:val="16"/>
              </w:rPr>
              <w:t>准，即耗氧量(</w:t>
            </w:r>
            <w:r>
              <w:rPr>
                <w:sz w:val="24"/>
                <w:szCs w:val="24"/>
                <w:position w:val="16"/>
              </w:rPr>
              <w:t>CODmn</w:t>
            </w:r>
            <w:r>
              <w:rPr>
                <w:sz w:val="24"/>
                <w:szCs w:val="24"/>
                <w:spacing w:val="1"/>
                <w:position w:val="16"/>
              </w:rPr>
              <w:t>法，以O</w:t>
            </w:r>
            <w:r>
              <w:rPr>
                <w:rFonts w:ascii="Calibri" w:hAnsi="Calibri" w:eastAsia="Calibri" w:cs="Calibri"/>
                <w:sz w:val="24"/>
                <w:szCs w:val="24"/>
                <w:spacing w:val="1"/>
                <w:position w:val="16"/>
              </w:rPr>
              <w:t>₂</w:t>
            </w:r>
            <w:r>
              <w:rPr>
                <w:sz w:val="24"/>
                <w:szCs w:val="24"/>
                <w:spacing w:val="1"/>
                <w:position w:val="16"/>
              </w:rPr>
              <w:t>计)≤3.0</w:t>
            </w:r>
            <w:r>
              <w:rPr>
                <w:sz w:val="24"/>
                <w:szCs w:val="24"/>
                <w:position w:val="16"/>
              </w:rPr>
              <w:t>mg</w:t>
            </w:r>
            <w:r>
              <w:rPr>
                <w:sz w:val="24"/>
                <w:szCs w:val="24"/>
                <w:spacing w:val="1"/>
                <w:position w:val="16"/>
              </w:rPr>
              <w:t>/L,氨氮≤0.50</w:t>
            </w:r>
            <w:r>
              <w:rPr>
                <w:sz w:val="24"/>
                <w:szCs w:val="24"/>
                <w:position w:val="16"/>
              </w:rPr>
              <w:t>mg</w:t>
            </w:r>
            <w:r>
              <w:rPr>
                <w:sz w:val="24"/>
                <w:szCs w:val="24"/>
                <w:spacing w:val="1"/>
                <w:position w:val="16"/>
              </w:rPr>
              <w:t>/L,锰≤0.10</w:t>
            </w:r>
            <w:r>
              <w:rPr>
                <w:sz w:val="24"/>
                <w:szCs w:val="24"/>
                <w:position w:val="16"/>
              </w:rPr>
              <w:t>mg</w:t>
            </w:r>
            <w:r>
              <w:rPr>
                <w:sz w:val="24"/>
                <w:szCs w:val="24"/>
                <w:spacing w:val="1"/>
                <w:position w:val="16"/>
              </w:rPr>
              <w:t>/L,</w:t>
            </w:r>
          </w:p>
          <w:p>
            <w:pPr>
              <w:pStyle w:val="TableText"/>
              <w:ind w:left="120"/>
              <w:spacing w:line="213" w:lineRule="auto"/>
              <w:rPr>
                <w:sz w:val="24"/>
                <w:szCs w:val="24"/>
              </w:rPr>
            </w:pPr>
            <w:r>
              <w:rPr>
                <w:sz w:val="24"/>
                <w:szCs w:val="24"/>
                <w:spacing w:val="-1"/>
              </w:rPr>
              <w:t>镍≤0.02mg/L,钴≤0.05mg/L。</w:t>
            </w:r>
          </w:p>
          <w:p>
            <w:pPr>
              <w:pStyle w:val="TableText"/>
              <w:ind w:left="144"/>
              <w:spacing w:before="216" w:line="219" w:lineRule="auto"/>
              <w:rPr>
                <w:sz w:val="24"/>
                <w:szCs w:val="24"/>
              </w:rPr>
            </w:pPr>
            <w:r>
              <w:rPr>
                <w:sz w:val="24"/>
                <w:szCs w:val="24"/>
                <w:b/>
                <w:bCs/>
                <w:spacing w:val="-4"/>
              </w:rPr>
              <w:t>2、地表水环境质量现状</w:t>
            </w:r>
          </w:p>
          <w:p>
            <w:pPr>
              <w:pStyle w:val="TableText"/>
              <w:spacing w:before="168" w:line="459" w:lineRule="exact"/>
              <w:jc w:val="right"/>
              <w:rPr>
                <w:sz w:val="24"/>
                <w:szCs w:val="24"/>
              </w:rPr>
            </w:pPr>
            <w:r>
              <w:rPr>
                <w:sz w:val="24"/>
                <w:szCs w:val="24"/>
                <w:spacing w:val="-4"/>
                <w:position w:val="16"/>
              </w:rPr>
              <w:t>本项目废水最终进入霞浦县污水处理厂集中处理，不直接排入地表水体，</w:t>
            </w:r>
          </w:p>
          <w:p>
            <w:pPr>
              <w:pStyle w:val="TableText"/>
              <w:ind w:left="150"/>
              <w:spacing w:before="1" w:line="217" w:lineRule="auto"/>
              <w:rPr>
                <w:sz w:val="24"/>
                <w:szCs w:val="24"/>
              </w:rPr>
            </w:pPr>
            <w:r>
              <w:rPr>
                <w:sz w:val="24"/>
                <w:szCs w:val="24"/>
                <w:spacing w:val="-4"/>
              </w:rPr>
              <w:t>本评价不再赘述地表水环境现状质量。</w:t>
            </w:r>
          </w:p>
        </w:tc>
      </w:tr>
      <w:tr>
        <w:trPr>
          <w:trHeight w:val="6220" w:hRule="atLeast"/>
        </w:trPr>
        <w:tc>
          <w:tcPr>
            <w:tcW w:w="804" w:type="dxa"/>
            <w:vAlign w:val="top"/>
          </w:tcPr>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155" w:right="141"/>
              <w:spacing w:before="78" w:line="212" w:lineRule="auto"/>
              <w:jc w:val="both"/>
              <w:rPr>
                <w:sz w:val="24"/>
                <w:szCs w:val="24"/>
              </w:rPr>
            </w:pPr>
            <w:r>
              <w:rPr>
                <w:sz w:val="24"/>
                <w:szCs w:val="24"/>
                <w:spacing w:val="-5"/>
              </w:rPr>
              <w:t>环境</w:t>
            </w:r>
            <w:r>
              <w:rPr>
                <w:sz w:val="24"/>
                <w:szCs w:val="24"/>
              </w:rPr>
              <w:t xml:space="preserve"> </w:t>
            </w:r>
            <w:r>
              <w:rPr>
                <w:sz w:val="24"/>
                <w:szCs w:val="24"/>
                <w:spacing w:val="8"/>
              </w:rPr>
              <w:t>保护</w:t>
            </w:r>
            <w:r>
              <w:rPr>
                <w:sz w:val="24"/>
                <w:szCs w:val="24"/>
              </w:rPr>
              <w:t xml:space="preserve"> </w:t>
            </w:r>
            <w:r>
              <w:rPr>
                <w:sz w:val="24"/>
                <w:szCs w:val="24"/>
                <w:spacing w:val="4"/>
              </w:rPr>
              <w:t>目标</w:t>
            </w:r>
          </w:p>
        </w:tc>
        <w:tc>
          <w:tcPr>
            <w:tcW w:w="8195" w:type="dxa"/>
            <w:vAlign w:val="top"/>
            <w:gridSpan w:val="7"/>
          </w:tcPr>
          <w:p>
            <w:pPr>
              <w:pStyle w:val="TableText"/>
              <w:ind w:left="140" w:right="112" w:firstLine="480"/>
              <w:spacing w:before="44" w:line="364" w:lineRule="auto"/>
              <w:rPr>
                <w:sz w:val="24"/>
                <w:szCs w:val="24"/>
              </w:rPr>
            </w:pPr>
            <w:r>
              <w:rPr>
                <w:sz w:val="24"/>
                <w:szCs w:val="24"/>
                <w:spacing w:val="1"/>
              </w:rPr>
              <w:t>本项目选址于宁德市霞浦县经济开发区长富</w:t>
            </w:r>
            <w:r>
              <w:rPr>
                <w:sz w:val="24"/>
                <w:szCs w:val="24"/>
              </w:rPr>
              <w:t>路6号。现有工程所在厂区  </w:t>
            </w:r>
            <w:r>
              <w:rPr>
                <w:sz w:val="24"/>
                <w:szCs w:val="24"/>
              </w:rPr>
              <w:t>的东侧隔长富路为金沙兴业园、嘉里福家具厂；东南侧隔南洋路、明渠为邦</w:t>
            </w:r>
            <w:r>
              <w:rPr>
                <w:sz w:val="24"/>
                <w:szCs w:val="24"/>
                <w:spacing w:val="10"/>
              </w:rPr>
              <w:t xml:space="preserve"> </w:t>
            </w:r>
            <w:r>
              <w:rPr>
                <w:sz w:val="24"/>
                <w:szCs w:val="24"/>
              </w:rPr>
              <w:t>德集团；南侧隔南洋路、明渠距离约40m为石雷洋村；西侧为山体；北侧隔</w:t>
            </w:r>
          </w:p>
          <w:p>
            <w:pPr>
              <w:pStyle w:val="TableText"/>
              <w:ind w:left="140"/>
              <w:spacing w:line="218" w:lineRule="auto"/>
              <w:rPr>
                <w:sz w:val="24"/>
                <w:szCs w:val="24"/>
              </w:rPr>
            </w:pPr>
            <w:r>
              <w:rPr>
                <w:sz w:val="24"/>
                <w:szCs w:val="24"/>
              </w:rPr>
              <w:t>南洋路、明渠距离44m处为大沙村，约440m处为池头村。本项目用地在现</w:t>
            </w:r>
          </w:p>
          <w:p>
            <w:pPr>
              <w:pStyle w:val="TableText"/>
              <w:ind w:left="140"/>
              <w:spacing w:before="195" w:line="460" w:lineRule="exact"/>
              <w:rPr>
                <w:sz w:val="24"/>
                <w:szCs w:val="24"/>
              </w:rPr>
            </w:pPr>
            <w:r>
              <w:rPr>
                <w:sz w:val="24"/>
                <w:szCs w:val="24"/>
                <w:position w:val="16"/>
              </w:rPr>
              <w:t>有厂区的西北侧，东侧距离大沙村约310m;南侧为现有工程厂区，距离南侧</w:t>
            </w:r>
          </w:p>
          <w:p>
            <w:pPr>
              <w:pStyle w:val="TableText"/>
              <w:ind w:left="140"/>
              <w:spacing w:line="218" w:lineRule="auto"/>
              <w:rPr>
                <w:sz w:val="24"/>
                <w:szCs w:val="24"/>
              </w:rPr>
            </w:pPr>
            <w:r>
              <w:rPr>
                <w:sz w:val="24"/>
                <w:szCs w:val="24"/>
              </w:rPr>
              <w:t>石雷洋村约500m;西侧、北侧为山体，距离东北侧池头村约290m。</w:t>
            </w:r>
          </w:p>
          <w:p>
            <w:pPr>
              <w:pStyle w:val="TableText"/>
              <w:ind w:left="621"/>
              <w:spacing w:before="153" w:line="483" w:lineRule="exact"/>
              <w:rPr>
                <w:sz w:val="24"/>
                <w:szCs w:val="24"/>
              </w:rPr>
            </w:pPr>
            <w:r>
              <w:rPr>
                <w:sz w:val="24"/>
                <w:szCs w:val="24"/>
                <w:position w:val="18"/>
              </w:rPr>
              <w:t>项目地理位置见附图1,周边环境示意见附图2,现场照片见附图3,环</w:t>
            </w:r>
          </w:p>
          <w:p>
            <w:pPr>
              <w:pStyle w:val="TableText"/>
              <w:ind w:left="150"/>
              <w:spacing w:before="1" w:line="218" w:lineRule="auto"/>
              <w:rPr>
                <w:sz w:val="24"/>
                <w:szCs w:val="24"/>
              </w:rPr>
            </w:pPr>
            <w:r>
              <w:rPr>
                <w:sz w:val="24"/>
                <w:szCs w:val="24"/>
                <w:spacing w:val="-1"/>
              </w:rPr>
              <w:t>境保护目标分布见附图4。</w:t>
            </w:r>
          </w:p>
          <w:p>
            <w:pPr>
              <w:pStyle w:val="TableText"/>
              <w:ind w:left="621"/>
              <w:spacing w:before="136" w:line="480" w:lineRule="exact"/>
              <w:rPr>
                <w:sz w:val="24"/>
                <w:szCs w:val="24"/>
              </w:rPr>
            </w:pPr>
            <w:r>
              <w:rPr>
                <w:sz w:val="24"/>
                <w:szCs w:val="24"/>
                <w:spacing w:val="1"/>
                <w:position w:val="18"/>
              </w:rPr>
              <w:t>根据现场踏勘，项目周边主要为交通道路、村庄等，本项目环境保护目</w:t>
            </w:r>
          </w:p>
          <w:p>
            <w:pPr>
              <w:pStyle w:val="TableText"/>
              <w:ind w:left="140"/>
              <w:spacing w:before="1" w:line="219" w:lineRule="auto"/>
              <w:rPr>
                <w:sz w:val="24"/>
                <w:szCs w:val="24"/>
              </w:rPr>
            </w:pPr>
            <w:r>
              <w:rPr>
                <w:sz w:val="24"/>
                <w:szCs w:val="24"/>
                <w:spacing w:val="1"/>
              </w:rPr>
              <w:t>标详见表3.4-1、表3.4-2。</w:t>
            </w:r>
          </w:p>
        </w:tc>
      </w:tr>
    </w:tbl>
    <w:p>
      <w:pPr>
        <w:rPr>
          <w:rFonts w:ascii="Arial"/>
          <w:sz w:val="21"/>
        </w:rPr>
      </w:pPr>
      <w:r/>
    </w:p>
    <w:p>
      <w:pPr>
        <w:sectPr>
          <w:footerReference w:type="default" r:id="rId72"/>
          <w:pgSz w:w="11900" w:h="16840"/>
          <w:pgMar w:top="1431" w:right="1375" w:bottom="988" w:left="1514" w:header="0" w:footer="849" w:gutter="0"/>
        </w:sectPr>
        <w:rPr>
          <w:rFonts w:ascii="Arial" w:hAnsi="Arial" w:eastAsia="Arial" w:cs="Arial"/>
          <w:sz w:val="21"/>
          <w:szCs w:val="21"/>
        </w:rPr>
      </w:pPr>
    </w:p>
    <w:p>
      <w:pPr>
        <w:spacing w:line="358" w:lineRule="auto"/>
        <w:rPr>
          <w:rFonts w:ascii="Arial"/>
          <w:sz w:val="21"/>
        </w:rPr>
      </w:pPr>
      <w:r/>
    </w:p>
    <w:p>
      <w:pPr>
        <w:pStyle w:val="BodyText"/>
        <w:ind w:left="5038"/>
        <w:spacing w:before="75" w:line="220" w:lineRule="auto"/>
        <w:rPr>
          <w:sz w:val="23"/>
          <w:szCs w:val="23"/>
        </w:rPr>
      </w:pPr>
      <w:r>
        <w:rPr>
          <w:sz w:val="23"/>
          <w:szCs w:val="23"/>
          <w:b/>
          <w:bCs/>
          <w:spacing w:val="2"/>
        </w:rPr>
        <w:t>表3.4-1</w:t>
      </w:r>
      <w:r>
        <w:rPr>
          <w:sz w:val="23"/>
          <w:szCs w:val="23"/>
          <w:spacing w:val="2"/>
        </w:rPr>
        <w:t xml:space="preserve">  </w:t>
      </w:r>
      <w:r>
        <w:rPr>
          <w:sz w:val="23"/>
          <w:szCs w:val="23"/>
          <w:b/>
          <w:bCs/>
          <w:spacing w:val="2"/>
        </w:rPr>
        <w:t>项目主要环境保护目标一览表</w:t>
      </w:r>
    </w:p>
    <w:p>
      <w:pPr>
        <w:spacing w:line="143" w:lineRule="exact"/>
        <w:rPr/>
      </w:pPr>
      <w:r/>
    </w:p>
    <w:tbl>
      <w:tblPr>
        <w:tblStyle w:val="TableNormal"/>
        <w:tblW w:w="141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84"/>
        <w:gridCol w:w="1389"/>
        <w:gridCol w:w="2418"/>
        <w:gridCol w:w="2438"/>
        <w:gridCol w:w="1839"/>
        <w:gridCol w:w="2159"/>
        <w:gridCol w:w="799"/>
        <w:gridCol w:w="1019"/>
        <w:gridCol w:w="1304"/>
      </w:tblGrid>
      <w:tr>
        <w:trPr>
          <w:trHeight w:val="444" w:hRule="atLeast"/>
        </w:trPr>
        <w:tc>
          <w:tcPr>
            <w:tcW w:w="784" w:type="dxa"/>
            <w:vAlign w:val="top"/>
            <w:vMerge w:val="restart"/>
            <w:tcBorders>
              <w:bottom w:val="nil"/>
            </w:tcBorders>
          </w:tcPr>
          <w:p>
            <w:pPr>
              <w:pStyle w:val="TableText"/>
              <w:ind w:left="175"/>
              <w:spacing w:before="174" w:line="279" w:lineRule="exact"/>
              <w:rPr>
                <w:sz w:val="21"/>
                <w:szCs w:val="21"/>
              </w:rPr>
            </w:pPr>
            <w:r>
              <w:rPr>
                <w:sz w:val="21"/>
                <w:szCs w:val="21"/>
                <w:spacing w:val="-3"/>
                <w:position w:val="4"/>
              </w:rPr>
              <w:t>环境</w:t>
            </w:r>
          </w:p>
          <w:p>
            <w:pPr>
              <w:pStyle w:val="TableText"/>
              <w:ind w:left="175"/>
              <w:spacing w:line="219" w:lineRule="auto"/>
              <w:rPr>
                <w:sz w:val="21"/>
                <w:szCs w:val="21"/>
              </w:rPr>
            </w:pPr>
            <w:r>
              <w:rPr>
                <w:sz w:val="21"/>
                <w:szCs w:val="21"/>
                <w:spacing w:val="-3"/>
              </w:rPr>
              <w:t>要素</w:t>
            </w:r>
          </w:p>
        </w:tc>
        <w:tc>
          <w:tcPr>
            <w:tcW w:w="1389" w:type="dxa"/>
            <w:vAlign w:val="top"/>
            <w:vMerge w:val="restart"/>
            <w:tcBorders>
              <w:bottom w:val="nil"/>
            </w:tcBorders>
          </w:tcPr>
          <w:p>
            <w:pPr>
              <w:pStyle w:val="TableText"/>
              <w:ind w:left="579" w:right="140" w:hanging="419"/>
              <w:spacing w:before="182" w:line="231" w:lineRule="auto"/>
              <w:rPr>
                <w:sz w:val="21"/>
                <w:szCs w:val="21"/>
              </w:rPr>
            </w:pPr>
            <w:r>
              <w:rPr>
                <w:sz w:val="21"/>
                <w:szCs w:val="21"/>
                <w:spacing w:val="5"/>
              </w:rPr>
              <w:t>敏感目标名</w:t>
            </w:r>
            <w:r>
              <w:rPr>
                <w:sz w:val="21"/>
                <w:szCs w:val="21"/>
                <w:spacing w:val="1"/>
              </w:rPr>
              <w:t xml:space="preserve"> </w:t>
            </w:r>
            <w:r>
              <w:rPr>
                <w:sz w:val="21"/>
                <w:szCs w:val="21"/>
              </w:rPr>
              <w:t>称</w:t>
            </w:r>
          </w:p>
        </w:tc>
        <w:tc>
          <w:tcPr>
            <w:tcW w:w="4856" w:type="dxa"/>
            <w:vAlign w:val="top"/>
            <w:gridSpan w:val="2"/>
          </w:tcPr>
          <w:p>
            <w:pPr>
              <w:pStyle w:val="TableText"/>
              <w:ind w:left="2232"/>
              <w:spacing w:before="124" w:line="220" w:lineRule="auto"/>
              <w:rPr>
                <w:sz w:val="21"/>
                <w:szCs w:val="21"/>
              </w:rPr>
            </w:pPr>
            <w:r>
              <w:rPr>
                <w:sz w:val="21"/>
                <w:szCs w:val="21"/>
                <w:spacing w:val="-3"/>
              </w:rPr>
              <w:t>坐标</w:t>
            </w:r>
          </w:p>
        </w:tc>
        <w:tc>
          <w:tcPr>
            <w:tcW w:w="1839" w:type="dxa"/>
            <w:vAlign w:val="top"/>
            <w:vMerge w:val="restart"/>
            <w:tcBorders>
              <w:bottom w:val="nil"/>
            </w:tcBorders>
          </w:tcPr>
          <w:p>
            <w:pPr>
              <w:pStyle w:val="TableText"/>
              <w:ind w:left="525"/>
              <w:spacing w:before="303" w:line="219" w:lineRule="auto"/>
              <w:rPr>
                <w:sz w:val="21"/>
                <w:szCs w:val="21"/>
              </w:rPr>
            </w:pPr>
            <w:r>
              <w:rPr>
                <w:sz w:val="21"/>
                <w:szCs w:val="21"/>
                <w:spacing w:val="-2"/>
              </w:rPr>
              <w:t>保护对象</w:t>
            </w:r>
          </w:p>
        </w:tc>
        <w:tc>
          <w:tcPr>
            <w:tcW w:w="2159" w:type="dxa"/>
            <w:vAlign w:val="top"/>
            <w:vMerge w:val="restart"/>
            <w:tcBorders>
              <w:bottom w:val="nil"/>
            </w:tcBorders>
          </w:tcPr>
          <w:p>
            <w:pPr>
              <w:pStyle w:val="TableText"/>
              <w:ind w:left="657"/>
              <w:spacing w:before="303" w:line="219" w:lineRule="auto"/>
              <w:rPr>
                <w:sz w:val="21"/>
                <w:szCs w:val="21"/>
              </w:rPr>
            </w:pPr>
            <w:r>
              <w:rPr>
                <w:sz w:val="21"/>
                <w:szCs w:val="21"/>
                <w:spacing w:val="-2"/>
              </w:rPr>
              <w:t>保护内容</w:t>
            </w:r>
          </w:p>
        </w:tc>
        <w:tc>
          <w:tcPr>
            <w:tcW w:w="799" w:type="dxa"/>
            <w:vAlign w:val="top"/>
            <w:vMerge w:val="restart"/>
            <w:tcBorders>
              <w:bottom w:val="nil"/>
            </w:tcBorders>
          </w:tcPr>
          <w:p>
            <w:pPr>
              <w:pStyle w:val="TableText"/>
              <w:ind w:left="187"/>
              <w:spacing w:before="14" w:line="301" w:lineRule="exact"/>
              <w:rPr>
                <w:sz w:val="21"/>
                <w:szCs w:val="21"/>
              </w:rPr>
            </w:pPr>
            <w:r>
              <w:rPr>
                <w:sz w:val="21"/>
                <w:szCs w:val="21"/>
                <w:spacing w:val="-3"/>
                <w:position w:val="6"/>
              </w:rPr>
              <w:t>环境</w:t>
            </w:r>
          </w:p>
          <w:p>
            <w:pPr>
              <w:pStyle w:val="TableText"/>
              <w:ind w:left="187"/>
              <w:spacing w:line="220" w:lineRule="auto"/>
              <w:rPr>
                <w:sz w:val="21"/>
                <w:szCs w:val="21"/>
              </w:rPr>
            </w:pPr>
            <w:r>
              <w:rPr>
                <w:sz w:val="21"/>
                <w:szCs w:val="21"/>
                <w:spacing w:val="5"/>
              </w:rPr>
              <w:t>功能</w:t>
            </w:r>
          </w:p>
          <w:p>
            <w:pPr>
              <w:pStyle w:val="TableText"/>
              <w:ind w:left="288"/>
              <w:spacing w:before="2" w:line="197" w:lineRule="auto"/>
              <w:rPr>
                <w:sz w:val="21"/>
                <w:szCs w:val="21"/>
              </w:rPr>
            </w:pPr>
            <w:r>
              <w:rPr>
                <w:sz w:val="21"/>
                <w:szCs w:val="21"/>
              </w:rPr>
              <w:t>区</w:t>
            </w:r>
          </w:p>
        </w:tc>
        <w:tc>
          <w:tcPr>
            <w:tcW w:w="1019" w:type="dxa"/>
            <w:vAlign w:val="top"/>
            <w:vMerge w:val="restart"/>
            <w:tcBorders>
              <w:bottom w:val="nil"/>
            </w:tcBorders>
          </w:tcPr>
          <w:p>
            <w:pPr>
              <w:pStyle w:val="TableText"/>
              <w:ind w:left="189" w:right="149"/>
              <w:spacing w:before="35" w:line="222" w:lineRule="auto"/>
              <w:jc w:val="both"/>
              <w:rPr>
                <w:sz w:val="21"/>
                <w:szCs w:val="21"/>
              </w:rPr>
            </w:pPr>
            <w:r>
              <w:rPr>
                <w:sz w:val="21"/>
                <w:szCs w:val="21"/>
                <w:spacing w:val="13"/>
              </w:rPr>
              <w:t>与项目</w:t>
            </w:r>
            <w:r>
              <w:rPr>
                <w:sz w:val="21"/>
                <w:szCs w:val="21"/>
              </w:rPr>
              <w:t xml:space="preserve"> </w:t>
            </w:r>
            <w:r>
              <w:rPr>
                <w:sz w:val="21"/>
                <w:szCs w:val="21"/>
                <w:spacing w:val="4"/>
              </w:rPr>
              <w:t>相对厂</w:t>
            </w:r>
            <w:r>
              <w:rPr>
                <w:sz w:val="21"/>
                <w:szCs w:val="21"/>
              </w:rPr>
              <w:t xml:space="preserve"> </w:t>
            </w:r>
            <w:r>
              <w:rPr>
                <w:sz w:val="21"/>
                <w:szCs w:val="21"/>
                <w:spacing w:val="-3"/>
              </w:rPr>
              <w:t>址方位</w:t>
            </w:r>
          </w:p>
        </w:tc>
        <w:tc>
          <w:tcPr>
            <w:tcW w:w="1304" w:type="dxa"/>
            <w:vAlign w:val="top"/>
            <w:vMerge w:val="restart"/>
            <w:tcBorders>
              <w:bottom w:val="nil"/>
            </w:tcBorders>
          </w:tcPr>
          <w:p>
            <w:pPr>
              <w:pStyle w:val="TableText"/>
              <w:ind w:left="119"/>
              <w:spacing w:before="64" w:line="220" w:lineRule="auto"/>
              <w:rPr>
                <w:sz w:val="21"/>
                <w:szCs w:val="21"/>
              </w:rPr>
            </w:pPr>
            <w:r>
              <w:rPr>
                <w:sz w:val="21"/>
                <w:szCs w:val="21"/>
                <w:spacing w:val="-2"/>
              </w:rPr>
              <w:t>相对厂界距</w:t>
            </w:r>
          </w:p>
          <w:p>
            <w:pPr>
              <w:pStyle w:val="TableText"/>
              <w:ind w:left="229"/>
              <w:spacing w:before="19" w:line="207" w:lineRule="auto"/>
              <w:rPr>
                <w:sz w:val="21"/>
                <w:szCs w:val="21"/>
              </w:rPr>
            </w:pPr>
            <w:r>
              <w:rPr>
                <w:sz w:val="21"/>
                <w:szCs w:val="21"/>
                <w:spacing w:val="9"/>
              </w:rPr>
              <w:t>离(最近)</w:t>
            </w:r>
          </w:p>
          <w:p>
            <w:pPr>
              <w:pStyle w:val="TableText"/>
              <w:ind w:left="539"/>
              <w:spacing w:line="196" w:lineRule="auto"/>
              <w:rPr>
                <w:sz w:val="21"/>
                <w:szCs w:val="21"/>
              </w:rPr>
            </w:pPr>
            <w:r>
              <w:rPr>
                <w:sz w:val="21"/>
                <w:szCs w:val="21"/>
                <w:spacing w:val="-2"/>
              </w:rPr>
              <w:t>/m</w:t>
            </w:r>
          </w:p>
        </w:tc>
      </w:tr>
      <w:tr>
        <w:trPr>
          <w:trHeight w:val="349" w:hRule="atLeast"/>
        </w:trPr>
        <w:tc>
          <w:tcPr>
            <w:tcW w:w="784" w:type="dxa"/>
            <w:vAlign w:val="top"/>
            <w:vMerge w:val="continue"/>
            <w:tcBorders>
              <w:top w:val="nil"/>
            </w:tcBorders>
          </w:tcPr>
          <w:p>
            <w:pPr>
              <w:rPr>
                <w:rFonts w:ascii="Arial"/>
                <w:sz w:val="21"/>
              </w:rPr>
            </w:pPr>
            <w:r/>
          </w:p>
        </w:tc>
        <w:tc>
          <w:tcPr>
            <w:tcW w:w="1389" w:type="dxa"/>
            <w:vAlign w:val="top"/>
            <w:vMerge w:val="continue"/>
            <w:tcBorders>
              <w:top w:val="nil"/>
            </w:tcBorders>
          </w:tcPr>
          <w:p>
            <w:pPr>
              <w:rPr>
                <w:rFonts w:ascii="Arial"/>
                <w:sz w:val="21"/>
              </w:rPr>
            </w:pPr>
            <w:r/>
          </w:p>
        </w:tc>
        <w:tc>
          <w:tcPr>
            <w:tcW w:w="2418" w:type="dxa"/>
            <w:vAlign w:val="top"/>
          </w:tcPr>
          <w:p>
            <w:pPr>
              <w:pStyle w:val="TableText"/>
              <w:ind w:left="991"/>
              <w:spacing w:before="70" w:line="220" w:lineRule="auto"/>
              <w:rPr>
                <w:sz w:val="21"/>
                <w:szCs w:val="21"/>
              </w:rPr>
            </w:pPr>
            <w:r>
              <w:rPr>
                <w:sz w:val="21"/>
                <w:szCs w:val="21"/>
                <w:spacing w:val="6"/>
              </w:rPr>
              <w:t>经度</w:t>
            </w:r>
          </w:p>
        </w:tc>
        <w:tc>
          <w:tcPr>
            <w:tcW w:w="2438" w:type="dxa"/>
            <w:vAlign w:val="top"/>
          </w:tcPr>
          <w:p>
            <w:pPr>
              <w:pStyle w:val="TableText"/>
              <w:ind w:left="1124"/>
              <w:spacing w:before="70" w:line="220" w:lineRule="auto"/>
              <w:rPr>
                <w:sz w:val="21"/>
                <w:szCs w:val="21"/>
              </w:rPr>
            </w:pPr>
            <w:r>
              <w:rPr>
                <w:sz w:val="21"/>
                <w:szCs w:val="21"/>
                <w:spacing w:val="6"/>
              </w:rPr>
              <w:t>纬度</w:t>
            </w:r>
          </w:p>
        </w:tc>
        <w:tc>
          <w:tcPr>
            <w:tcW w:w="1839" w:type="dxa"/>
            <w:vAlign w:val="top"/>
            <w:vMerge w:val="continue"/>
            <w:tcBorders>
              <w:top w:val="nil"/>
            </w:tcBorders>
          </w:tcPr>
          <w:p>
            <w:pPr>
              <w:rPr>
                <w:rFonts w:ascii="Arial"/>
                <w:sz w:val="21"/>
              </w:rPr>
            </w:pPr>
            <w:r/>
          </w:p>
        </w:tc>
        <w:tc>
          <w:tcPr>
            <w:tcW w:w="2159" w:type="dxa"/>
            <w:vAlign w:val="top"/>
            <w:vMerge w:val="continue"/>
            <w:tcBorders>
              <w:top w:val="nil"/>
            </w:tcBorders>
          </w:tcPr>
          <w:p>
            <w:pPr>
              <w:rPr>
                <w:rFonts w:ascii="Arial"/>
                <w:sz w:val="21"/>
              </w:rPr>
            </w:pPr>
            <w:r/>
          </w:p>
        </w:tc>
        <w:tc>
          <w:tcPr>
            <w:tcW w:w="799" w:type="dxa"/>
            <w:vAlign w:val="top"/>
            <w:vMerge w:val="continue"/>
            <w:tcBorders>
              <w:top w:val="nil"/>
            </w:tcBorders>
          </w:tcPr>
          <w:p>
            <w:pPr>
              <w:rPr>
                <w:rFonts w:ascii="Arial"/>
                <w:sz w:val="21"/>
              </w:rPr>
            </w:pPr>
            <w:r/>
          </w:p>
        </w:tc>
        <w:tc>
          <w:tcPr>
            <w:tcW w:w="1019" w:type="dxa"/>
            <w:vAlign w:val="top"/>
            <w:vMerge w:val="continue"/>
            <w:tcBorders>
              <w:top w:val="nil"/>
            </w:tcBorders>
          </w:tcPr>
          <w:p>
            <w:pPr>
              <w:rPr>
                <w:rFonts w:ascii="Arial"/>
                <w:sz w:val="21"/>
              </w:rPr>
            </w:pPr>
            <w:r/>
          </w:p>
        </w:tc>
        <w:tc>
          <w:tcPr>
            <w:tcW w:w="1304" w:type="dxa"/>
            <w:vAlign w:val="top"/>
            <w:vMerge w:val="continue"/>
            <w:tcBorders>
              <w:top w:val="nil"/>
            </w:tcBorders>
          </w:tcPr>
          <w:p>
            <w:pPr>
              <w:rPr>
                <w:rFonts w:ascii="Arial"/>
                <w:sz w:val="21"/>
              </w:rPr>
            </w:pPr>
            <w:r/>
          </w:p>
        </w:tc>
      </w:tr>
      <w:tr>
        <w:trPr>
          <w:trHeight w:val="359" w:hRule="atLeast"/>
        </w:trPr>
        <w:tc>
          <w:tcPr>
            <w:tcW w:w="784" w:type="dxa"/>
            <w:vAlign w:val="top"/>
            <w:vMerge w:val="restart"/>
            <w:tcBorders>
              <w:bottom w:val="nil"/>
            </w:tcBorders>
          </w:tcPr>
          <w:p>
            <w:pPr>
              <w:pStyle w:val="TableText"/>
              <w:ind w:left="175"/>
              <w:spacing w:before="301" w:line="300" w:lineRule="exact"/>
              <w:rPr>
                <w:sz w:val="21"/>
                <w:szCs w:val="21"/>
              </w:rPr>
            </w:pPr>
            <w:r>
              <w:rPr>
                <w:sz w:val="21"/>
                <w:szCs w:val="21"/>
                <w:spacing w:val="6"/>
                <w:position w:val="6"/>
              </w:rPr>
              <w:t>大气</w:t>
            </w:r>
          </w:p>
          <w:p>
            <w:pPr>
              <w:pStyle w:val="TableText"/>
              <w:ind w:left="175"/>
              <w:spacing w:line="220" w:lineRule="auto"/>
              <w:rPr>
                <w:sz w:val="21"/>
                <w:szCs w:val="21"/>
              </w:rPr>
            </w:pPr>
            <w:r>
              <w:rPr>
                <w:sz w:val="21"/>
                <w:szCs w:val="21"/>
                <w:spacing w:val="-3"/>
              </w:rPr>
              <w:t>环境</w:t>
            </w:r>
          </w:p>
        </w:tc>
        <w:tc>
          <w:tcPr>
            <w:tcW w:w="1389" w:type="dxa"/>
            <w:vAlign w:val="top"/>
          </w:tcPr>
          <w:p>
            <w:pPr>
              <w:pStyle w:val="TableText"/>
              <w:ind w:left="260"/>
              <w:spacing w:before="79" w:line="219" w:lineRule="auto"/>
              <w:rPr>
                <w:sz w:val="21"/>
                <w:szCs w:val="21"/>
              </w:rPr>
            </w:pPr>
            <w:r>
              <w:rPr>
                <w:sz w:val="21"/>
                <w:szCs w:val="21"/>
                <w:spacing w:val="-2"/>
              </w:rPr>
              <w:t>石雷洋村</w:t>
            </w:r>
          </w:p>
        </w:tc>
        <w:tc>
          <w:tcPr>
            <w:tcW w:w="2418" w:type="dxa"/>
            <w:vAlign w:val="top"/>
          </w:tcPr>
          <w:p>
            <w:pPr>
              <w:rPr>
                <w:rFonts w:ascii="Arial"/>
                <w:sz w:val="21"/>
              </w:rPr>
            </w:pPr>
            <w:r/>
          </w:p>
        </w:tc>
        <w:tc>
          <w:tcPr>
            <w:tcW w:w="2438" w:type="dxa"/>
            <w:vAlign w:val="top"/>
          </w:tcPr>
          <w:p>
            <w:pPr>
              <w:rPr>
                <w:rFonts w:ascii="Arial"/>
                <w:sz w:val="21"/>
              </w:rPr>
            </w:pPr>
            <w:r/>
          </w:p>
        </w:tc>
        <w:tc>
          <w:tcPr>
            <w:tcW w:w="1839" w:type="dxa"/>
            <w:vAlign w:val="top"/>
          </w:tcPr>
          <w:p>
            <w:pPr>
              <w:rPr>
                <w:rFonts w:ascii="Arial"/>
                <w:sz w:val="21"/>
              </w:rPr>
            </w:pPr>
            <w:r/>
          </w:p>
        </w:tc>
        <w:tc>
          <w:tcPr>
            <w:tcW w:w="2159" w:type="dxa"/>
            <w:vAlign w:val="top"/>
            <w:vMerge w:val="restart"/>
            <w:tcBorders>
              <w:bottom w:val="nil"/>
            </w:tcBorders>
          </w:tcPr>
          <w:p>
            <w:pPr>
              <w:pStyle w:val="TableText"/>
              <w:ind w:left="176" w:right="135" w:firstLine="59"/>
              <w:spacing w:before="58" w:line="226" w:lineRule="auto"/>
              <w:rPr>
                <w:sz w:val="21"/>
                <w:szCs w:val="21"/>
              </w:rPr>
            </w:pPr>
            <w:r>
              <w:rPr>
                <w:sz w:val="21"/>
                <w:szCs w:val="21"/>
                <w:spacing w:val="-2"/>
              </w:rPr>
              <w:t>大气环境质量符合</w:t>
            </w:r>
            <w:r>
              <w:rPr>
                <w:sz w:val="21"/>
                <w:szCs w:val="21"/>
                <w:spacing w:val="2"/>
              </w:rPr>
              <w:t xml:space="preserve">  </w:t>
            </w:r>
            <w:r>
              <w:rPr>
                <w:sz w:val="21"/>
                <w:szCs w:val="21"/>
                <w:spacing w:val="-2"/>
              </w:rPr>
              <w:t>《环境空气质量标</w:t>
            </w:r>
            <w:r>
              <w:rPr>
                <w:sz w:val="21"/>
                <w:szCs w:val="21"/>
                <w:spacing w:val="1"/>
              </w:rPr>
              <w:t xml:space="preserve">  </w:t>
            </w:r>
            <w:r>
              <w:rPr>
                <w:sz w:val="21"/>
                <w:szCs w:val="21"/>
                <w:spacing w:val="3"/>
              </w:rPr>
              <w:t>准》(</w:t>
            </w:r>
            <w:r>
              <w:rPr>
                <w:sz w:val="21"/>
                <w:szCs w:val="21"/>
              </w:rPr>
              <w:t>GB</w:t>
            </w:r>
            <w:r>
              <w:rPr>
                <w:sz w:val="21"/>
                <w:szCs w:val="21"/>
                <w:spacing w:val="3"/>
              </w:rPr>
              <w:t>3095-2012)</w:t>
            </w:r>
            <w:r>
              <w:rPr>
                <w:sz w:val="21"/>
                <w:szCs w:val="21"/>
                <w:spacing w:val="11"/>
              </w:rPr>
              <w:t xml:space="preserve"> </w:t>
            </w:r>
            <w:r>
              <w:rPr>
                <w:sz w:val="21"/>
                <w:szCs w:val="21"/>
                <w:spacing w:val="8"/>
              </w:rPr>
              <w:t>中二类区标准要求</w:t>
            </w:r>
          </w:p>
        </w:tc>
        <w:tc>
          <w:tcPr>
            <w:tcW w:w="799" w:type="dxa"/>
            <w:vAlign w:val="top"/>
            <w:vMerge w:val="restart"/>
            <w:tcBorders>
              <w:bottom w:val="nil"/>
            </w:tcBorders>
          </w:tcPr>
          <w:p>
            <w:pPr>
              <w:spacing w:line="270" w:lineRule="auto"/>
              <w:rPr>
                <w:rFonts w:ascii="Arial"/>
                <w:sz w:val="21"/>
              </w:rPr>
            </w:pPr>
            <w:r/>
          </w:p>
          <w:p>
            <w:pPr>
              <w:pStyle w:val="TableText"/>
              <w:ind w:left="187"/>
              <w:spacing w:before="68" w:line="234" w:lineRule="auto"/>
              <w:rPr>
                <w:sz w:val="21"/>
                <w:szCs w:val="21"/>
              </w:rPr>
            </w:pPr>
            <w:r>
              <w:rPr>
                <w:sz w:val="21"/>
                <w:szCs w:val="21"/>
                <w:spacing w:val="4"/>
              </w:rPr>
              <w:t>二类</w:t>
            </w:r>
          </w:p>
          <w:p>
            <w:pPr>
              <w:pStyle w:val="TableText"/>
              <w:ind w:left="288"/>
              <w:spacing w:line="224" w:lineRule="auto"/>
              <w:rPr>
                <w:sz w:val="21"/>
                <w:szCs w:val="21"/>
              </w:rPr>
            </w:pPr>
            <w:r>
              <w:rPr>
                <w:sz w:val="21"/>
                <w:szCs w:val="21"/>
              </w:rPr>
              <w:t>区</w:t>
            </w:r>
          </w:p>
        </w:tc>
        <w:tc>
          <w:tcPr>
            <w:tcW w:w="1019" w:type="dxa"/>
            <w:vAlign w:val="top"/>
          </w:tcPr>
          <w:p>
            <w:pPr>
              <w:pStyle w:val="TableText"/>
              <w:ind w:left="299"/>
              <w:spacing w:before="80" w:line="219" w:lineRule="auto"/>
              <w:rPr>
                <w:sz w:val="21"/>
                <w:szCs w:val="21"/>
              </w:rPr>
            </w:pPr>
            <w:r>
              <w:rPr>
                <w:sz w:val="21"/>
                <w:szCs w:val="21"/>
                <w:spacing w:val="7"/>
              </w:rPr>
              <w:t>南侧</w:t>
            </w:r>
          </w:p>
        </w:tc>
        <w:tc>
          <w:tcPr>
            <w:tcW w:w="1304" w:type="dxa"/>
            <w:vAlign w:val="top"/>
          </w:tcPr>
          <w:p>
            <w:pPr>
              <w:pStyle w:val="TableText"/>
              <w:ind w:left="489"/>
              <w:spacing w:before="134" w:line="183" w:lineRule="auto"/>
              <w:rPr>
                <w:sz w:val="21"/>
                <w:szCs w:val="21"/>
              </w:rPr>
            </w:pPr>
            <w:r>
              <w:rPr>
                <w:sz w:val="21"/>
                <w:szCs w:val="21"/>
                <w:spacing w:val="-3"/>
              </w:rPr>
              <w:t>500</w:t>
            </w:r>
          </w:p>
        </w:tc>
      </w:tr>
      <w:tr>
        <w:trPr>
          <w:trHeight w:val="329" w:hRule="atLeast"/>
        </w:trPr>
        <w:tc>
          <w:tcPr>
            <w:tcW w:w="784" w:type="dxa"/>
            <w:vAlign w:val="top"/>
            <w:vMerge w:val="continue"/>
            <w:tcBorders>
              <w:top w:val="nil"/>
              <w:bottom w:val="nil"/>
            </w:tcBorders>
          </w:tcPr>
          <w:p>
            <w:pPr>
              <w:rPr>
                <w:rFonts w:ascii="Arial"/>
                <w:sz w:val="21"/>
              </w:rPr>
            </w:pPr>
            <w:r/>
          </w:p>
        </w:tc>
        <w:tc>
          <w:tcPr>
            <w:tcW w:w="1389" w:type="dxa"/>
            <w:vAlign w:val="top"/>
          </w:tcPr>
          <w:p>
            <w:pPr>
              <w:pStyle w:val="TableText"/>
              <w:ind w:left="370"/>
              <w:spacing w:before="60" w:line="219" w:lineRule="auto"/>
              <w:rPr>
                <w:sz w:val="21"/>
                <w:szCs w:val="21"/>
              </w:rPr>
            </w:pPr>
            <w:r>
              <w:rPr>
                <w:sz w:val="21"/>
                <w:szCs w:val="21"/>
                <w:spacing w:val="3"/>
              </w:rPr>
              <w:t>大沙村</w:t>
            </w:r>
          </w:p>
        </w:tc>
        <w:tc>
          <w:tcPr>
            <w:tcW w:w="6695" w:type="dxa"/>
            <w:vAlign w:val="top"/>
            <w:gridSpan w:val="3"/>
            <w:vMerge w:val="restart"/>
            <w:tcBorders>
              <w:bottom w:val="nil"/>
            </w:tcBorders>
          </w:tcPr>
          <w:p>
            <w:pPr>
              <w:pStyle w:val="TableText"/>
              <w:ind w:left="2185"/>
              <w:spacing w:before="258" w:line="219" w:lineRule="auto"/>
              <w:rPr>
                <w:sz w:val="21"/>
                <w:szCs w:val="21"/>
              </w:rPr>
            </w:pPr>
            <w:r>
              <w:rPr>
                <w:sz w:val="21"/>
                <w:szCs w:val="21"/>
                <w:b/>
                <w:bCs/>
                <w:spacing w:val="-4"/>
              </w:rPr>
              <w:t>涉公共安全，不予公开</w:t>
            </w:r>
          </w:p>
        </w:tc>
        <w:tc>
          <w:tcPr>
            <w:tcW w:w="2159" w:type="dxa"/>
            <w:vAlign w:val="top"/>
            <w:vMerge w:val="continue"/>
            <w:tcBorders>
              <w:top w:val="nil"/>
              <w:bottom w:val="nil"/>
            </w:tcBorders>
          </w:tcPr>
          <w:p>
            <w:pPr>
              <w:rPr>
                <w:rFonts w:ascii="Arial"/>
                <w:sz w:val="21"/>
              </w:rPr>
            </w:pPr>
            <w:r/>
          </w:p>
        </w:tc>
        <w:tc>
          <w:tcPr>
            <w:tcW w:w="799" w:type="dxa"/>
            <w:vAlign w:val="top"/>
            <w:vMerge w:val="continue"/>
            <w:tcBorders>
              <w:top w:val="nil"/>
              <w:bottom w:val="nil"/>
            </w:tcBorders>
          </w:tcPr>
          <w:p>
            <w:pPr>
              <w:rPr>
                <w:rFonts w:ascii="Arial"/>
                <w:sz w:val="21"/>
              </w:rPr>
            </w:pPr>
            <w:r/>
          </w:p>
        </w:tc>
        <w:tc>
          <w:tcPr>
            <w:tcW w:w="1019" w:type="dxa"/>
            <w:vAlign w:val="top"/>
          </w:tcPr>
          <w:p>
            <w:pPr>
              <w:pStyle w:val="TableText"/>
              <w:ind w:left="299"/>
              <w:spacing w:before="61" w:line="219" w:lineRule="auto"/>
              <w:rPr>
                <w:sz w:val="21"/>
                <w:szCs w:val="21"/>
              </w:rPr>
            </w:pPr>
            <w:r>
              <w:rPr>
                <w:sz w:val="21"/>
                <w:szCs w:val="21"/>
                <w:spacing w:val="7"/>
              </w:rPr>
              <w:t>东侧</w:t>
            </w:r>
          </w:p>
        </w:tc>
        <w:tc>
          <w:tcPr>
            <w:tcW w:w="1304" w:type="dxa"/>
            <w:vAlign w:val="top"/>
          </w:tcPr>
          <w:p>
            <w:pPr>
              <w:pStyle w:val="TableText"/>
              <w:ind w:left="489"/>
              <w:spacing w:before="115" w:line="179" w:lineRule="auto"/>
              <w:rPr>
                <w:sz w:val="21"/>
                <w:szCs w:val="21"/>
              </w:rPr>
            </w:pPr>
            <w:r>
              <w:rPr>
                <w:sz w:val="21"/>
                <w:szCs w:val="21"/>
                <w:spacing w:val="-3"/>
              </w:rPr>
              <w:t>310</w:t>
            </w:r>
          </w:p>
        </w:tc>
      </w:tr>
      <w:tr>
        <w:trPr>
          <w:trHeight w:val="389" w:hRule="atLeast"/>
        </w:trPr>
        <w:tc>
          <w:tcPr>
            <w:tcW w:w="784" w:type="dxa"/>
            <w:vAlign w:val="top"/>
            <w:vMerge w:val="continue"/>
            <w:tcBorders>
              <w:top w:val="nil"/>
            </w:tcBorders>
          </w:tcPr>
          <w:p>
            <w:pPr>
              <w:rPr>
                <w:rFonts w:ascii="Arial"/>
                <w:sz w:val="21"/>
              </w:rPr>
            </w:pPr>
            <w:r/>
          </w:p>
        </w:tc>
        <w:tc>
          <w:tcPr>
            <w:tcW w:w="1389" w:type="dxa"/>
            <w:vAlign w:val="top"/>
          </w:tcPr>
          <w:p>
            <w:pPr>
              <w:pStyle w:val="TableText"/>
              <w:ind w:left="370"/>
              <w:spacing w:before="91" w:line="219" w:lineRule="auto"/>
              <w:rPr>
                <w:sz w:val="21"/>
                <w:szCs w:val="21"/>
              </w:rPr>
            </w:pPr>
            <w:r>
              <w:rPr>
                <w:sz w:val="21"/>
                <w:szCs w:val="21"/>
                <w:spacing w:val="-2"/>
              </w:rPr>
              <w:t>池头村</w:t>
            </w:r>
          </w:p>
        </w:tc>
        <w:tc>
          <w:tcPr>
            <w:tcW w:w="6695" w:type="dxa"/>
            <w:vAlign w:val="top"/>
            <w:gridSpan w:val="3"/>
            <w:vMerge w:val="continue"/>
            <w:tcBorders>
              <w:top w:val="nil"/>
            </w:tcBorders>
          </w:tcPr>
          <w:p>
            <w:pPr>
              <w:rPr>
                <w:rFonts w:ascii="Arial"/>
                <w:sz w:val="21"/>
              </w:rPr>
            </w:pPr>
            <w:r/>
          </w:p>
        </w:tc>
        <w:tc>
          <w:tcPr>
            <w:tcW w:w="2159" w:type="dxa"/>
            <w:vAlign w:val="top"/>
            <w:vMerge w:val="continue"/>
            <w:tcBorders>
              <w:top w:val="nil"/>
            </w:tcBorders>
          </w:tcPr>
          <w:p>
            <w:pPr>
              <w:rPr>
                <w:rFonts w:ascii="Arial"/>
                <w:sz w:val="21"/>
              </w:rPr>
            </w:pPr>
            <w:r/>
          </w:p>
        </w:tc>
        <w:tc>
          <w:tcPr>
            <w:tcW w:w="799" w:type="dxa"/>
            <w:vAlign w:val="top"/>
            <w:vMerge w:val="continue"/>
            <w:tcBorders>
              <w:top w:val="nil"/>
            </w:tcBorders>
          </w:tcPr>
          <w:p>
            <w:pPr>
              <w:rPr>
                <w:rFonts w:ascii="Arial"/>
                <w:sz w:val="21"/>
              </w:rPr>
            </w:pPr>
            <w:r/>
          </w:p>
        </w:tc>
        <w:tc>
          <w:tcPr>
            <w:tcW w:w="1019" w:type="dxa"/>
            <w:vAlign w:val="top"/>
          </w:tcPr>
          <w:p>
            <w:pPr>
              <w:pStyle w:val="TableText"/>
              <w:ind w:left="189"/>
              <w:spacing w:before="92" w:line="219" w:lineRule="auto"/>
              <w:rPr>
                <w:sz w:val="21"/>
                <w:szCs w:val="21"/>
              </w:rPr>
            </w:pPr>
            <w:r>
              <w:rPr>
                <w:sz w:val="21"/>
                <w:szCs w:val="21"/>
                <w:spacing w:val="4"/>
              </w:rPr>
              <w:t>东北侧</w:t>
            </w:r>
          </w:p>
        </w:tc>
        <w:tc>
          <w:tcPr>
            <w:tcW w:w="1304" w:type="dxa"/>
            <w:vAlign w:val="top"/>
          </w:tcPr>
          <w:p>
            <w:pPr>
              <w:pStyle w:val="TableText"/>
              <w:ind w:left="489"/>
              <w:spacing w:before="146" w:line="183" w:lineRule="auto"/>
              <w:rPr>
                <w:sz w:val="21"/>
                <w:szCs w:val="21"/>
              </w:rPr>
            </w:pPr>
            <w:r>
              <w:rPr>
                <w:sz w:val="21"/>
                <w:szCs w:val="21"/>
                <w:spacing w:val="-3"/>
              </w:rPr>
              <w:t>290</w:t>
            </w:r>
          </w:p>
        </w:tc>
      </w:tr>
      <w:tr>
        <w:trPr>
          <w:trHeight w:val="359" w:hRule="atLeast"/>
        </w:trPr>
        <w:tc>
          <w:tcPr>
            <w:tcW w:w="784" w:type="dxa"/>
            <w:vAlign w:val="top"/>
            <w:vMerge w:val="restart"/>
            <w:tcBorders>
              <w:bottom w:val="nil"/>
            </w:tcBorders>
          </w:tcPr>
          <w:p>
            <w:pPr>
              <w:spacing w:line="255" w:lineRule="auto"/>
              <w:rPr>
                <w:rFonts w:ascii="Arial"/>
                <w:sz w:val="21"/>
              </w:rPr>
            </w:pPr>
            <w:r/>
          </w:p>
          <w:p>
            <w:pPr>
              <w:pStyle w:val="TableText"/>
              <w:ind w:left="175"/>
              <w:spacing w:before="68" w:line="228" w:lineRule="auto"/>
              <w:rPr>
                <w:sz w:val="21"/>
                <w:szCs w:val="21"/>
              </w:rPr>
            </w:pPr>
            <w:r>
              <w:rPr>
                <w:sz w:val="21"/>
                <w:szCs w:val="21"/>
                <w:spacing w:val="5"/>
              </w:rPr>
              <w:t>声环</w:t>
            </w:r>
          </w:p>
          <w:p>
            <w:pPr>
              <w:pStyle w:val="TableText"/>
              <w:ind w:left="275"/>
              <w:spacing w:line="220" w:lineRule="auto"/>
              <w:rPr>
                <w:sz w:val="21"/>
                <w:szCs w:val="21"/>
              </w:rPr>
            </w:pPr>
            <w:r>
              <w:rPr>
                <w:sz w:val="21"/>
                <w:szCs w:val="21"/>
              </w:rPr>
              <w:t>境</w:t>
            </w:r>
          </w:p>
        </w:tc>
        <w:tc>
          <w:tcPr>
            <w:tcW w:w="1389" w:type="dxa"/>
            <w:vAlign w:val="top"/>
          </w:tcPr>
          <w:p>
            <w:pPr>
              <w:pStyle w:val="TableText"/>
              <w:ind w:left="260"/>
              <w:spacing w:before="82" w:line="219" w:lineRule="auto"/>
              <w:rPr>
                <w:sz w:val="21"/>
                <w:szCs w:val="21"/>
              </w:rPr>
            </w:pPr>
            <w:r>
              <w:rPr>
                <w:sz w:val="21"/>
                <w:szCs w:val="21"/>
                <w:spacing w:val="-2"/>
              </w:rPr>
              <w:t>石雷洋村</w:t>
            </w:r>
          </w:p>
        </w:tc>
        <w:tc>
          <w:tcPr>
            <w:tcW w:w="2418" w:type="dxa"/>
            <w:vAlign w:val="top"/>
          </w:tcPr>
          <w:p>
            <w:pPr>
              <w:rPr>
                <w:rFonts w:ascii="Arial"/>
                <w:sz w:val="21"/>
              </w:rPr>
            </w:pPr>
            <w:r/>
          </w:p>
        </w:tc>
        <w:tc>
          <w:tcPr>
            <w:tcW w:w="2438" w:type="dxa"/>
            <w:vAlign w:val="top"/>
          </w:tcPr>
          <w:p>
            <w:pPr>
              <w:rPr>
                <w:rFonts w:ascii="Arial"/>
                <w:sz w:val="21"/>
              </w:rPr>
            </w:pPr>
            <w:r/>
          </w:p>
        </w:tc>
        <w:tc>
          <w:tcPr>
            <w:tcW w:w="1839" w:type="dxa"/>
            <w:vAlign w:val="top"/>
          </w:tcPr>
          <w:p>
            <w:pPr>
              <w:rPr>
                <w:rFonts w:ascii="Arial"/>
                <w:sz w:val="21"/>
              </w:rPr>
            </w:pPr>
            <w:r/>
          </w:p>
        </w:tc>
        <w:tc>
          <w:tcPr>
            <w:tcW w:w="2159" w:type="dxa"/>
            <w:vAlign w:val="top"/>
            <w:vMerge w:val="restart"/>
            <w:tcBorders>
              <w:bottom w:val="nil"/>
            </w:tcBorders>
          </w:tcPr>
          <w:p>
            <w:pPr>
              <w:pStyle w:val="TableText"/>
              <w:ind w:left="126"/>
              <w:spacing w:before="53" w:line="219" w:lineRule="auto"/>
              <w:rPr>
                <w:sz w:val="21"/>
                <w:szCs w:val="21"/>
              </w:rPr>
            </w:pPr>
            <w:r>
              <w:rPr>
                <w:sz w:val="21"/>
                <w:szCs w:val="21"/>
                <w:spacing w:val="1"/>
              </w:rPr>
              <w:t>声环境质量符合《声</w:t>
            </w:r>
          </w:p>
          <w:p>
            <w:pPr>
              <w:pStyle w:val="TableText"/>
              <w:ind w:left="386"/>
              <w:spacing w:before="31" w:line="220" w:lineRule="auto"/>
              <w:rPr>
                <w:sz w:val="21"/>
                <w:szCs w:val="21"/>
              </w:rPr>
            </w:pPr>
            <w:r>
              <w:rPr>
                <w:sz w:val="21"/>
                <w:szCs w:val="21"/>
              </w:rPr>
              <w:t>环境质量标准》</w:t>
            </w:r>
          </w:p>
          <w:p>
            <w:pPr>
              <w:pStyle w:val="TableText"/>
              <w:ind w:left="236"/>
              <w:spacing w:before="29" w:line="210" w:lineRule="auto"/>
              <w:rPr>
                <w:sz w:val="21"/>
                <w:szCs w:val="21"/>
              </w:rPr>
            </w:pPr>
            <w:r>
              <w:rPr>
                <w:sz w:val="21"/>
                <w:szCs w:val="21"/>
                <w:spacing w:val="1"/>
              </w:rPr>
              <w:t>(</w:t>
            </w:r>
            <w:r>
              <w:rPr>
                <w:sz w:val="21"/>
                <w:szCs w:val="21"/>
              </w:rPr>
              <w:t>GB</w:t>
            </w:r>
            <w:r>
              <w:rPr>
                <w:sz w:val="21"/>
                <w:szCs w:val="21"/>
                <w:spacing w:val="1"/>
              </w:rPr>
              <w:t>3096-2008)中2</w:t>
            </w:r>
          </w:p>
          <w:p>
            <w:pPr>
              <w:pStyle w:val="TableText"/>
              <w:ind w:left="546"/>
              <w:spacing w:line="196" w:lineRule="auto"/>
              <w:rPr>
                <w:sz w:val="21"/>
                <w:szCs w:val="21"/>
              </w:rPr>
            </w:pPr>
            <w:r>
              <w:rPr>
                <w:sz w:val="21"/>
                <w:szCs w:val="21"/>
                <w:spacing w:val="-2"/>
              </w:rPr>
              <w:t>类标准要求</w:t>
            </w:r>
          </w:p>
        </w:tc>
        <w:tc>
          <w:tcPr>
            <w:tcW w:w="799" w:type="dxa"/>
            <w:vAlign w:val="top"/>
            <w:vMerge w:val="restart"/>
            <w:tcBorders>
              <w:bottom w:val="nil"/>
            </w:tcBorders>
          </w:tcPr>
          <w:p>
            <w:pPr>
              <w:spacing w:line="373" w:lineRule="auto"/>
              <w:rPr>
                <w:rFonts w:ascii="Arial"/>
                <w:sz w:val="21"/>
              </w:rPr>
            </w:pPr>
            <w:r/>
          </w:p>
          <w:p>
            <w:pPr>
              <w:pStyle w:val="TableText"/>
              <w:ind w:left="128"/>
              <w:spacing w:before="68" w:line="219" w:lineRule="auto"/>
              <w:rPr>
                <w:sz w:val="21"/>
                <w:szCs w:val="21"/>
              </w:rPr>
            </w:pPr>
            <w:r>
              <w:rPr>
                <w:sz w:val="21"/>
                <w:szCs w:val="21"/>
                <w:spacing w:val="7"/>
              </w:rPr>
              <w:t>2类区</w:t>
            </w:r>
          </w:p>
        </w:tc>
        <w:tc>
          <w:tcPr>
            <w:tcW w:w="1019" w:type="dxa"/>
            <w:vAlign w:val="top"/>
          </w:tcPr>
          <w:p>
            <w:pPr>
              <w:pStyle w:val="TableText"/>
              <w:ind w:left="299"/>
              <w:spacing w:before="83" w:line="219" w:lineRule="auto"/>
              <w:rPr>
                <w:sz w:val="21"/>
                <w:szCs w:val="21"/>
              </w:rPr>
            </w:pPr>
            <w:r>
              <w:rPr>
                <w:sz w:val="21"/>
                <w:szCs w:val="21"/>
                <w:spacing w:val="7"/>
              </w:rPr>
              <w:t>南侧</w:t>
            </w:r>
          </w:p>
        </w:tc>
        <w:tc>
          <w:tcPr>
            <w:tcW w:w="1304" w:type="dxa"/>
            <w:vAlign w:val="top"/>
          </w:tcPr>
          <w:p>
            <w:pPr>
              <w:pStyle w:val="TableText"/>
              <w:ind w:left="489"/>
              <w:spacing w:before="137" w:line="183" w:lineRule="auto"/>
              <w:rPr>
                <w:sz w:val="21"/>
                <w:szCs w:val="21"/>
              </w:rPr>
            </w:pPr>
            <w:r>
              <w:rPr>
                <w:sz w:val="21"/>
                <w:szCs w:val="21"/>
                <w:spacing w:val="-3"/>
              </w:rPr>
              <w:t>500</w:t>
            </w:r>
          </w:p>
        </w:tc>
      </w:tr>
      <w:tr>
        <w:trPr>
          <w:trHeight w:val="718" w:hRule="atLeast"/>
        </w:trPr>
        <w:tc>
          <w:tcPr>
            <w:tcW w:w="784" w:type="dxa"/>
            <w:vAlign w:val="top"/>
            <w:vMerge w:val="continue"/>
            <w:tcBorders>
              <w:top w:val="nil"/>
            </w:tcBorders>
          </w:tcPr>
          <w:p>
            <w:pPr>
              <w:rPr>
                <w:rFonts w:ascii="Arial"/>
                <w:sz w:val="21"/>
              </w:rPr>
            </w:pPr>
            <w:r/>
          </w:p>
        </w:tc>
        <w:tc>
          <w:tcPr>
            <w:tcW w:w="1389" w:type="dxa"/>
            <w:vAlign w:val="top"/>
          </w:tcPr>
          <w:p>
            <w:pPr>
              <w:pStyle w:val="TableText"/>
              <w:ind w:left="370"/>
              <w:spacing w:before="263" w:line="219" w:lineRule="auto"/>
              <w:rPr>
                <w:sz w:val="21"/>
                <w:szCs w:val="21"/>
              </w:rPr>
            </w:pPr>
            <w:r>
              <w:rPr>
                <w:sz w:val="21"/>
                <w:szCs w:val="21"/>
                <w:spacing w:val="3"/>
              </w:rPr>
              <w:t>大沙村</w:t>
            </w:r>
          </w:p>
        </w:tc>
        <w:tc>
          <w:tcPr>
            <w:tcW w:w="2418" w:type="dxa"/>
            <w:vAlign w:val="top"/>
          </w:tcPr>
          <w:p>
            <w:pPr>
              <w:rPr>
                <w:rFonts w:ascii="Arial"/>
                <w:sz w:val="21"/>
              </w:rPr>
            </w:pPr>
            <w:r/>
          </w:p>
        </w:tc>
        <w:tc>
          <w:tcPr>
            <w:tcW w:w="2438" w:type="dxa"/>
            <w:vAlign w:val="top"/>
          </w:tcPr>
          <w:p>
            <w:pPr>
              <w:rPr>
                <w:rFonts w:ascii="Arial"/>
                <w:sz w:val="21"/>
              </w:rPr>
            </w:pPr>
            <w:r/>
          </w:p>
        </w:tc>
        <w:tc>
          <w:tcPr>
            <w:tcW w:w="1839" w:type="dxa"/>
            <w:vAlign w:val="top"/>
          </w:tcPr>
          <w:p>
            <w:pPr>
              <w:rPr>
                <w:rFonts w:ascii="Arial"/>
                <w:sz w:val="21"/>
              </w:rPr>
            </w:pPr>
            <w:r/>
          </w:p>
        </w:tc>
        <w:tc>
          <w:tcPr>
            <w:tcW w:w="2159" w:type="dxa"/>
            <w:vAlign w:val="top"/>
            <w:vMerge w:val="continue"/>
            <w:tcBorders>
              <w:top w:val="nil"/>
            </w:tcBorders>
          </w:tcPr>
          <w:p>
            <w:pPr>
              <w:rPr>
                <w:rFonts w:ascii="Arial"/>
                <w:sz w:val="21"/>
              </w:rPr>
            </w:pPr>
            <w:r/>
          </w:p>
        </w:tc>
        <w:tc>
          <w:tcPr>
            <w:tcW w:w="799" w:type="dxa"/>
            <w:vAlign w:val="top"/>
            <w:vMerge w:val="continue"/>
            <w:tcBorders>
              <w:top w:val="nil"/>
            </w:tcBorders>
          </w:tcPr>
          <w:p>
            <w:pPr>
              <w:rPr>
                <w:rFonts w:ascii="Arial"/>
                <w:sz w:val="21"/>
              </w:rPr>
            </w:pPr>
            <w:r/>
          </w:p>
        </w:tc>
        <w:tc>
          <w:tcPr>
            <w:tcW w:w="1019" w:type="dxa"/>
            <w:vAlign w:val="top"/>
          </w:tcPr>
          <w:p>
            <w:pPr>
              <w:pStyle w:val="TableText"/>
              <w:ind w:left="299"/>
              <w:spacing w:before="264" w:line="219" w:lineRule="auto"/>
              <w:rPr>
                <w:sz w:val="21"/>
                <w:szCs w:val="21"/>
              </w:rPr>
            </w:pPr>
            <w:r>
              <w:rPr>
                <w:sz w:val="21"/>
                <w:szCs w:val="21"/>
                <w:spacing w:val="7"/>
              </w:rPr>
              <w:t>东侧</w:t>
            </w:r>
          </w:p>
        </w:tc>
        <w:tc>
          <w:tcPr>
            <w:tcW w:w="1304" w:type="dxa"/>
            <w:vAlign w:val="top"/>
          </w:tcPr>
          <w:p>
            <w:pPr>
              <w:spacing w:line="247" w:lineRule="auto"/>
              <w:rPr>
                <w:rFonts w:ascii="Arial"/>
                <w:sz w:val="21"/>
              </w:rPr>
            </w:pPr>
            <w:r/>
          </w:p>
          <w:p>
            <w:pPr>
              <w:pStyle w:val="TableText"/>
              <w:ind w:left="489"/>
              <w:spacing w:before="69" w:line="184" w:lineRule="auto"/>
              <w:rPr>
                <w:sz w:val="21"/>
                <w:szCs w:val="21"/>
              </w:rPr>
            </w:pPr>
            <w:r>
              <w:rPr>
                <w:sz w:val="21"/>
                <w:szCs w:val="21"/>
                <w:spacing w:val="-3"/>
              </w:rPr>
              <w:t>310</w:t>
            </w:r>
          </w:p>
        </w:tc>
      </w:tr>
      <w:tr>
        <w:trPr>
          <w:trHeight w:val="529" w:hRule="atLeast"/>
        </w:trPr>
        <w:tc>
          <w:tcPr>
            <w:tcW w:w="784" w:type="dxa"/>
            <w:vAlign w:val="top"/>
          </w:tcPr>
          <w:p>
            <w:pPr>
              <w:pStyle w:val="TableText"/>
              <w:ind w:left="175"/>
              <w:spacing w:before="48" w:line="218" w:lineRule="auto"/>
              <w:rPr>
                <w:sz w:val="21"/>
                <w:szCs w:val="21"/>
              </w:rPr>
            </w:pPr>
            <w:r>
              <w:rPr>
                <w:sz w:val="21"/>
                <w:szCs w:val="21"/>
                <w:spacing w:val="6"/>
              </w:rPr>
              <w:t>地下</w:t>
            </w:r>
          </w:p>
          <w:p>
            <w:pPr>
              <w:pStyle w:val="TableText"/>
              <w:ind w:left="275"/>
              <w:spacing w:line="195" w:lineRule="auto"/>
              <w:rPr>
                <w:sz w:val="21"/>
                <w:szCs w:val="21"/>
              </w:rPr>
            </w:pPr>
            <w:r>
              <w:rPr>
                <w:sz w:val="21"/>
                <w:szCs w:val="21"/>
              </w:rPr>
              <w:t>水</w:t>
            </w:r>
          </w:p>
        </w:tc>
        <w:tc>
          <w:tcPr>
            <w:tcW w:w="13365" w:type="dxa"/>
            <w:vAlign w:val="top"/>
            <w:gridSpan w:val="8"/>
          </w:tcPr>
          <w:p>
            <w:pPr>
              <w:pStyle w:val="TableText"/>
              <w:ind w:left="130"/>
              <w:spacing w:before="165" w:line="219" w:lineRule="auto"/>
              <w:rPr>
                <w:sz w:val="21"/>
                <w:szCs w:val="21"/>
              </w:rPr>
            </w:pPr>
            <w:r>
              <w:rPr>
                <w:sz w:val="21"/>
                <w:szCs w:val="21"/>
              </w:rPr>
              <w:t>本项目厂界外500m范围内，不涉及地下水集中式饮用水水源和热水、矿泉水、</w:t>
            </w:r>
            <w:r>
              <w:rPr>
                <w:sz w:val="21"/>
                <w:szCs w:val="21"/>
                <w:spacing w:val="-1"/>
              </w:rPr>
              <w:t>温泉等特殊地下水资源</w:t>
            </w:r>
          </w:p>
        </w:tc>
      </w:tr>
      <w:tr>
        <w:trPr>
          <w:trHeight w:val="559" w:hRule="atLeast"/>
        </w:trPr>
        <w:tc>
          <w:tcPr>
            <w:tcW w:w="784" w:type="dxa"/>
            <w:vAlign w:val="top"/>
          </w:tcPr>
          <w:p>
            <w:pPr>
              <w:pStyle w:val="TableText"/>
              <w:ind w:left="175"/>
              <w:spacing w:before="73" w:line="233" w:lineRule="auto"/>
              <w:rPr>
                <w:sz w:val="21"/>
                <w:szCs w:val="21"/>
              </w:rPr>
            </w:pPr>
            <w:r>
              <w:rPr>
                <w:sz w:val="21"/>
                <w:szCs w:val="21"/>
                <w:spacing w:val="5"/>
              </w:rPr>
              <w:t>生态</w:t>
            </w:r>
          </w:p>
          <w:p>
            <w:pPr>
              <w:pStyle w:val="TableText"/>
              <w:ind w:left="175"/>
              <w:spacing w:line="185" w:lineRule="auto"/>
              <w:rPr>
                <w:sz w:val="21"/>
                <w:szCs w:val="21"/>
              </w:rPr>
            </w:pPr>
            <w:r>
              <w:rPr>
                <w:sz w:val="21"/>
                <w:szCs w:val="21"/>
                <w:spacing w:val="-3"/>
              </w:rPr>
              <w:t>环境</w:t>
            </w:r>
          </w:p>
        </w:tc>
        <w:tc>
          <w:tcPr>
            <w:tcW w:w="13365" w:type="dxa"/>
            <w:vAlign w:val="top"/>
            <w:gridSpan w:val="8"/>
          </w:tcPr>
          <w:p>
            <w:pPr>
              <w:pStyle w:val="TableText"/>
              <w:ind w:left="130"/>
              <w:spacing w:before="186" w:line="219" w:lineRule="auto"/>
              <w:rPr>
                <w:sz w:val="21"/>
                <w:szCs w:val="21"/>
              </w:rPr>
            </w:pPr>
            <w:r>
              <w:rPr>
                <w:sz w:val="21"/>
                <w:szCs w:val="21"/>
              </w:rPr>
              <w:t>本项目位于宁德市霞浦县经济开发区长富路6号，为霞浦经济开发区内用地</w:t>
            </w:r>
            <w:r>
              <w:rPr>
                <w:sz w:val="21"/>
                <w:szCs w:val="21"/>
                <w:spacing w:val="-1"/>
              </w:rPr>
              <w:t>，无生态环境保护目标</w:t>
            </w:r>
          </w:p>
        </w:tc>
      </w:tr>
      <w:tr>
        <w:trPr>
          <w:trHeight w:val="334" w:hRule="atLeast"/>
        </w:trPr>
        <w:tc>
          <w:tcPr>
            <w:tcW w:w="14149" w:type="dxa"/>
            <w:vAlign w:val="top"/>
            <w:gridSpan w:val="9"/>
          </w:tcPr>
          <w:p>
            <w:pPr>
              <w:pStyle w:val="TableText"/>
              <w:ind w:left="145"/>
              <w:spacing w:before="65" w:line="216" w:lineRule="auto"/>
              <w:rPr>
                <w:sz w:val="21"/>
                <w:szCs w:val="21"/>
              </w:rPr>
            </w:pPr>
            <w:r>
              <w:rPr>
                <w:sz w:val="21"/>
                <w:szCs w:val="21"/>
              </w:rPr>
              <w:t>备注：以项目所在厂区的南侧厂界最南角为</w:t>
            </w:r>
            <w:r>
              <w:rPr>
                <w:sz w:val="21"/>
                <w:szCs w:val="21"/>
                <w:spacing w:val="-1"/>
              </w:rPr>
              <w:t>原点(0,0)的相对坐标</w:t>
            </w:r>
          </w:p>
        </w:tc>
      </w:tr>
    </w:tbl>
    <w:p>
      <w:pPr>
        <w:spacing w:line="402" w:lineRule="auto"/>
        <w:rPr>
          <w:rFonts w:ascii="Arial"/>
          <w:sz w:val="21"/>
        </w:rPr>
      </w:pPr>
      <w:r/>
    </w:p>
    <w:p>
      <w:pPr>
        <w:pStyle w:val="BodyText"/>
        <w:ind w:left="4558"/>
        <w:spacing w:before="74" w:line="218" w:lineRule="auto"/>
        <w:rPr>
          <w:sz w:val="23"/>
          <w:szCs w:val="23"/>
        </w:rPr>
      </w:pPr>
      <w:r>
        <w:rPr>
          <w:sz w:val="23"/>
          <w:szCs w:val="23"/>
          <w:b/>
          <w:bCs/>
          <w:spacing w:val="4"/>
        </w:rPr>
        <w:t>表3.4-2</w:t>
      </w:r>
      <w:r>
        <w:rPr>
          <w:sz w:val="23"/>
          <w:szCs w:val="23"/>
          <w:spacing w:val="115"/>
        </w:rPr>
        <w:t xml:space="preserve"> </w:t>
      </w:r>
      <w:r>
        <w:rPr>
          <w:sz w:val="23"/>
          <w:szCs w:val="23"/>
          <w:b/>
          <w:bCs/>
          <w:spacing w:val="4"/>
        </w:rPr>
        <w:t>项目环境风险评价环境敏感目标一览表</w:t>
      </w:r>
    </w:p>
    <w:p>
      <w:pPr>
        <w:spacing w:line="159" w:lineRule="exact"/>
        <w:rPr/>
      </w:pPr>
      <w:r/>
    </w:p>
    <w:tbl>
      <w:tblPr>
        <w:tblStyle w:val="TableNormal"/>
        <w:tblW w:w="1414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85"/>
        <w:gridCol w:w="2149"/>
        <w:gridCol w:w="2418"/>
        <w:gridCol w:w="2358"/>
        <w:gridCol w:w="1279"/>
        <w:gridCol w:w="1279"/>
        <w:gridCol w:w="1839"/>
        <w:gridCol w:w="2133"/>
      </w:tblGrid>
      <w:tr>
        <w:trPr>
          <w:trHeight w:val="413" w:hRule="atLeast"/>
        </w:trPr>
        <w:tc>
          <w:tcPr>
            <w:tcW w:w="685" w:type="dxa"/>
            <w:vAlign w:val="top"/>
            <w:vMerge w:val="restart"/>
            <w:tcBorders>
              <w:bottom w:val="nil"/>
            </w:tcBorders>
          </w:tcPr>
          <w:p>
            <w:pPr>
              <w:pStyle w:val="TableText"/>
              <w:ind w:left="125"/>
              <w:spacing w:before="154" w:line="279" w:lineRule="exact"/>
              <w:rPr>
                <w:sz w:val="21"/>
                <w:szCs w:val="21"/>
              </w:rPr>
            </w:pPr>
            <w:r>
              <w:rPr>
                <w:sz w:val="21"/>
                <w:szCs w:val="21"/>
                <w:spacing w:val="-3"/>
                <w:position w:val="4"/>
              </w:rPr>
              <w:t>环境</w:t>
            </w:r>
          </w:p>
          <w:p>
            <w:pPr>
              <w:pStyle w:val="TableText"/>
              <w:ind w:left="125"/>
              <w:spacing w:line="219" w:lineRule="auto"/>
              <w:rPr>
                <w:sz w:val="21"/>
                <w:szCs w:val="21"/>
              </w:rPr>
            </w:pPr>
            <w:r>
              <w:rPr>
                <w:sz w:val="21"/>
                <w:szCs w:val="21"/>
                <w:spacing w:val="-3"/>
              </w:rPr>
              <w:t>要素</w:t>
            </w:r>
          </w:p>
        </w:tc>
        <w:tc>
          <w:tcPr>
            <w:tcW w:w="2149" w:type="dxa"/>
            <w:vAlign w:val="top"/>
            <w:vMerge w:val="restart"/>
            <w:tcBorders>
              <w:bottom w:val="nil"/>
            </w:tcBorders>
          </w:tcPr>
          <w:p>
            <w:pPr>
              <w:pStyle w:val="TableText"/>
              <w:ind w:left="430"/>
              <w:spacing w:before="293" w:line="219" w:lineRule="auto"/>
              <w:rPr>
                <w:sz w:val="21"/>
                <w:szCs w:val="21"/>
              </w:rPr>
            </w:pPr>
            <w:r>
              <w:rPr>
                <w:sz w:val="21"/>
                <w:szCs w:val="21"/>
                <w:spacing w:val="-2"/>
              </w:rPr>
              <w:t>敏感目标名称</w:t>
            </w:r>
          </w:p>
        </w:tc>
        <w:tc>
          <w:tcPr>
            <w:tcW w:w="4776" w:type="dxa"/>
            <w:vAlign w:val="top"/>
            <w:gridSpan w:val="2"/>
          </w:tcPr>
          <w:p>
            <w:pPr>
              <w:pStyle w:val="TableText"/>
              <w:ind w:left="2191"/>
              <w:spacing w:before="104" w:line="220" w:lineRule="auto"/>
              <w:rPr>
                <w:sz w:val="21"/>
                <w:szCs w:val="21"/>
              </w:rPr>
            </w:pPr>
            <w:r>
              <w:rPr>
                <w:sz w:val="21"/>
                <w:szCs w:val="21"/>
                <w:spacing w:val="-3"/>
              </w:rPr>
              <w:t>坐标</w:t>
            </w:r>
          </w:p>
        </w:tc>
        <w:tc>
          <w:tcPr>
            <w:tcW w:w="1279" w:type="dxa"/>
            <w:vAlign w:val="top"/>
            <w:vMerge w:val="restart"/>
            <w:tcBorders>
              <w:bottom w:val="nil"/>
            </w:tcBorders>
          </w:tcPr>
          <w:p>
            <w:pPr>
              <w:pStyle w:val="TableText"/>
              <w:ind w:left="245"/>
              <w:spacing w:before="293" w:line="219" w:lineRule="auto"/>
              <w:rPr>
                <w:sz w:val="21"/>
                <w:szCs w:val="21"/>
              </w:rPr>
            </w:pPr>
            <w:r>
              <w:rPr>
                <w:sz w:val="21"/>
                <w:szCs w:val="21"/>
                <w:spacing w:val="-2"/>
              </w:rPr>
              <w:t>保护对象</w:t>
            </w:r>
          </w:p>
        </w:tc>
        <w:tc>
          <w:tcPr>
            <w:tcW w:w="1279" w:type="dxa"/>
            <w:vAlign w:val="top"/>
            <w:vMerge w:val="restart"/>
            <w:tcBorders>
              <w:bottom w:val="nil"/>
            </w:tcBorders>
          </w:tcPr>
          <w:p>
            <w:pPr>
              <w:pStyle w:val="TableText"/>
              <w:ind w:left="106"/>
              <w:spacing w:before="294" w:line="220" w:lineRule="auto"/>
              <w:rPr>
                <w:sz w:val="21"/>
                <w:szCs w:val="21"/>
              </w:rPr>
            </w:pPr>
            <w:r>
              <w:rPr>
                <w:sz w:val="21"/>
                <w:szCs w:val="21"/>
                <w:spacing w:val="3"/>
              </w:rPr>
              <w:t>环境功能区</w:t>
            </w:r>
          </w:p>
        </w:tc>
        <w:tc>
          <w:tcPr>
            <w:tcW w:w="1839" w:type="dxa"/>
            <w:vAlign w:val="top"/>
            <w:vMerge w:val="restart"/>
            <w:tcBorders>
              <w:bottom w:val="nil"/>
            </w:tcBorders>
          </w:tcPr>
          <w:p>
            <w:pPr>
              <w:pStyle w:val="TableText"/>
              <w:ind w:left="707" w:right="171" w:hanging="530"/>
              <w:spacing w:before="165" w:line="229" w:lineRule="auto"/>
              <w:rPr>
                <w:sz w:val="21"/>
                <w:szCs w:val="21"/>
              </w:rPr>
            </w:pPr>
            <w:r>
              <w:rPr>
                <w:sz w:val="21"/>
                <w:szCs w:val="21"/>
                <w:spacing w:val="1"/>
              </w:rPr>
              <w:t>与项目相对厂址</w:t>
            </w:r>
            <w:r>
              <w:rPr>
                <w:sz w:val="21"/>
                <w:szCs w:val="21"/>
                <w:spacing w:val="2"/>
              </w:rPr>
              <w:t xml:space="preserve"> </w:t>
            </w:r>
            <w:r>
              <w:rPr>
                <w:sz w:val="21"/>
                <w:szCs w:val="21"/>
                <w:spacing w:val="-3"/>
              </w:rPr>
              <w:t>方位</w:t>
            </w:r>
          </w:p>
        </w:tc>
        <w:tc>
          <w:tcPr>
            <w:tcW w:w="2133" w:type="dxa"/>
            <w:vAlign w:val="top"/>
            <w:vMerge w:val="restart"/>
            <w:tcBorders>
              <w:bottom w:val="nil"/>
            </w:tcBorders>
          </w:tcPr>
          <w:p>
            <w:pPr>
              <w:pStyle w:val="TableText"/>
              <w:ind w:left="957" w:right="68" w:hanging="839"/>
              <w:spacing w:before="174" w:line="233" w:lineRule="auto"/>
              <w:rPr>
                <w:sz w:val="21"/>
                <w:szCs w:val="21"/>
              </w:rPr>
            </w:pPr>
            <w:r>
              <w:rPr>
                <w:sz w:val="21"/>
                <w:szCs w:val="21"/>
                <w:spacing w:val="4"/>
              </w:rPr>
              <w:t>相对厂界距离(最近)</w:t>
            </w:r>
            <w:r>
              <w:rPr>
                <w:sz w:val="21"/>
                <w:szCs w:val="21"/>
                <w:spacing w:val="5"/>
              </w:rPr>
              <w:t xml:space="preserve"> </w:t>
            </w:r>
            <w:r>
              <w:rPr>
                <w:sz w:val="21"/>
                <w:szCs w:val="21"/>
                <w:spacing w:val="-2"/>
              </w:rPr>
              <w:t>/m</w:t>
            </w:r>
          </w:p>
        </w:tc>
      </w:tr>
      <w:tr>
        <w:trPr>
          <w:trHeight w:val="358" w:hRule="atLeast"/>
        </w:trPr>
        <w:tc>
          <w:tcPr>
            <w:tcW w:w="685" w:type="dxa"/>
            <w:vAlign w:val="top"/>
            <w:vMerge w:val="continue"/>
            <w:tcBorders>
              <w:top w:val="nil"/>
            </w:tcBorders>
          </w:tcPr>
          <w:p>
            <w:pPr>
              <w:rPr>
                <w:rFonts w:ascii="Arial"/>
                <w:sz w:val="21"/>
              </w:rPr>
            </w:pPr>
            <w:r/>
          </w:p>
        </w:tc>
        <w:tc>
          <w:tcPr>
            <w:tcW w:w="2149" w:type="dxa"/>
            <w:vAlign w:val="top"/>
            <w:vMerge w:val="continue"/>
            <w:tcBorders>
              <w:top w:val="nil"/>
            </w:tcBorders>
          </w:tcPr>
          <w:p>
            <w:pPr>
              <w:rPr>
                <w:rFonts w:ascii="Arial"/>
                <w:sz w:val="21"/>
              </w:rPr>
            </w:pPr>
            <w:r/>
          </w:p>
        </w:tc>
        <w:tc>
          <w:tcPr>
            <w:tcW w:w="2418" w:type="dxa"/>
            <w:vAlign w:val="top"/>
          </w:tcPr>
          <w:p>
            <w:pPr>
              <w:pStyle w:val="TableText"/>
              <w:ind w:left="991"/>
              <w:spacing w:before="81" w:line="220" w:lineRule="auto"/>
              <w:rPr>
                <w:sz w:val="21"/>
                <w:szCs w:val="21"/>
              </w:rPr>
            </w:pPr>
            <w:r>
              <w:rPr>
                <w:sz w:val="21"/>
                <w:szCs w:val="21"/>
                <w:spacing w:val="6"/>
              </w:rPr>
              <w:t>经度</w:t>
            </w:r>
          </w:p>
        </w:tc>
        <w:tc>
          <w:tcPr>
            <w:tcW w:w="2358" w:type="dxa"/>
            <w:vAlign w:val="top"/>
          </w:tcPr>
          <w:p>
            <w:pPr>
              <w:pStyle w:val="TableText"/>
              <w:ind w:left="1103"/>
              <w:spacing w:before="81" w:line="220" w:lineRule="auto"/>
              <w:rPr>
                <w:sz w:val="21"/>
                <w:szCs w:val="21"/>
              </w:rPr>
            </w:pPr>
            <w:r>
              <w:rPr>
                <w:sz w:val="21"/>
                <w:szCs w:val="21"/>
                <w:spacing w:val="6"/>
              </w:rPr>
              <w:t>纬度</w:t>
            </w:r>
          </w:p>
        </w:tc>
        <w:tc>
          <w:tcPr>
            <w:tcW w:w="1279" w:type="dxa"/>
            <w:vAlign w:val="top"/>
            <w:vMerge w:val="continue"/>
            <w:tcBorders>
              <w:top w:val="nil"/>
            </w:tcBorders>
          </w:tcPr>
          <w:p>
            <w:pPr>
              <w:rPr>
                <w:rFonts w:ascii="Arial"/>
                <w:sz w:val="21"/>
              </w:rPr>
            </w:pPr>
            <w:r/>
          </w:p>
        </w:tc>
        <w:tc>
          <w:tcPr>
            <w:tcW w:w="1279" w:type="dxa"/>
            <w:vAlign w:val="top"/>
            <w:vMerge w:val="continue"/>
            <w:tcBorders>
              <w:top w:val="nil"/>
            </w:tcBorders>
          </w:tcPr>
          <w:p>
            <w:pPr>
              <w:rPr>
                <w:rFonts w:ascii="Arial"/>
                <w:sz w:val="21"/>
              </w:rPr>
            </w:pPr>
            <w:r/>
          </w:p>
        </w:tc>
        <w:tc>
          <w:tcPr>
            <w:tcW w:w="1839" w:type="dxa"/>
            <w:vAlign w:val="top"/>
            <w:vMerge w:val="continue"/>
            <w:tcBorders>
              <w:top w:val="nil"/>
            </w:tcBorders>
          </w:tcPr>
          <w:p>
            <w:pPr>
              <w:rPr>
                <w:rFonts w:ascii="Arial"/>
                <w:sz w:val="21"/>
              </w:rPr>
            </w:pPr>
            <w:r/>
          </w:p>
        </w:tc>
        <w:tc>
          <w:tcPr>
            <w:tcW w:w="2133" w:type="dxa"/>
            <w:vAlign w:val="top"/>
            <w:vMerge w:val="continue"/>
            <w:tcBorders>
              <w:top w:val="nil"/>
            </w:tcBorders>
          </w:tcPr>
          <w:p>
            <w:pPr>
              <w:rPr>
                <w:rFonts w:ascii="Arial"/>
                <w:sz w:val="21"/>
              </w:rPr>
            </w:pPr>
            <w:r/>
          </w:p>
        </w:tc>
      </w:tr>
      <w:tr>
        <w:trPr>
          <w:trHeight w:val="329" w:hRule="atLeast"/>
        </w:trPr>
        <w:tc>
          <w:tcPr>
            <w:tcW w:w="685" w:type="dxa"/>
            <w:vAlign w:val="top"/>
            <w:vMerge w:val="restart"/>
            <w:tcBorders>
              <w:bottom w:val="nil"/>
            </w:tcBorders>
          </w:tcPr>
          <w:p>
            <w:pPr>
              <w:spacing w:line="355" w:lineRule="auto"/>
              <w:rPr>
                <w:rFonts w:ascii="Arial"/>
                <w:sz w:val="21"/>
              </w:rPr>
            </w:pPr>
            <w:r/>
          </w:p>
          <w:p>
            <w:pPr>
              <w:spacing w:line="355" w:lineRule="auto"/>
              <w:rPr>
                <w:rFonts w:ascii="Arial"/>
                <w:sz w:val="21"/>
              </w:rPr>
            </w:pPr>
            <w:r/>
          </w:p>
          <w:p>
            <w:pPr>
              <w:pStyle w:val="TableText"/>
              <w:ind w:left="125"/>
              <w:spacing w:before="68" w:line="229" w:lineRule="auto"/>
              <w:rPr>
                <w:sz w:val="21"/>
                <w:szCs w:val="21"/>
              </w:rPr>
            </w:pPr>
            <w:r>
              <w:rPr>
                <w:sz w:val="21"/>
                <w:szCs w:val="21"/>
                <w:spacing w:val="-3"/>
              </w:rPr>
              <w:t>环境</w:t>
            </w:r>
          </w:p>
          <w:p>
            <w:pPr>
              <w:pStyle w:val="TableText"/>
              <w:ind w:left="125"/>
              <w:spacing w:line="220" w:lineRule="auto"/>
              <w:rPr>
                <w:sz w:val="21"/>
                <w:szCs w:val="21"/>
              </w:rPr>
            </w:pPr>
            <w:r>
              <w:rPr>
                <w:sz w:val="21"/>
                <w:szCs w:val="21"/>
                <w:spacing w:val="-3"/>
              </w:rPr>
              <w:t>风险</w:t>
            </w:r>
          </w:p>
        </w:tc>
        <w:tc>
          <w:tcPr>
            <w:tcW w:w="2149" w:type="dxa"/>
            <w:vAlign w:val="top"/>
          </w:tcPr>
          <w:p>
            <w:pPr>
              <w:pStyle w:val="TableText"/>
              <w:ind w:left="640"/>
              <w:spacing w:before="61" w:line="219" w:lineRule="auto"/>
              <w:rPr>
                <w:sz w:val="21"/>
                <w:szCs w:val="21"/>
              </w:rPr>
            </w:pPr>
            <w:r>
              <w:rPr>
                <w:sz w:val="21"/>
                <w:szCs w:val="21"/>
                <w:spacing w:val="-2"/>
              </w:rPr>
              <w:t>石雷洋村</w:t>
            </w:r>
          </w:p>
        </w:tc>
        <w:tc>
          <w:tcPr>
            <w:tcW w:w="2418" w:type="dxa"/>
            <w:vAlign w:val="top"/>
          </w:tcPr>
          <w:p>
            <w:pPr>
              <w:rPr>
                <w:rFonts w:ascii="Arial"/>
                <w:sz w:val="21"/>
              </w:rPr>
            </w:pPr>
            <w:r/>
          </w:p>
        </w:tc>
        <w:tc>
          <w:tcPr>
            <w:tcW w:w="2358" w:type="dxa"/>
            <w:vAlign w:val="top"/>
          </w:tcPr>
          <w:p>
            <w:pPr>
              <w:rPr>
                <w:rFonts w:ascii="Arial"/>
                <w:sz w:val="21"/>
              </w:rPr>
            </w:pPr>
            <w:r/>
          </w:p>
        </w:tc>
        <w:tc>
          <w:tcPr>
            <w:tcW w:w="1279" w:type="dxa"/>
            <w:vAlign w:val="top"/>
          </w:tcPr>
          <w:p>
            <w:pPr>
              <w:rPr>
                <w:rFonts w:ascii="Arial"/>
                <w:sz w:val="21"/>
              </w:rPr>
            </w:pPr>
            <w:r/>
          </w:p>
        </w:tc>
        <w:tc>
          <w:tcPr>
            <w:tcW w:w="1279" w:type="dxa"/>
            <w:vAlign w:val="top"/>
            <w:vMerge w:val="restart"/>
            <w:tcBorders>
              <w:bottom w:val="nil"/>
            </w:tcBorders>
          </w:tcPr>
          <w:p>
            <w:pPr>
              <w:spacing w:line="312" w:lineRule="auto"/>
              <w:rPr>
                <w:rFonts w:ascii="Arial"/>
                <w:sz w:val="21"/>
              </w:rPr>
            </w:pPr>
            <w:r/>
          </w:p>
          <w:p>
            <w:pPr>
              <w:spacing w:line="312" w:lineRule="auto"/>
              <w:rPr>
                <w:rFonts w:ascii="Arial"/>
                <w:sz w:val="21"/>
              </w:rPr>
            </w:pPr>
            <w:r/>
          </w:p>
          <w:p>
            <w:pPr>
              <w:pStyle w:val="TableText"/>
              <w:ind w:left="156"/>
              <w:spacing w:before="68" w:line="172" w:lineRule="auto"/>
              <w:rPr>
                <w:sz w:val="21"/>
                <w:szCs w:val="21"/>
              </w:rPr>
            </w:pPr>
            <w:r>
              <w:rPr>
                <w:sz w:val="21"/>
                <w:szCs w:val="21"/>
                <w:spacing w:val="-1"/>
              </w:rPr>
              <w:t>GB3095-20</w:t>
            </w:r>
          </w:p>
          <w:p>
            <w:pPr>
              <w:pStyle w:val="TableText"/>
              <w:ind w:left="216"/>
              <w:spacing w:line="219" w:lineRule="auto"/>
              <w:rPr>
                <w:sz w:val="21"/>
                <w:szCs w:val="21"/>
              </w:rPr>
            </w:pPr>
            <w:r>
              <w:rPr>
                <w:sz w:val="21"/>
                <w:szCs w:val="21"/>
                <w:spacing w:val="1"/>
              </w:rPr>
              <w:t>12中二类</w:t>
            </w:r>
          </w:p>
          <w:p>
            <w:pPr>
              <w:pStyle w:val="TableText"/>
              <w:ind w:left="526"/>
              <w:spacing w:before="46" w:line="224" w:lineRule="auto"/>
              <w:rPr>
                <w:sz w:val="21"/>
                <w:szCs w:val="21"/>
              </w:rPr>
            </w:pPr>
            <w:r>
              <w:rPr>
                <w:sz w:val="21"/>
                <w:szCs w:val="21"/>
              </w:rPr>
              <w:t>区</w:t>
            </w:r>
          </w:p>
        </w:tc>
        <w:tc>
          <w:tcPr>
            <w:tcW w:w="1839" w:type="dxa"/>
            <w:vAlign w:val="top"/>
          </w:tcPr>
          <w:p>
            <w:pPr>
              <w:pStyle w:val="TableText"/>
              <w:ind w:left="707"/>
              <w:spacing w:before="62" w:line="219" w:lineRule="auto"/>
              <w:rPr>
                <w:sz w:val="21"/>
                <w:szCs w:val="21"/>
              </w:rPr>
            </w:pPr>
            <w:r>
              <w:rPr>
                <w:sz w:val="21"/>
                <w:szCs w:val="21"/>
                <w:spacing w:val="7"/>
              </w:rPr>
              <w:t>南侧</w:t>
            </w:r>
          </w:p>
        </w:tc>
        <w:tc>
          <w:tcPr>
            <w:tcW w:w="2133" w:type="dxa"/>
            <w:vAlign w:val="top"/>
          </w:tcPr>
          <w:p>
            <w:pPr>
              <w:pStyle w:val="TableText"/>
              <w:ind w:left="898"/>
              <w:spacing w:before="116" w:line="178" w:lineRule="auto"/>
              <w:rPr>
                <w:sz w:val="21"/>
                <w:szCs w:val="21"/>
              </w:rPr>
            </w:pPr>
            <w:r>
              <w:rPr>
                <w:sz w:val="21"/>
                <w:szCs w:val="21"/>
                <w:spacing w:val="-3"/>
              </w:rPr>
              <w:t>500</w:t>
            </w:r>
          </w:p>
        </w:tc>
      </w:tr>
      <w:tr>
        <w:trPr>
          <w:trHeight w:val="309" w:hRule="atLeast"/>
        </w:trPr>
        <w:tc>
          <w:tcPr>
            <w:tcW w:w="685" w:type="dxa"/>
            <w:vAlign w:val="top"/>
            <w:vMerge w:val="continue"/>
            <w:tcBorders>
              <w:top w:val="nil"/>
              <w:bottom w:val="nil"/>
            </w:tcBorders>
          </w:tcPr>
          <w:p>
            <w:pPr>
              <w:rPr>
                <w:rFonts w:ascii="Arial"/>
                <w:sz w:val="21"/>
              </w:rPr>
            </w:pPr>
            <w:r/>
          </w:p>
        </w:tc>
        <w:tc>
          <w:tcPr>
            <w:tcW w:w="2149" w:type="dxa"/>
            <w:vAlign w:val="top"/>
          </w:tcPr>
          <w:p>
            <w:pPr>
              <w:pStyle w:val="TableText"/>
              <w:ind w:left="750"/>
              <w:spacing w:before="53" w:line="216" w:lineRule="auto"/>
              <w:rPr>
                <w:sz w:val="21"/>
                <w:szCs w:val="21"/>
              </w:rPr>
            </w:pPr>
            <w:r>
              <w:rPr>
                <w:sz w:val="21"/>
                <w:szCs w:val="21"/>
                <w:spacing w:val="3"/>
              </w:rPr>
              <w:t>大沙村</w:t>
            </w:r>
          </w:p>
        </w:tc>
        <w:tc>
          <w:tcPr>
            <w:tcW w:w="2418" w:type="dxa"/>
            <w:vAlign w:val="top"/>
          </w:tcPr>
          <w:p>
            <w:pPr>
              <w:rPr>
                <w:rFonts w:ascii="Arial"/>
                <w:sz w:val="21"/>
              </w:rPr>
            </w:pPr>
            <w:r/>
          </w:p>
        </w:tc>
        <w:tc>
          <w:tcPr>
            <w:tcW w:w="2358" w:type="dxa"/>
            <w:vAlign w:val="top"/>
          </w:tcPr>
          <w:p>
            <w:pPr>
              <w:rPr>
                <w:rFonts w:ascii="Arial"/>
                <w:sz w:val="21"/>
              </w:rPr>
            </w:pPr>
            <w:r/>
          </w:p>
        </w:tc>
        <w:tc>
          <w:tcPr>
            <w:tcW w:w="1279" w:type="dxa"/>
            <w:vAlign w:val="top"/>
          </w:tcPr>
          <w:p>
            <w:pPr>
              <w:rPr>
                <w:rFonts w:ascii="Arial"/>
                <w:sz w:val="21"/>
              </w:rPr>
            </w:pPr>
            <w:r/>
          </w:p>
        </w:tc>
        <w:tc>
          <w:tcPr>
            <w:tcW w:w="1279" w:type="dxa"/>
            <w:vAlign w:val="top"/>
            <w:vMerge w:val="continue"/>
            <w:tcBorders>
              <w:top w:val="nil"/>
              <w:bottom w:val="nil"/>
            </w:tcBorders>
          </w:tcPr>
          <w:p>
            <w:pPr>
              <w:rPr>
                <w:rFonts w:ascii="Arial"/>
                <w:sz w:val="21"/>
              </w:rPr>
            </w:pPr>
            <w:r/>
          </w:p>
        </w:tc>
        <w:tc>
          <w:tcPr>
            <w:tcW w:w="1839" w:type="dxa"/>
            <w:vAlign w:val="top"/>
          </w:tcPr>
          <w:p>
            <w:pPr>
              <w:pStyle w:val="TableText"/>
              <w:ind w:left="707"/>
              <w:spacing w:before="53" w:line="216" w:lineRule="auto"/>
              <w:rPr>
                <w:sz w:val="21"/>
                <w:szCs w:val="21"/>
              </w:rPr>
            </w:pPr>
            <w:r>
              <w:rPr>
                <w:sz w:val="21"/>
                <w:szCs w:val="21"/>
                <w:spacing w:val="7"/>
              </w:rPr>
              <w:t>东侧</w:t>
            </w:r>
          </w:p>
        </w:tc>
        <w:tc>
          <w:tcPr>
            <w:tcW w:w="2133" w:type="dxa"/>
            <w:vAlign w:val="top"/>
          </w:tcPr>
          <w:p>
            <w:pPr>
              <w:pStyle w:val="TableText"/>
              <w:ind w:left="898"/>
              <w:spacing w:before="106" w:line="169" w:lineRule="auto"/>
              <w:rPr>
                <w:sz w:val="21"/>
                <w:szCs w:val="21"/>
              </w:rPr>
            </w:pPr>
            <w:r>
              <w:rPr>
                <w:sz w:val="21"/>
                <w:szCs w:val="21"/>
                <w:spacing w:val="-3"/>
              </w:rPr>
              <w:t>310</w:t>
            </w:r>
          </w:p>
        </w:tc>
      </w:tr>
      <w:tr>
        <w:trPr>
          <w:trHeight w:val="299" w:hRule="atLeast"/>
        </w:trPr>
        <w:tc>
          <w:tcPr>
            <w:tcW w:w="685" w:type="dxa"/>
            <w:vAlign w:val="top"/>
            <w:vMerge w:val="continue"/>
            <w:tcBorders>
              <w:top w:val="nil"/>
              <w:bottom w:val="nil"/>
            </w:tcBorders>
          </w:tcPr>
          <w:p>
            <w:pPr>
              <w:rPr>
                <w:rFonts w:ascii="Arial"/>
                <w:sz w:val="21"/>
              </w:rPr>
            </w:pPr>
            <w:r/>
          </w:p>
        </w:tc>
        <w:tc>
          <w:tcPr>
            <w:tcW w:w="2149" w:type="dxa"/>
            <w:vAlign w:val="top"/>
          </w:tcPr>
          <w:p>
            <w:pPr>
              <w:pStyle w:val="TableText"/>
              <w:ind w:left="750"/>
              <w:spacing w:before="53" w:line="207" w:lineRule="auto"/>
              <w:rPr>
                <w:sz w:val="21"/>
                <w:szCs w:val="21"/>
              </w:rPr>
            </w:pPr>
            <w:r>
              <w:rPr>
                <w:sz w:val="21"/>
                <w:szCs w:val="21"/>
                <w:spacing w:val="-2"/>
              </w:rPr>
              <w:t>池头村</w:t>
            </w:r>
          </w:p>
        </w:tc>
        <w:tc>
          <w:tcPr>
            <w:tcW w:w="6055" w:type="dxa"/>
            <w:vAlign w:val="top"/>
            <w:gridSpan w:val="3"/>
            <w:vMerge w:val="restart"/>
            <w:tcBorders>
              <w:bottom w:val="nil"/>
            </w:tcBorders>
          </w:tcPr>
          <w:p>
            <w:pPr>
              <w:pStyle w:val="TableText"/>
              <w:ind w:left="1864"/>
              <w:spacing w:before="221" w:line="219" w:lineRule="auto"/>
              <w:rPr>
                <w:sz w:val="21"/>
                <w:szCs w:val="21"/>
              </w:rPr>
            </w:pPr>
            <w:r>
              <w:rPr>
                <w:sz w:val="21"/>
                <w:szCs w:val="21"/>
                <w:b/>
                <w:bCs/>
                <w:spacing w:val="-4"/>
              </w:rPr>
              <w:t>涉公共安全，不予公开</w:t>
            </w:r>
          </w:p>
        </w:tc>
        <w:tc>
          <w:tcPr>
            <w:tcW w:w="1279" w:type="dxa"/>
            <w:vAlign w:val="top"/>
            <w:vMerge w:val="continue"/>
            <w:tcBorders>
              <w:top w:val="nil"/>
              <w:bottom w:val="nil"/>
            </w:tcBorders>
          </w:tcPr>
          <w:p>
            <w:pPr>
              <w:rPr>
                <w:rFonts w:ascii="Arial"/>
                <w:sz w:val="21"/>
              </w:rPr>
            </w:pPr>
            <w:r/>
          </w:p>
        </w:tc>
        <w:tc>
          <w:tcPr>
            <w:tcW w:w="1839" w:type="dxa"/>
            <w:vAlign w:val="top"/>
          </w:tcPr>
          <w:p>
            <w:pPr>
              <w:pStyle w:val="TableText"/>
              <w:ind w:left="597"/>
              <w:spacing w:before="54" w:line="206" w:lineRule="auto"/>
              <w:rPr>
                <w:sz w:val="21"/>
                <w:szCs w:val="21"/>
              </w:rPr>
            </w:pPr>
            <w:r>
              <w:rPr>
                <w:sz w:val="21"/>
                <w:szCs w:val="21"/>
                <w:spacing w:val="4"/>
              </w:rPr>
              <w:t>东北侧</w:t>
            </w:r>
          </w:p>
        </w:tc>
        <w:tc>
          <w:tcPr>
            <w:tcW w:w="2133" w:type="dxa"/>
            <w:vAlign w:val="top"/>
          </w:tcPr>
          <w:p>
            <w:pPr>
              <w:pStyle w:val="TableText"/>
              <w:ind w:left="898"/>
              <w:spacing w:before="109" w:line="158" w:lineRule="auto"/>
              <w:rPr>
                <w:sz w:val="21"/>
                <w:szCs w:val="21"/>
              </w:rPr>
            </w:pPr>
            <w:r>
              <w:rPr>
                <w:sz w:val="21"/>
                <w:szCs w:val="21"/>
                <w:spacing w:val="-3"/>
              </w:rPr>
              <w:t>290</w:t>
            </w:r>
          </w:p>
        </w:tc>
      </w:tr>
      <w:tr>
        <w:trPr>
          <w:trHeight w:val="339" w:hRule="atLeast"/>
        </w:trPr>
        <w:tc>
          <w:tcPr>
            <w:tcW w:w="685" w:type="dxa"/>
            <w:vAlign w:val="top"/>
            <w:vMerge w:val="continue"/>
            <w:tcBorders>
              <w:top w:val="nil"/>
              <w:bottom w:val="nil"/>
            </w:tcBorders>
          </w:tcPr>
          <w:p>
            <w:pPr>
              <w:rPr>
                <w:rFonts w:ascii="Arial"/>
                <w:sz w:val="21"/>
              </w:rPr>
            </w:pPr>
            <w:r/>
          </w:p>
        </w:tc>
        <w:tc>
          <w:tcPr>
            <w:tcW w:w="2149" w:type="dxa"/>
            <w:vAlign w:val="top"/>
          </w:tcPr>
          <w:p>
            <w:pPr>
              <w:pStyle w:val="TableText"/>
              <w:ind w:left="750"/>
              <w:spacing w:before="74" w:line="219" w:lineRule="auto"/>
              <w:rPr>
                <w:sz w:val="21"/>
                <w:szCs w:val="21"/>
              </w:rPr>
            </w:pPr>
            <w:r>
              <w:rPr>
                <w:sz w:val="21"/>
                <w:szCs w:val="21"/>
                <w:spacing w:val="3"/>
              </w:rPr>
              <w:t>宝清村</w:t>
            </w:r>
          </w:p>
        </w:tc>
        <w:tc>
          <w:tcPr>
            <w:tcW w:w="6055" w:type="dxa"/>
            <w:vAlign w:val="top"/>
            <w:gridSpan w:val="3"/>
            <w:vMerge w:val="continue"/>
            <w:tcBorders>
              <w:top w:val="nil"/>
            </w:tcBorders>
          </w:tcPr>
          <w:p>
            <w:pPr>
              <w:rPr>
                <w:rFonts w:ascii="Arial"/>
                <w:sz w:val="21"/>
              </w:rPr>
            </w:pPr>
            <w:r/>
          </w:p>
        </w:tc>
        <w:tc>
          <w:tcPr>
            <w:tcW w:w="1279" w:type="dxa"/>
            <w:vAlign w:val="top"/>
            <w:vMerge w:val="continue"/>
            <w:tcBorders>
              <w:top w:val="nil"/>
              <w:bottom w:val="nil"/>
            </w:tcBorders>
          </w:tcPr>
          <w:p>
            <w:pPr>
              <w:rPr>
                <w:rFonts w:ascii="Arial"/>
                <w:sz w:val="21"/>
              </w:rPr>
            </w:pPr>
            <w:r/>
          </w:p>
        </w:tc>
        <w:tc>
          <w:tcPr>
            <w:tcW w:w="1839" w:type="dxa"/>
            <w:vAlign w:val="top"/>
          </w:tcPr>
          <w:p>
            <w:pPr>
              <w:pStyle w:val="TableText"/>
              <w:ind w:left="707"/>
              <w:spacing w:before="75" w:line="219" w:lineRule="auto"/>
              <w:rPr>
                <w:sz w:val="21"/>
                <w:szCs w:val="21"/>
              </w:rPr>
            </w:pPr>
            <w:r>
              <w:rPr>
                <w:sz w:val="21"/>
                <w:szCs w:val="21"/>
                <w:spacing w:val="7"/>
              </w:rPr>
              <w:t>西侧</w:t>
            </w:r>
          </w:p>
        </w:tc>
        <w:tc>
          <w:tcPr>
            <w:tcW w:w="2133" w:type="dxa"/>
            <w:vAlign w:val="top"/>
          </w:tcPr>
          <w:p>
            <w:pPr>
              <w:pStyle w:val="TableText"/>
              <w:ind w:left="848"/>
              <w:spacing w:before="129" w:line="175" w:lineRule="auto"/>
              <w:rPr>
                <w:sz w:val="21"/>
                <w:szCs w:val="21"/>
              </w:rPr>
            </w:pPr>
            <w:r>
              <w:rPr>
                <w:sz w:val="21"/>
                <w:szCs w:val="21"/>
                <w:spacing w:val="-3"/>
              </w:rPr>
              <w:t>2205</w:t>
            </w:r>
          </w:p>
        </w:tc>
      </w:tr>
      <w:tr>
        <w:trPr>
          <w:trHeight w:val="329" w:hRule="atLeast"/>
        </w:trPr>
        <w:tc>
          <w:tcPr>
            <w:tcW w:w="685" w:type="dxa"/>
            <w:vAlign w:val="top"/>
            <w:vMerge w:val="continue"/>
            <w:tcBorders>
              <w:top w:val="nil"/>
              <w:bottom w:val="nil"/>
            </w:tcBorders>
          </w:tcPr>
          <w:p>
            <w:pPr>
              <w:rPr>
                <w:rFonts w:ascii="Arial"/>
                <w:sz w:val="21"/>
              </w:rPr>
            </w:pPr>
            <w:r/>
          </w:p>
        </w:tc>
        <w:tc>
          <w:tcPr>
            <w:tcW w:w="2149" w:type="dxa"/>
            <w:vAlign w:val="top"/>
          </w:tcPr>
          <w:p>
            <w:pPr>
              <w:pStyle w:val="TableText"/>
              <w:ind w:left="750"/>
              <w:spacing w:before="65" w:line="219" w:lineRule="auto"/>
              <w:rPr>
                <w:sz w:val="21"/>
                <w:szCs w:val="21"/>
              </w:rPr>
            </w:pPr>
            <w:r>
              <w:rPr>
                <w:sz w:val="21"/>
                <w:szCs w:val="21"/>
                <w:spacing w:val="-3"/>
              </w:rPr>
              <w:t>长沙村</w:t>
            </w:r>
          </w:p>
        </w:tc>
        <w:tc>
          <w:tcPr>
            <w:tcW w:w="2418" w:type="dxa"/>
            <w:vAlign w:val="top"/>
          </w:tcPr>
          <w:p>
            <w:pPr>
              <w:rPr>
                <w:rFonts w:ascii="Arial"/>
                <w:sz w:val="21"/>
              </w:rPr>
            </w:pPr>
            <w:r/>
          </w:p>
        </w:tc>
        <w:tc>
          <w:tcPr>
            <w:tcW w:w="2358" w:type="dxa"/>
            <w:vAlign w:val="top"/>
          </w:tcPr>
          <w:p>
            <w:pPr>
              <w:rPr>
                <w:rFonts w:ascii="Arial"/>
                <w:sz w:val="21"/>
              </w:rPr>
            </w:pPr>
            <w:r/>
          </w:p>
        </w:tc>
        <w:tc>
          <w:tcPr>
            <w:tcW w:w="1279" w:type="dxa"/>
            <w:vAlign w:val="top"/>
          </w:tcPr>
          <w:p>
            <w:pPr>
              <w:rPr>
                <w:rFonts w:ascii="Arial"/>
                <w:sz w:val="21"/>
              </w:rPr>
            </w:pPr>
            <w:r/>
          </w:p>
        </w:tc>
        <w:tc>
          <w:tcPr>
            <w:tcW w:w="1279" w:type="dxa"/>
            <w:vAlign w:val="top"/>
            <w:vMerge w:val="continue"/>
            <w:tcBorders>
              <w:top w:val="nil"/>
              <w:bottom w:val="nil"/>
            </w:tcBorders>
          </w:tcPr>
          <w:p>
            <w:pPr>
              <w:rPr>
                <w:rFonts w:ascii="Arial"/>
                <w:sz w:val="21"/>
              </w:rPr>
            </w:pPr>
            <w:r/>
          </w:p>
        </w:tc>
        <w:tc>
          <w:tcPr>
            <w:tcW w:w="1839" w:type="dxa"/>
            <w:vAlign w:val="top"/>
          </w:tcPr>
          <w:p>
            <w:pPr>
              <w:pStyle w:val="TableText"/>
              <w:ind w:left="707"/>
              <w:spacing w:before="66" w:line="219" w:lineRule="auto"/>
              <w:rPr>
                <w:sz w:val="21"/>
                <w:szCs w:val="21"/>
              </w:rPr>
            </w:pPr>
            <w:r>
              <w:rPr>
                <w:sz w:val="21"/>
                <w:szCs w:val="21"/>
                <w:spacing w:val="7"/>
              </w:rPr>
              <w:t>南侧</w:t>
            </w:r>
          </w:p>
        </w:tc>
        <w:tc>
          <w:tcPr>
            <w:tcW w:w="2133" w:type="dxa"/>
            <w:vAlign w:val="top"/>
          </w:tcPr>
          <w:p>
            <w:pPr>
              <w:pStyle w:val="TableText"/>
              <w:ind w:left="898"/>
              <w:spacing w:before="121" w:line="174" w:lineRule="auto"/>
              <w:rPr>
                <w:sz w:val="21"/>
                <w:szCs w:val="21"/>
              </w:rPr>
            </w:pPr>
            <w:r>
              <w:rPr>
                <w:sz w:val="21"/>
                <w:szCs w:val="21"/>
                <w:spacing w:val="-3"/>
              </w:rPr>
              <w:t>803</w:t>
            </w:r>
          </w:p>
        </w:tc>
      </w:tr>
      <w:tr>
        <w:trPr>
          <w:trHeight w:val="334" w:hRule="atLeast"/>
        </w:trPr>
        <w:tc>
          <w:tcPr>
            <w:tcW w:w="685" w:type="dxa"/>
            <w:vAlign w:val="top"/>
            <w:vMerge w:val="continue"/>
            <w:tcBorders>
              <w:top w:val="nil"/>
            </w:tcBorders>
          </w:tcPr>
          <w:p>
            <w:pPr>
              <w:rPr>
                <w:rFonts w:ascii="Arial"/>
                <w:sz w:val="21"/>
              </w:rPr>
            </w:pPr>
            <w:r/>
          </w:p>
        </w:tc>
        <w:tc>
          <w:tcPr>
            <w:tcW w:w="2149" w:type="dxa"/>
            <w:vAlign w:val="top"/>
          </w:tcPr>
          <w:p>
            <w:pPr>
              <w:pStyle w:val="TableText"/>
              <w:ind w:left="640"/>
              <w:spacing w:before="66" w:line="219" w:lineRule="auto"/>
              <w:rPr>
                <w:sz w:val="21"/>
                <w:szCs w:val="21"/>
              </w:rPr>
            </w:pPr>
            <w:r>
              <w:rPr>
                <w:sz w:val="21"/>
                <w:szCs w:val="21"/>
                <w:spacing w:val="2"/>
              </w:rPr>
              <w:t>大墓里村</w:t>
            </w:r>
          </w:p>
        </w:tc>
        <w:tc>
          <w:tcPr>
            <w:tcW w:w="2418" w:type="dxa"/>
            <w:vAlign w:val="top"/>
          </w:tcPr>
          <w:p>
            <w:pPr>
              <w:rPr>
                <w:rFonts w:ascii="Arial"/>
                <w:sz w:val="21"/>
              </w:rPr>
            </w:pPr>
            <w:r/>
          </w:p>
        </w:tc>
        <w:tc>
          <w:tcPr>
            <w:tcW w:w="2358" w:type="dxa"/>
            <w:vAlign w:val="top"/>
          </w:tcPr>
          <w:p>
            <w:pPr>
              <w:rPr>
                <w:rFonts w:ascii="Arial"/>
                <w:sz w:val="21"/>
              </w:rPr>
            </w:pPr>
            <w:r/>
          </w:p>
        </w:tc>
        <w:tc>
          <w:tcPr>
            <w:tcW w:w="1279" w:type="dxa"/>
            <w:vAlign w:val="top"/>
          </w:tcPr>
          <w:p>
            <w:pPr>
              <w:rPr>
                <w:rFonts w:ascii="Arial"/>
                <w:sz w:val="21"/>
              </w:rPr>
            </w:pPr>
            <w:r/>
          </w:p>
        </w:tc>
        <w:tc>
          <w:tcPr>
            <w:tcW w:w="1279" w:type="dxa"/>
            <w:vAlign w:val="top"/>
            <w:vMerge w:val="continue"/>
            <w:tcBorders>
              <w:top w:val="nil"/>
            </w:tcBorders>
          </w:tcPr>
          <w:p>
            <w:pPr>
              <w:rPr>
                <w:rFonts w:ascii="Arial"/>
                <w:sz w:val="21"/>
              </w:rPr>
            </w:pPr>
            <w:r/>
          </w:p>
        </w:tc>
        <w:tc>
          <w:tcPr>
            <w:tcW w:w="1839" w:type="dxa"/>
            <w:vAlign w:val="top"/>
          </w:tcPr>
          <w:p>
            <w:pPr>
              <w:pStyle w:val="TableText"/>
              <w:ind w:left="707"/>
              <w:spacing w:before="67" w:line="219" w:lineRule="auto"/>
              <w:rPr>
                <w:sz w:val="21"/>
                <w:szCs w:val="21"/>
              </w:rPr>
            </w:pPr>
            <w:r>
              <w:rPr>
                <w:sz w:val="21"/>
                <w:szCs w:val="21"/>
                <w:spacing w:val="7"/>
              </w:rPr>
              <w:t>南侧</w:t>
            </w:r>
          </w:p>
        </w:tc>
        <w:tc>
          <w:tcPr>
            <w:tcW w:w="2133" w:type="dxa"/>
            <w:vAlign w:val="top"/>
          </w:tcPr>
          <w:p>
            <w:pPr>
              <w:pStyle w:val="TableText"/>
              <w:ind w:left="848"/>
              <w:spacing w:before="121" w:line="178" w:lineRule="auto"/>
              <w:rPr>
                <w:sz w:val="21"/>
                <w:szCs w:val="21"/>
              </w:rPr>
            </w:pPr>
            <w:r>
              <w:rPr>
                <w:sz w:val="21"/>
                <w:szCs w:val="21"/>
                <w:spacing w:val="-3"/>
              </w:rPr>
              <w:t>2977</w:t>
            </w:r>
          </w:p>
        </w:tc>
      </w:tr>
    </w:tbl>
    <w:p>
      <w:pPr>
        <w:rPr>
          <w:rFonts w:ascii="Arial"/>
          <w:sz w:val="21"/>
        </w:rPr>
      </w:pPr>
      <w:r/>
    </w:p>
    <w:p>
      <w:pPr>
        <w:sectPr>
          <w:footerReference w:type="default" r:id="rId73"/>
          <w:pgSz w:w="16840" w:h="11900"/>
          <w:pgMar w:top="1011" w:right="1375" w:bottom="978" w:left="1304" w:header="0" w:footer="839" w:gutter="0"/>
        </w:sectPr>
        <w:rPr>
          <w:rFonts w:ascii="Arial" w:hAnsi="Arial" w:eastAsia="Arial" w:cs="Arial"/>
          <w:sz w:val="21"/>
          <w:szCs w:val="21"/>
        </w:rPr>
      </w:pPr>
    </w:p>
    <w:p>
      <w:pPr>
        <w:spacing w:before="152"/>
        <w:rPr/>
      </w:pPr>
      <w:r/>
    </w:p>
    <w:tbl>
      <w:tblPr>
        <w:tblStyle w:val="TableNormal"/>
        <w:tblW w:w="1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85"/>
        <w:gridCol w:w="2149"/>
        <w:gridCol w:w="2408"/>
        <w:gridCol w:w="2368"/>
        <w:gridCol w:w="1269"/>
        <w:gridCol w:w="1279"/>
        <w:gridCol w:w="1839"/>
        <w:gridCol w:w="2123"/>
      </w:tblGrid>
      <w:tr>
        <w:trPr>
          <w:trHeight w:val="434" w:hRule="atLeast"/>
        </w:trPr>
        <w:tc>
          <w:tcPr>
            <w:tcW w:w="685" w:type="dxa"/>
            <w:vAlign w:val="top"/>
            <w:vMerge w:val="restart"/>
            <w:tcBorders>
              <w:bottom w:val="nil"/>
            </w:tcBorders>
          </w:tcPr>
          <w:p>
            <w:pPr>
              <w:pStyle w:val="TableText"/>
              <w:ind w:left="135"/>
              <w:spacing w:before="153" w:line="279" w:lineRule="exact"/>
              <w:rPr>
                <w:sz w:val="20"/>
                <w:szCs w:val="20"/>
              </w:rPr>
            </w:pPr>
            <w:r>
              <w:rPr>
                <w:sz w:val="20"/>
                <w:szCs w:val="20"/>
                <w:spacing w:val="-2"/>
                <w:position w:val="5"/>
              </w:rPr>
              <w:t>环境</w:t>
            </w:r>
          </w:p>
          <w:p>
            <w:pPr>
              <w:pStyle w:val="TableText"/>
              <w:ind w:left="135"/>
              <w:spacing w:line="219" w:lineRule="auto"/>
              <w:rPr>
                <w:sz w:val="20"/>
                <w:szCs w:val="20"/>
              </w:rPr>
            </w:pPr>
            <w:r>
              <w:rPr>
                <w:sz w:val="20"/>
                <w:szCs w:val="20"/>
                <w:spacing w:val="-3"/>
              </w:rPr>
              <w:t>要素</w:t>
            </w:r>
          </w:p>
        </w:tc>
        <w:tc>
          <w:tcPr>
            <w:tcW w:w="2149" w:type="dxa"/>
            <w:vAlign w:val="top"/>
            <w:vMerge w:val="restart"/>
            <w:tcBorders>
              <w:bottom w:val="nil"/>
            </w:tcBorders>
          </w:tcPr>
          <w:p>
            <w:pPr>
              <w:pStyle w:val="TableText"/>
              <w:ind w:left="460"/>
              <w:spacing w:before="293" w:line="219" w:lineRule="auto"/>
              <w:rPr>
                <w:sz w:val="20"/>
                <w:szCs w:val="20"/>
              </w:rPr>
            </w:pPr>
            <w:r>
              <w:rPr>
                <w:sz w:val="20"/>
                <w:szCs w:val="20"/>
                <w:spacing w:val="-2"/>
              </w:rPr>
              <w:t>敏感目标名称</w:t>
            </w:r>
          </w:p>
        </w:tc>
        <w:tc>
          <w:tcPr>
            <w:tcW w:w="4776" w:type="dxa"/>
            <w:vAlign w:val="top"/>
            <w:gridSpan w:val="2"/>
          </w:tcPr>
          <w:p>
            <w:pPr>
              <w:pStyle w:val="TableText"/>
              <w:ind w:left="2191"/>
              <w:spacing w:before="123" w:line="220" w:lineRule="auto"/>
              <w:rPr>
                <w:sz w:val="20"/>
                <w:szCs w:val="20"/>
              </w:rPr>
            </w:pPr>
            <w:r>
              <w:rPr>
                <w:sz w:val="20"/>
                <w:szCs w:val="20"/>
                <w:spacing w:val="-3"/>
              </w:rPr>
              <w:t>坐标</w:t>
            </w:r>
          </w:p>
        </w:tc>
        <w:tc>
          <w:tcPr>
            <w:tcW w:w="1269" w:type="dxa"/>
            <w:vAlign w:val="top"/>
            <w:vMerge w:val="restart"/>
            <w:tcBorders>
              <w:bottom w:val="nil"/>
            </w:tcBorders>
          </w:tcPr>
          <w:p>
            <w:pPr>
              <w:pStyle w:val="TableText"/>
              <w:ind w:left="245"/>
              <w:spacing w:before="293" w:line="219" w:lineRule="auto"/>
              <w:rPr>
                <w:sz w:val="20"/>
                <w:szCs w:val="20"/>
              </w:rPr>
            </w:pPr>
            <w:r>
              <w:rPr>
                <w:sz w:val="20"/>
                <w:szCs w:val="20"/>
                <w:spacing w:val="-2"/>
              </w:rPr>
              <w:t>保护对象</w:t>
            </w:r>
          </w:p>
        </w:tc>
        <w:tc>
          <w:tcPr>
            <w:tcW w:w="1279" w:type="dxa"/>
            <w:vAlign w:val="top"/>
            <w:vMerge w:val="restart"/>
            <w:tcBorders>
              <w:bottom w:val="nil"/>
            </w:tcBorders>
          </w:tcPr>
          <w:p>
            <w:pPr>
              <w:pStyle w:val="TableText"/>
              <w:ind w:left="126"/>
              <w:spacing w:before="293" w:line="220" w:lineRule="auto"/>
              <w:rPr>
                <w:sz w:val="20"/>
                <w:szCs w:val="20"/>
              </w:rPr>
            </w:pPr>
            <w:r>
              <w:rPr>
                <w:sz w:val="20"/>
                <w:szCs w:val="20"/>
                <w:spacing w:val="3"/>
              </w:rPr>
              <w:t>环境功能区</w:t>
            </w:r>
          </w:p>
        </w:tc>
        <w:tc>
          <w:tcPr>
            <w:tcW w:w="1839" w:type="dxa"/>
            <w:vAlign w:val="top"/>
            <w:vMerge w:val="restart"/>
            <w:tcBorders>
              <w:bottom w:val="nil"/>
            </w:tcBorders>
          </w:tcPr>
          <w:p>
            <w:pPr>
              <w:pStyle w:val="TableText"/>
              <w:ind w:left="717" w:right="202" w:hanging="500"/>
              <w:spacing w:before="173" w:line="231" w:lineRule="auto"/>
              <w:rPr>
                <w:sz w:val="20"/>
                <w:szCs w:val="20"/>
              </w:rPr>
            </w:pPr>
            <w:r>
              <w:rPr>
                <w:sz w:val="20"/>
                <w:szCs w:val="20"/>
                <w:spacing w:val="1"/>
              </w:rPr>
              <w:t>与项目相对厂址 </w:t>
            </w:r>
            <w:r>
              <w:rPr>
                <w:sz w:val="20"/>
                <w:szCs w:val="20"/>
                <w:spacing w:val="-3"/>
              </w:rPr>
              <w:t>方位</w:t>
            </w:r>
          </w:p>
        </w:tc>
        <w:tc>
          <w:tcPr>
            <w:tcW w:w="2123" w:type="dxa"/>
            <w:vAlign w:val="top"/>
            <w:vMerge w:val="restart"/>
            <w:tcBorders>
              <w:bottom w:val="nil"/>
            </w:tcBorders>
          </w:tcPr>
          <w:p>
            <w:pPr>
              <w:pStyle w:val="TableText"/>
              <w:ind w:left="957" w:right="111" w:hanging="799"/>
              <w:spacing w:before="193" w:line="239" w:lineRule="auto"/>
              <w:rPr>
                <w:sz w:val="20"/>
                <w:szCs w:val="20"/>
              </w:rPr>
            </w:pPr>
            <w:r>
              <w:rPr>
                <w:sz w:val="20"/>
                <w:szCs w:val="20"/>
                <w:spacing w:val="4"/>
              </w:rPr>
              <w:t>相对厂界距离(最近)</w:t>
            </w:r>
            <w:r>
              <w:rPr>
                <w:sz w:val="20"/>
                <w:szCs w:val="20"/>
                <w:spacing w:val="2"/>
              </w:rPr>
              <w:t xml:space="preserve"> </w:t>
            </w:r>
            <w:r>
              <w:rPr>
                <w:sz w:val="20"/>
                <w:szCs w:val="20"/>
                <w:spacing w:val="-2"/>
              </w:rPr>
              <w:t>/m</w:t>
            </w:r>
          </w:p>
        </w:tc>
      </w:tr>
      <w:tr>
        <w:trPr>
          <w:trHeight w:val="330" w:hRule="atLeast"/>
        </w:trPr>
        <w:tc>
          <w:tcPr>
            <w:tcW w:w="685" w:type="dxa"/>
            <w:vAlign w:val="top"/>
            <w:vMerge w:val="continue"/>
            <w:tcBorders>
              <w:top w:val="nil"/>
            </w:tcBorders>
          </w:tcPr>
          <w:p>
            <w:pPr>
              <w:rPr>
                <w:rFonts w:ascii="Arial"/>
                <w:sz w:val="21"/>
              </w:rPr>
            </w:pPr>
            <w:r/>
          </w:p>
        </w:tc>
        <w:tc>
          <w:tcPr>
            <w:tcW w:w="2149" w:type="dxa"/>
            <w:vAlign w:val="top"/>
            <w:vMerge w:val="continue"/>
            <w:tcBorders>
              <w:top w:val="nil"/>
            </w:tcBorders>
          </w:tcPr>
          <w:p>
            <w:pPr>
              <w:rPr>
                <w:rFonts w:ascii="Arial"/>
                <w:sz w:val="21"/>
              </w:rPr>
            </w:pPr>
            <w:r/>
          </w:p>
        </w:tc>
        <w:tc>
          <w:tcPr>
            <w:tcW w:w="2408" w:type="dxa"/>
            <w:vAlign w:val="top"/>
          </w:tcPr>
          <w:p>
            <w:pPr>
              <w:pStyle w:val="TableText"/>
              <w:ind w:left="991"/>
              <w:spacing w:before="69" w:line="220" w:lineRule="auto"/>
              <w:rPr>
                <w:sz w:val="20"/>
                <w:szCs w:val="20"/>
              </w:rPr>
            </w:pPr>
            <w:r>
              <w:rPr>
                <w:sz w:val="20"/>
                <w:szCs w:val="20"/>
                <w:spacing w:val="5"/>
              </w:rPr>
              <w:t>经度</w:t>
            </w:r>
          </w:p>
        </w:tc>
        <w:tc>
          <w:tcPr>
            <w:tcW w:w="2368" w:type="dxa"/>
            <w:vAlign w:val="top"/>
          </w:tcPr>
          <w:p>
            <w:pPr>
              <w:pStyle w:val="TableText"/>
              <w:ind w:left="1073"/>
              <w:spacing w:before="69" w:line="220" w:lineRule="auto"/>
              <w:rPr>
                <w:sz w:val="20"/>
                <w:szCs w:val="20"/>
              </w:rPr>
            </w:pPr>
            <w:r>
              <w:rPr>
                <w:sz w:val="20"/>
                <w:szCs w:val="20"/>
                <w:spacing w:val="5"/>
              </w:rPr>
              <w:t>纬度</w:t>
            </w:r>
          </w:p>
        </w:tc>
        <w:tc>
          <w:tcPr>
            <w:tcW w:w="1269" w:type="dxa"/>
            <w:vAlign w:val="top"/>
            <w:vMerge w:val="continue"/>
            <w:tcBorders>
              <w:top w:val="nil"/>
            </w:tcBorders>
          </w:tcPr>
          <w:p>
            <w:pPr>
              <w:rPr>
                <w:rFonts w:ascii="Arial"/>
                <w:sz w:val="21"/>
              </w:rPr>
            </w:pPr>
            <w:r/>
          </w:p>
        </w:tc>
        <w:tc>
          <w:tcPr>
            <w:tcW w:w="1279" w:type="dxa"/>
            <w:vAlign w:val="top"/>
            <w:vMerge w:val="continue"/>
            <w:tcBorders>
              <w:top w:val="nil"/>
            </w:tcBorders>
          </w:tcPr>
          <w:p>
            <w:pPr>
              <w:rPr>
                <w:rFonts w:ascii="Arial"/>
                <w:sz w:val="21"/>
              </w:rPr>
            </w:pPr>
            <w:r/>
          </w:p>
        </w:tc>
        <w:tc>
          <w:tcPr>
            <w:tcW w:w="1839" w:type="dxa"/>
            <w:vAlign w:val="top"/>
            <w:vMerge w:val="continue"/>
            <w:tcBorders>
              <w:top w:val="nil"/>
            </w:tcBorders>
          </w:tcPr>
          <w:p>
            <w:pPr>
              <w:rPr>
                <w:rFonts w:ascii="Arial"/>
                <w:sz w:val="21"/>
              </w:rPr>
            </w:pPr>
            <w:r/>
          </w:p>
        </w:tc>
        <w:tc>
          <w:tcPr>
            <w:tcW w:w="2123" w:type="dxa"/>
            <w:vAlign w:val="top"/>
            <w:vMerge w:val="continue"/>
            <w:tcBorders>
              <w:top w:val="nil"/>
            </w:tcBorders>
          </w:tcPr>
          <w:p>
            <w:pPr>
              <w:rPr>
                <w:rFonts w:ascii="Arial"/>
                <w:sz w:val="21"/>
              </w:rPr>
            </w:pPr>
            <w:r/>
          </w:p>
        </w:tc>
      </w:tr>
      <w:tr>
        <w:trPr>
          <w:trHeight w:val="360" w:hRule="atLeast"/>
        </w:trPr>
        <w:tc>
          <w:tcPr>
            <w:tcW w:w="685" w:type="dxa"/>
            <w:vAlign w:val="top"/>
            <w:vMerge w:val="restart"/>
            <w:tcBorders>
              <w:bottom w:val="nil"/>
            </w:tcBorders>
          </w:tcPr>
          <w:p>
            <w:pPr>
              <w:rPr>
                <w:rFonts w:ascii="Arial"/>
                <w:sz w:val="21"/>
              </w:rPr>
            </w:pPr>
            <w:r/>
          </w:p>
        </w:tc>
        <w:tc>
          <w:tcPr>
            <w:tcW w:w="2149" w:type="dxa"/>
            <w:vAlign w:val="top"/>
          </w:tcPr>
          <w:p>
            <w:pPr>
              <w:pStyle w:val="TableText"/>
              <w:ind w:left="660"/>
              <w:spacing w:before="77" w:line="219" w:lineRule="auto"/>
              <w:rPr>
                <w:sz w:val="20"/>
                <w:szCs w:val="20"/>
              </w:rPr>
            </w:pPr>
            <w:r>
              <w:rPr>
                <w:sz w:val="20"/>
                <w:szCs w:val="20"/>
                <w:spacing w:val="-2"/>
              </w:rPr>
              <w:t>沙塘里村</w:t>
            </w:r>
          </w:p>
        </w:tc>
        <w:tc>
          <w:tcPr>
            <w:tcW w:w="2408" w:type="dxa"/>
            <w:vAlign w:val="top"/>
          </w:tcPr>
          <w:p>
            <w:pPr>
              <w:rPr>
                <w:rFonts w:ascii="Arial"/>
                <w:sz w:val="21"/>
              </w:rPr>
            </w:pPr>
            <w:r/>
          </w:p>
        </w:tc>
        <w:tc>
          <w:tcPr>
            <w:tcW w:w="2368" w:type="dxa"/>
            <w:vAlign w:val="top"/>
          </w:tcPr>
          <w:p>
            <w:pPr>
              <w:rPr>
                <w:rFonts w:ascii="Arial"/>
                <w:sz w:val="21"/>
              </w:rPr>
            </w:pPr>
            <w:r/>
          </w:p>
        </w:tc>
        <w:tc>
          <w:tcPr>
            <w:tcW w:w="1269" w:type="dxa"/>
            <w:vAlign w:val="top"/>
          </w:tcPr>
          <w:p>
            <w:pPr>
              <w:rPr>
                <w:rFonts w:ascii="Arial"/>
                <w:sz w:val="21"/>
              </w:rPr>
            </w:pPr>
            <w:r/>
          </w:p>
        </w:tc>
        <w:tc>
          <w:tcPr>
            <w:tcW w:w="1279" w:type="dxa"/>
            <w:vAlign w:val="top"/>
            <w:vMerge w:val="restart"/>
            <w:tcBorders>
              <w:bottom w:val="nil"/>
            </w:tcBorders>
          </w:tcPr>
          <w:p>
            <w:pPr>
              <w:rPr>
                <w:rFonts w:ascii="Arial"/>
                <w:sz w:val="21"/>
              </w:rPr>
            </w:pPr>
            <w:r/>
          </w:p>
        </w:tc>
        <w:tc>
          <w:tcPr>
            <w:tcW w:w="1839" w:type="dxa"/>
            <w:vAlign w:val="top"/>
          </w:tcPr>
          <w:p>
            <w:pPr>
              <w:pStyle w:val="TableText"/>
              <w:ind w:left="717"/>
              <w:spacing w:before="79" w:line="219" w:lineRule="auto"/>
              <w:rPr>
                <w:sz w:val="20"/>
                <w:szCs w:val="20"/>
              </w:rPr>
            </w:pPr>
            <w:r>
              <w:rPr>
                <w:sz w:val="20"/>
                <w:szCs w:val="20"/>
                <w:spacing w:val="6"/>
              </w:rPr>
              <w:t>南侧</w:t>
            </w:r>
          </w:p>
        </w:tc>
        <w:tc>
          <w:tcPr>
            <w:tcW w:w="2123" w:type="dxa"/>
            <w:vAlign w:val="top"/>
          </w:tcPr>
          <w:p>
            <w:pPr>
              <w:pStyle w:val="TableText"/>
              <w:ind w:left="858"/>
              <w:spacing w:before="130" w:line="183" w:lineRule="auto"/>
              <w:rPr>
                <w:sz w:val="20"/>
                <w:szCs w:val="20"/>
              </w:rPr>
            </w:pPr>
            <w:r>
              <w:rPr>
                <w:sz w:val="20"/>
                <w:szCs w:val="20"/>
                <w:spacing w:val="-2"/>
              </w:rPr>
              <w:t>2976</w:t>
            </w:r>
          </w:p>
        </w:tc>
      </w:tr>
      <w:tr>
        <w:trPr>
          <w:trHeight w:val="330" w:hRule="atLeast"/>
        </w:trPr>
        <w:tc>
          <w:tcPr>
            <w:tcW w:w="685" w:type="dxa"/>
            <w:vAlign w:val="top"/>
            <w:vMerge w:val="continue"/>
            <w:tcBorders>
              <w:top w:val="nil"/>
              <w:bottom w:val="nil"/>
            </w:tcBorders>
          </w:tcPr>
          <w:p>
            <w:pPr>
              <w:rPr>
                <w:rFonts w:ascii="Arial"/>
                <w:sz w:val="21"/>
              </w:rPr>
            </w:pPr>
            <w:r/>
          </w:p>
        </w:tc>
        <w:tc>
          <w:tcPr>
            <w:tcW w:w="2149" w:type="dxa"/>
            <w:vAlign w:val="top"/>
          </w:tcPr>
          <w:p>
            <w:pPr>
              <w:pStyle w:val="TableText"/>
              <w:ind w:left="660"/>
              <w:spacing w:before="68" w:line="219" w:lineRule="auto"/>
              <w:rPr>
                <w:sz w:val="20"/>
                <w:szCs w:val="20"/>
              </w:rPr>
            </w:pPr>
            <w:r>
              <w:rPr>
                <w:sz w:val="20"/>
                <w:szCs w:val="20"/>
                <w:spacing w:val="-2"/>
              </w:rPr>
              <w:t>沙塘街村</w:t>
            </w:r>
          </w:p>
        </w:tc>
        <w:tc>
          <w:tcPr>
            <w:tcW w:w="2408" w:type="dxa"/>
            <w:vAlign w:val="top"/>
          </w:tcPr>
          <w:p>
            <w:pPr>
              <w:rPr>
                <w:rFonts w:ascii="Arial"/>
                <w:sz w:val="21"/>
              </w:rPr>
            </w:pPr>
            <w:r/>
          </w:p>
        </w:tc>
        <w:tc>
          <w:tcPr>
            <w:tcW w:w="2368" w:type="dxa"/>
            <w:vAlign w:val="top"/>
          </w:tcPr>
          <w:p>
            <w:pPr>
              <w:rPr>
                <w:rFonts w:ascii="Arial"/>
                <w:sz w:val="21"/>
              </w:rPr>
            </w:pPr>
            <w:r/>
          </w:p>
        </w:tc>
        <w:tc>
          <w:tcPr>
            <w:tcW w:w="1269" w:type="dxa"/>
            <w:vAlign w:val="top"/>
          </w:tcPr>
          <w:p>
            <w:pPr>
              <w:rPr>
                <w:rFonts w:ascii="Arial"/>
                <w:sz w:val="21"/>
              </w:rPr>
            </w:pPr>
            <w:r/>
          </w:p>
        </w:tc>
        <w:tc>
          <w:tcPr>
            <w:tcW w:w="1279" w:type="dxa"/>
            <w:vAlign w:val="top"/>
            <w:vMerge w:val="continue"/>
            <w:tcBorders>
              <w:top w:val="nil"/>
              <w:bottom w:val="nil"/>
            </w:tcBorders>
          </w:tcPr>
          <w:p>
            <w:pPr>
              <w:rPr>
                <w:rFonts w:ascii="Arial"/>
                <w:sz w:val="21"/>
              </w:rPr>
            </w:pPr>
            <w:r/>
          </w:p>
        </w:tc>
        <w:tc>
          <w:tcPr>
            <w:tcW w:w="1839" w:type="dxa"/>
            <w:vAlign w:val="top"/>
          </w:tcPr>
          <w:p>
            <w:pPr>
              <w:pStyle w:val="TableText"/>
              <w:ind w:left="717"/>
              <w:spacing w:before="69" w:line="219" w:lineRule="auto"/>
              <w:rPr>
                <w:sz w:val="20"/>
                <w:szCs w:val="20"/>
              </w:rPr>
            </w:pPr>
            <w:r>
              <w:rPr>
                <w:sz w:val="20"/>
                <w:szCs w:val="20"/>
                <w:spacing w:val="6"/>
              </w:rPr>
              <w:t>南侧</w:t>
            </w:r>
          </w:p>
        </w:tc>
        <w:tc>
          <w:tcPr>
            <w:tcW w:w="2123" w:type="dxa"/>
            <w:vAlign w:val="top"/>
          </w:tcPr>
          <w:p>
            <w:pPr>
              <w:pStyle w:val="TableText"/>
              <w:ind w:left="858"/>
              <w:spacing w:before="120" w:line="183" w:lineRule="auto"/>
              <w:rPr>
                <w:sz w:val="20"/>
                <w:szCs w:val="20"/>
              </w:rPr>
            </w:pPr>
            <w:r>
              <w:rPr>
                <w:sz w:val="20"/>
                <w:szCs w:val="20"/>
                <w:spacing w:val="-3"/>
              </w:rPr>
              <w:t>3345</w:t>
            </w:r>
          </w:p>
        </w:tc>
      </w:tr>
      <w:tr>
        <w:trPr>
          <w:trHeight w:val="330" w:hRule="atLeast"/>
        </w:trPr>
        <w:tc>
          <w:tcPr>
            <w:tcW w:w="685" w:type="dxa"/>
            <w:vAlign w:val="top"/>
            <w:vMerge w:val="continue"/>
            <w:tcBorders>
              <w:top w:val="nil"/>
              <w:bottom w:val="nil"/>
            </w:tcBorders>
          </w:tcPr>
          <w:p>
            <w:pPr>
              <w:rPr>
                <w:rFonts w:ascii="Arial"/>
                <w:sz w:val="21"/>
              </w:rPr>
            </w:pPr>
            <w:r/>
          </w:p>
        </w:tc>
        <w:tc>
          <w:tcPr>
            <w:tcW w:w="2149" w:type="dxa"/>
            <w:vAlign w:val="top"/>
          </w:tcPr>
          <w:p>
            <w:pPr>
              <w:pStyle w:val="TableText"/>
              <w:ind w:left="760"/>
              <w:spacing w:before="67" w:line="219" w:lineRule="auto"/>
              <w:rPr>
                <w:sz w:val="20"/>
                <w:szCs w:val="20"/>
              </w:rPr>
            </w:pPr>
            <w:r>
              <w:rPr>
                <w:sz w:val="20"/>
                <w:szCs w:val="20"/>
                <w:spacing w:val="3"/>
              </w:rPr>
              <w:t>古县村</w:t>
            </w:r>
          </w:p>
        </w:tc>
        <w:tc>
          <w:tcPr>
            <w:tcW w:w="2408" w:type="dxa"/>
            <w:vAlign w:val="top"/>
          </w:tcPr>
          <w:p>
            <w:pPr>
              <w:rPr>
                <w:rFonts w:ascii="Arial"/>
                <w:sz w:val="21"/>
              </w:rPr>
            </w:pPr>
            <w:r/>
          </w:p>
        </w:tc>
        <w:tc>
          <w:tcPr>
            <w:tcW w:w="2368" w:type="dxa"/>
            <w:vAlign w:val="top"/>
          </w:tcPr>
          <w:p>
            <w:pPr>
              <w:rPr>
                <w:rFonts w:ascii="Arial"/>
                <w:sz w:val="21"/>
              </w:rPr>
            </w:pPr>
            <w:r/>
          </w:p>
        </w:tc>
        <w:tc>
          <w:tcPr>
            <w:tcW w:w="1269" w:type="dxa"/>
            <w:vAlign w:val="top"/>
          </w:tcPr>
          <w:p>
            <w:pPr>
              <w:rPr>
                <w:rFonts w:ascii="Arial"/>
                <w:sz w:val="21"/>
              </w:rPr>
            </w:pPr>
            <w:r/>
          </w:p>
        </w:tc>
        <w:tc>
          <w:tcPr>
            <w:tcW w:w="1279" w:type="dxa"/>
            <w:vAlign w:val="top"/>
            <w:vMerge w:val="continue"/>
            <w:tcBorders>
              <w:top w:val="nil"/>
              <w:bottom w:val="nil"/>
            </w:tcBorders>
          </w:tcPr>
          <w:p>
            <w:pPr>
              <w:rPr>
                <w:rFonts w:ascii="Arial"/>
                <w:sz w:val="21"/>
              </w:rPr>
            </w:pPr>
            <w:r/>
          </w:p>
        </w:tc>
        <w:tc>
          <w:tcPr>
            <w:tcW w:w="1839" w:type="dxa"/>
            <w:vAlign w:val="top"/>
          </w:tcPr>
          <w:p>
            <w:pPr>
              <w:pStyle w:val="TableText"/>
              <w:ind w:left="717"/>
              <w:spacing w:before="69" w:line="219" w:lineRule="auto"/>
              <w:rPr>
                <w:sz w:val="20"/>
                <w:szCs w:val="20"/>
              </w:rPr>
            </w:pPr>
            <w:r>
              <w:rPr>
                <w:sz w:val="20"/>
                <w:szCs w:val="20"/>
                <w:spacing w:val="6"/>
              </w:rPr>
              <w:t>南侧</w:t>
            </w:r>
          </w:p>
        </w:tc>
        <w:tc>
          <w:tcPr>
            <w:tcW w:w="2123" w:type="dxa"/>
            <w:vAlign w:val="top"/>
          </w:tcPr>
          <w:p>
            <w:pPr>
              <w:pStyle w:val="TableText"/>
              <w:ind w:left="858"/>
              <w:spacing w:before="120" w:line="183" w:lineRule="auto"/>
              <w:rPr>
                <w:sz w:val="20"/>
                <w:szCs w:val="20"/>
              </w:rPr>
            </w:pPr>
            <w:r>
              <w:rPr>
                <w:sz w:val="20"/>
                <w:szCs w:val="20"/>
                <w:spacing w:val="-2"/>
              </w:rPr>
              <w:t>4234</w:t>
            </w:r>
          </w:p>
        </w:tc>
      </w:tr>
      <w:tr>
        <w:trPr>
          <w:trHeight w:val="359" w:hRule="atLeast"/>
        </w:trPr>
        <w:tc>
          <w:tcPr>
            <w:tcW w:w="685" w:type="dxa"/>
            <w:vAlign w:val="top"/>
            <w:vMerge w:val="continue"/>
            <w:tcBorders>
              <w:top w:val="nil"/>
              <w:bottom w:val="nil"/>
            </w:tcBorders>
          </w:tcPr>
          <w:p>
            <w:pPr>
              <w:rPr>
                <w:rFonts w:ascii="Arial"/>
                <w:sz w:val="21"/>
              </w:rPr>
            </w:pPr>
            <w:r/>
          </w:p>
        </w:tc>
        <w:tc>
          <w:tcPr>
            <w:tcW w:w="2149" w:type="dxa"/>
            <w:vAlign w:val="top"/>
          </w:tcPr>
          <w:p>
            <w:pPr>
              <w:pStyle w:val="TableText"/>
              <w:ind w:left="760"/>
              <w:spacing w:before="77" w:line="219" w:lineRule="auto"/>
              <w:rPr>
                <w:sz w:val="20"/>
                <w:szCs w:val="20"/>
              </w:rPr>
            </w:pPr>
            <w:r>
              <w:rPr>
                <w:sz w:val="20"/>
                <w:szCs w:val="20"/>
                <w:spacing w:val="-2"/>
              </w:rPr>
              <w:t>青福村</w:t>
            </w:r>
          </w:p>
        </w:tc>
        <w:tc>
          <w:tcPr>
            <w:tcW w:w="2408" w:type="dxa"/>
            <w:vAlign w:val="top"/>
          </w:tcPr>
          <w:p>
            <w:pPr>
              <w:rPr>
                <w:rFonts w:ascii="Arial"/>
                <w:sz w:val="21"/>
              </w:rPr>
            </w:pPr>
            <w:r/>
          </w:p>
        </w:tc>
        <w:tc>
          <w:tcPr>
            <w:tcW w:w="2368" w:type="dxa"/>
            <w:vAlign w:val="top"/>
          </w:tcPr>
          <w:p>
            <w:pPr>
              <w:rPr>
                <w:rFonts w:ascii="Arial"/>
                <w:sz w:val="21"/>
              </w:rPr>
            </w:pPr>
            <w:r/>
          </w:p>
        </w:tc>
        <w:tc>
          <w:tcPr>
            <w:tcW w:w="1269" w:type="dxa"/>
            <w:vAlign w:val="top"/>
          </w:tcPr>
          <w:p>
            <w:pPr>
              <w:rPr>
                <w:rFonts w:ascii="Arial"/>
                <w:sz w:val="21"/>
              </w:rPr>
            </w:pPr>
            <w:r/>
          </w:p>
        </w:tc>
        <w:tc>
          <w:tcPr>
            <w:tcW w:w="1279" w:type="dxa"/>
            <w:vAlign w:val="top"/>
            <w:vMerge w:val="continue"/>
            <w:tcBorders>
              <w:top w:val="nil"/>
              <w:bottom w:val="nil"/>
            </w:tcBorders>
          </w:tcPr>
          <w:p>
            <w:pPr>
              <w:rPr>
                <w:rFonts w:ascii="Arial"/>
                <w:sz w:val="21"/>
              </w:rPr>
            </w:pPr>
            <w:r/>
          </w:p>
        </w:tc>
        <w:tc>
          <w:tcPr>
            <w:tcW w:w="1839" w:type="dxa"/>
            <w:vAlign w:val="top"/>
          </w:tcPr>
          <w:p>
            <w:pPr>
              <w:pStyle w:val="TableText"/>
              <w:ind w:left="617"/>
              <w:spacing w:before="79" w:line="219" w:lineRule="auto"/>
              <w:rPr>
                <w:sz w:val="20"/>
                <w:szCs w:val="20"/>
              </w:rPr>
            </w:pPr>
            <w:r>
              <w:rPr>
                <w:sz w:val="20"/>
                <w:szCs w:val="20"/>
                <w:spacing w:val="4"/>
              </w:rPr>
              <w:t>西北侧</w:t>
            </w:r>
          </w:p>
        </w:tc>
        <w:tc>
          <w:tcPr>
            <w:tcW w:w="2123" w:type="dxa"/>
            <w:vAlign w:val="top"/>
          </w:tcPr>
          <w:p>
            <w:pPr>
              <w:pStyle w:val="TableText"/>
              <w:ind w:left="858"/>
              <w:spacing w:before="130" w:line="183" w:lineRule="auto"/>
              <w:rPr>
                <w:sz w:val="20"/>
                <w:szCs w:val="20"/>
              </w:rPr>
            </w:pPr>
            <w:r>
              <w:rPr>
                <w:sz w:val="20"/>
                <w:szCs w:val="20"/>
                <w:spacing w:val="-2"/>
              </w:rPr>
              <w:t>4602</w:t>
            </w:r>
          </w:p>
        </w:tc>
      </w:tr>
      <w:tr>
        <w:trPr>
          <w:trHeight w:val="339" w:hRule="atLeast"/>
        </w:trPr>
        <w:tc>
          <w:tcPr>
            <w:tcW w:w="685" w:type="dxa"/>
            <w:vAlign w:val="top"/>
            <w:vMerge w:val="continue"/>
            <w:tcBorders>
              <w:top w:val="nil"/>
              <w:bottom w:val="nil"/>
            </w:tcBorders>
          </w:tcPr>
          <w:p>
            <w:pPr>
              <w:rPr>
                <w:rFonts w:ascii="Arial"/>
                <w:sz w:val="21"/>
              </w:rPr>
            </w:pPr>
            <w:r/>
          </w:p>
        </w:tc>
        <w:tc>
          <w:tcPr>
            <w:tcW w:w="2149" w:type="dxa"/>
            <w:vAlign w:val="top"/>
          </w:tcPr>
          <w:p>
            <w:pPr>
              <w:pStyle w:val="TableText"/>
              <w:ind w:left="760"/>
              <w:spacing w:before="68" w:line="219" w:lineRule="auto"/>
              <w:rPr>
                <w:sz w:val="20"/>
                <w:szCs w:val="20"/>
              </w:rPr>
            </w:pPr>
            <w:r>
              <w:rPr>
                <w:sz w:val="20"/>
                <w:szCs w:val="20"/>
                <w:spacing w:val="-2"/>
              </w:rPr>
              <w:t>墓斗村</w:t>
            </w:r>
          </w:p>
        </w:tc>
        <w:tc>
          <w:tcPr>
            <w:tcW w:w="2408" w:type="dxa"/>
            <w:vAlign w:val="top"/>
          </w:tcPr>
          <w:p>
            <w:pPr>
              <w:rPr>
                <w:rFonts w:ascii="Arial"/>
                <w:sz w:val="21"/>
              </w:rPr>
            </w:pPr>
            <w:r/>
          </w:p>
        </w:tc>
        <w:tc>
          <w:tcPr>
            <w:tcW w:w="2368" w:type="dxa"/>
            <w:vAlign w:val="top"/>
          </w:tcPr>
          <w:p>
            <w:pPr>
              <w:rPr>
                <w:rFonts w:ascii="Arial"/>
                <w:sz w:val="21"/>
              </w:rPr>
            </w:pPr>
            <w:r/>
          </w:p>
        </w:tc>
        <w:tc>
          <w:tcPr>
            <w:tcW w:w="1269" w:type="dxa"/>
            <w:vAlign w:val="top"/>
          </w:tcPr>
          <w:p>
            <w:pPr>
              <w:rPr>
                <w:rFonts w:ascii="Arial"/>
                <w:sz w:val="21"/>
              </w:rPr>
            </w:pPr>
            <w:r/>
          </w:p>
        </w:tc>
        <w:tc>
          <w:tcPr>
            <w:tcW w:w="1279" w:type="dxa"/>
            <w:vAlign w:val="top"/>
            <w:vMerge w:val="continue"/>
            <w:tcBorders>
              <w:top w:val="nil"/>
              <w:bottom w:val="nil"/>
            </w:tcBorders>
          </w:tcPr>
          <w:p>
            <w:pPr>
              <w:rPr>
                <w:rFonts w:ascii="Arial"/>
                <w:sz w:val="21"/>
              </w:rPr>
            </w:pPr>
            <w:r/>
          </w:p>
        </w:tc>
        <w:tc>
          <w:tcPr>
            <w:tcW w:w="1839" w:type="dxa"/>
            <w:vAlign w:val="top"/>
          </w:tcPr>
          <w:p>
            <w:pPr>
              <w:pStyle w:val="TableText"/>
              <w:ind w:left="617"/>
              <w:spacing w:before="70" w:line="219" w:lineRule="auto"/>
              <w:rPr>
                <w:sz w:val="20"/>
                <w:szCs w:val="20"/>
              </w:rPr>
            </w:pPr>
            <w:r>
              <w:rPr>
                <w:sz w:val="20"/>
                <w:szCs w:val="20"/>
                <w:spacing w:val="4"/>
              </w:rPr>
              <w:t>西北侧</w:t>
            </w:r>
          </w:p>
        </w:tc>
        <w:tc>
          <w:tcPr>
            <w:tcW w:w="2123" w:type="dxa"/>
            <w:vAlign w:val="top"/>
          </w:tcPr>
          <w:p>
            <w:pPr>
              <w:pStyle w:val="TableText"/>
              <w:ind w:left="858"/>
              <w:spacing w:before="120" w:line="184" w:lineRule="auto"/>
              <w:rPr>
                <w:sz w:val="20"/>
                <w:szCs w:val="20"/>
              </w:rPr>
            </w:pPr>
            <w:r>
              <w:rPr>
                <w:sz w:val="20"/>
                <w:szCs w:val="20"/>
                <w:spacing w:val="-3"/>
              </w:rPr>
              <w:t>3910</w:t>
            </w:r>
          </w:p>
        </w:tc>
      </w:tr>
      <w:tr>
        <w:trPr>
          <w:trHeight w:val="330" w:hRule="atLeast"/>
        </w:trPr>
        <w:tc>
          <w:tcPr>
            <w:tcW w:w="685" w:type="dxa"/>
            <w:vAlign w:val="top"/>
            <w:vMerge w:val="continue"/>
            <w:tcBorders>
              <w:top w:val="nil"/>
              <w:bottom w:val="nil"/>
            </w:tcBorders>
          </w:tcPr>
          <w:p>
            <w:pPr>
              <w:rPr>
                <w:rFonts w:ascii="Arial"/>
                <w:sz w:val="21"/>
              </w:rPr>
            </w:pPr>
            <w:r/>
          </w:p>
        </w:tc>
        <w:tc>
          <w:tcPr>
            <w:tcW w:w="2149" w:type="dxa"/>
            <w:vAlign w:val="top"/>
          </w:tcPr>
          <w:p>
            <w:pPr>
              <w:pStyle w:val="TableText"/>
              <w:ind w:left="760"/>
              <w:spacing w:before="69" w:line="219" w:lineRule="auto"/>
              <w:rPr>
                <w:sz w:val="20"/>
                <w:szCs w:val="20"/>
              </w:rPr>
            </w:pPr>
            <w:r>
              <w:rPr>
                <w:sz w:val="20"/>
                <w:szCs w:val="20"/>
                <w:spacing w:val="-2"/>
              </w:rPr>
              <w:t>玉潭村</w:t>
            </w:r>
          </w:p>
        </w:tc>
        <w:tc>
          <w:tcPr>
            <w:tcW w:w="2408" w:type="dxa"/>
            <w:vAlign w:val="top"/>
          </w:tcPr>
          <w:p>
            <w:pPr>
              <w:rPr>
                <w:rFonts w:ascii="Arial"/>
                <w:sz w:val="21"/>
              </w:rPr>
            </w:pPr>
            <w:r/>
          </w:p>
        </w:tc>
        <w:tc>
          <w:tcPr>
            <w:tcW w:w="2368" w:type="dxa"/>
            <w:vAlign w:val="top"/>
          </w:tcPr>
          <w:p>
            <w:pPr>
              <w:rPr>
                <w:rFonts w:ascii="Arial"/>
                <w:sz w:val="21"/>
              </w:rPr>
            </w:pPr>
            <w:r/>
          </w:p>
        </w:tc>
        <w:tc>
          <w:tcPr>
            <w:tcW w:w="1269" w:type="dxa"/>
            <w:vAlign w:val="top"/>
          </w:tcPr>
          <w:p>
            <w:pPr>
              <w:rPr>
                <w:rFonts w:ascii="Arial"/>
                <w:sz w:val="21"/>
              </w:rPr>
            </w:pPr>
            <w:r/>
          </w:p>
        </w:tc>
        <w:tc>
          <w:tcPr>
            <w:tcW w:w="1279" w:type="dxa"/>
            <w:vAlign w:val="top"/>
            <w:vMerge w:val="continue"/>
            <w:tcBorders>
              <w:top w:val="nil"/>
              <w:bottom w:val="nil"/>
            </w:tcBorders>
          </w:tcPr>
          <w:p>
            <w:pPr>
              <w:rPr>
                <w:rFonts w:ascii="Arial"/>
                <w:sz w:val="21"/>
              </w:rPr>
            </w:pPr>
            <w:r/>
          </w:p>
        </w:tc>
        <w:tc>
          <w:tcPr>
            <w:tcW w:w="1839" w:type="dxa"/>
            <w:vAlign w:val="top"/>
          </w:tcPr>
          <w:p>
            <w:pPr>
              <w:pStyle w:val="TableText"/>
              <w:ind w:left="617"/>
              <w:spacing w:before="71" w:line="219" w:lineRule="auto"/>
              <w:rPr>
                <w:sz w:val="20"/>
                <w:szCs w:val="20"/>
              </w:rPr>
            </w:pPr>
            <w:r>
              <w:rPr>
                <w:sz w:val="20"/>
                <w:szCs w:val="20"/>
                <w:spacing w:val="4"/>
              </w:rPr>
              <w:t>西北侧</w:t>
            </w:r>
          </w:p>
        </w:tc>
        <w:tc>
          <w:tcPr>
            <w:tcW w:w="2123" w:type="dxa"/>
            <w:vAlign w:val="top"/>
          </w:tcPr>
          <w:p>
            <w:pPr>
              <w:pStyle w:val="TableText"/>
              <w:ind w:left="858"/>
              <w:spacing w:before="122" w:line="182" w:lineRule="auto"/>
              <w:rPr>
                <w:sz w:val="20"/>
                <w:szCs w:val="20"/>
              </w:rPr>
            </w:pPr>
            <w:r>
              <w:rPr>
                <w:sz w:val="20"/>
                <w:szCs w:val="20"/>
                <w:spacing w:val="-3"/>
              </w:rPr>
              <w:t>3730</w:t>
            </w:r>
          </w:p>
        </w:tc>
      </w:tr>
      <w:tr>
        <w:trPr>
          <w:trHeight w:val="350" w:hRule="atLeast"/>
        </w:trPr>
        <w:tc>
          <w:tcPr>
            <w:tcW w:w="685" w:type="dxa"/>
            <w:vAlign w:val="top"/>
            <w:vMerge w:val="continue"/>
            <w:tcBorders>
              <w:top w:val="nil"/>
              <w:bottom w:val="nil"/>
            </w:tcBorders>
          </w:tcPr>
          <w:p>
            <w:pPr>
              <w:rPr>
                <w:rFonts w:ascii="Arial"/>
                <w:sz w:val="21"/>
              </w:rPr>
            </w:pPr>
            <w:r/>
          </w:p>
        </w:tc>
        <w:tc>
          <w:tcPr>
            <w:tcW w:w="2149" w:type="dxa"/>
            <w:vAlign w:val="top"/>
          </w:tcPr>
          <w:p>
            <w:pPr>
              <w:pStyle w:val="TableText"/>
              <w:ind w:left="760"/>
              <w:spacing w:before="79" w:line="219" w:lineRule="auto"/>
              <w:rPr>
                <w:sz w:val="20"/>
                <w:szCs w:val="20"/>
              </w:rPr>
            </w:pPr>
            <w:r>
              <w:rPr>
                <w:sz w:val="20"/>
                <w:szCs w:val="20"/>
                <w:spacing w:val="3"/>
              </w:rPr>
              <w:t>小沙村</w:t>
            </w:r>
          </w:p>
        </w:tc>
        <w:tc>
          <w:tcPr>
            <w:tcW w:w="2408" w:type="dxa"/>
            <w:vAlign w:val="top"/>
          </w:tcPr>
          <w:p>
            <w:pPr>
              <w:rPr>
                <w:rFonts w:ascii="Arial"/>
                <w:sz w:val="21"/>
              </w:rPr>
            </w:pPr>
            <w:r/>
          </w:p>
        </w:tc>
        <w:tc>
          <w:tcPr>
            <w:tcW w:w="2368" w:type="dxa"/>
            <w:vAlign w:val="top"/>
          </w:tcPr>
          <w:p>
            <w:pPr>
              <w:rPr>
                <w:rFonts w:ascii="Arial"/>
                <w:sz w:val="21"/>
              </w:rPr>
            </w:pPr>
            <w:r/>
          </w:p>
        </w:tc>
        <w:tc>
          <w:tcPr>
            <w:tcW w:w="1269" w:type="dxa"/>
            <w:vAlign w:val="top"/>
          </w:tcPr>
          <w:p>
            <w:pPr>
              <w:rPr>
                <w:rFonts w:ascii="Arial"/>
                <w:sz w:val="21"/>
              </w:rPr>
            </w:pPr>
            <w:r/>
          </w:p>
        </w:tc>
        <w:tc>
          <w:tcPr>
            <w:tcW w:w="1279" w:type="dxa"/>
            <w:vAlign w:val="top"/>
            <w:vMerge w:val="continue"/>
            <w:tcBorders>
              <w:top w:val="nil"/>
              <w:bottom w:val="nil"/>
            </w:tcBorders>
          </w:tcPr>
          <w:p>
            <w:pPr>
              <w:rPr>
                <w:rFonts w:ascii="Arial"/>
                <w:sz w:val="21"/>
              </w:rPr>
            </w:pPr>
            <w:r/>
          </w:p>
        </w:tc>
        <w:tc>
          <w:tcPr>
            <w:tcW w:w="1839" w:type="dxa"/>
            <w:vAlign w:val="top"/>
          </w:tcPr>
          <w:p>
            <w:pPr>
              <w:pStyle w:val="TableText"/>
              <w:ind w:left="717"/>
              <w:spacing w:before="81" w:line="219" w:lineRule="auto"/>
              <w:rPr>
                <w:sz w:val="20"/>
                <w:szCs w:val="20"/>
              </w:rPr>
            </w:pPr>
            <w:r>
              <w:rPr>
                <w:sz w:val="20"/>
                <w:szCs w:val="20"/>
                <w:spacing w:val="6"/>
              </w:rPr>
              <w:t>北侧</w:t>
            </w:r>
          </w:p>
        </w:tc>
        <w:tc>
          <w:tcPr>
            <w:tcW w:w="2123" w:type="dxa"/>
            <w:vAlign w:val="top"/>
          </w:tcPr>
          <w:p>
            <w:pPr>
              <w:pStyle w:val="TableText"/>
              <w:ind w:left="858"/>
              <w:spacing w:before="131" w:line="184" w:lineRule="auto"/>
              <w:rPr>
                <w:sz w:val="20"/>
                <w:szCs w:val="20"/>
              </w:rPr>
            </w:pPr>
            <w:r>
              <w:rPr>
                <w:sz w:val="20"/>
                <w:szCs w:val="20"/>
                <w:spacing w:val="-5"/>
              </w:rPr>
              <w:t>1327</w:t>
            </w:r>
          </w:p>
        </w:tc>
      </w:tr>
      <w:tr>
        <w:trPr>
          <w:trHeight w:val="339" w:hRule="atLeast"/>
        </w:trPr>
        <w:tc>
          <w:tcPr>
            <w:tcW w:w="685" w:type="dxa"/>
            <w:vAlign w:val="top"/>
            <w:vMerge w:val="continue"/>
            <w:tcBorders>
              <w:top w:val="nil"/>
              <w:bottom w:val="nil"/>
            </w:tcBorders>
          </w:tcPr>
          <w:p>
            <w:pPr>
              <w:rPr>
                <w:rFonts w:ascii="Arial"/>
                <w:sz w:val="21"/>
              </w:rPr>
            </w:pPr>
            <w:r/>
          </w:p>
        </w:tc>
        <w:tc>
          <w:tcPr>
            <w:tcW w:w="2149" w:type="dxa"/>
            <w:vAlign w:val="top"/>
          </w:tcPr>
          <w:p>
            <w:pPr>
              <w:pStyle w:val="TableText"/>
              <w:ind w:left="660"/>
              <w:spacing w:before="71" w:line="219" w:lineRule="auto"/>
              <w:rPr>
                <w:sz w:val="20"/>
                <w:szCs w:val="20"/>
              </w:rPr>
            </w:pPr>
            <w:r>
              <w:rPr>
                <w:sz w:val="20"/>
                <w:szCs w:val="20"/>
                <w:spacing w:val="-2"/>
              </w:rPr>
              <w:t>滨海新城</w:t>
            </w:r>
          </w:p>
        </w:tc>
        <w:tc>
          <w:tcPr>
            <w:tcW w:w="2408" w:type="dxa"/>
            <w:vAlign w:val="top"/>
          </w:tcPr>
          <w:p>
            <w:pPr>
              <w:rPr>
                <w:rFonts w:ascii="Arial"/>
                <w:sz w:val="21"/>
              </w:rPr>
            </w:pPr>
            <w:r/>
          </w:p>
        </w:tc>
        <w:tc>
          <w:tcPr>
            <w:tcW w:w="2368" w:type="dxa"/>
            <w:vAlign w:val="top"/>
          </w:tcPr>
          <w:p>
            <w:pPr>
              <w:rPr>
                <w:rFonts w:ascii="Arial"/>
                <w:sz w:val="21"/>
              </w:rPr>
            </w:pPr>
            <w:r/>
          </w:p>
        </w:tc>
        <w:tc>
          <w:tcPr>
            <w:tcW w:w="1269" w:type="dxa"/>
            <w:vAlign w:val="top"/>
          </w:tcPr>
          <w:p>
            <w:pPr>
              <w:rPr>
                <w:rFonts w:ascii="Arial"/>
                <w:sz w:val="21"/>
              </w:rPr>
            </w:pPr>
            <w:r/>
          </w:p>
        </w:tc>
        <w:tc>
          <w:tcPr>
            <w:tcW w:w="1279" w:type="dxa"/>
            <w:vAlign w:val="top"/>
            <w:vMerge w:val="continue"/>
            <w:tcBorders>
              <w:top w:val="nil"/>
              <w:bottom w:val="nil"/>
            </w:tcBorders>
          </w:tcPr>
          <w:p>
            <w:pPr>
              <w:rPr>
                <w:rFonts w:ascii="Arial"/>
                <w:sz w:val="21"/>
              </w:rPr>
            </w:pPr>
            <w:r/>
          </w:p>
        </w:tc>
        <w:tc>
          <w:tcPr>
            <w:tcW w:w="1839" w:type="dxa"/>
            <w:vAlign w:val="top"/>
          </w:tcPr>
          <w:p>
            <w:pPr>
              <w:pStyle w:val="TableText"/>
              <w:ind w:left="617"/>
              <w:spacing w:before="71" w:line="219" w:lineRule="auto"/>
              <w:rPr>
                <w:sz w:val="20"/>
                <w:szCs w:val="20"/>
              </w:rPr>
            </w:pPr>
            <w:r>
              <w:rPr>
                <w:sz w:val="20"/>
                <w:szCs w:val="20"/>
                <w:spacing w:val="4"/>
              </w:rPr>
              <w:t>东北侧</w:t>
            </w:r>
          </w:p>
        </w:tc>
        <w:tc>
          <w:tcPr>
            <w:tcW w:w="2123" w:type="dxa"/>
            <w:vAlign w:val="top"/>
          </w:tcPr>
          <w:p>
            <w:pPr>
              <w:pStyle w:val="TableText"/>
              <w:ind w:left="858"/>
              <w:spacing w:before="121" w:line="184" w:lineRule="auto"/>
              <w:rPr>
                <w:sz w:val="20"/>
                <w:szCs w:val="20"/>
              </w:rPr>
            </w:pPr>
            <w:r>
              <w:rPr>
                <w:sz w:val="20"/>
                <w:szCs w:val="20"/>
                <w:spacing w:val="-5"/>
              </w:rPr>
              <w:t>1924</w:t>
            </w:r>
          </w:p>
        </w:tc>
      </w:tr>
      <w:tr>
        <w:trPr>
          <w:trHeight w:val="330" w:hRule="atLeast"/>
        </w:trPr>
        <w:tc>
          <w:tcPr>
            <w:tcW w:w="685" w:type="dxa"/>
            <w:vAlign w:val="top"/>
            <w:vMerge w:val="continue"/>
            <w:tcBorders>
              <w:top w:val="nil"/>
              <w:bottom w:val="nil"/>
            </w:tcBorders>
          </w:tcPr>
          <w:p>
            <w:pPr>
              <w:rPr>
                <w:rFonts w:ascii="Arial"/>
                <w:sz w:val="21"/>
              </w:rPr>
            </w:pPr>
            <w:r/>
          </w:p>
        </w:tc>
        <w:tc>
          <w:tcPr>
            <w:tcW w:w="2149" w:type="dxa"/>
            <w:vAlign w:val="top"/>
          </w:tcPr>
          <w:p>
            <w:pPr>
              <w:pStyle w:val="TableText"/>
              <w:ind w:left="760"/>
              <w:spacing w:before="70" w:line="219" w:lineRule="auto"/>
              <w:rPr>
                <w:sz w:val="20"/>
                <w:szCs w:val="20"/>
              </w:rPr>
            </w:pPr>
            <w:r>
              <w:rPr>
                <w:sz w:val="20"/>
                <w:szCs w:val="20"/>
                <w:spacing w:val="-3"/>
              </w:rPr>
              <w:t>沙头村</w:t>
            </w:r>
          </w:p>
        </w:tc>
        <w:tc>
          <w:tcPr>
            <w:tcW w:w="2408" w:type="dxa"/>
            <w:vAlign w:val="top"/>
          </w:tcPr>
          <w:p>
            <w:pPr>
              <w:rPr>
                <w:rFonts w:ascii="Arial"/>
                <w:sz w:val="21"/>
              </w:rPr>
            </w:pPr>
            <w:r/>
          </w:p>
        </w:tc>
        <w:tc>
          <w:tcPr>
            <w:tcW w:w="2368" w:type="dxa"/>
            <w:vAlign w:val="top"/>
          </w:tcPr>
          <w:p>
            <w:pPr>
              <w:rPr>
                <w:rFonts w:ascii="Arial"/>
                <w:sz w:val="21"/>
              </w:rPr>
            </w:pPr>
            <w:r/>
          </w:p>
        </w:tc>
        <w:tc>
          <w:tcPr>
            <w:tcW w:w="1269" w:type="dxa"/>
            <w:vAlign w:val="top"/>
          </w:tcPr>
          <w:p>
            <w:pPr>
              <w:rPr>
                <w:rFonts w:ascii="Arial"/>
                <w:sz w:val="21"/>
              </w:rPr>
            </w:pPr>
            <w:r/>
          </w:p>
        </w:tc>
        <w:tc>
          <w:tcPr>
            <w:tcW w:w="1279" w:type="dxa"/>
            <w:vAlign w:val="top"/>
            <w:vMerge w:val="continue"/>
            <w:tcBorders>
              <w:top w:val="nil"/>
              <w:bottom w:val="nil"/>
            </w:tcBorders>
          </w:tcPr>
          <w:p>
            <w:pPr>
              <w:rPr>
                <w:rFonts w:ascii="Arial"/>
                <w:sz w:val="21"/>
              </w:rPr>
            </w:pPr>
            <w:r/>
          </w:p>
        </w:tc>
        <w:tc>
          <w:tcPr>
            <w:tcW w:w="1839" w:type="dxa"/>
            <w:vAlign w:val="top"/>
          </w:tcPr>
          <w:p>
            <w:pPr>
              <w:pStyle w:val="TableText"/>
              <w:ind w:left="717"/>
              <w:spacing w:before="72" w:line="219" w:lineRule="auto"/>
              <w:rPr>
                <w:sz w:val="20"/>
                <w:szCs w:val="20"/>
              </w:rPr>
            </w:pPr>
            <w:r>
              <w:rPr>
                <w:sz w:val="20"/>
                <w:szCs w:val="20"/>
                <w:spacing w:val="6"/>
              </w:rPr>
              <w:t>北侧</w:t>
            </w:r>
          </w:p>
        </w:tc>
        <w:tc>
          <w:tcPr>
            <w:tcW w:w="2123" w:type="dxa"/>
            <w:vAlign w:val="top"/>
          </w:tcPr>
          <w:p>
            <w:pPr>
              <w:pStyle w:val="TableText"/>
              <w:ind w:left="858"/>
              <w:spacing w:before="122" w:line="182" w:lineRule="auto"/>
              <w:rPr>
                <w:sz w:val="20"/>
                <w:szCs w:val="20"/>
              </w:rPr>
            </w:pPr>
            <w:r>
              <w:rPr>
                <w:sz w:val="20"/>
                <w:szCs w:val="20"/>
                <w:spacing w:val="-2"/>
              </w:rPr>
              <w:t>2516</w:t>
            </w:r>
          </w:p>
        </w:tc>
      </w:tr>
      <w:tr>
        <w:trPr>
          <w:trHeight w:val="339" w:hRule="atLeast"/>
        </w:trPr>
        <w:tc>
          <w:tcPr>
            <w:tcW w:w="685" w:type="dxa"/>
            <w:vAlign w:val="top"/>
            <w:vMerge w:val="continue"/>
            <w:tcBorders>
              <w:top w:val="nil"/>
              <w:bottom w:val="nil"/>
            </w:tcBorders>
          </w:tcPr>
          <w:p>
            <w:pPr>
              <w:rPr>
                <w:rFonts w:ascii="Arial"/>
                <w:sz w:val="21"/>
              </w:rPr>
            </w:pPr>
            <w:r/>
          </w:p>
        </w:tc>
        <w:tc>
          <w:tcPr>
            <w:tcW w:w="2149" w:type="dxa"/>
            <w:vAlign w:val="top"/>
          </w:tcPr>
          <w:p>
            <w:pPr>
              <w:pStyle w:val="TableText"/>
              <w:ind w:left="760"/>
              <w:spacing w:before="70" w:line="219" w:lineRule="auto"/>
              <w:rPr>
                <w:sz w:val="20"/>
                <w:szCs w:val="20"/>
              </w:rPr>
            </w:pPr>
            <w:r>
              <w:rPr>
                <w:sz w:val="20"/>
                <w:szCs w:val="20"/>
                <w:spacing w:val="-2"/>
              </w:rPr>
              <w:t>塔下村</w:t>
            </w:r>
          </w:p>
        </w:tc>
        <w:tc>
          <w:tcPr>
            <w:tcW w:w="2408" w:type="dxa"/>
            <w:vAlign w:val="top"/>
          </w:tcPr>
          <w:p>
            <w:pPr>
              <w:rPr>
                <w:rFonts w:ascii="Arial"/>
                <w:sz w:val="21"/>
              </w:rPr>
            </w:pPr>
            <w:r/>
          </w:p>
        </w:tc>
        <w:tc>
          <w:tcPr>
            <w:tcW w:w="2368" w:type="dxa"/>
            <w:vAlign w:val="top"/>
          </w:tcPr>
          <w:p>
            <w:pPr>
              <w:rPr>
                <w:rFonts w:ascii="Arial"/>
                <w:sz w:val="21"/>
              </w:rPr>
            </w:pPr>
            <w:r/>
          </w:p>
        </w:tc>
        <w:tc>
          <w:tcPr>
            <w:tcW w:w="1269" w:type="dxa"/>
            <w:vAlign w:val="top"/>
          </w:tcPr>
          <w:p>
            <w:pPr>
              <w:rPr>
                <w:rFonts w:ascii="Arial"/>
                <w:sz w:val="21"/>
              </w:rPr>
            </w:pPr>
            <w:r/>
          </w:p>
        </w:tc>
        <w:tc>
          <w:tcPr>
            <w:tcW w:w="1279" w:type="dxa"/>
            <w:vAlign w:val="top"/>
            <w:vMerge w:val="continue"/>
            <w:tcBorders>
              <w:top w:val="nil"/>
              <w:bottom w:val="nil"/>
            </w:tcBorders>
          </w:tcPr>
          <w:p>
            <w:pPr>
              <w:rPr>
                <w:rFonts w:ascii="Arial"/>
                <w:sz w:val="21"/>
              </w:rPr>
            </w:pPr>
            <w:r/>
          </w:p>
        </w:tc>
        <w:tc>
          <w:tcPr>
            <w:tcW w:w="1839" w:type="dxa"/>
            <w:vAlign w:val="top"/>
          </w:tcPr>
          <w:p>
            <w:pPr>
              <w:pStyle w:val="TableText"/>
              <w:ind w:left="617"/>
              <w:spacing w:before="72" w:line="219" w:lineRule="auto"/>
              <w:rPr>
                <w:sz w:val="20"/>
                <w:szCs w:val="20"/>
              </w:rPr>
            </w:pPr>
            <w:r>
              <w:rPr>
                <w:sz w:val="20"/>
                <w:szCs w:val="20"/>
                <w:spacing w:val="4"/>
              </w:rPr>
              <w:t>东北侧</w:t>
            </w:r>
          </w:p>
        </w:tc>
        <w:tc>
          <w:tcPr>
            <w:tcW w:w="2123" w:type="dxa"/>
            <w:vAlign w:val="top"/>
          </w:tcPr>
          <w:p>
            <w:pPr>
              <w:pStyle w:val="TableText"/>
              <w:ind w:left="858"/>
              <w:spacing w:before="123" w:line="183" w:lineRule="auto"/>
              <w:rPr>
                <w:sz w:val="20"/>
                <w:szCs w:val="20"/>
              </w:rPr>
            </w:pPr>
            <w:r>
              <w:rPr>
                <w:sz w:val="20"/>
                <w:szCs w:val="20"/>
                <w:spacing w:val="-3"/>
              </w:rPr>
              <w:t>3685</w:t>
            </w:r>
          </w:p>
        </w:tc>
      </w:tr>
      <w:tr>
        <w:trPr>
          <w:trHeight w:val="349" w:hRule="atLeast"/>
        </w:trPr>
        <w:tc>
          <w:tcPr>
            <w:tcW w:w="685" w:type="dxa"/>
            <w:vAlign w:val="top"/>
            <w:vMerge w:val="continue"/>
            <w:tcBorders>
              <w:top w:val="nil"/>
              <w:bottom w:val="nil"/>
            </w:tcBorders>
          </w:tcPr>
          <w:p>
            <w:pPr>
              <w:rPr>
                <w:rFonts w:ascii="Arial"/>
                <w:sz w:val="21"/>
              </w:rPr>
            </w:pPr>
            <w:r/>
          </w:p>
        </w:tc>
        <w:tc>
          <w:tcPr>
            <w:tcW w:w="2149" w:type="dxa"/>
            <w:vAlign w:val="top"/>
          </w:tcPr>
          <w:p>
            <w:pPr>
              <w:pStyle w:val="TableText"/>
              <w:ind w:left="760"/>
              <w:spacing w:before="81" w:line="219" w:lineRule="auto"/>
              <w:rPr>
                <w:sz w:val="20"/>
                <w:szCs w:val="20"/>
              </w:rPr>
            </w:pPr>
            <w:r>
              <w:rPr>
                <w:sz w:val="20"/>
                <w:szCs w:val="20"/>
                <w:spacing w:val="3"/>
              </w:rPr>
              <w:t>北岐村</w:t>
            </w:r>
          </w:p>
        </w:tc>
        <w:tc>
          <w:tcPr>
            <w:tcW w:w="2408" w:type="dxa"/>
            <w:vAlign w:val="top"/>
          </w:tcPr>
          <w:p>
            <w:pPr>
              <w:rPr>
                <w:rFonts w:ascii="Arial"/>
                <w:sz w:val="21"/>
              </w:rPr>
            </w:pPr>
            <w:r/>
          </w:p>
        </w:tc>
        <w:tc>
          <w:tcPr>
            <w:tcW w:w="2368" w:type="dxa"/>
            <w:vAlign w:val="top"/>
          </w:tcPr>
          <w:p>
            <w:pPr>
              <w:rPr>
                <w:rFonts w:ascii="Arial"/>
                <w:sz w:val="21"/>
              </w:rPr>
            </w:pPr>
            <w:r/>
          </w:p>
        </w:tc>
        <w:tc>
          <w:tcPr>
            <w:tcW w:w="1269" w:type="dxa"/>
            <w:vAlign w:val="top"/>
          </w:tcPr>
          <w:p>
            <w:pPr>
              <w:rPr>
                <w:rFonts w:ascii="Arial"/>
                <w:sz w:val="21"/>
              </w:rPr>
            </w:pPr>
            <w:r/>
          </w:p>
        </w:tc>
        <w:tc>
          <w:tcPr>
            <w:tcW w:w="1279" w:type="dxa"/>
            <w:vAlign w:val="top"/>
            <w:vMerge w:val="continue"/>
            <w:tcBorders>
              <w:top w:val="nil"/>
              <w:bottom w:val="nil"/>
            </w:tcBorders>
          </w:tcPr>
          <w:p>
            <w:pPr>
              <w:rPr>
                <w:rFonts w:ascii="Arial"/>
                <w:sz w:val="21"/>
              </w:rPr>
            </w:pPr>
            <w:r/>
          </w:p>
        </w:tc>
        <w:tc>
          <w:tcPr>
            <w:tcW w:w="1839" w:type="dxa"/>
            <w:vAlign w:val="top"/>
          </w:tcPr>
          <w:p>
            <w:pPr>
              <w:pStyle w:val="TableText"/>
              <w:ind w:left="617"/>
              <w:spacing w:before="83" w:line="219" w:lineRule="auto"/>
              <w:rPr>
                <w:sz w:val="20"/>
                <w:szCs w:val="20"/>
              </w:rPr>
            </w:pPr>
            <w:r>
              <w:rPr>
                <w:sz w:val="20"/>
                <w:szCs w:val="20"/>
                <w:spacing w:val="4"/>
              </w:rPr>
              <w:t>东北侧</w:t>
            </w:r>
          </w:p>
        </w:tc>
        <w:tc>
          <w:tcPr>
            <w:tcW w:w="2123" w:type="dxa"/>
            <w:vAlign w:val="top"/>
          </w:tcPr>
          <w:p>
            <w:pPr>
              <w:pStyle w:val="TableText"/>
              <w:ind w:left="858"/>
              <w:spacing w:before="134" w:line="183" w:lineRule="auto"/>
              <w:rPr>
                <w:sz w:val="20"/>
                <w:szCs w:val="20"/>
              </w:rPr>
            </w:pPr>
            <w:r>
              <w:rPr>
                <w:sz w:val="20"/>
                <w:szCs w:val="20"/>
                <w:spacing w:val="-2"/>
              </w:rPr>
              <w:t>4847</w:t>
            </w:r>
          </w:p>
        </w:tc>
      </w:tr>
      <w:tr>
        <w:trPr>
          <w:trHeight w:val="330" w:hRule="atLeast"/>
        </w:trPr>
        <w:tc>
          <w:tcPr>
            <w:tcW w:w="685" w:type="dxa"/>
            <w:vAlign w:val="top"/>
            <w:vMerge w:val="continue"/>
            <w:tcBorders>
              <w:top w:val="nil"/>
              <w:bottom w:val="nil"/>
            </w:tcBorders>
          </w:tcPr>
          <w:p>
            <w:pPr>
              <w:rPr>
                <w:rFonts w:ascii="Arial"/>
                <w:sz w:val="21"/>
              </w:rPr>
            </w:pPr>
            <w:r/>
          </w:p>
        </w:tc>
        <w:tc>
          <w:tcPr>
            <w:tcW w:w="2149" w:type="dxa"/>
            <w:vAlign w:val="top"/>
          </w:tcPr>
          <w:p>
            <w:pPr>
              <w:pStyle w:val="TableText"/>
              <w:ind w:left="760"/>
              <w:spacing w:before="72" w:line="219" w:lineRule="auto"/>
              <w:rPr>
                <w:sz w:val="20"/>
                <w:szCs w:val="20"/>
              </w:rPr>
            </w:pPr>
            <w:r>
              <w:rPr>
                <w:sz w:val="20"/>
                <w:szCs w:val="20"/>
                <w:spacing w:val="-2"/>
              </w:rPr>
              <w:t>松农村</w:t>
            </w:r>
          </w:p>
        </w:tc>
        <w:tc>
          <w:tcPr>
            <w:tcW w:w="2408" w:type="dxa"/>
            <w:vAlign w:val="top"/>
          </w:tcPr>
          <w:p>
            <w:pPr>
              <w:rPr>
                <w:rFonts w:ascii="Arial"/>
                <w:sz w:val="21"/>
              </w:rPr>
            </w:pPr>
            <w:r/>
          </w:p>
        </w:tc>
        <w:tc>
          <w:tcPr>
            <w:tcW w:w="2368" w:type="dxa"/>
            <w:vAlign w:val="top"/>
          </w:tcPr>
          <w:p>
            <w:pPr>
              <w:rPr>
                <w:rFonts w:ascii="Arial"/>
                <w:sz w:val="21"/>
              </w:rPr>
            </w:pPr>
            <w:r/>
          </w:p>
        </w:tc>
        <w:tc>
          <w:tcPr>
            <w:tcW w:w="1269" w:type="dxa"/>
            <w:vAlign w:val="top"/>
          </w:tcPr>
          <w:p>
            <w:pPr>
              <w:rPr>
                <w:rFonts w:ascii="Arial"/>
                <w:sz w:val="21"/>
              </w:rPr>
            </w:pPr>
            <w:r/>
          </w:p>
        </w:tc>
        <w:tc>
          <w:tcPr>
            <w:tcW w:w="1279" w:type="dxa"/>
            <w:vAlign w:val="top"/>
            <w:vMerge w:val="continue"/>
            <w:tcBorders>
              <w:top w:val="nil"/>
              <w:bottom w:val="nil"/>
            </w:tcBorders>
          </w:tcPr>
          <w:p>
            <w:pPr>
              <w:rPr>
                <w:rFonts w:ascii="Arial"/>
                <w:sz w:val="21"/>
              </w:rPr>
            </w:pPr>
            <w:r/>
          </w:p>
        </w:tc>
        <w:tc>
          <w:tcPr>
            <w:tcW w:w="1839" w:type="dxa"/>
            <w:vAlign w:val="top"/>
          </w:tcPr>
          <w:p>
            <w:pPr>
              <w:pStyle w:val="TableText"/>
              <w:ind w:left="617"/>
              <w:spacing w:before="74" w:line="219" w:lineRule="auto"/>
              <w:rPr>
                <w:sz w:val="20"/>
                <w:szCs w:val="20"/>
              </w:rPr>
            </w:pPr>
            <w:r>
              <w:rPr>
                <w:sz w:val="20"/>
                <w:szCs w:val="20"/>
                <w:spacing w:val="4"/>
              </w:rPr>
              <w:t>东北侧</w:t>
            </w:r>
          </w:p>
        </w:tc>
        <w:tc>
          <w:tcPr>
            <w:tcW w:w="2123" w:type="dxa"/>
            <w:vAlign w:val="top"/>
          </w:tcPr>
          <w:p>
            <w:pPr>
              <w:pStyle w:val="TableText"/>
              <w:ind w:left="858"/>
              <w:spacing w:before="126" w:line="179" w:lineRule="auto"/>
              <w:rPr>
                <w:sz w:val="20"/>
                <w:szCs w:val="20"/>
              </w:rPr>
            </w:pPr>
            <w:r>
              <w:rPr>
                <w:sz w:val="20"/>
                <w:szCs w:val="20"/>
                <w:spacing w:val="-2"/>
              </w:rPr>
              <w:t>4233</w:t>
            </w:r>
          </w:p>
        </w:tc>
      </w:tr>
      <w:tr>
        <w:trPr>
          <w:trHeight w:val="330" w:hRule="atLeast"/>
        </w:trPr>
        <w:tc>
          <w:tcPr>
            <w:tcW w:w="685" w:type="dxa"/>
            <w:vAlign w:val="top"/>
            <w:vMerge w:val="continue"/>
            <w:tcBorders>
              <w:top w:val="nil"/>
              <w:bottom w:val="nil"/>
            </w:tcBorders>
          </w:tcPr>
          <w:p>
            <w:pPr>
              <w:rPr>
                <w:rFonts w:ascii="Arial"/>
                <w:sz w:val="21"/>
              </w:rPr>
            </w:pPr>
            <w:r/>
          </w:p>
        </w:tc>
        <w:tc>
          <w:tcPr>
            <w:tcW w:w="2149" w:type="dxa"/>
            <w:vAlign w:val="top"/>
          </w:tcPr>
          <w:p>
            <w:pPr>
              <w:pStyle w:val="TableText"/>
              <w:ind w:left="760"/>
              <w:spacing w:before="72" w:line="219" w:lineRule="auto"/>
              <w:rPr>
                <w:sz w:val="20"/>
                <w:szCs w:val="20"/>
              </w:rPr>
            </w:pPr>
            <w:r>
              <w:rPr>
                <w:sz w:val="20"/>
                <w:szCs w:val="20"/>
                <w:spacing w:val="-2"/>
              </w:rPr>
              <w:t>松渔村</w:t>
            </w:r>
          </w:p>
        </w:tc>
        <w:tc>
          <w:tcPr>
            <w:tcW w:w="2408" w:type="dxa"/>
            <w:vAlign w:val="top"/>
          </w:tcPr>
          <w:p>
            <w:pPr>
              <w:rPr>
                <w:rFonts w:ascii="Arial"/>
                <w:sz w:val="21"/>
              </w:rPr>
            </w:pPr>
            <w:r/>
          </w:p>
        </w:tc>
        <w:tc>
          <w:tcPr>
            <w:tcW w:w="2368" w:type="dxa"/>
            <w:vAlign w:val="top"/>
          </w:tcPr>
          <w:p>
            <w:pPr>
              <w:rPr>
                <w:rFonts w:ascii="Arial"/>
                <w:sz w:val="21"/>
              </w:rPr>
            </w:pPr>
            <w:r/>
          </w:p>
        </w:tc>
        <w:tc>
          <w:tcPr>
            <w:tcW w:w="1269" w:type="dxa"/>
            <w:vAlign w:val="top"/>
          </w:tcPr>
          <w:p>
            <w:pPr>
              <w:rPr>
                <w:rFonts w:ascii="Arial"/>
                <w:sz w:val="21"/>
              </w:rPr>
            </w:pPr>
            <w:r/>
          </w:p>
        </w:tc>
        <w:tc>
          <w:tcPr>
            <w:tcW w:w="1279" w:type="dxa"/>
            <w:vAlign w:val="top"/>
            <w:vMerge w:val="continue"/>
            <w:tcBorders>
              <w:top w:val="nil"/>
              <w:bottom w:val="nil"/>
            </w:tcBorders>
          </w:tcPr>
          <w:p>
            <w:pPr>
              <w:rPr>
                <w:rFonts w:ascii="Arial"/>
                <w:sz w:val="21"/>
              </w:rPr>
            </w:pPr>
            <w:r/>
          </w:p>
        </w:tc>
        <w:tc>
          <w:tcPr>
            <w:tcW w:w="1839" w:type="dxa"/>
            <w:vAlign w:val="top"/>
          </w:tcPr>
          <w:p>
            <w:pPr>
              <w:pStyle w:val="TableText"/>
              <w:ind w:left="617"/>
              <w:spacing w:before="74" w:line="219" w:lineRule="auto"/>
              <w:rPr>
                <w:sz w:val="20"/>
                <w:szCs w:val="20"/>
              </w:rPr>
            </w:pPr>
            <w:r>
              <w:rPr>
                <w:sz w:val="20"/>
                <w:szCs w:val="20"/>
                <w:spacing w:val="4"/>
              </w:rPr>
              <w:t>东北侧</w:t>
            </w:r>
          </w:p>
        </w:tc>
        <w:tc>
          <w:tcPr>
            <w:tcW w:w="2123" w:type="dxa"/>
            <w:vAlign w:val="top"/>
          </w:tcPr>
          <w:p>
            <w:pPr>
              <w:pStyle w:val="TableText"/>
              <w:ind w:left="858"/>
              <w:spacing w:before="126" w:line="179" w:lineRule="auto"/>
              <w:rPr>
                <w:sz w:val="20"/>
                <w:szCs w:val="20"/>
              </w:rPr>
            </w:pPr>
            <w:r>
              <w:rPr>
                <w:sz w:val="20"/>
                <w:szCs w:val="20"/>
                <w:spacing w:val="-2"/>
              </w:rPr>
              <w:t>4225</w:t>
            </w:r>
          </w:p>
        </w:tc>
      </w:tr>
      <w:tr>
        <w:trPr>
          <w:trHeight w:val="359" w:hRule="atLeast"/>
        </w:trPr>
        <w:tc>
          <w:tcPr>
            <w:tcW w:w="685" w:type="dxa"/>
            <w:vAlign w:val="top"/>
            <w:vMerge w:val="continue"/>
            <w:tcBorders>
              <w:top w:val="nil"/>
              <w:bottom w:val="nil"/>
            </w:tcBorders>
          </w:tcPr>
          <w:p>
            <w:pPr>
              <w:rPr>
                <w:rFonts w:ascii="Arial"/>
                <w:sz w:val="21"/>
              </w:rPr>
            </w:pPr>
            <w:r/>
          </w:p>
        </w:tc>
        <w:tc>
          <w:tcPr>
            <w:tcW w:w="2149" w:type="dxa"/>
            <w:vAlign w:val="top"/>
          </w:tcPr>
          <w:p>
            <w:pPr>
              <w:pStyle w:val="TableText"/>
              <w:ind w:left="760"/>
              <w:spacing w:before="82" w:line="219" w:lineRule="auto"/>
              <w:rPr>
                <w:sz w:val="20"/>
                <w:szCs w:val="20"/>
              </w:rPr>
            </w:pPr>
            <w:r>
              <w:rPr>
                <w:sz w:val="20"/>
                <w:szCs w:val="20"/>
                <w:spacing w:val="-2"/>
              </w:rPr>
              <w:t>利埕村</w:t>
            </w:r>
          </w:p>
        </w:tc>
        <w:tc>
          <w:tcPr>
            <w:tcW w:w="2408" w:type="dxa"/>
            <w:vAlign w:val="top"/>
          </w:tcPr>
          <w:p>
            <w:pPr>
              <w:rPr>
                <w:rFonts w:ascii="Arial"/>
                <w:sz w:val="21"/>
              </w:rPr>
            </w:pPr>
            <w:r/>
          </w:p>
        </w:tc>
        <w:tc>
          <w:tcPr>
            <w:tcW w:w="2368" w:type="dxa"/>
            <w:vAlign w:val="top"/>
          </w:tcPr>
          <w:p>
            <w:pPr>
              <w:rPr>
                <w:rFonts w:ascii="Arial"/>
                <w:sz w:val="21"/>
              </w:rPr>
            </w:pPr>
            <w:r/>
          </w:p>
        </w:tc>
        <w:tc>
          <w:tcPr>
            <w:tcW w:w="1269" w:type="dxa"/>
            <w:vAlign w:val="top"/>
          </w:tcPr>
          <w:p>
            <w:pPr>
              <w:rPr>
                <w:rFonts w:ascii="Arial"/>
                <w:sz w:val="21"/>
              </w:rPr>
            </w:pPr>
            <w:r/>
          </w:p>
        </w:tc>
        <w:tc>
          <w:tcPr>
            <w:tcW w:w="1279" w:type="dxa"/>
            <w:vAlign w:val="top"/>
            <w:vMerge w:val="continue"/>
            <w:tcBorders>
              <w:top w:val="nil"/>
              <w:bottom w:val="nil"/>
            </w:tcBorders>
          </w:tcPr>
          <w:p>
            <w:pPr>
              <w:rPr>
                <w:rFonts w:ascii="Arial"/>
                <w:sz w:val="21"/>
              </w:rPr>
            </w:pPr>
            <w:r/>
          </w:p>
        </w:tc>
        <w:tc>
          <w:tcPr>
            <w:tcW w:w="1839" w:type="dxa"/>
            <w:vAlign w:val="top"/>
          </w:tcPr>
          <w:p>
            <w:pPr>
              <w:pStyle w:val="TableText"/>
              <w:ind w:left="617"/>
              <w:spacing w:before="84" w:line="219" w:lineRule="auto"/>
              <w:rPr>
                <w:sz w:val="20"/>
                <w:szCs w:val="20"/>
              </w:rPr>
            </w:pPr>
            <w:r>
              <w:rPr>
                <w:sz w:val="20"/>
                <w:szCs w:val="20"/>
                <w:spacing w:val="4"/>
              </w:rPr>
              <w:t>东北侧</w:t>
            </w:r>
          </w:p>
        </w:tc>
        <w:tc>
          <w:tcPr>
            <w:tcW w:w="2123" w:type="dxa"/>
            <w:vAlign w:val="top"/>
          </w:tcPr>
          <w:p>
            <w:pPr>
              <w:pStyle w:val="TableText"/>
              <w:ind w:left="858"/>
              <w:spacing w:before="135" w:line="183" w:lineRule="auto"/>
              <w:rPr>
                <w:sz w:val="20"/>
                <w:szCs w:val="20"/>
              </w:rPr>
            </w:pPr>
            <w:r>
              <w:rPr>
                <w:sz w:val="20"/>
                <w:szCs w:val="20"/>
                <w:spacing w:val="-3"/>
              </w:rPr>
              <w:t>3836</w:t>
            </w:r>
          </w:p>
        </w:tc>
      </w:tr>
      <w:tr>
        <w:trPr>
          <w:trHeight w:val="330" w:hRule="atLeast"/>
        </w:trPr>
        <w:tc>
          <w:tcPr>
            <w:tcW w:w="685" w:type="dxa"/>
            <w:vAlign w:val="top"/>
            <w:vMerge w:val="continue"/>
            <w:tcBorders>
              <w:top w:val="nil"/>
              <w:bottom w:val="nil"/>
            </w:tcBorders>
          </w:tcPr>
          <w:p>
            <w:pPr>
              <w:rPr>
                <w:rFonts w:ascii="Arial"/>
                <w:sz w:val="21"/>
              </w:rPr>
            </w:pPr>
            <w:r/>
          </w:p>
        </w:tc>
        <w:tc>
          <w:tcPr>
            <w:tcW w:w="2149" w:type="dxa"/>
            <w:vAlign w:val="top"/>
          </w:tcPr>
          <w:p>
            <w:pPr>
              <w:pStyle w:val="TableText"/>
              <w:ind w:left="660"/>
              <w:spacing w:before="75" w:line="219" w:lineRule="auto"/>
              <w:rPr>
                <w:sz w:val="20"/>
                <w:szCs w:val="20"/>
              </w:rPr>
            </w:pPr>
            <w:r>
              <w:rPr>
                <w:sz w:val="20"/>
                <w:szCs w:val="20"/>
                <w:spacing w:val="4"/>
              </w:rPr>
              <w:t>东昇社区</w:t>
            </w:r>
          </w:p>
        </w:tc>
        <w:tc>
          <w:tcPr>
            <w:tcW w:w="2408" w:type="dxa"/>
            <w:vAlign w:val="top"/>
          </w:tcPr>
          <w:p>
            <w:pPr>
              <w:rPr>
                <w:rFonts w:ascii="Arial"/>
                <w:sz w:val="21"/>
              </w:rPr>
            </w:pPr>
            <w:r/>
          </w:p>
        </w:tc>
        <w:tc>
          <w:tcPr>
            <w:tcW w:w="2368" w:type="dxa"/>
            <w:vAlign w:val="top"/>
          </w:tcPr>
          <w:p>
            <w:pPr>
              <w:rPr>
                <w:rFonts w:ascii="Arial"/>
                <w:sz w:val="21"/>
              </w:rPr>
            </w:pPr>
            <w:r/>
          </w:p>
        </w:tc>
        <w:tc>
          <w:tcPr>
            <w:tcW w:w="1269" w:type="dxa"/>
            <w:vAlign w:val="top"/>
          </w:tcPr>
          <w:p>
            <w:pPr>
              <w:rPr>
                <w:rFonts w:ascii="Arial"/>
                <w:sz w:val="21"/>
              </w:rPr>
            </w:pPr>
            <w:r/>
          </w:p>
        </w:tc>
        <w:tc>
          <w:tcPr>
            <w:tcW w:w="1279" w:type="dxa"/>
            <w:vAlign w:val="top"/>
            <w:vMerge w:val="continue"/>
            <w:tcBorders>
              <w:top w:val="nil"/>
              <w:bottom w:val="nil"/>
            </w:tcBorders>
          </w:tcPr>
          <w:p>
            <w:pPr>
              <w:rPr>
                <w:rFonts w:ascii="Arial"/>
                <w:sz w:val="21"/>
              </w:rPr>
            </w:pPr>
            <w:r/>
          </w:p>
        </w:tc>
        <w:tc>
          <w:tcPr>
            <w:tcW w:w="1839" w:type="dxa"/>
            <w:vAlign w:val="top"/>
          </w:tcPr>
          <w:p>
            <w:pPr>
              <w:pStyle w:val="TableText"/>
              <w:ind w:left="717"/>
              <w:spacing w:before="75" w:line="219" w:lineRule="auto"/>
              <w:rPr>
                <w:sz w:val="20"/>
                <w:szCs w:val="20"/>
              </w:rPr>
            </w:pPr>
            <w:r>
              <w:rPr>
                <w:sz w:val="20"/>
                <w:szCs w:val="20"/>
                <w:spacing w:val="6"/>
              </w:rPr>
              <w:t>北侧</w:t>
            </w:r>
          </w:p>
        </w:tc>
        <w:tc>
          <w:tcPr>
            <w:tcW w:w="2123" w:type="dxa"/>
            <w:vAlign w:val="top"/>
          </w:tcPr>
          <w:p>
            <w:pPr>
              <w:pStyle w:val="TableText"/>
              <w:ind w:left="858"/>
              <w:spacing w:before="126" w:line="179" w:lineRule="auto"/>
              <w:rPr>
                <w:sz w:val="20"/>
                <w:szCs w:val="20"/>
              </w:rPr>
            </w:pPr>
            <w:r>
              <w:rPr>
                <w:sz w:val="20"/>
                <w:szCs w:val="20"/>
                <w:spacing w:val="-3"/>
              </w:rPr>
              <w:t>3199</w:t>
            </w:r>
          </w:p>
        </w:tc>
      </w:tr>
      <w:tr>
        <w:trPr>
          <w:trHeight w:val="330" w:hRule="atLeast"/>
        </w:trPr>
        <w:tc>
          <w:tcPr>
            <w:tcW w:w="685" w:type="dxa"/>
            <w:vAlign w:val="top"/>
            <w:vMerge w:val="continue"/>
            <w:tcBorders>
              <w:top w:val="nil"/>
              <w:bottom w:val="nil"/>
            </w:tcBorders>
          </w:tcPr>
          <w:p>
            <w:pPr>
              <w:rPr>
                <w:rFonts w:ascii="Arial"/>
                <w:sz w:val="21"/>
              </w:rPr>
            </w:pPr>
            <w:r/>
          </w:p>
        </w:tc>
        <w:tc>
          <w:tcPr>
            <w:tcW w:w="2149" w:type="dxa"/>
            <w:vAlign w:val="top"/>
          </w:tcPr>
          <w:p>
            <w:pPr>
              <w:pStyle w:val="TableText"/>
              <w:ind w:left="660"/>
              <w:spacing w:before="75" w:line="219" w:lineRule="auto"/>
              <w:rPr>
                <w:sz w:val="20"/>
                <w:szCs w:val="20"/>
              </w:rPr>
            </w:pPr>
            <w:r>
              <w:rPr>
                <w:sz w:val="20"/>
                <w:szCs w:val="20"/>
                <w:spacing w:val="4"/>
              </w:rPr>
              <w:t>东兴社区</w:t>
            </w:r>
          </w:p>
        </w:tc>
        <w:tc>
          <w:tcPr>
            <w:tcW w:w="2408" w:type="dxa"/>
            <w:vAlign w:val="top"/>
          </w:tcPr>
          <w:p>
            <w:pPr>
              <w:rPr>
                <w:rFonts w:ascii="Arial"/>
                <w:sz w:val="21"/>
              </w:rPr>
            </w:pPr>
            <w:r/>
          </w:p>
        </w:tc>
        <w:tc>
          <w:tcPr>
            <w:tcW w:w="2368" w:type="dxa"/>
            <w:vAlign w:val="top"/>
          </w:tcPr>
          <w:p>
            <w:pPr>
              <w:rPr>
                <w:rFonts w:ascii="Arial"/>
                <w:sz w:val="21"/>
              </w:rPr>
            </w:pPr>
            <w:r/>
          </w:p>
        </w:tc>
        <w:tc>
          <w:tcPr>
            <w:tcW w:w="1269" w:type="dxa"/>
            <w:vAlign w:val="top"/>
          </w:tcPr>
          <w:p>
            <w:pPr>
              <w:rPr>
                <w:rFonts w:ascii="Arial"/>
                <w:sz w:val="21"/>
              </w:rPr>
            </w:pPr>
            <w:r/>
          </w:p>
        </w:tc>
        <w:tc>
          <w:tcPr>
            <w:tcW w:w="1279" w:type="dxa"/>
            <w:vAlign w:val="top"/>
            <w:vMerge w:val="continue"/>
            <w:tcBorders>
              <w:top w:val="nil"/>
              <w:bottom w:val="nil"/>
            </w:tcBorders>
          </w:tcPr>
          <w:p>
            <w:pPr>
              <w:rPr>
                <w:rFonts w:ascii="Arial"/>
                <w:sz w:val="21"/>
              </w:rPr>
            </w:pPr>
            <w:r/>
          </w:p>
        </w:tc>
        <w:tc>
          <w:tcPr>
            <w:tcW w:w="1839" w:type="dxa"/>
            <w:vAlign w:val="top"/>
          </w:tcPr>
          <w:p>
            <w:pPr>
              <w:pStyle w:val="TableText"/>
              <w:ind w:left="717"/>
              <w:spacing w:before="75" w:line="219" w:lineRule="auto"/>
              <w:rPr>
                <w:sz w:val="20"/>
                <w:szCs w:val="20"/>
              </w:rPr>
            </w:pPr>
            <w:r>
              <w:rPr>
                <w:sz w:val="20"/>
                <w:szCs w:val="20"/>
                <w:spacing w:val="6"/>
              </w:rPr>
              <w:t>北侧</w:t>
            </w:r>
          </w:p>
        </w:tc>
        <w:tc>
          <w:tcPr>
            <w:tcW w:w="2123" w:type="dxa"/>
            <w:vAlign w:val="top"/>
          </w:tcPr>
          <w:p>
            <w:pPr>
              <w:pStyle w:val="TableText"/>
              <w:ind w:left="858"/>
              <w:spacing w:before="127" w:line="178" w:lineRule="auto"/>
              <w:rPr>
                <w:sz w:val="20"/>
                <w:szCs w:val="20"/>
              </w:rPr>
            </w:pPr>
            <w:r>
              <w:rPr>
                <w:sz w:val="20"/>
                <w:szCs w:val="20"/>
                <w:spacing w:val="-3"/>
              </w:rPr>
              <w:t>3874</w:t>
            </w:r>
          </w:p>
        </w:tc>
      </w:tr>
      <w:tr>
        <w:trPr>
          <w:trHeight w:val="359" w:hRule="atLeast"/>
        </w:trPr>
        <w:tc>
          <w:tcPr>
            <w:tcW w:w="685" w:type="dxa"/>
            <w:vAlign w:val="top"/>
            <w:vMerge w:val="continue"/>
            <w:tcBorders>
              <w:top w:val="nil"/>
              <w:bottom w:val="nil"/>
            </w:tcBorders>
          </w:tcPr>
          <w:p>
            <w:pPr>
              <w:rPr>
                <w:rFonts w:ascii="Arial"/>
                <w:sz w:val="21"/>
              </w:rPr>
            </w:pPr>
            <w:r/>
          </w:p>
        </w:tc>
        <w:tc>
          <w:tcPr>
            <w:tcW w:w="2149" w:type="dxa"/>
            <w:vAlign w:val="top"/>
          </w:tcPr>
          <w:p>
            <w:pPr>
              <w:pStyle w:val="TableText"/>
              <w:ind w:left="660"/>
              <w:spacing w:before="85" w:line="219" w:lineRule="auto"/>
              <w:rPr>
                <w:sz w:val="20"/>
                <w:szCs w:val="20"/>
              </w:rPr>
            </w:pPr>
            <w:r>
              <w:rPr>
                <w:sz w:val="20"/>
                <w:szCs w:val="20"/>
                <w:spacing w:val="4"/>
              </w:rPr>
              <w:t>东阳社区</w:t>
            </w:r>
          </w:p>
        </w:tc>
        <w:tc>
          <w:tcPr>
            <w:tcW w:w="2408" w:type="dxa"/>
            <w:vAlign w:val="top"/>
          </w:tcPr>
          <w:p>
            <w:pPr>
              <w:rPr>
                <w:rFonts w:ascii="Arial"/>
                <w:sz w:val="21"/>
              </w:rPr>
            </w:pPr>
            <w:r/>
          </w:p>
        </w:tc>
        <w:tc>
          <w:tcPr>
            <w:tcW w:w="2368" w:type="dxa"/>
            <w:vAlign w:val="top"/>
          </w:tcPr>
          <w:p>
            <w:pPr>
              <w:rPr>
                <w:rFonts w:ascii="Arial"/>
                <w:sz w:val="21"/>
              </w:rPr>
            </w:pPr>
            <w:r/>
          </w:p>
        </w:tc>
        <w:tc>
          <w:tcPr>
            <w:tcW w:w="1269" w:type="dxa"/>
            <w:vAlign w:val="top"/>
          </w:tcPr>
          <w:p>
            <w:pPr>
              <w:rPr>
                <w:rFonts w:ascii="Arial"/>
                <w:sz w:val="21"/>
              </w:rPr>
            </w:pPr>
            <w:r/>
          </w:p>
        </w:tc>
        <w:tc>
          <w:tcPr>
            <w:tcW w:w="1279" w:type="dxa"/>
            <w:vAlign w:val="top"/>
            <w:vMerge w:val="continue"/>
            <w:tcBorders>
              <w:top w:val="nil"/>
              <w:bottom w:val="nil"/>
            </w:tcBorders>
          </w:tcPr>
          <w:p>
            <w:pPr>
              <w:rPr>
                <w:rFonts w:ascii="Arial"/>
                <w:sz w:val="21"/>
              </w:rPr>
            </w:pPr>
            <w:r/>
          </w:p>
        </w:tc>
        <w:tc>
          <w:tcPr>
            <w:tcW w:w="1839" w:type="dxa"/>
            <w:vAlign w:val="top"/>
          </w:tcPr>
          <w:p>
            <w:pPr>
              <w:pStyle w:val="TableText"/>
              <w:ind w:left="717"/>
              <w:spacing w:before="85" w:line="219" w:lineRule="auto"/>
              <w:rPr>
                <w:sz w:val="20"/>
                <w:szCs w:val="20"/>
              </w:rPr>
            </w:pPr>
            <w:r>
              <w:rPr>
                <w:sz w:val="20"/>
                <w:szCs w:val="20"/>
                <w:spacing w:val="6"/>
              </w:rPr>
              <w:t>北侧</w:t>
            </w:r>
          </w:p>
        </w:tc>
        <w:tc>
          <w:tcPr>
            <w:tcW w:w="2123" w:type="dxa"/>
            <w:vAlign w:val="top"/>
          </w:tcPr>
          <w:p>
            <w:pPr>
              <w:pStyle w:val="TableText"/>
              <w:ind w:left="858"/>
              <w:spacing w:before="136" w:line="183" w:lineRule="auto"/>
              <w:rPr>
                <w:sz w:val="20"/>
                <w:szCs w:val="20"/>
              </w:rPr>
            </w:pPr>
            <w:r>
              <w:rPr>
                <w:sz w:val="20"/>
                <w:szCs w:val="20"/>
                <w:spacing w:val="-3"/>
              </w:rPr>
              <w:t>3525</w:t>
            </w:r>
          </w:p>
        </w:tc>
      </w:tr>
      <w:tr>
        <w:trPr>
          <w:trHeight w:val="330" w:hRule="atLeast"/>
        </w:trPr>
        <w:tc>
          <w:tcPr>
            <w:tcW w:w="685" w:type="dxa"/>
            <w:vAlign w:val="top"/>
            <w:vMerge w:val="continue"/>
            <w:tcBorders>
              <w:top w:val="nil"/>
              <w:bottom w:val="nil"/>
            </w:tcBorders>
          </w:tcPr>
          <w:p>
            <w:pPr>
              <w:rPr>
                <w:rFonts w:ascii="Arial"/>
                <w:sz w:val="21"/>
              </w:rPr>
            </w:pPr>
            <w:r/>
          </w:p>
        </w:tc>
        <w:tc>
          <w:tcPr>
            <w:tcW w:w="2149" w:type="dxa"/>
            <w:vAlign w:val="top"/>
          </w:tcPr>
          <w:p>
            <w:pPr>
              <w:pStyle w:val="TableText"/>
              <w:ind w:left="660"/>
              <w:spacing w:before="76" w:line="219" w:lineRule="auto"/>
              <w:rPr>
                <w:sz w:val="20"/>
                <w:szCs w:val="20"/>
              </w:rPr>
            </w:pPr>
            <w:r>
              <w:rPr>
                <w:sz w:val="20"/>
                <w:szCs w:val="20"/>
                <w:spacing w:val="4"/>
              </w:rPr>
              <w:t>东景社区</w:t>
            </w:r>
          </w:p>
        </w:tc>
        <w:tc>
          <w:tcPr>
            <w:tcW w:w="2408" w:type="dxa"/>
            <w:vAlign w:val="top"/>
          </w:tcPr>
          <w:p>
            <w:pPr>
              <w:rPr>
                <w:rFonts w:ascii="Arial"/>
                <w:sz w:val="21"/>
              </w:rPr>
            </w:pPr>
            <w:r/>
          </w:p>
        </w:tc>
        <w:tc>
          <w:tcPr>
            <w:tcW w:w="2368" w:type="dxa"/>
            <w:vAlign w:val="top"/>
          </w:tcPr>
          <w:p>
            <w:pPr>
              <w:rPr>
                <w:rFonts w:ascii="Arial"/>
                <w:sz w:val="21"/>
              </w:rPr>
            </w:pPr>
            <w:r/>
          </w:p>
        </w:tc>
        <w:tc>
          <w:tcPr>
            <w:tcW w:w="1269" w:type="dxa"/>
            <w:vAlign w:val="top"/>
          </w:tcPr>
          <w:p>
            <w:pPr>
              <w:rPr>
                <w:rFonts w:ascii="Arial"/>
                <w:sz w:val="21"/>
              </w:rPr>
            </w:pPr>
            <w:r/>
          </w:p>
        </w:tc>
        <w:tc>
          <w:tcPr>
            <w:tcW w:w="1279" w:type="dxa"/>
            <w:vAlign w:val="top"/>
            <w:vMerge w:val="continue"/>
            <w:tcBorders>
              <w:top w:val="nil"/>
              <w:bottom w:val="nil"/>
            </w:tcBorders>
          </w:tcPr>
          <w:p>
            <w:pPr>
              <w:rPr>
                <w:rFonts w:ascii="Arial"/>
                <w:sz w:val="21"/>
              </w:rPr>
            </w:pPr>
            <w:r/>
          </w:p>
        </w:tc>
        <w:tc>
          <w:tcPr>
            <w:tcW w:w="1839" w:type="dxa"/>
            <w:vAlign w:val="top"/>
          </w:tcPr>
          <w:p>
            <w:pPr>
              <w:pStyle w:val="TableText"/>
              <w:ind w:left="717"/>
              <w:spacing w:before="76" w:line="219" w:lineRule="auto"/>
              <w:rPr>
                <w:sz w:val="20"/>
                <w:szCs w:val="20"/>
              </w:rPr>
            </w:pPr>
            <w:r>
              <w:rPr>
                <w:sz w:val="20"/>
                <w:szCs w:val="20"/>
                <w:spacing w:val="6"/>
              </w:rPr>
              <w:t>北侧</w:t>
            </w:r>
          </w:p>
        </w:tc>
        <w:tc>
          <w:tcPr>
            <w:tcW w:w="2123" w:type="dxa"/>
            <w:vAlign w:val="top"/>
          </w:tcPr>
          <w:p>
            <w:pPr>
              <w:pStyle w:val="TableText"/>
              <w:ind w:left="858"/>
              <w:spacing w:before="128" w:line="177" w:lineRule="auto"/>
              <w:rPr>
                <w:sz w:val="20"/>
                <w:szCs w:val="20"/>
              </w:rPr>
            </w:pPr>
            <w:r>
              <w:rPr>
                <w:sz w:val="20"/>
                <w:szCs w:val="20"/>
                <w:spacing w:val="-2"/>
              </w:rPr>
              <w:t>4249</w:t>
            </w:r>
          </w:p>
        </w:tc>
      </w:tr>
      <w:tr>
        <w:trPr>
          <w:trHeight w:val="330" w:hRule="atLeast"/>
        </w:trPr>
        <w:tc>
          <w:tcPr>
            <w:tcW w:w="685" w:type="dxa"/>
            <w:vAlign w:val="top"/>
            <w:vMerge w:val="continue"/>
            <w:tcBorders>
              <w:top w:val="nil"/>
              <w:bottom w:val="nil"/>
            </w:tcBorders>
          </w:tcPr>
          <w:p>
            <w:pPr>
              <w:rPr>
                <w:rFonts w:ascii="Arial"/>
                <w:sz w:val="21"/>
              </w:rPr>
            </w:pPr>
            <w:r/>
          </w:p>
        </w:tc>
        <w:tc>
          <w:tcPr>
            <w:tcW w:w="2149" w:type="dxa"/>
            <w:vAlign w:val="top"/>
          </w:tcPr>
          <w:p>
            <w:pPr>
              <w:pStyle w:val="TableText"/>
              <w:ind w:left="660"/>
              <w:spacing w:before="76" w:line="219" w:lineRule="auto"/>
              <w:rPr>
                <w:sz w:val="20"/>
                <w:szCs w:val="20"/>
              </w:rPr>
            </w:pPr>
            <w:r>
              <w:rPr>
                <w:sz w:val="20"/>
                <w:szCs w:val="20"/>
                <w:spacing w:val="4"/>
              </w:rPr>
              <w:t>东关社区</w:t>
            </w:r>
          </w:p>
        </w:tc>
        <w:tc>
          <w:tcPr>
            <w:tcW w:w="2408" w:type="dxa"/>
            <w:vAlign w:val="top"/>
          </w:tcPr>
          <w:p>
            <w:pPr>
              <w:rPr>
                <w:rFonts w:ascii="Arial"/>
                <w:sz w:val="21"/>
              </w:rPr>
            </w:pPr>
            <w:r/>
          </w:p>
        </w:tc>
        <w:tc>
          <w:tcPr>
            <w:tcW w:w="2368" w:type="dxa"/>
            <w:vAlign w:val="top"/>
          </w:tcPr>
          <w:p>
            <w:pPr>
              <w:rPr>
                <w:rFonts w:ascii="Arial"/>
                <w:sz w:val="21"/>
              </w:rPr>
            </w:pPr>
            <w:r/>
          </w:p>
        </w:tc>
        <w:tc>
          <w:tcPr>
            <w:tcW w:w="1269" w:type="dxa"/>
            <w:vAlign w:val="top"/>
          </w:tcPr>
          <w:p>
            <w:pPr>
              <w:rPr>
                <w:rFonts w:ascii="Arial"/>
                <w:sz w:val="21"/>
              </w:rPr>
            </w:pPr>
            <w:r/>
          </w:p>
        </w:tc>
        <w:tc>
          <w:tcPr>
            <w:tcW w:w="1279" w:type="dxa"/>
            <w:vAlign w:val="top"/>
            <w:vMerge w:val="continue"/>
            <w:tcBorders>
              <w:top w:val="nil"/>
              <w:bottom w:val="nil"/>
            </w:tcBorders>
          </w:tcPr>
          <w:p>
            <w:pPr>
              <w:rPr>
                <w:rFonts w:ascii="Arial"/>
                <w:sz w:val="21"/>
              </w:rPr>
            </w:pPr>
            <w:r/>
          </w:p>
        </w:tc>
        <w:tc>
          <w:tcPr>
            <w:tcW w:w="1839" w:type="dxa"/>
            <w:vAlign w:val="top"/>
          </w:tcPr>
          <w:p>
            <w:pPr>
              <w:pStyle w:val="TableText"/>
              <w:ind w:left="717"/>
              <w:spacing w:before="76" w:line="219" w:lineRule="auto"/>
              <w:rPr>
                <w:sz w:val="20"/>
                <w:szCs w:val="20"/>
              </w:rPr>
            </w:pPr>
            <w:r>
              <w:rPr>
                <w:sz w:val="20"/>
                <w:szCs w:val="20"/>
                <w:spacing w:val="6"/>
              </w:rPr>
              <w:t>北侧</w:t>
            </w:r>
          </w:p>
        </w:tc>
        <w:tc>
          <w:tcPr>
            <w:tcW w:w="2123" w:type="dxa"/>
            <w:vAlign w:val="top"/>
          </w:tcPr>
          <w:p>
            <w:pPr>
              <w:pStyle w:val="TableText"/>
              <w:ind w:left="858"/>
              <w:spacing w:before="128" w:line="177" w:lineRule="auto"/>
              <w:rPr>
                <w:sz w:val="20"/>
                <w:szCs w:val="20"/>
              </w:rPr>
            </w:pPr>
            <w:r>
              <w:rPr>
                <w:sz w:val="20"/>
                <w:szCs w:val="20"/>
                <w:spacing w:val="-2"/>
              </w:rPr>
              <w:t>4343</w:t>
            </w:r>
          </w:p>
        </w:tc>
      </w:tr>
      <w:tr>
        <w:trPr>
          <w:trHeight w:val="359" w:hRule="atLeast"/>
        </w:trPr>
        <w:tc>
          <w:tcPr>
            <w:tcW w:w="685" w:type="dxa"/>
            <w:vAlign w:val="top"/>
            <w:vMerge w:val="continue"/>
            <w:tcBorders>
              <w:top w:val="nil"/>
              <w:bottom w:val="nil"/>
            </w:tcBorders>
          </w:tcPr>
          <w:p>
            <w:pPr>
              <w:rPr>
                <w:rFonts w:ascii="Arial"/>
                <w:sz w:val="21"/>
              </w:rPr>
            </w:pPr>
            <w:r/>
          </w:p>
        </w:tc>
        <w:tc>
          <w:tcPr>
            <w:tcW w:w="2149" w:type="dxa"/>
            <w:vAlign w:val="top"/>
          </w:tcPr>
          <w:p>
            <w:pPr>
              <w:pStyle w:val="TableText"/>
              <w:ind w:left="660"/>
              <w:spacing w:before="86" w:line="219" w:lineRule="auto"/>
              <w:rPr>
                <w:sz w:val="20"/>
                <w:szCs w:val="20"/>
              </w:rPr>
            </w:pPr>
            <w:r>
              <w:rPr>
                <w:sz w:val="20"/>
                <w:szCs w:val="20"/>
                <w:spacing w:val="4"/>
              </w:rPr>
              <w:t>俊贤社区</w:t>
            </w:r>
          </w:p>
        </w:tc>
        <w:tc>
          <w:tcPr>
            <w:tcW w:w="2408" w:type="dxa"/>
            <w:vAlign w:val="top"/>
          </w:tcPr>
          <w:p>
            <w:pPr>
              <w:rPr>
                <w:rFonts w:ascii="Arial"/>
                <w:sz w:val="21"/>
              </w:rPr>
            </w:pPr>
            <w:r/>
          </w:p>
        </w:tc>
        <w:tc>
          <w:tcPr>
            <w:tcW w:w="2368" w:type="dxa"/>
            <w:vAlign w:val="top"/>
          </w:tcPr>
          <w:p>
            <w:pPr>
              <w:rPr>
                <w:rFonts w:ascii="Arial"/>
                <w:sz w:val="21"/>
              </w:rPr>
            </w:pPr>
            <w:r/>
          </w:p>
        </w:tc>
        <w:tc>
          <w:tcPr>
            <w:tcW w:w="1269" w:type="dxa"/>
            <w:vAlign w:val="top"/>
          </w:tcPr>
          <w:p>
            <w:pPr>
              <w:rPr>
                <w:rFonts w:ascii="Arial"/>
                <w:sz w:val="21"/>
              </w:rPr>
            </w:pPr>
            <w:r/>
          </w:p>
        </w:tc>
        <w:tc>
          <w:tcPr>
            <w:tcW w:w="1279" w:type="dxa"/>
            <w:vAlign w:val="top"/>
            <w:vMerge w:val="continue"/>
            <w:tcBorders>
              <w:top w:val="nil"/>
              <w:bottom w:val="nil"/>
            </w:tcBorders>
          </w:tcPr>
          <w:p>
            <w:pPr>
              <w:rPr>
                <w:rFonts w:ascii="Arial"/>
                <w:sz w:val="21"/>
              </w:rPr>
            </w:pPr>
            <w:r/>
          </w:p>
        </w:tc>
        <w:tc>
          <w:tcPr>
            <w:tcW w:w="1839" w:type="dxa"/>
            <w:vAlign w:val="top"/>
          </w:tcPr>
          <w:p>
            <w:pPr>
              <w:pStyle w:val="TableText"/>
              <w:ind w:left="717"/>
              <w:spacing w:before="86" w:line="219" w:lineRule="auto"/>
              <w:rPr>
                <w:sz w:val="20"/>
                <w:szCs w:val="20"/>
              </w:rPr>
            </w:pPr>
            <w:r>
              <w:rPr>
                <w:sz w:val="20"/>
                <w:szCs w:val="20"/>
                <w:spacing w:val="6"/>
              </w:rPr>
              <w:t>北侧</w:t>
            </w:r>
          </w:p>
        </w:tc>
        <w:tc>
          <w:tcPr>
            <w:tcW w:w="2123" w:type="dxa"/>
            <w:vAlign w:val="top"/>
          </w:tcPr>
          <w:p>
            <w:pPr>
              <w:pStyle w:val="TableText"/>
              <w:ind w:left="858"/>
              <w:spacing w:before="137" w:line="183" w:lineRule="auto"/>
              <w:rPr>
                <w:sz w:val="20"/>
                <w:szCs w:val="20"/>
              </w:rPr>
            </w:pPr>
            <w:r>
              <w:rPr>
                <w:sz w:val="20"/>
                <w:szCs w:val="20"/>
                <w:spacing w:val="-2"/>
              </w:rPr>
              <w:t>2797</w:t>
            </w:r>
          </w:p>
        </w:tc>
      </w:tr>
      <w:tr>
        <w:trPr>
          <w:trHeight w:val="330" w:hRule="atLeast"/>
        </w:trPr>
        <w:tc>
          <w:tcPr>
            <w:tcW w:w="685" w:type="dxa"/>
            <w:vAlign w:val="top"/>
            <w:vMerge w:val="continue"/>
            <w:tcBorders>
              <w:top w:val="nil"/>
              <w:bottom w:val="nil"/>
            </w:tcBorders>
          </w:tcPr>
          <w:p>
            <w:pPr>
              <w:rPr>
                <w:rFonts w:ascii="Arial"/>
                <w:sz w:val="21"/>
              </w:rPr>
            </w:pPr>
            <w:r/>
          </w:p>
        </w:tc>
        <w:tc>
          <w:tcPr>
            <w:tcW w:w="2149" w:type="dxa"/>
            <w:vAlign w:val="top"/>
          </w:tcPr>
          <w:p>
            <w:pPr>
              <w:pStyle w:val="TableText"/>
              <w:ind w:left="660"/>
              <w:spacing w:before="77" w:line="219" w:lineRule="auto"/>
              <w:rPr>
                <w:sz w:val="20"/>
                <w:szCs w:val="20"/>
              </w:rPr>
            </w:pPr>
            <w:r>
              <w:rPr>
                <w:sz w:val="20"/>
                <w:szCs w:val="20"/>
                <w:spacing w:val="4"/>
              </w:rPr>
              <w:t>兴贤社区</w:t>
            </w:r>
          </w:p>
        </w:tc>
        <w:tc>
          <w:tcPr>
            <w:tcW w:w="2408" w:type="dxa"/>
            <w:vAlign w:val="top"/>
          </w:tcPr>
          <w:p>
            <w:pPr>
              <w:rPr>
                <w:rFonts w:ascii="Arial"/>
                <w:sz w:val="21"/>
              </w:rPr>
            </w:pPr>
            <w:r/>
          </w:p>
        </w:tc>
        <w:tc>
          <w:tcPr>
            <w:tcW w:w="2368" w:type="dxa"/>
            <w:vAlign w:val="top"/>
          </w:tcPr>
          <w:p>
            <w:pPr>
              <w:rPr>
                <w:rFonts w:ascii="Arial"/>
                <w:sz w:val="21"/>
              </w:rPr>
            </w:pPr>
            <w:r/>
          </w:p>
        </w:tc>
        <w:tc>
          <w:tcPr>
            <w:tcW w:w="1269" w:type="dxa"/>
            <w:vAlign w:val="top"/>
          </w:tcPr>
          <w:p>
            <w:pPr>
              <w:rPr>
                <w:rFonts w:ascii="Arial"/>
                <w:sz w:val="21"/>
              </w:rPr>
            </w:pPr>
            <w:r/>
          </w:p>
        </w:tc>
        <w:tc>
          <w:tcPr>
            <w:tcW w:w="1279" w:type="dxa"/>
            <w:vAlign w:val="top"/>
            <w:vMerge w:val="continue"/>
            <w:tcBorders>
              <w:top w:val="nil"/>
              <w:bottom w:val="nil"/>
            </w:tcBorders>
          </w:tcPr>
          <w:p>
            <w:pPr>
              <w:rPr>
                <w:rFonts w:ascii="Arial"/>
                <w:sz w:val="21"/>
              </w:rPr>
            </w:pPr>
            <w:r/>
          </w:p>
        </w:tc>
        <w:tc>
          <w:tcPr>
            <w:tcW w:w="1839" w:type="dxa"/>
            <w:vAlign w:val="top"/>
          </w:tcPr>
          <w:p>
            <w:pPr>
              <w:pStyle w:val="TableText"/>
              <w:ind w:left="717"/>
              <w:spacing w:before="77" w:line="219" w:lineRule="auto"/>
              <w:rPr>
                <w:sz w:val="20"/>
                <w:szCs w:val="20"/>
              </w:rPr>
            </w:pPr>
            <w:r>
              <w:rPr>
                <w:sz w:val="20"/>
                <w:szCs w:val="20"/>
                <w:spacing w:val="6"/>
              </w:rPr>
              <w:t>北侧</w:t>
            </w:r>
          </w:p>
        </w:tc>
        <w:tc>
          <w:tcPr>
            <w:tcW w:w="2123" w:type="dxa"/>
            <w:vAlign w:val="top"/>
          </w:tcPr>
          <w:p>
            <w:pPr>
              <w:pStyle w:val="TableText"/>
              <w:ind w:left="858"/>
              <w:spacing w:before="128" w:line="177" w:lineRule="auto"/>
              <w:rPr>
                <w:sz w:val="20"/>
                <w:szCs w:val="20"/>
              </w:rPr>
            </w:pPr>
            <w:r>
              <w:rPr>
                <w:sz w:val="20"/>
                <w:szCs w:val="20"/>
                <w:spacing w:val="-2"/>
              </w:rPr>
              <w:t>2776</w:t>
            </w:r>
          </w:p>
        </w:tc>
      </w:tr>
      <w:tr>
        <w:trPr>
          <w:trHeight w:val="339" w:hRule="atLeast"/>
        </w:trPr>
        <w:tc>
          <w:tcPr>
            <w:tcW w:w="685" w:type="dxa"/>
            <w:vAlign w:val="top"/>
            <w:vMerge w:val="continue"/>
            <w:tcBorders>
              <w:top w:val="nil"/>
              <w:bottom w:val="nil"/>
            </w:tcBorders>
          </w:tcPr>
          <w:p>
            <w:pPr>
              <w:rPr>
                <w:rFonts w:ascii="Arial"/>
                <w:sz w:val="21"/>
              </w:rPr>
            </w:pPr>
            <w:r/>
          </w:p>
        </w:tc>
        <w:tc>
          <w:tcPr>
            <w:tcW w:w="2149" w:type="dxa"/>
            <w:vAlign w:val="top"/>
          </w:tcPr>
          <w:p>
            <w:pPr>
              <w:pStyle w:val="TableText"/>
              <w:ind w:left="660"/>
              <w:spacing w:before="77" w:line="219" w:lineRule="auto"/>
              <w:rPr>
                <w:sz w:val="20"/>
                <w:szCs w:val="20"/>
              </w:rPr>
            </w:pPr>
            <w:r>
              <w:rPr>
                <w:sz w:val="20"/>
                <w:szCs w:val="20"/>
                <w:spacing w:val="4"/>
              </w:rPr>
              <w:t>龙贤社区</w:t>
            </w:r>
          </w:p>
        </w:tc>
        <w:tc>
          <w:tcPr>
            <w:tcW w:w="2408" w:type="dxa"/>
            <w:vAlign w:val="top"/>
          </w:tcPr>
          <w:p>
            <w:pPr>
              <w:rPr>
                <w:rFonts w:ascii="Arial"/>
                <w:sz w:val="21"/>
              </w:rPr>
            </w:pPr>
            <w:r/>
          </w:p>
        </w:tc>
        <w:tc>
          <w:tcPr>
            <w:tcW w:w="2368" w:type="dxa"/>
            <w:vAlign w:val="top"/>
          </w:tcPr>
          <w:p>
            <w:pPr>
              <w:rPr>
                <w:rFonts w:ascii="Arial"/>
                <w:sz w:val="21"/>
              </w:rPr>
            </w:pPr>
            <w:r/>
          </w:p>
        </w:tc>
        <w:tc>
          <w:tcPr>
            <w:tcW w:w="1269" w:type="dxa"/>
            <w:vAlign w:val="top"/>
          </w:tcPr>
          <w:p>
            <w:pPr>
              <w:rPr>
                <w:rFonts w:ascii="Arial"/>
                <w:sz w:val="21"/>
              </w:rPr>
            </w:pPr>
            <w:r/>
          </w:p>
        </w:tc>
        <w:tc>
          <w:tcPr>
            <w:tcW w:w="1279" w:type="dxa"/>
            <w:vAlign w:val="top"/>
            <w:vMerge w:val="continue"/>
            <w:tcBorders>
              <w:top w:val="nil"/>
              <w:bottom w:val="nil"/>
            </w:tcBorders>
          </w:tcPr>
          <w:p>
            <w:pPr>
              <w:rPr>
                <w:rFonts w:ascii="Arial"/>
                <w:sz w:val="21"/>
              </w:rPr>
            </w:pPr>
            <w:r/>
          </w:p>
        </w:tc>
        <w:tc>
          <w:tcPr>
            <w:tcW w:w="1839" w:type="dxa"/>
            <w:vAlign w:val="top"/>
          </w:tcPr>
          <w:p>
            <w:pPr>
              <w:pStyle w:val="TableText"/>
              <w:ind w:left="717"/>
              <w:spacing w:before="77" w:line="219" w:lineRule="auto"/>
              <w:rPr>
                <w:sz w:val="20"/>
                <w:szCs w:val="20"/>
              </w:rPr>
            </w:pPr>
            <w:r>
              <w:rPr>
                <w:sz w:val="20"/>
                <w:szCs w:val="20"/>
                <w:spacing w:val="6"/>
              </w:rPr>
              <w:t>北侧</w:t>
            </w:r>
          </w:p>
        </w:tc>
        <w:tc>
          <w:tcPr>
            <w:tcW w:w="2123" w:type="dxa"/>
            <w:vAlign w:val="top"/>
          </w:tcPr>
          <w:p>
            <w:pPr>
              <w:pStyle w:val="TableText"/>
              <w:ind w:left="858"/>
              <w:spacing w:before="128" w:line="183" w:lineRule="auto"/>
              <w:rPr>
                <w:sz w:val="20"/>
                <w:szCs w:val="20"/>
              </w:rPr>
            </w:pPr>
            <w:r>
              <w:rPr>
                <w:sz w:val="20"/>
                <w:szCs w:val="20"/>
                <w:spacing w:val="-3"/>
              </w:rPr>
              <w:t>3026</w:t>
            </w:r>
          </w:p>
        </w:tc>
      </w:tr>
      <w:tr>
        <w:trPr>
          <w:trHeight w:val="354" w:hRule="atLeast"/>
        </w:trPr>
        <w:tc>
          <w:tcPr>
            <w:tcW w:w="685" w:type="dxa"/>
            <w:vAlign w:val="top"/>
            <w:vMerge w:val="continue"/>
            <w:tcBorders>
              <w:top w:val="nil"/>
            </w:tcBorders>
          </w:tcPr>
          <w:p>
            <w:pPr>
              <w:rPr>
                <w:rFonts w:ascii="Arial"/>
                <w:sz w:val="21"/>
              </w:rPr>
            </w:pPr>
            <w:r/>
          </w:p>
        </w:tc>
        <w:tc>
          <w:tcPr>
            <w:tcW w:w="2149" w:type="dxa"/>
            <w:vAlign w:val="top"/>
          </w:tcPr>
          <w:p>
            <w:pPr>
              <w:pStyle w:val="TableText"/>
              <w:ind w:left="660"/>
              <w:spacing w:before="88" w:line="219" w:lineRule="auto"/>
              <w:rPr>
                <w:sz w:val="20"/>
                <w:szCs w:val="20"/>
              </w:rPr>
            </w:pPr>
            <w:r>
              <w:rPr>
                <w:sz w:val="20"/>
                <w:szCs w:val="20"/>
                <w:spacing w:val="4"/>
              </w:rPr>
              <w:t>集贤社区</w:t>
            </w:r>
          </w:p>
        </w:tc>
        <w:tc>
          <w:tcPr>
            <w:tcW w:w="2408" w:type="dxa"/>
            <w:vAlign w:val="top"/>
          </w:tcPr>
          <w:p>
            <w:pPr>
              <w:rPr>
                <w:rFonts w:ascii="Arial"/>
                <w:sz w:val="21"/>
              </w:rPr>
            </w:pPr>
            <w:r/>
          </w:p>
        </w:tc>
        <w:tc>
          <w:tcPr>
            <w:tcW w:w="2368" w:type="dxa"/>
            <w:vAlign w:val="top"/>
          </w:tcPr>
          <w:p>
            <w:pPr>
              <w:rPr>
                <w:rFonts w:ascii="Arial"/>
                <w:sz w:val="21"/>
              </w:rPr>
            </w:pPr>
            <w:r/>
          </w:p>
        </w:tc>
        <w:tc>
          <w:tcPr>
            <w:tcW w:w="1269" w:type="dxa"/>
            <w:vAlign w:val="top"/>
          </w:tcPr>
          <w:p>
            <w:pPr>
              <w:rPr>
                <w:rFonts w:ascii="Arial"/>
                <w:sz w:val="21"/>
              </w:rPr>
            </w:pPr>
            <w:r/>
          </w:p>
        </w:tc>
        <w:tc>
          <w:tcPr>
            <w:tcW w:w="1279" w:type="dxa"/>
            <w:vAlign w:val="top"/>
            <w:vMerge w:val="continue"/>
            <w:tcBorders>
              <w:top w:val="nil"/>
            </w:tcBorders>
          </w:tcPr>
          <w:p>
            <w:pPr>
              <w:rPr>
                <w:rFonts w:ascii="Arial"/>
                <w:sz w:val="21"/>
              </w:rPr>
            </w:pPr>
            <w:r/>
          </w:p>
        </w:tc>
        <w:tc>
          <w:tcPr>
            <w:tcW w:w="1839" w:type="dxa"/>
            <w:vAlign w:val="top"/>
          </w:tcPr>
          <w:p>
            <w:pPr>
              <w:pStyle w:val="TableText"/>
              <w:ind w:left="717"/>
              <w:spacing w:before="88" w:line="219" w:lineRule="auto"/>
              <w:rPr>
                <w:sz w:val="20"/>
                <w:szCs w:val="20"/>
              </w:rPr>
            </w:pPr>
            <w:r>
              <w:rPr>
                <w:sz w:val="20"/>
                <w:szCs w:val="20"/>
                <w:spacing w:val="6"/>
              </w:rPr>
              <w:t>北侧</w:t>
            </w:r>
          </w:p>
        </w:tc>
        <w:tc>
          <w:tcPr>
            <w:tcW w:w="2123" w:type="dxa"/>
            <w:vAlign w:val="top"/>
          </w:tcPr>
          <w:p>
            <w:pPr>
              <w:pStyle w:val="TableText"/>
              <w:ind w:left="858"/>
              <w:spacing w:before="139" w:line="183" w:lineRule="auto"/>
              <w:rPr>
                <w:sz w:val="20"/>
                <w:szCs w:val="20"/>
              </w:rPr>
            </w:pPr>
            <w:r>
              <w:rPr>
                <w:sz w:val="20"/>
                <w:szCs w:val="20"/>
                <w:spacing w:val="-3"/>
              </w:rPr>
              <w:t>3255</w:t>
            </w:r>
          </w:p>
        </w:tc>
      </w:tr>
    </w:tbl>
    <w:p>
      <w:pPr>
        <w:rPr>
          <w:rFonts w:ascii="Arial"/>
          <w:sz w:val="21"/>
        </w:rPr>
      </w:pPr>
      <w:r/>
    </w:p>
    <w:p>
      <w:pPr>
        <w:sectPr>
          <w:footerReference w:type="default" r:id="rId74"/>
          <w:pgSz w:w="16840" w:h="11900"/>
          <w:pgMar w:top="1011" w:right="1395" w:bottom="978" w:left="1314" w:header="0" w:footer="839" w:gutter="0"/>
        </w:sectPr>
        <w:rPr>
          <w:rFonts w:ascii="Arial" w:hAnsi="Arial" w:eastAsia="Arial" w:cs="Arial"/>
          <w:sz w:val="21"/>
          <w:szCs w:val="21"/>
        </w:rPr>
      </w:pPr>
    </w:p>
    <w:p>
      <w:pPr>
        <w:spacing w:before="152"/>
        <w:rPr/>
      </w:pPr>
      <w:r/>
    </w:p>
    <w:tbl>
      <w:tblPr>
        <w:tblStyle w:val="TableNormal"/>
        <w:tblW w:w="1412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74"/>
        <w:gridCol w:w="2149"/>
        <w:gridCol w:w="2408"/>
        <w:gridCol w:w="2388"/>
        <w:gridCol w:w="1239"/>
        <w:gridCol w:w="1299"/>
        <w:gridCol w:w="1819"/>
        <w:gridCol w:w="2153"/>
      </w:tblGrid>
      <w:tr>
        <w:trPr>
          <w:trHeight w:val="443" w:hRule="atLeast"/>
        </w:trPr>
        <w:tc>
          <w:tcPr>
            <w:tcW w:w="674" w:type="dxa"/>
            <w:vAlign w:val="top"/>
            <w:vMerge w:val="restart"/>
            <w:tcBorders>
              <w:bottom w:val="nil"/>
            </w:tcBorders>
          </w:tcPr>
          <w:p>
            <w:pPr>
              <w:pStyle w:val="TableText"/>
              <w:ind w:left="125"/>
              <w:spacing w:before="153" w:line="279" w:lineRule="exact"/>
              <w:rPr>
                <w:sz w:val="20"/>
                <w:szCs w:val="20"/>
              </w:rPr>
            </w:pPr>
            <w:r>
              <w:rPr>
                <w:sz w:val="20"/>
                <w:szCs w:val="20"/>
                <w:spacing w:val="-2"/>
                <w:position w:val="5"/>
              </w:rPr>
              <w:t>环境</w:t>
            </w:r>
          </w:p>
          <w:p>
            <w:pPr>
              <w:pStyle w:val="TableText"/>
              <w:ind w:left="125"/>
              <w:spacing w:line="219" w:lineRule="auto"/>
              <w:rPr>
                <w:sz w:val="20"/>
                <w:szCs w:val="20"/>
              </w:rPr>
            </w:pPr>
            <w:r>
              <w:rPr>
                <w:sz w:val="20"/>
                <w:szCs w:val="20"/>
                <w:spacing w:val="-3"/>
              </w:rPr>
              <w:t>要素</w:t>
            </w:r>
          </w:p>
        </w:tc>
        <w:tc>
          <w:tcPr>
            <w:tcW w:w="2149" w:type="dxa"/>
            <w:vAlign w:val="top"/>
            <w:vMerge w:val="restart"/>
            <w:tcBorders>
              <w:bottom w:val="nil"/>
            </w:tcBorders>
          </w:tcPr>
          <w:p>
            <w:pPr>
              <w:pStyle w:val="TableText"/>
              <w:ind w:left="460"/>
              <w:spacing w:before="293" w:line="219" w:lineRule="auto"/>
              <w:rPr>
                <w:sz w:val="20"/>
                <w:szCs w:val="20"/>
              </w:rPr>
            </w:pPr>
            <w:r>
              <w:rPr>
                <w:sz w:val="20"/>
                <w:szCs w:val="20"/>
                <w:spacing w:val="-2"/>
              </w:rPr>
              <w:t>敏感目标名称</w:t>
            </w:r>
          </w:p>
        </w:tc>
        <w:tc>
          <w:tcPr>
            <w:tcW w:w="4796" w:type="dxa"/>
            <w:vAlign w:val="top"/>
            <w:gridSpan w:val="2"/>
          </w:tcPr>
          <w:p>
            <w:pPr>
              <w:pStyle w:val="TableText"/>
              <w:ind w:left="2192"/>
              <w:spacing w:before="123" w:line="220" w:lineRule="auto"/>
              <w:rPr>
                <w:sz w:val="20"/>
                <w:szCs w:val="20"/>
              </w:rPr>
            </w:pPr>
            <w:r>
              <w:rPr>
                <w:sz w:val="20"/>
                <w:szCs w:val="20"/>
                <w:spacing w:val="-3"/>
              </w:rPr>
              <w:t>坐标</w:t>
            </w:r>
          </w:p>
        </w:tc>
        <w:tc>
          <w:tcPr>
            <w:tcW w:w="1239" w:type="dxa"/>
            <w:vAlign w:val="top"/>
            <w:vMerge w:val="restart"/>
            <w:tcBorders>
              <w:bottom w:val="nil"/>
            </w:tcBorders>
          </w:tcPr>
          <w:p>
            <w:pPr>
              <w:pStyle w:val="TableText"/>
              <w:ind w:left="225"/>
              <w:spacing w:before="293" w:line="219" w:lineRule="auto"/>
              <w:rPr>
                <w:sz w:val="20"/>
                <w:szCs w:val="20"/>
              </w:rPr>
            </w:pPr>
            <w:r>
              <w:rPr>
                <w:sz w:val="20"/>
                <w:szCs w:val="20"/>
                <w:spacing w:val="-2"/>
              </w:rPr>
              <w:t>保护对象</w:t>
            </w:r>
          </w:p>
        </w:tc>
        <w:tc>
          <w:tcPr>
            <w:tcW w:w="1299" w:type="dxa"/>
            <w:vAlign w:val="top"/>
            <w:vMerge w:val="restart"/>
            <w:tcBorders>
              <w:bottom w:val="nil"/>
            </w:tcBorders>
          </w:tcPr>
          <w:p>
            <w:pPr>
              <w:pStyle w:val="TableText"/>
              <w:ind w:left="136"/>
              <w:spacing w:before="293" w:line="220" w:lineRule="auto"/>
              <w:rPr>
                <w:sz w:val="20"/>
                <w:szCs w:val="20"/>
              </w:rPr>
            </w:pPr>
            <w:r>
              <w:rPr>
                <w:sz w:val="20"/>
                <w:szCs w:val="20"/>
                <w:spacing w:val="3"/>
              </w:rPr>
              <w:t>环境功能区</w:t>
            </w:r>
          </w:p>
        </w:tc>
        <w:tc>
          <w:tcPr>
            <w:tcW w:w="1819" w:type="dxa"/>
            <w:vAlign w:val="top"/>
            <w:vMerge w:val="restart"/>
            <w:tcBorders>
              <w:bottom w:val="nil"/>
            </w:tcBorders>
          </w:tcPr>
          <w:p>
            <w:pPr>
              <w:pStyle w:val="TableText"/>
              <w:ind w:left="707" w:right="191" w:hanging="500"/>
              <w:spacing w:before="174" w:line="235" w:lineRule="auto"/>
              <w:rPr>
                <w:sz w:val="20"/>
                <w:szCs w:val="20"/>
              </w:rPr>
            </w:pPr>
            <w:r>
              <w:rPr>
                <w:sz w:val="20"/>
                <w:szCs w:val="20"/>
                <w:spacing w:val="1"/>
              </w:rPr>
              <w:t>与项目相对厂址 </w:t>
            </w:r>
            <w:r>
              <w:rPr>
                <w:sz w:val="20"/>
                <w:szCs w:val="20"/>
                <w:spacing w:val="-3"/>
              </w:rPr>
              <w:t>方位</w:t>
            </w:r>
          </w:p>
        </w:tc>
        <w:tc>
          <w:tcPr>
            <w:tcW w:w="2153" w:type="dxa"/>
            <w:vAlign w:val="top"/>
            <w:vMerge w:val="restart"/>
            <w:tcBorders>
              <w:bottom w:val="nil"/>
            </w:tcBorders>
          </w:tcPr>
          <w:p>
            <w:pPr>
              <w:pStyle w:val="TableText"/>
              <w:ind w:left="968" w:right="130" w:hanging="799"/>
              <w:spacing w:before="193" w:line="239" w:lineRule="auto"/>
              <w:rPr>
                <w:sz w:val="20"/>
                <w:szCs w:val="20"/>
              </w:rPr>
            </w:pPr>
            <w:r>
              <w:rPr>
                <w:sz w:val="20"/>
                <w:szCs w:val="20"/>
                <w:spacing w:val="4"/>
              </w:rPr>
              <w:t>相对厂界距离(最近)</w:t>
            </w:r>
            <w:r>
              <w:rPr>
                <w:sz w:val="20"/>
                <w:szCs w:val="20"/>
                <w:spacing w:val="2"/>
              </w:rPr>
              <w:t xml:space="preserve"> </w:t>
            </w:r>
            <w:r>
              <w:rPr>
                <w:sz w:val="20"/>
                <w:szCs w:val="20"/>
                <w:spacing w:val="-2"/>
              </w:rPr>
              <w:t>/m</w:t>
            </w:r>
          </w:p>
        </w:tc>
      </w:tr>
      <w:tr>
        <w:trPr>
          <w:trHeight w:val="329" w:hRule="atLeast"/>
        </w:trPr>
        <w:tc>
          <w:tcPr>
            <w:tcW w:w="674" w:type="dxa"/>
            <w:vAlign w:val="top"/>
            <w:vMerge w:val="continue"/>
            <w:tcBorders>
              <w:top w:val="nil"/>
            </w:tcBorders>
          </w:tcPr>
          <w:p>
            <w:pPr>
              <w:rPr>
                <w:rFonts w:ascii="Arial"/>
                <w:sz w:val="21"/>
              </w:rPr>
            </w:pPr>
            <w:r/>
          </w:p>
        </w:tc>
        <w:tc>
          <w:tcPr>
            <w:tcW w:w="2149" w:type="dxa"/>
            <w:vAlign w:val="top"/>
            <w:vMerge w:val="continue"/>
            <w:tcBorders>
              <w:top w:val="nil"/>
            </w:tcBorders>
          </w:tcPr>
          <w:p>
            <w:pPr>
              <w:rPr>
                <w:rFonts w:ascii="Arial"/>
                <w:sz w:val="21"/>
              </w:rPr>
            </w:pPr>
            <w:r/>
          </w:p>
        </w:tc>
        <w:tc>
          <w:tcPr>
            <w:tcW w:w="2408" w:type="dxa"/>
            <w:vAlign w:val="top"/>
          </w:tcPr>
          <w:p>
            <w:pPr>
              <w:pStyle w:val="TableText"/>
              <w:ind w:left="991"/>
              <w:spacing w:before="70" w:line="220" w:lineRule="auto"/>
              <w:rPr>
                <w:sz w:val="20"/>
                <w:szCs w:val="20"/>
              </w:rPr>
            </w:pPr>
            <w:r>
              <w:rPr>
                <w:sz w:val="20"/>
                <w:szCs w:val="20"/>
                <w:spacing w:val="5"/>
              </w:rPr>
              <w:t>经度</w:t>
            </w:r>
          </w:p>
        </w:tc>
        <w:tc>
          <w:tcPr>
            <w:tcW w:w="2388" w:type="dxa"/>
            <w:vAlign w:val="top"/>
          </w:tcPr>
          <w:p>
            <w:pPr>
              <w:pStyle w:val="TableText"/>
              <w:ind w:left="1073"/>
              <w:spacing w:before="70" w:line="220" w:lineRule="auto"/>
              <w:rPr>
                <w:sz w:val="20"/>
                <w:szCs w:val="20"/>
              </w:rPr>
            </w:pPr>
            <w:r>
              <w:rPr>
                <w:sz w:val="20"/>
                <w:szCs w:val="20"/>
                <w:spacing w:val="5"/>
              </w:rPr>
              <w:t>纬度</w:t>
            </w:r>
          </w:p>
        </w:tc>
        <w:tc>
          <w:tcPr>
            <w:tcW w:w="1239" w:type="dxa"/>
            <w:vAlign w:val="top"/>
            <w:vMerge w:val="continue"/>
            <w:tcBorders>
              <w:top w:val="nil"/>
            </w:tcBorders>
          </w:tcPr>
          <w:p>
            <w:pPr>
              <w:rPr>
                <w:rFonts w:ascii="Arial"/>
                <w:sz w:val="21"/>
              </w:rPr>
            </w:pPr>
            <w:r/>
          </w:p>
        </w:tc>
        <w:tc>
          <w:tcPr>
            <w:tcW w:w="1299" w:type="dxa"/>
            <w:vAlign w:val="top"/>
            <w:vMerge w:val="continue"/>
            <w:tcBorders>
              <w:top w:val="nil"/>
            </w:tcBorders>
          </w:tcPr>
          <w:p>
            <w:pPr>
              <w:rPr>
                <w:rFonts w:ascii="Arial"/>
                <w:sz w:val="21"/>
              </w:rPr>
            </w:pPr>
            <w:r/>
          </w:p>
        </w:tc>
        <w:tc>
          <w:tcPr>
            <w:tcW w:w="1819" w:type="dxa"/>
            <w:vAlign w:val="top"/>
            <w:vMerge w:val="continue"/>
            <w:tcBorders>
              <w:top w:val="nil"/>
            </w:tcBorders>
          </w:tcPr>
          <w:p>
            <w:pPr>
              <w:rPr>
                <w:rFonts w:ascii="Arial"/>
                <w:sz w:val="21"/>
              </w:rPr>
            </w:pPr>
            <w:r/>
          </w:p>
        </w:tc>
        <w:tc>
          <w:tcPr>
            <w:tcW w:w="2153" w:type="dxa"/>
            <w:vAlign w:val="top"/>
            <w:vMerge w:val="continue"/>
            <w:tcBorders>
              <w:top w:val="nil"/>
            </w:tcBorders>
          </w:tcPr>
          <w:p>
            <w:pPr>
              <w:rPr>
                <w:rFonts w:ascii="Arial"/>
                <w:sz w:val="21"/>
              </w:rPr>
            </w:pPr>
            <w:r/>
          </w:p>
        </w:tc>
      </w:tr>
      <w:tr>
        <w:trPr>
          <w:trHeight w:val="329" w:hRule="atLeast"/>
        </w:trPr>
        <w:tc>
          <w:tcPr>
            <w:tcW w:w="674" w:type="dxa"/>
            <w:vAlign w:val="top"/>
            <w:vMerge w:val="restart"/>
            <w:tcBorders>
              <w:bottom w:val="nil"/>
            </w:tcBorders>
          </w:tcPr>
          <w:p>
            <w:pPr>
              <w:rPr>
                <w:rFonts w:ascii="Arial"/>
                <w:sz w:val="21"/>
              </w:rPr>
            </w:pPr>
            <w:r/>
          </w:p>
        </w:tc>
        <w:tc>
          <w:tcPr>
            <w:tcW w:w="2149" w:type="dxa"/>
            <w:vAlign w:val="top"/>
          </w:tcPr>
          <w:p>
            <w:pPr>
              <w:pStyle w:val="TableText"/>
              <w:ind w:left="660"/>
              <w:spacing w:before="71" w:line="219" w:lineRule="auto"/>
              <w:rPr>
                <w:sz w:val="20"/>
                <w:szCs w:val="20"/>
              </w:rPr>
            </w:pPr>
            <w:r>
              <w:rPr>
                <w:sz w:val="20"/>
                <w:szCs w:val="20"/>
                <w:spacing w:val="4"/>
              </w:rPr>
              <w:t>万贤社区</w:t>
            </w:r>
          </w:p>
        </w:tc>
        <w:tc>
          <w:tcPr>
            <w:tcW w:w="2408" w:type="dxa"/>
            <w:vAlign w:val="top"/>
          </w:tcPr>
          <w:p>
            <w:pPr>
              <w:rPr>
                <w:rFonts w:ascii="Arial"/>
                <w:sz w:val="21"/>
              </w:rPr>
            </w:pPr>
            <w:r/>
          </w:p>
        </w:tc>
        <w:tc>
          <w:tcPr>
            <w:tcW w:w="2388" w:type="dxa"/>
            <w:vAlign w:val="top"/>
          </w:tcPr>
          <w:p>
            <w:pPr>
              <w:rPr>
                <w:rFonts w:ascii="Arial"/>
                <w:sz w:val="21"/>
              </w:rPr>
            </w:pPr>
            <w:r/>
          </w:p>
        </w:tc>
        <w:tc>
          <w:tcPr>
            <w:tcW w:w="1239" w:type="dxa"/>
            <w:vAlign w:val="top"/>
          </w:tcPr>
          <w:p>
            <w:pPr>
              <w:rPr>
                <w:rFonts w:ascii="Arial"/>
                <w:sz w:val="21"/>
              </w:rPr>
            </w:pPr>
            <w:r/>
          </w:p>
        </w:tc>
        <w:tc>
          <w:tcPr>
            <w:tcW w:w="1299" w:type="dxa"/>
            <w:vAlign w:val="top"/>
            <w:vMerge w:val="restart"/>
            <w:tcBorders>
              <w:bottom w:val="nil"/>
            </w:tcBorders>
          </w:tcPr>
          <w:p>
            <w:pPr>
              <w:rPr>
                <w:rFonts w:ascii="Arial"/>
                <w:sz w:val="21"/>
              </w:rPr>
            </w:pPr>
            <w:r/>
          </w:p>
        </w:tc>
        <w:tc>
          <w:tcPr>
            <w:tcW w:w="1819" w:type="dxa"/>
            <w:vAlign w:val="top"/>
          </w:tcPr>
          <w:p>
            <w:pPr>
              <w:pStyle w:val="TableText"/>
              <w:ind w:left="708"/>
              <w:spacing w:before="71" w:line="219" w:lineRule="auto"/>
              <w:rPr>
                <w:sz w:val="20"/>
                <w:szCs w:val="20"/>
              </w:rPr>
            </w:pPr>
            <w:r>
              <w:rPr>
                <w:sz w:val="20"/>
                <w:szCs w:val="20"/>
                <w:spacing w:val="6"/>
              </w:rPr>
              <w:t>北侧</w:t>
            </w:r>
          </w:p>
        </w:tc>
        <w:tc>
          <w:tcPr>
            <w:tcW w:w="2153" w:type="dxa"/>
            <w:vAlign w:val="top"/>
          </w:tcPr>
          <w:p>
            <w:pPr>
              <w:pStyle w:val="TableText"/>
              <w:ind w:left="868"/>
              <w:spacing w:before="122" w:line="181" w:lineRule="auto"/>
              <w:rPr>
                <w:sz w:val="20"/>
                <w:szCs w:val="20"/>
              </w:rPr>
            </w:pPr>
            <w:r>
              <w:rPr>
                <w:sz w:val="20"/>
                <w:szCs w:val="20"/>
                <w:spacing w:val="-3"/>
              </w:rPr>
              <w:t>3453</w:t>
            </w:r>
          </w:p>
        </w:tc>
      </w:tr>
      <w:tr>
        <w:trPr>
          <w:trHeight w:val="359" w:hRule="atLeast"/>
        </w:trPr>
        <w:tc>
          <w:tcPr>
            <w:tcW w:w="674" w:type="dxa"/>
            <w:vAlign w:val="top"/>
            <w:vMerge w:val="continue"/>
            <w:tcBorders>
              <w:top w:val="nil"/>
              <w:bottom w:val="nil"/>
            </w:tcBorders>
          </w:tcPr>
          <w:p>
            <w:pPr>
              <w:rPr>
                <w:rFonts w:ascii="Arial"/>
                <w:sz w:val="21"/>
              </w:rPr>
            </w:pPr>
            <w:r/>
          </w:p>
        </w:tc>
        <w:tc>
          <w:tcPr>
            <w:tcW w:w="2149" w:type="dxa"/>
            <w:vAlign w:val="top"/>
          </w:tcPr>
          <w:p>
            <w:pPr>
              <w:pStyle w:val="TableText"/>
              <w:ind w:left="660"/>
              <w:spacing w:before="82" w:line="219" w:lineRule="auto"/>
              <w:rPr>
                <w:sz w:val="20"/>
                <w:szCs w:val="20"/>
              </w:rPr>
            </w:pPr>
            <w:r>
              <w:rPr>
                <w:sz w:val="20"/>
                <w:szCs w:val="20"/>
                <w:spacing w:val="4"/>
              </w:rPr>
              <w:t>彩虹社区</w:t>
            </w:r>
          </w:p>
        </w:tc>
        <w:tc>
          <w:tcPr>
            <w:tcW w:w="2408" w:type="dxa"/>
            <w:vAlign w:val="top"/>
          </w:tcPr>
          <w:p>
            <w:pPr>
              <w:rPr>
                <w:rFonts w:ascii="Arial"/>
                <w:sz w:val="21"/>
              </w:rPr>
            </w:pPr>
            <w:r/>
          </w:p>
        </w:tc>
        <w:tc>
          <w:tcPr>
            <w:tcW w:w="2388" w:type="dxa"/>
            <w:vAlign w:val="top"/>
          </w:tcPr>
          <w:p>
            <w:pPr>
              <w:rPr>
                <w:rFonts w:ascii="Arial"/>
                <w:sz w:val="21"/>
              </w:rPr>
            </w:pPr>
            <w:r/>
          </w:p>
        </w:tc>
        <w:tc>
          <w:tcPr>
            <w:tcW w:w="1239" w:type="dxa"/>
            <w:vAlign w:val="top"/>
          </w:tcPr>
          <w:p>
            <w:pPr>
              <w:rPr>
                <w:rFonts w:ascii="Arial"/>
                <w:sz w:val="21"/>
              </w:rPr>
            </w:pPr>
            <w:r/>
          </w:p>
        </w:tc>
        <w:tc>
          <w:tcPr>
            <w:tcW w:w="1299" w:type="dxa"/>
            <w:vAlign w:val="top"/>
            <w:vMerge w:val="continue"/>
            <w:tcBorders>
              <w:top w:val="nil"/>
              <w:bottom w:val="nil"/>
            </w:tcBorders>
          </w:tcPr>
          <w:p>
            <w:pPr>
              <w:rPr>
                <w:rFonts w:ascii="Arial"/>
                <w:sz w:val="21"/>
              </w:rPr>
            </w:pPr>
            <w:r/>
          </w:p>
        </w:tc>
        <w:tc>
          <w:tcPr>
            <w:tcW w:w="1819" w:type="dxa"/>
            <w:vAlign w:val="top"/>
          </w:tcPr>
          <w:p>
            <w:pPr>
              <w:pStyle w:val="TableText"/>
              <w:ind w:left="708"/>
              <w:spacing w:before="82" w:line="219" w:lineRule="auto"/>
              <w:rPr>
                <w:sz w:val="20"/>
                <w:szCs w:val="20"/>
              </w:rPr>
            </w:pPr>
            <w:r>
              <w:rPr>
                <w:sz w:val="20"/>
                <w:szCs w:val="20"/>
                <w:spacing w:val="6"/>
              </w:rPr>
              <w:t>北侧</w:t>
            </w:r>
          </w:p>
        </w:tc>
        <w:tc>
          <w:tcPr>
            <w:tcW w:w="2153" w:type="dxa"/>
            <w:vAlign w:val="top"/>
          </w:tcPr>
          <w:p>
            <w:pPr>
              <w:pStyle w:val="TableText"/>
              <w:ind w:left="868"/>
              <w:spacing w:before="132" w:line="184" w:lineRule="auto"/>
              <w:rPr>
                <w:sz w:val="20"/>
                <w:szCs w:val="20"/>
              </w:rPr>
            </w:pPr>
            <w:r>
              <w:rPr>
                <w:sz w:val="20"/>
                <w:szCs w:val="20"/>
                <w:spacing w:val="-3"/>
              </w:rPr>
              <w:t>3131</w:t>
            </w:r>
          </w:p>
        </w:tc>
      </w:tr>
      <w:tr>
        <w:trPr>
          <w:trHeight w:val="329" w:hRule="atLeast"/>
        </w:trPr>
        <w:tc>
          <w:tcPr>
            <w:tcW w:w="674" w:type="dxa"/>
            <w:vAlign w:val="top"/>
            <w:vMerge w:val="continue"/>
            <w:tcBorders>
              <w:top w:val="nil"/>
              <w:bottom w:val="nil"/>
            </w:tcBorders>
          </w:tcPr>
          <w:p>
            <w:pPr>
              <w:rPr>
                <w:rFonts w:ascii="Arial"/>
                <w:sz w:val="21"/>
              </w:rPr>
            </w:pPr>
            <w:r/>
          </w:p>
        </w:tc>
        <w:tc>
          <w:tcPr>
            <w:tcW w:w="2149" w:type="dxa"/>
            <w:vAlign w:val="top"/>
          </w:tcPr>
          <w:p>
            <w:pPr>
              <w:pStyle w:val="TableText"/>
              <w:ind w:left="660"/>
              <w:spacing w:before="73" w:line="219" w:lineRule="auto"/>
              <w:rPr>
                <w:sz w:val="20"/>
                <w:szCs w:val="20"/>
              </w:rPr>
            </w:pPr>
            <w:r>
              <w:rPr>
                <w:sz w:val="20"/>
                <w:szCs w:val="20"/>
                <w:spacing w:val="4"/>
              </w:rPr>
              <w:t>俊星社区</w:t>
            </w:r>
          </w:p>
        </w:tc>
        <w:tc>
          <w:tcPr>
            <w:tcW w:w="2408" w:type="dxa"/>
            <w:vAlign w:val="top"/>
          </w:tcPr>
          <w:p>
            <w:pPr>
              <w:rPr>
                <w:rFonts w:ascii="Arial"/>
                <w:sz w:val="21"/>
              </w:rPr>
            </w:pPr>
            <w:r/>
          </w:p>
        </w:tc>
        <w:tc>
          <w:tcPr>
            <w:tcW w:w="2388" w:type="dxa"/>
            <w:vAlign w:val="top"/>
          </w:tcPr>
          <w:p>
            <w:pPr>
              <w:rPr>
                <w:rFonts w:ascii="Arial"/>
                <w:sz w:val="21"/>
              </w:rPr>
            </w:pPr>
            <w:r/>
          </w:p>
        </w:tc>
        <w:tc>
          <w:tcPr>
            <w:tcW w:w="1239" w:type="dxa"/>
            <w:vAlign w:val="top"/>
          </w:tcPr>
          <w:p>
            <w:pPr>
              <w:rPr>
                <w:rFonts w:ascii="Arial"/>
                <w:sz w:val="21"/>
              </w:rPr>
            </w:pPr>
            <w:r/>
          </w:p>
        </w:tc>
        <w:tc>
          <w:tcPr>
            <w:tcW w:w="1299" w:type="dxa"/>
            <w:vAlign w:val="top"/>
            <w:vMerge w:val="continue"/>
            <w:tcBorders>
              <w:top w:val="nil"/>
              <w:bottom w:val="nil"/>
            </w:tcBorders>
          </w:tcPr>
          <w:p>
            <w:pPr>
              <w:rPr>
                <w:rFonts w:ascii="Arial"/>
                <w:sz w:val="21"/>
              </w:rPr>
            </w:pPr>
            <w:r/>
          </w:p>
        </w:tc>
        <w:tc>
          <w:tcPr>
            <w:tcW w:w="1819" w:type="dxa"/>
            <w:vAlign w:val="top"/>
          </w:tcPr>
          <w:p>
            <w:pPr>
              <w:pStyle w:val="TableText"/>
              <w:ind w:left="708"/>
              <w:spacing w:before="73" w:line="219" w:lineRule="auto"/>
              <w:rPr>
                <w:sz w:val="20"/>
                <w:szCs w:val="20"/>
              </w:rPr>
            </w:pPr>
            <w:r>
              <w:rPr>
                <w:sz w:val="20"/>
                <w:szCs w:val="20"/>
                <w:spacing w:val="6"/>
              </w:rPr>
              <w:t>北侧</w:t>
            </w:r>
          </w:p>
        </w:tc>
        <w:tc>
          <w:tcPr>
            <w:tcW w:w="2153" w:type="dxa"/>
            <w:vAlign w:val="top"/>
          </w:tcPr>
          <w:p>
            <w:pPr>
              <w:pStyle w:val="TableText"/>
              <w:ind w:left="868"/>
              <w:spacing w:before="125" w:line="179" w:lineRule="auto"/>
              <w:rPr>
                <w:sz w:val="20"/>
                <w:szCs w:val="20"/>
              </w:rPr>
            </w:pPr>
            <w:r>
              <w:rPr>
                <w:sz w:val="20"/>
                <w:szCs w:val="20"/>
                <w:spacing w:val="-3"/>
              </w:rPr>
              <w:t>3452</w:t>
            </w:r>
          </w:p>
        </w:tc>
      </w:tr>
      <w:tr>
        <w:trPr>
          <w:trHeight w:val="339" w:hRule="atLeast"/>
        </w:trPr>
        <w:tc>
          <w:tcPr>
            <w:tcW w:w="674" w:type="dxa"/>
            <w:vAlign w:val="top"/>
            <w:vMerge w:val="continue"/>
            <w:tcBorders>
              <w:top w:val="nil"/>
              <w:bottom w:val="nil"/>
            </w:tcBorders>
          </w:tcPr>
          <w:p>
            <w:pPr>
              <w:rPr>
                <w:rFonts w:ascii="Arial"/>
                <w:sz w:val="21"/>
              </w:rPr>
            </w:pPr>
            <w:r/>
          </w:p>
        </w:tc>
        <w:tc>
          <w:tcPr>
            <w:tcW w:w="2149" w:type="dxa"/>
            <w:vAlign w:val="top"/>
          </w:tcPr>
          <w:p>
            <w:pPr>
              <w:pStyle w:val="TableText"/>
              <w:ind w:left="660"/>
              <w:spacing w:before="74" w:line="219" w:lineRule="auto"/>
              <w:rPr>
                <w:sz w:val="20"/>
                <w:szCs w:val="20"/>
              </w:rPr>
            </w:pPr>
            <w:r>
              <w:rPr>
                <w:sz w:val="20"/>
                <w:szCs w:val="20"/>
                <w:spacing w:val="4"/>
              </w:rPr>
              <w:t>中乘社区</w:t>
            </w:r>
          </w:p>
        </w:tc>
        <w:tc>
          <w:tcPr>
            <w:tcW w:w="2408" w:type="dxa"/>
            <w:vAlign w:val="top"/>
          </w:tcPr>
          <w:p>
            <w:pPr>
              <w:rPr>
                <w:rFonts w:ascii="Arial"/>
                <w:sz w:val="21"/>
              </w:rPr>
            </w:pPr>
            <w:r/>
          </w:p>
        </w:tc>
        <w:tc>
          <w:tcPr>
            <w:tcW w:w="2388" w:type="dxa"/>
            <w:vAlign w:val="top"/>
          </w:tcPr>
          <w:p>
            <w:pPr>
              <w:rPr>
                <w:rFonts w:ascii="Arial"/>
                <w:sz w:val="21"/>
              </w:rPr>
            </w:pPr>
            <w:r/>
          </w:p>
        </w:tc>
        <w:tc>
          <w:tcPr>
            <w:tcW w:w="1239" w:type="dxa"/>
            <w:vAlign w:val="top"/>
          </w:tcPr>
          <w:p>
            <w:pPr>
              <w:rPr>
                <w:rFonts w:ascii="Arial"/>
                <w:sz w:val="21"/>
              </w:rPr>
            </w:pPr>
            <w:r/>
          </w:p>
        </w:tc>
        <w:tc>
          <w:tcPr>
            <w:tcW w:w="1299" w:type="dxa"/>
            <w:vAlign w:val="top"/>
            <w:vMerge w:val="continue"/>
            <w:tcBorders>
              <w:top w:val="nil"/>
              <w:bottom w:val="nil"/>
            </w:tcBorders>
          </w:tcPr>
          <w:p>
            <w:pPr>
              <w:rPr>
                <w:rFonts w:ascii="Arial"/>
                <w:sz w:val="21"/>
              </w:rPr>
            </w:pPr>
            <w:r/>
          </w:p>
        </w:tc>
        <w:tc>
          <w:tcPr>
            <w:tcW w:w="1819" w:type="dxa"/>
            <w:vAlign w:val="top"/>
          </w:tcPr>
          <w:p>
            <w:pPr>
              <w:pStyle w:val="TableText"/>
              <w:ind w:left="708"/>
              <w:spacing w:before="74" w:line="219" w:lineRule="auto"/>
              <w:rPr>
                <w:sz w:val="20"/>
                <w:szCs w:val="20"/>
              </w:rPr>
            </w:pPr>
            <w:r>
              <w:rPr>
                <w:sz w:val="20"/>
                <w:szCs w:val="20"/>
                <w:spacing w:val="6"/>
              </w:rPr>
              <w:t>北侧</w:t>
            </w:r>
          </w:p>
        </w:tc>
        <w:tc>
          <w:tcPr>
            <w:tcW w:w="2153" w:type="dxa"/>
            <w:vAlign w:val="top"/>
          </w:tcPr>
          <w:p>
            <w:pPr>
              <w:pStyle w:val="TableText"/>
              <w:ind w:left="868"/>
              <w:spacing w:before="125" w:line="183" w:lineRule="auto"/>
              <w:rPr>
                <w:sz w:val="20"/>
                <w:szCs w:val="20"/>
              </w:rPr>
            </w:pPr>
            <w:r>
              <w:rPr>
                <w:sz w:val="20"/>
                <w:szCs w:val="20"/>
                <w:spacing w:val="-3"/>
              </w:rPr>
              <w:t>3502</w:t>
            </w:r>
          </w:p>
        </w:tc>
      </w:tr>
      <w:tr>
        <w:trPr>
          <w:trHeight w:val="329" w:hRule="atLeast"/>
        </w:trPr>
        <w:tc>
          <w:tcPr>
            <w:tcW w:w="674" w:type="dxa"/>
            <w:vAlign w:val="top"/>
            <w:vMerge w:val="continue"/>
            <w:tcBorders>
              <w:top w:val="nil"/>
              <w:bottom w:val="nil"/>
            </w:tcBorders>
          </w:tcPr>
          <w:p>
            <w:pPr>
              <w:rPr>
                <w:rFonts w:ascii="Arial"/>
                <w:sz w:val="21"/>
              </w:rPr>
            </w:pPr>
            <w:r/>
          </w:p>
        </w:tc>
        <w:tc>
          <w:tcPr>
            <w:tcW w:w="2149" w:type="dxa"/>
            <w:vAlign w:val="top"/>
          </w:tcPr>
          <w:p>
            <w:pPr>
              <w:pStyle w:val="TableText"/>
              <w:ind w:left="660"/>
              <w:spacing w:before="75" w:line="219" w:lineRule="auto"/>
              <w:rPr>
                <w:sz w:val="20"/>
                <w:szCs w:val="20"/>
              </w:rPr>
            </w:pPr>
            <w:r>
              <w:rPr>
                <w:sz w:val="20"/>
                <w:szCs w:val="20"/>
                <w:spacing w:val="4"/>
              </w:rPr>
              <w:t>西关社区</w:t>
            </w:r>
          </w:p>
        </w:tc>
        <w:tc>
          <w:tcPr>
            <w:tcW w:w="2408" w:type="dxa"/>
            <w:vAlign w:val="top"/>
          </w:tcPr>
          <w:p>
            <w:pPr>
              <w:rPr>
                <w:rFonts w:ascii="Arial"/>
                <w:sz w:val="21"/>
              </w:rPr>
            </w:pPr>
            <w:r/>
          </w:p>
        </w:tc>
        <w:tc>
          <w:tcPr>
            <w:tcW w:w="2388" w:type="dxa"/>
            <w:vAlign w:val="top"/>
          </w:tcPr>
          <w:p>
            <w:pPr>
              <w:rPr>
                <w:rFonts w:ascii="Arial"/>
                <w:sz w:val="21"/>
              </w:rPr>
            </w:pPr>
            <w:r/>
          </w:p>
        </w:tc>
        <w:tc>
          <w:tcPr>
            <w:tcW w:w="1239" w:type="dxa"/>
            <w:vAlign w:val="top"/>
          </w:tcPr>
          <w:p>
            <w:pPr>
              <w:rPr>
                <w:rFonts w:ascii="Arial"/>
                <w:sz w:val="21"/>
              </w:rPr>
            </w:pPr>
            <w:r/>
          </w:p>
        </w:tc>
        <w:tc>
          <w:tcPr>
            <w:tcW w:w="1299" w:type="dxa"/>
            <w:vAlign w:val="top"/>
            <w:vMerge w:val="continue"/>
            <w:tcBorders>
              <w:top w:val="nil"/>
              <w:bottom w:val="nil"/>
            </w:tcBorders>
          </w:tcPr>
          <w:p>
            <w:pPr>
              <w:rPr>
                <w:rFonts w:ascii="Arial"/>
                <w:sz w:val="21"/>
              </w:rPr>
            </w:pPr>
            <w:r/>
          </w:p>
        </w:tc>
        <w:tc>
          <w:tcPr>
            <w:tcW w:w="1819" w:type="dxa"/>
            <w:vAlign w:val="top"/>
          </w:tcPr>
          <w:p>
            <w:pPr>
              <w:pStyle w:val="TableText"/>
              <w:ind w:left="708"/>
              <w:spacing w:before="75" w:line="219" w:lineRule="auto"/>
              <w:rPr>
                <w:sz w:val="20"/>
                <w:szCs w:val="20"/>
              </w:rPr>
            </w:pPr>
            <w:r>
              <w:rPr>
                <w:sz w:val="20"/>
                <w:szCs w:val="20"/>
                <w:spacing w:val="6"/>
              </w:rPr>
              <w:t>北侧</w:t>
            </w:r>
          </w:p>
        </w:tc>
        <w:tc>
          <w:tcPr>
            <w:tcW w:w="2153" w:type="dxa"/>
            <w:vAlign w:val="top"/>
          </w:tcPr>
          <w:p>
            <w:pPr>
              <w:pStyle w:val="TableText"/>
              <w:ind w:left="868"/>
              <w:spacing w:before="126" w:line="178" w:lineRule="auto"/>
              <w:rPr>
                <w:sz w:val="20"/>
                <w:szCs w:val="20"/>
              </w:rPr>
            </w:pPr>
            <w:r>
              <w:rPr>
                <w:sz w:val="20"/>
                <w:szCs w:val="20"/>
                <w:spacing w:val="-3"/>
              </w:rPr>
              <w:t>3291</w:t>
            </w:r>
          </w:p>
        </w:tc>
      </w:tr>
      <w:tr>
        <w:trPr>
          <w:trHeight w:val="359" w:hRule="atLeast"/>
        </w:trPr>
        <w:tc>
          <w:tcPr>
            <w:tcW w:w="674" w:type="dxa"/>
            <w:vAlign w:val="top"/>
            <w:vMerge w:val="continue"/>
            <w:tcBorders>
              <w:top w:val="nil"/>
              <w:bottom w:val="nil"/>
            </w:tcBorders>
          </w:tcPr>
          <w:p>
            <w:pPr>
              <w:rPr>
                <w:rFonts w:ascii="Arial"/>
                <w:sz w:val="21"/>
              </w:rPr>
            </w:pPr>
            <w:r/>
          </w:p>
        </w:tc>
        <w:tc>
          <w:tcPr>
            <w:tcW w:w="2149" w:type="dxa"/>
            <w:vAlign w:val="top"/>
          </w:tcPr>
          <w:p>
            <w:pPr>
              <w:pStyle w:val="TableText"/>
              <w:ind w:left="660"/>
              <w:spacing w:before="86" w:line="219" w:lineRule="auto"/>
              <w:rPr>
                <w:sz w:val="20"/>
                <w:szCs w:val="20"/>
              </w:rPr>
            </w:pPr>
            <w:r>
              <w:rPr>
                <w:sz w:val="20"/>
                <w:szCs w:val="20"/>
                <w:spacing w:val="4"/>
              </w:rPr>
              <w:t>龙津社区</w:t>
            </w:r>
          </w:p>
        </w:tc>
        <w:tc>
          <w:tcPr>
            <w:tcW w:w="2408" w:type="dxa"/>
            <w:vAlign w:val="top"/>
          </w:tcPr>
          <w:p>
            <w:pPr>
              <w:rPr>
                <w:rFonts w:ascii="Arial"/>
                <w:sz w:val="21"/>
              </w:rPr>
            </w:pPr>
            <w:r/>
          </w:p>
        </w:tc>
        <w:tc>
          <w:tcPr>
            <w:tcW w:w="2388" w:type="dxa"/>
            <w:vAlign w:val="top"/>
          </w:tcPr>
          <w:p>
            <w:pPr>
              <w:rPr>
                <w:rFonts w:ascii="Arial"/>
                <w:sz w:val="21"/>
              </w:rPr>
            </w:pPr>
            <w:r/>
          </w:p>
        </w:tc>
        <w:tc>
          <w:tcPr>
            <w:tcW w:w="1239" w:type="dxa"/>
            <w:vAlign w:val="top"/>
          </w:tcPr>
          <w:p>
            <w:pPr>
              <w:rPr>
                <w:rFonts w:ascii="Arial"/>
                <w:sz w:val="21"/>
              </w:rPr>
            </w:pPr>
            <w:r/>
          </w:p>
        </w:tc>
        <w:tc>
          <w:tcPr>
            <w:tcW w:w="1299" w:type="dxa"/>
            <w:vAlign w:val="top"/>
            <w:vMerge w:val="continue"/>
            <w:tcBorders>
              <w:top w:val="nil"/>
              <w:bottom w:val="nil"/>
            </w:tcBorders>
          </w:tcPr>
          <w:p>
            <w:pPr>
              <w:rPr>
                <w:rFonts w:ascii="Arial"/>
                <w:sz w:val="21"/>
              </w:rPr>
            </w:pPr>
            <w:r/>
          </w:p>
        </w:tc>
        <w:tc>
          <w:tcPr>
            <w:tcW w:w="1819" w:type="dxa"/>
            <w:vAlign w:val="top"/>
          </w:tcPr>
          <w:p>
            <w:pPr>
              <w:pStyle w:val="TableText"/>
              <w:ind w:left="708"/>
              <w:spacing w:before="86" w:line="219" w:lineRule="auto"/>
              <w:rPr>
                <w:sz w:val="20"/>
                <w:szCs w:val="20"/>
              </w:rPr>
            </w:pPr>
            <w:r>
              <w:rPr>
                <w:sz w:val="20"/>
                <w:szCs w:val="20"/>
                <w:spacing w:val="6"/>
              </w:rPr>
              <w:t>北侧</w:t>
            </w:r>
          </w:p>
        </w:tc>
        <w:tc>
          <w:tcPr>
            <w:tcW w:w="2153" w:type="dxa"/>
            <w:vAlign w:val="top"/>
          </w:tcPr>
          <w:p>
            <w:pPr>
              <w:pStyle w:val="TableText"/>
              <w:ind w:left="868"/>
              <w:spacing w:before="137" w:line="183" w:lineRule="auto"/>
              <w:rPr>
                <w:sz w:val="20"/>
                <w:szCs w:val="20"/>
              </w:rPr>
            </w:pPr>
            <w:r>
              <w:rPr>
                <w:sz w:val="20"/>
                <w:szCs w:val="20"/>
                <w:spacing w:val="-3"/>
              </w:rPr>
              <w:t>3683</w:t>
            </w:r>
          </w:p>
        </w:tc>
      </w:tr>
      <w:tr>
        <w:trPr>
          <w:trHeight w:val="329" w:hRule="atLeast"/>
        </w:trPr>
        <w:tc>
          <w:tcPr>
            <w:tcW w:w="674" w:type="dxa"/>
            <w:vAlign w:val="top"/>
            <w:vMerge w:val="continue"/>
            <w:tcBorders>
              <w:top w:val="nil"/>
              <w:bottom w:val="nil"/>
            </w:tcBorders>
          </w:tcPr>
          <w:p>
            <w:pPr>
              <w:rPr>
                <w:rFonts w:ascii="Arial"/>
                <w:sz w:val="21"/>
              </w:rPr>
            </w:pPr>
            <w:r/>
          </w:p>
        </w:tc>
        <w:tc>
          <w:tcPr>
            <w:tcW w:w="2149" w:type="dxa"/>
            <w:vAlign w:val="top"/>
          </w:tcPr>
          <w:p>
            <w:pPr>
              <w:pStyle w:val="TableText"/>
              <w:ind w:left="660"/>
              <w:spacing w:before="77" w:line="219" w:lineRule="auto"/>
              <w:rPr>
                <w:sz w:val="20"/>
                <w:szCs w:val="20"/>
              </w:rPr>
            </w:pPr>
            <w:r>
              <w:rPr>
                <w:sz w:val="20"/>
                <w:szCs w:val="20"/>
                <w:spacing w:val="4"/>
              </w:rPr>
              <w:t>松兴社区</w:t>
            </w:r>
          </w:p>
        </w:tc>
        <w:tc>
          <w:tcPr>
            <w:tcW w:w="2408" w:type="dxa"/>
            <w:vAlign w:val="top"/>
          </w:tcPr>
          <w:p>
            <w:pPr>
              <w:rPr>
                <w:rFonts w:ascii="Arial"/>
                <w:sz w:val="21"/>
              </w:rPr>
            </w:pPr>
            <w:r/>
          </w:p>
        </w:tc>
        <w:tc>
          <w:tcPr>
            <w:tcW w:w="2388" w:type="dxa"/>
            <w:vAlign w:val="top"/>
          </w:tcPr>
          <w:p>
            <w:pPr>
              <w:rPr>
                <w:rFonts w:ascii="Arial"/>
                <w:sz w:val="21"/>
              </w:rPr>
            </w:pPr>
            <w:r/>
          </w:p>
        </w:tc>
        <w:tc>
          <w:tcPr>
            <w:tcW w:w="1239" w:type="dxa"/>
            <w:vAlign w:val="top"/>
          </w:tcPr>
          <w:p>
            <w:pPr>
              <w:rPr>
                <w:rFonts w:ascii="Arial"/>
                <w:sz w:val="21"/>
              </w:rPr>
            </w:pPr>
            <w:r/>
          </w:p>
        </w:tc>
        <w:tc>
          <w:tcPr>
            <w:tcW w:w="1299" w:type="dxa"/>
            <w:vAlign w:val="top"/>
            <w:vMerge w:val="continue"/>
            <w:tcBorders>
              <w:top w:val="nil"/>
              <w:bottom w:val="nil"/>
            </w:tcBorders>
          </w:tcPr>
          <w:p>
            <w:pPr>
              <w:rPr>
                <w:rFonts w:ascii="Arial"/>
                <w:sz w:val="21"/>
              </w:rPr>
            </w:pPr>
            <w:r/>
          </w:p>
        </w:tc>
        <w:tc>
          <w:tcPr>
            <w:tcW w:w="1819" w:type="dxa"/>
            <w:vAlign w:val="top"/>
          </w:tcPr>
          <w:p>
            <w:pPr>
              <w:pStyle w:val="TableText"/>
              <w:ind w:left="708"/>
              <w:spacing w:before="77" w:line="219" w:lineRule="auto"/>
              <w:rPr>
                <w:sz w:val="20"/>
                <w:szCs w:val="20"/>
              </w:rPr>
            </w:pPr>
            <w:r>
              <w:rPr>
                <w:sz w:val="20"/>
                <w:szCs w:val="20"/>
                <w:spacing w:val="6"/>
              </w:rPr>
              <w:t>北侧</w:t>
            </w:r>
          </w:p>
        </w:tc>
        <w:tc>
          <w:tcPr>
            <w:tcW w:w="2153" w:type="dxa"/>
            <w:vAlign w:val="top"/>
          </w:tcPr>
          <w:p>
            <w:pPr>
              <w:pStyle w:val="TableText"/>
              <w:ind w:left="868"/>
              <w:spacing w:before="128" w:line="176" w:lineRule="auto"/>
              <w:rPr>
                <w:sz w:val="20"/>
                <w:szCs w:val="20"/>
              </w:rPr>
            </w:pPr>
            <w:r>
              <w:rPr>
                <w:sz w:val="20"/>
                <w:szCs w:val="20"/>
                <w:spacing w:val="-3"/>
              </w:rPr>
              <w:t>3644</w:t>
            </w:r>
          </w:p>
        </w:tc>
      </w:tr>
      <w:tr>
        <w:trPr>
          <w:trHeight w:val="334" w:hRule="atLeast"/>
        </w:trPr>
        <w:tc>
          <w:tcPr>
            <w:tcW w:w="674" w:type="dxa"/>
            <w:vAlign w:val="top"/>
            <w:vMerge w:val="continue"/>
            <w:tcBorders>
              <w:top w:val="nil"/>
            </w:tcBorders>
          </w:tcPr>
          <w:p>
            <w:pPr>
              <w:rPr>
                <w:rFonts w:ascii="Arial"/>
                <w:sz w:val="21"/>
              </w:rPr>
            </w:pPr>
            <w:r/>
          </w:p>
        </w:tc>
        <w:tc>
          <w:tcPr>
            <w:tcW w:w="2149" w:type="dxa"/>
            <w:vAlign w:val="top"/>
          </w:tcPr>
          <w:p>
            <w:pPr>
              <w:pStyle w:val="TableText"/>
              <w:ind w:left="660"/>
              <w:spacing w:before="78" w:line="219" w:lineRule="auto"/>
              <w:rPr>
                <w:sz w:val="20"/>
                <w:szCs w:val="20"/>
              </w:rPr>
            </w:pPr>
            <w:r>
              <w:rPr>
                <w:sz w:val="20"/>
                <w:szCs w:val="20"/>
                <w:spacing w:val="4"/>
              </w:rPr>
              <w:t>城北社区</w:t>
            </w:r>
          </w:p>
        </w:tc>
        <w:tc>
          <w:tcPr>
            <w:tcW w:w="2408" w:type="dxa"/>
            <w:vAlign w:val="top"/>
          </w:tcPr>
          <w:p>
            <w:pPr>
              <w:rPr>
                <w:rFonts w:ascii="Arial"/>
                <w:sz w:val="21"/>
              </w:rPr>
            </w:pPr>
            <w:r/>
          </w:p>
        </w:tc>
        <w:tc>
          <w:tcPr>
            <w:tcW w:w="2388" w:type="dxa"/>
            <w:vAlign w:val="top"/>
          </w:tcPr>
          <w:p>
            <w:pPr>
              <w:rPr>
                <w:rFonts w:ascii="Arial"/>
                <w:sz w:val="21"/>
              </w:rPr>
            </w:pPr>
            <w:r/>
          </w:p>
        </w:tc>
        <w:tc>
          <w:tcPr>
            <w:tcW w:w="1239" w:type="dxa"/>
            <w:vAlign w:val="top"/>
          </w:tcPr>
          <w:p>
            <w:pPr>
              <w:rPr>
                <w:rFonts w:ascii="Arial"/>
                <w:sz w:val="21"/>
              </w:rPr>
            </w:pPr>
            <w:r/>
          </w:p>
        </w:tc>
        <w:tc>
          <w:tcPr>
            <w:tcW w:w="1299" w:type="dxa"/>
            <w:vAlign w:val="top"/>
            <w:vMerge w:val="continue"/>
            <w:tcBorders>
              <w:top w:val="nil"/>
            </w:tcBorders>
          </w:tcPr>
          <w:p>
            <w:pPr>
              <w:rPr>
                <w:rFonts w:ascii="Arial"/>
                <w:sz w:val="21"/>
              </w:rPr>
            </w:pPr>
            <w:r/>
          </w:p>
        </w:tc>
        <w:tc>
          <w:tcPr>
            <w:tcW w:w="1819" w:type="dxa"/>
            <w:vAlign w:val="top"/>
          </w:tcPr>
          <w:p>
            <w:pPr>
              <w:pStyle w:val="TableText"/>
              <w:ind w:left="708"/>
              <w:spacing w:before="78" w:line="219" w:lineRule="auto"/>
              <w:rPr>
                <w:sz w:val="20"/>
                <w:szCs w:val="20"/>
              </w:rPr>
            </w:pPr>
            <w:r>
              <w:rPr>
                <w:sz w:val="20"/>
                <w:szCs w:val="20"/>
                <w:spacing w:val="6"/>
              </w:rPr>
              <w:t>北侧</w:t>
            </w:r>
          </w:p>
        </w:tc>
        <w:tc>
          <w:tcPr>
            <w:tcW w:w="2153" w:type="dxa"/>
            <w:vAlign w:val="top"/>
          </w:tcPr>
          <w:p>
            <w:pPr>
              <w:pStyle w:val="TableText"/>
              <w:ind w:left="868"/>
              <w:spacing w:before="130" w:line="179" w:lineRule="auto"/>
              <w:rPr>
                <w:sz w:val="20"/>
                <w:szCs w:val="20"/>
              </w:rPr>
            </w:pPr>
            <w:r>
              <w:rPr>
                <w:sz w:val="20"/>
                <w:szCs w:val="20"/>
                <w:spacing w:val="-3"/>
              </w:rPr>
              <w:t>3974</w:t>
            </w:r>
          </w:p>
        </w:tc>
      </w:tr>
    </w:tbl>
    <w:p>
      <w:pPr>
        <w:rPr>
          <w:rFonts w:ascii="Arial"/>
          <w:sz w:val="21"/>
        </w:rPr>
      </w:pPr>
      <w:r/>
    </w:p>
    <w:p>
      <w:pPr>
        <w:sectPr>
          <w:footerReference w:type="default" r:id="rId75"/>
          <w:pgSz w:w="16840" w:h="11900"/>
          <w:pgMar w:top="1011" w:right="1375" w:bottom="979" w:left="1325" w:header="0" w:footer="840" w:gutter="0"/>
        </w:sectPr>
        <w:rPr>
          <w:rFonts w:ascii="Arial" w:hAnsi="Arial" w:eastAsia="Arial" w:cs="Arial"/>
          <w:sz w:val="21"/>
          <w:szCs w:val="21"/>
        </w:rPr>
      </w:pPr>
    </w:p>
    <w:p>
      <w:pPr>
        <w:spacing w:line="37" w:lineRule="auto"/>
        <w:rPr>
          <w:rFonts w:ascii="Arial"/>
          <w:sz w:val="2"/>
        </w:rPr>
      </w:pPr>
      <w:r>
        <w:rPr>
          <w:rFonts w:ascii="Arial"/>
          <w:sz w:val="2"/>
        </w:rPr>
      </w:r>
    </w:p>
    <w:tbl>
      <w:tblPr>
        <w:tblStyle w:val="TableNormal"/>
        <w:tblW w:w="87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95"/>
        <w:gridCol w:w="1518"/>
        <w:gridCol w:w="1278"/>
        <w:gridCol w:w="1618"/>
        <w:gridCol w:w="90"/>
        <w:gridCol w:w="1029"/>
        <w:gridCol w:w="1049"/>
        <w:gridCol w:w="429"/>
        <w:gridCol w:w="1354"/>
      </w:tblGrid>
      <w:tr>
        <w:trPr>
          <w:trHeight w:val="7120" w:hRule="atLeast"/>
        </w:trPr>
        <w:tc>
          <w:tcPr>
            <w:tcW w:w="395" w:type="dxa"/>
            <w:vAlign w:val="top"/>
            <w:vMerge w:val="restart"/>
            <w:textDirection w:val="tbRlV"/>
            <w:tcBorders>
              <w:bottom w:val="nil"/>
            </w:tcBorders>
          </w:tcPr>
          <w:p>
            <w:pPr>
              <w:pStyle w:val="TableText"/>
              <w:ind w:left="5817"/>
              <w:spacing w:before="59" w:line="217" w:lineRule="auto"/>
              <w:rPr/>
            </w:pPr>
            <w:r>
              <w:rPr>
                <w:spacing w:val="2"/>
              </w:rPr>
              <w:t>污染物排放控制标准</w:t>
            </w:r>
          </w:p>
        </w:tc>
        <w:tc>
          <w:tcPr>
            <w:tcW w:w="8365" w:type="dxa"/>
            <w:vAlign w:val="top"/>
            <w:gridSpan w:val="8"/>
          </w:tcPr>
          <w:p>
            <w:pPr>
              <w:pStyle w:val="TableText"/>
              <w:ind w:left="123"/>
              <w:spacing w:before="71" w:line="220" w:lineRule="auto"/>
              <w:rPr/>
            </w:pPr>
            <w:r>
              <w:rPr>
                <w:b/>
                <w:bCs/>
                <w:spacing w:val="-4"/>
              </w:rPr>
              <w:t>3.5.1大气污染物排放标准</w:t>
            </w:r>
          </w:p>
          <w:p>
            <w:pPr>
              <w:pStyle w:val="TableText"/>
              <w:ind w:left="600"/>
              <w:spacing w:before="177" w:line="471" w:lineRule="exact"/>
              <w:rPr/>
            </w:pPr>
            <w:r>
              <w:rPr>
                <w:position w:val="18"/>
              </w:rPr>
              <w:t>本项目锅炉采用天然气燃料，烟气中二氧化硫、氮氧化物、烟尘、烟气黑</w:t>
            </w:r>
          </w:p>
          <w:p>
            <w:pPr>
              <w:pStyle w:val="TableText"/>
              <w:ind w:left="120"/>
              <w:spacing w:line="219" w:lineRule="auto"/>
              <w:rPr/>
            </w:pPr>
            <w:r>
              <w:rPr/>
              <w:t>度排放执行《锅炉大气污染物排放标准》(GB13271-2014)中新建锅炉</w:t>
            </w:r>
            <w:r>
              <w:rPr>
                <w:spacing w:val="-1"/>
              </w:rPr>
              <w:t>标准，</w:t>
            </w:r>
          </w:p>
          <w:p>
            <w:pPr>
              <w:pStyle w:val="TableText"/>
              <w:ind w:left="130"/>
              <w:spacing w:before="197" w:line="219" w:lineRule="auto"/>
              <w:rPr/>
            </w:pPr>
            <w:r>
              <w:rPr>
                <w:spacing w:val="1"/>
              </w:rPr>
              <w:t>见表3.5-1。</w:t>
            </w:r>
          </w:p>
          <w:p>
            <w:pPr>
              <w:pStyle w:val="TableText"/>
              <w:ind w:left="600"/>
              <w:spacing w:before="196" w:line="470" w:lineRule="exact"/>
              <w:rPr/>
            </w:pPr>
            <w:r>
              <w:rPr>
                <w:spacing w:val="1"/>
                <w:position w:val="18"/>
              </w:rPr>
              <w:t>生产废气中颗粒物、非甲烷总烃排放最高允</w:t>
            </w:r>
            <w:r>
              <w:rPr>
                <w:position w:val="18"/>
              </w:rPr>
              <w:t>许排放浓度、企业边界监控点</w:t>
            </w:r>
          </w:p>
          <w:p>
            <w:pPr>
              <w:pStyle w:val="TableText"/>
              <w:ind w:left="130"/>
              <w:spacing w:line="219" w:lineRule="auto"/>
              <w:rPr/>
            </w:pPr>
            <w:r>
              <w:rPr/>
              <w:t>浓度执行《电池工业污染物排放标准》(GB30484-2013)表5和表6中的浓度</w:t>
            </w:r>
          </w:p>
          <w:p>
            <w:pPr>
              <w:pStyle w:val="TableText"/>
              <w:ind w:left="130"/>
              <w:spacing w:before="187" w:line="469" w:lineRule="exact"/>
              <w:rPr/>
            </w:pPr>
            <w:r>
              <w:rPr>
                <w:position w:val="18"/>
              </w:rPr>
              <w:t>限值，非甲烷总烃厂区内监控点1h平均浓度值、任意一次浓度值GB37822-2019</w:t>
            </w:r>
          </w:p>
          <w:p>
            <w:pPr>
              <w:pStyle w:val="TableText"/>
              <w:ind w:left="115"/>
              <w:spacing w:before="1" w:line="218" w:lineRule="auto"/>
              <w:rPr/>
            </w:pPr>
            <w:r>
              <w:rPr/>
              <w:t>《挥发性有机物无组织排放控制标准》附录A表A.1中排放限值，见表3.5-2。</w:t>
            </w:r>
          </w:p>
          <w:p>
            <w:pPr>
              <w:pStyle w:val="TableText"/>
              <w:ind w:left="690"/>
              <w:spacing w:before="209" w:line="470" w:lineRule="exact"/>
              <w:rPr/>
            </w:pPr>
            <w:r>
              <w:rPr>
                <w:position w:val="18"/>
              </w:rPr>
              <w:t>污水处理站产生的恶臭污染物氨、硫化氢、臭气浓度排放执行《恶臭污染</w:t>
            </w:r>
          </w:p>
          <w:p>
            <w:pPr>
              <w:pStyle w:val="TableText"/>
              <w:ind w:left="130"/>
              <w:spacing w:line="219" w:lineRule="auto"/>
              <w:rPr/>
            </w:pPr>
            <w:r>
              <w:rPr>
                <w:spacing w:val="1"/>
              </w:rPr>
              <w:t>物排放标准》(</w:t>
            </w:r>
            <w:r>
              <w:rPr/>
              <w:t>GB</w:t>
            </w:r>
            <w:r>
              <w:rPr>
                <w:spacing w:val="1"/>
              </w:rPr>
              <w:t>14554-1993)中</w:t>
            </w:r>
            <w:r>
              <w:rPr/>
              <w:t>的表1、2标准，见表3.5-3。</w:t>
            </w:r>
          </w:p>
          <w:p>
            <w:pPr>
              <w:pStyle w:val="TableText"/>
              <w:ind w:left="690"/>
              <w:spacing w:before="197" w:line="450" w:lineRule="exact"/>
              <w:rPr/>
            </w:pPr>
            <w:r>
              <w:rPr>
                <w:position w:val="16"/>
              </w:rPr>
              <w:t>危险废物暂存间废气的非甲烷总烃最高允许排放浓度、最高允许排放速率</w:t>
            </w:r>
          </w:p>
          <w:p>
            <w:pPr>
              <w:pStyle w:val="TableText"/>
              <w:ind w:left="110"/>
              <w:spacing w:line="219" w:lineRule="auto"/>
              <w:rPr/>
            </w:pPr>
            <w:r>
              <w:rPr/>
              <w:t>执行《大气污染物综合排放标准》(GB16297-1996)表</w:t>
            </w:r>
            <w:r>
              <w:rPr>
                <w:spacing w:val="-1"/>
              </w:rPr>
              <w:t>2新污染源大气污染物</w:t>
            </w:r>
          </w:p>
          <w:p>
            <w:pPr>
              <w:pStyle w:val="TableText"/>
              <w:ind w:left="120"/>
              <w:spacing w:before="207" w:line="219" w:lineRule="auto"/>
              <w:rPr/>
            </w:pPr>
            <w:r>
              <w:rPr/>
              <w:t>排放限值要求，非甲烷总烃厂区内监控点1h平均浓</w:t>
            </w:r>
            <w:r>
              <w:rPr>
                <w:spacing w:val="-1"/>
              </w:rPr>
              <w:t>度值、任意一次浓度值</w:t>
            </w:r>
          </w:p>
          <w:p>
            <w:pPr>
              <w:pStyle w:val="TableText"/>
              <w:ind w:left="120"/>
              <w:spacing w:before="196" w:line="219" w:lineRule="auto"/>
              <w:rPr/>
            </w:pPr>
            <w:r>
              <w:rPr/>
              <w:t>GB37822-2019《挥发性有机物无组织排放控制标准》附录A表A.1中排放限</w:t>
            </w:r>
            <w:r>
              <w:rPr>
                <w:spacing w:val="-1"/>
              </w:rPr>
              <w:t>值。</w:t>
            </w:r>
          </w:p>
          <w:p>
            <w:pPr>
              <w:pStyle w:val="TableText"/>
              <w:ind w:left="1903"/>
              <w:spacing w:before="245" w:line="219" w:lineRule="auto"/>
              <w:rPr/>
            </w:pPr>
            <w:r>
              <w:rPr>
                <w:b/>
                <w:bCs/>
                <w:spacing w:val="-3"/>
              </w:rPr>
              <w:t>表3.5-1</w:t>
            </w:r>
            <w:r>
              <w:rPr>
                <w:spacing w:val="-3"/>
              </w:rPr>
              <w:t xml:space="preserve">  </w:t>
            </w:r>
            <w:r>
              <w:rPr>
                <w:b/>
                <w:bCs/>
                <w:spacing w:val="-3"/>
              </w:rPr>
              <w:t>锅炉大气污染物排放执行标准</w:t>
            </w:r>
          </w:p>
        </w:tc>
      </w:tr>
      <w:tr>
        <w:trPr>
          <w:trHeight w:val="269" w:hRule="atLeast"/>
        </w:trPr>
        <w:tc>
          <w:tcPr>
            <w:tcW w:w="395" w:type="dxa"/>
            <w:vAlign w:val="top"/>
            <w:vMerge w:val="continue"/>
            <w:textDirection w:val="tbRlV"/>
            <w:tcBorders>
              <w:top w:val="nil"/>
              <w:bottom w:val="nil"/>
            </w:tcBorders>
          </w:tcPr>
          <w:p>
            <w:pPr>
              <w:rPr>
                <w:rFonts w:ascii="Arial"/>
                <w:sz w:val="21"/>
              </w:rPr>
            </w:pPr>
            <w:r/>
          </w:p>
        </w:tc>
        <w:tc>
          <w:tcPr>
            <w:tcW w:w="2796" w:type="dxa"/>
            <w:vAlign w:val="top"/>
            <w:gridSpan w:val="2"/>
          </w:tcPr>
          <w:p>
            <w:pPr>
              <w:pStyle w:val="TableText"/>
              <w:ind w:left="810"/>
              <w:spacing w:before="24" w:line="188" w:lineRule="auto"/>
              <w:rPr/>
            </w:pPr>
            <w:r>
              <w:rPr>
                <w:spacing w:val="1"/>
              </w:rPr>
              <w:t>污染源种类</w:t>
            </w:r>
          </w:p>
        </w:tc>
        <w:tc>
          <w:tcPr>
            <w:tcW w:w="2737" w:type="dxa"/>
            <w:vAlign w:val="top"/>
            <w:gridSpan w:val="3"/>
            <w:vMerge w:val="restart"/>
            <w:tcBorders>
              <w:bottom w:val="nil"/>
            </w:tcBorders>
          </w:tcPr>
          <w:p>
            <w:pPr>
              <w:pStyle w:val="TableText"/>
              <w:ind w:left="444"/>
              <w:spacing w:before="36" w:line="214" w:lineRule="auto"/>
              <w:rPr/>
            </w:pPr>
            <w:r>
              <w:rPr>
                <w:spacing w:val="18"/>
              </w:rPr>
              <w:t>燃气锅炉(</w:t>
            </w:r>
            <w:r>
              <w:rPr/>
              <w:t>mg</w:t>
            </w:r>
            <w:r>
              <w:rPr>
                <w:spacing w:val="18"/>
              </w:rPr>
              <w:t>/m³)</w:t>
            </w:r>
          </w:p>
          <w:p>
            <w:pPr>
              <w:pStyle w:val="TableText"/>
              <w:ind w:left="1244"/>
              <w:spacing w:before="110" w:line="183" w:lineRule="auto"/>
              <w:rPr/>
            </w:pPr>
            <w:r>
              <w:rPr>
                <w:spacing w:val="-3"/>
              </w:rPr>
              <w:t>20</w:t>
            </w:r>
          </w:p>
          <w:p>
            <w:pPr>
              <w:pStyle w:val="TableText"/>
              <w:ind w:left="1244"/>
              <w:spacing w:before="61" w:line="183" w:lineRule="auto"/>
              <w:rPr/>
            </w:pPr>
            <w:r>
              <w:rPr>
                <w:spacing w:val="-4"/>
              </w:rPr>
              <w:t>50</w:t>
            </w:r>
          </w:p>
          <w:p>
            <w:pPr>
              <w:pStyle w:val="TableText"/>
              <w:ind w:left="1184"/>
              <w:spacing w:before="12" w:line="185" w:lineRule="exact"/>
              <w:rPr/>
            </w:pPr>
            <w:r>
              <w:rPr>
                <w:spacing w:val="-3"/>
                <w:position w:val="-2"/>
              </w:rPr>
              <w:t>200</w:t>
            </w:r>
          </w:p>
        </w:tc>
        <w:tc>
          <w:tcPr>
            <w:tcW w:w="2832" w:type="dxa"/>
            <w:vAlign w:val="top"/>
            <w:gridSpan w:val="3"/>
          </w:tcPr>
          <w:p>
            <w:pPr>
              <w:pStyle w:val="TableText"/>
              <w:ind w:left="947"/>
              <w:spacing w:before="24" w:line="188" w:lineRule="auto"/>
              <w:rPr/>
            </w:pPr>
            <w:r>
              <w:rPr>
                <w:spacing w:val="-2"/>
              </w:rPr>
              <w:t>监控位置</w:t>
            </w:r>
          </w:p>
        </w:tc>
      </w:tr>
      <w:tr>
        <w:trPr>
          <w:trHeight w:val="280" w:hRule="atLeast"/>
        </w:trPr>
        <w:tc>
          <w:tcPr>
            <w:tcW w:w="395" w:type="dxa"/>
            <w:vAlign w:val="top"/>
            <w:vMerge w:val="continue"/>
            <w:textDirection w:val="tbRlV"/>
            <w:tcBorders>
              <w:top w:val="nil"/>
              <w:bottom w:val="nil"/>
            </w:tcBorders>
          </w:tcPr>
          <w:p>
            <w:pPr>
              <w:rPr>
                <w:rFonts w:ascii="Arial"/>
                <w:sz w:val="21"/>
              </w:rPr>
            </w:pPr>
            <w:r/>
          </w:p>
        </w:tc>
        <w:tc>
          <w:tcPr>
            <w:tcW w:w="2796" w:type="dxa"/>
            <w:vAlign w:val="top"/>
            <w:gridSpan w:val="2"/>
          </w:tcPr>
          <w:p>
            <w:pPr>
              <w:pStyle w:val="TableText"/>
              <w:ind w:left="1040"/>
              <w:spacing w:before="35" w:line="188" w:lineRule="auto"/>
              <w:rPr/>
            </w:pPr>
            <w:r>
              <w:rPr>
                <w:spacing w:val="-2"/>
              </w:rPr>
              <w:t>颗粒物</w:t>
            </w:r>
          </w:p>
        </w:tc>
        <w:tc>
          <w:tcPr>
            <w:tcW w:w="2737" w:type="dxa"/>
            <w:vAlign w:val="top"/>
            <w:gridSpan w:val="3"/>
            <w:vMerge w:val="continue"/>
            <w:tcBorders>
              <w:top w:val="nil"/>
              <w:bottom w:val="nil"/>
            </w:tcBorders>
          </w:tcPr>
          <w:p>
            <w:pPr>
              <w:rPr>
                <w:rFonts w:ascii="Arial"/>
                <w:sz w:val="21"/>
              </w:rPr>
            </w:pPr>
            <w:r/>
          </w:p>
        </w:tc>
        <w:tc>
          <w:tcPr>
            <w:tcW w:w="2832" w:type="dxa"/>
            <w:vAlign w:val="top"/>
            <w:gridSpan w:val="3"/>
            <w:vMerge w:val="restart"/>
            <w:tcBorders>
              <w:bottom w:val="nil"/>
            </w:tcBorders>
          </w:tcPr>
          <w:p>
            <w:pPr>
              <w:spacing w:line="389" w:lineRule="auto"/>
              <w:rPr>
                <w:rFonts w:ascii="Arial"/>
                <w:sz w:val="21"/>
              </w:rPr>
            </w:pPr>
            <w:r/>
          </w:p>
          <w:p>
            <w:pPr>
              <w:pStyle w:val="TableText"/>
              <w:ind w:left="837"/>
              <w:spacing w:before="75" w:line="221" w:lineRule="auto"/>
              <w:rPr/>
            </w:pPr>
            <w:r>
              <w:rPr>
                <w:spacing w:val="6"/>
              </w:rPr>
              <w:t>烟囱排放口</w:t>
            </w:r>
          </w:p>
        </w:tc>
      </w:tr>
      <w:tr>
        <w:trPr>
          <w:trHeight w:val="270" w:hRule="atLeast"/>
        </w:trPr>
        <w:tc>
          <w:tcPr>
            <w:tcW w:w="395" w:type="dxa"/>
            <w:vAlign w:val="top"/>
            <w:vMerge w:val="continue"/>
            <w:textDirection w:val="tbRlV"/>
            <w:tcBorders>
              <w:top w:val="nil"/>
              <w:bottom w:val="nil"/>
            </w:tcBorders>
          </w:tcPr>
          <w:p>
            <w:pPr>
              <w:rPr>
                <w:rFonts w:ascii="Arial"/>
                <w:sz w:val="21"/>
              </w:rPr>
            </w:pPr>
            <w:r/>
          </w:p>
        </w:tc>
        <w:tc>
          <w:tcPr>
            <w:tcW w:w="2796" w:type="dxa"/>
            <w:vAlign w:val="top"/>
            <w:gridSpan w:val="2"/>
          </w:tcPr>
          <w:p>
            <w:pPr>
              <w:pStyle w:val="TableText"/>
              <w:ind w:left="930"/>
              <w:spacing w:before="24" w:line="189" w:lineRule="auto"/>
              <w:rPr/>
            </w:pPr>
            <w:r>
              <w:rPr>
                <w:spacing w:val="2"/>
              </w:rPr>
              <w:t>二氧化硫</w:t>
            </w:r>
          </w:p>
        </w:tc>
        <w:tc>
          <w:tcPr>
            <w:tcW w:w="2737" w:type="dxa"/>
            <w:vAlign w:val="top"/>
            <w:gridSpan w:val="3"/>
            <w:vMerge w:val="continue"/>
            <w:tcBorders>
              <w:top w:val="nil"/>
              <w:bottom w:val="nil"/>
            </w:tcBorders>
          </w:tcPr>
          <w:p>
            <w:pPr>
              <w:rPr>
                <w:rFonts w:ascii="Arial"/>
                <w:sz w:val="21"/>
              </w:rPr>
            </w:pPr>
            <w:r/>
          </w:p>
        </w:tc>
        <w:tc>
          <w:tcPr>
            <w:tcW w:w="2832" w:type="dxa"/>
            <w:vAlign w:val="top"/>
            <w:gridSpan w:val="3"/>
            <w:vMerge w:val="continue"/>
            <w:tcBorders>
              <w:top w:val="nil"/>
              <w:bottom w:val="nil"/>
            </w:tcBorders>
          </w:tcPr>
          <w:p>
            <w:pPr>
              <w:rPr>
                <w:rFonts w:ascii="Arial"/>
                <w:sz w:val="21"/>
              </w:rPr>
            </w:pPr>
            <w:r/>
          </w:p>
        </w:tc>
      </w:tr>
      <w:tr>
        <w:trPr>
          <w:trHeight w:val="290" w:hRule="atLeast"/>
        </w:trPr>
        <w:tc>
          <w:tcPr>
            <w:tcW w:w="395" w:type="dxa"/>
            <w:vAlign w:val="top"/>
            <w:vMerge w:val="continue"/>
            <w:textDirection w:val="tbRlV"/>
            <w:tcBorders>
              <w:top w:val="nil"/>
              <w:bottom w:val="nil"/>
            </w:tcBorders>
          </w:tcPr>
          <w:p>
            <w:pPr>
              <w:rPr>
                <w:rFonts w:ascii="Arial"/>
                <w:sz w:val="21"/>
              </w:rPr>
            </w:pPr>
            <w:r/>
          </w:p>
        </w:tc>
        <w:tc>
          <w:tcPr>
            <w:tcW w:w="2796" w:type="dxa"/>
            <w:vAlign w:val="top"/>
            <w:gridSpan w:val="2"/>
          </w:tcPr>
          <w:p>
            <w:pPr>
              <w:pStyle w:val="TableText"/>
              <w:ind w:left="930"/>
              <w:spacing w:before="34" w:line="197" w:lineRule="auto"/>
              <w:rPr/>
            </w:pPr>
            <w:r>
              <w:rPr>
                <w:spacing w:val="-2"/>
              </w:rPr>
              <w:t>氮氧化物</w:t>
            </w:r>
          </w:p>
        </w:tc>
        <w:tc>
          <w:tcPr>
            <w:tcW w:w="2737" w:type="dxa"/>
            <w:vAlign w:val="top"/>
            <w:gridSpan w:val="3"/>
            <w:vMerge w:val="continue"/>
            <w:tcBorders>
              <w:top w:val="nil"/>
            </w:tcBorders>
          </w:tcPr>
          <w:p>
            <w:pPr>
              <w:rPr>
                <w:rFonts w:ascii="Arial"/>
                <w:sz w:val="21"/>
              </w:rPr>
            </w:pPr>
            <w:r/>
          </w:p>
        </w:tc>
        <w:tc>
          <w:tcPr>
            <w:tcW w:w="2832" w:type="dxa"/>
            <w:vAlign w:val="top"/>
            <w:gridSpan w:val="3"/>
            <w:vMerge w:val="continue"/>
            <w:tcBorders>
              <w:top w:val="nil"/>
              <w:bottom w:val="nil"/>
            </w:tcBorders>
          </w:tcPr>
          <w:p>
            <w:pPr>
              <w:rPr>
                <w:rFonts w:ascii="Arial"/>
                <w:sz w:val="21"/>
              </w:rPr>
            </w:pPr>
            <w:r/>
          </w:p>
        </w:tc>
      </w:tr>
      <w:tr>
        <w:trPr>
          <w:trHeight w:val="270" w:hRule="atLeast"/>
        </w:trPr>
        <w:tc>
          <w:tcPr>
            <w:tcW w:w="395" w:type="dxa"/>
            <w:vAlign w:val="top"/>
            <w:vMerge w:val="continue"/>
            <w:textDirection w:val="tbRlV"/>
            <w:tcBorders>
              <w:top w:val="nil"/>
              <w:bottom w:val="nil"/>
            </w:tcBorders>
          </w:tcPr>
          <w:p>
            <w:pPr>
              <w:rPr>
                <w:rFonts w:ascii="Arial"/>
                <w:sz w:val="21"/>
              </w:rPr>
            </w:pPr>
            <w:r/>
          </w:p>
        </w:tc>
        <w:tc>
          <w:tcPr>
            <w:tcW w:w="2796" w:type="dxa"/>
            <w:vAlign w:val="top"/>
            <w:gridSpan w:val="2"/>
          </w:tcPr>
          <w:p>
            <w:pPr>
              <w:pStyle w:val="TableText"/>
              <w:spacing w:before="25" w:line="188" w:lineRule="auto"/>
              <w:jc w:val="right"/>
              <w:rPr/>
            </w:pPr>
            <w:r>
              <w:rPr>
                <w:spacing w:val="1"/>
              </w:rPr>
              <w:t>烟气黑度(林格曼黑度，级)</w:t>
            </w:r>
          </w:p>
        </w:tc>
        <w:tc>
          <w:tcPr>
            <w:tcW w:w="2737" w:type="dxa"/>
            <w:vAlign w:val="top"/>
            <w:gridSpan w:val="3"/>
          </w:tcPr>
          <w:p>
            <w:pPr>
              <w:pStyle w:val="TableText"/>
              <w:ind w:left="1184"/>
              <w:spacing w:before="45" w:line="172" w:lineRule="auto"/>
              <w:rPr/>
            </w:pPr>
            <w:r>
              <w:rPr>
                <w:spacing w:val="-9"/>
              </w:rPr>
              <w:t>≤1</w:t>
            </w:r>
          </w:p>
        </w:tc>
        <w:tc>
          <w:tcPr>
            <w:tcW w:w="2832" w:type="dxa"/>
            <w:vAlign w:val="top"/>
            <w:gridSpan w:val="3"/>
            <w:vMerge w:val="continue"/>
            <w:tcBorders>
              <w:top w:val="nil"/>
            </w:tcBorders>
          </w:tcPr>
          <w:p>
            <w:pPr>
              <w:rPr>
                <w:rFonts w:ascii="Arial"/>
                <w:sz w:val="21"/>
              </w:rPr>
            </w:pPr>
            <w:r/>
          </w:p>
        </w:tc>
      </w:tr>
      <w:tr>
        <w:trPr>
          <w:trHeight w:val="620" w:hRule="atLeast"/>
        </w:trPr>
        <w:tc>
          <w:tcPr>
            <w:tcW w:w="395" w:type="dxa"/>
            <w:vAlign w:val="top"/>
            <w:vMerge w:val="continue"/>
            <w:textDirection w:val="tbRlV"/>
            <w:tcBorders>
              <w:top w:val="nil"/>
              <w:bottom w:val="nil"/>
            </w:tcBorders>
          </w:tcPr>
          <w:p>
            <w:pPr>
              <w:rPr>
                <w:rFonts w:ascii="Arial"/>
                <w:sz w:val="21"/>
              </w:rPr>
            </w:pPr>
            <w:r/>
          </w:p>
        </w:tc>
        <w:tc>
          <w:tcPr>
            <w:tcW w:w="8365" w:type="dxa"/>
            <w:vAlign w:val="top"/>
            <w:gridSpan w:val="8"/>
          </w:tcPr>
          <w:p>
            <w:pPr>
              <w:spacing w:line="295" w:lineRule="auto"/>
              <w:rPr>
                <w:rFonts w:ascii="Arial"/>
                <w:sz w:val="21"/>
              </w:rPr>
            </w:pPr>
            <w:r/>
          </w:p>
          <w:p>
            <w:pPr>
              <w:pStyle w:val="TableText"/>
              <w:ind w:left="2243"/>
              <w:spacing w:before="75" w:line="191" w:lineRule="auto"/>
              <w:rPr/>
            </w:pPr>
            <w:r>
              <w:rPr>
                <w:b/>
                <w:bCs/>
                <w:spacing w:val="-3"/>
              </w:rPr>
              <w:t>表3.5-2项目生产废气排放标准一览表</w:t>
            </w:r>
          </w:p>
        </w:tc>
      </w:tr>
      <w:tr>
        <w:trPr>
          <w:trHeight w:val="270" w:hRule="atLeast"/>
        </w:trPr>
        <w:tc>
          <w:tcPr>
            <w:tcW w:w="395" w:type="dxa"/>
            <w:vAlign w:val="top"/>
            <w:vMerge w:val="continue"/>
            <w:textDirection w:val="tbRlV"/>
            <w:tcBorders>
              <w:top w:val="nil"/>
              <w:bottom w:val="nil"/>
            </w:tcBorders>
          </w:tcPr>
          <w:p>
            <w:pPr>
              <w:rPr>
                <w:rFonts w:ascii="Arial"/>
                <w:sz w:val="21"/>
              </w:rPr>
            </w:pPr>
            <w:r/>
          </w:p>
        </w:tc>
        <w:tc>
          <w:tcPr>
            <w:tcW w:w="1518"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pStyle w:val="TableText"/>
              <w:ind w:left="400"/>
              <w:spacing w:before="75" w:line="220" w:lineRule="auto"/>
              <w:rPr/>
            </w:pPr>
            <w:r>
              <w:rPr>
                <w:spacing w:val="3"/>
              </w:rPr>
              <w:t>污染物</w:t>
            </w:r>
          </w:p>
        </w:tc>
        <w:tc>
          <w:tcPr>
            <w:tcW w:w="1278" w:type="dxa"/>
            <w:vAlign w:val="top"/>
            <w:vMerge w:val="restart"/>
            <w:tcBorders>
              <w:bottom w:val="nil"/>
            </w:tcBorders>
          </w:tcPr>
          <w:p>
            <w:pPr>
              <w:spacing w:line="248" w:lineRule="auto"/>
              <w:rPr>
                <w:rFonts w:ascii="Arial"/>
                <w:sz w:val="21"/>
              </w:rPr>
            </w:pPr>
            <w:r/>
          </w:p>
          <w:p>
            <w:pPr>
              <w:pStyle w:val="TableText"/>
              <w:ind w:left="282" w:right="56" w:hanging="230"/>
              <w:spacing w:before="74" w:line="211" w:lineRule="auto"/>
              <w:rPr/>
            </w:pPr>
            <w:r>
              <w:rPr>
                <w:spacing w:val="1"/>
              </w:rPr>
              <w:t>最高允许排</w:t>
            </w:r>
            <w:r>
              <w:rPr>
                <w:spacing w:val="2"/>
              </w:rPr>
              <w:t xml:space="preserve"> </w:t>
            </w:r>
            <w:r>
              <w:rPr>
                <w:spacing w:val="4"/>
              </w:rPr>
              <w:t>放浓度</w:t>
            </w:r>
          </w:p>
          <w:p>
            <w:pPr>
              <w:pStyle w:val="TableText"/>
              <w:ind w:left="172"/>
              <w:spacing w:before="7" w:line="214" w:lineRule="auto"/>
              <w:rPr/>
            </w:pPr>
            <w:r>
              <w:rPr>
                <w:spacing w:val="-8"/>
              </w:rPr>
              <w:t>(mg/m</w:t>
            </w:r>
            <w:r>
              <w:rPr>
                <w:rFonts w:ascii="Calibri" w:hAnsi="Calibri" w:eastAsia="Calibri" w:cs="Calibri"/>
                <w:spacing w:val="-8"/>
              </w:rPr>
              <w:t>⁵</w:t>
            </w:r>
            <w:r>
              <w:rPr>
                <w:spacing w:val="-8"/>
              </w:rPr>
              <w:t>)</w:t>
            </w:r>
          </w:p>
        </w:tc>
        <w:tc>
          <w:tcPr>
            <w:tcW w:w="5569" w:type="dxa"/>
            <w:vAlign w:val="top"/>
            <w:gridSpan w:val="6"/>
          </w:tcPr>
          <w:p>
            <w:pPr>
              <w:pStyle w:val="TableText"/>
              <w:ind w:left="1804"/>
              <w:spacing w:before="25" w:line="188" w:lineRule="auto"/>
              <w:rPr/>
            </w:pPr>
            <w:r>
              <w:rPr>
                <w:spacing w:val="-2"/>
              </w:rPr>
              <w:t>无组织排放监控限值</w:t>
            </w:r>
          </w:p>
        </w:tc>
      </w:tr>
      <w:tr>
        <w:trPr>
          <w:trHeight w:val="539" w:hRule="atLeast"/>
        </w:trPr>
        <w:tc>
          <w:tcPr>
            <w:tcW w:w="395" w:type="dxa"/>
            <w:vAlign w:val="top"/>
            <w:vMerge w:val="continue"/>
            <w:textDirection w:val="tbRlV"/>
            <w:tcBorders>
              <w:top w:val="nil"/>
              <w:bottom w:val="nil"/>
            </w:tcBorders>
          </w:tcPr>
          <w:p>
            <w:pPr>
              <w:rPr>
                <w:rFonts w:ascii="Arial"/>
                <w:sz w:val="21"/>
              </w:rPr>
            </w:pPr>
            <w:r/>
          </w:p>
        </w:tc>
        <w:tc>
          <w:tcPr>
            <w:tcW w:w="1518" w:type="dxa"/>
            <w:vAlign w:val="top"/>
            <w:vMerge w:val="continue"/>
            <w:tcBorders>
              <w:top w:val="nil"/>
              <w:bottom w:val="nil"/>
            </w:tcBorders>
          </w:tcPr>
          <w:p>
            <w:pPr>
              <w:rPr>
                <w:rFonts w:ascii="Arial"/>
                <w:sz w:val="21"/>
              </w:rPr>
            </w:pPr>
            <w:r/>
          </w:p>
        </w:tc>
        <w:tc>
          <w:tcPr>
            <w:tcW w:w="1278" w:type="dxa"/>
            <w:vAlign w:val="top"/>
            <w:vMerge w:val="continue"/>
            <w:tcBorders>
              <w:top w:val="nil"/>
              <w:bottom w:val="nil"/>
            </w:tcBorders>
          </w:tcPr>
          <w:p>
            <w:pPr>
              <w:rPr>
                <w:rFonts w:ascii="Arial"/>
                <w:sz w:val="21"/>
              </w:rPr>
            </w:pPr>
            <w:r/>
          </w:p>
        </w:tc>
        <w:tc>
          <w:tcPr>
            <w:tcW w:w="4215" w:type="dxa"/>
            <w:vAlign w:val="top"/>
            <w:gridSpan w:val="5"/>
          </w:tcPr>
          <w:p>
            <w:pPr>
              <w:pStyle w:val="TableText"/>
              <w:ind w:left="584"/>
              <w:spacing w:before="157" w:line="214" w:lineRule="auto"/>
              <w:rPr/>
            </w:pPr>
            <w:r>
              <w:rPr>
                <w:spacing w:val="11"/>
              </w:rPr>
              <w:t>厂区内监控点浓度限值(</w:t>
            </w:r>
            <w:r>
              <w:rPr/>
              <w:t>mg</w:t>
            </w:r>
            <w:r>
              <w:rPr>
                <w:spacing w:val="11"/>
              </w:rPr>
              <w:t>/m³)</w:t>
            </w:r>
          </w:p>
        </w:tc>
        <w:tc>
          <w:tcPr>
            <w:tcW w:w="1354" w:type="dxa"/>
            <w:vAlign w:val="top"/>
            <w:vMerge w:val="restart"/>
            <w:tcBorders>
              <w:bottom w:val="nil"/>
            </w:tcBorders>
          </w:tcPr>
          <w:p>
            <w:pPr>
              <w:pStyle w:val="TableText"/>
              <w:ind w:left="19" w:right="82" w:firstLine="80"/>
              <w:spacing w:before="197" w:line="205" w:lineRule="auto"/>
              <w:jc w:val="both"/>
              <w:rPr/>
            </w:pPr>
            <w:r>
              <w:rPr>
                <w:spacing w:val="1"/>
              </w:rPr>
              <w:t>企业边界监</w:t>
            </w:r>
            <w:r>
              <w:rPr>
                <w:spacing w:val="3"/>
              </w:rPr>
              <w:t xml:space="preserve"> </w:t>
            </w:r>
            <w:r>
              <w:rPr>
                <w:spacing w:val="18"/>
              </w:rPr>
              <w:t>控点浓度限</w:t>
            </w:r>
            <w:r>
              <w:rPr>
                <w:spacing w:val="1"/>
              </w:rPr>
              <w:t xml:space="preserve"> </w:t>
            </w:r>
            <w:r>
              <w:rPr>
                <w:spacing w:val="27"/>
              </w:rPr>
              <w:t>值(</w:t>
            </w:r>
            <w:r>
              <w:rPr/>
              <w:t>mg</w:t>
            </w:r>
            <w:r>
              <w:rPr>
                <w:spacing w:val="27"/>
              </w:rPr>
              <w:t>/m³)</w:t>
            </w:r>
          </w:p>
        </w:tc>
      </w:tr>
      <w:tr>
        <w:trPr>
          <w:trHeight w:val="509" w:hRule="atLeast"/>
        </w:trPr>
        <w:tc>
          <w:tcPr>
            <w:tcW w:w="395" w:type="dxa"/>
            <w:vAlign w:val="top"/>
            <w:vMerge w:val="continue"/>
            <w:textDirection w:val="tbRlV"/>
            <w:tcBorders>
              <w:top w:val="nil"/>
              <w:bottom w:val="nil"/>
            </w:tcBorders>
          </w:tcPr>
          <w:p>
            <w:pPr>
              <w:rPr>
                <w:rFonts w:ascii="Arial"/>
                <w:sz w:val="21"/>
              </w:rPr>
            </w:pPr>
            <w:r/>
          </w:p>
        </w:tc>
        <w:tc>
          <w:tcPr>
            <w:tcW w:w="1518" w:type="dxa"/>
            <w:vAlign w:val="top"/>
            <w:vMerge w:val="continue"/>
            <w:tcBorders>
              <w:top w:val="nil"/>
            </w:tcBorders>
          </w:tcPr>
          <w:p>
            <w:pPr>
              <w:rPr>
                <w:rFonts w:ascii="Arial"/>
                <w:sz w:val="21"/>
              </w:rPr>
            </w:pPr>
            <w:r/>
          </w:p>
        </w:tc>
        <w:tc>
          <w:tcPr>
            <w:tcW w:w="1278" w:type="dxa"/>
            <w:vAlign w:val="top"/>
            <w:vMerge w:val="continue"/>
            <w:tcBorders>
              <w:top w:val="nil"/>
            </w:tcBorders>
          </w:tcPr>
          <w:p>
            <w:pPr>
              <w:rPr>
                <w:rFonts w:ascii="Arial"/>
                <w:sz w:val="21"/>
              </w:rPr>
            </w:pPr>
            <w:r/>
          </w:p>
        </w:tc>
        <w:tc>
          <w:tcPr>
            <w:tcW w:w="1708" w:type="dxa"/>
            <w:vAlign w:val="top"/>
            <w:gridSpan w:val="2"/>
          </w:tcPr>
          <w:p>
            <w:pPr>
              <w:pStyle w:val="TableText"/>
              <w:ind w:left="154"/>
              <w:spacing w:before="146" w:line="219" w:lineRule="auto"/>
              <w:rPr/>
            </w:pPr>
            <w:r>
              <w:rPr>
                <w:spacing w:val="1"/>
              </w:rPr>
              <w:t>1h平均浓度值</w:t>
            </w:r>
          </w:p>
        </w:tc>
        <w:tc>
          <w:tcPr>
            <w:tcW w:w="2507" w:type="dxa"/>
            <w:vAlign w:val="top"/>
            <w:gridSpan w:val="3"/>
          </w:tcPr>
          <w:p>
            <w:pPr>
              <w:pStyle w:val="TableText"/>
              <w:spacing w:before="146" w:line="219" w:lineRule="auto"/>
              <w:jc w:val="right"/>
              <w:rPr/>
            </w:pPr>
            <w:r>
              <w:rPr>
                <w:spacing w:val="-5"/>
              </w:rPr>
              <w:t>监控点处任意一点浓度值</w:t>
            </w:r>
          </w:p>
        </w:tc>
        <w:tc>
          <w:tcPr>
            <w:tcW w:w="1354" w:type="dxa"/>
            <w:vAlign w:val="top"/>
            <w:vMerge w:val="continue"/>
            <w:tcBorders>
              <w:top w:val="nil"/>
            </w:tcBorders>
          </w:tcPr>
          <w:p>
            <w:pPr>
              <w:rPr>
                <w:rFonts w:ascii="Arial"/>
                <w:sz w:val="21"/>
              </w:rPr>
            </w:pPr>
            <w:r/>
          </w:p>
        </w:tc>
      </w:tr>
      <w:tr>
        <w:trPr>
          <w:trHeight w:val="260" w:hRule="atLeast"/>
        </w:trPr>
        <w:tc>
          <w:tcPr>
            <w:tcW w:w="395" w:type="dxa"/>
            <w:vAlign w:val="top"/>
            <w:vMerge w:val="continue"/>
            <w:textDirection w:val="tbRlV"/>
            <w:tcBorders>
              <w:top w:val="nil"/>
              <w:bottom w:val="nil"/>
            </w:tcBorders>
          </w:tcPr>
          <w:p>
            <w:pPr>
              <w:rPr>
                <w:rFonts w:ascii="Arial"/>
                <w:sz w:val="21"/>
              </w:rPr>
            </w:pPr>
            <w:r/>
          </w:p>
        </w:tc>
        <w:tc>
          <w:tcPr>
            <w:tcW w:w="1518" w:type="dxa"/>
            <w:vAlign w:val="top"/>
          </w:tcPr>
          <w:p>
            <w:pPr>
              <w:pStyle w:val="TableText"/>
              <w:ind w:left="400"/>
              <w:spacing w:before="28" w:line="178" w:lineRule="auto"/>
              <w:rPr/>
            </w:pPr>
            <w:r>
              <w:rPr>
                <w:spacing w:val="-2"/>
              </w:rPr>
              <w:t>颗粒物</w:t>
            </w:r>
          </w:p>
        </w:tc>
        <w:tc>
          <w:tcPr>
            <w:tcW w:w="1278" w:type="dxa"/>
            <w:vAlign w:val="top"/>
          </w:tcPr>
          <w:p>
            <w:pPr>
              <w:pStyle w:val="TableText"/>
              <w:ind w:left="512"/>
              <w:spacing w:before="86" w:line="163" w:lineRule="exact"/>
              <w:rPr/>
            </w:pPr>
            <w:r>
              <w:rPr>
                <w:spacing w:val="-4"/>
                <w:position w:val="-3"/>
              </w:rPr>
              <w:t>30</w:t>
            </w:r>
          </w:p>
        </w:tc>
        <w:tc>
          <w:tcPr>
            <w:tcW w:w="1708" w:type="dxa"/>
            <w:vAlign w:val="top"/>
            <w:gridSpan w:val="2"/>
          </w:tcPr>
          <w:p>
            <w:pPr>
              <w:pStyle w:val="TableText"/>
              <w:ind w:left="784"/>
              <w:spacing w:before="33" w:line="174" w:lineRule="auto"/>
              <w:rPr/>
            </w:pPr>
            <w:r>
              <w:rPr/>
              <w:t>/</w:t>
            </w:r>
          </w:p>
        </w:tc>
        <w:tc>
          <w:tcPr>
            <w:tcW w:w="2507" w:type="dxa"/>
            <w:vAlign w:val="top"/>
            <w:gridSpan w:val="3"/>
          </w:tcPr>
          <w:p>
            <w:pPr>
              <w:pStyle w:val="TableText"/>
              <w:ind w:left="1186"/>
              <w:spacing w:before="33" w:line="174" w:lineRule="auto"/>
              <w:rPr/>
            </w:pPr>
            <w:r>
              <w:rPr/>
              <w:t>/</w:t>
            </w:r>
          </w:p>
        </w:tc>
        <w:tc>
          <w:tcPr>
            <w:tcW w:w="1354" w:type="dxa"/>
            <w:vAlign w:val="top"/>
          </w:tcPr>
          <w:p>
            <w:pPr>
              <w:pStyle w:val="TableText"/>
              <w:ind w:left="439"/>
              <w:spacing w:before="86" w:line="163" w:lineRule="exact"/>
              <w:rPr/>
            </w:pPr>
            <w:r>
              <w:rPr>
                <w:spacing w:val="-3"/>
                <w:position w:val="-3"/>
              </w:rPr>
              <w:t>0.30</w:t>
            </w:r>
          </w:p>
        </w:tc>
      </w:tr>
      <w:tr>
        <w:trPr>
          <w:trHeight w:val="270" w:hRule="atLeast"/>
        </w:trPr>
        <w:tc>
          <w:tcPr>
            <w:tcW w:w="395" w:type="dxa"/>
            <w:vAlign w:val="top"/>
            <w:vMerge w:val="continue"/>
            <w:textDirection w:val="tbRlV"/>
            <w:tcBorders>
              <w:top w:val="nil"/>
              <w:bottom w:val="nil"/>
            </w:tcBorders>
          </w:tcPr>
          <w:p>
            <w:pPr>
              <w:rPr>
                <w:rFonts w:ascii="Arial"/>
                <w:sz w:val="21"/>
              </w:rPr>
            </w:pPr>
            <w:r/>
          </w:p>
        </w:tc>
        <w:tc>
          <w:tcPr>
            <w:tcW w:w="1518" w:type="dxa"/>
            <w:vAlign w:val="top"/>
          </w:tcPr>
          <w:p>
            <w:pPr>
              <w:pStyle w:val="TableText"/>
              <w:ind w:left="170"/>
              <w:spacing w:before="28" w:line="186" w:lineRule="auto"/>
              <w:rPr/>
            </w:pPr>
            <w:r>
              <w:rPr>
                <w:spacing w:val="1"/>
              </w:rPr>
              <w:t>非甲烷总烃</w:t>
            </w:r>
          </w:p>
        </w:tc>
        <w:tc>
          <w:tcPr>
            <w:tcW w:w="1278" w:type="dxa"/>
            <w:vAlign w:val="top"/>
          </w:tcPr>
          <w:p>
            <w:pPr>
              <w:pStyle w:val="TableText"/>
              <w:ind w:left="512"/>
              <w:spacing w:before="86" w:line="173" w:lineRule="exact"/>
              <w:rPr/>
            </w:pPr>
            <w:r>
              <w:rPr>
                <w:spacing w:val="-4"/>
                <w:position w:val="-3"/>
              </w:rPr>
              <w:t>50</w:t>
            </w:r>
          </w:p>
        </w:tc>
        <w:tc>
          <w:tcPr>
            <w:tcW w:w="1708" w:type="dxa"/>
            <w:vAlign w:val="top"/>
            <w:gridSpan w:val="2"/>
          </w:tcPr>
          <w:p>
            <w:pPr>
              <w:pStyle w:val="TableText"/>
              <w:ind w:left="614"/>
              <w:spacing w:before="85" w:line="175" w:lineRule="exact"/>
              <w:rPr/>
            </w:pPr>
            <w:r>
              <w:rPr>
                <w:spacing w:val="-5"/>
                <w:position w:val="-3"/>
              </w:rPr>
              <w:t>10.0</w:t>
            </w:r>
          </w:p>
        </w:tc>
        <w:tc>
          <w:tcPr>
            <w:tcW w:w="2507" w:type="dxa"/>
            <w:vAlign w:val="top"/>
            <w:gridSpan w:val="3"/>
          </w:tcPr>
          <w:p>
            <w:pPr>
              <w:pStyle w:val="TableText"/>
              <w:ind w:left="1016"/>
              <w:spacing w:before="86" w:line="173" w:lineRule="exact"/>
              <w:rPr/>
            </w:pPr>
            <w:r>
              <w:rPr>
                <w:spacing w:val="-3"/>
                <w:position w:val="-3"/>
              </w:rPr>
              <w:t>30.0</w:t>
            </w:r>
          </w:p>
        </w:tc>
        <w:tc>
          <w:tcPr>
            <w:tcW w:w="1354" w:type="dxa"/>
            <w:vAlign w:val="top"/>
          </w:tcPr>
          <w:p>
            <w:pPr>
              <w:pStyle w:val="TableText"/>
              <w:ind w:left="499"/>
              <w:spacing w:before="86" w:line="173" w:lineRule="exact"/>
              <w:rPr/>
            </w:pPr>
            <w:r>
              <w:rPr>
                <w:spacing w:val="-3"/>
                <w:position w:val="-3"/>
              </w:rPr>
              <w:t>2.0</w:t>
            </w:r>
          </w:p>
        </w:tc>
      </w:tr>
      <w:tr>
        <w:trPr>
          <w:trHeight w:val="589" w:hRule="atLeast"/>
        </w:trPr>
        <w:tc>
          <w:tcPr>
            <w:tcW w:w="395" w:type="dxa"/>
            <w:vAlign w:val="top"/>
            <w:vMerge w:val="continue"/>
            <w:textDirection w:val="tbRlV"/>
            <w:tcBorders>
              <w:top w:val="nil"/>
              <w:bottom w:val="nil"/>
            </w:tcBorders>
          </w:tcPr>
          <w:p>
            <w:pPr>
              <w:rPr>
                <w:rFonts w:ascii="Arial"/>
                <w:sz w:val="21"/>
              </w:rPr>
            </w:pPr>
            <w:r/>
          </w:p>
        </w:tc>
        <w:tc>
          <w:tcPr>
            <w:tcW w:w="8365" w:type="dxa"/>
            <w:vAlign w:val="top"/>
            <w:gridSpan w:val="8"/>
          </w:tcPr>
          <w:p>
            <w:pPr>
              <w:spacing w:line="277" w:lineRule="auto"/>
              <w:rPr>
                <w:rFonts w:ascii="Arial"/>
                <w:sz w:val="21"/>
              </w:rPr>
            </w:pPr>
            <w:r/>
          </w:p>
          <w:p>
            <w:pPr>
              <w:pStyle w:val="TableText"/>
              <w:ind w:left="2303"/>
              <w:spacing w:before="74" w:line="181" w:lineRule="auto"/>
              <w:rPr/>
            </w:pPr>
            <w:r>
              <w:rPr>
                <w:b/>
                <w:bCs/>
                <w:spacing w:val="-3"/>
              </w:rPr>
              <w:t>表3.5-3</w:t>
            </w:r>
            <w:r>
              <w:rPr>
                <w:spacing w:val="-3"/>
              </w:rPr>
              <w:t xml:space="preserve">  </w:t>
            </w:r>
            <w:r>
              <w:rPr>
                <w:b/>
                <w:bCs/>
                <w:spacing w:val="-3"/>
              </w:rPr>
              <w:t>恶臭污染物排放标准一览表</w:t>
            </w:r>
          </w:p>
        </w:tc>
      </w:tr>
      <w:tr>
        <w:trPr>
          <w:trHeight w:val="290" w:hRule="atLeast"/>
        </w:trPr>
        <w:tc>
          <w:tcPr>
            <w:tcW w:w="395" w:type="dxa"/>
            <w:vAlign w:val="top"/>
            <w:vMerge w:val="continue"/>
            <w:textDirection w:val="tbRlV"/>
            <w:tcBorders>
              <w:top w:val="nil"/>
              <w:bottom w:val="nil"/>
            </w:tcBorders>
          </w:tcPr>
          <w:p>
            <w:pPr>
              <w:rPr>
                <w:rFonts w:ascii="Arial"/>
                <w:sz w:val="21"/>
              </w:rPr>
            </w:pPr>
            <w:r/>
          </w:p>
        </w:tc>
        <w:tc>
          <w:tcPr>
            <w:tcW w:w="1518" w:type="dxa"/>
            <w:vAlign w:val="top"/>
            <w:vMerge w:val="restart"/>
            <w:tcBorders>
              <w:bottom w:val="nil"/>
            </w:tcBorders>
          </w:tcPr>
          <w:p>
            <w:pPr>
              <w:pStyle w:val="TableText"/>
              <w:ind w:left="400"/>
              <w:spacing w:before="189" w:line="220" w:lineRule="auto"/>
              <w:rPr/>
            </w:pPr>
            <w:r>
              <w:rPr>
                <w:spacing w:val="3"/>
              </w:rPr>
              <w:t>污染物</w:t>
            </w:r>
          </w:p>
        </w:tc>
        <w:tc>
          <w:tcPr>
            <w:tcW w:w="2896" w:type="dxa"/>
            <w:vAlign w:val="top"/>
            <w:gridSpan w:val="2"/>
          </w:tcPr>
          <w:p>
            <w:pPr>
              <w:pStyle w:val="TableText"/>
              <w:ind w:left="752"/>
              <w:spacing w:before="30" w:line="200" w:lineRule="auto"/>
              <w:rPr/>
            </w:pPr>
            <w:r>
              <w:rPr>
                <w:spacing w:val="7"/>
              </w:rPr>
              <w:t>排放量(</w:t>
            </w:r>
            <w:r>
              <w:rPr/>
              <w:t>kg</w:t>
            </w:r>
            <w:r>
              <w:rPr>
                <w:spacing w:val="7"/>
              </w:rPr>
              <w:t>/h)</w:t>
            </w:r>
          </w:p>
        </w:tc>
        <w:tc>
          <w:tcPr>
            <w:tcW w:w="2168" w:type="dxa"/>
            <w:vAlign w:val="top"/>
            <w:gridSpan w:val="3"/>
            <w:vMerge w:val="restart"/>
            <w:tcBorders>
              <w:bottom w:val="nil"/>
            </w:tcBorders>
          </w:tcPr>
          <w:p>
            <w:pPr>
              <w:pStyle w:val="TableText"/>
              <w:spacing w:before="78" w:line="219" w:lineRule="auto"/>
              <w:jc w:val="right"/>
              <w:rPr/>
            </w:pPr>
            <w:r>
              <w:rPr>
                <w:spacing w:val="-5"/>
              </w:rPr>
              <w:t>厂界标准值(二级，扩</w:t>
            </w:r>
          </w:p>
          <w:p>
            <w:pPr>
              <w:pStyle w:val="TableText"/>
              <w:ind w:left="446"/>
              <w:spacing w:line="183" w:lineRule="auto"/>
              <w:rPr/>
            </w:pPr>
            <w:r>
              <w:rPr>
                <w:spacing w:val="26"/>
              </w:rPr>
              <w:t>建，</w:t>
            </w:r>
            <w:r>
              <w:rPr/>
              <w:t>mg</w:t>
            </w:r>
            <w:r>
              <w:rPr>
                <w:spacing w:val="26"/>
              </w:rPr>
              <w:t>/m³)</w:t>
            </w:r>
          </w:p>
        </w:tc>
        <w:tc>
          <w:tcPr>
            <w:tcW w:w="1783" w:type="dxa"/>
            <w:vAlign w:val="top"/>
            <w:gridSpan w:val="2"/>
            <w:vMerge w:val="restart"/>
            <w:tcBorders>
              <w:bottom w:val="nil"/>
            </w:tcBorders>
          </w:tcPr>
          <w:p>
            <w:pPr>
              <w:pStyle w:val="TableText"/>
              <w:ind w:left="658"/>
              <w:spacing w:before="188" w:line="219" w:lineRule="auto"/>
              <w:rPr/>
            </w:pPr>
            <w:r>
              <w:rPr>
                <w:spacing w:val="-3"/>
              </w:rPr>
              <w:t>来源</w:t>
            </w:r>
          </w:p>
        </w:tc>
      </w:tr>
      <w:tr>
        <w:trPr>
          <w:trHeight w:val="290" w:hRule="atLeast"/>
        </w:trPr>
        <w:tc>
          <w:tcPr>
            <w:tcW w:w="395" w:type="dxa"/>
            <w:vAlign w:val="top"/>
            <w:vMerge w:val="continue"/>
            <w:textDirection w:val="tbRlV"/>
            <w:tcBorders>
              <w:top w:val="nil"/>
              <w:bottom w:val="nil"/>
            </w:tcBorders>
          </w:tcPr>
          <w:p>
            <w:pPr>
              <w:rPr>
                <w:rFonts w:ascii="Arial"/>
                <w:sz w:val="21"/>
              </w:rPr>
            </w:pPr>
            <w:r/>
          </w:p>
        </w:tc>
        <w:tc>
          <w:tcPr>
            <w:tcW w:w="1518" w:type="dxa"/>
            <w:vAlign w:val="top"/>
            <w:vMerge w:val="continue"/>
            <w:tcBorders>
              <w:top w:val="nil"/>
            </w:tcBorders>
          </w:tcPr>
          <w:p>
            <w:pPr>
              <w:rPr>
                <w:rFonts w:ascii="Arial"/>
                <w:sz w:val="21"/>
              </w:rPr>
            </w:pPr>
            <w:r/>
          </w:p>
        </w:tc>
        <w:tc>
          <w:tcPr>
            <w:tcW w:w="2896" w:type="dxa"/>
            <w:vAlign w:val="top"/>
            <w:gridSpan w:val="2"/>
          </w:tcPr>
          <w:p>
            <w:pPr>
              <w:pStyle w:val="TableText"/>
              <w:ind w:left="692"/>
              <w:spacing w:before="38" w:line="194" w:lineRule="auto"/>
              <w:rPr/>
            </w:pPr>
            <w:r>
              <w:rPr>
                <w:spacing w:val="-2"/>
              </w:rPr>
              <w:t>排气筒高度15m</w:t>
            </w:r>
          </w:p>
        </w:tc>
        <w:tc>
          <w:tcPr>
            <w:tcW w:w="2168" w:type="dxa"/>
            <w:vAlign w:val="top"/>
            <w:gridSpan w:val="3"/>
            <w:vMerge w:val="continue"/>
            <w:tcBorders>
              <w:top w:val="nil"/>
            </w:tcBorders>
          </w:tcPr>
          <w:p>
            <w:pPr>
              <w:rPr>
                <w:rFonts w:ascii="Arial"/>
                <w:sz w:val="21"/>
              </w:rPr>
            </w:pPr>
            <w:r/>
          </w:p>
        </w:tc>
        <w:tc>
          <w:tcPr>
            <w:tcW w:w="1783" w:type="dxa"/>
            <w:vAlign w:val="top"/>
            <w:gridSpan w:val="2"/>
            <w:vMerge w:val="continue"/>
            <w:tcBorders>
              <w:top w:val="nil"/>
            </w:tcBorders>
          </w:tcPr>
          <w:p>
            <w:pPr>
              <w:rPr>
                <w:rFonts w:ascii="Arial"/>
                <w:sz w:val="21"/>
              </w:rPr>
            </w:pPr>
            <w:r/>
          </w:p>
        </w:tc>
      </w:tr>
      <w:tr>
        <w:trPr>
          <w:trHeight w:val="290" w:hRule="atLeast"/>
        </w:trPr>
        <w:tc>
          <w:tcPr>
            <w:tcW w:w="395" w:type="dxa"/>
            <w:vAlign w:val="top"/>
            <w:vMerge w:val="continue"/>
            <w:textDirection w:val="tbRlV"/>
            <w:tcBorders>
              <w:top w:val="nil"/>
              <w:bottom w:val="nil"/>
            </w:tcBorders>
          </w:tcPr>
          <w:p>
            <w:pPr>
              <w:rPr>
                <w:rFonts w:ascii="Arial"/>
                <w:sz w:val="21"/>
              </w:rPr>
            </w:pPr>
            <w:r/>
          </w:p>
        </w:tc>
        <w:tc>
          <w:tcPr>
            <w:tcW w:w="1518" w:type="dxa"/>
            <w:vAlign w:val="top"/>
          </w:tcPr>
          <w:p>
            <w:pPr>
              <w:pStyle w:val="TableText"/>
              <w:ind w:left="520"/>
              <w:spacing w:before="75" w:line="164" w:lineRule="auto"/>
              <w:rPr>
                <w:rFonts w:ascii="Calibri" w:hAnsi="Calibri" w:eastAsia="Calibri" w:cs="Calibri"/>
              </w:rPr>
            </w:pPr>
            <w:r>
              <w:rPr>
                <w:spacing w:val="-1"/>
              </w:rPr>
              <w:t>NH</w:t>
            </w:r>
            <w:r>
              <w:rPr>
                <w:rFonts w:ascii="Calibri" w:hAnsi="Calibri" w:eastAsia="Calibri" w:cs="Calibri"/>
                <w:spacing w:val="-1"/>
              </w:rPr>
              <w:t>₃</w:t>
            </w:r>
          </w:p>
        </w:tc>
        <w:tc>
          <w:tcPr>
            <w:tcW w:w="2896" w:type="dxa"/>
            <w:vAlign w:val="top"/>
            <w:gridSpan w:val="2"/>
          </w:tcPr>
          <w:p>
            <w:pPr>
              <w:pStyle w:val="TableText"/>
              <w:ind w:left="1262"/>
              <w:spacing w:before="97" w:line="182" w:lineRule="exact"/>
              <w:rPr/>
            </w:pPr>
            <w:r>
              <w:rPr>
                <w:spacing w:val="-2"/>
                <w:position w:val="-3"/>
              </w:rPr>
              <w:t>4.9</w:t>
            </w:r>
          </w:p>
        </w:tc>
        <w:tc>
          <w:tcPr>
            <w:tcW w:w="2168" w:type="dxa"/>
            <w:vAlign w:val="top"/>
            <w:gridSpan w:val="3"/>
          </w:tcPr>
          <w:p>
            <w:pPr>
              <w:pStyle w:val="TableText"/>
              <w:ind w:left="906"/>
              <w:spacing w:before="96" w:line="183" w:lineRule="exact"/>
              <w:rPr/>
            </w:pPr>
            <w:r>
              <w:rPr>
                <w:spacing w:val="-6"/>
                <w:position w:val="-3"/>
              </w:rPr>
              <w:t>1.5</w:t>
            </w:r>
          </w:p>
        </w:tc>
        <w:tc>
          <w:tcPr>
            <w:tcW w:w="1783" w:type="dxa"/>
            <w:vAlign w:val="top"/>
            <w:gridSpan w:val="2"/>
            <w:vMerge w:val="restart"/>
            <w:tcBorders>
              <w:bottom w:val="nil"/>
            </w:tcBorders>
          </w:tcPr>
          <w:p>
            <w:pPr>
              <w:pStyle w:val="TableText"/>
              <w:spacing w:before="78" w:line="217" w:lineRule="auto"/>
              <w:rPr/>
            </w:pPr>
            <w:r>
              <w:rPr>
                <w:spacing w:val="-11"/>
              </w:rPr>
              <w:t>《恶臭污染物排放</w:t>
            </w:r>
          </w:p>
          <w:p>
            <w:pPr>
              <w:pStyle w:val="TableText"/>
              <w:ind w:left="598"/>
              <w:spacing w:line="220" w:lineRule="auto"/>
              <w:rPr/>
            </w:pPr>
            <w:r>
              <w:rPr>
                <w:spacing w:val="-5"/>
              </w:rPr>
              <w:t>标准》</w:t>
            </w:r>
          </w:p>
          <w:p>
            <w:pPr>
              <w:pStyle w:val="TableText"/>
              <w:ind w:left="78"/>
              <w:spacing w:before="18" w:line="175" w:lineRule="auto"/>
              <w:rPr/>
            </w:pPr>
            <w:r>
              <w:rPr>
                <w:spacing w:val="-4"/>
              </w:rPr>
              <w:t>(GB14554-1993)</w:t>
            </w:r>
          </w:p>
        </w:tc>
      </w:tr>
      <w:tr>
        <w:trPr>
          <w:trHeight w:val="270" w:hRule="atLeast"/>
        </w:trPr>
        <w:tc>
          <w:tcPr>
            <w:tcW w:w="395" w:type="dxa"/>
            <w:vAlign w:val="top"/>
            <w:vMerge w:val="continue"/>
            <w:textDirection w:val="tbRlV"/>
            <w:tcBorders>
              <w:top w:val="nil"/>
              <w:bottom w:val="nil"/>
            </w:tcBorders>
          </w:tcPr>
          <w:p>
            <w:pPr>
              <w:rPr>
                <w:rFonts w:ascii="Arial"/>
                <w:sz w:val="21"/>
              </w:rPr>
            </w:pPr>
            <w:r/>
          </w:p>
        </w:tc>
        <w:tc>
          <w:tcPr>
            <w:tcW w:w="1518" w:type="dxa"/>
            <w:vAlign w:val="top"/>
          </w:tcPr>
          <w:p>
            <w:pPr>
              <w:pStyle w:val="TableText"/>
              <w:ind w:left="520"/>
              <w:spacing w:before="65" w:line="195" w:lineRule="exact"/>
              <w:rPr/>
            </w:pPr>
            <w:r>
              <w:rPr>
                <w:spacing w:val="-2"/>
                <w:position w:val="-1"/>
              </w:rPr>
              <w:t>H</w:t>
            </w:r>
            <w:r>
              <w:rPr>
                <w:rFonts w:ascii="Calibri" w:hAnsi="Calibri" w:eastAsia="Calibri" w:cs="Calibri"/>
                <w:spacing w:val="-2"/>
                <w:position w:val="-1"/>
              </w:rPr>
              <w:t>₂</w:t>
            </w:r>
            <w:r>
              <w:rPr>
                <w:spacing w:val="-2"/>
                <w:position w:val="-1"/>
              </w:rPr>
              <w:t>S</w:t>
            </w:r>
          </w:p>
        </w:tc>
        <w:tc>
          <w:tcPr>
            <w:tcW w:w="2896" w:type="dxa"/>
            <w:vAlign w:val="top"/>
            <w:gridSpan w:val="2"/>
          </w:tcPr>
          <w:p>
            <w:pPr>
              <w:pStyle w:val="TableText"/>
              <w:ind w:left="1212"/>
              <w:spacing w:before="87" w:line="172" w:lineRule="exact"/>
              <w:rPr/>
            </w:pPr>
            <w:r>
              <w:rPr>
                <w:spacing w:val="-3"/>
                <w:position w:val="-3"/>
              </w:rPr>
              <w:t>0.33</w:t>
            </w:r>
          </w:p>
        </w:tc>
        <w:tc>
          <w:tcPr>
            <w:tcW w:w="2168" w:type="dxa"/>
            <w:vAlign w:val="top"/>
            <w:gridSpan w:val="3"/>
          </w:tcPr>
          <w:p>
            <w:pPr>
              <w:pStyle w:val="TableText"/>
              <w:ind w:left="846"/>
              <w:spacing w:before="87" w:line="172" w:lineRule="exact"/>
              <w:rPr/>
            </w:pPr>
            <w:r>
              <w:rPr>
                <w:spacing w:val="-3"/>
                <w:position w:val="-3"/>
              </w:rPr>
              <w:t>0.06</w:t>
            </w:r>
          </w:p>
        </w:tc>
        <w:tc>
          <w:tcPr>
            <w:tcW w:w="1783" w:type="dxa"/>
            <w:vAlign w:val="top"/>
            <w:gridSpan w:val="2"/>
            <w:vMerge w:val="continue"/>
            <w:tcBorders>
              <w:top w:val="nil"/>
              <w:bottom w:val="nil"/>
            </w:tcBorders>
          </w:tcPr>
          <w:p>
            <w:pPr>
              <w:rPr>
                <w:rFonts w:ascii="Arial"/>
                <w:sz w:val="21"/>
              </w:rPr>
            </w:pPr>
            <w:r/>
          </w:p>
        </w:tc>
      </w:tr>
      <w:tr>
        <w:trPr>
          <w:trHeight w:val="290" w:hRule="atLeast"/>
        </w:trPr>
        <w:tc>
          <w:tcPr>
            <w:tcW w:w="395" w:type="dxa"/>
            <w:vAlign w:val="top"/>
            <w:vMerge w:val="continue"/>
            <w:textDirection w:val="tbRlV"/>
            <w:tcBorders>
              <w:top w:val="nil"/>
              <w:bottom w:val="nil"/>
            </w:tcBorders>
          </w:tcPr>
          <w:p>
            <w:pPr>
              <w:rPr>
                <w:rFonts w:ascii="Arial"/>
                <w:sz w:val="21"/>
              </w:rPr>
            </w:pPr>
            <w:r/>
          </w:p>
        </w:tc>
        <w:tc>
          <w:tcPr>
            <w:tcW w:w="1518" w:type="dxa"/>
            <w:vAlign w:val="top"/>
          </w:tcPr>
          <w:p>
            <w:pPr>
              <w:pStyle w:val="TableText"/>
              <w:ind w:left="290"/>
              <w:spacing w:before="38" w:line="194" w:lineRule="auto"/>
              <w:rPr/>
            </w:pPr>
            <w:r>
              <w:rPr>
                <w:spacing w:val="3"/>
              </w:rPr>
              <w:t>臭气浓度</w:t>
            </w:r>
          </w:p>
        </w:tc>
        <w:tc>
          <w:tcPr>
            <w:tcW w:w="2896" w:type="dxa"/>
            <w:vAlign w:val="top"/>
            <w:gridSpan w:val="2"/>
          </w:tcPr>
          <w:p>
            <w:pPr>
              <w:pStyle w:val="TableText"/>
              <w:ind w:left="752"/>
              <w:spacing w:before="39" w:line="193" w:lineRule="auto"/>
              <w:rPr/>
            </w:pPr>
            <w:r>
              <w:rPr>
                <w:spacing w:val="5"/>
              </w:rPr>
              <w:t>2000(无量纲)</w:t>
            </w:r>
          </w:p>
        </w:tc>
        <w:tc>
          <w:tcPr>
            <w:tcW w:w="2168" w:type="dxa"/>
            <w:vAlign w:val="top"/>
            <w:gridSpan w:val="3"/>
          </w:tcPr>
          <w:p>
            <w:pPr>
              <w:pStyle w:val="TableText"/>
              <w:ind w:left="506"/>
              <w:spacing w:before="39" w:line="193" w:lineRule="auto"/>
              <w:rPr/>
            </w:pPr>
            <w:r>
              <w:rPr>
                <w:spacing w:val="7"/>
              </w:rPr>
              <w:t>20(无量纲)</w:t>
            </w:r>
          </w:p>
        </w:tc>
        <w:tc>
          <w:tcPr>
            <w:tcW w:w="1783" w:type="dxa"/>
            <w:vAlign w:val="top"/>
            <w:gridSpan w:val="2"/>
            <w:vMerge w:val="continue"/>
            <w:tcBorders>
              <w:top w:val="nil"/>
            </w:tcBorders>
          </w:tcPr>
          <w:p>
            <w:pPr>
              <w:rPr>
                <w:rFonts w:ascii="Arial"/>
                <w:sz w:val="21"/>
              </w:rPr>
            </w:pPr>
            <w:r/>
          </w:p>
        </w:tc>
      </w:tr>
      <w:tr>
        <w:trPr>
          <w:trHeight w:val="574" w:hRule="atLeast"/>
        </w:trPr>
        <w:tc>
          <w:tcPr>
            <w:tcW w:w="395" w:type="dxa"/>
            <w:vAlign w:val="top"/>
            <w:vMerge w:val="continue"/>
            <w:textDirection w:val="tbRlV"/>
            <w:tcBorders>
              <w:top w:val="nil"/>
            </w:tcBorders>
          </w:tcPr>
          <w:p>
            <w:pPr>
              <w:rPr>
                <w:rFonts w:ascii="Arial"/>
                <w:sz w:val="21"/>
              </w:rPr>
            </w:pPr>
            <w:r/>
          </w:p>
        </w:tc>
        <w:tc>
          <w:tcPr>
            <w:tcW w:w="8365" w:type="dxa"/>
            <w:vAlign w:val="top"/>
            <w:gridSpan w:val="8"/>
          </w:tcPr>
          <w:p>
            <w:pPr>
              <w:rPr>
                <w:rFonts w:ascii="Arial"/>
                <w:sz w:val="21"/>
              </w:rPr>
            </w:pPr>
            <w:r/>
          </w:p>
        </w:tc>
      </w:tr>
    </w:tbl>
    <w:p>
      <w:pPr>
        <w:rPr>
          <w:rFonts w:ascii="Arial"/>
          <w:sz w:val="21"/>
        </w:rPr>
      </w:pPr>
      <w:r/>
    </w:p>
    <w:p>
      <w:pPr>
        <w:sectPr>
          <w:footerReference w:type="default" r:id="rId76"/>
          <w:pgSz w:w="11900" w:h="16840"/>
          <w:pgMar w:top="1431" w:right="1504" w:bottom="988" w:left="1624" w:header="0" w:footer="849" w:gutter="0"/>
        </w:sectPr>
        <w:rPr>
          <w:rFonts w:ascii="Arial" w:hAnsi="Arial" w:eastAsia="Arial" w:cs="Arial"/>
          <w:sz w:val="21"/>
          <w:szCs w:val="21"/>
        </w:rPr>
      </w:pPr>
    </w:p>
    <w:tbl>
      <w:tblPr>
        <w:tblStyle w:val="TableNormal"/>
        <w:tblW w:w="88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15"/>
        <w:gridCol w:w="2597"/>
        <w:gridCol w:w="1588"/>
        <w:gridCol w:w="409"/>
        <w:gridCol w:w="1908"/>
        <w:gridCol w:w="1893"/>
      </w:tblGrid>
      <w:tr>
        <w:trPr>
          <w:trHeight w:val="325" w:hRule="atLeast"/>
        </w:trPr>
        <w:tc>
          <w:tcPr>
            <w:tcW w:w="415" w:type="dxa"/>
            <w:vAlign w:val="top"/>
            <w:vMerge w:val="restart"/>
            <w:tcBorders>
              <w:left w:val="nil"/>
              <w:top w:val="nil"/>
              <w:bottom w:val="nil"/>
            </w:tcBorders>
          </w:tcPr>
          <w:p>
            <w:pPr>
              <w:rPr>
                <w:rFonts w:ascii="Arial"/>
                <w:sz w:val="21"/>
              </w:rPr>
            </w:pPr>
            <w:r>
              <mc:AlternateContent xmlns:mc="http://schemas.openxmlformats.org/markup-compatibility/2006">
                <mc:Choice Requires="wps">
                  <w:drawing>
                    <wp:anchor distT="0" distB="0" distL="0" distR="0" simplePos="0" relativeHeight="251751424" behindDoc="1" locked="0" layoutInCell="0" allowOverlap="1">
                      <wp:simplePos x="0" y="0"/>
                      <wp:positionH relativeFrom="page">
                        <wp:posOffset>6184920</wp:posOffset>
                      </wp:positionH>
                      <wp:positionV relativeFrom="page">
                        <wp:posOffset>1321838</wp:posOffset>
                      </wp:positionV>
                      <wp:extent cx="666750" cy="7620"/>
                      <wp:effectExtent l="0" t="0" r="0" b="0"/>
                      <wp:wrapNone/>
                      <wp:docPr id="8" name="Rect 8"/>
                      <wp:cNvGraphicFramePr/>
                      <a:graphic>
                        <a:graphicData uri="http://schemas.microsoft.com/office/word/2010/wordprocessingShape">
                          <wps:wsp>
                            <wps:cNvPr id="8" name="Rect 8"/>
                            <wps:cNvSpPr/>
                            <wps:spPr>
                              <a:xfrm>
                                <a:off x="6184920" y="1321838"/>
                                <a:ext cx="666750" cy="762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4" style="position:absolute;margin-left:487.002pt;margin-top:104.082pt;mso-position-vertical-relative:page;mso-position-horizontal-relative:page;width:52.5pt;height:0.6pt;z-index:-251565056;" o:allowincell="f" fillcolor="#000000" filled="true" stroked="false"/>
                  </w:pict>
                </mc:Fallback>
              </mc:AlternateContent>
            </w:r>
            <w:r/>
          </w:p>
        </w:tc>
        <w:tc>
          <w:tcPr>
            <w:tcW w:w="2597" w:type="dxa"/>
            <w:vAlign w:val="top"/>
            <w:vMerge w:val="restart"/>
            <w:tcBorders>
              <w:bottom w:val="nil"/>
            </w:tcBorders>
          </w:tcPr>
          <w:p>
            <w:pPr>
              <w:pStyle w:val="TableText"/>
              <w:ind w:right="1"/>
              <w:spacing w:before="52" w:line="221" w:lineRule="auto"/>
              <w:jc w:val="right"/>
              <w:rPr>
                <w:sz w:val="24"/>
                <w:szCs w:val="24"/>
              </w:rPr>
            </w:pPr>
            <w:r>
              <w:rPr>
                <w:sz w:val="24"/>
                <w:szCs w:val="24"/>
                <w:b/>
                <w:bCs/>
                <w:spacing w:val="-4"/>
              </w:rPr>
              <w:t>表3.5-4</w:t>
            </w:r>
          </w:p>
          <w:p>
            <w:pPr>
              <w:spacing w:line="394" w:lineRule="auto"/>
              <w:rPr>
                <w:rFonts w:ascii="Arial"/>
                <w:sz w:val="21"/>
              </w:rPr>
            </w:pPr>
            <w:r/>
          </w:p>
          <w:p>
            <w:pPr>
              <w:pStyle w:val="TableText"/>
              <w:ind w:left="390" w:firstLine="929"/>
              <w:spacing w:before="78" w:line="185" w:lineRule="exact"/>
              <w:rPr>
                <w:sz w:val="24"/>
                <w:szCs w:val="24"/>
              </w:rPr>
            </w:pPr>
            <w:r>
              <w:pict>
                <v:shape id="_x0000_s16" style="position:absolute;margin-left:63.0017pt;margin-top:15.5316pt;mso-position-vertical-relative:text;mso-position-horizontal-relative:text;width:68.6pt;height:15.9pt;z-index:251752448;" filled="false" stroked="false" type="#_x0000_t202">
                  <v:fill on="false"/>
                  <v:stroke on="false"/>
                  <v:path/>
                  <v:imagedata o:title=""/>
                  <o:lock v:ext="edit" aspectratio="false"/>
                  <v:textbox inset="0mm,0mm,0mm,0mm">
                    <w:txbxContent>
                      <w:p>
                        <w:pPr>
                          <w:pStyle w:val="TableText"/>
                          <w:ind w:left="20"/>
                          <w:spacing w:before="19" w:line="214" w:lineRule="auto"/>
                          <w:rPr>
                            <w:sz w:val="24"/>
                            <w:szCs w:val="24"/>
                          </w:rPr>
                        </w:pPr>
                        <w:r>
                          <w:rPr>
                            <w:sz w:val="24"/>
                            <w:szCs w:val="24"/>
                            <w:spacing w:val="7"/>
                          </w:rPr>
                          <w:t>浓度(</w:t>
                        </w:r>
                        <w:r>
                          <w:rPr>
                            <w:sz w:val="24"/>
                            <w:szCs w:val="24"/>
                          </w:rPr>
                          <w:t>mg</w:t>
                        </w:r>
                        <w:r>
                          <w:rPr>
                            <w:sz w:val="24"/>
                            <w:szCs w:val="24"/>
                            <w:spacing w:val="7"/>
                          </w:rPr>
                          <w:t>/m</w:t>
                        </w:r>
                        <w:r>
                          <w:rPr>
                            <w:rFonts w:ascii="Calibri" w:hAnsi="Calibri" w:eastAsia="Calibri" w:cs="Calibri"/>
                            <w:sz w:val="24"/>
                            <w:szCs w:val="24"/>
                            <w:spacing w:val="7"/>
                          </w:rPr>
                          <w:t>⁵</w:t>
                        </w:r>
                        <w:r>
                          <w:rPr>
                            <w:sz w:val="24"/>
                            <w:szCs w:val="24"/>
                            <w:spacing w:val="7"/>
                          </w:rPr>
                          <w:t>)</w:t>
                        </w:r>
                      </w:p>
                    </w:txbxContent>
                  </v:textbox>
                </v:shape>
              </w:pict>
            </w:r>
            <w:r>
              <w:rPr>
                <w:sz w:val="24"/>
                <w:szCs w:val="24"/>
                <w:spacing w:val="-24"/>
                <w:w w:val="96"/>
                <w:position w:val="-6"/>
              </w:rPr>
              <w:t>最</w:t>
            </w:r>
            <w:r>
              <w:rPr>
                <w:sz w:val="24"/>
                <w:szCs w:val="24"/>
                <w:spacing w:val="-23"/>
                <w:w w:val="96"/>
                <w:position w:val="-6"/>
              </w:rPr>
              <w:t>高允许排</w:t>
            </w:r>
            <w:r>
              <w:rPr>
                <w:sz w:val="24"/>
                <w:szCs w:val="24"/>
                <w:spacing w:val="-10"/>
                <w:w w:val="96"/>
                <w:position w:val="-6"/>
              </w:rPr>
              <w:t>放</w:t>
            </w:r>
            <w:r>
              <w:rPr>
                <w:sz w:val="24"/>
                <w:szCs w:val="24"/>
                <w:spacing w:val="10"/>
                <w:position w:val="-6"/>
              </w:rPr>
              <w:t xml:space="preserve"> </w:t>
            </w:r>
            <w:r>
              <w:rPr>
                <w:sz w:val="24"/>
                <w:szCs w:val="24"/>
                <w:spacing w:val="3"/>
              </w:rPr>
              <w:t>污染物</w:t>
            </w:r>
          </w:p>
        </w:tc>
        <w:tc>
          <w:tcPr>
            <w:tcW w:w="1997" w:type="dxa"/>
            <w:vAlign w:val="top"/>
            <w:gridSpan w:val="2"/>
            <w:vMerge w:val="restart"/>
            <w:tcBorders>
              <w:bottom w:val="nil"/>
            </w:tcBorders>
          </w:tcPr>
          <w:p>
            <w:pPr>
              <w:pStyle w:val="TableText"/>
              <w:ind w:left="325"/>
              <w:spacing w:before="51" w:line="219" w:lineRule="auto"/>
              <w:rPr>
                <w:sz w:val="24"/>
                <w:szCs w:val="24"/>
              </w:rPr>
            </w:pPr>
            <w:r>
              <w:rPr>
                <w:sz w:val="24"/>
                <w:szCs w:val="24"/>
                <w:b/>
                <w:bCs/>
                <w:spacing w:val="-5"/>
              </w:rPr>
              <w:t>危险废物暂存</w:t>
            </w:r>
          </w:p>
          <w:p>
            <w:pPr>
              <w:spacing w:line="397" w:lineRule="auto"/>
              <w:rPr>
                <w:rFonts w:ascii="Arial"/>
                <w:sz w:val="21"/>
              </w:rPr>
            </w:pPr>
            <w:r/>
          </w:p>
          <w:p>
            <w:pPr>
              <w:pStyle w:val="TableText"/>
              <w:ind w:left="691" w:hanging="528"/>
              <w:spacing w:before="78" w:line="208" w:lineRule="auto"/>
              <w:rPr>
                <w:sz w:val="24"/>
                <w:szCs w:val="24"/>
              </w:rPr>
            </w:pPr>
            <w:r>
              <w:rPr>
                <w:sz w:val="24"/>
                <w:szCs w:val="24"/>
                <w:spacing w:val="-14"/>
              </w:rPr>
              <w:t>最</w:t>
            </w:r>
            <w:r>
              <w:rPr>
                <w:sz w:val="24"/>
                <w:szCs w:val="24"/>
                <w:spacing w:val="-13"/>
              </w:rPr>
              <w:t>高允许排放速</w:t>
            </w:r>
            <w:r>
              <w:rPr>
                <w:sz w:val="24"/>
                <w:szCs w:val="24"/>
                <w:spacing w:val="-12"/>
              </w:rPr>
              <w:t>率</w:t>
            </w:r>
            <w:r>
              <w:rPr>
                <w:sz w:val="24"/>
                <w:szCs w:val="24"/>
                <w:spacing w:val="6"/>
              </w:rPr>
              <w:t xml:space="preserve"> </w:t>
            </w:r>
            <w:r>
              <w:rPr>
                <w:sz w:val="24"/>
                <w:szCs w:val="24"/>
                <w:spacing w:val="-13"/>
              </w:rPr>
              <w:t>(kg/h)</w:t>
            </w:r>
          </w:p>
        </w:tc>
        <w:tc>
          <w:tcPr>
            <w:tcW w:w="3801" w:type="dxa"/>
            <w:vAlign w:val="top"/>
            <w:gridSpan w:val="2"/>
          </w:tcPr>
          <w:p>
            <w:pPr>
              <w:rPr>
                <w:rFonts w:ascii="Arial"/>
                <w:sz w:val="21"/>
              </w:rPr>
            </w:pPr>
            <w:r/>
          </w:p>
        </w:tc>
      </w:tr>
      <w:tr>
        <w:trPr>
          <w:trHeight w:val="270" w:hRule="atLeast"/>
        </w:trPr>
        <w:tc>
          <w:tcPr>
            <w:tcW w:w="415" w:type="dxa"/>
            <w:vAlign w:val="top"/>
            <w:vMerge w:val="continue"/>
            <w:tcBorders>
              <w:left w:val="nil"/>
              <w:top w:val="nil"/>
              <w:bottom w:val="nil"/>
            </w:tcBorders>
          </w:tcPr>
          <w:p>
            <w:pPr>
              <w:rPr>
                <w:rFonts w:ascii="Arial"/>
                <w:sz w:val="21"/>
              </w:rPr>
            </w:pPr>
            <w:r/>
          </w:p>
        </w:tc>
        <w:tc>
          <w:tcPr>
            <w:tcW w:w="2597" w:type="dxa"/>
            <w:vAlign w:val="top"/>
            <w:vMerge w:val="continue"/>
            <w:tcBorders>
              <w:top w:val="nil"/>
              <w:bottom w:val="nil"/>
            </w:tcBorders>
          </w:tcPr>
          <w:p>
            <w:pPr>
              <w:rPr>
                <w:rFonts w:ascii="Arial"/>
                <w:sz w:val="21"/>
              </w:rPr>
            </w:pPr>
            <w:r/>
          </w:p>
        </w:tc>
        <w:tc>
          <w:tcPr>
            <w:tcW w:w="1997" w:type="dxa"/>
            <w:vAlign w:val="top"/>
            <w:gridSpan w:val="2"/>
            <w:vMerge w:val="continue"/>
            <w:tcBorders>
              <w:top w:val="nil"/>
              <w:bottom w:val="nil"/>
            </w:tcBorders>
          </w:tcPr>
          <w:p>
            <w:pPr>
              <w:rPr>
                <w:rFonts w:ascii="Arial"/>
                <w:sz w:val="21"/>
              </w:rPr>
            </w:pPr>
            <w:r/>
          </w:p>
        </w:tc>
        <w:tc>
          <w:tcPr>
            <w:tcW w:w="3801" w:type="dxa"/>
            <w:vAlign w:val="top"/>
            <w:gridSpan w:val="2"/>
          </w:tcPr>
          <w:p>
            <w:pPr>
              <w:rPr>
                <w:rFonts w:ascii="Arial"/>
                <w:sz w:val="21"/>
              </w:rPr>
            </w:pPr>
            <w:r/>
          </w:p>
        </w:tc>
      </w:tr>
      <w:tr>
        <w:trPr>
          <w:trHeight w:val="503" w:hRule="atLeast"/>
        </w:trPr>
        <w:tc>
          <w:tcPr>
            <w:tcW w:w="415" w:type="dxa"/>
            <w:vAlign w:val="top"/>
            <w:vMerge w:val="continue"/>
            <w:tcBorders>
              <w:left w:val="nil"/>
              <w:top w:val="nil"/>
              <w:bottom w:val="nil"/>
            </w:tcBorders>
          </w:tcPr>
          <w:p>
            <w:pPr>
              <w:rPr>
                <w:rFonts w:ascii="Arial"/>
                <w:sz w:val="21"/>
              </w:rPr>
            </w:pPr>
            <w:r/>
          </w:p>
        </w:tc>
        <w:tc>
          <w:tcPr>
            <w:tcW w:w="2597" w:type="dxa"/>
            <w:vAlign w:val="top"/>
            <w:vMerge w:val="continue"/>
            <w:tcBorders>
              <w:top w:val="nil"/>
              <w:bottom w:val="nil"/>
            </w:tcBorders>
          </w:tcPr>
          <w:p>
            <w:pPr>
              <w:rPr>
                <w:rFonts w:ascii="Arial"/>
                <w:sz w:val="21"/>
              </w:rPr>
            </w:pPr>
            <w:r/>
          </w:p>
        </w:tc>
        <w:tc>
          <w:tcPr>
            <w:tcW w:w="1997" w:type="dxa"/>
            <w:vAlign w:val="top"/>
            <w:gridSpan w:val="2"/>
            <w:vMerge w:val="continue"/>
            <w:tcBorders>
              <w:top w:val="nil"/>
              <w:bottom w:val="nil"/>
            </w:tcBorders>
          </w:tcPr>
          <w:p>
            <w:pPr>
              <w:rPr>
                <w:rFonts w:ascii="Arial"/>
                <w:sz w:val="21"/>
              </w:rPr>
            </w:pPr>
            <w:r/>
          </w:p>
        </w:tc>
        <w:tc>
          <w:tcPr>
            <w:shd w:val="clear" w:fill="FFFFFF"/>
            <w:tcW w:w="3801" w:type="dxa"/>
            <w:vAlign w:val="top"/>
            <w:gridSpan w:val="2"/>
          </w:tcPr>
          <w:p>
            <w:pPr>
              <w:rPr>
                <w:rFonts w:ascii="Arial"/>
                <w:sz w:val="21"/>
              </w:rPr>
            </w:pPr>
            <w:r/>
          </w:p>
        </w:tc>
      </w:tr>
      <w:tr>
        <w:trPr>
          <w:trHeight w:val="552" w:hRule="atLeast"/>
        </w:trPr>
        <w:tc>
          <w:tcPr>
            <w:tcW w:w="415" w:type="dxa"/>
            <w:vAlign w:val="top"/>
            <w:vMerge w:val="continue"/>
            <w:tcBorders>
              <w:left w:val="nil"/>
              <w:top w:val="nil"/>
            </w:tcBorders>
          </w:tcPr>
          <w:p>
            <w:pPr>
              <w:rPr>
                <w:rFonts w:ascii="Arial"/>
                <w:sz w:val="21"/>
              </w:rPr>
            </w:pPr>
            <w:r/>
          </w:p>
        </w:tc>
        <w:tc>
          <w:tcPr>
            <w:tcW w:w="2597" w:type="dxa"/>
            <w:vAlign w:val="top"/>
            <w:vMerge w:val="continue"/>
            <w:tcBorders>
              <w:top w:val="nil"/>
            </w:tcBorders>
          </w:tcPr>
          <w:p>
            <w:pPr>
              <w:rPr>
                <w:rFonts w:ascii="Arial"/>
                <w:sz w:val="21"/>
              </w:rPr>
            </w:pPr>
            <w:r/>
          </w:p>
        </w:tc>
        <w:tc>
          <w:tcPr>
            <w:tcW w:w="1997" w:type="dxa"/>
            <w:vAlign w:val="top"/>
            <w:gridSpan w:val="2"/>
            <w:vMerge w:val="continue"/>
            <w:tcBorders>
              <w:top w:val="nil"/>
            </w:tcBorders>
          </w:tcPr>
          <w:p>
            <w:pPr>
              <w:rPr>
                <w:rFonts w:ascii="Arial"/>
                <w:sz w:val="21"/>
              </w:rPr>
            </w:pPr>
            <w:r/>
          </w:p>
        </w:tc>
        <w:tc>
          <w:tcPr>
            <w:tcW w:w="1908" w:type="dxa"/>
            <w:vAlign w:val="top"/>
          </w:tcPr>
          <w:p>
            <w:pPr>
              <w:rPr>
                <w:rFonts w:ascii="Arial"/>
                <w:sz w:val="21"/>
              </w:rPr>
            </w:pPr>
            <w:r/>
          </w:p>
        </w:tc>
        <w:tc>
          <w:tcPr>
            <w:tcW w:w="1893" w:type="dxa"/>
            <w:vAlign w:val="top"/>
          </w:tcPr>
          <w:p>
            <w:pPr>
              <w:rPr>
                <w:rFonts w:ascii="Arial"/>
                <w:sz w:val="21"/>
              </w:rPr>
            </w:pPr>
            <w:r/>
          </w:p>
        </w:tc>
      </w:tr>
      <w:tr>
        <w:trPr>
          <w:trHeight w:val="3391" w:hRule="atLeast"/>
        </w:trPr>
        <w:tc>
          <w:tcPr>
            <w:shd w:val="clear" w:fill="FFFFFF"/>
            <w:tcW w:w="415" w:type="dxa"/>
            <w:vAlign w:val="top"/>
            <w:vMerge w:val="restart"/>
            <w:tcBorders>
              <w:bottom w:val="nil"/>
            </w:tcBorders>
          </w:tcPr>
          <w:p>
            <w:pPr>
              <w:rPr>
                <w:rFonts w:ascii="Arial"/>
                <w:sz w:val="21"/>
              </w:rPr>
            </w:pPr>
            <w:r/>
          </w:p>
        </w:tc>
        <w:tc>
          <w:tcPr>
            <w:shd w:val="clear" w:fill="FFFFFF"/>
            <w:tcW w:w="2597" w:type="dxa"/>
            <w:vAlign w:val="top"/>
          </w:tcPr>
          <w:p>
            <w:pPr>
              <w:rPr>
                <w:rFonts w:ascii="Arial"/>
                <w:sz w:val="21"/>
              </w:rPr>
            </w:pPr>
            <w:r/>
          </w:p>
        </w:tc>
        <w:tc>
          <w:tcPr>
            <w:shd w:val="clear" w:fill="FFFFFF"/>
            <w:tcW w:w="5798" w:type="dxa"/>
            <w:vAlign w:val="top"/>
            <w:gridSpan w:val="4"/>
          </w:tcPr>
          <w:p>
            <w:pPr>
              <w:rPr>
                <w:rFonts w:ascii="Arial"/>
                <w:sz w:val="21"/>
              </w:rPr>
            </w:pPr>
            <w:r/>
          </w:p>
        </w:tc>
      </w:tr>
      <w:tr>
        <w:trPr>
          <w:trHeight w:val="330" w:hRule="atLeast"/>
        </w:trPr>
        <w:tc>
          <w:tcPr>
            <w:tcW w:w="415" w:type="dxa"/>
            <w:vAlign w:val="top"/>
            <w:vMerge w:val="continue"/>
            <w:tcBorders>
              <w:bottom w:val="nil"/>
              <w:top w:val="nil"/>
            </w:tcBorders>
          </w:tcPr>
          <w:p>
            <w:pPr>
              <w:rPr>
                <w:rFonts w:ascii="Arial"/>
                <w:sz w:val="21"/>
              </w:rPr>
            </w:pPr>
            <w:r/>
          </w:p>
        </w:tc>
        <w:tc>
          <w:tcPr>
            <w:shd w:val="clear" w:fill="FFFFFF"/>
            <w:tcW w:w="4185" w:type="dxa"/>
            <w:vAlign w:val="top"/>
            <w:gridSpan w:val="2"/>
          </w:tcPr>
          <w:p>
            <w:pPr>
              <w:rPr>
                <w:rFonts w:ascii="Arial"/>
                <w:sz w:val="21"/>
              </w:rPr>
            </w:pPr>
            <w:r/>
          </w:p>
        </w:tc>
        <w:tc>
          <w:tcPr>
            <w:shd w:val="clear" w:fill="FFFFFF"/>
            <w:tcW w:w="4210" w:type="dxa"/>
            <w:vAlign w:val="top"/>
            <w:gridSpan w:val="3"/>
          </w:tcPr>
          <w:p>
            <w:pPr>
              <w:rPr>
                <w:rFonts w:ascii="Arial"/>
                <w:sz w:val="21"/>
              </w:rPr>
            </w:pPr>
            <w:r/>
          </w:p>
        </w:tc>
      </w:tr>
      <w:tr>
        <w:trPr>
          <w:trHeight w:val="320" w:hRule="atLeast"/>
        </w:trPr>
        <w:tc>
          <w:tcPr>
            <w:tcW w:w="415" w:type="dxa"/>
            <w:vAlign w:val="top"/>
            <w:vMerge w:val="continue"/>
            <w:tcBorders>
              <w:bottom w:val="nil"/>
              <w:top w:val="nil"/>
            </w:tcBorders>
          </w:tcPr>
          <w:p>
            <w:pPr>
              <w:rPr>
                <w:rFonts w:ascii="Arial"/>
                <w:sz w:val="21"/>
              </w:rPr>
            </w:pPr>
            <w:r/>
          </w:p>
        </w:tc>
        <w:tc>
          <w:tcPr>
            <w:shd w:val="clear" w:fill="FFFFFF"/>
            <w:tcW w:w="4185" w:type="dxa"/>
            <w:vAlign w:val="top"/>
            <w:gridSpan w:val="2"/>
          </w:tcPr>
          <w:p>
            <w:pPr>
              <w:rPr>
                <w:rFonts w:ascii="Arial"/>
                <w:sz w:val="21"/>
              </w:rPr>
            </w:pPr>
            <w:r/>
          </w:p>
        </w:tc>
        <w:tc>
          <w:tcPr>
            <w:shd w:val="clear" w:fill="FFFFFF"/>
            <w:tcW w:w="4210" w:type="dxa"/>
            <w:vAlign w:val="top"/>
            <w:gridSpan w:val="3"/>
          </w:tcPr>
          <w:p>
            <w:pPr>
              <w:rPr>
                <w:rFonts w:ascii="Arial"/>
                <w:sz w:val="21"/>
              </w:rPr>
            </w:pPr>
            <w:r/>
          </w:p>
        </w:tc>
      </w:tr>
      <w:tr>
        <w:trPr>
          <w:trHeight w:val="8009" w:hRule="atLeast"/>
        </w:trPr>
        <w:tc>
          <w:tcPr>
            <w:tcW w:w="415" w:type="dxa"/>
            <w:vAlign w:val="top"/>
            <w:vMerge w:val="continue"/>
            <w:tcBorders>
              <w:bottom w:val="nil"/>
              <w:top w:val="nil"/>
            </w:tcBorders>
          </w:tcPr>
          <w:p>
            <w:pPr>
              <w:rPr>
                <w:rFonts w:ascii="Arial"/>
                <w:sz w:val="21"/>
              </w:rPr>
            </w:pPr>
            <w:r/>
          </w:p>
        </w:tc>
        <w:tc>
          <w:tcPr>
            <w:shd w:val="clear" w:fill="FFFFFF"/>
            <w:tcW w:w="8395" w:type="dxa"/>
            <w:vAlign w:val="top"/>
            <w:gridSpan w:val="5"/>
          </w:tcPr>
          <w:p>
            <w:pPr>
              <w:rPr>
                <w:rFonts w:ascii="Arial"/>
                <w:sz w:val="21"/>
              </w:rPr>
            </w:pPr>
            <w:r/>
          </w:p>
        </w:tc>
      </w:tr>
    </w:tbl>
    <w:p>
      <w:pPr>
        <w:rPr>
          <w:rFonts w:ascii="Arial"/>
          <w:sz w:val="21"/>
        </w:rPr>
      </w:pPr>
      <w:r/>
    </w:p>
    <w:p>
      <w:pPr>
        <w:sectPr>
          <w:footerReference w:type="default" r:id="rId77"/>
          <w:pgSz w:w="11900" w:h="16840"/>
          <w:pgMar w:top="1425" w:right="1110" w:bottom="988" w:left="1614" w:header="0" w:footer="849" w:gutter="0"/>
        </w:sectPr>
        <w:rPr>
          <w:rFonts w:ascii="Arial" w:hAnsi="Arial" w:eastAsia="Arial" w:cs="Arial"/>
          <w:sz w:val="21"/>
          <w:szCs w:val="21"/>
        </w:rPr>
      </w:pPr>
    </w:p>
    <w:p>
      <w:pPr>
        <w:spacing w:line="141" w:lineRule="auto"/>
        <w:rPr>
          <w:rFonts w:ascii="Arial"/>
          <w:sz w:val="2"/>
        </w:rPr>
      </w:pPr>
      <w:r>
        <w:rPr>
          <w:rFonts w:ascii="Arial"/>
          <w:sz w:val="2"/>
        </w:rPr>
      </w:r>
    </w:p>
    <w:tbl>
      <w:tblPr>
        <w:tblStyle w:val="TableNormal"/>
        <w:tblW w:w="880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25"/>
        <w:gridCol w:w="659"/>
        <w:gridCol w:w="1578"/>
        <w:gridCol w:w="859"/>
        <w:gridCol w:w="1558"/>
        <w:gridCol w:w="2577"/>
        <w:gridCol w:w="1144"/>
      </w:tblGrid>
      <w:tr>
        <w:trPr>
          <w:trHeight w:val="1424" w:hRule="atLeast"/>
        </w:trPr>
        <w:tc>
          <w:tcPr>
            <w:tcW w:w="425" w:type="dxa"/>
            <w:vAlign w:val="top"/>
            <w:vMerge w:val="restart"/>
            <w:tcBorders>
              <w:bottom w:val="nil"/>
            </w:tcBorders>
          </w:tcPr>
          <w:p>
            <w:pPr>
              <w:rPr>
                <w:rFonts w:ascii="Arial"/>
                <w:sz w:val="21"/>
              </w:rPr>
            </w:pPr>
            <w:r/>
          </w:p>
        </w:tc>
        <w:tc>
          <w:tcPr>
            <w:tcW w:w="8375" w:type="dxa"/>
            <w:vAlign w:val="top"/>
            <w:gridSpan w:val="6"/>
          </w:tcPr>
          <w:p>
            <w:pPr>
              <w:pStyle w:val="TableText"/>
              <w:ind w:left="120"/>
              <w:spacing w:before="54" w:line="499" w:lineRule="exact"/>
              <w:rPr>
                <w:sz w:val="22"/>
                <w:szCs w:val="22"/>
              </w:rPr>
            </w:pPr>
            <w:r>
              <w:rPr>
                <w:sz w:val="22"/>
                <w:szCs w:val="22"/>
                <w:position w:val="21"/>
              </w:rPr>
              <w:t>放标准》(GB30484-2013)表3中污染物镉镍/氢镍电池</w:t>
            </w:r>
            <w:r>
              <w:rPr>
                <w:sz w:val="22"/>
                <w:szCs w:val="22"/>
                <w:spacing w:val="-1"/>
                <w:position w:val="21"/>
              </w:rPr>
              <w:t>直接排放标准。各污染</w:t>
            </w:r>
          </w:p>
          <w:p>
            <w:pPr>
              <w:pStyle w:val="TableText"/>
              <w:ind w:left="130"/>
              <w:spacing w:line="219" w:lineRule="auto"/>
              <w:rPr>
                <w:sz w:val="22"/>
                <w:szCs w:val="22"/>
              </w:rPr>
            </w:pPr>
            <w:r>
              <w:rPr>
                <w:sz w:val="22"/>
                <w:szCs w:val="22"/>
                <w:spacing w:val="1"/>
              </w:rPr>
              <w:t>物浓度限值见表3.5-7。</w:t>
            </w:r>
          </w:p>
          <w:p>
            <w:pPr>
              <w:pStyle w:val="TableText"/>
              <w:ind w:left="2173"/>
              <w:spacing w:before="215" w:line="219" w:lineRule="auto"/>
              <w:rPr>
                <w:sz w:val="22"/>
                <w:szCs w:val="22"/>
              </w:rPr>
            </w:pPr>
            <w:r>
              <w:rPr>
                <w:sz w:val="22"/>
                <w:szCs w:val="22"/>
                <w:b/>
                <w:bCs/>
                <w:spacing w:val="13"/>
              </w:rPr>
              <w:t>表3</w:t>
            </w:r>
            <w:r>
              <w:rPr>
                <w:sz w:val="22"/>
                <w:szCs w:val="22"/>
                <w:spacing w:val="-51"/>
              </w:rPr>
              <w:t xml:space="preserve"> </w:t>
            </w:r>
            <w:r>
              <w:rPr>
                <w:sz w:val="22"/>
                <w:szCs w:val="22"/>
                <w:b/>
                <w:bCs/>
                <w:spacing w:val="13"/>
              </w:rPr>
              <w:t>.</w:t>
            </w:r>
            <w:r>
              <w:rPr>
                <w:sz w:val="22"/>
                <w:szCs w:val="22"/>
                <w:spacing w:val="-62"/>
              </w:rPr>
              <w:t xml:space="preserve"> </w:t>
            </w:r>
            <w:r>
              <w:rPr>
                <w:sz w:val="22"/>
                <w:szCs w:val="22"/>
                <w:b/>
                <w:bCs/>
                <w:spacing w:val="13"/>
              </w:rPr>
              <w:t>5-</w:t>
            </w:r>
            <w:r>
              <w:rPr>
                <w:sz w:val="22"/>
                <w:szCs w:val="22"/>
                <w:spacing w:val="-60"/>
              </w:rPr>
              <w:t xml:space="preserve"> </w:t>
            </w:r>
            <w:r>
              <w:rPr>
                <w:sz w:val="22"/>
                <w:szCs w:val="22"/>
                <w:b/>
                <w:bCs/>
                <w:spacing w:val="13"/>
              </w:rPr>
              <w:t>7</w:t>
            </w:r>
            <w:r>
              <w:rPr>
                <w:sz w:val="22"/>
                <w:szCs w:val="22"/>
                <w:spacing w:val="3"/>
              </w:rPr>
              <w:t xml:space="preserve">   </w:t>
            </w:r>
            <w:r>
              <w:rPr>
                <w:sz w:val="22"/>
                <w:szCs w:val="22"/>
                <w:b/>
                <w:bCs/>
                <w:spacing w:val="13"/>
              </w:rPr>
              <w:t>项目废水排放标准</w:t>
            </w:r>
            <w:r>
              <w:rPr>
                <w:sz w:val="22"/>
                <w:szCs w:val="22"/>
                <w:spacing w:val="-62"/>
              </w:rPr>
              <w:t xml:space="preserve"> </w:t>
            </w:r>
            <w:r>
              <w:rPr>
                <w:sz w:val="22"/>
                <w:szCs w:val="22"/>
                <w:b/>
                <w:bCs/>
                <w:spacing w:val="13"/>
              </w:rPr>
              <w:t>一</w:t>
            </w:r>
            <w:r>
              <w:rPr>
                <w:sz w:val="22"/>
                <w:szCs w:val="22"/>
                <w:spacing w:val="-62"/>
              </w:rPr>
              <w:t xml:space="preserve"> </w:t>
            </w:r>
            <w:r>
              <w:rPr>
                <w:sz w:val="22"/>
                <w:szCs w:val="22"/>
                <w:b/>
                <w:bCs/>
                <w:spacing w:val="13"/>
              </w:rPr>
              <w:t>览表</w:t>
            </w:r>
          </w:p>
        </w:tc>
      </w:tr>
      <w:tr>
        <w:trPr>
          <w:trHeight w:val="350" w:hRule="atLeast"/>
        </w:trPr>
        <w:tc>
          <w:tcPr>
            <w:tcW w:w="425" w:type="dxa"/>
            <w:vAlign w:val="top"/>
            <w:vMerge w:val="continue"/>
            <w:tcBorders>
              <w:top w:val="nil"/>
              <w:bottom w:val="nil"/>
            </w:tcBorders>
          </w:tcPr>
          <w:p>
            <w:pPr>
              <w:rPr>
                <w:rFonts w:ascii="Arial"/>
                <w:sz w:val="21"/>
              </w:rPr>
            </w:pPr>
            <w:r/>
          </w:p>
        </w:tc>
        <w:tc>
          <w:tcPr>
            <w:tcW w:w="659" w:type="dxa"/>
            <w:vAlign w:val="top"/>
          </w:tcPr>
          <w:p>
            <w:pPr>
              <w:pStyle w:val="TableText"/>
              <w:ind w:left="160"/>
              <w:spacing w:before="70" w:line="219" w:lineRule="auto"/>
              <w:rPr>
                <w:sz w:val="22"/>
                <w:szCs w:val="22"/>
              </w:rPr>
            </w:pPr>
            <w:r>
              <w:rPr>
                <w:sz w:val="22"/>
                <w:szCs w:val="22"/>
                <w:spacing w:val="9"/>
              </w:rPr>
              <w:t>类别</w:t>
            </w:r>
          </w:p>
        </w:tc>
        <w:tc>
          <w:tcPr>
            <w:tcW w:w="1578" w:type="dxa"/>
            <w:vAlign w:val="top"/>
          </w:tcPr>
          <w:p>
            <w:pPr>
              <w:pStyle w:val="TableText"/>
              <w:ind w:left="451"/>
              <w:spacing w:before="70" w:line="220" w:lineRule="auto"/>
              <w:rPr>
                <w:sz w:val="22"/>
                <w:szCs w:val="22"/>
              </w:rPr>
            </w:pPr>
            <w:r>
              <w:rPr>
                <w:sz w:val="22"/>
                <w:szCs w:val="22"/>
                <w:spacing w:val="3"/>
              </w:rPr>
              <w:t>污染物</w:t>
            </w:r>
          </w:p>
        </w:tc>
        <w:tc>
          <w:tcPr>
            <w:tcW w:w="2417" w:type="dxa"/>
            <w:vAlign w:val="top"/>
            <w:gridSpan w:val="2"/>
          </w:tcPr>
          <w:p>
            <w:pPr>
              <w:pStyle w:val="TableText"/>
              <w:spacing w:before="62" w:line="214" w:lineRule="auto"/>
              <w:jc w:val="right"/>
              <w:rPr>
                <w:sz w:val="22"/>
                <w:szCs w:val="22"/>
              </w:rPr>
            </w:pPr>
            <w:r>
              <w:rPr>
                <w:sz w:val="22"/>
                <w:szCs w:val="22"/>
                <w:spacing w:val="-2"/>
              </w:rPr>
              <w:t>最高允许排放浓度(mg/L)</w:t>
            </w:r>
          </w:p>
        </w:tc>
        <w:tc>
          <w:tcPr>
            <w:tcW w:w="2577" w:type="dxa"/>
            <w:vAlign w:val="top"/>
          </w:tcPr>
          <w:p>
            <w:pPr>
              <w:pStyle w:val="TableText"/>
              <w:ind w:left="846"/>
              <w:spacing w:before="70" w:line="219" w:lineRule="auto"/>
              <w:rPr>
                <w:sz w:val="22"/>
                <w:szCs w:val="22"/>
              </w:rPr>
            </w:pPr>
            <w:r>
              <w:rPr>
                <w:sz w:val="22"/>
                <w:szCs w:val="22"/>
                <w:spacing w:val="-2"/>
              </w:rPr>
              <w:t>标准来源</w:t>
            </w:r>
          </w:p>
        </w:tc>
        <w:tc>
          <w:tcPr>
            <w:tcW w:w="1144" w:type="dxa"/>
            <w:vAlign w:val="top"/>
          </w:tcPr>
          <w:p>
            <w:pPr>
              <w:pStyle w:val="TableText"/>
              <w:ind w:left="129"/>
              <w:spacing w:before="71" w:line="221" w:lineRule="auto"/>
              <w:rPr>
                <w:sz w:val="22"/>
                <w:szCs w:val="22"/>
              </w:rPr>
            </w:pPr>
            <w:r>
              <w:rPr>
                <w:sz w:val="22"/>
                <w:szCs w:val="22"/>
                <w:spacing w:val="5"/>
              </w:rPr>
              <w:t>排放去向</w:t>
            </w:r>
          </w:p>
        </w:tc>
      </w:tr>
      <w:tr>
        <w:trPr>
          <w:trHeight w:val="339" w:hRule="atLeast"/>
        </w:trPr>
        <w:tc>
          <w:tcPr>
            <w:tcW w:w="425" w:type="dxa"/>
            <w:vAlign w:val="top"/>
            <w:vMerge w:val="continue"/>
            <w:tcBorders>
              <w:top w:val="nil"/>
              <w:bottom w:val="nil"/>
            </w:tcBorders>
          </w:tcPr>
          <w:p>
            <w:pPr>
              <w:rPr>
                <w:rFonts w:ascii="Arial"/>
                <w:sz w:val="21"/>
              </w:rPr>
            </w:pPr>
            <w:r/>
          </w:p>
        </w:tc>
        <w:tc>
          <w:tcPr>
            <w:tcW w:w="659" w:type="dxa"/>
            <w:vAlign w:val="top"/>
            <w:vMerge w:val="restart"/>
            <w:tcBorders>
              <w:bottom w:val="nil"/>
            </w:tcBorders>
          </w:tcPr>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160" w:right="38"/>
              <w:spacing w:before="72" w:line="223" w:lineRule="auto"/>
              <w:rPr>
                <w:sz w:val="22"/>
                <w:szCs w:val="22"/>
              </w:rPr>
            </w:pPr>
            <w:r>
              <w:rPr>
                <w:sz w:val="22"/>
                <w:szCs w:val="22"/>
                <w:spacing w:val="-6"/>
              </w:rPr>
              <w:t>生活</w:t>
            </w:r>
            <w:r>
              <w:rPr>
                <w:sz w:val="22"/>
                <w:szCs w:val="22"/>
              </w:rPr>
              <w:t xml:space="preserve"> </w:t>
            </w:r>
            <w:r>
              <w:rPr>
                <w:sz w:val="22"/>
                <w:szCs w:val="22"/>
                <w:spacing w:val="5"/>
              </w:rPr>
              <w:t>污水</w:t>
            </w:r>
          </w:p>
        </w:tc>
        <w:tc>
          <w:tcPr>
            <w:tcW w:w="1578" w:type="dxa"/>
            <w:vAlign w:val="top"/>
          </w:tcPr>
          <w:p>
            <w:pPr>
              <w:pStyle w:val="TableText"/>
              <w:ind w:left="231"/>
              <w:spacing w:before="54" w:line="214" w:lineRule="auto"/>
              <w:rPr>
                <w:sz w:val="22"/>
                <w:szCs w:val="22"/>
              </w:rPr>
            </w:pPr>
            <w:r>
              <w:rPr>
                <w:sz w:val="22"/>
                <w:szCs w:val="22"/>
              </w:rPr>
              <w:t>pH</w:t>
            </w:r>
            <w:r>
              <w:rPr>
                <w:sz w:val="22"/>
                <w:szCs w:val="22"/>
                <w:spacing w:val="9"/>
              </w:rPr>
              <w:t>(无量纲)</w:t>
            </w:r>
          </w:p>
        </w:tc>
        <w:tc>
          <w:tcPr>
            <w:tcW w:w="2417" w:type="dxa"/>
            <w:vAlign w:val="top"/>
            <w:gridSpan w:val="2"/>
          </w:tcPr>
          <w:p>
            <w:pPr>
              <w:pStyle w:val="TableText"/>
              <w:ind w:left="983"/>
              <w:spacing w:before="116" w:line="178" w:lineRule="auto"/>
              <w:rPr>
                <w:sz w:val="22"/>
                <w:szCs w:val="22"/>
              </w:rPr>
            </w:pPr>
            <w:r>
              <w:rPr>
                <w:sz w:val="22"/>
                <w:szCs w:val="22"/>
                <w:spacing w:val="-3"/>
              </w:rPr>
              <w:t>6～9</w:t>
            </w:r>
          </w:p>
        </w:tc>
        <w:tc>
          <w:tcPr>
            <w:tcW w:w="2577" w:type="dxa"/>
            <w:vAlign w:val="top"/>
            <w:vMerge w:val="restart"/>
            <w:tcBorders>
              <w:bottom w:val="nil"/>
            </w:tcBorders>
          </w:tcPr>
          <w:p>
            <w:pPr>
              <w:spacing w:line="445" w:lineRule="auto"/>
              <w:rPr>
                <w:rFonts w:ascii="Arial"/>
                <w:sz w:val="21"/>
              </w:rPr>
            </w:pPr>
            <w:r/>
          </w:p>
          <w:p>
            <w:pPr>
              <w:pStyle w:val="TableText"/>
              <w:ind w:left="185"/>
              <w:spacing w:before="72" w:line="219" w:lineRule="auto"/>
              <w:rPr>
                <w:sz w:val="22"/>
                <w:szCs w:val="22"/>
              </w:rPr>
            </w:pPr>
            <w:r>
              <w:rPr>
                <w:sz w:val="22"/>
                <w:szCs w:val="22"/>
                <w:spacing w:val="-2"/>
              </w:rPr>
              <w:t>《污水综合排放标准》</w:t>
            </w:r>
          </w:p>
          <w:p>
            <w:pPr>
              <w:pStyle w:val="TableText"/>
              <w:ind w:left="76"/>
              <w:spacing w:line="221" w:lineRule="auto"/>
              <w:rPr>
                <w:sz w:val="22"/>
                <w:szCs w:val="22"/>
              </w:rPr>
            </w:pPr>
            <w:r>
              <w:rPr>
                <w:sz w:val="22"/>
                <w:szCs w:val="22"/>
              </w:rPr>
              <w:t>(GB8978-1996)表4的三级</w:t>
            </w:r>
          </w:p>
          <w:p>
            <w:pPr>
              <w:pStyle w:val="TableText"/>
              <w:ind w:left="1066"/>
              <w:spacing w:before="16" w:line="220" w:lineRule="auto"/>
              <w:rPr>
                <w:sz w:val="22"/>
                <w:szCs w:val="22"/>
              </w:rPr>
            </w:pPr>
            <w:r>
              <w:rPr>
                <w:sz w:val="22"/>
                <w:szCs w:val="22"/>
                <w:spacing w:val="-3"/>
              </w:rPr>
              <w:t>标准</w:t>
            </w:r>
          </w:p>
        </w:tc>
        <w:tc>
          <w:tcPr>
            <w:tcW w:w="1144"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19" w:firstLine="110"/>
              <w:spacing w:before="71" w:line="219" w:lineRule="auto"/>
              <w:rPr>
                <w:sz w:val="22"/>
                <w:szCs w:val="22"/>
              </w:rPr>
            </w:pPr>
            <w:r>
              <w:rPr>
                <w:sz w:val="22"/>
                <w:szCs w:val="22"/>
                <w:spacing w:val="-3"/>
              </w:rPr>
              <w:t>经厂区预</w:t>
            </w:r>
            <w:r>
              <w:rPr>
                <w:sz w:val="22"/>
                <w:szCs w:val="22"/>
              </w:rPr>
              <w:t xml:space="preserve">  </w:t>
            </w:r>
            <w:r>
              <w:rPr>
                <w:sz w:val="22"/>
                <w:szCs w:val="22"/>
                <w:spacing w:val="2"/>
              </w:rPr>
              <w:t>处理后，纳</w:t>
            </w:r>
          </w:p>
          <w:p>
            <w:pPr>
              <w:pStyle w:val="TableText"/>
              <w:ind w:left="129"/>
              <w:spacing w:before="7" w:line="219" w:lineRule="auto"/>
              <w:rPr>
                <w:sz w:val="22"/>
                <w:szCs w:val="22"/>
              </w:rPr>
            </w:pPr>
            <w:r>
              <w:rPr>
                <w:sz w:val="22"/>
                <w:szCs w:val="22"/>
                <w:spacing w:val="-2"/>
              </w:rPr>
              <w:t>入霞浦县</w:t>
            </w:r>
          </w:p>
          <w:p>
            <w:pPr>
              <w:pStyle w:val="TableText"/>
              <w:ind w:left="129"/>
              <w:spacing w:before="18" w:line="219" w:lineRule="auto"/>
              <w:rPr>
                <w:sz w:val="22"/>
                <w:szCs w:val="22"/>
              </w:rPr>
            </w:pPr>
            <w:r>
              <w:rPr>
                <w:sz w:val="22"/>
                <w:szCs w:val="22"/>
                <w:spacing w:val="-2"/>
              </w:rPr>
              <w:t>污水处理</w:t>
            </w:r>
          </w:p>
          <w:p>
            <w:pPr>
              <w:pStyle w:val="TableText"/>
              <w:ind w:left="239"/>
              <w:spacing w:before="19" w:line="220" w:lineRule="auto"/>
              <w:rPr>
                <w:sz w:val="22"/>
                <w:szCs w:val="22"/>
              </w:rPr>
            </w:pPr>
            <w:r>
              <w:rPr>
                <w:sz w:val="22"/>
                <w:szCs w:val="22"/>
                <w:spacing w:val="-3"/>
              </w:rPr>
              <w:t>厂处理</w:t>
            </w:r>
          </w:p>
        </w:tc>
      </w:tr>
      <w:tr>
        <w:trPr>
          <w:trHeight w:val="330" w:hRule="atLeast"/>
        </w:trPr>
        <w:tc>
          <w:tcPr>
            <w:tcW w:w="425" w:type="dxa"/>
            <w:vAlign w:val="top"/>
            <w:vMerge w:val="continue"/>
            <w:tcBorders>
              <w:top w:val="nil"/>
              <w:bottom w:val="nil"/>
            </w:tcBorders>
          </w:tcPr>
          <w:p>
            <w:pPr>
              <w:rPr>
                <w:rFonts w:ascii="Arial"/>
                <w:sz w:val="21"/>
              </w:rPr>
            </w:pPr>
            <w:r/>
          </w:p>
        </w:tc>
        <w:tc>
          <w:tcPr>
            <w:tcW w:w="659" w:type="dxa"/>
            <w:vAlign w:val="top"/>
            <w:vMerge w:val="continue"/>
            <w:tcBorders>
              <w:top w:val="nil"/>
              <w:bottom w:val="nil"/>
            </w:tcBorders>
          </w:tcPr>
          <w:p>
            <w:pPr>
              <w:rPr>
                <w:rFonts w:ascii="Arial"/>
                <w:sz w:val="21"/>
              </w:rPr>
            </w:pPr>
            <w:r/>
          </w:p>
        </w:tc>
        <w:tc>
          <w:tcPr>
            <w:tcW w:w="1578" w:type="dxa"/>
            <w:vAlign w:val="top"/>
          </w:tcPr>
          <w:p>
            <w:pPr>
              <w:pStyle w:val="TableText"/>
              <w:ind w:left="611"/>
              <w:spacing w:before="117" w:line="170" w:lineRule="auto"/>
              <w:rPr>
                <w:sz w:val="22"/>
                <w:szCs w:val="22"/>
              </w:rPr>
            </w:pPr>
            <w:r>
              <w:rPr>
                <w:sz w:val="22"/>
                <w:szCs w:val="22"/>
                <w:spacing w:val="-2"/>
              </w:rPr>
              <w:t>COD</w:t>
            </w:r>
          </w:p>
        </w:tc>
        <w:tc>
          <w:tcPr>
            <w:tcW w:w="2417" w:type="dxa"/>
            <w:vAlign w:val="top"/>
            <w:gridSpan w:val="2"/>
          </w:tcPr>
          <w:p>
            <w:pPr>
              <w:pStyle w:val="TableText"/>
              <w:ind w:left="1033"/>
              <w:spacing w:before="117" w:line="170" w:lineRule="auto"/>
              <w:rPr>
                <w:sz w:val="22"/>
                <w:szCs w:val="22"/>
              </w:rPr>
            </w:pPr>
            <w:r>
              <w:rPr>
                <w:sz w:val="22"/>
                <w:szCs w:val="22"/>
                <w:spacing w:val="-3"/>
              </w:rPr>
              <w:t>500</w:t>
            </w:r>
          </w:p>
        </w:tc>
        <w:tc>
          <w:tcPr>
            <w:tcW w:w="2577" w:type="dxa"/>
            <w:vAlign w:val="top"/>
            <w:vMerge w:val="continue"/>
            <w:tcBorders>
              <w:top w:val="nil"/>
              <w:bottom w:val="nil"/>
            </w:tcBorders>
          </w:tcPr>
          <w:p>
            <w:pPr>
              <w:rPr>
                <w:rFonts w:ascii="Arial"/>
                <w:sz w:val="21"/>
              </w:rPr>
            </w:pPr>
            <w:r/>
          </w:p>
        </w:tc>
        <w:tc>
          <w:tcPr>
            <w:tcW w:w="1144" w:type="dxa"/>
            <w:vAlign w:val="top"/>
            <w:vMerge w:val="continue"/>
            <w:tcBorders>
              <w:top w:val="nil"/>
              <w:bottom w:val="nil"/>
            </w:tcBorders>
          </w:tcPr>
          <w:p>
            <w:pPr>
              <w:rPr>
                <w:rFonts w:ascii="Arial"/>
                <w:sz w:val="21"/>
              </w:rPr>
            </w:pPr>
            <w:r/>
          </w:p>
        </w:tc>
      </w:tr>
      <w:tr>
        <w:trPr>
          <w:trHeight w:val="340" w:hRule="atLeast"/>
        </w:trPr>
        <w:tc>
          <w:tcPr>
            <w:tcW w:w="425" w:type="dxa"/>
            <w:vAlign w:val="top"/>
            <w:vMerge w:val="continue"/>
            <w:tcBorders>
              <w:top w:val="nil"/>
              <w:bottom w:val="nil"/>
            </w:tcBorders>
          </w:tcPr>
          <w:p>
            <w:pPr>
              <w:rPr>
                <w:rFonts w:ascii="Arial"/>
                <w:sz w:val="21"/>
              </w:rPr>
            </w:pPr>
            <w:r/>
          </w:p>
        </w:tc>
        <w:tc>
          <w:tcPr>
            <w:tcW w:w="659" w:type="dxa"/>
            <w:vAlign w:val="top"/>
            <w:vMerge w:val="continue"/>
            <w:tcBorders>
              <w:top w:val="nil"/>
              <w:bottom w:val="nil"/>
            </w:tcBorders>
          </w:tcPr>
          <w:p>
            <w:pPr>
              <w:rPr>
                <w:rFonts w:ascii="Arial"/>
                <w:sz w:val="21"/>
              </w:rPr>
            </w:pPr>
            <w:r/>
          </w:p>
        </w:tc>
        <w:tc>
          <w:tcPr>
            <w:tcW w:w="1578" w:type="dxa"/>
            <w:vAlign w:val="top"/>
          </w:tcPr>
          <w:p>
            <w:pPr>
              <w:pStyle w:val="TableText"/>
              <w:ind w:left="561"/>
              <w:spacing w:before="117" w:line="178" w:lineRule="auto"/>
              <w:rPr>
                <w:sz w:val="22"/>
                <w:szCs w:val="22"/>
              </w:rPr>
            </w:pPr>
            <w:r>
              <w:rPr>
                <w:sz w:val="22"/>
                <w:szCs w:val="22"/>
                <w:spacing w:val="-1"/>
              </w:rPr>
              <w:t>BODs</w:t>
            </w:r>
          </w:p>
        </w:tc>
        <w:tc>
          <w:tcPr>
            <w:tcW w:w="2417" w:type="dxa"/>
            <w:vAlign w:val="top"/>
            <w:gridSpan w:val="2"/>
          </w:tcPr>
          <w:p>
            <w:pPr>
              <w:pStyle w:val="TableText"/>
              <w:ind w:left="1033"/>
              <w:spacing w:before="117" w:line="178" w:lineRule="auto"/>
              <w:rPr>
                <w:sz w:val="22"/>
                <w:szCs w:val="22"/>
              </w:rPr>
            </w:pPr>
            <w:r>
              <w:rPr>
                <w:sz w:val="22"/>
                <w:szCs w:val="22"/>
                <w:spacing w:val="-3"/>
              </w:rPr>
              <w:t>300</w:t>
            </w:r>
          </w:p>
        </w:tc>
        <w:tc>
          <w:tcPr>
            <w:tcW w:w="2577" w:type="dxa"/>
            <w:vAlign w:val="top"/>
            <w:vMerge w:val="continue"/>
            <w:tcBorders>
              <w:top w:val="nil"/>
              <w:bottom w:val="nil"/>
            </w:tcBorders>
          </w:tcPr>
          <w:p>
            <w:pPr>
              <w:rPr>
                <w:rFonts w:ascii="Arial"/>
                <w:sz w:val="21"/>
              </w:rPr>
            </w:pPr>
            <w:r/>
          </w:p>
        </w:tc>
        <w:tc>
          <w:tcPr>
            <w:tcW w:w="1144" w:type="dxa"/>
            <w:vAlign w:val="top"/>
            <w:vMerge w:val="continue"/>
            <w:tcBorders>
              <w:top w:val="nil"/>
              <w:bottom w:val="nil"/>
            </w:tcBorders>
          </w:tcPr>
          <w:p>
            <w:pPr>
              <w:rPr>
                <w:rFonts w:ascii="Arial"/>
                <w:sz w:val="21"/>
              </w:rPr>
            </w:pPr>
            <w:r/>
          </w:p>
        </w:tc>
      </w:tr>
      <w:tr>
        <w:trPr>
          <w:trHeight w:val="349" w:hRule="atLeast"/>
        </w:trPr>
        <w:tc>
          <w:tcPr>
            <w:tcW w:w="425" w:type="dxa"/>
            <w:vAlign w:val="top"/>
            <w:vMerge w:val="continue"/>
            <w:tcBorders>
              <w:top w:val="nil"/>
              <w:bottom w:val="nil"/>
            </w:tcBorders>
          </w:tcPr>
          <w:p>
            <w:pPr>
              <w:rPr>
                <w:rFonts w:ascii="Arial"/>
                <w:sz w:val="21"/>
              </w:rPr>
            </w:pPr>
            <w:r/>
          </w:p>
        </w:tc>
        <w:tc>
          <w:tcPr>
            <w:tcW w:w="659" w:type="dxa"/>
            <w:vAlign w:val="top"/>
            <w:vMerge w:val="continue"/>
            <w:tcBorders>
              <w:top w:val="nil"/>
              <w:bottom w:val="nil"/>
            </w:tcBorders>
          </w:tcPr>
          <w:p>
            <w:pPr>
              <w:rPr>
                <w:rFonts w:ascii="Arial"/>
                <w:sz w:val="21"/>
              </w:rPr>
            </w:pPr>
            <w:r/>
          </w:p>
        </w:tc>
        <w:tc>
          <w:tcPr>
            <w:tcW w:w="1578" w:type="dxa"/>
            <w:vAlign w:val="top"/>
          </w:tcPr>
          <w:p>
            <w:pPr>
              <w:pStyle w:val="TableText"/>
              <w:ind w:left="671"/>
              <w:spacing w:before="128" w:line="177" w:lineRule="auto"/>
              <w:rPr>
                <w:sz w:val="22"/>
                <w:szCs w:val="22"/>
              </w:rPr>
            </w:pPr>
            <w:r>
              <w:rPr>
                <w:sz w:val="22"/>
                <w:szCs w:val="22"/>
                <w:spacing w:val="-5"/>
              </w:rPr>
              <w:t>SS</w:t>
            </w:r>
          </w:p>
        </w:tc>
        <w:tc>
          <w:tcPr>
            <w:tcW w:w="2417" w:type="dxa"/>
            <w:vAlign w:val="top"/>
            <w:gridSpan w:val="2"/>
          </w:tcPr>
          <w:p>
            <w:pPr>
              <w:pStyle w:val="TableText"/>
              <w:ind w:left="1033"/>
              <w:spacing w:before="128" w:line="177" w:lineRule="auto"/>
              <w:rPr>
                <w:sz w:val="22"/>
                <w:szCs w:val="22"/>
              </w:rPr>
            </w:pPr>
            <w:r>
              <w:rPr>
                <w:sz w:val="22"/>
                <w:szCs w:val="22"/>
                <w:spacing w:val="-2"/>
              </w:rPr>
              <w:t>400</w:t>
            </w:r>
          </w:p>
        </w:tc>
        <w:tc>
          <w:tcPr>
            <w:tcW w:w="2577" w:type="dxa"/>
            <w:vAlign w:val="top"/>
            <w:vMerge w:val="continue"/>
            <w:tcBorders>
              <w:top w:val="nil"/>
              <w:bottom w:val="nil"/>
            </w:tcBorders>
          </w:tcPr>
          <w:p>
            <w:pPr>
              <w:rPr>
                <w:rFonts w:ascii="Arial"/>
                <w:sz w:val="21"/>
              </w:rPr>
            </w:pPr>
            <w:r/>
          </w:p>
        </w:tc>
        <w:tc>
          <w:tcPr>
            <w:tcW w:w="1144" w:type="dxa"/>
            <w:vAlign w:val="top"/>
            <w:vMerge w:val="continue"/>
            <w:tcBorders>
              <w:top w:val="nil"/>
              <w:bottom w:val="nil"/>
            </w:tcBorders>
          </w:tcPr>
          <w:p>
            <w:pPr>
              <w:rPr>
                <w:rFonts w:ascii="Arial"/>
                <w:sz w:val="21"/>
              </w:rPr>
            </w:pPr>
            <w:r/>
          </w:p>
        </w:tc>
      </w:tr>
      <w:tr>
        <w:trPr>
          <w:trHeight w:val="340" w:hRule="atLeast"/>
        </w:trPr>
        <w:tc>
          <w:tcPr>
            <w:tcW w:w="425" w:type="dxa"/>
            <w:vAlign w:val="top"/>
            <w:vMerge w:val="continue"/>
            <w:tcBorders>
              <w:top w:val="nil"/>
              <w:bottom w:val="nil"/>
            </w:tcBorders>
          </w:tcPr>
          <w:p>
            <w:pPr>
              <w:rPr>
                <w:rFonts w:ascii="Arial"/>
                <w:sz w:val="21"/>
              </w:rPr>
            </w:pPr>
            <w:r/>
          </w:p>
        </w:tc>
        <w:tc>
          <w:tcPr>
            <w:tcW w:w="659" w:type="dxa"/>
            <w:vAlign w:val="top"/>
            <w:vMerge w:val="continue"/>
            <w:tcBorders>
              <w:top w:val="nil"/>
              <w:bottom w:val="nil"/>
            </w:tcBorders>
          </w:tcPr>
          <w:p>
            <w:pPr>
              <w:rPr>
                <w:rFonts w:ascii="Arial"/>
                <w:sz w:val="21"/>
              </w:rPr>
            </w:pPr>
            <w:r/>
          </w:p>
        </w:tc>
        <w:tc>
          <w:tcPr>
            <w:tcW w:w="1578" w:type="dxa"/>
            <w:vAlign w:val="top"/>
          </w:tcPr>
          <w:p>
            <w:pPr>
              <w:pStyle w:val="TableText"/>
              <w:ind w:left="341"/>
              <w:spacing w:before="62" w:line="219" w:lineRule="auto"/>
              <w:rPr>
                <w:sz w:val="22"/>
                <w:szCs w:val="22"/>
              </w:rPr>
            </w:pPr>
            <w:r>
              <w:rPr>
                <w:sz w:val="22"/>
                <w:szCs w:val="22"/>
                <w:spacing w:val="5"/>
              </w:rPr>
              <w:t>动植物油</w:t>
            </w:r>
          </w:p>
        </w:tc>
        <w:tc>
          <w:tcPr>
            <w:tcW w:w="2417" w:type="dxa"/>
            <w:vAlign w:val="top"/>
            <w:gridSpan w:val="2"/>
          </w:tcPr>
          <w:p>
            <w:pPr>
              <w:pStyle w:val="TableText"/>
              <w:ind w:left="1033"/>
              <w:spacing w:before="117" w:line="178" w:lineRule="auto"/>
              <w:rPr>
                <w:sz w:val="22"/>
                <w:szCs w:val="22"/>
              </w:rPr>
            </w:pPr>
            <w:r>
              <w:rPr>
                <w:sz w:val="22"/>
                <w:szCs w:val="22"/>
                <w:spacing w:val="-6"/>
              </w:rPr>
              <w:t>100</w:t>
            </w:r>
          </w:p>
        </w:tc>
        <w:tc>
          <w:tcPr>
            <w:tcW w:w="2577" w:type="dxa"/>
            <w:vAlign w:val="top"/>
            <w:vMerge w:val="continue"/>
            <w:tcBorders>
              <w:top w:val="nil"/>
            </w:tcBorders>
          </w:tcPr>
          <w:p>
            <w:pPr>
              <w:rPr>
                <w:rFonts w:ascii="Arial"/>
                <w:sz w:val="21"/>
              </w:rPr>
            </w:pPr>
            <w:r/>
          </w:p>
        </w:tc>
        <w:tc>
          <w:tcPr>
            <w:tcW w:w="1144" w:type="dxa"/>
            <w:vAlign w:val="top"/>
            <w:vMerge w:val="continue"/>
            <w:tcBorders>
              <w:top w:val="nil"/>
              <w:bottom w:val="nil"/>
            </w:tcBorders>
          </w:tcPr>
          <w:p>
            <w:pPr>
              <w:rPr>
                <w:rFonts w:ascii="Arial"/>
                <w:sz w:val="21"/>
              </w:rPr>
            </w:pPr>
            <w:r/>
          </w:p>
        </w:tc>
      </w:tr>
      <w:tr>
        <w:trPr>
          <w:trHeight w:val="360" w:hRule="atLeast"/>
        </w:trPr>
        <w:tc>
          <w:tcPr>
            <w:tcW w:w="425" w:type="dxa"/>
            <w:vAlign w:val="top"/>
            <w:vMerge w:val="continue"/>
            <w:tcBorders>
              <w:top w:val="nil"/>
              <w:bottom w:val="nil"/>
            </w:tcBorders>
          </w:tcPr>
          <w:p>
            <w:pPr>
              <w:rPr>
                <w:rFonts w:ascii="Arial"/>
                <w:sz w:val="21"/>
              </w:rPr>
            </w:pPr>
            <w:r/>
          </w:p>
        </w:tc>
        <w:tc>
          <w:tcPr>
            <w:tcW w:w="659" w:type="dxa"/>
            <w:vAlign w:val="top"/>
            <w:vMerge w:val="continue"/>
            <w:tcBorders>
              <w:top w:val="nil"/>
              <w:bottom w:val="nil"/>
            </w:tcBorders>
          </w:tcPr>
          <w:p>
            <w:pPr>
              <w:rPr>
                <w:rFonts w:ascii="Arial"/>
                <w:sz w:val="21"/>
              </w:rPr>
            </w:pPr>
            <w:r/>
          </w:p>
        </w:tc>
        <w:tc>
          <w:tcPr>
            <w:tcW w:w="1578" w:type="dxa"/>
            <w:vAlign w:val="top"/>
          </w:tcPr>
          <w:p>
            <w:pPr>
              <w:pStyle w:val="TableText"/>
              <w:ind w:left="561"/>
              <w:spacing w:before="70" w:line="219" w:lineRule="auto"/>
              <w:rPr>
                <w:sz w:val="22"/>
                <w:szCs w:val="22"/>
              </w:rPr>
            </w:pPr>
            <w:r>
              <w:rPr>
                <w:sz w:val="22"/>
                <w:szCs w:val="22"/>
                <w:spacing w:val="-3"/>
              </w:rPr>
              <w:t>氨氮</w:t>
            </w:r>
          </w:p>
        </w:tc>
        <w:tc>
          <w:tcPr>
            <w:tcW w:w="2417" w:type="dxa"/>
            <w:vAlign w:val="top"/>
            <w:gridSpan w:val="2"/>
          </w:tcPr>
          <w:p>
            <w:pPr>
              <w:pStyle w:val="TableText"/>
              <w:ind w:left="1093"/>
              <w:spacing w:before="128" w:line="183" w:lineRule="auto"/>
              <w:rPr>
                <w:sz w:val="22"/>
                <w:szCs w:val="22"/>
              </w:rPr>
            </w:pPr>
            <w:r>
              <w:rPr>
                <w:sz w:val="22"/>
                <w:szCs w:val="22"/>
                <w:spacing w:val="-2"/>
              </w:rPr>
              <w:t>45</w:t>
            </w:r>
          </w:p>
        </w:tc>
        <w:tc>
          <w:tcPr>
            <w:tcW w:w="2577" w:type="dxa"/>
            <w:vAlign w:val="top"/>
            <w:vMerge w:val="restart"/>
            <w:tcBorders>
              <w:bottom w:val="nil"/>
            </w:tcBorders>
          </w:tcPr>
          <w:p>
            <w:pPr>
              <w:pStyle w:val="TableText"/>
              <w:spacing w:before="111" w:line="219" w:lineRule="auto"/>
              <w:rPr>
                <w:sz w:val="22"/>
                <w:szCs w:val="22"/>
              </w:rPr>
            </w:pPr>
            <w:r>
              <w:rPr>
                <w:sz w:val="22"/>
                <w:szCs w:val="22"/>
                <w:spacing w:val="-8"/>
              </w:rPr>
              <w:t>《污水排入城镇下水道水质</w:t>
            </w:r>
          </w:p>
          <w:p>
            <w:pPr>
              <w:pStyle w:val="TableText"/>
              <w:ind w:left="76"/>
              <w:spacing w:line="220" w:lineRule="auto"/>
              <w:rPr>
                <w:sz w:val="22"/>
                <w:szCs w:val="22"/>
              </w:rPr>
            </w:pPr>
            <w:r>
              <w:rPr>
                <w:sz w:val="22"/>
                <w:szCs w:val="22"/>
                <w:spacing w:val="2"/>
              </w:rPr>
              <w:t>标准》(</w:t>
            </w:r>
            <w:r>
              <w:rPr>
                <w:sz w:val="22"/>
                <w:szCs w:val="22"/>
              </w:rPr>
              <w:t>GB</w:t>
            </w:r>
            <w:r>
              <w:rPr>
                <w:sz w:val="22"/>
                <w:szCs w:val="22"/>
                <w:spacing w:val="2"/>
              </w:rPr>
              <w:t>/T31962-2015)</w:t>
            </w:r>
          </w:p>
          <w:p>
            <w:pPr>
              <w:pStyle w:val="TableText"/>
              <w:ind w:left="406"/>
              <w:spacing w:before="17" w:line="208" w:lineRule="auto"/>
              <w:rPr>
                <w:sz w:val="22"/>
                <w:szCs w:val="22"/>
              </w:rPr>
            </w:pPr>
            <w:r>
              <w:rPr>
                <w:sz w:val="22"/>
                <w:szCs w:val="22"/>
                <w:spacing w:val="1"/>
              </w:rPr>
              <w:t>表1中B等级的规定</w:t>
            </w:r>
          </w:p>
        </w:tc>
        <w:tc>
          <w:tcPr>
            <w:tcW w:w="1144" w:type="dxa"/>
            <w:vAlign w:val="top"/>
            <w:vMerge w:val="continue"/>
            <w:tcBorders>
              <w:top w:val="nil"/>
              <w:bottom w:val="nil"/>
            </w:tcBorders>
          </w:tcPr>
          <w:p>
            <w:pPr>
              <w:rPr>
                <w:rFonts w:ascii="Arial"/>
                <w:sz w:val="21"/>
              </w:rPr>
            </w:pPr>
            <w:r/>
          </w:p>
        </w:tc>
      </w:tr>
      <w:tr>
        <w:trPr>
          <w:trHeight w:val="280" w:hRule="atLeast"/>
        </w:trPr>
        <w:tc>
          <w:tcPr>
            <w:tcW w:w="425" w:type="dxa"/>
            <w:vAlign w:val="top"/>
            <w:vMerge w:val="continue"/>
            <w:tcBorders>
              <w:top w:val="nil"/>
              <w:bottom w:val="nil"/>
            </w:tcBorders>
          </w:tcPr>
          <w:p>
            <w:pPr>
              <w:rPr>
                <w:rFonts w:ascii="Arial"/>
                <w:sz w:val="21"/>
              </w:rPr>
            </w:pPr>
            <w:r/>
          </w:p>
        </w:tc>
        <w:tc>
          <w:tcPr>
            <w:tcW w:w="659" w:type="dxa"/>
            <w:vAlign w:val="top"/>
            <w:vMerge w:val="continue"/>
            <w:tcBorders>
              <w:top w:val="nil"/>
              <w:bottom w:val="nil"/>
            </w:tcBorders>
          </w:tcPr>
          <w:p>
            <w:pPr>
              <w:rPr>
                <w:rFonts w:ascii="Arial"/>
                <w:sz w:val="21"/>
              </w:rPr>
            </w:pPr>
            <w:r/>
          </w:p>
        </w:tc>
        <w:tc>
          <w:tcPr>
            <w:tcW w:w="1578" w:type="dxa"/>
            <w:vAlign w:val="top"/>
          </w:tcPr>
          <w:p>
            <w:pPr>
              <w:pStyle w:val="TableText"/>
              <w:ind w:left="561"/>
              <w:spacing w:before="31" w:line="200" w:lineRule="auto"/>
              <w:rPr>
                <w:sz w:val="22"/>
                <w:szCs w:val="22"/>
              </w:rPr>
            </w:pPr>
            <w:r>
              <w:rPr>
                <w:sz w:val="22"/>
                <w:szCs w:val="22"/>
                <w:spacing w:val="5"/>
              </w:rPr>
              <w:t>总磷</w:t>
            </w:r>
          </w:p>
        </w:tc>
        <w:tc>
          <w:tcPr>
            <w:tcW w:w="2417" w:type="dxa"/>
            <w:vAlign w:val="top"/>
            <w:gridSpan w:val="2"/>
          </w:tcPr>
          <w:p>
            <w:pPr>
              <w:pStyle w:val="TableText"/>
              <w:ind w:left="1143"/>
              <w:spacing w:before="88" w:line="182" w:lineRule="exact"/>
              <w:rPr>
                <w:sz w:val="22"/>
                <w:szCs w:val="22"/>
              </w:rPr>
            </w:pPr>
            <w:r>
              <w:rPr>
                <w:sz w:val="22"/>
                <w:szCs w:val="22"/>
                <w:position w:val="-2"/>
              </w:rPr>
              <w:t>8</w:t>
            </w:r>
          </w:p>
        </w:tc>
        <w:tc>
          <w:tcPr>
            <w:tcW w:w="2577" w:type="dxa"/>
            <w:vAlign w:val="top"/>
            <w:vMerge w:val="continue"/>
            <w:tcBorders>
              <w:top w:val="nil"/>
              <w:bottom w:val="nil"/>
            </w:tcBorders>
          </w:tcPr>
          <w:p>
            <w:pPr>
              <w:rPr>
                <w:rFonts w:ascii="Arial"/>
                <w:sz w:val="21"/>
              </w:rPr>
            </w:pPr>
            <w:r/>
          </w:p>
        </w:tc>
        <w:tc>
          <w:tcPr>
            <w:tcW w:w="1144" w:type="dxa"/>
            <w:vAlign w:val="top"/>
            <w:vMerge w:val="continue"/>
            <w:tcBorders>
              <w:top w:val="nil"/>
              <w:bottom w:val="nil"/>
            </w:tcBorders>
          </w:tcPr>
          <w:p>
            <w:pPr>
              <w:rPr>
                <w:rFonts w:ascii="Arial"/>
                <w:sz w:val="21"/>
              </w:rPr>
            </w:pPr>
            <w:r/>
          </w:p>
        </w:tc>
      </w:tr>
      <w:tr>
        <w:trPr>
          <w:trHeight w:val="250" w:hRule="atLeast"/>
        </w:trPr>
        <w:tc>
          <w:tcPr>
            <w:tcW w:w="425" w:type="dxa"/>
            <w:vAlign w:val="top"/>
            <w:vMerge w:val="continue"/>
            <w:tcBorders>
              <w:top w:val="nil"/>
              <w:bottom w:val="nil"/>
            </w:tcBorders>
          </w:tcPr>
          <w:p>
            <w:pPr>
              <w:rPr>
                <w:rFonts w:ascii="Arial"/>
                <w:sz w:val="21"/>
              </w:rPr>
            </w:pPr>
            <w:r/>
          </w:p>
        </w:tc>
        <w:tc>
          <w:tcPr>
            <w:tcW w:w="659" w:type="dxa"/>
            <w:vAlign w:val="top"/>
            <w:vMerge w:val="continue"/>
            <w:tcBorders>
              <w:top w:val="nil"/>
            </w:tcBorders>
          </w:tcPr>
          <w:p>
            <w:pPr>
              <w:rPr>
                <w:rFonts w:ascii="Arial"/>
                <w:sz w:val="21"/>
              </w:rPr>
            </w:pPr>
            <w:r/>
          </w:p>
        </w:tc>
        <w:tc>
          <w:tcPr>
            <w:tcW w:w="1578" w:type="dxa"/>
            <w:vAlign w:val="top"/>
          </w:tcPr>
          <w:p>
            <w:pPr>
              <w:pStyle w:val="TableText"/>
              <w:ind w:left="561"/>
              <w:spacing w:before="20" w:line="184" w:lineRule="auto"/>
              <w:rPr>
                <w:sz w:val="22"/>
                <w:szCs w:val="22"/>
              </w:rPr>
            </w:pPr>
            <w:r>
              <w:rPr>
                <w:sz w:val="22"/>
                <w:szCs w:val="22"/>
                <w:spacing w:val="4"/>
              </w:rPr>
              <w:t>总氮</w:t>
            </w:r>
          </w:p>
        </w:tc>
        <w:tc>
          <w:tcPr>
            <w:tcW w:w="2417" w:type="dxa"/>
            <w:vAlign w:val="top"/>
            <w:gridSpan w:val="2"/>
          </w:tcPr>
          <w:p>
            <w:pPr>
              <w:pStyle w:val="TableText"/>
              <w:ind w:left="1093"/>
              <w:spacing w:before="78" w:line="162" w:lineRule="exact"/>
              <w:rPr>
                <w:sz w:val="22"/>
                <w:szCs w:val="22"/>
              </w:rPr>
            </w:pPr>
            <w:r>
              <w:rPr>
                <w:sz w:val="22"/>
                <w:szCs w:val="22"/>
                <w:spacing w:val="-4"/>
                <w:position w:val="-3"/>
              </w:rPr>
              <w:t>70</w:t>
            </w:r>
          </w:p>
        </w:tc>
        <w:tc>
          <w:tcPr>
            <w:tcW w:w="2577" w:type="dxa"/>
            <w:vAlign w:val="top"/>
            <w:vMerge w:val="continue"/>
            <w:tcBorders>
              <w:top w:val="nil"/>
            </w:tcBorders>
          </w:tcPr>
          <w:p>
            <w:pPr>
              <w:rPr>
                <w:rFonts w:ascii="Arial"/>
                <w:sz w:val="21"/>
              </w:rPr>
            </w:pPr>
            <w:r/>
          </w:p>
        </w:tc>
        <w:tc>
          <w:tcPr>
            <w:tcW w:w="1144" w:type="dxa"/>
            <w:vAlign w:val="top"/>
            <w:vMerge w:val="continue"/>
            <w:tcBorders>
              <w:top w:val="nil"/>
              <w:bottom w:val="nil"/>
            </w:tcBorders>
          </w:tcPr>
          <w:p>
            <w:pPr>
              <w:rPr>
                <w:rFonts w:ascii="Arial"/>
                <w:sz w:val="21"/>
              </w:rPr>
            </w:pPr>
            <w:r/>
          </w:p>
        </w:tc>
      </w:tr>
      <w:tr>
        <w:trPr>
          <w:trHeight w:val="330" w:hRule="atLeast"/>
        </w:trPr>
        <w:tc>
          <w:tcPr>
            <w:tcW w:w="425" w:type="dxa"/>
            <w:vAlign w:val="top"/>
            <w:vMerge w:val="continue"/>
            <w:tcBorders>
              <w:top w:val="nil"/>
              <w:bottom w:val="nil"/>
            </w:tcBorders>
          </w:tcPr>
          <w:p>
            <w:pPr>
              <w:rPr>
                <w:rFonts w:ascii="Arial"/>
                <w:sz w:val="21"/>
              </w:rPr>
            </w:pPr>
            <w:r/>
          </w:p>
        </w:tc>
        <w:tc>
          <w:tcPr>
            <w:tcW w:w="659"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160" w:right="35"/>
              <w:spacing w:before="72" w:line="227" w:lineRule="auto"/>
              <w:rPr>
                <w:sz w:val="22"/>
                <w:szCs w:val="22"/>
              </w:rPr>
            </w:pPr>
            <w:r>
              <w:rPr>
                <w:sz w:val="22"/>
                <w:szCs w:val="22"/>
                <w:spacing w:val="6"/>
              </w:rPr>
              <w:t>生产</w:t>
            </w:r>
            <w:r>
              <w:rPr>
                <w:sz w:val="22"/>
                <w:szCs w:val="22"/>
              </w:rPr>
              <w:t xml:space="preserve"> </w:t>
            </w:r>
            <w:r>
              <w:rPr>
                <w:sz w:val="22"/>
                <w:szCs w:val="22"/>
                <w:spacing w:val="-2"/>
              </w:rPr>
              <w:t>废水</w:t>
            </w:r>
          </w:p>
        </w:tc>
        <w:tc>
          <w:tcPr>
            <w:tcW w:w="1578" w:type="dxa"/>
            <w:vAlign w:val="top"/>
          </w:tcPr>
          <w:p>
            <w:pPr>
              <w:pStyle w:val="TableText"/>
              <w:ind w:left="231"/>
              <w:spacing w:before="56" w:line="214" w:lineRule="auto"/>
              <w:rPr>
                <w:sz w:val="22"/>
                <w:szCs w:val="22"/>
              </w:rPr>
            </w:pPr>
            <w:r>
              <w:rPr>
                <w:sz w:val="22"/>
                <w:szCs w:val="22"/>
              </w:rPr>
              <w:t>pH</w:t>
            </w:r>
            <w:r>
              <w:rPr>
                <w:sz w:val="22"/>
                <w:szCs w:val="22"/>
                <w:spacing w:val="9"/>
              </w:rPr>
              <w:t>(无量纲)</w:t>
            </w:r>
          </w:p>
        </w:tc>
        <w:tc>
          <w:tcPr>
            <w:tcW w:w="859" w:type="dxa"/>
            <w:vAlign w:val="top"/>
          </w:tcPr>
          <w:p>
            <w:pPr>
              <w:pStyle w:val="TableText"/>
              <w:ind w:left="203"/>
              <w:spacing w:before="118" w:line="169" w:lineRule="auto"/>
              <w:rPr>
                <w:sz w:val="22"/>
                <w:szCs w:val="22"/>
              </w:rPr>
            </w:pPr>
            <w:r>
              <w:rPr>
                <w:sz w:val="22"/>
                <w:szCs w:val="22"/>
                <w:spacing w:val="-3"/>
              </w:rPr>
              <w:t>6～9</w:t>
            </w:r>
          </w:p>
        </w:tc>
        <w:tc>
          <w:tcPr>
            <w:tcW w:w="1558"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437" w:hanging="423"/>
              <w:spacing w:before="72" w:line="220" w:lineRule="auto"/>
              <w:rPr>
                <w:sz w:val="22"/>
                <w:szCs w:val="22"/>
              </w:rPr>
            </w:pPr>
            <w:r>
              <w:rPr>
                <w:sz w:val="22"/>
                <w:szCs w:val="22"/>
                <w:spacing w:val="-1"/>
              </w:rPr>
              <w:t>企业工业废水总</w:t>
            </w:r>
            <w:r>
              <w:rPr>
                <w:sz w:val="22"/>
                <w:szCs w:val="22"/>
              </w:rPr>
              <w:t xml:space="preserve"> </w:t>
            </w:r>
            <w:r>
              <w:rPr>
                <w:sz w:val="22"/>
                <w:szCs w:val="22"/>
                <w:spacing w:val="7"/>
              </w:rPr>
              <w:t>排放口</w:t>
            </w:r>
          </w:p>
        </w:tc>
        <w:tc>
          <w:tcPr>
            <w:tcW w:w="2577" w:type="dxa"/>
            <w:vAlign w:val="top"/>
            <w:vMerge w:val="restart"/>
            <w:tcBorders>
              <w:bottom w:val="nil"/>
            </w:tcBorders>
          </w:tcPr>
          <w:p>
            <w:pPr>
              <w:pStyle w:val="TableText"/>
              <w:ind w:left="126" w:right="19" w:firstLine="19"/>
              <w:spacing w:before="232" w:line="214" w:lineRule="auto"/>
              <w:rPr>
                <w:sz w:val="22"/>
                <w:szCs w:val="22"/>
              </w:rPr>
            </w:pPr>
            <w:r>
              <w:rPr>
                <w:sz w:val="22"/>
                <w:szCs w:val="22"/>
                <w:spacing w:val="-2"/>
              </w:rPr>
              <w:t>《电池工业污染物排放标</w:t>
            </w:r>
            <w:r>
              <w:rPr>
                <w:sz w:val="22"/>
                <w:szCs w:val="22"/>
                <w:spacing w:val="2"/>
              </w:rPr>
              <w:t xml:space="preserve"> </w:t>
            </w:r>
            <w:r>
              <w:rPr>
                <w:sz w:val="22"/>
                <w:szCs w:val="22"/>
              </w:rPr>
              <w:t>准》(GB30484-2013)表2</w:t>
            </w:r>
          </w:p>
          <w:p>
            <w:pPr>
              <w:pStyle w:val="TableText"/>
              <w:spacing w:line="220" w:lineRule="auto"/>
              <w:jc w:val="right"/>
              <w:rPr>
                <w:sz w:val="22"/>
                <w:szCs w:val="22"/>
              </w:rPr>
            </w:pPr>
            <w:r>
              <w:rPr>
                <w:sz w:val="22"/>
                <w:szCs w:val="22"/>
                <w:spacing w:val="-8"/>
              </w:rPr>
              <w:t>新建企业污染物间接排放标</w:t>
            </w:r>
          </w:p>
          <w:p>
            <w:pPr>
              <w:pStyle w:val="TableText"/>
              <w:ind w:left="126"/>
              <w:spacing w:before="34" w:line="216" w:lineRule="auto"/>
              <w:rPr>
                <w:sz w:val="22"/>
                <w:szCs w:val="22"/>
              </w:rPr>
            </w:pPr>
            <w:r>
              <w:rPr>
                <w:sz w:val="22"/>
                <w:szCs w:val="22"/>
                <w:spacing w:val="-1"/>
              </w:rPr>
              <w:t>准(锂离子电池业),总锰</w:t>
            </w:r>
          </w:p>
          <w:p>
            <w:pPr>
              <w:pStyle w:val="TableText"/>
              <w:spacing w:before="16" w:line="220" w:lineRule="auto"/>
              <w:jc w:val="right"/>
              <w:rPr>
                <w:sz w:val="22"/>
                <w:szCs w:val="22"/>
              </w:rPr>
            </w:pPr>
            <w:r>
              <w:rPr>
                <w:sz w:val="22"/>
                <w:szCs w:val="22"/>
                <w:spacing w:val="-8"/>
              </w:rPr>
              <w:t>排放参照《电池工业污染物</w:t>
            </w:r>
          </w:p>
          <w:p>
            <w:pPr>
              <w:pStyle w:val="TableText"/>
              <w:spacing w:before="7" w:line="220" w:lineRule="auto"/>
              <w:jc w:val="right"/>
              <w:rPr>
                <w:sz w:val="22"/>
                <w:szCs w:val="22"/>
              </w:rPr>
            </w:pPr>
            <w:r>
              <w:rPr>
                <w:sz w:val="22"/>
                <w:szCs w:val="22"/>
                <w:spacing w:val="-5"/>
              </w:rPr>
              <w:t>排放标准》(GB30484-2013)</w:t>
            </w:r>
          </w:p>
          <w:p>
            <w:pPr>
              <w:pStyle w:val="TableText"/>
              <w:spacing w:before="7" w:line="220" w:lineRule="auto"/>
              <w:jc w:val="right"/>
              <w:rPr>
                <w:sz w:val="22"/>
                <w:szCs w:val="22"/>
              </w:rPr>
            </w:pPr>
            <w:r>
              <w:rPr>
                <w:sz w:val="22"/>
                <w:szCs w:val="22"/>
                <w:spacing w:val="-17"/>
              </w:rPr>
              <w:t>表2中</w:t>
            </w:r>
            <w:r>
              <w:rPr>
                <w:sz w:val="22"/>
                <w:szCs w:val="22"/>
                <w:spacing w:val="-16"/>
              </w:rPr>
              <w:t>污染物锌锰/锌银/锌</w:t>
            </w:r>
            <w:r>
              <w:rPr>
                <w:sz w:val="22"/>
                <w:szCs w:val="22"/>
                <w:spacing w:val="-13"/>
              </w:rPr>
              <w:t>空</w:t>
            </w:r>
          </w:p>
          <w:p>
            <w:pPr>
              <w:pStyle w:val="TableText"/>
              <w:ind w:left="236"/>
              <w:spacing w:before="18" w:line="220" w:lineRule="auto"/>
              <w:rPr>
                <w:sz w:val="22"/>
                <w:szCs w:val="22"/>
              </w:rPr>
            </w:pPr>
            <w:r>
              <w:rPr>
                <w:sz w:val="22"/>
                <w:szCs w:val="22"/>
              </w:rPr>
              <w:t>气电池间接排放标准。</w:t>
            </w:r>
          </w:p>
        </w:tc>
        <w:tc>
          <w:tcPr>
            <w:tcW w:w="1144" w:type="dxa"/>
            <w:vAlign w:val="top"/>
            <w:vMerge w:val="continue"/>
            <w:tcBorders>
              <w:top w:val="nil"/>
              <w:bottom w:val="nil"/>
            </w:tcBorders>
          </w:tcPr>
          <w:p>
            <w:pPr>
              <w:rPr>
                <w:rFonts w:ascii="Arial"/>
                <w:sz w:val="21"/>
              </w:rPr>
            </w:pPr>
            <w:r/>
          </w:p>
        </w:tc>
      </w:tr>
      <w:tr>
        <w:trPr>
          <w:trHeight w:val="360" w:hRule="atLeast"/>
        </w:trPr>
        <w:tc>
          <w:tcPr>
            <w:tcW w:w="425" w:type="dxa"/>
            <w:vAlign w:val="top"/>
            <w:vMerge w:val="continue"/>
            <w:tcBorders>
              <w:top w:val="nil"/>
              <w:bottom w:val="nil"/>
            </w:tcBorders>
          </w:tcPr>
          <w:p>
            <w:pPr>
              <w:rPr>
                <w:rFonts w:ascii="Arial"/>
                <w:sz w:val="21"/>
              </w:rPr>
            </w:pPr>
            <w:r/>
          </w:p>
        </w:tc>
        <w:tc>
          <w:tcPr>
            <w:tcW w:w="659" w:type="dxa"/>
            <w:vAlign w:val="top"/>
            <w:vMerge w:val="continue"/>
            <w:tcBorders>
              <w:top w:val="nil"/>
              <w:bottom w:val="nil"/>
            </w:tcBorders>
          </w:tcPr>
          <w:p>
            <w:pPr>
              <w:rPr>
                <w:rFonts w:ascii="Arial"/>
                <w:sz w:val="21"/>
              </w:rPr>
            </w:pPr>
            <w:r/>
          </w:p>
        </w:tc>
        <w:tc>
          <w:tcPr>
            <w:tcW w:w="1578" w:type="dxa"/>
            <w:vAlign w:val="top"/>
          </w:tcPr>
          <w:p>
            <w:pPr>
              <w:pStyle w:val="TableText"/>
              <w:ind w:left="611"/>
              <w:spacing w:before="128" w:line="183" w:lineRule="auto"/>
              <w:rPr>
                <w:sz w:val="22"/>
                <w:szCs w:val="22"/>
              </w:rPr>
            </w:pPr>
            <w:r>
              <w:rPr>
                <w:sz w:val="22"/>
                <w:szCs w:val="22"/>
                <w:spacing w:val="-2"/>
              </w:rPr>
              <w:t>COD</w:t>
            </w:r>
          </w:p>
        </w:tc>
        <w:tc>
          <w:tcPr>
            <w:tcW w:w="859" w:type="dxa"/>
            <w:vAlign w:val="top"/>
          </w:tcPr>
          <w:p>
            <w:pPr>
              <w:pStyle w:val="TableText"/>
              <w:ind w:left="253"/>
              <w:spacing w:before="127" w:line="184" w:lineRule="auto"/>
              <w:rPr>
                <w:sz w:val="22"/>
                <w:szCs w:val="22"/>
              </w:rPr>
            </w:pPr>
            <w:r>
              <w:rPr>
                <w:sz w:val="22"/>
                <w:szCs w:val="22"/>
                <w:spacing w:val="-6"/>
              </w:rPr>
              <w:t>150</w:t>
            </w:r>
          </w:p>
        </w:tc>
        <w:tc>
          <w:tcPr>
            <w:tcW w:w="1558" w:type="dxa"/>
            <w:vAlign w:val="top"/>
            <w:vMerge w:val="continue"/>
            <w:tcBorders>
              <w:top w:val="nil"/>
              <w:bottom w:val="nil"/>
            </w:tcBorders>
          </w:tcPr>
          <w:p>
            <w:pPr>
              <w:rPr>
                <w:rFonts w:ascii="Arial"/>
                <w:sz w:val="21"/>
              </w:rPr>
            </w:pPr>
            <w:r/>
          </w:p>
        </w:tc>
        <w:tc>
          <w:tcPr>
            <w:tcW w:w="2577" w:type="dxa"/>
            <w:vAlign w:val="top"/>
            <w:vMerge w:val="continue"/>
            <w:tcBorders>
              <w:top w:val="nil"/>
              <w:bottom w:val="nil"/>
            </w:tcBorders>
          </w:tcPr>
          <w:p>
            <w:pPr>
              <w:rPr>
                <w:rFonts w:ascii="Arial"/>
                <w:sz w:val="21"/>
              </w:rPr>
            </w:pPr>
            <w:r/>
          </w:p>
        </w:tc>
        <w:tc>
          <w:tcPr>
            <w:tcW w:w="1144" w:type="dxa"/>
            <w:vAlign w:val="top"/>
            <w:vMerge w:val="continue"/>
            <w:tcBorders>
              <w:top w:val="nil"/>
              <w:bottom w:val="nil"/>
            </w:tcBorders>
          </w:tcPr>
          <w:p>
            <w:pPr>
              <w:rPr>
                <w:rFonts w:ascii="Arial"/>
                <w:sz w:val="21"/>
              </w:rPr>
            </w:pPr>
            <w:r/>
          </w:p>
        </w:tc>
      </w:tr>
      <w:tr>
        <w:trPr>
          <w:trHeight w:val="330" w:hRule="atLeast"/>
        </w:trPr>
        <w:tc>
          <w:tcPr>
            <w:tcW w:w="425" w:type="dxa"/>
            <w:vAlign w:val="top"/>
            <w:vMerge w:val="continue"/>
            <w:tcBorders>
              <w:top w:val="nil"/>
              <w:bottom w:val="nil"/>
            </w:tcBorders>
          </w:tcPr>
          <w:p>
            <w:pPr>
              <w:rPr>
                <w:rFonts w:ascii="Arial"/>
                <w:sz w:val="21"/>
              </w:rPr>
            </w:pPr>
            <w:r/>
          </w:p>
        </w:tc>
        <w:tc>
          <w:tcPr>
            <w:tcW w:w="659" w:type="dxa"/>
            <w:vAlign w:val="top"/>
            <w:vMerge w:val="continue"/>
            <w:tcBorders>
              <w:top w:val="nil"/>
              <w:bottom w:val="nil"/>
            </w:tcBorders>
          </w:tcPr>
          <w:p>
            <w:pPr>
              <w:rPr>
                <w:rFonts w:ascii="Arial"/>
                <w:sz w:val="21"/>
              </w:rPr>
            </w:pPr>
            <w:r/>
          </w:p>
        </w:tc>
        <w:tc>
          <w:tcPr>
            <w:tcW w:w="1578" w:type="dxa"/>
            <w:vAlign w:val="top"/>
          </w:tcPr>
          <w:p>
            <w:pPr>
              <w:pStyle w:val="TableText"/>
              <w:ind w:left="671"/>
              <w:spacing w:before="118" w:line="169" w:lineRule="auto"/>
              <w:rPr>
                <w:sz w:val="22"/>
                <w:szCs w:val="22"/>
              </w:rPr>
            </w:pPr>
            <w:r>
              <w:rPr>
                <w:sz w:val="22"/>
                <w:szCs w:val="22"/>
                <w:spacing w:val="-5"/>
              </w:rPr>
              <w:t>SS</w:t>
            </w:r>
          </w:p>
        </w:tc>
        <w:tc>
          <w:tcPr>
            <w:tcW w:w="859" w:type="dxa"/>
            <w:vAlign w:val="top"/>
          </w:tcPr>
          <w:p>
            <w:pPr>
              <w:pStyle w:val="TableText"/>
              <w:ind w:left="253"/>
              <w:spacing w:before="117" w:line="170" w:lineRule="auto"/>
              <w:rPr>
                <w:sz w:val="22"/>
                <w:szCs w:val="22"/>
              </w:rPr>
            </w:pPr>
            <w:r>
              <w:rPr>
                <w:sz w:val="22"/>
                <w:szCs w:val="22"/>
                <w:spacing w:val="-6"/>
              </w:rPr>
              <w:t>140</w:t>
            </w:r>
          </w:p>
        </w:tc>
        <w:tc>
          <w:tcPr>
            <w:tcW w:w="1558" w:type="dxa"/>
            <w:vAlign w:val="top"/>
            <w:vMerge w:val="continue"/>
            <w:tcBorders>
              <w:top w:val="nil"/>
              <w:bottom w:val="nil"/>
            </w:tcBorders>
          </w:tcPr>
          <w:p>
            <w:pPr>
              <w:rPr>
                <w:rFonts w:ascii="Arial"/>
                <w:sz w:val="21"/>
              </w:rPr>
            </w:pPr>
            <w:r/>
          </w:p>
        </w:tc>
        <w:tc>
          <w:tcPr>
            <w:tcW w:w="2577" w:type="dxa"/>
            <w:vAlign w:val="top"/>
            <w:vMerge w:val="continue"/>
            <w:tcBorders>
              <w:top w:val="nil"/>
              <w:bottom w:val="nil"/>
            </w:tcBorders>
          </w:tcPr>
          <w:p>
            <w:pPr>
              <w:rPr>
                <w:rFonts w:ascii="Arial"/>
                <w:sz w:val="21"/>
              </w:rPr>
            </w:pPr>
            <w:r/>
          </w:p>
        </w:tc>
        <w:tc>
          <w:tcPr>
            <w:tcW w:w="1144" w:type="dxa"/>
            <w:vAlign w:val="top"/>
            <w:vMerge w:val="continue"/>
            <w:tcBorders>
              <w:top w:val="nil"/>
              <w:bottom w:val="nil"/>
            </w:tcBorders>
          </w:tcPr>
          <w:p>
            <w:pPr>
              <w:rPr>
                <w:rFonts w:ascii="Arial"/>
                <w:sz w:val="21"/>
              </w:rPr>
            </w:pPr>
            <w:r/>
          </w:p>
        </w:tc>
      </w:tr>
      <w:tr>
        <w:trPr>
          <w:trHeight w:val="420" w:hRule="atLeast"/>
        </w:trPr>
        <w:tc>
          <w:tcPr>
            <w:tcW w:w="425" w:type="dxa"/>
            <w:vAlign w:val="top"/>
            <w:vMerge w:val="continue"/>
            <w:tcBorders>
              <w:top w:val="nil"/>
              <w:bottom w:val="nil"/>
            </w:tcBorders>
          </w:tcPr>
          <w:p>
            <w:pPr>
              <w:rPr>
                <w:rFonts w:ascii="Arial"/>
                <w:sz w:val="21"/>
              </w:rPr>
            </w:pPr>
            <w:r/>
          </w:p>
        </w:tc>
        <w:tc>
          <w:tcPr>
            <w:tcW w:w="659" w:type="dxa"/>
            <w:vAlign w:val="top"/>
            <w:vMerge w:val="continue"/>
            <w:tcBorders>
              <w:top w:val="nil"/>
              <w:bottom w:val="nil"/>
            </w:tcBorders>
          </w:tcPr>
          <w:p>
            <w:pPr>
              <w:rPr>
                <w:rFonts w:ascii="Arial"/>
                <w:sz w:val="21"/>
              </w:rPr>
            </w:pPr>
            <w:r/>
          </w:p>
        </w:tc>
        <w:tc>
          <w:tcPr>
            <w:tcW w:w="1578" w:type="dxa"/>
            <w:vAlign w:val="top"/>
          </w:tcPr>
          <w:p>
            <w:pPr>
              <w:pStyle w:val="TableText"/>
              <w:ind w:left="561"/>
              <w:spacing w:before="102" w:line="219" w:lineRule="auto"/>
              <w:rPr>
                <w:sz w:val="22"/>
                <w:szCs w:val="22"/>
              </w:rPr>
            </w:pPr>
            <w:r>
              <w:rPr>
                <w:sz w:val="22"/>
                <w:szCs w:val="22"/>
                <w:spacing w:val="5"/>
              </w:rPr>
              <w:t>总磷</w:t>
            </w:r>
          </w:p>
        </w:tc>
        <w:tc>
          <w:tcPr>
            <w:tcW w:w="859" w:type="dxa"/>
            <w:vAlign w:val="top"/>
          </w:tcPr>
          <w:p>
            <w:pPr>
              <w:pStyle w:val="TableText"/>
              <w:ind w:left="253"/>
              <w:spacing w:before="158" w:line="183" w:lineRule="auto"/>
              <w:rPr>
                <w:sz w:val="22"/>
                <w:szCs w:val="22"/>
              </w:rPr>
            </w:pPr>
            <w:r>
              <w:rPr>
                <w:sz w:val="22"/>
                <w:szCs w:val="22"/>
                <w:spacing w:val="-3"/>
              </w:rPr>
              <w:t>2.0</w:t>
            </w:r>
          </w:p>
        </w:tc>
        <w:tc>
          <w:tcPr>
            <w:tcW w:w="1558" w:type="dxa"/>
            <w:vAlign w:val="top"/>
            <w:vMerge w:val="continue"/>
            <w:tcBorders>
              <w:top w:val="nil"/>
              <w:bottom w:val="nil"/>
            </w:tcBorders>
          </w:tcPr>
          <w:p>
            <w:pPr>
              <w:rPr>
                <w:rFonts w:ascii="Arial"/>
                <w:sz w:val="21"/>
              </w:rPr>
            </w:pPr>
            <w:r/>
          </w:p>
        </w:tc>
        <w:tc>
          <w:tcPr>
            <w:tcW w:w="2577" w:type="dxa"/>
            <w:vAlign w:val="top"/>
            <w:vMerge w:val="continue"/>
            <w:tcBorders>
              <w:top w:val="nil"/>
              <w:bottom w:val="nil"/>
            </w:tcBorders>
          </w:tcPr>
          <w:p>
            <w:pPr>
              <w:rPr>
                <w:rFonts w:ascii="Arial"/>
                <w:sz w:val="21"/>
              </w:rPr>
            </w:pPr>
            <w:r/>
          </w:p>
        </w:tc>
        <w:tc>
          <w:tcPr>
            <w:tcW w:w="1144" w:type="dxa"/>
            <w:vAlign w:val="top"/>
            <w:vMerge w:val="continue"/>
            <w:tcBorders>
              <w:top w:val="nil"/>
              <w:bottom w:val="nil"/>
            </w:tcBorders>
          </w:tcPr>
          <w:p>
            <w:pPr>
              <w:rPr>
                <w:rFonts w:ascii="Arial"/>
                <w:sz w:val="21"/>
              </w:rPr>
            </w:pPr>
            <w:r/>
          </w:p>
        </w:tc>
      </w:tr>
      <w:tr>
        <w:trPr>
          <w:trHeight w:val="330" w:hRule="atLeast"/>
        </w:trPr>
        <w:tc>
          <w:tcPr>
            <w:tcW w:w="425" w:type="dxa"/>
            <w:vAlign w:val="top"/>
            <w:vMerge w:val="continue"/>
            <w:tcBorders>
              <w:top w:val="nil"/>
              <w:bottom w:val="nil"/>
            </w:tcBorders>
          </w:tcPr>
          <w:p>
            <w:pPr>
              <w:rPr>
                <w:rFonts w:ascii="Arial"/>
                <w:sz w:val="21"/>
              </w:rPr>
            </w:pPr>
            <w:r/>
          </w:p>
        </w:tc>
        <w:tc>
          <w:tcPr>
            <w:tcW w:w="659" w:type="dxa"/>
            <w:vAlign w:val="top"/>
            <w:vMerge w:val="continue"/>
            <w:tcBorders>
              <w:top w:val="nil"/>
              <w:bottom w:val="nil"/>
            </w:tcBorders>
          </w:tcPr>
          <w:p>
            <w:pPr>
              <w:rPr>
                <w:rFonts w:ascii="Arial"/>
                <w:sz w:val="21"/>
              </w:rPr>
            </w:pPr>
            <w:r/>
          </w:p>
        </w:tc>
        <w:tc>
          <w:tcPr>
            <w:tcW w:w="1578" w:type="dxa"/>
            <w:vAlign w:val="top"/>
          </w:tcPr>
          <w:p>
            <w:pPr>
              <w:pStyle w:val="TableText"/>
              <w:ind w:left="561"/>
              <w:spacing w:before="61" w:line="217" w:lineRule="auto"/>
              <w:rPr>
                <w:sz w:val="22"/>
                <w:szCs w:val="22"/>
              </w:rPr>
            </w:pPr>
            <w:r>
              <w:rPr>
                <w:sz w:val="22"/>
                <w:szCs w:val="22"/>
                <w:spacing w:val="-3"/>
              </w:rPr>
              <w:t>氨氮</w:t>
            </w:r>
          </w:p>
        </w:tc>
        <w:tc>
          <w:tcPr>
            <w:tcW w:w="859" w:type="dxa"/>
            <w:vAlign w:val="top"/>
          </w:tcPr>
          <w:p>
            <w:pPr>
              <w:pStyle w:val="TableText"/>
              <w:ind w:left="312"/>
              <w:spacing w:before="118" w:line="169" w:lineRule="auto"/>
              <w:rPr>
                <w:sz w:val="22"/>
                <w:szCs w:val="22"/>
              </w:rPr>
            </w:pPr>
            <w:r>
              <w:rPr>
                <w:sz w:val="22"/>
                <w:szCs w:val="22"/>
                <w:spacing w:val="-4"/>
              </w:rPr>
              <w:t>30</w:t>
            </w:r>
          </w:p>
        </w:tc>
        <w:tc>
          <w:tcPr>
            <w:tcW w:w="1558" w:type="dxa"/>
            <w:vAlign w:val="top"/>
            <w:vMerge w:val="continue"/>
            <w:tcBorders>
              <w:top w:val="nil"/>
              <w:bottom w:val="nil"/>
            </w:tcBorders>
          </w:tcPr>
          <w:p>
            <w:pPr>
              <w:rPr>
                <w:rFonts w:ascii="Arial"/>
                <w:sz w:val="21"/>
              </w:rPr>
            </w:pPr>
            <w:r/>
          </w:p>
        </w:tc>
        <w:tc>
          <w:tcPr>
            <w:tcW w:w="2577" w:type="dxa"/>
            <w:vAlign w:val="top"/>
            <w:vMerge w:val="continue"/>
            <w:tcBorders>
              <w:top w:val="nil"/>
              <w:bottom w:val="nil"/>
            </w:tcBorders>
          </w:tcPr>
          <w:p>
            <w:pPr>
              <w:rPr>
                <w:rFonts w:ascii="Arial"/>
                <w:sz w:val="21"/>
              </w:rPr>
            </w:pPr>
            <w:r/>
          </w:p>
        </w:tc>
        <w:tc>
          <w:tcPr>
            <w:tcW w:w="1144" w:type="dxa"/>
            <w:vAlign w:val="top"/>
            <w:vMerge w:val="continue"/>
            <w:tcBorders>
              <w:top w:val="nil"/>
              <w:bottom w:val="nil"/>
            </w:tcBorders>
          </w:tcPr>
          <w:p>
            <w:pPr>
              <w:rPr>
                <w:rFonts w:ascii="Arial"/>
                <w:sz w:val="21"/>
              </w:rPr>
            </w:pPr>
            <w:r/>
          </w:p>
        </w:tc>
      </w:tr>
      <w:tr>
        <w:trPr>
          <w:trHeight w:val="330" w:hRule="atLeast"/>
        </w:trPr>
        <w:tc>
          <w:tcPr>
            <w:tcW w:w="425" w:type="dxa"/>
            <w:vAlign w:val="top"/>
            <w:vMerge w:val="continue"/>
            <w:tcBorders>
              <w:top w:val="nil"/>
              <w:bottom w:val="nil"/>
            </w:tcBorders>
          </w:tcPr>
          <w:p>
            <w:pPr>
              <w:rPr>
                <w:rFonts w:ascii="Arial"/>
                <w:sz w:val="21"/>
              </w:rPr>
            </w:pPr>
            <w:r/>
          </w:p>
        </w:tc>
        <w:tc>
          <w:tcPr>
            <w:tcW w:w="659" w:type="dxa"/>
            <w:vAlign w:val="top"/>
            <w:vMerge w:val="continue"/>
            <w:tcBorders>
              <w:top w:val="nil"/>
              <w:bottom w:val="nil"/>
            </w:tcBorders>
          </w:tcPr>
          <w:p>
            <w:pPr>
              <w:rPr>
                <w:rFonts w:ascii="Arial"/>
                <w:sz w:val="21"/>
              </w:rPr>
            </w:pPr>
            <w:r/>
          </w:p>
        </w:tc>
        <w:tc>
          <w:tcPr>
            <w:tcW w:w="1578" w:type="dxa"/>
            <w:vAlign w:val="top"/>
          </w:tcPr>
          <w:p>
            <w:pPr>
              <w:pStyle w:val="TableText"/>
              <w:ind w:left="561"/>
              <w:spacing w:before="61" w:line="217" w:lineRule="auto"/>
              <w:rPr>
                <w:sz w:val="22"/>
                <w:szCs w:val="22"/>
              </w:rPr>
            </w:pPr>
            <w:r>
              <w:rPr>
                <w:sz w:val="22"/>
                <w:szCs w:val="22"/>
                <w:spacing w:val="4"/>
              </w:rPr>
              <w:t>总氮</w:t>
            </w:r>
          </w:p>
        </w:tc>
        <w:tc>
          <w:tcPr>
            <w:tcW w:w="859" w:type="dxa"/>
            <w:vAlign w:val="top"/>
          </w:tcPr>
          <w:p>
            <w:pPr>
              <w:pStyle w:val="TableText"/>
              <w:ind w:left="312"/>
              <w:spacing w:before="118" w:line="169" w:lineRule="auto"/>
              <w:rPr>
                <w:sz w:val="22"/>
                <w:szCs w:val="22"/>
              </w:rPr>
            </w:pPr>
            <w:r>
              <w:rPr>
                <w:sz w:val="22"/>
                <w:szCs w:val="22"/>
                <w:spacing w:val="-2"/>
              </w:rPr>
              <w:t>40</w:t>
            </w:r>
          </w:p>
        </w:tc>
        <w:tc>
          <w:tcPr>
            <w:tcW w:w="1558" w:type="dxa"/>
            <w:vAlign w:val="top"/>
            <w:vMerge w:val="continue"/>
            <w:tcBorders>
              <w:top w:val="nil"/>
              <w:bottom w:val="nil"/>
            </w:tcBorders>
          </w:tcPr>
          <w:p>
            <w:pPr>
              <w:rPr>
                <w:rFonts w:ascii="Arial"/>
                <w:sz w:val="21"/>
              </w:rPr>
            </w:pPr>
            <w:r/>
          </w:p>
        </w:tc>
        <w:tc>
          <w:tcPr>
            <w:tcW w:w="2577" w:type="dxa"/>
            <w:vAlign w:val="top"/>
            <w:vMerge w:val="continue"/>
            <w:tcBorders>
              <w:top w:val="nil"/>
              <w:bottom w:val="nil"/>
            </w:tcBorders>
          </w:tcPr>
          <w:p>
            <w:pPr>
              <w:rPr>
                <w:rFonts w:ascii="Arial"/>
                <w:sz w:val="21"/>
              </w:rPr>
            </w:pPr>
            <w:r/>
          </w:p>
        </w:tc>
        <w:tc>
          <w:tcPr>
            <w:tcW w:w="1144" w:type="dxa"/>
            <w:vAlign w:val="top"/>
            <w:vMerge w:val="continue"/>
            <w:tcBorders>
              <w:top w:val="nil"/>
              <w:bottom w:val="nil"/>
            </w:tcBorders>
          </w:tcPr>
          <w:p>
            <w:pPr>
              <w:rPr>
                <w:rFonts w:ascii="Arial"/>
                <w:sz w:val="21"/>
              </w:rPr>
            </w:pPr>
            <w:r/>
          </w:p>
        </w:tc>
      </w:tr>
      <w:tr>
        <w:trPr>
          <w:trHeight w:val="339" w:hRule="atLeast"/>
        </w:trPr>
        <w:tc>
          <w:tcPr>
            <w:tcW w:w="425" w:type="dxa"/>
            <w:vAlign w:val="top"/>
            <w:vMerge w:val="continue"/>
            <w:tcBorders>
              <w:top w:val="nil"/>
              <w:bottom w:val="nil"/>
            </w:tcBorders>
          </w:tcPr>
          <w:p>
            <w:pPr>
              <w:rPr>
                <w:rFonts w:ascii="Arial"/>
                <w:sz w:val="21"/>
              </w:rPr>
            </w:pPr>
            <w:r/>
          </w:p>
        </w:tc>
        <w:tc>
          <w:tcPr>
            <w:tcW w:w="659" w:type="dxa"/>
            <w:vAlign w:val="top"/>
            <w:vMerge w:val="continue"/>
            <w:tcBorders>
              <w:top w:val="nil"/>
              <w:bottom w:val="nil"/>
            </w:tcBorders>
          </w:tcPr>
          <w:p>
            <w:pPr>
              <w:rPr>
                <w:rFonts w:ascii="Arial"/>
                <w:sz w:val="21"/>
              </w:rPr>
            </w:pPr>
            <w:r/>
          </w:p>
        </w:tc>
        <w:tc>
          <w:tcPr>
            <w:tcW w:w="1578" w:type="dxa"/>
            <w:vAlign w:val="top"/>
          </w:tcPr>
          <w:p>
            <w:pPr>
              <w:pStyle w:val="TableText"/>
              <w:ind w:left="561"/>
              <w:spacing w:before="69" w:line="218" w:lineRule="auto"/>
              <w:rPr>
                <w:sz w:val="22"/>
                <w:szCs w:val="22"/>
              </w:rPr>
            </w:pPr>
            <w:r>
              <w:rPr>
                <w:sz w:val="22"/>
                <w:szCs w:val="22"/>
                <w:spacing w:val="3"/>
              </w:rPr>
              <w:t>总锰</w:t>
            </w:r>
          </w:p>
        </w:tc>
        <w:tc>
          <w:tcPr>
            <w:tcW w:w="859" w:type="dxa"/>
            <w:vAlign w:val="top"/>
          </w:tcPr>
          <w:p>
            <w:pPr>
              <w:pStyle w:val="TableText"/>
              <w:ind w:left="253"/>
              <w:spacing w:before="118" w:line="177" w:lineRule="auto"/>
              <w:rPr>
                <w:sz w:val="22"/>
                <w:szCs w:val="22"/>
              </w:rPr>
            </w:pPr>
            <w:r>
              <w:rPr>
                <w:sz w:val="22"/>
                <w:szCs w:val="22"/>
                <w:spacing w:val="-6"/>
              </w:rPr>
              <w:t>1.5</w:t>
            </w:r>
          </w:p>
        </w:tc>
        <w:tc>
          <w:tcPr>
            <w:tcW w:w="1558" w:type="dxa"/>
            <w:vAlign w:val="top"/>
            <w:vMerge w:val="continue"/>
            <w:tcBorders>
              <w:top w:val="nil"/>
            </w:tcBorders>
          </w:tcPr>
          <w:p>
            <w:pPr>
              <w:rPr>
                <w:rFonts w:ascii="Arial"/>
                <w:sz w:val="21"/>
              </w:rPr>
            </w:pPr>
            <w:r/>
          </w:p>
        </w:tc>
        <w:tc>
          <w:tcPr>
            <w:tcW w:w="2577" w:type="dxa"/>
            <w:vAlign w:val="top"/>
            <w:vMerge w:val="continue"/>
            <w:tcBorders>
              <w:top w:val="nil"/>
            </w:tcBorders>
          </w:tcPr>
          <w:p>
            <w:pPr>
              <w:rPr>
                <w:rFonts w:ascii="Arial"/>
                <w:sz w:val="21"/>
              </w:rPr>
            </w:pPr>
            <w:r/>
          </w:p>
        </w:tc>
        <w:tc>
          <w:tcPr>
            <w:tcW w:w="1144" w:type="dxa"/>
            <w:vAlign w:val="top"/>
            <w:vMerge w:val="continue"/>
            <w:tcBorders>
              <w:top w:val="nil"/>
              <w:bottom w:val="nil"/>
            </w:tcBorders>
          </w:tcPr>
          <w:p>
            <w:pPr>
              <w:rPr>
                <w:rFonts w:ascii="Arial"/>
                <w:sz w:val="21"/>
              </w:rPr>
            </w:pPr>
            <w:r/>
          </w:p>
        </w:tc>
      </w:tr>
      <w:tr>
        <w:trPr>
          <w:trHeight w:val="1099" w:hRule="atLeast"/>
        </w:trPr>
        <w:tc>
          <w:tcPr>
            <w:tcW w:w="425" w:type="dxa"/>
            <w:vAlign w:val="top"/>
            <w:vMerge w:val="continue"/>
            <w:tcBorders>
              <w:top w:val="nil"/>
              <w:bottom w:val="nil"/>
            </w:tcBorders>
          </w:tcPr>
          <w:p>
            <w:pPr>
              <w:rPr>
                <w:rFonts w:ascii="Arial"/>
                <w:sz w:val="21"/>
              </w:rPr>
            </w:pPr>
            <w:r/>
          </w:p>
        </w:tc>
        <w:tc>
          <w:tcPr>
            <w:tcW w:w="659" w:type="dxa"/>
            <w:vAlign w:val="top"/>
            <w:vMerge w:val="continue"/>
            <w:tcBorders>
              <w:top w:val="nil"/>
              <w:bottom w:val="nil"/>
            </w:tcBorders>
          </w:tcPr>
          <w:p>
            <w:pPr>
              <w:rPr>
                <w:rFonts w:ascii="Arial"/>
                <w:sz w:val="21"/>
              </w:rPr>
            </w:pPr>
            <w:r/>
          </w:p>
        </w:tc>
        <w:tc>
          <w:tcPr>
            <w:tcW w:w="1578" w:type="dxa"/>
            <w:vAlign w:val="top"/>
          </w:tcPr>
          <w:p>
            <w:pPr>
              <w:spacing w:line="372" w:lineRule="auto"/>
              <w:rPr>
                <w:rFonts w:ascii="Arial"/>
                <w:sz w:val="21"/>
              </w:rPr>
            </w:pPr>
            <w:r/>
          </w:p>
          <w:p>
            <w:pPr>
              <w:pStyle w:val="TableText"/>
              <w:ind w:left="561"/>
              <w:spacing w:before="71" w:line="221" w:lineRule="auto"/>
              <w:rPr>
                <w:sz w:val="22"/>
                <w:szCs w:val="22"/>
              </w:rPr>
            </w:pPr>
            <w:r>
              <w:rPr>
                <w:sz w:val="22"/>
                <w:szCs w:val="22"/>
                <w:spacing w:val="5"/>
              </w:rPr>
              <w:t>总钴</w:t>
            </w:r>
          </w:p>
        </w:tc>
        <w:tc>
          <w:tcPr>
            <w:tcW w:w="859" w:type="dxa"/>
            <w:vAlign w:val="top"/>
          </w:tcPr>
          <w:p>
            <w:pPr>
              <w:spacing w:line="424" w:lineRule="auto"/>
              <w:rPr>
                <w:rFonts w:ascii="Arial"/>
                <w:sz w:val="21"/>
              </w:rPr>
            </w:pPr>
            <w:r/>
          </w:p>
          <w:p>
            <w:pPr>
              <w:pStyle w:val="TableText"/>
              <w:ind w:left="253"/>
              <w:spacing w:before="72" w:line="184" w:lineRule="auto"/>
              <w:rPr>
                <w:sz w:val="22"/>
                <w:szCs w:val="22"/>
              </w:rPr>
            </w:pPr>
            <w:r>
              <w:rPr>
                <w:sz w:val="22"/>
                <w:szCs w:val="22"/>
                <w:spacing w:val="-3"/>
              </w:rPr>
              <w:t>0.1</w:t>
            </w:r>
          </w:p>
        </w:tc>
        <w:tc>
          <w:tcPr>
            <w:tcW w:w="1558" w:type="dxa"/>
            <w:vAlign w:val="top"/>
            <w:vMerge w:val="restart"/>
            <w:tcBorders>
              <w:bottom w:val="nil"/>
            </w:tcBorders>
          </w:tcPr>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pStyle w:val="TableText"/>
              <w:ind w:left="224" w:right="4" w:hanging="210"/>
              <w:spacing w:before="72" w:line="220" w:lineRule="auto"/>
              <w:rPr>
                <w:sz w:val="22"/>
                <w:szCs w:val="22"/>
              </w:rPr>
            </w:pPr>
            <w:r>
              <w:rPr>
                <w:sz w:val="22"/>
                <w:szCs w:val="22"/>
                <w:spacing w:val="-2"/>
              </w:rPr>
              <w:t>车间或车间处理</w:t>
            </w:r>
            <w:r>
              <w:rPr>
                <w:sz w:val="22"/>
                <w:szCs w:val="22"/>
                <w:spacing w:val="2"/>
              </w:rPr>
              <w:t xml:space="preserve"> </w:t>
            </w:r>
            <w:r>
              <w:rPr>
                <w:sz w:val="22"/>
                <w:szCs w:val="22"/>
                <w:spacing w:val="6"/>
              </w:rPr>
              <w:t>设施排放口</w:t>
            </w:r>
          </w:p>
        </w:tc>
        <w:tc>
          <w:tcPr>
            <w:tcW w:w="2577" w:type="dxa"/>
            <w:vAlign w:val="top"/>
          </w:tcPr>
          <w:p>
            <w:pPr>
              <w:pStyle w:val="TableText"/>
              <w:ind w:left="126" w:right="19" w:firstLine="19"/>
              <w:spacing w:before="64" w:line="228" w:lineRule="auto"/>
              <w:rPr>
                <w:sz w:val="22"/>
                <w:szCs w:val="22"/>
              </w:rPr>
            </w:pPr>
            <w:r>
              <w:rPr>
                <w:sz w:val="22"/>
                <w:szCs w:val="22"/>
                <w:spacing w:val="-2"/>
              </w:rPr>
              <w:t>《电池工业污染物排放标</w:t>
            </w:r>
            <w:r>
              <w:rPr>
                <w:sz w:val="22"/>
                <w:szCs w:val="22"/>
                <w:spacing w:val="2"/>
              </w:rPr>
              <w:t xml:space="preserve"> </w:t>
            </w:r>
            <w:r>
              <w:rPr>
                <w:sz w:val="22"/>
                <w:szCs w:val="22"/>
              </w:rPr>
              <w:t>准》(GB30484-2013)表3</w:t>
            </w:r>
          </w:p>
          <w:p>
            <w:pPr>
              <w:pStyle w:val="TableText"/>
              <w:spacing w:before="16" w:line="193" w:lineRule="auto"/>
              <w:jc w:val="right"/>
              <w:rPr>
                <w:sz w:val="22"/>
                <w:szCs w:val="22"/>
              </w:rPr>
            </w:pPr>
            <w:r>
              <w:rPr>
                <w:sz w:val="22"/>
                <w:szCs w:val="22"/>
                <w:spacing w:val="-8"/>
              </w:rPr>
              <w:t>新建企业污染物直接排放标</w:t>
            </w:r>
          </w:p>
          <w:p>
            <w:pPr>
              <w:pStyle w:val="TableText"/>
              <w:ind w:left="346"/>
              <w:spacing w:line="197" w:lineRule="auto"/>
              <w:rPr>
                <w:sz w:val="22"/>
                <w:szCs w:val="22"/>
              </w:rPr>
            </w:pPr>
            <w:r>
              <w:rPr>
                <w:sz w:val="22"/>
                <w:szCs w:val="22"/>
                <w:spacing w:val="4"/>
              </w:rPr>
              <w:t>准(锂离子/锂电池)</w:t>
            </w:r>
          </w:p>
        </w:tc>
        <w:tc>
          <w:tcPr>
            <w:tcW w:w="1144" w:type="dxa"/>
            <w:vAlign w:val="top"/>
            <w:vMerge w:val="continue"/>
            <w:tcBorders>
              <w:top w:val="nil"/>
              <w:bottom w:val="nil"/>
            </w:tcBorders>
          </w:tcPr>
          <w:p>
            <w:pPr>
              <w:rPr>
                <w:rFonts w:ascii="Arial"/>
                <w:sz w:val="21"/>
              </w:rPr>
            </w:pPr>
            <w:r/>
          </w:p>
        </w:tc>
      </w:tr>
      <w:tr>
        <w:trPr>
          <w:trHeight w:val="1099" w:hRule="atLeast"/>
        </w:trPr>
        <w:tc>
          <w:tcPr>
            <w:tcW w:w="425" w:type="dxa"/>
            <w:vAlign w:val="top"/>
            <w:vMerge w:val="continue"/>
            <w:tcBorders>
              <w:top w:val="nil"/>
              <w:bottom w:val="nil"/>
            </w:tcBorders>
          </w:tcPr>
          <w:p>
            <w:pPr>
              <w:rPr>
                <w:rFonts w:ascii="Arial"/>
                <w:sz w:val="21"/>
              </w:rPr>
            </w:pPr>
            <w:r/>
          </w:p>
        </w:tc>
        <w:tc>
          <w:tcPr>
            <w:tcW w:w="659" w:type="dxa"/>
            <w:vAlign w:val="top"/>
            <w:vMerge w:val="continue"/>
            <w:tcBorders>
              <w:top w:val="nil"/>
              <w:bottom w:val="nil"/>
            </w:tcBorders>
          </w:tcPr>
          <w:p>
            <w:pPr>
              <w:rPr>
                <w:rFonts w:ascii="Arial"/>
                <w:sz w:val="21"/>
              </w:rPr>
            </w:pPr>
            <w:r/>
          </w:p>
        </w:tc>
        <w:tc>
          <w:tcPr>
            <w:tcW w:w="1578" w:type="dxa"/>
            <w:vAlign w:val="top"/>
          </w:tcPr>
          <w:p>
            <w:pPr>
              <w:spacing w:line="371" w:lineRule="auto"/>
              <w:rPr>
                <w:rFonts w:ascii="Arial"/>
                <w:sz w:val="21"/>
              </w:rPr>
            </w:pPr>
            <w:r/>
          </w:p>
          <w:p>
            <w:pPr>
              <w:pStyle w:val="TableText"/>
              <w:ind w:left="561"/>
              <w:spacing w:before="71" w:line="220" w:lineRule="auto"/>
              <w:rPr>
                <w:sz w:val="22"/>
                <w:szCs w:val="22"/>
              </w:rPr>
            </w:pPr>
            <w:r>
              <w:rPr>
                <w:sz w:val="22"/>
                <w:szCs w:val="22"/>
                <w:spacing w:val="4"/>
              </w:rPr>
              <w:t>总镍</w:t>
            </w:r>
          </w:p>
        </w:tc>
        <w:tc>
          <w:tcPr>
            <w:tcW w:w="859" w:type="dxa"/>
            <w:vAlign w:val="top"/>
          </w:tcPr>
          <w:p>
            <w:pPr>
              <w:spacing w:line="426" w:lineRule="auto"/>
              <w:rPr>
                <w:rFonts w:ascii="Arial"/>
                <w:sz w:val="21"/>
              </w:rPr>
            </w:pPr>
            <w:r/>
          </w:p>
          <w:p>
            <w:pPr>
              <w:pStyle w:val="TableText"/>
              <w:ind w:left="203"/>
              <w:spacing w:before="72" w:line="183" w:lineRule="auto"/>
              <w:rPr>
                <w:sz w:val="22"/>
                <w:szCs w:val="22"/>
              </w:rPr>
            </w:pPr>
            <w:r>
              <w:rPr>
                <w:sz w:val="22"/>
                <w:szCs w:val="22"/>
                <w:spacing w:val="-2"/>
              </w:rPr>
              <w:t>0.05</w:t>
            </w:r>
          </w:p>
        </w:tc>
        <w:tc>
          <w:tcPr>
            <w:tcW w:w="1558" w:type="dxa"/>
            <w:vAlign w:val="top"/>
            <w:vMerge w:val="continue"/>
            <w:tcBorders>
              <w:top w:val="nil"/>
            </w:tcBorders>
          </w:tcPr>
          <w:p>
            <w:pPr>
              <w:rPr>
                <w:rFonts w:ascii="Arial"/>
                <w:sz w:val="21"/>
              </w:rPr>
            </w:pPr>
            <w:r/>
          </w:p>
        </w:tc>
        <w:tc>
          <w:tcPr>
            <w:tcW w:w="2577" w:type="dxa"/>
            <w:vAlign w:val="top"/>
          </w:tcPr>
          <w:p>
            <w:pPr>
              <w:pStyle w:val="TableText"/>
              <w:ind w:left="126" w:right="19" w:firstLine="19"/>
              <w:spacing w:before="55" w:line="228" w:lineRule="auto"/>
              <w:rPr>
                <w:sz w:val="22"/>
                <w:szCs w:val="22"/>
              </w:rPr>
            </w:pPr>
            <w:r>
              <w:rPr>
                <w:sz w:val="22"/>
                <w:szCs w:val="22"/>
                <w:spacing w:val="-2"/>
              </w:rPr>
              <w:t>《电池工业污染物排放标</w:t>
            </w:r>
            <w:r>
              <w:rPr>
                <w:sz w:val="22"/>
                <w:szCs w:val="22"/>
                <w:spacing w:val="2"/>
              </w:rPr>
              <w:t xml:space="preserve"> </w:t>
            </w:r>
            <w:r>
              <w:rPr>
                <w:sz w:val="22"/>
                <w:szCs w:val="22"/>
              </w:rPr>
              <w:t>准》(GB30484-2013)表3</w:t>
            </w:r>
          </w:p>
          <w:p>
            <w:pPr>
              <w:pStyle w:val="TableText"/>
              <w:spacing w:before="6" w:line="220" w:lineRule="auto"/>
              <w:jc w:val="right"/>
              <w:rPr>
                <w:sz w:val="22"/>
                <w:szCs w:val="22"/>
              </w:rPr>
            </w:pPr>
            <w:r>
              <w:rPr>
                <w:sz w:val="22"/>
                <w:szCs w:val="22"/>
                <w:spacing w:val="-8"/>
              </w:rPr>
              <w:t>新建企业污染物直接排放标</w:t>
            </w:r>
          </w:p>
          <w:p>
            <w:pPr>
              <w:pStyle w:val="TableText"/>
              <w:ind w:left="346"/>
              <w:spacing w:before="7" w:line="180" w:lineRule="auto"/>
              <w:rPr>
                <w:sz w:val="22"/>
                <w:szCs w:val="22"/>
              </w:rPr>
            </w:pPr>
            <w:r>
              <w:rPr>
                <w:sz w:val="22"/>
                <w:szCs w:val="22"/>
                <w:spacing w:val="4"/>
              </w:rPr>
              <w:t>准(镉镍/氢镍电池)</w:t>
            </w:r>
          </w:p>
        </w:tc>
        <w:tc>
          <w:tcPr>
            <w:tcW w:w="1144" w:type="dxa"/>
            <w:vAlign w:val="top"/>
            <w:vMerge w:val="continue"/>
            <w:tcBorders>
              <w:top w:val="nil"/>
              <w:bottom w:val="nil"/>
            </w:tcBorders>
          </w:tcPr>
          <w:p>
            <w:pPr>
              <w:rPr>
                <w:rFonts w:ascii="Arial"/>
                <w:sz w:val="21"/>
              </w:rPr>
            </w:pPr>
            <w:r/>
          </w:p>
        </w:tc>
      </w:tr>
      <w:tr>
        <w:trPr>
          <w:trHeight w:val="539" w:hRule="atLeast"/>
        </w:trPr>
        <w:tc>
          <w:tcPr>
            <w:tcW w:w="425" w:type="dxa"/>
            <w:vAlign w:val="top"/>
            <w:vMerge w:val="continue"/>
            <w:tcBorders>
              <w:top w:val="nil"/>
              <w:bottom w:val="nil"/>
            </w:tcBorders>
          </w:tcPr>
          <w:p>
            <w:pPr>
              <w:rPr>
                <w:rFonts w:ascii="Arial"/>
                <w:sz w:val="21"/>
              </w:rPr>
            </w:pPr>
            <w:r/>
          </w:p>
        </w:tc>
        <w:tc>
          <w:tcPr>
            <w:tcW w:w="659" w:type="dxa"/>
            <w:vAlign w:val="top"/>
            <w:vMerge w:val="continue"/>
            <w:tcBorders>
              <w:top w:val="nil"/>
            </w:tcBorders>
          </w:tcPr>
          <w:p>
            <w:pPr>
              <w:rPr>
                <w:rFonts w:ascii="Arial"/>
                <w:sz w:val="21"/>
              </w:rPr>
            </w:pPr>
            <w:r/>
          </w:p>
        </w:tc>
        <w:tc>
          <w:tcPr>
            <w:tcW w:w="1578" w:type="dxa"/>
            <w:vAlign w:val="top"/>
          </w:tcPr>
          <w:p>
            <w:pPr>
              <w:pStyle w:val="TableText"/>
              <w:ind w:left="561" w:right="27" w:hanging="550"/>
              <w:spacing w:before="35" w:line="207" w:lineRule="auto"/>
              <w:rPr>
                <w:sz w:val="22"/>
                <w:szCs w:val="22"/>
              </w:rPr>
            </w:pPr>
            <w:r>
              <w:rPr>
                <w:sz w:val="22"/>
                <w:szCs w:val="22"/>
                <w:spacing w:val="-2"/>
              </w:rPr>
              <w:t>单位产品基准排</w:t>
            </w:r>
            <w:r>
              <w:rPr>
                <w:sz w:val="22"/>
                <w:szCs w:val="22"/>
                <w:spacing w:val="2"/>
              </w:rPr>
              <w:t xml:space="preserve"> </w:t>
            </w:r>
            <w:r>
              <w:rPr>
                <w:sz w:val="22"/>
                <w:szCs w:val="22"/>
                <w:spacing w:val="-3"/>
              </w:rPr>
              <w:t>水量</w:t>
            </w:r>
          </w:p>
        </w:tc>
        <w:tc>
          <w:tcPr>
            <w:tcW w:w="859" w:type="dxa"/>
            <w:vAlign w:val="top"/>
          </w:tcPr>
          <w:p>
            <w:pPr>
              <w:pStyle w:val="TableText"/>
              <w:ind w:left="311" w:right="5" w:hanging="299"/>
              <w:spacing w:before="65" w:line="199" w:lineRule="auto"/>
              <w:rPr>
                <w:sz w:val="22"/>
                <w:szCs w:val="22"/>
              </w:rPr>
            </w:pPr>
            <w:r>
              <w:rPr>
                <w:sz w:val="21"/>
                <w:szCs w:val="21"/>
                <w:spacing w:val="-2"/>
              </w:rPr>
              <w:t>0.8m³/万</w:t>
            </w:r>
            <w:r>
              <w:rPr>
                <w:sz w:val="21"/>
                <w:szCs w:val="21"/>
                <w:spacing w:val="3"/>
              </w:rPr>
              <w:t xml:space="preserve"> </w:t>
            </w:r>
            <w:r>
              <w:rPr>
                <w:sz w:val="22"/>
                <w:szCs w:val="22"/>
                <w:spacing w:val="-1"/>
              </w:rPr>
              <w:t>Ah</w:t>
            </w:r>
          </w:p>
        </w:tc>
        <w:tc>
          <w:tcPr>
            <w:tcW w:w="1558" w:type="dxa"/>
            <w:vAlign w:val="top"/>
          </w:tcPr>
          <w:p>
            <w:pPr>
              <w:pStyle w:val="TableText"/>
              <w:ind w:left="378" w:hanging="364"/>
              <w:spacing w:before="35" w:line="207" w:lineRule="auto"/>
              <w:rPr>
                <w:sz w:val="22"/>
                <w:szCs w:val="22"/>
              </w:rPr>
            </w:pPr>
            <w:r>
              <w:rPr>
                <w:sz w:val="22"/>
                <w:szCs w:val="22"/>
                <w:spacing w:val="-1"/>
              </w:rPr>
              <w:t>企业工业废水总</w:t>
            </w:r>
            <w:r>
              <w:rPr>
                <w:sz w:val="22"/>
                <w:szCs w:val="22"/>
              </w:rPr>
              <w:t xml:space="preserve"> </w:t>
            </w:r>
            <w:r>
              <w:rPr>
                <w:sz w:val="22"/>
                <w:szCs w:val="22"/>
                <w:spacing w:val="-5"/>
              </w:rPr>
              <w:t>排</w:t>
            </w:r>
            <w:r>
              <w:rPr>
                <w:sz w:val="22"/>
                <w:szCs w:val="22"/>
                <w:spacing w:val="34"/>
              </w:rPr>
              <w:t xml:space="preserve"> </w:t>
            </w:r>
            <w:r>
              <w:rPr>
                <w:sz w:val="22"/>
                <w:szCs w:val="22"/>
                <w:spacing w:val="-5"/>
              </w:rPr>
              <w:t>放口</w:t>
            </w:r>
          </w:p>
        </w:tc>
        <w:tc>
          <w:tcPr>
            <w:tcW w:w="2577" w:type="dxa"/>
            <w:vAlign w:val="top"/>
          </w:tcPr>
          <w:p>
            <w:pPr>
              <w:pStyle w:val="TableText"/>
              <w:ind w:left="126"/>
              <w:spacing w:before="165" w:line="219" w:lineRule="auto"/>
              <w:rPr>
                <w:sz w:val="22"/>
                <w:szCs w:val="22"/>
              </w:rPr>
            </w:pPr>
            <w:r>
              <w:rPr>
                <w:sz w:val="22"/>
                <w:szCs w:val="22"/>
                <w:spacing w:val="-1"/>
              </w:rPr>
              <w:t>环函〔2014〕170号文件</w:t>
            </w:r>
          </w:p>
        </w:tc>
        <w:tc>
          <w:tcPr>
            <w:tcW w:w="1144" w:type="dxa"/>
            <w:vAlign w:val="top"/>
            <w:vMerge w:val="continue"/>
            <w:tcBorders>
              <w:top w:val="nil"/>
            </w:tcBorders>
          </w:tcPr>
          <w:p>
            <w:pPr>
              <w:rPr>
                <w:rFonts w:ascii="Arial"/>
                <w:sz w:val="21"/>
              </w:rPr>
            </w:pPr>
            <w:r/>
          </w:p>
        </w:tc>
      </w:tr>
      <w:tr>
        <w:trPr>
          <w:trHeight w:val="3472" w:hRule="atLeast"/>
        </w:trPr>
        <w:tc>
          <w:tcPr>
            <w:tcW w:w="425" w:type="dxa"/>
            <w:vAlign w:val="top"/>
            <w:vMerge w:val="continue"/>
            <w:tcBorders>
              <w:top w:val="nil"/>
            </w:tcBorders>
          </w:tcPr>
          <w:p>
            <w:pPr>
              <w:rPr>
                <w:rFonts w:ascii="Arial"/>
                <w:sz w:val="21"/>
              </w:rPr>
            </w:pPr>
            <w:r/>
          </w:p>
        </w:tc>
        <w:tc>
          <w:tcPr>
            <w:tcW w:w="8375" w:type="dxa"/>
            <w:vAlign w:val="top"/>
            <w:gridSpan w:val="6"/>
          </w:tcPr>
          <w:p>
            <w:pPr>
              <w:pStyle w:val="TableText"/>
              <w:ind w:left="103"/>
              <w:spacing w:before="63" w:line="220" w:lineRule="auto"/>
              <w:rPr>
                <w:sz w:val="22"/>
                <w:szCs w:val="22"/>
              </w:rPr>
            </w:pPr>
            <w:r>
              <w:rPr>
                <w:sz w:val="22"/>
                <w:szCs w:val="22"/>
                <w:b/>
                <w:bCs/>
                <w:spacing w:val="-4"/>
              </w:rPr>
              <w:t>3.5.4固体废物</w:t>
            </w:r>
          </w:p>
          <w:p>
            <w:pPr>
              <w:pStyle w:val="TableText"/>
              <w:ind w:left="110" w:right="825" w:firstLine="490"/>
              <w:spacing w:before="199" w:line="386" w:lineRule="auto"/>
              <w:rPr>
                <w:sz w:val="22"/>
                <w:szCs w:val="22"/>
              </w:rPr>
            </w:pPr>
            <w:r>
              <w:rPr>
                <w:sz w:val="22"/>
                <w:szCs w:val="22"/>
              </w:rPr>
              <w:t>固体废物处置执行《中华人民共和国固体废物污染环境防治法》(2020年</w:t>
            </w:r>
            <w:r>
              <w:rPr>
                <w:sz w:val="22"/>
                <w:szCs w:val="22"/>
                <w:spacing w:val="8"/>
              </w:rPr>
              <w:t xml:space="preserve"> </w:t>
            </w:r>
            <w:r>
              <w:rPr>
                <w:sz w:val="22"/>
                <w:szCs w:val="22"/>
                <w:spacing w:val="-5"/>
              </w:rPr>
              <w:t>4月29日修订版)的相关规定；</w:t>
            </w:r>
            <w:r>
              <w:rPr>
                <w:sz w:val="22"/>
                <w:szCs w:val="22"/>
                <w:spacing w:val="64"/>
              </w:rPr>
              <w:t xml:space="preserve"> </w:t>
            </w:r>
            <w:r>
              <w:rPr>
                <w:sz w:val="22"/>
                <w:szCs w:val="22"/>
                <w:spacing w:val="-5"/>
              </w:rPr>
              <w:t>一般工业固体废物执行《一</w:t>
            </w:r>
            <w:r>
              <w:rPr>
                <w:sz w:val="22"/>
                <w:szCs w:val="22"/>
                <w:spacing w:val="-6"/>
              </w:rPr>
              <w:t>般工业固体废物贮</w:t>
            </w:r>
          </w:p>
          <w:p>
            <w:pPr>
              <w:pStyle w:val="TableText"/>
              <w:ind w:left="120"/>
              <w:spacing w:line="219" w:lineRule="auto"/>
              <w:rPr>
                <w:sz w:val="22"/>
                <w:szCs w:val="22"/>
              </w:rPr>
            </w:pPr>
            <w:r>
              <w:rPr>
                <w:sz w:val="22"/>
                <w:szCs w:val="22"/>
              </w:rPr>
              <w:t>存和填埋污染控制标准》(GB18599-2020);危险废物贮</w:t>
            </w:r>
            <w:r>
              <w:rPr>
                <w:sz w:val="22"/>
                <w:szCs w:val="22"/>
                <w:spacing w:val="-1"/>
              </w:rPr>
              <w:t>存、处置执行《危险</w:t>
            </w:r>
          </w:p>
          <w:p>
            <w:pPr>
              <w:pStyle w:val="TableText"/>
              <w:ind w:left="120"/>
              <w:spacing w:before="209" w:line="219" w:lineRule="auto"/>
              <w:rPr>
                <w:sz w:val="22"/>
                <w:szCs w:val="22"/>
              </w:rPr>
            </w:pPr>
            <w:r>
              <w:rPr>
                <w:sz w:val="22"/>
                <w:szCs w:val="22"/>
                <w:spacing w:val="-7"/>
              </w:rPr>
              <w:t>废物贮存污染控制标准》</w:t>
            </w:r>
            <w:r>
              <w:rPr>
                <w:sz w:val="22"/>
                <w:szCs w:val="22"/>
                <w:spacing w:val="25"/>
              </w:rPr>
              <w:t xml:space="preserve">   </w:t>
            </w:r>
            <w:r>
              <w:rPr>
                <w:sz w:val="22"/>
                <w:szCs w:val="22"/>
                <w:spacing w:val="-7"/>
              </w:rPr>
              <w:t>(GB18597-2023)。</w:t>
            </w:r>
          </w:p>
        </w:tc>
      </w:tr>
    </w:tbl>
    <w:p>
      <w:pPr>
        <w:rPr>
          <w:rFonts w:ascii="Arial"/>
          <w:sz w:val="21"/>
        </w:rPr>
      </w:pPr>
      <w:r/>
    </w:p>
    <w:p>
      <w:pPr>
        <w:sectPr>
          <w:footerReference w:type="default" r:id="rId78"/>
          <w:pgSz w:w="11900" w:h="16840"/>
          <w:pgMar w:top="1431" w:right="1484" w:bottom="988" w:left="1604" w:header="0" w:footer="849" w:gutter="0"/>
        </w:sectPr>
        <w:rPr>
          <w:rFonts w:ascii="Arial" w:hAnsi="Arial" w:eastAsia="Arial" w:cs="Arial"/>
          <w:sz w:val="21"/>
          <w:szCs w:val="21"/>
        </w:rPr>
      </w:pPr>
    </w:p>
    <w:tbl>
      <w:tblPr>
        <w:tblStyle w:val="TableNormal"/>
        <w:tblW w:w="88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15"/>
        <w:gridCol w:w="1688"/>
        <w:gridCol w:w="1159"/>
        <w:gridCol w:w="989"/>
        <w:gridCol w:w="1328"/>
        <w:gridCol w:w="1298"/>
        <w:gridCol w:w="1933"/>
      </w:tblGrid>
      <w:tr>
        <w:trPr>
          <w:trHeight w:val="8059" w:hRule="atLeast"/>
        </w:trPr>
        <w:tc>
          <w:tcPr>
            <w:tcW w:w="415" w:type="dxa"/>
            <w:vAlign w:val="top"/>
            <w:vMerge w:val="restart"/>
            <w:textDirection w:val="tbRlV"/>
            <w:tcBorders>
              <w:bottom w:val="nil"/>
            </w:tcBorders>
          </w:tcPr>
          <w:p>
            <w:pPr>
              <w:pStyle w:val="TableText"/>
              <w:ind w:left="6082"/>
              <w:spacing w:before="99" w:line="217" w:lineRule="auto"/>
              <w:rPr>
                <w:sz w:val="24"/>
                <w:szCs w:val="24"/>
              </w:rPr>
            </w:pPr>
            <w:r>
              <w:rPr>
                <w:sz w:val="24"/>
                <w:szCs w:val="24"/>
              </w:rPr>
              <w:t>总量控制指标</w:t>
            </w:r>
          </w:p>
        </w:tc>
        <w:tc>
          <w:tcPr>
            <w:tcW w:w="8395" w:type="dxa"/>
            <w:vAlign w:val="top"/>
            <w:gridSpan w:val="6"/>
          </w:tcPr>
          <w:p>
            <w:pPr>
              <w:pStyle w:val="TableText"/>
              <w:ind w:left="123"/>
              <w:spacing w:before="72" w:line="220" w:lineRule="auto"/>
              <w:rPr>
                <w:sz w:val="24"/>
                <w:szCs w:val="24"/>
              </w:rPr>
            </w:pPr>
            <w:r>
              <w:rPr>
                <w:sz w:val="24"/>
                <w:szCs w:val="24"/>
                <w:b/>
                <w:bCs/>
                <w:spacing w:val="-4"/>
              </w:rPr>
              <w:t>3.6.1总量控制因子</w:t>
            </w:r>
          </w:p>
          <w:p>
            <w:pPr>
              <w:pStyle w:val="TableText"/>
              <w:ind w:left="610"/>
              <w:spacing w:before="165" w:line="481" w:lineRule="exact"/>
              <w:rPr>
                <w:sz w:val="24"/>
                <w:szCs w:val="24"/>
              </w:rPr>
            </w:pPr>
            <w:r>
              <w:rPr>
                <w:sz w:val="24"/>
                <w:szCs w:val="24"/>
                <w:position w:val="18"/>
              </w:rPr>
              <w:t>根据国家总量控制的要求，结合本项目的特征污染物，确定本项目排放的</w:t>
            </w:r>
          </w:p>
          <w:p>
            <w:pPr>
              <w:pStyle w:val="TableText"/>
              <w:ind w:left="140"/>
              <w:spacing w:line="219" w:lineRule="auto"/>
              <w:rPr>
                <w:sz w:val="24"/>
                <w:szCs w:val="24"/>
              </w:rPr>
            </w:pPr>
            <w:r>
              <w:rPr>
                <w:sz w:val="24"/>
                <w:szCs w:val="24"/>
              </w:rPr>
              <w:t>污染物中需要总量控制和污染物允许排放量控制的项目有：</w:t>
            </w:r>
          </w:p>
          <w:p>
            <w:pPr>
              <w:pStyle w:val="TableText"/>
              <w:ind w:left="620"/>
              <w:spacing w:before="203" w:line="219" w:lineRule="auto"/>
              <w:rPr>
                <w:sz w:val="24"/>
                <w:szCs w:val="24"/>
              </w:rPr>
            </w:pPr>
            <w:r>
              <w:rPr>
                <w:sz w:val="24"/>
                <w:szCs w:val="24"/>
                <w:spacing w:val="9"/>
              </w:rPr>
              <w:t>水污染物：控制指标</w:t>
            </w:r>
            <w:r>
              <w:rPr>
                <w:sz w:val="24"/>
                <w:szCs w:val="24"/>
              </w:rPr>
              <w:t>COD</w:t>
            </w:r>
            <w:r>
              <w:rPr>
                <w:sz w:val="24"/>
                <w:szCs w:val="24"/>
                <w:spacing w:val="9"/>
              </w:rPr>
              <w:t>、氨氮；</w:t>
            </w:r>
          </w:p>
          <w:p>
            <w:pPr>
              <w:pStyle w:val="TableText"/>
              <w:ind w:left="610"/>
              <w:spacing w:before="166" w:line="219" w:lineRule="auto"/>
              <w:rPr>
                <w:sz w:val="24"/>
                <w:szCs w:val="24"/>
              </w:rPr>
            </w:pPr>
            <w:r>
              <w:rPr>
                <w:sz w:val="24"/>
                <w:szCs w:val="24"/>
                <w:spacing w:val="3"/>
              </w:rPr>
              <w:t>大气污染物：控制指标</w:t>
            </w:r>
            <w:r>
              <w:rPr>
                <w:sz w:val="24"/>
                <w:szCs w:val="24"/>
              </w:rPr>
              <w:t>NOx</w:t>
            </w:r>
            <w:r>
              <w:rPr>
                <w:sz w:val="24"/>
                <w:szCs w:val="24"/>
                <w:spacing w:val="3"/>
              </w:rPr>
              <w:t>和</w:t>
            </w:r>
            <w:r>
              <w:rPr>
                <w:sz w:val="24"/>
                <w:szCs w:val="24"/>
              </w:rPr>
              <w:t>SO</w:t>
            </w:r>
            <w:r>
              <w:rPr>
                <w:rFonts w:ascii="Calibri" w:hAnsi="Calibri" w:eastAsia="Calibri" w:cs="Calibri"/>
                <w:sz w:val="24"/>
                <w:szCs w:val="24"/>
                <w:spacing w:val="3"/>
              </w:rPr>
              <w:t>₂ </w:t>
            </w:r>
            <w:r>
              <w:rPr>
                <w:sz w:val="24"/>
                <w:szCs w:val="24"/>
                <w:spacing w:val="3"/>
              </w:rPr>
              <w:t>;特征污染物非甲烷总烃。</w:t>
            </w:r>
          </w:p>
          <w:p>
            <w:pPr>
              <w:pStyle w:val="TableText"/>
              <w:ind w:left="133"/>
              <w:spacing w:before="192" w:line="220" w:lineRule="auto"/>
              <w:rPr>
                <w:sz w:val="24"/>
                <w:szCs w:val="24"/>
              </w:rPr>
            </w:pPr>
            <w:r>
              <w:rPr>
                <w:sz w:val="24"/>
                <w:szCs w:val="24"/>
                <w:b/>
                <w:bCs/>
                <w:spacing w:val="-4"/>
              </w:rPr>
              <w:t>3.6.2已批准的总量控制指标</w:t>
            </w:r>
          </w:p>
          <w:p>
            <w:pPr>
              <w:pStyle w:val="TableText"/>
              <w:ind w:left="610"/>
              <w:spacing w:before="167" w:line="466" w:lineRule="exact"/>
              <w:rPr>
                <w:sz w:val="24"/>
                <w:szCs w:val="24"/>
              </w:rPr>
            </w:pPr>
            <w:r>
              <w:rPr>
                <w:sz w:val="24"/>
                <w:szCs w:val="24"/>
                <w:position w:val="17"/>
              </w:rPr>
              <w:t>根据《宁德市生态环境局关于时代一汽动力20G</w:t>
            </w:r>
            <w:r>
              <w:rPr>
                <w:sz w:val="24"/>
                <w:szCs w:val="24"/>
                <w:spacing w:val="-1"/>
                <w:position w:val="17"/>
              </w:rPr>
              <w:t>Wh动力电池生产线扩建</w:t>
            </w:r>
          </w:p>
          <w:p>
            <w:pPr>
              <w:pStyle w:val="TableText"/>
              <w:ind w:left="130"/>
              <w:spacing w:before="1" w:line="216" w:lineRule="auto"/>
              <w:rPr>
                <w:sz w:val="24"/>
                <w:szCs w:val="24"/>
              </w:rPr>
            </w:pPr>
            <w:r>
              <w:rPr>
                <w:sz w:val="24"/>
                <w:szCs w:val="24"/>
              </w:rPr>
              <w:t>项目环境影响报告表的批复》(宁霞环评(2022)3号),现有工程建成后全</w:t>
            </w:r>
          </w:p>
          <w:p>
            <w:pPr>
              <w:pStyle w:val="TableText"/>
              <w:ind w:left="120"/>
              <w:spacing w:before="192" w:line="490" w:lineRule="exact"/>
              <w:rPr>
                <w:sz w:val="24"/>
                <w:szCs w:val="24"/>
              </w:rPr>
            </w:pPr>
            <w:r>
              <w:rPr>
                <w:sz w:val="24"/>
                <w:szCs w:val="24"/>
                <w:spacing w:val="1"/>
                <w:position w:val="19"/>
              </w:rPr>
              <w:t>厂的化学需氧量、氨氮、二氧化硫、氮氧化</w:t>
            </w:r>
            <w:r>
              <w:rPr>
                <w:sz w:val="24"/>
                <w:szCs w:val="24"/>
                <w:position w:val="19"/>
              </w:rPr>
              <w:t>物、挥发性有机物(VOCs)排放总</w:t>
            </w:r>
          </w:p>
          <w:p>
            <w:pPr>
              <w:pStyle w:val="TableText"/>
              <w:ind w:left="130"/>
              <w:spacing w:before="1" w:line="219" w:lineRule="auto"/>
              <w:rPr>
                <w:sz w:val="24"/>
                <w:szCs w:val="24"/>
              </w:rPr>
            </w:pPr>
            <w:r>
              <w:rPr>
                <w:sz w:val="24"/>
                <w:szCs w:val="24"/>
                <w:spacing w:val="1"/>
              </w:rPr>
              <w:t>量指标见表3.6-1。</w:t>
            </w:r>
          </w:p>
          <w:p>
            <w:pPr>
              <w:pStyle w:val="TableText"/>
              <w:ind w:left="130" w:right="82" w:firstLine="480"/>
              <w:spacing w:before="153" w:line="362" w:lineRule="auto"/>
              <w:rPr>
                <w:sz w:val="24"/>
                <w:szCs w:val="24"/>
              </w:rPr>
            </w:pPr>
            <w:r>
              <w:rPr>
                <w:sz w:val="24"/>
                <w:szCs w:val="24"/>
              </w:rPr>
              <w:t>其中COD、氨氮、二氧化硫、氮氧化物已通过交易购买，取得相应的排污</w:t>
            </w:r>
            <w:r>
              <w:rPr>
                <w:sz w:val="24"/>
                <w:szCs w:val="24"/>
                <w:spacing w:val="5"/>
              </w:rPr>
              <w:t xml:space="preserve">  </w:t>
            </w:r>
            <w:r>
              <w:rPr>
                <w:sz w:val="24"/>
                <w:szCs w:val="24"/>
              </w:rPr>
              <w:t>权指标；挥发性有机物排放总量从《霞浦县人民政府关于收储福建天发革业有</w:t>
            </w:r>
          </w:p>
          <w:p>
            <w:pPr>
              <w:pStyle w:val="TableText"/>
              <w:ind w:left="140"/>
              <w:spacing w:before="1" w:line="219" w:lineRule="auto"/>
              <w:rPr>
                <w:sz w:val="24"/>
                <w:szCs w:val="24"/>
              </w:rPr>
            </w:pPr>
            <w:r>
              <w:rPr>
                <w:sz w:val="24"/>
                <w:szCs w:val="24"/>
                <w:spacing w:val="1"/>
              </w:rPr>
              <w:t>限公司等企业</w:t>
            </w:r>
            <w:r>
              <w:rPr>
                <w:sz w:val="24"/>
                <w:szCs w:val="24"/>
              </w:rPr>
              <w:t>VOCs</w:t>
            </w:r>
            <w:r>
              <w:rPr>
                <w:sz w:val="24"/>
                <w:szCs w:val="24"/>
                <w:spacing w:val="1"/>
              </w:rPr>
              <w:t>排污权的通知》(霞政文(2019)</w:t>
            </w:r>
            <w:r>
              <w:rPr>
                <w:sz w:val="24"/>
                <w:szCs w:val="24"/>
              </w:rPr>
              <w:t>65号)收储的西关加油</w:t>
            </w:r>
          </w:p>
          <w:p>
            <w:pPr>
              <w:pStyle w:val="TableText"/>
              <w:ind w:left="130"/>
              <w:spacing w:before="185" w:line="479" w:lineRule="exact"/>
              <w:rPr>
                <w:sz w:val="24"/>
                <w:szCs w:val="24"/>
              </w:rPr>
            </w:pPr>
            <w:r>
              <w:rPr>
                <w:sz w:val="24"/>
                <w:szCs w:val="24"/>
                <w:spacing w:val="1"/>
                <w:position w:val="18"/>
              </w:rPr>
              <w:t>站、中国石油天然气股份有限公司六通加油站、泰岳石</w:t>
            </w:r>
            <w:r>
              <w:rPr>
                <w:sz w:val="24"/>
                <w:szCs w:val="24"/>
                <w:position w:val="18"/>
              </w:rPr>
              <w:t>化有限公司头桥坡加油</w:t>
            </w:r>
          </w:p>
          <w:p>
            <w:pPr>
              <w:pStyle w:val="TableText"/>
              <w:ind w:left="140"/>
              <w:spacing w:before="1" w:line="218" w:lineRule="auto"/>
              <w:rPr>
                <w:sz w:val="24"/>
                <w:szCs w:val="24"/>
              </w:rPr>
            </w:pPr>
            <w:r>
              <w:rPr>
                <w:sz w:val="24"/>
                <w:szCs w:val="24"/>
              </w:rPr>
              <w:t>站等3家企业关停产生的VOCs排污权指标调剂取</w:t>
            </w:r>
            <w:r>
              <w:rPr>
                <w:sz w:val="24"/>
                <w:szCs w:val="24"/>
                <w:spacing w:val="-1"/>
              </w:rPr>
              <w:t>得，相应购买或调剂的总量</w:t>
            </w:r>
          </w:p>
          <w:p>
            <w:pPr>
              <w:pStyle w:val="TableText"/>
              <w:ind w:left="130"/>
              <w:spacing w:before="207" w:line="219" w:lineRule="auto"/>
              <w:rPr>
                <w:sz w:val="24"/>
                <w:szCs w:val="24"/>
              </w:rPr>
            </w:pPr>
            <w:r>
              <w:rPr>
                <w:sz w:val="24"/>
                <w:szCs w:val="24"/>
                <w:spacing w:val="1"/>
              </w:rPr>
              <w:t>指标见表3.6-1。</w:t>
            </w:r>
          </w:p>
          <w:p>
            <w:pPr>
              <w:pStyle w:val="TableText"/>
              <w:ind w:left="1423"/>
              <w:spacing w:before="212" w:line="220" w:lineRule="auto"/>
              <w:rPr>
                <w:sz w:val="24"/>
                <w:szCs w:val="24"/>
              </w:rPr>
            </w:pPr>
            <w:r>
              <w:rPr>
                <w:sz w:val="24"/>
                <w:szCs w:val="24"/>
                <w:b/>
                <w:bCs/>
                <w:spacing w:val="-1"/>
              </w:rPr>
              <w:t>表3.6-1</w:t>
            </w:r>
            <w:r>
              <w:rPr>
                <w:sz w:val="24"/>
                <w:szCs w:val="24"/>
                <w:spacing w:val="-1"/>
              </w:rPr>
              <w:t xml:space="preserve">  </w:t>
            </w:r>
            <w:r>
              <w:rPr>
                <w:sz w:val="24"/>
                <w:szCs w:val="24"/>
                <w:b/>
                <w:bCs/>
                <w:spacing w:val="-1"/>
              </w:rPr>
              <w:t>现有工程总量控制指标情况表(单位：t/a)</w:t>
            </w:r>
          </w:p>
        </w:tc>
      </w:tr>
      <w:tr>
        <w:trPr>
          <w:trHeight w:val="280" w:hRule="atLeast"/>
        </w:trPr>
        <w:tc>
          <w:tcPr>
            <w:tcW w:w="415" w:type="dxa"/>
            <w:vAlign w:val="top"/>
            <w:vMerge w:val="continue"/>
            <w:textDirection w:val="tbRlV"/>
            <w:tcBorders>
              <w:top w:val="nil"/>
              <w:bottom w:val="nil"/>
            </w:tcBorders>
          </w:tcPr>
          <w:p>
            <w:pPr>
              <w:rPr>
                <w:rFonts w:ascii="Arial"/>
                <w:sz w:val="21"/>
              </w:rPr>
            </w:pPr>
            <w:r/>
          </w:p>
        </w:tc>
        <w:tc>
          <w:tcPr>
            <w:tcW w:w="1688" w:type="dxa"/>
            <w:vAlign w:val="top"/>
            <w:vMerge w:val="restart"/>
            <w:tcBorders>
              <w:bottom w:val="nil"/>
            </w:tcBorders>
          </w:tcPr>
          <w:p>
            <w:pPr>
              <w:pStyle w:val="TableText"/>
              <w:ind w:left="100"/>
              <w:spacing w:before="306" w:line="220" w:lineRule="auto"/>
              <w:rPr>
                <w:sz w:val="24"/>
                <w:szCs w:val="24"/>
              </w:rPr>
            </w:pPr>
            <w:r>
              <w:rPr>
                <w:sz w:val="24"/>
                <w:szCs w:val="24"/>
                <w:spacing w:val="1"/>
              </w:rPr>
              <w:t>总量控制指标</w:t>
            </w:r>
          </w:p>
        </w:tc>
        <w:tc>
          <w:tcPr>
            <w:tcW w:w="6707" w:type="dxa"/>
            <w:vAlign w:val="top"/>
            <w:gridSpan w:val="5"/>
          </w:tcPr>
          <w:p>
            <w:pPr>
              <w:pStyle w:val="TableText"/>
              <w:ind w:left="2772"/>
              <w:spacing w:before="26" w:line="187" w:lineRule="auto"/>
              <w:rPr>
                <w:sz w:val="24"/>
                <w:szCs w:val="24"/>
              </w:rPr>
            </w:pPr>
            <w:r>
              <w:rPr>
                <w:sz w:val="24"/>
                <w:szCs w:val="24"/>
                <w:spacing w:val="2"/>
              </w:rPr>
              <w:t>污染物名称</w:t>
            </w:r>
          </w:p>
        </w:tc>
      </w:tr>
      <w:tr>
        <w:trPr>
          <w:trHeight w:val="550" w:hRule="atLeast"/>
        </w:trPr>
        <w:tc>
          <w:tcPr>
            <w:tcW w:w="415" w:type="dxa"/>
            <w:vAlign w:val="top"/>
            <w:vMerge w:val="continue"/>
            <w:textDirection w:val="tbRlV"/>
            <w:tcBorders>
              <w:top w:val="nil"/>
              <w:bottom w:val="nil"/>
            </w:tcBorders>
          </w:tcPr>
          <w:p>
            <w:pPr>
              <w:rPr>
                <w:rFonts w:ascii="Arial"/>
                <w:sz w:val="21"/>
              </w:rPr>
            </w:pPr>
            <w:r/>
          </w:p>
        </w:tc>
        <w:tc>
          <w:tcPr>
            <w:tcW w:w="1688" w:type="dxa"/>
            <w:vAlign w:val="top"/>
            <w:vMerge w:val="continue"/>
            <w:tcBorders>
              <w:top w:val="nil"/>
            </w:tcBorders>
          </w:tcPr>
          <w:p>
            <w:pPr>
              <w:rPr>
                <w:rFonts w:ascii="Arial"/>
                <w:sz w:val="21"/>
              </w:rPr>
            </w:pPr>
            <w:r/>
          </w:p>
        </w:tc>
        <w:tc>
          <w:tcPr>
            <w:tcW w:w="1159" w:type="dxa"/>
            <w:vAlign w:val="top"/>
          </w:tcPr>
          <w:p>
            <w:pPr>
              <w:pStyle w:val="TableText"/>
              <w:ind w:left="392"/>
              <w:spacing w:before="227" w:line="183" w:lineRule="auto"/>
              <w:rPr>
                <w:sz w:val="24"/>
                <w:szCs w:val="24"/>
              </w:rPr>
            </w:pPr>
            <w:r>
              <w:rPr>
                <w:sz w:val="24"/>
                <w:szCs w:val="24"/>
                <w:spacing w:val="-2"/>
              </w:rPr>
              <w:t>COD</w:t>
            </w:r>
          </w:p>
        </w:tc>
        <w:tc>
          <w:tcPr>
            <w:tcW w:w="989" w:type="dxa"/>
            <w:vAlign w:val="top"/>
          </w:tcPr>
          <w:p>
            <w:pPr>
              <w:pStyle w:val="TableText"/>
              <w:ind w:left="243"/>
              <w:spacing w:before="164" w:line="219" w:lineRule="auto"/>
              <w:rPr>
                <w:sz w:val="24"/>
                <w:szCs w:val="24"/>
              </w:rPr>
            </w:pPr>
            <w:r>
              <w:rPr>
                <w:sz w:val="24"/>
                <w:szCs w:val="24"/>
                <w:spacing w:val="-3"/>
              </w:rPr>
              <w:t>氨氮</w:t>
            </w:r>
          </w:p>
        </w:tc>
        <w:tc>
          <w:tcPr>
            <w:tcW w:w="1328" w:type="dxa"/>
            <w:vAlign w:val="top"/>
          </w:tcPr>
          <w:p>
            <w:pPr>
              <w:pStyle w:val="TableText"/>
              <w:ind w:left="414"/>
              <w:spacing w:before="204" w:line="183" w:lineRule="auto"/>
              <w:rPr>
                <w:rFonts w:ascii="Calibri" w:hAnsi="Calibri" w:eastAsia="Calibri" w:cs="Calibri"/>
                <w:sz w:val="24"/>
                <w:szCs w:val="24"/>
              </w:rPr>
            </w:pPr>
            <w:r>
              <w:rPr>
                <w:sz w:val="24"/>
                <w:szCs w:val="24"/>
                <w:spacing w:val="-4"/>
              </w:rPr>
              <w:t>SO</w:t>
            </w:r>
            <w:r>
              <w:rPr>
                <w:rFonts w:ascii="Calibri" w:hAnsi="Calibri" w:eastAsia="Calibri" w:cs="Calibri"/>
                <w:sz w:val="24"/>
                <w:szCs w:val="24"/>
                <w:spacing w:val="-4"/>
              </w:rPr>
              <w:t>₂</w:t>
            </w:r>
          </w:p>
        </w:tc>
        <w:tc>
          <w:tcPr>
            <w:tcW w:w="1298" w:type="dxa"/>
            <w:vAlign w:val="top"/>
          </w:tcPr>
          <w:p>
            <w:pPr>
              <w:pStyle w:val="TableText"/>
              <w:ind w:left="466"/>
              <w:spacing w:before="227" w:line="183" w:lineRule="auto"/>
              <w:rPr>
                <w:sz w:val="24"/>
                <w:szCs w:val="24"/>
              </w:rPr>
            </w:pPr>
            <w:r>
              <w:rPr>
                <w:sz w:val="24"/>
                <w:szCs w:val="24"/>
                <w:spacing w:val="-1"/>
              </w:rPr>
              <w:t>NOx</w:t>
            </w:r>
          </w:p>
        </w:tc>
        <w:tc>
          <w:tcPr>
            <w:tcW w:w="1933" w:type="dxa"/>
            <w:vAlign w:val="top"/>
          </w:tcPr>
          <w:p>
            <w:pPr>
              <w:pStyle w:val="TableText"/>
              <w:ind w:left="358" w:right="232" w:hanging="120"/>
              <w:spacing w:before="46" w:line="190" w:lineRule="auto"/>
              <w:rPr>
                <w:sz w:val="24"/>
                <w:szCs w:val="24"/>
              </w:rPr>
            </w:pPr>
            <w:r>
              <w:rPr>
                <w:sz w:val="24"/>
                <w:szCs w:val="24"/>
                <w:spacing w:val="2"/>
              </w:rPr>
              <w:t>挥发性有机物</w:t>
            </w:r>
            <w:r>
              <w:rPr>
                <w:sz w:val="24"/>
                <w:szCs w:val="24"/>
              </w:rPr>
              <w:t xml:space="preserve"> </w:t>
            </w:r>
            <w:r>
              <w:rPr>
                <w:sz w:val="24"/>
                <w:szCs w:val="24"/>
                <w:spacing w:val="13"/>
              </w:rPr>
              <w:t>(以</w:t>
            </w:r>
            <w:r>
              <w:rPr>
                <w:sz w:val="24"/>
                <w:szCs w:val="24"/>
              </w:rPr>
              <w:t>NMHC</w:t>
            </w:r>
            <w:r>
              <w:rPr>
                <w:sz w:val="24"/>
                <w:szCs w:val="24"/>
                <w:spacing w:val="13"/>
              </w:rPr>
              <w:t>计)</w:t>
            </w:r>
          </w:p>
        </w:tc>
      </w:tr>
      <w:tr>
        <w:trPr>
          <w:trHeight w:val="540" w:hRule="atLeast"/>
        </w:trPr>
        <w:tc>
          <w:tcPr>
            <w:tcW w:w="415" w:type="dxa"/>
            <w:vAlign w:val="top"/>
            <w:vMerge w:val="continue"/>
            <w:textDirection w:val="tbRlV"/>
            <w:tcBorders>
              <w:top w:val="nil"/>
              <w:bottom w:val="nil"/>
            </w:tcBorders>
          </w:tcPr>
          <w:p>
            <w:pPr>
              <w:rPr>
                <w:rFonts w:ascii="Arial"/>
                <w:sz w:val="21"/>
              </w:rPr>
            </w:pPr>
            <w:r/>
          </w:p>
        </w:tc>
        <w:tc>
          <w:tcPr>
            <w:tcW w:w="1688" w:type="dxa"/>
            <w:vAlign w:val="top"/>
          </w:tcPr>
          <w:p>
            <w:pPr>
              <w:pStyle w:val="TableText"/>
              <w:ind w:left="479" w:right="128" w:hanging="379"/>
              <w:spacing w:before="56" w:line="190" w:lineRule="auto"/>
              <w:rPr/>
            </w:pPr>
            <w:r>
              <w:rPr>
                <w:spacing w:val="11"/>
              </w:rPr>
              <w:t>现有工程环评</w:t>
            </w:r>
            <w:r>
              <w:rPr>
                <w:spacing w:val="1"/>
              </w:rPr>
              <w:t xml:space="preserve"> </w:t>
            </w:r>
            <w:r>
              <w:rPr>
                <w:spacing w:val="12"/>
              </w:rPr>
              <w:t>批复总量</w:t>
            </w:r>
          </w:p>
        </w:tc>
        <w:tc>
          <w:tcPr>
            <w:tcW w:w="1159" w:type="dxa"/>
            <w:vAlign w:val="top"/>
          </w:tcPr>
          <w:p>
            <w:pPr>
              <w:pStyle w:val="TableText"/>
              <w:ind w:left="212"/>
              <w:spacing w:before="216" w:line="184" w:lineRule="auto"/>
              <w:rPr>
                <w:sz w:val="24"/>
                <w:szCs w:val="24"/>
              </w:rPr>
            </w:pPr>
            <w:r>
              <w:rPr>
                <w:sz w:val="24"/>
                <w:szCs w:val="24"/>
                <w:spacing w:val="-4"/>
              </w:rPr>
              <w:t>1.9350</w:t>
            </w:r>
          </w:p>
        </w:tc>
        <w:tc>
          <w:tcPr>
            <w:tcW w:w="989" w:type="dxa"/>
            <w:vAlign w:val="top"/>
          </w:tcPr>
          <w:p>
            <w:pPr>
              <w:pStyle w:val="TableText"/>
              <w:ind w:left="123"/>
              <w:spacing w:before="216" w:line="184" w:lineRule="auto"/>
              <w:rPr>
                <w:sz w:val="24"/>
                <w:szCs w:val="24"/>
              </w:rPr>
            </w:pPr>
            <w:r>
              <w:rPr>
                <w:sz w:val="24"/>
                <w:szCs w:val="24"/>
                <w:spacing w:val="-2"/>
              </w:rPr>
              <w:t>0.1930</w:t>
            </w:r>
          </w:p>
        </w:tc>
        <w:tc>
          <w:tcPr>
            <w:tcW w:w="1328" w:type="dxa"/>
            <w:vAlign w:val="top"/>
          </w:tcPr>
          <w:p>
            <w:pPr>
              <w:pStyle w:val="TableText"/>
              <w:ind w:left="294"/>
              <w:spacing w:before="216" w:line="184" w:lineRule="auto"/>
              <w:rPr>
                <w:sz w:val="24"/>
                <w:szCs w:val="24"/>
              </w:rPr>
            </w:pPr>
            <w:r>
              <w:rPr>
                <w:sz w:val="24"/>
                <w:szCs w:val="24"/>
                <w:spacing w:val="-4"/>
              </w:rPr>
              <w:t>1.7920</w:t>
            </w:r>
          </w:p>
        </w:tc>
        <w:tc>
          <w:tcPr>
            <w:tcW w:w="1298" w:type="dxa"/>
            <w:vAlign w:val="top"/>
          </w:tcPr>
          <w:p>
            <w:pPr>
              <w:pStyle w:val="TableText"/>
              <w:ind w:left="286"/>
              <w:spacing w:before="217" w:line="183" w:lineRule="auto"/>
              <w:rPr>
                <w:sz w:val="24"/>
                <w:szCs w:val="24"/>
              </w:rPr>
            </w:pPr>
            <w:r>
              <w:rPr>
                <w:sz w:val="24"/>
                <w:szCs w:val="24"/>
                <w:spacing w:val="-2"/>
              </w:rPr>
              <w:t>29.872</w:t>
            </w:r>
          </w:p>
        </w:tc>
        <w:tc>
          <w:tcPr>
            <w:tcW w:w="1933" w:type="dxa"/>
            <w:vAlign w:val="top"/>
          </w:tcPr>
          <w:p>
            <w:pPr>
              <w:pStyle w:val="TableText"/>
              <w:ind w:left="538"/>
              <w:spacing w:before="216" w:line="184" w:lineRule="auto"/>
              <w:rPr>
                <w:sz w:val="24"/>
                <w:szCs w:val="24"/>
              </w:rPr>
            </w:pPr>
            <w:r>
              <w:rPr>
                <w:sz w:val="24"/>
                <w:szCs w:val="24"/>
                <w:spacing w:val="-4"/>
              </w:rPr>
              <w:t>12.1160</w:t>
            </w:r>
          </w:p>
        </w:tc>
      </w:tr>
      <w:tr>
        <w:trPr>
          <w:trHeight w:val="529" w:hRule="atLeast"/>
        </w:trPr>
        <w:tc>
          <w:tcPr>
            <w:tcW w:w="415" w:type="dxa"/>
            <w:vAlign w:val="top"/>
            <w:vMerge w:val="continue"/>
            <w:textDirection w:val="tbRlV"/>
            <w:tcBorders>
              <w:top w:val="nil"/>
              <w:bottom w:val="nil"/>
            </w:tcBorders>
          </w:tcPr>
          <w:p>
            <w:pPr>
              <w:rPr>
                <w:rFonts w:ascii="Arial"/>
                <w:sz w:val="21"/>
              </w:rPr>
            </w:pPr>
            <w:r/>
          </w:p>
        </w:tc>
        <w:tc>
          <w:tcPr>
            <w:tcW w:w="1688" w:type="dxa"/>
            <w:vAlign w:val="top"/>
          </w:tcPr>
          <w:p>
            <w:pPr>
              <w:pStyle w:val="TableText"/>
              <w:ind w:left="690" w:right="124" w:hanging="590"/>
              <w:spacing w:before="35" w:line="194" w:lineRule="auto"/>
              <w:rPr/>
            </w:pPr>
            <w:r>
              <w:rPr>
                <w:spacing w:val="12"/>
              </w:rPr>
              <w:t>已购买或调剂</w:t>
            </w:r>
            <w:r>
              <w:rPr/>
              <w:t xml:space="preserve"> </w:t>
            </w:r>
            <w:r>
              <w:rPr>
                <w:spacing w:val="14"/>
              </w:rPr>
              <w:t>总量</w:t>
            </w:r>
          </w:p>
        </w:tc>
        <w:tc>
          <w:tcPr>
            <w:tcW w:w="1159" w:type="dxa"/>
            <w:vAlign w:val="top"/>
          </w:tcPr>
          <w:p>
            <w:pPr>
              <w:pStyle w:val="TableText"/>
              <w:ind w:left="212"/>
              <w:spacing w:before="216" w:line="184" w:lineRule="auto"/>
              <w:rPr>
                <w:sz w:val="24"/>
                <w:szCs w:val="24"/>
              </w:rPr>
            </w:pPr>
            <w:r>
              <w:rPr>
                <w:sz w:val="24"/>
                <w:szCs w:val="24"/>
                <w:spacing w:val="-4"/>
              </w:rPr>
              <w:t>1.9350</w:t>
            </w:r>
          </w:p>
        </w:tc>
        <w:tc>
          <w:tcPr>
            <w:tcW w:w="989" w:type="dxa"/>
            <w:vAlign w:val="top"/>
          </w:tcPr>
          <w:p>
            <w:pPr>
              <w:pStyle w:val="TableText"/>
              <w:ind w:left="123"/>
              <w:spacing w:before="216" w:line="184" w:lineRule="auto"/>
              <w:rPr>
                <w:sz w:val="24"/>
                <w:szCs w:val="24"/>
              </w:rPr>
            </w:pPr>
            <w:r>
              <w:rPr>
                <w:sz w:val="24"/>
                <w:szCs w:val="24"/>
                <w:spacing w:val="-2"/>
              </w:rPr>
              <w:t>0.1930</w:t>
            </w:r>
          </w:p>
        </w:tc>
        <w:tc>
          <w:tcPr>
            <w:tcW w:w="1328" w:type="dxa"/>
            <w:vAlign w:val="top"/>
          </w:tcPr>
          <w:p>
            <w:pPr>
              <w:pStyle w:val="TableText"/>
              <w:ind w:left="294"/>
              <w:spacing w:before="217" w:line="183" w:lineRule="auto"/>
              <w:rPr>
                <w:sz w:val="24"/>
                <w:szCs w:val="24"/>
              </w:rPr>
            </w:pPr>
            <w:r>
              <w:rPr>
                <w:sz w:val="24"/>
                <w:szCs w:val="24"/>
                <w:spacing w:val="-2"/>
              </w:rPr>
              <w:t>4.7040</w:t>
            </w:r>
          </w:p>
        </w:tc>
        <w:tc>
          <w:tcPr>
            <w:tcW w:w="1298" w:type="dxa"/>
            <w:vAlign w:val="top"/>
          </w:tcPr>
          <w:p>
            <w:pPr>
              <w:pStyle w:val="TableText"/>
              <w:ind w:left="226"/>
              <w:spacing w:before="217" w:line="183" w:lineRule="auto"/>
              <w:rPr>
                <w:sz w:val="24"/>
                <w:szCs w:val="24"/>
              </w:rPr>
            </w:pPr>
            <w:r>
              <w:rPr>
                <w:sz w:val="24"/>
                <w:szCs w:val="24"/>
                <w:spacing w:val="-2"/>
              </w:rPr>
              <w:t>29.8720</w:t>
            </w:r>
          </w:p>
        </w:tc>
        <w:tc>
          <w:tcPr>
            <w:tcW w:w="1933" w:type="dxa"/>
            <w:vAlign w:val="top"/>
          </w:tcPr>
          <w:p>
            <w:pPr>
              <w:pStyle w:val="TableText"/>
              <w:ind w:left="538"/>
              <w:spacing w:before="216" w:line="184" w:lineRule="auto"/>
              <w:rPr>
                <w:sz w:val="24"/>
                <w:szCs w:val="24"/>
              </w:rPr>
            </w:pPr>
            <w:r>
              <w:rPr>
                <w:sz w:val="24"/>
                <w:szCs w:val="24"/>
                <w:spacing w:val="-4"/>
              </w:rPr>
              <w:t>14.9870</w:t>
            </w:r>
          </w:p>
        </w:tc>
      </w:tr>
      <w:tr>
        <w:trPr>
          <w:trHeight w:val="819" w:hRule="atLeast"/>
        </w:trPr>
        <w:tc>
          <w:tcPr>
            <w:tcW w:w="415" w:type="dxa"/>
            <w:vAlign w:val="top"/>
            <w:vMerge w:val="continue"/>
            <w:textDirection w:val="tbRlV"/>
            <w:tcBorders>
              <w:top w:val="nil"/>
              <w:bottom w:val="nil"/>
            </w:tcBorders>
          </w:tcPr>
          <w:p>
            <w:pPr>
              <w:rPr>
                <w:rFonts w:ascii="Arial"/>
                <w:sz w:val="21"/>
              </w:rPr>
            </w:pPr>
            <w:r/>
          </w:p>
        </w:tc>
        <w:tc>
          <w:tcPr>
            <w:tcW w:w="8395" w:type="dxa"/>
            <w:vAlign w:val="top"/>
            <w:gridSpan w:val="6"/>
          </w:tcPr>
          <w:p>
            <w:pPr>
              <w:pStyle w:val="TableText"/>
              <w:ind w:left="210"/>
              <w:spacing w:before="37" w:line="219" w:lineRule="auto"/>
              <w:rPr>
                <w:sz w:val="24"/>
                <w:szCs w:val="24"/>
              </w:rPr>
            </w:pPr>
            <w:r>
              <w:rPr>
                <w:sz w:val="24"/>
                <w:szCs w:val="24"/>
              </w:rPr>
              <w:t>备注：1、废水总量及污染物指标为生产废水，不含生活污水：</w:t>
            </w:r>
          </w:p>
          <w:p>
            <w:pPr>
              <w:pStyle w:val="TableText"/>
              <w:spacing w:before="24" w:line="193" w:lineRule="auto"/>
              <w:jc w:val="right"/>
              <w:rPr>
                <w:sz w:val="22"/>
                <w:szCs w:val="22"/>
              </w:rPr>
            </w:pPr>
            <w:r>
              <w:rPr>
                <w:sz w:val="22"/>
                <w:szCs w:val="22"/>
                <w:spacing w:val="11"/>
              </w:rPr>
              <w:t>2、现有工程含时代一汽动力电池项目(年产10</w:t>
            </w:r>
            <w:r>
              <w:rPr>
                <w:sz w:val="22"/>
                <w:szCs w:val="22"/>
              </w:rPr>
              <w:t>GWh</w:t>
            </w:r>
            <w:r>
              <w:rPr>
                <w:sz w:val="22"/>
                <w:szCs w:val="22"/>
                <w:spacing w:val="11"/>
              </w:rPr>
              <w:t>)、时代一汽动力20</w:t>
            </w:r>
            <w:r>
              <w:rPr>
                <w:sz w:val="22"/>
                <w:szCs w:val="22"/>
              </w:rPr>
              <w:t>GWh</w:t>
            </w:r>
            <w:r>
              <w:rPr>
                <w:sz w:val="22"/>
                <w:szCs w:val="22"/>
                <w:spacing w:val="11"/>
              </w:rPr>
              <w:t>动</w:t>
            </w:r>
          </w:p>
          <w:p>
            <w:pPr>
              <w:pStyle w:val="TableText"/>
              <w:ind w:left="230"/>
              <w:spacing w:line="195" w:lineRule="auto"/>
              <w:rPr>
                <w:sz w:val="22"/>
                <w:szCs w:val="22"/>
              </w:rPr>
            </w:pPr>
            <w:r>
              <w:rPr>
                <w:sz w:val="22"/>
                <w:szCs w:val="22"/>
                <w:spacing w:val="17"/>
              </w:rPr>
              <w:t>力电池生产线扩建项目(在建)。</w:t>
            </w:r>
          </w:p>
        </w:tc>
      </w:tr>
      <w:tr>
        <w:trPr>
          <w:trHeight w:val="2803" w:hRule="atLeast"/>
        </w:trPr>
        <w:tc>
          <w:tcPr>
            <w:tcW w:w="415" w:type="dxa"/>
            <w:vAlign w:val="top"/>
            <w:vMerge w:val="continue"/>
            <w:textDirection w:val="tbRlV"/>
            <w:tcBorders>
              <w:top w:val="nil"/>
            </w:tcBorders>
          </w:tcPr>
          <w:p>
            <w:pPr>
              <w:rPr>
                <w:rFonts w:ascii="Arial"/>
                <w:sz w:val="21"/>
              </w:rPr>
            </w:pPr>
            <w:r/>
          </w:p>
        </w:tc>
        <w:tc>
          <w:tcPr>
            <w:tcW w:w="8395" w:type="dxa"/>
            <w:vAlign w:val="top"/>
            <w:gridSpan w:val="6"/>
          </w:tcPr>
          <w:p>
            <w:pPr>
              <w:spacing w:line="424" w:lineRule="auto"/>
              <w:rPr>
                <w:rFonts w:ascii="Arial"/>
                <w:sz w:val="21"/>
              </w:rPr>
            </w:pPr>
            <w:r/>
          </w:p>
          <w:p>
            <w:pPr>
              <w:pStyle w:val="TableText"/>
              <w:ind w:left="133"/>
              <w:spacing w:before="78" w:line="479" w:lineRule="exact"/>
              <w:rPr>
                <w:sz w:val="24"/>
                <w:szCs w:val="24"/>
              </w:rPr>
            </w:pPr>
            <w:r>
              <w:rPr>
                <w:sz w:val="24"/>
                <w:szCs w:val="24"/>
                <w:b/>
                <w:bCs/>
                <w:spacing w:val="-4"/>
                <w:position w:val="18"/>
              </w:rPr>
              <w:t>3.6.3总量控制指标分析</w:t>
            </w:r>
          </w:p>
          <w:p>
            <w:pPr>
              <w:pStyle w:val="TableText"/>
              <w:ind w:left="623"/>
              <w:spacing w:line="219" w:lineRule="auto"/>
              <w:rPr>
                <w:sz w:val="24"/>
                <w:szCs w:val="24"/>
              </w:rPr>
            </w:pPr>
            <w:r>
              <w:rPr>
                <w:sz w:val="24"/>
                <w:szCs w:val="24"/>
                <w:b/>
                <w:bCs/>
                <w:spacing w:val="-3"/>
              </w:rPr>
              <w:t>1、水污染物排放量</w:t>
            </w:r>
          </w:p>
          <w:p>
            <w:pPr>
              <w:pStyle w:val="TableText"/>
              <w:ind w:left="610"/>
              <w:spacing w:before="168" w:line="219" w:lineRule="auto"/>
              <w:rPr>
                <w:sz w:val="24"/>
                <w:szCs w:val="24"/>
              </w:rPr>
            </w:pPr>
            <w:r>
              <w:rPr>
                <w:sz w:val="24"/>
                <w:szCs w:val="24"/>
              </w:rPr>
              <w:t>项目生产废水与生活污水处理达标后经不同的排放口排</w:t>
            </w:r>
            <w:r>
              <w:rPr>
                <w:sz w:val="24"/>
                <w:szCs w:val="24"/>
                <w:spacing w:val="-1"/>
              </w:rPr>
              <w:t>放。</w:t>
            </w:r>
          </w:p>
          <w:p>
            <w:pPr>
              <w:pStyle w:val="TableText"/>
              <w:ind w:left="610"/>
              <w:spacing w:before="185" w:line="219" w:lineRule="auto"/>
              <w:rPr>
                <w:sz w:val="24"/>
                <w:szCs w:val="24"/>
              </w:rPr>
            </w:pPr>
            <w:r>
              <w:rPr>
                <w:sz w:val="24"/>
                <w:szCs w:val="24"/>
              </w:rPr>
              <w:t>阴极生产废水、阳极生产废水(含凹版生产废水)分别经车间三级沉淀池</w:t>
            </w:r>
          </w:p>
          <w:p>
            <w:pPr>
              <w:pStyle w:val="TableText"/>
              <w:ind w:left="130"/>
              <w:spacing w:before="185" w:line="219" w:lineRule="auto"/>
              <w:rPr>
                <w:sz w:val="24"/>
                <w:szCs w:val="24"/>
              </w:rPr>
            </w:pPr>
            <w:r>
              <w:rPr>
                <w:sz w:val="24"/>
                <w:szCs w:val="24"/>
              </w:rPr>
              <w:t>沉淀排入污水处理站阴、阳极生产废水处理系统处理达标后，纳入霞浦县污水</w:t>
            </w:r>
          </w:p>
        </w:tc>
      </w:tr>
    </w:tbl>
    <w:p>
      <w:pPr>
        <w:rPr>
          <w:rFonts w:ascii="Arial"/>
          <w:sz w:val="21"/>
        </w:rPr>
      </w:pPr>
      <w:r/>
    </w:p>
    <w:p>
      <w:pPr>
        <w:sectPr>
          <w:footerReference w:type="default" r:id="rId79"/>
          <w:pgSz w:w="11900" w:h="16840"/>
          <w:pgMar w:top="1425" w:right="1474" w:bottom="988" w:left="1604" w:header="0" w:footer="849" w:gutter="0"/>
        </w:sectPr>
        <w:rPr>
          <w:rFonts w:ascii="Arial" w:hAnsi="Arial" w:eastAsia="Arial" w:cs="Arial"/>
          <w:sz w:val="21"/>
          <w:szCs w:val="21"/>
        </w:rPr>
      </w:pPr>
    </w:p>
    <w:p>
      <w:pPr>
        <w:spacing w:line="141" w:lineRule="auto"/>
        <w:rPr>
          <w:rFonts w:ascii="Arial"/>
          <w:sz w:val="2"/>
        </w:rPr>
      </w:pPr>
      <w:r>
        <w:rPr>
          <w:rFonts w:ascii="Arial"/>
          <w:sz w:val="2"/>
        </w:rPr>
      </w:r>
    </w:p>
    <w:tbl>
      <w:tblPr>
        <w:tblStyle w:val="TableNormal"/>
        <w:tblW w:w="875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05"/>
        <w:gridCol w:w="899"/>
        <w:gridCol w:w="889"/>
        <w:gridCol w:w="2787"/>
        <w:gridCol w:w="959"/>
        <w:gridCol w:w="1328"/>
        <w:gridCol w:w="1483"/>
      </w:tblGrid>
      <w:tr>
        <w:trPr>
          <w:trHeight w:val="3292" w:hRule="atLeast"/>
        </w:trPr>
        <w:tc>
          <w:tcPr>
            <w:tcW w:w="405" w:type="dxa"/>
            <w:vAlign w:val="top"/>
            <w:vMerge w:val="restart"/>
            <w:tcBorders>
              <w:bottom w:val="nil"/>
            </w:tcBorders>
          </w:tcPr>
          <w:p>
            <w:pPr>
              <w:rPr>
                <w:rFonts w:ascii="Arial"/>
                <w:sz w:val="21"/>
              </w:rPr>
            </w:pPr>
            <w:r/>
          </w:p>
        </w:tc>
        <w:tc>
          <w:tcPr>
            <w:tcW w:w="8345" w:type="dxa"/>
            <w:vAlign w:val="top"/>
            <w:gridSpan w:val="6"/>
          </w:tcPr>
          <w:p>
            <w:pPr>
              <w:pStyle w:val="TableText"/>
              <w:ind w:left="120"/>
              <w:spacing w:before="64" w:line="220" w:lineRule="auto"/>
              <w:rPr>
                <w:sz w:val="22"/>
                <w:szCs w:val="22"/>
              </w:rPr>
            </w:pPr>
            <w:r>
              <w:rPr>
                <w:sz w:val="22"/>
                <w:szCs w:val="22"/>
              </w:rPr>
              <w:t>处理厂。</w:t>
            </w:r>
          </w:p>
          <w:p>
            <w:pPr>
              <w:pStyle w:val="TableText"/>
              <w:ind w:left="610"/>
              <w:spacing w:before="216" w:line="490" w:lineRule="exact"/>
              <w:rPr>
                <w:sz w:val="22"/>
                <w:szCs w:val="22"/>
              </w:rPr>
            </w:pPr>
            <w:r>
              <w:rPr>
                <w:sz w:val="22"/>
                <w:szCs w:val="22"/>
                <w:position w:val="20"/>
              </w:rPr>
              <w:t>生活污水经隔油池、化粪池处理后，排入东侧</w:t>
            </w:r>
            <w:r>
              <w:rPr>
                <w:sz w:val="22"/>
                <w:szCs w:val="22"/>
                <w:spacing w:val="-1"/>
                <w:position w:val="20"/>
              </w:rPr>
              <w:t>长富路、北侧南一路的市政</w:t>
            </w:r>
          </w:p>
          <w:p>
            <w:pPr>
              <w:pStyle w:val="TableText"/>
              <w:ind w:left="120"/>
              <w:spacing w:line="219" w:lineRule="auto"/>
              <w:rPr>
                <w:sz w:val="22"/>
                <w:szCs w:val="22"/>
              </w:rPr>
            </w:pPr>
            <w:r>
              <w:rPr>
                <w:sz w:val="22"/>
                <w:szCs w:val="22"/>
              </w:rPr>
              <w:t>污水管网，纳入霞浦县污水处理厂。</w:t>
            </w:r>
          </w:p>
          <w:p>
            <w:pPr>
              <w:pStyle w:val="TableText"/>
              <w:ind w:left="610"/>
              <w:spacing w:before="198" w:line="463" w:lineRule="exact"/>
              <w:rPr>
                <w:sz w:val="22"/>
                <w:szCs w:val="22"/>
              </w:rPr>
            </w:pPr>
            <w:r>
              <w:rPr>
                <w:sz w:val="22"/>
                <w:szCs w:val="22"/>
                <w:position w:val="18"/>
              </w:rPr>
              <w:t>霞浦县污水处理厂尾水排放执行《城镇污水处理厂污染物排放标准》</w:t>
            </w:r>
          </w:p>
          <w:p>
            <w:pPr>
              <w:pStyle w:val="TableText"/>
              <w:ind w:left="250"/>
              <w:spacing w:before="1" w:line="213" w:lineRule="auto"/>
              <w:rPr>
                <w:sz w:val="22"/>
                <w:szCs w:val="22"/>
              </w:rPr>
            </w:pPr>
            <w:r>
              <w:rPr>
                <w:sz w:val="22"/>
                <w:szCs w:val="22"/>
                <w:spacing w:val="4"/>
              </w:rPr>
              <w:t>(</w:t>
            </w:r>
            <w:r>
              <w:rPr>
                <w:sz w:val="22"/>
                <w:szCs w:val="22"/>
              </w:rPr>
              <w:t>GB</w:t>
            </w:r>
            <w:r>
              <w:rPr>
                <w:sz w:val="22"/>
                <w:szCs w:val="22"/>
                <w:spacing w:val="4"/>
              </w:rPr>
              <w:t>18918-2002)一级A标准(</w:t>
            </w:r>
            <w:r>
              <w:rPr>
                <w:sz w:val="22"/>
                <w:szCs w:val="22"/>
              </w:rPr>
              <w:t>COD</w:t>
            </w:r>
            <w:r>
              <w:rPr>
                <w:sz w:val="22"/>
                <w:szCs w:val="22"/>
                <w:spacing w:val="4"/>
              </w:rPr>
              <w:t>≤50</w:t>
            </w:r>
            <w:r>
              <w:rPr>
                <w:sz w:val="22"/>
                <w:szCs w:val="22"/>
              </w:rPr>
              <w:t>mg</w:t>
            </w:r>
            <w:r>
              <w:rPr>
                <w:sz w:val="22"/>
                <w:szCs w:val="22"/>
                <w:spacing w:val="4"/>
              </w:rPr>
              <w:t>/L、</w:t>
            </w:r>
            <w:r>
              <w:rPr>
                <w:sz w:val="22"/>
                <w:szCs w:val="22"/>
              </w:rPr>
              <w:t>NH</w:t>
            </w:r>
            <w:r>
              <w:rPr>
                <w:rFonts w:ascii="Calibri" w:hAnsi="Calibri" w:eastAsia="Calibri" w:cs="Calibri"/>
                <w:sz w:val="22"/>
                <w:szCs w:val="22"/>
                <w:spacing w:val="4"/>
              </w:rPr>
              <w:t>₃</w:t>
            </w:r>
            <w:r>
              <w:rPr>
                <w:sz w:val="22"/>
                <w:szCs w:val="22"/>
                <w:spacing w:val="4"/>
              </w:rPr>
              <w:t>-N≤5</w:t>
            </w:r>
            <w:r>
              <w:rPr>
                <w:sz w:val="22"/>
                <w:szCs w:val="22"/>
              </w:rPr>
              <w:t>mg</w:t>
            </w:r>
            <w:r>
              <w:rPr>
                <w:sz w:val="22"/>
                <w:szCs w:val="22"/>
                <w:spacing w:val="4"/>
              </w:rPr>
              <w:t>/L)。</w:t>
            </w:r>
          </w:p>
          <w:p>
            <w:pPr>
              <w:pStyle w:val="TableText"/>
              <w:ind w:left="610"/>
              <w:spacing w:before="233" w:line="219" w:lineRule="auto"/>
              <w:rPr>
                <w:sz w:val="22"/>
                <w:szCs w:val="22"/>
              </w:rPr>
            </w:pPr>
            <w:r>
              <w:rPr>
                <w:sz w:val="22"/>
                <w:szCs w:val="22"/>
              </w:rPr>
              <w:t>项目建成后废水达标排放和总量控制指标见下表。</w:t>
            </w:r>
          </w:p>
          <w:p>
            <w:pPr>
              <w:pStyle w:val="TableText"/>
              <w:ind w:left="2173"/>
              <w:spacing w:before="226" w:line="219" w:lineRule="auto"/>
              <w:rPr>
                <w:sz w:val="22"/>
                <w:szCs w:val="22"/>
              </w:rPr>
            </w:pPr>
            <w:r>
              <w:rPr>
                <w:sz w:val="22"/>
                <w:szCs w:val="22"/>
                <w:b/>
                <w:bCs/>
                <w:spacing w:val="13"/>
              </w:rPr>
              <w:t>表3</w:t>
            </w:r>
            <w:r>
              <w:rPr>
                <w:sz w:val="22"/>
                <w:szCs w:val="22"/>
                <w:spacing w:val="-46"/>
              </w:rPr>
              <w:t xml:space="preserve"> </w:t>
            </w:r>
            <w:r>
              <w:rPr>
                <w:sz w:val="22"/>
                <w:szCs w:val="22"/>
                <w:b/>
                <w:bCs/>
                <w:spacing w:val="13"/>
              </w:rPr>
              <w:t>.</w:t>
            </w:r>
            <w:r>
              <w:rPr>
                <w:sz w:val="22"/>
                <w:szCs w:val="22"/>
                <w:spacing w:val="-64"/>
              </w:rPr>
              <w:t xml:space="preserve"> </w:t>
            </w:r>
            <w:r>
              <w:rPr>
                <w:sz w:val="22"/>
                <w:szCs w:val="22"/>
                <w:b/>
                <w:bCs/>
                <w:spacing w:val="13"/>
              </w:rPr>
              <w:t>6-</w:t>
            </w:r>
            <w:r>
              <w:rPr>
                <w:sz w:val="22"/>
                <w:szCs w:val="22"/>
                <w:spacing w:val="-63"/>
              </w:rPr>
              <w:t xml:space="preserve"> </w:t>
            </w:r>
            <w:r>
              <w:rPr>
                <w:sz w:val="22"/>
                <w:szCs w:val="22"/>
                <w:b/>
                <w:bCs/>
                <w:spacing w:val="13"/>
              </w:rPr>
              <w:t>2</w:t>
            </w:r>
            <w:r>
              <w:rPr>
                <w:sz w:val="22"/>
                <w:szCs w:val="22"/>
                <w:spacing w:val="3"/>
              </w:rPr>
              <w:t xml:space="preserve">   </w:t>
            </w:r>
            <w:r>
              <w:rPr>
                <w:sz w:val="22"/>
                <w:szCs w:val="22"/>
                <w:b/>
                <w:bCs/>
                <w:spacing w:val="13"/>
              </w:rPr>
              <w:t>项目废水排放总量</w:t>
            </w:r>
            <w:r>
              <w:rPr>
                <w:sz w:val="22"/>
                <w:szCs w:val="22"/>
                <w:spacing w:val="-62"/>
              </w:rPr>
              <w:t xml:space="preserve"> </w:t>
            </w:r>
            <w:r>
              <w:rPr>
                <w:sz w:val="22"/>
                <w:szCs w:val="22"/>
                <w:b/>
                <w:bCs/>
                <w:spacing w:val="13"/>
              </w:rPr>
              <w:t>一</w:t>
            </w:r>
            <w:r>
              <w:rPr>
                <w:sz w:val="22"/>
                <w:szCs w:val="22"/>
                <w:spacing w:val="-62"/>
              </w:rPr>
              <w:t xml:space="preserve"> </w:t>
            </w:r>
            <w:r>
              <w:rPr>
                <w:sz w:val="22"/>
                <w:szCs w:val="22"/>
                <w:b/>
                <w:bCs/>
                <w:spacing w:val="13"/>
              </w:rPr>
              <w:t>览表</w:t>
            </w:r>
          </w:p>
        </w:tc>
      </w:tr>
      <w:tr>
        <w:trPr>
          <w:trHeight w:val="559" w:hRule="atLeast"/>
        </w:trPr>
        <w:tc>
          <w:tcPr>
            <w:tcW w:w="405" w:type="dxa"/>
            <w:vAlign w:val="top"/>
            <w:vMerge w:val="continue"/>
            <w:tcBorders>
              <w:top w:val="nil"/>
              <w:bottom w:val="nil"/>
            </w:tcBorders>
          </w:tcPr>
          <w:p>
            <w:pPr>
              <w:rPr>
                <w:rFonts w:ascii="Arial"/>
                <w:sz w:val="21"/>
              </w:rPr>
            </w:pPr>
            <w:r/>
          </w:p>
        </w:tc>
        <w:tc>
          <w:tcPr>
            <w:tcW w:w="899" w:type="dxa"/>
            <w:vAlign w:val="top"/>
          </w:tcPr>
          <w:p>
            <w:pPr>
              <w:pStyle w:val="TableText"/>
              <w:ind w:left="280"/>
              <w:spacing w:before="172" w:line="219" w:lineRule="auto"/>
              <w:rPr>
                <w:sz w:val="22"/>
                <w:szCs w:val="22"/>
              </w:rPr>
            </w:pPr>
            <w:r>
              <w:rPr>
                <w:sz w:val="22"/>
                <w:szCs w:val="22"/>
                <w:spacing w:val="8"/>
              </w:rPr>
              <w:t>类别</w:t>
            </w:r>
          </w:p>
        </w:tc>
        <w:tc>
          <w:tcPr>
            <w:tcW w:w="889" w:type="dxa"/>
            <w:vAlign w:val="top"/>
          </w:tcPr>
          <w:p>
            <w:pPr>
              <w:pStyle w:val="TableText"/>
              <w:ind w:left="160" w:right="126" w:hanging="59"/>
              <w:spacing w:before="62" w:line="204" w:lineRule="auto"/>
              <w:rPr>
                <w:sz w:val="22"/>
                <w:szCs w:val="22"/>
              </w:rPr>
            </w:pPr>
            <w:r>
              <w:rPr>
                <w:sz w:val="22"/>
                <w:szCs w:val="22"/>
                <w:spacing w:val="-3"/>
              </w:rPr>
              <w:t>排放量</w:t>
            </w:r>
            <w:r>
              <w:rPr>
                <w:sz w:val="22"/>
                <w:szCs w:val="22"/>
              </w:rPr>
              <w:t xml:space="preserve"> </w:t>
            </w:r>
            <w:r>
              <w:rPr>
                <w:sz w:val="22"/>
                <w:szCs w:val="22"/>
                <w:spacing w:val="-8"/>
              </w:rPr>
              <w:t>(t/a)</w:t>
            </w:r>
          </w:p>
        </w:tc>
        <w:tc>
          <w:tcPr>
            <w:tcW w:w="3746" w:type="dxa"/>
            <w:vAlign w:val="top"/>
            <w:gridSpan w:val="2"/>
          </w:tcPr>
          <w:p>
            <w:pPr>
              <w:pStyle w:val="TableText"/>
              <w:ind w:left="1472"/>
              <w:spacing w:before="172" w:line="220" w:lineRule="auto"/>
              <w:rPr>
                <w:sz w:val="22"/>
                <w:szCs w:val="22"/>
              </w:rPr>
            </w:pPr>
            <w:r>
              <w:rPr>
                <w:sz w:val="22"/>
                <w:szCs w:val="22"/>
                <w:spacing w:val="2"/>
              </w:rPr>
              <w:t>污染物名称</w:t>
            </w:r>
          </w:p>
        </w:tc>
        <w:tc>
          <w:tcPr>
            <w:tcW w:w="1328" w:type="dxa"/>
            <w:vAlign w:val="top"/>
          </w:tcPr>
          <w:p>
            <w:pPr>
              <w:pStyle w:val="TableText"/>
              <w:ind w:left="106"/>
              <w:spacing w:before="72" w:line="195" w:lineRule="auto"/>
              <w:rPr>
                <w:sz w:val="22"/>
                <w:szCs w:val="22"/>
              </w:rPr>
            </w:pPr>
            <w:r>
              <w:rPr>
                <w:sz w:val="22"/>
                <w:szCs w:val="22"/>
                <w:spacing w:val="2"/>
              </w:rPr>
              <w:t>预测排放浓</w:t>
            </w:r>
          </w:p>
          <w:p>
            <w:pPr>
              <w:pStyle w:val="TableText"/>
              <w:ind w:left="216"/>
              <w:spacing w:line="204" w:lineRule="auto"/>
              <w:rPr>
                <w:sz w:val="22"/>
                <w:szCs w:val="22"/>
              </w:rPr>
            </w:pPr>
            <w:r>
              <w:rPr>
                <w:sz w:val="22"/>
                <w:szCs w:val="22"/>
                <w:spacing w:val="9"/>
              </w:rPr>
              <w:t>度(</w:t>
            </w:r>
            <w:r>
              <w:rPr>
                <w:sz w:val="22"/>
                <w:szCs w:val="22"/>
              </w:rPr>
              <w:t>mg</w:t>
            </w:r>
            <w:r>
              <w:rPr>
                <w:sz w:val="22"/>
                <w:szCs w:val="22"/>
                <w:spacing w:val="9"/>
              </w:rPr>
              <w:t>/L)</w:t>
            </w:r>
          </w:p>
        </w:tc>
        <w:tc>
          <w:tcPr>
            <w:tcW w:w="1483" w:type="dxa"/>
            <w:vAlign w:val="top"/>
          </w:tcPr>
          <w:p>
            <w:pPr>
              <w:pStyle w:val="TableText"/>
              <w:ind w:left="188"/>
              <w:spacing w:before="101" w:line="196" w:lineRule="auto"/>
              <w:rPr>
                <w:sz w:val="21"/>
                <w:szCs w:val="21"/>
              </w:rPr>
            </w:pPr>
            <w:r>
              <w:rPr>
                <w:sz w:val="21"/>
                <w:szCs w:val="21"/>
                <w:spacing w:val="11"/>
              </w:rPr>
              <w:t>预测排放量</w:t>
            </w:r>
          </w:p>
          <w:p>
            <w:pPr>
              <w:pStyle w:val="TableText"/>
              <w:ind w:left="458"/>
              <w:spacing w:line="197" w:lineRule="auto"/>
              <w:rPr>
                <w:sz w:val="21"/>
                <w:szCs w:val="21"/>
              </w:rPr>
            </w:pPr>
            <w:r>
              <w:rPr>
                <w:sz w:val="21"/>
                <w:szCs w:val="21"/>
                <w:spacing w:val="-8"/>
              </w:rPr>
              <w:t>(t/a)</w:t>
            </w:r>
          </w:p>
        </w:tc>
      </w:tr>
      <w:tr>
        <w:trPr>
          <w:trHeight w:val="280" w:hRule="atLeast"/>
        </w:trPr>
        <w:tc>
          <w:tcPr>
            <w:tcW w:w="405" w:type="dxa"/>
            <w:vAlign w:val="top"/>
            <w:vMerge w:val="continue"/>
            <w:tcBorders>
              <w:top w:val="nil"/>
              <w:bottom w:val="nil"/>
            </w:tcBorders>
          </w:tcPr>
          <w:p>
            <w:pPr>
              <w:rPr>
                <w:rFonts w:ascii="Arial"/>
                <w:sz w:val="21"/>
              </w:rPr>
            </w:pPr>
            <w:r/>
          </w:p>
        </w:tc>
        <w:tc>
          <w:tcPr>
            <w:tcW w:w="899" w:type="dxa"/>
            <w:vAlign w:val="top"/>
            <w:vMerge w:val="restart"/>
            <w:tcBorders>
              <w:bottom w:val="nil"/>
            </w:tcBorders>
          </w:tcPr>
          <w:p>
            <w:pPr>
              <w:spacing w:line="300" w:lineRule="auto"/>
              <w:rPr>
                <w:rFonts w:ascii="Arial"/>
                <w:sz w:val="21"/>
              </w:rPr>
            </w:pPr>
            <w:r/>
          </w:p>
          <w:p>
            <w:pPr>
              <w:pStyle w:val="TableText"/>
              <w:ind w:left="280" w:right="158"/>
              <w:spacing w:before="72" w:line="214" w:lineRule="auto"/>
              <w:rPr>
                <w:sz w:val="22"/>
                <w:szCs w:val="22"/>
              </w:rPr>
            </w:pPr>
            <w:r>
              <w:rPr>
                <w:sz w:val="22"/>
                <w:szCs w:val="22"/>
                <w:spacing w:val="-6"/>
              </w:rPr>
              <w:t>生活</w:t>
            </w:r>
            <w:r>
              <w:rPr>
                <w:sz w:val="22"/>
                <w:szCs w:val="22"/>
              </w:rPr>
              <w:t xml:space="preserve"> </w:t>
            </w:r>
            <w:r>
              <w:rPr>
                <w:sz w:val="22"/>
                <w:szCs w:val="22"/>
                <w:spacing w:val="5"/>
              </w:rPr>
              <w:t>污水</w:t>
            </w:r>
          </w:p>
        </w:tc>
        <w:tc>
          <w:tcPr>
            <w:tcW w:w="889" w:type="dxa"/>
            <w:vAlign w:val="top"/>
            <w:vMerge w:val="restart"/>
            <w:tcBorders>
              <w:bottom w:val="nil"/>
            </w:tcBorders>
          </w:tcPr>
          <w:p>
            <w:pPr>
              <w:spacing w:line="464" w:lineRule="auto"/>
              <w:rPr>
                <w:rFonts w:ascii="Arial"/>
                <w:sz w:val="21"/>
              </w:rPr>
            </w:pPr>
            <w:r/>
          </w:p>
          <w:p>
            <w:pPr>
              <w:pStyle w:val="TableText"/>
              <w:ind w:left="161"/>
              <w:spacing w:before="71" w:line="184" w:lineRule="auto"/>
              <w:rPr>
                <w:sz w:val="22"/>
                <w:szCs w:val="22"/>
              </w:rPr>
            </w:pPr>
            <w:r>
              <w:rPr>
                <w:sz w:val="22"/>
                <w:szCs w:val="22"/>
                <w:spacing w:val="-3"/>
              </w:rPr>
              <w:t>55110</w:t>
            </w:r>
          </w:p>
        </w:tc>
        <w:tc>
          <w:tcPr>
            <w:tcW w:w="2787" w:type="dxa"/>
            <w:vAlign w:val="top"/>
            <w:vMerge w:val="restart"/>
            <w:tcBorders>
              <w:bottom w:val="nil"/>
            </w:tcBorders>
          </w:tcPr>
          <w:p>
            <w:pPr>
              <w:pStyle w:val="TableText"/>
              <w:ind w:left="502"/>
              <w:spacing w:before="183" w:line="219" w:lineRule="auto"/>
              <w:rPr>
                <w:sz w:val="22"/>
                <w:szCs w:val="22"/>
              </w:rPr>
            </w:pPr>
            <w:r>
              <w:rPr>
                <w:sz w:val="22"/>
                <w:szCs w:val="22"/>
                <w:spacing w:val="-2"/>
              </w:rPr>
              <w:t>污染物纳管排放量</w:t>
            </w:r>
          </w:p>
        </w:tc>
        <w:tc>
          <w:tcPr>
            <w:tcW w:w="959" w:type="dxa"/>
            <w:vAlign w:val="top"/>
          </w:tcPr>
          <w:p>
            <w:pPr>
              <w:pStyle w:val="TableText"/>
              <w:ind w:left="195"/>
              <w:spacing w:before="89" w:line="181" w:lineRule="exact"/>
              <w:rPr>
                <w:sz w:val="22"/>
                <w:szCs w:val="22"/>
              </w:rPr>
            </w:pPr>
            <w:r>
              <w:rPr>
                <w:sz w:val="22"/>
                <w:szCs w:val="22"/>
                <w:spacing w:val="-2"/>
                <w:position w:val="-2"/>
              </w:rPr>
              <w:t>CODcr</w:t>
            </w:r>
          </w:p>
        </w:tc>
        <w:tc>
          <w:tcPr>
            <w:tcW w:w="1328" w:type="dxa"/>
            <w:vAlign w:val="top"/>
          </w:tcPr>
          <w:p>
            <w:pPr>
              <w:pStyle w:val="TableText"/>
              <w:ind w:left="496"/>
              <w:spacing w:before="89" w:line="181" w:lineRule="exact"/>
              <w:rPr>
                <w:sz w:val="22"/>
                <w:szCs w:val="22"/>
              </w:rPr>
            </w:pPr>
            <w:r>
              <w:rPr>
                <w:sz w:val="22"/>
                <w:szCs w:val="22"/>
                <w:spacing w:val="-3"/>
                <w:position w:val="-2"/>
              </w:rPr>
              <w:t>500</w:t>
            </w:r>
          </w:p>
        </w:tc>
        <w:tc>
          <w:tcPr>
            <w:tcW w:w="1483" w:type="dxa"/>
            <w:vAlign w:val="top"/>
          </w:tcPr>
          <w:p>
            <w:pPr>
              <w:pStyle w:val="TableText"/>
              <w:ind w:left="408"/>
              <w:spacing w:before="89" w:line="181" w:lineRule="exact"/>
              <w:rPr>
                <w:sz w:val="22"/>
                <w:szCs w:val="22"/>
              </w:rPr>
            </w:pPr>
            <w:r>
              <w:rPr>
                <w:sz w:val="22"/>
                <w:szCs w:val="22"/>
                <w:spacing w:val="-2"/>
                <w:position w:val="-2"/>
              </w:rPr>
              <w:t>4.6800</w:t>
            </w:r>
          </w:p>
        </w:tc>
      </w:tr>
      <w:tr>
        <w:trPr>
          <w:trHeight w:val="290" w:hRule="atLeast"/>
        </w:trPr>
        <w:tc>
          <w:tcPr>
            <w:tcW w:w="405" w:type="dxa"/>
            <w:vAlign w:val="top"/>
            <w:vMerge w:val="continue"/>
            <w:tcBorders>
              <w:top w:val="nil"/>
              <w:bottom w:val="nil"/>
            </w:tcBorders>
          </w:tcPr>
          <w:p>
            <w:pPr>
              <w:rPr>
                <w:rFonts w:ascii="Arial"/>
                <w:sz w:val="21"/>
              </w:rPr>
            </w:pPr>
            <w:r/>
          </w:p>
        </w:tc>
        <w:tc>
          <w:tcPr>
            <w:tcW w:w="899" w:type="dxa"/>
            <w:vAlign w:val="top"/>
            <w:vMerge w:val="continue"/>
            <w:tcBorders>
              <w:top w:val="nil"/>
              <w:bottom w:val="nil"/>
            </w:tcBorders>
          </w:tcPr>
          <w:p>
            <w:pPr>
              <w:rPr>
                <w:rFonts w:ascii="Arial"/>
                <w:sz w:val="21"/>
              </w:rPr>
            </w:pPr>
            <w:r/>
          </w:p>
        </w:tc>
        <w:tc>
          <w:tcPr>
            <w:tcW w:w="889" w:type="dxa"/>
            <w:vAlign w:val="top"/>
            <w:vMerge w:val="continue"/>
            <w:tcBorders>
              <w:top w:val="nil"/>
              <w:bottom w:val="nil"/>
            </w:tcBorders>
          </w:tcPr>
          <w:p>
            <w:pPr>
              <w:rPr>
                <w:rFonts w:ascii="Arial"/>
                <w:sz w:val="21"/>
              </w:rPr>
            </w:pPr>
            <w:r/>
          </w:p>
        </w:tc>
        <w:tc>
          <w:tcPr>
            <w:tcW w:w="2787" w:type="dxa"/>
            <w:vAlign w:val="top"/>
            <w:vMerge w:val="continue"/>
            <w:tcBorders>
              <w:top w:val="nil"/>
            </w:tcBorders>
          </w:tcPr>
          <w:p>
            <w:pPr>
              <w:rPr>
                <w:rFonts w:ascii="Arial"/>
                <w:sz w:val="21"/>
              </w:rPr>
            </w:pPr>
            <w:r/>
          </w:p>
        </w:tc>
        <w:tc>
          <w:tcPr>
            <w:tcW w:w="959" w:type="dxa"/>
            <w:vAlign w:val="top"/>
          </w:tcPr>
          <w:p>
            <w:pPr>
              <w:pStyle w:val="TableText"/>
              <w:ind w:left="255"/>
              <w:spacing w:before="41" w:line="200" w:lineRule="auto"/>
              <w:rPr>
                <w:sz w:val="22"/>
                <w:szCs w:val="22"/>
              </w:rPr>
            </w:pPr>
            <w:r>
              <w:rPr>
                <w:sz w:val="22"/>
                <w:szCs w:val="22"/>
                <w:spacing w:val="-3"/>
              </w:rPr>
              <w:t>氨氮</w:t>
            </w:r>
          </w:p>
        </w:tc>
        <w:tc>
          <w:tcPr>
            <w:tcW w:w="1328" w:type="dxa"/>
            <w:vAlign w:val="top"/>
          </w:tcPr>
          <w:p>
            <w:pPr>
              <w:pStyle w:val="TableText"/>
              <w:ind w:left="546"/>
              <w:spacing w:before="99" w:line="181" w:lineRule="exact"/>
              <w:rPr>
                <w:sz w:val="22"/>
                <w:szCs w:val="22"/>
              </w:rPr>
            </w:pPr>
            <w:r>
              <w:rPr>
                <w:sz w:val="22"/>
                <w:szCs w:val="22"/>
                <w:spacing w:val="-2"/>
                <w:position w:val="-2"/>
              </w:rPr>
              <w:t>45</w:t>
            </w:r>
          </w:p>
        </w:tc>
        <w:tc>
          <w:tcPr>
            <w:tcW w:w="1483" w:type="dxa"/>
            <w:vAlign w:val="top"/>
          </w:tcPr>
          <w:p>
            <w:pPr>
              <w:pStyle w:val="TableText"/>
              <w:ind w:left="408"/>
              <w:spacing w:before="98" w:line="182" w:lineRule="exact"/>
              <w:rPr>
                <w:sz w:val="22"/>
                <w:szCs w:val="22"/>
              </w:rPr>
            </w:pPr>
            <w:r>
              <w:rPr>
                <w:sz w:val="22"/>
                <w:szCs w:val="22"/>
                <w:spacing w:val="-2"/>
                <w:position w:val="-2"/>
              </w:rPr>
              <w:t>0.4212</w:t>
            </w:r>
          </w:p>
        </w:tc>
      </w:tr>
      <w:tr>
        <w:trPr>
          <w:trHeight w:val="289" w:hRule="atLeast"/>
        </w:trPr>
        <w:tc>
          <w:tcPr>
            <w:tcW w:w="405" w:type="dxa"/>
            <w:vAlign w:val="top"/>
            <w:vMerge w:val="continue"/>
            <w:tcBorders>
              <w:top w:val="nil"/>
              <w:bottom w:val="nil"/>
            </w:tcBorders>
          </w:tcPr>
          <w:p>
            <w:pPr>
              <w:rPr>
                <w:rFonts w:ascii="Arial"/>
                <w:sz w:val="21"/>
              </w:rPr>
            </w:pPr>
            <w:r/>
          </w:p>
        </w:tc>
        <w:tc>
          <w:tcPr>
            <w:tcW w:w="899" w:type="dxa"/>
            <w:vAlign w:val="top"/>
            <w:vMerge w:val="continue"/>
            <w:tcBorders>
              <w:top w:val="nil"/>
              <w:bottom w:val="nil"/>
            </w:tcBorders>
          </w:tcPr>
          <w:p>
            <w:pPr>
              <w:rPr>
                <w:rFonts w:ascii="Arial"/>
                <w:sz w:val="21"/>
              </w:rPr>
            </w:pPr>
            <w:r/>
          </w:p>
        </w:tc>
        <w:tc>
          <w:tcPr>
            <w:tcW w:w="889" w:type="dxa"/>
            <w:vAlign w:val="top"/>
            <w:vMerge w:val="continue"/>
            <w:tcBorders>
              <w:top w:val="nil"/>
              <w:bottom w:val="nil"/>
            </w:tcBorders>
          </w:tcPr>
          <w:p>
            <w:pPr>
              <w:rPr>
                <w:rFonts w:ascii="Arial"/>
                <w:sz w:val="21"/>
              </w:rPr>
            </w:pPr>
            <w:r/>
          </w:p>
        </w:tc>
        <w:tc>
          <w:tcPr>
            <w:tcW w:w="2787" w:type="dxa"/>
            <w:vAlign w:val="top"/>
            <w:vMerge w:val="restart"/>
            <w:tcBorders>
              <w:bottom w:val="nil"/>
            </w:tcBorders>
          </w:tcPr>
          <w:p>
            <w:pPr>
              <w:pStyle w:val="TableText"/>
              <w:ind w:left="122"/>
              <w:spacing w:before="44" w:line="221" w:lineRule="auto"/>
              <w:rPr>
                <w:sz w:val="22"/>
                <w:szCs w:val="22"/>
              </w:rPr>
            </w:pPr>
            <w:r>
              <w:rPr>
                <w:sz w:val="22"/>
                <w:szCs w:val="22"/>
                <w:spacing w:val="1"/>
              </w:rPr>
              <w:t>排放总量(</w:t>
            </w:r>
            <w:r>
              <w:rPr>
                <w:sz w:val="22"/>
                <w:szCs w:val="22"/>
              </w:rPr>
              <w:t>GB</w:t>
            </w:r>
            <w:r>
              <w:rPr>
                <w:sz w:val="22"/>
                <w:szCs w:val="22"/>
                <w:spacing w:val="1"/>
              </w:rPr>
              <w:t>18918-2002一</w:t>
            </w:r>
          </w:p>
          <w:p>
            <w:pPr>
              <w:pStyle w:val="TableText"/>
              <w:ind w:left="942"/>
              <w:spacing w:before="46" w:line="189" w:lineRule="auto"/>
              <w:rPr>
                <w:sz w:val="22"/>
                <w:szCs w:val="22"/>
              </w:rPr>
            </w:pPr>
            <w:r>
              <w:rPr>
                <w:sz w:val="22"/>
                <w:szCs w:val="22"/>
                <w:spacing w:val="9"/>
              </w:rPr>
              <w:t>级A标准)</w:t>
            </w:r>
          </w:p>
        </w:tc>
        <w:tc>
          <w:tcPr>
            <w:tcW w:w="959" w:type="dxa"/>
            <w:vAlign w:val="top"/>
          </w:tcPr>
          <w:p>
            <w:pPr>
              <w:pStyle w:val="TableText"/>
              <w:ind w:left="195"/>
              <w:spacing w:before="99" w:line="180" w:lineRule="exact"/>
              <w:rPr>
                <w:sz w:val="22"/>
                <w:szCs w:val="22"/>
              </w:rPr>
            </w:pPr>
            <w:r>
              <w:rPr>
                <w:sz w:val="22"/>
                <w:szCs w:val="22"/>
                <w:spacing w:val="-2"/>
                <w:position w:val="-2"/>
              </w:rPr>
              <w:t>CODcr</w:t>
            </w:r>
          </w:p>
        </w:tc>
        <w:tc>
          <w:tcPr>
            <w:tcW w:w="1328" w:type="dxa"/>
            <w:vAlign w:val="top"/>
          </w:tcPr>
          <w:p>
            <w:pPr>
              <w:pStyle w:val="TableText"/>
              <w:ind w:left="546"/>
              <w:spacing w:before="99" w:line="180" w:lineRule="exact"/>
              <w:rPr>
                <w:sz w:val="22"/>
                <w:szCs w:val="22"/>
              </w:rPr>
            </w:pPr>
            <w:r>
              <w:rPr>
                <w:sz w:val="22"/>
                <w:szCs w:val="22"/>
                <w:spacing w:val="-4"/>
                <w:position w:val="-2"/>
              </w:rPr>
              <w:t>50</w:t>
            </w:r>
          </w:p>
        </w:tc>
        <w:tc>
          <w:tcPr>
            <w:tcW w:w="1483" w:type="dxa"/>
            <w:vAlign w:val="top"/>
          </w:tcPr>
          <w:p>
            <w:pPr>
              <w:pStyle w:val="TableText"/>
              <w:ind w:left="408"/>
              <w:spacing w:before="99" w:line="180" w:lineRule="exact"/>
              <w:rPr>
                <w:sz w:val="22"/>
                <w:szCs w:val="22"/>
              </w:rPr>
            </w:pPr>
            <w:r>
              <w:rPr>
                <w:sz w:val="22"/>
                <w:szCs w:val="22"/>
                <w:spacing w:val="-2"/>
                <w:position w:val="-2"/>
              </w:rPr>
              <w:t>0.4680</w:t>
            </w:r>
          </w:p>
        </w:tc>
      </w:tr>
      <w:tr>
        <w:trPr>
          <w:trHeight w:val="290" w:hRule="atLeast"/>
        </w:trPr>
        <w:tc>
          <w:tcPr>
            <w:tcW w:w="405" w:type="dxa"/>
            <w:vAlign w:val="top"/>
            <w:vMerge w:val="continue"/>
            <w:tcBorders>
              <w:top w:val="nil"/>
              <w:bottom w:val="nil"/>
            </w:tcBorders>
          </w:tcPr>
          <w:p>
            <w:pPr>
              <w:rPr>
                <w:rFonts w:ascii="Arial"/>
                <w:sz w:val="21"/>
              </w:rPr>
            </w:pPr>
            <w:r/>
          </w:p>
        </w:tc>
        <w:tc>
          <w:tcPr>
            <w:tcW w:w="899" w:type="dxa"/>
            <w:vAlign w:val="top"/>
            <w:vMerge w:val="continue"/>
            <w:tcBorders>
              <w:top w:val="nil"/>
            </w:tcBorders>
          </w:tcPr>
          <w:p>
            <w:pPr>
              <w:rPr>
                <w:rFonts w:ascii="Arial"/>
                <w:sz w:val="21"/>
              </w:rPr>
            </w:pPr>
            <w:r/>
          </w:p>
        </w:tc>
        <w:tc>
          <w:tcPr>
            <w:tcW w:w="889" w:type="dxa"/>
            <w:vAlign w:val="top"/>
            <w:vMerge w:val="continue"/>
            <w:tcBorders>
              <w:top w:val="nil"/>
            </w:tcBorders>
          </w:tcPr>
          <w:p>
            <w:pPr>
              <w:rPr>
                <w:rFonts w:ascii="Arial"/>
                <w:sz w:val="21"/>
              </w:rPr>
            </w:pPr>
            <w:r/>
          </w:p>
        </w:tc>
        <w:tc>
          <w:tcPr>
            <w:tcW w:w="2787" w:type="dxa"/>
            <w:vAlign w:val="top"/>
            <w:vMerge w:val="continue"/>
            <w:tcBorders>
              <w:top w:val="nil"/>
            </w:tcBorders>
          </w:tcPr>
          <w:p>
            <w:pPr>
              <w:rPr>
                <w:rFonts w:ascii="Arial"/>
                <w:sz w:val="21"/>
              </w:rPr>
            </w:pPr>
            <w:r/>
          </w:p>
        </w:tc>
        <w:tc>
          <w:tcPr>
            <w:tcW w:w="959" w:type="dxa"/>
            <w:vAlign w:val="top"/>
          </w:tcPr>
          <w:p>
            <w:pPr>
              <w:pStyle w:val="TableText"/>
              <w:ind w:left="255"/>
              <w:spacing w:before="42" w:line="199" w:lineRule="auto"/>
              <w:rPr>
                <w:sz w:val="22"/>
                <w:szCs w:val="22"/>
              </w:rPr>
            </w:pPr>
            <w:r>
              <w:rPr>
                <w:sz w:val="22"/>
                <w:szCs w:val="22"/>
                <w:spacing w:val="-3"/>
              </w:rPr>
              <w:t>氨氮</w:t>
            </w:r>
          </w:p>
        </w:tc>
        <w:tc>
          <w:tcPr>
            <w:tcW w:w="1328" w:type="dxa"/>
            <w:vAlign w:val="top"/>
          </w:tcPr>
          <w:p>
            <w:pPr>
              <w:pStyle w:val="TableText"/>
              <w:ind w:left="605"/>
              <w:spacing w:before="102" w:line="177" w:lineRule="exact"/>
              <w:rPr>
                <w:sz w:val="22"/>
                <w:szCs w:val="22"/>
              </w:rPr>
            </w:pPr>
            <w:r>
              <w:rPr>
                <w:sz w:val="22"/>
                <w:szCs w:val="22"/>
                <w:position w:val="-2"/>
              </w:rPr>
              <w:t>5</w:t>
            </w:r>
          </w:p>
        </w:tc>
        <w:tc>
          <w:tcPr>
            <w:tcW w:w="1483" w:type="dxa"/>
            <w:vAlign w:val="top"/>
          </w:tcPr>
          <w:p>
            <w:pPr>
              <w:pStyle w:val="TableText"/>
              <w:ind w:left="408"/>
              <w:spacing w:before="100" w:line="180" w:lineRule="exact"/>
              <w:rPr>
                <w:sz w:val="22"/>
                <w:szCs w:val="22"/>
              </w:rPr>
            </w:pPr>
            <w:r>
              <w:rPr>
                <w:sz w:val="22"/>
                <w:szCs w:val="22"/>
                <w:spacing w:val="-2"/>
                <w:position w:val="-2"/>
              </w:rPr>
              <w:t>0.0468</w:t>
            </w:r>
          </w:p>
        </w:tc>
      </w:tr>
      <w:tr>
        <w:trPr>
          <w:trHeight w:val="260" w:hRule="atLeast"/>
        </w:trPr>
        <w:tc>
          <w:tcPr>
            <w:tcW w:w="405" w:type="dxa"/>
            <w:vAlign w:val="top"/>
            <w:vMerge w:val="continue"/>
            <w:tcBorders>
              <w:top w:val="nil"/>
              <w:bottom w:val="nil"/>
            </w:tcBorders>
          </w:tcPr>
          <w:p>
            <w:pPr>
              <w:rPr>
                <w:rFonts w:ascii="Arial"/>
                <w:sz w:val="21"/>
              </w:rPr>
            </w:pPr>
            <w:r/>
          </w:p>
        </w:tc>
        <w:tc>
          <w:tcPr>
            <w:tcW w:w="899" w:type="dxa"/>
            <w:vAlign w:val="top"/>
            <w:vMerge w:val="restart"/>
            <w:tcBorders>
              <w:bottom w:val="nil"/>
            </w:tcBorders>
          </w:tcPr>
          <w:p>
            <w:pPr>
              <w:spacing w:line="286" w:lineRule="auto"/>
              <w:rPr>
                <w:rFonts w:ascii="Arial"/>
                <w:sz w:val="21"/>
              </w:rPr>
            </w:pPr>
            <w:r/>
          </w:p>
          <w:p>
            <w:pPr>
              <w:spacing w:line="286" w:lineRule="auto"/>
              <w:rPr>
                <w:rFonts w:ascii="Arial"/>
                <w:sz w:val="21"/>
              </w:rPr>
            </w:pPr>
            <w:r/>
          </w:p>
          <w:p>
            <w:pPr>
              <w:spacing w:line="287" w:lineRule="auto"/>
              <w:rPr>
                <w:rFonts w:ascii="Arial"/>
                <w:sz w:val="21"/>
              </w:rPr>
            </w:pPr>
            <w:r/>
          </w:p>
          <w:p>
            <w:pPr>
              <w:spacing w:line="287" w:lineRule="auto"/>
              <w:rPr>
                <w:rFonts w:ascii="Arial"/>
                <w:sz w:val="21"/>
              </w:rPr>
            </w:pPr>
            <w:r/>
          </w:p>
          <w:p>
            <w:pPr>
              <w:pStyle w:val="TableText"/>
              <w:ind w:left="280" w:right="155"/>
              <w:spacing w:before="71" w:line="231" w:lineRule="auto"/>
              <w:rPr>
                <w:sz w:val="22"/>
                <w:szCs w:val="22"/>
              </w:rPr>
            </w:pPr>
            <w:r>
              <w:rPr>
                <w:sz w:val="22"/>
                <w:szCs w:val="22"/>
                <w:spacing w:val="6"/>
              </w:rPr>
              <w:t>生产</w:t>
            </w:r>
            <w:r>
              <w:rPr>
                <w:sz w:val="22"/>
                <w:szCs w:val="22"/>
              </w:rPr>
              <w:t xml:space="preserve"> </w:t>
            </w:r>
            <w:r>
              <w:rPr>
                <w:sz w:val="22"/>
                <w:szCs w:val="22"/>
                <w:spacing w:val="-2"/>
              </w:rPr>
              <w:t>废水</w:t>
            </w:r>
          </w:p>
        </w:tc>
        <w:tc>
          <w:tcPr>
            <w:tcW w:w="889" w:type="dxa"/>
            <w:vAlign w:val="top"/>
            <w:vMerge w:val="restart"/>
            <w:tcBorders>
              <w:bottom w:val="nil"/>
            </w:tcBorders>
          </w:tcPr>
          <w:p>
            <w:pPr>
              <w:spacing w:line="310" w:lineRule="auto"/>
              <w:rPr>
                <w:rFonts w:ascii="Arial"/>
                <w:sz w:val="21"/>
              </w:rPr>
            </w:pPr>
            <w:r/>
          </w:p>
          <w:p>
            <w:pPr>
              <w:spacing w:line="310" w:lineRule="auto"/>
              <w:rPr>
                <w:rFonts w:ascii="Arial"/>
                <w:sz w:val="21"/>
              </w:rPr>
            </w:pPr>
            <w:r/>
          </w:p>
          <w:p>
            <w:pPr>
              <w:spacing w:line="310" w:lineRule="auto"/>
              <w:rPr>
                <w:rFonts w:ascii="Arial"/>
                <w:sz w:val="21"/>
              </w:rPr>
            </w:pPr>
            <w:r/>
          </w:p>
          <w:p>
            <w:pPr>
              <w:pStyle w:val="TableText"/>
              <w:ind w:left="161" w:right="68"/>
              <w:spacing w:before="72" w:line="217" w:lineRule="auto"/>
              <w:rPr>
                <w:sz w:val="22"/>
                <w:szCs w:val="22"/>
              </w:rPr>
            </w:pPr>
            <w:r>
              <w:rPr>
                <w:sz w:val="22"/>
                <w:szCs w:val="22"/>
                <w:spacing w:val="-5"/>
              </w:rPr>
              <w:t>10530</w:t>
            </w:r>
            <w:r>
              <w:rPr>
                <w:sz w:val="22"/>
                <w:szCs w:val="22"/>
              </w:rPr>
              <w:t xml:space="preserve">  </w:t>
            </w:r>
            <w:r>
              <w:rPr>
                <w:sz w:val="22"/>
                <w:szCs w:val="22"/>
                <w:spacing w:val="33"/>
              </w:rPr>
              <w:t>(阴极</w:t>
            </w:r>
            <w:r>
              <w:rPr>
                <w:sz w:val="22"/>
                <w:szCs w:val="22"/>
              </w:rPr>
              <w:t xml:space="preserve"> </w:t>
            </w:r>
            <w:r>
              <w:rPr>
                <w:sz w:val="22"/>
                <w:szCs w:val="22"/>
                <w:spacing w:val="21"/>
              </w:rPr>
              <w:t>废水</w:t>
            </w:r>
            <w:r>
              <w:rPr>
                <w:sz w:val="22"/>
                <w:szCs w:val="22"/>
              </w:rPr>
              <w:t xml:space="preserve">  </w:t>
            </w:r>
            <w:r>
              <w:rPr>
                <w:sz w:val="22"/>
                <w:szCs w:val="22"/>
                <w:spacing w:val="-3"/>
              </w:rPr>
              <w:t>3240)</w:t>
            </w:r>
          </w:p>
        </w:tc>
        <w:tc>
          <w:tcPr>
            <w:tcW w:w="2787" w:type="dxa"/>
            <w:vAlign w:val="top"/>
            <w:vMerge w:val="restart"/>
            <w:tcBorders>
              <w:bottom w:val="nil"/>
            </w:tcBorders>
          </w:tcPr>
          <w:p>
            <w:pPr>
              <w:spacing w:line="274" w:lineRule="auto"/>
              <w:rPr>
                <w:rFonts w:ascii="Arial"/>
                <w:sz w:val="21"/>
              </w:rPr>
            </w:pPr>
            <w:r/>
          </w:p>
          <w:p>
            <w:pPr>
              <w:spacing w:line="275" w:lineRule="auto"/>
              <w:rPr>
                <w:rFonts w:ascii="Arial"/>
                <w:sz w:val="21"/>
              </w:rPr>
            </w:pPr>
            <w:r/>
          </w:p>
          <w:p>
            <w:pPr>
              <w:pStyle w:val="TableText"/>
              <w:ind w:left="502"/>
              <w:spacing w:before="71" w:line="219" w:lineRule="auto"/>
              <w:rPr>
                <w:sz w:val="22"/>
                <w:szCs w:val="22"/>
              </w:rPr>
            </w:pPr>
            <w:r>
              <w:rPr>
                <w:sz w:val="22"/>
                <w:szCs w:val="22"/>
                <w:spacing w:val="-2"/>
              </w:rPr>
              <w:t>污染物纳管排放量</w:t>
            </w:r>
          </w:p>
        </w:tc>
        <w:tc>
          <w:tcPr>
            <w:tcW w:w="959" w:type="dxa"/>
            <w:vAlign w:val="top"/>
          </w:tcPr>
          <w:p>
            <w:pPr>
              <w:pStyle w:val="TableText"/>
              <w:ind w:left="195"/>
              <w:spacing w:before="80" w:line="170" w:lineRule="exact"/>
              <w:rPr>
                <w:sz w:val="22"/>
                <w:szCs w:val="22"/>
              </w:rPr>
            </w:pPr>
            <w:r>
              <w:rPr>
                <w:sz w:val="22"/>
                <w:szCs w:val="22"/>
                <w:spacing w:val="-2"/>
                <w:position w:val="-3"/>
              </w:rPr>
              <w:t>CODcr</w:t>
            </w:r>
          </w:p>
        </w:tc>
        <w:tc>
          <w:tcPr>
            <w:tcW w:w="1328" w:type="dxa"/>
            <w:vAlign w:val="top"/>
          </w:tcPr>
          <w:p>
            <w:pPr>
              <w:pStyle w:val="TableText"/>
              <w:ind w:left="496"/>
              <w:spacing w:before="79" w:line="171" w:lineRule="exact"/>
              <w:rPr>
                <w:sz w:val="22"/>
                <w:szCs w:val="22"/>
              </w:rPr>
            </w:pPr>
            <w:r>
              <w:rPr>
                <w:sz w:val="22"/>
                <w:szCs w:val="22"/>
                <w:spacing w:val="-6"/>
                <w:position w:val="-3"/>
              </w:rPr>
              <w:t>150</w:t>
            </w:r>
          </w:p>
        </w:tc>
        <w:tc>
          <w:tcPr>
            <w:tcW w:w="1483" w:type="dxa"/>
            <w:vAlign w:val="top"/>
          </w:tcPr>
          <w:p>
            <w:pPr>
              <w:pStyle w:val="TableText"/>
              <w:ind w:left="408"/>
              <w:spacing w:before="79" w:line="171" w:lineRule="exact"/>
              <w:rPr>
                <w:sz w:val="22"/>
                <w:szCs w:val="22"/>
              </w:rPr>
            </w:pPr>
            <w:r>
              <w:rPr>
                <w:sz w:val="22"/>
                <w:szCs w:val="22"/>
                <w:spacing w:val="-4"/>
                <w:position w:val="-3"/>
              </w:rPr>
              <w:t>1.5795</w:t>
            </w:r>
          </w:p>
        </w:tc>
      </w:tr>
      <w:tr>
        <w:trPr>
          <w:trHeight w:val="280" w:hRule="atLeast"/>
        </w:trPr>
        <w:tc>
          <w:tcPr>
            <w:tcW w:w="405" w:type="dxa"/>
            <w:vAlign w:val="top"/>
            <w:vMerge w:val="continue"/>
            <w:tcBorders>
              <w:top w:val="nil"/>
              <w:bottom w:val="nil"/>
            </w:tcBorders>
          </w:tcPr>
          <w:p>
            <w:pPr>
              <w:rPr>
                <w:rFonts w:ascii="Arial"/>
                <w:sz w:val="21"/>
              </w:rPr>
            </w:pPr>
            <w:r/>
          </w:p>
        </w:tc>
        <w:tc>
          <w:tcPr>
            <w:tcW w:w="899" w:type="dxa"/>
            <w:vAlign w:val="top"/>
            <w:vMerge w:val="continue"/>
            <w:tcBorders>
              <w:top w:val="nil"/>
              <w:bottom w:val="nil"/>
            </w:tcBorders>
          </w:tcPr>
          <w:p>
            <w:pPr>
              <w:rPr>
                <w:rFonts w:ascii="Arial"/>
                <w:sz w:val="21"/>
              </w:rPr>
            </w:pPr>
            <w:r/>
          </w:p>
        </w:tc>
        <w:tc>
          <w:tcPr>
            <w:tcW w:w="889" w:type="dxa"/>
            <w:vAlign w:val="top"/>
            <w:vMerge w:val="continue"/>
            <w:tcBorders>
              <w:top w:val="nil"/>
              <w:bottom w:val="nil"/>
            </w:tcBorders>
          </w:tcPr>
          <w:p>
            <w:pPr>
              <w:rPr>
                <w:rFonts w:ascii="Arial"/>
                <w:sz w:val="21"/>
              </w:rPr>
            </w:pPr>
            <w:r/>
          </w:p>
        </w:tc>
        <w:tc>
          <w:tcPr>
            <w:tcW w:w="2787" w:type="dxa"/>
            <w:vAlign w:val="top"/>
            <w:vMerge w:val="continue"/>
            <w:tcBorders>
              <w:top w:val="nil"/>
              <w:bottom w:val="nil"/>
            </w:tcBorders>
          </w:tcPr>
          <w:p>
            <w:pPr>
              <w:rPr>
                <w:rFonts w:ascii="Arial"/>
                <w:sz w:val="21"/>
              </w:rPr>
            </w:pPr>
            <w:r/>
          </w:p>
        </w:tc>
        <w:tc>
          <w:tcPr>
            <w:tcW w:w="959" w:type="dxa"/>
            <w:vAlign w:val="top"/>
          </w:tcPr>
          <w:p>
            <w:pPr>
              <w:pStyle w:val="TableText"/>
              <w:ind w:left="255"/>
              <w:spacing w:before="32" w:line="199" w:lineRule="auto"/>
              <w:rPr>
                <w:sz w:val="22"/>
                <w:szCs w:val="22"/>
              </w:rPr>
            </w:pPr>
            <w:r>
              <w:rPr>
                <w:sz w:val="22"/>
                <w:szCs w:val="22"/>
                <w:spacing w:val="-3"/>
              </w:rPr>
              <w:t>氨氮</w:t>
            </w:r>
          </w:p>
        </w:tc>
        <w:tc>
          <w:tcPr>
            <w:tcW w:w="1328" w:type="dxa"/>
            <w:vAlign w:val="top"/>
          </w:tcPr>
          <w:p>
            <w:pPr>
              <w:pStyle w:val="TableText"/>
              <w:ind w:left="546"/>
              <w:spacing w:before="90" w:line="180" w:lineRule="exact"/>
              <w:rPr>
                <w:sz w:val="22"/>
                <w:szCs w:val="22"/>
              </w:rPr>
            </w:pPr>
            <w:r>
              <w:rPr>
                <w:sz w:val="22"/>
                <w:szCs w:val="22"/>
                <w:spacing w:val="-4"/>
                <w:position w:val="-2"/>
              </w:rPr>
              <w:t>30</w:t>
            </w:r>
          </w:p>
        </w:tc>
        <w:tc>
          <w:tcPr>
            <w:tcW w:w="1483" w:type="dxa"/>
            <w:vAlign w:val="top"/>
          </w:tcPr>
          <w:p>
            <w:pPr>
              <w:pStyle w:val="TableText"/>
              <w:ind w:left="408"/>
              <w:spacing w:before="90" w:line="180" w:lineRule="exact"/>
              <w:rPr>
                <w:sz w:val="22"/>
                <w:szCs w:val="22"/>
              </w:rPr>
            </w:pPr>
            <w:r>
              <w:rPr>
                <w:sz w:val="22"/>
                <w:szCs w:val="22"/>
                <w:spacing w:val="-2"/>
                <w:position w:val="-2"/>
              </w:rPr>
              <w:t>0.3159</w:t>
            </w:r>
          </w:p>
        </w:tc>
      </w:tr>
      <w:tr>
        <w:trPr>
          <w:trHeight w:val="290" w:hRule="atLeast"/>
        </w:trPr>
        <w:tc>
          <w:tcPr>
            <w:tcW w:w="405" w:type="dxa"/>
            <w:vAlign w:val="top"/>
            <w:vMerge w:val="continue"/>
            <w:tcBorders>
              <w:top w:val="nil"/>
              <w:bottom w:val="nil"/>
            </w:tcBorders>
          </w:tcPr>
          <w:p>
            <w:pPr>
              <w:rPr>
                <w:rFonts w:ascii="Arial"/>
                <w:sz w:val="21"/>
              </w:rPr>
            </w:pPr>
            <w:r/>
          </w:p>
        </w:tc>
        <w:tc>
          <w:tcPr>
            <w:tcW w:w="899" w:type="dxa"/>
            <w:vAlign w:val="top"/>
            <w:vMerge w:val="continue"/>
            <w:tcBorders>
              <w:top w:val="nil"/>
              <w:bottom w:val="nil"/>
            </w:tcBorders>
          </w:tcPr>
          <w:p>
            <w:pPr>
              <w:rPr>
                <w:rFonts w:ascii="Arial"/>
                <w:sz w:val="21"/>
              </w:rPr>
            </w:pPr>
            <w:r/>
          </w:p>
        </w:tc>
        <w:tc>
          <w:tcPr>
            <w:tcW w:w="889" w:type="dxa"/>
            <w:vAlign w:val="top"/>
            <w:vMerge w:val="continue"/>
            <w:tcBorders>
              <w:top w:val="nil"/>
              <w:bottom w:val="nil"/>
            </w:tcBorders>
          </w:tcPr>
          <w:p>
            <w:pPr>
              <w:rPr>
                <w:rFonts w:ascii="Arial"/>
                <w:sz w:val="21"/>
              </w:rPr>
            </w:pPr>
            <w:r/>
          </w:p>
        </w:tc>
        <w:tc>
          <w:tcPr>
            <w:tcW w:w="2787" w:type="dxa"/>
            <w:vAlign w:val="top"/>
            <w:vMerge w:val="continue"/>
            <w:tcBorders>
              <w:top w:val="nil"/>
              <w:bottom w:val="nil"/>
            </w:tcBorders>
          </w:tcPr>
          <w:p>
            <w:pPr>
              <w:rPr>
                <w:rFonts w:ascii="Arial"/>
                <w:sz w:val="21"/>
              </w:rPr>
            </w:pPr>
            <w:r/>
          </w:p>
        </w:tc>
        <w:tc>
          <w:tcPr>
            <w:tcW w:w="959" w:type="dxa"/>
            <w:vAlign w:val="top"/>
          </w:tcPr>
          <w:p>
            <w:pPr>
              <w:pStyle w:val="TableText"/>
              <w:ind w:left="365"/>
              <w:spacing w:before="100" w:line="180" w:lineRule="exact"/>
              <w:rPr>
                <w:sz w:val="22"/>
                <w:szCs w:val="22"/>
              </w:rPr>
            </w:pPr>
            <w:r>
              <w:rPr>
                <w:sz w:val="22"/>
                <w:szCs w:val="22"/>
                <w:spacing w:val="-2"/>
                <w:position w:val="-2"/>
              </w:rPr>
              <w:t>Co</w:t>
            </w:r>
          </w:p>
        </w:tc>
        <w:tc>
          <w:tcPr>
            <w:tcW w:w="1328" w:type="dxa"/>
            <w:vAlign w:val="top"/>
          </w:tcPr>
          <w:p>
            <w:pPr>
              <w:pStyle w:val="TableText"/>
              <w:ind w:left="496"/>
              <w:spacing w:before="99" w:line="181" w:lineRule="exact"/>
              <w:rPr>
                <w:sz w:val="22"/>
                <w:szCs w:val="22"/>
              </w:rPr>
            </w:pPr>
            <w:r>
              <w:rPr>
                <w:sz w:val="22"/>
                <w:szCs w:val="22"/>
                <w:spacing w:val="-3"/>
                <w:position w:val="-2"/>
              </w:rPr>
              <w:t>0.1</w:t>
            </w:r>
          </w:p>
        </w:tc>
        <w:tc>
          <w:tcPr>
            <w:tcW w:w="1483" w:type="dxa"/>
            <w:vAlign w:val="top"/>
          </w:tcPr>
          <w:p>
            <w:pPr>
              <w:pStyle w:val="TableText"/>
              <w:ind w:left="408"/>
              <w:spacing w:before="100" w:line="180" w:lineRule="exact"/>
              <w:rPr>
                <w:sz w:val="22"/>
                <w:szCs w:val="22"/>
              </w:rPr>
            </w:pPr>
            <w:r>
              <w:rPr>
                <w:sz w:val="22"/>
                <w:szCs w:val="22"/>
                <w:spacing w:val="-2"/>
                <w:position w:val="-2"/>
              </w:rPr>
              <w:t>0.0003</w:t>
            </w:r>
          </w:p>
        </w:tc>
      </w:tr>
      <w:tr>
        <w:trPr>
          <w:trHeight w:val="289" w:hRule="atLeast"/>
        </w:trPr>
        <w:tc>
          <w:tcPr>
            <w:tcW w:w="405" w:type="dxa"/>
            <w:vAlign w:val="top"/>
            <w:vMerge w:val="continue"/>
            <w:tcBorders>
              <w:top w:val="nil"/>
              <w:bottom w:val="nil"/>
            </w:tcBorders>
          </w:tcPr>
          <w:p>
            <w:pPr>
              <w:rPr>
                <w:rFonts w:ascii="Arial"/>
                <w:sz w:val="21"/>
              </w:rPr>
            </w:pPr>
            <w:r/>
          </w:p>
        </w:tc>
        <w:tc>
          <w:tcPr>
            <w:tcW w:w="899" w:type="dxa"/>
            <w:vAlign w:val="top"/>
            <w:vMerge w:val="continue"/>
            <w:tcBorders>
              <w:top w:val="nil"/>
              <w:bottom w:val="nil"/>
            </w:tcBorders>
          </w:tcPr>
          <w:p>
            <w:pPr>
              <w:rPr>
                <w:rFonts w:ascii="Arial"/>
                <w:sz w:val="21"/>
              </w:rPr>
            </w:pPr>
            <w:r/>
          </w:p>
        </w:tc>
        <w:tc>
          <w:tcPr>
            <w:tcW w:w="889" w:type="dxa"/>
            <w:vAlign w:val="top"/>
            <w:vMerge w:val="continue"/>
            <w:tcBorders>
              <w:top w:val="nil"/>
              <w:bottom w:val="nil"/>
            </w:tcBorders>
          </w:tcPr>
          <w:p>
            <w:pPr>
              <w:rPr>
                <w:rFonts w:ascii="Arial"/>
                <w:sz w:val="21"/>
              </w:rPr>
            </w:pPr>
            <w:r/>
          </w:p>
        </w:tc>
        <w:tc>
          <w:tcPr>
            <w:tcW w:w="2787" w:type="dxa"/>
            <w:vAlign w:val="top"/>
            <w:vMerge w:val="continue"/>
            <w:tcBorders>
              <w:top w:val="nil"/>
              <w:bottom w:val="nil"/>
            </w:tcBorders>
          </w:tcPr>
          <w:p>
            <w:pPr>
              <w:rPr>
                <w:rFonts w:ascii="Arial"/>
                <w:sz w:val="21"/>
              </w:rPr>
            </w:pPr>
            <w:r/>
          </w:p>
        </w:tc>
        <w:tc>
          <w:tcPr>
            <w:tcW w:w="959" w:type="dxa"/>
            <w:vAlign w:val="top"/>
          </w:tcPr>
          <w:p>
            <w:pPr>
              <w:pStyle w:val="TableText"/>
              <w:ind w:left="365"/>
              <w:spacing w:before="100" w:line="179" w:lineRule="exact"/>
              <w:rPr>
                <w:sz w:val="22"/>
                <w:szCs w:val="22"/>
              </w:rPr>
            </w:pPr>
            <w:r>
              <w:rPr>
                <w:sz w:val="22"/>
                <w:szCs w:val="22"/>
                <w:spacing w:val="-1"/>
                <w:position w:val="-2"/>
              </w:rPr>
              <w:t>Ni</w:t>
            </w:r>
          </w:p>
        </w:tc>
        <w:tc>
          <w:tcPr>
            <w:tcW w:w="1328" w:type="dxa"/>
            <w:vAlign w:val="top"/>
          </w:tcPr>
          <w:p>
            <w:pPr>
              <w:pStyle w:val="TableText"/>
              <w:ind w:left="436"/>
              <w:spacing w:before="100" w:line="179" w:lineRule="exact"/>
              <w:rPr>
                <w:sz w:val="22"/>
                <w:szCs w:val="22"/>
              </w:rPr>
            </w:pPr>
            <w:r>
              <w:rPr>
                <w:sz w:val="22"/>
                <w:szCs w:val="22"/>
                <w:spacing w:val="-2"/>
                <w:position w:val="-2"/>
              </w:rPr>
              <w:t>0.05</w:t>
            </w:r>
          </w:p>
        </w:tc>
        <w:tc>
          <w:tcPr>
            <w:tcW w:w="1483" w:type="dxa"/>
            <w:vAlign w:val="top"/>
          </w:tcPr>
          <w:p>
            <w:pPr>
              <w:pStyle w:val="TableText"/>
              <w:ind w:left="408"/>
              <w:spacing w:before="100" w:line="179" w:lineRule="exact"/>
              <w:rPr>
                <w:sz w:val="22"/>
                <w:szCs w:val="22"/>
              </w:rPr>
            </w:pPr>
            <w:r>
              <w:rPr>
                <w:sz w:val="22"/>
                <w:szCs w:val="22"/>
                <w:spacing w:val="-2"/>
                <w:position w:val="-2"/>
              </w:rPr>
              <w:t>0.0002</w:t>
            </w:r>
          </w:p>
        </w:tc>
      </w:tr>
      <w:tr>
        <w:trPr>
          <w:trHeight w:val="290" w:hRule="atLeast"/>
        </w:trPr>
        <w:tc>
          <w:tcPr>
            <w:tcW w:w="405" w:type="dxa"/>
            <w:vAlign w:val="top"/>
            <w:vMerge w:val="continue"/>
            <w:tcBorders>
              <w:top w:val="nil"/>
              <w:bottom w:val="nil"/>
            </w:tcBorders>
          </w:tcPr>
          <w:p>
            <w:pPr>
              <w:rPr>
                <w:rFonts w:ascii="Arial"/>
                <w:sz w:val="21"/>
              </w:rPr>
            </w:pPr>
            <w:r/>
          </w:p>
        </w:tc>
        <w:tc>
          <w:tcPr>
            <w:tcW w:w="899" w:type="dxa"/>
            <w:vAlign w:val="top"/>
            <w:vMerge w:val="continue"/>
            <w:tcBorders>
              <w:top w:val="nil"/>
              <w:bottom w:val="nil"/>
            </w:tcBorders>
          </w:tcPr>
          <w:p>
            <w:pPr>
              <w:rPr>
                <w:rFonts w:ascii="Arial"/>
                <w:sz w:val="21"/>
              </w:rPr>
            </w:pPr>
            <w:r/>
          </w:p>
        </w:tc>
        <w:tc>
          <w:tcPr>
            <w:tcW w:w="889" w:type="dxa"/>
            <w:vAlign w:val="top"/>
            <w:vMerge w:val="continue"/>
            <w:tcBorders>
              <w:top w:val="nil"/>
              <w:bottom w:val="nil"/>
            </w:tcBorders>
          </w:tcPr>
          <w:p>
            <w:pPr>
              <w:rPr>
                <w:rFonts w:ascii="Arial"/>
                <w:sz w:val="21"/>
              </w:rPr>
            </w:pPr>
            <w:r/>
          </w:p>
        </w:tc>
        <w:tc>
          <w:tcPr>
            <w:tcW w:w="2787" w:type="dxa"/>
            <w:vAlign w:val="top"/>
            <w:vMerge w:val="continue"/>
            <w:tcBorders>
              <w:top w:val="nil"/>
            </w:tcBorders>
          </w:tcPr>
          <w:p>
            <w:pPr>
              <w:rPr>
                <w:rFonts w:ascii="Arial"/>
                <w:sz w:val="21"/>
              </w:rPr>
            </w:pPr>
            <w:r/>
          </w:p>
        </w:tc>
        <w:tc>
          <w:tcPr>
            <w:tcW w:w="959" w:type="dxa"/>
            <w:vAlign w:val="top"/>
          </w:tcPr>
          <w:p>
            <w:pPr>
              <w:pStyle w:val="TableText"/>
              <w:ind w:left="365"/>
              <w:spacing w:before="103" w:line="177" w:lineRule="exact"/>
              <w:rPr>
                <w:sz w:val="22"/>
                <w:szCs w:val="22"/>
              </w:rPr>
            </w:pPr>
            <w:r>
              <w:rPr>
                <w:sz w:val="22"/>
                <w:szCs w:val="22"/>
                <w:spacing w:val="-1"/>
                <w:position w:val="-2"/>
              </w:rPr>
              <w:t>Mn</w:t>
            </w:r>
          </w:p>
        </w:tc>
        <w:tc>
          <w:tcPr>
            <w:tcW w:w="1328" w:type="dxa"/>
            <w:vAlign w:val="top"/>
          </w:tcPr>
          <w:p>
            <w:pPr>
              <w:pStyle w:val="TableText"/>
              <w:ind w:left="496"/>
              <w:spacing w:before="100" w:line="180" w:lineRule="exact"/>
              <w:rPr>
                <w:sz w:val="22"/>
                <w:szCs w:val="22"/>
              </w:rPr>
            </w:pPr>
            <w:r>
              <w:rPr>
                <w:sz w:val="22"/>
                <w:szCs w:val="22"/>
                <w:spacing w:val="-6"/>
                <w:position w:val="-2"/>
              </w:rPr>
              <w:t>1.5</w:t>
            </w:r>
          </w:p>
        </w:tc>
        <w:tc>
          <w:tcPr>
            <w:tcW w:w="1483" w:type="dxa"/>
            <w:vAlign w:val="top"/>
          </w:tcPr>
          <w:p>
            <w:pPr>
              <w:pStyle w:val="TableText"/>
              <w:ind w:left="408"/>
              <w:spacing w:before="101" w:line="178" w:lineRule="exact"/>
              <w:rPr>
                <w:sz w:val="22"/>
                <w:szCs w:val="22"/>
              </w:rPr>
            </w:pPr>
            <w:r>
              <w:rPr>
                <w:sz w:val="22"/>
                <w:szCs w:val="22"/>
                <w:spacing w:val="-2"/>
                <w:position w:val="-2"/>
              </w:rPr>
              <w:t>0.0049</w:t>
            </w:r>
          </w:p>
        </w:tc>
      </w:tr>
      <w:tr>
        <w:trPr>
          <w:trHeight w:val="280" w:hRule="atLeast"/>
        </w:trPr>
        <w:tc>
          <w:tcPr>
            <w:tcW w:w="405" w:type="dxa"/>
            <w:vAlign w:val="top"/>
            <w:vMerge w:val="continue"/>
            <w:tcBorders>
              <w:top w:val="nil"/>
              <w:bottom w:val="nil"/>
            </w:tcBorders>
          </w:tcPr>
          <w:p>
            <w:pPr>
              <w:rPr>
                <w:rFonts w:ascii="Arial"/>
                <w:sz w:val="21"/>
              </w:rPr>
            </w:pPr>
            <w:r/>
          </w:p>
        </w:tc>
        <w:tc>
          <w:tcPr>
            <w:tcW w:w="899" w:type="dxa"/>
            <w:vAlign w:val="top"/>
            <w:vMerge w:val="continue"/>
            <w:tcBorders>
              <w:top w:val="nil"/>
              <w:bottom w:val="nil"/>
            </w:tcBorders>
          </w:tcPr>
          <w:p>
            <w:pPr>
              <w:rPr>
                <w:rFonts w:ascii="Arial"/>
                <w:sz w:val="21"/>
              </w:rPr>
            </w:pPr>
            <w:r/>
          </w:p>
        </w:tc>
        <w:tc>
          <w:tcPr>
            <w:tcW w:w="889" w:type="dxa"/>
            <w:vAlign w:val="top"/>
            <w:vMerge w:val="continue"/>
            <w:tcBorders>
              <w:top w:val="nil"/>
              <w:bottom w:val="nil"/>
            </w:tcBorders>
          </w:tcPr>
          <w:p>
            <w:pPr>
              <w:rPr>
                <w:rFonts w:ascii="Arial"/>
                <w:sz w:val="21"/>
              </w:rPr>
            </w:pPr>
            <w:r/>
          </w:p>
        </w:tc>
        <w:tc>
          <w:tcPr>
            <w:tcW w:w="2787" w:type="dxa"/>
            <w:vAlign w:val="top"/>
            <w:vMerge w:val="restart"/>
            <w:tcBorders>
              <w:bottom w:val="nil"/>
            </w:tcBorders>
          </w:tcPr>
          <w:p>
            <w:pPr>
              <w:spacing w:line="442" w:lineRule="auto"/>
              <w:rPr>
                <w:rFonts w:ascii="Arial"/>
                <w:sz w:val="21"/>
              </w:rPr>
            </w:pPr>
            <w:r/>
          </w:p>
          <w:p>
            <w:pPr>
              <w:pStyle w:val="TableText"/>
              <w:ind w:left="122"/>
              <w:spacing w:before="71" w:line="221" w:lineRule="auto"/>
              <w:rPr>
                <w:sz w:val="22"/>
                <w:szCs w:val="22"/>
              </w:rPr>
            </w:pPr>
            <w:r>
              <w:rPr>
                <w:sz w:val="22"/>
                <w:szCs w:val="22"/>
                <w:spacing w:val="1"/>
              </w:rPr>
              <w:t>排放总量(</w:t>
            </w:r>
            <w:r>
              <w:rPr>
                <w:sz w:val="22"/>
                <w:szCs w:val="22"/>
              </w:rPr>
              <w:t>GB</w:t>
            </w:r>
            <w:r>
              <w:rPr>
                <w:sz w:val="22"/>
                <w:szCs w:val="22"/>
                <w:spacing w:val="1"/>
              </w:rPr>
              <w:t>18918-2002一</w:t>
            </w:r>
          </w:p>
          <w:p>
            <w:pPr>
              <w:pStyle w:val="TableText"/>
              <w:ind w:left="942"/>
              <w:spacing w:before="15" w:line="220" w:lineRule="auto"/>
              <w:rPr>
                <w:sz w:val="22"/>
                <w:szCs w:val="22"/>
              </w:rPr>
            </w:pPr>
            <w:r>
              <w:rPr>
                <w:sz w:val="22"/>
                <w:szCs w:val="22"/>
                <w:spacing w:val="9"/>
              </w:rPr>
              <w:t>级A标准)</w:t>
            </w:r>
          </w:p>
        </w:tc>
        <w:tc>
          <w:tcPr>
            <w:tcW w:w="959" w:type="dxa"/>
            <w:vAlign w:val="top"/>
          </w:tcPr>
          <w:p>
            <w:pPr>
              <w:pStyle w:val="TableText"/>
              <w:ind w:left="195"/>
              <w:spacing w:before="91" w:line="178" w:lineRule="exact"/>
              <w:rPr>
                <w:sz w:val="22"/>
                <w:szCs w:val="22"/>
              </w:rPr>
            </w:pPr>
            <w:r>
              <w:rPr>
                <w:sz w:val="22"/>
                <w:szCs w:val="22"/>
                <w:spacing w:val="-2"/>
                <w:position w:val="-2"/>
              </w:rPr>
              <w:t>CODcr</w:t>
            </w:r>
          </w:p>
        </w:tc>
        <w:tc>
          <w:tcPr>
            <w:tcW w:w="1328" w:type="dxa"/>
            <w:vAlign w:val="top"/>
          </w:tcPr>
          <w:p>
            <w:pPr>
              <w:pStyle w:val="TableText"/>
              <w:ind w:left="546"/>
              <w:spacing w:before="91" w:line="178" w:lineRule="exact"/>
              <w:rPr>
                <w:sz w:val="22"/>
                <w:szCs w:val="22"/>
              </w:rPr>
            </w:pPr>
            <w:r>
              <w:rPr>
                <w:sz w:val="22"/>
                <w:szCs w:val="22"/>
                <w:spacing w:val="-4"/>
                <w:position w:val="-2"/>
              </w:rPr>
              <w:t>50</w:t>
            </w:r>
          </w:p>
        </w:tc>
        <w:tc>
          <w:tcPr>
            <w:tcW w:w="1483" w:type="dxa"/>
            <w:vAlign w:val="top"/>
          </w:tcPr>
          <w:p>
            <w:pPr>
              <w:pStyle w:val="TableText"/>
              <w:ind w:left="411"/>
              <w:spacing w:before="89" w:line="181" w:lineRule="exact"/>
              <w:rPr>
                <w:sz w:val="22"/>
                <w:szCs w:val="22"/>
              </w:rPr>
            </w:pPr>
            <w:r>
              <w:rPr>
                <w:sz w:val="22"/>
                <w:szCs w:val="22"/>
                <w:b/>
                <w:bCs/>
                <w:spacing w:val="-4"/>
                <w:position w:val="-2"/>
              </w:rPr>
              <w:t>0.5265</w:t>
            </w:r>
          </w:p>
        </w:tc>
      </w:tr>
      <w:tr>
        <w:trPr>
          <w:trHeight w:val="290" w:hRule="atLeast"/>
        </w:trPr>
        <w:tc>
          <w:tcPr>
            <w:tcW w:w="405" w:type="dxa"/>
            <w:vAlign w:val="top"/>
            <w:vMerge w:val="continue"/>
            <w:tcBorders>
              <w:top w:val="nil"/>
              <w:bottom w:val="nil"/>
            </w:tcBorders>
          </w:tcPr>
          <w:p>
            <w:pPr>
              <w:rPr>
                <w:rFonts w:ascii="Arial"/>
                <w:sz w:val="21"/>
              </w:rPr>
            </w:pPr>
            <w:r/>
          </w:p>
        </w:tc>
        <w:tc>
          <w:tcPr>
            <w:tcW w:w="899" w:type="dxa"/>
            <w:vAlign w:val="top"/>
            <w:vMerge w:val="continue"/>
            <w:tcBorders>
              <w:top w:val="nil"/>
              <w:bottom w:val="nil"/>
            </w:tcBorders>
          </w:tcPr>
          <w:p>
            <w:pPr>
              <w:rPr>
                <w:rFonts w:ascii="Arial"/>
                <w:sz w:val="21"/>
              </w:rPr>
            </w:pPr>
            <w:r/>
          </w:p>
        </w:tc>
        <w:tc>
          <w:tcPr>
            <w:tcW w:w="889" w:type="dxa"/>
            <w:vAlign w:val="top"/>
            <w:vMerge w:val="continue"/>
            <w:tcBorders>
              <w:top w:val="nil"/>
              <w:bottom w:val="nil"/>
            </w:tcBorders>
          </w:tcPr>
          <w:p>
            <w:pPr>
              <w:rPr>
                <w:rFonts w:ascii="Arial"/>
                <w:sz w:val="21"/>
              </w:rPr>
            </w:pPr>
            <w:r/>
          </w:p>
        </w:tc>
        <w:tc>
          <w:tcPr>
            <w:tcW w:w="2787" w:type="dxa"/>
            <w:vAlign w:val="top"/>
            <w:vMerge w:val="continue"/>
            <w:tcBorders>
              <w:top w:val="nil"/>
              <w:bottom w:val="nil"/>
            </w:tcBorders>
          </w:tcPr>
          <w:p>
            <w:pPr>
              <w:rPr>
                <w:rFonts w:ascii="Arial"/>
                <w:sz w:val="21"/>
              </w:rPr>
            </w:pPr>
            <w:r/>
          </w:p>
        </w:tc>
        <w:tc>
          <w:tcPr>
            <w:tcW w:w="959" w:type="dxa"/>
            <w:vAlign w:val="top"/>
          </w:tcPr>
          <w:p>
            <w:pPr>
              <w:pStyle w:val="TableText"/>
              <w:ind w:left="255"/>
              <w:spacing w:before="44" w:line="198" w:lineRule="auto"/>
              <w:rPr>
                <w:sz w:val="22"/>
                <w:szCs w:val="22"/>
              </w:rPr>
            </w:pPr>
            <w:r>
              <w:rPr>
                <w:sz w:val="22"/>
                <w:szCs w:val="22"/>
                <w:spacing w:val="-3"/>
              </w:rPr>
              <w:t>氨氮</w:t>
            </w:r>
          </w:p>
        </w:tc>
        <w:tc>
          <w:tcPr>
            <w:tcW w:w="1328" w:type="dxa"/>
            <w:vAlign w:val="top"/>
          </w:tcPr>
          <w:p>
            <w:pPr>
              <w:pStyle w:val="TableText"/>
              <w:ind w:left="605"/>
              <w:spacing w:before="103" w:line="177" w:lineRule="exact"/>
              <w:rPr>
                <w:sz w:val="22"/>
                <w:szCs w:val="22"/>
              </w:rPr>
            </w:pPr>
            <w:r>
              <w:rPr>
                <w:sz w:val="22"/>
                <w:szCs w:val="22"/>
                <w:position w:val="-2"/>
              </w:rPr>
              <w:t>5</w:t>
            </w:r>
          </w:p>
        </w:tc>
        <w:tc>
          <w:tcPr>
            <w:tcW w:w="1483" w:type="dxa"/>
            <w:vAlign w:val="top"/>
          </w:tcPr>
          <w:p>
            <w:pPr>
              <w:pStyle w:val="TableText"/>
              <w:ind w:left="411"/>
              <w:spacing w:before="99" w:line="181" w:lineRule="exact"/>
              <w:rPr>
                <w:sz w:val="22"/>
                <w:szCs w:val="22"/>
              </w:rPr>
            </w:pPr>
            <w:r>
              <w:rPr>
                <w:sz w:val="22"/>
                <w:szCs w:val="22"/>
                <w:b/>
                <w:bCs/>
                <w:spacing w:val="-4"/>
                <w:position w:val="-2"/>
              </w:rPr>
              <w:t>0.0527</w:t>
            </w:r>
          </w:p>
        </w:tc>
      </w:tr>
      <w:tr>
        <w:trPr>
          <w:trHeight w:val="290" w:hRule="atLeast"/>
        </w:trPr>
        <w:tc>
          <w:tcPr>
            <w:tcW w:w="405" w:type="dxa"/>
            <w:vAlign w:val="top"/>
            <w:vMerge w:val="continue"/>
            <w:tcBorders>
              <w:top w:val="nil"/>
              <w:bottom w:val="nil"/>
            </w:tcBorders>
          </w:tcPr>
          <w:p>
            <w:pPr>
              <w:rPr>
                <w:rFonts w:ascii="Arial"/>
                <w:sz w:val="21"/>
              </w:rPr>
            </w:pPr>
            <w:r/>
          </w:p>
        </w:tc>
        <w:tc>
          <w:tcPr>
            <w:tcW w:w="899" w:type="dxa"/>
            <w:vAlign w:val="top"/>
            <w:vMerge w:val="continue"/>
            <w:tcBorders>
              <w:top w:val="nil"/>
              <w:bottom w:val="nil"/>
            </w:tcBorders>
          </w:tcPr>
          <w:p>
            <w:pPr>
              <w:rPr>
                <w:rFonts w:ascii="Arial"/>
                <w:sz w:val="21"/>
              </w:rPr>
            </w:pPr>
            <w:r/>
          </w:p>
        </w:tc>
        <w:tc>
          <w:tcPr>
            <w:tcW w:w="889" w:type="dxa"/>
            <w:vAlign w:val="top"/>
            <w:vMerge w:val="continue"/>
            <w:tcBorders>
              <w:top w:val="nil"/>
              <w:bottom w:val="nil"/>
            </w:tcBorders>
          </w:tcPr>
          <w:p>
            <w:pPr>
              <w:rPr>
                <w:rFonts w:ascii="Arial"/>
                <w:sz w:val="21"/>
              </w:rPr>
            </w:pPr>
            <w:r/>
          </w:p>
        </w:tc>
        <w:tc>
          <w:tcPr>
            <w:tcW w:w="2787" w:type="dxa"/>
            <w:vAlign w:val="top"/>
            <w:vMerge w:val="continue"/>
            <w:tcBorders>
              <w:top w:val="nil"/>
              <w:bottom w:val="nil"/>
            </w:tcBorders>
          </w:tcPr>
          <w:p>
            <w:pPr>
              <w:rPr>
                <w:rFonts w:ascii="Arial"/>
                <w:sz w:val="21"/>
              </w:rPr>
            </w:pPr>
            <w:r/>
          </w:p>
        </w:tc>
        <w:tc>
          <w:tcPr>
            <w:tcW w:w="959" w:type="dxa"/>
            <w:vAlign w:val="top"/>
          </w:tcPr>
          <w:p>
            <w:pPr>
              <w:pStyle w:val="TableText"/>
              <w:ind w:left="365"/>
              <w:spacing w:before="101" w:line="178" w:lineRule="exact"/>
              <w:rPr>
                <w:sz w:val="22"/>
                <w:szCs w:val="22"/>
              </w:rPr>
            </w:pPr>
            <w:r>
              <w:rPr>
                <w:sz w:val="22"/>
                <w:szCs w:val="22"/>
                <w:spacing w:val="-2"/>
                <w:position w:val="-2"/>
              </w:rPr>
              <w:t>Co</w:t>
            </w:r>
          </w:p>
        </w:tc>
        <w:tc>
          <w:tcPr>
            <w:tcW w:w="1328" w:type="dxa"/>
            <w:vAlign w:val="top"/>
          </w:tcPr>
          <w:p>
            <w:pPr>
              <w:pStyle w:val="TableText"/>
              <w:ind w:left="605"/>
              <w:spacing w:before="51" w:line="192" w:lineRule="auto"/>
              <w:rPr>
                <w:sz w:val="22"/>
                <w:szCs w:val="22"/>
              </w:rPr>
            </w:pPr>
            <w:r>
              <w:rPr>
                <w:sz w:val="22"/>
                <w:szCs w:val="22"/>
              </w:rPr>
              <w:t>/</w:t>
            </w:r>
          </w:p>
        </w:tc>
        <w:tc>
          <w:tcPr>
            <w:tcW w:w="1483" w:type="dxa"/>
            <w:vAlign w:val="top"/>
          </w:tcPr>
          <w:p>
            <w:pPr>
              <w:pStyle w:val="TableText"/>
              <w:ind w:left="411"/>
              <w:spacing w:before="99" w:line="181" w:lineRule="exact"/>
              <w:rPr>
                <w:sz w:val="22"/>
                <w:szCs w:val="22"/>
              </w:rPr>
            </w:pPr>
            <w:r>
              <w:rPr>
                <w:sz w:val="22"/>
                <w:szCs w:val="22"/>
                <w:b/>
                <w:bCs/>
                <w:spacing w:val="-4"/>
                <w:position w:val="-2"/>
              </w:rPr>
              <w:t>0.0003</w:t>
            </w:r>
          </w:p>
        </w:tc>
      </w:tr>
      <w:tr>
        <w:trPr>
          <w:trHeight w:val="280" w:hRule="atLeast"/>
        </w:trPr>
        <w:tc>
          <w:tcPr>
            <w:tcW w:w="405" w:type="dxa"/>
            <w:vAlign w:val="top"/>
            <w:vMerge w:val="continue"/>
            <w:tcBorders>
              <w:top w:val="nil"/>
              <w:bottom w:val="nil"/>
            </w:tcBorders>
          </w:tcPr>
          <w:p>
            <w:pPr>
              <w:rPr>
                <w:rFonts w:ascii="Arial"/>
                <w:sz w:val="21"/>
              </w:rPr>
            </w:pPr>
            <w:r/>
          </w:p>
        </w:tc>
        <w:tc>
          <w:tcPr>
            <w:tcW w:w="899" w:type="dxa"/>
            <w:vAlign w:val="top"/>
            <w:vMerge w:val="continue"/>
            <w:tcBorders>
              <w:top w:val="nil"/>
              <w:bottom w:val="nil"/>
            </w:tcBorders>
          </w:tcPr>
          <w:p>
            <w:pPr>
              <w:rPr>
                <w:rFonts w:ascii="Arial"/>
                <w:sz w:val="21"/>
              </w:rPr>
            </w:pPr>
            <w:r/>
          </w:p>
        </w:tc>
        <w:tc>
          <w:tcPr>
            <w:tcW w:w="889" w:type="dxa"/>
            <w:vAlign w:val="top"/>
            <w:vMerge w:val="continue"/>
            <w:tcBorders>
              <w:top w:val="nil"/>
              <w:bottom w:val="nil"/>
            </w:tcBorders>
          </w:tcPr>
          <w:p>
            <w:pPr>
              <w:rPr>
                <w:rFonts w:ascii="Arial"/>
                <w:sz w:val="21"/>
              </w:rPr>
            </w:pPr>
            <w:r/>
          </w:p>
        </w:tc>
        <w:tc>
          <w:tcPr>
            <w:tcW w:w="2787" w:type="dxa"/>
            <w:vAlign w:val="top"/>
            <w:vMerge w:val="continue"/>
            <w:tcBorders>
              <w:top w:val="nil"/>
              <w:bottom w:val="nil"/>
            </w:tcBorders>
          </w:tcPr>
          <w:p>
            <w:pPr>
              <w:rPr>
                <w:rFonts w:ascii="Arial"/>
                <w:sz w:val="21"/>
              </w:rPr>
            </w:pPr>
            <w:r/>
          </w:p>
        </w:tc>
        <w:tc>
          <w:tcPr>
            <w:tcW w:w="959" w:type="dxa"/>
            <w:vAlign w:val="top"/>
          </w:tcPr>
          <w:p>
            <w:pPr>
              <w:pStyle w:val="TableText"/>
              <w:ind w:left="365"/>
              <w:spacing w:before="91" w:line="178" w:lineRule="exact"/>
              <w:rPr>
                <w:sz w:val="22"/>
                <w:szCs w:val="22"/>
              </w:rPr>
            </w:pPr>
            <w:r>
              <w:rPr>
                <w:sz w:val="22"/>
                <w:szCs w:val="22"/>
                <w:spacing w:val="-1"/>
                <w:position w:val="-2"/>
              </w:rPr>
              <w:t>Ni</w:t>
            </w:r>
          </w:p>
        </w:tc>
        <w:tc>
          <w:tcPr>
            <w:tcW w:w="1328" w:type="dxa"/>
            <w:vAlign w:val="top"/>
          </w:tcPr>
          <w:p>
            <w:pPr>
              <w:pStyle w:val="TableText"/>
              <w:ind w:left="436"/>
              <w:spacing w:before="91" w:line="178" w:lineRule="exact"/>
              <w:rPr>
                <w:sz w:val="22"/>
                <w:szCs w:val="22"/>
              </w:rPr>
            </w:pPr>
            <w:r>
              <w:rPr>
                <w:sz w:val="22"/>
                <w:szCs w:val="22"/>
                <w:spacing w:val="-2"/>
                <w:position w:val="-2"/>
              </w:rPr>
              <w:t>0.05</w:t>
            </w:r>
          </w:p>
        </w:tc>
        <w:tc>
          <w:tcPr>
            <w:tcW w:w="1483" w:type="dxa"/>
            <w:vAlign w:val="top"/>
          </w:tcPr>
          <w:p>
            <w:pPr>
              <w:pStyle w:val="TableText"/>
              <w:ind w:left="411"/>
              <w:spacing w:before="89" w:line="181" w:lineRule="exact"/>
              <w:rPr>
                <w:sz w:val="22"/>
                <w:szCs w:val="22"/>
              </w:rPr>
            </w:pPr>
            <w:r>
              <w:rPr>
                <w:sz w:val="22"/>
                <w:szCs w:val="22"/>
                <w:b/>
                <w:bCs/>
                <w:spacing w:val="-4"/>
                <w:position w:val="-2"/>
              </w:rPr>
              <w:t>0.0002</w:t>
            </w:r>
          </w:p>
        </w:tc>
      </w:tr>
      <w:tr>
        <w:trPr>
          <w:trHeight w:val="270" w:hRule="atLeast"/>
        </w:trPr>
        <w:tc>
          <w:tcPr>
            <w:tcW w:w="405" w:type="dxa"/>
            <w:vAlign w:val="top"/>
            <w:vMerge w:val="continue"/>
            <w:tcBorders>
              <w:top w:val="nil"/>
              <w:bottom w:val="nil"/>
            </w:tcBorders>
          </w:tcPr>
          <w:p>
            <w:pPr>
              <w:rPr>
                <w:rFonts w:ascii="Arial"/>
                <w:sz w:val="21"/>
              </w:rPr>
            </w:pPr>
            <w:r/>
          </w:p>
        </w:tc>
        <w:tc>
          <w:tcPr>
            <w:tcW w:w="899" w:type="dxa"/>
            <w:vAlign w:val="top"/>
            <w:vMerge w:val="continue"/>
            <w:tcBorders>
              <w:top w:val="nil"/>
            </w:tcBorders>
          </w:tcPr>
          <w:p>
            <w:pPr>
              <w:rPr>
                <w:rFonts w:ascii="Arial"/>
                <w:sz w:val="21"/>
              </w:rPr>
            </w:pPr>
            <w:r/>
          </w:p>
        </w:tc>
        <w:tc>
          <w:tcPr>
            <w:tcW w:w="889" w:type="dxa"/>
            <w:vAlign w:val="top"/>
            <w:vMerge w:val="continue"/>
            <w:tcBorders>
              <w:top w:val="nil"/>
            </w:tcBorders>
          </w:tcPr>
          <w:p>
            <w:pPr>
              <w:rPr>
                <w:rFonts w:ascii="Arial"/>
                <w:sz w:val="21"/>
              </w:rPr>
            </w:pPr>
            <w:r/>
          </w:p>
        </w:tc>
        <w:tc>
          <w:tcPr>
            <w:tcW w:w="2787" w:type="dxa"/>
            <w:vAlign w:val="top"/>
            <w:vMerge w:val="continue"/>
            <w:tcBorders>
              <w:top w:val="nil"/>
            </w:tcBorders>
          </w:tcPr>
          <w:p>
            <w:pPr>
              <w:rPr>
                <w:rFonts w:ascii="Arial"/>
                <w:sz w:val="21"/>
              </w:rPr>
            </w:pPr>
            <w:r/>
          </w:p>
        </w:tc>
        <w:tc>
          <w:tcPr>
            <w:tcW w:w="959" w:type="dxa"/>
            <w:vAlign w:val="top"/>
          </w:tcPr>
          <w:p>
            <w:pPr>
              <w:pStyle w:val="TableText"/>
              <w:ind w:left="365"/>
              <w:spacing w:before="93" w:line="167" w:lineRule="exact"/>
              <w:rPr>
                <w:sz w:val="22"/>
                <w:szCs w:val="22"/>
              </w:rPr>
            </w:pPr>
            <w:r>
              <w:rPr>
                <w:sz w:val="22"/>
                <w:szCs w:val="22"/>
                <w:spacing w:val="-1"/>
                <w:position w:val="-3"/>
              </w:rPr>
              <w:t>Mn</w:t>
            </w:r>
          </w:p>
        </w:tc>
        <w:tc>
          <w:tcPr>
            <w:tcW w:w="1328" w:type="dxa"/>
            <w:vAlign w:val="top"/>
          </w:tcPr>
          <w:p>
            <w:pPr>
              <w:pStyle w:val="TableText"/>
              <w:ind w:left="496"/>
              <w:spacing w:before="91" w:line="168" w:lineRule="exact"/>
              <w:rPr>
                <w:sz w:val="22"/>
                <w:szCs w:val="22"/>
              </w:rPr>
            </w:pPr>
            <w:r>
              <w:rPr>
                <w:sz w:val="22"/>
                <w:szCs w:val="22"/>
                <w:spacing w:val="-3"/>
                <w:position w:val="-3"/>
              </w:rPr>
              <w:t>2.0</w:t>
            </w:r>
          </w:p>
        </w:tc>
        <w:tc>
          <w:tcPr>
            <w:tcW w:w="1483" w:type="dxa"/>
            <w:vAlign w:val="top"/>
          </w:tcPr>
          <w:p>
            <w:pPr>
              <w:pStyle w:val="TableText"/>
              <w:ind w:left="411"/>
              <w:spacing w:before="89" w:line="171" w:lineRule="exact"/>
              <w:rPr>
                <w:sz w:val="22"/>
                <w:szCs w:val="22"/>
              </w:rPr>
            </w:pPr>
            <w:r>
              <w:rPr>
                <w:sz w:val="22"/>
                <w:szCs w:val="22"/>
                <w:b/>
                <w:bCs/>
                <w:spacing w:val="-4"/>
                <w:position w:val="-3"/>
              </w:rPr>
              <w:t>0.0049</w:t>
            </w:r>
          </w:p>
        </w:tc>
      </w:tr>
      <w:tr>
        <w:trPr>
          <w:trHeight w:val="280" w:hRule="atLeast"/>
        </w:trPr>
        <w:tc>
          <w:tcPr>
            <w:tcW w:w="405" w:type="dxa"/>
            <w:vAlign w:val="top"/>
            <w:vMerge w:val="continue"/>
            <w:tcBorders>
              <w:top w:val="nil"/>
              <w:bottom w:val="nil"/>
            </w:tcBorders>
          </w:tcPr>
          <w:p>
            <w:pPr>
              <w:rPr>
                <w:rFonts w:ascii="Arial"/>
                <w:sz w:val="21"/>
              </w:rPr>
            </w:pPr>
            <w:r/>
          </w:p>
        </w:tc>
        <w:tc>
          <w:tcPr>
            <w:tcW w:w="899" w:type="dxa"/>
            <w:vAlign w:val="top"/>
            <w:vMerge w:val="restart"/>
            <w:tcBorders>
              <w:bottom w:val="nil"/>
            </w:tcBorders>
          </w:tcPr>
          <w:p>
            <w:pPr>
              <w:spacing w:line="280" w:lineRule="auto"/>
              <w:rPr>
                <w:rFonts w:ascii="Arial"/>
                <w:sz w:val="21"/>
              </w:rPr>
            </w:pPr>
            <w:r/>
          </w:p>
          <w:p>
            <w:pPr>
              <w:spacing w:line="281" w:lineRule="auto"/>
              <w:rPr>
                <w:rFonts w:ascii="Arial"/>
                <w:sz w:val="21"/>
              </w:rPr>
            </w:pPr>
            <w:r/>
          </w:p>
          <w:p>
            <w:pPr>
              <w:pStyle w:val="TableText"/>
              <w:ind w:left="280"/>
              <w:spacing w:before="71" w:line="221" w:lineRule="auto"/>
              <w:rPr>
                <w:sz w:val="22"/>
                <w:szCs w:val="22"/>
              </w:rPr>
            </w:pPr>
            <w:r>
              <w:rPr>
                <w:sz w:val="22"/>
                <w:szCs w:val="22"/>
                <w:spacing w:val="-3"/>
              </w:rPr>
              <w:t>合计</w:t>
            </w:r>
          </w:p>
        </w:tc>
        <w:tc>
          <w:tcPr>
            <w:tcW w:w="889" w:type="dxa"/>
            <w:vAlign w:val="top"/>
            <w:vMerge w:val="restart"/>
            <w:tcBorders>
              <w:bottom w:val="nil"/>
            </w:tcBorders>
          </w:tcPr>
          <w:p>
            <w:pPr>
              <w:spacing w:line="308" w:lineRule="auto"/>
              <w:rPr>
                <w:rFonts w:ascii="Arial"/>
                <w:sz w:val="21"/>
              </w:rPr>
            </w:pPr>
            <w:r/>
          </w:p>
          <w:p>
            <w:pPr>
              <w:spacing w:line="308" w:lineRule="auto"/>
              <w:rPr>
                <w:rFonts w:ascii="Arial"/>
                <w:sz w:val="21"/>
              </w:rPr>
            </w:pPr>
            <w:r/>
          </w:p>
          <w:p>
            <w:pPr>
              <w:pStyle w:val="TableText"/>
              <w:ind w:left="161"/>
              <w:spacing w:before="72" w:line="183" w:lineRule="auto"/>
              <w:rPr>
                <w:sz w:val="22"/>
                <w:szCs w:val="22"/>
              </w:rPr>
            </w:pPr>
            <w:r>
              <w:rPr>
                <w:sz w:val="22"/>
                <w:szCs w:val="22"/>
                <w:spacing w:val="-2"/>
              </w:rPr>
              <w:t>65640</w:t>
            </w:r>
          </w:p>
        </w:tc>
        <w:tc>
          <w:tcPr>
            <w:tcW w:w="2787" w:type="dxa"/>
            <w:vAlign w:val="top"/>
            <w:vMerge w:val="restart"/>
            <w:tcBorders>
              <w:bottom w:val="nil"/>
            </w:tcBorders>
          </w:tcPr>
          <w:p>
            <w:pPr>
              <w:spacing w:line="280" w:lineRule="auto"/>
              <w:rPr>
                <w:rFonts w:ascii="Arial"/>
                <w:sz w:val="21"/>
              </w:rPr>
            </w:pPr>
            <w:r/>
          </w:p>
          <w:p>
            <w:pPr>
              <w:spacing w:line="281" w:lineRule="auto"/>
              <w:rPr>
                <w:rFonts w:ascii="Arial"/>
                <w:sz w:val="21"/>
              </w:rPr>
            </w:pPr>
            <w:r/>
          </w:p>
          <w:p>
            <w:pPr>
              <w:pStyle w:val="TableText"/>
              <w:ind w:left="942"/>
              <w:spacing w:before="71" w:line="221" w:lineRule="auto"/>
              <w:rPr>
                <w:sz w:val="22"/>
                <w:szCs w:val="22"/>
              </w:rPr>
            </w:pPr>
            <w:r>
              <w:rPr>
                <w:sz w:val="22"/>
                <w:szCs w:val="22"/>
                <w:spacing w:val="-2"/>
              </w:rPr>
              <w:t>排放总量</w:t>
            </w:r>
          </w:p>
        </w:tc>
        <w:tc>
          <w:tcPr>
            <w:tcW w:w="959" w:type="dxa"/>
            <w:vAlign w:val="top"/>
          </w:tcPr>
          <w:p>
            <w:pPr>
              <w:pStyle w:val="TableText"/>
              <w:ind w:left="195"/>
              <w:spacing w:before="91" w:line="178" w:lineRule="exact"/>
              <w:rPr>
                <w:sz w:val="22"/>
                <w:szCs w:val="22"/>
              </w:rPr>
            </w:pPr>
            <w:r>
              <w:rPr>
                <w:sz w:val="22"/>
                <w:szCs w:val="22"/>
                <w:spacing w:val="-2"/>
                <w:position w:val="-2"/>
              </w:rPr>
              <w:t>CODcr</w:t>
            </w:r>
          </w:p>
        </w:tc>
        <w:tc>
          <w:tcPr>
            <w:tcW w:w="1328" w:type="dxa"/>
            <w:vAlign w:val="top"/>
          </w:tcPr>
          <w:p>
            <w:pPr>
              <w:pStyle w:val="TableText"/>
              <w:ind w:left="546"/>
              <w:spacing w:before="91" w:line="178" w:lineRule="exact"/>
              <w:rPr>
                <w:sz w:val="22"/>
                <w:szCs w:val="22"/>
              </w:rPr>
            </w:pPr>
            <w:r>
              <w:rPr>
                <w:sz w:val="22"/>
                <w:szCs w:val="22"/>
                <w:spacing w:val="-4"/>
                <w:position w:val="-2"/>
              </w:rPr>
              <w:t>50</w:t>
            </w:r>
          </w:p>
        </w:tc>
        <w:tc>
          <w:tcPr>
            <w:tcW w:w="1483" w:type="dxa"/>
            <w:vAlign w:val="top"/>
          </w:tcPr>
          <w:p>
            <w:pPr>
              <w:pStyle w:val="TableText"/>
              <w:ind w:left="408"/>
              <w:spacing w:before="91" w:line="178" w:lineRule="exact"/>
              <w:rPr>
                <w:sz w:val="22"/>
                <w:szCs w:val="22"/>
              </w:rPr>
            </w:pPr>
            <w:r>
              <w:rPr>
                <w:sz w:val="22"/>
                <w:szCs w:val="22"/>
                <w:spacing w:val="-2"/>
                <w:position w:val="-2"/>
              </w:rPr>
              <w:t>0.9945</w:t>
            </w:r>
          </w:p>
        </w:tc>
      </w:tr>
      <w:tr>
        <w:trPr>
          <w:trHeight w:val="290" w:hRule="atLeast"/>
        </w:trPr>
        <w:tc>
          <w:tcPr>
            <w:tcW w:w="405" w:type="dxa"/>
            <w:vAlign w:val="top"/>
            <w:vMerge w:val="continue"/>
            <w:tcBorders>
              <w:top w:val="nil"/>
              <w:bottom w:val="nil"/>
            </w:tcBorders>
          </w:tcPr>
          <w:p>
            <w:pPr>
              <w:rPr>
                <w:rFonts w:ascii="Arial"/>
                <w:sz w:val="21"/>
              </w:rPr>
            </w:pPr>
            <w:r/>
          </w:p>
        </w:tc>
        <w:tc>
          <w:tcPr>
            <w:tcW w:w="899" w:type="dxa"/>
            <w:vAlign w:val="top"/>
            <w:vMerge w:val="continue"/>
            <w:tcBorders>
              <w:top w:val="nil"/>
              <w:bottom w:val="nil"/>
            </w:tcBorders>
          </w:tcPr>
          <w:p>
            <w:pPr>
              <w:rPr>
                <w:rFonts w:ascii="Arial"/>
                <w:sz w:val="21"/>
              </w:rPr>
            </w:pPr>
            <w:r/>
          </w:p>
        </w:tc>
        <w:tc>
          <w:tcPr>
            <w:tcW w:w="889" w:type="dxa"/>
            <w:vAlign w:val="top"/>
            <w:vMerge w:val="continue"/>
            <w:tcBorders>
              <w:top w:val="nil"/>
              <w:bottom w:val="nil"/>
            </w:tcBorders>
          </w:tcPr>
          <w:p>
            <w:pPr>
              <w:rPr>
                <w:rFonts w:ascii="Arial"/>
                <w:sz w:val="21"/>
              </w:rPr>
            </w:pPr>
            <w:r/>
          </w:p>
        </w:tc>
        <w:tc>
          <w:tcPr>
            <w:tcW w:w="2787" w:type="dxa"/>
            <w:vAlign w:val="top"/>
            <w:vMerge w:val="continue"/>
            <w:tcBorders>
              <w:top w:val="nil"/>
              <w:bottom w:val="nil"/>
            </w:tcBorders>
          </w:tcPr>
          <w:p>
            <w:pPr>
              <w:rPr>
                <w:rFonts w:ascii="Arial"/>
                <w:sz w:val="21"/>
              </w:rPr>
            </w:pPr>
            <w:r/>
          </w:p>
        </w:tc>
        <w:tc>
          <w:tcPr>
            <w:tcW w:w="959" w:type="dxa"/>
            <w:vAlign w:val="top"/>
          </w:tcPr>
          <w:p>
            <w:pPr>
              <w:pStyle w:val="TableText"/>
              <w:ind w:left="255"/>
              <w:spacing w:before="44" w:line="198" w:lineRule="auto"/>
              <w:rPr>
                <w:sz w:val="22"/>
                <w:szCs w:val="22"/>
              </w:rPr>
            </w:pPr>
            <w:r>
              <w:rPr>
                <w:sz w:val="22"/>
                <w:szCs w:val="22"/>
                <w:spacing w:val="-3"/>
              </w:rPr>
              <w:t>氨氮</w:t>
            </w:r>
          </w:p>
        </w:tc>
        <w:tc>
          <w:tcPr>
            <w:tcW w:w="1328" w:type="dxa"/>
            <w:vAlign w:val="top"/>
          </w:tcPr>
          <w:p>
            <w:pPr>
              <w:pStyle w:val="TableText"/>
              <w:ind w:left="605"/>
              <w:spacing w:before="103" w:line="177" w:lineRule="exact"/>
              <w:rPr>
                <w:sz w:val="22"/>
                <w:szCs w:val="22"/>
              </w:rPr>
            </w:pPr>
            <w:r>
              <w:rPr>
                <w:sz w:val="22"/>
                <w:szCs w:val="22"/>
                <w:position w:val="-2"/>
              </w:rPr>
              <w:t>5</w:t>
            </w:r>
          </w:p>
        </w:tc>
        <w:tc>
          <w:tcPr>
            <w:tcW w:w="1483" w:type="dxa"/>
            <w:vAlign w:val="top"/>
          </w:tcPr>
          <w:p>
            <w:pPr>
              <w:pStyle w:val="TableText"/>
              <w:ind w:left="408"/>
              <w:spacing w:before="101" w:line="178" w:lineRule="exact"/>
              <w:rPr>
                <w:sz w:val="22"/>
                <w:szCs w:val="22"/>
              </w:rPr>
            </w:pPr>
            <w:r>
              <w:rPr>
                <w:sz w:val="22"/>
                <w:szCs w:val="22"/>
                <w:spacing w:val="-2"/>
                <w:position w:val="-2"/>
              </w:rPr>
              <w:t>0.0995</w:t>
            </w:r>
          </w:p>
        </w:tc>
      </w:tr>
      <w:tr>
        <w:trPr>
          <w:trHeight w:val="290" w:hRule="atLeast"/>
        </w:trPr>
        <w:tc>
          <w:tcPr>
            <w:tcW w:w="405" w:type="dxa"/>
            <w:vAlign w:val="top"/>
            <w:vMerge w:val="continue"/>
            <w:tcBorders>
              <w:top w:val="nil"/>
              <w:bottom w:val="nil"/>
            </w:tcBorders>
          </w:tcPr>
          <w:p>
            <w:pPr>
              <w:rPr>
                <w:rFonts w:ascii="Arial"/>
                <w:sz w:val="21"/>
              </w:rPr>
            </w:pPr>
            <w:r/>
          </w:p>
        </w:tc>
        <w:tc>
          <w:tcPr>
            <w:tcW w:w="899" w:type="dxa"/>
            <w:vAlign w:val="top"/>
            <w:vMerge w:val="continue"/>
            <w:tcBorders>
              <w:top w:val="nil"/>
              <w:bottom w:val="nil"/>
            </w:tcBorders>
          </w:tcPr>
          <w:p>
            <w:pPr>
              <w:rPr>
                <w:rFonts w:ascii="Arial"/>
                <w:sz w:val="21"/>
              </w:rPr>
            </w:pPr>
            <w:r/>
          </w:p>
        </w:tc>
        <w:tc>
          <w:tcPr>
            <w:tcW w:w="889" w:type="dxa"/>
            <w:vAlign w:val="top"/>
            <w:vMerge w:val="continue"/>
            <w:tcBorders>
              <w:top w:val="nil"/>
              <w:bottom w:val="nil"/>
            </w:tcBorders>
          </w:tcPr>
          <w:p>
            <w:pPr>
              <w:rPr>
                <w:rFonts w:ascii="Arial"/>
                <w:sz w:val="21"/>
              </w:rPr>
            </w:pPr>
            <w:r/>
          </w:p>
        </w:tc>
        <w:tc>
          <w:tcPr>
            <w:tcW w:w="2787" w:type="dxa"/>
            <w:vAlign w:val="top"/>
            <w:vMerge w:val="continue"/>
            <w:tcBorders>
              <w:top w:val="nil"/>
              <w:bottom w:val="nil"/>
            </w:tcBorders>
          </w:tcPr>
          <w:p>
            <w:pPr>
              <w:rPr>
                <w:rFonts w:ascii="Arial"/>
                <w:sz w:val="21"/>
              </w:rPr>
            </w:pPr>
            <w:r/>
          </w:p>
        </w:tc>
        <w:tc>
          <w:tcPr>
            <w:tcW w:w="959" w:type="dxa"/>
            <w:vAlign w:val="top"/>
          </w:tcPr>
          <w:p>
            <w:pPr>
              <w:pStyle w:val="TableText"/>
              <w:ind w:left="365"/>
              <w:spacing w:before="101" w:line="178" w:lineRule="exact"/>
              <w:rPr>
                <w:sz w:val="22"/>
                <w:szCs w:val="22"/>
              </w:rPr>
            </w:pPr>
            <w:r>
              <w:rPr>
                <w:sz w:val="22"/>
                <w:szCs w:val="22"/>
                <w:spacing w:val="-2"/>
                <w:position w:val="-2"/>
              </w:rPr>
              <w:t>Co</w:t>
            </w:r>
          </w:p>
        </w:tc>
        <w:tc>
          <w:tcPr>
            <w:tcW w:w="1328" w:type="dxa"/>
            <w:vAlign w:val="top"/>
          </w:tcPr>
          <w:p>
            <w:pPr>
              <w:pStyle w:val="TableText"/>
              <w:ind w:left="605"/>
              <w:spacing w:before="51" w:line="192" w:lineRule="auto"/>
              <w:rPr>
                <w:sz w:val="22"/>
                <w:szCs w:val="22"/>
              </w:rPr>
            </w:pPr>
            <w:r>
              <w:rPr>
                <w:sz w:val="22"/>
                <w:szCs w:val="22"/>
              </w:rPr>
              <w:t>/</w:t>
            </w:r>
          </w:p>
        </w:tc>
        <w:tc>
          <w:tcPr>
            <w:tcW w:w="1483" w:type="dxa"/>
            <w:vAlign w:val="top"/>
          </w:tcPr>
          <w:p>
            <w:pPr>
              <w:pStyle w:val="TableText"/>
              <w:ind w:left="408"/>
              <w:spacing w:before="101" w:line="178" w:lineRule="exact"/>
              <w:rPr>
                <w:sz w:val="22"/>
                <w:szCs w:val="22"/>
              </w:rPr>
            </w:pPr>
            <w:r>
              <w:rPr>
                <w:sz w:val="22"/>
                <w:szCs w:val="22"/>
                <w:spacing w:val="-2"/>
                <w:position w:val="-2"/>
              </w:rPr>
              <w:t>0.0003</w:t>
            </w:r>
          </w:p>
        </w:tc>
      </w:tr>
      <w:tr>
        <w:trPr>
          <w:trHeight w:val="290" w:hRule="atLeast"/>
        </w:trPr>
        <w:tc>
          <w:tcPr>
            <w:tcW w:w="405" w:type="dxa"/>
            <w:vAlign w:val="top"/>
            <w:vMerge w:val="continue"/>
            <w:tcBorders>
              <w:top w:val="nil"/>
              <w:bottom w:val="nil"/>
            </w:tcBorders>
          </w:tcPr>
          <w:p>
            <w:pPr>
              <w:rPr>
                <w:rFonts w:ascii="Arial"/>
                <w:sz w:val="21"/>
              </w:rPr>
            </w:pPr>
            <w:r/>
          </w:p>
        </w:tc>
        <w:tc>
          <w:tcPr>
            <w:tcW w:w="899" w:type="dxa"/>
            <w:vAlign w:val="top"/>
            <w:vMerge w:val="continue"/>
            <w:tcBorders>
              <w:top w:val="nil"/>
              <w:bottom w:val="nil"/>
            </w:tcBorders>
          </w:tcPr>
          <w:p>
            <w:pPr>
              <w:rPr>
                <w:rFonts w:ascii="Arial"/>
                <w:sz w:val="21"/>
              </w:rPr>
            </w:pPr>
            <w:r/>
          </w:p>
        </w:tc>
        <w:tc>
          <w:tcPr>
            <w:tcW w:w="889" w:type="dxa"/>
            <w:vAlign w:val="top"/>
            <w:vMerge w:val="continue"/>
            <w:tcBorders>
              <w:top w:val="nil"/>
              <w:bottom w:val="nil"/>
            </w:tcBorders>
          </w:tcPr>
          <w:p>
            <w:pPr>
              <w:rPr>
                <w:rFonts w:ascii="Arial"/>
                <w:sz w:val="21"/>
              </w:rPr>
            </w:pPr>
            <w:r/>
          </w:p>
        </w:tc>
        <w:tc>
          <w:tcPr>
            <w:tcW w:w="2787" w:type="dxa"/>
            <w:vAlign w:val="top"/>
            <w:vMerge w:val="continue"/>
            <w:tcBorders>
              <w:top w:val="nil"/>
              <w:bottom w:val="nil"/>
            </w:tcBorders>
          </w:tcPr>
          <w:p>
            <w:pPr>
              <w:rPr>
                <w:rFonts w:ascii="Arial"/>
                <w:sz w:val="21"/>
              </w:rPr>
            </w:pPr>
            <w:r/>
          </w:p>
        </w:tc>
        <w:tc>
          <w:tcPr>
            <w:tcW w:w="959" w:type="dxa"/>
            <w:vAlign w:val="top"/>
          </w:tcPr>
          <w:p>
            <w:pPr>
              <w:pStyle w:val="TableText"/>
              <w:ind w:left="365"/>
              <w:spacing w:before="101" w:line="178" w:lineRule="exact"/>
              <w:rPr>
                <w:sz w:val="22"/>
                <w:szCs w:val="22"/>
              </w:rPr>
            </w:pPr>
            <w:r>
              <w:rPr>
                <w:sz w:val="22"/>
                <w:szCs w:val="22"/>
                <w:spacing w:val="-1"/>
                <w:position w:val="-2"/>
              </w:rPr>
              <w:t>Ni</w:t>
            </w:r>
          </w:p>
        </w:tc>
        <w:tc>
          <w:tcPr>
            <w:tcW w:w="1328" w:type="dxa"/>
            <w:vAlign w:val="top"/>
          </w:tcPr>
          <w:p>
            <w:pPr>
              <w:pStyle w:val="TableText"/>
              <w:ind w:left="436"/>
              <w:spacing w:before="101" w:line="178" w:lineRule="exact"/>
              <w:rPr>
                <w:sz w:val="22"/>
                <w:szCs w:val="22"/>
              </w:rPr>
            </w:pPr>
            <w:r>
              <w:rPr>
                <w:sz w:val="22"/>
                <w:szCs w:val="22"/>
                <w:spacing w:val="-2"/>
                <w:position w:val="-2"/>
              </w:rPr>
              <w:t>0.05</w:t>
            </w:r>
          </w:p>
        </w:tc>
        <w:tc>
          <w:tcPr>
            <w:tcW w:w="1483" w:type="dxa"/>
            <w:vAlign w:val="top"/>
          </w:tcPr>
          <w:p>
            <w:pPr>
              <w:pStyle w:val="TableText"/>
              <w:ind w:left="408"/>
              <w:spacing w:before="101" w:line="178" w:lineRule="exact"/>
              <w:rPr>
                <w:sz w:val="22"/>
                <w:szCs w:val="22"/>
              </w:rPr>
            </w:pPr>
            <w:r>
              <w:rPr>
                <w:sz w:val="22"/>
                <w:szCs w:val="22"/>
                <w:spacing w:val="-2"/>
                <w:position w:val="-2"/>
              </w:rPr>
              <w:t>0.0002</w:t>
            </w:r>
          </w:p>
        </w:tc>
      </w:tr>
      <w:tr>
        <w:trPr>
          <w:trHeight w:val="280" w:hRule="atLeast"/>
        </w:trPr>
        <w:tc>
          <w:tcPr>
            <w:tcW w:w="405" w:type="dxa"/>
            <w:vAlign w:val="top"/>
            <w:vMerge w:val="continue"/>
            <w:tcBorders>
              <w:top w:val="nil"/>
              <w:bottom w:val="nil"/>
            </w:tcBorders>
          </w:tcPr>
          <w:p>
            <w:pPr>
              <w:rPr>
                <w:rFonts w:ascii="Arial"/>
                <w:sz w:val="21"/>
              </w:rPr>
            </w:pPr>
            <w:r/>
          </w:p>
        </w:tc>
        <w:tc>
          <w:tcPr>
            <w:tcW w:w="899" w:type="dxa"/>
            <w:vAlign w:val="top"/>
            <w:vMerge w:val="continue"/>
            <w:tcBorders>
              <w:top w:val="nil"/>
            </w:tcBorders>
          </w:tcPr>
          <w:p>
            <w:pPr>
              <w:rPr>
                <w:rFonts w:ascii="Arial"/>
                <w:sz w:val="21"/>
              </w:rPr>
            </w:pPr>
            <w:r/>
          </w:p>
        </w:tc>
        <w:tc>
          <w:tcPr>
            <w:tcW w:w="889" w:type="dxa"/>
            <w:vAlign w:val="top"/>
            <w:vMerge w:val="continue"/>
            <w:tcBorders>
              <w:top w:val="nil"/>
            </w:tcBorders>
          </w:tcPr>
          <w:p>
            <w:pPr>
              <w:rPr>
                <w:rFonts w:ascii="Arial"/>
                <w:sz w:val="21"/>
              </w:rPr>
            </w:pPr>
            <w:r/>
          </w:p>
        </w:tc>
        <w:tc>
          <w:tcPr>
            <w:tcW w:w="2787" w:type="dxa"/>
            <w:vAlign w:val="top"/>
            <w:vMerge w:val="continue"/>
            <w:tcBorders>
              <w:top w:val="nil"/>
            </w:tcBorders>
          </w:tcPr>
          <w:p>
            <w:pPr>
              <w:rPr>
                <w:rFonts w:ascii="Arial"/>
                <w:sz w:val="21"/>
              </w:rPr>
            </w:pPr>
            <w:r/>
          </w:p>
        </w:tc>
        <w:tc>
          <w:tcPr>
            <w:tcW w:w="959" w:type="dxa"/>
            <w:vAlign w:val="top"/>
          </w:tcPr>
          <w:p>
            <w:pPr>
              <w:pStyle w:val="TableText"/>
              <w:ind w:left="365"/>
              <w:spacing w:before="93" w:line="177" w:lineRule="exact"/>
              <w:rPr>
                <w:sz w:val="22"/>
                <w:szCs w:val="22"/>
              </w:rPr>
            </w:pPr>
            <w:r>
              <w:rPr>
                <w:sz w:val="22"/>
                <w:szCs w:val="22"/>
                <w:spacing w:val="-1"/>
                <w:position w:val="-2"/>
              </w:rPr>
              <w:t>Mn</w:t>
            </w:r>
          </w:p>
        </w:tc>
        <w:tc>
          <w:tcPr>
            <w:tcW w:w="1328" w:type="dxa"/>
            <w:vAlign w:val="top"/>
          </w:tcPr>
          <w:p>
            <w:pPr>
              <w:pStyle w:val="TableText"/>
              <w:ind w:left="496"/>
              <w:spacing w:before="91" w:line="178" w:lineRule="exact"/>
              <w:rPr>
                <w:sz w:val="22"/>
                <w:szCs w:val="22"/>
              </w:rPr>
            </w:pPr>
            <w:r>
              <w:rPr>
                <w:sz w:val="22"/>
                <w:szCs w:val="22"/>
                <w:spacing w:val="-3"/>
                <w:position w:val="-2"/>
              </w:rPr>
              <w:t>2.0</w:t>
            </w:r>
          </w:p>
        </w:tc>
        <w:tc>
          <w:tcPr>
            <w:tcW w:w="1483" w:type="dxa"/>
            <w:vAlign w:val="top"/>
          </w:tcPr>
          <w:p>
            <w:pPr>
              <w:pStyle w:val="TableText"/>
              <w:ind w:left="408"/>
              <w:spacing w:before="91" w:line="178" w:lineRule="exact"/>
              <w:rPr>
                <w:sz w:val="22"/>
                <w:szCs w:val="22"/>
              </w:rPr>
            </w:pPr>
            <w:r>
              <w:rPr>
                <w:sz w:val="22"/>
                <w:szCs w:val="22"/>
                <w:spacing w:val="-2"/>
                <w:position w:val="-2"/>
              </w:rPr>
              <w:t>0.0049</w:t>
            </w:r>
          </w:p>
        </w:tc>
      </w:tr>
      <w:tr>
        <w:trPr>
          <w:trHeight w:val="559" w:hRule="atLeast"/>
        </w:trPr>
        <w:tc>
          <w:tcPr>
            <w:tcW w:w="405" w:type="dxa"/>
            <w:vAlign w:val="top"/>
            <w:vMerge w:val="continue"/>
            <w:tcBorders>
              <w:top w:val="nil"/>
              <w:bottom w:val="nil"/>
            </w:tcBorders>
          </w:tcPr>
          <w:p>
            <w:pPr>
              <w:rPr>
                <w:rFonts w:ascii="Arial"/>
                <w:sz w:val="21"/>
              </w:rPr>
            </w:pPr>
            <w:r/>
          </w:p>
        </w:tc>
        <w:tc>
          <w:tcPr>
            <w:tcW w:w="8345" w:type="dxa"/>
            <w:vAlign w:val="top"/>
            <w:gridSpan w:val="6"/>
          </w:tcPr>
          <w:p>
            <w:pPr>
              <w:pStyle w:val="TableText"/>
              <w:ind w:left="120" w:firstLine="90"/>
              <w:spacing w:before="72" w:line="200" w:lineRule="auto"/>
              <w:rPr>
                <w:sz w:val="22"/>
                <w:szCs w:val="22"/>
              </w:rPr>
            </w:pPr>
            <w:r>
              <w:rPr>
                <w:sz w:val="22"/>
                <w:szCs w:val="22"/>
                <w:spacing w:val="-2"/>
              </w:rPr>
              <w:t>注：生活污水含锅炉软化水6930t/a,锅炉排污水1</w:t>
            </w:r>
            <w:r>
              <w:rPr>
                <w:sz w:val="22"/>
                <w:szCs w:val="22"/>
                <w:spacing w:val="-3"/>
              </w:rPr>
              <w:t>11550t/a,纯水制备废水17610t/a,循</w:t>
            </w:r>
            <w:r>
              <w:rPr>
                <w:sz w:val="22"/>
                <w:szCs w:val="22"/>
              </w:rPr>
              <w:t xml:space="preserve"> </w:t>
            </w:r>
            <w:r>
              <w:rPr>
                <w:sz w:val="22"/>
                <w:szCs w:val="22"/>
              </w:rPr>
              <w:t>环冷却系统废水9660t/a,不计污染物</w:t>
            </w:r>
            <w:r>
              <w:rPr>
                <w:sz w:val="22"/>
                <w:szCs w:val="22"/>
                <w:spacing w:val="-1"/>
              </w:rPr>
              <w:t>排放量。</w:t>
            </w:r>
          </w:p>
        </w:tc>
      </w:tr>
      <w:tr>
        <w:trPr>
          <w:trHeight w:val="3502" w:hRule="atLeast"/>
        </w:trPr>
        <w:tc>
          <w:tcPr>
            <w:tcW w:w="405" w:type="dxa"/>
            <w:vAlign w:val="top"/>
            <w:vMerge w:val="continue"/>
            <w:tcBorders>
              <w:top w:val="nil"/>
            </w:tcBorders>
          </w:tcPr>
          <w:p>
            <w:pPr>
              <w:rPr>
                <w:rFonts w:ascii="Arial"/>
                <w:sz w:val="21"/>
              </w:rPr>
            </w:pPr>
            <w:r/>
          </w:p>
        </w:tc>
        <w:tc>
          <w:tcPr>
            <w:tcW w:w="8345" w:type="dxa"/>
            <w:vAlign w:val="top"/>
            <w:gridSpan w:val="6"/>
          </w:tcPr>
          <w:p>
            <w:pPr>
              <w:pStyle w:val="TableText"/>
              <w:ind w:left="600"/>
              <w:spacing w:before="236" w:line="219" w:lineRule="auto"/>
              <w:rPr>
                <w:sz w:val="22"/>
                <w:szCs w:val="22"/>
              </w:rPr>
            </w:pPr>
            <w:r>
              <w:rPr>
                <w:sz w:val="22"/>
                <w:szCs w:val="22"/>
              </w:rPr>
              <w:t>扩建后，厂区废水达标排放和总量控制指标见表3.6-3。</w:t>
            </w:r>
          </w:p>
        </w:tc>
      </w:tr>
    </w:tbl>
    <w:p>
      <w:pPr>
        <w:rPr>
          <w:rFonts w:ascii="Arial"/>
          <w:sz w:val="21"/>
        </w:rPr>
      </w:pPr>
      <w:r/>
    </w:p>
    <w:p>
      <w:pPr>
        <w:sectPr>
          <w:footerReference w:type="default" r:id="rId80"/>
          <w:pgSz w:w="11900" w:h="16840"/>
          <w:pgMar w:top="1431" w:right="1514" w:bottom="988" w:left="1624" w:header="0" w:footer="849" w:gutter="0"/>
        </w:sectPr>
        <w:rPr>
          <w:rFonts w:ascii="Arial" w:hAnsi="Arial" w:eastAsia="Arial" w:cs="Arial"/>
          <w:sz w:val="21"/>
          <w:szCs w:val="21"/>
        </w:rPr>
      </w:pPr>
    </w:p>
    <w:p>
      <w:pPr>
        <w:spacing w:line="83" w:lineRule="exact"/>
        <w:rPr/>
      </w:pPr>
      <w:r/>
    </w:p>
    <w:tbl>
      <w:tblPr>
        <w:tblStyle w:val="TableNormal"/>
        <w:tblW w:w="8399" w:type="dxa"/>
        <w:tblInd w:w="42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14"/>
        <w:gridCol w:w="949"/>
        <w:gridCol w:w="2746"/>
        <w:gridCol w:w="959"/>
        <w:gridCol w:w="1328"/>
        <w:gridCol w:w="1503"/>
      </w:tblGrid>
      <w:tr>
        <w:trPr>
          <w:trHeight w:val="414" w:hRule="atLeast"/>
        </w:trPr>
        <w:tc>
          <w:tcPr>
            <w:tcW w:w="8399" w:type="dxa"/>
            <w:vAlign w:val="top"/>
            <w:gridSpan w:val="6"/>
          </w:tcPr>
          <w:p>
            <w:pPr>
              <w:pStyle w:val="TableText"/>
              <w:ind w:left="2668"/>
              <w:spacing w:before="20" w:line="219" w:lineRule="auto"/>
              <w:rPr>
                <w:sz w:val="21"/>
                <w:szCs w:val="21"/>
              </w:rPr>
            </w:pPr>
            <w:r>
              <w:rPr>
                <w:sz w:val="21"/>
                <w:szCs w:val="21"/>
                <w:b/>
                <w:bCs/>
                <w:spacing w:val="-3"/>
              </w:rPr>
              <w:t>表3.6-3扩建后废水污染物排放量</w:t>
            </w:r>
          </w:p>
        </w:tc>
      </w:tr>
      <w:tr>
        <w:trPr>
          <w:trHeight w:val="539" w:hRule="atLeast"/>
        </w:trPr>
        <w:tc>
          <w:tcPr>
            <w:tcW w:w="914" w:type="dxa"/>
            <w:vAlign w:val="top"/>
          </w:tcPr>
          <w:p>
            <w:pPr>
              <w:pStyle w:val="TableText"/>
              <w:ind w:left="294"/>
              <w:spacing w:before="169" w:line="219" w:lineRule="auto"/>
              <w:rPr>
                <w:sz w:val="21"/>
                <w:szCs w:val="21"/>
              </w:rPr>
            </w:pPr>
            <w:r>
              <w:rPr>
                <w:sz w:val="21"/>
                <w:szCs w:val="21"/>
                <w:spacing w:val="8"/>
              </w:rPr>
              <w:t>类别</w:t>
            </w:r>
          </w:p>
        </w:tc>
        <w:tc>
          <w:tcPr>
            <w:tcW w:w="949" w:type="dxa"/>
            <w:vAlign w:val="top"/>
          </w:tcPr>
          <w:p>
            <w:pPr>
              <w:pStyle w:val="TableText"/>
              <w:ind w:left="200" w:right="166" w:hanging="50"/>
              <w:spacing w:before="30" w:line="219" w:lineRule="auto"/>
              <w:rPr>
                <w:sz w:val="21"/>
                <w:szCs w:val="21"/>
              </w:rPr>
            </w:pPr>
            <w:r>
              <w:rPr>
                <w:sz w:val="21"/>
                <w:szCs w:val="21"/>
                <w:spacing w:val="-3"/>
              </w:rPr>
              <w:t>排放量</w:t>
            </w:r>
            <w:r>
              <w:rPr>
                <w:sz w:val="21"/>
                <w:szCs w:val="21"/>
              </w:rPr>
              <w:t xml:space="preserve"> </w:t>
            </w:r>
            <w:r>
              <w:rPr>
                <w:sz w:val="21"/>
                <w:szCs w:val="21"/>
                <w:spacing w:val="-8"/>
              </w:rPr>
              <w:t>(t/a)</w:t>
            </w:r>
          </w:p>
        </w:tc>
        <w:tc>
          <w:tcPr>
            <w:tcW w:w="3705" w:type="dxa"/>
            <w:vAlign w:val="top"/>
            <w:gridSpan w:val="2"/>
          </w:tcPr>
          <w:p>
            <w:pPr>
              <w:pStyle w:val="TableText"/>
              <w:ind w:left="1451"/>
              <w:spacing w:before="170" w:line="220" w:lineRule="auto"/>
              <w:rPr>
                <w:sz w:val="21"/>
                <w:szCs w:val="21"/>
              </w:rPr>
            </w:pPr>
            <w:r>
              <w:rPr>
                <w:sz w:val="21"/>
                <w:szCs w:val="21"/>
                <w:spacing w:val="2"/>
              </w:rPr>
              <w:t>污染物名称</w:t>
            </w:r>
          </w:p>
        </w:tc>
        <w:tc>
          <w:tcPr>
            <w:tcW w:w="1328" w:type="dxa"/>
            <w:vAlign w:val="top"/>
          </w:tcPr>
          <w:p>
            <w:pPr>
              <w:pStyle w:val="TableText"/>
              <w:ind w:left="235" w:right="140" w:hanging="99"/>
              <w:spacing w:before="39" w:line="215" w:lineRule="auto"/>
              <w:rPr>
                <w:sz w:val="21"/>
                <w:szCs w:val="21"/>
              </w:rPr>
            </w:pPr>
            <w:r>
              <w:rPr>
                <w:sz w:val="21"/>
                <w:szCs w:val="21"/>
                <w:spacing w:val="-2"/>
              </w:rPr>
              <w:t>预测排放浓</w:t>
            </w:r>
            <w:r>
              <w:rPr>
                <w:sz w:val="21"/>
                <w:szCs w:val="21"/>
              </w:rPr>
              <w:t xml:space="preserve"> </w:t>
            </w:r>
            <w:r>
              <w:rPr>
                <w:sz w:val="21"/>
                <w:szCs w:val="21"/>
                <w:spacing w:val="9"/>
              </w:rPr>
              <w:t>度(</w:t>
            </w:r>
            <w:r>
              <w:rPr>
                <w:sz w:val="21"/>
                <w:szCs w:val="21"/>
              </w:rPr>
              <w:t>mg</w:t>
            </w:r>
            <w:r>
              <w:rPr>
                <w:sz w:val="21"/>
                <w:szCs w:val="21"/>
                <w:spacing w:val="9"/>
              </w:rPr>
              <w:t>/L)</w:t>
            </w:r>
          </w:p>
        </w:tc>
        <w:tc>
          <w:tcPr>
            <w:tcW w:w="1503" w:type="dxa"/>
            <w:vAlign w:val="top"/>
          </w:tcPr>
          <w:p>
            <w:pPr>
              <w:pStyle w:val="TableText"/>
              <w:ind w:left="219"/>
              <w:spacing w:before="50" w:line="220" w:lineRule="auto"/>
              <w:rPr>
                <w:sz w:val="21"/>
                <w:szCs w:val="21"/>
              </w:rPr>
            </w:pPr>
            <w:r>
              <w:rPr>
                <w:sz w:val="21"/>
                <w:szCs w:val="21"/>
                <w:spacing w:val="-2"/>
              </w:rPr>
              <w:t>预测排放量</w:t>
            </w:r>
          </w:p>
          <w:p>
            <w:pPr>
              <w:pStyle w:val="TableText"/>
              <w:ind w:left="479"/>
              <w:spacing w:before="2" w:line="199" w:lineRule="auto"/>
              <w:rPr>
                <w:sz w:val="21"/>
                <w:szCs w:val="21"/>
              </w:rPr>
            </w:pPr>
            <w:r>
              <w:rPr>
                <w:sz w:val="21"/>
                <w:szCs w:val="21"/>
                <w:spacing w:val="-8"/>
              </w:rPr>
              <w:t>(t/a)</w:t>
            </w:r>
          </w:p>
        </w:tc>
      </w:tr>
      <w:tr>
        <w:trPr>
          <w:trHeight w:val="290" w:hRule="atLeast"/>
        </w:trPr>
        <w:tc>
          <w:tcPr>
            <w:tcW w:w="914" w:type="dxa"/>
            <w:vAlign w:val="top"/>
            <w:vMerge w:val="restart"/>
            <w:tcBorders>
              <w:bottom w:val="nil"/>
            </w:tcBorders>
          </w:tcPr>
          <w:p>
            <w:pPr>
              <w:spacing w:line="291" w:lineRule="auto"/>
              <w:rPr>
                <w:rFonts w:ascii="Arial"/>
                <w:sz w:val="21"/>
              </w:rPr>
            </w:pPr>
            <w:r/>
          </w:p>
          <w:p>
            <w:pPr>
              <w:pStyle w:val="TableText"/>
              <w:ind w:left="295"/>
              <w:spacing w:before="68" w:line="219" w:lineRule="auto"/>
              <w:rPr>
                <w:sz w:val="21"/>
                <w:szCs w:val="21"/>
              </w:rPr>
            </w:pPr>
            <w:r>
              <w:rPr>
                <w:sz w:val="21"/>
                <w:szCs w:val="21"/>
                <w:spacing w:val="-3"/>
              </w:rPr>
              <w:t>生活</w:t>
            </w:r>
          </w:p>
          <w:p>
            <w:pPr>
              <w:pStyle w:val="TableText"/>
              <w:ind w:left="295"/>
              <w:spacing w:line="219" w:lineRule="auto"/>
              <w:rPr>
                <w:sz w:val="21"/>
                <w:szCs w:val="21"/>
              </w:rPr>
            </w:pPr>
            <w:r>
              <w:rPr>
                <w:sz w:val="21"/>
                <w:szCs w:val="21"/>
                <w:spacing w:val="-3"/>
              </w:rPr>
              <w:t>污水</w:t>
            </w:r>
          </w:p>
        </w:tc>
        <w:tc>
          <w:tcPr>
            <w:tcW w:w="949" w:type="dxa"/>
            <w:vAlign w:val="top"/>
            <w:vMerge w:val="restart"/>
            <w:tcBorders>
              <w:bottom w:val="nil"/>
            </w:tcBorders>
          </w:tcPr>
          <w:p>
            <w:pPr>
              <w:spacing w:line="463" w:lineRule="auto"/>
              <w:rPr>
                <w:rFonts w:ascii="Arial"/>
                <w:sz w:val="21"/>
              </w:rPr>
            </w:pPr>
            <w:r/>
          </w:p>
          <w:p>
            <w:pPr>
              <w:pStyle w:val="TableText"/>
              <w:ind w:left="150"/>
              <w:spacing w:before="69" w:line="183" w:lineRule="auto"/>
              <w:rPr>
                <w:sz w:val="21"/>
                <w:szCs w:val="21"/>
              </w:rPr>
            </w:pPr>
            <w:r>
              <w:rPr>
                <w:sz w:val="21"/>
                <w:szCs w:val="21"/>
                <w:spacing w:val="-2"/>
              </w:rPr>
              <w:t>378330</w:t>
            </w:r>
          </w:p>
        </w:tc>
        <w:tc>
          <w:tcPr>
            <w:tcW w:w="2746" w:type="dxa"/>
            <w:vAlign w:val="top"/>
            <w:vMerge w:val="restart"/>
            <w:tcBorders>
              <w:bottom w:val="nil"/>
            </w:tcBorders>
          </w:tcPr>
          <w:p>
            <w:pPr>
              <w:pStyle w:val="TableText"/>
              <w:ind w:left="521"/>
              <w:spacing w:before="190" w:line="219" w:lineRule="auto"/>
              <w:rPr>
                <w:sz w:val="21"/>
                <w:szCs w:val="21"/>
              </w:rPr>
            </w:pPr>
            <w:r>
              <w:rPr>
                <w:sz w:val="21"/>
                <w:szCs w:val="21"/>
                <w:spacing w:val="-2"/>
              </w:rPr>
              <w:t>污染物纳管排放量</w:t>
            </w:r>
          </w:p>
        </w:tc>
        <w:tc>
          <w:tcPr>
            <w:tcW w:w="959" w:type="dxa"/>
            <w:vAlign w:val="top"/>
          </w:tcPr>
          <w:p>
            <w:pPr>
              <w:pStyle w:val="TableText"/>
              <w:ind w:left="205"/>
              <w:spacing w:before="94" w:line="163" w:lineRule="auto"/>
              <w:rPr>
                <w:sz w:val="21"/>
                <w:szCs w:val="21"/>
              </w:rPr>
            </w:pPr>
            <w:r>
              <w:rPr>
                <w:sz w:val="21"/>
                <w:szCs w:val="21"/>
                <w:spacing w:val="-2"/>
              </w:rPr>
              <w:t>CODcr</w:t>
            </w:r>
          </w:p>
        </w:tc>
        <w:tc>
          <w:tcPr>
            <w:tcW w:w="1328" w:type="dxa"/>
            <w:vAlign w:val="top"/>
          </w:tcPr>
          <w:p>
            <w:pPr>
              <w:pStyle w:val="TableText"/>
              <w:ind w:left="496"/>
              <w:spacing w:before="94" w:line="163" w:lineRule="auto"/>
              <w:rPr>
                <w:sz w:val="21"/>
                <w:szCs w:val="21"/>
              </w:rPr>
            </w:pPr>
            <w:r>
              <w:rPr>
                <w:sz w:val="21"/>
                <w:szCs w:val="21"/>
                <w:spacing w:val="-3"/>
              </w:rPr>
              <w:t>500</w:t>
            </w:r>
          </w:p>
        </w:tc>
        <w:tc>
          <w:tcPr>
            <w:tcW w:w="1503" w:type="dxa"/>
            <w:vAlign w:val="top"/>
          </w:tcPr>
          <w:p>
            <w:pPr>
              <w:pStyle w:val="TableText"/>
              <w:ind w:left="328"/>
              <w:spacing w:before="93" w:line="164" w:lineRule="auto"/>
              <w:rPr>
                <w:sz w:val="21"/>
                <w:szCs w:val="21"/>
              </w:rPr>
            </w:pPr>
            <w:r>
              <w:rPr>
                <w:sz w:val="21"/>
                <w:szCs w:val="21"/>
                <w:spacing w:val="-3"/>
              </w:rPr>
              <w:t>117.9900</w:t>
            </w:r>
          </w:p>
        </w:tc>
      </w:tr>
      <w:tr>
        <w:trPr>
          <w:trHeight w:val="289" w:hRule="atLeast"/>
        </w:trPr>
        <w:tc>
          <w:tcPr>
            <w:tcW w:w="914" w:type="dxa"/>
            <w:vAlign w:val="top"/>
            <w:vMerge w:val="continue"/>
            <w:tcBorders>
              <w:top w:val="nil"/>
              <w:bottom w:val="nil"/>
            </w:tcBorders>
          </w:tcPr>
          <w:p>
            <w:pPr>
              <w:rPr>
                <w:rFonts w:ascii="Arial"/>
                <w:sz w:val="21"/>
              </w:rPr>
            </w:pPr>
            <w:r/>
          </w:p>
        </w:tc>
        <w:tc>
          <w:tcPr>
            <w:tcW w:w="949" w:type="dxa"/>
            <w:vAlign w:val="top"/>
            <w:vMerge w:val="continue"/>
            <w:tcBorders>
              <w:top w:val="nil"/>
              <w:bottom w:val="nil"/>
            </w:tcBorders>
          </w:tcPr>
          <w:p>
            <w:pPr>
              <w:rPr>
                <w:rFonts w:ascii="Arial"/>
                <w:sz w:val="21"/>
              </w:rPr>
            </w:pPr>
            <w:r/>
          </w:p>
        </w:tc>
        <w:tc>
          <w:tcPr>
            <w:tcW w:w="2746" w:type="dxa"/>
            <w:vAlign w:val="top"/>
            <w:vMerge w:val="continue"/>
            <w:tcBorders>
              <w:top w:val="nil"/>
            </w:tcBorders>
          </w:tcPr>
          <w:p>
            <w:pPr>
              <w:rPr>
                <w:rFonts w:ascii="Arial"/>
                <w:sz w:val="21"/>
              </w:rPr>
            </w:pPr>
            <w:r/>
          </w:p>
        </w:tc>
        <w:tc>
          <w:tcPr>
            <w:tcW w:w="959" w:type="dxa"/>
            <w:vAlign w:val="top"/>
          </w:tcPr>
          <w:p>
            <w:pPr>
              <w:pStyle w:val="TableText"/>
              <w:ind w:left="265"/>
              <w:spacing w:before="40" w:line="210" w:lineRule="auto"/>
              <w:rPr>
                <w:sz w:val="21"/>
                <w:szCs w:val="21"/>
              </w:rPr>
            </w:pPr>
            <w:r>
              <w:rPr>
                <w:sz w:val="21"/>
                <w:szCs w:val="21"/>
                <w:spacing w:val="-3"/>
              </w:rPr>
              <w:t>氨氮</w:t>
            </w:r>
          </w:p>
        </w:tc>
        <w:tc>
          <w:tcPr>
            <w:tcW w:w="1328" w:type="dxa"/>
            <w:vAlign w:val="top"/>
          </w:tcPr>
          <w:p>
            <w:pPr>
              <w:pStyle w:val="TableText"/>
              <w:ind w:left="556"/>
              <w:spacing w:before="94" w:line="162" w:lineRule="auto"/>
              <w:rPr>
                <w:sz w:val="21"/>
                <w:szCs w:val="21"/>
              </w:rPr>
            </w:pPr>
            <w:r>
              <w:rPr>
                <w:sz w:val="21"/>
                <w:szCs w:val="21"/>
                <w:spacing w:val="-2"/>
              </w:rPr>
              <w:t>45</w:t>
            </w:r>
          </w:p>
        </w:tc>
        <w:tc>
          <w:tcPr>
            <w:tcW w:w="1503" w:type="dxa"/>
            <w:vAlign w:val="top"/>
          </w:tcPr>
          <w:p>
            <w:pPr>
              <w:pStyle w:val="TableText"/>
              <w:ind w:left="378"/>
              <w:spacing w:before="93" w:line="163" w:lineRule="auto"/>
              <w:rPr>
                <w:sz w:val="21"/>
                <w:szCs w:val="21"/>
              </w:rPr>
            </w:pPr>
            <w:r>
              <w:rPr>
                <w:sz w:val="21"/>
                <w:szCs w:val="21"/>
                <w:spacing w:val="-3"/>
              </w:rPr>
              <w:t>10.3190</w:t>
            </w:r>
          </w:p>
        </w:tc>
      </w:tr>
      <w:tr>
        <w:trPr>
          <w:trHeight w:val="270" w:hRule="atLeast"/>
        </w:trPr>
        <w:tc>
          <w:tcPr>
            <w:tcW w:w="914" w:type="dxa"/>
            <w:vAlign w:val="top"/>
            <w:vMerge w:val="continue"/>
            <w:tcBorders>
              <w:top w:val="nil"/>
              <w:bottom w:val="nil"/>
            </w:tcBorders>
          </w:tcPr>
          <w:p>
            <w:pPr>
              <w:rPr>
                <w:rFonts w:ascii="Arial"/>
                <w:sz w:val="21"/>
              </w:rPr>
            </w:pPr>
            <w:r/>
          </w:p>
        </w:tc>
        <w:tc>
          <w:tcPr>
            <w:tcW w:w="949" w:type="dxa"/>
            <w:vAlign w:val="top"/>
            <w:vMerge w:val="continue"/>
            <w:tcBorders>
              <w:top w:val="nil"/>
              <w:bottom w:val="nil"/>
            </w:tcBorders>
          </w:tcPr>
          <w:p>
            <w:pPr>
              <w:rPr>
                <w:rFonts w:ascii="Arial"/>
                <w:sz w:val="21"/>
              </w:rPr>
            </w:pPr>
            <w:r/>
          </w:p>
        </w:tc>
        <w:tc>
          <w:tcPr>
            <w:tcW w:w="2746" w:type="dxa"/>
            <w:vAlign w:val="top"/>
            <w:vMerge w:val="restart"/>
            <w:tcBorders>
              <w:bottom w:val="nil"/>
            </w:tcBorders>
          </w:tcPr>
          <w:p>
            <w:pPr>
              <w:pStyle w:val="TableText"/>
              <w:ind w:left="261"/>
              <w:spacing w:before="63" w:line="219" w:lineRule="auto"/>
              <w:rPr>
                <w:sz w:val="21"/>
                <w:szCs w:val="21"/>
              </w:rPr>
            </w:pPr>
            <w:r>
              <w:rPr>
                <w:sz w:val="21"/>
                <w:szCs w:val="21"/>
                <w:spacing w:val="-1"/>
              </w:rPr>
              <w:t>排放总量(GB18918-2002</w:t>
            </w:r>
          </w:p>
          <w:p>
            <w:pPr>
              <w:pStyle w:val="TableText"/>
              <w:ind w:left="841"/>
              <w:spacing w:before="1" w:line="216" w:lineRule="auto"/>
              <w:rPr>
                <w:sz w:val="21"/>
                <w:szCs w:val="21"/>
              </w:rPr>
            </w:pPr>
            <w:r>
              <w:rPr>
                <w:sz w:val="21"/>
                <w:szCs w:val="21"/>
                <w:spacing w:val="7"/>
              </w:rPr>
              <w:t>一级A标准)</w:t>
            </w:r>
          </w:p>
        </w:tc>
        <w:tc>
          <w:tcPr>
            <w:tcW w:w="959" w:type="dxa"/>
            <w:vAlign w:val="top"/>
          </w:tcPr>
          <w:p>
            <w:pPr>
              <w:pStyle w:val="TableText"/>
              <w:ind w:left="205"/>
              <w:spacing w:before="85" w:line="175" w:lineRule="exact"/>
              <w:rPr>
                <w:sz w:val="21"/>
                <w:szCs w:val="21"/>
              </w:rPr>
            </w:pPr>
            <w:r>
              <w:rPr>
                <w:sz w:val="21"/>
                <w:szCs w:val="21"/>
                <w:spacing w:val="-2"/>
                <w:position w:val="-2"/>
              </w:rPr>
              <w:t>CODcr</w:t>
            </w:r>
          </w:p>
        </w:tc>
        <w:tc>
          <w:tcPr>
            <w:tcW w:w="1328" w:type="dxa"/>
            <w:vAlign w:val="top"/>
          </w:tcPr>
          <w:p>
            <w:pPr>
              <w:pStyle w:val="TableText"/>
              <w:ind w:left="556"/>
              <w:spacing w:before="85" w:line="175" w:lineRule="exact"/>
              <w:rPr>
                <w:sz w:val="21"/>
                <w:szCs w:val="21"/>
              </w:rPr>
            </w:pPr>
            <w:r>
              <w:rPr>
                <w:sz w:val="21"/>
                <w:szCs w:val="21"/>
                <w:spacing w:val="-4"/>
                <w:position w:val="-2"/>
              </w:rPr>
              <w:t>50</w:t>
            </w:r>
          </w:p>
        </w:tc>
        <w:tc>
          <w:tcPr>
            <w:tcW w:w="1503" w:type="dxa"/>
            <w:vAlign w:val="top"/>
          </w:tcPr>
          <w:p>
            <w:pPr>
              <w:pStyle w:val="TableText"/>
              <w:ind w:left="378"/>
              <w:spacing w:before="84" w:line="176" w:lineRule="exact"/>
              <w:rPr>
                <w:sz w:val="21"/>
                <w:szCs w:val="21"/>
              </w:rPr>
            </w:pPr>
            <w:r>
              <w:rPr>
                <w:sz w:val="21"/>
                <w:szCs w:val="21"/>
                <w:spacing w:val="-3"/>
                <w:position w:val="-2"/>
              </w:rPr>
              <w:t>11.7990</w:t>
            </w:r>
          </w:p>
        </w:tc>
      </w:tr>
      <w:tr>
        <w:trPr>
          <w:trHeight w:val="289" w:hRule="atLeast"/>
        </w:trPr>
        <w:tc>
          <w:tcPr>
            <w:tcW w:w="914" w:type="dxa"/>
            <w:vAlign w:val="top"/>
            <w:vMerge w:val="continue"/>
            <w:tcBorders>
              <w:top w:val="nil"/>
            </w:tcBorders>
          </w:tcPr>
          <w:p>
            <w:pPr>
              <w:rPr>
                <w:rFonts w:ascii="Arial"/>
                <w:sz w:val="21"/>
              </w:rPr>
            </w:pPr>
            <w:r/>
          </w:p>
        </w:tc>
        <w:tc>
          <w:tcPr>
            <w:tcW w:w="949" w:type="dxa"/>
            <w:vAlign w:val="top"/>
            <w:vMerge w:val="continue"/>
            <w:tcBorders>
              <w:top w:val="nil"/>
            </w:tcBorders>
          </w:tcPr>
          <w:p>
            <w:pPr>
              <w:rPr>
                <w:rFonts w:ascii="Arial"/>
                <w:sz w:val="21"/>
              </w:rPr>
            </w:pPr>
            <w:r/>
          </w:p>
        </w:tc>
        <w:tc>
          <w:tcPr>
            <w:tcW w:w="2746" w:type="dxa"/>
            <w:vAlign w:val="top"/>
            <w:vMerge w:val="continue"/>
            <w:tcBorders>
              <w:top w:val="nil"/>
            </w:tcBorders>
          </w:tcPr>
          <w:p>
            <w:pPr>
              <w:rPr>
                <w:rFonts w:ascii="Arial"/>
                <w:sz w:val="21"/>
              </w:rPr>
            </w:pPr>
            <w:r/>
          </w:p>
        </w:tc>
        <w:tc>
          <w:tcPr>
            <w:tcW w:w="959" w:type="dxa"/>
            <w:vAlign w:val="top"/>
          </w:tcPr>
          <w:p>
            <w:pPr>
              <w:pStyle w:val="TableText"/>
              <w:ind w:left="265"/>
              <w:spacing w:before="41" w:line="209" w:lineRule="auto"/>
              <w:rPr>
                <w:sz w:val="21"/>
                <w:szCs w:val="21"/>
              </w:rPr>
            </w:pPr>
            <w:r>
              <w:rPr>
                <w:sz w:val="21"/>
                <w:szCs w:val="21"/>
                <w:spacing w:val="-3"/>
              </w:rPr>
              <w:t>氨氮</w:t>
            </w:r>
          </w:p>
        </w:tc>
        <w:tc>
          <w:tcPr>
            <w:tcW w:w="1328" w:type="dxa"/>
            <w:vAlign w:val="top"/>
          </w:tcPr>
          <w:p>
            <w:pPr>
              <w:pStyle w:val="TableText"/>
              <w:ind w:left="607"/>
              <w:spacing w:before="97" w:line="160" w:lineRule="auto"/>
              <w:rPr>
                <w:sz w:val="21"/>
                <w:szCs w:val="21"/>
              </w:rPr>
            </w:pPr>
            <w:r>
              <w:rPr>
                <w:sz w:val="21"/>
                <w:szCs w:val="21"/>
              </w:rPr>
              <w:t>5</w:t>
            </w:r>
          </w:p>
        </w:tc>
        <w:tc>
          <w:tcPr>
            <w:tcW w:w="1503" w:type="dxa"/>
            <w:vAlign w:val="top"/>
          </w:tcPr>
          <w:p>
            <w:pPr>
              <w:pStyle w:val="TableText"/>
              <w:ind w:left="428"/>
              <w:spacing w:before="94" w:line="162" w:lineRule="auto"/>
              <w:rPr>
                <w:sz w:val="21"/>
                <w:szCs w:val="21"/>
              </w:rPr>
            </w:pPr>
            <w:r>
              <w:rPr>
                <w:sz w:val="21"/>
                <w:szCs w:val="21"/>
                <w:spacing w:val="-4"/>
              </w:rPr>
              <w:t>1.1799</w:t>
            </w:r>
          </w:p>
        </w:tc>
      </w:tr>
      <w:tr>
        <w:trPr>
          <w:trHeight w:val="290" w:hRule="atLeast"/>
        </w:trPr>
        <w:tc>
          <w:tcPr>
            <w:tcW w:w="914" w:type="dxa"/>
            <w:vAlign w:val="top"/>
            <w:vMerge w:val="restart"/>
            <w:tcBorders>
              <w:bottom w:val="nil"/>
            </w:tcBorders>
          </w:tcPr>
          <w:p>
            <w:pPr>
              <w:spacing w:line="286" w:lineRule="auto"/>
              <w:rPr>
                <w:rFonts w:ascii="Arial"/>
                <w:sz w:val="21"/>
              </w:rPr>
            </w:pPr>
            <w:r/>
          </w:p>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pStyle w:val="TableText"/>
              <w:ind w:left="294" w:right="176"/>
              <w:spacing w:before="68" w:line="237" w:lineRule="auto"/>
              <w:rPr>
                <w:sz w:val="21"/>
                <w:szCs w:val="21"/>
              </w:rPr>
            </w:pPr>
            <w:r>
              <w:rPr>
                <w:sz w:val="21"/>
                <w:szCs w:val="21"/>
                <w:spacing w:val="6"/>
              </w:rPr>
              <w:t>生产</w:t>
            </w:r>
            <w:r>
              <w:rPr>
                <w:sz w:val="21"/>
                <w:szCs w:val="21"/>
              </w:rPr>
              <w:t xml:space="preserve"> </w:t>
            </w:r>
            <w:r>
              <w:rPr>
                <w:sz w:val="21"/>
                <w:szCs w:val="21"/>
                <w:spacing w:val="-2"/>
              </w:rPr>
              <w:t>废水</w:t>
            </w:r>
          </w:p>
        </w:tc>
        <w:tc>
          <w:tcPr>
            <w:tcW w:w="949"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201"/>
              <w:spacing w:before="68" w:line="177" w:lineRule="exact"/>
              <w:rPr>
                <w:sz w:val="21"/>
                <w:szCs w:val="21"/>
              </w:rPr>
            </w:pPr>
            <w:r>
              <w:rPr>
                <w:sz w:val="21"/>
                <w:szCs w:val="21"/>
                <w:spacing w:val="-2"/>
                <w:position w:val="-2"/>
              </w:rPr>
              <w:t>52650</w:t>
            </w:r>
          </w:p>
          <w:p>
            <w:pPr>
              <w:pStyle w:val="TableText"/>
              <w:ind w:left="201"/>
              <w:spacing w:line="220" w:lineRule="auto"/>
              <w:rPr>
                <w:sz w:val="21"/>
                <w:szCs w:val="21"/>
              </w:rPr>
            </w:pPr>
            <w:r>
              <w:rPr>
                <w:sz w:val="21"/>
                <w:szCs w:val="21"/>
                <w:spacing w:val="1"/>
              </w:rPr>
              <w:t>(阴极</w:t>
            </w:r>
          </w:p>
          <w:p>
            <w:pPr>
              <w:pStyle w:val="TableText"/>
              <w:ind w:left="251"/>
              <w:spacing w:before="29" w:line="219" w:lineRule="auto"/>
              <w:rPr>
                <w:sz w:val="21"/>
                <w:szCs w:val="21"/>
              </w:rPr>
            </w:pPr>
            <w:r>
              <w:rPr>
                <w:sz w:val="21"/>
                <w:szCs w:val="21"/>
                <w:spacing w:val="-2"/>
              </w:rPr>
              <w:t>废水</w:t>
            </w:r>
          </w:p>
          <w:p>
            <w:pPr>
              <w:pStyle w:val="TableText"/>
              <w:ind w:left="150"/>
              <w:spacing w:before="24" w:line="222" w:lineRule="auto"/>
              <w:rPr>
                <w:sz w:val="21"/>
                <w:szCs w:val="21"/>
              </w:rPr>
            </w:pPr>
            <w:r>
              <w:rPr>
                <w:sz w:val="21"/>
                <w:szCs w:val="21"/>
                <w:spacing w:val="-2"/>
              </w:rPr>
              <w:t>20490)</w:t>
            </w:r>
          </w:p>
        </w:tc>
        <w:tc>
          <w:tcPr>
            <w:tcW w:w="2746" w:type="dxa"/>
            <w:vAlign w:val="top"/>
            <w:vMerge w:val="restart"/>
            <w:tcBorders>
              <w:bottom w:val="nil"/>
            </w:tcBorders>
          </w:tcPr>
          <w:p>
            <w:pPr>
              <w:spacing w:line="280" w:lineRule="auto"/>
              <w:rPr>
                <w:rFonts w:ascii="Arial"/>
                <w:sz w:val="21"/>
              </w:rPr>
            </w:pPr>
            <w:r/>
          </w:p>
          <w:p>
            <w:pPr>
              <w:spacing w:line="281" w:lineRule="auto"/>
              <w:rPr>
                <w:rFonts w:ascii="Arial"/>
                <w:sz w:val="21"/>
              </w:rPr>
            </w:pPr>
            <w:r/>
          </w:p>
          <w:p>
            <w:pPr>
              <w:pStyle w:val="TableText"/>
              <w:ind w:left="521"/>
              <w:spacing w:before="68" w:line="219" w:lineRule="auto"/>
              <w:rPr>
                <w:sz w:val="21"/>
                <w:szCs w:val="21"/>
              </w:rPr>
            </w:pPr>
            <w:r>
              <w:rPr>
                <w:sz w:val="21"/>
                <w:szCs w:val="21"/>
                <w:spacing w:val="-2"/>
              </w:rPr>
              <w:t>污染物纳管排放量</w:t>
            </w:r>
          </w:p>
        </w:tc>
        <w:tc>
          <w:tcPr>
            <w:tcW w:w="959" w:type="dxa"/>
            <w:vAlign w:val="top"/>
          </w:tcPr>
          <w:p>
            <w:pPr>
              <w:pStyle w:val="TableText"/>
              <w:ind w:left="205"/>
              <w:spacing w:before="96" w:line="161" w:lineRule="auto"/>
              <w:rPr>
                <w:sz w:val="21"/>
                <w:szCs w:val="21"/>
              </w:rPr>
            </w:pPr>
            <w:r>
              <w:rPr>
                <w:sz w:val="21"/>
                <w:szCs w:val="21"/>
                <w:spacing w:val="-2"/>
              </w:rPr>
              <w:t>CODcr</w:t>
            </w:r>
          </w:p>
        </w:tc>
        <w:tc>
          <w:tcPr>
            <w:tcW w:w="1328" w:type="dxa"/>
            <w:vAlign w:val="top"/>
          </w:tcPr>
          <w:p>
            <w:pPr>
              <w:pStyle w:val="TableText"/>
              <w:ind w:left="496"/>
              <w:spacing w:before="95" w:line="162" w:lineRule="auto"/>
              <w:rPr>
                <w:sz w:val="21"/>
                <w:szCs w:val="21"/>
              </w:rPr>
            </w:pPr>
            <w:r>
              <w:rPr>
                <w:sz w:val="21"/>
                <w:szCs w:val="21"/>
                <w:spacing w:val="-6"/>
              </w:rPr>
              <w:t>150</w:t>
            </w:r>
          </w:p>
        </w:tc>
        <w:tc>
          <w:tcPr>
            <w:tcW w:w="1503" w:type="dxa"/>
            <w:vAlign w:val="top"/>
          </w:tcPr>
          <w:p>
            <w:pPr>
              <w:pStyle w:val="TableText"/>
              <w:ind w:left="428"/>
              <w:spacing w:before="96" w:line="161" w:lineRule="auto"/>
              <w:rPr>
                <w:sz w:val="21"/>
                <w:szCs w:val="21"/>
              </w:rPr>
            </w:pPr>
            <w:r>
              <w:rPr>
                <w:sz w:val="21"/>
                <w:szCs w:val="21"/>
                <w:spacing w:val="-2"/>
              </w:rPr>
              <w:t>7.8980</w:t>
            </w:r>
          </w:p>
        </w:tc>
      </w:tr>
      <w:tr>
        <w:trPr>
          <w:trHeight w:val="279" w:hRule="atLeast"/>
        </w:trPr>
        <w:tc>
          <w:tcPr>
            <w:tcW w:w="914" w:type="dxa"/>
            <w:vAlign w:val="top"/>
            <w:vMerge w:val="continue"/>
            <w:tcBorders>
              <w:top w:val="nil"/>
              <w:bottom w:val="nil"/>
            </w:tcBorders>
          </w:tcPr>
          <w:p>
            <w:pPr>
              <w:rPr>
                <w:rFonts w:ascii="Arial"/>
                <w:sz w:val="21"/>
              </w:rPr>
            </w:pPr>
            <w:r/>
          </w:p>
        </w:tc>
        <w:tc>
          <w:tcPr>
            <w:tcW w:w="949" w:type="dxa"/>
            <w:vAlign w:val="top"/>
            <w:vMerge w:val="continue"/>
            <w:tcBorders>
              <w:top w:val="nil"/>
              <w:bottom w:val="nil"/>
            </w:tcBorders>
          </w:tcPr>
          <w:p>
            <w:pPr>
              <w:rPr>
                <w:rFonts w:ascii="Arial"/>
                <w:sz w:val="21"/>
              </w:rPr>
            </w:pPr>
            <w:r/>
          </w:p>
        </w:tc>
        <w:tc>
          <w:tcPr>
            <w:tcW w:w="2746" w:type="dxa"/>
            <w:vAlign w:val="top"/>
            <w:vMerge w:val="continue"/>
            <w:tcBorders>
              <w:top w:val="nil"/>
              <w:bottom w:val="nil"/>
            </w:tcBorders>
          </w:tcPr>
          <w:p>
            <w:pPr>
              <w:rPr>
                <w:rFonts w:ascii="Arial"/>
                <w:sz w:val="21"/>
              </w:rPr>
            </w:pPr>
            <w:r/>
          </w:p>
        </w:tc>
        <w:tc>
          <w:tcPr>
            <w:tcW w:w="959" w:type="dxa"/>
            <w:vAlign w:val="top"/>
          </w:tcPr>
          <w:p>
            <w:pPr>
              <w:pStyle w:val="TableText"/>
              <w:ind w:left="265"/>
              <w:spacing w:before="41" w:line="200" w:lineRule="auto"/>
              <w:rPr>
                <w:sz w:val="21"/>
                <w:szCs w:val="21"/>
              </w:rPr>
            </w:pPr>
            <w:r>
              <w:rPr>
                <w:sz w:val="21"/>
                <w:szCs w:val="21"/>
                <w:spacing w:val="-3"/>
              </w:rPr>
              <w:t>氨氮</w:t>
            </w:r>
          </w:p>
        </w:tc>
        <w:tc>
          <w:tcPr>
            <w:tcW w:w="1328" w:type="dxa"/>
            <w:vAlign w:val="top"/>
          </w:tcPr>
          <w:p>
            <w:pPr>
              <w:pStyle w:val="TableText"/>
              <w:ind w:left="556"/>
              <w:spacing w:before="96" w:line="173" w:lineRule="exact"/>
              <w:rPr>
                <w:sz w:val="21"/>
                <w:szCs w:val="21"/>
              </w:rPr>
            </w:pPr>
            <w:r>
              <w:rPr>
                <w:sz w:val="21"/>
                <w:szCs w:val="21"/>
                <w:spacing w:val="-4"/>
                <w:position w:val="-2"/>
              </w:rPr>
              <w:t>30</w:t>
            </w:r>
          </w:p>
        </w:tc>
        <w:tc>
          <w:tcPr>
            <w:tcW w:w="1503" w:type="dxa"/>
            <w:vAlign w:val="top"/>
          </w:tcPr>
          <w:p>
            <w:pPr>
              <w:pStyle w:val="TableText"/>
              <w:ind w:left="428"/>
              <w:spacing w:before="95" w:line="174" w:lineRule="exact"/>
              <w:rPr>
                <w:sz w:val="21"/>
                <w:szCs w:val="21"/>
              </w:rPr>
            </w:pPr>
            <w:r>
              <w:rPr>
                <w:sz w:val="21"/>
                <w:szCs w:val="21"/>
                <w:spacing w:val="-4"/>
                <w:position w:val="-2"/>
              </w:rPr>
              <w:t>1.5800</w:t>
            </w:r>
          </w:p>
        </w:tc>
      </w:tr>
      <w:tr>
        <w:trPr>
          <w:trHeight w:val="280" w:hRule="atLeast"/>
        </w:trPr>
        <w:tc>
          <w:tcPr>
            <w:tcW w:w="914" w:type="dxa"/>
            <w:vAlign w:val="top"/>
            <w:vMerge w:val="continue"/>
            <w:tcBorders>
              <w:top w:val="nil"/>
              <w:bottom w:val="nil"/>
            </w:tcBorders>
          </w:tcPr>
          <w:p>
            <w:pPr>
              <w:rPr>
                <w:rFonts w:ascii="Arial"/>
                <w:sz w:val="21"/>
              </w:rPr>
            </w:pPr>
            <w:r/>
          </w:p>
        </w:tc>
        <w:tc>
          <w:tcPr>
            <w:tcW w:w="949" w:type="dxa"/>
            <w:vAlign w:val="top"/>
            <w:vMerge w:val="continue"/>
            <w:tcBorders>
              <w:top w:val="nil"/>
              <w:bottom w:val="nil"/>
            </w:tcBorders>
          </w:tcPr>
          <w:p>
            <w:pPr>
              <w:rPr>
                <w:rFonts w:ascii="Arial"/>
                <w:sz w:val="21"/>
              </w:rPr>
            </w:pPr>
            <w:r/>
          </w:p>
        </w:tc>
        <w:tc>
          <w:tcPr>
            <w:tcW w:w="2746" w:type="dxa"/>
            <w:vAlign w:val="top"/>
            <w:vMerge w:val="continue"/>
            <w:tcBorders>
              <w:top w:val="nil"/>
              <w:bottom w:val="nil"/>
            </w:tcBorders>
          </w:tcPr>
          <w:p>
            <w:pPr>
              <w:rPr>
                <w:rFonts w:ascii="Arial"/>
                <w:sz w:val="21"/>
              </w:rPr>
            </w:pPr>
            <w:r/>
          </w:p>
        </w:tc>
        <w:tc>
          <w:tcPr>
            <w:tcW w:w="959" w:type="dxa"/>
            <w:vAlign w:val="top"/>
          </w:tcPr>
          <w:p>
            <w:pPr>
              <w:pStyle w:val="TableText"/>
              <w:ind w:left="366"/>
              <w:spacing w:before="97" w:line="172" w:lineRule="exact"/>
              <w:rPr>
                <w:sz w:val="21"/>
                <w:szCs w:val="21"/>
              </w:rPr>
            </w:pPr>
            <w:r>
              <w:rPr>
                <w:sz w:val="21"/>
                <w:szCs w:val="21"/>
                <w:spacing w:val="-2"/>
                <w:position w:val="-2"/>
              </w:rPr>
              <w:t>Co</w:t>
            </w:r>
          </w:p>
        </w:tc>
        <w:tc>
          <w:tcPr>
            <w:tcW w:w="1328" w:type="dxa"/>
            <w:vAlign w:val="top"/>
          </w:tcPr>
          <w:p>
            <w:pPr>
              <w:pStyle w:val="TableText"/>
              <w:ind w:left="496"/>
              <w:spacing w:before="96" w:line="173" w:lineRule="exact"/>
              <w:rPr>
                <w:sz w:val="21"/>
                <w:szCs w:val="21"/>
              </w:rPr>
            </w:pPr>
            <w:r>
              <w:rPr>
                <w:sz w:val="21"/>
                <w:szCs w:val="21"/>
                <w:spacing w:val="-3"/>
                <w:position w:val="-2"/>
              </w:rPr>
              <w:t>0.1</w:t>
            </w:r>
          </w:p>
        </w:tc>
        <w:tc>
          <w:tcPr>
            <w:tcW w:w="1503" w:type="dxa"/>
            <w:vAlign w:val="top"/>
          </w:tcPr>
          <w:p>
            <w:pPr>
              <w:pStyle w:val="TableText"/>
              <w:ind w:left="428"/>
              <w:spacing w:before="97" w:line="172" w:lineRule="exact"/>
              <w:rPr>
                <w:sz w:val="21"/>
                <w:szCs w:val="21"/>
              </w:rPr>
            </w:pPr>
            <w:r>
              <w:rPr>
                <w:sz w:val="21"/>
                <w:szCs w:val="21"/>
                <w:spacing w:val="-2"/>
                <w:position w:val="-2"/>
              </w:rPr>
              <w:t>0.0020</w:t>
            </w:r>
          </w:p>
        </w:tc>
      </w:tr>
      <w:tr>
        <w:trPr>
          <w:trHeight w:val="280" w:hRule="atLeast"/>
        </w:trPr>
        <w:tc>
          <w:tcPr>
            <w:tcW w:w="914" w:type="dxa"/>
            <w:vAlign w:val="top"/>
            <w:vMerge w:val="continue"/>
            <w:tcBorders>
              <w:top w:val="nil"/>
              <w:bottom w:val="nil"/>
            </w:tcBorders>
          </w:tcPr>
          <w:p>
            <w:pPr>
              <w:rPr>
                <w:rFonts w:ascii="Arial"/>
                <w:sz w:val="21"/>
              </w:rPr>
            </w:pPr>
            <w:r/>
          </w:p>
        </w:tc>
        <w:tc>
          <w:tcPr>
            <w:tcW w:w="949" w:type="dxa"/>
            <w:vAlign w:val="top"/>
            <w:vMerge w:val="continue"/>
            <w:tcBorders>
              <w:top w:val="nil"/>
              <w:bottom w:val="nil"/>
            </w:tcBorders>
          </w:tcPr>
          <w:p>
            <w:pPr>
              <w:rPr>
                <w:rFonts w:ascii="Arial"/>
                <w:sz w:val="21"/>
              </w:rPr>
            </w:pPr>
            <w:r/>
          </w:p>
        </w:tc>
        <w:tc>
          <w:tcPr>
            <w:tcW w:w="2746" w:type="dxa"/>
            <w:vAlign w:val="top"/>
            <w:vMerge w:val="continue"/>
            <w:tcBorders>
              <w:top w:val="nil"/>
              <w:bottom w:val="nil"/>
            </w:tcBorders>
          </w:tcPr>
          <w:p>
            <w:pPr>
              <w:rPr>
                <w:rFonts w:ascii="Arial"/>
                <w:sz w:val="21"/>
              </w:rPr>
            </w:pPr>
            <w:r/>
          </w:p>
        </w:tc>
        <w:tc>
          <w:tcPr>
            <w:tcW w:w="959" w:type="dxa"/>
            <w:vAlign w:val="top"/>
          </w:tcPr>
          <w:p>
            <w:pPr>
              <w:pStyle w:val="TableText"/>
              <w:ind w:left="366"/>
              <w:spacing w:before="97" w:line="172" w:lineRule="exact"/>
              <w:rPr>
                <w:sz w:val="21"/>
                <w:szCs w:val="21"/>
              </w:rPr>
            </w:pPr>
            <w:r>
              <w:rPr>
                <w:sz w:val="21"/>
                <w:szCs w:val="21"/>
                <w:spacing w:val="-1"/>
                <w:position w:val="-2"/>
              </w:rPr>
              <w:t>Ni</w:t>
            </w:r>
          </w:p>
        </w:tc>
        <w:tc>
          <w:tcPr>
            <w:tcW w:w="1328" w:type="dxa"/>
            <w:vAlign w:val="top"/>
          </w:tcPr>
          <w:p>
            <w:pPr>
              <w:pStyle w:val="TableText"/>
              <w:ind w:left="446"/>
              <w:spacing w:before="97" w:line="172" w:lineRule="exact"/>
              <w:rPr>
                <w:sz w:val="21"/>
                <w:szCs w:val="21"/>
              </w:rPr>
            </w:pPr>
            <w:r>
              <w:rPr>
                <w:sz w:val="21"/>
                <w:szCs w:val="21"/>
                <w:spacing w:val="-2"/>
                <w:position w:val="-2"/>
              </w:rPr>
              <w:t>0.05</w:t>
            </w:r>
          </w:p>
        </w:tc>
        <w:tc>
          <w:tcPr>
            <w:tcW w:w="1503" w:type="dxa"/>
            <w:vAlign w:val="top"/>
          </w:tcPr>
          <w:p>
            <w:pPr>
              <w:pStyle w:val="TableText"/>
              <w:ind w:left="428"/>
              <w:spacing w:before="97" w:line="172" w:lineRule="exact"/>
              <w:rPr>
                <w:sz w:val="21"/>
                <w:szCs w:val="21"/>
              </w:rPr>
            </w:pPr>
            <w:r>
              <w:rPr>
                <w:sz w:val="21"/>
                <w:szCs w:val="21"/>
                <w:spacing w:val="-2"/>
                <w:position w:val="-2"/>
              </w:rPr>
              <w:t>0.0010</w:t>
            </w:r>
          </w:p>
        </w:tc>
      </w:tr>
      <w:tr>
        <w:trPr>
          <w:trHeight w:val="290" w:hRule="atLeast"/>
        </w:trPr>
        <w:tc>
          <w:tcPr>
            <w:tcW w:w="914" w:type="dxa"/>
            <w:vAlign w:val="top"/>
            <w:vMerge w:val="continue"/>
            <w:tcBorders>
              <w:top w:val="nil"/>
              <w:bottom w:val="nil"/>
            </w:tcBorders>
          </w:tcPr>
          <w:p>
            <w:pPr>
              <w:rPr>
                <w:rFonts w:ascii="Arial"/>
                <w:sz w:val="21"/>
              </w:rPr>
            </w:pPr>
            <w:r/>
          </w:p>
        </w:tc>
        <w:tc>
          <w:tcPr>
            <w:tcW w:w="949" w:type="dxa"/>
            <w:vAlign w:val="top"/>
            <w:vMerge w:val="continue"/>
            <w:tcBorders>
              <w:top w:val="nil"/>
              <w:bottom w:val="nil"/>
            </w:tcBorders>
          </w:tcPr>
          <w:p>
            <w:pPr>
              <w:rPr>
                <w:rFonts w:ascii="Arial"/>
                <w:sz w:val="21"/>
              </w:rPr>
            </w:pPr>
            <w:r/>
          </w:p>
        </w:tc>
        <w:tc>
          <w:tcPr>
            <w:tcW w:w="2746" w:type="dxa"/>
            <w:vAlign w:val="top"/>
            <w:vMerge w:val="continue"/>
            <w:tcBorders>
              <w:top w:val="nil"/>
            </w:tcBorders>
          </w:tcPr>
          <w:p>
            <w:pPr>
              <w:rPr>
                <w:rFonts w:ascii="Arial"/>
                <w:sz w:val="21"/>
              </w:rPr>
            </w:pPr>
            <w:r/>
          </w:p>
        </w:tc>
        <w:tc>
          <w:tcPr>
            <w:tcW w:w="959" w:type="dxa"/>
            <w:vAlign w:val="top"/>
          </w:tcPr>
          <w:p>
            <w:pPr>
              <w:pStyle w:val="TableText"/>
              <w:ind w:left="366"/>
              <w:spacing w:before="99" w:line="159" w:lineRule="auto"/>
              <w:rPr>
                <w:sz w:val="21"/>
                <w:szCs w:val="21"/>
              </w:rPr>
            </w:pPr>
            <w:r>
              <w:rPr>
                <w:sz w:val="21"/>
                <w:szCs w:val="21"/>
                <w:spacing w:val="-1"/>
              </w:rPr>
              <w:t>Mn</w:t>
            </w:r>
          </w:p>
        </w:tc>
        <w:tc>
          <w:tcPr>
            <w:tcW w:w="1328" w:type="dxa"/>
            <w:vAlign w:val="top"/>
          </w:tcPr>
          <w:p>
            <w:pPr>
              <w:pStyle w:val="TableText"/>
              <w:ind w:left="496"/>
              <w:spacing w:before="96" w:line="161" w:lineRule="auto"/>
              <w:rPr>
                <w:sz w:val="21"/>
                <w:szCs w:val="21"/>
              </w:rPr>
            </w:pPr>
            <w:r>
              <w:rPr>
                <w:sz w:val="21"/>
                <w:szCs w:val="21"/>
                <w:spacing w:val="-6"/>
              </w:rPr>
              <w:t>1.5</w:t>
            </w:r>
          </w:p>
        </w:tc>
        <w:tc>
          <w:tcPr>
            <w:tcW w:w="1503" w:type="dxa"/>
            <w:vAlign w:val="top"/>
          </w:tcPr>
          <w:p>
            <w:pPr>
              <w:pStyle w:val="TableText"/>
              <w:ind w:left="428"/>
              <w:spacing w:before="98" w:line="160" w:lineRule="auto"/>
              <w:rPr>
                <w:sz w:val="21"/>
                <w:szCs w:val="21"/>
              </w:rPr>
            </w:pPr>
            <w:r>
              <w:rPr>
                <w:sz w:val="21"/>
                <w:szCs w:val="21"/>
                <w:spacing w:val="-2"/>
              </w:rPr>
              <w:t>0.0307</w:t>
            </w:r>
          </w:p>
        </w:tc>
      </w:tr>
      <w:tr>
        <w:trPr>
          <w:trHeight w:val="289" w:hRule="atLeast"/>
        </w:trPr>
        <w:tc>
          <w:tcPr>
            <w:tcW w:w="914" w:type="dxa"/>
            <w:vAlign w:val="top"/>
            <w:vMerge w:val="continue"/>
            <w:tcBorders>
              <w:top w:val="nil"/>
              <w:bottom w:val="nil"/>
            </w:tcBorders>
          </w:tcPr>
          <w:p>
            <w:pPr>
              <w:rPr>
                <w:rFonts w:ascii="Arial"/>
                <w:sz w:val="21"/>
              </w:rPr>
            </w:pPr>
            <w:r/>
          </w:p>
        </w:tc>
        <w:tc>
          <w:tcPr>
            <w:tcW w:w="949" w:type="dxa"/>
            <w:vAlign w:val="top"/>
            <w:vMerge w:val="continue"/>
            <w:tcBorders>
              <w:top w:val="nil"/>
              <w:bottom w:val="nil"/>
            </w:tcBorders>
          </w:tcPr>
          <w:p>
            <w:pPr>
              <w:rPr>
                <w:rFonts w:ascii="Arial"/>
                <w:sz w:val="21"/>
              </w:rPr>
            </w:pPr>
            <w:r/>
          </w:p>
        </w:tc>
        <w:tc>
          <w:tcPr>
            <w:tcW w:w="2746" w:type="dxa"/>
            <w:vAlign w:val="top"/>
            <w:vMerge w:val="restart"/>
            <w:tcBorders>
              <w:bottom w:val="nil"/>
            </w:tcBorders>
          </w:tcPr>
          <w:p>
            <w:pPr>
              <w:spacing w:line="443" w:lineRule="auto"/>
              <w:rPr>
                <w:rFonts w:ascii="Arial"/>
                <w:sz w:val="21"/>
              </w:rPr>
            </w:pPr>
            <w:r/>
          </w:p>
          <w:p>
            <w:pPr>
              <w:pStyle w:val="TableText"/>
              <w:ind w:left="261"/>
              <w:spacing w:before="69" w:line="221" w:lineRule="auto"/>
              <w:rPr>
                <w:sz w:val="21"/>
                <w:szCs w:val="21"/>
              </w:rPr>
            </w:pPr>
            <w:r>
              <w:rPr>
                <w:sz w:val="21"/>
                <w:szCs w:val="21"/>
                <w:spacing w:val="-1"/>
              </w:rPr>
              <w:t>排放总量(GB18918-2002</w:t>
            </w:r>
          </w:p>
          <w:p>
            <w:pPr>
              <w:pStyle w:val="TableText"/>
              <w:ind w:left="841"/>
              <w:spacing w:before="18" w:line="220" w:lineRule="auto"/>
              <w:rPr>
                <w:sz w:val="21"/>
                <w:szCs w:val="21"/>
              </w:rPr>
            </w:pPr>
            <w:r>
              <w:rPr>
                <w:sz w:val="21"/>
                <w:szCs w:val="21"/>
                <w:spacing w:val="7"/>
              </w:rPr>
              <w:t>一级A标准)</w:t>
            </w:r>
          </w:p>
        </w:tc>
        <w:tc>
          <w:tcPr>
            <w:tcW w:w="959" w:type="dxa"/>
            <w:vAlign w:val="top"/>
          </w:tcPr>
          <w:p>
            <w:pPr>
              <w:pStyle w:val="TableText"/>
              <w:ind w:left="205"/>
              <w:spacing w:before="98" w:line="159" w:lineRule="auto"/>
              <w:rPr>
                <w:sz w:val="21"/>
                <w:szCs w:val="21"/>
              </w:rPr>
            </w:pPr>
            <w:r>
              <w:rPr>
                <w:sz w:val="21"/>
                <w:szCs w:val="21"/>
                <w:spacing w:val="-2"/>
              </w:rPr>
              <w:t>CODcr</w:t>
            </w:r>
          </w:p>
        </w:tc>
        <w:tc>
          <w:tcPr>
            <w:tcW w:w="1328" w:type="dxa"/>
            <w:vAlign w:val="top"/>
          </w:tcPr>
          <w:p>
            <w:pPr>
              <w:pStyle w:val="TableText"/>
              <w:ind w:left="556"/>
              <w:spacing w:before="98" w:line="159" w:lineRule="auto"/>
              <w:rPr>
                <w:sz w:val="21"/>
                <w:szCs w:val="21"/>
              </w:rPr>
            </w:pPr>
            <w:r>
              <w:rPr>
                <w:sz w:val="21"/>
                <w:szCs w:val="21"/>
                <w:spacing w:val="-4"/>
              </w:rPr>
              <w:t>50</w:t>
            </w:r>
          </w:p>
        </w:tc>
        <w:tc>
          <w:tcPr>
            <w:tcW w:w="1503" w:type="dxa"/>
            <w:vAlign w:val="top"/>
          </w:tcPr>
          <w:p>
            <w:pPr>
              <w:pStyle w:val="TableText"/>
              <w:ind w:left="431"/>
              <w:spacing w:before="95" w:line="161" w:lineRule="auto"/>
              <w:rPr>
                <w:sz w:val="21"/>
                <w:szCs w:val="21"/>
              </w:rPr>
            </w:pPr>
            <w:r>
              <w:rPr>
                <w:sz w:val="21"/>
                <w:szCs w:val="21"/>
                <w:b/>
                <w:bCs/>
                <w:spacing w:val="-4"/>
              </w:rPr>
              <w:t>2.6325</w:t>
            </w:r>
          </w:p>
        </w:tc>
      </w:tr>
      <w:tr>
        <w:trPr>
          <w:trHeight w:val="290" w:hRule="atLeast"/>
        </w:trPr>
        <w:tc>
          <w:tcPr>
            <w:tcW w:w="914" w:type="dxa"/>
            <w:vAlign w:val="top"/>
            <w:vMerge w:val="continue"/>
            <w:tcBorders>
              <w:top w:val="nil"/>
              <w:bottom w:val="nil"/>
            </w:tcBorders>
          </w:tcPr>
          <w:p>
            <w:pPr>
              <w:rPr>
                <w:rFonts w:ascii="Arial"/>
                <w:sz w:val="21"/>
              </w:rPr>
            </w:pPr>
            <w:r/>
          </w:p>
        </w:tc>
        <w:tc>
          <w:tcPr>
            <w:tcW w:w="949" w:type="dxa"/>
            <w:vAlign w:val="top"/>
            <w:vMerge w:val="continue"/>
            <w:tcBorders>
              <w:top w:val="nil"/>
              <w:bottom w:val="nil"/>
            </w:tcBorders>
          </w:tcPr>
          <w:p>
            <w:pPr>
              <w:rPr>
                <w:rFonts w:ascii="Arial"/>
                <w:sz w:val="21"/>
              </w:rPr>
            </w:pPr>
            <w:r/>
          </w:p>
        </w:tc>
        <w:tc>
          <w:tcPr>
            <w:tcW w:w="2746" w:type="dxa"/>
            <w:vAlign w:val="top"/>
            <w:vMerge w:val="continue"/>
            <w:tcBorders>
              <w:top w:val="nil"/>
              <w:bottom w:val="nil"/>
            </w:tcBorders>
          </w:tcPr>
          <w:p>
            <w:pPr>
              <w:rPr>
                <w:rFonts w:ascii="Arial"/>
                <w:sz w:val="21"/>
              </w:rPr>
            </w:pPr>
            <w:r/>
          </w:p>
        </w:tc>
        <w:tc>
          <w:tcPr>
            <w:tcW w:w="959" w:type="dxa"/>
            <w:vAlign w:val="top"/>
          </w:tcPr>
          <w:p>
            <w:pPr>
              <w:pStyle w:val="TableText"/>
              <w:ind w:left="265"/>
              <w:spacing w:before="43" w:line="208" w:lineRule="auto"/>
              <w:rPr>
                <w:sz w:val="21"/>
                <w:szCs w:val="21"/>
              </w:rPr>
            </w:pPr>
            <w:r>
              <w:rPr>
                <w:sz w:val="21"/>
                <w:szCs w:val="21"/>
                <w:spacing w:val="-3"/>
              </w:rPr>
              <w:t>氨氮</w:t>
            </w:r>
          </w:p>
        </w:tc>
        <w:tc>
          <w:tcPr>
            <w:tcW w:w="1328" w:type="dxa"/>
            <w:vAlign w:val="top"/>
          </w:tcPr>
          <w:p>
            <w:pPr>
              <w:pStyle w:val="TableText"/>
              <w:ind w:left="607"/>
              <w:spacing w:before="100" w:line="158" w:lineRule="auto"/>
              <w:rPr>
                <w:sz w:val="21"/>
                <w:szCs w:val="21"/>
              </w:rPr>
            </w:pPr>
            <w:r>
              <w:rPr>
                <w:sz w:val="21"/>
                <w:szCs w:val="21"/>
              </w:rPr>
              <w:t>5</w:t>
            </w:r>
          </w:p>
        </w:tc>
        <w:tc>
          <w:tcPr>
            <w:tcW w:w="1503" w:type="dxa"/>
            <w:vAlign w:val="top"/>
          </w:tcPr>
          <w:p>
            <w:pPr>
              <w:pStyle w:val="TableText"/>
              <w:ind w:left="431"/>
              <w:spacing w:before="96" w:line="161" w:lineRule="auto"/>
              <w:rPr>
                <w:sz w:val="21"/>
                <w:szCs w:val="21"/>
              </w:rPr>
            </w:pPr>
            <w:r>
              <w:rPr>
                <w:sz w:val="21"/>
                <w:szCs w:val="21"/>
                <w:b/>
                <w:bCs/>
                <w:spacing w:val="-4"/>
              </w:rPr>
              <w:t>0.2633</w:t>
            </w:r>
          </w:p>
        </w:tc>
      </w:tr>
      <w:tr>
        <w:trPr>
          <w:trHeight w:val="269" w:hRule="atLeast"/>
        </w:trPr>
        <w:tc>
          <w:tcPr>
            <w:tcW w:w="914" w:type="dxa"/>
            <w:vAlign w:val="top"/>
            <w:vMerge w:val="continue"/>
            <w:tcBorders>
              <w:top w:val="nil"/>
              <w:bottom w:val="nil"/>
            </w:tcBorders>
          </w:tcPr>
          <w:p>
            <w:pPr>
              <w:rPr>
                <w:rFonts w:ascii="Arial"/>
                <w:sz w:val="21"/>
              </w:rPr>
            </w:pPr>
            <w:r/>
          </w:p>
        </w:tc>
        <w:tc>
          <w:tcPr>
            <w:tcW w:w="949" w:type="dxa"/>
            <w:vAlign w:val="top"/>
            <w:vMerge w:val="continue"/>
            <w:tcBorders>
              <w:top w:val="nil"/>
              <w:bottom w:val="nil"/>
            </w:tcBorders>
          </w:tcPr>
          <w:p>
            <w:pPr>
              <w:rPr>
                <w:rFonts w:ascii="Arial"/>
                <w:sz w:val="21"/>
              </w:rPr>
            </w:pPr>
            <w:r/>
          </w:p>
        </w:tc>
        <w:tc>
          <w:tcPr>
            <w:tcW w:w="2746" w:type="dxa"/>
            <w:vAlign w:val="top"/>
            <w:vMerge w:val="continue"/>
            <w:tcBorders>
              <w:top w:val="nil"/>
              <w:bottom w:val="nil"/>
            </w:tcBorders>
          </w:tcPr>
          <w:p>
            <w:pPr>
              <w:rPr>
                <w:rFonts w:ascii="Arial"/>
                <w:sz w:val="21"/>
              </w:rPr>
            </w:pPr>
            <w:r/>
          </w:p>
        </w:tc>
        <w:tc>
          <w:tcPr>
            <w:tcW w:w="959" w:type="dxa"/>
            <w:vAlign w:val="top"/>
          </w:tcPr>
          <w:p>
            <w:pPr>
              <w:pStyle w:val="TableText"/>
              <w:ind w:left="366"/>
              <w:spacing w:before="88" w:line="171" w:lineRule="exact"/>
              <w:rPr>
                <w:sz w:val="21"/>
                <w:szCs w:val="21"/>
              </w:rPr>
            </w:pPr>
            <w:r>
              <w:rPr>
                <w:sz w:val="21"/>
                <w:szCs w:val="21"/>
                <w:spacing w:val="-2"/>
                <w:position w:val="-2"/>
              </w:rPr>
              <w:t>Co</w:t>
            </w:r>
          </w:p>
        </w:tc>
        <w:tc>
          <w:tcPr>
            <w:tcW w:w="1328" w:type="dxa"/>
            <w:vAlign w:val="top"/>
          </w:tcPr>
          <w:p>
            <w:pPr>
              <w:pStyle w:val="TableText"/>
              <w:ind w:left="607"/>
              <w:spacing w:before="40" w:line="192" w:lineRule="auto"/>
              <w:rPr>
                <w:sz w:val="21"/>
                <w:szCs w:val="21"/>
              </w:rPr>
            </w:pPr>
            <w:r>
              <w:rPr>
                <w:sz w:val="21"/>
                <w:szCs w:val="21"/>
              </w:rPr>
              <w:t>/</w:t>
            </w:r>
          </w:p>
        </w:tc>
        <w:tc>
          <w:tcPr>
            <w:tcW w:w="1503" w:type="dxa"/>
            <w:vAlign w:val="top"/>
          </w:tcPr>
          <w:p>
            <w:pPr>
              <w:pStyle w:val="TableText"/>
              <w:ind w:left="431"/>
              <w:spacing w:before="86" w:line="173" w:lineRule="exact"/>
              <w:rPr>
                <w:sz w:val="21"/>
                <w:szCs w:val="21"/>
              </w:rPr>
            </w:pPr>
            <w:r>
              <w:rPr>
                <w:sz w:val="21"/>
                <w:szCs w:val="21"/>
                <w:b/>
                <w:bCs/>
                <w:spacing w:val="-4"/>
                <w:position w:val="-2"/>
              </w:rPr>
              <w:t>0.0020</w:t>
            </w:r>
          </w:p>
        </w:tc>
      </w:tr>
      <w:tr>
        <w:trPr>
          <w:trHeight w:val="279" w:hRule="atLeast"/>
        </w:trPr>
        <w:tc>
          <w:tcPr>
            <w:tcW w:w="914" w:type="dxa"/>
            <w:vAlign w:val="top"/>
            <w:vMerge w:val="continue"/>
            <w:tcBorders>
              <w:top w:val="nil"/>
              <w:bottom w:val="nil"/>
            </w:tcBorders>
          </w:tcPr>
          <w:p>
            <w:pPr>
              <w:rPr>
                <w:rFonts w:ascii="Arial"/>
                <w:sz w:val="21"/>
              </w:rPr>
            </w:pPr>
            <w:r/>
          </w:p>
        </w:tc>
        <w:tc>
          <w:tcPr>
            <w:tcW w:w="949" w:type="dxa"/>
            <w:vAlign w:val="top"/>
            <w:vMerge w:val="continue"/>
            <w:tcBorders>
              <w:top w:val="nil"/>
              <w:bottom w:val="nil"/>
            </w:tcBorders>
          </w:tcPr>
          <w:p>
            <w:pPr>
              <w:rPr>
                <w:rFonts w:ascii="Arial"/>
                <w:sz w:val="21"/>
              </w:rPr>
            </w:pPr>
            <w:r/>
          </w:p>
        </w:tc>
        <w:tc>
          <w:tcPr>
            <w:tcW w:w="2746" w:type="dxa"/>
            <w:vAlign w:val="top"/>
            <w:vMerge w:val="continue"/>
            <w:tcBorders>
              <w:top w:val="nil"/>
              <w:bottom w:val="nil"/>
            </w:tcBorders>
          </w:tcPr>
          <w:p>
            <w:pPr>
              <w:rPr>
                <w:rFonts w:ascii="Arial"/>
                <w:sz w:val="21"/>
              </w:rPr>
            </w:pPr>
            <w:r/>
          </w:p>
        </w:tc>
        <w:tc>
          <w:tcPr>
            <w:tcW w:w="959" w:type="dxa"/>
            <w:vAlign w:val="top"/>
          </w:tcPr>
          <w:p>
            <w:pPr>
              <w:pStyle w:val="TableText"/>
              <w:ind w:left="366"/>
              <w:spacing w:before="99" w:line="170" w:lineRule="exact"/>
              <w:rPr>
                <w:sz w:val="21"/>
                <w:szCs w:val="21"/>
              </w:rPr>
            </w:pPr>
            <w:r>
              <w:rPr>
                <w:sz w:val="21"/>
                <w:szCs w:val="21"/>
                <w:spacing w:val="-1"/>
                <w:position w:val="-2"/>
              </w:rPr>
              <w:t>Ni</w:t>
            </w:r>
          </w:p>
        </w:tc>
        <w:tc>
          <w:tcPr>
            <w:tcW w:w="1328" w:type="dxa"/>
            <w:vAlign w:val="top"/>
          </w:tcPr>
          <w:p>
            <w:pPr>
              <w:pStyle w:val="TableText"/>
              <w:ind w:left="446"/>
              <w:spacing w:before="99" w:line="170" w:lineRule="exact"/>
              <w:rPr>
                <w:sz w:val="21"/>
                <w:szCs w:val="21"/>
              </w:rPr>
            </w:pPr>
            <w:r>
              <w:rPr>
                <w:sz w:val="21"/>
                <w:szCs w:val="21"/>
                <w:spacing w:val="-2"/>
                <w:position w:val="-2"/>
              </w:rPr>
              <w:t>0.05</w:t>
            </w:r>
          </w:p>
        </w:tc>
        <w:tc>
          <w:tcPr>
            <w:tcW w:w="1503" w:type="dxa"/>
            <w:vAlign w:val="top"/>
          </w:tcPr>
          <w:p>
            <w:pPr>
              <w:pStyle w:val="TableText"/>
              <w:ind w:left="431"/>
              <w:spacing w:before="96" w:line="173" w:lineRule="exact"/>
              <w:rPr>
                <w:sz w:val="21"/>
                <w:szCs w:val="21"/>
              </w:rPr>
            </w:pPr>
            <w:r>
              <w:rPr>
                <w:sz w:val="21"/>
                <w:szCs w:val="21"/>
                <w:b/>
                <w:bCs/>
                <w:spacing w:val="-4"/>
                <w:position w:val="-2"/>
              </w:rPr>
              <w:t>0.0010</w:t>
            </w:r>
          </w:p>
        </w:tc>
      </w:tr>
      <w:tr>
        <w:trPr>
          <w:trHeight w:val="290" w:hRule="atLeast"/>
        </w:trPr>
        <w:tc>
          <w:tcPr>
            <w:tcW w:w="914" w:type="dxa"/>
            <w:vAlign w:val="top"/>
            <w:vMerge w:val="continue"/>
            <w:tcBorders>
              <w:top w:val="nil"/>
            </w:tcBorders>
          </w:tcPr>
          <w:p>
            <w:pPr>
              <w:rPr>
                <w:rFonts w:ascii="Arial"/>
                <w:sz w:val="21"/>
              </w:rPr>
            </w:pPr>
            <w:r/>
          </w:p>
        </w:tc>
        <w:tc>
          <w:tcPr>
            <w:tcW w:w="949" w:type="dxa"/>
            <w:vAlign w:val="top"/>
            <w:vMerge w:val="continue"/>
            <w:tcBorders>
              <w:top w:val="nil"/>
            </w:tcBorders>
          </w:tcPr>
          <w:p>
            <w:pPr>
              <w:rPr>
                <w:rFonts w:ascii="Arial"/>
                <w:sz w:val="21"/>
              </w:rPr>
            </w:pPr>
            <w:r/>
          </w:p>
        </w:tc>
        <w:tc>
          <w:tcPr>
            <w:tcW w:w="2746" w:type="dxa"/>
            <w:vAlign w:val="top"/>
            <w:vMerge w:val="continue"/>
            <w:tcBorders>
              <w:top w:val="nil"/>
            </w:tcBorders>
          </w:tcPr>
          <w:p>
            <w:pPr>
              <w:rPr>
                <w:rFonts w:ascii="Arial"/>
                <w:sz w:val="21"/>
              </w:rPr>
            </w:pPr>
            <w:r/>
          </w:p>
        </w:tc>
        <w:tc>
          <w:tcPr>
            <w:tcW w:w="959" w:type="dxa"/>
            <w:vAlign w:val="top"/>
          </w:tcPr>
          <w:p>
            <w:pPr>
              <w:pStyle w:val="TableText"/>
              <w:ind w:left="366"/>
              <w:spacing w:before="102" w:line="177" w:lineRule="exact"/>
              <w:rPr>
                <w:sz w:val="21"/>
                <w:szCs w:val="21"/>
              </w:rPr>
            </w:pPr>
            <w:r>
              <w:rPr>
                <w:sz w:val="21"/>
                <w:szCs w:val="21"/>
                <w:spacing w:val="-1"/>
                <w:position w:val="-2"/>
              </w:rPr>
              <w:t>Mn</w:t>
            </w:r>
          </w:p>
        </w:tc>
        <w:tc>
          <w:tcPr>
            <w:tcW w:w="1328" w:type="dxa"/>
            <w:vAlign w:val="top"/>
          </w:tcPr>
          <w:p>
            <w:pPr>
              <w:pStyle w:val="TableText"/>
              <w:ind w:left="496"/>
              <w:spacing w:before="100" w:line="158" w:lineRule="auto"/>
              <w:rPr>
                <w:sz w:val="21"/>
                <w:szCs w:val="21"/>
              </w:rPr>
            </w:pPr>
            <w:r>
              <w:rPr>
                <w:sz w:val="21"/>
                <w:szCs w:val="21"/>
                <w:spacing w:val="-3"/>
              </w:rPr>
              <w:t>2.0</w:t>
            </w:r>
          </w:p>
        </w:tc>
        <w:tc>
          <w:tcPr>
            <w:tcW w:w="1503" w:type="dxa"/>
            <w:vAlign w:val="top"/>
          </w:tcPr>
          <w:p>
            <w:pPr>
              <w:pStyle w:val="TableText"/>
              <w:ind w:left="431"/>
              <w:spacing w:before="99" w:line="159" w:lineRule="auto"/>
              <w:rPr>
                <w:sz w:val="21"/>
                <w:szCs w:val="21"/>
              </w:rPr>
            </w:pPr>
            <w:r>
              <w:rPr>
                <w:sz w:val="21"/>
                <w:szCs w:val="21"/>
                <w:b/>
                <w:bCs/>
                <w:spacing w:val="-4"/>
              </w:rPr>
              <w:t>0.0307</w:t>
            </w:r>
          </w:p>
        </w:tc>
      </w:tr>
      <w:tr>
        <w:trPr>
          <w:trHeight w:val="289" w:hRule="atLeast"/>
        </w:trPr>
        <w:tc>
          <w:tcPr>
            <w:tcW w:w="914" w:type="dxa"/>
            <w:vAlign w:val="top"/>
            <w:vMerge w:val="restart"/>
            <w:tcBorders>
              <w:bottom w:val="nil"/>
            </w:tcBorders>
          </w:tcPr>
          <w:p>
            <w:pPr>
              <w:spacing w:line="283" w:lineRule="auto"/>
              <w:rPr>
                <w:rFonts w:ascii="Arial"/>
                <w:sz w:val="21"/>
              </w:rPr>
            </w:pPr>
            <w:r/>
          </w:p>
          <w:p>
            <w:pPr>
              <w:spacing w:line="283" w:lineRule="auto"/>
              <w:rPr>
                <w:rFonts w:ascii="Arial"/>
                <w:sz w:val="21"/>
              </w:rPr>
            </w:pPr>
            <w:r/>
          </w:p>
          <w:p>
            <w:pPr>
              <w:pStyle w:val="TableText"/>
              <w:ind w:left="295"/>
              <w:spacing w:before="68" w:line="221" w:lineRule="auto"/>
              <w:rPr>
                <w:sz w:val="21"/>
                <w:szCs w:val="21"/>
              </w:rPr>
            </w:pPr>
            <w:r>
              <w:rPr>
                <w:sz w:val="21"/>
                <w:szCs w:val="21"/>
                <w:spacing w:val="-3"/>
              </w:rPr>
              <w:t>合计</w:t>
            </w:r>
          </w:p>
        </w:tc>
        <w:tc>
          <w:tcPr>
            <w:tcW w:w="949" w:type="dxa"/>
            <w:vAlign w:val="top"/>
            <w:vMerge w:val="restart"/>
            <w:tcBorders>
              <w:bottom w:val="nil"/>
            </w:tcBorders>
          </w:tcPr>
          <w:p>
            <w:pPr>
              <w:spacing w:line="309" w:lineRule="auto"/>
              <w:rPr>
                <w:rFonts w:ascii="Arial"/>
                <w:sz w:val="21"/>
              </w:rPr>
            </w:pPr>
            <w:r/>
          </w:p>
          <w:p>
            <w:pPr>
              <w:spacing w:line="309" w:lineRule="auto"/>
              <w:rPr>
                <w:rFonts w:ascii="Arial"/>
                <w:sz w:val="21"/>
              </w:rPr>
            </w:pPr>
            <w:r/>
          </w:p>
          <w:p>
            <w:pPr>
              <w:pStyle w:val="TableText"/>
              <w:ind w:left="150"/>
              <w:spacing w:before="69" w:line="183" w:lineRule="auto"/>
              <w:rPr>
                <w:sz w:val="21"/>
                <w:szCs w:val="21"/>
              </w:rPr>
            </w:pPr>
            <w:r>
              <w:rPr>
                <w:sz w:val="21"/>
                <w:szCs w:val="21"/>
                <w:spacing w:val="-2"/>
              </w:rPr>
              <w:t>430980</w:t>
            </w:r>
          </w:p>
        </w:tc>
        <w:tc>
          <w:tcPr>
            <w:tcW w:w="2746" w:type="dxa"/>
            <w:vAlign w:val="top"/>
            <w:vMerge w:val="restart"/>
            <w:tcBorders>
              <w:bottom w:val="nil"/>
            </w:tcBorders>
          </w:tcPr>
          <w:p>
            <w:pPr>
              <w:spacing w:line="283" w:lineRule="auto"/>
              <w:rPr>
                <w:rFonts w:ascii="Arial"/>
                <w:sz w:val="21"/>
              </w:rPr>
            </w:pPr>
            <w:r/>
          </w:p>
          <w:p>
            <w:pPr>
              <w:spacing w:line="283" w:lineRule="auto"/>
              <w:rPr>
                <w:rFonts w:ascii="Arial"/>
                <w:sz w:val="21"/>
              </w:rPr>
            </w:pPr>
            <w:r/>
          </w:p>
          <w:p>
            <w:pPr>
              <w:pStyle w:val="TableText"/>
              <w:ind w:left="941"/>
              <w:spacing w:before="68" w:line="221" w:lineRule="auto"/>
              <w:rPr>
                <w:sz w:val="21"/>
                <w:szCs w:val="21"/>
              </w:rPr>
            </w:pPr>
            <w:r>
              <w:rPr>
                <w:sz w:val="21"/>
                <w:szCs w:val="21"/>
                <w:spacing w:val="-2"/>
              </w:rPr>
              <w:t>排放总量</w:t>
            </w:r>
          </w:p>
        </w:tc>
        <w:tc>
          <w:tcPr>
            <w:tcW w:w="959" w:type="dxa"/>
            <w:vAlign w:val="top"/>
          </w:tcPr>
          <w:p>
            <w:pPr>
              <w:pStyle w:val="TableText"/>
              <w:ind w:left="205"/>
              <w:spacing w:before="100" w:line="157" w:lineRule="auto"/>
              <w:rPr>
                <w:sz w:val="21"/>
                <w:szCs w:val="21"/>
              </w:rPr>
            </w:pPr>
            <w:r>
              <w:rPr>
                <w:sz w:val="21"/>
                <w:szCs w:val="21"/>
                <w:spacing w:val="-2"/>
              </w:rPr>
              <w:t>CODcr</w:t>
            </w:r>
          </w:p>
        </w:tc>
        <w:tc>
          <w:tcPr>
            <w:tcW w:w="1328" w:type="dxa"/>
            <w:vAlign w:val="top"/>
          </w:tcPr>
          <w:p>
            <w:pPr>
              <w:pStyle w:val="TableText"/>
              <w:ind w:left="556"/>
              <w:spacing w:before="100" w:line="157" w:lineRule="auto"/>
              <w:rPr>
                <w:sz w:val="21"/>
                <w:szCs w:val="21"/>
              </w:rPr>
            </w:pPr>
            <w:r>
              <w:rPr>
                <w:sz w:val="21"/>
                <w:szCs w:val="21"/>
                <w:spacing w:val="-4"/>
              </w:rPr>
              <w:t>50</w:t>
            </w:r>
          </w:p>
        </w:tc>
        <w:tc>
          <w:tcPr>
            <w:tcW w:w="1503" w:type="dxa"/>
            <w:vAlign w:val="top"/>
          </w:tcPr>
          <w:p>
            <w:pPr>
              <w:pStyle w:val="TableText"/>
              <w:ind w:left="378"/>
              <w:spacing w:before="100" w:line="157" w:lineRule="auto"/>
              <w:rPr>
                <w:sz w:val="21"/>
                <w:szCs w:val="21"/>
              </w:rPr>
            </w:pPr>
            <w:r>
              <w:rPr>
                <w:sz w:val="21"/>
                <w:szCs w:val="21"/>
                <w:spacing w:val="-3"/>
              </w:rPr>
              <w:t>14.4315</w:t>
            </w:r>
          </w:p>
        </w:tc>
      </w:tr>
      <w:tr>
        <w:trPr>
          <w:trHeight w:val="270" w:hRule="atLeast"/>
        </w:trPr>
        <w:tc>
          <w:tcPr>
            <w:tcW w:w="914" w:type="dxa"/>
            <w:vAlign w:val="top"/>
            <w:vMerge w:val="continue"/>
            <w:tcBorders>
              <w:top w:val="nil"/>
              <w:bottom w:val="nil"/>
            </w:tcBorders>
          </w:tcPr>
          <w:p>
            <w:pPr>
              <w:rPr>
                <w:rFonts w:ascii="Arial"/>
                <w:sz w:val="21"/>
              </w:rPr>
            </w:pPr>
            <w:r/>
          </w:p>
        </w:tc>
        <w:tc>
          <w:tcPr>
            <w:tcW w:w="949" w:type="dxa"/>
            <w:vAlign w:val="top"/>
            <w:vMerge w:val="continue"/>
            <w:tcBorders>
              <w:top w:val="nil"/>
              <w:bottom w:val="nil"/>
            </w:tcBorders>
          </w:tcPr>
          <w:p>
            <w:pPr>
              <w:rPr>
                <w:rFonts w:ascii="Arial"/>
                <w:sz w:val="21"/>
              </w:rPr>
            </w:pPr>
            <w:r/>
          </w:p>
        </w:tc>
        <w:tc>
          <w:tcPr>
            <w:tcW w:w="2746" w:type="dxa"/>
            <w:vAlign w:val="top"/>
            <w:vMerge w:val="continue"/>
            <w:tcBorders>
              <w:top w:val="nil"/>
              <w:bottom w:val="nil"/>
            </w:tcBorders>
          </w:tcPr>
          <w:p>
            <w:pPr>
              <w:rPr>
                <w:rFonts w:ascii="Arial"/>
                <w:sz w:val="21"/>
              </w:rPr>
            </w:pPr>
            <w:r/>
          </w:p>
        </w:tc>
        <w:tc>
          <w:tcPr>
            <w:tcW w:w="959" w:type="dxa"/>
            <w:vAlign w:val="top"/>
          </w:tcPr>
          <w:p>
            <w:pPr>
              <w:pStyle w:val="TableText"/>
              <w:ind w:left="265"/>
              <w:spacing w:before="37" w:line="196" w:lineRule="auto"/>
              <w:rPr>
                <w:sz w:val="21"/>
                <w:szCs w:val="21"/>
              </w:rPr>
            </w:pPr>
            <w:r>
              <w:rPr>
                <w:sz w:val="21"/>
                <w:szCs w:val="21"/>
                <w:spacing w:val="-3"/>
              </w:rPr>
              <w:t>氨氮</w:t>
            </w:r>
          </w:p>
        </w:tc>
        <w:tc>
          <w:tcPr>
            <w:tcW w:w="1328" w:type="dxa"/>
            <w:vAlign w:val="top"/>
          </w:tcPr>
          <w:p>
            <w:pPr>
              <w:pStyle w:val="TableText"/>
              <w:ind w:left="607"/>
              <w:spacing w:before="93" w:line="167" w:lineRule="exact"/>
              <w:rPr>
                <w:sz w:val="21"/>
                <w:szCs w:val="21"/>
              </w:rPr>
            </w:pPr>
            <w:r>
              <w:rPr>
                <w:sz w:val="21"/>
                <w:szCs w:val="21"/>
                <w:position w:val="-2"/>
              </w:rPr>
              <w:t>5</w:t>
            </w:r>
          </w:p>
        </w:tc>
        <w:tc>
          <w:tcPr>
            <w:tcW w:w="1503" w:type="dxa"/>
            <w:vAlign w:val="top"/>
          </w:tcPr>
          <w:p>
            <w:pPr>
              <w:pStyle w:val="TableText"/>
              <w:ind w:left="428"/>
              <w:spacing w:before="90" w:line="170" w:lineRule="exact"/>
              <w:rPr>
                <w:sz w:val="21"/>
                <w:szCs w:val="21"/>
              </w:rPr>
            </w:pPr>
            <w:r>
              <w:rPr>
                <w:sz w:val="21"/>
                <w:szCs w:val="21"/>
                <w:spacing w:val="-4"/>
                <w:position w:val="-2"/>
              </w:rPr>
              <w:t>1.4432</w:t>
            </w:r>
          </w:p>
        </w:tc>
      </w:tr>
      <w:tr>
        <w:trPr>
          <w:trHeight w:val="289" w:hRule="atLeast"/>
        </w:trPr>
        <w:tc>
          <w:tcPr>
            <w:tcW w:w="914" w:type="dxa"/>
            <w:vAlign w:val="top"/>
            <w:vMerge w:val="continue"/>
            <w:tcBorders>
              <w:top w:val="nil"/>
              <w:bottom w:val="nil"/>
            </w:tcBorders>
          </w:tcPr>
          <w:p>
            <w:pPr>
              <w:rPr>
                <w:rFonts w:ascii="Arial"/>
                <w:sz w:val="21"/>
              </w:rPr>
            </w:pPr>
            <w:r/>
          </w:p>
        </w:tc>
        <w:tc>
          <w:tcPr>
            <w:tcW w:w="949" w:type="dxa"/>
            <w:vAlign w:val="top"/>
            <w:vMerge w:val="continue"/>
            <w:tcBorders>
              <w:top w:val="nil"/>
              <w:bottom w:val="nil"/>
            </w:tcBorders>
          </w:tcPr>
          <w:p>
            <w:pPr>
              <w:rPr>
                <w:rFonts w:ascii="Arial"/>
                <w:sz w:val="21"/>
              </w:rPr>
            </w:pPr>
            <w:r/>
          </w:p>
        </w:tc>
        <w:tc>
          <w:tcPr>
            <w:tcW w:w="2746" w:type="dxa"/>
            <w:vAlign w:val="top"/>
            <w:vMerge w:val="continue"/>
            <w:tcBorders>
              <w:top w:val="nil"/>
              <w:bottom w:val="nil"/>
            </w:tcBorders>
          </w:tcPr>
          <w:p>
            <w:pPr>
              <w:rPr>
                <w:rFonts w:ascii="Arial"/>
                <w:sz w:val="21"/>
              </w:rPr>
            </w:pPr>
            <w:r/>
          </w:p>
        </w:tc>
        <w:tc>
          <w:tcPr>
            <w:tcW w:w="959" w:type="dxa"/>
            <w:vAlign w:val="top"/>
          </w:tcPr>
          <w:p>
            <w:pPr>
              <w:pStyle w:val="TableText"/>
              <w:ind w:left="366"/>
              <w:spacing w:before="101" w:line="178" w:lineRule="exact"/>
              <w:rPr>
                <w:sz w:val="21"/>
                <w:szCs w:val="21"/>
              </w:rPr>
            </w:pPr>
            <w:r>
              <w:rPr>
                <w:sz w:val="21"/>
                <w:szCs w:val="21"/>
                <w:spacing w:val="-2"/>
                <w:position w:val="-2"/>
              </w:rPr>
              <w:t>Co</w:t>
            </w:r>
          </w:p>
        </w:tc>
        <w:tc>
          <w:tcPr>
            <w:tcW w:w="1328" w:type="dxa"/>
            <w:vAlign w:val="top"/>
          </w:tcPr>
          <w:p>
            <w:pPr>
              <w:pStyle w:val="TableText"/>
              <w:ind w:left="607"/>
              <w:spacing w:before="53" w:line="198" w:lineRule="auto"/>
              <w:rPr>
                <w:sz w:val="21"/>
                <w:szCs w:val="21"/>
              </w:rPr>
            </w:pPr>
            <w:r>
              <w:rPr>
                <w:sz w:val="21"/>
                <w:szCs w:val="21"/>
              </w:rPr>
              <w:t>/</w:t>
            </w:r>
          </w:p>
        </w:tc>
        <w:tc>
          <w:tcPr>
            <w:tcW w:w="1503" w:type="dxa"/>
            <w:vAlign w:val="top"/>
          </w:tcPr>
          <w:p>
            <w:pPr>
              <w:pStyle w:val="TableText"/>
              <w:ind w:left="428"/>
              <w:spacing w:before="101" w:line="178" w:lineRule="exact"/>
              <w:rPr>
                <w:sz w:val="21"/>
                <w:szCs w:val="21"/>
              </w:rPr>
            </w:pPr>
            <w:r>
              <w:rPr>
                <w:sz w:val="21"/>
                <w:szCs w:val="21"/>
                <w:spacing w:val="-2"/>
                <w:position w:val="-2"/>
              </w:rPr>
              <w:t>0.0020</w:t>
            </w:r>
          </w:p>
        </w:tc>
      </w:tr>
      <w:tr>
        <w:trPr>
          <w:trHeight w:val="290" w:hRule="atLeast"/>
        </w:trPr>
        <w:tc>
          <w:tcPr>
            <w:tcW w:w="914" w:type="dxa"/>
            <w:vAlign w:val="top"/>
            <w:vMerge w:val="continue"/>
            <w:tcBorders>
              <w:top w:val="nil"/>
              <w:bottom w:val="nil"/>
            </w:tcBorders>
          </w:tcPr>
          <w:p>
            <w:pPr>
              <w:rPr>
                <w:rFonts w:ascii="Arial"/>
                <w:sz w:val="21"/>
              </w:rPr>
            </w:pPr>
            <w:r/>
          </w:p>
        </w:tc>
        <w:tc>
          <w:tcPr>
            <w:tcW w:w="949" w:type="dxa"/>
            <w:vAlign w:val="top"/>
            <w:vMerge w:val="continue"/>
            <w:tcBorders>
              <w:top w:val="nil"/>
              <w:bottom w:val="nil"/>
            </w:tcBorders>
          </w:tcPr>
          <w:p>
            <w:pPr>
              <w:rPr>
                <w:rFonts w:ascii="Arial"/>
                <w:sz w:val="21"/>
              </w:rPr>
            </w:pPr>
            <w:r/>
          </w:p>
        </w:tc>
        <w:tc>
          <w:tcPr>
            <w:tcW w:w="2746" w:type="dxa"/>
            <w:vAlign w:val="top"/>
            <w:vMerge w:val="continue"/>
            <w:tcBorders>
              <w:top w:val="nil"/>
              <w:bottom w:val="nil"/>
            </w:tcBorders>
          </w:tcPr>
          <w:p>
            <w:pPr>
              <w:rPr>
                <w:rFonts w:ascii="Arial"/>
                <w:sz w:val="21"/>
              </w:rPr>
            </w:pPr>
            <w:r/>
          </w:p>
        </w:tc>
        <w:tc>
          <w:tcPr>
            <w:tcW w:w="959" w:type="dxa"/>
            <w:vAlign w:val="top"/>
          </w:tcPr>
          <w:p>
            <w:pPr>
              <w:pStyle w:val="TableText"/>
              <w:ind w:left="366"/>
              <w:spacing w:before="102" w:line="177" w:lineRule="exact"/>
              <w:rPr>
                <w:sz w:val="21"/>
                <w:szCs w:val="21"/>
              </w:rPr>
            </w:pPr>
            <w:r>
              <w:rPr>
                <w:sz w:val="21"/>
                <w:szCs w:val="21"/>
                <w:spacing w:val="-1"/>
                <w:position w:val="-2"/>
              </w:rPr>
              <w:t>Ni</w:t>
            </w:r>
          </w:p>
        </w:tc>
        <w:tc>
          <w:tcPr>
            <w:tcW w:w="1328" w:type="dxa"/>
            <w:vAlign w:val="top"/>
          </w:tcPr>
          <w:p>
            <w:pPr>
              <w:pStyle w:val="TableText"/>
              <w:ind w:left="446"/>
              <w:spacing w:before="102" w:line="177" w:lineRule="exact"/>
              <w:rPr>
                <w:sz w:val="21"/>
                <w:szCs w:val="21"/>
              </w:rPr>
            </w:pPr>
            <w:r>
              <w:rPr>
                <w:sz w:val="21"/>
                <w:szCs w:val="21"/>
                <w:spacing w:val="-2"/>
                <w:position w:val="-2"/>
              </w:rPr>
              <w:t>0.05</w:t>
            </w:r>
          </w:p>
        </w:tc>
        <w:tc>
          <w:tcPr>
            <w:tcW w:w="1503" w:type="dxa"/>
            <w:vAlign w:val="top"/>
          </w:tcPr>
          <w:p>
            <w:pPr>
              <w:pStyle w:val="TableText"/>
              <w:ind w:left="428"/>
              <w:spacing w:before="101" w:line="157" w:lineRule="auto"/>
              <w:rPr>
                <w:sz w:val="21"/>
                <w:szCs w:val="21"/>
              </w:rPr>
            </w:pPr>
            <w:r>
              <w:rPr>
                <w:sz w:val="21"/>
                <w:szCs w:val="21"/>
                <w:spacing w:val="-2"/>
              </w:rPr>
              <w:t>0.0010</w:t>
            </w:r>
          </w:p>
        </w:tc>
      </w:tr>
      <w:tr>
        <w:trPr>
          <w:trHeight w:val="280" w:hRule="atLeast"/>
        </w:trPr>
        <w:tc>
          <w:tcPr>
            <w:tcW w:w="914" w:type="dxa"/>
            <w:vAlign w:val="top"/>
            <w:vMerge w:val="continue"/>
            <w:tcBorders>
              <w:top w:val="nil"/>
            </w:tcBorders>
          </w:tcPr>
          <w:p>
            <w:pPr>
              <w:rPr>
                <w:rFonts w:ascii="Arial"/>
                <w:sz w:val="21"/>
              </w:rPr>
            </w:pPr>
            <w:r/>
          </w:p>
        </w:tc>
        <w:tc>
          <w:tcPr>
            <w:tcW w:w="949" w:type="dxa"/>
            <w:vAlign w:val="top"/>
            <w:vMerge w:val="continue"/>
            <w:tcBorders>
              <w:top w:val="nil"/>
            </w:tcBorders>
          </w:tcPr>
          <w:p>
            <w:pPr>
              <w:rPr>
                <w:rFonts w:ascii="Arial"/>
                <w:sz w:val="21"/>
              </w:rPr>
            </w:pPr>
            <w:r/>
          </w:p>
        </w:tc>
        <w:tc>
          <w:tcPr>
            <w:tcW w:w="2746" w:type="dxa"/>
            <w:vAlign w:val="top"/>
            <w:vMerge w:val="continue"/>
            <w:tcBorders>
              <w:top w:val="nil"/>
            </w:tcBorders>
          </w:tcPr>
          <w:p>
            <w:pPr>
              <w:rPr>
                <w:rFonts w:ascii="Arial"/>
                <w:sz w:val="21"/>
              </w:rPr>
            </w:pPr>
            <w:r/>
          </w:p>
        </w:tc>
        <w:tc>
          <w:tcPr>
            <w:tcW w:w="959" w:type="dxa"/>
            <w:vAlign w:val="top"/>
          </w:tcPr>
          <w:p>
            <w:pPr>
              <w:pStyle w:val="TableText"/>
              <w:ind w:left="366"/>
              <w:spacing w:before="104" w:line="166" w:lineRule="exact"/>
              <w:rPr>
                <w:sz w:val="21"/>
                <w:szCs w:val="21"/>
              </w:rPr>
            </w:pPr>
            <w:r>
              <w:rPr>
                <w:sz w:val="21"/>
                <w:szCs w:val="21"/>
                <w:spacing w:val="-1"/>
                <w:position w:val="-2"/>
              </w:rPr>
              <w:t>Mn</w:t>
            </w:r>
          </w:p>
        </w:tc>
        <w:tc>
          <w:tcPr>
            <w:tcW w:w="1328" w:type="dxa"/>
            <w:vAlign w:val="top"/>
          </w:tcPr>
          <w:p>
            <w:pPr>
              <w:pStyle w:val="TableText"/>
              <w:ind w:left="496"/>
              <w:spacing w:before="102" w:line="167" w:lineRule="exact"/>
              <w:rPr>
                <w:sz w:val="21"/>
                <w:szCs w:val="21"/>
              </w:rPr>
            </w:pPr>
            <w:r>
              <w:rPr>
                <w:sz w:val="21"/>
                <w:szCs w:val="21"/>
                <w:spacing w:val="-3"/>
                <w:position w:val="-2"/>
              </w:rPr>
              <w:t>2.0</w:t>
            </w:r>
          </w:p>
        </w:tc>
        <w:tc>
          <w:tcPr>
            <w:tcW w:w="1503" w:type="dxa"/>
            <w:vAlign w:val="top"/>
          </w:tcPr>
          <w:p>
            <w:pPr>
              <w:pStyle w:val="TableText"/>
              <w:ind w:left="428"/>
              <w:spacing w:before="102" w:line="167" w:lineRule="exact"/>
              <w:rPr>
                <w:sz w:val="21"/>
                <w:szCs w:val="21"/>
              </w:rPr>
            </w:pPr>
            <w:r>
              <w:rPr>
                <w:sz w:val="21"/>
                <w:szCs w:val="21"/>
                <w:spacing w:val="-2"/>
                <w:position w:val="-2"/>
              </w:rPr>
              <w:t>0.0307</w:t>
            </w:r>
          </w:p>
        </w:tc>
      </w:tr>
      <w:tr>
        <w:trPr>
          <w:trHeight w:val="554" w:hRule="atLeast"/>
        </w:trPr>
        <w:tc>
          <w:tcPr>
            <w:tcW w:w="8399" w:type="dxa"/>
            <w:vAlign w:val="top"/>
            <w:gridSpan w:val="6"/>
          </w:tcPr>
          <w:p>
            <w:pPr>
              <w:pStyle w:val="TableText"/>
              <w:ind w:left="225" w:right="267" w:firstLine="29"/>
              <w:spacing w:before="45" w:line="219" w:lineRule="auto"/>
              <w:rPr>
                <w:sz w:val="21"/>
                <w:szCs w:val="21"/>
              </w:rPr>
            </w:pPr>
            <w:r>
              <w:rPr>
                <w:sz w:val="21"/>
                <w:szCs w:val="21"/>
              </w:rPr>
              <w:t>注：生活污水含锅炉软化水21780t/a,锅炉排污水36300t/a,纯水制备废水</w:t>
            </w:r>
            <w:r>
              <w:rPr>
                <w:sz w:val="21"/>
                <w:szCs w:val="21"/>
                <w:spacing w:val="-1"/>
              </w:rPr>
              <w:t>41010t/a,循</w:t>
            </w:r>
            <w:r>
              <w:rPr>
                <w:sz w:val="21"/>
                <w:szCs w:val="21"/>
              </w:rPr>
              <w:t xml:space="preserve"> </w:t>
            </w:r>
            <w:r>
              <w:rPr>
                <w:sz w:val="21"/>
                <w:szCs w:val="21"/>
              </w:rPr>
              <w:t>环冷却系统废水43260t/a,不计污染物排放</w:t>
            </w:r>
            <w:r>
              <w:rPr>
                <w:sz w:val="21"/>
                <w:szCs w:val="21"/>
                <w:spacing w:val="-1"/>
              </w:rPr>
              <w:t>量。</w:t>
            </w:r>
          </w:p>
        </w:tc>
      </w:tr>
    </w:tbl>
    <w:p>
      <w:pPr>
        <w:spacing w:line="403" w:lineRule="auto"/>
        <w:rPr>
          <w:rFonts w:ascii="Arial"/>
          <w:sz w:val="21"/>
        </w:rPr>
      </w:pPr>
      <w:r/>
    </w:p>
    <w:p>
      <w:pPr>
        <w:pStyle w:val="BodyText"/>
        <w:ind w:left="535" w:right="134" w:firstLine="490"/>
        <w:spacing w:before="78" w:line="354" w:lineRule="auto"/>
        <w:rPr>
          <w:sz w:val="24"/>
          <w:szCs w:val="24"/>
        </w:rPr>
      </w:pPr>
      <w:r>
        <w:rPr>
          <w:sz w:val="24"/>
          <w:szCs w:val="24"/>
        </w:rPr>
        <w:t>根据《福建省环保厅关于进一步加快推进排污权</w:t>
      </w:r>
      <w:r>
        <w:rPr>
          <w:sz w:val="24"/>
          <w:szCs w:val="24"/>
          <w:spacing w:val="-1"/>
        </w:rPr>
        <w:t>有偿使用和交易工作的意</w:t>
      </w:r>
      <w:r>
        <w:rPr>
          <w:sz w:val="24"/>
          <w:szCs w:val="24"/>
        </w:rPr>
        <w:t xml:space="preserve"> </w:t>
      </w:r>
      <w:r>
        <w:rPr>
          <w:sz w:val="24"/>
          <w:szCs w:val="24"/>
          <w:spacing w:val="13"/>
        </w:rPr>
        <w:t>见》</w:t>
      </w:r>
      <w:r>
        <w:rPr>
          <w:sz w:val="24"/>
          <w:szCs w:val="24"/>
          <w:spacing w:val="71"/>
        </w:rPr>
        <w:t xml:space="preserve"> </w:t>
      </w:r>
      <w:r>
        <w:rPr>
          <w:sz w:val="24"/>
          <w:szCs w:val="24"/>
          <w:spacing w:val="13"/>
        </w:rPr>
        <w:t>(闽环发(2015)6号),排污权交易的水污染物仅核定工业废水部分，</w:t>
      </w:r>
      <w:r>
        <w:rPr>
          <w:sz w:val="24"/>
          <w:szCs w:val="24"/>
        </w:rPr>
        <w:t xml:space="preserve"> </w:t>
      </w:r>
      <w:r>
        <w:rPr>
          <w:sz w:val="24"/>
          <w:szCs w:val="24"/>
        </w:rPr>
        <w:t>工业排污单位污水由集中式水污染治理单位处</w:t>
      </w:r>
      <w:r>
        <w:rPr>
          <w:sz w:val="24"/>
          <w:szCs w:val="24"/>
          <w:spacing w:val="-1"/>
        </w:rPr>
        <w:t>理的，初始排污权仍归该工业排</w:t>
      </w:r>
      <w:r>
        <w:rPr>
          <w:sz w:val="24"/>
          <w:szCs w:val="24"/>
        </w:rPr>
        <w:t xml:space="preserve"> </w:t>
      </w:r>
      <w:r>
        <w:rPr>
          <w:sz w:val="24"/>
          <w:szCs w:val="24"/>
        </w:rPr>
        <w:t>污单位，核算其污染物绩效排放量时，水污染物排</w:t>
      </w:r>
      <w:r>
        <w:rPr>
          <w:sz w:val="24"/>
          <w:szCs w:val="24"/>
          <w:spacing w:val="-1"/>
        </w:rPr>
        <w:t>放浓度限值按行业排放标准</w:t>
      </w:r>
    </w:p>
    <w:p>
      <w:pPr>
        <w:pStyle w:val="BodyText"/>
        <w:ind w:left="535"/>
        <w:spacing w:line="219" w:lineRule="auto"/>
        <w:rPr>
          <w:sz w:val="24"/>
          <w:szCs w:val="24"/>
        </w:rPr>
      </w:pPr>
      <w:r>
        <w:rPr>
          <w:sz w:val="24"/>
          <w:szCs w:val="24"/>
          <w:spacing w:val="-3"/>
        </w:rPr>
        <w:t>和集中式水污染治理单位的排放标准，取小值确定。</w:t>
      </w:r>
    </w:p>
    <w:p>
      <w:pPr>
        <w:pStyle w:val="BodyText"/>
        <w:ind w:left="535" w:right="104" w:firstLine="490"/>
        <w:spacing w:before="193" w:line="362" w:lineRule="auto"/>
        <w:rPr>
          <w:sz w:val="24"/>
          <w:szCs w:val="24"/>
        </w:rPr>
      </w:pPr>
      <w:r>
        <w:rPr>
          <w:sz w:val="24"/>
          <w:szCs w:val="24"/>
          <w:spacing w:val="8"/>
        </w:rPr>
        <w:t>项目生活污水的总量控制指标由霞浦县污水处理</w:t>
      </w:r>
      <w:r>
        <w:rPr>
          <w:sz w:val="24"/>
          <w:szCs w:val="24"/>
          <w:spacing w:val="7"/>
        </w:rPr>
        <w:t>厂总量控制指标统一调</w:t>
      </w:r>
      <w:r>
        <w:rPr>
          <w:sz w:val="24"/>
          <w:szCs w:val="24"/>
        </w:rPr>
        <w:t xml:space="preserve"> </w:t>
      </w:r>
      <w:r>
        <w:rPr>
          <w:sz w:val="24"/>
          <w:szCs w:val="24"/>
          <w:spacing w:val="1"/>
        </w:rPr>
        <w:t>配，不单独分配总量。因项目厂区内生产废水、生活污水设有独立</w:t>
      </w:r>
      <w:r>
        <w:rPr>
          <w:sz w:val="24"/>
          <w:szCs w:val="24"/>
        </w:rPr>
        <w:t>的管网，分</w:t>
      </w:r>
    </w:p>
    <w:p>
      <w:pPr>
        <w:pStyle w:val="BodyText"/>
        <w:ind w:left="535"/>
        <w:spacing w:line="219" w:lineRule="auto"/>
        <w:rPr>
          <w:sz w:val="24"/>
          <w:szCs w:val="24"/>
        </w:rPr>
      </w:pPr>
      <w:r>
        <w:rPr>
          <w:sz w:val="24"/>
          <w:szCs w:val="24"/>
          <w:spacing w:val="-2"/>
        </w:rPr>
        <w:t>开收集，分开排放，故按生产废水计算水污染物总量控制指标。</w:t>
      </w:r>
    </w:p>
    <w:p>
      <w:pPr>
        <w:ind w:left="2808"/>
        <w:spacing w:before="180" w:line="222" w:lineRule="auto"/>
        <w:rPr>
          <w:rFonts w:ascii="SimHei" w:hAnsi="SimHei" w:eastAsia="SimHei" w:cs="SimHei"/>
          <w:sz w:val="24"/>
          <w:szCs w:val="24"/>
        </w:rPr>
      </w:pPr>
      <w:r>
        <w:rPr>
          <w:rFonts w:ascii="SimHei" w:hAnsi="SimHei" w:eastAsia="SimHei" w:cs="SimHei"/>
          <w:sz w:val="24"/>
          <w:szCs w:val="24"/>
          <w:b/>
          <w:bCs/>
          <w:spacing w:val="-6"/>
        </w:rPr>
        <w:t>表3.6-4</w:t>
      </w:r>
      <w:r>
        <w:rPr>
          <w:rFonts w:ascii="SimHei" w:hAnsi="SimHei" w:eastAsia="SimHei" w:cs="SimHei"/>
          <w:sz w:val="24"/>
          <w:szCs w:val="24"/>
          <w:spacing w:val="-6"/>
        </w:rPr>
        <w:t xml:space="preserve">  </w:t>
      </w:r>
      <w:r>
        <w:rPr>
          <w:rFonts w:ascii="SimHei" w:hAnsi="SimHei" w:eastAsia="SimHei" w:cs="SimHei"/>
          <w:sz w:val="24"/>
          <w:szCs w:val="24"/>
          <w:b/>
          <w:bCs/>
          <w:spacing w:val="-6"/>
        </w:rPr>
        <w:t>水污染物总量指标情况汇总表</w:t>
      </w:r>
    </w:p>
    <w:p>
      <w:pPr>
        <w:spacing w:line="142" w:lineRule="exact"/>
        <w:rPr/>
      </w:pPr>
      <w:r/>
    </w:p>
    <w:tbl>
      <w:tblPr>
        <w:tblStyle w:val="TableNormal"/>
        <w:tblW w:w="880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20"/>
        <w:gridCol w:w="2741"/>
        <w:gridCol w:w="1902"/>
        <w:gridCol w:w="1638"/>
        <w:gridCol w:w="2099"/>
      </w:tblGrid>
      <w:tr>
        <w:trPr>
          <w:trHeight w:val="333" w:hRule="atLeast"/>
        </w:trPr>
        <w:tc>
          <w:tcPr>
            <w:tcW w:w="420" w:type="dxa"/>
            <w:vAlign w:val="top"/>
            <w:vMerge w:val="restart"/>
            <w:tcBorders>
              <w:bottom w:val="nil"/>
            </w:tcBorders>
          </w:tcPr>
          <w:p>
            <w:pPr>
              <w:rPr>
                <w:rFonts w:ascii="Arial"/>
                <w:sz w:val="21"/>
              </w:rPr>
            </w:pPr>
            <w:r/>
          </w:p>
        </w:tc>
        <w:tc>
          <w:tcPr>
            <w:tcW w:w="2741" w:type="dxa"/>
            <w:vAlign w:val="top"/>
          </w:tcPr>
          <w:p>
            <w:pPr>
              <w:pStyle w:val="TableText"/>
              <w:ind w:left="945"/>
              <w:spacing w:before="73" w:line="220" w:lineRule="auto"/>
              <w:rPr>
                <w:sz w:val="20"/>
                <w:szCs w:val="20"/>
              </w:rPr>
            </w:pPr>
            <w:r>
              <w:rPr>
                <w:sz w:val="20"/>
                <w:szCs w:val="20"/>
                <w:spacing w:val="-2"/>
              </w:rPr>
              <w:t>污染物名称</w:t>
            </w:r>
          </w:p>
        </w:tc>
        <w:tc>
          <w:tcPr>
            <w:tcW w:w="1902" w:type="dxa"/>
            <w:vAlign w:val="top"/>
          </w:tcPr>
          <w:p>
            <w:pPr>
              <w:pStyle w:val="TableText"/>
              <w:ind w:left="304"/>
              <w:spacing w:before="73" w:line="219" w:lineRule="auto"/>
              <w:rPr>
                <w:sz w:val="20"/>
                <w:szCs w:val="20"/>
              </w:rPr>
            </w:pPr>
            <w:r>
              <w:rPr>
                <w:sz w:val="20"/>
                <w:szCs w:val="20"/>
                <w:spacing w:val="-2"/>
              </w:rPr>
              <w:t>生产废水排放量</w:t>
            </w:r>
          </w:p>
        </w:tc>
        <w:tc>
          <w:tcPr>
            <w:tcW w:w="1638" w:type="dxa"/>
            <w:vAlign w:val="top"/>
          </w:tcPr>
          <w:p>
            <w:pPr>
              <w:pStyle w:val="TableText"/>
              <w:ind w:left="602"/>
              <w:spacing w:before="154" w:line="168" w:lineRule="exact"/>
              <w:rPr>
                <w:sz w:val="20"/>
                <w:szCs w:val="20"/>
              </w:rPr>
            </w:pPr>
            <w:r>
              <w:rPr>
                <w:sz w:val="20"/>
                <w:szCs w:val="20"/>
                <w:spacing w:val="-2"/>
                <w:position w:val="-2"/>
              </w:rPr>
              <w:t>CODcr</w:t>
            </w:r>
          </w:p>
        </w:tc>
        <w:tc>
          <w:tcPr>
            <w:tcW w:w="2099" w:type="dxa"/>
            <w:vAlign w:val="top"/>
          </w:tcPr>
          <w:p>
            <w:pPr>
              <w:pStyle w:val="TableText"/>
              <w:ind w:left="804"/>
              <w:spacing w:before="72" w:line="219" w:lineRule="auto"/>
              <w:rPr>
                <w:sz w:val="20"/>
                <w:szCs w:val="20"/>
              </w:rPr>
            </w:pPr>
            <w:r>
              <w:rPr>
                <w:sz w:val="20"/>
                <w:szCs w:val="20"/>
                <w:spacing w:val="-2"/>
              </w:rPr>
              <w:t>氨氮</w:t>
            </w:r>
          </w:p>
        </w:tc>
      </w:tr>
      <w:tr>
        <w:trPr>
          <w:trHeight w:val="338" w:hRule="atLeast"/>
        </w:trPr>
        <w:tc>
          <w:tcPr>
            <w:tcW w:w="420" w:type="dxa"/>
            <w:vAlign w:val="top"/>
            <w:vMerge w:val="continue"/>
            <w:tcBorders>
              <w:top w:val="nil"/>
              <w:bottom w:val="nil"/>
            </w:tcBorders>
          </w:tcPr>
          <w:p>
            <w:pPr>
              <w:rPr>
                <w:rFonts w:ascii="Arial"/>
                <w:sz w:val="21"/>
              </w:rPr>
            </w:pPr>
            <w:r/>
          </w:p>
        </w:tc>
        <w:tc>
          <w:tcPr>
            <w:tcW w:w="2741" w:type="dxa"/>
            <w:vAlign w:val="top"/>
          </w:tcPr>
          <w:p>
            <w:pPr>
              <w:pStyle w:val="TableText"/>
              <w:ind w:left="695"/>
              <w:spacing w:before="118" w:line="193" w:lineRule="auto"/>
              <w:rPr>
                <w:sz w:val="20"/>
                <w:szCs w:val="20"/>
              </w:rPr>
            </w:pPr>
            <w:r>
              <w:rPr>
                <w:sz w:val="20"/>
                <w:szCs w:val="20"/>
                <w:spacing w:val="4"/>
              </w:rPr>
              <w:t>本项目新增(t/a)</w:t>
            </w:r>
          </w:p>
        </w:tc>
        <w:tc>
          <w:tcPr>
            <w:tcW w:w="1902" w:type="dxa"/>
            <w:vAlign w:val="top"/>
          </w:tcPr>
          <w:p>
            <w:pPr>
              <w:pStyle w:val="TableText"/>
              <w:ind w:left="754"/>
              <w:spacing w:before="181" w:line="146" w:lineRule="exact"/>
              <w:rPr>
                <w:sz w:val="20"/>
                <w:szCs w:val="20"/>
              </w:rPr>
            </w:pPr>
            <w:r>
              <w:rPr>
                <w:sz w:val="20"/>
                <w:szCs w:val="20"/>
                <w:spacing w:val="-4"/>
                <w:position w:val="-3"/>
              </w:rPr>
              <w:t>10530</w:t>
            </w:r>
          </w:p>
        </w:tc>
        <w:tc>
          <w:tcPr>
            <w:tcW w:w="1638" w:type="dxa"/>
            <w:vAlign w:val="top"/>
          </w:tcPr>
          <w:p>
            <w:pPr>
              <w:pStyle w:val="TableText"/>
              <w:ind w:left="552"/>
              <w:spacing w:before="171" w:line="156" w:lineRule="exact"/>
              <w:rPr>
                <w:sz w:val="20"/>
                <w:szCs w:val="20"/>
              </w:rPr>
            </w:pPr>
            <w:r>
              <w:rPr>
                <w:sz w:val="20"/>
                <w:szCs w:val="20"/>
                <w:spacing w:val="-2"/>
                <w:position w:val="-2"/>
              </w:rPr>
              <w:t>0.5265</w:t>
            </w:r>
          </w:p>
        </w:tc>
        <w:tc>
          <w:tcPr>
            <w:tcW w:w="2099" w:type="dxa"/>
            <w:vAlign w:val="top"/>
          </w:tcPr>
          <w:p>
            <w:pPr>
              <w:pStyle w:val="TableText"/>
              <w:ind w:left="704"/>
              <w:spacing w:before="181" w:line="146" w:lineRule="exact"/>
              <w:rPr>
                <w:sz w:val="20"/>
                <w:szCs w:val="20"/>
              </w:rPr>
            </w:pPr>
            <w:r>
              <w:rPr>
                <w:sz w:val="20"/>
                <w:szCs w:val="20"/>
                <w:spacing w:val="-2"/>
                <w:position w:val="-3"/>
              </w:rPr>
              <w:t>0.0527</w:t>
            </w:r>
          </w:p>
        </w:tc>
      </w:tr>
      <w:tr>
        <w:trPr>
          <w:trHeight w:val="348" w:hRule="atLeast"/>
        </w:trPr>
        <w:tc>
          <w:tcPr>
            <w:tcW w:w="420" w:type="dxa"/>
            <w:vAlign w:val="top"/>
            <w:vMerge w:val="continue"/>
            <w:tcBorders>
              <w:top w:val="nil"/>
              <w:bottom w:val="nil"/>
            </w:tcBorders>
          </w:tcPr>
          <w:p>
            <w:pPr>
              <w:rPr>
                <w:rFonts w:ascii="Arial"/>
                <w:sz w:val="21"/>
              </w:rPr>
            </w:pPr>
            <w:r/>
          </w:p>
        </w:tc>
        <w:tc>
          <w:tcPr>
            <w:tcW w:w="2741" w:type="dxa"/>
            <w:vAlign w:val="top"/>
          </w:tcPr>
          <w:p>
            <w:pPr>
              <w:pStyle w:val="TableText"/>
              <w:ind w:left="695"/>
              <w:spacing w:before="133" w:line="189" w:lineRule="auto"/>
              <w:rPr>
                <w:sz w:val="20"/>
                <w:szCs w:val="20"/>
              </w:rPr>
            </w:pPr>
            <w:r>
              <w:rPr>
                <w:sz w:val="20"/>
                <w:szCs w:val="20"/>
                <w:spacing w:val="4"/>
              </w:rPr>
              <w:t>扩建后总量(t/a)</w:t>
            </w:r>
          </w:p>
        </w:tc>
        <w:tc>
          <w:tcPr>
            <w:tcW w:w="1902" w:type="dxa"/>
            <w:vAlign w:val="top"/>
          </w:tcPr>
          <w:p>
            <w:pPr>
              <w:pStyle w:val="TableText"/>
              <w:ind w:left="754"/>
              <w:spacing w:before="193" w:line="145" w:lineRule="exact"/>
              <w:rPr>
                <w:sz w:val="20"/>
                <w:szCs w:val="20"/>
              </w:rPr>
            </w:pPr>
            <w:r>
              <w:rPr>
                <w:sz w:val="20"/>
                <w:szCs w:val="20"/>
                <w:spacing w:val="-2"/>
                <w:position w:val="-3"/>
              </w:rPr>
              <w:t>52650</w:t>
            </w:r>
          </w:p>
        </w:tc>
        <w:tc>
          <w:tcPr>
            <w:tcW w:w="1638" w:type="dxa"/>
            <w:vAlign w:val="top"/>
          </w:tcPr>
          <w:p>
            <w:pPr>
              <w:pStyle w:val="TableText"/>
              <w:ind w:left="552"/>
              <w:spacing w:before="193" w:line="145" w:lineRule="exact"/>
              <w:rPr>
                <w:sz w:val="20"/>
                <w:szCs w:val="20"/>
              </w:rPr>
            </w:pPr>
            <w:r>
              <w:rPr>
                <w:sz w:val="20"/>
                <w:szCs w:val="20"/>
                <w:spacing w:val="-2"/>
                <w:position w:val="-3"/>
              </w:rPr>
              <w:t>2.6325</w:t>
            </w:r>
          </w:p>
        </w:tc>
        <w:tc>
          <w:tcPr>
            <w:tcW w:w="2099" w:type="dxa"/>
            <w:vAlign w:val="top"/>
          </w:tcPr>
          <w:p>
            <w:pPr>
              <w:pStyle w:val="TableText"/>
              <w:ind w:left="704"/>
              <w:spacing w:before="193" w:line="145" w:lineRule="exact"/>
              <w:rPr>
                <w:sz w:val="20"/>
                <w:szCs w:val="20"/>
              </w:rPr>
            </w:pPr>
            <w:r>
              <w:rPr>
                <w:sz w:val="20"/>
                <w:szCs w:val="20"/>
                <w:spacing w:val="-2"/>
                <w:position w:val="-3"/>
              </w:rPr>
              <w:t>0.2633</w:t>
            </w:r>
          </w:p>
        </w:tc>
      </w:tr>
      <w:tr>
        <w:trPr>
          <w:trHeight w:val="328" w:hRule="atLeast"/>
        </w:trPr>
        <w:tc>
          <w:tcPr>
            <w:tcW w:w="420" w:type="dxa"/>
            <w:vAlign w:val="top"/>
            <w:vMerge w:val="continue"/>
            <w:tcBorders>
              <w:top w:val="nil"/>
              <w:bottom w:val="nil"/>
            </w:tcBorders>
          </w:tcPr>
          <w:p>
            <w:pPr>
              <w:rPr>
                <w:rFonts w:ascii="Arial"/>
                <w:sz w:val="21"/>
              </w:rPr>
            </w:pPr>
            <w:r/>
          </w:p>
        </w:tc>
        <w:tc>
          <w:tcPr>
            <w:tcW w:w="2741" w:type="dxa"/>
            <w:vAlign w:val="top"/>
          </w:tcPr>
          <w:p>
            <w:pPr>
              <w:pStyle w:val="TableText"/>
              <w:ind w:left="695"/>
              <w:spacing w:before="74" w:line="220" w:lineRule="auto"/>
              <w:rPr>
                <w:sz w:val="20"/>
                <w:szCs w:val="20"/>
              </w:rPr>
            </w:pPr>
            <w:r>
              <w:rPr>
                <w:sz w:val="20"/>
                <w:szCs w:val="20"/>
                <w:spacing w:val="4"/>
              </w:rPr>
              <w:t>已购买总量(t/a)</w:t>
            </w:r>
          </w:p>
        </w:tc>
        <w:tc>
          <w:tcPr>
            <w:tcW w:w="1902" w:type="dxa"/>
            <w:vAlign w:val="top"/>
          </w:tcPr>
          <w:p>
            <w:pPr>
              <w:pStyle w:val="TableText"/>
              <w:ind w:left="954"/>
              <w:spacing w:before="110" w:line="192" w:lineRule="auto"/>
              <w:rPr>
                <w:sz w:val="20"/>
                <w:szCs w:val="20"/>
              </w:rPr>
            </w:pPr>
            <w:r>
              <w:rPr>
                <w:sz w:val="20"/>
                <w:szCs w:val="20"/>
              </w:rPr>
              <w:t>/</w:t>
            </w:r>
          </w:p>
        </w:tc>
        <w:tc>
          <w:tcPr>
            <w:tcW w:w="1638" w:type="dxa"/>
            <w:vAlign w:val="top"/>
          </w:tcPr>
          <w:p>
            <w:pPr>
              <w:pStyle w:val="TableText"/>
              <w:ind w:left="552"/>
              <w:spacing w:before="125" w:line="178" w:lineRule="auto"/>
              <w:rPr>
                <w:sz w:val="20"/>
                <w:szCs w:val="20"/>
              </w:rPr>
            </w:pPr>
            <w:r>
              <w:rPr>
                <w:sz w:val="20"/>
                <w:szCs w:val="20"/>
                <w:spacing w:val="-4"/>
              </w:rPr>
              <w:t>1.9350</w:t>
            </w:r>
          </w:p>
        </w:tc>
        <w:tc>
          <w:tcPr>
            <w:tcW w:w="2099" w:type="dxa"/>
            <w:vAlign w:val="top"/>
          </w:tcPr>
          <w:p>
            <w:pPr>
              <w:pStyle w:val="TableText"/>
              <w:ind w:left="704"/>
              <w:spacing w:before="155" w:line="163" w:lineRule="exact"/>
              <w:rPr>
                <w:sz w:val="20"/>
                <w:szCs w:val="20"/>
              </w:rPr>
            </w:pPr>
            <w:r>
              <w:rPr>
                <w:sz w:val="20"/>
                <w:szCs w:val="20"/>
                <w:spacing w:val="-2"/>
                <w:position w:val="-2"/>
              </w:rPr>
              <w:t>0.1930</w:t>
            </w:r>
          </w:p>
        </w:tc>
      </w:tr>
      <w:tr>
        <w:trPr>
          <w:trHeight w:val="373" w:hRule="atLeast"/>
        </w:trPr>
        <w:tc>
          <w:tcPr>
            <w:tcW w:w="420" w:type="dxa"/>
            <w:vAlign w:val="top"/>
            <w:vMerge w:val="continue"/>
            <w:tcBorders>
              <w:top w:val="nil"/>
            </w:tcBorders>
          </w:tcPr>
          <w:p>
            <w:pPr>
              <w:rPr>
                <w:rFonts w:ascii="Arial"/>
                <w:sz w:val="21"/>
              </w:rPr>
            </w:pPr>
            <w:r/>
          </w:p>
        </w:tc>
        <w:tc>
          <w:tcPr>
            <w:tcW w:w="2741" w:type="dxa"/>
            <w:vAlign w:val="top"/>
          </w:tcPr>
          <w:p>
            <w:pPr>
              <w:pStyle w:val="TableText"/>
              <w:ind w:left="695"/>
              <w:spacing w:before="96" w:line="220" w:lineRule="auto"/>
              <w:rPr>
                <w:sz w:val="20"/>
                <w:szCs w:val="20"/>
              </w:rPr>
            </w:pPr>
            <w:r>
              <w:rPr>
                <w:sz w:val="20"/>
                <w:szCs w:val="20"/>
                <w:spacing w:val="4"/>
              </w:rPr>
              <w:t>需购买总量(t/a)</w:t>
            </w:r>
          </w:p>
        </w:tc>
        <w:tc>
          <w:tcPr>
            <w:tcW w:w="1902" w:type="dxa"/>
            <w:vAlign w:val="top"/>
          </w:tcPr>
          <w:p>
            <w:pPr>
              <w:pStyle w:val="TableText"/>
              <w:ind w:left="954"/>
              <w:spacing w:before="101" w:line="224" w:lineRule="auto"/>
              <w:rPr>
                <w:sz w:val="20"/>
                <w:szCs w:val="20"/>
              </w:rPr>
            </w:pPr>
            <w:r>
              <w:rPr>
                <w:sz w:val="20"/>
                <w:szCs w:val="20"/>
              </w:rPr>
              <w:t>/</w:t>
            </w:r>
          </w:p>
        </w:tc>
        <w:tc>
          <w:tcPr>
            <w:tcW w:w="1638" w:type="dxa"/>
            <w:vAlign w:val="top"/>
          </w:tcPr>
          <w:p>
            <w:pPr>
              <w:pStyle w:val="TableText"/>
              <w:ind w:left="552"/>
              <w:spacing w:before="147" w:line="183" w:lineRule="auto"/>
              <w:rPr>
                <w:sz w:val="20"/>
                <w:szCs w:val="20"/>
              </w:rPr>
            </w:pPr>
            <w:r>
              <w:rPr>
                <w:sz w:val="20"/>
                <w:szCs w:val="20"/>
                <w:spacing w:val="-2"/>
              </w:rPr>
              <w:t>0.6975</w:t>
            </w:r>
          </w:p>
        </w:tc>
        <w:tc>
          <w:tcPr>
            <w:tcW w:w="2099" w:type="dxa"/>
            <w:vAlign w:val="top"/>
          </w:tcPr>
          <w:p>
            <w:pPr>
              <w:pStyle w:val="TableText"/>
              <w:ind w:left="704"/>
              <w:spacing w:before="147" w:line="183" w:lineRule="auto"/>
              <w:rPr>
                <w:sz w:val="20"/>
                <w:szCs w:val="20"/>
              </w:rPr>
            </w:pPr>
            <w:r>
              <w:rPr>
                <w:sz w:val="20"/>
                <w:szCs w:val="20"/>
                <w:spacing w:val="-2"/>
              </w:rPr>
              <w:t>0.0703</w:t>
            </w:r>
          </w:p>
        </w:tc>
      </w:tr>
    </w:tbl>
    <w:p>
      <w:pPr>
        <w:rPr>
          <w:rFonts w:ascii="Arial"/>
          <w:sz w:val="21"/>
        </w:rPr>
      </w:pPr>
      <w:r/>
    </w:p>
    <w:p>
      <w:pPr>
        <w:sectPr>
          <w:footerReference w:type="default" r:id="rId81"/>
          <w:pgSz w:w="11900" w:h="16840"/>
          <w:pgMar w:top="1431" w:right="1455" w:bottom="987" w:left="1614" w:header="0" w:footer="849" w:gutter="0"/>
        </w:sectPr>
        <w:rPr>
          <w:rFonts w:ascii="Arial" w:hAnsi="Arial" w:eastAsia="Arial" w:cs="Arial"/>
          <w:sz w:val="21"/>
          <w:szCs w:val="21"/>
        </w:rPr>
      </w:pPr>
    </w:p>
    <w:tbl>
      <w:tblPr>
        <w:tblStyle w:val="TableNormal"/>
        <w:tblW w:w="8875" w:type="dxa"/>
        <w:tblInd w:w="2" w:type="dxa"/>
        <w:tblLayout w:type="fixed"/>
        <w:tblBorders>
          <w:left w:val="single" w:color="000000" w:sz="2" w:space="0"/>
          <w:bottom w:val="single" w:color="000000" w:sz="2" w:space="0"/>
          <w:right w:val="single" w:color="000000" w:sz="2" w:space="0"/>
          <w:top w:val="single" w:color="000000" w:sz="8" w:space="0"/>
        </w:tblBorders>
      </w:tblPr>
      <w:tblGrid>
        <w:gridCol w:w="8875"/>
      </w:tblGrid>
      <w:tr>
        <w:trPr>
          <w:trHeight w:val="13475" w:hRule="atLeast"/>
        </w:trPr>
        <w:tc>
          <w:tcPr>
            <w:tcW w:w="8875" w:type="dxa"/>
            <w:vAlign w:val="top"/>
          </w:tcPr>
          <w:p>
            <w:pPr>
              <w:pStyle w:val="TableText"/>
              <w:ind w:left="1028"/>
              <w:spacing w:before="57" w:line="220" w:lineRule="auto"/>
              <w:outlineLvl w:val="6"/>
              <w:rPr>
                <w:sz w:val="24"/>
                <w:szCs w:val="24"/>
              </w:rPr>
            </w:pPr>
            <w:r>
              <w:pict>
                <v:rect id="_x0000_s18" style="position:absolute;margin-left:-422.247pt;margin-top:-0.494873pt;mso-position-vertical-relative:top-margin-area;mso-position-horizontal-relative:right-margin-area;width:0.5pt;height:674pt;z-index:251762688;" fillcolor="#000000" filled="true" stroked="false"/>
              </w:pict>
            </w:r>
            <w:r>
              <w:rPr>
                <w:sz w:val="24"/>
                <w:szCs w:val="24"/>
                <w:b/>
                <w:bCs/>
                <w:spacing w:val="-7"/>
              </w:rPr>
              <w:t>2、大气污染物排放总量</w:t>
            </w:r>
          </w:p>
          <w:p>
            <w:pPr>
              <w:pStyle w:val="TableText"/>
              <w:ind w:left="1025"/>
              <w:spacing w:before="176" w:line="219" w:lineRule="auto"/>
              <w:rPr>
                <w:sz w:val="24"/>
                <w:szCs w:val="24"/>
              </w:rPr>
            </w:pPr>
            <w:r>
              <w:rPr>
                <w:sz w:val="24"/>
                <w:szCs w:val="24"/>
                <w:spacing w:val="-2"/>
              </w:rPr>
              <w:t>项目废气主要为生产车间产生的非甲烷总烃、锅炉废气。</w:t>
            </w:r>
          </w:p>
          <w:p>
            <w:pPr>
              <w:pStyle w:val="TableText"/>
              <w:ind w:left="3038"/>
              <w:spacing w:before="182" w:line="220" w:lineRule="auto"/>
              <w:rPr>
                <w:sz w:val="24"/>
                <w:szCs w:val="24"/>
              </w:rPr>
            </w:pPr>
            <w:r>
              <w:rPr>
                <w:sz w:val="24"/>
                <w:szCs w:val="24"/>
                <w:b/>
                <w:bCs/>
                <w:spacing w:val="-6"/>
              </w:rPr>
              <w:t>表3.6-5</w:t>
            </w:r>
            <w:r>
              <w:rPr>
                <w:sz w:val="24"/>
                <w:szCs w:val="24"/>
                <w:spacing w:val="120"/>
              </w:rPr>
              <w:t xml:space="preserve"> </w:t>
            </w:r>
            <w:r>
              <w:rPr>
                <w:sz w:val="24"/>
                <w:szCs w:val="24"/>
                <w:b/>
                <w:bCs/>
                <w:spacing w:val="-6"/>
              </w:rPr>
              <w:t>项目废气污染物排放总量</w:t>
            </w:r>
          </w:p>
          <w:p>
            <w:pPr>
              <w:spacing w:line="131" w:lineRule="exact"/>
              <w:rPr/>
            </w:pPr>
            <w:r/>
          </w:p>
          <w:tbl>
            <w:tblPr>
              <w:tblStyle w:val="TableNormal"/>
              <w:tblW w:w="7879" w:type="dxa"/>
              <w:tblInd w:w="68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063"/>
              <w:gridCol w:w="1129"/>
              <w:gridCol w:w="1428"/>
              <w:gridCol w:w="1708"/>
              <w:gridCol w:w="1078"/>
              <w:gridCol w:w="1473"/>
            </w:tblGrid>
            <w:tr>
              <w:trPr>
                <w:trHeight w:val="682" w:hRule="atLeast"/>
              </w:trPr>
              <w:tc>
                <w:tcPr>
                  <w:tcW w:w="1063" w:type="dxa"/>
                  <w:vAlign w:val="top"/>
                </w:tcPr>
                <w:p>
                  <w:pPr>
                    <w:pStyle w:val="TableText"/>
                    <w:ind w:left="324"/>
                    <w:spacing w:before="243" w:line="219" w:lineRule="auto"/>
                    <w:rPr>
                      <w:sz w:val="20"/>
                      <w:szCs w:val="20"/>
                    </w:rPr>
                  </w:pPr>
                  <w:r>
                    <w:rPr>
                      <w:sz w:val="20"/>
                      <w:szCs w:val="20"/>
                      <w:spacing w:val="8"/>
                    </w:rPr>
                    <w:t>类别</w:t>
                  </w:r>
                </w:p>
              </w:tc>
              <w:tc>
                <w:tcPr>
                  <w:tcW w:w="2557" w:type="dxa"/>
                  <w:vAlign w:val="top"/>
                  <w:gridSpan w:val="2"/>
                </w:tcPr>
                <w:p>
                  <w:pPr>
                    <w:pStyle w:val="TableText"/>
                    <w:ind w:left="771"/>
                    <w:spacing w:before="243" w:line="220" w:lineRule="auto"/>
                    <w:rPr>
                      <w:sz w:val="20"/>
                      <w:szCs w:val="20"/>
                    </w:rPr>
                  </w:pPr>
                  <w:r>
                    <w:rPr>
                      <w:sz w:val="20"/>
                      <w:szCs w:val="20"/>
                      <w:spacing w:val="-2"/>
                    </w:rPr>
                    <w:t>污染物名称</w:t>
                  </w:r>
                </w:p>
              </w:tc>
              <w:tc>
                <w:tcPr>
                  <w:tcW w:w="1708" w:type="dxa"/>
                  <w:vAlign w:val="top"/>
                </w:tcPr>
                <w:p>
                  <w:pPr>
                    <w:pStyle w:val="TableText"/>
                    <w:ind w:left="444"/>
                    <w:spacing w:before="243" w:line="220" w:lineRule="auto"/>
                    <w:rPr>
                      <w:sz w:val="20"/>
                      <w:szCs w:val="20"/>
                    </w:rPr>
                  </w:pPr>
                  <w:r>
                    <w:rPr>
                      <w:sz w:val="20"/>
                      <w:szCs w:val="20"/>
                      <w:spacing w:val="-2"/>
                    </w:rPr>
                    <w:t>排放浓度</w:t>
                  </w:r>
                </w:p>
              </w:tc>
              <w:tc>
                <w:tcPr>
                  <w:tcW w:w="1078" w:type="dxa"/>
                  <w:vAlign w:val="top"/>
                </w:tcPr>
                <w:p>
                  <w:pPr>
                    <w:pStyle w:val="TableText"/>
                    <w:ind w:left="136"/>
                    <w:spacing w:before="103" w:line="363" w:lineRule="exact"/>
                    <w:rPr>
                      <w:sz w:val="20"/>
                      <w:szCs w:val="20"/>
                    </w:rPr>
                  </w:pPr>
                  <w:r>
                    <w:rPr>
                      <w:sz w:val="20"/>
                      <w:szCs w:val="20"/>
                      <w:spacing w:val="-2"/>
                      <w:position w:val="12"/>
                    </w:rPr>
                    <w:t>预测排放</w:t>
                  </w:r>
                </w:p>
                <w:p>
                  <w:pPr>
                    <w:pStyle w:val="TableText"/>
                    <w:ind w:left="186"/>
                    <w:spacing w:line="190" w:lineRule="auto"/>
                    <w:rPr>
                      <w:sz w:val="20"/>
                      <w:szCs w:val="20"/>
                    </w:rPr>
                  </w:pPr>
                  <w:r>
                    <w:rPr>
                      <w:sz w:val="20"/>
                      <w:szCs w:val="20"/>
                      <w:spacing w:val="7"/>
                    </w:rPr>
                    <w:t>量(t/a)</w:t>
                  </w:r>
                </w:p>
              </w:tc>
              <w:tc>
                <w:tcPr>
                  <w:tcW w:w="1473" w:type="dxa"/>
                  <w:vAlign w:val="top"/>
                </w:tcPr>
                <w:p>
                  <w:pPr>
                    <w:pStyle w:val="TableText"/>
                    <w:ind w:left="378" w:right="220" w:hanging="150"/>
                    <w:spacing w:before="112" w:line="258" w:lineRule="auto"/>
                    <w:rPr>
                      <w:sz w:val="20"/>
                      <w:szCs w:val="20"/>
                    </w:rPr>
                  </w:pPr>
                  <w:r>
                    <w:rPr>
                      <w:sz w:val="20"/>
                      <w:szCs w:val="20"/>
                      <w:spacing w:val="2"/>
                    </w:rPr>
                    <w:t>总量控制指 </w:t>
                  </w:r>
                  <w:r>
                    <w:rPr>
                      <w:sz w:val="20"/>
                      <w:szCs w:val="20"/>
                      <w:spacing w:val="7"/>
                    </w:rPr>
                    <w:t>标(t/a)</w:t>
                  </w:r>
                </w:p>
              </w:tc>
            </w:tr>
            <w:tr>
              <w:trPr>
                <w:trHeight w:val="348" w:hRule="atLeast"/>
              </w:trPr>
              <w:tc>
                <w:tcPr>
                  <w:tcW w:w="1063" w:type="dxa"/>
                  <w:vAlign w:val="top"/>
                  <w:vMerge w:val="restart"/>
                  <w:tcBorders>
                    <w:bottom w:val="nil"/>
                  </w:tcBorders>
                </w:tcPr>
                <w:p>
                  <w:pPr>
                    <w:pStyle w:val="TableText"/>
                    <w:ind w:left="224"/>
                    <w:spacing w:before="290" w:line="342" w:lineRule="exact"/>
                    <w:rPr>
                      <w:sz w:val="20"/>
                      <w:szCs w:val="20"/>
                    </w:rPr>
                  </w:pPr>
                  <w:r>
                    <w:rPr>
                      <w:sz w:val="20"/>
                      <w:szCs w:val="20"/>
                      <w:spacing w:val="-2"/>
                      <w:position w:val="10"/>
                    </w:rPr>
                    <w:t>有机废</w:t>
                  </w:r>
                </w:p>
                <w:p>
                  <w:pPr>
                    <w:pStyle w:val="TableText"/>
                    <w:ind w:left="424"/>
                    <w:spacing w:line="220" w:lineRule="auto"/>
                    <w:rPr>
                      <w:sz w:val="20"/>
                      <w:szCs w:val="20"/>
                    </w:rPr>
                  </w:pPr>
                  <w:r>
                    <w:rPr>
                      <w:sz w:val="20"/>
                      <w:szCs w:val="20"/>
                    </w:rPr>
                    <w:t>气</w:t>
                  </w:r>
                </w:p>
              </w:tc>
              <w:tc>
                <w:tcPr>
                  <w:tcW w:w="1129" w:type="dxa"/>
                  <w:vAlign w:val="top"/>
                </w:tcPr>
                <w:p>
                  <w:pPr>
                    <w:pStyle w:val="TableText"/>
                    <w:ind w:left="251"/>
                    <w:spacing w:before="81" w:line="220" w:lineRule="auto"/>
                    <w:rPr>
                      <w:sz w:val="20"/>
                      <w:szCs w:val="20"/>
                    </w:rPr>
                  </w:pPr>
                  <w:r>
                    <w:rPr>
                      <w:sz w:val="20"/>
                      <w:szCs w:val="20"/>
                      <w:spacing w:val="-2"/>
                    </w:rPr>
                    <w:t>有组织</w:t>
                  </w:r>
                </w:p>
              </w:tc>
              <w:tc>
                <w:tcPr>
                  <w:tcW w:w="1428" w:type="dxa"/>
                  <w:vAlign w:val="top"/>
                </w:tcPr>
                <w:p>
                  <w:pPr>
                    <w:pStyle w:val="TableText"/>
                    <w:ind w:left="202"/>
                    <w:spacing w:before="81" w:line="220" w:lineRule="auto"/>
                    <w:rPr>
                      <w:sz w:val="20"/>
                      <w:szCs w:val="20"/>
                    </w:rPr>
                  </w:pPr>
                  <w:r>
                    <w:rPr>
                      <w:sz w:val="20"/>
                      <w:szCs w:val="20"/>
                      <w:spacing w:val="-2"/>
                    </w:rPr>
                    <w:t>非甲烷总烃</w:t>
                  </w:r>
                </w:p>
              </w:tc>
              <w:tc>
                <w:tcPr>
                  <w:tcW w:w="1708" w:type="dxa"/>
                  <w:vAlign w:val="top"/>
                </w:tcPr>
                <w:p>
                  <w:pPr>
                    <w:pStyle w:val="TableText"/>
                    <w:ind w:left="394"/>
                    <w:spacing w:before="124" w:line="197" w:lineRule="auto"/>
                    <w:rPr>
                      <w:sz w:val="20"/>
                      <w:szCs w:val="20"/>
                    </w:rPr>
                  </w:pPr>
                  <w:r>
                    <w:rPr>
                      <w:sz w:val="20"/>
                      <w:szCs w:val="20"/>
                      <w:spacing w:val="-2"/>
                    </w:rPr>
                    <w:t>&lt;50mg/m³</w:t>
                  </w:r>
                </w:p>
              </w:tc>
              <w:tc>
                <w:tcPr>
                  <w:tcW w:w="1078" w:type="dxa"/>
                  <w:vAlign w:val="top"/>
                </w:tcPr>
                <w:p>
                  <w:pPr>
                    <w:pStyle w:val="TableText"/>
                    <w:ind w:left="236"/>
                    <w:spacing w:before="182" w:line="156" w:lineRule="exact"/>
                    <w:rPr>
                      <w:sz w:val="20"/>
                      <w:szCs w:val="20"/>
                    </w:rPr>
                  </w:pPr>
                  <w:r>
                    <w:rPr>
                      <w:sz w:val="20"/>
                      <w:szCs w:val="20"/>
                      <w:spacing w:val="-2"/>
                      <w:position w:val="-2"/>
                    </w:rPr>
                    <w:t>0.9600</w:t>
                  </w:r>
                </w:p>
              </w:tc>
              <w:tc>
                <w:tcPr>
                  <w:tcW w:w="1473" w:type="dxa"/>
                  <w:vAlign w:val="top"/>
                </w:tcPr>
                <w:p>
                  <w:pPr>
                    <w:pStyle w:val="TableText"/>
                    <w:ind w:left="679"/>
                    <w:spacing w:before="126" w:line="195" w:lineRule="auto"/>
                    <w:rPr>
                      <w:sz w:val="20"/>
                      <w:szCs w:val="20"/>
                    </w:rPr>
                  </w:pPr>
                  <w:r>
                    <w:rPr>
                      <w:sz w:val="20"/>
                      <w:szCs w:val="20"/>
                    </w:rPr>
                    <w:t>/</w:t>
                  </w:r>
                </w:p>
              </w:tc>
            </w:tr>
            <w:tr>
              <w:trPr>
                <w:trHeight w:val="329" w:hRule="atLeast"/>
              </w:trPr>
              <w:tc>
                <w:tcPr>
                  <w:tcW w:w="1063" w:type="dxa"/>
                  <w:vAlign w:val="top"/>
                  <w:vMerge w:val="continue"/>
                  <w:tcBorders>
                    <w:top w:val="nil"/>
                    <w:bottom w:val="nil"/>
                  </w:tcBorders>
                </w:tcPr>
                <w:p>
                  <w:pPr>
                    <w:rPr>
                      <w:rFonts w:ascii="Arial"/>
                      <w:sz w:val="21"/>
                    </w:rPr>
                  </w:pPr>
                  <w:r/>
                </w:p>
              </w:tc>
              <w:tc>
                <w:tcPr>
                  <w:tcW w:w="1129" w:type="dxa"/>
                  <w:vAlign w:val="top"/>
                </w:tcPr>
                <w:p>
                  <w:pPr>
                    <w:pStyle w:val="TableText"/>
                    <w:ind w:left="251"/>
                    <w:spacing w:before="114" w:line="189" w:lineRule="auto"/>
                    <w:rPr>
                      <w:sz w:val="20"/>
                      <w:szCs w:val="20"/>
                    </w:rPr>
                  </w:pPr>
                  <w:r>
                    <w:rPr>
                      <w:sz w:val="20"/>
                      <w:szCs w:val="20"/>
                      <w:spacing w:val="3"/>
                    </w:rPr>
                    <w:t>无组织</w:t>
                  </w:r>
                </w:p>
              </w:tc>
              <w:tc>
                <w:tcPr>
                  <w:tcW w:w="1428" w:type="dxa"/>
                  <w:vAlign w:val="top"/>
                </w:tcPr>
                <w:p>
                  <w:pPr>
                    <w:pStyle w:val="TableText"/>
                    <w:ind w:left="202"/>
                    <w:spacing w:before="114" w:line="189" w:lineRule="auto"/>
                    <w:rPr>
                      <w:sz w:val="20"/>
                      <w:szCs w:val="20"/>
                    </w:rPr>
                  </w:pPr>
                  <w:r>
                    <w:rPr>
                      <w:sz w:val="20"/>
                      <w:szCs w:val="20"/>
                      <w:spacing w:val="-2"/>
                    </w:rPr>
                    <w:t>非甲烷总烃</w:t>
                  </w:r>
                </w:p>
              </w:tc>
              <w:tc>
                <w:tcPr>
                  <w:tcW w:w="1708" w:type="dxa"/>
                  <w:vAlign w:val="top"/>
                </w:tcPr>
                <w:p>
                  <w:pPr>
                    <w:pStyle w:val="TableText"/>
                    <w:ind w:left="344"/>
                    <w:spacing w:before="96" w:line="205" w:lineRule="auto"/>
                    <w:rPr>
                      <w:sz w:val="20"/>
                      <w:szCs w:val="20"/>
                    </w:rPr>
                  </w:pPr>
                  <w:r>
                    <w:rPr>
                      <w:sz w:val="20"/>
                      <w:szCs w:val="20"/>
                      <w:spacing w:val="-2"/>
                    </w:rPr>
                    <w:t>&lt;2.0mg/m³</w:t>
                  </w:r>
                </w:p>
              </w:tc>
              <w:tc>
                <w:tcPr>
                  <w:tcW w:w="1078" w:type="dxa"/>
                  <w:vAlign w:val="top"/>
                </w:tcPr>
                <w:p>
                  <w:pPr>
                    <w:pStyle w:val="TableText"/>
                    <w:ind w:left="236"/>
                    <w:spacing w:before="154" w:line="165" w:lineRule="exact"/>
                    <w:rPr>
                      <w:sz w:val="20"/>
                      <w:szCs w:val="20"/>
                    </w:rPr>
                  </w:pPr>
                  <w:r>
                    <w:rPr>
                      <w:sz w:val="20"/>
                      <w:szCs w:val="20"/>
                      <w:spacing w:val="-2"/>
                      <w:position w:val="-2"/>
                    </w:rPr>
                    <w:t>0.9600</w:t>
                  </w:r>
                </w:p>
              </w:tc>
              <w:tc>
                <w:tcPr>
                  <w:tcW w:w="1473" w:type="dxa"/>
                  <w:vAlign w:val="top"/>
                </w:tcPr>
                <w:p>
                  <w:pPr>
                    <w:pStyle w:val="TableText"/>
                    <w:ind w:left="679"/>
                    <w:spacing w:before="78" w:line="222" w:lineRule="auto"/>
                    <w:rPr>
                      <w:sz w:val="20"/>
                      <w:szCs w:val="20"/>
                    </w:rPr>
                  </w:pPr>
                  <w:r>
                    <w:rPr>
                      <w:sz w:val="20"/>
                      <w:szCs w:val="20"/>
                    </w:rPr>
                    <w:t>/</w:t>
                  </w:r>
                </w:p>
              </w:tc>
            </w:tr>
            <w:tr>
              <w:trPr>
                <w:trHeight w:val="339" w:hRule="atLeast"/>
              </w:trPr>
              <w:tc>
                <w:tcPr>
                  <w:tcW w:w="1063" w:type="dxa"/>
                  <w:vAlign w:val="top"/>
                  <w:vMerge w:val="continue"/>
                  <w:tcBorders>
                    <w:top w:val="nil"/>
                  </w:tcBorders>
                </w:tcPr>
                <w:p>
                  <w:pPr>
                    <w:rPr>
                      <w:rFonts w:ascii="Arial"/>
                      <w:sz w:val="21"/>
                    </w:rPr>
                  </w:pPr>
                  <w:r/>
                </w:p>
              </w:tc>
              <w:tc>
                <w:tcPr>
                  <w:tcW w:w="1129" w:type="dxa"/>
                  <w:vAlign w:val="top"/>
                </w:tcPr>
                <w:p>
                  <w:pPr>
                    <w:pStyle w:val="TableText"/>
                    <w:ind w:left="351"/>
                    <w:spacing w:before="75" w:line="221" w:lineRule="auto"/>
                    <w:rPr>
                      <w:sz w:val="20"/>
                      <w:szCs w:val="20"/>
                    </w:rPr>
                  </w:pPr>
                  <w:r>
                    <w:rPr>
                      <w:sz w:val="20"/>
                      <w:szCs w:val="20"/>
                      <w:spacing w:val="4"/>
                    </w:rPr>
                    <w:t>小计</w:t>
                  </w:r>
                </w:p>
              </w:tc>
              <w:tc>
                <w:tcPr>
                  <w:tcW w:w="1428" w:type="dxa"/>
                  <w:vAlign w:val="top"/>
                </w:tcPr>
                <w:p>
                  <w:pPr>
                    <w:pStyle w:val="TableText"/>
                    <w:ind w:left="202"/>
                    <w:spacing w:before="135" w:line="179" w:lineRule="auto"/>
                    <w:rPr>
                      <w:sz w:val="20"/>
                      <w:szCs w:val="20"/>
                    </w:rPr>
                  </w:pPr>
                  <w:r>
                    <w:rPr>
                      <w:sz w:val="20"/>
                      <w:szCs w:val="20"/>
                      <w:spacing w:val="-2"/>
                    </w:rPr>
                    <w:t>非甲烷总烃</w:t>
                  </w:r>
                </w:p>
              </w:tc>
              <w:tc>
                <w:tcPr>
                  <w:tcW w:w="1708" w:type="dxa"/>
                  <w:vAlign w:val="top"/>
                </w:tcPr>
                <w:p>
                  <w:pPr>
                    <w:pStyle w:val="TableText"/>
                    <w:ind w:left="795"/>
                    <w:spacing w:before="139" w:line="175" w:lineRule="auto"/>
                    <w:rPr>
                      <w:sz w:val="20"/>
                      <w:szCs w:val="20"/>
                    </w:rPr>
                  </w:pPr>
                  <w:r>
                    <w:rPr>
                      <w:sz w:val="20"/>
                      <w:szCs w:val="20"/>
                    </w:rPr>
                    <w:t>/</w:t>
                  </w:r>
                </w:p>
              </w:tc>
              <w:tc>
                <w:tcPr>
                  <w:tcW w:w="1078" w:type="dxa"/>
                  <w:vAlign w:val="top"/>
                </w:tcPr>
                <w:p>
                  <w:pPr>
                    <w:pStyle w:val="TableText"/>
                    <w:ind w:left="236"/>
                    <w:spacing w:before="174" w:line="155" w:lineRule="exact"/>
                    <w:rPr>
                      <w:sz w:val="20"/>
                      <w:szCs w:val="20"/>
                    </w:rPr>
                  </w:pPr>
                  <w:r>
                    <w:rPr>
                      <w:sz w:val="20"/>
                      <w:szCs w:val="20"/>
                      <w:spacing w:val="-4"/>
                      <w:position w:val="-2"/>
                    </w:rPr>
                    <w:t>1.9200</w:t>
                  </w:r>
                </w:p>
              </w:tc>
              <w:tc>
                <w:tcPr>
                  <w:tcW w:w="1473" w:type="dxa"/>
                  <w:vAlign w:val="top"/>
                </w:tcPr>
                <w:p>
                  <w:pPr>
                    <w:pStyle w:val="TableText"/>
                    <w:ind w:left="429"/>
                    <w:spacing w:before="174" w:line="155" w:lineRule="exact"/>
                    <w:rPr>
                      <w:sz w:val="20"/>
                      <w:szCs w:val="20"/>
                    </w:rPr>
                  </w:pPr>
                  <w:r>
                    <w:rPr>
                      <w:sz w:val="20"/>
                      <w:szCs w:val="20"/>
                      <w:spacing w:val="-4"/>
                      <w:position w:val="-2"/>
                    </w:rPr>
                    <w:t>1.9200</w:t>
                  </w:r>
                </w:p>
              </w:tc>
            </w:tr>
            <w:tr>
              <w:trPr>
                <w:trHeight w:val="348" w:hRule="atLeast"/>
              </w:trPr>
              <w:tc>
                <w:tcPr>
                  <w:tcW w:w="1063" w:type="dxa"/>
                  <w:vAlign w:val="top"/>
                  <w:vMerge w:val="restart"/>
                  <w:tcBorders>
                    <w:bottom w:val="nil"/>
                  </w:tcBorders>
                </w:tcPr>
                <w:p>
                  <w:pPr>
                    <w:pStyle w:val="TableText"/>
                    <w:ind w:left="224"/>
                    <w:spacing w:before="125" w:line="341" w:lineRule="exact"/>
                    <w:rPr>
                      <w:sz w:val="20"/>
                      <w:szCs w:val="20"/>
                    </w:rPr>
                  </w:pPr>
                  <w:r>
                    <w:rPr>
                      <w:sz w:val="20"/>
                      <w:szCs w:val="20"/>
                      <w:spacing w:val="-2"/>
                      <w:position w:val="10"/>
                    </w:rPr>
                    <w:t>锅炉废</w:t>
                  </w:r>
                </w:p>
                <w:p>
                  <w:pPr>
                    <w:pStyle w:val="TableText"/>
                    <w:ind w:left="424"/>
                    <w:spacing w:line="208" w:lineRule="auto"/>
                    <w:rPr>
                      <w:sz w:val="20"/>
                      <w:szCs w:val="20"/>
                    </w:rPr>
                  </w:pPr>
                  <w:r>
                    <w:rPr>
                      <w:sz w:val="20"/>
                      <w:szCs w:val="20"/>
                    </w:rPr>
                    <w:t>气</w:t>
                  </w:r>
                </w:p>
              </w:tc>
              <w:tc>
                <w:tcPr>
                  <w:tcW w:w="2557" w:type="dxa"/>
                  <w:vAlign w:val="top"/>
                  <w:gridSpan w:val="2"/>
                </w:tcPr>
                <w:p>
                  <w:pPr>
                    <w:pStyle w:val="TableText"/>
                    <w:ind w:left="1071"/>
                    <w:spacing w:before="117" w:line="183" w:lineRule="auto"/>
                    <w:rPr>
                      <w:rFonts w:ascii="Calibri" w:hAnsi="Calibri" w:eastAsia="Calibri" w:cs="Calibri"/>
                      <w:sz w:val="20"/>
                      <w:szCs w:val="20"/>
                    </w:rPr>
                  </w:pPr>
                  <w:r>
                    <w:rPr>
                      <w:sz w:val="20"/>
                      <w:szCs w:val="20"/>
                      <w:spacing w:val="-3"/>
                    </w:rPr>
                    <w:t>SO</w:t>
                  </w:r>
                  <w:r>
                    <w:rPr>
                      <w:rFonts w:ascii="Calibri" w:hAnsi="Calibri" w:eastAsia="Calibri" w:cs="Calibri"/>
                      <w:sz w:val="20"/>
                      <w:szCs w:val="20"/>
                      <w:spacing w:val="-3"/>
                    </w:rPr>
                    <w:t>₂</w:t>
                  </w:r>
                </w:p>
              </w:tc>
              <w:tc>
                <w:tcPr>
                  <w:tcW w:w="1708" w:type="dxa"/>
                  <w:vAlign w:val="top"/>
                </w:tcPr>
                <w:p>
                  <w:pPr>
                    <w:pStyle w:val="TableText"/>
                    <w:ind w:left="495"/>
                    <w:spacing w:before="128" w:line="193" w:lineRule="auto"/>
                    <w:rPr>
                      <w:sz w:val="20"/>
                      <w:szCs w:val="20"/>
                    </w:rPr>
                  </w:pPr>
                  <w:r>
                    <w:rPr>
                      <w:sz w:val="20"/>
                      <w:szCs w:val="20"/>
                      <w:spacing w:val="-2"/>
                    </w:rPr>
                    <w:t>&lt;50mg/m</w:t>
                  </w:r>
                </w:p>
              </w:tc>
              <w:tc>
                <w:tcPr>
                  <w:tcW w:w="1078" w:type="dxa"/>
                  <w:vAlign w:val="top"/>
                </w:tcPr>
                <w:p>
                  <w:pPr>
                    <w:pStyle w:val="TableText"/>
                    <w:ind w:left="236"/>
                    <w:spacing w:before="185" w:line="153" w:lineRule="exact"/>
                    <w:rPr>
                      <w:sz w:val="20"/>
                      <w:szCs w:val="20"/>
                    </w:rPr>
                  </w:pPr>
                  <w:r>
                    <w:rPr>
                      <w:sz w:val="20"/>
                      <w:szCs w:val="20"/>
                      <w:spacing w:val="-2"/>
                      <w:position w:val="-2"/>
                    </w:rPr>
                    <w:t>3.5112</w:t>
                  </w:r>
                </w:p>
              </w:tc>
              <w:tc>
                <w:tcPr>
                  <w:tcW w:w="1473" w:type="dxa"/>
                  <w:vAlign w:val="top"/>
                </w:tcPr>
                <w:p>
                  <w:pPr>
                    <w:pStyle w:val="TableText"/>
                    <w:ind w:left="429"/>
                    <w:spacing w:before="185" w:line="153" w:lineRule="exact"/>
                    <w:rPr>
                      <w:sz w:val="20"/>
                      <w:szCs w:val="20"/>
                    </w:rPr>
                  </w:pPr>
                  <w:r>
                    <w:rPr>
                      <w:sz w:val="20"/>
                      <w:szCs w:val="20"/>
                      <w:spacing w:val="-2"/>
                      <w:position w:val="-2"/>
                    </w:rPr>
                    <w:t>3.5112</w:t>
                  </w:r>
                </w:p>
              </w:tc>
            </w:tr>
            <w:tr>
              <w:trPr>
                <w:trHeight w:val="344" w:hRule="atLeast"/>
              </w:trPr>
              <w:tc>
                <w:tcPr>
                  <w:tcW w:w="1063" w:type="dxa"/>
                  <w:vAlign w:val="top"/>
                  <w:vMerge w:val="continue"/>
                  <w:tcBorders>
                    <w:top w:val="nil"/>
                  </w:tcBorders>
                </w:tcPr>
                <w:p>
                  <w:pPr>
                    <w:rPr>
                      <w:rFonts w:ascii="Arial"/>
                      <w:sz w:val="21"/>
                    </w:rPr>
                  </w:pPr>
                  <w:r/>
                </w:p>
              </w:tc>
              <w:tc>
                <w:tcPr>
                  <w:tcW w:w="2557" w:type="dxa"/>
                  <w:vAlign w:val="top"/>
                  <w:gridSpan w:val="2"/>
                </w:tcPr>
                <w:p>
                  <w:pPr>
                    <w:pStyle w:val="TableText"/>
                    <w:ind w:left="1121"/>
                    <w:spacing w:before="128" w:line="183" w:lineRule="auto"/>
                    <w:rPr>
                      <w:sz w:val="20"/>
                      <w:szCs w:val="20"/>
                    </w:rPr>
                  </w:pPr>
                  <w:r>
                    <w:rPr>
                      <w:sz w:val="20"/>
                      <w:szCs w:val="20"/>
                      <w:spacing w:val="-1"/>
                    </w:rPr>
                    <w:t>NOx</w:t>
                  </w:r>
                </w:p>
              </w:tc>
              <w:tc>
                <w:tcPr>
                  <w:tcW w:w="1708" w:type="dxa"/>
                  <w:vAlign w:val="top"/>
                </w:tcPr>
                <w:p>
                  <w:pPr>
                    <w:pStyle w:val="TableText"/>
                    <w:ind w:left="344"/>
                    <w:spacing w:before="110" w:line="206" w:lineRule="auto"/>
                    <w:rPr>
                      <w:sz w:val="20"/>
                      <w:szCs w:val="20"/>
                    </w:rPr>
                  </w:pPr>
                  <w:r>
                    <w:rPr>
                      <w:sz w:val="20"/>
                      <w:szCs w:val="20"/>
                      <w:spacing w:val="-2"/>
                    </w:rPr>
                    <w:t>&lt;200mg/m³</w:t>
                  </w:r>
                </w:p>
              </w:tc>
              <w:tc>
                <w:tcPr>
                  <w:tcW w:w="1078" w:type="dxa"/>
                  <w:vAlign w:val="top"/>
                </w:tcPr>
                <w:p>
                  <w:pPr>
                    <w:pStyle w:val="TableText"/>
                    <w:ind w:left="236"/>
                    <w:spacing w:before="178" w:line="156" w:lineRule="exact"/>
                    <w:rPr>
                      <w:sz w:val="20"/>
                      <w:szCs w:val="20"/>
                    </w:rPr>
                  </w:pPr>
                  <w:r>
                    <w:rPr>
                      <w:sz w:val="20"/>
                      <w:szCs w:val="20"/>
                      <w:spacing w:val="-2"/>
                      <w:position w:val="-2"/>
                    </w:rPr>
                    <w:t>9.4586</w:t>
                  </w:r>
                </w:p>
              </w:tc>
              <w:tc>
                <w:tcPr>
                  <w:tcW w:w="1473" w:type="dxa"/>
                  <w:vAlign w:val="top"/>
                </w:tcPr>
                <w:p>
                  <w:pPr>
                    <w:pStyle w:val="TableText"/>
                    <w:ind w:left="429"/>
                    <w:spacing w:before="188" w:line="146" w:lineRule="exact"/>
                    <w:rPr>
                      <w:sz w:val="20"/>
                      <w:szCs w:val="20"/>
                    </w:rPr>
                  </w:pPr>
                  <w:r>
                    <w:rPr>
                      <w:sz w:val="20"/>
                      <w:szCs w:val="20"/>
                      <w:spacing w:val="-2"/>
                      <w:position w:val="-3"/>
                    </w:rPr>
                    <w:t>9.4586</w:t>
                  </w:r>
                </w:p>
              </w:tc>
            </w:tr>
          </w:tbl>
          <w:p>
            <w:pPr>
              <w:pStyle w:val="TableText"/>
              <w:ind w:left="1025"/>
              <w:spacing w:before="145" w:line="219" w:lineRule="auto"/>
              <w:rPr>
                <w:sz w:val="24"/>
                <w:szCs w:val="24"/>
              </w:rPr>
            </w:pPr>
            <w:r>
              <w:rPr>
                <w:sz w:val="24"/>
                <w:szCs w:val="24"/>
                <w:spacing w:val="-3"/>
              </w:rPr>
              <w:t>扩建后，厂区废气达标排放和总量控制指标见表3.6-6。</w:t>
            </w:r>
          </w:p>
          <w:p>
            <w:pPr>
              <w:ind w:left="3008"/>
              <w:spacing w:before="190" w:line="222" w:lineRule="auto"/>
              <w:rPr>
                <w:rFonts w:ascii="SimHei" w:hAnsi="SimHei" w:eastAsia="SimHei" w:cs="SimHei"/>
                <w:sz w:val="24"/>
                <w:szCs w:val="24"/>
              </w:rPr>
            </w:pPr>
            <w:r>
              <w:rPr>
                <w:rFonts w:ascii="SimHei" w:hAnsi="SimHei" w:eastAsia="SimHei" w:cs="SimHei"/>
                <w:sz w:val="24"/>
                <w:szCs w:val="24"/>
                <w:b/>
                <w:bCs/>
                <w:spacing w:val="-7"/>
              </w:rPr>
              <w:t>表3.6.6</w:t>
            </w:r>
            <w:r>
              <w:rPr>
                <w:rFonts w:ascii="SimHei" w:hAnsi="SimHei" w:eastAsia="SimHei" w:cs="SimHei"/>
                <w:sz w:val="24"/>
                <w:szCs w:val="24"/>
                <w:spacing w:val="-7"/>
              </w:rPr>
              <w:t xml:space="preserve"> </w:t>
            </w:r>
            <w:r>
              <w:rPr>
                <w:rFonts w:ascii="SimHei" w:hAnsi="SimHei" w:eastAsia="SimHei" w:cs="SimHei"/>
                <w:sz w:val="24"/>
                <w:szCs w:val="24"/>
                <w:b/>
                <w:bCs/>
                <w:spacing w:val="-7"/>
              </w:rPr>
              <w:t>扩建后废气污染物排放总量</w:t>
            </w:r>
          </w:p>
          <w:p>
            <w:pPr>
              <w:spacing w:line="132" w:lineRule="exact"/>
              <w:rPr/>
            </w:pPr>
            <w:r/>
          </w:p>
          <w:tbl>
            <w:tblPr>
              <w:tblStyle w:val="TableNormal"/>
              <w:tblW w:w="7879" w:type="dxa"/>
              <w:tblInd w:w="68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73"/>
              <w:gridCol w:w="2247"/>
              <w:gridCol w:w="1708"/>
              <w:gridCol w:w="1088"/>
              <w:gridCol w:w="1463"/>
            </w:tblGrid>
            <w:tr>
              <w:trPr>
                <w:trHeight w:val="681" w:hRule="atLeast"/>
              </w:trPr>
              <w:tc>
                <w:tcPr>
                  <w:tcW w:w="1373" w:type="dxa"/>
                  <w:vAlign w:val="top"/>
                </w:tcPr>
                <w:p>
                  <w:pPr>
                    <w:pStyle w:val="TableText"/>
                    <w:ind w:left="474"/>
                    <w:spacing w:before="243" w:line="219" w:lineRule="auto"/>
                    <w:rPr>
                      <w:sz w:val="20"/>
                      <w:szCs w:val="20"/>
                    </w:rPr>
                  </w:pPr>
                  <w:r>
                    <w:rPr>
                      <w:sz w:val="20"/>
                      <w:szCs w:val="20"/>
                      <w:spacing w:val="8"/>
                    </w:rPr>
                    <w:t>类别</w:t>
                  </w:r>
                </w:p>
              </w:tc>
              <w:tc>
                <w:tcPr>
                  <w:tcW w:w="2247" w:type="dxa"/>
                  <w:vAlign w:val="top"/>
                </w:tcPr>
                <w:p>
                  <w:pPr>
                    <w:pStyle w:val="TableText"/>
                    <w:ind w:left="611"/>
                    <w:spacing w:before="243" w:line="220" w:lineRule="auto"/>
                    <w:rPr>
                      <w:sz w:val="20"/>
                      <w:szCs w:val="20"/>
                    </w:rPr>
                  </w:pPr>
                  <w:r>
                    <w:rPr>
                      <w:sz w:val="20"/>
                      <w:szCs w:val="20"/>
                      <w:spacing w:val="-2"/>
                    </w:rPr>
                    <w:t>污染物名称</w:t>
                  </w:r>
                </w:p>
              </w:tc>
              <w:tc>
                <w:tcPr>
                  <w:tcW w:w="1708" w:type="dxa"/>
                  <w:vAlign w:val="top"/>
                </w:tcPr>
                <w:p>
                  <w:pPr>
                    <w:pStyle w:val="TableText"/>
                    <w:ind w:left="444"/>
                    <w:spacing w:before="243" w:line="220" w:lineRule="auto"/>
                    <w:rPr>
                      <w:sz w:val="20"/>
                      <w:szCs w:val="20"/>
                    </w:rPr>
                  </w:pPr>
                  <w:r>
                    <w:rPr>
                      <w:sz w:val="20"/>
                      <w:szCs w:val="20"/>
                      <w:spacing w:val="-2"/>
                    </w:rPr>
                    <w:t>排放浓度</w:t>
                  </w:r>
                </w:p>
              </w:tc>
              <w:tc>
                <w:tcPr>
                  <w:tcW w:w="1088" w:type="dxa"/>
                  <w:vAlign w:val="top"/>
                </w:tcPr>
                <w:p>
                  <w:pPr>
                    <w:pStyle w:val="TableText"/>
                    <w:ind w:left="136"/>
                    <w:spacing w:before="103" w:line="363" w:lineRule="exact"/>
                    <w:rPr>
                      <w:sz w:val="20"/>
                      <w:szCs w:val="20"/>
                    </w:rPr>
                  </w:pPr>
                  <w:r>
                    <w:rPr>
                      <w:sz w:val="20"/>
                      <w:szCs w:val="20"/>
                      <w:spacing w:val="-2"/>
                      <w:position w:val="12"/>
                    </w:rPr>
                    <w:t>预测排放</w:t>
                  </w:r>
                </w:p>
                <w:p>
                  <w:pPr>
                    <w:pStyle w:val="TableText"/>
                    <w:ind w:left="186"/>
                    <w:spacing w:line="189" w:lineRule="auto"/>
                    <w:rPr>
                      <w:sz w:val="20"/>
                      <w:szCs w:val="20"/>
                    </w:rPr>
                  </w:pPr>
                  <w:r>
                    <w:rPr>
                      <w:sz w:val="20"/>
                      <w:szCs w:val="20"/>
                      <w:spacing w:val="7"/>
                    </w:rPr>
                    <w:t>量(t/a)</w:t>
                  </w:r>
                </w:p>
              </w:tc>
              <w:tc>
                <w:tcPr>
                  <w:tcW w:w="1463" w:type="dxa"/>
                  <w:vAlign w:val="top"/>
                </w:tcPr>
                <w:p>
                  <w:pPr>
                    <w:pStyle w:val="TableText"/>
                    <w:ind w:left="378" w:right="210" w:hanging="150"/>
                    <w:spacing w:before="122" w:line="253" w:lineRule="auto"/>
                    <w:rPr>
                      <w:sz w:val="20"/>
                      <w:szCs w:val="20"/>
                    </w:rPr>
                  </w:pPr>
                  <w:r>
                    <w:rPr>
                      <w:sz w:val="20"/>
                      <w:szCs w:val="20"/>
                      <w:spacing w:val="2"/>
                    </w:rPr>
                    <w:t>总量控制指 </w:t>
                  </w:r>
                  <w:r>
                    <w:rPr>
                      <w:sz w:val="20"/>
                      <w:szCs w:val="20"/>
                      <w:spacing w:val="7"/>
                    </w:rPr>
                    <w:t>标(t/a)</w:t>
                  </w:r>
                </w:p>
              </w:tc>
            </w:tr>
            <w:tr>
              <w:trPr>
                <w:trHeight w:val="338" w:hRule="atLeast"/>
              </w:trPr>
              <w:tc>
                <w:tcPr>
                  <w:tcW w:w="1373" w:type="dxa"/>
                  <w:vAlign w:val="top"/>
                </w:tcPr>
                <w:p>
                  <w:pPr>
                    <w:pStyle w:val="TableText"/>
                    <w:ind w:left="275"/>
                    <w:spacing w:before="121" w:line="191" w:lineRule="auto"/>
                    <w:rPr>
                      <w:sz w:val="20"/>
                      <w:szCs w:val="20"/>
                    </w:rPr>
                  </w:pPr>
                  <w:r>
                    <w:rPr>
                      <w:sz w:val="20"/>
                      <w:szCs w:val="20"/>
                      <w:spacing w:val="3"/>
                    </w:rPr>
                    <w:t>有机废气</w:t>
                  </w:r>
                </w:p>
              </w:tc>
              <w:tc>
                <w:tcPr>
                  <w:tcW w:w="2247" w:type="dxa"/>
                  <w:vAlign w:val="top"/>
                </w:tcPr>
                <w:p>
                  <w:pPr>
                    <w:pStyle w:val="TableText"/>
                    <w:ind w:left="611"/>
                    <w:spacing w:before="122" w:line="190" w:lineRule="auto"/>
                    <w:rPr>
                      <w:sz w:val="20"/>
                      <w:szCs w:val="20"/>
                    </w:rPr>
                  </w:pPr>
                  <w:r>
                    <w:rPr>
                      <w:sz w:val="20"/>
                      <w:szCs w:val="20"/>
                      <w:spacing w:val="-2"/>
                    </w:rPr>
                    <w:t>非甲烷总烃</w:t>
                  </w:r>
                </w:p>
              </w:tc>
              <w:tc>
                <w:tcPr>
                  <w:tcW w:w="1708" w:type="dxa"/>
                  <w:vAlign w:val="top"/>
                </w:tcPr>
                <w:p>
                  <w:pPr>
                    <w:pStyle w:val="TableText"/>
                    <w:ind w:left="795"/>
                    <w:spacing w:before="78" w:line="224" w:lineRule="auto"/>
                    <w:rPr>
                      <w:sz w:val="20"/>
                      <w:szCs w:val="20"/>
                    </w:rPr>
                  </w:pPr>
                  <w:r>
                    <w:rPr>
                      <w:sz w:val="20"/>
                      <w:szCs w:val="20"/>
                    </w:rPr>
                    <w:t>/</w:t>
                  </w:r>
                </w:p>
              </w:tc>
              <w:tc>
                <w:tcPr>
                  <w:tcW w:w="1088" w:type="dxa"/>
                  <w:vAlign w:val="top"/>
                </w:tcPr>
                <w:p>
                  <w:pPr>
                    <w:pStyle w:val="TableText"/>
                    <w:ind w:left="186"/>
                    <w:spacing w:before="183" w:line="144" w:lineRule="exact"/>
                    <w:rPr>
                      <w:sz w:val="20"/>
                      <w:szCs w:val="20"/>
                    </w:rPr>
                  </w:pPr>
                  <w:r>
                    <w:rPr>
                      <w:sz w:val="20"/>
                      <w:szCs w:val="20"/>
                      <w:spacing w:val="-3"/>
                      <w:position w:val="-3"/>
                    </w:rPr>
                    <w:t>11.3630</w:t>
                  </w:r>
                </w:p>
              </w:tc>
              <w:tc>
                <w:tcPr>
                  <w:tcW w:w="1463" w:type="dxa"/>
                  <w:vAlign w:val="top"/>
                </w:tcPr>
                <w:p>
                  <w:pPr>
                    <w:pStyle w:val="TableText"/>
                    <w:ind w:left="379"/>
                    <w:spacing w:before="183" w:line="144" w:lineRule="exact"/>
                    <w:rPr>
                      <w:sz w:val="20"/>
                      <w:szCs w:val="20"/>
                    </w:rPr>
                  </w:pPr>
                  <w:r>
                    <w:rPr>
                      <w:sz w:val="20"/>
                      <w:szCs w:val="20"/>
                      <w:spacing w:val="-3"/>
                      <w:position w:val="-3"/>
                    </w:rPr>
                    <w:t>11.3630</w:t>
                  </w:r>
                </w:p>
              </w:tc>
            </w:tr>
            <w:tr>
              <w:trPr>
                <w:trHeight w:val="348" w:hRule="atLeast"/>
              </w:trPr>
              <w:tc>
                <w:tcPr>
                  <w:tcW w:w="1373" w:type="dxa"/>
                  <w:vAlign w:val="top"/>
                  <w:vMerge w:val="restart"/>
                  <w:tcBorders>
                    <w:bottom w:val="nil"/>
                  </w:tcBorders>
                </w:tcPr>
                <w:p>
                  <w:pPr>
                    <w:pStyle w:val="TableText"/>
                    <w:ind w:left="275"/>
                    <w:spacing w:before="254" w:line="220" w:lineRule="auto"/>
                    <w:rPr>
                      <w:sz w:val="20"/>
                      <w:szCs w:val="20"/>
                    </w:rPr>
                  </w:pPr>
                  <w:r>
                    <w:rPr>
                      <w:sz w:val="20"/>
                      <w:szCs w:val="20"/>
                      <w:spacing w:val="3"/>
                    </w:rPr>
                    <w:t>锅炉废气</w:t>
                  </w:r>
                </w:p>
              </w:tc>
              <w:tc>
                <w:tcPr>
                  <w:tcW w:w="2247" w:type="dxa"/>
                  <w:vAlign w:val="top"/>
                </w:tcPr>
                <w:p>
                  <w:pPr>
                    <w:pStyle w:val="TableText"/>
                    <w:ind w:left="911"/>
                    <w:spacing w:before="116" w:line="183" w:lineRule="auto"/>
                    <w:rPr>
                      <w:rFonts w:ascii="Calibri" w:hAnsi="Calibri" w:eastAsia="Calibri" w:cs="Calibri"/>
                      <w:sz w:val="20"/>
                      <w:szCs w:val="20"/>
                    </w:rPr>
                  </w:pPr>
                  <w:r>
                    <w:rPr>
                      <w:sz w:val="20"/>
                      <w:szCs w:val="20"/>
                      <w:spacing w:val="-3"/>
                    </w:rPr>
                    <w:t>SO</w:t>
                  </w:r>
                  <w:r>
                    <w:rPr>
                      <w:rFonts w:ascii="Calibri" w:hAnsi="Calibri" w:eastAsia="Calibri" w:cs="Calibri"/>
                      <w:sz w:val="20"/>
                      <w:szCs w:val="20"/>
                      <w:spacing w:val="-3"/>
                    </w:rPr>
                    <w:t>₂</w:t>
                  </w:r>
                </w:p>
              </w:tc>
              <w:tc>
                <w:tcPr>
                  <w:tcW w:w="1708" w:type="dxa"/>
                  <w:vAlign w:val="top"/>
                </w:tcPr>
                <w:p>
                  <w:pPr>
                    <w:pStyle w:val="TableText"/>
                    <w:ind w:left="394"/>
                    <w:spacing w:before="137" w:line="185" w:lineRule="auto"/>
                    <w:rPr>
                      <w:sz w:val="20"/>
                      <w:szCs w:val="20"/>
                    </w:rPr>
                  </w:pPr>
                  <w:r>
                    <w:rPr>
                      <w:sz w:val="20"/>
                      <w:szCs w:val="20"/>
                      <w:spacing w:val="-2"/>
                    </w:rPr>
                    <w:t>&lt;50mg/m³</w:t>
                  </w:r>
                </w:p>
              </w:tc>
              <w:tc>
                <w:tcPr>
                  <w:tcW w:w="1088" w:type="dxa"/>
                  <w:vAlign w:val="top"/>
                </w:tcPr>
                <w:p>
                  <w:pPr>
                    <w:pStyle w:val="TableText"/>
                    <w:ind w:left="236"/>
                    <w:spacing w:before="185" w:line="152" w:lineRule="exact"/>
                    <w:rPr>
                      <w:sz w:val="20"/>
                      <w:szCs w:val="20"/>
                    </w:rPr>
                  </w:pPr>
                  <w:r>
                    <w:rPr>
                      <w:sz w:val="20"/>
                      <w:szCs w:val="20"/>
                      <w:spacing w:val="-2"/>
                      <w:position w:val="-2"/>
                    </w:rPr>
                    <w:t>5.3032</w:t>
                  </w:r>
                </w:p>
              </w:tc>
              <w:tc>
                <w:tcPr>
                  <w:tcW w:w="1463" w:type="dxa"/>
                  <w:vAlign w:val="top"/>
                </w:tcPr>
                <w:p>
                  <w:pPr>
                    <w:pStyle w:val="TableText"/>
                    <w:ind w:left="428"/>
                    <w:spacing w:before="185" w:line="152" w:lineRule="exact"/>
                    <w:rPr>
                      <w:sz w:val="20"/>
                      <w:szCs w:val="20"/>
                    </w:rPr>
                  </w:pPr>
                  <w:r>
                    <w:rPr>
                      <w:sz w:val="20"/>
                      <w:szCs w:val="20"/>
                      <w:spacing w:val="-2"/>
                      <w:position w:val="-2"/>
                    </w:rPr>
                    <w:t>5.3032</w:t>
                  </w:r>
                </w:p>
              </w:tc>
            </w:tr>
            <w:tr>
              <w:trPr>
                <w:trHeight w:val="343" w:hRule="atLeast"/>
              </w:trPr>
              <w:tc>
                <w:tcPr>
                  <w:tcW w:w="1373" w:type="dxa"/>
                  <w:vAlign w:val="top"/>
                  <w:vMerge w:val="continue"/>
                  <w:tcBorders>
                    <w:top w:val="nil"/>
                  </w:tcBorders>
                </w:tcPr>
                <w:p>
                  <w:pPr>
                    <w:rPr>
                      <w:rFonts w:ascii="Arial"/>
                      <w:sz w:val="21"/>
                    </w:rPr>
                  </w:pPr>
                  <w:r/>
                </w:p>
              </w:tc>
              <w:tc>
                <w:tcPr>
                  <w:tcW w:w="2247" w:type="dxa"/>
                  <w:vAlign w:val="top"/>
                </w:tcPr>
                <w:p>
                  <w:pPr>
                    <w:pStyle w:val="TableText"/>
                    <w:ind w:left="962"/>
                    <w:spacing w:before="127" w:line="183" w:lineRule="auto"/>
                    <w:rPr>
                      <w:sz w:val="20"/>
                      <w:szCs w:val="20"/>
                    </w:rPr>
                  </w:pPr>
                  <w:r>
                    <w:rPr>
                      <w:sz w:val="20"/>
                      <w:szCs w:val="20"/>
                      <w:spacing w:val="-1"/>
                    </w:rPr>
                    <w:t>NOx</w:t>
                  </w:r>
                </w:p>
              </w:tc>
              <w:tc>
                <w:tcPr>
                  <w:tcW w:w="1708" w:type="dxa"/>
                  <w:vAlign w:val="top"/>
                </w:tcPr>
                <w:p>
                  <w:pPr>
                    <w:pStyle w:val="TableText"/>
                    <w:ind w:left="344"/>
                    <w:spacing w:before="109" w:line="206" w:lineRule="auto"/>
                    <w:rPr>
                      <w:sz w:val="20"/>
                      <w:szCs w:val="20"/>
                    </w:rPr>
                  </w:pPr>
                  <w:r>
                    <w:rPr>
                      <w:sz w:val="20"/>
                      <w:szCs w:val="20"/>
                      <w:spacing w:val="-2"/>
                    </w:rPr>
                    <w:t>&lt;200mg/m³</w:t>
                  </w:r>
                </w:p>
              </w:tc>
              <w:tc>
                <w:tcPr>
                  <w:tcW w:w="1088" w:type="dxa"/>
                  <w:vAlign w:val="top"/>
                </w:tcPr>
                <w:p>
                  <w:pPr>
                    <w:pStyle w:val="TableText"/>
                    <w:ind w:left="186"/>
                    <w:spacing w:before="167" w:line="165" w:lineRule="exact"/>
                    <w:rPr>
                      <w:sz w:val="20"/>
                      <w:szCs w:val="20"/>
                    </w:rPr>
                  </w:pPr>
                  <w:r>
                    <w:rPr>
                      <w:sz w:val="20"/>
                      <w:szCs w:val="20"/>
                      <w:spacing w:val="-2"/>
                      <w:position w:val="-2"/>
                    </w:rPr>
                    <w:t>39.3306</w:t>
                  </w:r>
                </w:p>
              </w:tc>
              <w:tc>
                <w:tcPr>
                  <w:tcW w:w="1463" w:type="dxa"/>
                  <w:vAlign w:val="top"/>
                </w:tcPr>
                <w:p>
                  <w:pPr>
                    <w:pStyle w:val="TableText"/>
                    <w:ind w:left="379"/>
                    <w:spacing w:before="167" w:line="165" w:lineRule="exact"/>
                    <w:rPr>
                      <w:sz w:val="20"/>
                      <w:szCs w:val="20"/>
                    </w:rPr>
                  </w:pPr>
                  <w:r>
                    <w:rPr>
                      <w:sz w:val="20"/>
                      <w:szCs w:val="20"/>
                      <w:spacing w:val="-2"/>
                      <w:position w:val="-2"/>
                    </w:rPr>
                    <w:t>39.3306</w:t>
                  </w:r>
                </w:p>
              </w:tc>
            </w:tr>
          </w:tbl>
          <w:p>
            <w:pPr>
              <w:spacing w:line="369" w:lineRule="auto"/>
              <w:rPr>
                <w:rFonts w:ascii="Arial"/>
                <w:sz w:val="21"/>
              </w:rPr>
            </w:pPr>
            <w:r/>
          </w:p>
          <w:p>
            <w:pPr>
              <w:ind w:left="2698"/>
              <w:spacing w:before="78" w:line="222" w:lineRule="auto"/>
              <w:rPr>
                <w:rFonts w:ascii="SimHei" w:hAnsi="SimHei" w:eastAsia="SimHei" w:cs="SimHei"/>
                <w:sz w:val="24"/>
                <w:szCs w:val="24"/>
              </w:rPr>
            </w:pPr>
            <w:r>
              <w:rPr>
                <w:rFonts w:ascii="SimHei" w:hAnsi="SimHei" w:eastAsia="SimHei" w:cs="SimHei"/>
                <w:sz w:val="24"/>
                <w:szCs w:val="24"/>
                <w:b/>
                <w:bCs/>
                <w:spacing w:val="-6"/>
              </w:rPr>
              <w:t>表3.6-7</w:t>
            </w:r>
            <w:r>
              <w:rPr>
                <w:rFonts w:ascii="SimHei" w:hAnsi="SimHei" w:eastAsia="SimHei" w:cs="SimHei"/>
                <w:sz w:val="24"/>
                <w:szCs w:val="24"/>
                <w:spacing w:val="-6"/>
              </w:rPr>
              <w:t xml:space="preserve">  </w:t>
            </w:r>
            <w:r>
              <w:rPr>
                <w:rFonts w:ascii="SimHei" w:hAnsi="SimHei" w:eastAsia="SimHei" w:cs="SimHei"/>
                <w:sz w:val="24"/>
                <w:szCs w:val="24"/>
                <w:b/>
                <w:bCs/>
                <w:spacing w:val="-6"/>
              </w:rPr>
              <w:t>废气污染物总量指标情况汇总表</w:t>
            </w:r>
          </w:p>
          <w:p>
            <w:pPr>
              <w:spacing w:line="152" w:lineRule="exact"/>
              <w:rPr/>
            </w:pPr>
            <w:r/>
          </w:p>
          <w:tbl>
            <w:tblPr>
              <w:tblStyle w:val="TableNormal"/>
              <w:tblW w:w="8180" w:type="dxa"/>
              <w:tblInd w:w="53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22"/>
              <w:gridCol w:w="1868"/>
              <w:gridCol w:w="1628"/>
              <w:gridCol w:w="1962"/>
            </w:tblGrid>
            <w:tr>
              <w:trPr>
                <w:trHeight w:val="333" w:hRule="atLeast"/>
              </w:trPr>
              <w:tc>
                <w:tcPr>
                  <w:tcW w:w="2722" w:type="dxa"/>
                  <w:vAlign w:val="top"/>
                </w:tcPr>
                <w:p>
                  <w:pPr>
                    <w:pStyle w:val="TableText"/>
                    <w:ind w:left="825"/>
                    <w:spacing w:before="64" w:line="220" w:lineRule="auto"/>
                    <w:rPr>
                      <w:sz w:val="21"/>
                      <w:szCs w:val="21"/>
                    </w:rPr>
                  </w:pPr>
                  <w:r>
                    <w:rPr>
                      <w:sz w:val="21"/>
                      <w:szCs w:val="21"/>
                      <w:spacing w:val="2"/>
                    </w:rPr>
                    <w:t>污染物名称</w:t>
                  </w:r>
                </w:p>
              </w:tc>
              <w:tc>
                <w:tcPr>
                  <w:tcW w:w="1868" w:type="dxa"/>
                  <w:vAlign w:val="top"/>
                </w:tcPr>
                <w:p>
                  <w:pPr>
                    <w:pStyle w:val="TableText"/>
                    <w:ind w:left="403"/>
                    <w:spacing w:before="94" w:line="201" w:lineRule="auto"/>
                    <w:rPr>
                      <w:sz w:val="21"/>
                      <w:szCs w:val="21"/>
                    </w:rPr>
                  </w:pPr>
                  <w:r>
                    <w:rPr>
                      <w:sz w:val="21"/>
                      <w:szCs w:val="21"/>
                      <w:spacing w:val="-2"/>
                    </w:rPr>
                    <w:t>非甲烷总烃</w:t>
                  </w:r>
                </w:p>
              </w:tc>
              <w:tc>
                <w:tcPr>
                  <w:tcW w:w="1628" w:type="dxa"/>
                  <w:vAlign w:val="top"/>
                </w:tcPr>
                <w:p>
                  <w:pPr>
                    <w:pStyle w:val="TableText"/>
                    <w:ind w:left="595"/>
                    <w:spacing w:before="127" w:line="172" w:lineRule="auto"/>
                    <w:rPr>
                      <w:rFonts w:ascii="Calibri" w:hAnsi="Calibri" w:eastAsia="Calibri" w:cs="Calibri"/>
                      <w:sz w:val="21"/>
                      <w:szCs w:val="21"/>
                    </w:rPr>
                  </w:pPr>
                  <w:r>
                    <w:rPr>
                      <w:sz w:val="21"/>
                      <w:szCs w:val="21"/>
                      <w:spacing w:val="-4"/>
                    </w:rPr>
                    <w:t>SO</w:t>
                  </w:r>
                  <w:r>
                    <w:rPr>
                      <w:rFonts w:ascii="Calibri" w:hAnsi="Calibri" w:eastAsia="Calibri" w:cs="Calibri"/>
                      <w:sz w:val="21"/>
                      <w:szCs w:val="21"/>
                      <w:spacing w:val="-4"/>
                    </w:rPr>
                    <w:t>₂</w:t>
                  </w:r>
                </w:p>
              </w:tc>
              <w:tc>
                <w:tcPr>
                  <w:tcW w:w="1962" w:type="dxa"/>
                  <w:vAlign w:val="top"/>
                </w:tcPr>
                <w:p>
                  <w:pPr>
                    <w:pStyle w:val="TableText"/>
                    <w:ind w:left="817"/>
                    <w:spacing w:before="147" w:line="175" w:lineRule="exact"/>
                    <w:rPr>
                      <w:sz w:val="21"/>
                      <w:szCs w:val="21"/>
                    </w:rPr>
                  </w:pPr>
                  <w:r>
                    <w:rPr>
                      <w:sz w:val="21"/>
                      <w:szCs w:val="21"/>
                      <w:spacing w:val="-1"/>
                      <w:position w:val="-2"/>
                    </w:rPr>
                    <w:t>NOx</w:t>
                  </w:r>
                </w:p>
              </w:tc>
            </w:tr>
            <w:tr>
              <w:trPr>
                <w:trHeight w:val="338" w:hRule="atLeast"/>
              </w:trPr>
              <w:tc>
                <w:tcPr>
                  <w:tcW w:w="2722" w:type="dxa"/>
                  <w:vAlign w:val="top"/>
                </w:tcPr>
                <w:p>
                  <w:pPr>
                    <w:pStyle w:val="TableText"/>
                    <w:ind w:left="565"/>
                    <w:spacing w:before="119" w:line="183" w:lineRule="auto"/>
                    <w:rPr>
                      <w:sz w:val="21"/>
                      <w:szCs w:val="21"/>
                    </w:rPr>
                  </w:pPr>
                  <w:r>
                    <w:rPr>
                      <w:sz w:val="21"/>
                      <w:szCs w:val="21"/>
                      <w:spacing w:val="4"/>
                    </w:rPr>
                    <w:t>本项目新增(t/a)</w:t>
                  </w:r>
                </w:p>
              </w:tc>
              <w:tc>
                <w:tcPr>
                  <w:tcW w:w="1868" w:type="dxa"/>
                  <w:vAlign w:val="top"/>
                </w:tcPr>
                <w:p>
                  <w:pPr>
                    <w:pStyle w:val="TableText"/>
                    <w:ind w:left="612"/>
                    <w:spacing w:before="153" w:line="174" w:lineRule="exact"/>
                    <w:rPr>
                      <w:sz w:val="21"/>
                      <w:szCs w:val="21"/>
                    </w:rPr>
                  </w:pPr>
                  <w:r>
                    <w:rPr>
                      <w:sz w:val="21"/>
                      <w:szCs w:val="21"/>
                      <w:spacing w:val="-4"/>
                      <w:position w:val="-2"/>
                    </w:rPr>
                    <w:t>1.9200</w:t>
                  </w:r>
                </w:p>
              </w:tc>
              <w:tc>
                <w:tcPr>
                  <w:tcW w:w="1628" w:type="dxa"/>
                  <w:vAlign w:val="top"/>
                </w:tcPr>
                <w:p>
                  <w:pPr>
                    <w:pStyle w:val="TableText"/>
                    <w:ind w:left="494"/>
                    <w:spacing w:before="153" w:line="174" w:lineRule="exact"/>
                    <w:rPr>
                      <w:sz w:val="21"/>
                      <w:szCs w:val="21"/>
                    </w:rPr>
                  </w:pPr>
                  <w:r>
                    <w:rPr>
                      <w:sz w:val="21"/>
                      <w:szCs w:val="21"/>
                      <w:spacing w:val="-2"/>
                      <w:position w:val="-2"/>
                    </w:rPr>
                    <w:t>3.5112</w:t>
                  </w:r>
                </w:p>
              </w:tc>
              <w:tc>
                <w:tcPr>
                  <w:tcW w:w="1962" w:type="dxa"/>
                  <w:vAlign w:val="top"/>
                </w:tcPr>
                <w:p>
                  <w:pPr>
                    <w:pStyle w:val="TableText"/>
                    <w:ind w:left="656"/>
                    <w:spacing w:before="154" w:line="173" w:lineRule="exact"/>
                    <w:rPr>
                      <w:sz w:val="21"/>
                      <w:szCs w:val="21"/>
                    </w:rPr>
                  </w:pPr>
                  <w:r>
                    <w:rPr>
                      <w:sz w:val="21"/>
                      <w:szCs w:val="21"/>
                      <w:spacing w:val="-2"/>
                      <w:position w:val="-2"/>
                    </w:rPr>
                    <w:t>9.4586</w:t>
                  </w:r>
                </w:p>
              </w:tc>
            </w:tr>
            <w:tr>
              <w:trPr>
                <w:trHeight w:val="348" w:hRule="atLeast"/>
              </w:trPr>
              <w:tc>
                <w:tcPr>
                  <w:tcW w:w="2722" w:type="dxa"/>
                  <w:vAlign w:val="top"/>
                </w:tcPr>
                <w:p>
                  <w:pPr>
                    <w:pStyle w:val="TableText"/>
                    <w:ind w:left="565"/>
                    <w:spacing w:before="123" w:line="189" w:lineRule="auto"/>
                    <w:rPr>
                      <w:sz w:val="21"/>
                      <w:szCs w:val="21"/>
                    </w:rPr>
                  </w:pPr>
                  <w:r>
                    <w:rPr>
                      <w:sz w:val="21"/>
                      <w:szCs w:val="21"/>
                      <w:spacing w:val="4"/>
                    </w:rPr>
                    <w:t>扩建后总量(t/a)</w:t>
                  </w:r>
                </w:p>
              </w:tc>
              <w:tc>
                <w:tcPr>
                  <w:tcW w:w="1868" w:type="dxa"/>
                  <w:vAlign w:val="top"/>
                </w:tcPr>
                <w:p>
                  <w:pPr>
                    <w:pStyle w:val="TableText"/>
                    <w:ind w:left="552"/>
                    <w:spacing w:before="166" w:line="171" w:lineRule="exact"/>
                    <w:rPr>
                      <w:sz w:val="21"/>
                      <w:szCs w:val="21"/>
                    </w:rPr>
                  </w:pPr>
                  <w:r>
                    <w:rPr>
                      <w:sz w:val="21"/>
                      <w:szCs w:val="21"/>
                      <w:spacing w:val="-3"/>
                      <w:position w:val="-2"/>
                    </w:rPr>
                    <w:t>11.3630</w:t>
                  </w:r>
                </w:p>
              </w:tc>
              <w:tc>
                <w:tcPr>
                  <w:tcW w:w="1628" w:type="dxa"/>
                  <w:vAlign w:val="top"/>
                </w:tcPr>
                <w:p>
                  <w:pPr>
                    <w:pStyle w:val="TableText"/>
                    <w:ind w:left="494"/>
                    <w:spacing w:before="166" w:line="171" w:lineRule="exact"/>
                    <w:rPr>
                      <w:sz w:val="21"/>
                      <w:szCs w:val="21"/>
                    </w:rPr>
                  </w:pPr>
                  <w:r>
                    <w:rPr>
                      <w:sz w:val="21"/>
                      <w:szCs w:val="21"/>
                      <w:spacing w:val="-2"/>
                      <w:position w:val="-2"/>
                    </w:rPr>
                    <w:t>5.3032</w:t>
                  </w:r>
                </w:p>
              </w:tc>
              <w:tc>
                <w:tcPr>
                  <w:tcW w:w="1962" w:type="dxa"/>
                  <w:vAlign w:val="top"/>
                </w:tcPr>
                <w:p>
                  <w:pPr>
                    <w:pStyle w:val="TableText"/>
                    <w:ind w:left="607"/>
                    <w:spacing w:before="166" w:line="171" w:lineRule="exact"/>
                    <w:rPr>
                      <w:sz w:val="21"/>
                      <w:szCs w:val="21"/>
                    </w:rPr>
                  </w:pPr>
                  <w:r>
                    <w:rPr>
                      <w:sz w:val="21"/>
                      <w:szCs w:val="21"/>
                      <w:spacing w:val="-2"/>
                      <w:position w:val="-2"/>
                    </w:rPr>
                    <w:t>39.3306</w:t>
                  </w:r>
                </w:p>
              </w:tc>
            </w:tr>
            <w:tr>
              <w:trPr>
                <w:trHeight w:val="328" w:hRule="atLeast"/>
              </w:trPr>
              <w:tc>
                <w:tcPr>
                  <w:tcW w:w="2722" w:type="dxa"/>
                  <w:vAlign w:val="top"/>
                </w:tcPr>
                <w:p>
                  <w:pPr>
                    <w:pStyle w:val="TableText"/>
                    <w:ind w:left="304"/>
                    <w:spacing w:before="93" w:line="197" w:lineRule="auto"/>
                    <w:rPr>
                      <w:sz w:val="21"/>
                      <w:szCs w:val="21"/>
                    </w:rPr>
                  </w:pPr>
                  <w:r>
                    <w:rPr>
                      <w:sz w:val="21"/>
                      <w:szCs w:val="21"/>
                      <w:spacing w:val="3"/>
                    </w:rPr>
                    <w:t>已购买/调剂总量(t/a)</w:t>
                  </w:r>
                </w:p>
              </w:tc>
              <w:tc>
                <w:tcPr>
                  <w:tcW w:w="1868" w:type="dxa"/>
                  <w:vAlign w:val="top"/>
                </w:tcPr>
                <w:p>
                  <w:pPr>
                    <w:pStyle w:val="TableText"/>
                    <w:ind w:left="552"/>
                    <w:spacing w:before="148" w:line="169" w:lineRule="exact"/>
                    <w:rPr>
                      <w:sz w:val="21"/>
                      <w:szCs w:val="21"/>
                    </w:rPr>
                  </w:pPr>
                  <w:r>
                    <w:rPr>
                      <w:sz w:val="21"/>
                      <w:szCs w:val="21"/>
                      <w:spacing w:val="-3"/>
                      <w:position w:val="-2"/>
                    </w:rPr>
                    <w:t>14.9870</w:t>
                  </w:r>
                </w:p>
              </w:tc>
              <w:tc>
                <w:tcPr>
                  <w:tcW w:w="1628" w:type="dxa"/>
                  <w:vAlign w:val="top"/>
                </w:tcPr>
                <w:p>
                  <w:pPr>
                    <w:pStyle w:val="TableText"/>
                    <w:ind w:left="494"/>
                    <w:spacing w:before="118" w:line="175" w:lineRule="auto"/>
                    <w:rPr>
                      <w:sz w:val="21"/>
                      <w:szCs w:val="21"/>
                    </w:rPr>
                  </w:pPr>
                  <w:r>
                    <w:rPr>
                      <w:sz w:val="21"/>
                      <w:szCs w:val="21"/>
                      <w:spacing w:val="-2"/>
                    </w:rPr>
                    <w:t>4.7040</w:t>
                  </w:r>
                </w:p>
              </w:tc>
              <w:tc>
                <w:tcPr>
                  <w:tcW w:w="1962" w:type="dxa"/>
                  <w:vAlign w:val="top"/>
                </w:tcPr>
                <w:p>
                  <w:pPr>
                    <w:pStyle w:val="TableText"/>
                    <w:ind w:left="607"/>
                    <w:spacing w:before="148" w:line="169" w:lineRule="exact"/>
                    <w:rPr>
                      <w:sz w:val="21"/>
                      <w:szCs w:val="21"/>
                    </w:rPr>
                  </w:pPr>
                  <w:r>
                    <w:rPr>
                      <w:sz w:val="21"/>
                      <w:szCs w:val="21"/>
                      <w:spacing w:val="-2"/>
                      <w:position w:val="-2"/>
                    </w:rPr>
                    <w:t>29.8720</w:t>
                  </w:r>
                </w:p>
              </w:tc>
            </w:tr>
            <w:tr>
              <w:trPr>
                <w:trHeight w:val="343" w:hRule="atLeast"/>
              </w:trPr>
              <w:tc>
                <w:tcPr>
                  <w:tcW w:w="2722" w:type="dxa"/>
                  <w:vAlign w:val="top"/>
                </w:tcPr>
                <w:p>
                  <w:pPr>
                    <w:pStyle w:val="TableText"/>
                    <w:ind w:left="565"/>
                    <w:spacing w:before="127" w:line="181" w:lineRule="auto"/>
                    <w:rPr>
                      <w:sz w:val="21"/>
                      <w:szCs w:val="21"/>
                    </w:rPr>
                  </w:pPr>
                  <w:r>
                    <w:rPr>
                      <w:sz w:val="21"/>
                      <w:szCs w:val="21"/>
                      <w:spacing w:val="4"/>
                    </w:rPr>
                    <w:t>需购买总量(t/a)</w:t>
                  </w:r>
                </w:p>
              </w:tc>
              <w:tc>
                <w:tcPr>
                  <w:tcW w:w="1868" w:type="dxa"/>
                  <w:vAlign w:val="top"/>
                </w:tcPr>
                <w:p>
                  <w:pPr>
                    <w:pStyle w:val="TableText"/>
                    <w:ind w:left="872"/>
                    <w:spacing w:before="160" w:line="172" w:lineRule="exact"/>
                    <w:rPr>
                      <w:sz w:val="21"/>
                      <w:szCs w:val="21"/>
                    </w:rPr>
                  </w:pPr>
                  <w:r>
                    <w:rPr>
                      <w:sz w:val="21"/>
                      <w:szCs w:val="21"/>
                      <w:position w:val="-2"/>
                    </w:rPr>
                    <w:t>0</w:t>
                  </w:r>
                </w:p>
              </w:tc>
              <w:tc>
                <w:tcPr>
                  <w:tcW w:w="1628" w:type="dxa"/>
                  <w:vAlign w:val="top"/>
                </w:tcPr>
                <w:p>
                  <w:pPr>
                    <w:pStyle w:val="TableText"/>
                    <w:ind w:left="494"/>
                    <w:spacing w:before="130" w:line="178" w:lineRule="auto"/>
                    <w:rPr>
                      <w:sz w:val="21"/>
                      <w:szCs w:val="21"/>
                    </w:rPr>
                  </w:pPr>
                  <w:r>
                    <w:rPr>
                      <w:sz w:val="21"/>
                      <w:szCs w:val="21"/>
                      <w:spacing w:val="-2"/>
                    </w:rPr>
                    <w:t>0.5992</w:t>
                  </w:r>
                </w:p>
              </w:tc>
              <w:tc>
                <w:tcPr>
                  <w:tcW w:w="1962" w:type="dxa"/>
                  <w:vAlign w:val="top"/>
                </w:tcPr>
                <w:p>
                  <w:pPr>
                    <w:pStyle w:val="TableText"/>
                    <w:ind w:left="656"/>
                    <w:spacing w:before="160" w:line="172" w:lineRule="exact"/>
                    <w:rPr>
                      <w:sz w:val="21"/>
                      <w:szCs w:val="21"/>
                    </w:rPr>
                  </w:pPr>
                  <w:r>
                    <w:rPr>
                      <w:sz w:val="21"/>
                      <w:szCs w:val="21"/>
                      <w:spacing w:val="-2"/>
                      <w:position w:val="-2"/>
                    </w:rPr>
                    <w:t>9.4586</w:t>
                  </w:r>
                </w:p>
              </w:tc>
            </w:tr>
          </w:tbl>
          <w:p>
            <w:pPr>
              <w:spacing w:line="361" w:lineRule="auto"/>
              <w:rPr>
                <w:rFonts w:ascii="Arial"/>
                <w:sz w:val="21"/>
              </w:rPr>
            </w:pPr>
            <w:r/>
          </w:p>
          <w:p>
            <w:pPr>
              <w:pStyle w:val="TableText"/>
              <w:ind w:left="558"/>
              <w:spacing w:before="78" w:line="219" w:lineRule="auto"/>
              <w:outlineLvl w:val="6"/>
              <w:rPr>
                <w:sz w:val="24"/>
                <w:szCs w:val="24"/>
              </w:rPr>
            </w:pPr>
            <w:r>
              <w:rPr>
                <w:sz w:val="24"/>
                <w:szCs w:val="24"/>
                <w:b/>
                <w:bCs/>
                <w:spacing w:val="-10"/>
              </w:rPr>
              <w:t>3.6.4总量指标来源</w:t>
            </w:r>
          </w:p>
          <w:p>
            <w:pPr>
              <w:pStyle w:val="TableText"/>
              <w:ind w:left="555" w:right="84" w:firstLine="470"/>
              <w:spacing w:before="187" w:line="362" w:lineRule="auto"/>
              <w:jc w:val="both"/>
              <w:rPr>
                <w:sz w:val="24"/>
                <w:szCs w:val="24"/>
              </w:rPr>
            </w:pPr>
            <w:r>
              <w:rPr>
                <w:sz w:val="24"/>
                <w:szCs w:val="24"/>
                <w:spacing w:val="-3"/>
              </w:rPr>
              <w:t>根据《进一步加快推进排污权有偿使用和交易工作的意见》(闽环发(201</w:t>
            </w:r>
            <w:r>
              <w:rPr>
                <w:sz w:val="24"/>
                <w:szCs w:val="24"/>
                <w:spacing w:val="-4"/>
              </w:rPr>
              <w:t>5)</w:t>
            </w:r>
            <w:r>
              <w:rPr>
                <w:sz w:val="24"/>
                <w:szCs w:val="24"/>
              </w:rPr>
              <w:t xml:space="preserve"> </w:t>
            </w:r>
            <w:r>
              <w:rPr>
                <w:sz w:val="24"/>
                <w:szCs w:val="24"/>
                <w:spacing w:val="5"/>
              </w:rPr>
              <w:t>6号),超出已取得排污权总量指标的</w:t>
            </w:r>
            <w:r>
              <w:rPr>
                <w:rFonts w:ascii="Times New Roman" w:hAnsi="Times New Roman" w:eastAsia="Times New Roman" w:cs="Times New Roman"/>
                <w:sz w:val="24"/>
                <w:szCs w:val="24"/>
              </w:rPr>
              <w:t>COD</w:t>
            </w:r>
            <w:r>
              <w:rPr>
                <w:sz w:val="24"/>
                <w:szCs w:val="24"/>
                <w:spacing w:val="5"/>
              </w:rPr>
              <w:t>、氮氮、二氧化硫、氮氧化物</w:t>
            </w:r>
            <w:r>
              <w:rPr>
                <w:sz w:val="24"/>
                <w:szCs w:val="24"/>
                <w:spacing w:val="4"/>
              </w:rPr>
              <w:t>总量，</w:t>
            </w:r>
          </w:p>
          <w:p>
            <w:pPr>
              <w:pStyle w:val="TableText"/>
              <w:ind w:left="555"/>
              <w:spacing w:before="1" w:line="219" w:lineRule="auto"/>
              <w:rPr>
                <w:sz w:val="24"/>
                <w:szCs w:val="24"/>
              </w:rPr>
            </w:pPr>
            <w:r>
              <w:rPr>
                <w:sz w:val="24"/>
                <w:szCs w:val="24"/>
                <w:spacing w:val="-3"/>
              </w:rPr>
              <w:t>建设单位应通过福建省排污权交易平台购买。</w:t>
            </w:r>
          </w:p>
          <w:p>
            <w:pPr>
              <w:pStyle w:val="TableText"/>
              <w:ind w:left="2748"/>
              <w:spacing w:before="232" w:line="220" w:lineRule="auto"/>
              <w:rPr>
                <w:sz w:val="24"/>
                <w:szCs w:val="24"/>
              </w:rPr>
            </w:pPr>
            <w:r>
              <w:rPr>
                <w:sz w:val="24"/>
                <w:szCs w:val="24"/>
                <w:b/>
                <w:bCs/>
                <w:spacing w:val="-7"/>
              </w:rPr>
              <w:t>表3.6-8</w:t>
            </w:r>
            <w:r>
              <w:rPr>
                <w:sz w:val="24"/>
                <w:szCs w:val="24"/>
                <w:spacing w:val="-7"/>
              </w:rPr>
              <w:t xml:space="preserve"> </w:t>
            </w:r>
            <w:r>
              <w:rPr>
                <w:sz w:val="24"/>
                <w:szCs w:val="24"/>
                <w:b/>
                <w:bCs/>
                <w:spacing w:val="-7"/>
              </w:rPr>
              <w:t>建成后还需购买的总量指标</w:t>
            </w:r>
          </w:p>
          <w:p>
            <w:pPr>
              <w:spacing w:line="192" w:lineRule="exact"/>
              <w:rPr/>
            </w:pPr>
            <w:r/>
          </w:p>
          <w:tbl>
            <w:tblPr>
              <w:tblStyle w:val="TableNormal"/>
              <w:tblW w:w="8160" w:type="dxa"/>
              <w:tblInd w:w="55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520"/>
              <w:gridCol w:w="1380"/>
              <w:gridCol w:w="1370"/>
              <w:gridCol w:w="1530"/>
              <w:gridCol w:w="1360"/>
            </w:tblGrid>
            <w:tr>
              <w:trPr>
                <w:trHeight w:val="261" w:hRule="atLeast"/>
              </w:trPr>
              <w:tc>
                <w:tcPr>
                  <w:tcW w:w="2520" w:type="dxa"/>
                  <w:vAlign w:val="top"/>
                  <w:tcBorders>
                    <w:left w:val="nil"/>
                  </w:tcBorders>
                </w:tcPr>
                <w:p>
                  <w:pPr>
                    <w:pStyle w:val="TableText"/>
                    <w:ind w:left="959"/>
                    <w:spacing w:before="34" w:line="200" w:lineRule="auto"/>
                    <w:rPr>
                      <w:sz w:val="20"/>
                      <w:szCs w:val="20"/>
                    </w:rPr>
                  </w:pPr>
                  <w:r>
                    <w:rPr>
                      <w:sz w:val="20"/>
                      <w:szCs w:val="20"/>
                      <w:spacing w:val="-3"/>
                    </w:rPr>
                    <w:t>污染物</w:t>
                  </w:r>
                </w:p>
              </w:tc>
              <w:tc>
                <w:tcPr>
                  <w:tcW w:w="1380" w:type="dxa"/>
                  <w:vAlign w:val="top"/>
                </w:tcPr>
                <w:p>
                  <w:pPr>
                    <w:pStyle w:val="TableText"/>
                    <w:ind w:left="535"/>
                    <w:spacing w:before="84" w:line="167" w:lineRule="exact"/>
                    <w:rPr>
                      <w:sz w:val="20"/>
                      <w:szCs w:val="20"/>
                    </w:rPr>
                  </w:pPr>
                  <w:r>
                    <w:rPr>
                      <w:sz w:val="20"/>
                      <w:szCs w:val="20"/>
                      <w:spacing w:val="-2"/>
                      <w:position w:val="-2"/>
                    </w:rPr>
                    <w:t>COD</w:t>
                  </w:r>
                </w:p>
              </w:tc>
              <w:tc>
                <w:tcPr>
                  <w:tcW w:w="1370" w:type="dxa"/>
                  <w:vAlign w:val="top"/>
                </w:tcPr>
                <w:p>
                  <w:pPr>
                    <w:pStyle w:val="TableText"/>
                    <w:ind w:left="475"/>
                    <w:spacing w:before="32" w:line="202" w:lineRule="auto"/>
                    <w:rPr>
                      <w:sz w:val="20"/>
                      <w:szCs w:val="20"/>
                    </w:rPr>
                  </w:pPr>
                  <w:r>
                    <w:rPr>
                      <w:sz w:val="20"/>
                      <w:szCs w:val="20"/>
                      <w:spacing w:val="-2"/>
                    </w:rPr>
                    <w:t>氨氮</w:t>
                  </w:r>
                </w:p>
              </w:tc>
              <w:tc>
                <w:tcPr>
                  <w:tcW w:w="1530" w:type="dxa"/>
                  <w:vAlign w:val="top"/>
                </w:tcPr>
                <w:p>
                  <w:pPr>
                    <w:pStyle w:val="TableText"/>
                    <w:ind w:left="355"/>
                    <w:spacing w:before="32" w:line="202" w:lineRule="auto"/>
                    <w:rPr>
                      <w:sz w:val="20"/>
                      <w:szCs w:val="20"/>
                    </w:rPr>
                  </w:pPr>
                  <w:r>
                    <w:rPr>
                      <w:sz w:val="20"/>
                      <w:szCs w:val="20"/>
                      <w:spacing w:val="-2"/>
                    </w:rPr>
                    <w:t>氮氧化物</w:t>
                  </w:r>
                </w:p>
              </w:tc>
              <w:tc>
                <w:tcPr>
                  <w:tcW w:w="1360" w:type="dxa"/>
                  <w:vAlign w:val="top"/>
                  <w:tcBorders>
                    <w:right w:val="nil"/>
                  </w:tcBorders>
                </w:tcPr>
                <w:p>
                  <w:pPr>
                    <w:pStyle w:val="TableText"/>
                    <w:ind w:left="275"/>
                    <w:spacing w:before="32" w:line="202" w:lineRule="auto"/>
                    <w:rPr>
                      <w:sz w:val="20"/>
                      <w:szCs w:val="20"/>
                    </w:rPr>
                  </w:pPr>
                  <w:r>
                    <w:rPr>
                      <w:sz w:val="20"/>
                      <w:szCs w:val="20"/>
                      <w:spacing w:val="-3"/>
                    </w:rPr>
                    <w:t>二氧化硫</w:t>
                  </w:r>
                </w:p>
              </w:tc>
            </w:tr>
            <w:tr>
              <w:trPr>
                <w:trHeight w:val="339" w:hRule="atLeast"/>
              </w:trPr>
              <w:tc>
                <w:tcPr>
                  <w:tcW w:w="2520" w:type="dxa"/>
                  <w:vAlign w:val="top"/>
                  <w:tcBorders>
                    <w:left w:val="nil"/>
                  </w:tcBorders>
                </w:tcPr>
                <w:p>
                  <w:pPr>
                    <w:pStyle w:val="TableText"/>
                    <w:ind w:left="210"/>
                    <w:spacing w:before="72" w:line="219" w:lineRule="auto"/>
                    <w:rPr>
                      <w:sz w:val="20"/>
                      <w:szCs w:val="20"/>
                    </w:rPr>
                  </w:pPr>
                  <w:r>
                    <w:rPr>
                      <w:sz w:val="20"/>
                      <w:szCs w:val="20"/>
                      <w:spacing w:val="3"/>
                    </w:rPr>
                    <w:t>需购买排污权总量(t/a)</w:t>
                  </w:r>
                </w:p>
              </w:tc>
              <w:tc>
                <w:tcPr>
                  <w:tcW w:w="1380" w:type="dxa"/>
                  <w:vAlign w:val="top"/>
                </w:tcPr>
                <w:p>
                  <w:pPr>
                    <w:pStyle w:val="TableText"/>
                    <w:ind w:left="385"/>
                    <w:spacing w:before="123" w:line="183" w:lineRule="auto"/>
                    <w:rPr>
                      <w:sz w:val="20"/>
                      <w:szCs w:val="20"/>
                    </w:rPr>
                  </w:pPr>
                  <w:r>
                    <w:rPr>
                      <w:sz w:val="20"/>
                      <w:szCs w:val="20"/>
                      <w:spacing w:val="-2"/>
                    </w:rPr>
                    <w:t>0.6975</w:t>
                  </w:r>
                </w:p>
              </w:tc>
              <w:tc>
                <w:tcPr>
                  <w:tcW w:w="1370" w:type="dxa"/>
                  <w:vAlign w:val="top"/>
                </w:tcPr>
                <w:p>
                  <w:pPr>
                    <w:pStyle w:val="TableText"/>
                    <w:ind w:left="375"/>
                    <w:spacing w:before="123" w:line="183" w:lineRule="auto"/>
                    <w:rPr>
                      <w:sz w:val="20"/>
                      <w:szCs w:val="20"/>
                    </w:rPr>
                  </w:pPr>
                  <w:r>
                    <w:rPr>
                      <w:sz w:val="20"/>
                      <w:szCs w:val="20"/>
                      <w:spacing w:val="-2"/>
                    </w:rPr>
                    <w:t>0.0703</w:t>
                  </w:r>
                </w:p>
              </w:tc>
              <w:tc>
                <w:tcPr>
                  <w:tcW w:w="1530" w:type="dxa"/>
                  <w:vAlign w:val="top"/>
                </w:tcPr>
                <w:p>
                  <w:pPr>
                    <w:pStyle w:val="TableText"/>
                    <w:ind w:left="455"/>
                    <w:spacing w:before="123" w:line="183" w:lineRule="auto"/>
                    <w:rPr>
                      <w:sz w:val="20"/>
                      <w:szCs w:val="20"/>
                    </w:rPr>
                  </w:pPr>
                  <w:r>
                    <w:rPr>
                      <w:sz w:val="20"/>
                      <w:szCs w:val="20"/>
                      <w:spacing w:val="-2"/>
                    </w:rPr>
                    <w:t>9.4586</w:t>
                  </w:r>
                </w:p>
              </w:tc>
              <w:tc>
                <w:tcPr>
                  <w:tcW w:w="1360" w:type="dxa"/>
                  <w:vAlign w:val="top"/>
                  <w:tcBorders>
                    <w:right w:val="nil"/>
                  </w:tcBorders>
                </w:tcPr>
                <w:p>
                  <w:pPr>
                    <w:pStyle w:val="TableText"/>
                    <w:ind w:left="374"/>
                    <w:spacing w:before="123" w:line="183" w:lineRule="auto"/>
                    <w:rPr>
                      <w:sz w:val="20"/>
                      <w:szCs w:val="20"/>
                    </w:rPr>
                  </w:pPr>
                  <w:r>
                    <w:rPr>
                      <w:sz w:val="20"/>
                      <w:szCs w:val="20"/>
                      <w:spacing w:val="-2"/>
                    </w:rPr>
                    <w:t>0.5992</w:t>
                  </w:r>
                </w:p>
              </w:tc>
            </w:tr>
          </w:tbl>
          <w:p>
            <w:pPr>
              <w:rPr>
                <w:rFonts w:ascii="Arial"/>
                <w:sz w:val="21"/>
              </w:rPr>
            </w:pPr>
            <w:r/>
          </w:p>
        </w:tc>
      </w:tr>
    </w:tbl>
    <w:p>
      <w:pPr>
        <w:rPr>
          <w:rFonts w:ascii="Arial"/>
          <w:sz w:val="21"/>
        </w:rPr>
      </w:pPr>
      <w:r/>
    </w:p>
    <w:p>
      <w:pPr>
        <w:sectPr>
          <w:footerReference w:type="default" r:id="rId82"/>
          <w:pgSz w:w="11900" w:h="16840"/>
          <w:pgMar w:top="1419" w:right="1420" w:bottom="988" w:left="1599" w:header="0" w:footer="849" w:gutter="0"/>
        </w:sectPr>
        <w:rPr>
          <w:rFonts w:ascii="Arial" w:hAnsi="Arial" w:eastAsia="Arial" w:cs="Arial"/>
          <w:sz w:val="21"/>
          <w:szCs w:val="21"/>
        </w:rPr>
      </w:pPr>
    </w:p>
    <w:p>
      <w:pPr>
        <w:pStyle w:val="BodyText"/>
        <w:ind w:left="2589"/>
        <w:spacing w:before="317" w:line="220" w:lineRule="auto"/>
        <w:outlineLvl w:val="6"/>
        <w:rPr>
          <w:sz w:val="30"/>
          <w:szCs w:val="30"/>
        </w:rPr>
      </w:pPr>
      <w:r>
        <w:rPr>
          <w:sz w:val="30"/>
          <w:szCs w:val="30"/>
          <w:b/>
          <w:bCs/>
          <w:spacing w:val="-6"/>
        </w:rPr>
        <w:t>四、主要环境影响和保护措施</w:t>
      </w:r>
    </w:p>
    <w:p>
      <w:pPr>
        <w:spacing w:before="27"/>
        <w:rPr/>
      </w:pPr>
      <w:r/>
    </w:p>
    <w:tbl>
      <w:tblPr>
        <w:tblStyle w:val="TableNormal"/>
        <w:tblW w:w="89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04"/>
        <w:gridCol w:w="8495"/>
      </w:tblGrid>
      <w:tr>
        <w:trPr>
          <w:trHeight w:val="3682" w:hRule="atLeast"/>
        </w:trPr>
        <w:tc>
          <w:tcPr>
            <w:tcW w:w="504" w:type="dxa"/>
            <w:vAlign w:val="top"/>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pStyle w:val="TableText"/>
              <w:ind w:left="14"/>
              <w:spacing w:before="78" w:line="211" w:lineRule="auto"/>
              <w:jc w:val="both"/>
              <w:rPr>
                <w:sz w:val="24"/>
                <w:szCs w:val="24"/>
              </w:rPr>
            </w:pPr>
            <w:r>
              <w:rPr>
                <w:sz w:val="24"/>
                <w:szCs w:val="24"/>
                <w:spacing w:val="-1"/>
              </w:rPr>
              <w:t>施工</w:t>
            </w:r>
            <w:r>
              <w:rPr>
                <w:sz w:val="24"/>
                <w:szCs w:val="24"/>
              </w:rPr>
              <w:t xml:space="preserve"> </w:t>
            </w:r>
            <w:r>
              <w:rPr>
                <w:sz w:val="24"/>
                <w:szCs w:val="24"/>
                <w:spacing w:val="-1"/>
              </w:rPr>
              <w:t>期环</w:t>
            </w:r>
            <w:r>
              <w:rPr>
                <w:sz w:val="24"/>
                <w:szCs w:val="24"/>
              </w:rPr>
              <w:t xml:space="preserve"> </w:t>
            </w:r>
            <w:r>
              <w:rPr>
                <w:sz w:val="24"/>
                <w:szCs w:val="24"/>
                <w:spacing w:val="-12"/>
              </w:rPr>
              <w:t>境保</w:t>
            </w:r>
            <w:r>
              <w:rPr>
                <w:sz w:val="24"/>
                <w:szCs w:val="24"/>
              </w:rPr>
              <w:t xml:space="preserve"> </w:t>
            </w:r>
            <w:r>
              <w:rPr>
                <w:sz w:val="24"/>
                <w:szCs w:val="24"/>
                <w:spacing w:val="-1"/>
              </w:rPr>
              <w:t>护措</w:t>
            </w:r>
            <w:r>
              <w:rPr>
                <w:sz w:val="24"/>
                <w:szCs w:val="24"/>
              </w:rPr>
              <w:t xml:space="preserve"> </w:t>
            </w:r>
            <w:r>
              <w:rPr>
                <w:sz w:val="24"/>
                <w:szCs w:val="24"/>
                <w:spacing w:val="31"/>
                <w:w w:val="125"/>
              </w:rPr>
              <w:t>施</w:t>
            </w:r>
          </w:p>
        </w:tc>
        <w:tc>
          <w:tcPr>
            <w:tcW w:w="8495" w:type="dxa"/>
            <w:vAlign w:val="top"/>
          </w:tcPr>
          <w:p>
            <w:pPr>
              <w:pStyle w:val="TableText"/>
              <w:ind w:left="621"/>
              <w:spacing w:before="64" w:line="219" w:lineRule="auto"/>
              <w:rPr>
                <w:sz w:val="24"/>
                <w:szCs w:val="24"/>
              </w:rPr>
            </w:pPr>
            <w:r>
              <w:rPr>
                <w:sz w:val="24"/>
                <w:szCs w:val="24"/>
              </w:rPr>
              <w:t>项目凹版厂房于2022年6月开工建设，目前已完成厂房主体结构建设。</w:t>
            </w:r>
          </w:p>
          <w:p>
            <w:pPr>
              <w:pStyle w:val="TableText"/>
              <w:ind w:left="130" w:right="213" w:firstLine="487"/>
              <w:spacing w:before="187" w:line="358" w:lineRule="auto"/>
              <w:rPr>
                <w:sz w:val="24"/>
                <w:szCs w:val="24"/>
              </w:rPr>
            </w:pPr>
            <w:r>
              <w:rPr>
                <w:sz w:val="24"/>
                <w:szCs w:val="24"/>
                <w:spacing w:val="-1"/>
              </w:rPr>
              <w:t>本项目土建工程已完成建设，因此施工期主要环境影响为机台设备安装产</w:t>
            </w:r>
            <w:r>
              <w:rPr>
                <w:sz w:val="24"/>
                <w:szCs w:val="24"/>
                <w:spacing w:val="3"/>
              </w:rPr>
              <w:t xml:space="preserve"> </w:t>
            </w:r>
            <w:r>
              <w:rPr>
                <w:sz w:val="24"/>
                <w:szCs w:val="24"/>
                <w:spacing w:val="-1"/>
              </w:rPr>
              <w:t>生的噪声及废包装材料。由于项目需安装的时间短，产生的噪声为暂时性，随</w:t>
            </w:r>
            <w:r>
              <w:rPr>
                <w:sz w:val="24"/>
                <w:szCs w:val="24"/>
                <w:spacing w:val="1"/>
              </w:rPr>
              <w:t xml:space="preserve"> </w:t>
            </w:r>
            <w:r>
              <w:rPr>
                <w:sz w:val="24"/>
                <w:szCs w:val="24"/>
                <w:spacing w:val="-2"/>
              </w:rPr>
              <w:t>着安装的结束而结束，其对周围环境的影响也随之消失；建设单位在与施工单</w:t>
            </w:r>
            <w:r>
              <w:rPr>
                <w:sz w:val="24"/>
                <w:szCs w:val="24"/>
                <w:spacing w:val="12"/>
              </w:rPr>
              <w:t xml:space="preserve"> </w:t>
            </w:r>
            <w:r>
              <w:rPr>
                <w:sz w:val="24"/>
                <w:szCs w:val="24"/>
                <w:spacing w:val="-1"/>
              </w:rPr>
              <w:t>位签订合同时，应要求其使用的主要机械设备为低噪声机械设备，同时在施工</w:t>
            </w:r>
            <w:r>
              <w:rPr>
                <w:sz w:val="24"/>
                <w:szCs w:val="24"/>
                <w:spacing w:val="1"/>
              </w:rPr>
              <w:t xml:space="preserve"> </w:t>
            </w:r>
            <w:r>
              <w:rPr>
                <w:sz w:val="24"/>
                <w:szCs w:val="24"/>
                <w:spacing w:val="-1"/>
              </w:rPr>
              <w:t>过程中施工单位应设专人对设备进行定期保养和维护；合理安排施工时间，严</w:t>
            </w:r>
          </w:p>
          <w:p>
            <w:pPr>
              <w:pStyle w:val="TableText"/>
              <w:spacing w:line="218" w:lineRule="auto"/>
              <w:jc w:val="right"/>
              <w:rPr>
                <w:sz w:val="24"/>
                <w:szCs w:val="24"/>
              </w:rPr>
            </w:pPr>
            <w:r>
              <w:rPr>
                <w:sz w:val="24"/>
                <w:szCs w:val="24"/>
                <w:spacing w:val="-1"/>
              </w:rPr>
              <w:t>格控制和尽量避免或减少夜间施工。废包装材料集中</w:t>
            </w:r>
            <w:r>
              <w:rPr>
                <w:sz w:val="24"/>
                <w:szCs w:val="24"/>
                <w:spacing w:val="-2"/>
              </w:rPr>
              <w:t>收集后交由回收公司处置。</w:t>
            </w:r>
          </w:p>
        </w:tc>
      </w:tr>
      <w:tr>
        <w:trPr>
          <w:trHeight w:val="8907" w:hRule="atLeast"/>
        </w:trPr>
        <w:tc>
          <w:tcPr>
            <w:tcW w:w="504" w:type="dxa"/>
            <w:vAlign w:val="top"/>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14"/>
              <w:spacing w:before="78" w:line="210" w:lineRule="auto"/>
              <w:jc w:val="both"/>
              <w:rPr>
                <w:sz w:val="24"/>
                <w:szCs w:val="24"/>
              </w:rPr>
            </w:pPr>
            <w:r>
              <w:rPr>
                <w:sz w:val="24"/>
                <w:szCs w:val="24"/>
                <w:spacing w:val="-3"/>
              </w:rPr>
              <w:t>运营</w:t>
            </w:r>
            <w:r>
              <w:rPr>
                <w:sz w:val="24"/>
                <w:szCs w:val="24"/>
              </w:rPr>
              <w:t xml:space="preserve"> </w:t>
            </w:r>
            <w:r>
              <w:rPr>
                <w:sz w:val="24"/>
                <w:szCs w:val="24"/>
                <w:spacing w:val="-5"/>
              </w:rPr>
              <w:t>期环</w:t>
            </w:r>
            <w:r>
              <w:rPr>
                <w:sz w:val="24"/>
                <w:szCs w:val="24"/>
              </w:rPr>
              <w:t xml:space="preserve"> </w:t>
            </w:r>
            <w:r>
              <w:rPr>
                <w:sz w:val="24"/>
                <w:szCs w:val="24"/>
                <w:spacing w:val="-5"/>
              </w:rPr>
              <w:t>境影</w:t>
            </w:r>
            <w:r>
              <w:rPr>
                <w:sz w:val="24"/>
                <w:szCs w:val="24"/>
              </w:rPr>
              <w:t xml:space="preserve"> </w:t>
            </w:r>
            <w:r>
              <w:rPr>
                <w:sz w:val="24"/>
                <w:szCs w:val="24"/>
                <w:spacing w:val="-1"/>
              </w:rPr>
              <w:t>响和</w:t>
            </w:r>
            <w:r>
              <w:rPr>
                <w:sz w:val="24"/>
                <w:szCs w:val="24"/>
              </w:rPr>
              <w:t xml:space="preserve"> </w:t>
            </w:r>
            <w:r>
              <w:rPr>
                <w:sz w:val="24"/>
                <w:szCs w:val="24"/>
                <w:spacing w:val="-2"/>
              </w:rPr>
              <w:t>保护</w:t>
            </w:r>
            <w:r>
              <w:rPr>
                <w:sz w:val="24"/>
                <w:szCs w:val="24"/>
              </w:rPr>
              <w:t xml:space="preserve"> </w:t>
            </w:r>
            <w:r>
              <w:rPr>
                <w:sz w:val="24"/>
                <w:szCs w:val="24"/>
                <w:spacing w:val="-3"/>
              </w:rPr>
              <w:t>措施</w:t>
            </w:r>
          </w:p>
        </w:tc>
        <w:tc>
          <w:tcPr>
            <w:tcW w:w="8495" w:type="dxa"/>
            <w:vAlign w:val="top"/>
          </w:tcPr>
          <w:p>
            <w:pPr>
              <w:pStyle w:val="TableText"/>
              <w:ind w:left="144"/>
              <w:spacing w:before="80" w:line="220" w:lineRule="auto"/>
              <w:rPr>
                <w:sz w:val="24"/>
                <w:szCs w:val="24"/>
              </w:rPr>
            </w:pPr>
            <w:r>
              <w:rPr>
                <w:sz w:val="24"/>
                <w:szCs w:val="24"/>
                <w:b/>
                <w:bCs/>
                <w:spacing w:val="-4"/>
              </w:rPr>
              <w:t>4.2大气环境影响和污染防治措施</w:t>
            </w:r>
          </w:p>
          <w:p>
            <w:pPr>
              <w:pStyle w:val="TableText"/>
              <w:ind w:left="621"/>
              <w:spacing w:before="165" w:line="481" w:lineRule="exact"/>
              <w:rPr>
                <w:sz w:val="24"/>
                <w:szCs w:val="24"/>
              </w:rPr>
            </w:pPr>
            <w:r>
              <w:rPr>
                <w:sz w:val="24"/>
                <w:szCs w:val="24"/>
                <w:position w:val="18"/>
              </w:rPr>
              <w:t>项目废气主要为配料粉尘、阴极涂布烘干NMP废气，锅炉废气，污水站恶</w:t>
            </w:r>
          </w:p>
          <w:p>
            <w:pPr>
              <w:pStyle w:val="TableText"/>
              <w:ind w:left="160"/>
              <w:spacing w:line="219" w:lineRule="auto"/>
              <w:rPr>
                <w:sz w:val="24"/>
                <w:szCs w:val="24"/>
              </w:rPr>
            </w:pPr>
            <w:r>
              <w:rPr>
                <w:sz w:val="24"/>
                <w:szCs w:val="24"/>
              </w:rPr>
              <w:t>臭及食堂油烟废气。</w:t>
            </w:r>
          </w:p>
          <w:p>
            <w:pPr>
              <w:pStyle w:val="TableText"/>
              <w:ind w:left="114"/>
              <w:spacing w:before="191" w:line="219" w:lineRule="auto"/>
              <w:rPr>
                <w:sz w:val="24"/>
                <w:szCs w:val="24"/>
              </w:rPr>
            </w:pPr>
            <w:r>
              <w:rPr>
                <w:sz w:val="24"/>
                <w:szCs w:val="24"/>
                <w:b/>
                <w:bCs/>
                <w:spacing w:val="-4"/>
              </w:rPr>
              <w:t>4.2.1配料粉尘</w:t>
            </w:r>
          </w:p>
          <w:p>
            <w:pPr>
              <w:pStyle w:val="TableText"/>
              <w:ind w:left="730"/>
              <w:spacing w:before="168" w:line="219" w:lineRule="auto"/>
              <w:rPr>
                <w:sz w:val="24"/>
                <w:szCs w:val="24"/>
              </w:rPr>
            </w:pPr>
            <w:r>
              <w:rPr>
                <w:sz w:val="24"/>
                <w:szCs w:val="24"/>
                <w:spacing w:val="1"/>
              </w:rPr>
              <w:t>(1)产生情况</w:t>
            </w:r>
          </w:p>
          <w:p>
            <w:pPr>
              <w:pStyle w:val="TableText"/>
              <w:ind w:left="631"/>
              <w:spacing w:before="194" w:line="471" w:lineRule="exact"/>
              <w:rPr>
                <w:sz w:val="24"/>
                <w:szCs w:val="24"/>
              </w:rPr>
            </w:pPr>
            <w:r>
              <w:rPr>
                <w:sz w:val="24"/>
                <w:szCs w:val="24"/>
                <w:spacing w:val="1"/>
                <w:position w:val="17"/>
              </w:rPr>
              <w:t>项目阴、阳极片生产时采用负压投料，在投料过程中负压</w:t>
            </w:r>
            <w:r>
              <w:rPr>
                <w:sz w:val="24"/>
                <w:szCs w:val="24"/>
                <w:position w:val="17"/>
              </w:rPr>
              <w:t>泵排出的气体中</w:t>
            </w:r>
          </w:p>
          <w:p>
            <w:pPr>
              <w:pStyle w:val="TableText"/>
              <w:ind w:left="160"/>
              <w:spacing w:line="219" w:lineRule="auto"/>
              <w:rPr>
                <w:sz w:val="24"/>
                <w:szCs w:val="24"/>
              </w:rPr>
            </w:pPr>
            <w:r>
              <w:rPr>
                <w:sz w:val="24"/>
                <w:szCs w:val="24"/>
              </w:rPr>
              <w:t>含有少量粉尘物料，将形成粉尘废气。</w:t>
            </w:r>
          </w:p>
          <w:p>
            <w:pPr>
              <w:pStyle w:val="TableText"/>
              <w:ind w:left="631"/>
              <w:spacing w:before="172" w:line="470" w:lineRule="exact"/>
              <w:rPr>
                <w:sz w:val="24"/>
                <w:szCs w:val="24"/>
              </w:rPr>
            </w:pPr>
            <w:r>
              <w:rPr>
                <w:sz w:val="24"/>
                <w:szCs w:val="24"/>
                <w:spacing w:val="4"/>
                <w:position w:val="17"/>
              </w:rPr>
              <w:t>项目阴极片粉料(阴极主材、</w:t>
            </w:r>
            <w:r>
              <w:rPr>
                <w:sz w:val="24"/>
                <w:szCs w:val="24"/>
                <w:position w:val="17"/>
              </w:rPr>
              <w:t>PVDF</w:t>
            </w:r>
            <w:r>
              <w:rPr>
                <w:sz w:val="24"/>
                <w:szCs w:val="24"/>
                <w:spacing w:val="4"/>
                <w:position w:val="17"/>
              </w:rPr>
              <w:t>、炭黑等),阳极片粉料(阳极主材、</w:t>
            </w:r>
          </w:p>
          <w:p>
            <w:pPr>
              <w:pStyle w:val="TableText"/>
              <w:ind w:left="150"/>
              <w:spacing w:line="216" w:lineRule="auto"/>
              <w:rPr>
                <w:sz w:val="24"/>
                <w:szCs w:val="24"/>
              </w:rPr>
            </w:pPr>
            <w:r>
              <w:rPr>
                <w:sz w:val="24"/>
                <w:szCs w:val="24"/>
              </w:rPr>
              <w:t>炭黑、CMC等)、凹版粉料(PVDF、炭黑、CMC、氢氧化钙),各粉料粒径</w:t>
            </w:r>
          </w:p>
          <w:p>
            <w:pPr>
              <w:pStyle w:val="TableText"/>
              <w:ind w:left="150"/>
              <w:spacing w:before="181" w:line="219" w:lineRule="auto"/>
              <w:rPr>
                <w:sz w:val="24"/>
                <w:szCs w:val="24"/>
              </w:rPr>
            </w:pPr>
            <w:r>
              <w:rPr>
                <w:sz w:val="24"/>
                <w:szCs w:val="24"/>
              </w:rPr>
              <w:t>范围一般在10～40μm之间，本项目拆包及投料在负压条件下进行，根据建设</w:t>
            </w:r>
          </w:p>
          <w:p>
            <w:pPr>
              <w:pStyle w:val="TableText"/>
              <w:spacing w:before="179" w:line="478" w:lineRule="exact"/>
              <w:jc w:val="right"/>
              <w:rPr>
                <w:sz w:val="24"/>
                <w:szCs w:val="24"/>
              </w:rPr>
            </w:pPr>
            <w:r>
              <w:rPr>
                <w:sz w:val="24"/>
                <w:szCs w:val="24"/>
                <w:spacing w:val="-2"/>
                <w:position w:val="18"/>
              </w:rPr>
              <w:t>单位提供的技术参数，项目粉料损失量约为0.20kg/t。阴、阳极投料工序每天工</w:t>
            </w:r>
          </w:p>
          <w:p>
            <w:pPr>
              <w:pStyle w:val="TableText"/>
              <w:ind w:left="150"/>
              <w:spacing w:line="219" w:lineRule="auto"/>
              <w:rPr>
                <w:sz w:val="24"/>
                <w:szCs w:val="24"/>
              </w:rPr>
            </w:pPr>
            <w:r>
              <w:rPr>
                <w:sz w:val="24"/>
                <w:szCs w:val="24"/>
              </w:rPr>
              <w:t>作约10h(年工作时间3000h)。由于在</w:t>
            </w:r>
            <w:r>
              <w:rPr>
                <w:sz w:val="24"/>
                <w:szCs w:val="24"/>
                <w:spacing w:val="-1"/>
              </w:rPr>
              <w:t>单独密闭隔间内投料，粉尘收集率按100%</w:t>
            </w:r>
          </w:p>
          <w:p>
            <w:pPr>
              <w:pStyle w:val="TableText"/>
              <w:ind w:left="150"/>
              <w:spacing w:before="172" w:line="216" w:lineRule="auto"/>
              <w:rPr>
                <w:sz w:val="24"/>
                <w:szCs w:val="24"/>
              </w:rPr>
            </w:pPr>
            <w:r>
              <w:rPr>
                <w:sz w:val="24"/>
                <w:szCs w:val="24"/>
                <w:spacing w:val="1"/>
              </w:rPr>
              <w:t>算，项目所用粉料量估算，粉料量约2554</w:t>
            </w:r>
            <w:r>
              <w:rPr>
                <w:sz w:val="24"/>
                <w:szCs w:val="24"/>
              </w:rPr>
              <w:t>7.6t/a,年工作时间按3000h/a计，则</w:t>
            </w:r>
          </w:p>
          <w:p>
            <w:pPr>
              <w:pStyle w:val="TableText"/>
              <w:ind w:left="140"/>
              <w:spacing w:before="194" w:line="214" w:lineRule="auto"/>
              <w:rPr>
                <w:sz w:val="24"/>
                <w:szCs w:val="24"/>
              </w:rPr>
            </w:pPr>
            <w:r>
              <w:rPr>
                <w:sz w:val="24"/>
                <w:szCs w:val="24"/>
                <w:spacing w:val="1"/>
              </w:rPr>
              <w:t>配料粉尘产生量约5.109t/a(1.7</w:t>
            </w:r>
            <w:r>
              <w:rPr>
                <w:sz w:val="24"/>
                <w:szCs w:val="24"/>
              </w:rPr>
              <w:t>03kg/h),其中阴极片生产的配料粉尘产生量约</w:t>
            </w:r>
          </w:p>
          <w:p>
            <w:pPr>
              <w:pStyle w:val="TableText"/>
              <w:spacing w:before="193" w:line="430" w:lineRule="exact"/>
              <w:jc w:val="right"/>
              <w:rPr>
                <w:sz w:val="24"/>
                <w:szCs w:val="24"/>
              </w:rPr>
            </w:pPr>
            <w:r>
              <w:rPr>
                <w:sz w:val="24"/>
                <w:szCs w:val="24"/>
                <w:spacing w:val="-1"/>
                <w:position w:val="14"/>
              </w:rPr>
              <w:t>2.895t/a(0.965kg/h),阳极极片生产的配料粉尘产生量约2.153t/a(0.718kg/h),</w:t>
            </w:r>
          </w:p>
          <w:p>
            <w:pPr>
              <w:pStyle w:val="TableText"/>
              <w:ind w:left="130"/>
              <w:spacing w:line="213" w:lineRule="auto"/>
              <w:rPr>
                <w:sz w:val="24"/>
                <w:szCs w:val="24"/>
              </w:rPr>
            </w:pPr>
            <w:r>
              <w:rPr>
                <w:sz w:val="24"/>
                <w:szCs w:val="24"/>
              </w:rPr>
              <w:t>凹版生产的配料粉尘产生量约0.061t/a(0.020kg/h)</w:t>
            </w:r>
          </w:p>
          <w:p>
            <w:pPr>
              <w:pStyle w:val="TableText"/>
              <w:ind w:left="750"/>
              <w:spacing w:before="241" w:line="220" w:lineRule="auto"/>
              <w:rPr>
                <w:sz w:val="24"/>
                <w:szCs w:val="24"/>
              </w:rPr>
            </w:pPr>
            <w:r>
              <w:rPr>
                <w:sz w:val="24"/>
                <w:szCs w:val="24"/>
                <w:spacing w:val="1"/>
              </w:rPr>
              <w:t>(2)治理措施及效果</w:t>
            </w:r>
          </w:p>
          <w:p>
            <w:pPr>
              <w:pStyle w:val="TableText"/>
              <w:ind w:left="641"/>
              <w:spacing w:before="162" w:line="470" w:lineRule="exact"/>
              <w:rPr>
                <w:sz w:val="24"/>
                <w:szCs w:val="24"/>
              </w:rPr>
            </w:pPr>
            <w:r>
              <w:rPr>
                <w:sz w:val="24"/>
                <w:szCs w:val="24"/>
                <w:position w:val="17"/>
              </w:rPr>
              <w:t>电池生产粉尘废气净化设备一般有干法和湿法两种。湿法一般采用自激式</w:t>
            </w:r>
          </w:p>
          <w:p>
            <w:pPr>
              <w:pStyle w:val="TableText"/>
              <w:ind w:left="150"/>
              <w:spacing w:before="1" w:line="218" w:lineRule="auto"/>
              <w:rPr>
                <w:sz w:val="24"/>
                <w:szCs w:val="24"/>
              </w:rPr>
            </w:pPr>
            <w:r>
              <w:rPr>
                <w:sz w:val="24"/>
                <w:szCs w:val="24"/>
              </w:rPr>
              <w:t>水幕除尘器；干法一般采用滤筒式除尘器、袋式除尘器、静电除尘器等。</w:t>
            </w:r>
          </w:p>
        </w:tc>
      </w:tr>
    </w:tbl>
    <w:p>
      <w:pPr>
        <w:rPr>
          <w:rFonts w:ascii="Arial"/>
          <w:sz w:val="21"/>
        </w:rPr>
      </w:pPr>
      <w:r/>
    </w:p>
    <w:p>
      <w:pPr>
        <w:sectPr>
          <w:footerReference w:type="default" r:id="rId83"/>
          <w:pgSz w:w="11900" w:h="16840"/>
          <w:pgMar w:top="1431" w:right="1365" w:bottom="987" w:left="1524" w:header="0" w:footer="849" w:gutter="0"/>
        </w:sectPr>
        <w:rPr>
          <w:rFonts w:ascii="Arial" w:hAnsi="Arial" w:eastAsia="Arial" w:cs="Arial"/>
          <w:sz w:val="21"/>
          <w:szCs w:val="21"/>
        </w:rPr>
      </w:pPr>
    </w:p>
    <w:tbl>
      <w:tblPr>
        <w:tblStyle w:val="TableNormal"/>
        <w:tblW w:w="89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4"/>
        <w:gridCol w:w="8475"/>
      </w:tblGrid>
      <w:tr>
        <w:trPr>
          <w:trHeight w:val="3242" w:hRule="atLeast"/>
        </w:trPr>
        <w:tc>
          <w:tcPr>
            <w:tcW w:w="514" w:type="dxa"/>
            <w:vAlign w:val="top"/>
            <w:vMerge w:val="restart"/>
            <w:tcBorders>
              <w:bottom w:val="nil"/>
            </w:tcBorders>
          </w:tcPr>
          <w:p>
            <w:pPr>
              <w:rPr>
                <w:rFonts w:ascii="Arial"/>
                <w:sz w:val="21"/>
              </w:rPr>
            </w:pPr>
            <w:r/>
          </w:p>
        </w:tc>
        <w:tc>
          <w:tcPr>
            <w:tcW w:w="8475" w:type="dxa"/>
            <w:vAlign w:val="top"/>
            <w:tcBorders>
              <w:bottom w:val="nil"/>
            </w:tcBorders>
          </w:tcPr>
          <w:p>
            <w:pPr>
              <w:pStyle w:val="TableText"/>
              <w:ind w:left="591"/>
              <w:spacing w:before="43" w:line="219" w:lineRule="auto"/>
              <w:rPr>
                <w:sz w:val="24"/>
                <w:szCs w:val="24"/>
              </w:rPr>
            </w:pPr>
            <w:r>
              <w:rPr>
                <w:sz w:val="24"/>
                <w:szCs w:val="24"/>
              </w:rPr>
              <w:t>本项目粉尘主要来源于真空混合搅拌过程，其制浆车间采用全封闭生产，</w:t>
            </w:r>
          </w:p>
          <w:p>
            <w:pPr>
              <w:pStyle w:val="TableText"/>
              <w:ind w:left="120" w:right="51" w:firstLine="9"/>
              <w:spacing w:before="184" w:line="358" w:lineRule="auto"/>
              <w:rPr>
                <w:sz w:val="24"/>
                <w:szCs w:val="24"/>
              </w:rPr>
            </w:pPr>
            <w:r>
              <w:rPr>
                <w:sz w:val="24"/>
                <w:szCs w:val="24"/>
              </w:rPr>
              <w:t>捕集率为100%。项目粉料系统自配有高效过滤器，且在</w:t>
            </w:r>
            <w:r>
              <w:rPr>
                <w:sz w:val="24"/>
                <w:szCs w:val="24"/>
                <w:spacing w:val="-1"/>
              </w:rPr>
              <w:t>投料口配有固定式单体</w:t>
            </w:r>
            <w:r>
              <w:rPr>
                <w:sz w:val="24"/>
                <w:szCs w:val="24"/>
              </w:rPr>
              <w:t xml:space="preserve">  </w:t>
            </w:r>
            <w:r>
              <w:rPr>
                <w:sz w:val="24"/>
                <w:szCs w:val="24"/>
                <w:spacing w:val="1"/>
              </w:rPr>
              <w:t>除尘器处理后尾气回至车间。项目配料区域为洁</w:t>
            </w:r>
            <w:r>
              <w:rPr>
                <w:sz w:val="24"/>
                <w:szCs w:val="24"/>
              </w:rPr>
              <w:t>净车间，车间内除湿机组自带  </w:t>
            </w:r>
            <w:r>
              <w:rPr>
                <w:sz w:val="24"/>
                <w:szCs w:val="24"/>
                <w:spacing w:val="1"/>
              </w:rPr>
              <w:t>除尘设施，排放于车间的尾尘经车间空气循</w:t>
            </w:r>
            <w:r>
              <w:rPr>
                <w:sz w:val="24"/>
                <w:szCs w:val="24"/>
              </w:rPr>
              <w:t>环系统进入车间除湿器，经多次循  </w:t>
            </w:r>
            <w:r>
              <w:rPr>
                <w:sz w:val="24"/>
                <w:szCs w:val="24"/>
              </w:rPr>
              <w:t>环后，经换气时排至厂房外的粉尘量几乎可忽略不计。单体除尘器+除湿机自带</w:t>
            </w:r>
          </w:p>
          <w:p>
            <w:pPr>
              <w:pStyle w:val="TableText"/>
              <w:ind w:left="120"/>
              <w:spacing w:line="218" w:lineRule="auto"/>
              <w:rPr>
                <w:sz w:val="24"/>
                <w:szCs w:val="24"/>
              </w:rPr>
            </w:pPr>
            <w:r>
              <w:rPr>
                <w:sz w:val="24"/>
                <w:szCs w:val="24"/>
              </w:rPr>
              <w:t>布袋除尘的综合处理效率可达到99%以上，除尘器收集到的粉尘作为一般固废</w:t>
            </w:r>
          </w:p>
          <w:p>
            <w:pPr>
              <w:pStyle w:val="TableText"/>
              <w:ind w:left="130"/>
              <w:spacing w:before="205" w:line="219" w:lineRule="auto"/>
              <w:rPr>
                <w:sz w:val="24"/>
                <w:szCs w:val="24"/>
              </w:rPr>
            </w:pPr>
            <w:r>
              <w:rPr>
                <w:sz w:val="24"/>
                <w:szCs w:val="24"/>
                <w:spacing w:val="-1"/>
              </w:rPr>
              <w:t>处置。其处理系统的流程简图如下：</w:t>
            </w:r>
          </w:p>
        </w:tc>
      </w:tr>
      <w:tr>
        <w:trPr>
          <w:trHeight w:val="1812" w:hRule="atLeast"/>
        </w:trPr>
        <w:tc>
          <w:tcPr>
            <w:tcW w:w="514" w:type="dxa"/>
            <w:vAlign w:val="top"/>
            <w:vMerge w:val="continue"/>
            <w:tcBorders>
              <w:top w:val="nil"/>
              <w:bottom w:val="nil"/>
            </w:tcBorders>
          </w:tcPr>
          <w:p>
            <w:pPr>
              <w:rPr>
                <w:rFonts w:ascii="Arial"/>
                <w:sz w:val="21"/>
              </w:rPr>
            </w:pPr>
            <w:r/>
          </w:p>
        </w:tc>
        <w:tc>
          <w:tcPr>
            <w:tcW w:w="8475" w:type="dxa"/>
            <w:vAlign w:val="top"/>
            <w:tcBorders>
              <w:bottom w:val="nil"/>
              <w:top w:val="nil"/>
            </w:tcBorders>
          </w:tcPr>
          <w:p>
            <w:pPr>
              <w:pStyle w:val="TableText"/>
              <w:ind w:firstLine="601"/>
              <w:spacing w:before="142" w:line="1520" w:lineRule="exact"/>
              <w:rPr/>
            </w:pPr>
            <w:r>
              <w:pict>
                <v:shape id="_x0000_s20" style="position:absolute;margin-left:-213.2pt;margin-top:61.2363pt;mso-position-vertical-relative:top-margin-area;mso-position-horizontal-relative:right-margin-area;width:25.25pt;height:13.9pt;z-index:251767808;" filled="false" stroked="false" type="#_x0000_t202">
                  <v:fill on="false"/>
                  <v:stroke on="false"/>
                  <v:path/>
                  <v:imagedata o:title=""/>
                  <o:lock v:ext="edit" aspectratio="false"/>
                  <v:textbox inset="0mm,0mm,0mm,0mm">
                    <w:txbxContent>
                      <w:p>
                        <w:pPr>
                          <w:pStyle w:val="TableText"/>
                          <w:ind w:left="20"/>
                          <w:spacing w:before="20" w:line="183" w:lineRule="auto"/>
                          <w:rPr>
                            <w:sz w:val="24"/>
                            <w:szCs w:val="24"/>
                          </w:rPr>
                        </w:pPr>
                        <w:r>
                          <w:rPr>
                            <w:sz w:val="24"/>
                            <w:szCs w:val="24"/>
                            <w:spacing w:val="-4"/>
                          </w:rPr>
                          <w:t>.99%</w:t>
                        </w:r>
                      </w:p>
                    </w:txbxContent>
                  </v:textbox>
                </v:shape>
              </w:pict>
            </w:r>
            <w:r>
              <w:pict>
                <v:shape id="_x0000_s22" style="position:absolute;margin-left:-148.702pt;margin-top:67.6262pt;mso-position-vertical-relative:top-margin-area;mso-position-horizontal-relative:right-margin-area;width:62.65pt;height:16.3pt;z-index:251766784;" filled="false" stroked="false" type="#_x0000_t202">
                  <v:fill on="false"/>
                  <v:stroke on="false"/>
                  <v:path/>
                  <v:imagedata o:title=""/>
                  <o:lock v:ext="edit" aspectratio="false"/>
                  <v:textbox inset="0mm,0mm,0mm,0mm">
                    <w:txbxContent>
                      <w:p>
                        <w:pPr>
                          <w:pStyle w:val="TableText"/>
                          <w:ind w:left="20"/>
                          <w:spacing w:before="20" w:line="219" w:lineRule="auto"/>
                          <w:rPr>
                            <w:sz w:val="24"/>
                            <w:szCs w:val="24"/>
                          </w:rPr>
                        </w:pPr>
                        <w:r>
                          <w:rPr>
                            <w:sz w:val="24"/>
                            <w:szCs w:val="24"/>
                            <w:spacing w:val="2"/>
                          </w:rPr>
                          <w:t>收集为固废</w:t>
                        </w:r>
                      </w:p>
                    </w:txbxContent>
                  </v:textbox>
                </v:shape>
              </w:pict>
            </w:r>
            <w:r>
              <w:rPr>
                <w:position w:val="-30"/>
              </w:rPr>
              <w:pict>
                <v:group id="_x0000_s24" style="mso-position-vertical-relative:line;mso-position-horizontal-relative:char;width:361.5pt;height:76pt;" filled="false" stroked="false" coordsize="7230,1520" coordorigin="0,0">
                  <v:shape id="_x0000_s26" style="position:absolute;left:0;top:0;width:7230;height:1520;" filled="false" stroked="false" type="#_x0000_t75">
                    <v:imagedata o:title="" r:id="rId85"/>
                  </v:shape>
                  <v:shape id="_x0000_s28" style="position:absolute;left:1070;top:298;width:4490;height:311;" filled="false" stroked="false" type="#_x0000_t202">
                    <v:fill on="false"/>
                    <v:stroke on="false"/>
                    <v:path/>
                    <v:imagedata o:title=""/>
                    <o:lock v:ext="edit" aspectratio="false"/>
                    <v:textbox inset="0mm,0mm,0mm,0mm">
                      <w:txbxContent>
                        <w:p>
                          <w:pPr>
                            <w:ind w:left="20"/>
                            <w:spacing w:before="19" w:line="228" w:lineRule="auto"/>
                            <w:rPr>
                              <w:rFonts w:ascii="SimSun" w:hAnsi="SimSun" w:eastAsia="SimSun" w:cs="SimSun"/>
                              <w:sz w:val="24"/>
                              <w:szCs w:val="24"/>
                            </w:rPr>
                          </w:pPr>
                          <w:r>
                            <w:rPr>
                              <w:rFonts w:ascii="SimSun" w:hAnsi="SimSun" w:eastAsia="SimSun" w:cs="SimSun"/>
                              <w:sz w:val="24"/>
                              <w:szCs w:val="24"/>
                              <w:spacing w:val="1"/>
                              <w:position w:val="-2"/>
                            </w:rPr>
                            <w:t>滤筒除尘</w:t>
                          </w:r>
                          <w:r>
                            <w:rPr>
                              <w:rFonts w:ascii="SimSun" w:hAnsi="SimSun" w:eastAsia="SimSun" w:cs="SimSun"/>
                              <w:sz w:val="24"/>
                              <w:szCs w:val="24"/>
                              <w:spacing w:val="11"/>
                              <w:position w:val="-2"/>
                            </w:rPr>
                            <w:t xml:space="preserve">          </w:t>
                          </w:r>
                          <w:r>
                            <w:rPr>
                              <w:rFonts w:ascii="SimSun" w:hAnsi="SimSun" w:eastAsia="SimSun" w:cs="SimSun"/>
                              <w:sz w:val="24"/>
                              <w:szCs w:val="24"/>
                              <w:spacing w:val="1"/>
                            </w:rPr>
                            <w:t>车间除湿机自带除尘</w:t>
                          </w:r>
                        </w:p>
                      </w:txbxContent>
                    </v:textbox>
                  </v:shape>
                  <v:shape id="_x0000_s30" style="position:absolute;left:6009;top:160;width:1144;height:329;" filled="false" stroked="false" type="#_x0000_t202">
                    <v:fill on="false"/>
                    <v:stroke on="false"/>
                    <v:path/>
                    <v:imagedata o:title=""/>
                    <o:lock v:ext="edit" aspectratio="false"/>
                    <v:textbox inset="0mm,0mm,0mm,0mm">
                      <w:txbxContent>
                        <w:p>
                          <w:pPr>
                            <w:ind w:left="20"/>
                            <w:spacing w:before="20" w:line="203" w:lineRule="auto"/>
                            <w:rPr>
                              <w:rFonts w:ascii="SimSun" w:hAnsi="SimSun" w:eastAsia="SimSun" w:cs="SimSun"/>
                              <w:sz w:val="24"/>
                              <w:szCs w:val="24"/>
                            </w:rPr>
                          </w:pPr>
                          <w:r>
                            <w:rPr>
                              <w:rFonts w:ascii="SimSun" w:hAnsi="SimSun" w:eastAsia="SimSun" w:cs="SimSun"/>
                              <w:sz w:val="24"/>
                              <w:szCs w:val="24"/>
                              <w:spacing w:val="-1"/>
                              <w:position w:val="4"/>
                            </w:rPr>
                            <w:t>1%+</w:t>
                          </w:r>
                          <w:r>
                            <w:rPr>
                              <w:rFonts w:ascii="SimSun" w:hAnsi="SimSun" w:eastAsia="SimSun" w:cs="SimSun"/>
                              <w:sz w:val="24"/>
                              <w:szCs w:val="24"/>
                              <w:spacing w:val="13"/>
                              <w:position w:val="4"/>
                            </w:rPr>
                            <w:t xml:space="preserve">  </w:t>
                          </w:r>
                          <w:r>
                            <w:rPr>
                              <w:rFonts w:ascii="SimSun" w:hAnsi="SimSun" w:eastAsia="SimSun" w:cs="SimSun"/>
                              <w:sz w:val="24"/>
                              <w:szCs w:val="24"/>
                              <w:spacing w:val="-1"/>
                              <w:position w:val="-3"/>
                            </w:rPr>
                            <w:t>车间</w:t>
                          </w:r>
                        </w:p>
                      </w:txbxContent>
                    </v:textbox>
                  </v:shape>
                  <v:shape id="_x0000_s32" style="position:absolute;left:119;top:89;width:512;height:28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3"/>
                            </w:rPr>
                            <w:t>粉尘</w:t>
                          </w:r>
                        </w:p>
                      </w:txbxContent>
                    </v:textbox>
                  </v:shape>
                </v:group>
              </w:pict>
            </w:r>
          </w:p>
        </w:tc>
      </w:tr>
      <w:tr>
        <w:trPr>
          <w:trHeight w:val="8525" w:hRule="atLeast"/>
        </w:trPr>
        <w:tc>
          <w:tcPr>
            <w:tcW w:w="514" w:type="dxa"/>
            <w:vAlign w:val="top"/>
            <w:vMerge w:val="continue"/>
            <w:tcBorders>
              <w:top w:val="nil"/>
            </w:tcBorders>
          </w:tcPr>
          <w:p>
            <w:pPr>
              <w:rPr>
                <w:rFonts w:ascii="Arial"/>
                <w:sz w:val="21"/>
              </w:rPr>
            </w:pPr>
            <w:r/>
          </w:p>
        </w:tc>
        <w:tc>
          <w:tcPr>
            <w:tcW w:w="8475" w:type="dxa"/>
            <w:vAlign w:val="top"/>
            <w:tcBorders>
              <w:top w:val="nil"/>
            </w:tcBorders>
          </w:tcPr>
          <w:p>
            <w:pPr>
              <w:pStyle w:val="TableText"/>
              <w:ind w:left="2924"/>
              <w:spacing w:before="157" w:line="219" w:lineRule="auto"/>
              <w:rPr>
                <w:sz w:val="24"/>
                <w:szCs w:val="24"/>
              </w:rPr>
            </w:pPr>
            <w:r>
              <w:rPr>
                <w:sz w:val="24"/>
                <w:szCs w:val="24"/>
                <w:b/>
                <w:bCs/>
                <w:spacing w:val="-2"/>
              </w:rPr>
              <w:t>图4.2-1</w:t>
            </w:r>
            <w:r>
              <w:rPr>
                <w:sz w:val="24"/>
                <w:szCs w:val="24"/>
                <w:spacing w:val="-2"/>
              </w:rPr>
              <w:t xml:space="preserve">  </w:t>
            </w:r>
            <w:r>
              <w:rPr>
                <w:sz w:val="24"/>
                <w:szCs w:val="24"/>
                <w:b/>
                <w:bCs/>
                <w:spacing w:val="-2"/>
              </w:rPr>
              <w:t>粉尘净化工艺流程图</w:t>
            </w:r>
          </w:p>
          <w:p>
            <w:pPr>
              <w:pStyle w:val="TableText"/>
              <w:ind w:left="551"/>
              <w:spacing w:before="148" w:line="219" w:lineRule="auto"/>
              <w:rPr>
                <w:sz w:val="24"/>
                <w:szCs w:val="24"/>
              </w:rPr>
            </w:pPr>
            <w:r>
              <w:rPr>
                <w:sz w:val="24"/>
                <w:szCs w:val="24"/>
                <w:spacing w:val="2"/>
              </w:rPr>
              <w:t>a、除尘器</w:t>
            </w:r>
          </w:p>
          <w:p>
            <w:pPr>
              <w:pStyle w:val="TableText"/>
              <w:ind w:left="130" w:right="160" w:firstLine="480"/>
              <w:spacing w:before="204" w:line="362" w:lineRule="auto"/>
              <w:rPr>
                <w:sz w:val="24"/>
                <w:szCs w:val="24"/>
              </w:rPr>
            </w:pPr>
            <w:r>
              <w:rPr>
                <w:sz w:val="24"/>
                <w:szCs w:val="24"/>
              </w:rPr>
              <w:t>除尘器以滤筒作为过滤元件所组成或采用脉冲喷吹的除尘器，主要由进风</w:t>
            </w:r>
            <w:r>
              <w:rPr>
                <w:sz w:val="24"/>
                <w:szCs w:val="24"/>
                <w:spacing w:val="10"/>
              </w:rPr>
              <w:t xml:space="preserve"> </w:t>
            </w:r>
            <w:r>
              <w:rPr>
                <w:sz w:val="24"/>
                <w:szCs w:val="24"/>
              </w:rPr>
              <w:t>管、排风管、箱体、灰斗、清灰装置、导流装置、气流分流分布板、滤筒及电</w:t>
            </w:r>
          </w:p>
          <w:p>
            <w:pPr>
              <w:pStyle w:val="TableText"/>
              <w:ind w:left="110"/>
              <w:spacing w:line="220" w:lineRule="auto"/>
              <w:rPr>
                <w:sz w:val="24"/>
                <w:szCs w:val="24"/>
              </w:rPr>
            </w:pPr>
            <w:r>
              <w:rPr>
                <w:sz w:val="24"/>
                <w:szCs w:val="24"/>
              </w:rPr>
              <w:t>控装置组成。</w:t>
            </w:r>
          </w:p>
          <w:p>
            <w:pPr>
              <w:pStyle w:val="TableText"/>
              <w:ind w:left="120" w:right="141" w:firstLine="510"/>
              <w:spacing w:before="181" w:line="358" w:lineRule="auto"/>
              <w:rPr>
                <w:sz w:val="24"/>
                <w:szCs w:val="24"/>
              </w:rPr>
            </w:pPr>
            <w:r>
              <w:rPr>
                <w:sz w:val="24"/>
                <w:szCs w:val="24"/>
              </w:rPr>
              <w:t>含尘废气从位于除尘器上部的进风口下行进入箱体，箱体内的导流板迫使</w:t>
            </w:r>
            <w:r>
              <w:rPr>
                <w:sz w:val="24"/>
                <w:szCs w:val="24"/>
                <w:spacing w:val="11"/>
              </w:rPr>
              <w:t xml:space="preserve"> </w:t>
            </w:r>
            <w:r>
              <w:rPr>
                <w:sz w:val="24"/>
                <w:szCs w:val="24"/>
                <w:spacing w:val="1"/>
              </w:rPr>
              <w:t>气流向下穿过滤筒，由于气流断面突然扩大，气流</w:t>
            </w:r>
            <w:r>
              <w:rPr>
                <w:sz w:val="24"/>
                <w:szCs w:val="24"/>
              </w:rPr>
              <w:t>中一部分颗粒粗大的尘粒在 </w:t>
            </w:r>
            <w:r>
              <w:rPr>
                <w:sz w:val="24"/>
                <w:szCs w:val="24"/>
              </w:rPr>
              <w:t>重力和惯性力作用下沉降下来，粒度细、密度小的尘粒进入过滤室后，通过布</w:t>
            </w:r>
            <w:r>
              <w:rPr>
                <w:sz w:val="24"/>
                <w:szCs w:val="24"/>
                <w:spacing w:val="11"/>
              </w:rPr>
              <w:t xml:space="preserve"> </w:t>
            </w:r>
            <w:r>
              <w:rPr>
                <w:sz w:val="24"/>
                <w:szCs w:val="24"/>
                <w:spacing w:val="1"/>
              </w:rPr>
              <w:t>朗扩散和筛滤等综合效应使粉尘沉积在滤料</w:t>
            </w:r>
            <w:r>
              <w:rPr>
                <w:sz w:val="24"/>
                <w:szCs w:val="24"/>
              </w:rPr>
              <w:t>表面，净化后的空气透过滤料进入</w:t>
            </w:r>
          </w:p>
          <w:p>
            <w:pPr>
              <w:pStyle w:val="TableText"/>
              <w:ind w:left="130"/>
              <w:spacing w:line="219" w:lineRule="auto"/>
              <w:rPr>
                <w:sz w:val="24"/>
                <w:szCs w:val="24"/>
              </w:rPr>
            </w:pPr>
            <w:r>
              <w:rPr>
                <w:sz w:val="24"/>
                <w:szCs w:val="24"/>
              </w:rPr>
              <w:t>清洁室从排风口排出，排风口前设置有高效过滤器，具有二次除尘作</w:t>
            </w:r>
            <w:r>
              <w:rPr>
                <w:sz w:val="24"/>
                <w:szCs w:val="24"/>
                <w:spacing w:val="-1"/>
              </w:rPr>
              <w:t>用。</w:t>
            </w:r>
          </w:p>
          <w:p>
            <w:pPr>
              <w:pStyle w:val="TableText"/>
              <w:ind w:left="581"/>
              <w:spacing w:before="184" w:line="219" w:lineRule="auto"/>
              <w:rPr>
                <w:sz w:val="24"/>
                <w:szCs w:val="24"/>
              </w:rPr>
            </w:pPr>
            <w:r>
              <w:rPr>
                <w:sz w:val="24"/>
                <w:szCs w:val="24"/>
                <w:spacing w:val="-1"/>
              </w:rPr>
              <w:t>b、除湿机组</w:t>
            </w:r>
          </w:p>
          <w:p>
            <w:pPr>
              <w:pStyle w:val="TableText"/>
              <w:ind w:left="130" w:firstLine="476"/>
              <w:spacing w:before="186" w:line="358" w:lineRule="auto"/>
              <w:rPr>
                <w:sz w:val="24"/>
                <w:szCs w:val="24"/>
              </w:rPr>
            </w:pPr>
            <w:r>
              <w:rPr>
                <w:sz w:val="24"/>
                <w:szCs w:val="24"/>
                <w:spacing w:val="-2"/>
              </w:rPr>
              <w:t>本项目车间配套建设除湿机组，除湿机组核心部件是一个蜂窝状吸附转盘，</w:t>
            </w:r>
            <w:r>
              <w:rPr>
                <w:sz w:val="24"/>
                <w:szCs w:val="24"/>
                <w:spacing w:val="2"/>
              </w:rPr>
              <w:t xml:space="preserve"> </w:t>
            </w:r>
            <w:r>
              <w:rPr>
                <w:sz w:val="24"/>
                <w:szCs w:val="24"/>
                <w:spacing w:val="-2"/>
              </w:rPr>
              <w:t>转盘由特殊陶瓷纤维载体和活性硅胶复合而成；转盘两侧由特制的密封装置分</w:t>
            </w:r>
          </w:p>
          <w:p>
            <w:pPr>
              <w:pStyle w:val="TableText"/>
              <w:ind w:left="130"/>
              <w:spacing w:line="219" w:lineRule="auto"/>
              <w:rPr>
                <w:sz w:val="24"/>
                <w:szCs w:val="24"/>
              </w:rPr>
            </w:pPr>
            <w:r>
              <w:rPr>
                <w:sz w:val="24"/>
                <w:szCs w:val="24"/>
                <w:spacing w:val="-1"/>
              </w:rPr>
              <w:t>成两个区域：处理区域及再生区域；除湿转</w:t>
            </w:r>
            <w:r>
              <w:rPr>
                <w:sz w:val="24"/>
                <w:szCs w:val="24"/>
                <w:spacing w:val="-2"/>
              </w:rPr>
              <w:t>轮以8~10转/小时的速度缓慢旋转</w:t>
            </w:r>
          </w:p>
          <w:p>
            <w:pPr>
              <w:pStyle w:val="TableText"/>
              <w:ind w:left="160"/>
              <w:spacing w:before="205" w:line="219" w:lineRule="auto"/>
              <w:rPr>
                <w:sz w:val="24"/>
                <w:szCs w:val="24"/>
              </w:rPr>
            </w:pPr>
            <w:r>
              <w:rPr>
                <w:sz w:val="24"/>
                <w:szCs w:val="24"/>
              </w:rPr>
              <w:t>以保证整个除湿为一个连续过程。</w:t>
            </w:r>
          </w:p>
          <w:p>
            <w:pPr>
              <w:pStyle w:val="TableText"/>
              <w:ind w:left="130" w:right="524" w:firstLine="480"/>
              <w:spacing w:before="160" w:line="362" w:lineRule="auto"/>
              <w:rPr>
                <w:sz w:val="24"/>
                <w:szCs w:val="24"/>
              </w:rPr>
            </w:pPr>
            <w:r>
              <w:rPr>
                <w:sz w:val="24"/>
                <w:szCs w:val="24"/>
              </w:rPr>
              <w:t>车间内需要处理的潮湿、含尘空气先经初效过滤(一次除尘),再经表冷</w:t>
            </w:r>
            <w:r>
              <w:rPr>
                <w:sz w:val="24"/>
                <w:szCs w:val="24"/>
                <w:spacing w:val="8"/>
              </w:rPr>
              <w:t xml:space="preserve"> </w:t>
            </w:r>
            <w:r>
              <w:rPr>
                <w:sz w:val="24"/>
                <w:szCs w:val="24"/>
              </w:rPr>
              <w:t>器冷却处理(降湿作用)和一部分回风(经过处理的</w:t>
            </w:r>
            <w:r>
              <w:rPr>
                <w:sz w:val="24"/>
                <w:szCs w:val="24"/>
                <w:spacing w:val="-1"/>
              </w:rPr>
              <w:t>循环风)混合，混合后经</w:t>
            </w:r>
          </w:p>
          <w:p>
            <w:pPr>
              <w:pStyle w:val="TableText"/>
              <w:ind w:left="130"/>
              <w:spacing w:before="1" w:line="216" w:lineRule="auto"/>
              <w:rPr>
                <w:sz w:val="24"/>
                <w:szCs w:val="24"/>
              </w:rPr>
            </w:pPr>
            <w:r>
              <w:rPr>
                <w:sz w:val="24"/>
                <w:szCs w:val="24"/>
              </w:rPr>
              <w:t>过初、中效过滤(二次除尘),过滤后的气体通过轮转的处理区域进行深度除</w:t>
            </w:r>
          </w:p>
        </w:tc>
      </w:tr>
    </w:tbl>
    <w:p>
      <w:pPr>
        <w:rPr>
          <w:rFonts w:ascii="Arial"/>
          <w:sz w:val="21"/>
        </w:rPr>
      </w:pPr>
      <w:r/>
    </w:p>
    <w:p>
      <w:pPr>
        <w:sectPr>
          <w:footerReference w:type="default" r:id="rId84"/>
          <w:pgSz w:w="11900" w:h="16840"/>
          <w:pgMar w:top="1425" w:right="1375" w:bottom="988" w:left="1524" w:header="0" w:footer="849" w:gutter="0"/>
        </w:sectPr>
        <w:rPr>
          <w:rFonts w:ascii="Arial" w:hAnsi="Arial" w:eastAsia="Arial" w:cs="Arial"/>
          <w:sz w:val="21"/>
          <w:szCs w:val="21"/>
        </w:rPr>
      </w:pPr>
    </w:p>
    <w:p>
      <w:pPr>
        <w:spacing w:line="37" w:lineRule="auto"/>
        <w:rPr>
          <w:rFonts w:ascii="Arial"/>
          <w:sz w:val="2"/>
        </w:rPr>
      </w:pPr>
      <w:r>
        <w:rPr>
          <w:rFonts w:ascii="Arial"/>
          <w:sz w:val="2"/>
        </w:rPr>
      </w:r>
    </w:p>
    <w:tbl>
      <w:tblPr>
        <w:tblStyle w:val="TableNormal"/>
        <w:tblW w:w="89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25"/>
        <w:gridCol w:w="1458"/>
        <w:gridCol w:w="829"/>
        <w:gridCol w:w="829"/>
        <w:gridCol w:w="1049"/>
        <w:gridCol w:w="829"/>
        <w:gridCol w:w="769"/>
        <w:gridCol w:w="719"/>
        <w:gridCol w:w="769"/>
        <w:gridCol w:w="629"/>
        <w:gridCol w:w="584"/>
      </w:tblGrid>
      <w:tr>
        <w:trPr>
          <w:trHeight w:val="5121" w:hRule="atLeast"/>
        </w:trPr>
        <w:tc>
          <w:tcPr>
            <w:tcW w:w="525" w:type="dxa"/>
            <w:vAlign w:val="top"/>
            <w:vMerge w:val="restart"/>
            <w:tcBorders>
              <w:bottom w:val="nil"/>
            </w:tcBorders>
          </w:tcPr>
          <w:p>
            <w:pPr>
              <w:rPr>
                <w:rFonts w:ascii="Arial"/>
                <w:sz w:val="21"/>
              </w:rPr>
            </w:pPr>
            <w:r/>
          </w:p>
        </w:tc>
        <w:tc>
          <w:tcPr>
            <w:tcW w:w="8464" w:type="dxa"/>
            <w:vAlign w:val="top"/>
            <w:gridSpan w:val="10"/>
          </w:tcPr>
          <w:p>
            <w:pPr>
              <w:pStyle w:val="TableText"/>
              <w:ind w:left="109" w:right="507"/>
              <w:spacing w:before="54" w:line="377" w:lineRule="auto"/>
              <w:rPr/>
            </w:pPr>
            <w:r>
              <w:rPr/>
              <w:t>湿。深度除湿后的干燥空气被处理风机再送至需要的车间；同时不断缓慢转动</w:t>
            </w:r>
            <w:r>
              <w:rPr>
                <w:spacing w:val="15"/>
              </w:rPr>
              <w:t xml:space="preserve"> </w:t>
            </w:r>
            <w:r>
              <w:rPr/>
              <w:t>的转轮载着趋于饱和的水蒸气进入再生区域。再生区内反向吹入的高温空气使</w:t>
            </w:r>
            <w:r>
              <w:rPr>
                <w:spacing w:val="10"/>
              </w:rPr>
              <w:t xml:space="preserve"> </w:t>
            </w:r>
            <w:r>
              <w:rPr/>
              <w:t>得转轮中吸附的水分被脱附，从而使转轮恢复了吸湿的功能而完成再生过程。</w:t>
            </w:r>
            <w:r>
              <w:rPr>
                <w:spacing w:val="4"/>
              </w:rPr>
              <w:t xml:space="preserve"> </w:t>
            </w:r>
            <w:r>
              <w:rPr/>
              <w:t>整个设备工作时，转轮不断地转动，上述除湿及再生</w:t>
            </w:r>
            <w:r>
              <w:rPr>
                <w:spacing w:val="-1"/>
              </w:rPr>
              <w:t>周而复转地进行，从而保</w:t>
            </w:r>
          </w:p>
          <w:p>
            <w:pPr>
              <w:pStyle w:val="TableText"/>
              <w:ind w:left="129"/>
              <w:spacing w:line="218" w:lineRule="auto"/>
              <w:rPr/>
            </w:pPr>
            <w:r>
              <w:rPr>
                <w:spacing w:val="-1"/>
              </w:rPr>
              <w:t>证除湿机持续稳定的工作状态。</w:t>
            </w:r>
          </w:p>
          <w:p>
            <w:pPr>
              <w:pStyle w:val="TableText"/>
              <w:ind w:left="109" w:right="494" w:firstLine="480"/>
              <w:spacing w:before="198" w:line="373" w:lineRule="auto"/>
              <w:jc w:val="both"/>
              <w:rPr/>
            </w:pPr>
            <w:r>
              <w:rPr/>
              <w:t>项目粉尘经除尘器除尘后，尾尘于车间内排放，随着车间空气进入除湿机</w:t>
            </w:r>
            <w:r>
              <w:rPr>
                <w:spacing w:val="8"/>
              </w:rPr>
              <w:t xml:space="preserve"> </w:t>
            </w:r>
            <w:r>
              <w:rPr/>
              <w:t>一次除尘、二次除尘后，回风至车间，经多次循环后，经换气时排至厂房外的</w:t>
            </w:r>
          </w:p>
          <w:p>
            <w:pPr>
              <w:pStyle w:val="TableText"/>
              <w:ind w:left="119"/>
              <w:spacing w:line="219" w:lineRule="auto"/>
              <w:rPr/>
            </w:pPr>
            <w:r>
              <w:rPr/>
              <w:t>粉尘量极少，按除尘效率99%计，则凹版厂房粉尘无组织排放量为0.051t/a。</w:t>
            </w:r>
          </w:p>
          <w:p>
            <w:pPr>
              <w:pStyle w:val="TableText"/>
              <w:ind w:left="590"/>
              <w:spacing w:before="196" w:line="452" w:lineRule="exact"/>
              <w:rPr/>
            </w:pPr>
            <w:r>
              <w:rPr>
                <w:position w:val="16"/>
              </w:rPr>
              <w:t>本项目粉尘治理均采用滤筒除尘+车间除湿机自带</w:t>
            </w:r>
            <w:r>
              <w:rPr>
                <w:spacing w:val="-1"/>
                <w:position w:val="16"/>
              </w:rPr>
              <w:t>除尘处理，经济技术合理</w:t>
            </w:r>
          </w:p>
          <w:p>
            <w:pPr>
              <w:pStyle w:val="TableText"/>
              <w:ind w:left="109"/>
              <w:spacing w:line="220" w:lineRule="auto"/>
              <w:rPr/>
            </w:pPr>
            <w:r>
              <w:rPr>
                <w:spacing w:val="-2"/>
              </w:rPr>
              <w:t>可行。</w:t>
            </w:r>
          </w:p>
          <w:p>
            <w:pPr>
              <w:pStyle w:val="TableText"/>
              <w:ind w:left="2283"/>
              <w:spacing w:before="221" w:line="219" w:lineRule="auto"/>
              <w:rPr/>
            </w:pPr>
            <w:r>
              <w:rPr>
                <w:b/>
                <w:bCs/>
                <w:spacing w:val="-3"/>
              </w:rPr>
              <w:t>表4.2-1</w:t>
            </w:r>
            <w:r>
              <w:rPr>
                <w:spacing w:val="-3"/>
              </w:rPr>
              <w:t xml:space="preserve">  </w:t>
            </w:r>
            <w:r>
              <w:rPr>
                <w:b/>
                <w:bCs/>
                <w:spacing w:val="-3"/>
              </w:rPr>
              <w:t>本项目配料粉尘源强核算情况表</w:t>
            </w:r>
          </w:p>
        </w:tc>
      </w:tr>
      <w:tr>
        <w:trPr>
          <w:trHeight w:val="320" w:hRule="atLeast"/>
        </w:trPr>
        <w:tc>
          <w:tcPr>
            <w:tcW w:w="525" w:type="dxa"/>
            <w:vAlign w:val="top"/>
            <w:vMerge w:val="continue"/>
            <w:tcBorders>
              <w:top w:val="nil"/>
              <w:bottom w:val="nil"/>
            </w:tcBorders>
          </w:tcPr>
          <w:p>
            <w:pPr>
              <w:rPr>
                <w:rFonts w:ascii="Arial"/>
                <w:sz w:val="21"/>
              </w:rPr>
            </w:pPr>
            <w:r/>
          </w:p>
        </w:tc>
        <w:tc>
          <w:tcPr>
            <w:tcW w:w="2287" w:type="dxa"/>
            <w:vAlign w:val="top"/>
            <w:gridSpan w:val="2"/>
          </w:tcPr>
          <w:p>
            <w:pPr>
              <w:pStyle w:val="TableText"/>
              <w:ind w:left="880"/>
              <w:spacing w:before="54" w:line="205" w:lineRule="auto"/>
              <w:rPr/>
            </w:pPr>
            <w:r>
              <w:rPr>
                <w:spacing w:val="3"/>
              </w:rPr>
              <w:t>污染源</w:t>
            </w:r>
          </w:p>
        </w:tc>
        <w:tc>
          <w:tcPr>
            <w:tcW w:w="2707" w:type="dxa"/>
            <w:vAlign w:val="top"/>
            <w:gridSpan w:val="3"/>
          </w:tcPr>
          <w:p>
            <w:pPr>
              <w:pStyle w:val="TableText"/>
              <w:ind w:left="633"/>
              <w:spacing w:before="53" w:line="206" w:lineRule="auto"/>
              <w:rPr/>
            </w:pPr>
            <w:r>
              <w:rPr>
                <w:spacing w:val="1"/>
              </w:rPr>
              <w:t>污染物产生情况</w:t>
            </w:r>
          </w:p>
        </w:tc>
        <w:tc>
          <w:tcPr>
            <w:tcW w:w="2257" w:type="dxa"/>
            <w:vAlign w:val="top"/>
            <w:gridSpan w:val="3"/>
          </w:tcPr>
          <w:p>
            <w:pPr>
              <w:pStyle w:val="TableText"/>
              <w:ind w:left="716"/>
              <w:spacing w:before="54" w:line="205" w:lineRule="auto"/>
              <w:rPr/>
            </w:pPr>
            <w:r>
              <w:rPr>
                <w:spacing w:val="2"/>
              </w:rPr>
              <w:t>处理情况</w:t>
            </w:r>
          </w:p>
        </w:tc>
        <w:tc>
          <w:tcPr>
            <w:tcW w:w="1213" w:type="dxa"/>
            <w:vAlign w:val="top"/>
            <w:gridSpan w:val="2"/>
          </w:tcPr>
          <w:p>
            <w:pPr>
              <w:pStyle w:val="TableText"/>
              <w:ind w:left="119"/>
              <w:spacing w:before="54" w:line="205" w:lineRule="auto"/>
              <w:rPr/>
            </w:pPr>
            <w:r>
              <w:rPr>
                <w:spacing w:val="-2"/>
              </w:rPr>
              <w:t>排放情况</w:t>
            </w:r>
          </w:p>
        </w:tc>
      </w:tr>
      <w:tr>
        <w:trPr>
          <w:trHeight w:val="819" w:hRule="atLeast"/>
        </w:trPr>
        <w:tc>
          <w:tcPr>
            <w:tcW w:w="525" w:type="dxa"/>
            <w:vAlign w:val="top"/>
            <w:vMerge w:val="continue"/>
            <w:tcBorders>
              <w:top w:val="nil"/>
              <w:bottom w:val="nil"/>
            </w:tcBorders>
          </w:tcPr>
          <w:p>
            <w:pPr>
              <w:rPr>
                <w:rFonts w:ascii="Arial"/>
                <w:sz w:val="21"/>
              </w:rPr>
            </w:pPr>
            <w:r/>
          </w:p>
        </w:tc>
        <w:tc>
          <w:tcPr>
            <w:tcW w:w="1458" w:type="dxa"/>
            <w:vAlign w:val="top"/>
          </w:tcPr>
          <w:p>
            <w:pPr>
              <w:pStyle w:val="TableText"/>
              <w:ind w:left="490"/>
              <w:spacing w:before="303" w:line="219" w:lineRule="auto"/>
              <w:rPr/>
            </w:pPr>
            <w:r>
              <w:rPr>
                <w:spacing w:val="11"/>
              </w:rPr>
              <w:t>车间</w:t>
            </w:r>
          </w:p>
        </w:tc>
        <w:tc>
          <w:tcPr>
            <w:tcW w:w="829" w:type="dxa"/>
            <w:vAlign w:val="top"/>
          </w:tcPr>
          <w:p>
            <w:pPr>
              <w:pStyle w:val="TableText"/>
              <w:ind w:left="62"/>
              <w:spacing w:before="304" w:line="220" w:lineRule="auto"/>
              <w:rPr/>
            </w:pPr>
            <w:r>
              <w:rPr>
                <w:spacing w:val="3"/>
              </w:rPr>
              <w:t>污染物</w:t>
            </w:r>
          </w:p>
        </w:tc>
        <w:tc>
          <w:tcPr>
            <w:tcW w:w="829" w:type="dxa"/>
            <w:vAlign w:val="top"/>
          </w:tcPr>
          <w:p>
            <w:pPr>
              <w:pStyle w:val="TableText"/>
              <w:ind w:left="293" w:right="57" w:hanging="230"/>
              <w:spacing w:before="182" w:line="216" w:lineRule="auto"/>
              <w:rPr/>
            </w:pPr>
            <w:r>
              <w:rPr>
                <w:spacing w:val="2"/>
              </w:rPr>
              <w:t>核算方</w:t>
            </w:r>
            <w:r>
              <w:rPr>
                <w:spacing w:val="1"/>
              </w:rPr>
              <w:t xml:space="preserve"> </w:t>
            </w:r>
            <w:r>
              <w:rPr/>
              <w:t>法</w:t>
            </w:r>
          </w:p>
        </w:tc>
        <w:tc>
          <w:tcPr>
            <w:tcW w:w="1049" w:type="dxa"/>
            <w:vAlign w:val="top"/>
          </w:tcPr>
          <w:p>
            <w:pPr>
              <w:pStyle w:val="TableText"/>
              <w:ind w:left="54"/>
              <w:spacing w:before="183" w:line="219" w:lineRule="auto"/>
              <w:rPr/>
            </w:pPr>
            <w:r>
              <w:rPr>
                <w:spacing w:val="-2"/>
              </w:rPr>
              <w:t>产生速率</w:t>
            </w:r>
          </w:p>
          <w:p>
            <w:pPr>
              <w:pStyle w:val="TableText"/>
              <w:ind w:left="174"/>
              <w:spacing w:line="213" w:lineRule="auto"/>
              <w:rPr/>
            </w:pPr>
            <w:r>
              <w:rPr>
                <w:spacing w:val="-7"/>
              </w:rPr>
              <w:t>(kg/h)</w:t>
            </w:r>
          </w:p>
        </w:tc>
        <w:tc>
          <w:tcPr>
            <w:tcW w:w="829" w:type="dxa"/>
            <w:vAlign w:val="top"/>
          </w:tcPr>
          <w:p>
            <w:pPr>
              <w:pStyle w:val="TableText"/>
              <w:ind w:left="113" w:right="72" w:hanging="49"/>
              <w:spacing w:before="183" w:line="225" w:lineRule="auto"/>
              <w:rPr/>
            </w:pPr>
            <w:r>
              <w:rPr>
                <w:spacing w:val="-3"/>
              </w:rPr>
              <w:t>产生量</w:t>
            </w:r>
            <w:r>
              <w:rPr/>
              <w:t xml:space="preserve"> </w:t>
            </w:r>
            <w:r>
              <w:rPr>
                <w:spacing w:val="-8"/>
              </w:rPr>
              <w:t>(t/a)</w:t>
            </w:r>
          </w:p>
        </w:tc>
        <w:tc>
          <w:tcPr>
            <w:tcW w:w="769" w:type="dxa"/>
            <w:vAlign w:val="top"/>
          </w:tcPr>
          <w:p>
            <w:pPr>
              <w:pStyle w:val="TableText"/>
              <w:ind w:left="266" w:right="20" w:hanging="230"/>
              <w:spacing w:before="182" w:line="213" w:lineRule="auto"/>
              <w:rPr/>
            </w:pPr>
            <w:r>
              <w:rPr>
                <w:spacing w:val="4"/>
              </w:rPr>
              <w:t>治理措</w:t>
            </w:r>
            <w:r>
              <w:rPr/>
              <w:t xml:space="preserve"> </w:t>
            </w:r>
            <w:r>
              <w:rPr/>
              <w:t>施</w:t>
            </w:r>
          </w:p>
        </w:tc>
        <w:tc>
          <w:tcPr>
            <w:tcW w:w="719" w:type="dxa"/>
            <w:vAlign w:val="top"/>
          </w:tcPr>
          <w:p>
            <w:pPr>
              <w:pStyle w:val="TableText"/>
              <w:ind w:left="236" w:right="2" w:hanging="230"/>
              <w:spacing w:before="33" w:line="214" w:lineRule="auto"/>
              <w:rPr/>
            </w:pPr>
            <w:r>
              <w:rPr>
                <w:spacing w:val="3"/>
              </w:rPr>
              <w:t>净化效</w:t>
            </w:r>
            <w:r>
              <w:rPr/>
              <w:t xml:space="preserve"> </w:t>
            </w:r>
            <w:r>
              <w:rPr/>
              <w:t>率</w:t>
            </w:r>
          </w:p>
          <w:p>
            <w:pPr>
              <w:pStyle w:val="TableText"/>
              <w:ind w:left="177"/>
              <w:spacing w:line="194" w:lineRule="auto"/>
              <w:rPr/>
            </w:pPr>
            <w:r>
              <w:rPr>
                <w:spacing w:val="-11"/>
              </w:rPr>
              <w:t>(%)</w:t>
            </w:r>
          </w:p>
        </w:tc>
        <w:tc>
          <w:tcPr>
            <w:tcW w:w="769" w:type="dxa"/>
            <w:vAlign w:val="top"/>
          </w:tcPr>
          <w:p>
            <w:pPr>
              <w:pStyle w:val="TableText"/>
              <w:ind w:left="38"/>
              <w:spacing w:before="43" w:line="209" w:lineRule="auto"/>
              <w:rPr/>
            </w:pPr>
            <w:r>
              <w:rPr>
                <w:spacing w:val="3"/>
              </w:rPr>
              <w:t>是否为</w:t>
            </w:r>
          </w:p>
          <w:p>
            <w:pPr>
              <w:pStyle w:val="TableText"/>
              <w:ind w:left="38"/>
              <w:spacing w:before="1" w:line="191" w:lineRule="auto"/>
              <w:rPr/>
            </w:pPr>
            <w:r>
              <w:rPr>
                <w:spacing w:val="3"/>
              </w:rPr>
              <w:t>可行技</w:t>
            </w:r>
          </w:p>
          <w:p>
            <w:pPr>
              <w:pStyle w:val="TableText"/>
              <w:ind w:left="268"/>
              <w:spacing w:line="213" w:lineRule="auto"/>
              <w:rPr/>
            </w:pPr>
            <w:r>
              <w:rPr/>
              <w:t>术</w:t>
            </w:r>
          </w:p>
        </w:tc>
        <w:tc>
          <w:tcPr>
            <w:tcW w:w="629" w:type="dxa"/>
            <w:vAlign w:val="top"/>
          </w:tcPr>
          <w:p>
            <w:pPr>
              <w:pStyle w:val="TableText"/>
              <w:ind w:left="79"/>
              <w:spacing w:before="24" w:line="221" w:lineRule="auto"/>
              <w:rPr/>
            </w:pPr>
            <w:r>
              <w:rPr>
                <w:spacing w:val="-3"/>
              </w:rPr>
              <w:t>排放</w:t>
            </w:r>
          </w:p>
          <w:p>
            <w:pPr>
              <w:pStyle w:val="TableText"/>
              <w:ind w:left="199"/>
              <w:spacing w:before="10" w:line="206" w:lineRule="auto"/>
              <w:rPr/>
            </w:pPr>
            <w:r>
              <w:rPr/>
              <w:t>量</w:t>
            </w:r>
          </w:p>
          <w:p>
            <w:pPr>
              <w:pStyle w:val="TableText"/>
              <w:ind w:left="18"/>
              <w:spacing w:line="194" w:lineRule="auto"/>
              <w:rPr/>
            </w:pPr>
            <w:r>
              <w:rPr>
                <w:spacing w:val="-8"/>
              </w:rPr>
              <w:t>(t/a)</w:t>
            </w:r>
          </w:p>
        </w:tc>
        <w:tc>
          <w:tcPr>
            <w:tcW w:w="584" w:type="dxa"/>
            <w:vAlign w:val="top"/>
          </w:tcPr>
          <w:p>
            <w:pPr>
              <w:pStyle w:val="TableText"/>
              <w:ind w:left="30" w:right="59"/>
              <w:spacing w:before="184" w:line="223" w:lineRule="auto"/>
              <w:rPr/>
            </w:pPr>
            <w:r>
              <w:rPr>
                <w:spacing w:val="-5"/>
              </w:rPr>
              <w:t>排放</w:t>
            </w:r>
            <w:r>
              <w:rPr/>
              <w:t xml:space="preserve"> </w:t>
            </w:r>
            <w:r>
              <w:rPr>
                <w:spacing w:val="12"/>
              </w:rPr>
              <w:t>去向</w:t>
            </w:r>
          </w:p>
        </w:tc>
      </w:tr>
      <w:tr>
        <w:trPr>
          <w:trHeight w:val="319" w:hRule="atLeast"/>
        </w:trPr>
        <w:tc>
          <w:tcPr>
            <w:tcW w:w="525" w:type="dxa"/>
            <w:vAlign w:val="top"/>
            <w:vMerge w:val="continue"/>
            <w:tcBorders>
              <w:top w:val="nil"/>
              <w:bottom w:val="nil"/>
            </w:tcBorders>
          </w:tcPr>
          <w:p>
            <w:pPr>
              <w:rPr>
                <w:rFonts w:ascii="Arial"/>
                <w:sz w:val="21"/>
              </w:rPr>
            </w:pPr>
            <w:r/>
          </w:p>
        </w:tc>
        <w:tc>
          <w:tcPr>
            <w:tcW w:w="1458" w:type="dxa"/>
            <w:vAlign w:val="top"/>
          </w:tcPr>
          <w:p>
            <w:pPr>
              <w:pStyle w:val="TableText"/>
              <w:spacing w:before="54" w:line="204" w:lineRule="auto"/>
              <w:jc w:val="right"/>
              <w:rPr/>
            </w:pPr>
            <w:r>
              <w:rPr>
                <w:spacing w:val="-14"/>
              </w:rPr>
              <w:t>阴极片投料区</w:t>
            </w:r>
          </w:p>
        </w:tc>
        <w:tc>
          <w:tcPr>
            <w:tcW w:w="829" w:type="dxa"/>
            <w:vAlign w:val="top"/>
          </w:tcPr>
          <w:p>
            <w:pPr>
              <w:pStyle w:val="TableText"/>
              <w:ind w:left="62"/>
              <w:spacing w:before="54" w:line="204" w:lineRule="auto"/>
              <w:rPr/>
            </w:pPr>
            <w:r>
              <w:rPr>
                <w:spacing w:val="-2"/>
              </w:rPr>
              <w:t>颗粒物</w:t>
            </w:r>
          </w:p>
        </w:tc>
        <w:tc>
          <w:tcPr>
            <w:tcW w:w="829" w:type="dxa"/>
            <w:vAlign w:val="top"/>
          </w:tcPr>
          <w:p>
            <w:pPr>
              <w:pStyle w:val="TableText"/>
              <w:ind w:left="63"/>
              <w:spacing w:before="53" w:line="205" w:lineRule="auto"/>
              <w:rPr/>
            </w:pPr>
            <w:r>
              <w:rPr>
                <w:spacing w:val="-2"/>
              </w:rPr>
              <w:t>类比法</w:t>
            </w:r>
          </w:p>
        </w:tc>
        <w:tc>
          <w:tcPr>
            <w:tcW w:w="1049" w:type="dxa"/>
            <w:vAlign w:val="top"/>
          </w:tcPr>
          <w:p>
            <w:pPr>
              <w:pStyle w:val="TableText"/>
              <w:ind w:left="223"/>
              <w:spacing w:before="113" w:line="157" w:lineRule="auto"/>
              <w:rPr/>
            </w:pPr>
            <w:r>
              <w:rPr>
                <w:spacing w:val="-2"/>
              </w:rPr>
              <w:t>0.965</w:t>
            </w:r>
          </w:p>
        </w:tc>
        <w:tc>
          <w:tcPr>
            <w:tcW w:w="829" w:type="dxa"/>
            <w:vAlign w:val="top"/>
          </w:tcPr>
          <w:p>
            <w:pPr>
              <w:pStyle w:val="TableText"/>
              <w:ind w:left="114"/>
              <w:spacing w:before="113" w:line="157" w:lineRule="auto"/>
              <w:rPr/>
            </w:pPr>
            <w:r>
              <w:rPr>
                <w:spacing w:val="-2"/>
              </w:rPr>
              <w:t>2.895</w:t>
            </w:r>
          </w:p>
        </w:tc>
        <w:tc>
          <w:tcPr>
            <w:tcW w:w="769" w:type="dxa"/>
            <w:vAlign w:val="top"/>
            <w:vMerge w:val="restart"/>
            <w:tcBorders>
              <w:bottom w:val="nil"/>
            </w:tcBorders>
          </w:tcPr>
          <w:p>
            <w:pPr>
              <w:spacing w:line="288" w:lineRule="auto"/>
              <w:rPr>
                <w:rFonts w:ascii="Arial"/>
                <w:sz w:val="21"/>
              </w:rPr>
            </w:pPr>
            <w:r/>
          </w:p>
          <w:p>
            <w:pPr>
              <w:pStyle w:val="TableText"/>
              <w:ind w:left="266" w:right="21" w:hanging="230"/>
              <w:spacing w:before="74" w:line="223" w:lineRule="auto"/>
              <w:rPr/>
            </w:pPr>
            <w:r>
              <w:rPr>
                <w:spacing w:val="3"/>
              </w:rPr>
              <w:t>固定除</w:t>
            </w:r>
            <w:r>
              <w:rPr>
                <w:spacing w:val="1"/>
              </w:rPr>
              <w:t xml:space="preserve"> </w:t>
            </w:r>
            <w:r>
              <w:rPr/>
              <w:t>器</w:t>
            </w:r>
          </w:p>
        </w:tc>
        <w:tc>
          <w:tcPr>
            <w:tcW w:w="719" w:type="dxa"/>
            <w:vAlign w:val="top"/>
            <w:vMerge w:val="restart"/>
            <w:tcBorders>
              <w:bottom w:val="nil"/>
            </w:tcBorders>
          </w:tcPr>
          <w:p>
            <w:pPr>
              <w:spacing w:line="456" w:lineRule="auto"/>
              <w:rPr>
                <w:rFonts w:ascii="Arial"/>
                <w:sz w:val="21"/>
              </w:rPr>
            </w:pPr>
            <w:r/>
          </w:p>
          <w:p>
            <w:pPr>
              <w:pStyle w:val="TableText"/>
              <w:ind w:left="237"/>
              <w:spacing w:before="74" w:line="183" w:lineRule="auto"/>
              <w:rPr/>
            </w:pPr>
            <w:r>
              <w:rPr>
                <w:spacing w:val="-3"/>
              </w:rPr>
              <w:t>99</w:t>
            </w:r>
          </w:p>
        </w:tc>
        <w:tc>
          <w:tcPr>
            <w:tcW w:w="769" w:type="dxa"/>
            <w:vAlign w:val="top"/>
            <w:vMerge w:val="restart"/>
            <w:tcBorders>
              <w:bottom w:val="nil"/>
            </w:tcBorders>
          </w:tcPr>
          <w:p>
            <w:pPr>
              <w:spacing w:line="401" w:lineRule="auto"/>
              <w:rPr>
                <w:rFonts w:ascii="Arial"/>
                <w:sz w:val="21"/>
              </w:rPr>
            </w:pPr>
            <w:r/>
          </w:p>
          <w:p>
            <w:pPr>
              <w:pStyle w:val="TableText"/>
              <w:ind w:left="268"/>
              <w:spacing w:before="75" w:line="223" w:lineRule="auto"/>
              <w:rPr/>
            </w:pPr>
            <w:r>
              <w:rPr/>
              <w:t>是</w:t>
            </w:r>
          </w:p>
        </w:tc>
        <w:tc>
          <w:tcPr>
            <w:tcW w:w="629" w:type="dxa"/>
            <w:vAlign w:val="top"/>
          </w:tcPr>
          <w:p>
            <w:pPr>
              <w:pStyle w:val="TableText"/>
              <w:ind w:left="18"/>
              <w:spacing w:before="113" w:line="157" w:lineRule="auto"/>
              <w:rPr/>
            </w:pPr>
            <w:r>
              <w:rPr>
                <w:spacing w:val="-2"/>
              </w:rPr>
              <w:t>0.029</w:t>
            </w:r>
          </w:p>
        </w:tc>
        <w:tc>
          <w:tcPr>
            <w:tcW w:w="584" w:type="dxa"/>
            <w:vAlign w:val="top"/>
            <w:vMerge w:val="restart"/>
            <w:tcBorders>
              <w:bottom w:val="nil"/>
            </w:tcBorders>
          </w:tcPr>
          <w:p>
            <w:pPr>
              <w:spacing w:line="287" w:lineRule="auto"/>
              <w:rPr>
                <w:rFonts w:ascii="Arial"/>
                <w:sz w:val="21"/>
              </w:rPr>
            </w:pPr>
            <w:r/>
          </w:p>
          <w:p>
            <w:pPr>
              <w:pStyle w:val="TableText"/>
              <w:ind w:left="159" w:right="61" w:hanging="129"/>
              <w:spacing w:before="75" w:line="218" w:lineRule="auto"/>
              <w:rPr/>
            </w:pPr>
            <w:r>
              <w:rPr>
                <w:spacing w:val="11"/>
              </w:rPr>
              <w:t>车间</w:t>
            </w:r>
            <w:r>
              <w:rPr/>
              <w:t xml:space="preserve"> </w:t>
            </w:r>
            <w:r>
              <w:rPr/>
              <w:t>内</w:t>
            </w:r>
          </w:p>
        </w:tc>
      </w:tr>
      <w:tr>
        <w:trPr>
          <w:trHeight w:val="290" w:hRule="atLeast"/>
        </w:trPr>
        <w:tc>
          <w:tcPr>
            <w:tcW w:w="525" w:type="dxa"/>
            <w:vAlign w:val="top"/>
            <w:vMerge w:val="continue"/>
            <w:tcBorders>
              <w:top w:val="nil"/>
              <w:bottom w:val="nil"/>
            </w:tcBorders>
          </w:tcPr>
          <w:p>
            <w:pPr>
              <w:rPr>
                <w:rFonts w:ascii="Arial"/>
                <w:sz w:val="21"/>
              </w:rPr>
            </w:pPr>
            <w:r/>
          </w:p>
        </w:tc>
        <w:tc>
          <w:tcPr>
            <w:tcW w:w="1458" w:type="dxa"/>
            <w:vAlign w:val="top"/>
          </w:tcPr>
          <w:p>
            <w:pPr>
              <w:pStyle w:val="TableText"/>
              <w:spacing w:before="35" w:line="196" w:lineRule="auto"/>
              <w:jc w:val="right"/>
              <w:rPr/>
            </w:pPr>
            <w:r>
              <w:rPr>
                <w:spacing w:val="-14"/>
              </w:rPr>
              <w:t>阳极片投料区</w:t>
            </w:r>
          </w:p>
        </w:tc>
        <w:tc>
          <w:tcPr>
            <w:tcW w:w="829" w:type="dxa"/>
            <w:vAlign w:val="top"/>
          </w:tcPr>
          <w:p>
            <w:pPr>
              <w:pStyle w:val="TableText"/>
              <w:ind w:left="62"/>
              <w:spacing w:before="35" w:line="196" w:lineRule="auto"/>
              <w:rPr/>
            </w:pPr>
            <w:r>
              <w:rPr>
                <w:spacing w:val="-2"/>
              </w:rPr>
              <w:t>颗粒物</w:t>
            </w:r>
          </w:p>
        </w:tc>
        <w:tc>
          <w:tcPr>
            <w:tcW w:w="829" w:type="dxa"/>
            <w:vAlign w:val="top"/>
          </w:tcPr>
          <w:p>
            <w:pPr>
              <w:pStyle w:val="TableText"/>
              <w:ind w:left="63"/>
              <w:spacing w:before="34" w:line="197" w:lineRule="auto"/>
              <w:rPr/>
            </w:pPr>
            <w:r>
              <w:rPr>
                <w:spacing w:val="-2"/>
              </w:rPr>
              <w:t>类比法</w:t>
            </w:r>
          </w:p>
        </w:tc>
        <w:tc>
          <w:tcPr>
            <w:tcW w:w="1049" w:type="dxa"/>
            <w:vAlign w:val="top"/>
          </w:tcPr>
          <w:p>
            <w:pPr>
              <w:pStyle w:val="TableText"/>
              <w:ind w:left="223"/>
              <w:spacing w:before="93" w:line="187" w:lineRule="exact"/>
              <w:rPr/>
            </w:pPr>
            <w:r>
              <w:rPr>
                <w:spacing w:val="-2"/>
                <w:position w:val="-2"/>
              </w:rPr>
              <w:t>0.718</w:t>
            </w:r>
          </w:p>
        </w:tc>
        <w:tc>
          <w:tcPr>
            <w:tcW w:w="829" w:type="dxa"/>
            <w:vAlign w:val="top"/>
          </w:tcPr>
          <w:p>
            <w:pPr>
              <w:pStyle w:val="TableText"/>
              <w:ind w:left="114"/>
              <w:spacing w:before="93" w:line="187" w:lineRule="exact"/>
              <w:rPr/>
            </w:pPr>
            <w:r>
              <w:rPr>
                <w:spacing w:val="-2"/>
                <w:position w:val="-2"/>
              </w:rPr>
              <w:t>2.153</w:t>
            </w:r>
          </w:p>
        </w:tc>
        <w:tc>
          <w:tcPr>
            <w:tcW w:w="769" w:type="dxa"/>
            <w:vAlign w:val="top"/>
            <w:vMerge w:val="continue"/>
            <w:tcBorders>
              <w:top w:val="nil"/>
              <w:bottom w:val="nil"/>
            </w:tcBorders>
          </w:tcPr>
          <w:p>
            <w:pPr>
              <w:rPr>
                <w:rFonts w:ascii="Arial"/>
                <w:sz w:val="21"/>
              </w:rPr>
            </w:pPr>
            <w:r/>
          </w:p>
        </w:tc>
        <w:tc>
          <w:tcPr>
            <w:tcW w:w="719" w:type="dxa"/>
            <w:vAlign w:val="top"/>
            <w:vMerge w:val="continue"/>
            <w:tcBorders>
              <w:top w:val="nil"/>
              <w:bottom w:val="nil"/>
            </w:tcBorders>
          </w:tcPr>
          <w:p>
            <w:pPr>
              <w:rPr>
                <w:rFonts w:ascii="Arial"/>
                <w:sz w:val="21"/>
              </w:rPr>
            </w:pPr>
            <w:r/>
          </w:p>
        </w:tc>
        <w:tc>
          <w:tcPr>
            <w:tcW w:w="769" w:type="dxa"/>
            <w:vAlign w:val="top"/>
            <w:vMerge w:val="continue"/>
            <w:tcBorders>
              <w:top w:val="nil"/>
              <w:bottom w:val="nil"/>
            </w:tcBorders>
          </w:tcPr>
          <w:p>
            <w:pPr>
              <w:rPr>
                <w:rFonts w:ascii="Arial"/>
                <w:sz w:val="21"/>
              </w:rPr>
            </w:pPr>
            <w:r/>
          </w:p>
        </w:tc>
        <w:tc>
          <w:tcPr>
            <w:tcW w:w="629" w:type="dxa"/>
            <w:vAlign w:val="top"/>
          </w:tcPr>
          <w:p>
            <w:pPr>
              <w:pStyle w:val="TableText"/>
              <w:ind w:left="18"/>
              <w:spacing w:before="94" w:line="186" w:lineRule="exact"/>
              <w:rPr/>
            </w:pPr>
            <w:r>
              <w:rPr>
                <w:spacing w:val="-2"/>
                <w:position w:val="-2"/>
              </w:rPr>
              <w:t>0.022</w:t>
            </w:r>
          </w:p>
        </w:tc>
        <w:tc>
          <w:tcPr>
            <w:tcW w:w="584" w:type="dxa"/>
            <w:vAlign w:val="top"/>
            <w:vMerge w:val="continue"/>
            <w:tcBorders>
              <w:top w:val="nil"/>
              <w:bottom w:val="nil"/>
            </w:tcBorders>
          </w:tcPr>
          <w:p>
            <w:pPr>
              <w:rPr>
                <w:rFonts w:ascii="Arial"/>
                <w:sz w:val="21"/>
              </w:rPr>
            </w:pPr>
            <w:r/>
          </w:p>
        </w:tc>
      </w:tr>
      <w:tr>
        <w:trPr>
          <w:trHeight w:val="539" w:hRule="atLeast"/>
        </w:trPr>
        <w:tc>
          <w:tcPr>
            <w:tcW w:w="525" w:type="dxa"/>
            <w:vAlign w:val="top"/>
            <w:vMerge w:val="continue"/>
            <w:tcBorders>
              <w:top w:val="nil"/>
              <w:bottom w:val="nil"/>
            </w:tcBorders>
          </w:tcPr>
          <w:p>
            <w:pPr>
              <w:rPr>
                <w:rFonts w:ascii="Arial"/>
                <w:sz w:val="21"/>
              </w:rPr>
            </w:pPr>
            <w:r/>
          </w:p>
        </w:tc>
        <w:tc>
          <w:tcPr>
            <w:tcW w:w="1458" w:type="dxa"/>
            <w:vAlign w:val="top"/>
          </w:tcPr>
          <w:p>
            <w:pPr>
              <w:pStyle w:val="TableText"/>
              <w:ind w:left="369"/>
              <w:spacing w:before="166" w:line="220" w:lineRule="auto"/>
              <w:rPr/>
            </w:pPr>
            <w:r>
              <w:rPr>
                <w:spacing w:val="6"/>
              </w:rPr>
              <w:t>凹版区</w:t>
            </w:r>
          </w:p>
        </w:tc>
        <w:tc>
          <w:tcPr>
            <w:tcW w:w="829" w:type="dxa"/>
            <w:vAlign w:val="top"/>
          </w:tcPr>
          <w:p>
            <w:pPr>
              <w:pStyle w:val="TableText"/>
              <w:ind w:left="62"/>
              <w:spacing w:before="166" w:line="220" w:lineRule="auto"/>
              <w:rPr/>
            </w:pPr>
            <w:r>
              <w:rPr>
                <w:spacing w:val="-2"/>
              </w:rPr>
              <w:t>颗粒物</w:t>
            </w:r>
          </w:p>
        </w:tc>
        <w:tc>
          <w:tcPr>
            <w:tcW w:w="829" w:type="dxa"/>
            <w:vAlign w:val="top"/>
          </w:tcPr>
          <w:p>
            <w:pPr>
              <w:pStyle w:val="TableText"/>
              <w:ind w:left="63"/>
              <w:spacing w:before="165" w:line="219" w:lineRule="auto"/>
              <w:rPr/>
            </w:pPr>
            <w:r>
              <w:rPr>
                <w:spacing w:val="-2"/>
              </w:rPr>
              <w:t>类比法</w:t>
            </w:r>
          </w:p>
        </w:tc>
        <w:tc>
          <w:tcPr>
            <w:tcW w:w="1049" w:type="dxa"/>
            <w:vAlign w:val="top"/>
          </w:tcPr>
          <w:p>
            <w:pPr>
              <w:pStyle w:val="TableText"/>
              <w:ind w:left="223"/>
              <w:spacing w:before="224" w:line="183" w:lineRule="auto"/>
              <w:rPr/>
            </w:pPr>
            <w:r>
              <w:rPr>
                <w:spacing w:val="-2"/>
              </w:rPr>
              <w:t>0.020</w:t>
            </w:r>
          </w:p>
        </w:tc>
        <w:tc>
          <w:tcPr>
            <w:tcW w:w="829" w:type="dxa"/>
            <w:vAlign w:val="top"/>
          </w:tcPr>
          <w:p>
            <w:pPr>
              <w:pStyle w:val="TableText"/>
              <w:ind w:left="114"/>
              <w:spacing w:before="223" w:line="184" w:lineRule="auto"/>
              <w:rPr/>
            </w:pPr>
            <w:r>
              <w:rPr>
                <w:spacing w:val="-2"/>
              </w:rPr>
              <w:t>0.061</w:t>
            </w:r>
          </w:p>
        </w:tc>
        <w:tc>
          <w:tcPr>
            <w:tcW w:w="769" w:type="dxa"/>
            <w:vAlign w:val="top"/>
            <w:vMerge w:val="continue"/>
            <w:tcBorders>
              <w:top w:val="nil"/>
            </w:tcBorders>
          </w:tcPr>
          <w:p>
            <w:pPr>
              <w:rPr>
                <w:rFonts w:ascii="Arial"/>
                <w:sz w:val="21"/>
              </w:rPr>
            </w:pPr>
            <w:r/>
          </w:p>
        </w:tc>
        <w:tc>
          <w:tcPr>
            <w:tcW w:w="719" w:type="dxa"/>
            <w:vAlign w:val="top"/>
            <w:vMerge w:val="continue"/>
            <w:tcBorders>
              <w:top w:val="nil"/>
            </w:tcBorders>
          </w:tcPr>
          <w:p>
            <w:pPr>
              <w:rPr>
                <w:rFonts w:ascii="Arial"/>
                <w:sz w:val="21"/>
              </w:rPr>
            </w:pPr>
            <w:r/>
          </w:p>
        </w:tc>
        <w:tc>
          <w:tcPr>
            <w:tcW w:w="769" w:type="dxa"/>
            <w:vAlign w:val="top"/>
            <w:vMerge w:val="continue"/>
            <w:tcBorders>
              <w:top w:val="nil"/>
            </w:tcBorders>
          </w:tcPr>
          <w:p>
            <w:pPr>
              <w:rPr>
                <w:rFonts w:ascii="Arial"/>
                <w:sz w:val="21"/>
              </w:rPr>
            </w:pPr>
            <w:r/>
          </w:p>
        </w:tc>
        <w:tc>
          <w:tcPr>
            <w:tcW w:w="629" w:type="dxa"/>
            <w:vAlign w:val="top"/>
          </w:tcPr>
          <w:p>
            <w:pPr>
              <w:pStyle w:val="TableText"/>
              <w:ind w:left="73" w:hanging="55"/>
              <w:spacing w:before="130" w:line="167" w:lineRule="auto"/>
              <w:rPr>
                <w:sz w:val="22"/>
                <w:szCs w:val="22"/>
              </w:rPr>
            </w:pPr>
            <w:r>
              <w:rPr>
                <w:sz w:val="22"/>
                <w:szCs w:val="22"/>
                <w:spacing w:val="-12"/>
              </w:rPr>
              <w:t>0.61×</w:t>
            </w:r>
            <w:r>
              <w:rPr>
                <w:sz w:val="22"/>
                <w:szCs w:val="22"/>
              </w:rPr>
              <w:t xml:space="preserve"> </w:t>
            </w:r>
            <w:r>
              <w:rPr>
                <w:sz w:val="22"/>
                <w:szCs w:val="22"/>
                <w:spacing w:val="-13"/>
              </w:rPr>
              <w:t>10-3</w:t>
            </w:r>
          </w:p>
        </w:tc>
        <w:tc>
          <w:tcPr>
            <w:tcW w:w="584" w:type="dxa"/>
            <w:vAlign w:val="top"/>
            <w:vMerge w:val="continue"/>
            <w:tcBorders>
              <w:top w:val="nil"/>
            </w:tcBorders>
          </w:tcPr>
          <w:p>
            <w:pPr>
              <w:rPr>
                <w:rFonts w:ascii="Arial"/>
                <w:sz w:val="21"/>
              </w:rPr>
            </w:pPr>
            <w:r/>
          </w:p>
        </w:tc>
      </w:tr>
      <w:tr>
        <w:trPr>
          <w:trHeight w:val="310" w:hRule="atLeast"/>
        </w:trPr>
        <w:tc>
          <w:tcPr>
            <w:tcW w:w="525" w:type="dxa"/>
            <w:vAlign w:val="top"/>
            <w:vMerge w:val="continue"/>
            <w:tcBorders>
              <w:top w:val="nil"/>
              <w:bottom w:val="nil"/>
            </w:tcBorders>
          </w:tcPr>
          <w:p>
            <w:pPr>
              <w:rPr>
                <w:rFonts w:ascii="Arial"/>
                <w:sz w:val="21"/>
              </w:rPr>
            </w:pPr>
            <w:r/>
          </w:p>
        </w:tc>
        <w:tc>
          <w:tcPr>
            <w:tcW w:w="1458" w:type="dxa"/>
            <w:vAlign w:val="top"/>
          </w:tcPr>
          <w:p>
            <w:pPr>
              <w:pStyle w:val="TableText"/>
              <w:ind w:left="490"/>
              <w:spacing w:before="48" w:line="202" w:lineRule="auto"/>
              <w:rPr/>
            </w:pPr>
            <w:r>
              <w:rPr>
                <w:spacing w:val="-3"/>
              </w:rPr>
              <w:t>合计</w:t>
            </w:r>
          </w:p>
        </w:tc>
        <w:tc>
          <w:tcPr>
            <w:tcW w:w="829" w:type="dxa"/>
            <w:vAlign w:val="top"/>
          </w:tcPr>
          <w:p>
            <w:pPr>
              <w:pStyle w:val="TableText"/>
              <w:ind w:left="62"/>
              <w:spacing w:before="47" w:line="203" w:lineRule="auto"/>
              <w:rPr/>
            </w:pPr>
            <w:r>
              <w:rPr>
                <w:spacing w:val="-2"/>
              </w:rPr>
              <w:t>颗粒物</w:t>
            </w:r>
          </w:p>
        </w:tc>
        <w:tc>
          <w:tcPr>
            <w:tcW w:w="829" w:type="dxa"/>
            <w:vAlign w:val="top"/>
          </w:tcPr>
          <w:p>
            <w:pPr>
              <w:pStyle w:val="TableText"/>
              <w:ind w:left="343"/>
              <w:spacing w:before="52" w:line="199" w:lineRule="auto"/>
              <w:rPr/>
            </w:pPr>
            <w:r>
              <w:rPr/>
              <w:t>/</w:t>
            </w:r>
          </w:p>
        </w:tc>
        <w:tc>
          <w:tcPr>
            <w:tcW w:w="1049" w:type="dxa"/>
            <w:vAlign w:val="top"/>
          </w:tcPr>
          <w:p>
            <w:pPr>
              <w:pStyle w:val="TableText"/>
              <w:ind w:left="223"/>
              <w:spacing w:before="104" w:line="157" w:lineRule="auto"/>
              <w:rPr/>
            </w:pPr>
            <w:r>
              <w:rPr>
                <w:spacing w:val="-5"/>
              </w:rPr>
              <w:t>1.703</w:t>
            </w:r>
          </w:p>
        </w:tc>
        <w:tc>
          <w:tcPr>
            <w:tcW w:w="829" w:type="dxa"/>
            <w:vAlign w:val="top"/>
          </w:tcPr>
          <w:p>
            <w:pPr>
              <w:pStyle w:val="TableText"/>
              <w:ind w:left="114"/>
              <w:spacing w:before="104" w:line="157" w:lineRule="auto"/>
              <w:rPr/>
            </w:pPr>
            <w:r>
              <w:rPr>
                <w:spacing w:val="-3"/>
              </w:rPr>
              <w:t>5.109</w:t>
            </w:r>
          </w:p>
        </w:tc>
        <w:tc>
          <w:tcPr>
            <w:tcW w:w="769" w:type="dxa"/>
            <w:vAlign w:val="top"/>
          </w:tcPr>
          <w:p>
            <w:pPr>
              <w:pStyle w:val="TableText"/>
              <w:ind w:left="316"/>
              <w:spacing w:before="52" w:line="199" w:lineRule="auto"/>
              <w:rPr/>
            </w:pPr>
            <w:r>
              <w:rPr/>
              <w:t>/</w:t>
            </w:r>
          </w:p>
        </w:tc>
        <w:tc>
          <w:tcPr>
            <w:tcW w:w="719" w:type="dxa"/>
            <w:vAlign w:val="top"/>
          </w:tcPr>
          <w:p>
            <w:pPr>
              <w:pStyle w:val="TableText"/>
              <w:ind w:left="296"/>
              <w:spacing w:before="52" w:line="199" w:lineRule="auto"/>
              <w:rPr/>
            </w:pPr>
            <w:r>
              <w:rPr/>
              <w:t>/</w:t>
            </w:r>
          </w:p>
        </w:tc>
        <w:tc>
          <w:tcPr>
            <w:tcW w:w="769" w:type="dxa"/>
            <w:vAlign w:val="top"/>
          </w:tcPr>
          <w:p>
            <w:pPr>
              <w:pStyle w:val="TableText"/>
              <w:ind w:left="318"/>
              <w:spacing w:before="52" w:line="199" w:lineRule="auto"/>
              <w:rPr/>
            </w:pPr>
            <w:r>
              <w:rPr/>
              <w:t>/</w:t>
            </w:r>
          </w:p>
        </w:tc>
        <w:tc>
          <w:tcPr>
            <w:tcW w:w="629" w:type="dxa"/>
            <w:vAlign w:val="top"/>
          </w:tcPr>
          <w:p>
            <w:pPr>
              <w:pStyle w:val="TableText"/>
              <w:ind w:left="18"/>
              <w:spacing w:before="104" w:line="157" w:lineRule="auto"/>
              <w:rPr/>
            </w:pPr>
            <w:r>
              <w:rPr>
                <w:spacing w:val="-2"/>
              </w:rPr>
              <w:t>0.051</w:t>
            </w:r>
          </w:p>
        </w:tc>
        <w:tc>
          <w:tcPr>
            <w:tcW w:w="584" w:type="dxa"/>
            <w:vAlign w:val="top"/>
          </w:tcPr>
          <w:p>
            <w:pPr>
              <w:rPr>
                <w:rFonts w:ascii="Arial"/>
                <w:sz w:val="21"/>
              </w:rPr>
            </w:pPr>
            <w:r/>
          </w:p>
        </w:tc>
      </w:tr>
      <w:tr>
        <w:trPr>
          <w:trHeight w:val="300" w:hRule="atLeast"/>
        </w:trPr>
        <w:tc>
          <w:tcPr>
            <w:tcW w:w="525" w:type="dxa"/>
            <w:vAlign w:val="top"/>
            <w:vMerge w:val="continue"/>
            <w:tcBorders>
              <w:top w:val="nil"/>
              <w:bottom w:val="nil"/>
            </w:tcBorders>
          </w:tcPr>
          <w:p>
            <w:pPr>
              <w:rPr>
                <w:rFonts w:ascii="Arial"/>
                <w:sz w:val="21"/>
              </w:rPr>
            </w:pPr>
            <w:r/>
          </w:p>
        </w:tc>
        <w:tc>
          <w:tcPr>
            <w:tcW w:w="8464" w:type="dxa"/>
            <w:vAlign w:val="top"/>
            <w:gridSpan w:val="10"/>
          </w:tcPr>
          <w:p>
            <w:pPr>
              <w:pStyle w:val="TableText"/>
              <w:ind w:left="119"/>
              <w:spacing w:before="45" w:line="196" w:lineRule="auto"/>
              <w:rPr/>
            </w:pPr>
            <w:r>
              <w:rPr>
                <w:spacing w:val="-1"/>
              </w:rPr>
              <w:t>注：投料年工作时间3000h/a。</w:t>
            </w:r>
          </w:p>
        </w:tc>
      </w:tr>
      <w:tr>
        <w:trPr>
          <w:trHeight w:val="5571" w:hRule="atLeast"/>
        </w:trPr>
        <w:tc>
          <w:tcPr>
            <w:tcW w:w="525" w:type="dxa"/>
            <w:vAlign w:val="top"/>
            <w:vMerge w:val="continue"/>
            <w:tcBorders>
              <w:top w:val="nil"/>
            </w:tcBorders>
          </w:tcPr>
          <w:p>
            <w:pPr>
              <w:rPr>
                <w:rFonts w:ascii="Arial"/>
                <w:sz w:val="21"/>
              </w:rPr>
            </w:pPr>
            <w:r/>
          </w:p>
        </w:tc>
        <w:tc>
          <w:tcPr>
            <w:tcW w:w="8464" w:type="dxa"/>
            <w:vAlign w:val="top"/>
            <w:gridSpan w:val="10"/>
          </w:tcPr>
          <w:p>
            <w:pPr>
              <w:spacing w:line="414" w:lineRule="auto"/>
              <w:rPr>
                <w:rFonts w:ascii="Arial"/>
                <w:sz w:val="21"/>
              </w:rPr>
            </w:pPr>
            <w:r/>
          </w:p>
          <w:p>
            <w:pPr>
              <w:pStyle w:val="TableText"/>
              <w:ind w:left="123"/>
              <w:spacing w:before="75" w:line="219" w:lineRule="auto"/>
              <w:rPr/>
            </w:pPr>
            <w:r>
              <w:rPr>
                <w:b/>
                <w:bCs/>
                <w:spacing w:val="-3"/>
              </w:rPr>
              <w:t>4.2.2阴极涂布NMP废气</w:t>
            </w:r>
          </w:p>
          <w:p>
            <w:pPr>
              <w:pStyle w:val="TableText"/>
              <w:ind w:left="733"/>
              <w:spacing w:before="188" w:line="219" w:lineRule="auto"/>
              <w:rPr/>
            </w:pPr>
            <w:r>
              <w:rPr>
                <w:b/>
                <w:bCs/>
                <w:spacing w:val="-3"/>
              </w:rPr>
              <w:t>(1)废气来源及治理设施情况</w:t>
            </w:r>
          </w:p>
          <w:p>
            <w:pPr>
              <w:pStyle w:val="TableText"/>
              <w:ind w:left="590"/>
              <w:spacing w:before="187" w:line="216" w:lineRule="auto"/>
              <w:rPr/>
            </w:pPr>
            <w:r>
              <w:rPr/>
              <w:t>项目阴极搅拌制浆工序溶剂为NMP,在涂布</w:t>
            </w:r>
            <w:r>
              <w:rPr>
                <w:spacing w:val="-1"/>
              </w:rPr>
              <w:t>及烘干过程中，NMP全部挥发</w:t>
            </w:r>
          </w:p>
          <w:p>
            <w:pPr>
              <w:pStyle w:val="TableText"/>
              <w:ind w:left="119"/>
              <w:spacing w:before="203" w:line="440" w:lineRule="exact"/>
              <w:rPr/>
            </w:pPr>
            <w:r>
              <w:rPr>
                <w:position w:val="15"/>
              </w:rPr>
              <w:t>形成有机废气，污染物表征为非甲烷总烃，而凹版、阳极材料使</w:t>
            </w:r>
            <w:r>
              <w:rPr>
                <w:spacing w:val="-1"/>
                <w:position w:val="15"/>
              </w:rPr>
              <w:t>用纯水作溶剂，</w:t>
            </w:r>
          </w:p>
          <w:p>
            <w:pPr>
              <w:pStyle w:val="TableText"/>
              <w:ind w:left="109"/>
              <w:spacing w:line="219" w:lineRule="auto"/>
              <w:rPr/>
            </w:pPr>
            <w:r>
              <w:rPr>
                <w:spacing w:val="-1"/>
              </w:rPr>
              <w:t>不产生废气。</w:t>
            </w:r>
          </w:p>
          <w:p>
            <w:pPr>
              <w:pStyle w:val="TableText"/>
              <w:ind w:left="590"/>
              <w:spacing w:before="205" w:line="219" w:lineRule="auto"/>
              <w:rPr/>
            </w:pPr>
            <w:r>
              <w:rPr/>
              <w:t>涂布废气通过全密闭集气罩收集进入NMP冷凝+轮转回收装置，回收的</w:t>
            </w:r>
          </w:p>
          <w:p>
            <w:pPr>
              <w:pStyle w:val="TableText"/>
              <w:ind w:left="109"/>
              <w:spacing w:before="199" w:line="219" w:lineRule="auto"/>
              <w:rPr/>
            </w:pPr>
            <w:r>
              <w:rPr/>
              <w:t>NMP液体由管道输送进入NMP废液罐，经转轮回收后的不凝气由</w:t>
            </w:r>
            <w:r>
              <w:rPr>
                <w:spacing w:val="-1"/>
              </w:rPr>
              <w:t>排气筒排放。</w:t>
            </w:r>
          </w:p>
          <w:p>
            <w:pPr>
              <w:pStyle w:val="TableText"/>
              <w:ind w:left="119"/>
              <w:spacing w:before="196" w:line="219" w:lineRule="auto"/>
              <w:rPr/>
            </w:pPr>
            <w:r>
              <w:rPr/>
              <w:t>本项目配备4套“二级冷凝回收+沸石轮转吸附”装置，共用1根27</w:t>
            </w:r>
            <w:r>
              <w:rPr>
                <w:spacing w:val="-1"/>
              </w:rPr>
              <w:t>m高排气筒。</w:t>
            </w:r>
          </w:p>
          <w:p>
            <w:pPr>
              <w:pStyle w:val="TableText"/>
              <w:ind w:left="733"/>
              <w:spacing w:before="216" w:line="220" w:lineRule="auto"/>
              <w:rPr/>
            </w:pPr>
            <w:r>
              <w:rPr>
                <w:b/>
                <w:bCs/>
                <w:spacing w:val="-3"/>
              </w:rPr>
              <w:t>(2)污染物排放源强</w:t>
            </w:r>
          </w:p>
          <w:p>
            <w:pPr>
              <w:pStyle w:val="TableText"/>
              <w:ind w:left="590"/>
              <w:spacing w:before="187" w:line="470" w:lineRule="exact"/>
              <w:rPr/>
            </w:pPr>
            <w:r>
              <w:rPr>
                <w:position w:val="18"/>
              </w:rPr>
              <w:t>项目阴极片浆料用涂布机涂敷在铝箔两面，然后进入烘箱烘干，此过程将</w:t>
            </w:r>
          </w:p>
          <w:p>
            <w:pPr>
              <w:pStyle w:val="TableText"/>
              <w:ind w:left="109"/>
              <w:spacing w:before="1" w:line="218" w:lineRule="auto"/>
              <w:rPr/>
            </w:pPr>
            <w:r>
              <w:rPr/>
              <w:t>有大量的NMP挥发出形成废气。根据操作工艺，涂布</w:t>
            </w:r>
            <w:r>
              <w:rPr>
                <w:spacing w:val="-1"/>
              </w:rPr>
              <w:t>工序基片进出口有少量废</w:t>
            </w:r>
          </w:p>
        </w:tc>
      </w:tr>
    </w:tbl>
    <w:p>
      <w:pPr>
        <w:rPr>
          <w:rFonts w:ascii="Arial"/>
          <w:sz w:val="21"/>
        </w:rPr>
      </w:pPr>
      <w:r/>
    </w:p>
    <w:p>
      <w:pPr>
        <w:sectPr>
          <w:footerReference w:type="default" r:id="rId86"/>
          <w:pgSz w:w="11900" w:h="16840"/>
          <w:pgMar w:top="1431" w:right="1375" w:bottom="988" w:left="1524" w:header="0" w:footer="849" w:gutter="0"/>
        </w:sectPr>
        <w:rPr>
          <w:rFonts w:ascii="Arial" w:hAnsi="Arial" w:eastAsia="Arial" w:cs="Arial"/>
          <w:sz w:val="21"/>
          <w:szCs w:val="21"/>
        </w:rPr>
      </w:pPr>
    </w:p>
    <w:p>
      <w:pPr>
        <w:spacing w:line="141" w:lineRule="auto"/>
        <w:rPr>
          <w:rFonts w:ascii="Arial"/>
          <w:sz w:val="2"/>
        </w:rPr>
      </w:pPr>
      <w:r>
        <w:rPr>
          <w:rFonts w:ascii="Arial"/>
          <w:sz w:val="2"/>
        </w:rPr>
      </w:r>
    </w:p>
    <w:tbl>
      <w:tblPr>
        <w:tblStyle w:val="TableNormal"/>
        <w:tblW w:w="900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24"/>
        <w:gridCol w:w="8485"/>
      </w:tblGrid>
      <w:tr>
        <w:trPr>
          <w:trHeight w:val="13560" w:hRule="atLeast"/>
        </w:trPr>
        <w:tc>
          <w:tcPr>
            <w:tcW w:w="524" w:type="dxa"/>
            <w:vAlign w:val="top"/>
          </w:tcPr>
          <w:p>
            <w:pPr>
              <w:rPr>
                <w:rFonts w:ascii="Arial"/>
                <w:sz w:val="21"/>
              </w:rPr>
            </w:pPr>
            <w:r/>
          </w:p>
        </w:tc>
        <w:tc>
          <w:tcPr>
            <w:tcW w:w="8485" w:type="dxa"/>
            <w:vAlign w:val="top"/>
          </w:tcPr>
          <w:p>
            <w:pPr>
              <w:pStyle w:val="TableText"/>
              <w:ind w:left="140"/>
              <w:spacing w:before="54" w:line="459" w:lineRule="exact"/>
              <w:rPr>
                <w:sz w:val="24"/>
                <w:szCs w:val="24"/>
              </w:rPr>
            </w:pPr>
            <w:r>
              <w:rPr>
                <w:sz w:val="24"/>
                <w:szCs w:val="24"/>
                <w:position w:val="16"/>
              </w:rPr>
              <w:t>气逸出于车间，即约有0.01%的NMP以无组织形式排放于车间内，烘干系统为</w:t>
            </w:r>
          </w:p>
          <w:p>
            <w:pPr>
              <w:pStyle w:val="TableText"/>
              <w:ind w:left="160"/>
              <w:spacing w:line="218" w:lineRule="auto"/>
              <w:rPr>
                <w:sz w:val="24"/>
                <w:szCs w:val="24"/>
              </w:rPr>
            </w:pPr>
            <w:r>
              <w:rPr>
                <w:sz w:val="24"/>
                <w:szCs w:val="24"/>
              </w:rPr>
              <w:t>全密闭的，烘干过程挥发的废气可100%经集气管收集至回收系统</w:t>
            </w:r>
            <w:r>
              <w:rPr>
                <w:sz w:val="24"/>
                <w:szCs w:val="24"/>
                <w:spacing w:val="-1"/>
              </w:rPr>
              <w:t>内。</w:t>
            </w:r>
          </w:p>
          <w:p>
            <w:pPr>
              <w:pStyle w:val="TableText"/>
              <w:ind w:left="631"/>
              <w:spacing w:before="186" w:line="219" w:lineRule="auto"/>
              <w:rPr>
                <w:sz w:val="24"/>
                <w:szCs w:val="24"/>
              </w:rPr>
            </w:pPr>
            <w:r>
              <w:rPr>
                <w:sz w:val="24"/>
                <w:szCs w:val="24"/>
              </w:rPr>
              <w:t>根据NMP物料平衡分析可知，NMP约0.01%以无组织形式排放于车间内，</w:t>
            </w:r>
          </w:p>
          <w:p>
            <w:pPr>
              <w:pStyle w:val="TableText"/>
              <w:ind w:left="211"/>
              <w:spacing w:before="178" w:line="476" w:lineRule="exact"/>
              <w:rPr>
                <w:sz w:val="24"/>
                <w:szCs w:val="24"/>
              </w:rPr>
            </w:pPr>
            <w:r>
              <w:rPr>
                <w:sz w:val="24"/>
                <w:szCs w:val="24"/>
                <w:position w:val="18"/>
              </w:rPr>
              <w:t>排放量约0.96t/a,年工作时间6600h/a,排放速率约0.145kg/h</w:t>
            </w:r>
            <w:r>
              <w:rPr>
                <w:sz w:val="24"/>
                <w:szCs w:val="24"/>
                <w:spacing w:val="-1"/>
                <w:position w:val="18"/>
              </w:rPr>
              <w:t>;约9264t/a进入</w:t>
            </w:r>
          </w:p>
          <w:p>
            <w:pPr>
              <w:pStyle w:val="TableText"/>
              <w:ind w:left="130"/>
              <w:spacing w:before="1" w:line="218" w:lineRule="auto"/>
              <w:rPr>
                <w:sz w:val="24"/>
                <w:szCs w:val="24"/>
              </w:rPr>
            </w:pPr>
            <w:r>
              <w:rPr>
                <w:sz w:val="24"/>
                <w:szCs w:val="24"/>
                <w:spacing w:val="1"/>
              </w:rPr>
              <w:t>烘干系统中挥发。项目共设有4条阴极片生产</w:t>
            </w:r>
            <w:r>
              <w:rPr>
                <w:sz w:val="24"/>
                <w:szCs w:val="24"/>
              </w:rPr>
              <w:t>线，平均每条线产生NMP量约</w:t>
            </w:r>
          </w:p>
          <w:p>
            <w:pPr>
              <w:pStyle w:val="TableText"/>
              <w:ind w:left="130"/>
              <w:spacing w:before="169" w:line="214" w:lineRule="auto"/>
              <w:rPr>
                <w:sz w:val="24"/>
                <w:szCs w:val="24"/>
              </w:rPr>
            </w:pPr>
            <w:r>
              <w:rPr>
                <w:sz w:val="24"/>
                <w:szCs w:val="24"/>
              </w:rPr>
              <w:t>2316t/a(350.91kg/h),每条线配置1套“二级冷凝回收+沸石轮转吸附”,进</w:t>
            </w:r>
          </w:p>
          <w:p>
            <w:pPr>
              <w:pStyle w:val="TableText"/>
              <w:ind w:left="150"/>
              <w:spacing w:before="172" w:line="487" w:lineRule="exact"/>
              <w:rPr>
                <w:sz w:val="24"/>
                <w:szCs w:val="24"/>
              </w:rPr>
            </w:pPr>
            <w:r>
              <w:rPr>
                <w:sz w:val="24"/>
                <w:szCs w:val="24"/>
                <w:spacing w:val="6"/>
                <w:position w:val="19"/>
              </w:rPr>
              <w:t>风口风量为81250m³/h,则每条线</w:t>
            </w:r>
            <w:r>
              <w:rPr>
                <w:sz w:val="24"/>
                <w:szCs w:val="24"/>
                <w:position w:val="19"/>
              </w:rPr>
              <w:t>NMP</w:t>
            </w:r>
            <w:r>
              <w:rPr>
                <w:sz w:val="24"/>
                <w:szCs w:val="24"/>
                <w:spacing w:val="6"/>
                <w:position w:val="19"/>
              </w:rPr>
              <w:t>产生浓度约4319.0</w:t>
            </w:r>
            <w:r>
              <w:rPr>
                <w:sz w:val="24"/>
                <w:szCs w:val="24"/>
                <w:position w:val="19"/>
              </w:rPr>
              <w:t>mg</w:t>
            </w:r>
            <w:r>
              <w:rPr>
                <w:sz w:val="24"/>
                <w:szCs w:val="24"/>
                <w:spacing w:val="6"/>
                <w:position w:val="19"/>
              </w:rPr>
              <w:t>/m³。各生产线收集</w:t>
            </w:r>
          </w:p>
          <w:p>
            <w:pPr>
              <w:pStyle w:val="TableText"/>
              <w:ind w:left="140"/>
              <w:spacing w:before="1" w:line="218" w:lineRule="auto"/>
              <w:rPr>
                <w:sz w:val="24"/>
                <w:szCs w:val="24"/>
              </w:rPr>
            </w:pPr>
            <w:r>
              <w:rPr>
                <w:sz w:val="24"/>
                <w:szCs w:val="24"/>
              </w:rPr>
              <w:t>的NMP经“二级冷凝回收+沸石轮转吸附”处理后，尾气合并至1根排气筒排</w:t>
            </w:r>
          </w:p>
          <w:p>
            <w:pPr>
              <w:pStyle w:val="TableText"/>
              <w:ind w:left="140"/>
              <w:spacing w:before="189" w:line="483" w:lineRule="exact"/>
              <w:rPr>
                <w:sz w:val="24"/>
                <w:szCs w:val="24"/>
              </w:rPr>
            </w:pPr>
            <w:r>
              <w:rPr>
                <w:sz w:val="24"/>
                <w:szCs w:val="24"/>
                <w:spacing w:val="3"/>
                <w:position w:val="18"/>
              </w:rPr>
              <w:t>放，排放量0.960t/a,排放速率0.145</w:t>
            </w:r>
            <w:r>
              <w:rPr>
                <w:sz w:val="24"/>
                <w:szCs w:val="24"/>
                <w:position w:val="18"/>
              </w:rPr>
              <w:t>kg</w:t>
            </w:r>
            <w:r>
              <w:rPr>
                <w:sz w:val="24"/>
                <w:szCs w:val="24"/>
                <w:spacing w:val="3"/>
                <w:position w:val="18"/>
              </w:rPr>
              <w:t>/h、排放浓度4.47</w:t>
            </w:r>
            <w:r>
              <w:rPr>
                <w:sz w:val="24"/>
                <w:szCs w:val="24"/>
                <w:position w:val="18"/>
              </w:rPr>
              <w:t>mg</w:t>
            </w:r>
            <w:r>
              <w:rPr>
                <w:sz w:val="24"/>
                <w:szCs w:val="24"/>
                <w:spacing w:val="3"/>
                <w:position w:val="18"/>
              </w:rPr>
              <w:t>/m³(总风量</w:t>
            </w:r>
          </w:p>
          <w:p>
            <w:pPr>
              <w:pStyle w:val="TableText"/>
              <w:ind w:left="150"/>
              <w:spacing w:before="1" w:line="216" w:lineRule="auto"/>
              <w:rPr>
                <w:sz w:val="24"/>
                <w:szCs w:val="24"/>
              </w:rPr>
            </w:pPr>
            <w:r>
              <w:rPr>
                <w:sz w:val="24"/>
                <w:szCs w:val="24"/>
                <w:spacing w:val="5"/>
              </w:rPr>
              <w:t>32500m³/h),处理效率约为99.9%。</w:t>
            </w:r>
          </w:p>
          <w:p>
            <w:pPr>
              <w:pStyle w:val="TableText"/>
              <w:ind w:left="631"/>
              <w:spacing w:before="183" w:line="219" w:lineRule="auto"/>
              <w:rPr>
                <w:sz w:val="24"/>
                <w:szCs w:val="24"/>
              </w:rPr>
            </w:pPr>
            <w:r>
              <w:rPr>
                <w:sz w:val="24"/>
                <w:szCs w:val="24"/>
              </w:rPr>
              <w:t>根据NMP处理设施设计参数以及物料衡算结果，NMP污染源强核算见表</w:t>
            </w:r>
          </w:p>
          <w:p>
            <w:pPr>
              <w:pStyle w:val="TableText"/>
              <w:ind w:left="120"/>
              <w:spacing w:before="256" w:line="183" w:lineRule="auto"/>
              <w:rPr>
                <w:sz w:val="24"/>
                <w:szCs w:val="24"/>
              </w:rPr>
            </w:pPr>
            <w:r>
              <w:rPr>
                <w:sz w:val="24"/>
                <w:szCs w:val="24"/>
                <w:spacing w:val="-4"/>
              </w:rPr>
              <w:t>4.2-4。</w:t>
            </w:r>
          </w:p>
          <w:p>
            <w:pPr>
              <w:pStyle w:val="TableText"/>
              <w:ind w:left="754"/>
              <w:spacing w:before="148" w:line="220" w:lineRule="auto"/>
              <w:rPr>
                <w:sz w:val="24"/>
                <w:szCs w:val="24"/>
              </w:rPr>
            </w:pPr>
            <w:r>
              <w:rPr>
                <w:sz w:val="24"/>
                <w:szCs w:val="24"/>
                <w:b/>
                <w:bCs/>
                <w:spacing w:val="-3"/>
              </w:rPr>
              <w:t>(3)措施可行性分析</w:t>
            </w:r>
          </w:p>
          <w:p>
            <w:pPr>
              <w:pStyle w:val="TableText"/>
              <w:ind w:left="90" w:right="43" w:firstLine="530"/>
              <w:spacing w:before="166" w:line="357" w:lineRule="auto"/>
              <w:rPr>
                <w:sz w:val="24"/>
                <w:szCs w:val="24"/>
              </w:rPr>
            </w:pPr>
            <w:r>
              <w:rPr>
                <w:sz w:val="24"/>
                <w:szCs w:val="24"/>
                <w:spacing w:val="1"/>
              </w:rPr>
              <w:t>收集措施：阴极涂布烘干在专门密闭涂布间内进行，涂布烘干采用</w:t>
            </w:r>
            <w:r>
              <w:rPr>
                <w:sz w:val="24"/>
                <w:szCs w:val="24"/>
              </w:rPr>
              <w:t>顶部自 </w:t>
            </w:r>
            <w:r>
              <w:rPr>
                <w:sz w:val="24"/>
                <w:szCs w:val="24"/>
                <w:spacing w:val="5"/>
              </w:rPr>
              <w:t>带抽风系统的隧道型烘箱，且烘干前后的输送段配备有密闭罩实现废气收集；</w:t>
            </w:r>
            <w:r>
              <w:rPr>
                <w:sz w:val="24"/>
                <w:szCs w:val="24"/>
                <w:spacing w:val="9"/>
              </w:rPr>
              <w:t xml:space="preserve"> </w:t>
            </w:r>
            <w:r>
              <w:rPr>
                <w:sz w:val="24"/>
                <w:szCs w:val="24"/>
              </w:rPr>
              <w:t>涂布烘箱进、出口处设有飘带监控装置对烘箱内的负压状态进行监控，确保NMP</w:t>
            </w:r>
            <w:r>
              <w:rPr>
                <w:sz w:val="24"/>
                <w:szCs w:val="24"/>
                <w:spacing w:val="8"/>
              </w:rPr>
              <w:t xml:space="preserve"> </w:t>
            </w:r>
            <w:r>
              <w:rPr>
                <w:sz w:val="24"/>
                <w:szCs w:val="24"/>
                <w:spacing w:val="1"/>
              </w:rPr>
              <w:t>废气能完全收集，当飘带朝烘箱内摆动时，则烘箱内的负压状态正常，设备可</w:t>
            </w:r>
            <w:r>
              <w:rPr>
                <w:sz w:val="24"/>
                <w:szCs w:val="24"/>
                <w:spacing w:val="8"/>
              </w:rPr>
              <w:t xml:space="preserve">  </w:t>
            </w:r>
            <w:r>
              <w:rPr>
                <w:sz w:val="24"/>
                <w:szCs w:val="24"/>
                <w:spacing w:val="3"/>
              </w:rPr>
              <w:t>正常运行，飘带如下垂或朝外摆动时，则设备停止，须检</w:t>
            </w:r>
            <w:r>
              <w:rPr>
                <w:sz w:val="24"/>
                <w:szCs w:val="24"/>
                <w:spacing w:val="2"/>
              </w:rPr>
              <w:t>修正常后方可继续启</w:t>
            </w:r>
          </w:p>
          <w:p>
            <w:pPr>
              <w:pStyle w:val="TableText"/>
              <w:ind w:left="140"/>
              <w:spacing w:before="1" w:line="219" w:lineRule="auto"/>
              <w:rPr>
                <w:sz w:val="24"/>
                <w:szCs w:val="24"/>
              </w:rPr>
            </w:pPr>
            <w:r>
              <w:rPr>
                <w:sz w:val="24"/>
                <w:szCs w:val="24"/>
                <w:spacing w:val="1"/>
              </w:rPr>
              <w:t>动，可确保生产过程中产生的</w:t>
            </w:r>
            <w:r>
              <w:rPr>
                <w:sz w:val="24"/>
                <w:szCs w:val="24"/>
              </w:rPr>
              <w:t>NMP</w:t>
            </w:r>
            <w:r>
              <w:rPr>
                <w:sz w:val="24"/>
                <w:szCs w:val="24"/>
                <w:spacing w:val="1"/>
              </w:rPr>
              <w:t>收集效率达96.5%以上，同时厂房门窗在日</w:t>
            </w:r>
          </w:p>
          <w:p>
            <w:pPr>
              <w:pStyle w:val="TableText"/>
              <w:ind w:left="140"/>
              <w:spacing w:before="205" w:line="219" w:lineRule="auto"/>
              <w:rPr>
                <w:sz w:val="24"/>
                <w:szCs w:val="24"/>
              </w:rPr>
            </w:pPr>
            <w:r>
              <w:rPr>
                <w:sz w:val="24"/>
                <w:szCs w:val="24"/>
              </w:rPr>
              <w:t>常生产过程中保持常闭状态，因此少量无组织挥发的NMP废气(结合NMP物</w:t>
            </w:r>
          </w:p>
          <w:p>
            <w:pPr>
              <w:pStyle w:val="TableText"/>
              <w:ind w:left="150"/>
              <w:spacing w:before="184" w:line="470" w:lineRule="exact"/>
              <w:rPr>
                <w:sz w:val="24"/>
                <w:szCs w:val="24"/>
              </w:rPr>
            </w:pPr>
            <w:r>
              <w:rPr>
                <w:sz w:val="24"/>
                <w:szCs w:val="24"/>
                <w:position w:val="17"/>
              </w:rPr>
              <w:t>料平衡，约为0.96t/a)通过涂布间内的通排风设施引</w:t>
            </w:r>
            <w:r>
              <w:rPr>
                <w:sz w:val="24"/>
                <w:szCs w:val="24"/>
                <w:spacing w:val="-1"/>
                <w:position w:val="17"/>
              </w:rPr>
              <w:t>至厂房屋面排放。根据建</w:t>
            </w:r>
          </w:p>
          <w:p>
            <w:pPr>
              <w:pStyle w:val="TableText"/>
              <w:ind w:left="150"/>
              <w:spacing w:before="1" w:line="218" w:lineRule="auto"/>
              <w:rPr>
                <w:sz w:val="24"/>
                <w:szCs w:val="24"/>
              </w:rPr>
            </w:pPr>
            <w:r>
              <w:rPr>
                <w:sz w:val="24"/>
                <w:szCs w:val="24"/>
              </w:rPr>
              <w:t>设单位提供的设计资料，凹版车间的4套涂布烘干设备配套的总风量为32500</w:t>
            </w:r>
          </w:p>
          <w:p>
            <w:pPr>
              <w:pStyle w:val="TableText"/>
              <w:ind w:left="100"/>
              <w:spacing w:before="174" w:line="224" w:lineRule="auto"/>
              <w:rPr>
                <w:sz w:val="24"/>
                <w:szCs w:val="24"/>
              </w:rPr>
            </w:pPr>
            <w:r>
              <w:rPr>
                <w:sz w:val="24"/>
                <w:szCs w:val="24"/>
                <w:spacing w:val="-6"/>
              </w:rPr>
              <w:t>m/h。</w:t>
            </w:r>
          </w:p>
          <w:p>
            <w:pPr>
              <w:pStyle w:val="TableText"/>
              <w:ind w:left="571"/>
              <w:spacing w:before="180" w:line="501" w:lineRule="exact"/>
              <w:rPr>
                <w:sz w:val="24"/>
                <w:szCs w:val="24"/>
              </w:rPr>
            </w:pPr>
            <w:r>
              <w:rPr>
                <w:sz w:val="24"/>
                <w:szCs w:val="24"/>
                <w:spacing w:val="1"/>
                <w:position w:val="19"/>
              </w:rPr>
              <w:t>末端处理措施：涂布烘干产生的</w:t>
            </w:r>
            <w:r>
              <w:rPr>
                <w:sz w:val="24"/>
                <w:szCs w:val="24"/>
                <w:position w:val="19"/>
              </w:rPr>
              <w:t>NMP</w:t>
            </w:r>
            <w:r>
              <w:rPr>
                <w:sz w:val="24"/>
                <w:szCs w:val="24"/>
                <w:spacing w:val="1"/>
                <w:position w:val="19"/>
              </w:rPr>
              <w:t>通过密闭管道进入</w:t>
            </w:r>
            <w:r>
              <w:rPr>
                <w:sz w:val="24"/>
                <w:szCs w:val="24"/>
                <w:position w:val="19"/>
              </w:rPr>
              <w:t>NMP</w:t>
            </w:r>
            <w:r>
              <w:rPr>
                <w:sz w:val="24"/>
                <w:szCs w:val="24"/>
                <w:spacing w:val="1"/>
                <w:position w:val="19"/>
              </w:rPr>
              <w:t>冷凝+</w:t>
            </w:r>
            <w:r>
              <w:rPr>
                <w:sz w:val="24"/>
                <w:szCs w:val="24"/>
                <w:position w:val="19"/>
              </w:rPr>
              <w:t>转轮回</w:t>
            </w:r>
          </w:p>
          <w:p>
            <w:pPr>
              <w:pStyle w:val="TableText"/>
              <w:ind w:left="150"/>
              <w:spacing w:before="1" w:line="219" w:lineRule="auto"/>
              <w:rPr>
                <w:sz w:val="24"/>
                <w:szCs w:val="24"/>
              </w:rPr>
            </w:pPr>
            <w:r>
              <w:rPr>
                <w:sz w:val="24"/>
                <w:szCs w:val="24"/>
              </w:rPr>
              <w:t>收系统。其处理原理：</w:t>
            </w:r>
          </w:p>
          <w:p>
            <w:pPr>
              <w:pStyle w:val="TableText"/>
              <w:ind w:left="611"/>
              <w:spacing w:before="154" w:line="461" w:lineRule="exact"/>
              <w:rPr>
                <w:sz w:val="24"/>
                <w:szCs w:val="24"/>
              </w:rPr>
            </w:pPr>
            <w:r>
              <w:rPr>
                <w:sz w:val="24"/>
                <w:szCs w:val="24"/>
                <w:position w:val="16"/>
              </w:rPr>
              <w:t>根据物理化学原理，在同一温度下，物质的沸点越高则饱和蒸气压越低，</w:t>
            </w:r>
          </w:p>
          <w:p>
            <w:pPr>
              <w:pStyle w:val="TableText"/>
              <w:ind w:left="140"/>
              <w:spacing w:line="219" w:lineRule="auto"/>
              <w:rPr>
                <w:sz w:val="24"/>
                <w:szCs w:val="24"/>
              </w:rPr>
            </w:pPr>
            <w:r>
              <w:rPr>
                <w:sz w:val="24"/>
                <w:szCs w:val="24"/>
              </w:rPr>
              <w:t>冷凝回收装置即利用该原理对NMP进行冷凝回收，NMP属于高沸点物质，受</w:t>
            </w:r>
          </w:p>
          <w:p>
            <w:pPr>
              <w:pStyle w:val="TableText"/>
              <w:ind w:left="211"/>
              <w:spacing w:before="184" w:line="471" w:lineRule="exact"/>
              <w:rPr>
                <w:sz w:val="24"/>
                <w:szCs w:val="24"/>
              </w:rPr>
            </w:pPr>
            <w:r>
              <w:rPr>
                <w:sz w:val="24"/>
                <w:szCs w:val="24"/>
                <w:position w:val="17"/>
              </w:rPr>
              <w:t>热的废气从烘干设备出来后，先通过冷却器进行冷却，大部分遇冷的NMP废气</w:t>
            </w:r>
          </w:p>
          <w:p>
            <w:pPr>
              <w:pStyle w:val="TableText"/>
              <w:ind w:left="211"/>
              <w:spacing w:line="219" w:lineRule="auto"/>
              <w:rPr>
                <w:sz w:val="24"/>
                <w:szCs w:val="24"/>
              </w:rPr>
            </w:pPr>
            <w:r>
              <w:rPr>
                <w:sz w:val="24"/>
                <w:szCs w:val="24"/>
              </w:rPr>
              <w:t>由于饱和蒸汽压低在低温状态下冷凝成液体，通过密闭管道回收进入NMP废液</w:t>
            </w:r>
          </w:p>
        </w:tc>
      </w:tr>
    </w:tbl>
    <w:p>
      <w:pPr>
        <w:rPr>
          <w:rFonts w:ascii="Arial"/>
          <w:sz w:val="21"/>
        </w:rPr>
      </w:pPr>
      <w:r/>
    </w:p>
    <w:p>
      <w:pPr>
        <w:sectPr>
          <w:footerReference w:type="default" r:id="rId87"/>
          <w:pgSz w:w="11900" w:h="16840"/>
          <w:pgMar w:top="1431" w:right="1375" w:bottom="988" w:left="1504" w:header="0" w:footer="849" w:gutter="0"/>
        </w:sectPr>
        <w:rPr>
          <w:rFonts w:ascii="Arial" w:hAnsi="Arial" w:eastAsia="Arial" w:cs="Arial"/>
          <w:sz w:val="21"/>
          <w:szCs w:val="21"/>
        </w:rPr>
      </w:pPr>
    </w:p>
    <w:p>
      <w:pPr>
        <w:spacing w:line="141" w:lineRule="auto"/>
        <w:rPr>
          <w:rFonts w:ascii="Arial"/>
          <w:sz w:val="2"/>
        </w:rPr>
      </w:pPr>
      <w:r>
        <w:rPr>
          <w:rFonts w:ascii="Arial"/>
          <w:sz w:val="2"/>
        </w:rPr>
      </w:r>
    </w:p>
    <w:tbl>
      <w:tblPr>
        <w:tblStyle w:val="TableNormal"/>
        <w:tblW w:w="89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24"/>
        <w:gridCol w:w="8475"/>
      </w:tblGrid>
      <w:tr>
        <w:trPr>
          <w:trHeight w:val="12489" w:hRule="atLeast"/>
        </w:trPr>
        <w:tc>
          <w:tcPr>
            <w:tcW w:w="524" w:type="dxa"/>
            <w:vAlign w:val="top"/>
          </w:tcPr>
          <w:p>
            <w:pPr>
              <w:rPr>
                <w:rFonts w:ascii="Arial"/>
                <w:sz w:val="21"/>
              </w:rPr>
            </w:pPr>
            <w:r/>
          </w:p>
        </w:tc>
        <w:tc>
          <w:tcPr>
            <w:tcW w:w="8475" w:type="dxa"/>
            <w:vAlign w:val="top"/>
          </w:tcPr>
          <w:p>
            <w:pPr>
              <w:pStyle w:val="TableText"/>
              <w:ind w:left="120"/>
              <w:spacing w:before="33" w:line="219" w:lineRule="auto"/>
              <w:rPr>
                <w:sz w:val="24"/>
                <w:szCs w:val="24"/>
              </w:rPr>
            </w:pPr>
            <w:r>
              <w:rPr>
                <w:sz w:val="24"/>
                <w:szCs w:val="24"/>
              </w:rPr>
              <w:t>罐；小部分低浓度的未冷凝的NMP废气进入转轮吸附装置。</w:t>
            </w:r>
          </w:p>
          <w:p>
            <w:pPr>
              <w:pStyle w:val="TableText"/>
              <w:ind w:left="571"/>
              <w:spacing w:before="186" w:line="219" w:lineRule="auto"/>
              <w:rPr>
                <w:sz w:val="24"/>
                <w:szCs w:val="24"/>
              </w:rPr>
            </w:pPr>
            <w:r>
              <w:rPr>
                <w:sz w:val="24"/>
                <w:szCs w:val="24"/>
              </w:rPr>
              <w:t>a、烘于过程产生的NMP热空气以45-70℃的温度进入一级、二级表冷器</w:t>
            </w:r>
          </w:p>
          <w:p>
            <w:pPr>
              <w:pStyle w:val="TableText"/>
              <w:ind w:left="130"/>
              <w:spacing w:before="184" w:line="470" w:lineRule="exact"/>
              <w:rPr>
                <w:sz w:val="24"/>
                <w:szCs w:val="24"/>
              </w:rPr>
            </w:pPr>
            <w:r>
              <w:rPr>
                <w:sz w:val="24"/>
                <w:szCs w:val="24"/>
                <w:position w:val="17"/>
              </w:rPr>
              <w:t>分别通过32℃、9℃冷冻水冷却后，大部分遇冷的NMP在低温状态下冷凝成液</w:t>
            </w:r>
          </w:p>
          <w:p>
            <w:pPr>
              <w:pStyle w:val="TableText"/>
              <w:ind w:left="211"/>
              <w:spacing w:line="218" w:lineRule="auto"/>
              <w:rPr>
                <w:sz w:val="24"/>
                <w:szCs w:val="24"/>
              </w:rPr>
            </w:pPr>
            <w:r>
              <w:rPr>
                <w:sz w:val="24"/>
                <w:szCs w:val="24"/>
              </w:rPr>
              <w:t>体回收进入废液罐；其余冷却后的低浓度NMP以5℃的低温进入转轮吸附装置。</w:t>
            </w:r>
          </w:p>
          <w:p>
            <w:pPr>
              <w:pStyle w:val="TableText"/>
              <w:ind w:left="631"/>
              <w:spacing w:before="163" w:line="216" w:lineRule="auto"/>
              <w:rPr>
                <w:sz w:val="24"/>
                <w:szCs w:val="24"/>
              </w:rPr>
            </w:pPr>
            <w:r>
              <w:rPr>
                <w:sz w:val="24"/>
                <w:szCs w:val="24"/>
              </w:rPr>
              <w:t>一级冷凝效率90%,二次冷凝效率90%,能充分保证冷凝效果。冷凝法利</w:t>
            </w:r>
          </w:p>
          <w:p>
            <w:pPr>
              <w:pStyle w:val="TableText"/>
              <w:ind w:left="149" w:hanging="59"/>
              <w:spacing w:before="183" w:line="365" w:lineRule="auto"/>
              <w:jc w:val="both"/>
              <w:rPr>
                <w:sz w:val="24"/>
                <w:szCs w:val="24"/>
              </w:rPr>
            </w:pPr>
            <w:r>
              <w:rPr>
                <w:sz w:val="24"/>
                <w:szCs w:val="24"/>
                <w:spacing w:val="-1"/>
              </w:rPr>
              <w:t>用物理学原理，通过冷冻水作为介质，使该物质通过冷凝后由气态恢复为液态，</w:t>
            </w:r>
            <w:r>
              <w:rPr>
                <w:sz w:val="24"/>
                <w:szCs w:val="24"/>
                <w:spacing w:val="8"/>
              </w:rPr>
              <w:t xml:space="preserve"> </w:t>
            </w:r>
            <w:r>
              <w:rPr>
                <w:sz w:val="24"/>
                <w:szCs w:val="24"/>
                <w:spacing w:val="-1"/>
              </w:rPr>
              <w:t>从而回流并收集。根据相关资料，冷凝处理有机废气的工艺已非常完善，在企</w:t>
            </w:r>
          </w:p>
          <w:p>
            <w:pPr>
              <w:pStyle w:val="TableText"/>
              <w:ind w:left="130"/>
              <w:spacing w:before="1" w:line="218" w:lineRule="auto"/>
              <w:rPr>
                <w:sz w:val="24"/>
                <w:szCs w:val="24"/>
              </w:rPr>
            </w:pPr>
            <w:r>
              <w:rPr>
                <w:sz w:val="24"/>
                <w:szCs w:val="24"/>
                <w:spacing w:val="-1"/>
              </w:rPr>
              <w:t>业生产中经常用到该工艺处理有机废气，其处理效果较好且运行稳定。</w:t>
            </w:r>
          </w:p>
          <w:p>
            <w:pPr>
              <w:pStyle w:val="TableText"/>
              <w:ind w:left="511"/>
              <w:spacing w:before="185" w:line="219" w:lineRule="auto"/>
              <w:rPr>
                <w:sz w:val="24"/>
                <w:szCs w:val="24"/>
              </w:rPr>
            </w:pPr>
            <w:r>
              <w:rPr>
                <w:sz w:val="24"/>
                <w:szCs w:val="24"/>
              </w:rPr>
              <w:t>b、用于吸附NMP废气的转轮为沸石材质的圆形构件，轮</w:t>
            </w:r>
            <w:r>
              <w:rPr>
                <w:sz w:val="24"/>
                <w:szCs w:val="24"/>
                <w:spacing w:val="-1"/>
              </w:rPr>
              <w:t>转吸附的处理效</w:t>
            </w:r>
          </w:p>
          <w:p>
            <w:pPr>
              <w:pStyle w:val="TableText"/>
              <w:ind w:left="150" w:right="143" w:firstLine="60"/>
              <w:spacing w:before="185" w:line="354" w:lineRule="auto"/>
              <w:rPr>
                <w:sz w:val="24"/>
                <w:szCs w:val="24"/>
              </w:rPr>
            </w:pPr>
            <w:r>
              <w:rPr>
                <w:sz w:val="24"/>
                <w:szCs w:val="24"/>
              </w:rPr>
              <w:t>率可达90%。整套装置根据工作温度分为处理区、解吸区和预热区。沸石转轮</w:t>
            </w:r>
            <w:r>
              <w:rPr>
                <w:sz w:val="24"/>
                <w:szCs w:val="24"/>
                <w:spacing w:val="9"/>
              </w:rPr>
              <w:t xml:space="preserve"> </w:t>
            </w:r>
            <w:r>
              <w:rPr>
                <w:sz w:val="24"/>
                <w:szCs w:val="24"/>
              </w:rPr>
              <w:t>外侧对应处理区解吸区转轮中部对应预热区，随着转轮的不断旋转，沸石转轮</w:t>
            </w:r>
          </w:p>
          <w:p>
            <w:pPr>
              <w:pStyle w:val="TableText"/>
              <w:ind w:left="130"/>
              <w:spacing w:before="1" w:line="218" w:lineRule="auto"/>
              <w:rPr>
                <w:sz w:val="24"/>
                <w:szCs w:val="24"/>
              </w:rPr>
            </w:pPr>
            <w:r>
              <w:rPr>
                <w:sz w:val="24"/>
                <w:szCs w:val="24"/>
              </w:rPr>
              <w:t>在处理区吸附并富集了低浓度的NMP废气后旋转到解吸区被150℃的热空气吹</w:t>
            </w:r>
          </w:p>
          <w:p>
            <w:pPr>
              <w:pStyle w:val="TableText"/>
              <w:ind w:left="130"/>
              <w:spacing w:before="184" w:line="216" w:lineRule="auto"/>
              <w:rPr>
                <w:sz w:val="24"/>
                <w:szCs w:val="24"/>
              </w:rPr>
            </w:pPr>
            <w:r>
              <w:rPr>
                <w:sz w:val="24"/>
                <w:szCs w:val="24"/>
                <w:spacing w:val="1"/>
              </w:rPr>
              <w:t>脱(旋转期间沸石转轮中部的预热区不断对转轮</w:t>
            </w:r>
            <w:r>
              <w:rPr>
                <w:sz w:val="24"/>
                <w:szCs w:val="24"/>
              </w:rPr>
              <w:t>进行预热),被吹脱的空气以</w:t>
            </w:r>
          </w:p>
          <w:p>
            <w:pPr>
              <w:pStyle w:val="TableText"/>
              <w:ind w:left="211" w:right="201"/>
              <w:spacing w:before="193" w:line="369" w:lineRule="auto"/>
              <w:rPr>
                <w:sz w:val="24"/>
                <w:szCs w:val="24"/>
              </w:rPr>
            </w:pPr>
            <w:r>
              <w:rPr>
                <w:sz w:val="24"/>
                <w:szCs w:val="24"/>
              </w:rPr>
              <w:t>70℃通过循环系统再次送入表冷器，通过冷凝作用回收NMP物料。经转轮回收</w:t>
            </w:r>
            <w:r>
              <w:rPr>
                <w:sz w:val="24"/>
                <w:szCs w:val="24"/>
                <w:spacing w:val="8"/>
              </w:rPr>
              <w:t xml:space="preserve"> </w:t>
            </w:r>
            <w:r>
              <w:rPr>
                <w:sz w:val="24"/>
                <w:szCs w:val="24"/>
              </w:rPr>
              <w:t>后的尾气90%回至涂布烘干系统使用，形成气体闭路循环换热，少量的涂布废</w:t>
            </w:r>
          </w:p>
          <w:p>
            <w:pPr>
              <w:pStyle w:val="TableText"/>
              <w:ind w:left="140"/>
              <w:spacing w:line="219" w:lineRule="auto"/>
              <w:rPr>
                <w:sz w:val="24"/>
                <w:szCs w:val="24"/>
              </w:rPr>
            </w:pPr>
            <w:r>
              <w:rPr>
                <w:sz w:val="24"/>
                <w:szCs w:val="24"/>
                <w:spacing w:val="-1"/>
              </w:rPr>
              <w:t>气(10%)尾气由27m高排气筒排放。</w:t>
            </w:r>
          </w:p>
          <w:p>
            <w:pPr>
              <w:pStyle w:val="TableText"/>
              <w:ind w:left="611"/>
              <w:spacing w:before="174" w:line="481" w:lineRule="exact"/>
              <w:rPr>
                <w:sz w:val="24"/>
                <w:szCs w:val="24"/>
              </w:rPr>
            </w:pPr>
            <w:r>
              <w:rPr>
                <w:sz w:val="24"/>
                <w:szCs w:val="24"/>
                <w:position w:val="18"/>
              </w:rPr>
              <w:t>转轮回收过程采用循环风系统对物料进行吸附收集、解吸不凝气随着循环</w:t>
            </w:r>
          </w:p>
          <w:p>
            <w:pPr>
              <w:pStyle w:val="TableText"/>
              <w:ind w:left="140"/>
              <w:spacing w:line="219" w:lineRule="auto"/>
              <w:rPr>
                <w:sz w:val="24"/>
                <w:szCs w:val="24"/>
              </w:rPr>
            </w:pPr>
            <w:r>
              <w:rPr>
                <w:sz w:val="24"/>
                <w:szCs w:val="24"/>
              </w:rPr>
              <w:t>风系统释放空气压力的排风向外排放。</w:t>
            </w:r>
          </w:p>
          <w:p>
            <w:pPr>
              <w:pStyle w:val="TableText"/>
              <w:ind w:left="150" w:right="139" w:firstLine="460"/>
              <w:spacing w:before="164" w:line="355" w:lineRule="auto"/>
              <w:rPr>
                <w:sz w:val="24"/>
                <w:szCs w:val="24"/>
              </w:rPr>
            </w:pPr>
            <w:r>
              <w:rPr>
                <w:sz w:val="24"/>
                <w:szCs w:val="24"/>
              </w:rPr>
              <w:t>转轮回收处理NMP废气属于电池行业内的成熟</w:t>
            </w:r>
            <w:r>
              <w:rPr>
                <w:sz w:val="24"/>
                <w:szCs w:val="24"/>
                <w:spacing w:val="-1"/>
              </w:rPr>
              <w:t>工艺，根据现有工程阶段性</w:t>
            </w:r>
            <w:r>
              <w:rPr>
                <w:sz w:val="24"/>
                <w:szCs w:val="24"/>
              </w:rPr>
              <w:t xml:space="preserve">  </w:t>
            </w:r>
            <w:r>
              <w:rPr>
                <w:sz w:val="24"/>
                <w:szCs w:val="24"/>
                <w:spacing w:val="7"/>
              </w:rPr>
              <w:t>验收资料显示，采用上述工艺处理后的</w:t>
            </w:r>
            <w:r>
              <w:rPr>
                <w:sz w:val="24"/>
                <w:szCs w:val="24"/>
              </w:rPr>
              <w:t>NMP</w:t>
            </w:r>
            <w:r>
              <w:rPr>
                <w:sz w:val="24"/>
                <w:szCs w:val="24"/>
                <w:spacing w:val="7"/>
              </w:rPr>
              <w:t>废气实测浓度为1.30-1.</w:t>
            </w:r>
            <w:r>
              <w:rPr>
                <w:sz w:val="24"/>
                <w:szCs w:val="24"/>
                <w:spacing w:val="6"/>
              </w:rPr>
              <w:t>57</w:t>
            </w:r>
            <w:r>
              <w:rPr>
                <w:sz w:val="24"/>
                <w:szCs w:val="24"/>
              </w:rPr>
              <w:t>mg</w:t>
            </w:r>
            <w:r>
              <w:rPr>
                <w:sz w:val="24"/>
                <w:szCs w:val="24"/>
                <w:spacing w:val="6"/>
              </w:rPr>
              <w:t>/m³,</w:t>
            </w:r>
            <w:r>
              <w:rPr>
                <w:sz w:val="24"/>
                <w:szCs w:val="24"/>
              </w:rPr>
              <w:t xml:space="preserve"> </w:t>
            </w:r>
            <w:r>
              <w:rPr>
                <w:sz w:val="24"/>
                <w:szCs w:val="24"/>
              </w:rPr>
              <w:t>因此，本评价在工程分析过程中，转轮回收装置处理效率保守取99.9%,是可行</w:t>
            </w:r>
          </w:p>
          <w:p>
            <w:pPr>
              <w:pStyle w:val="TableText"/>
              <w:ind w:left="100"/>
              <w:spacing w:before="1" w:line="222" w:lineRule="auto"/>
              <w:rPr>
                <w:sz w:val="24"/>
                <w:szCs w:val="24"/>
              </w:rPr>
            </w:pPr>
            <w:r>
              <w:rPr>
                <w:sz w:val="24"/>
                <w:szCs w:val="24"/>
                <w:spacing w:val="-15"/>
              </w:rPr>
              <w:t>的</w:t>
            </w:r>
            <w:r>
              <w:rPr>
                <w:sz w:val="24"/>
                <w:szCs w:val="24"/>
                <w:spacing w:val="-57"/>
              </w:rPr>
              <w:t xml:space="preserve"> </w:t>
            </w:r>
            <w:r>
              <w:rPr>
                <w:sz w:val="24"/>
                <w:szCs w:val="24"/>
                <w:spacing w:val="-15"/>
              </w:rPr>
              <w:t>。</w:t>
            </w:r>
          </w:p>
          <w:p>
            <w:pPr>
              <w:pStyle w:val="TableText"/>
              <w:ind w:left="130" w:right="404" w:firstLine="380"/>
              <w:spacing w:before="189" w:line="358" w:lineRule="auto"/>
              <w:rPr>
                <w:sz w:val="24"/>
                <w:szCs w:val="24"/>
              </w:rPr>
            </w:pPr>
            <w:r>
              <w:rPr>
                <w:sz w:val="24"/>
                <w:szCs w:val="24"/>
                <w:spacing w:val="4"/>
              </w:rPr>
              <w:t>根据上述分析，</w:t>
            </w:r>
            <w:r>
              <w:rPr>
                <w:sz w:val="24"/>
                <w:szCs w:val="24"/>
              </w:rPr>
              <w:t>NMP</w:t>
            </w:r>
            <w:r>
              <w:rPr>
                <w:sz w:val="24"/>
                <w:szCs w:val="24"/>
                <w:spacing w:val="4"/>
              </w:rPr>
              <w:t>废气中非甲烷总烃排放浓度4.47</w:t>
            </w:r>
            <w:r>
              <w:rPr>
                <w:sz w:val="24"/>
                <w:szCs w:val="24"/>
              </w:rPr>
              <w:t>mg</w:t>
            </w:r>
            <w:r>
              <w:rPr>
                <w:sz w:val="24"/>
                <w:szCs w:val="24"/>
                <w:spacing w:val="4"/>
              </w:rPr>
              <w:t>/m³,满足</w:t>
            </w:r>
            <w:r>
              <w:rPr>
                <w:sz w:val="24"/>
                <w:szCs w:val="24"/>
                <w:spacing w:val="3"/>
              </w:rPr>
              <w:t>《电池 </w:t>
            </w:r>
            <w:r>
              <w:rPr>
                <w:sz w:val="24"/>
                <w:szCs w:val="24"/>
              </w:rPr>
              <w:t>工业污染物排放标准》(GB30484-2013)表5新建企业“锂离子/锂电池”排放</w:t>
            </w:r>
          </w:p>
          <w:p>
            <w:pPr>
              <w:pStyle w:val="TableText"/>
              <w:ind w:left="130"/>
              <w:spacing w:line="213" w:lineRule="auto"/>
              <w:rPr>
                <w:sz w:val="24"/>
                <w:szCs w:val="24"/>
              </w:rPr>
            </w:pPr>
            <w:r>
              <w:rPr>
                <w:sz w:val="24"/>
                <w:szCs w:val="24"/>
                <w:spacing w:val="4"/>
              </w:rPr>
              <w:t>限值要求(非甲烷总烃≤50</w:t>
            </w:r>
            <w:r>
              <w:rPr>
                <w:sz w:val="24"/>
                <w:szCs w:val="24"/>
              </w:rPr>
              <w:t>mg</w:t>
            </w:r>
            <w:r>
              <w:rPr>
                <w:sz w:val="24"/>
                <w:szCs w:val="24"/>
                <w:spacing w:val="4"/>
              </w:rPr>
              <w:t>/m³),可实现达标排放，因此涂</w:t>
            </w:r>
            <w:r>
              <w:rPr>
                <w:sz w:val="24"/>
                <w:szCs w:val="24"/>
                <w:spacing w:val="3"/>
              </w:rPr>
              <w:t>布</w:t>
            </w:r>
            <w:r>
              <w:rPr>
                <w:sz w:val="24"/>
                <w:szCs w:val="24"/>
              </w:rPr>
              <w:t>NMP</w:t>
            </w:r>
            <w:r>
              <w:rPr>
                <w:sz w:val="24"/>
                <w:szCs w:val="24"/>
                <w:spacing w:val="3"/>
              </w:rPr>
              <w:t>废气排</w:t>
            </w:r>
          </w:p>
          <w:p>
            <w:pPr>
              <w:pStyle w:val="TableText"/>
              <w:ind w:left="130"/>
              <w:spacing w:before="211" w:line="220" w:lineRule="auto"/>
              <w:rPr>
                <w:sz w:val="24"/>
                <w:szCs w:val="24"/>
              </w:rPr>
            </w:pPr>
            <w:r>
              <w:rPr>
                <w:sz w:val="24"/>
                <w:szCs w:val="24"/>
                <w:spacing w:val="-1"/>
              </w:rPr>
              <w:t>放控制措施可行。</w:t>
            </w:r>
          </w:p>
        </w:tc>
      </w:tr>
    </w:tbl>
    <w:p>
      <w:pPr>
        <w:rPr>
          <w:rFonts w:ascii="Arial"/>
          <w:sz w:val="21"/>
        </w:rPr>
      </w:pPr>
      <w:r/>
    </w:p>
    <w:p>
      <w:pPr>
        <w:sectPr>
          <w:footerReference w:type="default" r:id="rId88"/>
          <w:pgSz w:w="11900" w:h="16840"/>
          <w:pgMar w:top="1431" w:right="1375" w:bottom="988" w:left="1514" w:header="0" w:footer="849" w:gutter="0"/>
        </w:sectPr>
        <w:rPr>
          <w:rFonts w:ascii="Arial" w:hAnsi="Arial" w:eastAsia="Arial" w:cs="Arial"/>
          <w:sz w:val="21"/>
          <w:szCs w:val="21"/>
        </w:rPr>
      </w:pPr>
    </w:p>
    <w:p>
      <w:pPr>
        <w:spacing w:line="37" w:lineRule="auto"/>
        <w:rPr>
          <w:rFonts w:ascii="Arial"/>
          <w:sz w:val="2"/>
        </w:rPr>
      </w:pPr>
      <w:r>
        <w:rPr>
          <w:rFonts w:ascii="Arial"/>
          <w:sz w:val="2"/>
        </w:rPr>
      </w:r>
    </w:p>
    <w:tbl>
      <w:tblPr>
        <w:tblStyle w:val="TableNormal"/>
        <w:tblW w:w="8836"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44"/>
        <w:gridCol w:w="8292"/>
      </w:tblGrid>
      <w:tr>
        <w:trPr>
          <w:trHeight w:val="13719" w:hRule="atLeast"/>
        </w:trPr>
        <w:tc>
          <w:tcPr>
            <w:tcW w:w="544"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25" w:right="9"/>
              <w:spacing w:before="78" w:line="210" w:lineRule="auto"/>
              <w:jc w:val="both"/>
              <w:rPr>
                <w:sz w:val="24"/>
                <w:szCs w:val="24"/>
              </w:rPr>
            </w:pPr>
            <w:r>
              <w:rPr>
                <w:sz w:val="24"/>
                <w:szCs w:val="24"/>
                <w:spacing w:val="7"/>
              </w:rPr>
              <w:t>运营</w:t>
            </w:r>
            <w:r>
              <w:rPr>
                <w:sz w:val="24"/>
                <w:szCs w:val="24"/>
              </w:rPr>
              <w:t xml:space="preserve"> </w:t>
            </w:r>
            <w:r>
              <w:rPr>
                <w:sz w:val="24"/>
                <w:szCs w:val="24"/>
                <w:spacing w:val="6"/>
              </w:rPr>
              <w:t>期环</w:t>
            </w:r>
            <w:r>
              <w:rPr>
                <w:sz w:val="24"/>
                <w:szCs w:val="24"/>
              </w:rPr>
              <w:t xml:space="preserve"> </w:t>
            </w:r>
            <w:r>
              <w:rPr>
                <w:sz w:val="24"/>
                <w:szCs w:val="24"/>
                <w:spacing w:val="5"/>
              </w:rPr>
              <w:t>境影</w:t>
            </w:r>
            <w:r>
              <w:rPr>
                <w:sz w:val="24"/>
                <w:szCs w:val="24"/>
              </w:rPr>
              <w:t xml:space="preserve"> </w:t>
            </w:r>
            <w:r>
              <w:rPr>
                <w:sz w:val="24"/>
                <w:szCs w:val="24"/>
                <w:spacing w:val="9"/>
              </w:rPr>
              <w:t>响和</w:t>
            </w:r>
            <w:r>
              <w:rPr>
                <w:sz w:val="24"/>
                <w:szCs w:val="24"/>
              </w:rPr>
              <w:t xml:space="preserve"> </w:t>
            </w:r>
            <w:r>
              <w:rPr>
                <w:sz w:val="24"/>
                <w:szCs w:val="24"/>
                <w:spacing w:val="8"/>
              </w:rPr>
              <w:t>保护</w:t>
            </w:r>
            <w:r>
              <w:rPr>
                <w:sz w:val="24"/>
                <w:szCs w:val="24"/>
              </w:rPr>
              <w:t xml:space="preserve"> </w:t>
            </w:r>
            <w:r>
              <w:rPr>
                <w:sz w:val="24"/>
                <w:szCs w:val="24"/>
                <w:spacing w:val="5"/>
              </w:rPr>
              <w:t>措施</w:t>
            </w:r>
          </w:p>
        </w:tc>
        <w:tc>
          <w:tcPr>
            <w:tcW w:w="8292" w:type="dxa"/>
            <w:vAlign w:val="top"/>
          </w:tcPr>
          <w:p>
            <w:pPr>
              <w:pStyle w:val="TableText"/>
              <w:ind w:left="104"/>
              <w:spacing w:before="42" w:line="220" w:lineRule="auto"/>
              <w:rPr>
                <w:sz w:val="24"/>
                <w:szCs w:val="24"/>
              </w:rPr>
            </w:pPr>
            <w:r>
              <w:rPr>
                <w:sz w:val="24"/>
                <w:szCs w:val="24"/>
                <w:b/>
                <w:bCs/>
                <w:spacing w:val="-4"/>
              </w:rPr>
              <w:t>4.2.3锅炉废气</w:t>
            </w:r>
          </w:p>
          <w:p>
            <w:pPr>
              <w:pStyle w:val="TableText"/>
              <w:ind w:left="734"/>
              <w:spacing w:before="213" w:line="219" w:lineRule="auto"/>
              <w:rPr>
                <w:sz w:val="24"/>
                <w:szCs w:val="24"/>
              </w:rPr>
            </w:pPr>
            <w:r>
              <w:rPr>
                <w:sz w:val="24"/>
                <w:szCs w:val="24"/>
                <w:b/>
                <w:bCs/>
                <w:spacing w:val="-3"/>
              </w:rPr>
              <w:t>(1)废气来源及治理设施情况</w:t>
            </w:r>
          </w:p>
          <w:p>
            <w:pPr>
              <w:pStyle w:val="TableText"/>
              <w:ind w:left="111" w:right="141" w:firstLine="509"/>
              <w:spacing w:before="156" w:line="360" w:lineRule="auto"/>
              <w:rPr>
                <w:sz w:val="24"/>
                <w:szCs w:val="24"/>
              </w:rPr>
            </w:pPr>
            <w:r>
              <w:rPr>
                <w:sz w:val="24"/>
                <w:szCs w:val="24"/>
                <w:spacing w:val="-1"/>
              </w:rPr>
              <w:t>根据建设单位提供的资料显示，本项目新增2台10t/h燃气蒸汽锅炉，2  </w:t>
            </w:r>
            <w:r>
              <w:rPr>
                <w:sz w:val="24"/>
                <w:szCs w:val="24"/>
                <w:spacing w:val="1"/>
              </w:rPr>
              <w:t>台15t/h(1用1备)的燃气蒸汽锅炉，锅炉以天然气为燃料，锅炉废气主要为</w:t>
            </w:r>
            <w:r>
              <w:rPr>
                <w:sz w:val="24"/>
                <w:szCs w:val="24"/>
                <w:spacing w:val="7"/>
              </w:rPr>
              <w:t xml:space="preserve">  </w:t>
            </w:r>
            <w:r>
              <w:rPr>
                <w:sz w:val="24"/>
                <w:szCs w:val="24"/>
              </w:rPr>
              <w:t>SO</w:t>
            </w:r>
            <w:r>
              <w:rPr>
                <w:rFonts w:ascii="Calibri" w:hAnsi="Calibri" w:eastAsia="Calibri" w:cs="Calibri"/>
                <w:sz w:val="24"/>
                <w:szCs w:val="24"/>
                <w:spacing w:val="4"/>
              </w:rPr>
              <w:t>₂</w:t>
            </w:r>
            <w:r>
              <w:rPr>
                <w:rFonts w:ascii="Calibri" w:hAnsi="Calibri" w:eastAsia="Calibri" w:cs="Calibri"/>
                <w:sz w:val="24"/>
                <w:szCs w:val="24"/>
                <w:spacing w:val="-28"/>
              </w:rPr>
              <w:t xml:space="preserve"> </w:t>
            </w:r>
            <w:r>
              <w:rPr>
                <w:sz w:val="24"/>
                <w:szCs w:val="24"/>
                <w:spacing w:val="4"/>
              </w:rPr>
              <w:t>、</w:t>
            </w:r>
            <w:r>
              <w:rPr>
                <w:sz w:val="24"/>
                <w:szCs w:val="24"/>
              </w:rPr>
              <w:t>NOx</w:t>
            </w:r>
            <w:r>
              <w:rPr>
                <w:sz w:val="24"/>
                <w:szCs w:val="24"/>
                <w:spacing w:val="4"/>
              </w:rPr>
              <w:t>、颗粒物。建设单位拟配备低氮燃烧器降低锅炉废气中的氮</w:t>
            </w:r>
            <w:r>
              <w:rPr>
                <w:sz w:val="24"/>
                <w:szCs w:val="24"/>
                <w:spacing w:val="3"/>
              </w:rPr>
              <w:t>氧化物</w:t>
            </w:r>
            <w:r>
              <w:rPr>
                <w:sz w:val="24"/>
                <w:szCs w:val="24"/>
              </w:rPr>
              <w:t xml:space="preserve"> </w:t>
            </w:r>
            <w:r>
              <w:rPr>
                <w:sz w:val="24"/>
                <w:szCs w:val="24"/>
                <w:spacing w:val="5"/>
              </w:rPr>
              <w:t>的形成，根据现有工程的监测数据，烟气中的氮氧化物浓度可降至50</w:t>
            </w:r>
            <w:r>
              <w:rPr>
                <w:sz w:val="24"/>
                <w:szCs w:val="24"/>
              </w:rPr>
              <w:t>mg</w:t>
            </w:r>
            <w:r>
              <w:rPr>
                <w:sz w:val="24"/>
                <w:szCs w:val="24"/>
                <w:spacing w:val="5"/>
              </w:rPr>
              <w:t>/m³</w:t>
            </w:r>
          </w:p>
          <w:p>
            <w:pPr>
              <w:pStyle w:val="TableText"/>
              <w:ind w:left="131"/>
              <w:spacing w:line="219" w:lineRule="auto"/>
              <w:rPr>
                <w:sz w:val="24"/>
                <w:szCs w:val="24"/>
              </w:rPr>
            </w:pPr>
            <w:r>
              <w:rPr>
                <w:sz w:val="24"/>
                <w:szCs w:val="24"/>
                <w:spacing w:val="-1"/>
              </w:rPr>
              <w:t>以下。4台锅炉配4根高27m的排气烟道。</w:t>
            </w:r>
          </w:p>
          <w:p>
            <w:pPr>
              <w:pStyle w:val="TableText"/>
              <w:ind w:left="734"/>
              <w:spacing w:before="191" w:line="219" w:lineRule="auto"/>
              <w:rPr>
                <w:sz w:val="24"/>
                <w:szCs w:val="24"/>
              </w:rPr>
            </w:pPr>
            <w:r>
              <w:rPr>
                <w:sz w:val="24"/>
                <w:szCs w:val="24"/>
                <w:b/>
                <w:bCs/>
                <w:spacing w:val="-3"/>
              </w:rPr>
              <w:t>(2)污染源强核算</w:t>
            </w:r>
          </w:p>
          <w:p>
            <w:pPr>
              <w:pStyle w:val="TableText"/>
              <w:ind w:left="621"/>
              <w:spacing w:before="177" w:line="219" w:lineRule="auto"/>
              <w:rPr>
                <w:sz w:val="24"/>
                <w:szCs w:val="24"/>
              </w:rPr>
            </w:pPr>
            <w:r>
              <w:rPr>
                <w:sz w:val="24"/>
                <w:szCs w:val="24"/>
              </w:rPr>
              <w:t>本项目拟新增2台10t/h燃气蒸汽锅炉，2台15t/h(1用1备)的燃气蒸</w:t>
            </w:r>
          </w:p>
          <w:p>
            <w:pPr>
              <w:pStyle w:val="TableText"/>
              <w:ind w:left="121"/>
              <w:spacing w:before="187" w:line="220" w:lineRule="auto"/>
              <w:rPr>
                <w:sz w:val="24"/>
                <w:szCs w:val="24"/>
              </w:rPr>
            </w:pPr>
            <w:r>
              <w:rPr>
                <w:sz w:val="24"/>
                <w:szCs w:val="24"/>
              </w:rPr>
              <w:t>汽锅炉，10t/h燃气蒸汽锅炉，15t/h燃气蒸汽锅炉天然气设计用量分别为</w:t>
            </w:r>
          </w:p>
          <w:p>
            <w:pPr>
              <w:pStyle w:val="TableText"/>
              <w:ind w:left="150" w:hanging="19"/>
              <w:spacing w:before="180" w:line="355" w:lineRule="auto"/>
              <w:rPr>
                <w:sz w:val="24"/>
                <w:szCs w:val="24"/>
              </w:rPr>
            </w:pPr>
            <w:r>
              <w:rPr>
                <w:sz w:val="24"/>
                <w:szCs w:val="24"/>
                <w:spacing w:val="5"/>
              </w:rPr>
              <w:t>760</w:t>
            </w:r>
            <w:r>
              <w:rPr>
                <w:sz w:val="24"/>
                <w:szCs w:val="24"/>
              </w:rPr>
              <w:t>Nm</w:t>
            </w:r>
            <w:r>
              <w:rPr>
                <w:sz w:val="24"/>
                <w:szCs w:val="24"/>
                <w:spacing w:val="5"/>
              </w:rPr>
              <w:t>³/h/台、1140</w:t>
            </w:r>
            <w:r>
              <w:rPr>
                <w:sz w:val="24"/>
                <w:szCs w:val="24"/>
              </w:rPr>
              <w:t>Nm</w:t>
            </w:r>
            <w:r>
              <w:rPr>
                <w:sz w:val="24"/>
                <w:szCs w:val="24"/>
                <w:spacing w:val="5"/>
              </w:rPr>
              <w:t>³/h/台，平均每天运行22h,年工作时间按6600h/a。则</w:t>
            </w:r>
            <w:r>
              <w:rPr>
                <w:sz w:val="24"/>
                <w:szCs w:val="24"/>
                <w:spacing w:val="9"/>
              </w:rPr>
              <w:t xml:space="preserve"> </w:t>
            </w:r>
            <w:r>
              <w:rPr>
                <w:sz w:val="24"/>
                <w:szCs w:val="24"/>
                <w:spacing w:val="5"/>
              </w:rPr>
              <w:t>10t/h蒸汽锅炉天然气设计用量1.672万</w:t>
            </w:r>
            <w:r>
              <w:rPr>
                <w:sz w:val="24"/>
                <w:szCs w:val="24"/>
              </w:rPr>
              <w:t>Nm</w:t>
            </w:r>
            <w:r>
              <w:rPr>
                <w:sz w:val="24"/>
                <w:szCs w:val="24"/>
                <w:spacing w:val="5"/>
              </w:rPr>
              <w:t>³/d/台(501.6万</w:t>
            </w:r>
            <w:r>
              <w:rPr>
                <w:sz w:val="24"/>
                <w:szCs w:val="24"/>
              </w:rPr>
              <w:t>Nm</w:t>
            </w:r>
            <w:r>
              <w:rPr>
                <w:sz w:val="24"/>
                <w:szCs w:val="24"/>
                <w:spacing w:val="5"/>
              </w:rPr>
              <w:t>³/a/台),15t/h</w:t>
            </w:r>
          </w:p>
          <w:p>
            <w:pPr>
              <w:pStyle w:val="TableText"/>
              <w:ind w:left="141"/>
              <w:spacing w:line="218" w:lineRule="auto"/>
              <w:rPr>
                <w:sz w:val="24"/>
                <w:szCs w:val="24"/>
              </w:rPr>
            </w:pPr>
            <w:r>
              <w:rPr>
                <w:sz w:val="24"/>
                <w:szCs w:val="24"/>
                <w:spacing w:val="6"/>
              </w:rPr>
              <w:t>蒸汽锅炉天然气设计用量2.508万</w:t>
            </w:r>
            <w:r>
              <w:rPr>
                <w:sz w:val="24"/>
                <w:szCs w:val="24"/>
              </w:rPr>
              <w:t>Nm</w:t>
            </w:r>
            <w:r>
              <w:rPr>
                <w:sz w:val="24"/>
                <w:szCs w:val="24"/>
                <w:spacing w:val="6"/>
              </w:rPr>
              <w:t>³/d/台(752.4万</w:t>
            </w:r>
            <w:r>
              <w:rPr>
                <w:sz w:val="24"/>
                <w:szCs w:val="24"/>
              </w:rPr>
              <w:t>Nm</w:t>
            </w:r>
            <w:r>
              <w:rPr>
                <w:sz w:val="24"/>
                <w:szCs w:val="24"/>
                <w:spacing w:val="6"/>
              </w:rPr>
              <w:t>³/a/台)。本项目锅</w:t>
            </w:r>
          </w:p>
          <w:p>
            <w:pPr>
              <w:pStyle w:val="TableText"/>
              <w:ind w:left="111"/>
              <w:spacing w:before="184" w:line="216" w:lineRule="auto"/>
              <w:rPr>
                <w:sz w:val="24"/>
                <w:szCs w:val="24"/>
              </w:rPr>
            </w:pPr>
            <w:r>
              <w:rPr>
                <w:sz w:val="24"/>
                <w:szCs w:val="24"/>
              </w:rPr>
              <w:t>炉天然气设计总用量为2660Nm/h(5.852万Nm/d,1755.6万Nm/a),由市</w:t>
            </w:r>
          </w:p>
          <w:p>
            <w:pPr>
              <w:pStyle w:val="TableText"/>
              <w:ind w:left="141"/>
              <w:spacing w:before="211" w:line="219" w:lineRule="auto"/>
              <w:rPr>
                <w:sz w:val="24"/>
                <w:szCs w:val="24"/>
              </w:rPr>
            </w:pPr>
            <w:r>
              <w:rPr>
                <w:sz w:val="24"/>
                <w:szCs w:val="24"/>
                <w:spacing w:val="-1"/>
              </w:rPr>
              <w:t>政天然气管道供气。</w:t>
            </w:r>
          </w:p>
          <w:p>
            <w:pPr>
              <w:pStyle w:val="TableText"/>
              <w:ind w:left="621"/>
              <w:spacing w:before="174" w:line="217" w:lineRule="auto"/>
              <w:rPr>
                <w:sz w:val="24"/>
                <w:szCs w:val="24"/>
              </w:rPr>
            </w:pPr>
            <w:r>
              <w:rPr>
                <w:sz w:val="24"/>
                <w:szCs w:val="24"/>
                <w:spacing w:val="-1"/>
              </w:rPr>
              <w:t>①排污许可证中NOx许可排放量</w:t>
            </w:r>
          </w:p>
          <w:p>
            <w:pPr>
              <w:pStyle w:val="TableText"/>
              <w:ind w:left="131" w:firstLine="489"/>
              <w:spacing w:before="180" w:line="358" w:lineRule="auto"/>
              <w:jc w:val="both"/>
              <w:rPr>
                <w:sz w:val="24"/>
                <w:szCs w:val="24"/>
              </w:rPr>
            </w:pPr>
            <w:r>
              <w:rPr>
                <w:sz w:val="24"/>
                <w:szCs w:val="24"/>
              </w:rPr>
              <w:t>根据《排污许可证申请与核发技术规范锅炉》(</w:t>
            </w:r>
            <w:r>
              <w:rPr>
                <w:sz w:val="24"/>
                <w:szCs w:val="24"/>
                <w:spacing w:val="-1"/>
              </w:rPr>
              <w:t>HJ953—2018)中“</w:t>
            </w:r>
            <w:hyperlink w:history="true" r:id="rId90">
              <w:r>
                <w:rPr>
                  <w:sz w:val="24"/>
                  <w:szCs w:val="24"/>
                  <w:spacing w:val="-1"/>
                </w:rPr>
                <w:t>5.2.3.1</w:t>
              </w:r>
            </w:hyperlink>
            <w:r>
              <w:rPr>
                <w:sz w:val="24"/>
                <w:szCs w:val="24"/>
              </w:rPr>
              <w:t xml:space="preserve"> </w:t>
            </w:r>
            <w:r>
              <w:rPr>
                <w:sz w:val="24"/>
                <w:szCs w:val="24"/>
                <w:spacing w:val="-6"/>
              </w:rPr>
              <w:t>一般原则”,燃气锅炉仅需许可氮氧化物排放量</w:t>
            </w:r>
            <w:r>
              <w:rPr>
                <w:sz w:val="24"/>
                <w:szCs w:val="24"/>
                <w:spacing w:val="-7"/>
              </w:rPr>
              <w:t>。因此根据“</w:t>
            </w:r>
            <w:hyperlink w:history="true" r:id="rId91">
              <w:r>
                <w:rPr>
                  <w:sz w:val="24"/>
                  <w:szCs w:val="24"/>
                  <w:spacing w:val="-7"/>
                </w:rPr>
                <w:t>5.2.3.3</w:t>
              </w:r>
            </w:hyperlink>
            <w:r>
              <w:rPr>
                <w:sz w:val="24"/>
                <w:szCs w:val="24"/>
                <w:spacing w:val="-7"/>
              </w:rPr>
              <w:t>允许排放量</w:t>
            </w:r>
          </w:p>
          <w:p>
            <w:pPr>
              <w:pStyle w:val="TableText"/>
              <w:ind w:left="121"/>
              <w:spacing w:line="219" w:lineRule="auto"/>
              <w:rPr>
                <w:sz w:val="24"/>
                <w:szCs w:val="24"/>
              </w:rPr>
            </w:pPr>
            <w:r>
              <w:rPr>
                <w:sz w:val="24"/>
                <w:szCs w:val="24"/>
                <w:spacing w:val="-1"/>
              </w:rPr>
              <w:t>核算方法”中式6NOx的核算方法如下：</w:t>
            </w:r>
          </w:p>
          <w:p>
            <w:pPr>
              <w:spacing w:line="333" w:lineRule="auto"/>
              <w:rPr>
                <w:rFonts w:ascii="Arial"/>
                <w:sz w:val="21"/>
              </w:rPr>
            </w:pPr>
            <w:r/>
          </w:p>
          <w:p>
            <w:pPr>
              <w:ind w:firstLine="2401"/>
              <w:spacing w:line="630" w:lineRule="exact"/>
              <w:rPr/>
            </w:pPr>
            <w:r>
              <w:rPr>
                <w:position w:val="-12"/>
              </w:rPr>
              <w:drawing>
                <wp:inline distT="0" distB="0" distL="0" distR="0">
                  <wp:extent cx="2127305" cy="400040"/>
                  <wp:effectExtent l="0" t="0" r="0" b="0"/>
                  <wp:docPr id="10" name="IM 10"/>
                  <wp:cNvGraphicFramePr/>
                  <a:graphic>
                    <a:graphicData uri="http://schemas.openxmlformats.org/drawingml/2006/picture">
                      <pic:pic>
                        <pic:nvPicPr>
                          <pic:cNvPr id="10" name="IM 10"/>
                          <pic:cNvPicPr/>
                        </pic:nvPicPr>
                        <pic:blipFill>
                          <a:blip r:embed="rId92"/>
                          <a:stretch>
                            <a:fillRect/>
                          </a:stretch>
                        </pic:blipFill>
                        <pic:spPr>
                          <a:xfrm rot="0">
                            <a:off x="0" y="0"/>
                            <a:ext cx="2127305" cy="400040"/>
                          </a:xfrm>
                          <a:prstGeom prst="rect">
                            <a:avLst/>
                          </a:prstGeom>
                        </pic:spPr>
                      </pic:pic>
                    </a:graphicData>
                  </a:graphic>
                </wp:inline>
              </w:drawing>
            </w:r>
          </w:p>
          <w:p>
            <w:pPr>
              <w:pStyle w:val="TableText"/>
              <w:ind w:left="581"/>
              <w:spacing w:before="300" w:line="219" w:lineRule="auto"/>
              <w:rPr>
                <w:sz w:val="24"/>
                <w:szCs w:val="24"/>
              </w:rPr>
            </w:pPr>
            <w:r>
              <w:rPr>
                <w:sz w:val="24"/>
                <w:szCs w:val="24"/>
                <w:spacing w:val="5"/>
              </w:rPr>
              <w:t>E年许可-锅炉排污单位污染物年许可排放量，吨；</w:t>
            </w:r>
          </w:p>
          <w:p>
            <w:pPr>
              <w:pStyle w:val="TableText"/>
              <w:ind w:left="591"/>
              <w:spacing w:before="197" w:line="214" w:lineRule="auto"/>
              <w:rPr>
                <w:sz w:val="24"/>
                <w:szCs w:val="24"/>
              </w:rPr>
            </w:pPr>
            <w:r>
              <w:rPr>
                <w:sz w:val="24"/>
                <w:szCs w:val="24"/>
              </w:rPr>
              <w:t>Ci</w:t>
            </w:r>
            <w:r>
              <w:rPr>
                <w:sz w:val="24"/>
                <w:szCs w:val="24"/>
                <w:spacing w:val="10"/>
              </w:rPr>
              <w:t>-主要排放口污染物排放标准浓度限值，</w:t>
            </w:r>
            <w:r>
              <w:rPr>
                <w:sz w:val="24"/>
                <w:szCs w:val="24"/>
              </w:rPr>
              <w:t>mg</w:t>
            </w:r>
            <w:r>
              <w:rPr>
                <w:sz w:val="24"/>
                <w:szCs w:val="24"/>
                <w:spacing w:val="10"/>
              </w:rPr>
              <w:t>/</w:t>
            </w:r>
            <w:r>
              <w:rPr>
                <w:sz w:val="24"/>
                <w:szCs w:val="24"/>
                <w:spacing w:val="9"/>
              </w:rPr>
              <w:t>m³。</w:t>
            </w:r>
            <w:r>
              <w:rPr>
                <w:sz w:val="24"/>
                <w:szCs w:val="24"/>
              </w:rPr>
              <w:t>NOx</w:t>
            </w:r>
            <w:r>
              <w:rPr>
                <w:sz w:val="24"/>
                <w:szCs w:val="24"/>
                <w:spacing w:val="9"/>
              </w:rPr>
              <w:t>为150</w:t>
            </w:r>
            <w:r>
              <w:rPr>
                <w:sz w:val="24"/>
                <w:szCs w:val="24"/>
              </w:rPr>
              <w:t>mg</w:t>
            </w:r>
            <w:r>
              <w:rPr>
                <w:sz w:val="24"/>
                <w:szCs w:val="24"/>
                <w:spacing w:val="9"/>
              </w:rPr>
              <w:t>/m³;</w:t>
            </w:r>
          </w:p>
          <w:p>
            <w:pPr>
              <w:pStyle w:val="TableText"/>
              <w:ind w:left="141" w:firstLine="459"/>
              <w:spacing w:before="190" w:line="357" w:lineRule="auto"/>
              <w:rPr>
                <w:sz w:val="24"/>
                <w:szCs w:val="24"/>
              </w:rPr>
            </w:pPr>
            <w:r>
              <w:rPr>
                <w:sz w:val="24"/>
                <w:szCs w:val="24"/>
              </w:rPr>
              <w:t>V;-主要排放口基准烟气量，Nm³/m3。取10.6N</w:t>
            </w:r>
            <w:r>
              <w:rPr>
                <w:sz w:val="24"/>
                <w:szCs w:val="24"/>
                <w:spacing w:val="-1"/>
              </w:rPr>
              <w:t>m³/m³(基准烟气量采用“经</w:t>
            </w:r>
            <w:r>
              <w:rPr>
                <w:sz w:val="24"/>
                <w:szCs w:val="24"/>
              </w:rPr>
              <w:t xml:space="preserve"> </w:t>
            </w:r>
            <w:r>
              <w:rPr>
                <w:sz w:val="24"/>
                <w:szCs w:val="24"/>
              </w:rPr>
              <w:t>验公式估算法”表5基准烟气量取值表，天然气中V</w:t>
            </w:r>
            <w:r>
              <w:rPr>
                <w:sz w:val="24"/>
                <w:szCs w:val="24"/>
                <w:spacing w:val="-1"/>
              </w:rPr>
              <w:t>gy=0.285Qnet+0.343。其中</w:t>
            </w:r>
          </w:p>
          <w:p>
            <w:pPr>
              <w:pStyle w:val="TableText"/>
              <w:ind w:left="111"/>
              <w:spacing w:before="1" w:line="217" w:lineRule="auto"/>
              <w:rPr>
                <w:sz w:val="24"/>
                <w:szCs w:val="24"/>
              </w:rPr>
            </w:pPr>
            <w:r>
              <w:rPr>
                <w:sz w:val="24"/>
                <w:szCs w:val="24"/>
              </w:rPr>
              <w:t>Qnet</w:t>
            </w:r>
            <w:r>
              <w:rPr>
                <w:sz w:val="24"/>
                <w:szCs w:val="24"/>
                <w:spacing w:val="9"/>
              </w:rPr>
              <w:t>为天然气低位发热量，为36</w:t>
            </w:r>
            <w:r>
              <w:rPr>
                <w:sz w:val="24"/>
                <w:szCs w:val="24"/>
              </w:rPr>
              <w:t>MJ</w:t>
            </w:r>
            <w:r>
              <w:rPr>
                <w:sz w:val="24"/>
                <w:szCs w:val="24"/>
                <w:spacing w:val="9"/>
              </w:rPr>
              <w:t>/m³);</w:t>
            </w:r>
          </w:p>
          <w:p>
            <w:pPr>
              <w:pStyle w:val="TableText"/>
              <w:ind w:left="581"/>
              <w:spacing w:before="179" w:line="490" w:lineRule="exact"/>
              <w:rPr>
                <w:sz w:val="24"/>
                <w:szCs w:val="24"/>
              </w:rPr>
            </w:pPr>
            <w:r>
              <w:rPr>
                <w:sz w:val="24"/>
                <w:szCs w:val="24"/>
                <w:spacing w:val="8"/>
                <w:position w:val="19"/>
              </w:rPr>
              <w:t>R;-主要排放口所对应的锅炉年平均燃料使用量，万m³。为1755.6万m³</w:t>
            </w:r>
          </w:p>
          <w:p>
            <w:pPr>
              <w:pStyle w:val="TableText"/>
              <w:ind w:left="251"/>
              <w:spacing w:line="219" w:lineRule="auto"/>
              <w:rPr>
                <w:sz w:val="24"/>
                <w:szCs w:val="24"/>
              </w:rPr>
            </w:pPr>
            <w:r>
              <w:rPr>
                <w:sz w:val="24"/>
                <w:szCs w:val="24"/>
                <w:spacing w:val="3"/>
              </w:rPr>
              <w:t>(项目锅炉年使用天然气量);</w:t>
            </w:r>
          </w:p>
          <w:p>
            <w:pPr>
              <w:pStyle w:val="TableText"/>
              <w:ind w:left="591"/>
              <w:spacing w:before="155" w:line="219" w:lineRule="auto"/>
              <w:rPr>
                <w:sz w:val="24"/>
                <w:szCs w:val="24"/>
              </w:rPr>
            </w:pPr>
            <w:r>
              <w:rPr>
                <w:sz w:val="24"/>
                <w:szCs w:val="24"/>
                <w:spacing w:val="5"/>
              </w:rPr>
              <w:t>则</w:t>
            </w:r>
            <w:r>
              <w:rPr>
                <w:sz w:val="24"/>
                <w:szCs w:val="24"/>
              </w:rPr>
              <w:t>NOx</w:t>
            </w:r>
            <w:r>
              <w:rPr>
                <w:sz w:val="24"/>
                <w:szCs w:val="24"/>
                <w:spacing w:val="5"/>
              </w:rPr>
              <w:t>的年许可排放量为E年=27.9140t。</w:t>
            </w:r>
            <w:r>
              <w:rPr>
                <w:sz w:val="24"/>
                <w:szCs w:val="24"/>
              </w:rPr>
              <w:t>SO</w:t>
            </w:r>
            <w:r>
              <w:rPr>
                <w:rFonts w:ascii="Calibri" w:hAnsi="Calibri" w:eastAsia="Calibri" w:cs="Calibri"/>
                <w:sz w:val="24"/>
                <w:szCs w:val="24"/>
                <w:spacing w:val="5"/>
              </w:rPr>
              <w:t>₂</w:t>
            </w:r>
            <w:r>
              <w:rPr>
                <w:sz w:val="24"/>
                <w:szCs w:val="24"/>
                <w:spacing w:val="5"/>
              </w:rPr>
              <w:t>按其他方式核算为准</w:t>
            </w:r>
          </w:p>
        </w:tc>
      </w:tr>
    </w:tbl>
    <w:p>
      <w:pPr>
        <w:rPr>
          <w:rFonts w:ascii="Arial"/>
          <w:sz w:val="21"/>
        </w:rPr>
      </w:pPr>
      <w:r/>
    </w:p>
    <w:p>
      <w:pPr>
        <w:sectPr>
          <w:footerReference w:type="default" r:id="rId89"/>
          <w:pgSz w:w="11900" w:h="16840"/>
          <w:pgMar w:top="1431" w:right="1428" w:bottom="988" w:left="1624" w:header="0" w:footer="849" w:gutter="0"/>
        </w:sectPr>
        <w:rPr>
          <w:rFonts w:ascii="Arial" w:hAnsi="Arial" w:eastAsia="Arial" w:cs="Arial"/>
          <w:sz w:val="21"/>
          <w:szCs w:val="21"/>
        </w:rPr>
      </w:pPr>
    </w:p>
    <w:tbl>
      <w:tblPr>
        <w:tblStyle w:val="TableNormal"/>
        <w:tblW w:w="8855" w:type="dxa"/>
        <w:tblInd w:w="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1"/>
        <w:gridCol w:w="1377"/>
        <w:gridCol w:w="1702"/>
        <w:gridCol w:w="1421"/>
        <w:gridCol w:w="1131"/>
        <w:gridCol w:w="1141"/>
        <w:gridCol w:w="1532"/>
      </w:tblGrid>
      <w:tr>
        <w:trPr>
          <w:trHeight w:val="11936" w:hRule="atLeast"/>
        </w:trPr>
        <w:tc>
          <w:tcPr>
            <w:tcW w:w="551" w:type="dxa"/>
            <w:vAlign w:val="top"/>
            <w:tcBorders>
              <w:left w:val="single" w:color="000000" w:sz="2" w:space="0"/>
              <w:right w:val="single" w:color="000000" w:sz="2" w:space="0"/>
              <w:top w:val="single" w:color="000000" w:sz="2" w:space="0"/>
            </w:tcBorders>
          </w:tcPr>
          <w:p>
            <w:pPr>
              <w:rPr>
                <w:rFonts w:ascii="Arial"/>
                <w:sz w:val="21"/>
              </w:rPr>
            </w:pPr>
            <w:r/>
          </w:p>
        </w:tc>
        <w:tc>
          <w:tcPr>
            <w:tcW w:w="8304" w:type="dxa"/>
            <w:vAlign w:val="top"/>
            <w:gridSpan w:val="6"/>
            <w:tcBorders>
              <w:left w:val="single" w:color="000000" w:sz="2" w:space="0"/>
              <w:right w:val="single" w:color="000000" w:sz="2" w:space="0"/>
              <w:top w:val="single" w:color="000000" w:sz="2" w:space="0"/>
            </w:tcBorders>
          </w:tcPr>
          <w:p>
            <w:pPr>
              <w:pStyle w:val="TableText"/>
              <w:ind w:left="584"/>
              <w:spacing w:before="82" w:line="217" w:lineRule="auto"/>
              <w:rPr>
                <w:sz w:val="24"/>
                <w:szCs w:val="24"/>
              </w:rPr>
            </w:pPr>
            <w:r>
              <w:rPr>
                <w:sz w:val="24"/>
                <w:szCs w:val="24"/>
                <w:spacing w:val="-3"/>
              </w:rPr>
              <w:t>②排污许可证中实际排放量</w:t>
            </w:r>
          </w:p>
          <w:p>
            <w:pPr>
              <w:pStyle w:val="TableText"/>
              <w:ind w:left="584"/>
              <w:spacing w:before="178" w:line="458" w:lineRule="exact"/>
              <w:rPr>
                <w:sz w:val="24"/>
                <w:szCs w:val="24"/>
              </w:rPr>
            </w:pPr>
            <w:r>
              <w:rPr>
                <w:sz w:val="24"/>
                <w:szCs w:val="24"/>
                <w:spacing w:val="-1"/>
                <w:position w:val="16"/>
              </w:rPr>
              <w:t>根据《排污许可证申请与核发技术规范锅炉》  (H</w:t>
            </w:r>
            <w:r>
              <w:rPr>
                <w:sz w:val="24"/>
                <w:szCs w:val="24"/>
                <w:spacing w:val="-2"/>
                <w:position w:val="16"/>
              </w:rPr>
              <w:t>J953—2018)  中“9.2</w:t>
            </w:r>
          </w:p>
          <w:p>
            <w:pPr>
              <w:pStyle w:val="TableText"/>
              <w:ind w:left="94"/>
              <w:spacing w:line="216" w:lineRule="auto"/>
              <w:rPr>
                <w:sz w:val="24"/>
                <w:szCs w:val="24"/>
              </w:rPr>
            </w:pPr>
            <w:r>
              <w:rPr>
                <w:sz w:val="24"/>
                <w:szCs w:val="24"/>
                <w:spacing w:val="-10"/>
              </w:rPr>
              <w:t>废气污染物实际排放量核算方法”第三种方法“产排污系数法”,公式如下：</w:t>
            </w:r>
          </w:p>
          <w:p>
            <w:pPr>
              <w:spacing w:line="301" w:lineRule="auto"/>
              <w:rPr>
                <w:rFonts w:ascii="Arial"/>
                <w:sz w:val="21"/>
              </w:rPr>
            </w:pPr>
            <w:r/>
          </w:p>
          <w:p>
            <w:pPr>
              <w:ind w:left="3424"/>
              <w:spacing w:before="69" w:line="19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E,=R×β,×10~¹</w:t>
            </w:r>
          </w:p>
          <w:p>
            <w:pPr>
              <w:pStyle w:val="TableText"/>
              <w:ind w:left="584"/>
              <w:spacing w:before="299" w:line="219" w:lineRule="auto"/>
              <w:rPr>
                <w:sz w:val="24"/>
                <w:szCs w:val="24"/>
              </w:rPr>
            </w:pPr>
            <w:r>
              <w:rPr>
                <w:rFonts w:ascii="Times New Roman" w:hAnsi="Times New Roman" w:eastAsia="Times New Roman" w:cs="Times New Roman"/>
                <w:sz w:val="24"/>
                <w:szCs w:val="24"/>
                <w:spacing w:val="-6"/>
              </w:rPr>
              <w:t>E₁-</w:t>
            </w:r>
            <w:r>
              <w:rPr>
                <w:sz w:val="24"/>
                <w:szCs w:val="24"/>
                <w:spacing w:val="-6"/>
              </w:rPr>
              <w:t>核算时段内污染物的排放量，吨；</w:t>
            </w:r>
          </w:p>
          <w:p>
            <w:pPr>
              <w:pStyle w:val="TableText"/>
              <w:ind w:left="584"/>
              <w:spacing w:before="165" w:line="219" w:lineRule="auto"/>
              <w:rPr>
                <w:sz w:val="24"/>
                <w:szCs w:val="24"/>
              </w:rPr>
            </w:pPr>
            <w:r>
              <w:rPr>
                <w:sz w:val="24"/>
                <w:szCs w:val="24"/>
                <w:spacing w:val="3"/>
              </w:rPr>
              <w:t>R-核算时段内天然气消耗量，万立方米。为1755.6</w:t>
            </w:r>
            <w:r>
              <w:rPr>
                <w:sz w:val="24"/>
                <w:szCs w:val="24"/>
                <w:spacing w:val="2"/>
              </w:rPr>
              <w:t>万m³</w:t>
            </w:r>
            <w:r>
              <w:rPr>
                <w:sz w:val="24"/>
                <w:szCs w:val="24"/>
                <w:spacing w:val="33"/>
              </w:rPr>
              <w:t xml:space="preserve"> </w:t>
            </w:r>
            <w:r>
              <w:rPr>
                <w:sz w:val="24"/>
                <w:szCs w:val="24"/>
                <w:spacing w:val="2"/>
              </w:rPr>
              <w:t>(项目锅炉年使</w:t>
            </w:r>
          </w:p>
          <w:p>
            <w:pPr>
              <w:pStyle w:val="TableText"/>
              <w:ind w:left="94"/>
              <w:spacing w:before="176" w:line="220" w:lineRule="auto"/>
              <w:rPr>
                <w:sz w:val="24"/>
                <w:szCs w:val="24"/>
              </w:rPr>
            </w:pPr>
            <w:r>
              <w:rPr>
                <w:sz w:val="24"/>
                <w:szCs w:val="24"/>
                <w:spacing w:val="12"/>
              </w:rPr>
              <w:t>用天然气量);</w:t>
            </w:r>
          </w:p>
          <w:p>
            <w:pPr>
              <w:pStyle w:val="TableText"/>
              <w:ind w:left="94" w:right="135" w:firstLine="489"/>
              <w:spacing w:before="162" w:line="375" w:lineRule="auto"/>
              <w:tabs>
                <w:tab w:val="left" w:pos="243"/>
              </w:tabs>
              <w:rPr>
                <w:sz w:val="24"/>
                <w:szCs w:val="24"/>
              </w:rPr>
            </w:pPr>
            <w:r>
              <w:rPr>
                <w:sz w:val="24"/>
                <w:szCs w:val="24"/>
                <w:spacing w:val="-8"/>
              </w:rPr>
              <w:t>β-污染物产排污系数，千克/万立方米-燃料，根据排污许可证附表</w:t>
            </w:r>
            <w:r>
              <w:rPr>
                <w:sz w:val="24"/>
                <w:szCs w:val="24"/>
                <w:spacing w:val="-54"/>
              </w:rPr>
              <w:t xml:space="preserve"> </w:t>
            </w:r>
            <w:r>
              <w:rPr>
                <w:sz w:val="24"/>
                <w:szCs w:val="24"/>
                <w:spacing w:val="-8"/>
              </w:rPr>
              <w:t>F.3 燃</w:t>
            </w:r>
            <w:r>
              <w:rPr>
                <w:sz w:val="24"/>
                <w:szCs w:val="24"/>
              </w:rPr>
              <w:t xml:space="preserve"> </w:t>
            </w:r>
            <w:r>
              <w:rPr>
                <w:sz w:val="24"/>
                <w:szCs w:val="24"/>
                <w:spacing w:val="13"/>
              </w:rPr>
              <w:t>气工业锅炉的废气产排污系数，</w:t>
            </w:r>
            <w:r>
              <w:rPr>
                <w:sz w:val="24"/>
                <w:szCs w:val="24"/>
                <w:spacing w:val="-13"/>
              </w:rPr>
              <w:t xml:space="preserve"> </w:t>
            </w:r>
            <w:r>
              <w:rPr>
                <w:rFonts w:ascii="Times New Roman" w:hAnsi="Times New Roman" w:eastAsia="Times New Roman" w:cs="Times New Roman"/>
                <w:sz w:val="24"/>
                <w:szCs w:val="24"/>
              </w:rPr>
              <w:t>SO</w:t>
            </w:r>
            <w:r>
              <w:rPr>
                <w:rFonts w:ascii="Times New Roman" w:hAnsi="Times New Roman" w:eastAsia="Times New Roman" w:cs="Times New Roman"/>
                <w:sz w:val="24"/>
                <w:szCs w:val="24"/>
                <w:spacing w:val="13"/>
              </w:rPr>
              <w:t>₂</w:t>
            </w:r>
            <w:r>
              <w:rPr>
                <w:rFonts w:ascii="Times New Roman" w:hAnsi="Times New Roman" w:eastAsia="Times New Roman" w:cs="Times New Roman"/>
                <w:sz w:val="24"/>
                <w:szCs w:val="24"/>
                <w:spacing w:val="27"/>
              </w:rPr>
              <w:t xml:space="preserve"> </w:t>
            </w:r>
            <w:r>
              <w:rPr>
                <w:sz w:val="24"/>
                <w:szCs w:val="24"/>
                <w:spacing w:val="13"/>
              </w:rPr>
              <w:t>取0.02</w:t>
            </w:r>
            <w:r>
              <w:rPr>
                <w:rFonts w:ascii="Times New Roman" w:hAnsi="Times New Roman" w:eastAsia="Times New Roman" w:cs="Times New Roman"/>
                <w:sz w:val="24"/>
                <w:szCs w:val="24"/>
                <w:spacing w:val="13"/>
              </w:rPr>
              <w:t>S,   </w:t>
            </w:r>
            <w:r>
              <w:rPr>
                <w:sz w:val="24"/>
                <w:szCs w:val="24"/>
                <w:spacing w:val="13"/>
              </w:rPr>
              <w:t>其</w:t>
            </w:r>
            <w:r>
              <w:rPr>
                <w:sz w:val="24"/>
                <w:szCs w:val="24"/>
                <w:spacing w:val="-22"/>
              </w:rPr>
              <w:t xml:space="preserve"> </w:t>
            </w:r>
            <w:r>
              <w:rPr>
                <w:sz w:val="24"/>
                <w:szCs w:val="24"/>
                <w:spacing w:val="13"/>
              </w:rPr>
              <w:t>中</w:t>
            </w:r>
            <w:r>
              <w:rPr>
                <w:sz w:val="24"/>
                <w:szCs w:val="24"/>
                <w:spacing w:val="-66"/>
              </w:rPr>
              <w:t xml:space="preserve"> </w:t>
            </w:r>
            <w:r>
              <w:rPr>
                <w:rFonts w:ascii="Times New Roman" w:hAnsi="Times New Roman" w:eastAsia="Times New Roman" w:cs="Times New Roman"/>
                <w:sz w:val="24"/>
                <w:szCs w:val="24"/>
                <w:spacing w:val="13"/>
              </w:rPr>
              <w:t>S</w:t>
            </w:r>
            <w:r>
              <w:rPr>
                <w:rFonts w:ascii="Times New Roman" w:hAnsi="Times New Roman" w:eastAsia="Times New Roman" w:cs="Times New Roman"/>
                <w:sz w:val="24"/>
                <w:szCs w:val="24"/>
                <w:spacing w:val="42"/>
              </w:rPr>
              <w:t xml:space="preserve"> </w:t>
            </w:r>
            <w:r>
              <w:rPr>
                <w:sz w:val="24"/>
                <w:szCs w:val="24"/>
                <w:spacing w:val="13"/>
              </w:rPr>
              <w:t>参考《天然气》</w:t>
            </w:r>
            <w:r>
              <w:rPr>
                <w:sz w:val="24"/>
                <w:szCs w:val="24"/>
              </w:rPr>
              <w:t xml:space="preserve"> </w:t>
            </w:r>
            <w:r>
              <w:rPr>
                <w:sz w:val="24"/>
                <w:szCs w:val="24"/>
              </w:rPr>
              <w:tab/>
            </w:r>
            <w:r>
              <w:rPr>
                <w:sz w:val="24"/>
                <w:szCs w:val="24"/>
                <w:spacing w:val="13"/>
              </w:rPr>
              <w:t>(</w:t>
            </w:r>
            <w:r>
              <w:rPr>
                <w:sz w:val="24"/>
                <w:szCs w:val="24"/>
              </w:rPr>
              <w:t>GB</w:t>
            </w:r>
            <w:r>
              <w:rPr>
                <w:sz w:val="24"/>
                <w:szCs w:val="24"/>
                <w:spacing w:val="13"/>
              </w:rPr>
              <w:t>17820-2018)</w:t>
            </w:r>
            <w:r>
              <w:rPr>
                <w:sz w:val="24"/>
                <w:szCs w:val="24"/>
                <w:spacing w:val="58"/>
              </w:rPr>
              <w:t xml:space="preserve"> </w:t>
            </w:r>
            <w:r>
              <w:rPr>
                <w:sz w:val="24"/>
                <w:szCs w:val="24"/>
                <w:spacing w:val="13"/>
              </w:rPr>
              <w:t>表1二类标准取100,</w:t>
            </w:r>
            <w:r>
              <w:rPr>
                <w:rFonts w:ascii="Times New Roman" w:hAnsi="Times New Roman" w:eastAsia="Times New Roman" w:cs="Times New Roman"/>
                <w:sz w:val="24"/>
                <w:szCs w:val="24"/>
              </w:rPr>
              <w:t>NO</w:t>
            </w:r>
            <w:r>
              <w:rPr>
                <w:rFonts w:ascii="Times New Roman" w:hAnsi="Times New Roman" w:eastAsia="Times New Roman" w:cs="Times New Roman"/>
                <w:sz w:val="24"/>
                <w:szCs w:val="24"/>
                <w:spacing w:val="13"/>
              </w:rPr>
              <w:t>₄ </w:t>
            </w:r>
            <w:r>
              <w:rPr>
                <w:sz w:val="24"/>
                <w:szCs w:val="24"/>
                <w:spacing w:val="13"/>
              </w:rPr>
              <w:t>取9.36(低氮燃烧),颗粒物取</w:t>
            </w:r>
          </w:p>
          <w:p>
            <w:pPr>
              <w:pStyle w:val="TableText"/>
              <w:ind w:left="94"/>
              <w:spacing w:before="1" w:line="182" w:lineRule="auto"/>
              <w:rPr>
                <w:sz w:val="24"/>
                <w:szCs w:val="24"/>
              </w:rPr>
            </w:pPr>
            <w:r>
              <w:rPr>
                <w:sz w:val="24"/>
                <w:szCs w:val="24"/>
                <w:spacing w:val="-11"/>
              </w:rPr>
              <w:t>2.86。</w:t>
            </w:r>
          </w:p>
          <w:p>
            <w:pPr>
              <w:pStyle w:val="TableText"/>
              <w:ind w:left="587"/>
              <w:spacing w:before="184" w:line="466" w:lineRule="exact"/>
              <w:rPr>
                <w:sz w:val="24"/>
                <w:szCs w:val="24"/>
              </w:rPr>
            </w:pPr>
            <w:r>
              <w:rPr>
                <w:sz w:val="24"/>
                <w:szCs w:val="24"/>
                <w:b/>
                <w:bCs/>
                <w:spacing w:val="-2"/>
                <w:position w:val="17"/>
              </w:rPr>
              <w:t>则SO</w:t>
            </w:r>
            <w:r>
              <w:rPr>
                <w:rFonts w:ascii="Calibri" w:hAnsi="Calibri" w:eastAsia="Calibri" w:cs="Calibri"/>
                <w:sz w:val="24"/>
                <w:szCs w:val="24"/>
                <w:b/>
                <w:bCs/>
                <w:spacing w:val="-2"/>
                <w:position w:val="17"/>
              </w:rPr>
              <w:t>₂  </w:t>
            </w:r>
            <w:r>
              <w:rPr>
                <w:sz w:val="24"/>
                <w:szCs w:val="24"/>
                <w:b/>
                <w:bCs/>
                <w:spacing w:val="-2"/>
                <w:position w:val="17"/>
              </w:rPr>
              <w:t>实际排放量为3.5112t/a,</w:t>
            </w:r>
            <w:r>
              <w:rPr>
                <w:sz w:val="24"/>
                <w:szCs w:val="24"/>
                <w:spacing w:val="-41"/>
                <w:position w:val="17"/>
              </w:rPr>
              <w:t xml:space="preserve"> </w:t>
            </w:r>
            <w:r>
              <w:rPr>
                <w:sz w:val="24"/>
                <w:szCs w:val="24"/>
                <w:b/>
                <w:bCs/>
                <w:spacing w:val="-2"/>
                <w:position w:val="17"/>
              </w:rPr>
              <w:t>颗粒物实际排放量为5.0210t/a,NO</w:t>
            </w:r>
            <w:r>
              <w:rPr>
                <w:rFonts w:ascii="Calibri" w:hAnsi="Calibri" w:eastAsia="Calibri" w:cs="Calibri"/>
                <w:sz w:val="24"/>
                <w:szCs w:val="24"/>
                <w:b/>
                <w:bCs/>
                <w:spacing w:val="-2"/>
                <w:position w:val="17"/>
              </w:rPr>
              <w:t>₄    </w:t>
            </w:r>
            <w:r>
              <w:rPr>
                <w:sz w:val="24"/>
                <w:szCs w:val="24"/>
                <w:b/>
                <w:bCs/>
                <w:spacing w:val="-2"/>
                <w:position w:val="17"/>
              </w:rPr>
              <w:t>实</w:t>
            </w:r>
          </w:p>
          <w:p>
            <w:pPr>
              <w:pStyle w:val="TableText"/>
              <w:ind w:left="97"/>
              <w:spacing w:before="1" w:line="220" w:lineRule="auto"/>
              <w:rPr>
                <w:sz w:val="24"/>
                <w:szCs w:val="24"/>
              </w:rPr>
            </w:pPr>
            <w:r>
              <w:rPr>
                <w:sz w:val="24"/>
                <w:szCs w:val="24"/>
                <w:b/>
                <w:bCs/>
                <w:spacing w:val="-8"/>
              </w:rPr>
              <w:t>际排放量为16.4324t/a。</w:t>
            </w:r>
          </w:p>
          <w:p>
            <w:pPr>
              <w:pStyle w:val="TableText"/>
              <w:ind w:left="584"/>
              <w:spacing w:before="191" w:line="463" w:lineRule="exact"/>
              <w:rPr>
                <w:sz w:val="24"/>
                <w:szCs w:val="24"/>
              </w:rPr>
            </w:pPr>
            <w:r>
              <w:rPr>
                <w:sz w:val="24"/>
                <w:szCs w:val="24"/>
                <w:spacing w:val="11"/>
                <w:position w:val="16"/>
              </w:rPr>
              <w:t>③根据《排放源统计调查产排污核算方法和系数手册(2021版)—锅炉</w:t>
            </w:r>
          </w:p>
          <w:p>
            <w:pPr>
              <w:pStyle w:val="TableText"/>
              <w:ind w:left="94"/>
              <w:spacing w:before="1" w:line="219" w:lineRule="auto"/>
              <w:rPr>
                <w:sz w:val="24"/>
                <w:szCs w:val="24"/>
              </w:rPr>
            </w:pPr>
            <w:r>
              <w:rPr>
                <w:sz w:val="24"/>
                <w:szCs w:val="24"/>
                <w:spacing w:val="-4"/>
              </w:rPr>
              <w:t>产排污量核算系数手册》核算</w:t>
            </w:r>
          </w:p>
          <w:p>
            <w:pPr>
              <w:pStyle w:val="TableText"/>
              <w:ind w:left="584"/>
              <w:spacing w:before="184" w:line="460" w:lineRule="exact"/>
              <w:rPr>
                <w:sz w:val="24"/>
                <w:szCs w:val="24"/>
              </w:rPr>
            </w:pPr>
            <w:r>
              <w:rPr>
                <w:rFonts w:ascii="Times New Roman" w:hAnsi="Times New Roman" w:eastAsia="Times New Roman" w:cs="Times New Roman"/>
                <w:sz w:val="24"/>
                <w:szCs w:val="24"/>
                <w:position w:val="16"/>
              </w:rPr>
              <w:t>NOx</w:t>
            </w:r>
            <w:r>
              <w:rPr>
                <w:rFonts w:ascii="Times New Roman" w:hAnsi="Times New Roman" w:eastAsia="Times New Roman" w:cs="Times New Roman"/>
                <w:sz w:val="24"/>
                <w:szCs w:val="24"/>
                <w:spacing w:val="3"/>
                <w:position w:val="16"/>
              </w:rPr>
              <w:t xml:space="preserve"> </w:t>
            </w:r>
            <w:r>
              <w:rPr>
                <w:sz w:val="24"/>
                <w:szCs w:val="24"/>
                <w:spacing w:val="3"/>
                <w:position w:val="16"/>
              </w:rPr>
              <w:t>排污系数参照《排放源统计调查产排污核算方</w:t>
            </w:r>
            <w:r>
              <w:rPr>
                <w:sz w:val="24"/>
                <w:szCs w:val="24"/>
                <w:spacing w:val="2"/>
                <w:position w:val="16"/>
              </w:rPr>
              <w:t>法和系数手册》中燃</w:t>
            </w:r>
          </w:p>
          <w:p>
            <w:pPr>
              <w:pStyle w:val="TableText"/>
              <w:ind w:left="94"/>
              <w:spacing w:before="1" w:line="219" w:lineRule="auto"/>
              <w:rPr>
                <w:sz w:val="24"/>
                <w:szCs w:val="24"/>
              </w:rPr>
            </w:pPr>
            <w:r>
              <w:rPr>
                <w:sz w:val="24"/>
                <w:szCs w:val="24"/>
                <w:spacing w:val="8"/>
              </w:rPr>
              <w:t>气锅炉(天然气)有关污染物排放系数。</w:t>
            </w:r>
          </w:p>
          <w:p>
            <w:pPr>
              <w:pStyle w:val="TableText"/>
              <w:ind w:left="94" w:right="140" w:firstLine="489"/>
              <w:spacing w:before="194" w:line="347" w:lineRule="auto"/>
              <w:rPr>
                <w:sz w:val="24"/>
                <w:szCs w:val="24"/>
              </w:rPr>
            </w:pPr>
            <w:r>
              <w:rPr>
                <w:sz w:val="24"/>
                <w:szCs w:val="24"/>
              </w:rPr>
              <w:t>根据建设单位对锅炉废气进行日常监测及《时代一汽动力电池项目(年产</w:t>
            </w:r>
            <w:r>
              <w:rPr>
                <w:sz w:val="24"/>
                <w:szCs w:val="24"/>
                <w:spacing w:val="13"/>
              </w:rPr>
              <w:t xml:space="preserve"> </w:t>
            </w:r>
            <w:r>
              <w:rPr>
                <w:rFonts w:ascii="Times New Roman" w:hAnsi="Times New Roman" w:eastAsia="Times New Roman" w:cs="Times New Roman"/>
                <w:sz w:val="24"/>
                <w:szCs w:val="24"/>
                <w:spacing w:val="3"/>
              </w:rPr>
              <w:t>10</w:t>
            </w:r>
            <w:r>
              <w:rPr>
                <w:rFonts w:ascii="Times New Roman" w:hAnsi="Times New Roman" w:eastAsia="Times New Roman" w:cs="Times New Roman"/>
                <w:sz w:val="24"/>
                <w:szCs w:val="24"/>
              </w:rPr>
              <w:t>GWh</w:t>
            </w:r>
            <w:r>
              <w:rPr>
                <w:rFonts w:ascii="Times New Roman" w:hAnsi="Times New Roman" w:eastAsia="Times New Roman" w:cs="Times New Roman"/>
                <w:sz w:val="24"/>
                <w:szCs w:val="24"/>
                <w:spacing w:val="3"/>
              </w:rPr>
              <w:t>)  </w:t>
            </w:r>
            <w:r>
              <w:rPr>
                <w:sz w:val="24"/>
                <w:szCs w:val="24"/>
                <w:spacing w:val="3"/>
              </w:rPr>
              <w:t>竣工环境保护验收监测报告表》可</w:t>
            </w:r>
            <w:r>
              <w:rPr>
                <w:sz w:val="24"/>
                <w:szCs w:val="24"/>
                <w:spacing w:val="2"/>
              </w:rPr>
              <w:t>知：锅炉废气排放口颗粒物的排</w:t>
            </w:r>
            <w:r>
              <w:rPr>
                <w:sz w:val="24"/>
                <w:szCs w:val="24"/>
              </w:rPr>
              <w:t xml:space="preserve"> </w:t>
            </w:r>
            <w:r>
              <w:rPr>
                <w:sz w:val="24"/>
                <w:szCs w:val="24"/>
                <w:spacing w:val="15"/>
              </w:rPr>
              <w:t>放浓度均值分别为&lt;1</w:t>
            </w:r>
            <w:r>
              <w:rPr>
                <w:rFonts w:ascii="Times New Roman" w:hAnsi="Times New Roman" w:eastAsia="Times New Roman" w:cs="Times New Roman"/>
                <w:sz w:val="24"/>
                <w:szCs w:val="24"/>
              </w:rPr>
              <w:t>mg</w:t>
            </w:r>
            <w:r>
              <w:rPr>
                <w:rFonts w:ascii="Times New Roman" w:hAnsi="Times New Roman" w:eastAsia="Times New Roman" w:cs="Times New Roman"/>
                <w:sz w:val="24"/>
                <w:szCs w:val="24"/>
                <w:spacing w:val="15"/>
              </w:rPr>
              <w:t>/m³</w:t>
            </w:r>
            <w:r>
              <w:rPr>
                <w:sz w:val="24"/>
                <w:szCs w:val="24"/>
                <w:spacing w:val="15"/>
              </w:rPr>
              <w:t>~</w:t>
            </w:r>
            <w:r>
              <w:rPr>
                <w:rFonts w:ascii="Times New Roman" w:hAnsi="Times New Roman" w:eastAsia="Times New Roman" w:cs="Times New Roman"/>
                <w:sz w:val="24"/>
                <w:szCs w:val="24"/>
                <w:spacing w:val="15"/>
              </w:rPr>
              <w:t>5.3</w:t>
            </w:r>
            <w:r>
              <w:rPr>
                <w:rFonts w:ascii="Times New Roman" w:hAnsi="Times New Roman" w:eastAsia="Times New Roman" w:cs="Times New Roman"/>
                <w:sz w:val="24"/>
                <w:szCs w:val="24"/>
              </w:rPr>
              <w:t>mg</w:t>
            </w:r>
            <w:r>
              <w:rPr>
                <w:rFonts w:ascii="Times New Roman" w:hAnsi="Times New Roman" w:eastAsia="Times New Roman" w:cs="Times New Roman"/>
                <w:sz w:val="24"/>
                <w:szCs w:val="24"/>
                <w:spacing w:val="15"/>
              </w:rPr>
              <w:t>/m³,   </w:t>
            </w:r>
            <w:r>
              <w:rPr>
                <w:sz w:val="24"/>
                <w:szCs w:val="24"/>
                <w:spacing w:val="15"/>
              </w:rPr>
              <w:t>二氧化硫的排放浓度均未检出(&lt;</w:t>
            </w:r>
          </w:p>
          <w:p>
            <w:pPr>
              <w:pStyle w:val="TableText"/>
              <w:ind w:left="94"/>
              <w:spacing w:line="212" w:lineRule="auto"/>
              <w:rPr>
                <w:sz w:val="24"/>
                <w:szCs w:val="24"/>
              </w:rPr>
            </w:pPr>
            <w:r>
              <w:rPr>
                <w:rFonts w:ascii="Times New Roman" w:hAnsi="Times New Roman" w:eastAsia="Times New Roman" w:cs="Times New Roman"/>
                <w:sz w:val="24"/>
                <w:szCs w:val="24"/>
                <w:spacing w:val="17"/>
              </w:rPr>
              <w:t>3</w:t>
            </w:r>
            <w:r>
              <w:rPr>
                <w:rFonts w:ascii="Times New Roman" w:hAnsi="Times New Roman" w:eastAsia="Times New Roman" w:cs="Times New Roman"/>
                <w:sz w:val="24"/>
                <w:szCs w:val="24"/>
              </w:rPr>
              <w:t>mg</w:t>
            </w:r>
            <w:r>
              <w:rPr>
                <w:rFonts w:ascii="Times New Roman" w:hAnsi="Times New Roman" w:eastAsia="Times New Roman" w:cs="Times New Roman"/>
                <w:sz w:val="24"/>
                <w:szCs w:val="24"/>
                <w:spacing w:val="17"/>
              </w:rPr>
              <w:t>/m³,</w:t>
            </w:r>
            <w:r>
              <w:rPr>
                <w:rFonts w:ascii="Times New Roman" w:hAnsi="Times New Roman" w:eastAsia="Times New Roman" w:cs="Times New Roman"/>
                <w:sz w:val="24"/>
                <w:szCs w:val="24"/>
                <w:spacing w:val="6"/>
              </w:rPr>
              <w:t xml:space="preserve">   </w:t>
            </w:r>
            <w:r>
              <w:rPr>
                <w:sz w:val="24"/>
                <w:szCs w:val="24"/>
                <w:spacing w:val="17"/>
              </w:rPr>
              <w:t>实测浓度),林格曼黑度均&lt;1级。</w:t>
            </w:r>
          </w:p>
          <w:p>
            <w:pPr>
              <w:pStyle w:val="TableText"/>
              <w:ind w:left="94" w:right="165" w:firstLine="489"/>
              <w:spacing w:before="230" w:line="354" w:lineRule="auto"/>
              <w:rPr>
                <w:sz w:val="24"/>
                <w:szCs w:val="24"/>
              </w:rPr>
            </w:pPr>
            <w:r>
              <w:rPr>
                <w:sz w:val="24"/>
                <w:szCs w:val="24"/>
                <w:spacing w:val="-4"/>
              </w:rPr>
              <w:t>根据锅炉供应商提供资料及污染物排放的波动情况，本次评价报</w:t>
            </w:r>
            <w:r>
              <w:rPr>
                <w:sz w:val="24"/>
                <w:szCs w:val="24"/>
                <w:spacing w:val="-5"/>
              </w:rPr>
              <w:t>告锅炉燃</w:t>
            </w:r>
            <w:r>
              <w:rPr>
                <w:sz w:val="24"/>
                <w:szCs w:val="24"/>
              </w:rPr>
              <w:t xml:space="preserve"> </w:t>
            </w:r>
            <w:r>
              <w:rPr>
                <w:sz w:val="24"/>
                <w:szCs w:val="24"/>
                <w:spacing w:val="4"/>
              </w:rPr>
              <w:t>烧废气颗粒物排放浓度保守以20</w:t>
            </w:r>
            <w:r>
              <w:rPr>
                <w:rFonts w:ascii="Times New Roman" w:hAnsi="Times New Roman" w:eastAsia="Times New Roman" w:cs="Times New Roman"/>
                <w:sz w:val="24"/>
                <w:szCs w:val="24"/>
              </w:rPr>
              <w:t>mg</w:t>
            </w:r>
            <w:r>
              <w:rPr>
                <w:rFonts w:ascii="Times New Roman" w:hAnsi="Times New Roman" w:eastAsia="Times New Roman" w:cs="Times New Roman"/>
                <w:sz w:val="24"/>
                <w:szCs w:val="24"/>
                <w:spacing w:val="4"/>
              </w:rPr>
              <w:t>/m³,   </w:t>
            </w:r>
            <w:r>
              <w:rPr>
                <w:sz w:val="24"/>
                <w:szCs w:val="24"/>
                <w:spacing w:val="4"/>
              </w:rPr>
              <w:t>二氧化硫的排放浓度以3</w:t>
            </w:r>
            <w:r>
              <w:rPr>
                <w:rFonts w:ascii="Times New Roman" w:hAnsi="Times New Roman" w:eastAsia="Times New Roman" w:cs="Times New Roman"/>
                <w:sz w:val="24"/>
                <w:szCs w:val="24"/>
              </w:rPr>
              <w:t>mg</w:t>
            </w:r>
            <w:r>
              <w:rPr>
                <w:rFonts w:ascii="Times New Roman" w:hAnsi="Times New Roman" w:eastAsia="Times New Roman" w:cs="Times New Roman"/>
                <w:sz w:val="24"/>
                <w:szCs w:val="24"/>
                <w:spacing w:val="4"/>
              </w:rPr>
              <w:t>/m³,   </w:t>
            </w:r>
            <w:r>
              <w:rPr>
                <w:sz w:val="24"/>
                <w:szCs w:val="24"/>
                <w:spacing w:val="4"/>
              </w:rPr>
              <w:t>进</w:t>
            </w:r>
          </w:p>
          <w:p>
            <w:pPr>
              <w:pStyle w:val="TableText"/>
              <w:ind w:left="94"/>
              <w:spacing w:before="1" w:line="217" w:lineRule="auto"/>
              <w:rPr>
                <w:sz w:val="24"/>
                <w:szCs w:val="24"/>
              </w:rPr>
            </w:pPr>
            <w:r>
              <w:rPr>
                <w:sz w:val="24"/>
                <w:szCs w:val="24"/>
                <w:spacing w:val="-4"/>
              </w:rPr>
              <w:t>行预估。锅炉废气产排污系数详见表4.2-2。</w:t>
            </w:r>
          </w:p>
          <w:p>
            <w:pPr>
              <w:pStyle w:val="TableText"/>
              <w:ind w:left="2497"/>
              <w:spacing w:before="195" w:line="219" w:lineRule="auto"/>
              <w:rPr>
                <w:sz w:val="24"/>
                <w:szCs w:val="24"/>
              </w:rPr>
            </w:pPr>
            <w:r>
              <w:rPr>
                <w:sz w:val="24"/>
                <w:szCs w:val="24"/>
                <w:b/>
                <w:bCs/>
                <w:spacing w:val="-6"/>
              </w:rPr>
              <w:t>表4.2-2</w:t>
            </w:r>
            <w:r>
              <w:rPr>
                <w:sz w:val="24"/>
                <w:szCs w:val="24"/>
                <w:spacing w:val="46"/>
              </w:rPr>
              <w:t xml:space="preserve">  </w:t>
            </w:r>
            <w:r>
              <w:rPr>
                <w:sz w:val="24"/>
                <w:szCs w:val="24"/>
                <w:b/>
                <w:bCs/>
                <w:spacing w:val="-6"/>
              </w:rPr>
              <w:t>锅炉废气产排污系数</w:t>
            </w:r>
          </w:p>
        </w:tc>
      </w:tr>
      <w:tr>
        <w:trPr>
          <w:trHeight w:val="309" w:hRule="atLeast"/>
        </w:trPr>
        <w:tc>
          <w:tcPr>
            <w:tcW w:w="551" w:type="dxa"/>
            <w:vAlign w:val="top"/>
            <w:vMerge w:val="restart"/>
            <w:tcBorders>
              <w:left w:val="single" w:color="000000" w:sz="2" w:space="0"/>
              <w:right w:val="single" w:color="000000" w:sz="2" w:space="0"/>
              <w:bottom w:val="nil"/>
            </w:tcBorders>
          </w:tcPr>
          <w:p>
            <w:pPr>
              <w:rPr>
                <w:rFonts w:ascii="Arial"/>
                <w:sz w:val="21"/>
              </w:rPr>
            </w:pPr>
            <w:r/>
          </w:p>
        </w:tc>
        <w:tc>
          <w:tcPr>
            <w:tcW w:w="1377" w:type="dxa"/>
            <w:vAlign w:val="top"/>
            <w:tcBorders>
              <w:left w:val="single" w:color="000000" w:sz="2" w:space="0"/>
            </w:tcBorders>
          </w:tcPr>
          <w:p>
            <w:pPr>
              <w:pStyle w:val="TableText"/>
              <w:ind w:left="363"/>
              <w:spacing w:before="68" w:line="213" w:lineRule="auto"/>
              <w:rPr>
                <w:sz w:val="20"/>
                <w:szCs w:val="20"/>
              </w:rPr>
            </w:pPr>
            <w:r>
              <w:rPr>
                <w:sz w:val="20"/>
                <w:szCs w:val="20"/>
                <w:spacing w:val="2"/>
              </w:rPr>
              <w:t>原料名称</w:t>
            </w:r>
          </w:p>
        </w:tc>
        <w:tc>
          <w:tcPr>
            <w:tcW w:w="1702" w:type="dxa"/>
            <w:vAlign w:val="top"/>
          </w:tcPr>
          <w:p>
            <w:pPr>
              <w:pStyle w:val="TableText"/>
              <w:ind w:left="354"/>
              <w:spacing w:before="68" w:line="213" w:lineRule="auto"/>
              <w:rPr>
                <w:sz w:val="20"/>
                <w:szCs w:val="20"/>
              </w:rPr>
            </w:pPr>
            <w:r>
              <w:rPr>
                <w:sz w:val="20"/>
                <w:szCs w:val="20"/>
                <w:spacing w:val="-2"/>
              </w:rPr>
              <w:t>污染物指标</w:t>
            </w:r>
          </w:p>
        </w:tc>
        <w:tc>
          <w:tcPr>
            <w:tcW w:w="1421" w:type="dxa"/>
            <w:vAlign w:val="top"/>
          </w:tcPr>
          <w:p>
            <w:pPr>
              <w:pStyle w:val="TableText"/>
              <w:ind w:left="512"/>
              <w:spacing w:before="68" w:line="213" w:lineRule="auto"/>
              <w:rPr>
                <w:sz w:val="20"/>
                <w:szCs w:val="20"/>
              </w:rPr>
            </w:pPr>
            <w:r>
              <w:rPr>
                <w:sz w:val="20"/>
                <w:szCs w:val="20"/>
                <w:spacing w:val="-3"/>
              </w:rPr>
              <w:t>单位</w:t>
            </w:r>
          </w:p>
        </w:tc>
        <w:tc>
          <w:tcPr>
            <w:tcW w:w="1131" w:type="dxa"/>
            <w:vAlign w:val="top"/>
          </w:tcPr>
          <w:p>
            <w:pPr>
              <w:pStyle w:val="TableText"/>
              <w:ind w:left="161"/>
              <w:spacing w:before="67" w:line="214" w:lineRule="auto"/>
              <w:rPr>
                <w:sz w:val="20"/>
                <w:szCs w:val="20"/>
              </w:rPr>
            </w:pPr>
            <w:r>
              <w:rPr>
                <w:sz w:val="20"/>
                <w:szCs w:val="20"/>
                <w:spacing w:val="-2"/>
              </w:rPr>
              <w:t>产污系数</w:t>
            </w:r>
          </w:p>
        </w:tc>
        <w:tc>
          <w:tcPr>
            <w:tcW w:w="1141" w:type="dxa"/>
            <w:vAlign w:val="top"/>
          </w:tcPr>
          <w:p>
            <w:pPr>
              <w:pStyle w:val="TableText"/>
              <w:ind w:left="170"/>
              <w:spacing w:before="67" w:line="214" w:lineRule="auto"/>
              <w:rPr>
                <w:sz w:val="20"/>
                <w:szCs w:val="20"/>
              </w:rPr>
            </w:pPr>
            <w:r>
              <w:rPr>
                <w:sz w:val="20"/>
                <w:szCs w:val="20"/>
                <w:spacing w:val="2"/>
              </w:rPr>
              <w:t>治理技术</w:t>
            </w:r>
          </w:p>
        </w:tc>
        <w:tc>
          <w:tcPr>
            <w:tcW w:w="1532" w:type="dxa"/>
            <w:vAlign w:val="top"/>
            <w:tcBorders>
              <w:right w:val="single" w:color="000000" w:sz="2" w:space="0"/>
            </w:tcBorders>
          </w:tcPr>
          <w:p>
            <w:pPr>
              <w:pStyle w:val="TableText"/>
              <w:ind w:left="349"/>
              <w:spacing w:before="67" w:line="214" w:lineRule="auto"/>
              <w:rPr>
                <w:sz w:val="20"/>
                <w:szCs w:val="20"/>
              </w:rPr>
            </w:pPr>
            <w:r>
              <w:rPr>
                <w:sz w:val="20"/>
                <w:szCs w:val="20"/>
                <w:spacing w:val="-2"/>
              </w:rPr>
              <w:t>排污系数</w:t>
            </w:r>
          </w:p>
        </w:tc>
      </w:tr>
      <w:tr>
        <w:trPr>
          <w:trHeight w:val="599" w:hRule="atLeast"/>
        </w:trPr>
        <w:tc>
          <w:tcPr>
            <w:tcW w:w="551" w:type="dxa"/>
            <w:vAlign w:val="top"/>
            <w:vMerge w:val="continue"/>
            <w:tcBorders>
              <w:left w:val="single" w:color="000000" w:sz="2" w:space="0"/>
              <w:right w:val="single" w:color="000000" w:sz="2" w:space="0"/>
              <w:top w:val="nil"/>
            </w:tcBorders>
          </w:tcPr>
          <w:p>
            <w:pPr>
              <w:rPr>
                <w:rFonts w:ascii="Arial"/>
                <w:sz w:val="21"/>
              </w:rPr>
            </w:pPr>
            <w:r/>
          </w:p>
        </w:tc>
        <w:tc>
          <w:tcPr>
            <w:tcW w:w="1377" w:type="dxa"/>
            <w:vAlign w:val="top"/>
            <w:tcBorders>
              <w:left w:val="single" w:color="000000" w:sz="2" w:space="0"/>
            </w:tcBorders>
          </w:tcPr>
          <w:p>
            <w:pPr>
              <w:pStyle w:val="TableText"/>
              <w:ind w:left="564"/>
              <w:spacing w:before="188" w:line="220" w:lineRule="auto"/>
              <w:rPr>
                <w:sz w:val="20"/>
                <w:szCs w:val="20"/>
              </w:rPr>
            </w:pPr>
            <w:r>
              <w:rPr>
                <w:sz w:val="20"/>
                <w:szCs w:val="20"/>
                <w:spacing w:val="4"/>
              </w:rPr>
              <w:t>天然气</w:t>
            </w:r>
          </w:p>
        </w:tc>
        <w:tc>
          <w:tcPr>
            <w:tcW w:w="1702" w:type="dxa"/>
            <w:vAlign w:val="top"/>
          </w:tcPr>
          <w:p>
            <w:pPr>
              <w:pStyle w:val="TableText"/>
              <w:ind w:left="354"/>
              <w:spacing w:before="188" w:line="220" w:lineRule="auto"/>
              <w:rPr>
                <w:sz w:val="20"/>
                <w:szCs w:val="20"/>
              </w:rPr>
            </w:pPr>
            <w:r>
              <w:rPr>
                <w:sz w:val="20"/>
                <w:szCs w:val="20"/>
                <w:spacing w:val="-2"/>
              </w:rPr>
              <w:t>工业废气量</w:t>
            </w:r>
          </w:p>
        </w:tc>
        <w:tc>
          <w:tcPr>
            <w:tcW w:w="1421" w:type="dxa"/>
            <w:vAlign w:val="top"/>
          </w:tcPr>
          <w:p>
            <w:pPr>
              <w:pStyle w:val="TableText"/>
              <w:ind w:left="162" w:right="136"/>
              <w:spacing w:before="57" w:line="230" w:lineRule="auto"/>
              <w:rPr>
                <w:sz w:val="20"/>
                <w:szCs w:val="20"/>
              </w:rPr>
            </w:pPr>
            <w:r>
              <w:rPr>
                <w:sz w:val="20"/>
                <w:szCs w:val="20"/>
                <w:spacing w:val="2"/>
              </w:rPr>
              <w:t>标立方米/万</w:t>
            </w:r>
            <w:r>
              <w:rPr>
                <w:sz w:val="20"/>
                <w:szCs w:val="20"/>
              </w:rPr>
              <w:t xml:space="preserve"> </w:t>
            </w:r>
            <w:r>
              <w:rPr>
                <w:sz w:val="20"/>
                <w:szCs w:val="20"/>
                <w:spacing w:val="-2"/>
              </w:rPr>
              <w:t>立方米-原料</w:t>
            </w:r>
          </w:p>
        </w:tc>
        <w:tc>
          <w:tcPr>
            <w:tcW w:w="1131" w:type="dxa"/>
            <w:vAlign w:val="top"/>
          </w:tcPr>
          <w:p>
            <w:pPr>
              <w:pStyle w:val="TableText"/>
              <w:ind w:left="261"/>
              <w:spacing w:before="238" w:line="184" w:lineRule="auto"/>
              <w:rPr>
                <w:sz w:val="20"/>
                <w:szCs w:val="20"/>
              </w:rPr>
            </w:pPr>
            <w:r>
              <w:rPr>
                <w:sz w:val="20"/>
                <w:szCs w:val="20"/>
                <w:spacing w:val="-4"/>
              </w:rPr>
              <w:t>107753</w:t>
            </w:r>
          </w:p>
        </w:tc>
        <w:tc>
          <w:tcPr>
            <w:tcW w:w="1141" w:type="dxa"/>
            <w:vAlign w:val="top"/>
          </w:tcPr>
          <w:p>
            <w:pPr>
              <w:pStyle w:val="TableText"/>
              <w:ind w:left="370"/>
              <w:spacing w:before="190" w:line="221" w:lineRule="auto"/>
              <w:rPr>
                <w:sz w:val="20"/>
                <w:szCs w:val="20"/>
              </w:rPr>
            </w:pPr>
            <w:r>
              <w:rPr>
                <w:sz w:val="20"/>
                <w:szCs w:val="20"/>
                <w:spacing w:val="-3"/>
              </w:rPr>
              <w:t>直排</w:t>
            </w:r>
          </w:p>
        </w:tc>
        <w:tc>
          <w:tcPr>
            <w:tcW w:w="1532" w:type="dxa"/>
            <w:vAlign w:val="top"/>
            <w:tcBorders>
              <w:right w:val="single" w:color="000000" w:sz="2" w:space="0"/>
            </w:tcBorders>
          </w:tcPr>
          <w:p>
            <w:pPr>
              <w:pStyle w:val="TableText"/>
              <w:ind w:left="449"/>
              <w:spacing w:before="238" w:line="184" w:lineRule="auto"/>
              <w:rPr>
                <w:sz w:val="20"/>
                <w:szCs w:val="20"/>
              </w:rPr>
            </w:pPr>
            <w:r>
              <w:rPr>
                <w:sz w:val="20"/>
                <w:szCs w:val="20"/>
                <w:spacing w:val="-4"/>
              </w:rPr>
              <w:t>107753</w:t>
            </w:r>
          </w:p>
        </w:tc>
      </w:tr>
    </w:tbl>
    <w:p>
      <w:pPr>
        <w:rPr>
          <w:rFonts w:ascii="Arial"/>
          <w:sz w:val="21"/>
        </w:rPr>
      </w:pPr>
      <w:r/>
    </w:p>
    <w:p>
      <w:pPr>
        <w:sectPr>
          <w:footerReference w:type="default" r:id="rId93"/>
          <w:pgSz w:w="11900" w:h="16840"/>
          <w:pgMar w:top="1410" w:right="1440" w:bottom="988" w:left="1599" w:header="0" w:footer="849" w:gutter="0"/>
        </w:sectPr>
        <w:rPr>
          <w:rFonts w:ascii="Arial" w:hAnsi="Arial" w:eastAsia="Arial" w:cs="Arial"/>
          <w:sz w:val="21"/>
          <w:szCs w:val="21"/>
        </w:rPr>
      </w:pPr>
    </w:p>
    <w:p>
      <w:pPr>
        <w:spacing w:line="23" w:lineRule="exact"/>
        <w:rPr/>
      </w:pPr>
      <w:r/>
    </w:p>
    <w:tbl>
      <w:tblPr>
        <w:tblStyle w:val="TableNormal"/>
        <w:tblW w:w="8831"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44"/>
        <w:gridCol w:w="8287"/>
      </w:tblGrid>
      <w:tr>
        <w:trPr>
          <w:trHeight w:val="1834" w:hRule="atLeast"/>
        </w:trPr>
        <w:tc>
          <w:tcPr>
            <w:tcW w:w="544" w:type="dxa"/>
            <w:vAlign w:val="top"/>
            <w:vMerge w:val="restart"/>
            <w:tcBorders>
              <w:bottom w:val="nil"/>
            </w:tcBorders>
          </w:tcPr>
          <w:p>
            <w:pPr>
              <w:rPr>
                <w:rFonts w:ascii="Arial"/>
                <w:sz w:val="21"/>
              </w:rPr>
            </w:pPr>
            <w:r/>
          </w:p>
        </w:tc>
        <w:tc>
          <w:tcPr>
            <w:tcW w:w="8287" w:type="dxa"/>
            <w:vAlign w:val="top"/>
          </w:tcPr>
          <w:p>
            <w:pPr>
              <w:pStyle w:val="TableText"/>
              <w:ind w:left="231"/>
              <w:spacing w:before="96" w:line="236" w:lineRule="auto"/>
              <w:jc w:val="both"/>
              <w:rPr/>
            </w:pPr>
            <w:r>
              <w:rPr>
                <w:spacing w:val="-16"/>
              </w:rPr>
              <w:t>备注：1、低氮燃烧-国际领先技术的天然气锅炉设计NOx排放控制要求一般小于60mg/m²</w:t>
            </w:r>
            <w:r>
              <w:rPr>
                <w:spacing w:val="8"/>
              </w:rPr>
              <w:t xml:space="preserve"> </w:t>
            </w:r>
            <w:r>
              <w:rPr/>
              <w:t>(@3.5%O</w:t>
            </w:r>
            <w:r>
              <w:rPr>
                <w:rFonts w:ascii="Calibri" w:hAnsi="Calibri" w:eastAsia="Calibri" w:cs="Calibri"/>
              </w:rPr>
              <w:t>₂</w:t>
            </w:r>
            <w:r>
              <w:rPr/>
              <w:t>);低氮燃烧-国内领先技术的天然气锅炉设计NOx排放控制要求一般介于 </w:t>
            </w:r>
            <w:r>
              <w:rPr>
                <w:spacing w:val="1"/>
              </w:rPr>
              <w:t>60</w:t>
            </w:r>
            <w:r>
              <w:rPr/>
              <w:t>mg</w:t>
            </w:r>
            <w:r>
              <w:rPr>
                <w:spacing w:val="1"/>
              </w:rPr>
              <w:t>/m³(@3.5%O</w:t>
            </w:r>
            <w:r>
              <w:rPr>
                <w:rFonts w:ascii="Calibri" w:hAnsi="Calibri" w:eastAsia="Calibri" w:cs="Calibri"/>
                <w:spacing w:val="1"/>
              </w:rPr>
              <w:t>₂</w:t>
            </w:r>
            <w:r>
              <w:rPr>
                <w:spacing w:val="1"/>
              </w:rPr>
              <w:t>)~100</w:t>
            </w:r>
            <w:r>
              <w:rPr/>
              <w:t>mg</w:t>
            </w:r>
            <w:r>
              <w:rPr>
                <w:spacing w:val="1"/>
              </w:rPr>
              <w:t>/m³(@3.5%O</w:t>
            </w:r>
            <w:r>
              <w:rPr>
                <w:rFonts w:ascii="Calibri" w:hAnsi="Calibri" w:eastAsia="Calibri" w:cs="Calibri"/>
                <w:spacing w:val="1"/>
              </w:rPr>
              <w:t>₂</w:t>
            </w:r>
            <w:r>
              <w:rPr>
                <w:spacing w:val="1"/>
              </w:rPr>
              <w:t>)</w:t>
            </w:r>
            <w:r>
              <w:rPr/>
              <w:t>;低氮燃烧-国内一般技术的天然气锅炉设 </w:t>
            </w:r>
            <w:r>
              <w:rPr>
                <w:spacing w:val="12"/>
              </w:rPr>
              <w:t>计</w:t>
            </w:r>
            <w:r>
              <w:rPr/>
              <w:t>NOx</w:t>
            </w:r>
            <w:r>
              <w:rPr>
                <w:spacing w:val="12"/>
              </w:rPr>
              <w:t>排放控制要求一般介于100</w:t>
            </w:r>
            <w:r>
              <w:rPr/>
              <w:t>mg</w:t>
            </w:r>
            <w:r>
              <w:rPr>
                <w:spacing w:val="12"/>
              </w:rPr>
              <w:t>/m³(@3.5%O</w:t>
            </w:r>
            <w:r>
              <w:rPr>
                <w:rFonts w:ascii="Calibri" w:hAnsi="Calibri" w:eastAsia="Calibri" w:cs="Calibri"/>
                <w:spacing w:val="11"/>
              </w:rPr>
              <w:t>₂</w:t>
            </w:r>
            <w:r>
              <w:rPr>
                <w:spacing w:val="11"/>
              </w:rPr>
              <w:t>)~200</w:t>
            </w:r>
            <w:r>
              <w:rPr/>
              <w:t>mg</w:t>
            </w:r>
            <w:r>
              <w:rPr>
                <w:spacing w:val="11"/>
              </w:rPr>
              <w:t>/m³(@3.5%O</w:t>
            </w:r>
            <w:r>
              <w:rPr>
                <w:rFonts w:ascii="Calibri" w:hAnsi="Calibri" w:eastAsia="Calibri" w:cs="Calibri"/>
                <w:spacing w:val="11"/>
              </w:rPr>
              <w:t>₂</w:t>
            </w:r>
            <w:r>
              <w:rPr>
                <w:spacing w:val="11"/>
              </w:rPr>
              <w:t>)。</w:t>
            </w:r>
          </w:p>
          <w:p>
            <w:pPr>
              <w:pStyle w:val="TableText"/>
              <w:ind w:left="201" w:firstLine="415"/>
              <w:spacing w:before="60" w:line="197" w:lineRule="auto"/>
              <w:rPr/>
            </w:pPr>
            <w:r>
              <w:rPr>
                <w:spacing w:val="-21"/>
                <w:w w:val="97"/>
              </w:rPr>
              <w:t>2、建设单位拟配备低氮燃烧器降低锅炉废气中的氮氧化</w:t>
            </w:r>
            <w:r>
              <w:rPr>
                <w:spacing w:val="-22"/>
                <w:w w:val="97"/>
              </w:rPr>
              <w:t>物的形成，其中蒸汽锅炉配套</w:t>
            </w:r>
            <w:r>
              <w:rPr/>
              <w:t xml:space="preserve">  </w:t>
            </w:r>
            <w:r>
              <w:rPr>
                <w:spacing w:val="-8"/>
              </w:rPr>
              <w:t>的低氮燃烧器可将烟气中的氮氧化物浓度降至30mg/m³,为低氮燃烧-国际领先技术。</w:t>
            </w:r>
          </w:p>
        </w:tc>
      </w:tr>
      <w:tr>
        <w:trPr>
          <w:trHeight w:val="11716" w:hRule="atLeast"/>
        </w:trPr>
        <w:tc>
          <w:tcPr>
            <w:tcW w:w="544" w:type="dxa"/>
            <w:vAlign w:val="top"/>
            <w:vMerge w:val="continue"/>
            <w:tcBorders>
              <w:top w:val="nil"/>
            </w:tcBorders>
          </w:tcPr>
          <w:p>
            <w:pPr>
              <w:rPr>
                <w:rFonts w:ascii="Arial"/>
                <w:sz w:val="21"/>
              </w:rPr>
            </w:pPr>
            <w:r/>
          </w:p>
        </w:tc>
        <w:tc>
          <w:tcPr>
            <w:tcW w:w="8287" w:type="dxa"/>
            <w:vAlign w:val="top"/>
          </w:tcPr>
          <w:p>
            <w:pPr>
              <w:pStyle w:val="TableText"/>
              <w:ind w:left="111" w:right="289" w:firstLine="499"/>
              <w:spacing w:before="80" w:line="381" w:lineRule="auto"/>
              <w:rPr/>
            </w:pPr>
            <w:r>
              <w:rPr/>
              <w:t>为了减少锅炉废气的氮氧化物排放，建设单位拟配备低氮燃烧器降低锅炉</w:t>
            </w:r>
            <w:r>
              <w:rPr>
                <w:spacing w:val="15"/>
              </w:rPr>
              <w:t xml:space="preserve"> </w:t>
            </w:r>
            <w:r>
              <w:rPr>
                <w:spacing w:val="3"/>
              </w:rPr>
              <w:t>废气中的氮氧化物的形成，可将烟气中的氮氧化物浓度降至50</w:t>
            </w:r>
            <w:r>
              <w:rPr/>
              <w:t>mg</w:t>
            </w:r>
            <w:r>
              <w:rPr>
                <w:spacing w:val="3"/>
              </w:rPr>
              <w:t>/m³,为低氮</w:t>
            </w:r>
          </w:p>
          <w:p>
            <w:pPr>
              <w:pStyle w:val="TableText"/>
              <w:ind w:left="111"/>
              <w:spacing w:line="218" w:lineRule="auto"/>
              <w:rPr/>
            </w:pPr>
            <w:r>
              <w:rPr/>
              <w:t>燃烧-国际领先技术，项目锅炉废气污染源强见表4.2-5。</w:t>
            </w:r>
          </w:p>
          <w:p>
            <w:pPr>
              <w:pStyle w:val="TableText"/>
              <w:ind w:left="624"/>
              <w:spacing w:before="182" w:line="216" w:lineRule="auto"/>
              <w:rPr/>
            </w:pPr>
            <w:r>
              <w:rPr>
                <w:b/>
                <w:bCs/>
                <w:spacing w:val="1"/>
              </w:rPr>
              <w:t>项目</w:t>
            </w:r>
            <w:r>
              <w:rPr>
                <w:b/>
                <w:bCs/>
              </w:rPr>
              <w:t>SO</w:t>
            </w:r>
            <w:r>
              <w:rPr>
                <w:rFonts w:ascii="Calibri" w:hAnsi="Calibri" w:eastAsia="Calibri" w:cs="Calibri"/>
                <w:b/>
                <w:bCs/>
                <w:spacing w:val="1"/>
              </w:rPr>
              <w:t>₂</w:t>
            </w:r>
            <w:r>
              <w:rPr>
                <w:b/>
                <w:bCs/>
                <w:spacing w:val="1"/>
              </w:rPr>
              <w:t>排放量为3.5112t/a,颗粒物排放量为3.7835t/a,</w:t>
            </w:r>
            <w:r>
              <w:rPr>
                <w:b/>
                <w:bCs/>
              </w:rPr>
              <w:t>NO</w:t>
            </w:r>
            <w:r>
              <w:rPr>
                <w:b/>
                <w:bCs/>
                <w:spacing w:val="1"/>
              </w:rPr>
              <w:t>、排放量为</w:t>
            </w:r>
          </w:p>
          <w:p>
            <w:pPr>
              <w:pStyle w:val="TableText"/>
              <w:ind w:left="104"/>
              <w:spacing w:before="250" w:line="224" w:lineRule="auto"/>
              <w:rPr/>
            </w:pPr>
            <w:r>
              <w:rPr>
                <w:b/>
                <w:bCs/>
                <w:spacing w:val="-6"/>
              </w:rPr>
              <w:t>9.4586t/a。</w:t>
            </w:r>
          </w:p>
          <w:p>
            <w:pPr>
              <w:pStyle w:val="TableText"/>
              <w:ind w:left="611"/>
              <w:spacing w:before="146" w:line="467" w:lineRule="exact"/>
              <w:rPr/>
            </w:pPr>
            <w:r>
              <w:rPr>
                <w:position w:val="18"/>
              </w:rPr>
              <w:t>根据以上三种计算方法，从严考虑污染物排放情况，则取第</w:t>
            </w:r>
            <w:r>
              <w:rPr>
                <w:spacing w:val="-1"/>
                <w:position w:val="18"/>
              </w:rPr>
              <w:t>三种核算方法，</w:t>
            </w:r>
          </w:p>
          <w:p>
            <w:pPr>
              <w:pStyle w:val="TableText"/>
              <w:ind w:left="111"/>
              <w:spacing w:before="1" w:line="216" w:lineRule="auto"/>
              <w:rPr/>
            </w:pPr>
            <w:r>
              <w:rPr/>
              <w:t>SO</w:t>
            </w:r>
            <w:r>
              <w:rPr>
                <w:rFonts w:ascii="Calibri" w:hAnsi="Calibri" w:eastAsia="Calibri" w:cs="Calibri"/>
                <w:spacing w:val="3"/>
              </w:rPr>
              <w:t>₂</w:t>
            </w:r>
            <w:r>
              <w:rPr>
                <w:spacing w:val="3"/>
              </w:rPr>
              <w:t>排放量为3.5112t/a,颗粒物排放量为3.7835t/a,</w:t>
            </w:r>
            <w:r>
              <w:rPr/>
              <w:t>NOx</w:t>
            </w:r>
            <w:r>
              <w:rPr>
                <w:spacing w:val="3"/>
              </w:rPr>
              <w:t>排放量为9.4586t/a。</w:t>
            </w:r>
          </w:p>
          <w:p>
            <w:pPr>
              <w:pStyle w:val="TableText"/>
              <w:ind w:left="714"/>
              <w:spacing w:before="191" w:line="220" w:lineRule="auto"/>
              <w:rPr/>
            </w:pPr>
            <w:r>
              <w:rPr>
                <w:b/>
                <w:bCs/>
                <w:spacing w:val="-3"/>
              </w:rPr>
              <w:t>(3)可行性分析</w:t>
            </w:r>
          </w:p>
          <w:p>
            <w:pPr>
              <w:pStyle w:val="TableText"/>
              <w:ind w:left="611"/>
              <w:spacing w:before="188" w:line="457" w:lineRule="exact"/>
              <w:rPr/>
            </w:pPr>
            <w:r>
              <w:rPr>
                <w:position w:val="17"/>
              </w:rPr>
              <w:t>以天然气为燃料的锅炉，燃烧烟气中的NOx主要来自空气中的氮气和过</w:t>
            </w:r>
          </w:p>
          <w:p>
            <w:pPr>
              <w:pStyle w:val="TableText"/>
              <w:ind w:left="121"/>
              <w:spacing w:before="1" w:line="216" w:lineRule="auto"/>
              <w:rPr/>
            </w:pPr>
            <w:r>
              <w:rPr/>
              <w:t>量氧气产生的热力型NOx,热力型NOx的产生和燃烧的温度呈指数型关系，</w:t>
            </w:r>
          </w:p>
          <w:p>
            <w:pPr>
              <w:pStyle w:val="TableText"/>
              <w:ind w:left="101"/>
              <w:spacing w:before="203" w:line="480" w:lineRule="exact"/>
              <w:rPr/>
            </w:pPr>
            <w:r>
              <w:rPr>
                <w:position w:val="19"/>
              </w:rPr>
              <w:t>通常在燃烧温度高于1000℃的时候开始产生，而在1400</w:t>
            </w:r>
            <w:r>
              <w:rPr>
                <w:spacing w:val="-1"/>
                <w:position w:val="19"/>
              </w:rPr>
              <w:t>℃以上NOx的生成速</w:t>
            </w:r>
          </w:p>
          <w:p>
            <w:pPr>
              <w:pStyle w:val="TableText"/>
              <w:ind w:left="121"/>
              <w:spacing w:line="218" w:lineRule="auto"/>
              <w:rPr/>
            </w:pPr>
            <w:r>
              <w:rPr>
                <w:spacing w:val="-1"/>
              </w:rPr>
              <w:t>度会急剧增加。</w:t>
            </w:r>
          </w:p>
          <w:p>
            <w:pPr>
              <w:pStyle w:val="TableText"/>
              <w:ind w:left="611"/>
              <w:spacing w:before="198" w:line="219" w:lineRule="auto"/>
              <w:rPr/>
            </w:pPr>
            <w:r>
              <w:rPr/>
              <w:t>根据热力型NOx生成机理可知，燃气锅炉可通过</w:t>
            </w:r>
            <w:r>
              <w:rPr>
                <w:spacing w:val="-1"/>
              </w:rPr>
              <w:t>借助低氮燃烧器调节燃</w:t>
            </w:r>
          </w:p>
          <w:p>
            <w:pPr>
              <w:pStyle w:val="TableText"/>
              <w:ind w:left="111"/>
              <w:spacing w:before="177" w:line="219" w:lineRule="auto"/>
              <w:rPr/>
            </w:pPr>
            <w:r>
              <w:rPr/>
              <w:t>烧温度从而控制热力型NOx生成。为了减少锅炉废气的</w:t>
            </w:r>
            <w:r>
              <w:rPr>
                <w:spacing w:val="-1"/>
              </w:rPr>
              <w:t>氮氧化物排放，建设</w:t>
            </w:r>
          </w:p>
          <w:p>
            <w:pPr>
              <w:pStyle w:val="TableText"/>
              <w:ind w:left="121"/>
              <w:spacing w:before="197" w:line="474" w:lineRule="exact"/>
              <w:rPr/>
            </w:pPr>
            <w:r>
              <w:rPr>
                <w:position w:val="18"/>
              </w:rPr>
              <w:t>单位拟配备低氮燃烧器降低锅炉废气中的氮氧化物的形成，可将烟气中的氮氧</w:t>
            </w:r>
          </w:p>
          <w:p>
            <w:pPr>
              <w:pStyle w:val="TableText"/>
              <w:ind w:left="121"/>
              <w:spacing w:before="1" w:line="213" w:lineRule="auto"/>
              <w:rPr/>
            </w:pPr>
            <w:r>
              <w:rPr>
                <w:spacing w:val="9"/>
              </w:rPr>
              <w:t>化物浓度降至50</w:t>
            </w:r>
            <w:r>
              <w:rPr/>
              <w:t>mg</w:t>
            </w:r>
            <w:r>
              <w:rPr>
                <w:spacing w:val="9"/>
              </w:rPr>
              <w:t>/m³。</w:t>
            </w:r>
          </w:p>
          <w:p>
            <w:pPr>
              <w:pStyle w:val="TableText"/>
              <w:ind w:left="611"/>
              <w:spacing w:before="200" w:line="470" w:lineRule="exact"/>
              <w:rPr/>
            </w:pPr>
            <w:r>
              <w:rPr>
                <w:position w:val="18"/>
              </w:rPr>
              <w:t>建设单位采用的低氮燃烧技术，是通过分级扩散燃烧，结合烟气内循环</w:t>
            </w:r>
          </w:p>
          <w:p>
            <w:pPr>
              <w:pStyle w:val="TableText"/>
              <w:ind w:left="241"/>
              <w:spacing w:before="1" w:line="218" w:lineRule="auto"/>
              <w:rPr/>
            </w:pPr>
            <w:r>
              <w:rPr/>
              <w:t>(FIR)以及烟气外循环(FGR)的耦合，来控制氮氧化物，达到低的氮氧化</w:t>
            </w:r>
          </w:p>
          <w:p>
            <w:pPr>
              <w:pStyle w:val="TableText"/>
              <w:ind w:left="121"/>
              <w:spacing w:before="186" w:line="218" w:lineRule="auto"/>
              <w:rPr/>
            </w:pPr>
            <w:r>
              <w:rPr>
                <w:spacing w:val="1"/>
              </w:rPr>
              <w:t>物排放水平，属于《排污许可证申请与核发技术规范锅炉》(</w:t>
            </w:r>
            <w:r>
              <w:rPr/>
              <w:t>HJ</w:t>
            </w:r>
            <w:r>
              <w:rPr>
                <w:spacing w:val="1"/>
              </w:rPr>
              <w:t>953-2018)</w:t>
            </w:r>
          </w:p>
          <w:p>
            <w:pPr>
              <w:pStyle w:val="TableText"/>
              <w:ind w:left="131"/>
              <w:spacing w:before="190" w:line="463" w:lineRule="exact"/>
              <w:rPr/>
            </w:pPr>
            <w:r>
              <w:rPr>
                <w:position w:val="17"/>
              </w:rPr>
              <w:t>中可行技术。类比现有工程锅炉废气检测数据，本项目锅炉废气采用低氮燃烧</w:t>
            </w:r>
          </w:p>
          <w:p>
            <w:pPr>
              <w:pStyle w:val="TableText"/>
              <w:ind w:left="121"/>
              <w:spacing w:before="1" w:line="213" w:lineRule="auto"/>
              <w:rPr/>
            </w:pPr>
            <w:r>
              <w:rPr>
                <w:spacing w:val="3"/>
              </w:rPr>
              <w:t>技术，蒸汽锅炉废气的氮氧化物的排放浓度可降至50</w:t>
            </w:r>
            <w:r>
              <w:rPr/>
              <w:t>mg</w:t>
            </w:r>
            <w:r>
              <w:rPr>
                <w:spacing w:val="3"/>
              </w:rPr>
              <w:t>/m³,是可行的。</w:t>
            </w:r>
          </w:p>
          <w:p>
            <w:pPr>
              <w:pStyle w:val="TableText"/>
              <w:ind w:left="141" w:right="299" w:firstLine="469"/>
              <w:spacing w:before="210" w:line="378" w:lineRule="auto"/>
              <w:jc w:val="both"/>
              <w:rPr/>
            </w:pPr>
            <w:r>
              <w:rPr/>
              <w:t>此外，本项目所使用的燃料为天然气，属于国家</w:t>
            </w:r>
            <w:r>
              <w:rPr>
                <w:spacing w:val="-1"/>
              </w:rPr>
              <w:t>鼓励使用的清洁能源，类</w:t>
            </w:r>
            <w:r>
              <w:rPr/>
              <w:t xml:space="preserve"> </w:t>
            </w:r>
            <w:r>
              <w:rPr/>
              <w:t>比现有工程锅炉废气污染物排放情况，各污染物排放浓度实际均会低于《锅炉</w:t>
            </w:r>
          </w:p>
          <w:p>
            <w:pPr>
              <w:pStyle w:val="TableText"/>
              <w:ind w:left="121"/>
              <w:spacing w:line="220" w:lineRule="auto"/>
              <w:rPr/>
            </w:pPr>
            <w:r>
              <w:rPr/>
              <w:t>大气污染物排放标准》(GB13271-2014)中表</w:t>
            </w:r>
            <w:r>
              <w:rPr>
                <w:spacing w:val="-1"/>
              </w:rPr>
              <w:t>2新建锅炉大气污染物排放浓</w:t>
            </w:r>
          </w:p>
          <w:p>
            <w:pPr>
              <w:pStyle w:val="TableText"/>
              <w:ind w:left="121"/>
              <w:spacing w:before="174" w:line="219" w:lineRule="auto"/>
              <w:rPr/>
            </w:pPr>
            <w:r>
              <w:rPr/>
              <w:t>度限值要求。由此可见，本项目锅炉燃烧废气污染</w:t>
            </w:r>
            <w:r>
              <w:rPr>
                <w:spacing w:val="-1"/>
              </w:rPr>
              <w:t>物排放浓度均可满足</w:t>
            </w:r>
          </w:p>
        </w:tc>
      </w:tr>
    </w:tbl>
    <w:p>
      <w:pPr>
        <w:rPr>
          <w:rFonts w:ascii="Arial"/>
          <w:sz w:val="21"/>
        </w:rPr>
      </w:pPr>
      <w:r/>
    </w:p>
    <w:p>
      <w:pPr>
        <w:sectPr>
          <w:footerReference w:type="default" r:id="rId94"/>
          <w:pgSz w:w="11900" w:h="16840"/>
          <w:pgMar w:top="1431" w:right="1443" w:bottom="988" w:left="1614" w:header="0" w:footer="849" w:gutter="0"/>
        </w:sectPr>
        <w:rPr>
          <w:rFonts w:ascii="Arial" w:hAnsi="Arial" w:eastAsia="Arial" w:cs="Arial"/>
          <w:sz w:val="21"/>
          <w:szCs w:val="21"/>
        </w:rPr>
      </w:pPr>
    </w:p>
    <w:p>
      <w:pPr>
        <w:spacing w:line="37" w:lineRule="auto"/>
        <w:rPr>
          <w:rFonts w:ascii="Arial"/>
          <w:sz w:val="2"/>
        </w:rPr>
      </w:pPr>
      <w:r>
        <w:pict>
          <v:rect id="_x0000_s34" style="position:absolute;margin-left:224.999pt;margin-top:593.534pt;mso-position-vertical-relative:page;mso-position-horizontal-relative:page;width:332.5pt;height:0.6pt;z-index:251781120;" o:allowincell="f" fillcolor="#000000" filled="true" stroked="false"/>
        </w:pict>
      </w:r>
      <w:r>
        <w:pict>
          <v:rect id="_x0000_s36" style="position:absolute;margin-left:422.498pt;margin-top:548.537pt;mso-position-vertical-relative:page;mso-position-horizontal-relative:page;width:115.05pt;height:0.6pt;z-index:251782144;" o:allowincell="f" fillcolor="#000000" filled="true" stroked="false"/>
        </w:pict>
      </w:r>
      <w:r>
        <w:rPr>
          <w:rFonts w:ascii="Arial"/>
          <w:sz w:val="2"/>
        </w:rPr>
      </w:r>
    </w:p>
    <w:tbl>
      <w:tblPr>
        <w:tblStyle w:val="TableNormal"/>
        <w:tblW w:w="975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90"/>
        <w:gridCol w:w="1090"/>
        <w:gridCol w:w="1505"/>
        <w:gridCol w:w="2055"/>
        <w:gridCol w:w="2007"/>
        <w:gridCol w:w="1609"/>
        <w:gridCol w:w="899"/>
      </w:tblGrid>
      <w:tr>
        <w:trPr>
          <w:trHeight w:val="9239" w:hRule="atLeast"/>
        </w:trPr>
        <w:tc>
          <w:tcPr>
            <w:tcW w:w="590" w:type="dxa"/>
            <w:vAlign w:val="top"/>
            <w:vMerge w:val="restart"/>
            <w:tcBorders>
              <w:bottom w:val="nil"/>
            </w:tcBorders>
          </w:tcPr>
          <w:p>
            <w:pPr>
              <w:rPr>
                <w:rFonts w:ascii="Arial"/>
                <w:sz w:val="21"/>
              </w:rPr>
            </w:pPr>
            <w:r/>
          </w:p>
        </w:tc>
        <w:tc>
          <w:tcPr>
            <w:tcW w:w="8266" w:type="dxa"/>
            <w:vAlign w:val="top"/>
            <w:gridSpan w:val="5"/>
            <w:tcBorders>
              <w:bottom w:val="nil"/>
            </w:tcBorders>
          </w:tcPr>
          <w:p>
            <w:pPr>
              <w:pStyle w:val="TableText"/>
              <w:ind w:left="120"/>
              <w:spacing w:before="65" w:line="221" w:lineRule="auto"/>
              <w:rPr/>
            </w:pPr>
            <w:r>
              <w:rPr>
                <w:spacing w:val="-1"/>
              </w:rPr>
              <w:t>GB13271-2014的要求。</w:t>
            </w:r>
          </w:p>
          <w:p>
            <w:pPr>
              <w:pStyle w:val="TableText"/>
              <w:ind w:left="103"/>
              <w:spacing w:before="170" w:line="219" w:lineRule="auto"/>
              <w:rPr/>
            </w:pPr>
            <w:r>
              <w:rPr>
                <w:b/>
                <w:bCs/>
                <w:spacing w:val="-4"/>
              </w:rPr>
              <w:t>4.2.4污水站恶臭</w:t>
            </w:r>
          </w:p>
          <w:p>
            <w:pPr>
              <w:pStyle w:val="TableText"/>
              <w:ind w:left="693"/>
              <w:spacing w:before="207" w:line="219" w:lineRule="auto"/>
              <w:rPr/>
            </w:pPr>
            <w:r>
              <w:rPr>
                <w:b/>
                <w:bCs/>
                <w:spacing w:val="-3"/>
              </w:rPr>
              <w:t>(1)污染源强核算</w:t>
            </w:r>
          </w:p>
          <w:p>
            <w:pPr>
              <w:pStyle w:val="TableText"/>
              <w:ind w:left="580"/>
              <w:spacing w:before="188" w:line="219" w:lineRule="auto"/>
              <w:rPr/>
            </w:pPr>
            <w:r>
              <w:rPr/>
              <w:t>本项目改扩现有工程污水处理站，新建阴极废水</w:t>
            </w:r>
            <w:r>
              <w:rPr>
                <w:spacing w:val="-1"/>
              </w:rPr>
              <w:t>预处理系统、阳极预处理</w:t>
            </w:r>
          </w:p>
          <w:p>
            <w:pPr>
              <w:pStyle w:val="TableText"/>
              <w:ind w:left="140"/>
              <w:spacing w:before="207" w:line="219" w:lineRule="auto"/>
              <w:rPr/>
            </w:pPr>
            <w:r>
              <w:rPr/>
              <w:t>系统；拟将阴极、阳极废水完全分开处理，将现有一期生化系统(已建)改造</w:t>
            </w:r>
          </w:p>
          <w:p>
            <w:pPr>
              <w:pStyle w:val="TableText"/>
              <w:spacing w:before="188" w:line="219" w:lineRule="auto"/>
              <w:jc w:val="right"/>
              <w:rPr/>
            </w:pPr>
            <w:r>
              <w:rPr>
                <w:spacing w:val="2"/>
              </w:rPr>
              <w:t>为阳极废水生化处理系统，新建阴极生化处理系统。污水站恶臭来源于调节池、</w:t>
            </w:r>
          </w:p>
          <w:p>
            <w:pPr>
              <w:pStyle w:val="TableText"/>
              <w:ind w:left="130"/>
              <w:spacing w:before="178" w:line="219" w:lineRule="auto"/>
              <w:rPr/>
            </w:pPr>
            <w:r>
              <w:rPr/>
              <w:t>各混凝沉淀池、污泥脱水间、A/O池、二沉池等</w:t>
            </w:r>
            <w:r>
              <w:rPr>
                <w:spacing w:val="-1"/>
              </w:rPr>
              <w:t>，每个污水处理池(除MBR</w:t>
            </w:r>
          </w:p>
          <w:p>
            <w:pPr>
              <w:pStyle w:val="TableText"/>
              <w:ind w:left="120"/>
              <w:spacing w:before="205" w:line="481" w:lineRule="exact"/>
              <w:rPr/>
            </w:pPr>
            <w:r>
              <w:rPr>
                <w:position w:val="19"/>
              </w:rPr>
              <w:t>池)均加盖，恶臭气体通过引风机负压收集引至现有工程的“喷淋塔+UV”废</w:t>
            </w:r>
          </w:p>
          <w:p>
            <w:pPr>
              <w:pStyle w:val="TableText"/>
              <w:ind w:left="150"/>
              <w:spacing w:before="1" w:line="219" w:lineRule="auto"/>
              <w:rPr/>
            </w:pPr>
            <w:r>
              <w:rPr>
                <w:spacing w:val="3"/>
              </w:rPr>
              <w:t>气处理设施处理后，经15m高排气筒排放，风量为20000m³/h。</w:t>
            </w:r>
          </w:p>
          <w:p>
            <w:pPr>
              <w:pStyle w:val="TableText"/>
              <w:ind w:left="619"/>
              <w:spacing w:before="197" w:line="219" w:lineRule="auto"/>
              <w:rPr/>
            </w:pPr>
            <w:r>
              <w:rPr/>
              <w:t>根据《时代一汽动力电池项目(年产10GWh)竣</w:t>
            </w:r>
            <w:r>
              <w:rPr>
                <w:spacing w:val="-1"/>
              </w:rPr>
              <w:t>工环境保护验收监测报</w:t>
            </w:r>
          </w:p>
          <w:p>
            <w:pPr>
              <w:pStyle w:val="TableText"/>
              <w:ind w:left="120" w:right="508" w:firstLine="29"/>
              <w:spacing w:before="183" w:line="372" w:lineRule="auto"/>
              <w:rPr/>
            </w:pPr>
            <w:r>
              <w:rPr/>
              <w:t>告表》可知：在验收期间，工业废水处理站处理量为63t/d(18900t/a),工业</w:t>
            </w:r>
            <w:r>
              <w:rPr>
                <w:spacing w:val="6"/>
              </w:rPr>
              <w:t xml:space="preserve"> </w:t>
            </w:r>
            <w:r>
              <w:rPr>
                <w:spacing w:val="7"/>
              </w:rPr>
              <w:t>污水处理站废气排气筒进口</w:t>
            </w:r>
            <w:r>
              <w:rPr/>
              <w:t>NH</w:t>
            </w:r>
            <w:r>
              <w:rPr>
                <w:rFonts w:ascii="Calibri" w:hAnsi="Calibri" w:eastAsia="Calibri" w:cs="Calibri"/>
                <w:spacing w:val="7"/>
              </w:rPr>
              <w:t>₃</w:t>
            </w:r>
            <w:r>
              <w:rPr>
                <w:spacing w:val="7"/>
              </w:rPr>
              <w:t>产生速率7.755×10-2</w:t>
            </w:r>
            <w:r>
              <w:rPr/>
              <w:t>kg</w:t>
            </w:r>
            <w:r>
              <w:rPr>
                <w:spacing w:val="7"/>
              </w:rPr>
              <w:t>/h(平均值),H</w:t>
            </w:r>
            <w:r>
              <w:rPr>
                <w:rFonts w:ascii="Calibri" w:hAnsi="Calibri" w:eastAsia="Calibri" w:cs="Calibri"/>
                <w:spacing w:val="7"/>
              </w:rPr>
              <w:t>₂</w:t>
            </w:r>
            <w:r>
              <w:rPr>
                <w:spacing w:val="7"/>
              </w:rPr>
              <w:t>S产</w:t>
            </w:r>
          </w:p>
          <w:p>
            <w:pPr>
              <w:pStyle w:val="TableText"/>
              <w:ind w:left="120"/>
              <w:spacing w:line="213" w:lineRule="auto"/>
              <w:rPr/>
            </w:pPr>
            <w:r>
              <w:rPr>
                <w:spacing w:val="6"/>
              </w:rPr>
              <w:t>生速率1.53×103</w:t>
            </w:r>
            <w:r>
              <w:rPr/>
              <w:t>kg</w:t>
            </w:r>
            <w:r>
              <w:rPr>
                <w:spacing w:val="6"/>
              </w:rPr>
              <w:t>/h(平均值);排气筒出口</w:t>
            </w:r>
            <w:r>
              <w:rPr/>
              <w:t>NH</w:t>
            </w:r>
            <w:r>
              <w:rPr>
                <w:rFonts w:ascii="Calibri" w:hAnsi="Calibri" w:eastAsia="Calibri" w:cs="Calibri"/>
                <w:spacing w:val="6"/>
              </w:rPr>
              <w:t>₃</w:t>
            </w:r>
            <w:r>
              <w:rPr>
                <w:spacing w:val="6"/>
              </w:rPr>
              <w:t>排放速率2.345×10-²</w:t>
            </w:r>
            <w:r>
              <w:rPr/>
              <w:t>kg</w:t>
            </w:r>
            <w:r>
              <w:rPr>
                <w:spacing w:val="6"/>
              </w:rPr>
              <w:t>/h</w:t>
            </w:r>
          </w:p>
          <w:p>
            <w:pPr>
              <w:pStyle w:val="TableText"/>
              <w:ind w:left="260"/>
              <w:spacing w:before="214" w:line="497" w:lineRule="exact"/>
              <w:rPr/>
            </w:pPr>
            <w:r>
              <w:rPr>
                <w:spacing w:val="11"/>
                <w:position w:val="20"/>
              </w:rPr>
              <w:t>(平均值),H</w:t>
            </w:r>
            <w:r>
              <w:rPr>
                <w:rFonts w:ascii="Calibri" w:hAnsi="Calibri" w:eastAsia="Calibri" w:cs="Calibri"/>
                <w:spacing w:val="11"/>
                <w:position w:val="20"/>
              </w:rPr>
              <w:t>₂</w:t>
            </w:r>
            <w:r>
              <w:rPr>
                <w:spacing w:val="11"/>
                <w:position w:val="20"/>
              </w:rPr>
              <w:t>S排放速率4.57×10</w:t>
            </w:r>
            <w:r>
              <w:rPr>
                <w:rFonts w:ascii="Calibri" w:hAnsi="Calibri" w:eastAsia="Calibri" w:cs="Calibri"/>
                <w:spacing w:val="11"/>
                <w:position w:val="20"/>
              </w:rPr>
              <w:t>⁴</w:t>
            </w:r>
            <w:r>
              <w:rPr>
                <w:position w:val="20"/>
              </w:rPr>
              <w:t>kg</w:t>
            </w:r>
            <w:r>
              <w:rPr>
                <w:spacing w:val="11"/>
                <w:position w:val="20"/>
              </w:rPr>
              <w:t>/h(平均值),</w:t>
            </w:r>
            <w:r>
              <w:rPr>
                <w:position w:val="20"/>
              </w:rPr>
              <w:t>NH</w:t>
            </w:r>
            <w:r>
              <w:rPr>
                <w:rFonts w:ascii="Calibri" w:hAnsi="Calibri" w:eastAsia="Calibri" w:cs="Calibri"/>
                <w:spacing w:val="11"/>
                <w:position w:val="20"/>
              </w:rPr>
              <w:t>₃</w:t>
            </w:r>
            <w:r>
              <w:rPr>
                <w:spacing w:val="11"/>
                <w:position w:val="20"/>
              </w:rPr>
              <w:t>处理速率为</w:t>
            </w:r>
            <w:r>
              <w:rPr>
                <w:spacing w:val="10"/>
                <w:position w:val="20"/>
              </w:rPr>
              <w:t>69.8%,</w:t>
            </w:r>
          </w:p>
          <w:p>
            <w:pPr>
              <w:pStyle w:val="TableText"/>
              <w:ind w:left="130"/>
              <w:spacing w:before="1" w:line="219" w:lineRule="auto"/>
              <w:rPr/>
            </w:pPr>
            <w:r>
              <w:rPr>
                <w:spacing w:val="8"/>
              </w:rPr>
              <w:t>H</w:t>
            </w:r>
            <w:r>
              <w:rPr>
                <w:rFonts w:ascii="Calibri" w:hAnsi="Calibri" w:eastAsia="Calibri" w:cs="Calibri"/>
                <w:spacing w:val="8"/>
              </w:rPr>
              <w:t>₂</w:t>
            </w:r>
            <w:r>
              <w:rPr>
                <w:spacing w:val="8"/>
              </w:rPr>
              <w:t>S处理速率为70.2%。</w:t>
            </w:r>
          </w:p>
          <w:p>
            <w:pPr>
              <w:pStyle w:val="TableText"/>
              <w:ind w:left="619"/>
              <w:spacing w:before="177" w:line="219" w:lineRule="auto"/>
              <w:rPr/>
            </w:pPr>
            <w:r>
              <w:rPr/>
              <w:t>类比一期工程——时代一汽动力电池项目(年产10GWh)竣工环境保护</w:t>
            </w:r>
          </w:p>
          <w:p>
            <w:pPr>
              <w:pStyle w:val="TableText"/>
              <w:ind w:left="120"/>
              <w:spacing w:before="203" w:line="470" w:lineRule="exact"/>
              <w:rPr/>
            </w:pPr>
            <w:r>
              <w:rPr>
                <w:position w:val="18"/>
              </w:rPr>
              <w:t>验收数据，本项目新增生产废水量为35.1t/d(10530t/a),项目建成后全厂的</w:t>
            </w:r>
          </w:p>
          <w:p>
            <w:pPr>
              <w:pStyle w:val="TableText"/>
              <w:ind w:left="130"/>
              <w:spacing w:before="1" w:line="216" w:lineRule="auto"/>
              <w:rPr/>
            </w:pPr>
            <w:r>
              <w:rPr/>
              <w:t>生产废水量为175.5t/d(52650t/a),则生产废水处</w:t>
            </w:r>
            <w:r>
              <w:rPr>
                <w:spacing w:val="-1"/>
              </w:rPr>
              <w:t>理站恶臭废气产、排情况见</w:t>
            </w:r>
          </w:p>
          <w:p>
            <w:pPr>
              <w:pStyle w:val="TableText"/>
              <w:ind w:left="130"/>
              <w:spacing w:before="214" w:line="219" w:lineRule="auto"/>
              <w:rPr/>
            </w:pPr>
            <w:r>
              <w:rPr/>
              <w:t>表4.2-3。工业废水站恶臭废气污染源强核算见表4.2-6。</w:t>
            </w:r>
          </w:p>
          <w:p>
            <w:pPr>
              <w:pStyle w:val="TableText"/>
              <w:ind w:left="140"/>
              <w:spacing w:before="164" w:line="219" w:lineRule="auto"/>
              <w:tabs>
                <w:tab w:val="left" w:pos="1585"/>
              </w:tabs>
              <w:rPr/>
            </w:pPr>
            <w:r>
              <w:rPr>
                <w:u w:val="single" w:color="auto"/>
              </w:rPr>
              <w:tab/>
            </w:r>
            <w:r>
              <w:rPr>
                <w:u w:val="single" w:color="auto"/>
                <w:spacing w:val="-107"/>
              </w:rPr>
              <w:t xml:space="preserve"> </w:t>
            </w:r>
            <w:r>
              <w:rPr>
                <w:b/>
                <w:bCs/>
                <w:u w:val="single" w:color="auto"/>
                <w:spacing w:val="-2"/>
              </w:rPr>
              <w:t>表4.2-3</w:t>
            </w:r>
            <w:r>
              <w:rPr>
                <w:u w:val="single" w:color="auto"/>
                <w:spacing w:val="-2"/>
              </w:rPr>
              <w:t xml:space="preserve">  </w:t>
            </w:r>
            <w:r>
              <w:rPr>
                <w:b/>
                <w:bCs/>
                <w:u w:val="single" w:color="auto"/>
                <w:spacing w:val="-2"/>
              </w:rPr>
              <w:t>项目废水处理站恶臭产、排情况一览表</w:t>
            </w:r>
            <w:r>
              <w:rPr>
                <w:u w:val="single" w:color="auto"/>
                <w:spacing w:val="-2"/>
              </w:rPr>
              <w:t xml:space="preserve">         </w:t>
            </w:r>
            <w:r>
              <w:rPr>
                <w:u w:val="single" w:color="auto"/>
                <w:spacing w:val="-3"/>
              </w:rPr>
              <w:t xml:space="preserve">    </w:t>
            </w:r>
          </w:p>
        </w:tc>
        <w:tc>
          <w:tcPr>
            <w:tcW w:w="899" w:type="dxa"/>
            <w:vAlign w:val="top"/>
            <w:vMerge w:val="restart"/>
            <w:tcBorders>
              <w:right w:val="nil"/>
              <w:top w:val="nil"/>
              <w:bottom w:val="nil"/>
            </w:tcBorders>
          </w:tcPr>
          <w:p>
            <w:pPr>
              <w:rPr>
                <w:rFonts w:ascii="Arial"/>
                <w:sz w:val="21"/>
              </w:rPr>
            </w:pPr>
            <w:r/>
          </w:p>
        </w:tc>
      </w:tr>
      <w:tr>
        <w:trPr>
          <w:trHeight w:val="557" w:hRule="atLeast"/>
        </w:trPr>
        <w:tc>
          <w:tcPr>
            <w:tcW w:w="590" w:type="dxa"/>
            <w:vAlign w:val="top"/>
            <w:vMerge w:val="continue"/>
            <w:tcBorders>
              <w:top w:val="nil"/>
            </w:tcBorders>
          </w:tcPr>
          <w:p>
            <w:pPr>
              <w:rPr>
                <w:rFonts w:ascii="Arial"/>
                <w:sz w:val="21"/>
              </w:rPr>
            </w:pPr>
            <w:r/>
          </w:p>
        </w:tc>
        <w:tc>
          <w:tcPr>
            <w:tcW w:w="2595" w:type="dxa"/>
            <w:vAlign w:val="top"/>
            <w:gridSpan w:val="2"/>
            <w:tcBorders>
              <w:right w:val="nil"/>
              <w:top w:val="nil"/>
            </w:tcBorders>
          </w:tcPr>
          <w:p>
            <w:pPr>
              <w:pStyle w:val="TableText"/>
              <w:ind w:left="190"/>
              <w:spacing w:before="195" w:line="220" w:lineRule="auto"/>
              <w:rPr/>
            </w:pPr>
            <w:r>
              <w:rPr>
                <w:spacing w:val="3"/>
              </w:rPr>
              <w:t>排污口编号</w:t>
            </w:r>
            <w:r>
              <w:rPr>
                <w:spacing w:val="27"/>
              </w:rPr>
              <w:t xml:space="preserve">   </w:t>
            </w:r>
            <w:r>
              <w:rPr>
                <w:spacing w:val="3"/>
              </w:rPr>
              <w:t>污染物</w:t>
            </w:r>
          </w:p>
        </w:tc>
        <w:tc>
          <w:tcPr>
            <w:tcW w:w="4062" w:type="dxa"/>
            <w:vAlign w:val="top"/>
            <w:gridSpan w:val="2"/>
            <w:tcBorders>
              <w:left w:val="nil"/>
              <w:right w:val="nil"/>
              <w:top w:val="nil"/>
            </w:tcBorders>
          </w:tcPr>
          <w:p>
            <w:pPr>
              <w:pStyle w:val="TableText"/>
              <w:ind w:left="769" w:right="311" w:hanging="670"/>
              <w:spacing w:before="46" w:line="201" w:lineRule="auto"/>
              <w:tabs>
                <w:tab w:val="left" w:pos="2200"/>
              </w:tabs>
              <w:rPr/>
            </w:pPr>
            <w:r>
              <w:rPr>
                <w:u w:val="single" w:color="auto"/>
              </w:rPr>
              <w:tab/>
            </w:r>
            <w:r>
              <w:rPr>
                <w:u w:val="single" w:color="auto"/>
              </w:rPr>
              <w:tab/>
            </w:r>
            <w:r>
              <w:rPr>
                <w:u w:val="single" w:color="auto"/>
                <w:spacing w:val="-106"/>
              </w:rPr>
              <w:t xml:space="preserve"> </w:t>
            </w:r>
            <w:r>
              <w:rPr>
                <w:u w:val="single" w:color="auto"/>
                <w:spacing w:val="5"/>
              </w:rPr>
              <w:t>年产生量(t/a)</w:t>
            </w:r>
            <w:r>
              <w:rPr/>
              <w:t xml:space="preserve"> </w:t>
            </w:r>
            <w:r>
              <w:rPr>
                <w:spacing w:val="3"/>
              </w:rPr>
              <w:t>总产生量</w:t>
            </w:r>
            <w:r>
              <w:rPr>
                <w:spacing w:val="13"/>
              </w:rPr>
              <w:t xml:space="preserve">       </w:t>
            </w:r>
            <w:r>
              <w:rPr>
                <w:spacing w:val="3"/>
              </w:rPr>
              <w:t>有组织</w:t>
            </w:r>
          </w:p>
        </w:tc>
        <w:tc>
          <w:tcPr>
            <w:tcW w:w="1609" w:type="dxa"/>
            <w:vAlign w:val="top"/>
            <w:tcBorders>
              <w:left w:val="nil"/>
              <w:top w:val="nil"/>
            </w:tcBorders>
          </w:tcPr>
          <w:p>
            <w:pPr>
              <w:spacing w:line="260" w:lineRule="auto"/>
              <w:rPr>
                <w:rFonts w:ascii="Arial"/>
                <w:sz w:val="21"/>
              </w:rPr>
            </w:pPr>
            <w:r/>
          </w:p>
          <w:p>
            <w:pPr>
              <w:pStyle w:val="TableText"/>
              <w:ind w:left="308"/>
              <w:spacing w:before="74" w:line="169" w:lineRule="auto"/>
              <w:rPr/>
            </w:pPr>
            <w:r>
              <w:rPr>
                <w:spacing w:val="4"/>
              </w:rPr>
              <w:t>无组织</w:t>
            </w:r>
          </w:p>
        </w:tc>
        <w:tc>
          <w:tcPr>
            <w:tcW w:w="899" w:type="dxa"/>
            <w:vAlign w:val="top"/>
            <w:vMerge w:val="continue"/>
            <w:tcBorders>
              <w:right w:val="nil"/>
              <w:top w:val="nil"/>
              <w:bottom w:val="nil"/>
            </w:tcBorders>
          </w:tcPr>
          <w:p>
            <w:pPr>
              <w:rPr>
                <w:rFonts w:ascii="Arial"/>
                <w:sz w:val="21"/>
              </w:rPr>
            </w:pPr>
            <w:r/>
          </w:p>
        </w:tc>
      </w:tr>
      <w:tr>
        <w:trPr>
          <w:trHeight w:val="278" w:hRule="atLeast"/>
        </w:trPr>
        <w:tc>
          <w:tcPr>
            <w:tcW w:w="590" w:type="dxa"/>
            <w:vAlign w:val="top"/>
            <w:vMerge w:val="restart"/>
            <w:tcBorders>
              <w:bottom w:val="nil"/>
            </w:tcBorders>
          </w:tcPr>
          <w:p>
            <w:pPr>
              <w:rPr>
                <w:rFonts w:ascii="Arial"/>
                <w:sz w:val="21"/>
              </w:rPr>
            </w:pPr>
            <w:r/>
          </w:p>
        </w:tc>
        <w:tc>
          <w:tcPr>
            <w:tcW w:w="8266" w:type="dxa"/>
            <w:vAlign w:val="top"/>
            <w:gridSpan w:val="5"/>
          </w:tcPr>
          <w:p>
            <w:pPr>
              <w:pStyle w:val="TableText"/>
              <w:ind w:left="3619"/>
              <w:spacing w:before="57" w:line="169" w:lineRule="auto"/>
              <w:rPr/>
            </w:pPr>
            <w:r>
              <w:rPr>
                <w:spacing w:val="3"/>
              </w:rPr>
              <w:t>本项目新增</w:t>
            </w:r>
          </w:p>
        </w:tc>
        <w:tc>
          <w:tcPr>
            <w:tcW w:w="899" w:type="dxa"/>
            <w:vAlign w:val="top"/>
            <w:vMerge w:val="continue"/>
            <w:tcBorders>
              <w:right w:val="nil"/>
              <w:top w:val="nil"/>
              <w:bottom w:val="nil"/>
            </w:tcBorders>
          </w:tcPr>
          <w:p>
            <w:pPr>
              <w:rPr>
                <w:rFonts w:ascii="Arial"/>
                <w:sz w:val="21"/>
              </w:rPr>
            </w:pPr>
            <w:r/>
          </w:p>
        </w:tc>
      </w:tr>
      <w:tr>
        <w:trPr>
          <w:trHeight w:val="610" w:hRule="atLeast"/>
        </w:trPr>
        <w:tc>
          <w:tcPr>
            <w:tcW w:w="590" w:type="dxa"/>
            <w:vAlign w:val="top"/>
            <w:vMerge w:val="continue"/>
            <w:tcBorders>
              <w:top w:val="nil"/>
            </w:tcBorders>
          </w:tcPr>
          <w:p>
            <w:pPr>
              <w:rPr>
                <w:rFonts w:ascii="Arial"/>
                <w:sz w:val="21"/>
              </w:rPr>
            </w:pPr>
            <w:r/>
          </w:p>
        </w:tc>
        <w:tc>
          <w:tcPr>
            <w:tcW w:w="1090" w:type="dxa"/>
            <w:vAlign w:val="top"/>
            <w:tcBorders>
              <w:right w:val="nil"/>
            </w:tcBorders>
          </w:tcPr>
          <w:p>
            <w:pPr>
              <w:pStyle w:val="TableText"/>
              <w:ind w:left="390"/>
              <w:spacing w:before="287" w:line="185" w:lineRule="auto"/>
              <w:rPr/>
            </w:pPr>
            <w:r>
              <w:rPr>
                <w:spacing w:val="-1"/>
              </w:rPr>
              <w:t>DA006</w:t>
            </w:r>
          </w:p>
        </w:tc>
        <w:tc>
          <w:tcPr>
            <w:tcW w:w="1505" w:type="dxa"/>
            <w:vAlign w:val="top"/>
            <w:tcBorders>
              <w:left w:val="nil"/>
              <w:right w:val="nil"/>
            </w:tcBorders>
          </w:tcPr>
          <w:p>
            <w:pPr>
              <w:pStyle w:val="TableText"/>
              <w:ind w:left="114"/>
              <w:spacing w:before="128" w:line="216" w:lineRule="auto"/>
              <w:tabs>
                <w:tab w:val="left" w:pos="795"/>
              </w:tabs>
              <w:rPr>
                <w:rFonts w:ascii="Calibri" w:hAnsi="Calibri" w:eastAsia="Calibri" w:cs="Calibri"/>
              </w:rPr>
            </w:pPr>
            <w:r>
              <w:rPr>
                <w:u w:val="single" w:color="auto"/>
              </w:rPr>
              <w:tab/>
            </w:r>
            <w:r>
              <w:rPr>
                <w:u w:val="single" w:color="auto"/>
                <w:spacing w:val="-1"/>
              </w:rPr>
              <w:t>NH</w:t>
            </w:r>
            <w:r>
              <w:rPr>
                <w:rFonts w:ascii="Calibri" w:hAnsi="Calibri" w:eastAsia="Calibri" w:cs="Calibri"/>
                <w:u w:val="single" w:color="auto"/>
                <w:spacing w:val="-1"/>
              </w:rPr>
              <w:t>₃</w:t>
            </w:r>
          </w:p>
          <w:p>
            <w:pPr>
              <w:pStyle w:val="TableText"/>
              <w:ind w:left="825"/>
              <w:spacing w:before="1" w:line="162" w:lineRule="auto"/>
              <w:rPr/>
            </w:pPr>
            <w:r>
              <w:rPr>
                <w:spacing w:val="-2"/>
              </w:rPr>
              <w:t>H</w:t>
            </w:r>
            <w:r>
              <w:rPr>
                <w:rFonts w:ascii="Calibri" w:hAnsi="Calibri" w:eastAsia="Calibri" w:cs="Calibri"/>
                <w:spacing w:val="-2"/>
              </w:rPr>
              <w:t>₂</w:t>
            </w:r>
            <w:r>
              <w:rPr>
                <w:spacing w:val="-2"/>
              </w:rPr>
              <w:t>S</w:t>
            </w:r>
          </w:p>
        </w:tc>
        <w:tc>
          <w:tcPr>
            <w:tcW w:w="2055" w:type="dxa"/>
            <w:vAlign w:val="top"/>
            <w:tcBorders>
              <w:left w:val="nil"/>
              <w:right w:val="nil"/>
            </w:tcBorders>
          </w:tcPr>
          <w:p>
            <w:pPr>
              <w:pStyle w:val="TableText"/>
              <w:ind w:left="930"/>
              <w:spacing w:before="149" w:line="217" w:lineRule="auto"/>
              <w:rPr/>
            </w:pPr>
            <w:r>
              <w:rPr>
                <w:spacing w:val="-2"/>
              </w:rPr>
              <w:t>0.356</w:t>
            </w:r>
          </w:p>
          <w:p>
            <w:pPr>
              <w:pStyle w:val="TableText"/>
              <w:ind w:left="930"/>
              <w:spacing w:line="180" w:lineRule="exact"/>
              <w:rPr/>
            </w:pPr>
            <w:r>
              <w:rPr>
                <w:spacing w:val="-2"/>
                <w:position w:val="-3"/>
              </w:rPr>
              <w:t>0.007</w:t>
            </w:r>
          </w:p>
        </w:tc>
        <w:tc>
          <w:tcPr>
            <w:tcW w:w="2007" w:type="dxa"/>
            <w:vAlign w:val="top"/>
            <w:tcBorders>
              <w:left w:val="nil"/>
              <w:right w:val="nil"/>
            </w:tcBorders>
          </w:tcPr>
          <w:p>
            <w:pPr>
              <w:pStyle w:val="TableText"/>
              <w:ind w:left="595"/>
              <w:spacing w:before="139" w:line="225" w:lineRule="auto"/>
              <w:rPr/>
            </w:pPr>
            <w:r>
              <w:rPr>
                <w:spacing w:val="-2"/>
              </w:rPr>
              <w:t>0.320</w:t>
            </w:r>
          </w:p>
          <w:p>
            <w:pPr>
              <w:pStyle w:val="TableText"/>
              <w:ind w:left="555"/>
              <w:spacing w:line="180" w:lineRule="exact"/>
              <w:rPr/>
            </w:pPr>
            <w:r>
              <w:rPr>
                <w:spacing w:val="-2"/>
                <w:position w:val="-3"/>
              </w:rPr>
              <w:t>0.0063</w:t>
            </w:r>
          </w:p>
        </w:tc>
        <w:tc>
          <w:tcPr>
            <w:tcW w:w="1609" w:type="dxa"/>
            <w:vAlign w:val="top"/>
            <w:tcBorders>
              <w:left w:val="nil"/>
            </w:tcBorders>
          </w:tcPr>
          <w:p>
            <w:pPr>
              <w:pStyle w:val="TableText"/>
              <w:ind w:left="358"/>
              <w:spacing w:before="139" w:line="233" w:lineRule="auto"/>
              <w:rPr/>
            </w:pPr>
            <w:r>
              <w:rPr>
                <w:spacing w:val="-2"/>
              </w:rPr>
              <w:t>0.036</w:t>
            </w:r>
          </w:p>
          <w:p>
            <w:pPr>
              <w:pStyle w:val="TableText"/>
              <w:ind w:left="328"/>
              <w:spacing w:line="170" w:lineRule="exact"/>
              <w:rPr/>
            </w:pPr>
            <w:r>
              <w:rPr>
                <w:spacing w:val="-2"/>
                <w:position w:val="-3"/>
              </w:rPr>
              <w:t>0.0007</w:t>
            </w:r>
          </w:p>
        </w:tc>
        <w:tc>
          <w:tcPr>
            <w:tcW w:w="899" w:type="dxa"/>
            <w:vAlign w:val="top"/>
            <w:vMerge w:val="continue"/>
            <w:tcBorders>
              <w:right w:val="nil"/>
              <w:top w:val="nil"/>
              <w:bottom w:val="nil"/>
            </w:tcBorders>
          </w:tcPr>
          <w:p>
            <w:pPr>
              <w:rPr>
                <w:rFonts w:ascii="Arial"/>
                <w:sz w:val="21"/>
              </w:rPr>
            </w:pPr>
            <w:r/>
          </w:p>
        </w:tc>
      </w:tr>
      <w:tr>
        <w:trPr>
          <w:trHeight w:val="226" w:hRule="atLeast"/>
        </w:trPr>
        <w:tc>
          <w:tcPr>
            <w:tcW w:w="590" w:type="dxa"/>
            <w:vAlign w:val="top"/>
            <w:vMerge w:val="restart"/>
            <w:tcBorders>
              <w:bottom w:val="nil"/>
            </w:tcBorders>
          </w:tcPr>
          <w:p>
            <w:pPr>
              <w:rPr>
                <w:rFonts w:ascii="Arial"/>
                <w:sz w:val="21"/>
              </w:rPr>
            </w:pPr>
            <w:r/>
          </w:p>
        </w:tc>
        <w:tc>
          <w:tcPr>
            <w:tcW w:w="8266" w:type="dxa"/>
            <w:vAlign w:val="top"/>
            <w:gridSpan w:val="5"/>
          </w:tcPr>
          <w:p>
            <w:pPr>
              <w:pStyle w:val="TableText"/>
              <w:ind w:left="3319"/>
              <w:spacing w:before="9" w:line="166" w:lineRule="auto"/>
              <w:rPr/>
            </w:pPr>
            <w:r>
              <w:rPr>
                <w:spacing w:val="1"/>
              </w:rPr>
              <w:t>本项目建成后全厂</w:t>
            </w:r>
          </w:p>
        </w:tc>
        <w:tc>
          <w:tcPr>
            <w:tcW w:w="899" w:type="dxa"/>
            <w:vAlign w:val="top"/>
            <w:vMerge w:val="continue"/>
            <w:tcBorders>
              <w:right w:val="nil"/>
              <w:top w:val="nil"/>
              <w:bottom w:val="nil"/>
            </w:tcBorders>
          </w:tcPr>
          <w:p>
            <w:pPr>
              <w:rPr>
                <w:rFonts w:ascii="Arial"/>
                <w:sz w:val="21"/>
              </w:rPr>
            </w:pPr>
            <w:r/>
          </w:p>
        </w:tc>
      </w:tr>
      <w:tr>
        <w:trPr>
          <w:trHeight w:val="333" w:hRule="atLeast"/>
        </w:trPr>
        <w:tc>
          <w:tcPr>
            <w:tcW w:w="590" w:type="dxa"/>
            <w:vAlign w:val="top"/>
            <w:vMerge w:val="continue"/>
            <w:tcBorders>
              <w:top w:val="nil"/>
              <w:bottom w:val="nil"/>
            </w:tcBorders>
          </w:tcPr>
          <w:p>
            <w:pPr>
              <w:rPr>
                <w:rFonts w:ascii="Arial"/>
                <w:sz w:val="21"/>
              </w:rPr>
            </w:pPr>
            <w:r/>
          </w:p>
        </w:tc>
        <w:tc>
          <w:tcPr>
            <w:tcW w:w="1090" w:type="dxa"/>
            <w:vAlign w:val="top"/>
            <w:vMerge w:val="restart"/>
            <w:tcBorders>
              <w:right w:val="nil"/>
              <w:bottom w:val="nil"/>
            </w:tcBorders>
          </w:tcPr>
          <w:p>
            <w:pPr>
              <w:pStyle w:val="TableText"/>
              <w:ind w:left="390"/>
              <w:spacing w:before="281" w:line="185" w:lineRule="auto"/>
              <w:rPr/>
            </w:pPr>
            <w:r>
              <w:rPr>
                <w:spacing w:val="-1"/>
              </w:rPr>
              <w:t>DA006</w:t>
            </w:r>
          </w:p>
        </w:tc>
        <w:tc>
          <w:tcPr>
            <w:tcW w:w="1505" w:type="dxa"/>
            <w:vAlign w:val="top"/>
            <w:vMerge w:val="restart"/>
            <w:tcBorders>
              <w:left w:val="nil"/>
              <w:right w:val="nil"/>
              <w:bottom w:val="nil"/>
            </w:tcBorders>
          </w:tcPr>
          <w:p>
            <w:pPr>
              <w:pStyle w:val="TableText"/>
              <w:ind w:left="95"/>
              <w:spacing w:before="130" w:line="201" w:lineRule="auto"/>
              <w:tabs>
                <w:tab w:val="left" w:pos="805"/>
              </w:tabs>
              <w:rPr>
                <w:rFonts w:ascii="Calibri" w:hAnsi="Calibri" w:eastAsia="Calibri" w:cs="Calibri"/>
              </w:rPr>
            </w:pPr>
            <w:r>
              <w:rPr>
                <w:u w:val="single" w:color="auto"/>
              </w:rPr>
              <w:tab/>
            </w:r>
            <w:r>
              <w:rPr>
                <w:u w:val="single" w:color="auto"/>
                <w:spacing w:val="-1"/>
              </w:rPr>
              <w:t>NH</w:t>
            </w:r>
            <w:r>
              <w:rPr>
                <w:rFonts w:ascii="Calibri" w:hAnsi="Calibri" w:eastAsia="Calibri" w:cs="Calibri"/>
                <w:u w:val="single" w:color="auto"/>
                <w:spacing w:val="-1"/>
              </w:rPr>
              <w:t>₃</w:t>
            </w:r>
          </w:p>
          <w:p>
            <w:pPr>
              <w:pStyle w:val="TableText"/>
              <w:ind w:left="825"/>
              <w:spacing w:before="1" w:line="161" w:lineRule="auto"/>
              <w:rPr/>
            </w:pPr>
            <w:r>
              <w:rPr>
                <w:spacing w:val="-2"/>
              </w:rPr>
              <w:t>H</w:t>
            </w:r>
            <w:r>
              <w:rPr>
                <w:rFonts w:ascii="Calibri" w:hAnsi="Calibri" w:eastAsia="Calibri" w:cs="Calibri"/>
                <w:spacing w:val="-2"/>
              </w:rPr>
              <w:t>₂</w:t>
            </w:r>
            <w:r>
              <w:rPr>
                <w:spacing w:val="-2"/>
              </w:rPr>
              <w:t>S</w:t>
            </w:r>
          </w:p>
        </w:tc>
        <w:tc>
          <w:tcPr>
            <w:tcW w:w="2055" w:type="dxa"/>
            <w:vAlign w:val="top"/>
            <w:vMerge w:val="restart"/>
            <w:tcBorders>
              <w:left w:val="nil"/>
              <w:right w:val="nil"/>
              <w:bottom w:val="nil"/>
            </w:tcBorders>
          </w:tcPr>
          <w:p>
            <w:pPr>
              <w:pStyle w:val="TableText"/>
              <w:ind w:left="940"/>
              <w:spacing w:before="142" w:line="225" w:lineRule="auto"/>
              <w:rPr/>
            </w:pPr>
            <w:r>
              <w:rPr>
                <w:spacing w:val="-5"/>
              </w:rPr>
              <w:t>1.782</w:t>
            </w:r>
          </w:p>
          <w:p>
            <w:pPr>
              <w:pStyle w:val="TableText"/>
              <w:ind w:left="930"/>
              <w:spacing w:line="159" w:lineRule="exact"/>
              <w:rPr/>
            </w:pPr>
            <w:r>
              <w:rPr>
                <w:spacing w:val="-2"/>
                <w:position w:val="-3"/>
              </w:rPr>
              <w:t>0.035</w:t>
            </w:r>
          </w:p>
        </w:tc>
        <w:tc>
          <w:tcPr>
            <w:tcW w:w="2007" w:type="dxa"/>
            <w:vAlign w:val="top"/>
            <w:vMerge w:val="restart"/>
            <w:tcBorders>
              <w:left w:val="nil"/>
              <w:right w:val="nil"/>
              <w:bottom w:val="nil"/>
            </w:tcBorders>
          </w:tcPr>
          <w:p>
            <w:pPr>
              <w:pStyle w:val="TableText"/>
              <w:ind w:left="625"/>
              <w:spacing w:before="132" w:line="226" w:lineRule="auto"/>
              <w:rPr/>
            </w:pPr>
            <w:r>
              <w:rPr>
                <w:spacing w:val="-5"/>
              </w:rPr>
              <w:t>1.604</w:t>
            </w:r>
          </w:p>
          <w:p>
            <w:pPr>
              <w:pStyle w:val="TableText"/>
              <w:ind w:left="595"/>
              <w:spacing w:line="169" w:lineRule="exact"/>
              <w:rPr/>
            </w:pPr>
            <w:r>
              <w:rPr>
                <w:spacing w:val="-2"/>
                <w:position w:val="-3"/>
              </w:rPr>
              <w:t>0.032</w:t>
            </w:r>
          </w:p>
        </w:tc>
        <w:tc>
          <w:tcPr>
            <w:tcW w:w="1609" w:type="dxa"/>
            <w:vAlign w:val="top"/>
            <w:vMerge w:val="restart"/>
            <w:tcBorders>
              <w:left w:val="nil"/>
              <w:bottom w:val="nil"/>
            </w:tcBorders>
          </w:tcPr>
          <w:p>
            <w:pPr>
              <w:pStyle w:val="TableText"/>
              <w:ind w:left="378"/>
              <w:spacing w:before="132" w:line="226" w:lineRule="auto"/>
              <w:rPr/>
            </w:pPr>
            <w:r>
              <w:rPr>
                <w:spacing w:val="-2"/>
              </w:rPr>
              <w:t>0.178</w:t>
            </w:r>
          </w:p>
          <w:p>
            <w:pPr>
              <w:pStyle w:val="TableText"/>
              <w:ind w:left="388"/>
              <w:spacing w:line="169" w:lineRule="exact"/>
              <w:rPr/>
            </w:pPr>
            <w:r>
              <w:rPr>
                <w:spacing w:val="-2"/>
                <w:position w:val="-3"/>
              </w:rPr>
              <w:t>0.003</w:t>
            </w:r>
          </w:p>
        </w:tc>
        <w:tc>
          <w:tcPr>
            <w:tcW w:w="899" w:type="dxa"/>
            <w:vAlign w:val="top"/>
            <w:vMerge w:val="continue"/>
            <w:tcBorders>
              <w:right w:val="nil"/>
              <w:top w:val="nil"/>
            </w:tcBorders>
          </w:tcPr>
          <w:p>
            <w:pPr>
              <w:rPr>
                <w:rFonts w:ascii="Arial"/>
                <w:sz w:val="21"/>
              </w:rPr>
            </w:pPr>
            <w:r/>
          </w:p>
        </w:tc>
      </w:tr>
      <w:tr>
        <w:trPr>
          <w:trHeight w:val="250" w:hRule="atLeast"/>
        </w:trPr>
        <w:tc>
          <w:tcPr>
            <w:tcW w:w="590" w:type="dxa"/>
            <w:vAlign w:val="top"/>
            <w:vMerge w:val="continue"/>
            <w:tcBorders>
              <w:top w:val="nil"/>
            </w:tcBorders>
          </w:tcPr>
          <w:p>
            <w:pPr>
              <w:rPr>
                <w:rFonts w:ascii="Arial"/>
                <w:sz w:val="21"/>
              </w:rPr>
            </w:pPr>
            <w:r/>
          </w:p>
        </w:tc>
        <w:tc>
          <w:tcPr>
            <w:tcW w:w="1090" w:type="dxa"/>
            <w:vAlign w:val="top"/>
            <w:vMerge w:val="continue"/>
            <w:tcBorders>
              <w:right w:val="nil"/>
              <w:top w:val="nil"/>
            </w:tcBorders>
          </w:tcPr>
          <w:p>
            <w:pPr>
              <w:rPr>
                <w:rFonts w:ascii="Arial"/>
                <w:sz w:val="21"/>
              </w:rPr>
            </w:pPr>
            <w:r/>
          </w:p>
        </w:tc>
        <w:tc>
          <w:tcPr>
            <w:tcW w:w="1505" w:type="dxa"/>
            <w:vAlign w:val="top"/>
            <w:vMerge w:val="continue"/>
            <w:tcBorders>
              <w:left w:val="nil"/>
              <w:right w:val="nil"/>
              <w:top w:val="nil"/>
            </w:tcBorders>
          </w:tcPr>
          <w:p>
            <w:pPr>
              <w:rPr>
                <w:rFonts w:ascii="Arial"/>
                <w:sz w:val="21"/>
              </w:rPr>
            </w:pPr>
            <w:r/>
          </w:p>
        </w:tc>
        <w:tc>
          <w:tcPr>
            <w:tcW w:w="2055" w:type="dxa"/>
            <w:vAlign w:val="top"/>
            <w:vMerge w:val="continue"/>
            <w:tcBorders>
              <w:left w:val="nil"/>
              <w:right w:val="nil"/>
              <w:top w:val="nil"/>
            </w:tcBorders>
          </w:tcPr>
          <w:p>
            <w:pPr>
              <w:rPr>
                <w:rFonts w:ascii="Arial"/>
                <w:sz w:val="21"/>
              </w:rPr>
            </w:pPr>
            <w:r/>
          </w:p>
        </w:tc>
        <w:tc>
          <w:tcPr>
            <w:tcW w:w="2007" w:type="dxa"/>
            <w:vAlign w:val="top"/>
            <w:vMerge w:val="continue"/>
            <w:tcBorders>
              <w:left w:val="nil"/>
              <w:right w:val="nil"/>
              <w:top w:val="nil"/>
            </w:tcBorders>
          </w:tcPr>
          <w:p>
            <w:pPr>
              <w:rPr>
                <w:rFonts w:ascii="Arial"/>
                <w:sz w:val="21"/>
              </w:rPr>
            </w:pPr>
            <w:r/>
          </w:p>
        </w:tc>
        <w:tc>
          <w:tcPr>
            <w:tcW w:w="1609" w:type="dxa"/>
            <w:vAlign w:val="top"/>
            <w:vMerge w:val="continue"/>
            <w:tcBorders>
              <w:left w:val="nil"/>
              <w:top w:val="nil"/>
            </w:tcBorders>
          </w:tcPr>
          <w:p>
            <w:pPr>
              <w:rPr>
                <w:rFonts w:ascii="Arial"/>
                <w:sz w:val="21"/>
              </w:rPr>
            </w:pPr>
            <w:r/>
          </w:p>
        </w:tc>
        <w:tc>
          <w:tcPr>
            <w:tcW w:w="899" w:type="dxa"/>
            <w:vAlign w:val="top"/>
            <w:vMerge w:val="restart"/>
            <w:tcBorders>
              <w:bottom w:val="nil"/>
              <w:right w:val="nil"/>
            </w:tcBorders>
          </w:tcPr>
          <w:p>
            <w:pPr>
              <w:rPr>
                <w:rFonts w:ascii="Arial"/>
                <w:sz w:val="21"/>
              </w:rPr>
            </w:pPr>
            <w:r/>
          </w:p>
        </w:tc>
      </w:tr>
      <w:tr>
        <w:trPr>
          <w:trHeight w:val="483" w:hRule="atLeast"/>
        </w:trPr>
        <w:tc>
          <w:tcPr>
            <w:tcW w:w="590" w:type="dxa"/>
            <w:vAlign w:val="top"/>
            <w:vMerge w:val="restart"/>
            <w:tcBorders>
              <w:bottom w:val="nil"/>
            </w:tcBorders>
          </w:tcPr>
          <w:p>
            <w:pPr>
              <w:rPr>
                <w:rFonts w:ascii="Arial"/>
                <w:sz w:val="21"/>
              </w:rPr>
            </w:pPr>
            <w:r/>
          </w:p>
        </w:tc>
        <w:tc>
          <w:tcPr>
            <w:tcW w:w="8266" w:type="dxa"/>
            <w:vAlign w:val="top"/>
            <w:gridSpan w:val="5"/>
          </w:tcPr>
          <w:p>
            <w:pPr>
              <w:pStyle w:val="TableText"/>
              <w:ind w:left="129" w:hanging="9"/>
              <w:spacing w:before="2" w:line="189" w:lineRule="auto"/>
              <w:rPr/>
            </w:pPr>
            <w:r>
              <w:rPr>
                <w:spacing w:val="-9"/>
              </w:rPr>
              <w:t>备注：处理池均加盖，收集效率取90%;本项目新增生产废水35.1t/d,项目建成后全厂</w:t>
            </w:r>
            <w:r>
              <w:rPr>
                <w:spacing w:val="11"/>
              </w:rPr>
              <w:t xml:space="preserve"> </w:t>
            </w:r>
            <w:r>
              <w:rPr>
                <w:spacing w:val="-1"/>
              </w:rPr>
              <w:t>的生产废水量为175.5t/d。</w:t>
            </w:r>
          </w:p>
        </w:tc>
        <w:tc>
          <w:tcPr>
            <w:tcW w:w="899" w:type="dxa"/>
            <w:vAlign w:val="top"/>
            <w:vMerge w:val="continue"/>
            <w:tcBorders>
              <w:bottom w:val="nil"/>
              <w:right w:val="nil"/>
              <w:top w:val="nil"/>
            </w:tcBorders>
          </w:tcPr>
          <w:p>
            <w:pPr>
              <w:rPr>
                <w:rFonts w:ascii="Arial"/>
                <w:sz w:val="21"/>
              </w:rPr>
            </w:pPr>
            <w:r/>
          </w:p>
        </w:tc>
      </w:tr>
      <w:tr>
        <w:trPr>
          <w:trHeight w:val="1833" w:hRule="atLeast"/>
        </w:trPr>
        <w:tc>
          <w:tcPr>
            <w:tcW w:w="590" w:type="dxa"/>
            <w:vAlign w:val="top"/>
            <w:vMerge w:val="continue"/>
            <w:tcBorders>
              <w:top w:val="nil"/>
            </w:tcBorders>
          </w:tcPr>
          <w:p>
            <w:pPr>
              <w:rPr>
                <w:rFonts w:ascii="Arial"/>
                <w:sz w:val="21"/>
              </w:rPr>
            </w:pPr>
            <w:r/>
          </w:p>
        </w:tc>
        <w:tc>
          <w:tcPr>
            <w:tcW w:w="8266" w:type="dxa"/>
            <w:vAlign w:val="top"/>
            <w:gridSpan w:val="5"/>
          </w:tcPr>
          <w:p>
            <w:pPr>
              <w:spacing w:line="448" w:lineRule="auto"/>
              <w:rPr>
                <w:rFonts w:ascii="Arial"/>
                <w:sz w:val="21"/>
              </w:rPr>
            </w:pPr>
            <w:r/>
          </w:p>
          <w:p>
            <w:pPr>
              <w:pStyle w:val="TableText"/>
              <w:ind w:left="743"/>
              <w:spacing w:before="75" w:line="220" w:lineRule="auto"/>
              <w:rPr/>
            </w:pPr>
            <w:r>
              <w:rPr>
                <w:b/>
                <w:bCs/>
                <w:spacing w:val="-3"/>
              </w:rPr>
              <w:t>(2)处理措施可行性分析</w:t>
            </w:r>
          </w:p>
          <w:p>
            <w:pPr>
              <w:pStyle w:val="TableText"/>
              <w:ind w:left="619"/>
              <w:spacing w:before="178" w:line="219" w:lineRule="auto"/>
              <w:rPr/>
            </w:pPr>
            <w:r>
              <w:rPr/>
              <w:t>调节池、各混凝沉淀池、A/O池、二沉池等污水处理池(除MBR池)均</w:t>
            </w:r>
          </w:p>
          <w:p>
            <w:pPr>
              <w:pStyle w:val="TableText"/>
              <w:ind w:left="130"/>
              <w:spacing w:before="185" w:line="219" w:lineRule="auto"/>
              <w:rPr/>
            </w:pPr>
            <w:r>
              <w:rPr/>
              <w:t>加盖，污泥压滤机上方设置有集气罩，污水处理臭气经</w:t>
            </w:r>
            <w:r>
              <w:rPr>
                <w:spacing w:val="-1"/>
              </w:rPr>
              <w:t>收集系统收集后，通过</w:t>
            </w:r>
          </w:p>
        </w:tc>
        <w:tc>
          <w:tcPr>
            <w:tcW w:w="899" w:type="dxa"/>
            <w:vAlign w:val="top"/>
            <w:vMerge w:val="continue"/>
            <w:tcBorders>
              <w:bottom w:val="nil"/>
              <w:right w:val="nil"/>
              <w:top w:val="nil"/>
            </w:tcBorders>
          </w:tcPr>
          <w:p>
            <w:pPr>
              <w:rPr>
                <w:rFonts w:ascii="Arial"/>
                <w:sz w:val="21"/>
              </w:rPr>
            </w:pPr>
            <w:r/>
          </w:p>
        </w:tc>
      </w:tr>
    </w:tbl>
    <w:p>
      <w:pPr>
        <w:rPr>
          <w:rFonts w:ascii="Arial"/>
          <w:sz w:val="21"/>
        </w:rPr>
      </w:pPr>
      <w:r/>
    </w:p>
    <w:p>
      <w:pPr>
        <w:sectPr>
          <w:footerReference w:type="default" r:id="rId95"/>
          <w:pgSz w:w="11900" w:h="16840"/>
          <w:pgMar w:top="1431" w:right="580" w:bottom="988" w:left="1559" w:header="0" w:footer="849" w:gutter="0"/>
        </w:sectPr>
        <w:rPr>
          <w:rFonts w:ascii="Arial" w:hAnsi="Arial" w:eastAsia="Arial" w:cs="Arial"/>
          <w:sz w:val="21"/>
          <w:szCs w:val="21"/>
        </w:rPr>
      </w:pPr>
    </w:p>
    <w:p>
      <w:pPr>
        <w:spacing w:line="141" w:lineRule="auto"/>
        <w:rPr>
          <w:rFonts w:ascii="Arial"/>
          <w:sz w:val="2"/>
        </w:rPr>
      </w:pPr>
      <w:r>
        <w:rPr>
          <w:rFonts w:ascii="Arial"/>
          <w:sz w:val="2"/>
        </w:rPr>
      </w:r>
    </w:p>
    <w:tbl>
      <w:tblPr>
        <w:tblStyle w:val="TableNormal"/>
        <w:tblW w:w="88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4"/>
        <w:gridCol w:w="8335"/>
      </w:tblGrid>
      <w:tr>
        <w:trPr>
          <w:trHeight w:val="13580" w:hRule="atLeast"/>
        </w:trPr>
        <w:tc>
          <w:tcPr>
            <w:tcW w:w="514" w:type="dxa"/>
            <w:vAlign w:val="top"/>
          </w:tcPr>
          <w:p>
            <w:pPr>
              <w:rPr>
                <w:rFonts w:ascii="Arial"/>
                <w:sz w:val="21"/>
              </w:rPr>
            </w:pPr>
            <w:r/>
          </w:p>
        </w:tc>
        <w:tc>
          <w:tcPr>
            <w:tcW w:w="8335" w:type="dxa"/>
            <w:vAlign w:val="top"/>
          </w:tcPr>
          <w:p>
            <w:pPr>
              <w:pStyle w:val="TableText"/>
              <w:ind w:left="141" w:right="39"/>
              <w:spacing w:before="53" w:line="358" w:lineRule="auto"/>
              <w:jc w:val="both"/>
              <w:rPr>
                <w:sz w:val="24"/>
                <w:szCs w:val="24"/>
              </w:rPr>
            </w:pPr>
            <w:r>
              <w:rPr>
                <w:sz w:val="24"/>
                <w:szCs w:val="24"/>
                <w:spacing w:val="-1"/>
              </w:rPr>
              <w:t>管道由喷淋塔底部的布气板，均匀向上移动，与逆流而下的吸收剂进行充分接</w:t>
            </w:r>
            <w:r>
              <w:rPr>
                <w:sz w:val="24"/>
                <w:szCs w:val="24"/>
                <w:spacing w:val="17"/>
              </w:rPr>
              <w:t xml:space="preserve"> </w:t>
            </w:r>
            <w:r>
              <w:rPr>
                <w:sz w:val="24"/>
                <w:szCs w:val="24"/>
                <w:spacing w:val="-1"/>
              </w:rPr>
              <w:t>触和反应，在充足的停留时间内，大颗粒污染物及部分臭气，分子经化学反应</w:t>
            </w:r>
          </w:p>
          <w:p>
            <w:pPr>
              <w:pStyle w:val="TableText"/>
              <w:ind w:left="131"/>
              <w:spacing w:line="219" w:lineRule="auto"/>
              <w:rPr>
                <w:sz w:val="24"/>
                <w:szCs w:val="24"/>
              </w:rPr>
            </w:pPr>
            <w:r>
              <w:rPr>
                <w:sz w:val="24"/>
                <w:szCs w:val="24"/>
                <w:spacing w:val="9"/>
              </w:rPr>
              <w:t>最终转化成为无害的化合物(如</w:t>
            </w:r>
            <w:r>
              <w:rPr>
                <w:sz w:val="24"/>
                <w:szCs w:val="24"/>
              </w:rPr>
              <w:t>CO</w:t>
            </w:r>
            <w:r>
              <w:rPr>
                <w:rFonts w:ascii="Calibri" w:hAnsi="Calibri" w:eastAsia="Calibri" w:cs="Calibri"/>
                <w:sz w:val="24"/>
                <w:szCs w:val="24"/>
                <w:spacing w:val="9"/>
              </w:rPr>
              <w:t>₂</w:t>
            </w:r>
            <w:r>
              <w:rPr>
                <w:sz w:val="24"/>
                <w:szCs w:val="24"/>
                <w:spacing w:val="9"/>
              </w:rPr>
              <w:t>和H</w:t>
            </w:r>
            <w:r>
              <w:rPr>
                <w:rFonts w:ascii="Calibri" w:hAnsi="Calibri" w:eastAsia="Calibri" w:cs="Calibri"/>
                <w:sz w:val="24"/>
                <w:szCs w:val="24"/>
                <w:spacing w:val="9"/>
              </w:rPr>
              <w:t>₂</w:t>
            </w:r>
            <w:r>
              <w:rPr>
                <w:sz w:val="24"/>
                <w:szCs w:val="24"/>
                <w:spacing w:val="9"/>
              </w:rPr>
              <w:t>O)。经过预</w:t>
            </w:r>
            <w:r>
              <w:rPr>
                <w:sz w:val="24"/>
                <w:szCs w:val="24"/>
                <w:spacing w:val="8"/>
              </w:rPr>
              <w:t>处理的废气通过管道</w:t>
            </w:r>
          </w:p>
          <w:p>
            <w:pPr>
              <w:pStyle w:val="TableText"/>
              <w:ind w:left="131"/>
              <w:spacing w:before="194" w:line="460" w:lineRule="exact"/>
              <w:rPr>
                <w:sz w:val="24"/>
                <w:szCs w:val="24"/>
              </w:rPr>
            </w:pPr>
            <w:r>
              <w:rPr>
                <w:sz w:val="24"/>
                <w:szCs w:val="24"/>
                <w:position w:val="16"/>
              </w:rPr>
              <w:t>进入光化学处理设备，在紫外光源发出高能光子的共同作</w:t>
            </w:r>
            <w:r>
              <w:rPr>
                <w:sz w:val="24"/>
                <w:szCs w:val="24"/>
                <w:spacing w:val="-1"/>
                <w:position w:val="16"/>
              </w:rPr>
              <w:t>用下，设备内部发生</w:t>
            </w:r>
          </w:p>
          <w:p>
            <w:pPr>
              <w:pStyle w:val="TableText"/>
              <w:ind w:left="131"/>
              <w:spacing w:line="218" w:lineRule="auto"/>
              <w:rPr>
                <w:sz w:val="24"/>
                <w:szCs w:val="24"/>
              </w:rPr>
            </w:pPr>
            <w:r>
              <w:rPr>
                <w:sz w:val="24"/>
                <w:szCs w:val="24"/>
              </w:rPr>
              <w:t>裂解反应、UV紫外光解反应、臭氧高级氧化反应、光化学氧化反应等复杂的</w:t>
            </w:r>
          </w:p>
          <w:p>
            <w:pPr>
              <w:pStyle w:val="TableText"/>
              <w:ind w:left="141"/>
              <w:spacing w:before="195" w:line="481" w:lineRule="exact"/>
              <w:rPr>
                <w:sz w:val="24"/>
                <w:szCs w:val="24"/>
              </w:rPr>
            </w:pPr>
            <w:r>
              <w:rPr>
                <w:sz w:val="24"/>
                <w:szCs w:val="24"/>
                <w:position w:val="18"/>
              </w:rPr>
              <w:t>反应，有效降解大分子有机物质，经过一系列复杂</w:t>
            </w:r>
            <w:r>
              <w:rPr>
                <w:sz w:val="24"/>
                <w:szCs w:val="24"/>
                <w:spacing w:val="-1"/>
                <w:position w:val="18"/>
              </w:rPr>
              <w:t>的氧化还原反应后最终生成</w:t>
            </w:r>
          </w:p>
          <w:p>
            <w:pPr>
              <w:pStyle w:val="TableText"/>
              <w:ind w:left="161"/>
              <w:spacing w:before="1" w:line="219" w:lineRule="auto"/>
              <w:rPr>
                <w:sz w:val="24"/>
                <w:szCs w:val="24"/>
              </w:rPr>
            </w:pPr>
            <w:r>
              <w:rPr>
                <w:sz w:val="24"/>
                <w:szCs w:val="24"/>
                <w:spacing w:val="16"/>
              </w:rPr>
              <w:t>小分子化合物</w:t>
            </w:r>
            <w:r>
              <w:rPr>
                <w:sz w:val="24"/>
                <w:szCs w:val="24"/>
              </w:rPr>
              <w:t>CO</w:t>
            </w:r>
            <w:r>
              <w:rPr>
                <w:rFonts w:ascii="Calibri" w:hAnsi="Calibri" w:eastAsia="Calibri" w:cs="Calibri"/>
                <w:sz w:val="24"/>
                <w:szCs w:val="24"/>
                <w:spacing w:val="16"/>
              </w:rPr>
              <w:t>₂</w:t>
            </w:r>
            <w:r>
              <w:rPr>
                <w:sz w:val="24"/>
                <w:szCs w:val="24"/>
                <w:spacing w:val="16"/>
              </w:rPr>
              <w:t>和H</w:t>
            </w:r>
            <w:r>
              <w:rPr>
                <w:rFonts w:ascii="Calibri" w:hAnsi="Calibri" w:eastAsia="Calibri" w:cs="Calibri"/>
                <w:sz w:val="24"/>
                <w:szCs w:val="24"/>
                <w:spacing w:val="16"/>
              </w:rPr>
              <w:t>₂</w:t>
            </w:r>
            <w:r>
              <w:rPr>
                <w:sz w:val="24"/>
                <w:szCs w:val="24"/>
                <w:spacing w:val="16"/>
              </w:rPr>
              <w:t>O等。</w:t>
            </w:r>
          </w:p>
          <w:p>
            <w:pPr>
              <w:pStyle w:val="TableText"/>
              <w:ind w:left="561"/>
              <w:spacing w:before="165" w:line="219" w:lineRule="auto"/>
              <w:rPr>
                <w:sz w:val="24"/>
                <w:szCs w:val="24"/>
              </w:rPr>
            </w:pPr>
            <w:r>
              <w:rPr>
                <w:sz w:val="24"/>
                <w:szCs w:val="24"/>
              </w:rPr>
              <w:t>根据《时代一汽动力电池项目(年产10GWh)竣工环境保护验收监测报</w:t>
            </w:r>
          </w:p>
          <w:p>
            <w:pPr>
              <w:pStyle w:val="TableText"/>
              <w:ind w:left="131"/>
              <w:spacing w:before="183" w:line="468" w:lineRule="exact"/>
              <w:rPr>
                <w:sz w:val="24"/>
                <w:szCs w:val="24"/>
              </w:rPr>
            </w:pPr>
            <w:r>
              <w:rPr>
                <w:sz w:val="24"/>
                <w:szCs w:val="24"/>
                <w:spacing w:val="7"/>
                <w:position w:val="17"/>
              </w:rPr>
              <w:t>告表》可知：在验收期间，工业废水处理站恶臭气体</w:t>
            </w:r>
            <w:r>
              <w:rPr>
                <w:sz w:val="24"/>
                <w:szCs w:val="24"/>
                <w:position w:val="17"/>
              </w:rPr>
              <w:t>NH</w:t>
            </w:r>
            <w:r>
              <w:rPr>
                <w:rFonts w:ascii="Calibri" w:hAnsi="Calibri" w:eastAsia="Calibri" w:cs="Calibri"/>
                <w:sz w:val="24"/>
                <w:szCs w:val="24"/>
                <w:spacing w:val="7"/>
                <w:position w:val="17"/>
              </w:rPr>
              <w:t>₃</w:t>
            </w:r>
            <w:r>
              <w:rPr>
                <w:rFonts w:ascii="Calibri" w:hAnsi="Calibri" w:eastAsia="Calibri" w:cs="Calibri"/>
                <w:sz w:val="24"/>
                <w:szCs w:val="24"/>
                <w:spacing w:val="-22"/>
                <w:position w:val="17"/>
              </w:rPr>
              <w:t xml:space="preserve"> </w:t>
            </w:r>
            <w:r>
              <w:rPr>
                <w:sz w:val="24"/>
                <w:szCs w:val="24"/>
                <w:spacing w:val="7"/>
                <w:position w:val="17"/>
              </w:rPr>
              <w:t>、H</w:t>
            </w:r>
            <w:r>
              <w:rPr>
                <w:rFonts w:ascii="Calibri" w:hAnsi="Calibri" w:eastAsia="Calibri" w:cs="Calibri"/>
                <w:sz w:val="24"/>
                <w:szCs w:val="24"/>
                <w:spacing w:val="7"/>
                <w:position w:val="17"/>
              </w:rPr>
              <w:t>₂</w:t>
            </w:r>
            <w:r>
              <w:rPr>
                <w:sz w:val="24"/>
                <w:szCs w:val="24"/>
                <w:spacing w:val="7"/>
                <w:position w:val="17"/>
              </w:rPr>
              <w:t>S处理效率分别</w:t>
            </w:r>
          </w:p>
          <w:p>
            <w:pPr>
              <w:pStyle w:val="TableText"/>
              <w:ind w:left="141"/>
              <w:spacing w:before="1" w:line="216" w:lineRule="auto"/>
              <w:rPr>
                <w:sz w:val="24"/>
                <w:szCs w:val="24"/>
              </w:rPr>
            </w:pPr>
            <w:r>
              <w:rPr>
                <w:sz w:val="24"/>
                <w:szCs w:val="24"/>
              </w:rPr>
              <w:t>为69.8%,70.2%。本项目污水处理站的恶臭气体通过引风机负压收集引至现</w:t>
            </w:r>
          </w:p>
          <w:p>
            <w:pPr>
              <w:pStyle w:val="TableText"/>
              <w:ind w:left="131"/>
              <w:spacing w:before="180" w:line="458" w:lineRule="exact"/>
              <w:rPr>
                <w:sz w:val="24"/>
                <w:szCs w:val="24"/>
              </w:rPr>
            </w:pPr>
            <w:r>
              <w:rPr>
                <w:sz w:val="24"/>
                <w:szCs w:val="24"/>
                <w:position w:val="16"/>
              </w:rPr>
              <w:t>有工程配套的“喷淋塔+UV”废气处理设施处理后经排气筒集中排放，碱液喷</w:t>
            </w:r>
          </w:p>
          <w:p>
            <w:pPr>
              <w:pStyle w:val="TableText"/>
              <w:ind w:left="131"/>
              <w:spacing w:before="1" w:line="216" w:lineRule="auto"/>
              <w:rPr>
                <w:sz w:val="24"/>
                <w:szCs w:val="24"/>
              </w:rPr>
            </w:pPr>
            <w:r>
              <w:rPr>
                <w:sz w:val="24"/>
                <w:szCs w:val="24"/>
              </w:rPr>
              <w:t>淋+UV对氨、硫化氢的处理效率分别取60%,65</w:t>
            </w:r>
            <w:r>
              <w:rPr>
                <w:sz w:val="24"/>
                <w:szCs w:val="24"/>
                <w:spacing w:val="-1"/>
              </w:rPr>
              <w:t>%。</w:t>
            </w:r>
          </w:p>
          <w:p>
            <w:pPr>
              <w:pStyle w:val="TableText"/>
              <w:ind w:left="611"/>
              <w:spacing w:before="190" w:line="218" w:lineRule="auto"/>
              <w:rPr>
                <w:sz w:val="24"/>
                <w:szCs w:val="24"/>
              </w:rPr>
            </w:pPr>
            <w:r>
              <w:rPr>
                <w:sz w:val="24"/>
                <w:szCs w:val="24"/>
              </w:rPr>
              <w:t>扩建后污水处理站恶臭收集经碱洗喷淋+UV光催</w:t>
            </w:r>
            <w:r>
              <w:rPr>
                <w:sz w:val="24"/>
                <w:szCs w:val="24"/>
                <w:spacing w:val="-1"/>
              </w:rPr>
              <w:t>化氧化处理后通过15m</w:t>
            </w:r>
          </w:p>
          <w:p>
            <w:pPr>
              <w:pStyle w:val="TableText"/>
              <w:ind w:left="141"/>
              <w:spacing w:before="181" w:line="478" w:lineRule="exact"/>
              <w:rPr>
                <w:sz w:val="24"/>
                <w:szCs w:val="24"/>
              </w:rPr>
            </w:pPr>
            <w:r>
              <w:rPr>
                <w:sz w:val="24"/>
                <w:szCs w:val="24"/>
                <w:position w:val="18"/>
              </w:rPr>
              <w:t>高排气筒排放，氨排放速率为0.097kg/h,硫化氢排放速率为0.002kg/h,满足</w:t>
            </w:r>
          </w:p>
          <w:p>
            <w:pPr>
              <w:pStyle w:val="TableText"/>
              <w:ind w:left="141"/>
              <w:spacing w:line="219" w:lineRule="auto"/>
              <w:rPr>
                <w:sz w:val="24"/>
                <w:szCs w:val="24"/>
              </w:rPr>
            </w:pPr>
            <w:r>
              <w:rPr>
                <w:sz w:val="24"/>
                <w:szCs w:val="24"/>
              </w:rPr>
              <w:t>《恶臭污染物排放标准》(GB14554-1993)中表2恶臭污染物排放标准值：</w:t>
            </w:r>
          </w:p>
          <w:p>
            <w:pPr>
              <w:pStyle w:val="TableText"/>
              <w:ind w:left="121"/>
              <w:spacing w:before="177" w:line="214" w:lineRule="auto"/>
              <w:rPr>
                <w:sz w:val="24"/>
                <w:szCs w:val="24"/>
              </w:rPr>
            </w:pPr>
            <w:r>
              <w:rPr>
                <w:sz w:val="24"/>
                <w:szCs w:val="24"/>
              </w:rPr>
              <w:t>排气筒高度为15m,氨排放速率4.9kg/h,硫化氢排放速率0.33kg/h。</w:t>
            </w:r>
          </w:p>
          <w:p>
            <w:pPr>
              <w:pStyle w:val="TableText"/>
              <w:ind w:left="631"/>
              <w:spacing w:before="198" w:line="471" w:lineRule="exact"/>
              <w:rPr>
                <w:sz w:val="24"/>
                <w:szCs w:val="24"/>
              </w:rPr>
            </w:pPr>
            <w:r>
              <w:rPr>
                <w:sz w:val="24"/>
                <w:szCs w:val="24"/>
                <w:spacing w:val="1"/>
                <w:position w:val="17"/>
              </w:rPr>
              <w:t>污水处理站恶臭通过碱液喷淋+</w:t>
            </w:r>
            <w:r>
              <w:rPr>
                <w:sz w:val="24"/>
                <w:szCs w:val="24"/>
                <w:position w:val="17"/>
              </w:rPr>
              <w:t>UV</w:t>
            </w:r>
            <w:r>
              <w:rPr>
                <w:sz w:val="24"/>
                <w:szCs w:val="24"/>
                <w:spacing w:val="1"/>
                <w:position w:val="17"/>
              </w:rPr>
              <w:t>处理后污染物浓度低，</w:t>
            </w:r>
            <w:r>
              <w:rPr>
                <w:sz w:val="24"/>
                <w:szCs w:val="24"/>
                <w:position w:val="17"/>
              </w:rPr>
              <w:t>恶臭废气中</w:t>
            </w:r>
          </w:p>
          <w:p>
            <w:pPr>
              <w:pStyle w:val="TableText"/>
              <w:ind w:left="121"/>
              <w:spacing w:before="1" w:line="218" w:lineRule="auto"/>
              <w:rPr>
                <w:sz w:val="24"/>
                <w:szCs w:val="24"/>
              </w:rPr>
            </w:pPr>
            <w:r>
              <w:rPr>
                <w:sz w:val="24"/>
                <w:szCs w:val="24"/>
                <w:spacing w:val="9"/>
              </w:rPr>
              <w:t>H</w:t>
            </w:r>
            <w:r>
              <w:rPr>
                <w:rFonts w:ascii="Calibri" w:hAnsi="Calibri" w:eastAsia="Calibri" w:cs="Calibri"/>
                <w:sz w:val="24"/>
                <w:szCs w:val="24"/>
                <w:spacing w:val="9"/>
              </w:rPr>
              <w:t>₂</w:t>
            </w:r>
            <w:r>
              <w:rPr>
                <w:sz w:val="24"/>
                <w:szCs w:val="24"/>
                <w:spacing w:val="9"/>
              </w:rPr>
              <w:t>S、</w:t>
            </w:r>
            <w:r>
              <w:rPr>
                <w:sz w:val="24"/>
                <w:szCs w:val="24"/>
              </w:rPr>
              <w:t>NH</w:t>
            </w:r>
            <w:r>
              <w:rPr>
                <w:rFonts w:ascii="Calibri" w:hAnsi="Calibri" w:eastAsia="Calibri" w:cs="Calibri"/>
                <w:sz w:val="24"/>
                <w:szCs w:val="24"/>
                <w:spacing w:val="9"/>
              </w:rPr>
              <w:t>₃</w:t>
            </w:r>
            <w:r>
              <w:rPr>
                <w:sz w:val="24"/>
                <w:szCs w:val="24"/>
                <w:spacing w:val="9"/>
              </w:rPr>
              <w:t>排放量均可达标，污水处理站恶臭气体治理措施可行。</w:t>
            </w:r>
          </w:p>
          <w:p>
            <w:pPr>
              <w:pStyle w:val="TableText"/>
              <w:ind w:left="134"/>
              <w:spacing w:before="194" w:line="220" w:lineRule="auto"/>
              <w:rPr>
                <w:sz w:val="24"/>
                <w:szCs w:val="24"/>
              </w:rPr>
            </w:pPr>
            <w:r>
              <w:rPr>
                <w:sz w:val="24"/>
                <w:szCs w:val="24"/>
                <w:b/>
                <w:bCs/>
                <w:spacing w:val="-4"/>
              </w:rPr>
              <w:t>4.2.5食堂油烟废气</w:t>
            </w:r>
          </w:p>
          <w:p>
            <w:pPr>
              <w:pStyle w:val="TableText"/>
              <w:ind w:left="631"/>
              <w:spacing w:before="145" w:line="219" w:lineRule="auto"/>
              <w:rPr>
                <w:sz w:val="24"/>
                <w:szCs w:val="24"/>
              </w:rPr>
            </w:pPr>
            <w:r>
              <w:rPr>
                <w:sz w:val="24"/>
                <w:szCs w:val="24"/>
              </w:rPr>
              <w:t>本项目新增劳作定员300人，其中150人在厂</w:t>
            </w:r>
            <w:r>
              <w:rPr>
                <w:sz w:val="24"/>
                <w:szCs w:val="24"/>
                <w:spacing w:val="-1"/>
              </w:rPr>
              <w:t>区食宿，依托现有工程的4</w:t>
            </w:r>
          </w:p>
          <w:p>
            <w:pPr>
              <w:pStyle w:val="TableText"/>
              <w:spacing w:before="197" w:line="499" w:lineRule="exact"/>
              <w:jc w:val="right"/>
              <w:rPr>
                <w:sz w:val="24"/>
                <w:szCs w:val="24"/>
              </w:rPr>
            </w:pPr>
            <w:r>
              <w:rPr>
                <w:sz w:val="24"/>
                <w:szCs w:val="24"/>
                <w:spacing w:val="-6"/>
                <w:position w:val="19"/>
              </w:rPr>
              <w:t>个食堂，食堂运营过程有油烟废气产生，主要为操作间烹调过</w:t>
            </w:r>
            <w:r>
              <w:rPr>
                <w:sz w:val="24"/>
                <w:szCs w:val="24"/>
                <w:spacing w:val="-7"/>
                <w:position w:val="19"/>
              </w:rPr>
              <w:t>程中挥发的油脂、</w:t>
            </w:r>
          </w:p>
          <w:p>
            <w:pPr>
              <w:pStyle w:val="TableText"/>
              <w:ind w:left="151"/>
              <w:spacing w:before="1" w:line="218" w:lineRule="auto"/>
              <w:rPr>
                <w:sz w:val="24"/>
                <w:szCs w:val="24"/>
              </w:rPr>
            </w:pPr>
            <w:r>
              <w:rPr>
                <w:sz w:val="24"/>
                <w:szCs w:val="24"/>
                <w:spacing w:val="-2"/>
              </w:rPr>
              <w:t>有机质及其加热分解或裂解产物。</w:t>
            </w:r>
          </w:p>
          <w:p>
            <w:pPr>
              <w:pStyle w:val="TableText"/>
              <w:ind w:left="631"/>
              <w:spacing w:before="166" w:line="470" w:lineRule="exact"/>
              <w:rPr>
                <w:sz w:val="24"/>
                <w:szCs w:val="24"/>
              </w:rPr>
            </w:pPr>
            <w:r>
              <w:rPr>
                <w:sz w:val="24"/>
                <w:szCs w:val="24"/>
                <w:position w:val="17"/>
              </w:rPr>
              <w:t>根据建设单位提供资料，厨房设有6个以上灶台</w:t>
            </w:r>
            <w:r>
              <w:rPr>
                <w:sz w:val="24"/>
                <w:szCs w:val="24"/>
                <w:spacing w:val="-1"/>
                <w:position w:val="17"/>
              </w:rPr>
              <w:t>，根据《饮食业油烟排放</w:t>
            </w:r>
          </w:p>
          <w:p>
            <w:pPr>
              <w:pStyle w:val="TableText"/>
              <w:ind w:left="141"/>
              <w:spacing w:line="218" w:lineRule="auto"/>
              <w:rPr>
                <w:sz w:val="24"/>
                <w:szCs w:val="24"/>
              </w:rPr>
            </w:pPr>
            <w:r>
              <w:rPr>
                <w:sz w:val="24"/>
                <w:szCs w:val="24"/>
              </w:rPr>
              <w:t>标准》(GB18483-2001)规定，本项目属大型餐饮，油烟净化器的处理效率</w:t>
            </w:r>
          </w:p>
          <w:p>
            <w:pPr>
              <w:pStyle w:val="TableText"/>
              <w:ind w:left="121"/>
              <w:spacing w:before="191" w:line="221" w:lineRule="auto"/>
              <w:rPr>
                <w:sz w:val="24"/>
                <w:szCs w:val="24"/>
              </w:rPr>
            </w:pPr>
            <w:r>
              <w:rPr>
                <w:sz w:val="24"/>
                <w:szCs w:val="24"/>
                <w:spacing w:val="-1"/>
              </w:rPr>
              <w:t>应不小于85%。</w:t>
            </w:r>
          </w:p>
          <w:p>
            <w:pPr>
              <w:pStyle w:val="TableText"/>
              <w:spacing w:before="131" w:line="214" w:lineRule="auto"/>
              <w:jc w:val="right"/>
              <w:rPr>
                <w:sz w:val="24"/>
                <w:szCs w:val="24"/>
              </w:rPr>
            </w:pPr>
            <w:r>
              <w:rPr>
                <w:sz w:val="24"/>
                <w:szCs w:val="24"/>
                <w:spacing w:val="5"/>
              </w:rPr>
              <w:t>类比餐饮业数据，未经净化处理的厨房油烟初</w:t>
            </w:r>
            <w:r>
              <w:rPr>
                <w:sz w:val="24"/>
                <w:szCs w:val="24"/>
                <w:spacing w:val="4"/>
              </w:rPr>
              <w:t>始浓度一般不超过8</w:t>
            </w:r>
            <w:r>
              <w:rPr>
                <w:sz w:val="24"/>
                <w:szCs w:val="24"/>
              </w:rPr>
              <w:t>mg</w:t>
            </w:r>
            <w:r>
              <w:rPr>
                <w:sz w:val="24"/>
                <w:szCs w:val="24"/>
                <w:spacing w:val="4"/>
              </w:rPr>
              <w:t>/m³,</w:t>
            </w:r>
          </w:p>
          <w:p>
            <w:pPr>
              <w:pStyle w:val="TableText"/>
              <w:ind w:left="121"/>
              <w:spacing w:before="192" w:line="214" w:lineRule="auto"/>
              <w:rPr>
                <w:sz w:val="24"/>
                <w:szCs w:val="24"/>
              </w:rPr>
            </w:pPr>
            <w:r>
              <w:rPr>
                <w:sz w:val="24"/>
                <w:szCs w:val="24"/>
                <w:spacing w:val="5"/>
              </w:rPr>
              <w:t>经静电式油烟净化器(油烟去除效率取85%)处理后出口浓度在1.2</w:t>
            </w:r>
            <w:r>
              <w:rPr>
                <w:sz w:val="24"/>
                <w:szCs w:val="24"/>
              </w:rPr>
              <w:t>mg</w:t>
            </w:r>
            <w:r>
              <w:rPr>
                <w:sz w:val="24"/>
                <w:szCs w:val="24"/>
                <w:spacing w:val="5"/>
              </w:rPr>
              <w:t>/m³,</w:t>
            </w:r>
          </w:p>
          <w:p>
            <w:pPr>
              <w:pStyle w:val="TableText"/>
              <w:ind w:left="131"/>
              <w:spacing w:before="220" w:line="220" w:lineRule="auto"/>
              <w:rPr>
                <w:sz w:val="24"/>
                <w:szCs w:val="24"/>
              </w:rPr>
            </w:pPr>
            <w:r>
              <w:rPr>
                <w:sz w:val="24"/>
                <w:szCs w:val="24"/>
                <w:spacing w:val="1"/>
              </w:rPr>
              <w:t>则可确保食堂油烟达到《饮食业油烟排放标准(试行)》(</w:t>
            </w:r>
            <w:r>
              <w:rPr>
                <w:sz w:val="24"/>
                <w:szCs w:val="24"/>
              </w:rPr>
              <w:t>GB</w:t>
            </w:r>
            <w:r>
              <w:rPr>
                <w:sz w:val="24"/>
                <w:szCs w:val="24"/>
                <w:spacing w:val="1"/>
              </w:rPr>
              <w:t>18483-2001)</w:t>
            </w:r>
          </w:p>
          <w:p>
            <w:pPr>
              <w:pStyle w:val="TableText"/>
              <w:ind w:left="131"/>
              <w:spacing w:before="185" w:line="214" w:lineRule="auto"/>
              <w:rPr>
                <w:sz w:val="24"/>
                <w:szCs w:val="24"/>
              </w:rPr>
            </w:pPr>
            <w:r>
              <w:rPr>
                <w:sz w:val="24"/>
                <w:szCs w:val="24"/>
                <w:spacing w:val="4"/>
              </w:rPr>
              <w:t>表2中的大型规模：最高允许排放浓度(油烟废气≤2.0</w:t>
            </w:r>
            <w:r>
              <w:rPr>
                <w:sz w:val="24"/>
                <w:szCs w:val="24"/>
              </w:rPr>
              <w:t>mg</w:t>
            </w:r>
            <w:r>
              <w:rPr>
                <w:sz w:val="24"/>
                <w:szCs w:val="24"/>
                <w:spacing w:val="3"/>
              </w:rPr>
              <w:t>/m³)要求，经排气</w:t>
            </w:r>
          </w:p>
        </w:tc>
      </w:tr>
    </w:tbl>
    <w:p>
      <w:pPr>
        <w:rPr>
          <w:rFonts w:ascii="Arial"/>
          <w:sz w:val="21"/>
        </w:rPr>
      </w:pPr>
      <w:r/>
    </w:p>
    <w:p>
      <w:pPr>
        <w:sectPr>
          <w:footerReference w:type="default" r:id="rId96"/>
          <w:pgSz w:w="11900" w:h="16840"/>
          <w:pgMar w:top="1431" w:right="1415" w:bottom="988" w:left="1624" w:header="0" w:footer="849" w:gutter="0"/>
        </w:sectPr>
        <w:rPr>
          <w:rFonts w:ascii="Arial" w:hAnsi="Arial" w:eastAsia="Arial" w:cs="Arial"/>
          <w:sz w:val="21"/>
          <w:szCs w:val="21"/>
        </w:rPr>
      </w:pPr>
    </w:p>
    <w:p>
      <w:pPr>
        <w:spacing w:line="37" w:lineRule="auto"/>
        <w:rPr>
          <w:rFonts w:ascii="Arial"/>
          <w:sz w:val="2"/>
        </w:rPr>
      </w:pPr>
      <w:r>
        <w:rPr>
          <w:rFonts w:ascii="Arial"/>
          <w:sz w:val="2"/>
        </w:rPr>
      </w:r>
    </w:p>
    <w:tbl>
      <w:tblPr>
        <w:tblStyle w:val="TableNormal"/>
        <w:tblW w:w="88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34"/>
        <w:gridCol w:w="8286"/>
      </w:tblGrid>
      <w:tr>
        <w:trPr>
          <w:trHeight w:val="7109" w:hRule="atLeast"/>
        </w:trPr>
        <w:tc>
          <w:tcPr>
            <w:tcW w:w="534" w:type="dxa"/>
            <w:vAlign w:val="top"/>
          </w:tcPr>
          <w:p>
            <w:pPr>
              <w:rPr>
                <w:rFonts w:ascii="Arial"/>
                <w:sz w:val="21"/>
              </w:rPr>
            </w:pPr>
            <w:r/>
          </w:p>
        </w:tc>
        <w:tc>
          <w:tcPr>
            <w:tcW w:w="8286" w:type="dxa"/>
            <w:vAlign w:val="top"/>
          </w:tcPr>
          <w:p>
            <w:pPr>
              <w:pStyle w:val="TableText"/>
              <w:ind w:left="151"/>
              <w:spacing w:before="75" w:line="219" w:lineRule="auto"/>
              <w:rPr>
                <w:sz w:val="24"/>
                <w:szCs w:val="24"/>
              </w:rPr>
            </w:pPr>
            <w:r>
              <w:rPr>
                <w:sz w:val="24"/>
                <w:szCs w:val="24"/>
              </w:rPr>
              <w:t>筒引至屋顶排放。</w:t>
            </w:r>
          </w:p>
          <w:p>
            <w:pPr>
              <w:pStyle w:val="TableText"/>
              <w:ind w:left="94"/>
              <w:spacing w:before="142" w:line="220" w:lineRule="auto"/>
              <w:rPr>
                <w:sz w:val="24"/>
                <w:szCs w:val="24"/>
              </w:rPr>
            </w:pPr>
            <w:r>
              <w:rPr>
                <w:sz w:val="24"/>
                <w:szCs w:val="24"/>
                <w:b/>
                <w:bCs/>
                <w:spacing w:val="-2"/>
              </w:rPr>
              <w:t>4.2.6废气排放情况汇总</w:t>
            </w:r>
          </w:p>
          <w:p>
            <w:pPr>
              <w:pStyle w:val="TableText"/>
              <w:spacing w:before="203" w:line="216" w:lineRule="auto"/>
              <w:jc w:val="right"/>
              <w:rPr>
                <w:sz w:val="24"/>
                <w:szCs w:val="24"/>
              </w:rPr>
            </w:pPr>
            <w:r>
              <w:rPr>
                <w:sz w:val="24"/>
                <w:szCs w:val="24"/>
                <w:spacing w:val="-6"/>
              </w:rPr>
              <w:t>本项目废气排气筒相关参数见表4.2-7,</w:t>
            </w:r>
            <w:r>
              <w:rPr>
                <w:sz w:val="24"/>
                <w:szCs w:val="24"/>
                <w:spacing w:val="-7"/>
              </w:rPr>
              <w:t>废气排放情况见表4.2-8、表4.2-9。</w:t>
            </w:r>
          </w:p>
          <w:p>
            <w:pPr>
              <w:pStyle w:val="TableText"/>
              <w:ind w:left="121" w:right="234" w:firstLine="499"/>
              <w:spacing w:before="191" w:line="362" w:lineRule="auto"/>
              <w:rPr>
                <w:sz w:val="24"/>
                <w:szCs w:val="24"/>
              </w:rPr>
            </w:pPr>
            <w:r>
              <w:rPr>
                <w:sz w:val="24"/>
                <w:szCs w:val="24"/>
              </w:rPr>
              <w:t>本项目产品为二期工程约40%极片产线转移，并增加凹版工艺。根据原 </w:t>
            </w:r>
            <w:r>
              <w:rPr>
                <w:sz w:val="24"/>
                <w:szCs w:val="24"/>
              </w:rPr>
              <w:t>辅材料用量可知(表2.4-2),本项目扩建后仅增加凹版工艺的原辅料，因</w:t>
            </w:r>
            <w:r>
              <w:rPr>
                <w:sz w:val="24"/>
                <w:szCs w:val="24"/>
                <w:spacing w:val="-1"/>
              </w:rPr>
              <w:t>此，</w:t>
            </w:r>
          </w:p>
          <w:p>
            <w:pPr>
              <w:pStyle w:val="TableText"/>
              <w:ind w:left="121"/>
              <w:spacing w:line="219" w:lineRule="auto"/>
              <w:rPr>
                <w:sz w:val="24"/>
                <w:szCs w:val="24"/>
              </w:rPr>
            </w:pPr>
            <w:r>
              <w:rPr>
                <w:sz w:val="24"/>
                <w:szCs w:val="24"/>
              </w:rPr>
              <w:t>扩建后废气污染物排放量，见表4.2-10。</w:t>
            </w:r>
          </w:p>
          <w:p>
            <w:pPr>
              <w:pStyle w:val="TableText"/>
              <w:ind w:left="621"/>
              <w:spacing w:before="163" w:line="468" w:lineRule="exact"/>
              <w:rPr>
                <w:sz w:val="24"/>
                <w:szCs w:val="24"/>
              </w:rPr>
            </w:pPr>
            <w:r>
              <w:rPr>
                <w:sz w:val="24"/>
                <w:szCs w:val="24"/>
                <w:position w:val="17"/>
              </w:rPr>
              <w:t>根据《排污许可证申请与核发技术规范电池工业》(HJ9</w:t>
            </w:r>
            <w:r>
              <w:rPr>
                <w:sz w:val="24"/>
                <w:szCs w:val="24"/>
                <w:spacing w:val="-1"/>
                <w:position w:val="17"/>
              </w:rPr>
              <w:t>67-2018)、《排</w:t>
            </w:r>
          </w:p>
          <w:p>
            <w:pPr>
              <w:pStyle w:val="TableText"/>
              <w:ind w:left="131"/>
              <w:spacing w:line="216" w:lineRule="auto"/>
              <w:rPr>
                <w:sz w:val="24"/>
                <w:szCs w:val="24"/>
              </w:rPr>
            </w:pPr>
            <w:r>
              <w:rPr>
                <w:sz w:val="24"/>
                <w:szCs w:val="24"/>
                <w:spacing w:val="1"/>
              </w:rPr>
              <w:t>污许可证申请与核发技术规范锅炉》(</w:t>
            </w:r>
            <w:r>
              <w:rPr>
                <w:sz w:val="24"/>
                <w:szCs w:val="24"/>
              </w:rPr>
              <w:t>HJ</w:t>
            </w:r>
            <w:r>
              <w:rPr>
                <w:sz w:val="24"/>
                <w:szCs w:val="24"/>
                <w:spacing w:val="1"/>
              </w:rPr>
              <w:t>953-2018),项目锅炉废气排</w:t>
            </w:r>
            <w:r>
              <w:rPr>
                <w:sz w:val="24"/>
                <w:szCs w:val="24"/>
              </w:rPr>
              <w:t>放口</w:t>
            </w:r>
          </w:p>
          <w:p>
            <w:pPr>
              <w:pStyle w:val="TableText"/>
              <w:ind w:left="131"/>
              <w:spacing w:before="193" w:line="220" w:lineRule="auto"/>
              <w:rPr>
                <w:sz w:val="24"/>
                <w:szCs w:val="24"/>
              </w:rPr>
            </w:pPr>
            <w:r>
              <w:rPr>
                <w:sz w:val="24"/>
                <w:szCs w:val="24"/>
              </w:rPr>
              <w:t>为主要排放口，其他的均为一般排放口。</w:t>
            </w:r>
          </w:p>
        </w:tc>
      </w:tr>
    </w:tbl>
    <w:p>
      <w:pPr>
        <w:rPr>
          <w:rFonts w:ascii="Arial"/>
          <w:sz w:val="21"/>
        </w:rPr>
      </w:pPr>
      <w:r/>
    </w:p>
    <w:p>
      <w:pPr>
        <w:sectPr>
          <w:footerReference w:type="default" r:id="rId97"/>
          <w:pgSz w:w="11900" w:h="16840"/>
          <w:pgMar w:top="1431" w:right="1455" w:bottom="988" w:left="1614" w:header="0" w:footer="849" w:gutter="0"/>
        </w:sectPr>
        <w:rPr>
          <w:rFonts w:ascii="Arial" w:hAnsi="Arial" w:eastAsia="Arial" w:cs="Arial"/>
          <w:sz w:val="21"/>
          <w:szCs w:val="21"/>
        </w:rPr>
      </w:pPr>
    </w:p>
    <w:p>
      <w:pPr>
        <w:pStyle w:val="BodyText"/>
        <w:ind w:left="5348"/>
        <w:spacing w:before="305" w:line="219" w:lineRule="auto"/>
        <w:rPr>
          <w:sz w:val="24"/>
          <w:szCs w:val="24"/>
        </w:rPr>
      </w:pPr>
      <w:r>
        <w:rPr>
          <w:sz w:val="24"/>
          <w:szCs w:val="24"/>
          <w:b/>
          <w:bCs/>
          <w:spacing w:val="-6"/>
        </w:rPr>
        <w:t>表4.2-4</w:t>
      </w:r>
      <w:r>
        <w:rPr>
          <w:sz w:val="24"/>
          <w:szCs w:val="24"/>
          <w:spacing w:val="-6"/>
        </w:rPr>
        <w:t xml:space="preserve">  </w:t>
      </w:r>
      <w:r>
        <w:rPr>
          <w:sz w:val="24"/>
          <w:szCs w:val="24"/>
          <w:b/>
          <w:bCs/>
          <w:spacing w:val="-6"/>
        </w:rPr>
        <w:t>项</w:t>
      </w:r>
      <w:r>
        <w:rPr>
          <w:sz w:val="24"/>
          <w:szCs w:val="24"/>
          <w:spacing w:val="-6"/>
        </w:rPr>
        <w:t xml:space="preserve"> </w:t>
      </w:r>
      <w:r>
        <w:rPr>
          <w:sz w:val="24"/>
          <w:szCs w:val="24"/>
          <w:b/>
          <w:bCs/>
          <w:spacing w:val="-6"/>
        </w:rPr>
        <w:t>目</w:t>
      </w:r>
      <w:r>
        <w:rPr>
          <w:rFonts w:ascii="Times New Roman" w:hAnsi="Times New Roman" w:eastAsia="Times New Roman" w:cs="Times New Roman"/>
          <w:sz w:val="24"/>
          <w:szCs w:val="24"/>
          <w:b/>
          <w:bCs/>
          <w:spacing w:val="-6"/>
        </w:rPr>
        <w:t>NMP </w:t>
      </w:r>
      <w:r>
        <w:rPr>
          <w:sz w:val="24"/>
          <w:szCs w:val="24"/>
          <w:b/>
          <w:bCs/>
          <w:spacing w:val="-6"/>
        </w:rPr>
        <w:t>废气源强核算一</w:t>
      </w:r>
      <w:r>
        <w:rPr>
          <w:sz w:val="24"/>
          <w:szCs w:val="24"/>
          <w:b/>
          <w:bCs/>
          <w:spacing w:val="-7"/>
        </w:rPr>
        <w:t>览表</w:t>
      </w:r>
    </w:p>
    <w:p>
      <w:pPr>
        <w:spacing w:line="133" w:lineRule="exact"/>
        <w:rPr/>
      </w:pPr>
      <w:r/>
    </w:p>
    <w:tbl>
      <w:tblPr>
        <w:tblStyle w:val="TableNormal"/>
        <w:tblW w:w="149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5"/>
        <w:gridCol w:w="719"/>
        <w:gridCol w:w="979"/>
        <w:gridCol w:w="690"/>
        <w:gridCol w:w="700"/>
        <w:gridCol w:w="839"/>
        <w:gridCol w:w="720"/>
        <w:gridCol w:w="989"/>
        <w:gridCol w:w="719"/>
        <w:gridCol w:w="690"/>
        <w:gridCol w:w="719"/>
        <w:gridCol w:w="720"/>
        <w:gridCol w:w="749"/>
        <w:gridCol w:w="999"/>
        <w:gridCol w:w="839"/>
        <w:gridCol w:w="690"/>
        <w:gridCol w:w="670"/>
        <w:gridCol w:w="590"/>
        <w:gridCol w:w="720"/>
        <w:gridCol w:w="724"/>
      </w:tblGrid>
      <w:tr>
        <w:trPr>
          <w:trHeight w:val="324" w:hRule="atLeast"/>
        </w:trPr>
        <w:tc>
          <w:tcPr>
            <w:tcW w:w="515" w:type="dxa"/>
            <w:vAlign w:val="top"/>
            <w:vMerge w:val="restart"/>
            <w:tcBorders>
              <w:bottom w:val="nil"/>
            </w:tcBorders>
          </w:tcPr>
          <w:p>
            <w:pPr>
              <w:spacing w:line="268" w:lineRule="auto"/>
              <w:rPr>
                <w:rFonts w:ascii="Arial"/>
                <w:sz w:val="21"/>
              </w:rPr>
            </w:pPr>
            <w:r/>
          </w:p>
          <w:p>
            <w:pPr>
              <w:pStyle w:val="TableText"/>
              <w:ind w:left="95" w:right="17"/>
              <w:spacing w:before="65" w:line="244" w:lineRule="auto"/>
              <w:rPr>
                <w:sz w:val="20"/>
                <w:szCs w:val="20"/>
              </w:rPr>
            </w:pPr>
            <w:r>
              <w:rPr>
                <w:sz w:val="20"/>
                <w:szCs w:val="20"/>
                <w:spacing w:val="-4"/>
              </w:rPr>
              <w:t>排放</w:t>
            </w:r>
            <w:r>
              <w:rPr>
                <w:sz w:val="20"/>
                <w:szCs w:val="20"/>
              </w:rPr>
              <w:t xml:space="preserve"> </w:t>
            </w:r>
            <w:r>
              <w:rPr>
                <w:sz w:val="20"/>
                <w:szCs w:val="20"/>
                <w:spacing w:val="-5"/>
              </w:rPr>
              <w:t>方式</w:t>
            </w:r>
          </w:p>
        </w:tc>
        <w:tc>
          <w:tcPr>
            <w:tcW w:w="719" w:type="dxa"/>
            <w:vAlign w:val="top"/>
            <w:vMerge w:val="restart"/>
            <w:tcBorders>
              <w:bottom w:val="nil"/>
            </w:tcBorders>
          </w:tcPr>
          <w:p>
            <w:pPr>
              <w:spacing w:line="415" w:lineRule="auto"/>
              <w:rPr>
                <w:rFonts w:ascii="Arial"/>
                <w:sz w:val="21"/>
              </w:rPr>
            </w:pPr>
            <w:r/>
          </w:p>
          <w:p>
            <w:pPr>
              <w:pStyle w:val="TableText"/>
              <w:ind w:left="50"/>
              <w:spacing w:before="65" w:line="219" w:lineRule="auto"/>
              <w:rPr>
                <w:sz w:val="20"/>
                <w:szCs w:val="20"/>
              </w:rPr>
            </w:pPr>
            <w:r>
              <w:rPr>
                <w:sz w:val="20"/>
                <w:szCs w:val="20"/>
                <w:spacing w:val="4"/>
              </w:rPr>
              <w:t>生产线</w:t>
            </w:r>
          </w:p>
        </w:tc>
        <w:tc>
          <w:tcPr>
            <w:tcW w:w="979" w:type="dxa"/>
            <w:vAlign w:val="top"/>
            <w:vMerge w:val="restart"/>
            <w:tcBorders>
              <w:bottom w:val="nil"/>
            </w:tcBorders>
          </w:tcPr>
          <w:p>
            <w:pPr>
              <w:spacing w:line="416" w:lineRule="auto"/>
              <w:rPr>
                <w:rFonts w:ascii="Arial"/>
                <w:sz w:val="21"/>
              </w:rPr>
            </w:pPr>
            <w:r/>
          </w:p>
          <w:p>
            <w:pPr>
              <w:pStyle w:val="TableText"/>
              <w:ind w:left="281"/>
              <w:spacing w:before="65" w:line="220" w:lineRule="auto"/>
              <w:rPr>
                <w:sz w:val="20"/>
                <w:szCs w:val="20"/>
              </w:rPr>
            </w:pPr>
            <w:r>
              <w:rPr>
                <w:sz w:val="20"/>
                <w:szCs w:val="20"/>
                <w:spacing w:val="-2"/>
              </w:rPr>
              <w:t>装置</w:t>
            </w:r>
          </w:p>
        </w:tc>
        <w:tc>
          <w:tcPr>
            <w:tcW w:w="690" w:type="dxa"/>
            <w:vAlign w:val="top"/>
            <w:vMerge w:val="restart"/>
            <w:tcBorders>
              <w:bottom w:val="nil"/>
            </w:tcBorders>
          </w:tcPr>
          <w:p>
            <w:pPr>
              <w:spacing w:line="416" w:lineRule="auto"/>
              <w:rPr>
                <w:rFonts w:ascii="Arial"/>
                <w:sz w:val="21"/>
              </w:rPr>
            </w:pPr>
            <w:r/>
          </w:p>
          <w:p>
            <w:pPr>
              <w:pStyle w:val="TableText"/>
              <w:ind w:left="31"/>
              <w:spacing w:before="65" w:line="220" w:lineRule="auto"/>
              <w:rPr>
                <w:sz w:val="20"/>
                <w:szCs w:val="20"/>
              </w:rPr>
            </w:pPr>
            <w:r>
              <w:rPr>
                <w:sz w:val="20"/>
                <w:szCs w:val="20"/>
                <w:spacing w:val="-3"/>
              </w:rPr>
              <w:t>污染物</w:t>
            </w:r>
          </w:p>
        </w:tc>
        <w:tc>
          <w:tcPr>
            <w:tcW w:w="3967" w:type="dxa"/>
            <w:vAlign w:val="top"/>
            <w:gridSpan w:val="5"/>
          </w:tcPr>
          <w:p>
            <w:pPr>
              <w:pStyle w:val="TableText"/>
              <w:ind w:left="1462"/>
              <w:spacing w:before="63" w:line="219" w:lineRule="auto"/>
              <w:rPr>
                <w:sz w:val="20"/>
                <w:szCs w:val="20"/>
              </w:rPr>
            </w:pPr>
            <w:r>
              <w:rPr>
                <w:sz w:val="20"/>
                <w:szCs w:val="20"/>
                <w:spacing w:val="-2"/>
              </w:rPr>
              <w:t>污染物产生</w:t>
            </w:r>
          </w:p>
        </w:tc>
        <w:tc>
          <w:tcPr>
            <w:tcW w:w="2129" w:type="dxa"/>
            <w:vAlign w:val="top"/>
            <w:gridSpan w:val="3"/>
          </w:tcPr>
          <w:p>
            <w:pPr>
              <w:pStyle w:val="TableText"/>
              <w:ind w:left="655"/>
              <w:spacing w:before="63" w:line="220" w:lineRule="auto"/>
              <w:rPr>
                <w:sz w:val="20"/>
                <w:szCs w:val="20"/>
              </w:rPr>
            </w:pPr>
            <w:r>
              <w:rPr>
                <w:sz w:val="20"/>
                <w:szCs w:val="20"/>
                <w:spacing w:val="2"/>
              </w:rPr>
              <w:t>治理措施</w:t>
            </w:r>
          </w:p>
        </w:tc>
        <w:tc>
          <w:tcPr>
            <w:tcW w:w="2587" w:type="dxa"/>
            <w:vAlign w:val="top"/>
            <w:gridSpan w:val="3"/>
          </w:tcPr>
          <w:p>
            <w:pPr>
              <w:pStyle w:val="TableText"/>
              <w:ind w:left="775"/>
              <w:spacing w:before="63" w:line="220" w:lineRule="auto"/>
              <w:rPr>
                <w:sz w:val="20"/>
                <w:szCs w:val="20"/>
              </w:rPr>
            </w:pPr>
            <w:r>
              <w:rPr>
                <w:sz w:val="20"/>
                <w:szCs w:val="20"/>
                <w:spacing w:val="-2"/>
              </w:rPr>
              <w:t>污染物排放</w:t>
            </w:r>
          </w:p>
        </w:tc>
        <w:tc>
          <w:tcPr>
            <w:tcW w:w="2670" w:type="dxa"/>
            <w:vAlign w:val="top"/>
            <w:gridSpan w:val="4"/>
          </w:tcPr>
          <w:p>
            <w:pPr>
              <w:pStyle w:val="TableText"/>
              <w:ind w:left="849"/>
              <w:spacing w:before="63" w:line="219" w:lineRule="auto"/>
              <w:rPr>
                <w:sz w:val="20"/>
                <w:szCs w:val="20"/>
              </w:rPr>
            </w:pPr>
            <w:r>
              <w:rPr>
                <w:sz w:val="20"/>
                <w:szCs w:val="20"/>
                <w:spacing w:val="-2"/>
              </w:rPr>
              <w:t>排气筒参数</w:t>
            </w:r>
          </w:p>
        </w:tc>
        <w:tc>
          <w:tcPr>
            <w:tcW w:w="724" w:type="dxa"/>
            <w:vAlign w:val="top"/>
            <w:vMerge w:val="restart"/>
            <w:tcBorders>
              <w:bottom w:val="nil"/>
            </w:tcBorders>
          </w:tcPr>
          <w:p>
            <w:pPr>
              <w:spacing w:line="278" w:lineRule="auto"/>
              <w:rPr>
                <w:rFonts w:ascii="Arial"/>
                <w:sz w:val="21"/>
              </w:rPr>
            </w:pPr>
            <w:r/>
          </w:p>
          <w:p>
            <w:pPr>
              <w:pStyle w:val="TableText"/>
              <w:ind w:left="159" w:right="62" w:hanging="100"/>
              <w:spacing w:before="65" w:line="241" w:lineRule="auto"/>
              <w:rPr>
                <w:sz w:val="20"/>
                <w:szCs w:val="20"/>
              </w:rPr>
            </w:pPr>
            <w:r>
              <w:rPr>
                <w:sz w:val="20"/>
                <w:szCs w:val="20"/>
                <w:spacing w:val="-3"/>
              </w:rPr>
              <w:t>排放时</w:t>
            </w:r>
            <w:r>
              <w:rPr>
                <w:sz w:val="20"/>
                <w:szCs w:val="20"/>
              </w:rPr>
              <w:t xml:space="preserve"> </w:t>
            </w:r>
            <w:r>
              <w:rPr>
                <w:sz w:val="20"/>
                <w:szCs w:val="20"/>
                <w:spacing w:val="2"/>
              </w:rPr>
              <w:t>间/h</w:t>
            </w:r>
          </w:p>
        </w:tc>
      </w:tr>
      <w:tr>
        <w:trPr>
          <w:trHeight w:val="829" w:hRule="atLeast"/>
        </w:trPr>
        <w:tc>
          <w:tcPr>
            <w:tcW w:w="515" w:type="dxa"/>
            <w:vAlign w:val="top"/>
            <w:vMerge w:val="continue"/>
            <w:tcBorders>
              <w:top w:val="nil"/>
            </w:tcBorders>
          </w:tcPr>
          <w:p>
            <w:pPr>
              <w:rPr>
                <w:rFonts w:ascii="Arial"/>
                <w:sz w:val="21"/>
              </w:rPr>
            </w:pPr>
            <w:r/>
          </w:p>
        </w:tc>
        <w:tc>
          <w:tcPr>
            <w:tcW w:w="719" w:type="dxa"/>
            <w:vAlign w:val="top"/>
            <w:vMerge w:val="continue"/>
            <w:tcBorders>
              <w:top w:val="nil"/>
            </w:tcBorders>
          </w:tcPr>
          <w:p>
            <w:pPr>
              <w:rPr>
                <w:rFonts w:ascii="Arial"/>
                <w:sz w:val="21"/>
              </w:rPr>
            </w:pPr>
            <w:r/>
          </w:p>
        </w:tc>
        <w:tc>
          <w:tcPr>
            <w:tcW w:w="979" w:type="dxa"/>
            <w:vAlign w:val="top"/>
            <w:vMerge w:val="continue"/>
            <w:tcBorders>
              <w:top w:val="nil"/>
            </w:tcBorders>
          </w:tcPr>
          <w:p>
            <w:pPr>
              <w:rPr>
                <w:rFonts w:ascii="Arial"/>
                <w:sz w:val="21"/>
              </w:rPr>
            </w:pPr>
            <w:r/>
          </w:p>
        </w:tc>
        <w:tc>
          <w:tcPr>
            <w:tcW w:w="690" w:type="dxa"/>
            <w:vAlign w:val="top"/>
            <w:vMerge w:val="continue"/>
            <w:tcBorders>
              <w:top w:val="nil"/>
            </w:tcBorders>
          </w:tcPr>
          <w:p>
            <w:pPr>
              <w:rPr>
                <w:rFonts w:ascii="Arial"/>
                <w:sz w:val="21"/>
              </w:rPr>
            </w:pPr>
            <w:r/>
          </w:p>
        </w:tc>
        <w:tc>
          <w:tcPr>
            <w:tcW w:w="700" w:type="dxa"/>
            <w:vAlign w:val="top"/>
          </w:tcPr>
          <w:p>
            <w:pPr>
              <w:pStyle w:val="TableText"/>
              <w:ind w:left="242" w:right="58" w:hanging="200"/>
              <w:spacing w:before="188" w:line="231" w:lineRule="auto"/>
              <w:rPr>
                <w:sz w:val="20"/>
                <w:szCs w:val="20"/>
              </w:rPr>
            </w:pPr>
            <w:r>
              <w:rPr>
                <w:sz w:val="20"/>
                <w:szCs w:val="20"/>
                <w:spacing w:val="-4"/>
              </w:rPr>
              <w:t>核算方</w:t>
            </w:r>
            <w:r>
              <w:rPr>
                <w:sz w:val="20"/>
                <w:szCs w:val="20"/>
              </w:rPr>
              <w:t xml:space="preserve"> </w:t>
            </w:r>
            <w:r>
              <w:rPr>
                <w:sz w:val="20"/>
                <w:szCs w:val="20"/>
              </w:rPr>
              <w:t>法</w:t>
            </w:r>
          </w:p>
        </w:tc>
        <w:tc>
          <w:tcPr>
            <w:tcW w:w="839" w:type="dxa"/>
            <w:vAlign w:val="top"/>
          </w:tcPr>
          <w:p>
            <w:pPr>
              <w:pStyle w:val="TableText"/>
              <w:ind w:left="112"/>
              <w:spacing w:before="39" w:line="219" w:lineRule="auto"/>
              <w:rPr>
                <w:sz w:val="20"/>
                <w:szCs w:val="20"/>
              </w:rPr>
            </w:pPr>
            <w:r>
              <w:rPr>
                <w:sz w:val="20"/>
                <w:szCs w:val="20"/>
                <w:spacing w:val="-2"/>
              </w:rPr>
              <w:t>废气产</w:t>
            </w:r>
          </w:p>
          <w:p>
            <w:pPr>
              <w:pStyle w:val="TableText"/>
              <w:ind w:left="212"/>
              <w:spacing w:before="58" w:line="267" w:lineRule="exact"/>
              <w:rPr>
                <w:sz w:val="20"/>
                <w:szCs w:val="20"/>
              </w:rPr>
            </w:pPr>
            <w:r>
              <w:rPr>
                <w:sz w:val="20"/>
                <w:szCs w:val="20"/>
                <w:spacing w:val="-3"/>
                <w:position w:val="4"/>
              </w:rPr>
              <w:t>生量</w:t>
            </w:r>
          </w:p>
          <w:p>
            <w:pPr>
              <w:pStyle w:val="TableText"/>
              <w:ind w:left="62"/>
              <w:spacing w:line="200" w:lineRule="auto"/>
              <w:rPr>
                <w:sz w:val="20"/>
                <w:szCs w:val="20"/>
              </w:rPr>
            </w:pPr>
            <w:r>
              <w:rPr>
                <w:sz w:val="20"/>
                <w:szCs w:val="20"/>
                <w:spacing w:val="-6"/>
              </w:rPr>
              <w:t>(m³/h)</w:t>
            </w:r>
          </w:p>
        </w:tc>
        <w:tc>
          <w:tcPr>
            <w:tcW w:w="720" w:type="dxa"/>
            <w:vAlign w:val="top"/>
          </w:tcPr>
          <w:p>
            <w:pPr>
              <w:pStyle w:val="TableText"/>
              <w:ind w:left="252" w:right="64" w:hanging="199"/>
              <w:spacing w:before="49" w:line="225" w:lineRule="auto"/>
              <w:rPr>
                <w:sz w:val="20"/>
                <w:szCs w:val="20"/>
              </w:rPr>
            </w:pPr>
            <w:r>
              <w:rPr>
                <w:sz w:val="20"/>
                <w:szCs w:val="20"/>
                <w:spacing w:val="-3"/>
              </w:rPr>
              <w:t>产生速</w:t>
            </w:r>
            <w:r>
              <w:rPr>
                <w:sz w:val="20"/>
                <w:szCs w:val="20"/>
              </w:rPr>
              <w:t xml:space="preserve"> </w:t>
            </w:r>
            <w:r>
              <w:rPr>
                <w:sz w:val="20"/>
                <w:szCs w:val="20"/>
              </w:rPr>
              <w:t>率</w:t>
            </w:r>
          </w:p>
          <w:p>
            <w:pPr>
              <w:pStyle w:val="TableText"/>
              <w:ind w:right="2"/>
              <w:spacing w:before="55" w:line="209" w:lineRule="auto"/>
              <w:jc w:val="right"/>
              <w:rPr>
                <w:sz w:val="20"/>
                <w:szCs w:val="20"/>
              </w:rPr>
            </w:pPr>
            <w:r>
              <w:rPr>
                <w:sz w:val="20"/>
                <w:szCs w:val="20"/>
                <w:spacing w:val="-6"/>
              </w:rPr>
              <w:t>(kg/h)</w:t>
            </w:r>
          </w:p>
        </w:tc>
        <w:tc>
          <w:tcPr>
            <w:tcW w:w="989" w:type="dxa"/>
            <w:vAlign w:val="top"/>
          </w:tcPr>
          <w:p>
            <w:pPr>
              <w:pStyle w:val="TableText"/>
              <w:ind w:left="83" w:right="103"/>
              <w:spacing w:before="167" w:line="229" w:lineRule="auto"/>
              <w:rPr>
                <w:sz w:val="20"/>
                <w:szCs w:val="20"/>
              </w:rPr>
            </w:pPr>
            <w:r>
              <w:rPr>
                <w:sz w:val="20"/>
                <w:szCs w:val="20"/>
                <w:spacing w:val="-2"/>
              </w:rPr>
              <w:t>产生浓度</w:t>
            </w:r>
            <w:r>
              <w:rPr>
                <w:sz w:val="20"/>
                <w:szCs w:val="20"/>
              </w:rPr>
              <w:t xml:space="preserve"> </w:t>
            </w:r>
            <w:r>
              <w:rPr>
                <w:sz w:val="20"/>
                <w:szCs w:val="20"/>
                <w:spacing w:val="-6"/>
              </w:rPr>
              <w:t>(mg/m³)</w:t>
            </w:r>
          </w:p>
        </w:tc>
        <w:tc>
          <w:tcPr>
            <w:tcW w:w="719" w:type="dxa"/>
            <w:vAlign w:val="top"/>
          </w:tcPr>
          <w:p>
            <w:pPr>
              <w:pStyle w:val="TableText"/>
              <w:ind w:left="104" w:right="62" w:hanging="50"/>
              <w:spacing w:before="178" w:line="256" w:lineRule="auto"/>
              <w:rPr>
                <w:sz w:val="20"/>
                <w:szCs w:val="20"/>
              </w:rPr>
            </w:pPr>
            <w:r>
              <w:rPr>
                <w:sz w:val="20"/>
                <w:szCs w:val="20"/>
                <w:spacing w:val="-3"/>
              </w:rPr>
              <w:t>产生量</w:t>
            </w:r>
            <w:r>
              <w:rPr>
                <w:sz w:val="20"/>
                <w:szCs w:val="20"/>
              </w:rPr>
              <w:t xml:space="preserve"> </w:t>
            </w:r>
            <w:r>
              <w:rPr>
                <w:sz w:val="20"/>
                <w:szCs w:val="20"/>
                <w:spacing w:val="-7"/>
              </w:rPr>
              <w:t>(t/a)</w:t>
            </w:r>
          </w:p>
        </w:tc>
        <w:tc>
          <w:tcPr>
            <w:tcW w:w="690" w:type="dxa"/>
            <w:vAlign w:val="top"/>
          </w:tcPr>
          <w:p>
            <w:pPr>
              <w:spacing w:line="263" w:lineRule="auto"/>
              <w:rPr>
                <w:rFonts w:ascii="Arial"/>
                <w:sz w:val="21"/>
              </w:rPr>
            </w:pPr>
            <w:r/>
          </w:p>
          <w:p>
            <w:pPr>
              <w:pStyle w:val="TableText"/>
              <w:ind w:left="134"/>
              <w:spacing w:before="65" w:line="229" w:lineRule="auto"/>
              <w:rPr>
                <w:sz w:val="20"/>
                <w:szCs w:val="20"/>
              </w:rPr>
            </w:pPr>
            <w:r>
              <w:rPr>
                <w:sz w:val="20"/>
                <w:szCs w:val="20"/>
                <w:spacing w:val="6"/>
              </w:rPr>
              <w:t>工艺</w:t>
            </w:r>
          </w:p>
        </w:tc>
        <w:tc>
          <w:tcPr>
            <w:tcW w:w="719" w:type="dxa"/>
            <w:vAlign w:val="top"/>
          </w:tcPr>
          <w:p>
            <w:pPr>
              <w:pStyle w:val="TableText"/>
              <w:ind w:left="155"/>
              <w:spacing w:before="168" w:line="314" w:lineRule="exact"/>
              <w:rPr>
                <w:sz w:val="20"/>
                <w:szCs w:val="20"/>
              </w:rPr>
            </w:pPr>
            <w:r>
              <w:rPr>
                <w:sz w:val="20"/>
                <w:szCs w:val="20"/>
                <w:spacing w:val="4"/>
                <w:position w:val="8"/>
              </w:rPr>
              <w:t>效率</w:t>
            </w:r>
          </w:p>
          <w:p>
            <w:pPr>
              <w:pStyle w:val="TableText"/>
              <w:ind w:left="205"/>
              <w:spacing w:line="222" w:lineRule="auto"/>
              <w:rPr>
                <w:sz w:val="20"/>
                <w:szCs w:val="20"/>
              </w:rPr>
            </w:pPr>
            <w:r>
              <w:rPr>
                <w:sz w:val="20"/>
                <w:szCs w:val="20"/>
                <w:spacing w:val="-10"/>
              </w:rPr>
              <w:t>(%)</w:t>
            </w:r>
          </w:p>
        </w:tc>
        <w:tc>
          <w:tcPr>
            <w:tcW w:w="720" w:type="dxa"/>
            <w:vAlign w:val="top"/>
          </w:tcPr>
          <w:p>
            <w:pPr>
              <w:pStyle w:val="TableText"/>
              <w:ind w:left="56"/>
              <w:spacing w:before="39" w:line="220" w:lineRule="auto"/>
              <w:rPr>
                <w:sz w:val="20"/>
                <w:szCs w:val="20"/>
              </w:rPr>
            </w:pPr>
            <w:r>
              <w:rPr>
                <w:sz w:val="20"/>
                <w:szCs w:val="20"/>
                <w:spacing w:val="3"/>
              </w:rPr>
              <w:t>是否为</w:t>
            </w:r>
          </w:p>
          <w:p>
            <w:pPr>
              <w:pStyle w:val="TableText"/>
              <w:ind w:left="56"/>
              <w:spacing w:before="51" w:line="220" w:lineRule="auto"/>
              <w:rPr>
                <w:sz w:val="20"/>
                <w:szCs w:val="20"/>
              </w:rPr>
            </w:pPr>
            <w:r>
              <w:rPr>
                <w:sz w:val="20"/>
                <w:szCs w:val="20"/>
                <w:spacing w:val="-3"/>
              </w:rPr>
              <w:t>可行技</w:t>
            </w:r>
          </w:p>
          <w:p>
            <w:pPr>
              <w:pStyle w:val="TableText"/>
              <w:ind w:left="256"/>
              <w:spacing w:before="21" w:line="212" w:lineRule="auto"/>
              <w:rPr>
                <w:sz w:val="20"/>
                <w:szCs w:val="20"/>
              </w:rPr>
            </w:pPr>
            <w:r>
              <w:rPr>
                <w:sz w:val="20"/>
                <w:szCs w:val="20"/>
              </w:rPr>
              <w:t>术</w:t>
            </w:r>
          </w:p>
        </w:tc>
        <w:tc>
          <w:tcPr>
            <w:tcW w:w="749" w:type="dxa"/>
            <w:vAlign w:val="top"/>
          </w:tcPr>
          <w:p>
            <w:pPr>
              <w:pStyle w:val="TableText"/>
              <w:ind w:left="66"/>
              <w:spacing w:before="50" w:line="221" w:lineRule="auto"/>
              <w:rPr>
                <w:sz w:val="20"/>
                <w:szCs w:val="20"/>
              </w:rPr>
            </w:pPr>
            <w:r>
              <w:rPr>
                <w:sz w:val="20"/>
                <w:szCs w:val="20"/>
                <w:spacing w:val="-2"/>
              </w:rPr>
              <w:t>排放速</w:t>
            </w:r>
          </w:p>
          <w:p>
            <w:pPr>
              <w:pStyle w:val="TableText"/>
              <w:ind w:left="266"/>
              <w:spacing w:before="49" w:line="219" w:lineRule="auto"/>
              <w:rPr>
                <w:sz w:val="20"/>
                <w:szCs w:val="20"/>
              </w:rPr>
            </w:pPr>
            <w:r>
              <w:rPr>
                <w:sz w:val="20"/>
                <w:szCs w:val="20"/>
              </w:rPr>
              <w:t>率</w:t>
            </w:r>
          </w:p>
          <w:p>
            <w:pPr>
              <w:pStyle w:val="TableText"/>
              <w:ind w:left="66"/>
              <w:spacing w:before="36" w:line="190" w:lineRule="auto"/>
              <w:rPr>
                <w:sz w:val="20"/>
                <w:szCs w:val="20"/>
              </w:rPr>
            </w:pPr>
            <w:r>
              <w:rPr>
                <w:sz w:val="20"/>
                <w:szCs w:val="20"/>
                <w:spacing w:val="-6"/>
              </w:rPr>
              <w:t>(kg/h)</w:t>
            </w:r>
          </w:p>
        </w:tc>
        <w:tc>
          <w:tcPr>
            <w:tcW w:w="999" w:type="dxa"/>
            <w:vAlign w:val="top"/>
          </w:tcPr>
          <w:p>
            <w:pPr>
              <w:pStyle w:val="TableText"/>
              <w:ind w:left="97" w:right="99"/>
              <w:spacing w:before="170" w:line="237" w:lineRule="auto"/>
              <w:rPr>
                <w:sz w:val="20"/>
                <w:szCs w:val="20"/>
              </w:rPr>
            </w:pPr>
            <w:r>
              <w:rPr>
                <w:sz w:val="20"/>
                <w:szCs w:val="20"/>
                <w:spacing w:val="-2"/>
              </w:rPr>
              <w:t>排放浓度</w:t>
            </w:r>
            <w:r>
              <w:rPr>
                <w:sz w:val="20"/>
                <w:szCs w:val="20"/>
              </w:rPr>
              <w:t xml:space="preserve"> </w:t>
            </w:r>
            <w:r>
              <w:rPr>
                <w:sz w:val="20"/>
                <w:szCs w:val="20"/>
                <w:spacing w:val="-6"/>
              </w:rPr>
              <w:t>(mg/m³)</w:t>
            </w:r>
          </w:p>
        </w:tc>
        <w:tc>
          <w:tcPr>
            <w:tcW w:w="839" w:type="dxa"/>
            <w:vAlign w:val="top"/>
          </w:tcPr>
          <w:p>
            <w:pPr>
              <w:pStyle w:val="TableText"/>
              <w:ind w:left="168" w:right="118" w:hanging="50"/>
              <w:spacing w:before="180" w:line="255" w:lineRule="auto"/>
              <w:rPr>
                <w:sz w:val="20"/>
                <w:szCs w:val="20"/>
              </w:rPr>
            </w:pPr>
            <w:r>
              <w:rPr>
                <w:sz w:val="20"/>
                <w:szCs w:val="20"/>
                <w:spacing w:val="-3"/>
              </w:rPr>
              <w:t>排放量</w:t>
            </w:r>
            <w:r>
              <w:rPr>
                <w:sz w:val="20"/>
                <w:szCs w:val="20"/>
              </w:rPr>
              <w:t xml:space="preserve"> </w:t>
            </w:r>
            <w:r>
              <w:rPr>
                <w:sz w:val="20"/>
                <w:szCs w:val="20"/>
                <w:spacing w:val="-7"/>
              </w:rPr>
              <w:t>(t/a)</w:t>
            </w:r>
          </w:p>
        </w:tc>
        <w:tc>
          <w:tcPr>
            <w:tcW w:w="690" w:type="dxa"/>
            <w:vAlign w:val="top"/>
          </w:tcPr>
          <w:p>
            <w:pPr>
              <w:pStyle w:val="TableText"/>
              <w:ind w:left="139"/>
              <w:spacing w:before="39" w:line="220" w:lineRule="auto"/>
              <w:rPr>
                <w:sz w:val="20"/>
                <w:szCs w:val="20"/>
              </w:rPr>
            </w:pPr>
            <w:r>
              <w:rPr>
                <w:sz w:val="20"/>
                <w:szCs w:val="20"/>
                <w:spacing w:val="-3"/>
              </w:rPr>
              <w:t>风量</w:t>
            </w:r>
          </w:p>
          <w:p>
            <w:pPr>
              <w:pStyle w:val="TableText"/>
              <w:ind w:left="289" w:right="63" w:hanging="130"/>
              <w:spacing w:before="53" w:line="225" w:lineRule="auto"/>
              <w:rPr>
                <w:sz w:val="20"/>
                <w:szCs w:val="20"/>
              </w:rPr>
            </w:pPr>
            <w:r>
              <w:rPr>
                <w:sz w:val="20"/>
                <w:szCs w:val="20"/>
                <w:spacing w:val="-9"/>
              </w:rPr>
              <w:t>(m³/h</w:t>
            </w:r>
            <w:r>
              <w:rPr>
                <w:sz w:val="20"/>
                <w:szCs w:val="20"/>
              </w:rPr>
              <w:t xml:space="preserve"> </w:t>
            </w:r>
            <w:r>
              <w:rPr>
                <w:sz w:val="20"/>
                <w:szCs w:val="20"/>
              </w:rPr>
              <w:t>)</w:t>
            </w:r>
          </w:p>
        </w:tc>
        <w:tc>
          <w:tcPr>
            <w:tcW w:w="670" w:type="dxa"/>
            <w:vAlign w:val="top"/>
          </w:tcPr>
          <w:p>
            <w:pPr>
              <w:pStyle w:val="TableText"/>
              <w:ind w:left="179" w:right="120" w:hanging="50"/>
              <w:spacing w:before="169" w:line="251" w:lineRule="auto"/>
              <w:rPr>
                <w:sz w:val="20"/>
                <w:szCs w:val="20"/>
              </w:rPr>
            </w:pPr>
            <w:r>
              <w:rPr>
                <w:sz w:val="20"/>
                <w:szCs w:val="20"/>
                <w:spacing w:val="5"/>
              </w:rPr>
              <w:t>内径</w:t>
            </w:r>
            <w:r>
              <w:rPr>
                <w:sz w:val="20"/>
                <w:szCs w:val="20"/>
              </w:rPr>
              <w:t xml:space="preserve"> </w:t>
            </w:r>
            <w:r>
              <w:rPr>
                <w:sz w:val="20"/>
                <w:szCs w:val="20"/>
                <w:spacing w:val="-10"/>
              </w:rPr>
              <w:t>(m)</w:t>
            </w:r>
          </w:p>
        </w:tc>
        <w:tc>
          <w:tcPr>
            <w:tcW w:w="590" w:type="dxa"/>
            <w:vAlign w:val="top"/>
          </w:tcPr>
          <w:p>
            <w:pPr>
              <w:pStyle w:val="TableText"/>
              <w:ind w:left="139" w:right="79" w:hanging="50"/>
              <w:spacing w:before="168" w:line="256" w:lineRule="auto"/>
              <w:rPr>
                <w:sz w:val="20"/>
                <w:szCs w:val="20"/>
              </w:rPr>
            </w:pPr>
            <w:r>
              <w:rPr>
                <w:sz w:val="20"/>
                <w:szCs w:val="20"/>
                <w:spacing w:val="5"/>
              </w:rPr>
              <w:t>高度</w:t>
            </w:r>
            <w:r>
              <w:rPr>
                <w:sz w:val="20"/>
                <w:szCs w:val="20"/>
              </w:rPr>
              <w:t xml:space="preserve"> </w:t>
            </w:r>
            <w:r>
              <w:rPr>
                <w:sz w:val="20"/>
                <w:szCs w:val="20"/>
                <w:spacing w:val="-10"/>
              </w:rPr>
              <w:t>(m)</w:t>
            </w:r>
          </w:p>
        </w:tc>
        <w:tc>
          <w:tcPr>
            <w:tcW w:w="720" w:type="dxa"/>
            <w:vAlign w:val="top"/>
          </w:tcPr>
          <w:p>
            <w:pPr>
              <w:spacing w:line="252" w:lineRule="auto"/>
              <w:rPr>
                <w:rFonts w:ascii="Arial"/>
                <w:sz w:val="21"/>
              </w:rPr>
            </w:pPr>
            <w:r/>
          </w:p>
          <w:p>
            <w:pPr>
              <w:pStyle w:val="TableText"/>
              <w:ind w:left="159"/>
              <w:spacing w:before="65" w:line="219" w:lineRule="auto"/>
              <w:rPr>
                <w:sz w:val="20"/>
                <w:szCs w:val="20"/>
              </w:rPr>
            </w:pPr>
            <w:r>
              <w:rPr>
                <w:sz w:val="20"/>
                <w:szCs w:val="20"/>
                <w:spacing w:val="6"/>
              </w:rPr>
              <w:t>编号</w:t>
            </w:r>
          </w:p>
        </w:tc>
        <w:tc>
          <w:tcPr>
            <w:tcW w:w="724" w:type="dxa"/>
            <w:vAlign w:val="top"/>
            <w:vMerge w:val="continue"/>
            <w:tcBorders>
              <w:top w:val="nil"/>
            </w:tcBorders>
          </w:tcPr>
          <w:p>
            <w:pPr>
              <w:rPr>
                <w:rFonts w:ascii="Arial"/>
                <w:sz w:val="21"/>
              </w:rPr>
            </w:pPr>
            <w:r/>
          </w:p>
        </w:tc>
      </w:tr>
      <w:tr>
        <w:trPr>
          <w:trHeight w:val="799" w:hRule="atLeast"/>
        </w:trPr>
        <w:tc>
          <w:tcPr>
            <w:tcW w:w="515" w:type="dxa"/>
            <w:vAlign w:val="top"/>
            <w:vMerge w:val="restart"/>
            <w:tcBorders>
              <w:bottom w:val="nil"/>
            </w:tcBorders>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pStyle w:val="TableText"/>
              <w:ind w:left="115" w:right="18" w:hanging="20"/>
              <w:spacing w:before="65" w:line="243" w:lineRule="auto"/>
              <w:rPr>
                <w:sz w:val="20"/>
                <w:szCs w:val="20"/>
              </w:rPr>
            </w:pPr>
            <w:r>
              <w:rPr>
                <w:sz w:val="20"/>
                <w:szCs w:val="20"/>
                <w:spacing w:val="-5"/>
              </w:rPr>
              <w:t>有组</w:t>
            </w:r>
            <w:r>
              <w:rPr>
                <w:sz w:val="20"/>
                <w:szCs w:val="20"/>
              </w:rPr>
              <w:t xml:space="preserve"> </w:t>
            </w:r>
            <w:r>
              <w:rPr>
                <w:sz w:val="20"/>
                <w:szCs w:val="20"/>
              </w:rPr>
              <w:t>织</w:t>
            </w:r>
          </w:p>
        </w:tc>
        <w:tc>
          <w:tcPr>
            <w:tcW w:w="719" w:type="dxa"/>
            <w:vAlign w:val="top"/>
            <w:vMerge w:val="restart"/>
            <w:tcBorders>
              <w:bottom w:val="nil"/>
            </w:tcBorders>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250" w:right="50" w:hanging="200"/>
              <w:spacing w:before="65" w:line="237" w:lineRule="auto"/>
              <w:rPr>
                <w:sz w:val="20"/>
                <w:szCs w:val="20"/>
              </w:rPr>
            </w:pPr>
            <w:r>
              <w:rPr>
                <w:sz w:val="20"/>
                <w:szCs w:val="20"/>
                <w:spacing w:val="2"/>
              </w:rPr>
              <w:t>凹版车</w:t>
            </w:r>
            <w:r>
              <w:rPr>
                <w:sz w:val="20"/>
                <w:szCs w:val="20"/>
                <w:spacing w:val="1"/>
              </w:rPr>
              <w:t xml:space="preserve"> </w:t>
            </w:r>
            <w:r>
              <w:rPr>
                <w:sz w:val="20"/>
                <w:szCs w:val="20"/>
              </w:rPr>
              <w:t>间</w:t>
            </w:r>
          </w:p>
        </w:tc>
        <w:tc>
          <w:tcPr>
            <w:tcW w:w="979" w:type="dxa"/>
            <w:vAlign w:val="top"/>
          </w:tcPr>
          <w:p>
            <w:pPr>
              <w:pStyle w:val="TableText"/>
              <w:ind w:left="81"/>
              <w:spacing w:before="50" w:line="220" w:lineRule="auto"/>
              <w:rPr>
                <w:sz w:val="20"/>
                <w:szCs w:val="20"/>
              </w:rPr>
            </w:pPr>
            <w:r>
              <w:rPr>
                <w:sz w:val="20"/>
                <w:szCs w:val="20"/>
                <w:spacing w:val="2"/>
              </w:rPr>
              <w:t>阴极片涂</w:t>
            </w:r>
          </w:p>
          <w:p>
            <w:pPr>
              <w:pStyle w:val="TableText"/>
              <w:ind w:left="31"/>
              <w:spacing w:before="49" w:line="219" w:lineRule="auto"/>
              <w:rPr>
                <w:sz w:val="20"/>
                <w:szCs w:val="20"/>
              </w:rPr>
            </w:pPr>
            <w:r>
              <w:rPr>
                <w:sz w:val="20"/>
                <w:szCs w:val="20"/>
                <w:spacing w:val="2"/>
              </w:rPr>
              <w:t>布+烘干线</w:t>
            </w:r>
          </w:p>
          <w:p>
            <w:pPr>
              <w:pStyle w:val="TableText"/>
              <w:ind w:left="431"/>
              <w:spacing w:before="44" w:line="168" w:lineRule="exact"/>
              <w:rPr>
                <w:sz w:val="20"/>
                <w:szCs w:val="20"/>
              </w:rPr>
            </w:pPr>
            <w:r>
              <w:rPr>
                <w:sz w:val="20"/>
                <w:szCs w:val="20"/>
                <w:position w:val="-2"/>
              </w:rPr>
              <w:t>1</w:t>
            </w:r>
          </w:p>
        </w:tc>
        <w:tc>
          <w:tcPr>
            <w:tcW w:w="690" w:type="dxa"/>
            <w:vAlign w:val="top"/>
            <w:vMerge w:val="restart"/>
            <w:tcBorders>
              <w:bottom w:val="nil"/>
            </w:tcBorders>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pStyle w:val="TableText"/>
              <w:ind w:left="131" w:right="59" w:hanging="100"/>
              <w:spacing w:before="65" w:line="235" w:lineRule="auto"/>
              <w:rPr>
                <w:sz w:val="20"/>
                <w:szCs w:val="20"/>
              </w:rPr>
            </w:pPr>
            <w:r>
              <w:rPr>
                <w:sz w:val="20"/>
                <w:szCs w:val="20"/>
                <w:spacing w:val="-4"/>
              </w:rPr>
              <w:t>非甲烷</w:t>
            </w:r>
            <w:r>
              <w:rPr>
                <w:sz w:val="20"/>
                <w:szCs w:val="20"/>
              </w:rPr>
              <w:t xml:space="preserve"> </w:t>
            </w:r>
            <w:r>
              <w:rPr>
                <w:sz w:val="20"/>
                <w:szCs w:val="20"/>
                <w:spacing w:val="3"/>
              </w:rPr>
              <w:t>总烃</w:t>
            </w:r>
          </w:p>
        </w:tc>
        <w:tc>
          <w:tcPr>
            <w:tcW w:w="700" w:type="dxa"/>
            <w:vAlign w:val="top"/>
            <w:vMerge w:val="restart"/>
            <w:tcBorders>
              <w:bottom w:val="nil"/>
            </w:tcBorders>
          </w:tcPr>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spacing w:before="61" w:line="219" w:lineRule="auto"/>
              <w:jc w:val="right"/>
              <w:rPr>
                <w:sz w:val="19"/>
                <w:szCs w:val="19"/>
              </w:rPr>
            </w:pPr>
            <w:r>
              <w:rPr>
                <w:sz w:val="19"/>
                <w:szCs w:val="19"/>
                <w:spacing w:val="-16"/>
                <w:w w:val="96"/>
              </w:rPr>
              <w:t>物料</w:t>
            </w:r>
            <w:r>
              <w:rPr>
                <w:sz w:val="19"/>
                <w:szCs w:val="19"/>
                <w:spacing w:val="-15"/>
                <w:w w:val="96"/>
              </w:rPr>
              <w:t>衡</w:t>
            </w:r>
            <w:r>
              <w:rPr>
                <w:sz w:val="19"/>
                <w:szCs w:val="19"/>
                <w:spacing w:val="-9"/>
                <w:w w:val="96"/>
              </w:rPr>
              <w:t>算</w:t>
            </w:r>
          </w:p>
        </w:tc>
        <w:tc>
          <w:tcPr>
            <w:tcW w:w="839" w:type="dxa"/>
            <w:vAlign w:val="top"/>
          </w:tcPr>
          <w:p>
            <w:pPr>
              <w:spacing w:line="283" w:lineRule="auto"/>
              <w:rPr>
                <w:rFonts w:ascii="Arial"/>
                <w:sz w:val="21"/>
              </w:rPr>
            </w:pPr>
            <w:r/>
          </w:p>
          <w:p>
            <w:pPr>
              <w:pStyle w:val="TableText"/>
              <w:ind w:left="162"/>
              <w:spacing w:before="65" w:line="184" w:lineRule="auto"/>
              <w:rPr>
                <w:sz w:val="20"/>
                <w:szCs w:val="20"/>
              </w:rPr>
            </w:pPr>
            <w:r>
              <w:rPr>
                <w:sz w:val="20"/>
                <w:szCs w:val="20"/>
                <w:spacing w:val="-2"/>
              </w:rPr>
              <w:t>81250</w:t>
            </w:r>
          </w:p>
        </w:tc>
        <w:tc>
          <w:tcPr>
            <w:tcW w:w="720" w:type="dxa"/>
            <w:vAlign w:val="top"/>
          </w:tcPr>
          <w:p>
            <w:pPr>
              <w:spacing w:line="283" w:lineRule="auto"/>
              <w:rPr>
                <w:rFonts w:ascii="Arial"/>
                <w:sz w:val="21"/>
              </w:rPr>
            </w:pPr>
            <w:r/>
          </w:p>
          <w:p>
            <w:pPr>
              <w:pStyle w:val="TableText"/>
              <w:ind w:left="53"/>
              <w:spacing w:before="65" w:line="184" w:lineRule="auto"/>
              <w:rPr>
                <w:sz w:val="20"/>
                <w:szCs w:val="20"/>
              </w:rPr>
            </w:pPr>
            <w:r>
              <w:rPr>
                <w:sz w:val="20"/>
                <w:szCs w:val="20"/>
                <w:spacing w:val="-2"/>
              </w:rPr>
              <w:t>350.91</w:t>
            </w:r>
          </w:p>
        </w:tc>
        <w:tc>
          <w:tcPr>
            <w:tcW w:w="989" w:type="dxa"/>
            <w:vAlign w:val="top"/>
          </w:tcPr>
          <w:p>
            <w:pPr>
              <w:spacing w:line="283" w:lineRule="auto"/>
              <w:rPr>
                <w:rFonts w:ascii="Arial"/>
                <w:sz w:val="21"/>
              </w:rPr>
            </w:pPr>
            <w:r/>
          </w:p>
          <w:p>
            <w:pPr>
              <w:pStyle w:val="TableText"/>
              <w:ind w:left="183"/>
              <w:spacing w:before="65" w:line="184" w:lineRule="auto"/>
              <w:rPr>
                <w:sz w:val="20"/>
                <w:szCs w:val="20"/>
              </w:rPr>
            </w:pPr>
            <w:r>
              <w:rPr>
                <w:sz w:val="20"/>
                <w:szCs w:val="20"/>
                <w:spacing w:val="-1"/>
              </w:rPr>
              <w:t>4319.0</w:t>
            </w:r>
          </w:p>
        </w:tc>
        <w:tc>
          <w:tcPr>
            <w:tcW w:w="719" w:type="dxa"/>
            <w:vAlign w:val="top"/>
          </w:tcPr>
          <w:p>
            <w:pPr>
              <w:spacing w:line="283" w:lineRule="auto"/>
              <w:rPr>
                <w:rFonts w:ascii="Arial"/>
                <w:sz w:val="21"/>
              </w:rPr>
            </w:pPr>
            <w:r/>
          </w:p>
          <w:p>
            <w:pPr>
              <w:pStyle w:val="TableText"/>
              <w:ind w:left="154"/>
              <w:spacing w:before="65" w:line="184" w:lineRule="auto"/>
              <w:rPr>
                <w:sz w:val="20"/>
                <w:szCs w:val="20"/>
              </w:rPr>
            </w:pPr>
            <w:r>
              <w:rPr>
                <w:sz w:val="20"/>
                <w:szCs w:val="20"/>
                <w:spacing w:val="-2"/>
              </w:rPr>
              <w:t>2316</w:t>
            </w:r>
          </w:p>
        </w:tc>
        <w:tc>
          <w:tcPr>
            <w:tcW w:w="690" w:type="dxa"/>
            <w:vAlign w:val="top"/>
            <w:vMerge w:val="restart"/>
            <w:tcBorders>
              <w:bottom w:val="nil"/>
            </w:tcBorders>
          </w:tcPr>
          <w:p>
            <w:pPr>
              <w:spacing w:line="317" w:lineRule="auto"/>
              <w:rPr>
                <w:rFonts w:ascii="Arial"/>
                <w:sz w:val="21"/>
              </w:rPr>
            </w:pPr>
            <w:r/>
          </w:p>
          <w:p>
            <w:pPr>
              <w:spacing w:line="317" w:lineRule="auto"/>
              <w:rPr>
                <w:rFonts w:ascii="Arial"/>
                <w:sz w:val="21"/>
              </w:rPr>
            </w:pPr>
            <w:r/>
          </w:p>
          <w:p>
            <w:pPr>
              <w:spacing w:line="318" w:lineRule="auto"/>
              <w:rPr>
                <w:rFonts w:ascii="Arial"/>
                <w:sz w:val="21"/>
              </w:rPr>
            </w:pPr>
            <w:r/>
          </w:p>
          <w:p>
            <w:pPr>
              <w:pStyle w:val="TableText"/>
              <w:ind w:left="35"/>
              <w:spacing w:before="65" w:line="221" w:lineRule="auto"/>
              <w:rPr>
                <w:sz w:val="20"/>
                <w:szCs w:val="20"/>
              </w:rPr>
            </w:pPr>
            <w:r>
              <w:rPr>
                <w:sz w:val="20"/>
                <w:szCs w:val="20"/>
                <w:spacing w:val="-3"/>
              </w:rPr>
              <w:t>二级冷</w:t>
            </w:r>
          </w:p>
          <w:p>
            <w:pPr>
              <w:pStyle w:val="TableText"/>
              <w:ind w:left="35"/>
              <w:spacing w:before="18" w:line="219" w:lineRule="auto"/>
              <w:rPr>
                <w:sz w:val="20"/>
                <w:szCs w:val="20"/>
              </w:rPr>
            </w:pPr>
            <w:r>
              <w:rPr>
                <w:sz w:val="20"/>
                <w:szCs w:val="20"/>
                <w:spacing w:val="-2"/>
              </w:rPr>
              <w:t>凝回收</w:t>
            </w:r>
          </w:p>
          <w:p>
            <w:pPr>
              <w:pStyle w:val="TableText"/>
              <w:ind w:left="85"/>
              <w:spacing w:before="23" w:line="221" w:lineRule="auto"/>
              <w:rPr>
                <w:sz w:val="20"/>
                <w:szCs w:val="20"/>
              </w:rPr>
            </w:pPr>
            <w:r>
              <w:rPr>
                <w:sz w:val="20"/>
                <w:szCs w:val="20"/>
                <w:spacing w:val="-2"/>
              </w:rPr>
              <w:t>+沸石</w:t>
            </w:r>
          </w:p>
          <w:p>
            <w:pPr>
              <w:pStyle w:val="TableText"/>
              <w:ind w:left="35"/>
              <w:spacing w:before="40" w:line="220" w:lineRule="auto"/>
              <w:rPr>
                <w:sz w:val="20"/>
                <w:szCs w:val="20"/>
              </w:rPr>
            </w:pPr>
            <w:r>
              <w:rPr>
                <w:sz w:val="20"/>
                <w:szCs w:val="20"/>
                <w:spacing w:val="-2"/>
              </w:rPr>
              <w:t>转轮吸</w:t>
            </w:r>
          </w:p>
          <w:p>
            <w:pPr>
              <w:pStyle w:val="TableText"/>
              <w:ind w:left="235"/>
              <w:spacing w:before="19" w:line="219" w:lineRule="auto"/>
              <w:rPr>
                <w:sz w:val="20"/>
                <w:szCs w:val="20"/>
              </w:rPr>
            </w:pPr>
            <w:r>
              <w:rPr>
                <w:sz w:val="20"/>
                <w:szCs w:val="20"/>
              </w:rPr>
              <w:t>附</w:t>
            </w:r>
          </w:p>
        </w:tc>
        <w:tc>
          <w:tcPr>
            <w:tcW w:w="719" w:type="dxa"/>
            <w:vAlign w:val="top"/>
            <w:vMerge w:val="restart"/>
            <w:tcBorders>
              <w:bottom w:val="nil"/>
            </w:tcBorders>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155"/>
              <w:spacing w:before="65" w:line="183" w:lineRule="auto"/>
              <w:rPr>
                <w:sz w:val="20"/>
                <w:szCs w:val="20"/>
              </w:rPr>
            </w:pPr>
            <w:r>
              <w:rPr>
                <w:sz w:val="20"/>
                <w:szCs w:val="20"/>
                <w:spacing w:val="-2"/>
              </w:rPr>
              <w:t>99.9</w:t>
            </w:r>
          </w:p>
        </w:tc>
        <w:tc>
          <w:tcPr>
            <w:tcW w:w="720" w:type="dxa"/>
            <w:vAlign w:val="top"/>
            <w:vMerge w:val="restart"/>
            <w:tcBorders>
              <w:bottom w:val="nil"/>
            </w:tcBorders>
          </w:tcPr>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256"/>
              <w:spacing w:before="65" w:line="223" w:lineRule="auto"/>
              <w:rPr>
                <w:sz w:val="20"/>
                <w:szCs w:val="20"/>
              </w:rPr>
            </w:pPr>
            <w:r>
              <w:rPr>
                <w:sz w:val="20"/>
                <w:szCs w:val="20"/>
              </w:rPr>
              <w:t>是</w:t>
            </w:r>
          </w:p>
        </w:tc>
        <w:tc>
          <w:tcPr>
            <w:tcW w:w="749"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116"/>
              <w:spacing w:before="65" w:line="184" w:lineRule="auto"/>
              <w:rPr>
                <w:sz w:val="20"/>
                <w:szCs w:val="20"/>
              </w:rPr>
            </w:pPr>
            <w:r>
              <w:rPr>
                <w:sz w:val="20"/>
                <w:szCs w:val="20"/>
                <w:spacing w:val="-2"/>
              </w:rPr>
              <w:t>0.145</w:t>
            </w:r>
          </w:p>
        </w:tc>
        <w:tc>
          <w:tcPr>
            <w:tcW w:w="999" w:type="dxa"/>
            <w:vAlign w:val="top"/>
            <w:vMerge w:val="restart"/>
            <w:tcBorders>
              <w:bottom w:val="nil"/>
            </w:tcBorders>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297"/>
              <w:spacing w:before="65" w:line="183" w:lineRule="auto"/>
              <w:rPr>
                <w:sz w:val="20"/>
                <w:szCs w:val="20"/>
              </w:rPr>
            </w:pPr>
            <w:r>
              <w:rPr>
                <w:sz w:val="20"/>
                <w:szCs w:val="20"/>
                <w:spacing w:val="-2"/>
              </w:rPr>
              <w:t>4.47</w:t>
            </w:r>
          </w:p>
        </w:tc>
        <w:tc>
          <w:tcPr>
            <w:tcW w:w="839" w:type="dxa"/>
            <w:vAlign w:val="top"/>
            <w:vMerge w:val="restart"/>
            <w:tcBorders>
              <w:bottom w:val="nil"/>
            </w:tcBorders>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168"/>
              <w:spacing w:before="65" w:line="183" w:lineRule="auto"/>
              <w:rPr>
                <w:sz w:val="20"/>
                <w:szCs w:val="20"/>
              </w:rPr>
            </w:pPr>
            <w:r>
              <w:rPr>
                <w:sz w:val="20"/>
                <w:szCs w:val="20"/>
                <w:spacing w:val="-2"/>
              </w:rPr>
              <w:t>0.960</w:t>
            </w:r>
          </w:p>
        </w:tc>
        <w:tc>
          <w:tcPr>
            <w:tcW w:w="690" w:type="dxa"/>
            <w:vAlign w:val="top"/>
            <w:vMerge w:val="restart"/>
            <w:tcBorders>
              <w:bottom w:val="nil"/>
            </w:tcBorders>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89"/>
              <w:spacing w:before="65" w:line="183" w:lineRule="auto"/>
              <w:rPr>
                <w:sz w:val="20"/>
                <w:szCs w:val="20"/>
              </w:rPr>
            </w:pPr>
            <w:r>
              <w:rPr>
                <w:sz w:val="20"/>
                <w:szCs w:val="20"/>
                <w:spacing w:val="-2"/>
              </w:rPr>
              <w:t>32500</w:t>
            </w:r>
          </w:p>
        </w:tc>
        <w:tc>
          <w:tcPr>
            <w:tcW w:w="670"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pStyle w:val="TableText"/>
              <w:ind w:left="169"/>
              <w:spacing w:before="52" w:line="184" w:lineRule="auto"/>
              <w:rPr>
                <w:sz w:val="16"/>
                <w:szCs w:val="16"/>
              </w:rPr>
            </w:pPr>
            <w:r>
              <w:rPr>
                <w:sz w:val="16"/>
                <w:szCs w:val="16"/>
                <w:spacing w:val="-5"/>
              </w:rPr>
              <w:t>1×1</w:t>
            </w:r>
          </w:p>
        </w:tc>
        <w:tc>
          <w:tcPr>
            <w:tcW w:w="590" w:type="dxa"/>
            <w:vAlign w:val="top"/>
            <w:vMerge w:val="restart"/>
            <w:tcBorders>
              <w:bottom w:val="nil"/>
            </w:tcBorders>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189"/>
              <w:spacing w:before="65" w:line="183" w:lineRule="auto"/>
              <w:rPr>
                <w:sz w:val="20"/>
                <w:szCs w:val="20"/>
              </w:rPr>
            </w:pPr>
            <w:r>
              <w:rPr>
                <w:sz w:val="20"/>
                <w:szCs w:val="20"/>
                <w:spacing w:val="-3"/>
              </w:rPr>
              <w:t>27</w:t>
            </w:r>
          </w:p>
        </w:tc>
        <w:tc>
          <w:tcPr>
            <w:tcW w:w="720"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108"/>
              <w:spacing w:before="65" w:line="185" w:lineRule="auto"/>
              <w:rPr>
                <w:sz w:val="20"/>
                <w:szCs w:val="20"/>
              </w:rPr>
            </w:pPr>
            <w:r>
              <w:rPr>
                <w:sz w:val="20"/>
                <w:szCs w:val="20"/>
                <w:spacing w:val="-1"/>
              </w:rPr>
              <w:t>DA026</w:t>
            </w:r>
          </w:p>
        </w:tc>
        <w:tc>
          <w:tcPr>
            <w:tcW w:w="724" w:type="dxa"/>
            <w:vAlign w:val="top"/>
            <w:vMerge w:val="restart"/>
            <w:tcBorders>
              <w:bottom w:val="nil"/>
            </w:tcBorders>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159"/>
              <w:spacing w:before="65" w:line="183" w:lineRule="auto"/>
              <w:rPr>
                <w:sz w:val="20"/>
                <w:szCs w:val="20"/>
              </w:rPr>
            </w:pPr>
            <w:r>
              <w:rPr>
                <w:sz w:val="20"/>
                <w:szCs w:val="20"/>
                <w:spacing w:val="-2"/>
              </w:rPr>
              <w:t>6600</w:t>
            </w:r>
          </w:p>
        </w:tc>
      </w:tr>
      <w:tr>
        <w:trPr>
          <w:trHeight w:val="808" w:hRule="atLeast"/>
        </w:trPr>
        <w:tc>
          <w:tcPr>
            <w:tcW w:w="515" w:type="dxa"/>
            <w:vAlign w:val="top"/>
            <w:vMerge w:val="continue"/>
            <w:tcBorders>
              <w:top w:val="nil"/>
              <w:bottom w:val="nil"/>
            </w:tcBorders>
          </w:tcPr>
          <w:p>
            <w:pPr>
              <w:rPr>
                <w:rFonts w:ascii="Arial"/>
                <w:sz w:val="21"/>
              </w:rPr>
            </w:pPr>
            <w:r/>
          </w:p>
        </w:tc>
        <w:tc>
          <w:tcPr>
            <w:tcW w:w="719" w:type="dxa"/>
            <w:vAlign w:val="top"/>
            <w:vMerge w:val="continue"/>
            <w:tcBorders>
              <w:top w:val="nil"/>
              <w:bottom w:val="nil"/>
            </w:tcBorders>
          </w:tcPr>
          <w:p>
            <w:pPr>
              <w:rPr>
                <w:rFonts w:ascii="Arial"/>
                <w:sz w:val="21"/>
              </w:rPr>
            </w:pPr>
            <w:r/>
          </w:p>
        </w:tc>
        <w:tc>
          <w:tcPr>
            <w:tcW w:w="979" w:type="dxa"/>
            <w:vAlign w:val="top"/>
          </w:tcPr>
          <w:p>
            <w:pPr>
              <w:pStyle w:val="TableText"/>
              <w:ind w:left="81"/>
              <w:spacing w:before="71" w:line="220" w:lineRule="auto"/>
              <w:rPr>
                <w:sz w:val="20"/>
                <w:szCs w:val="20"/>
              </w:rPr>
            </w:pPr>
            <w:r>
              <w:rPr>
                <w:sz w:val="20"/>
                <w:szCs w:val="20"/>
                <w:spacing w:val="2"/>
              </w:rPr>
              <w:t>阴极片涂</w:t>
            </w:r>
          </w:p>
          <w:p>
            <w:pPr>
              <w:pStyle w:val="TableText"/>
              <w:ind w:left="31"/>
              <w:spacing w:before="29" w:line="219" w:lineRule="auto"/>
              <w:rPr>
                <w:sz w:val="20"/>
                <w:szCs w:val="20"/>
              </w:rPr>
            </w:pPr>
            <w:r>
              <w:rPr>
                <w:sz w:val="20"/>
                <w:szCs w:val="20"/>
                <w:spacing w:val="2"/>
              </w:rPr>
              <w:t>布+烘干线</w:t>
            </w:r>
          </w:p>
          <w:p>
            <w:pPr>
              <w:pStyle w:val="TableText"/>
              <w:ind w:left="431"/>
              <w:spacing w:before="45" w:line="162" w:lineRule="auto"/>
              <w:rPr>
                <w:sz w:val="20"/>
                <w:szCs w:val="20"/>
              </w:rPr>
            </w:pPr>
            <w:r>
              <w:rPr>
                <w:sz w:val="20"/>
                <w:szCs w:val="20"/>
              </w:rPr>
              <w:t>2</w:t>
            </w:r>
          </w:p>
        </w:tc>
        <w:tc>
          <w:tcPr>
            <w:tcW w:w="690" w:type="dxa"/>
            <w:vAlign w:val="top"/>
            <w:vMerge w:val="continue"/>
            <w:tcBorders>
              <w:top w:val="nil"/>
              <w:bottom w:val="nil"/>
            </w:tcBorders>
          </w:tcPr>
          <w:p>
            <w:pPr>
              <w:rPr>
                <w:rFonts w:ascii="Arial"/>
                <w:sz w:val="21"/>
              </w:rPr>
            </w:pPr>
            <w:r/>
          </w:p>
        </w:tc>
        <w:tc>
          <w:tcPr>
            <w:tcW w:w="700" w:type="dxa"/>
            <w:vAlign w:val="top"/>
            <w:vMerge w:val="continue"/>
            <w:tcBorders>
              <w:top w:val="nil"/>
              <w:bottom w:val="nil"/>
            </w:tcBorders>
          </w:tcPr>
          <w:p>
            <w:pPr>
              <w:rPr>
                <w:rFonts w:ascii="Arial"/>
                <w:sz w:val="21"/>
              </w:rPr>
            </w:pPr>
            <w:r/>
          </w:p>
        </w:tc>
        <w:tc>
          <w:tcPr>
            <w:tcW w:w="839" w:type="dxa"/>
            <w:vAlign w:val="top"/>
          </w:tcPr>
          <w:p>
            <w:pPr>
              <w:spacing w:line="294" w:lineRule="auto"/>
              <w:rPr>
                <w:rFonts w:ascii="Arial"/>
                <w:sz w:val="21"/>
              </w:rPr>
            </w:pPr>
            <w:r/>
          </w:p>
          <w:p>
            <w:pPr>
              <w:pStyle w:val="TableText"/>
              <w:ind w:left="162"/>
              <w:spacing w:before="65" w:line="184" w:lineRule="auto"/>
              <w:rPr>
                <w:sz w:val="20"/>
                <w:szCs w:val="20"/>
              </w:rPr>
            </w:pPr>
            <w:r>
              <w:rPr>
                <w:sz w:val="20"/>
                <w:szCs w:val="20"/>
                <w:spacing w:val="-2"/>
              </w:rPr>
              <w:t>81250</w:t>
            </w:r>
          </w:p>
        </w:tc>
        <w:tc>
          <w:tcPr>
            <w:tcW w:w="720" w:type="dxa"/>
            <w:vAlign w:val="top"/>
          </w:tcPr>
          <w:p>
            <w:pPr>
              <w:spacing w:line="294" w:lineRule="auto"/>
              <w:rPr>
                <w:rFonts w:ascii="Arial"/>
                <w:sz w:val="21"/>
              </w:rPr>
            </w:pPr>
            <w:r/>
          </w:p>
          <w:p>
            <w:pPr>
              <w:pStyle w:val="TableText"/>
              <w:ind w:left="53"/>
              <w:spacing w:before="65" w:line="184" w:lineRule="auto"/>
              <w:rPr>
                <w:sz w:val="20"/>
                <w:szCs w:val="20"/>
              </w:rPr>
            </w:pPr>
            <w:r>
              <w:rPr>
                <w:sz w:val="20"/>
                <w:szCs w:val="20"/>
                <w:spacing w:val="-2"/>
              </w:rPr>
              <w:t>350.91</w:t>
            </w:r>
          </w:p>
        </w:tc>
        <w:tc>
          <w:tcPr>
            <w:tcW w:w="989" w:type="dxa"/>
            <w:vAlign w:val="top"/>
          </w:tcPr>
          <w:p>
            <w:pPr>
              <w:spacing w:line="294" w:lineRule="auto"/>
              <w:rPr>
                <w:rFonts w:ascii="Arial"/>
                <w:sz w:val="21"/>
              </w:rPr>
            </w:pPr>
            <w:r/>
          </w:p>
          <w:p>
            <w:pPr>
              <w:pStyle w:val="TableText"/>
              <w:ind w:left="183"/>
              <w:spacing w:before="65" w:line="184" w:lineRule="auto"/>
              <w:rPr>
                <w:sz w:val="20"/>
                <w:szCs w:val="20"/>
              </w:rPr>
            </w:pPr>
            <w:r>
              <w:rPr>
                <w:sz w:val="20"/>
                <w:szCs w:val="20"/>
                <w:spacing w:val="-1"/>
              </w:rPr>
              <w:t>4319.0</w:t>
            </w:r>
          </w:p>
        </w:tc>
        <w:tc>
          <w:tcPr>
            <w:tcW w:w="719" w:type="dxa"/>
            <w:vAlign w:val="top"/>
          </w:tcPr>
          <w:p>
            <w:pPr>
              <w:spacing w:line="294" w:lineRule="auto"/>
              <w:rPr>
                <w:rFonts w:ascii="Arial"/>
                <w:sz w:val="21"/>
              </w:rPr>
            </w:pPr>
            <w:r/>
          </w:p>
          <w:p>
            <w:pPr>
              <w:pStyle w:val="TableText"/>
              <w:ind w:left="154"/>
              <w:spacing w:before="65" w:line="184" w:lineRule="auto"/>
              <w:rPr>
                <w:sz w:val="20"/>
                <w:szCs w:val="20"/>
              </w:rPr>
            </w:pPr>
            <w:r>
              <w:rPr>
                <w:sz w:val="20"/>
                <w:szCs w:val="20"/>
                <w:spacing w:val="-2"/>
              </w:rPr>
              <w:t>2316</w:t>
            </w:r>
          </w:p>
        </w:tc>
        <w:tc>
          <w:tcPr>
            <w:tcW w:w="690" w:type="dxa"/>
            <w:vAlign w:val="top"/>
            <w:vMerge w:val="continue"/>
            <w:tcBorders>
              <w:top w:val="nil"/>
              <w:bottom w:val="nil"/>
            </w:tcBorders>
          </w:tcPr>
          <w:p>
            <w:pPr>
              <w:rPr>
                <w:rFonts w:ascii="Arial"/>
                <w:sz w:val="21"/>
              </w:rPr>
            </w:pPr>
            <w:r/>
          </w:p>
        </w:tc>
        <w:tc>
          <w:tcPr>
            <w:tcW w:w="719" w:type="dxa"/>
            <w:vAlign w:val="top"/>
            <w:vMerge w:val="continue"/>
            <w:tcBorders>
              <w:top w:val="nil"/>
              <w:bottom w:val="nil"/>
            </w:tcBorders>
          </w:tcPr>
          <w:p>
            <w:pPr>
              <w:rPr>
                <w:rFonts w:ascii="Arial"/>
                <w:sz w:val="21"/>
              </w:rPr>
            </w:pPr>
            <w:r/>
          </w:p>
        </w:tc>
        <w:tc>
          <w:tcPr>
            <w:tcW w:w="720" w:type="dxa"/>
            <w:vAlign w:val="top"/>
            <w:vMerge w:val="continue"/>
            <w:tcBorders>
              <w:top w:val="nil"/>
              <w:bottom w:val="nil"/>
            </w:tcBorders>
          </w:tcPr>
          <w:p>
            <w:pPr>
              <w:rPr>
                <w:rFonts w:ascii="Arial"/>
                <w:sz w:val="21"/>
              </w:rPr>
            </w:pPr>
            <w:r/>
          </w:p>
        </w:tc>
        <w:tc>
          <w:tcPr>
            <w:tcW w:w="749" w:type="dxa"/>
            <w:vAlign w:val="top"/>
            <w:vMerge w:val="continue"/>
            <w:tcBorders>
              <w:top w:val="nil"/>
              <w:bottom w:val="nil"/>
            </w:tcBorders>
          </w:tcPr>
          <w:p>
            <w:pPr>
              <w:rPr>
                <w:rFonts w:ascii="Arial"/>
                <w:sz w:val="21"/>
              </w:rPr>
            </w:pPr>
            <w:r/>
          </w:p>
        </w:tc>
        <w:tc>
          <w:tcPr>
            <w:tcW w:w="999" w:type="dxa"/>
            <w:vAlign w:val="top"/>
            <w:vMerge w:val="continue"/>
            <w:tcBorders>
              <w:top w:val="nil"/>
              <w:bottom w:val="nil"/>
            </w:tcBorders>
          </w:tcPr>
          <w:p>
            <w:pPr>
              <w:rPr>
                <w:rFonts w:ascii="Arial"/>
                <w:sz w:val="21"/>
              </w:rPr>
            </w:pPr>
            <w:r/>
          </w:p>
        </w:tc>
        <w:tc>
          <w:tcPr>
            <w:tcW w:w="839" w:type="dxa"/>
            <w:vAlign w:val="top"/>
            <w:vMerge w:val="continue"/>
            <w:tcBorders>
              <w:top w:val="nil"/>
              <w:bottom w:val="nil"/>
            </w:tcBorders>
          </w:tcPr>
          <w:p>
            <w:pPr>
              <w:rPr>
                <w:rFonts w:ascii="Arial"/>
                <w:sz w:val="21"/>
              </w:rPr>
            </w:pPr>
            <w:r/>
          </w:p>
        </w:tc>
        <w:tc>
          <w:tcPr>
            <w:tcW w:w="690" w:type="dxa"/>
            <w:vAlign w:val="top"/>
            <w:vMerge w:val="continue"/>
            <w:tcBorders>
              <w:top w:val="nil"/>
              <w:bottom w:val="nil"/>
            </w:tcBorders>
          </w:tcPr>
          <w:p>
            <w:pPr>
              <w:rPr>
                <w:rFonts w:ascii="Arial"/>
                <w:sz w:val="21"/>
              </w:rPr>
            </w:pPr>
            <w:r/>
          </w:p>
        </w:tc>
        <w:tc>
          <w:tcPr>
            <w:tcW w:w="670" w:type="dxa"/>
            <w:vAlign w:val="top"/>
            <w:vMerge w:val="continue"/>
            <w:tcBorders>
              <w:top w:val="nil"/>
              <w:bottom w:val="nil"/>
            </w:tcBorders>
          </w:tcPr>
          <w:p>
            <w:pPr>
              <w:rPr>
                <w:rFonts w:ascii="Arial"/>
                <w:sz w:val="21"/>
              </w:rPr>
            </w:pPr>
            <w:r/>
          </w:p>
        </w:tc>
        <w:tc>
          <w:tcPr>
            <w:tcW w:w="590" w:type="dxa"/>
            <w:vAlign w:val="top"/>
            <w:vMerge w:val="continue"/>
            <w:tcBorders>
              <w:top w:val="nil"/>
              <w:bottom w:val="nil"/>
            </w:tcBorders>
          </w:tcPr>
          <w:p>
            <w:pPr>
              <w:rPr>
                <w:rFonts w:ascii="Arial"/>
                <w:sz w:val="21"/>
              </w:rPr>
            </w:pPr>
            <w:r/>
          </w:p>
        </w:tc>
        <w:tc>
          <w:tcPr>
            <w:tcW w:w="720" w:type="dxa"/>
            <w:vAlign w:val="top"/>
            <w:vMerge w:val="continue"/>
            <w:tcBorders>
              <w:top w:val="nil"/>
              <w:bottom w:val="nil"/>
            </w:tcBorders>
          </w:tcPr>
          <w:p>
            <w:pPr>
              <w:rPr>
                <w:rFonts w:ascii="Arial"/>
                <w:sz w:val="21"/>
              </w:rPr>
            </w:pPr>
            <w:r/>
          </w:p>
        </w:tc>
        <w:tc>
          <w:tcPr>
            <w:tcW w:w="724" w:type="dxa"/>
            <w:vAlign w:val="top"/>
            <w:vMerge w:val="continue"/>
            <w:tcBorders>
              <w:top w:val="nil"/>
              <w:bottom w:val="nil"/>
            </w:tcBorders>
          </w:tcPr>
          <w:p>
            <w:pPr>
              <w:rPr>
                <w:rFonts w:ascii="Arial"/>
                <w:sz w:val="21"/>
              </w:rPr>
            </w:pPr>
            <w:r/>
          </w:p>
        </w:tc>
      </w:tr>
      <w:tr>
        <w:trPr>
          <w:trHeight w:val="829" w:hRule="atLeast"/>
        </w:trPr>
        <w:tc>
          <w:tcPr>
            <w:tcW w:w="515" w:type="dxa"/>
            <w:vAlign w:val="top"/>
            <w:vMerge w:val="continue"/>
            <w:tcBorders>
              <w:top w:val="nil"/>
              <w:bottom w:val="nil"/>
            </w:tcBorders>
          </w:tcPr>
          <w:p>
            <w:pPr>
              <w:rPr>
                <w:rFonts w:ascii="Arial"/>
                <w:sz w:val="21"/>
              </w:rPr>
            </w:pPr>
            <w:r/>
          </w:p>
        </w:tc>
        <w:tc>
          <w:tcPr>
            <w:tcW w:w="719" w:type="dxa"/>
            <w:vAlign w:val="top"/>
            <w:vMerge w:val="continue"/>
            <w:tcBorders>
              <w:top w:val="nil"/>
              <w:bottom w:val="nil"/>
            </w:tcBorders>
          </w:tcPr>
          <w:p>
            <w:pPr>
              <w:rPr>
                <w:rFonts w:ascii="Arial"/>
                <w:sz w:val="21"/>
              </w:rPr>
            </w:pPr>
            <w:r/>
          </w:p>
        </w:tc>
        <w:tc>
          <w:tcPr>
            <w:tcW w:w="979" w:type="dxa"/>
            <w:vAlign w:val="top"/>
          </w:tcPr>
          <w:p>
            <w:pPr>
              <w:pStyle w:val="TableText"/>
              <w:ind w:left="81"/>
              <w:spacing w:before="73" w:line="220" w:lineRule="auto"/>
              <w:rPr>
                <w:sz w:val="20"/>
                <w:szCs w:val="20"/>
              </w:rPr>
            </w:pPr>
            <w:r>
              <w:rPr>
                <w:sz w:val="20"/>
                <w:szCs w:val="20"/>
                <w:spacing w:val="2"/>
              </w:rPr>
              <w:t>阴极片涂</w:t>
            </w:r>
          </w:p>
          <w:p>
            <w:pPr>
              <w:pStyle w:val="TableText"/>
              <w:ind w:left="31"/>
              <w:spacing w:before="29" w:line="219" w:lineRule="auto"/>
              <w:rPr>
                <w:sz w:val="20"/>
                <w:szCs w:val="20"/>
              </w:rPr>
            </w:pPr>
            <w:r>
              <w:rPr>
                <w:sz w:val="20"/>
                <w:szCs w:val="20"/>
                <w:spacing w:val="2"/>
              </w:rPr>
              <w:t>布+烘干线</w:t>
            </w:r>
          </w:p>
          <w:p>
            <w:pPr>
              <w:pStyle w:val="TableText"/>
              <w:ind w:left="431"/>
              <w:spacing w:before="75" w:line="164" w:lineRule="exact"/>
              <w:rPr>
                <w:sz w:val="20"/>
                <w:szCs w:val="20"/>
              </w:rPr>
            </w:pPr>
            <w:r>
              <w:rPr>
                <w:sz w:val="20"/>
                <w:szCs w:val="20"/>
                <w:position w:val="-2"/>
              </w:rPr>
              <w:t>3</w:t>
            </w:r>
          </w:p>
        </w:tc>
        <w:tc>
          <w:tcPr>
            <w:tcW w:w="690" w:type="dxa"/>
            <w:vAlign w:val="top"/>
            <w:vMerge w:val="continue"/>
            <w:tcBorders>
              <w:top w:val="nil"/>
              <w:bottom w:val="nil"/>
            </w:tcBorders>
          </w:tcPr>
          <w:p>
            <w:pPr>
              <w:rPr>
                <w:rFonts w:ascii="Arial"/>
                <w:sz w:val="21"/>
              </w:rPr>
            </w:pPr>
            <w:r/>
          </w:p>
        </w:tc>
        <w:tc>
          <w:tcPr>
            <w:tcW w:w="700" w:type="dxa"/>
            <w:vAlign w:val="top"/>
            <w:vMerge w:val="continue"/>
            <w:tcBorders>
              <w:top w:val="nil"/>
              <w:bottom w:val="nil"/>
            </w:tcBorders>
          </w:tcPr>
          <w:p>
            <w:pPr>
              <w:rPr>
                <w:rFonts w:ascii="Arial"/>
                <w:sz w:val="21"/>
              </w:rPr>
            </w:pPr>
            <w:r/>
          </w:p>
        </w:tc>
        <w:tc>
          <w:tcPr>
            <w:tcW w:w="839" w:type="dxa"/>
            <w:vAlign w:val="top"/>
          </w:tcPr>
          <w:p>
            <w:pPr>
              <w:spacing w:line="306" w:lineRule="auto"/>
              <w:rPr>
                <w:rFonts w:ascii="Arial"/>
                <w:sz w:val="21"/>
              </w:rPr>
            </w:pPr>
            <w:r/>
          </w:p>
          <w:p>
            <w:pPr>
              <w:pStyle w:val="TableText"/>
              <w:ind w:left="162"/>
              <w:spacing w:before="65" w:line="184" w:lineRule="auto"/>
              <w:rPr>
                <w:sz w:val="20"/>
                <w:szCs w:val="20"/>
              </w:rPr>
            </w:pPr>
            <w:r>
              <w:rPr>
                <w:sz w:val="20"/>
                <w:szCs w:val="20"/>
                <w:spacing w:val="-2"/>
              </w:rPr>
              <w:t>81250</w:t>
            </w:r>
          </w:p>
        </w:tc>
        <w:tc>
          <w:tcPr>
            <w:tcW w:w="720" w:type="dxa"/>
            <w:vAlign w:val="top"/>
          </w:tcPr>
          <w:p>
            <w:pPr>
              <w:spacing w:line="306" w:lineRule="auto"/>
              <w:rPr>
                <w:rFonts w:ascii="Arial"/>
                <w:sz w:val="21"/>
              </w:rPr>
            </w:pPr>
            <w:r/>
          </w:p>
          <w:p>
            <w:pPr>
              <w:pStyle w:val="TableText"/>
              <w:ind w:left="53"/>
              <w:spacing w:before="65" w:line="184" w:lineRule="auto"/>
              <w:rPr>
                <w:sz w:val="20"/>
                <w:szCs w:val="20"/>
              </w:rPr>
            </w:pPr>
            <w:r>
              <w:rPr>
                <w:sz w:val="20"/>
                <w:szCs w:val="20"/>
                <w:spacing w:val="-2"/>
              </w:rPr>
              <w:t>350.91</w:t>
            </w:r>
          </w:p>
        </w:tc>
        <w:tc>
          <w:tcPr>
            <w:tcW w:w="989" w:type="dxa"/>
            <w:vAlign w:val="top"/>
          </w:tcPr>
          <w:p>
            <w:pPr>
              <w:spacing w:line="306" w:lineRule="auto"/>
              <w:rPr>
                <w:rFonts w:ascii="Arial"/>
                <w:sz w:val="21"/>
              </w:rPr>
            </w:pPr>
            <w:r/>
          </w:p>
          <w:p>
            <w:pPr>
              <w:pStyle w:val="TableText"/>
              <w:ind w:left="183"/>
              <w:spacing w:before="65" w:line="184" w:lineRule="auto"/>
              <w:rPr>
                <w:sz w:val="20"/>
                <w:szCs w:val="20"/>
              </w:rPr>
            </w:pPr>
            <w:r>
              <w:rPr>
                <w:sz w:val="20"/>
                <w:szCs w:val="20"/>
                <w:spacing w:val="-1"/>
              </w:rPr>
              <w:t>4319.0</w:t>
            </w:r>
          </w:p>
        </w:tc>
        <w:tc>
          <w:tcPr>
            <w:tcW w:w="719" w:type="dxa"/>
            <w:vAlign w:val="top"/>
          </w:tcPr>
          <w:p>
            <w:pPr>
              <w:spacing w:line="306" w:lineRule="auto"/>
              <w:rPr>
                <w:rFonts w:ascii="Arial"/>
                <w:sz w:val="21"/>
              </w:rPr>
            </w:pPr>
            <w:r/>
          </w:p>
          <w:p>
            <w:pPr>
              <w:pStyle w:val="TableText"/>
              <w:ind w:left="154"/>
              <w:spacing w:before="65" w:line="184" w:lineRule="auto"/>
              <w:rPr>
                <w:sz w:val="20"/>
                <w:szCs w:val="20"/>
              </w:rPr>
            </w:pPr>
            <w:r>
              <w:rPr>
                <w:sz w:val="20"/>
                <w:szCs w:val="20"/>
                <w:spacing w:val="-2"/>
              </w:rPr>
              <w:t>2316</w:t>
            </w:r>
          </w:p>
        </w:tc>
        <w:tc>
          <w:tcPr>
            <w:tcW w:w="690" w:type="dxa"/>
            <w:vAlign w:val="top"/>
            <w:vMerge w:val="continue"/>
            <w:tcBorders>
              <w:top w:val="nil"/>
              <w:bottom w:val="nil"/>
            </w:tcBorders>
          </w:tcPr>
          <w:p>
            <w:pPr>
              <w:rPr>
                <w:rFonts w:ascii="Arial"/>
                <w:sz w:val="21"/>
              </w:rPr>
            </w:pPr>
            <w:r/>
          </w:p>
        </w:tc>
        <w:tc>
          <w:tcPr>
            <w:tcW w:w="719" w:type="dxa"/>
            <w:vAlign w:val="top"/>
            <w:vMerge w:val="continue"/>
            <w:tcBorders>
              <w:top w:val="nil"/>
              <w:bottom w:val="nil"/>
            </w:tcBorders>
          </w:tcPr>
          <w:p>
            <w:pPr>
              <w:rPr>
                <w:rFonts w:ascii="Arial"/>
                <w:sz w:val="21"/>
              </w:rPr>
            </w:pPr>
            <w:r/>
          </w:p>
        </w:tc>
        <w:tc>
          <w:tcPr>
            <w:tcW w:w="720" w:type="dxa"/>
            <w:vAlign w:val="top"/>
            <w:vMerge w:val="continue"/>
            <w:tcBorders>
              <w:top w:val="nil"/>
              <w:bottom w:val="nil"/>
            </w:tcBorders>
          </w:tcPr>
          <w:p>
            <w:pPr>
              <w:rPr>
                <w:rFonts w:ascii="Arial"/>
                <w:sz w:val="21"/>
              </w:rPr>
            </w:pPr>
            <w:r/>
          </w:p>
        </w:tc>
        <w:tc>
          <w:tcPr>
            <w:tcW w:w="749" w:type="dxa"/>
            <w:vAlign w:val="top"/>
            <w:vMerge w:val="continue"/>
            <w:tcBorders>
              <w:top w:val="nil"/>
              <w:bottom w:val="nil"/>
            </w:tcBorders>
          </w:tcPr>
          <w:p>
            <w:pPr>
              <w:rPr>
                <w:rFonts w:ascii="Arial"/>
                <w:sz w:val="21"/>
              </w:rPr>
            </w:pPr>
            <w:r/>
          </w:p>
        </w:tc>
        <w:tc>
          <w:tcPr>
            <w:tcW w:w="999" w:type="dxa"/>
            <w:vAlign w:val="top"/>
            <w:vMerge w:val="continue"/>
            <w:tcBorders>
              <w:top w:val="nil"/>
              <w:bottom w:val="nil"/>
            </w:tcBorders>
          </w:tcPr>
          <w:p>
            <w:pPr>
              <w:rPr>
                <w:rFonts w:ascii="Arial"/>
                <w:sz w:val="21"/>
              </w:rPr>
            </w:pPr>
            <w:r/>
          </w:p>
        </w:tc>
        <w:tc>
          <w:tcPr>
            <w:tcW w:w="839" w:type="dxa"/>
            <w:vAlign w:val="top"/>
            <w:vMerge w:val="continue"/>
            <w:tcBorders>
              <w:top w:val="nil"/>
              <w:bottom w:val="nil"/>
            </w:tcBorders>
          </w:tcPr>
          <w:p>
            <w:pPr>
              <w:rPr>
                <w:rFonts w:ascii="Arial"/>
                <w:sz w:val="21"/>
              </w:rPr>
            </w:pPr>
            <w:r/>
          </w:p>
        </w:tc>
        <w:tc>
          <w:tcPr>
            <w:tcW w:w="690" w:type="dxa"/>
            <w:vAlign w:val="top"/>
            <w:vMerge w:val="continue"/>
            <w:tcBorders>
              <w:top w:val="nil"/>
              <w:bottom w:val="nil"/>
            </w:tcBorders>
          </w:tcPr>
          <w:p>
            <w:pPr>
              <w:rPr>
                <w:rFonts w:ascii="Arial"/>
                <w:sz w:val="21"/>
              </w:rPr>
            </w:pPr>
            <w:r/>
          </w:p>
        </w:tc>
        <w:tc>
          <w:tcPr>
            <w:tcW w:w="670" w:type="dxa"/>
            <w:vAlign w:val="top"/>
            <w:vMerge w:val="continue"/>
            <w:tcBorders>
              <w:top w:val="nil"/>
              <w:bottom w:val="nil"/>
            </w:tcBorders>
          </w:tcPr>
          <w:p>
            <w:pPr>
              <w:rPr>
                <w:rFonts w:ascii="Arial"/>
                <w:sz w:val="21"/>
              </w:rPr>
            </w:pPr>
            <w:r/>
          </w:p>
        </w:tc>
        <w:tc>
          <w:tcPr>
            <w:tcW w:w="590" w:type="dxa"/>
            <w:vAlign w:val="top"/>
            <w:vMerge w:val="continue"/>
            <w:tcBorders>
              <w:top w:val="nil"/>
              <w:bottom w:val="nil"/>
            </w:tcBorders>
          </w:tcPr>
          <w:p>
            <w:pPr>
              <w:rPr>
                <w:rFonts w:ascii="Arial"/>
                <w:sz w:val="21"/>
              </w:rPr>
            </w:pPr>
            <w:r/>
          </w:p>
        </w:tc>
        <w:tc>
          <w:tcPr>
            <w:tcW w:w="720" w:type="dxa"/>
            <w:vAlign w:val="top"/>
            <w:vMerge w:val="continue"/>
            <w:tcBorders>
              <w:top w:val="nil"/>
              <w:bottom w:val="nil"/>
            </w:tcBorders>
          </w:tcPr>
          <w:p>
            <w:pPr>
              <w:rPr>
                <w:rFonts w:ascii="Arial"/>
                <w:sz w:val="21"/>
              </w:rPr>
            </w:pPr>
            <w:r/>
          </w:p>
        </w:tc>
        <w:tc>
          <w:tcPr>
            <w:tcW w:w="724" w:type="dxa"/>
            <w:vAlign w:val="top"/>
            <w:vMerge w:val="continue"/>
            <w:tcBorders>
              <w:top w:val="nil"/>
              <w:bottom w:val="nil"/>
            </w:tcBorders>
          </w:tcPr>
          <w:p>
            <w:pPr>
              <w:rPr>
                <w:rFonts w:ascii="Arial"/>
                <w:sz w:val="21"/>
              </w:rPr>
            </w:pPr>
            <w:r/>
          </w:p>
        </w:tc>
      </w:tr>
      <w:tr>
        <w:trPr>
          <w:trHeight w:val="809" w:hRule="atLeast"/>
        </w:trPr>
        <w:tc>
          <w:tcPr>
            <w:tcW w:w="515" w:type="dxa"/>
            <w:vAlign w:val="top"/>
            <w:vMerge w:val="continue"/>
            <w:tcBorders>
              <w:top w:val="nil"/>
              <w:bottom w:val="nil"/>
            </w:tcBorders>
          </w:tcPr>
          <w:p>
            <w:pPr>
              <w:rPr>
                <w:rFonts w:ascii="Arial"/>
                <w:sz w:val="21"/>
              </w:rPr>
            </w:pPr>
            <w:r/>
          </w:p>
        </w:tc>
        <w:tc>
          <w:tcPr>
            <w:tcW w:w="719" w:type="dxa"/>
            <w:vAlign w:val="top"/>
            <w:vMerge w:val="continue"/>
            <w:tcBorders>
              <w:top w:val="nil"/>
            </w:tcBorders>
          </w:tcPr>
          <w:p>
            <w:pPr>
              <w:rPr>
                <w:rFonts w:ascii="Arial"/>
                <w:sz w:val="21"/>
              </w:rPr>
            </w:pPr>
            <w:r/>
          </w:p>
        </w:tc>
        <w:tc>
          <w:tcPr>
            <w:tcW w:w="979" w:type="dxa"/>
            <w:vAlign w:val="top"/>
          </w:tcPr>
          <w:p>
            <w:pPr>
              <w:pStyle w:val="TableText"/>
              <w:ind w:left="81"/>
              <w:spacing w:before="44" w:line="220" w:lineRule="auto"/>
              <w:rPr>
                <w:sz w:val="20"/>
                <w:szCs w:val="20"/>
              </w:rPr>
            </w:pPr>
            <w:r>
              <w:rPr>
                <w:sz w:val="20"/>
                <w:szCs w:val="20"/>
                <w:spacing w:val="2"/>
              </w:rPr>
              <w:t>阴极片涂</w:t>
            </w:r>
          </w:p>
          <w:p>
            <w:pPr>
              <w:pStyle w:val="TableText"/>
              <w:ind w:left="31"/>
              <w:spacing w:before="49" w:line="219" w:lineRule="auto"/>
              <w:rPr>
                <w:sz w:val="20"/>
                <w:szCs w:val="20"/>
              </w:rPr>
            </w:pPr>
            <w:r>
              <w:rPr>
                <w:sz w:val="20"/>
                <w:szCs w:val="20"/>
                <w:spacing w:val="2"/>
              </w:rPr>
              <w:t>布+烘干线</w:t>
            </w:r>
          </w:p>
          <w:p>
            <w:pPr>
              <w:pStyle w:val="TableText"/>
              <w:ind w:left="431"/>
              <w:spacing w:before="75" w:line="153" w:lineRule="exact"/>
              <w:rPr>
                <w:sz w:val="20"/>
                <w:szCs w:val="20"/>
              </w:rPr>
            </w:pPr>
            <w:r>
              <w:rPr>
                <w:sz w:val="20"/>
                <w:szCs w:val="20"/>
                <w:position w:val="-2"/>
              </w:rPr>
              <w:t>4</w:t>
            </w:r>
          </w:p>
        </w:tc>
        <w:tc>
          <w:tcPr>
            <w:tcW w:w="690" w:type="dxa"/>
            <w:vAlign w:val="top"/>
            <w:vMerge w:val="continue"/>
            <w:tcBorders>
              <w:top w:val="nil"/>
            </w:tcBorders>
          </w:tcPr>
          <w:p>
            <w:pPr>
              <w:rPr>
                <w:rFonts w:ascii="Arial"/>
                <w:sz w:val="21"/>
              </w:rPr>
            </w:pPr>
            <w:r/>
          </w:p>
        </w:tc>
        <w:tc>
          <w:tcPr>
            <w:tcW w:w="700" w:type="dxa"/>
            <w:vAlign w:val="top"/>
            <w:vMerge w:val="continue"/>
            <w:tcBorders>
              <w:top w:val="nil"/>
            </w:tcBorders>
          </w:tcPr>
          <w:p>
            <w:pPr>
              <w:rPr>
                <w:rFonts w:ascii="Arial"/>
                <w:sz w:val="21"/>
              </w:rPr>
            </w:pPr>
            <w:r/>
          </w:p>
        </w:tc>
        <w:tc>
          <w:tcPr>
            <w:tcW w:w="839" w:type="dxa"/>
            <w:vAlign w:val="top"/>
          </w:tcPr>
          <w:p>
            <w:pPr>
              <w:spacing w:line="297" w:lineRule="auto"/>
              <w:rPr>
                <w:rFonts w:ascii="Arial"/>
                <w:sz w:val="21"/>
              </w:rPr>
            </w:pPr>
            <w:r/>
          </w:p>
          <w:p>
            <w:pPr>
              <w:pStyle w:val="TableText"/>
              <w:ind w:left="162"/>
              <w:spacing w:before="65" w:line="184" w:lineRule="auto"/>
              <w:rPr>
                <w:sz w:val="20"/>
                <w:szCs w:val="20"/>
              </w:rPr>
            </w:pPr>
            <w:r>
              <w:rPr>
                <w:sz w:val="20"/>
                <w:szCs w:val="20"/>
                <w:spacing w:val="-2"/>
              </w:rPr>
              <w:t>81250</w:t>
            </w:r>
          </w:p>
        </w:tc>
        <w:tc>
          <w:tcPr>
            <w:tcW w:w="720" w:type="dxa"/>
            <w:vAlign w:val="top"/>
          </w:tcPr>
          <w:p>
            <w:pPr>
              <w:spacing w:line="297" w:lineRule="auto"/>
              <w:rPr>
                <w:rFonts w:ascii="Arial"/>
                <w:sz w:val="21"/>
              </w:rPr>
            </w:pPr>
            <w:r/>
          </w:p>
          <w:p>
            <w:pPr>
              <w:pStyle w:val="TableText"/>
              <w:ind w:left="53"/>
              <w:spacing w:before="65" w:line="184" w:lineRule="auto"/>
              <w:rPr>
                <w:sz w:val="20"/>
                <w:szCs w:val="20"/>
              </w:rPr>
            </w:pPr>
            <w:r>
              <w:rPr>
                <w:sz w:val="20"/>
                <w:szCs w:val="20"/>
                <w:spacing w:val="-2"/>
              </w:rPr>
              <w:t>350.91</w:t>
            </w:r>
          </w:p>
        </w:tc>
        <w:tc>
          <w:tcPr>
            <w:tcW w:w="989" w:type="dxa"/>
            <w:vAlign w:val="top"/>
          </w:tcPr>
          <w:p>
            <w:pPr>
              <w:spacing w:line="297" w:lineRule="auto"/>
              <w:rPr>
                <w:rFonts w:ascii="Arial"/>
                <w:sz w:val="21"/>
              </w:rPr>
            </w:pPr>
            <w:r/>
          </w:p>
          <w:p>
            <w:pPr>
              <w:pStyle w:val="TableText"/>
              <w:ind w:left="183"/>
              <w:spacing w:before="65" w:line="184" w:lineRule="auto"/>
              <w:rPr>
                <w:sz w:val="20"/>
                <w:szCs w:val="20"/>
              </w:rPr>
            </w:pPr>
            <w:r>
              <w:rPr>
                <w:sz w:val="20"/>
                <w:szCs w:val="20"/>
                <w:spacing w:val="-1"/>
              </w:rPr>
              <w:t>4319.0</w:t>
            </w:r>
          </w:p>
        </w:tc>
        <w:tc>
          <w:tcPr>
            <w:tcW w:w="719" w:type="dxa"/>
            <w:vAlign w:val="top"/>
          </w:tcPr>
          <w:p>
            <w:pPr>
              <w:spacing w:line="297" w:lineRule="auto"/>
              <w:rPr>
                <w:rFonts w:ascii="Arial"/>
                <w:sz w:val="21"/>
              </w:rPr>
            </w:pPr>
            <w:r/>
          </w:p>
          <w:p>
            <w:pPr>
              <w:pStyle w:val="TableText"/>
              <w:ind w:left="154"/>
              <w:spacing w:before="65" w:line="184" w:lineRule="auto"/>
              <w:rPr>
                <w:sz w:val="20"/>
                <w:szCs w:val="20"/>
              </w:rPr>
            </w:pPr>
            <w:r>
              <w:rPr>
                <w:sz w:val="20"/>
                <w:szCs w:val="20"/>
                <w:spacing w:val="-2"/>
              </w:rPr>
              <w:t>2316</w:t>
            </w:r>
          </w:p>
        </w:tc>
        <w:tc>
          <w:tcPr>
            <w:tcW w:w="690" w:type="dxa"/>
            <w:vAlign w:val="top"/>
            <w:vMerge w:val="continue"/>
            <w:tcBorders>
              <w:top w:val="nil"/>
            </w:tcBorders>
          </w:tcPr>
          <w:p>
            <w:pPr>
              <w:rPr>
                <w:rFonts w:ascii="Arial"/>
                <w:sz w:val="21"/>
              </w:rPr>
            </w:pPr>
            <w:r/>
          </w:p>
        </w:tc>
        <w:tc>
          <w:tcPr>
            <w:tcW w:w="719" w:type="dxa"/>
            <w:vAlign w:val="top"/>
            <w:vMerge w:val="continue"/>
            <w:tcBorders>
              <w:top w:val="nil"/>
            </w:tcBorders>
          </w:tcPr>
          <w:p>
            <w:pPr>
              <w:rPr>
                <w:rFonts w:ascii="Arial"/>
                <w:sz w:val="21"/>
              </w:rPr>
            </w:pPr>
            <w:r/>
          </w:p>
        </w:tc>
        <w:tc>
          <w:tcPr>
            <w:tcW w:w="720" w:type="dxa"/>
            <w:vAlign w:val="top"/>
            <w:vMerge w:val="continue"/>
            <w:tcBorders>
              <w:top w:val="nil"/>
            </w:tcBorders>
          </w:tcPr>
          <w:p>
            <w:pPr>
              <w:rPr>
                <w:rFonts w:ascii="Arial"/>
                <w:sz w:val="21"/>
              </w:rPr>
            </w:pPr>
            <w:r/>
          </w:p>
        </w:tc>
        <w:tc>
          <w:tcPr>
            <w:tcW w:w="749" w:type="dxa"/>
            <w:vAlign w:val="top"/>
            <w:vMerge w:val="continue"/>
            <w:tcBorders>
              <w:top w:val="nil"/>
            </w:tcBorders>
          </w:tcPr>
          <w:p>
            <w:pPr>
              <w:rPr>
                <w:rFonts w:ascii="Arial"/>
                <w:sz w:val="21"/>
              </w:rPr>
            </w:pPr>
            <w:r/>
          </w:p>
        </w:tc>
        <w:tc>
          <w:tcPr>
            <w:tcW w:w="999" w:type="dxa"/>
            <w:vAlign w:val="top"/>
            <w:vMerge w:val="continue"/>
            <w:tcBorders>
              <w:top w:val="nil"/>
            </w:tcBorders>
          </w:tcPr>
          <w:p>
            <w:pPr>
              <w:rPr>
                <w:rFonts w:ascii="Arial"/>
                <w:sz w:val="21"/>
              </w:rPr>
            </w:pPr>
            <w:r/>
          </w:p>
        </w:tc>
        <w:tc>
          <w:tcPr>
            <w:tcW w:w="839" w:type="dxa"/>
            <w:vAlign w:val="top"/>
            <w:vMerge w:val="continue"/>
            <w:tcBorders>
              <w:top w:val="nil"/>
            </w:tcBorders>
          </w:tcPr>
          <w:p>
            <w:pPr>
              <w:rPr>
                <w:rFonts w:ascii="Arial"/>
                <w:sz w:val="21"/>
              </w:rPr>
            </w:pPr>
            <w:r/>
          </w:p>
        </w:tc>
        <w:tc>
          <w:tcPr>
            <w:tcW w:w="690" w:type="dxa"/>
            <w:vAlign w:val="top"/>
            <w:vMerge w:val="continue"/>
            <w:tcBorders>
              <w:top w:val="nil"/>
            </w:tcBorders>
          </w:tcPr>
          <w:p>
            <w:pPr>
              <w:rPr>
                <w:rFonts w:ascii="Arial"/>
                <w:sz w:val="21"/>
              </w:rPr>
            </w:pPr>
            <w:r/>
          </w:p>
        </w:tc>
        <w:tc>
          <w:tcPr>
            <w:tcW w:w="670" w:type="dxa"/>
            <w:vAlign w:val="top"/>
            <w:vMerge w:val="continue"/>
            <w:tcBorders>
              <w:top w:val="nil"/>
            </w:tcBorders>
          </w:tcPr>
          <w:p>
            <w:pPr>
              <w:rPr>
                <w:rFonts w:ascii="Arial"/>
                <w:sz w:val="21"/>
              </w:rPr>
            </w:pPr>
            <w:r/>
          </w:p>
        </w:tc>
        <w:tc>
          <w:tcPr>
            <w:tcW w:w="590" w:type="dxa"/>
            <w:vAlign w:val="top"/>
            <w:vMerge w:val="continue"/>
            <w:tcBorders>
              <w:top w:val="nil"/>
            </w:tcBorders>
          </w:tcPr>
          <w:p>
            <w:pPr>
              <w:rPr>
                <w:rFonts w:ascii="Arial"/>
                <w:sz w:val="21"/>
              </w:rPr>
            </w:pPr>
            <w:r/>
          </w:p>
        </w:tc>
        <w:tc>
          <w:tcPr>
            <w:tcW w:w="720" w:type="dxa"/>
            <w:vAlign w:val="top"/>
            <w:vMerge w:val="continue"/>
            <w:tcBorders>
              <w:top w:val="nil"/>
            </w:tcBorders>
          </w:tcPr>
          <w:p>
            <w:pPr>
              <w:rPr>
                <w:rFonts w:ascii="Arial"/>
                <w:sz w:val="21"/>
              </w:rPr>
            </w:pPr>
            <w:r/>
          </w:p>
        </w:tc>
        <w:tc>
          <w:tcPr>
            <w:tcW w:w="724" w:type="dxa"/>
            <w:vAlign w:val="top"/>
            <w:vMerge w:val="continue"/>
            <w:tcBorders>
              <w:top w:val="nil"/>
            </w:tcBorders>
          </w:tcPr>
          <w:p>
            <w:pPr>
              <w:rPr>
                <w:rFonts w:ascii="Arial"/>
                <w:sz w:val="21"/>
              </w:rPr>
            </w:pPr>
            <w:r/>
          </w:p>
        </w:tc>
      </w:tr>
      <w:tr>
        <w:trPr>
          <w:trHeight w:val="319" w:hRule="atLeast"/>
        </w:trPr>
        <w:tc>
          <w:tcPr>
            <w:tcW w:w="515" w:type="dxa"/>
            <w:vAlign w:val="top"/>
            <w:vMerge w:val="continue"/>
            <w:tcBorders>
              <w:top w:val="nil"/>
              <w:bottom w:val="nil"/>
            </w:tcBorders>
          </w:tcPr>
          <w:p>
            <w:pPr>
              <w:rPr>
                <w:rFonts w:ascii="Arial"/>
                <w:sz w:val="21"/>
              </w:rPr>
            </w:pPr>
            <w:r/>
          </w:p>
        </w:tc>
        <w:tc>
          <w:tcPr>
            <w:tcW w:w="3088" w:type="dxa"/>
            <w:vAlign w:val="top"/>
            <w:gridSpan w:val="4"/>
          </w:tcPr>
          <w:p>
            <w:pPr>
              <w:pStyle w:val="TableText"/>
              <w:ind w:left="1360"/>
              <w:spacing w:before="66" w:line="221" w:lineRule="auto"/>
              <w:rPr>
                <w:sz w:val="20"/>
                <w:szCs w:val="20"/>
              </w:rPr>
            </w:pPr>
            <w:r>
              <w:rPr>
                <w:sz w:val="20"/>
                <w:szCs w:val="20"/>
                <w:spacing w:val="-3"/>
              </w:rPr>
              <w:t>合计</w:t>
            </w:r>
          </w:p>
        </w:tc>
        <w:tc>
          <w:tcPr>
            <w:tcW w:w="839" w:type="dxa"/>
            <w:vAlign w:val="top"/>
          </w:tcPr>
          <w:p>
            <w:pPr>
              <w:pStyle w:val="TableText"/>
              <w:ind w:left="112"/>
              <w:spacing w:before="117" w:line="177" w:lineRule="auto"/>
              <w:rPr>
                <w:sz w:val="20"/>
                <w:szCs w:val="20"/>
              </w:rPr>
            </w:pPr>
            <w:r>
              <w:rPr>
                <w:sz w:val="20"/>
                <w:szCs w:val="20"/>
                <w:spacing w:val="-2"/>
              </w:rPr>
              <w:t>325000</w:t>
            </w:r>
          </w:p>
        </w:tc>
        <w:tc>
          <w:tcPr>
            <w:tcW w:w="720" w:type="dxa"/>
            <w:vAlign w:val="top"/>
          </w:tcPr>
          <w:p>
            <w:pPr>
              <w:pStyle w:val="TableText"/>
              <w:ind w:left="13"/>
              <w:spacing w:before="116" w:line="178" w:lineRule="auto"/>
              <w:rPr>
                <w:sz w:val="20"/>
                <w:szCs w:val="20"/>
              </w:rPr>
            </w:pPr>
            <w:r>
              <w:rPr>
                <w:sz w:val="20"/>
                <w:szCs w:val="20"/>
                <w:spacing w:val="-3"/>
              </w:rPr>
              <w:t>1403.94</w:t>
            </w:r>
          </w:p>
        </w:tc>
        <w:tc>
          <w:tcPr>
            <w:tcW w:w="989" w:type="dxa"/>
            <w:vAlign w:val="top"/>
          </w:tcPr>
          <w:p>
            <w:pPr>
              <w:pStyle w:val="TableText"/>
              <w:ind w:left="433"/>
              <w:spacing w:before="70" w:line="220" w:lineRule="auto"/>
              <w:rPr>
                <w:sz w:val="20"/>
                <w:szCs w:val="20"/>
              </w:rPr>
            </w:pPr>
            <w:r>
              <w:rPr>
                <w:sz w:val="20"/>
                <w:szCs w:val="20"/>
              </w:rPr>
              <w:t>/</w:t>
            </w:r>
          </w:p>
        </w:tc>
        <w:tc>
          <w:tcPr>
            <w:tcW w:w="719" w:type="dxa"/>
            <w:vAlign w:val="top"/>
          </w:tcPr>
          <w:p>
            <w:pPr>
              <w:pStyle w:val="TableText"/>
              <w:ind w:left="154"/>
              <w:spacing w:before="117" w:line="177" w:lineRule="auto"/>
              <w:rPr>
                <w:sz w:val="20"/>
                <w:szCs w:val="20"/>
              </w:rPr>
            </w:pPr>
            <w:r>
              <w:rPr>
                <w:sz w:val="20"/>
                <w:szCs w:val="20"/>
                <w:spacing w:val="-2"/>
              </w:rPr>
              <w:t>9264</w:t>
            </w:r>
          </w:p>
        </w:tc>
        <w:tc>
          <w:tcPr>
            <w:tcW w:w="690" w:type="dxa"/>
            <w:vAlign w:val="top"/>
          </w:tcPr>
          <w:p>
            <w:pPr>
              <w:pStyle w:val="TableText"/>
              <w:ind w:left="285"/>
              <w:spacing w:before="70" w:line="220" w:lineRule="auto"/>
              <w:rPr>
                <w:sz w:val="20"/>
                <w:szCs w:val="20"/>
              </w:rPr>
            </w:pPr>
            <w:r>
              <w:rPr>
                <w:sz w:val="20"/>
                <w:szCs w:val="20"/>
              </w:rPr>
              <w:t>/</w:t>
            </w:r>
          </w:p>
        </w:tc>
        <w:tc>
          <w:tcPr>
            <w:tcW w:w="719" w:type="dxa"/>
            <w:vAlign w:val="top"/>
          </w:tcPr>
          <w:p>
            <w:pPr>
              <w:pStyle w:val="TableText"/>
              <w:ind w:left="305"/>
              <w:spacing w:before="70" w:line="220" w:lineRule="auto"/>
              <w:rPr>
                <w:sz w:val="20"/>
                <w:szCs w:val="20"/>
              </w:rPr>
            </w:pPr>
            <w:r>
              <w:rPr>
                <w:sz w:val="20"/>
                <w:szCs w:val="20"/>
              </w:rPr>
              <w:t>/</w:t>
            </w:r>
          </w:p>
        </w:tc>
        <w:tc>
          <w:tcPr>
            <w:tcW w:w="720" w:type="dxa"/>
            <w:vAlign w:val="top"/>
          </w:tcPr>
          <w:p>
            <w:pPr>
              <w:pStyle w:val="TableText"/>
              <w:ind w:left="306"/>
              <w:spacing w:before="70" w:line="220" w:lineRule="auto"/>
              <w:rPr>
                <w:sz w:val="20"/>
                <w:szCs w:val="20"/>
              </w:rPr>
            </w:pPr>
            <w:r>
              <w:rPr>
                <w:sz w:val="20"/>
                <w:szCs w:val="20"/>
              </w:rPr>
              <w:t>/</w:t>
            </w:r>
          </w:p>
        </w:tc>
        <w:tc>
          <w:tcPr>
            <w:tcW w:w="749" w:type="dxa"/>
            <w:vAlign w:val="top"/>
          </w:tcPr>
          <w:p>
            <w:pPr>
              <w:pStyle w:val="TableText"/>
              <w:ind w:left="116"/>
              <w:spacing w:before="116" w:line="178" w:lineRule="auto"/>
              <w:rPr>
                <w:sz w:val="20"/>
                <w:szCs w:val="20"/>
              </w:rPr>
            </w:pPr>
            <w:r>
              <w:rPr>
                <w:sz w:val="20"/>
                <w:szCs w:val="20"/>
                <w:spacing w:val="-2"/>
              </w:rPr>
              <w:t>0.145</w:t>
            </w:r>
          </w:p>
        </w:tc>
        <w:tc>
          <w:tcPr>
            <w:tcW w:w="999" w:type="dxa"/>
            <w:vAlign w:val="top"/>
          </w:tcPr>
          <w:p>
            <w:pPr>
              <w:pStyle w:val="TableText"/>
              <w:ind w:left="297"/>
              <w:spacing w:before="117" w:line="177" w:lineRule="auto"/>
              <w:rPr>
                <w:sz w:val="20"/>
                <w:szCs w:val="20"/>
              </w:rPr>
            </w:pPr>
            <w:r>
              <w:rPr>
                <w:sz w:val="20"/>
                <w:szCs w:val="20"/>
                <w:spacing w:val="-2"/>
              </w:rPr>
              <w:t>4.47</w:t>
            </w:r>
          </w:p>
        </w:tc>
        <w:tc>
          <w:tcPr>
            <w:tcW w:w="839" w:type="dxa"/>
            <w:vAlign w:val="top"/>
          </w:tcPr>
          <w:p>
            <w:pPr>
              <w:pStyle w:val="TableText"/>
              <w:ind w:left="168"/>
              <w:spacing w:before="117" w:line="177" w:lineRule="auto"/>
              <w:rPr>
                <w:sz w:val="20"/>
                <w:szCs w:val="20"/>
              </w:rPr>
            </w:pPr>
            <w:r>
              <w:rPr>
                <w:sz w:val="20"/>
                <w:szCs w:val="20"/>
                <w:spacing w:val="-2"/>
              </w:rPr>
              <w:t>0.960</w:t>
            </w:r>
          </w:p>
        </w:tc>
        <w:tc>
          <w:tcPr>
            <w:tcW w:w="690" w:type="dxa"/>
            <w:vAlign w:val="top"/>
          </w:tcPr>
          <w:p>
            <w:pPr>
              <w:pStyle w:val="TableText"/>
              <w:ind w:left="89"/>
              <w:spacing w:before="117" w:line="177" w:lineRule="auto"/>
              <w:rPr>
                <w:sz w:val="20"/>
                <w:szCs w:val="20"/>
              </w:rPr>
            </w:pPr>
            <w:r>
              <w:rPr>
                <w:sz w:val="20"/>
                <w:szCs w:val="20"/>
                <w:spacing w:val="-2"/>
              </w:rPr>
              <w:t>32500</w:t>
            </w:r>
          </w:p>
        </w:tc>
        <w:tc>
          <w:tcPr>
            <w:tcW w:w="670" w:type="dxa"/>
            <w:vAlign w:val="top"/>
          </w:tcPr>
          <w:p>
            <w:pPr>
              <w:pStyle w:val="TableText"/>
              <w:ind w:left="169"/>
              <w:spacing w:before="123" w:line="184" w:lineRule="auto"/>
              <w:rPr>
                <w:sz w:val="16"/>
                <w:szCs w:val="16"/>
              </w:rPr>
            </w:pPr>
            <w:r>
              <w:rPr>
                <w:sz w:val="16"/>
                <w:szCs w:val="16"/>
                <w:spacing w:val="-5"/>
              </w:rPr>
              <w:t>1×1</w:t>
            </w:r>
          </w:p>
        </w:tc>
        <w:tc>
          <w:tcPr>
            <w:tcW w:w="590" w:type="dxa"/>
            <w:vAlign w:val="top"/>
          </w:tcPr>
          <w:p>
            <w:pPr>
              <w:pStyle w:val="TableText"/>
              <w:ind w:left="189"/>
              <w:spacing w:before="117" w:line="177" w:lineRule="auto"/>
              <w:rPr>
                <w:sz w:val="20"/>
                <w:szCs w:val="20"/>
              </w:rPr>
            </w:pPr>
            <w:r>
              <w:rPr>
                <w:sz w:val="20"/>
                <w:szCs w:val="20"/>
                <w:spacing w:val="-3"/>
              </w:rPr>
              <w:t>27</w:t>
            </w:r>
          </w:p>
        </w:tc>
        <w:tc>
          <w:tcPr>
            <w:tcW w:w="720" w:type="dxa"/>
            <w:vAlign w:val="top"/>
          </w:tcPr>
          <w:p>
            <w:pPr>
              <w:pStyle w:val="TableText"/>
              <w:ind w:left="108"/>
              <w:spacing w:before="115" w:line="179" w:lineRule="auto"/>
              <w:rPr>
                <w:sz w:val="20"/>
                <w:szCs w:val="20"/>
              </w:rPr>
            </w:pPr>
            <w:r>
              <w:rPr>
                <w:sz w:val="20"/>
                <w:szCs w:val="20"/>
                <w:spacing w:val="-1"/>
              </w:rPr>
              <w:t>DA026</w:t>
            </w:r>
          </w:p>
        </w:tc>
        <w:tc>
          <w:tcPr>
            <w:tcW w:w="724" w:type="dxa"/>
            <w:vAlign w:val="top"/>
          </w:tcPr>
          <w:p>
            <w:pPr>
              <w:pStyle w:val="TableText"/>
              <w:ind w:left="159"/>
              <w:spacing w:before="117" w:line="177" w:lineRule="auto"/>
              <w:rPr>
                <w:sz w:val="20"/>
                <w:szCs w:val="20"/>
              </w:rPr>
            </w:pPr>
            <w:r>
              <w:rPr>
                <w:sz w:val="20"/>
                <w:szCs w:val="20"/>
                <w:spacing w:val="-2"/>
              </w:rPr>
              <w:t>6600</w:t>
            </w:r>
          </w:p>
        </w:tc>
      </w:tr>
      <w:tr>
        <w:trPr>
          <w:trHeight w:val="349" w:hRule="atLeast"/>
        </w:trPr>
        <w:tc>
          <w:tcPr>
            <w:tcW w:w="515" w:type="dxa"/>
            <w:vAlign w:val="top"/>
            <w:vMerge w:val="continue"/>
            <w:tcBorders>
              <w:top w:val="nil"/>
            </w:tcBorders>
          </w:tcPr>
          <w:p>
            <w:pPr>
              <w:rPr>
                <w:rFonts w:ascii="Arial"/>
                <w:sz w:val="21"/>
              </w:rPr>
            </w:pPr>
            <w:r/>
          </w:p>
        </w:tc>
        <w:tc>
          <w:tcPr>
            <w:tcW w:w="14465" w:type="dxa"/>
            <w:vAlign w:val="top"/>
            <w:gridSpan w:val="19"/>
          </w:tcPr>
          <w:p>
            <w:pPr>
              <w:pStyle w:val="TableText"/>
              <w:ind w:left="20"/>
              <w:spacing w:before="84" w:line="219" w:lineRule="auto"/>
              <w:rPr>
                <w:sz w:val="20"/>
                <w:szCs w:val="20"/>
              </w:rPr>
            </w:pPr>
            <w:r>
              <w:rPr>
                <w:sz w:val="20"/>
                <w:szCs w:val="20"/>
              </w:rPr>
              <w:t>注：NMP废气处理后90%回至涂布烘干系统使用，形成气体闭路循环换热，少量的废气(10%)通过排气筒排</w:t>
            </w:r>
            <w:r>
              <w:rPr>
                <w:sz w:val="20"/>
                <w:szCs w:val="20"/>
                <w:spacing w:val="-1"/>
              </w:rPr>
              <w:t>放。</w:t>
            </w:r>
          </w:p>
        </w:tc>
      </w:tr>
      <w:tr>
        <w:trPr>
          <w:trHeight w:val="549" w:hRule="atLeast"/>
        </w:trPr>
        <w:tc>
          <w:tcPr>
            <w:tcW w:w="515" w:type="dxa"/>
            <w:vAlign w:val="top"/>
          </w:tcPr>
          <w:p>
            <w:pPr>
              <w:pStyle w:val="TableText"/>
              <w:ind w:left="115" w:right="19" w:hanging="20"/>
              <w:spacing w:before="57" w:line="222" w:lineRule="auto"/>
              <w:rPr>
                <w:sz w:val="20"/>
                <w:szCs w:val="20"/>
              </w:rPr>
            </w:pPr>
            <w:r>
              <w:rPr>
                <w:sz w:val="20"/>
                <w:szCs w:val="20"/>
                <w:spacing w:val="-5"/>
              </w:rPr>
              <w:t>无组</w:t>
            </w:r>
            <w:r>
              <w:rPr>
                <w:sz w:val="20"/>
                <w:szCs w:val="20"/>
              </w:rPr>
              <w:t xml:space="preserve"> </w:t>
            </w:r>
            <w:r>
              <w:rPr>
                <w:sz w:val="20"/>
                <w:szCs w:val="20"/>
              </w:rPr>
              <w:t>织</w:t>
            </w:r>
          </w:p>
        </w:tc>
        <w:tc>
          <w:tcPr>
            <w:tcW w:w="719" w:type="dxa"/>
            <w:vAlign w:val="top"/>
          </w:tcPr>
          <w:p>
            <w:pPr>
              <w:pStyle w:val="TableText"/>
              <w:ind w:left="250" w:right="50" w:hanging="200"/>
              <w:spacing w:before="66" w:line="218" w:lineRule="auto"/>
              <w:rPr>
                <w:sz w:val="20"/>
                <w:szCs w:val="20"/>
              </w:rPr>
            </w:pPr>
            <w:r>
              <w:rPr>
                <w:sz w:val="20"/>
                <w:szCs w:val="20"/>
                <w:spacing w:val="2"/>
              </w:rPr>
              <w:t>凹版车</w:t>
            </w:r>
            <w:r>
              <w:rPr>
                <w:sz w:val="20"/>
                <w:szCs w:val="20"/>
                <w:spacing w:val="1"/>
              </w:rPr>
              <w:t xml:space="preserve"> </w:t>
            </w:r>
            <w:r>
              <w:rPr>
                <w:sz w:val="20"/>
                <w:szCs w:val="20"/>
              </w:rPr>
              <w:t>间</w:t>
            </w:r>
          </w:p>
        </w:tc>
        <w:tc>
          <w:tcPr>
            <w:tcW w:w="979" w:type="dxa"/>
            <w:vAlign w:val="top"/>
          </w:tcPr>
          <w:p>
            <w:pPr>
              <w:pStyle w:val="TableText"/>
              <w:ind w:left="281" w:right="76" w:hanging="200"/>
              <w:spacing w:before="57" w:line="222" w:lineRule="auto"/>
              <w:rPr>
                <w:sz w:val="20"/>
                <w:szCs w:val="20"/>
              </w:rPr>
            </w:pPr>
            <w:r>
              <w:rPr>
                <w:sz w:val="20"/>
                <w:szCs w:val="20"/>
                <w:spacing w:val="2"/>
              </w:rPr>
              <w:t>阴极片涂</w:t>
            </w:r>
            <w:r>
              <w:rPr>
                <w:sz w:val="20"/>
                <w:szCs w:val="20"/>
                <w:spacing w:val="1"/>
              </w:rPr>
              <w:t xml:space="preserve"> </w:t>
            </w:r>
            <w:r>
              <w:rPr>
                <w:sz w:val="20"/>
                <w:szCs w:val="20"/>
                <w:spacing w:val="6"/>
              </w:rPr>
              <w:t>布线</w:t>
            </w:r>
          </w:p>
        </w:tc>
        <w:tc>
          <w:tcPr>
            <w:tcW w:w="690" w:type="dxa"/>
            <w:vAlign w:val="top"/>
          </w:tcPr>
          <w:p>
            <w:pPr>
              <w:pStyle w:val="TableText"/>
              <w:ind w:left="131" w:right="59" w:hanging="100"/>
              <w:spacing w:before="38" w:line="231" w:lineRule="auto"/>
              <w:rPr>
                <w:sz w:val="20"/>
                <w:szCs w:val="20"/>
              </w:rPr>
            </w:pPr>
            <w:r>
              <w:rPr>
                <w:sz w:val="20"/>
                <w:szCs w:val="20"/>
                <w:spacing w:val="-4"/>
              </w:rPr>
              <w:t>非甲烷</w:t>
            </w:r>
            <w:r>
              <w:rPr>
                <w:sz w:val="20"/>
                <w:szCs w:val="20"/>
              </w:rPr>
              <w:t xml:space="preserve"> </w:t>
            </w:r>
            <w:r>
              <w:rPr>
                <w:sz w:val="20"/>
                <w:szCs w:val="20"/>
                <w:spacing w:val="3"/>
              </w:rPr>
              <w:t>总烃</w:t>
            </w:r>
          </w:p>
        </w:tc>
        <w:tc>
          <w:tcPr>
            <w:tcW w:w="700" w:type="dxa"/>
            <w:vAlign w:val="top"/>
          </w:tcPr>
          <w:p>
            <w:pPr>
              <w:pStyle w:val="TableText"/>
              <w:spacing w:before="186" w:line="219" w:lineRule="auto"/>
              <w:jc w:val="right"/>
              <w:rPr>
                <w:sz w:val="19"/>
                <w:szCs w:val="19"/>
              </w:rPr>
            </w:pPr>
            <w:r>
              <w:rPr>
                <w:sz w:val="19"/>
                <w:szCs w:val="19"/>
                <w:spacing w:val="-16"/>
                <w:w w:val="96"/>
              </w:rPr>
              <w:t>物料</w:t>
            </w:r>
            <w:r>
              <w:rPr>
                <w:sz w:val="19"/>
                <w:szCs w:val="19"/>
                <w:spacing w:val="-15"/>
                <w:w w:val="96"/>
              </w:rPr>
              <w:t>衡</w:t>
            </w:r>
            <w:r>
              <w:rPr>
                <w:sz w:val="19"/>
                <w:szCs w:val="19"/>
                <w:spacing w:val="-9"/>
                <w:w w:val="96"/>
              </w:rPr>
              <w:t>算</w:t>
            </w:r>
          </w:p>
        </w:tc>
        <w:tc>
          <w:tcPr>
            <w:tcW w:w="839" w:type="dxa"/>
            <w:vAlign w:val="top"/>
          </w:tcPr>
          <w:p>
            <w:pPr>
              <w:pStyle w:val="TableText"/>
              <w:ind w:left="362"/>
              <w:spacing w:before="192" w:line="224" w:lineRule="auto"/>
              <w:rPr>
                <w:sz w:val="20"/>
                <w:szCs w:val="20"/>
              </w:rPr>
            </w:pPr>
            <w:r>
              <w:rPr>
                <w:sz w:val="20"/>
                <w:szCs w:val="20"/>
              </w:rPr>
              <w:t>/</w:t>
            </w:r>
          </w:p>
        </w:tc>
        <w:tc>
          <w:tcPr>
            <w:tcW w:w="720" w:type="dxa"/>
            <w:vAlign w:val="top"/>
          </w:tcPr>
          <w:p>
            <w:pPr>
              <w:pStyle w:val="TableText"/>
              <w:ind w:left="102"/>
              <w:spacing w:before="237" w:line="184" w:lineRule="auto"/>
              <w:rPr>
                <w:sz w:val="20"/>
                <w:szCs w:val="20"/>
              </w:rPr>
            </w:pPr>
            <w:r>
              <w:rPr>
                <w:sz w:val="20"/>
                <w:szCs w:val="20"/>
                <w:spacing w:val="-2"/>
              </w:rPr>
              <w:t>0.145</w:t>
            </w:r>
          </w:p>
        </w:tc>
        <w:tc>
          <w:tcPr>
            <w:tcW w:w="989" w:type="dxa"/>
            <w:vAlign w:val="top"/>
          </w:tcPr>
          <w:p>
            <w:pPr>
              <w:pStyle w:val="TableText"/>
              <w:ind w:left="433"/>
              <w:spacing w:before="192" w:line="224" w:lineRule="auto"/>
              <w:rPr>
                <w:sz w:val="20"/>
                <w:szCs w:val="20"/>
              </w:rPr>
            </w:pPr>
            <w:r>
              <w:rPr>
                <w:sz w:val="20"/>
                <w:szCs w:val="20"/>
              </w:rPr>
              <w:t>/</w:t>
            </w:r>
          </w:p>
        </w:tc>
        <w:tc>
          <w:tcPr>
            <w:tcW w:w="719" w:type="dxa"/>
            <w:vAlign w:val="top"/>
          </w:tcPr>
          <w:p>
            <w:pPr>
              <w:pStyle w:val="TableText"/>
              <w:ind w:left="104"/>
              <w:spacing w:before="238" w:line="183" w:lineRule="auto"/>
              <w:rPr>
                <w:sz w:val="20"/>
                <w:szCs w:val="20"/>
              </w:rPr>
            </w:pPr>
            <w:r>
              <w:rPr>
                <w:sz w:val="20"/>
                <w:szCs w:val="20"/>
                <w:spacing w:val="-2"/>
              </w:rPr>
              <w:t>0.960</w:t>
            </w:r>
          </w:p>
        </w:tc>
        <w:tc>
          <w:tcPr>
            <w:tcW w:w="690" w:type="dxa"/>
            <w:vAlign w:val="top"/>
          </w:tcPr>
          <w:p>
            <w:pPr>
              <w:pStyle w:val="TableText"/>
              <w:ind w:left="134"/>
              <w:spacing w:before="189" w:line="221" w:lineRule="auto"/>
              <w:rPr>
                <w:sz w:val="20"/>
                <w:szCs w:val="20"/>
              </w:rPr>
            </w:pPr>
            <w:r>
              <w:rPr>
                <w:sz w:val="20"/>
                <w:szCs w:val="20"/>
                <w:spacing w:val="-3"/>
              </w:rPr>
              <w:t>直排</w:t>
            </w:r>
          </w:p>
        </w:tc>
        <w:tc>
          <w:tcPr>
            <w:tcW w:w="719" w:type="dxa"/>
            <w:vAlign w:val="top"/>
          </w:tcPr>
          <w:p>
            <w:pPr>
              <w:pStyle w:val="TableText"/>
              <w:ind w:left="305"/>
              <w:spacing w:before="238" w:line="183" w:lineRule="auto"/>
              <w:rPr>
                <w:sz w:val="20"/>
                <w:szCs w:val="20"/>
              </w:rPr>
            </w:pPr>
            <w:r>
              <w:rPr>
                <w:sz w:val="20"/>
                <w:szCs w:val="20"/>
              </w:rPr>
              <w:t>0</w:t>
            </w:r>
          </w:p>
        </w:tc>
        <w:tc>
          <w:tcPr>
            <w:tcW w:w="720" w:type="dxa"/>
            <w:vAlign w:val="top"/>
          </w:tcPr>
          <w:p>
            <w:pPr>
              <w:pStyle w:val="TableText"/>
              <w:ind w:left="306"/>
              <w:spacing w:before="192" w:line="224" w:lineRule="auto"/>
              <w:rPr>
                <w:sz w:val="20"/>
                <w:szCs w:val="20"/>
              </w:rPr>
            </w:pPr>
            <w:r>
              <w:rPr>
                <w:sz w:val="20"/>
                <w:szCs w:val="20"/>
              </w:rPr>
              <w:t>/</w:t>
            </w:r>
          </w:p>
        </w:tc>
        <w:tc>
          <w:tcPr>
            <w:tcW w:w="749" w:type="dxa"/>
            <w:vAlign w:val="top"/>
          </w:tcPr>
          <w:p>
            <w:pPr>
              <w:pStyle w:val="TableText"/>
              <w:ind w:left="116"/>
              <w:spacing w:before="237" w:line="184" w:lineRule="auto"/>
              <w:rPr>
                <w:sz w:val="20"/>
                <w:szCs w:val="20"/>
              </w:rPr>
            </w:pPr>
            <w:r>
              <w:rPr>
                <w:sz w:val="20"/>
                <w:szCs w:val="20"/>
                <w:spacing w:val="-2"/>
              </w:rPr>
              <w:t>0.145</w:t>
            </w:r>
          </w:p>
        </w:tc>
        <w:tc>
          <w:tcPr>
            <w:tcW w:w="999" w:type="dxa"/>
            <w:vAlign w:val="top"/>
          </w:tcPr>
          <w:p>
            <w:pPr>
              <w:pStyle w:val="TableText"/>
              <w:ind w:left="446"/>
              <w:spacing w:before="192" w:line="224" w:lineRule="auto"/>
              <w:rPr>
                <w:sz w:val="20"/>
                <w:szCs w:val="20"/>
              </w:rPr>
            </w:pPr>
            <w:r>
              <w:rPr>
                <w:sz w:val="20"/>
                <w:szCs w:val="20"/>
              </w:rPr>
              <w:t>/</w:t>
            </w:r>
          </w:p>
        </w:tc>
        <w:tc>
          <w:tcPr>
            <w:tcW w:w="839" w:type="dxa"/>
            <w:vAlign w:val="top"/>
          </w:tcPr>
          <w:p>
            <w:pPr>
              <w:pStyle w:val="TableText"/>
              <w:ind w:left="168"/>
              <w:spacing w:before="238" w:line="183" w:lineRule="auto"/>
              <w:rPr>
                <w:sz w:val="20"/>
                <w:szCs w:val="20"/>
              </w:rPr>
            </w:pPr>
            <w:r>
              <w:rPr>
                <w:sz w:val="20"/>
                <w:szCs w:val="20"/>
                <w:spacing w:val="-2"/>
              </w:rPr>
              <w:t>0.960</w:t>
            </w:r>
          </w:p>
        </w:tc>
        <w:tc>
          <w:tcPr>
            <w:tcW w:w="690" w:type="dxa"/>
            <w:vAlign w:val="top"/>
          </w:tcPr>
          <w:p>
            <w:pPr>
              <w:pStyle w:val="TableText"/>
              <w:ind w:left="289"/>
              <w:spacing w:before="192" w:line="224" w:lineRule="auto"/>
              <w:rPr>
                <w:sz w:val="20"/>
                <w:szCs w:val="20"/>
              </w:rPr>
            </w:pPr>
            <w:r>
              <w:rPr>
                <w:sz w:val="20"/>
                <w:szCs w:val="20"/>
              </w:rPr>
              <w:t>/</w:t>
            </w:r>
          </w:p>
        </w:tc>
        <w:tc>
          <w:tcPr>
            <w:tcW w:w="670" w:type="dxa"/>
            <w:vAlign w:val="top"/>
          </w:tcPr>
          <w:p>
            <w:pPr>
              <w:pStyle w:val="TableText"/>
              <w:ind w:left="279"/>
              <w:spacing w:before="192" w:line="224" w:lineRule="auto"/>
              <w:rPr>
                <w:sz w:val="20"/>
                <w:szCs w:val="20"/>
              </w:rPr>
            </w:pPr>
            <w:r>
              <w:rPr>
                <w:sz w:val="20"/>
                <w:szCs w:val="20"/>
              </w:rPr>
              <w:t>/</w:t>
            </w:r>
          </w:p>
        </w:tc>
        <w:tc>
          <w:tcPr>
            <w:tcW w:w="590" w:type="dxa"/>
            <w:vAlign w:val="top"/>
          </w:tcPr>
          <w:p>
            <w:pPr>
              <w:pStyle w:val="TableText"/>
              <w:ind w:left="239"/>
              <w:spacing w:before="192" w:line="224" w:lineRule="auto"/>
              <w:rPr>
                <w:sz w:val="20"/>
                <w:szCs w:val="20"/>
              </w:rPr>
            </w:pPr>
            <w:r>
              <w:rPr>
                <w:sz w:val="20"/>
                <w:szCs w:val="20"/>
              </w:rPr>
              <w:t>/</w:t>
            </w:r>
          </w:p>
        </w:tc>
        <w:tc>
          <w:tcPr>
            <w:tcW w:w="720" w:type="dxa"/>
            <w:vAlign w:val="top"/>
          </w:tcPr>
          <w:p>
            <w:pPr>
              <w:pStyle w:val="TableText"/>
              <w:ind w:left="309"/>
              <w:spacing w:before="192" w:line="224" w:lineRule="auto"/>
              <w:rPr>
                <w:sz w:val="20"/>
                <w:szCs w:val="20"/>
              </w:rPr>
            </w:pPr>
            <w:r>
              <w:rPr>
                <w:sz w:val="20"/>
                <w:szCs w:val="20"/>
              </w:rPr>
              <w:t>/</w:t>
            </w:r>
          </w:p>
        </w:tc>
        <w:tc>
          <w:tcPr>
            <w:tcW w:w="724" w:type="dxa"/>
            <w:vAlign w:val="top"/>
          </w:tcPr>
          <w:p>
            <w:pPr>
              <w:pStyle w:val="TableText"/>
              <w:ind w:left="159"/>
              <w:spacing w:before="238" w:line="183" w:lineRule="auto"/>
              <w:rPr>
                <w:sz w:val="20"/>
                <w:szCs w:val="20"/>
              </w:rPr>
            </w:pPr>
            <w:r>
              <w:rPr>
                <w:sz w:val="20"/>
                <w:szCs w:val="20"/>
                <w:spacing w:val="-2"/>
              </w:rPr>
              <w:t>6600</w:t>
            </w:r>
          </w:p>
        </w:tc>
      </w:tr>
      <w:tr>
        <w:trPr>
          <w:trHeight w:val="564" w:hRule="atLeast"/>
        </w:trPr>
        <w:tc>
          <w:tcPr>
            <w:tcW w:w="2213" w:type="dxa"/>
            <w:vAlign w:val="top"/>
            <w:gridSpan w:val="3"/>
          </w:tcPr>
          <w:p>
            <w:pPr>
              <w:pStyle w:val="TableText"/>
              <w:ind w:left="905"/>
              <w:spacing w:before="189" w:line="221" w:lineRule="auto"/>
              <w:rPr>
                <w:sz w:val="20"/>
                <w:szCs w:val="20"/>
              </w:rPr>
            </w:pPr>
            <w:r>
              <w:rPr>
                <w:sz w:val="20"/>
                <w:szCs w:val="20"/>
                <w:spacing w:val="-3"/>
              </w:rPr>
              <w:t>合计</w:t>
            </w:r>
          </w:p>
        </w:tc>
        <w:tc>
          <w:tcPr>
            <w:tcW w:w="690" w:type="dxa"/>
            <w:vAlign w:val="top"/>
          </w:tcPr>
          <w:p>
            <w:pPr>
              <w:pStyle w:val="TableText"/>
              <w:ind w:left="131" w:right="59" w:hanging="100"/>
              <w:spacing w:before="57" w:line="229" w:lineRule="auto"/>
              <w:rPr>
                <w:sz w:val="20"/>
                <w:szCs w:val="20"/>
              </w:rPr>
            </w:pPr>
            <w:r>
              <w:rPr>
                <w:sz w:val="20"/>
                <w:szCs w:val="20"/>
                <w:spacing w:val="-4"/>
              </w:rPr>
              <w:t>非甲烷</w:t>
            </w:r>
            <w:r>
              <w:rPr>
                <w:sz w:val="20"/>
                <w:szCs w:val="20"/>
              </w:rPr>
              <w:t xml:space="preserve"> </w:t>
            </w:r>
            <w:r>
              <w:rPr>
                <w:sz w:val="20"/>
                <w:szCs w:val="20"/>
                <w:spacing w:val="3"/>
              </w:rPr>
              <w:t>总烃</w:t>
            </w:r>
          </w:p>
        </w:tc>
        <w:tc>
          <w:tcPr>
            <w:tcW w:w="700" w:type="dxa"/>
            <w:vAlign w:val="top"/>
          </w:tcPr>
          <w:p>
            <w:pPr>
              <w:pStyle w:val="TableText"/>
              <w:ind w:left="292"/>
              <w:spacing w:before="193" w:line="224" w:lineRule="auto"/>
              <w:rPr>
                <w:sz w:val="20"/>
                <w:szCs w:val="20"/>
              </w:rPr>
            </w:pPr>
            <w:r>
              <w:rPr>
                <w:sz w:val="20"/>
                <w:szCs w:val="20"/>
              </w:rPr>
              <w:t>/</w:t>
            </w:r>
          </w:p>
        </w:tc>
        <w:tc>
          <w:tcPr>
            <w:tcW w:w="839" w:type="dxa"/>
            <w:vAlign w:val="top"/>
          </w:tcPr>
          <w:p>
            <w:pPr>
              <w:pStyle w:val="TableText"/>
              <w:ind w:left="362"/>
              <w:spacing w:before="193" w:line="224" w:lineRule="auto"/>
              <w:rPr>
                <w:sz w:val="20"/>
                <w:szCs w:val="20"/>
              </w:rPr>
            </w:pPr>
            <w:r>
              <w:rPr>
                <w:sz w:val="20"/>
                <w:szCs w:val="20"/>
              </w:rPr>
              <w:t>/</w:t>
            </w:r>
          </w:p>
        </w:tc>
        <w:tc>
          <w:tcPr>
            <w:tcW w:w="720" w:type="dxa"/>
            <w:vAlign w:val="top"/>
          </w:tcPr>
          <w:p>
            <w:pPr>
              <w:pStyle w:val="TableText"/>
              <w:ind w:left="303"/>
              <w:spacing w:before="193" w:line="224" w:lineRule="auto"/>
              <w:rPr>
                <w:sz w:val="20"/>
                <w:szCs w:val="20"/>
              </w:rPr>
            </w:pPr>
            <w:r>
              <w:rPr>
                <w:sz w:val="20"/>
                <w:szCs w:val="20"/>
              </w:rPr>
              <w:t>/</w:t>
            </w:r>
          </w:p>
        </w:tc>
        <w:tc>
          <w:tcPr>
            <w:tcW w:w="989" w:type="dxa"/>
            <w:vAlign w:val="top"/>
          </w:tcPr>
          <w:p>
            <w:pPr>
              <w:pStyle w:val="TableText"/>
              <w:ind w:left="433"/>
              <w:spacing w:before="193" w:line="224" w:lineRule="auto"/>
              <w:rPr>
                <w:sz w:val="20"/>
                <w:szCs w:val="20"/>
              </w:rPr>
            </w:pPr>
            <w:r>
              <w:rPr>
                <w:sz w:val="20"/>
                <w:szCs w:val="20"/>
              </w:rPr>
              <w:t>/</w:t>
            </w:r>
          </w:p>
        </w:tc>
        <w:tc>
          <w:tcPr>
            <w:tcW w:w="719" w:type="dxa"/>
            <w:vAlign w:val="top"/>
          </w:tcPr>
          <w:p>
            <w:pPr>
              <w:pStyle w:val="TableText"/>
              <w:ind w:left="14"/>
              <w:spacing w:before="239" w:line="183" w:lineRule="auto"/>
              <w:rPr>
                <w:sz w:val="20"/>
                <w:szCs w:val="20"/>
              </w:rPr>
            </w:pPr>
            <w:r>
              <w:rPr>
                <w:sz w:val="20"/>
                <w:szCs w:val="20"/>
                <w:spacing w:val="-2"/>
              </w:rPr>
              <w:t>9264.96</w:t>
            </w:r>
          </w:p>
        </w:tc>
        <w:tc>
          <w:tcPr>
            <w:tcW w:w="690" w:type="dxa"/>
            <w:vAlign w:val="top"/>
          </w:tcPr>
          <w:p>
            <w:pPr>
              <w:pStyle w:val="TableText"/>
              <w:ind w:left="285"/>
              <w:spacing w:before="193" w:line="224" w:lineRule="auto"/>
              <w:rPr>
                <w:sz w:val="20"/>
                <w:szCs w:val="20"/>
              </w:rPr>
            </w:pPr>
            <w:r>
              <w:rPr>
                <w:sz w:val="20"/>
                <w:szCs w:val="20"/>
              </w:rPr>
              <w:t>/</w:t>
            </w:r>
          </w:p>
        </w:tc>
        <w:tc>
          <w:tcPr>
            <w:tcW w:w="719" w:type="dxa"/>
            <w:vAlign w:val="top"/>
          </w:tcPr>
          <w:p>
            <w:pPr>
              <w:pStyle w:val="TableText"/>
              <w:ind w:left="305"/>
              <w:spacing w:before="193" w:line="224" w:lineRule="auto"/>
              <w:rPr>
                <w:sz w:val="20"/>
                <w:szCs w:val="20"/>
              </w:rPr>
            </w:pPr>
            <w:r>
              <w:rPr>
                <w:sz w:val="20"/>
                <w:szCs w:val="20"/>
              </w:rPr>
              <w:t>/</w:t>
            </w:r>
          </w:p>
        </w:tc>
        <w:tc>
          <w:tcPr>
            <w:tcW w:w="720" w:type="dxa"/>
            <w:vAlign w:val="top"/>
          </w:tcPr>
          <w:p>
            <w:pPr>
              <w:pStyle w:val="TableText"/>
              <w:ind w:left="306"/>
              <w:spacing w:before="193" w:line="224" w:lineRule="auto"/>
              <w:rPr>
                <w:sz w:val="20"/>
                <w:szCs w:val="20"/>
              </w:rPr>
            </w:pPr>
            <w:r>
              <w:rPr>
                <w:sz w:val="20"/>
                <w:szCs w:val="20"/>
              </w:rPr>
              <w:t>/</w:t>
            </w:r>
          </w:p>
        </w:tc>
        <w:tc>
          <w:tcPr>
            <w:tcW w:w="749" w:type="dxa"/>
            <w:vAlign w:val="top"/>
          </w:tcPr>
          <w:p>
            <w:pPr>
              <w:pStyle w:val="TableText"/>
              <w:ind w:left="316"/>
              <w:spacing w:before="193" w:line="224" w:lineRule="auto"/>
              <w:rPr>
                <w:sz w:val="20"/>
                <w:szCs w:val="20"/>
              </w:rPr>
            </w:pPr>
            <w:r>
              <w:rPr>
                <w:sz w:val="20"/>
                <w:szCs w:val="20"/>
              </w:rPr>
              <w:t>/</w:t>
            </w:r>
          </w:p>
        </w:tc>
        <w:tc>
          <w:tcPr>
            <w:tcW w:w="999" w:type="dxa"/>
            <w:vAlign w:val="top"/>
          </w:tcPr>
          <w:p>
            <w:pPr>
              <w:pStyle w:val="TableText"/>
              <w:ind w:left="446"/>
              <w:spacing w:before="193" w:line="224" w:lineRule="auto"/>
              <w:rPr>
                <w:sz w:val="20"/>
                <w:szCs w:val="20"/>
              </w:rPr>
            </w:pPr>
            <w:r>
              <w:rPr>
                <w:sz w:val="20"/>
                <w:szCs w:val="20"/>
              </w:rPr>
              <w:t>/</w:t>
            </w:r>
          </w:p>
        </w:tc>
        <w:tc>
          <w:tcPr>
            <w:tcW w:w="839" w:type="dxa"/>
            <w:vAlign w:val="top"/>
          </w:tcPr>
          <w:p>
            <w:pPr>
              <w:pStyle w:val="TableText"/>
              <w:ind w:left="168"/>
              <w:spacing w:before="238" w:line="184" w:lineRule="auto"/>
              <w:rPr>
                <w:sz w:val="20"/>
                <w:szCs w:val="20"/>
              </w:rPr>
            </w:pPr>
            <w:r>
              <w:rPr>
                <w:sz w:val="20"/>
                <w:szCs w:val="20"/>
                <w:spacing w:val="-4"/>
              </w:rPr>
              <w:t>1.920</w:t>
            </w:r>
          </w:p>
        </w:tc>
        <w:tc>
          <w:tcPr>
            <w:tcW w:w="690" w:type="dxa"/>
            <w:vAlign w:val="top"/>
          </w:tcPr>
          <w:p>
            <w:pPr>
              <w:pStyle w:val="TableText"/>
              <w:ind w:left="289"/>
              <w:spacing w:before="193" w:line="224" w:lineRule="auto"/>
              <w:rPr>
                <w:sz w:val="20"/>
                <w:szCs w:val="20"/>
              </w:rPr>
            </w:pPr>
            <w:r>
              <w:rPr>
                <w:sz w:val="20"/>
                <w:szCs w:val="20"/>
              </w:rPr>
              <w:t>/</w:t>
            </w:r>
          </w:p>
        </w:tc>
        <w:tc>
          <w:tcPr>
            <w:tcW w:w="670" w:type="dxa"/>
            <w:vAlign w:val="top"/>
          </w:tcPr>
          <w:p>
            <w:pPr>
              <w:pStyle w:val="TableText"/>
              <w:ind w:left="279"/>
              <w:spacing w:before="193" w:line="224" w:lineRule="auto"/>
              <w:rPr>
                <w:sz w:val="20"/>
                <w:szCs w:val="20"/>
              </w:rPr>
            </w:pPr>
            <w:r>
              <w:rPr>
                <w:sz w:val="20"/>
                <w:szCs w:val="20"/>
              </w:rPr>
              <w:t>/</w:t>
            </w:r>
          </w:p>
        </w:tc>
        <w:tc>
          <w:tcPr>
            <w:tcW w:w="590" w:type="dxa"/>
            <w:vAlign w:val="top"/>
          </w:tcPr>
          <w:p>
            <w:pPr>
              <w:pStyle w:val="TableText"/>
              <w:ind w:left="239"/>
              <w:spacing w:before="193" w:line="224" w:lineRule="auto"/>
              <w:rPr>
                <w:sz w:val="20"/>
                <w:szCs w:val="20"/>
              </w:rPr>
            </w:pPr>
            <w:r>
              <w:rPr>
                <w:sz w:val="20"/>
                <w:szCs w:val="20"/>
              </w:rPr>
              <w:t>/</w:t>
            </w:r>
          </w:p>
        </w:tc>
        <w:tc>
          <w:tcPr>
            <w:tcW w:w="720" w:type="dxa"/>
            <w:vAlign w:val="top"/>
          </w:tcPr>
          <w:p>
            <w:pPr>
              <w:pStyle w:val="TableText"/>
              <w:ind w:left="309"/>
              <w:spacing w:before="193" w:line="224" w:lineRule="auto"/>
              <w:rPr>
                <w:sz w:val="20"/>
                <w:szCs w:val="20"/>
              </w:rPr>
            </w:pPr>
            <w:r>
              <w:rPr>
                <w:sz w:val="20"/>
                <w:szCs w:val="20"/>
              </w:rPr>
              <w:t>/</w:t>
            </w:r>
          </w:p>
        </w:tc>
        <w:tc>
          <w:tcPr>
            <w:tcW w:w="724" w:type="dxa"/>
            <w:vAlign w:val="top"/>
          </w:tcPr>
          <w:p>
            <w:pPr>
              <w:pStyle w:val="TableText"/>
              <w:ind w:left="309"/>
              <w:spacing w:before="193" w:line="224" w:lineRule="auto"/>
              <w:rPr>
                <w:sz w:val="20"/>
                <w:szCs w:val="20"/>
              </w:rPr>
            </w:pPr>
            <w:r>
              <w:rPr>
                <w:sz w:val="20"/>
                <w:szCs w:val="20"/>
              </w:rPr>
              <w:t>/</w:t>
            </w:r>
          </w:p>
        </w:tc>
      </w:tr>
    </w:tbl>
    <w:p>
      <w:pPr>
        <w:rPr>
          <w:rFonts w:ascii="Arial"/>
          <w:sz w:val="21"/>
        </w:rPr>
      </w:pPr>
      <w:r/>
    </w:p>
    <w:p>
      <w:pPr>
        <w:sectPr>
          <w:footerReference w:type="default" r:id="rId98"/>
          <w:pgSz w:w="16840" w:h="11900"/>
          <w:pgMar w:top="1011" w:right="955" w:bottom="979" w:left="894" w:header="0" w:footer="840" w:gutter="0"/>
        </w:sectPr>
        <w:rPr>
          <w:rFonts w:ascii="Arial" w:hAnsi="Arial" w:eastAsia="Arial" w:cs="Arial"/>
          <w:sz w:val="21"/>
          <w:szCs w:val="21"/>
        </w:rPr>
      </w:pPr>
    </w:p>
    <w:p>
      <w:pPr>
        <w:pStyle w:val="BodyText"/>
        <w:ind w:left="5328"/>
        <w:spacing w:before="295" w:line="219" w:lineRule="auto"/>
        <w:rPr>
          <w:sz w:val="24"/>
          <w:szCs w:val="24"/>
        </w:rPr>
      </w:pPr>
      <w:r>
        <w:rPr>
          <w:sz w:val="24"/>
          <w:szCs w:val="24"/>
          <w:b/>
          <w:bCs/>
          <w:spacing w:val="-7"/>
        </w:rPr>
        <w:t>表4.2-5</w:t>
      </w:r>
      <w:r>
        <w:rPr>
          <w:sz w:val="24"/>
          <w:szCs w:val="24"/>
          <w:spacing w:val="106"/>
        </w:rPr>
        <w:t xml:space="preserve"> </w:t>
      </w:r>
      <w:r>
        <w:rPr>
          <w:sz w:val="24"/>
          <w:szCs w:val="24"/>
          <w:b/>
          <w:bCs/>
          <w:spacing w:val="-7"/>
        </w:rPr>
        <w:t>锅炉废气污染源强核算表</w:t>
      </w:r>
    </w:p>
    <w:p>
      <w:pPr>
        <w:spacing w:line="143" w:lineRule="exact"/>
        <w:rPr/>
      </w:pPr>
      <w:r/>
    </w:p>
    <w:tbl>
      <w:tblPr>
        <w:tblStyle w:val="TableNormal"/>
        <w:tblW w:w="142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55"/>
        <w:gridCol w:w="1019"/>
        <w:gridCol w:w="969"/>
        <w:gridCol w:w="859"/>
        <w:gridCol w:w="969"/>
        <w:gridCol w:w="999"/>
        <w:gridCol w:w="999"/>
        <w:gridCol w:w="859"/>
        <w:gridCol w:w="690"/>
        <w:gridCol w:w="1019"/>
        <w:gridCol w:w="1009"/>
        <w:gridCol w:w="819"/>
        <w:gridCol w:w="700"/>
        <w:gridCol w:w="680"/>
        <w:gridCol w:w="600"/>
        <w:gridCol w:w="680"/>
        <w:gridCol w:w="715"/>
      </w:tblGrid>
      <w:tr>
        <w:trPr>
          <w:trHeight w:val="305" w:hRule="atLeast"/>
        </w:trPr>
        <w:tc>
          <w:tcPr>
            <w:tcW w:w="655" w:type="dxa"/>
            <w:vAlign w:val="top"/>
            <w:vMerge w:val="restart"/>
            <w:tcBorders>
              <w:bottom w:val="nil"/>
            </w:tcBorders>
          </w:tcPr>
          <w:p>
            <w:pPr>
              <w:spacing w:line="404" w:lineRule="auto"/>
              <w:rPr>
                <w:rFonts w:ascii="Arial"/>
                <w:sz w:val="21"/>
              </w:rPr>
            </w:pPr>
            <w:r/>
          </w:p>
          <w:p>
            <w:pPr>
              <w:pStyle w:val="TableText"/>
              <w:ind w:left="104"/>
              <w:spacing w:before="68" w:line="221" w:lineRule="auto"/>
              <w:rPr>
                <w:sz w:val="21"/>
                <w:szCs w:val="21"/>
              </w:rPr>
            </w:pPr>
            <w:r>
              <w:rPr>
                <w:sz w:val="21"/>
                <w:szCs w:val="21"/>
                <w:spacing w:val="-3"/>
              </w:rPr>
              <w:t>位置</w:t>
            </w:r>
          </w:p>
        </w:tc>
        <w:tc>
          <w:tcPr>
            <w:tcW w:w="1019" w:type="dxa"/>
            <w:vAlign w:val="top"/>
            <w:vMerge w:val="restart"/>
            <w:tcBorders>
              <w:bottom w:val="nil"/>
            </w:tcBorders>
          </w:tcPr>
          <w:p>
            <w:pPr>
              <w:spacing w:line="403" w:lineRule="auto"/>
              <w:rPr>
                <w:rFonts w:ascii="Arial"/>
                <w:sz w:val="21"/>
              </w:rPr>
            </w:pPr>
            <w:r/>
          </w:p>
          <w:p>
            <w:pPr>
              <w:pStyle w:val="TableText"/>
              <w:ind w:left="290"/>
              <w:spacing w:before="68" w:line="220" w:lineRule="auto"/>
              <w:rPr>
                <w:sz w:val="21"/>
                <w:szCs w:val="21"/>
              </w:rPr>
            </w:pPr>
            <w:r>
              <w:rPr>
                <w:sz w:val="21"/>
                <w:szCs w:val="21"/>
                <w:spacing w:val="-3"/>
              </w:rPr>
              <w:t>装置</w:t>
            </w:r>
          </w:p>
        </w:tc>
        <w:tc>
          <w:tcPr>
            <w:tcW w:w="969" w:type="dxa"/>
            <w:vAlign w:val="top"/>
            <w:vMerge w:val="restart"/>
            <w:tcBorders>
              <w:bottom w:val="nil"/>
            </w:tcBorders>
          </w:tcPr>
          <w:p>
            <w:pPr>
              <w:spacing w:line="403" w:lineRule="auto"/>
              <w:rPr>
                <w:rFonts w:ascii="Arial"/>
                <w:sz w:val="21"/>
              </w:rPr>
            </w:pPr>
            <w:r/>
          </w:p>
          <w:p>
            <w:pPr>
              <w:pStyle w:val="TableText"/>
              <w:ind w:left="161"/>
              <w:spacing w:before="68" w:line="220" w:lineRule="auto"/>
              <w:rPr>
                <w:sz w:val="21"/>
                <w:szCs w:val="21"/>
              </w:rPr>
            </w:pPr>
            <w:r>
              <w:rPr>
                <w:sz w:val="21"/>
                <w:szCs w:val="21"/>
                <w:spacing w:val="3"/>
              </w:rPr>
              <w:t>污染物</w:t>
            </w:r>
          </w:p>
        </w:tc>
        <w:tc>
          <w:tcPr>
            <w:tcW w:w="3826" w:type="dxa"/>
            <w:vAlign w:val="top"/>
            <w:gridSpan w:val="4"/>
          </w:tcPr>
          <w:p>
            <w:pPr>
              <w:pStyle w:val="TableText"/>
              <w:ind w:left="972"/>
              <w:spacing w:before="53" w:line="212" w:lineRule="auto"/>
              <w:rPr>
                <w:sz w:val="21"/>
                <w:szCs w:val="21"/>
              </w:rPr>
            </w:pPr>
            <w:r>
              <w:rPr>
                <w:sz w:val="21"/>
                <w:szCs w:val="21"/>
                <w:spacing w:val="5"/>
              </w:rPr>
              <w:t>污染物产生(每台)</w:t>
            </w:r>
          </w:p>
        </w:tc>
        <w:tc>
          <w:tcPr>
            <w:tcW w:w="1549" w:type="dxa"/>
            <w:vAlign w:val="top"/>
            <w:gridSpan w:val="2"/>
          </w:tcPr>
          <w:p>
            <w:pPr>
              <w:pStyle w:val="TableText"/>
              <w:ind w:left="386"/>
              <w:spacing w:before="53" w:line="212" w:lineRule="auto"/>
              <w:rPr>
                <w:sz w:val="21"/>
                <w:szCs w:val="21"/>
              </w:rPr>
            </w:pPr>
            <w:r>
              <w:rPr>
                <w:sz w:val="21"/>
                <w:szCs w:val="21"/>
                <w:spacing w:val="2"/>
              </w:rPr>
              <w:t>治理措施</w:t>
            </w:r>
          </w:p>
        </w:tc>
        <w:tc>
          <w:tcPr>
            <w:tcW w:w="2847" w:type="dxa"/>
            <w:vAlign w:val="top"/>
            <w:gridSpan w:val="3"/>
          </w:tcPr>
          <w:p>
            <w:pPr>
              <w:pStyle w:val="TableText"/>
              <w:ind w:left="506"/>
              <w:spacing w:before="53" w:line="212" w:lineRule="auto"/>
              <w:rPr>
                <w:sz w:val="21"/>
                <w:szCs w:val="21"/>
              </w:rPr>
            </w:pPr>
            <w:r>
              <w:rPr>
                <w:sz w:val="21"/>
                <w:szCs w:val="21"/>
                <w:spacing w:val="5"/>
              </w:rPr>
              <w:t>污染物排放(每台)</w:t>
            </w:r>
          </w:p>
        </w:tc>
        <w:tc>
          <w:tcPr>
            <w:tcW w:w="2660" w:type="dxa"/>
            <w:vAlign w:val="top"/>
            <w:gridSpan w:val="4"/>
          </w:tcPr>
          <w:p>
            <w:pPr>
              <w:pStyle w:val="TableText"/>
              <w:ind w:left="849"/>
              <w:spacing w:before="53" w:line="212" w:lineRule="auto"/>
              <w:rPr>
                <w:sz w:val="21"/>
                <w:szCs w:val="21"/>
              </w:rPr>
            </w:pPr>
            <w:r>
              <w:rPr>
                <w:sz w:val="21"/>
                <w:szCs w:val="21"/>
                <w:spacing w:val="-2"/>
              </w:rPr>
              <w:t>排气筒参数</w:t>
            </w:r>
          </w:p>
        </w:tc>
        <w:tc>
          <w:tcPr>
            <w:tcW w:w="715" w:type="dxa"/>
            <w:vAlign w:val="top"/>
            <w:vMerge w:val="restart"/>
            <w:tcBorders>
              <w:bottom w:val="nil"/>
            </w:tcBorders>
          </w:tcPr>
          <w:p>
            <w:pPr>
              <w:spacing w:line="265" w:lineRule="auto"/>
              <w:rPr>
                <w:rFonts w:ascii="Arial"/>
                <w:sz w:val="21"/>
              </w:rPr>
            </w:pPr>
            <w:r/>
          </w:p>
          <w:p>
            <w:pPr>
              <w:pStyle w:val="TableText"/>
              <w:ind w:left="140" w:right="22" w:hanging="100"/>
              <w:spacing w:before="68" w:line="235" w:lineRule="auto"/>
              <w:rPr>
                <w:sz w:val="21"/>
                <w:szCs w:val="21"/>
              </w:rPr>
            </w:pPr>
            <w:r>
              <w:rPr>
                <w:sz w:val="21"/>
                <w:szCs w:val="21"/>
                <w:spacing w:val="4"/>
              </w:rPr>
              <w:t>排放时</w:t>
            </w:r>
            <w:r>
              <w:rPr>
                <w:sz w:val="21"/>
                <w:szCs w:val="21"/>
              </w:rPr>
              <w:t xml:space="preserve"> </w:t>
            </w:r>
            <w:r>
              <w:rPr>
                <w:sz w:val="21"/>
                <w:szCs w:val="21"/>
                <w:spacing w:val="2"/>
              </w:rPr>
              <w:t>间/h</w:t>
            </w:r>
          </w:p>
        </w:tc>
      </w:tr>
      <w:tr>
        <w:trPr>
          <w:trHeight w:val="838" w:hRule="atLeast"/>
        </w:trPr>
        <w:tc>
          <w:tcPr>
            <w:tcW w:w="655" w:type="dxa"/>
            <w:vAlign w:val="top"/>
            <w:vMerge w:val="continue"/>
            <w:tcBorders>
              <w:top w:val="nil"/>
            </w:tcBorders>
          </w:tcPr>
          <w:p>
            <w:pPr>
              <w:rPr>
                <w:rFonts w:ascii="Arial"/>
                <w:sz w:val="21"/>
              </w:rPr>
            </w:pPr>
            <w:r/>
          </w:p>
        </w:tc>
        <w:tc>
          <w:tcPr>
            <w:tcW w:w="1019" w:type="dxa"/>
            <w:vAlign w:val="top"/>
            <w:vMerge w:val="continue"/>
            <w:tcBorders>
              <w:top w:val="nil"/>
            </w:tcBorders>
          </w:tcPr>
          <w:p>
            <w:pPr>
              <w:rPr>
                <w:rFonts w:ascii="Arial"/>
                <w:sz w:val="21"/>
              </w:rPr>
            </w:pPr>
            <w:r/>
          </w:p>
        </w:tc>
        <w:tc>
          <w:tcPr>
            <w:tcW w:w="969" w:type="dxa"/>
            <w:vAlign w:val="top"/>
            <w:vMerge w:val="continue"/>
            <w:tcBorders>
              <w:top w:val="nil"/>
            </w:tcBorders>
          </w:tcPr>
          <w:p>
            <w:pPr>
              <w:rPr>
                <w:rFonts w:ascii="Arial"/>
                <w:sz w:val="21"/>
              </w:rPr>
            </w:pPr>
            <w:r/>
          </w:p>
        </w:tc>
        <w:tc>
          <w:tcPr>
            <w:tcW w:w="859" w:type="dxa"/>
            <w:vAlign w:val="top"/>
          </w:tcPr>
          <w:p>
            <w:pPr>
              <w:pStyle w:val="TableText"/>
              <w:ind w:left="310" w:right="127" w:hanging="209"/>
              <w:spacing w:before="189" w:line="225" w:lineRule="auto"/>
              <w:rPr>
                <w:sz w:val="21"/>
                <w:szCs w:val="21"/>
              </w:rPr>
            </w:pPr>
            <w:r>
              <w:rPr>
                <w:sz w:val="21"/>
                <w:szCs w:val="21"/>
                <w:spacing w:val="-4"/>
              </w:rPr>
              <w:t>核算方</w:t>
            </w:r>
            <w:r>
              <w:rPr>
                <w:sz w:val="21"/>
                <w:szCs w:val="21"/>
              </w:rPr>
              <w:t xml:space="preserve"> </w:t>
            </w:r>
            <w:r>
              <w:rPr>
                <w:sz w:val="21"/>
                <w:szCs w:val="21"/>
              </w:rPr>
              <w:t>法</w:t>
            </w:r>
          </w:p>
        </w:tc>
        <w:tc>
          <w:tcPr>
            <w:tcW w:w="969" w:type="dxa"/>
            <w:vAlign w:val="top"/>
          </w:tcPr>
          <w:p>
            <w:pPr>
              <w:pStyle w:val="TableText"/>
              <w:ind w:left="52"/>
              <w:spacing w:before="188" w:line="219" w:lineRule="auto"/>
              <w:rPr>
                <w:sz w:val="21"/>
                <w:szCs w:val="21"/>
              </w:rPr>
            </w:pPr>
            <w:r>
              <w:rPr>
                <w:sz w:val="21"/>
                <w:szCs w:val="21"/>
                <w:spacing w:val="-2"/>
              </w:rPr>
              <w:t>产生速率</w:t>
            </w:r>
          </w:p>
          <w:p>
            <w:pPr>
              <w:pStyle w:val="TableText"/>
              <w:ind w:left="163"/>
              <w:spacing w:before="3" w:line="214" w:lineRule="auto"/>
              <w:rPr>
                <w:sz w:val="21"/>
                <w:szCs w:val="21"/>
              </w:rPr>
            </w:pPr>
            <w:r>
              <w:rPr>
                <w:sz w:val="21"/>
                <w:szCs w:val="21"/>
                <w:spacing w:val="-7"/>
              </w:rPr>
              <w:t>(kg/h)</w:t>
            </w:r>
          </w:p>
        </w:tc>
        <w:tc>
          <w:tcPr>
            <w:tcW w:w="999" w:type="dxa"/>
            <w:vAlign w:val="top"/>
          </w:tcPr>
          <w:p>
            <w:pPr>
              <w:pStyle w:val="TableText"/>
              <w:ind w:left="73" w:right="62"/>
              <w:spacing w:before="187" w:line="223" w:lineRule="auto"/>
              <w:rPr>
                <w:sz w:val="21"/>
                <w:szCs w:val="21"/>
              </w:rPr>
            </w:pPr>
            <w:r>
              <w:rPr>
                <w:sz w:val="21"/>
                <w:szCs w:val="21"/>
                <w:spacing w:val="3"/>
              </w:rPr>
              <w:t>产生浓度</w:t>
            </w:r>
            <w:r>
              <w:rPr>
                <w:sz w:val="21"/>
                <w:szCs w:val="21"/>
              </w:rPr>
              <w:t xml:space="preserve"> </w:t>
            </w:r>
            <w:r>
              <w:rPr>
                <w:sz w:val="21"/>
                <w:szCs w:val="21"/>
                <w:spacing w:val="-6"/>
              </w:rPr>
              <w:t>(mg/m³)</w:t>
            </w:r>
          </w:p>
        </w:tc>
        <w:tc>
          <w:tcPr>
            <w:tcW w:w="999" w:type="dxa"/>
            <w:vAlign w:val="top"/>
          </w:tcPr>
          <w:p>
            <w:pPr>
              <w:pStyle w:val="TableText"/>
              <w:ind w:left="224" w:right="192" w:hanging="50"/>
              <w:spacing w:before="198" w:line="227" w:lineRule="auto"/>
              <w:rPr>
                <w:sz w:val="21"/>
                <w:szCs w:val="21"/>
              </w:rPr>
            </w:pPr>
            <w:r>
              <w:rPr>
                <w:sz w:val="21"/>
                <w:szCs w:val="21"/>
                <w:spacing w:val="-3"/>
              </w:rPr>
              <w:t>产生量</w:t>
            </w:r>
            <w:r>
              <w:rPr>
                <w:sz w:val="21"/>
                <w:szCs w:val="21"/>
              </w:rPr>
              <w:t xml:space="preserve"> </w:t>
            </w:r>
            <w:r>
              <w:rPr>
                <w:sz w:val="21"/>
                <w:szCs w:val="21"/>
                <w:spacing w:val="-8"/>
              </w:rPr>
              <w:t>(t/a)</w:t>
            </w:r>
          </w:p>
        </w:tc>
        <w:tc>
          <w:tcPr>
            <w:tcW w:w="859" w:type="dxa"/>
            <w:vAlign w:val="top"/>
          </w:tcPr>
          <w:p>
            <w:pPr>
              <w:spacing w:line="260" w:lineRule="auto"/>
              <w:rPr>
                <w:rFonts w:ascii="Arial"/>
                <w:sz w:val="21"/>
              </w:rPr>
            </w:pPr>
            <w:r/>
          </w:p>
          <w:p>
            <w:pPr>
              <w:pStyle w:val="TableText"/>
              <w:ind w:left="216"/>
              <w:spacing w:before="68" w:line="229" w:lineRule="auto"/>
              <w:rPr>
                <w:sz w:val="21"/>
                <w:szCs w:val="21"/>
              </w:rPr>
            </w:pPr>
            <w:r>
              <w:rPr>
                <w:sz w:val="21"/>
                <w:szCs w:val="21"/>
                <w:spacing w:val="6"/>
              </w:rPr>
              <w:t>工艺</w:t>
            </w:r>
          </w:p>
        </w:tc>
        <w:tc>
          <w:tcPr>
            <w:tcW w:w="690" w:type="dxa"/>
            <w:vAlign w:val="top"/>
          </w:tcPr>
          <w:p>
            <w:pPr>
              <w:pStyle w:val="TableText"/>
              <w:ind w:left="27"/>
              <w:spacing w:before="49" w:line="220" w:lineRule="auto"/>
              <w:rPr>
                <w:sz w:val="21"/>
                <w:szCs w:val="21"/>
              </w:rPr>
            </w:pPr>
            <w:r>
              <w:rPr>
                <w:sz w:val="21"/>
                <w:szCs w:val="21"/>
                <w:spacing w:val="3"/>
              </w:rPr>
              <w:t>是否为</w:t>
            </w:r>
          </w:p>
          <w:p>
            <w:pPr>
              <w:pStyle w:val="TableText"/>
              <w:ind w:left="27"/>
              <w:spacing w:before="19" w:line="220" w:lineRule="auto"/>
              <w:rPr>
                <w:sz w:val="21"/>
                <w:szCs w:val="21"/>
              </w:rPr>
            </w:pPr>
            <w:r>
              <w:rPr>
                <w:sz w:val="21"/>
                <w:szCs w:val="21"/>
                <w:spacing w:val="-3"/>
              </w:rPr>
              <w:t>可行技</w:t>
            </w:r>
          </w:p>
          <w:p>
            <w:pPr>
              <w:pStyle w:val="TableText"/>
              <w:ind w:left="237"/>
              <w:spacing w:before="9" w:line="219" w:lineRule="auto"/>
              <w:rPr>
                <w:sz w:val="21"/>
                <w:szCs w:val="21"/>
              </w:rPr>
            </w:pPr>
            <w:r>
              <w:rPr>
                <w:sz w:val="21"/>
                <w:szCs w:val="21"/>
              </w:rPr>
              <w:t>术</w:t>
            </w:r>
          </w:p>
        </w:tc>
        <w:tc>
          <w:tcPr>
            <w:tcW w:w="1019" w:type="dxa"/>
            <w:vAlign w:val="top"/>
          </w:tcPr>
          <w:p>
            <w:pPr>
              <w:pStyle w:val="TableText"/>
              <w:ind w:left="186" w:right="90" w:hanging="100"/>
              <w:spacing w:before="189" w:line="231" w:lineRule="auto"/>
              <w:rPr>
                <w:sz w:val="21"/>
                <w:szCs w:val="21"/>
              </w:rPr>
            </w:pPr>
            <w:r>
              <w:rPr>
                <w:sz w:val="21"/>
                <w:szCs w:val="21"/>
                <w:spacing w:val="-3"/>
              </w:rPr>
              <w:t>排放速率</w:t>
            </w:r>
            <w:r>
              <w:rPr>
                <w:sz w:val="21"/>
                <w:szCs w:val="21"/>
                <w:spacing w:val="2"/>
              </w:rPr>
              <w:t xml:space="preserve"> </w:t>
            </w:r>
            <w:r>
              <w:rPr>
                <w:sz w:val="21"/>
                <w:szCs w:val="21"/>
                <w:spacing w:val="-7"/>
              </w:rPr>
              <w:t>(kg/h)</w:t>
            </w:r>
          </w:p>
        </w:tc>
        <w:tc>
          <w:tcPr>
            <w:tcW w:w="1009" w:type="dxa"/>
            <w:vAlign w:val="top"/>
          </w:tcPr>
          <w:p>
            <w:pPr>
              <w:pStyle w:val="TableText"/>
              <w:ind w:left="78" w:right="68"/>
              <w:spacing w:before="178" w:line="227" w:lineRule="auto"/>
              <w:rPr>
                <w:sz w:val="21"/>
                <w:szCs w:val="21"/>
              </w:rPr>
            </w:pPr>
            <w:r>
              <w:rPr>
                <w:sz w:val="21"/>
                <w:szCs w:val="21"/>
                <w:spacing w:val="3"/>
              </w:rPr>
              <w:t>排放浓度</w:t>
            </w:r>
            <w:r>
              <w:rPr>
                <w:sz w:val="21"/>
                <w:szCs w:val="21"/>
              </w:rPr>
              <w:t xml:space="preserve"> </w:t>
            </w:r>
            <w:r>
              <w:rPr>
                <w:sz w:val="21"/>
                <w:szCs w:val="21"/>
                <w:spacing w:val="-6"/>
              </w:rPr>
              <w:t>(mg/m³)</w:t>
            </w:r>
          </w:p>
        </w:tc>
        <w:tc>
          <w:tcPr>
            <w:tcW w:w="819" w:type="dxa"/>
            <w:vAlign w:val="top"/>
          </w:tcPr>
          <w:p>
            <w:pPr>
              <w:pStyle w:val="TableText"/>
              <w:ind w:left="139" w:right="98" w:hanging="50"/>
              <w:spacing w:before="200" w:line="226" w:lineRule="auto"/>
              <w:rPr>
                <w:sz w:val="21"/>
                <w:szCs w:val="21"/>
              </w:rPr>
            </w:pPr>
            <w:r>
              <w:rPr>
                <w:sz w:val="21"/>
                <w:szCs w:val="21"/>
                <w:spacing w:val="-3"/>
              </w:rPr>
              <w:t>排放量</w:t>
            </w:r>
            <w:r>
              <w:rPr>
                <w:sz w:val="21"/>
                <w:szCs w:val="21"/>
              </w:rPr>
              <w:t xml:space="preserve"> </w:t>
            </w:r>
            <w:r>
              <w:rPr>
                <w:sz w:val="21"/>
                <w:szCs w:val="21"/>
                <w:spacing w:val="-8"/>
              </w:rPr>
              <w:t>(t/a)</w:t>
            </w:r>
          </w:p>
        </w:tc>
        <w:tc>
          <w:tcPr>
            <w:tcW w:w="700" w:type="dxa"/>
            <w:vAlign w:val="top"/>
          </w:tcPr>
          <w:p>
            <w:pPr>
              <w:pStyle w:val="TableText"/>
              <w:ind w:left="30"/>
              <w:spacing w:before="19" w:line="220" w:lineRule="auto"/>
              <w:rPr>
                <w:sz w:val="21"/>
                <w:szCs w:val="21"/>
              </w:rPr>
            </w:pPr>
            <w:r>
              <w:rPr>
                <w:sz w:val="21"/>
                <w:szCs w:val="21"/>
                <w:spacing w:val="-2"/>
              </w:rPr>
              <w:t>废气量</w:t>
            </w:r>
          </w:p>
          <w:p>
            <w:pPr>
              <w:pStyle w:val="TableText"/>
              <w:ind w:left="289" w:right="63" w:hanging="120"/>
              <w:spacing w:before="52" w:line="228" w:lineRule="auto"/>
              <w:rPr>
                <w:sz w:val="21"/>
                <w:szCs w:val="21"/>
              </w:rPr>
            </w:pPr>
            <w:r>
              <w:rPr>
                <w:sz w:val="20"/>
                <w:szCs w:val="20"/>
                <w:spacing w:val="-9"/>
              </w:rPr>
              <w:t>(m³/h</w:t>
            </w:r>
            <w:r>
              <w:rPr>
                <w:sz w:val="20"/>
                <w:szCs w:val="20"/>
              </w:rPr>
              <w:t xml:space="preserve"> </w:t>
            </w:r>
            <w:r>
              <w:rPr>
                <w:sz w:val="21"/>
                <w:szCs w:val="21"/>
              </w:rPr>
              <w:t>)</w:t>
            </w:r>
          </w:p>
        </w:tc>
        <w:tc>
          <w:tcPr>
            <w:tcW w:w="680" w:type="dxa"/>
            <w:vAlign w:val="top"/>
          </w:tcPr>
          <w:p>
            <w:pPr>
              <w:pStyle w:val="TableText"/>
              <w:ind w:left="180" w:right="109" w:hanging="50"/>
              <w:spacing w:before="188" w:line="231" w:lineRule="auto"/>
              <w:rPr>
                <w:sz w:val="21"/>
                <w:szCs w:val="21"/>
              </w:rPr>
            </w:pPr>
            <w:r>
              <w:rPr>
                <w:sz w:val="21"/>
                <w:szCs w:val="21"/>
                <w:spacing w:val="5"/>
              </w:rPr>
              <w:t>内径</w:t>
            </w:r>
            <w:r>
              <w:rPr>
                <w:sz w:val="21"/>
                <w:szCs w:val="21"/>
              </w:rPr>
              <w:t xml:space="preserve"> </w:t>
            </w:r>
            <w:r>
              <w:rPr>
                <w:sz w:val="21"/>
                <w:szCs w:val="21"/>
                <w:spacing w:val="-11"/>
              </w:rPr>
              <w:t>(m)</w:t>
            </w:r>
          </w:p>
        </w:tc>
        <w:tc>
          <w:tcPr>
            <w:tcW w:w="600" w:type="dxa"/>
            <w:vAlign w:val="top"/>
          </w:tcPr>
          <w:p>
            <w:pPr>
              <w:pStyle w:val="TableText"/>
              <w:ind w:left="140" w:right="67" w:hanging="50"/>
              <w:spacing w:before="168"/>
              <w:rPr>
                <w:sz w:val="21"/>
                <w:szCs w:val="21"/>
              </w:rPr>
            </w:pPr>
            <w:r>
              <w:rPr>
                <w:sz w:val="21"/>
                <w:szCs w:val="21"/>
                <w:spacing w:val="6"/>
              </w:rPr>
              <w:t>高度</w:t>
            </w:r>
            <w:r>
              <w:rPr>
                <w:sz w:val="21"/>
                <w:szCs w:val="21"/>
              </w:rPr>
              <w:t xml:space="preserve"> </w:t>
            </w:r>
            <w:r>
              <w:rPr>
                <w:sz w:val="21"/>
                <w:szCs w:val="21"/>
                <w:spacing w:val="-11"/>
              </w:rPr>
              <w:t>(m)</w:t>
            </w:r>
          </w:p>
        </w:tc>
        <w:tc>
          <w:tcPr>
            <w:tcW w:w="680" w:type="dxa"/>
            <w:vAlign w:val="top"/>
          </w:tcPr>
          <w:p>
            <w:pPr>
              <w:spacing w:line="249" w:lineRule="auto"/>
              <w:rPr>
                <w:rFonts w:ascii="Arial"/>
                <w:sz w:val="21"/>
              </w:rPr>
            </w:pPr>
            <w:r/>
          </w:p>
          <w:p>
            <w:pPr>
              <w:pStyle w:val="TableText"/>
              <w:ind w:left="130"/>
              <w:spacing w:before="68" w:line="219" w:lineRule="auto"/>
              <w:rPr>
                <w:sz w:val="21"/>
                <w:szCs w:val="21"/>
              </w:rPr>
            </w:pPr>
            <w:r>
              <w:rPr>
                <w:sz w:val="21"/>
                <w:szCs w:val="21"/>
                <w:spacing w:val="6"/>
              </w:rPr>
              <w:t>编号</w:t>
            </w:r>
          </w:p>
        </w:tc>
        <w:tc>
          <w:tcPr>
            <w:tcW w:w="715" w:type="dxa"/>
            <w:vAlign w:val="top"/>
            <w:vMerge w:val="continue"/>
            <w:tcBorders>
              <w:top w:val="nil"/>
            </w:tcBorders>
          </w:tcPr>
          <w:p>
            <w:pPr>
              <w:rPr>
                <w:rFonts w:ascii="Arial"/>
                <w:sz w:val="21"/>
              </w:rPr>
            </w:pPr>
            <w:r/>
          </w:p>
        </w:tc>
      </w:tr>
      <w:tr>
        <w:trPr>
          <w:trHeight w:val="309" w:hRule="atLeast"/>
        </w:trPr>
        <w:tc>
          <w:tcPr>
            <w:tcW w:w="655" w:type="dxa"/>
            <w:vAlign w:val="top"/>
            <w:vMerge w:val="restart"/>
            <w:tcBorders>
              <w:bottom w:val="nil"/>
            </w:tcBorders>
          </w:tcPr>
          <w:p>
            <w:pPr>
              <w:spacing w:line="309" w:lineRule="auto"/>
              <w:rPr>
                <w:rFonts w:ascii="Arial"/>
                <w:sz w:val="21"/>
              </w:rPr>
            </w:pPr>
            <w:r/>
          </w:p>
          <w:p>
            <w:pPr>
              <w:spacing w:line="309" w:lineRule="auto"/>
              <w:rPr>
                <w:rFonts w:ascii="Arial"/>
                <w:sz w:val="21"/>
              </w:rPr>
            </w:pPr>
            <w:r/>
          </w:p>
          <w:p>
            <w:pPr>
              <w:pStyle w:val="TableText"/>
              <w:spacing w:before="68" w:line="219" w:lineRule="auto"/>
              <w:jc w:val="right"/>
              <w:rPr>
                <w:sz w:val="21"/>
                <w:szCs w:val="21"/>
              </w:rPr>
            </w:pPr>
            <w:r>
              <w:rPr>
                <w:sz w:val="21"/>
                <w:szCs w:val="21"/>
                <w:spacing w:val="-1"/>
              </w:rPr>
              <w:t>凹版车</w:t>
            </w:r>
          </w:p>
          <w:p>
            <w:pPr>
              <w:pStyle w:val="TableText"/>
              <w:spacing w:before="21" w:line="220" w:lineRule="auto"/>
              <w:jc w:val="right"/>
              <w:rPr>
                <w:sz w:val="21"/>
                <w:szCs w:val="21"/>
              </w:rPr>
            </w:pPr>
            <w:r>
              <w:rPr>
                <w:sz w:val="21"/>
                <w:szCs w:val="21"/>
                <w:spacing w:val="-1"/>
              </w:rPr>
              <w:t>间锅炉</w:t>
            </w:r>
          </w:p>
          <w:p>
            <w:pPr>
              <w:pStyle w:val="TableText"/>
              <w:ind w:left="215"/>
              <w:spacing w:before="29" w:line="220" w:lineRule="auto"/>
              <w:rPr>
                <w:sz w:val="21"/>
                <w:szCs w:val="21"/>
              </w:rPr>
            </w:pPr>
            <w:r>
              <w:rPr>
                <w:sz w:val="21"/>
                <w:szCs w:val="21"/>
              </w:rPr>
              <w:t>房</w:t>
            </w:r>
          </w:p>
        </w:tc>
        <w:tc>
          <w:tcPr>
            <w:tcW w:w="1019" w:type="dxa"/>
            <w:vAlign w:val="top"/>
            <w:vMerge w:val="restart"/>
            <w:tcBorders>
              <w:bottom w:val="nil"/>
            </w:tcBorders>
          </w:tcPr>
          <w:p>
            <w:pPr>
              <w:pStyle w:val="TableText"/>
              <w:ind w:left="20"/>
              <w:spacing w:before="113" w:line="221" w:lineRule="auto"/>
              <w:rPr>
                <w:sz w:val="21"/>
                <w:szCs w:val="21"/>
              </w:rPr>
            </w:pPr>
            <w:r>
              <w:rPr>
                <w:sz w:val="21"/>
                <w:szCs w:val="21"/>
                <w:spacing w:val="2"/>
              </w:rPr>
              <w:t>10t/h蒸汽</w:t>
            </w:r>
          </w:p>
          <w:p>
            <w:pPr>
              <w:pStyle w:val="TableText"/>
              <w:ind w:left="79"/>
              <w:spacing w:before="36" w:line="220" w:lineRule="auto"/>
              <w:rPr>
                <w:sz w:val="21"/>
                <w:szCs w:val="21"/>
              </w:rPr>
            </w:pPr>
            <w:r>
              <w:rPr>
                <w:sz w:val="21"/>
                <w:szCs w:val="21"/>
                <w:spacing w:val="3"/>
              </w:rPr>
              <w:t>锅炉废气</w:t>
            </w:r>
          </w:p>
          <w:p>
            <w:pPr>
              <w:pStyle w:val="TableText"/>
              <w:ind w:left="229"/>
              <w:spacing w:before="11" w:line="221" w:lineRule="auto"/>
              <w:rPr>
                <w:sz w:val="21"/>
                <w:szCs w:val="21"/>
              </w:rPr>
            </w:pPr>
            <w:r>
              <w:rPr>
                <w:sz w:val="21"/>
                <w:szCs w:val="21"/>
                <w:spacing w:val="12"/>
              </w:rPr>
              <w:t>(2台)</w:t>
            </w:r>
          </w:p>
        </w:tc>
        <w:tc>
          <w:tcPr>
            <w:tcW w:w="969" w:type="dxa"/>
            <w:vAlign w:val="top"/>
          </w:tcPr>
          <w:p>
            <w:pPr>
              <w:pStyle w:val="TableText"/>
              <w:ind w:left="260"/>
              <w:spacing w:before="84" w:line="183" w:lineRule="auto"/>
              <w:rPr>
                <w:rFonts w:ascii="Calibri" w:hAnsi="Calibri" w:eastAsia="Calibri" w:cs="Calibri"/>
                <w:sz w:val="21"/>
                <w:szCs w:val="21"/>
              </w:rPr>
            </w:pPr>
            <w:r>
              <w:rPr>
                <w:sz w:val="21"/>
                <w:szCs w:val="21"/>
                <w:spacing w:val="-4"/>
              </w:rPr>
              <w:t>SO</w:t>
            </w:r>
            <w:r>
              <w:rPr>
                <w:rFonts w:ascii="Calibri" w:hAnsi="Calibri" w:eastAsia="Calibri" w:cs="Calibri"/>
                <w:sz w:val="21"/>
                <w:szCs w:val="21"/>
                <w:spacing w:val="-4"/>
              </w:rPr>
              <w:t>₂</w:t>
            </w:r>
          </w:p>
        </w:tc>
        <w:tc>
          <w:tcPr>
            <w:tcW w:w="859" w:type="dxa"/>
            <w:vAlign w:val="top"/>
            <w:vMerge w:val="restart"/>
            <w:tcBorders>
              <w:bottom w:val="nil"/>
            </w:tcBorders>
          </w:tcPr>
          <w:p>
            <w:pPr>
              <w:pStyle w:val="TableText"/>
              <w:ind w:left="101"/>
              <w:spacing w:before="260" w:line="219" w:lineRule="auto"/>
              <w:rPr>
                <w:sz w:val="21"/>
                <w:szCs w:val="21"/>
              </w:rPr>
            </w:pPr>
            <w:r>
              <w:rPr>
                <w:sz w:val="21"/>
                <w:szCs w:val="21"/>
                <w:spacing w:val="6"/>
              </w:rPr>
              <w:t>产污系</w:t>
            </w:r>
          </w:p>
          <w:p>
            <w:pPr>
              <w:pStyle w:val="TableText"/>
              <w:ind w:left="212"/>
              <w:spacing w:before="20" w:line="219" w:lineRule="auto"/>
              <w:rPr>
                <w:sz w:val="21"/>
                <w:szCs w:val="21"/>
              </w:rPr>
            </w:pPr>
            <w:r>
              <w:rPr>
                <w:sz w:val="21"/>
                <w:szCs w:val="21"/>
                <w:spacing w:val="-3"/>
              </w:rPr>
              <w:t>数法</w:t>
            </w:r>
          </w:p>
        </w:tc>
        <w:tc>
          <w:tcPr>
            <w:tcW w:w="969" w:type="dxa"/>
            <w:vAlign w:val="top"/>
          </w:tcPr>
          <w:p>
            <w:pPr>
              <w:pStyle w:val="TableText"/>
              <w:ind w:left="212"/>
              <w:spacing w:before="104" w:line="171" w:lineRule="auto"/>
              <w:rPr>
                <w:sz w:val="21"/>
                <w:szCs w:val="21"/>
              </w:rPr>
            </w:pPr>
            <w:r>
              <w:rPr>
                <w:sz w:val="21"/>
                <w:szCs w:val="21"/>
                <w:spacing w:val="-2"/>
              </w:rPr>
              <w:t>0.124</w:t>
            </w:r>
          </w:p>
        </w:tc>
        <w:tc>
          <w:tcPr>
            <w:tcW w:w="999" w:type="dxa"/>
            <w:vAlign w:val="top"/>
          </w:tcPr>
          <w:p>
            <w:pPr>
              <w:pStyle w:val="TableText"/>
              <w:ind w:left="434"/>
              <w:spacing w:before="104" w:line="171" w:lineRule="auto"/>
              <w:rPr>
                <w:sz w:val="21"/>
                <w:szCs w:val="21"/>
              </w:rPr>
            </w:pPr>
            <w:r>
              <w:rPr>
                <w:sz w:val="21"/>
                <w:szCs w:val="21"/>
              </w:rPr>
              <w:t>3</w:t>
            </w:r>
          </w:p>
        </w:tc>
        <w:tc>
          <w:tcPr>
            <w:tcW w:w="999" w:type="dxa"/>
            <w:vAlign w:val="top"/>
          </w:tcPr>
          <w:p>
            <w:pPr>
              <w:pStyle w:val="TableText"/>
              <w:ind w:left="174"/>
              <w:spacing w:before="104" w:line="171" w:lineRule="auto"/>
              <w:rPr>
                <w:sz w:val="21"/>
                <w:szCs w:val="21"/>
              </w:rPr>
            </w:pPr>
            <w:r>
              <w:rPr>
                <w:sz w:val="21"/>
                <w:szCs w:val="21"/>
                <w:spacing w:val="-4"/>
              </w:rPr>
              <w:t>1.0032</w:t>
            </w:r>
          </w:p>
        </w:tc>
        <w:tc>
          <w:tcPr>
            <w:tcW w:w="859" w:type="dxa"/>
            <w:vAlign w:val="top"/>
            <w:vMerge w:val="restart"/>
            <w:tcBorders>
              <w:bottom w:val="nil"/>
            </w:tcBorders>
          </w:tcPr>
          <w:p>
            <w:pPr>
              <w:spacing w:line="308" w:lineRule="auto"/>
              <w:rPr>
                <w:rFonts w:ascii="Arial"/>
                <w:sz w:val="21"/>
              </w:rPr>
            </w:pPr>
            <w:r/>
          </w:p>
          <w:p>
            <w:pPr>
              <w:spacing w:line="309" w:lineRule="auto"/>
              <w:rPr>
                <w:rFonts w:ascii="Arial"/>
                <w:sz w:val="21"/>
              </w:rPr>
            </w:pPr>
            <w:r/>
          </w:p>
          <w:p>
            <w:pPr>
              <w:pStyle w:val="TableText"/>
              <w:ind w:left="106"/>
              <w:spacing w:before="68" w:line="219" w:lineRule="auto"/>
              <w:rPr>
                <w:sz w:val="21"/>
                <w:szCs w:val="21"/>
              </w:rPr>
            </w:pPr>
            <w:r>
              <w:rPr>
                <w:sz w:val="21"/>
                <w:szCs w:val="21"/>
                <w:spacing w:val="-2"/>
              </w:rPr>
              <w:t>低氮燃</w:t>
            </w:r>
          </w:p>
          <w:p>
            <w:pPr>
              <w:pStyle w:val="TableText"/>
              <w:spacing w:before="20" w:line="219" w:lineRule="auto"/>
              <w:jc w:val="right"/>
              <w:rPr>
                <w:sz w:val="21"/>
                <w:szCs w:val="21"/>
              </w:rPr>
            </w:pPr>
            <w:r>
              <w:rPr>
                <w:sz w:val="21"/>
                <w:szCs w:val="21"/>
                <w:spacing w:val="-2"/>
              </w:rPr>
              <w:t>烧技术、</w:t>
            </w:r>
          </w:p>
          <w:p>
            <w:pPr>
              <w:pStyle w:val="TableText"/>
              <w:ind w:left="216"/>
              <w:spacing w:before="25" w:line="221" w:lineRule="auto"/>
              <w:rPr>
                <w:sz w:val="21"/>
                <w:szCs w:val="21"/>
              </w:rPr>
            </w:pPr>
            <w:r>
              <w:rPr>
                <w:sz w:val="21"/>
                <w:szCs w:val="21"/>
                <w:spacing w:val="-3"/>
              </w:rPr>
              <w:t>直排</w:t>
            </w:r>
          </w:p>
        </w:tc>
        <w:tc>
          <w:tcPr>
            <w:tcW w:w="690" w:type="dxa"/>
            <w:vAlign w:val="top"/>
            <w:vMerge w:val="restart"/>
            <w:tcBorders>
              <w:bottom w:val="nil"/>
            </w:tcBorders>
          </w:tcPr>
          <w:p>
            <w:pPr>
              <w:spacing w:line="290" w:lineRule="auto"/>
              <w:rPr>
                <w:rFonts w:ascii="Arial"/>
                <w:sz w:val="21"/>
              </w:rPr>
            </w:pPr>
            <w:r/>
          </w:p>
          <w:p>
            <w:pPr>
              <w:spacing w:line="290" w:lineRule="auto"/>
              <w:rPr>
                <w:rFonts w:ascii="Arial"/>
                <w:sz w:val="21"/>
              </w:rPr>
            </w:pPr>
            <w:r/>
          </w:p>
          <w:p>
            <w:pPr>
              <w:spacing w:line="290" w:lineRule="auto"/>
              <w:rPr>
                <w:rFonts w:ascii="Arial"/>
                <w:sz w:val="21"/>
              </w:rPr>
            </w:pPr>
            <w:r/>
          </w:p>
          <w:p>
            <w:pPr>
              <w:pStyle w:val="TableText"/>
              <w:ind w:left="237"/>
              <w:spacing w:before="69" w:line="223" w:lineRule="auto"/>
              <w:rPr>
                <w:sz w:val="21"/>
                <w:szCs w:val="21"/>
              </w:rPr>
            </w:pPr>
            <w:r>
              <w:rPr>
                <w:sz w:val="21"/>
                <w:szCs w:val="21"/>
              </w:rPr>
              <w:t>是</w:t>
            </w:r>
          </w:p>
        </w:tc>
        <w:tc>
          <w:tcPr>
            <w:tcW w:w="1019" w:type="dxa"/>
            <w:vAlign w:val="top"/>
          </w:tcPr>
          <w:p>
            <w:pPr>
              <w:pStyle w:val="TableText"/>
              <w:ind w:left="237"/>
              <w:spacing w:before="104" w:line="171" w:lineRule="auto"/>
              <w:rPr>
                <w:sz w:val="21"/>
                <w:szCs w:val="21"/>
              </w:rPr>
            </w:pPr>
            <w:r>
              <w:rPr>
                <w:sz w:val="21"/>
                <w:szCs w:val="21"/>
                <w:spacing w:val="-2"/>
              </w:rPr>
              <w:t>0.124</w:t>
            </w:r>
          </w:p>
        </w:tc>
        <w:tc>
          <w:tcPr>
            <w:tcW w:w="1009" w:type="dxa"/>
            <w:vAlign w:val="top"/>
          </w:tcPr>
          <w:p>
            <w:pPr>
              <w:pStyle w:val="TableText"/>
              <w:ind w:left="448"/>
              <w:spacing w:before="104" w:line="171" w:lineRule="auto"/>
              <w:rPr>
                <w:sz w:val="21"/>
                <w:szCs w:val="21"/>
              </w:rPr>
            </w:pPr>
            <w:r>
              <w:rPr>
                <w:sz w:val="21"/>
                <w:szCs w:val="21"/>
              </w:rPr>
              <w:t>3</w:t>
            </w:r>
          </w:p>
        </w:tc>
        <w:tc>
          <w:tcPr>
            <w:tcW w:w="819" w:type="dxa"/>
            <w:vAlign w:val="top"/>
          </w:tcPr>
          <w:p>
            <w:pPr>
              <w:pStyle w:val="TableText"/>
              <w:ind w:left="89"/>
              <w:spacing w:before="104" w:line="171" w:lineRule="auto"/>
              <w:rPr>
                <w:sz w:val="21"/>
                <w:szCs w:val="21"/>
              </w:rPr>
            </w:pPr>
            <w:r>
              <w:rPr>
                <w:sz w:val="21"/>
                <w:szCs w:val="21"/>
                <w:spacing w:val="-4"/>
              </w:rPr>
              <w:t>1.0032</w:t>
            </w:r>
          </w:p>
        </w:tc>
        <w:tc>
          <w:tcPr>
            <w:tcW w:w="700" w:type="dxa"/>
            <w:vAlign w:val="top"/>
            <w:vMerge w:val="restart"/>
            <w:tcBorders>
              <w:bottom w:val="nil"/>
            </w:tcBorders>
          </w:tcPr>
          <w:p>
            <w:pPr>
              <w:spacing w:line="363" w:lineRule="auto"/>
              <w:rPr>
                <w:rFonts w:ascii="Arial"/>
                <w:sz w:val="21"/>
              </w:rPr>
            </w:pPr>
            <w:r/>
          </w:p>
          <w:p>
            <w:pPr>
              <w:pStyle w:val="TableText"/>
              <w:ind w:left="139"/>
              <w:spacing w:before="68" w:line="184" w:lineRule="auto"/>
              <w:rPr>
                <w:sz w:val="21"/>
                <w:szCs w:val="21"/>
              </w:rPr>
            </w:pPr>
            <w:r>
              <w:rPr>
                <w:sz w:val="21"/>
                <w:szCs w:val="21"/>
                <w:spacing w:val="-2"/>
              </w:rPr>
              <w:t>8189</w:t>
            </w:r>
          </w:p>
        </w:tc>
        <w:tc>
          <w:tcPr>
            <w:tcW w:w="680" w:type="dxa"/>
            <w:vAlign w:val="top"/>
            <w:vMerge w:val="restart"/>
            <w:tcBorders>
              <w:bottom w:val="nil"/>
            </w:tcBorders>
          </w:tcPr>
          <w:p>
            <w:pPr>
              <w:spacing w:line="363" w:lineRule="auto"/>
              <w:rPr>
                <w:rFonts w:ascii="Arial"/>
                <w:sz w:val="21"/>
              </w:rPr>
            </w:pPr>
            <w:r/>
          </w:p>
          <w:p>
            <w:pPr>
              <w:pStyle w:val="TableText"/>
              <w:ind w:left="180"/>
              <w:spacing w:before="68" w:line="184" w:lineRule="auto"/>
              <w:rPr>
                <w:sz w:val="21"/>
                <w:szCs w:val="21"/>
              </w:rPr>
            </w:pPr>
            <w:r>
              <w:rPr>
                <w:sz w:val="21"/>
                <w:szCs w:val="21"/>
                <w:spacing w:val="-6"/>
              </w:rPr>
              <w:t>1.0</w:t>
            </w:r>
          </w:p>
        </w:tc>
        <w:tc>
          <w:tcPr>
            <w:tcW w:w="600" w:type="dxa"/>
            <w:vAlign w:val="top"/>
            <w:vMerge w:val="restart"/>
            <w:tcBorders>
              <w:bottom w:val="nil"/>
            </w:tcBorders>
          </w:tcPr>
          <w:p>
            <w:pPr>
              <w:spacing w:line="364" w:lineRule="auto"/>
              <w:rPr>
                <w:rFonts w:ascii="Arial"/>
                <w:sz w:val="21"/>
              </w:rPr>
            </w:pPr>
            <w:r/>
          </w:p>
          <w:p>
            <w:pPr>
              <w:pStyle w:val="TableText"/>
              <w:ind w:left="190"/>
              <w:spacing w:before="68" w:line="183" w:lineRule="auto"/>
              <w:rPr>
                <w:sz w:val="21"/>
                <w:szCs w:val="21"/>
              </w:rPr>
            </w:pPr>
            <w:r>
              <w:rPr>
                <w:sz w:val="21"/>
                <w:szCs w:val="21"/>
                <w:spacing w:val="-3"/>
              </w:rPr>
              <w:t>27</w:t>
            </w:r>
          </w:p>
        </w:tc>
        <w:tc>
          <w:tcPr>
            <w:tcW w:w="680" w:type="dxa"/>
            <w:vAlign w:val="top"/>
            <w:vMerge w:val="restart"/>
            <w:tcBorders>
              <w:bottom w:val="nil"/>
            </w:tcBorders>
          </w:tcPr>
          <w:p>
            <w:pPr>
              <w:pStyle w:val="TableText"/>
              <w:ind w:left="69"/>
              <w:spacing w:before="202" w:line="185" w:lineRule="auto"/>
              <w:rPr>
                <w:sz w:val="21"/>
                <w:szCs w:val="21"/>
              </w:rPr>
            </w:pPr>
            <w:r>
              <w:rPr>
                <w:sz w:val="21"/>
                <w:szCs w:val="21"/>
                <w:spacing w:val="-1"/>
              </w:rPr>
              <w:t>DA025</w:t>
            </w:r>
          </w:p>
          <w:p>
            <w:pPr>
              <w:pStyle w:val="TableText"/>
              <w:ind w:left="69"/>
              <w:spacing w:before="309" w:line="185" w:lineRule="auto"/>
              <w:rPr>
                <w:sz w:val="21"/>
                <w:szCs w:val="21"/>
              </w:rPr>
            </w:pPr>
            <w:r>
              <w:rPr>
                <w:sz w:val="21"/>
                <w:szCs w:val="21"/>
                <w:spacing w:val="-1"/>
              </w:rPr>
              <w:t>DA027</w:t>
            </w:r>
          </w:p>
        </w:tc>
        <w:tc>
          <w:tcPr>
            <w:tcW w:w="715" w:type="dxa"/>
            <w:vAlign w:val="top"/>
            <w:vMerge w:val="restart"/>
            <w:tcBorders>
              <w:bottom w:val="nil"/>
            </w:tcBorders>
          </w:tcPr>
          <w:p>
            <w:pPr>
              <w:spacing w:line="364" w:lineRule="auto"/>
              <w:rPr>
                <w:rFonts w:ascii="Arial"/>
                <w:sz w:val="21"/>
              </w:rPr>
            </w:pPr>
            <w:r/>
          </w:p>
          <w:p>
            <w:pPr>
              <w:pStyle w:val="TableText"/>
              <w:ind w:left="140"/>
              <w:spacing w:before="68" w:line="183" w:lineRule="auto"/>
              <w:rPr>
                <w:sz w:val="21"/>
                <w:szCs w:val="21"/>
              </w:rPr>
            </w:pPr>
            <w:r>
              <w:rPr>
                <w:sz w:val="21"/>
                <w:szCs w:val="21"/>
                <w:spacing w:val="-2"/>
              </w:rPr>
              <w:t>6600</w:t>
            </w:r>
          </w:p>
        </w:tc>
      </w:tr>
      <w:tr>
        <w:trPr>
          <w:trHeight w:val="329" w:hRule="atLeast"/>
        </w:trPr>
        <w:tc>
          <w:tcPr>
            <w:tcW w:w="655" w:type="dxa"/>
            <w:vAlign w:val="top"/>
            <w:vMerge w:val="continue"/>
            <w:tcBorders>
              <w:top w:val="nil"/>
              <w:bottom w:val="nil"/>
            </w:tcBorders>
          </w:tcPr>
          <w:p>
            <w:pPr>
              <w:rPr>
                <w:rFonts w:ascii="Arial"/>
                <w:sz w:val="21"/>
              </w:rPr>
            </w:pPr>
            <w:r/>
          </w:p>
        </w:tc>
        <w:tc>
          <w:tcPr>
            <w:tcW w:w="1019" w:type="dxa"/>
            <w:vAlign w:val="top"/>
            <w:vMerge w:val="continue"/>
            <w:tcBorders>
              <w:top w:val="nil"/>
              <w:bottom w:val="nil"/>
            </w:tcBorders>
          </w:tcPr>
          <w:p>
            <w:pPr>
              <w:rPr>
                <w:rFonts w:ascii="Arial"/>
                <w:sz w:val="21"/>
              </w:rPr>
            </w:pPr>
            <w:r/>
          </w:p>
        </w:tc>
        <w:tc>
          <w:tcPr>
            <w:tcW w:w="969" w:type="dxa"/>
            <w:vAlign w:val="top"/>
          </w:tcPr>
          <w:p>
            <w:pPr>
              <w:pStyle w:val="TableText"/>
              <w:ind w:left="310"/>
              <w:spacing w:before="115" w:line="179" w:lineRule="auto"/>
              <w:rPr>
                <w:sz w:val="21"/>
                <w:szCs w:val="21"/>
              </w:rPr>
            </w:pPr>
            <w:r>
              <w:rPr>
                <w:sz w:val="21"/>
                <w:szCs w:val="21"/>
                <w:spacing w:val="-1"/>
              </w:rPr>
              <w:t>NOx</w:t>
            </w:r>
          </w:p>
        </w:tc>
        <w:tc>
          <w:tcPr>
            <w:tcW w:w="859" w:type="dxa"/>
            <w:vAlign w:val="top"/>
            <w:vMerge w:val="continue"/>
            <w:tcBorders>
              <w:top w:val="nil"/>
              <w:bottom w:val="nil"/>
            </w:tcBorders>
          </w:tcPr>
          <w:p>
            <w:pPr>
              <w:rPr>
                <w:rFonts w:ascii="Arial"/>
                <w:sz w:val="21"/>
              </w:rPr>
            </w:pPr>
            <w:r/>
          </w:p>
        </w:tc>
        <w:tc>
          <w:tcPr>
            <w:tcW w:w="969" w:type="dxa"/>
            <w:vAlign w:val="top"/>
          </w:tcPr>
          <w:p>
            <w:pPr>
              <w:pStyle w:val="TableText"/>
              <w:ind w:left="212"/>
              <w:spacing w:before="115" w:line="179" w:lineRule="auto"/>
              <w:rPr>
                <w:sz w:val="21"/>
                <w:szCs w:val="21"/>
              </w:rPr>
            </w:pPr>
            <w:r>
              <w:rPr>
                <w:sz w:val="21"/>
                <w:szCs w:val="21"/>
                <w:spacing w:val="-2"/>
              </w:rPr>
              <w:t>0.409</w:t>
            </w:r>
          </w:p>
        </w:tc>
        <w:tc>
          <w:tcPr>
            <w:tcW w:w="999" w:type="dxa"/>
            <w:vAlign w:val="top"/>
          </w:tcPr>
          <w:p>
            <w:pPr>
              <w:pStyle w:val="TableText"/>
              <w:ind w:left="384"/>
              <w:spacing w:before="115" w:line="179" w:lineRule="auto"/>
              <w:rPr>
                <w:sz w:val="21"/>
                <w:szCs w:val="21"/>
              </w:rPr>
            </w:pPr>
            <w:r>
              <w:rPr>
                <w:sz w:val="21"/>
                <w:szCs w:val="21"/>
                <w:spacing w:val="-4"/>
              </w:rPr>
              <w:t>50</w:t>
            </w:r>
          </w:p>
        </w:tc>
        <w:tc>
          <w:tcPr>
            <w:tcW w:w="999" w:type="dxa"/>
            <w:vAlign w:val="top"/>
          </w:tcPr>
          <w:p>
            <w:pPr>
              <w:pStyle w:val="TableText"/>
              <w:ind w:left="174"/>
              <w:spacing w:before="115" w:line="179" w:lineRule="auto"/>
              <w:rPr>
                <w:sz w:val="21"/>
                <w:szCs w:val="21"/>
              </w:rPr>
            </w:pPr>
            <w:r>
              <w:rPr>
                <w:sz w:val="21"/>
                <w:szCs w:val="21"/>
                <w:spacing w:val="-2"/>
              </w:rPr>
              <w:t>2.7025</w:t>
            </w:r>
          </w:p>
        </w:tc>
        <w:tc>
          <w:tcPr>
            <w:tcW w:w="859" w:type="dxa"/>
            <w:vAlign w:val="top"/>
            <w:vMerge w:val="continue"/>
            <w:tcBorders>
              <w:top w:val="nil"/>
              <w:bottom w:val="nil"/>
            </w:tcBorders>
          </w:tcPr>
          <w:p>
            <w:pPr>
              <w:rPr>
                <w:rFonts w:ascii="Arial"/>
                <w:sz w:val="21"/>
              </w:rPr>
            </w:pPr>
            <w:r/>
          </w:p>
        </w:tc>
        <w:tc>
          <w:tcPr>
            <w:tcW w:w="690" w:type="dxa"/>
            <w:vAlign w:val="top"/>
            <w:vMerge w:val="continue"/>
            <w:tcBorders>
              <w:top w:val="nil"/>
              <w:bottom w:val="nil"/>
            </w:tcBorders>
          </w:tcPr>
          <w:p>
            <w:pPr>
              <w:rPr>
                <w:rFonts w:ascii="Arial"/>
                <w:sz w:val="21"/>
              </w:rPr>
            </w:pPr>
            <w:r/>
          </w:p>
        </w:tc>
        <w:tc>
          <w:tcPr>
            <w:tcW w:w="1019" w:type="dxa"/>
            <w:vAlign w:val="top"/>
          </w:tcPr>
          <w:p>
            <w:pPr>
              <w:pStyle w:val="TableText"/>
              <w:ind w:left="237"/>
              <w:spacing w:before="115" w:line="179" w:lineRule="auto"/>
              <w:rPr>
                <w:sz w:val="21"/>
                <w:szCs w:val="21"/>
              </w:rPr>
            </w:pPr>
            <w:r>
              <w:rPr>
                <w:sz w:val="21"/>
                <w:szCs w:val="21"/>
                <w:spacing w:val="-2"/>
              </w:rPr>
              <w:t>0.409</w:t>
            </w:r>
          </w:p>
        </w:tc>
        <w:tc>
          <w:tcPr>
            <w:tcW w:w="1009" w:type="dxa"/>
            <w:vAlign w:val="top"/>
          </w:tcPr>
          <w:p>
            <w:pPr>
              <w:pStyle w:val="TableText"/>
              <w:ind w:left="397"/>
              <w:spacing w:before="115" w:line="179" w:lineRule="auto"/>
              <w:rPr>
                <w:sz w:val="21"/>
                <w:szCs w:val="21"/>
              </w:rPr>
            </w:pPr>
            <w:r>
              <w:rPr>
                <w:sz w:val="21"/>
                <w:szCs w:val="21"/>
                <w:spacing w:val="-4"/>
              </w:rPr>
              <w:t>50</w:t>
            </w:r>
          </w:p>
        </w:tc>
        <w:tc>
          <w:tcPr>
            <w:tcW w:w="819" w:type="dxa"/>
            <w:vAlign w:val="top"/>
          </w:tcPr>
          <w:p>
            <w:pPr>
              <w:pStyle w:val="TableText"/>
              <w:ind w:left="89"/>
              <w:spacing w:before="115" w:line="179" w:lineRule="auto"/>
              <w:rPr>
                <w:sz w:val="21"/>
                <w:szCs w:val="21"/>
              </w:rPr>
            </w:pPr>
            <w:r>
              <w:rPr>
                <w:sz w:val="21"/>
                <w:szCs w:val="21"/>
                <w:spacing w:val="-2"/>
              </w:rPr>
              <w:t>2.7025</w:t>
            </w:r>
          </w:p>
        </w:tc>
        <w:tc>
          <w:tcPr>
            <w:tcW w:w="700" w:type="dxa"/>
            <w:vAlign w:val="top"/>
            <w:vMerge w:val="continue"/>
            <w:tcBorders>
              <w:top w:val="nil"/>
              <w:bottom w:val="nil"/>
            </w:tcBorders>
          </w:tcPr>
          <w:p>
            <w:pPr>
              <w:rPr>
                <w:rFonts w:ascii="Arial"/>
                <w:sz w:val="21"/>
              </w:rPr>
            </w:pPr>
            <w:r/>
          </w:p>
        </w:tc>
        <w:tc>
          <w:tcPr>
            <w:tcW w:w="680" w:type="dxa"/>
            <w:vAlign w:val="top"/>
            <w:vMerge w:val="continue"/>
            <w:tcBorders>
              <w:top w:val="nil"/>
              <w:bottom w:val="nil"/>
            </w:tcBorders>
          </w:tcPr>
          <w:p>
            <w:pPr>
              <w:rPr>
                <w:rFonts w:ascii="Arial"/>
                <w:sz w:val="21"/>
              </w:rPr>
            </w:pPr>
            <w:r/>
          </w:p>
        </w:tc>
        <w:tc>
          <w:tcPr>
            <w:tcW w:w="600" w:type="dxa"/>
            <w:vAlign w:val="top"/>
            <w:vMerge w:val="continue"/>
            <w:tcBorders>
              <w:top w:val="nil"/>
              <w:bottom w:val="nil"/>
            </w:tcBorders>
          </w:tcPr>
          <w:p>
            <w:pPr>
              <w:rPr>
                <w:rFonts w:ascii="Arial"/>
                <w:sz w:val="21"/>
              </w:rPr>
            </w:pPr>
            <w:r/>
          </w:p>
        </w:tc>
        <w:tc>
          <w:tcPr>
            <w:tcW w:w="680" w:type="dxa"/>
            <w:vAlign w:val="top"/>
            <w:vMerge w:val="continue"/>
            <w:tcBorders>
              <w:top w:val="nil"/>
              <w:bottom w:val="nil"/>
            </w:tcBorders>
          </w:tcPr>
          <w:p>
            <w:pPr>
              <w:rPr>
                <w:rFonts w:ascii="Arial"/>
                <w:sz w:val="21"/>
              </w:rPr>
            </w:pPr>
            <w:r/>
          </w:p>
        </w:tc>
        <w:tc>
          <w:tcPr>
            <w:tcW w:w="715" w:type="dxa"/>
            <w:vAlign w:val="top"/>
            <w:vMerge w:val="continue"/>
            <w:tcBorders>
              <w:top w:val="nil"/>
              <w:bottom w:val="nil"/>
            </w:tcBorders>
          </w:tcPr>
          <w:p>
            <w:pPr>
              <w:rPr>
                <w:rFonts w:ascii="Arial"/>
                <w:sz w:val="21"/>
              </w:rPr>
            </w:pPr>
            <w:r/>
          </w:p>
        </w:tc>
      </w:tr>
      <w:tr>
        <w:trPr>
          <w:trHeight w:val="309" w:hRule="atLeast"/>
        </w:trPr>
        <w:tc>
          <w:tcPr>
            <w:tcW w:w="655" w:type="dxa"/>
            <w:vAlign w:val="top"/>
            <w:vMerge w:val="continue"/>
            <w:tcBorders>
              <w:top w:val="nil"/>
              <w:bottom w:val="nil"/>
            </w:tcBorders>
          </w:tcPr>
          <w:p>
            <w:pPr>
              <w:rPr>
                <w:rFonts w:ascii="Arial"/>
                <w:sz w:val="21"/>
              </w:rPr>
            </w:pPr>
            <w:r/>
          </w:p>
        </w:tc>
        <w:tc>
          <w:tcPr>
            <w:tcW w:w="1019" w:type="dxa"/>
            <w:vAlign w:val="top"/>
            <w:vMerge w:val="continue"/>
            <w:tcBorders>
              <w:top w:val="nil"/>
            </w:tcBorders>
          </w:tcPr>
          <w:p>
            <w:pPr>
              <w:rPr>
                <w:rFonts w:ascii="Arial"/>
                <w:sz w:val="21"/>
              </w:rPr>
            </w:pPr>
            <w:r/>
          </w:p>
        </w:tc>
        <w:tc>
          <w:tcPr>
            <w:tcW w:w="969" w:type="dxa"/>
            <w:vAlign w:val="top"/>
          </w:tcPr>
          <w:p>
            <w:pPr>
              <w:pStyle w:val="TableText"/>
              <w:ind w:left="161"/>
              <w:spacing w:before="53" w:line="216" w:lineRule="auto"/>
              <w:rPr>
                <w:sz w:val="21"/>
                <w:szCs w:val="21"/>
              </w:rPr>
            </w:pPr>
            <w:r>
              <w:rPr>
                <w:sz w:val="21"/>
                <w:szCs w:val="21"/>
                <w:spacing w:val="-2"/>
              </w:rPr>
              <w:t>颗粒物</w:t>
            </w:r>
          </w:p>
        </w:tc>
        <w:tc>
          <w:tcPr>
            <w:tcW w:w="859" w:type="dxa"/>
            <w:vAlign w:val="top"/>
            <w:vMerge w:val="continue"/>
            <w:tcBorders>
              <w:top w:val="nil"/>
            </w:tcBorders>
          </w:tcPr>
          <w:p>
            <w:pPr>
              <w:rPr>
                <w:rFonts w:ascii="Arial"/>
                <w:sz w:val="21"/>
              </w:rPr>
            </w:pPr>
            <w:r/>
          </w:p>
        </w:tc>
        <w:tc>
          <w:tcPr>
            <w:tcW w:w="969" w:type="dxa"/>
            <w:vAlign w:val="top"/>
          </w:tcPr>
          <w:p>
            <w:pPr>
              <w:pStyle w:val="TableText"/>
              <w:ind w:left="212"/>
              <w:spacing w:before="105" w:line="170" w:lineRule="auto"/>
              <w:rPr>
                <w:sz w:val="21"/>
                <w:szCs w:val="21"/>
              </w:rPr>
            </w:pPr>
            <w:r>
              <w:rPr>
                <w:sz w:val="21"/>
                <w:szCs w:val="21"/>
                <w:spacing w:val="-2"/>
              </w:rPr>
              <w:t>0.134</w:t>
            </w:r>
          </w:p>
        </w:tc>
        <w:tc>
          <w:tcPr>
            <w:tcW w:w="999" w:type="dxa"/>
            <w:vAlign w:val="top"/>
          </w:tcPr>
          <w:p>
            <w:pPr>
              <w:pStyle w:val="TableText"/>
              <w:ind w:left="384"/>
              <w:spacing w:before="106" w:line="169" w:lineRule="auto"/>
              <w:rPr>
                <w:sz w:val="21"/>
                <w:szCs w:val="21"/>
              </w:rPr>
            </w:pPr>
            <w:r>
              <w:rPr>
                <w:sz w:val="21"/>
                <w:szCs w:val="21"/>
                <w:spacing w:val="-3"/>
              </w:rPr>
              <w:t>20</w:t>
            </w:r>
          </w:p>
        </w:tc>
        <w:tc>
          <w:tcPr>
            <w:tcW w:w="999" w:type="dxa"/>
            <w:vAlign w:val="top"/>
          </w:tcPr>
          <w:p>
            <w:pPr>
              <w:pStyle w:val="TableText"/>
              <w:ind w:left="174"/>
              <w:spacing w:before="105" w:line="170" w:lineRule="auto"/>
              <w:rPr>
                <w:sz w:val="21"/>
                <w:szCs w:val="21"/>
              </w:rPr>
            </w:pPr>
            <w:r>
              <w:rPr>
                <w:sz w:val="21"/>
                <w:szCs w:val="21"/>
                <w:spacing w:val="-4"/>
              </w:rPr>
              <w:t>1.0810</w:t>
            </w:r>
          </w:p>
        </w:tc>
        <w:tc>
          <w:tcPr>
            <w:tcW w:w="859" w:type="dxa"/>
            <w:vAlign w:val="top"/>
            <w:vMerge w:val="continue"/>
            <w:tcBorders>
              <w:top w:val="nil"/>
              <w:bottom w:val="nil"/>
            </w:tcBorders>
          </w:tcPr>
          <w:p>
            <w:pPr>
              <w:rPr>
                <w:rFonts w:ascii="Arial"/>
                <w:sz w:val="21"/>
              </w:rPr>
            </w:pPr>
            <w:r/>
          </w:p>
        </w:tc>
        <w:tc>
          <w:tcPr>
            <w:tcW w:w="690" w:type="dxa"/>
            <w:vAlign w:val="top"/>
            <w:vMerge w:val="continue"/>
            <w:tcBorders>
              <w:top w:val="nil"/>
              <w:bottom w:val="nil"/>
            </w:tcBorders>
          </w:tcPr>
          <w:p>
            <w:pPr>
              <w:rPr>
                <w:rFonts w:ascii="Arial"/>
                <w:sz w:val="21"/>
              </w:rPr>
            </w:pPr>
            <w:r/>
          </w:p>
        </w:tc>
        <w:tc>
          <w:tcPr>
            <w:tcW w:w="1019" w:type="dxa"/>
            <w:vAlign w:val="top"/>
          </w:tcPr>
          <w:p>
            <w:pPr>
              <w:pStyle w:val="TableText"/>
              <w:ind w:left="237"/>
              <w:spacing w:before="105" w:line="170" w:lineRule="auto"/>
              <w:rPr>
                <w:sz w:val="21"/>
                <w:szCs w:val="21"/>
              </w:rPr>
            </w:pPr>
            <w:r>
              <w:rPr>
                <w:sz w:val="21"/>
                <w:szCs w:val="21"/>
                <w:spacing w:val="-2"/>
              </w:rPr>
              <w:t>0.134</w:t>
            </w:r>
          </w:p>
        </w:tc>
        <w:tc>
          <w:tcPr>
            <w:tcW w:w="1009" w:type="dxa"/>
            <w:vAlign w:val="top"/>
          </w:tcPr>
          <w:p>
            <w:pPr>
              <w:pStyle w:val="TableText"/>
              <w:ind w:left="397"/>
              <w:spacing w:before="106" w:line="169" w:lineRule="auto"/>
              <w:rPr>
                <w:sz w:val="21"/>
                <w:szCs w:val="21"/>
              </w:rPr>
            </w:pPr>
            <w:r>
              <w:rPr>
                <w:sz w:val="21"/>
                <w:szCs w:val="21"/>
                <w:spacing w:val="-3"/>
              </w:rPr>
              <w:t>20</w:t>
            </w:r>
          </w:p>
        </w:tc>
        <w:tc>
          <w:tcPr>
            <w:tcW w:w="819" w:type="dxa"/>
            <w:vAlign w:val="top"/>
          </w:tcPr>
          <w:p>
            <w:pPr>
              <w:pStyle w:val="TableText"/>
              <w:ind w:left="89"/>
              <w:spacing w:before="105" w:line="170" w:lineRule="auto"/>
              <w:rPr>
                <w:sz w:val="21"/>
                <w:szCs w:val="21"/>
              </w:rPr>
            </w:pPr>
            <w:r>
              <w:rPr>
                <w:sz w:val="21"/>
                <w:szCs w:val="21"/>
                <w:spacing w:val="-4"/>
              </w:rPr>
              <w:t>1.0810</w:t>
            </w:r>
          </w:p>
        </w:tc>
        <w:tc>
          <w:tcPr>
            <w:tcW w:w="700" w:type="dxa"/>
            <w:vAlign w:val="top"/>
            <w:vMerge w:val="continue"/>
            <w:tcBorders>
              <w:top w:val="nil"/>
            </w:tcBorders>
          </w:tcPr>
          <w:p>
            <w:pPr>
              <w:rPr>
                <w:rFonts w:ascii="Arial"/>
                <w:sz w:val="21"/>
              </w:rPr>
            </w:pPr>
            <w:r/>
          </w:p>
        </w:tc>
        <w:tc>
          <w:tcPr>
            <w:tcW w:w="680" w:type="dxa"/>
            <w:vAlign w:val="top"/>
            <w:vMerge w:val="continue"/>
            <w:tcBorders>
              <w:top w:val="nil"/>
            </w:tcBorders>
          </w:tcPr>
          <w:p>
            <w:pPr>
              <w:rPr>
                <w:rFonts w:ascii="Arial"/>
                <w:sz w:val="21"/>
              </w:rPr>
            </w:pPr>
            <w:r/>
          </w:p>
        </w:tc>
        <w:tc>
          <w:tcPr>
            <w:tcW w:w="600" w:type="dxa"/>
            <w:vAlign w:val="top"/>
            <w:vMerge w:val="continue"/>
            <w:tcBorders>
              <w:top w:val="nil"/>
            </w:tcBorders>
          </w:tcPr>
          <w:p>
            <w:pPr>
              <w:rPr>
                <w:rFonts w:ascii="Arial"/>
                <w:sz w:val="21"/>
              </w:rPr>
            </w:pPr>
            <w:r/>
          </w:p>
        </w:tc>
        <w:tc>
          <w:tcPr>
            <w:tcW w:w="680" w:type="dxa"/>
            <w:vAlign w:val="top"/>
            <w:vMerge w:val="continue"/>
            <w:tcBorders>
              <w:top w:val="nil"/>
            </w:tcBorders>
          </w:tcPr>
          <w:p>
            <w:pPr>
              <w:rPr>
                <w:rFonts w:ascii="Arial"/>
                <w:sz w:val="21"/>
              </w:rPr>
            </w:pPr>
            <w:r/>
          </w:p>
        </w:tc>
        <w:tc>
          <w:tcPr>
            <w:tcW w:w="715" w:type="dxa"/>
            <w:vAlign w:val="top"/>
            <w:vMerge w:val="continue"/>
            <w:tcBorders>
              <w:top w:val="nil"/>
            </w:tcBorders>
          </w:tcPr>
          <w:p>
            <w:pPr>
              <w:rPr>
                <w:rFonts w:ascii="Arial"/>
                <w:sz w:val="21"/>
              </w:rPr>
            </w:pPr>
            <w:r/>
          </w:p>
        </w:tc>
      </w:tr>
      <w:tr>
        <w:trPr>
          <w:trHeight w:val="329" w:hRule="atLeast"/>
        </w:trPr>
        <w:tc>
          <w:tcPr>
            <w:tcW w:w="655" w:type="dxa"/>
            <w:vAlign w:val="top"/>
            <w:vMerge w:val="continue"/>
            <w:tcBorders>
              <w:top w:val="nil"/>
              <w:bottom w:val="nil"/>
            </w:tcBorders>
          </w:tcPr>
          <w:p>
            <w:pPr>
              <w:rPr>
                <w:rFonts w:ascii="Arial"/>
                <w:sz w:val="21"/>
              </w:rPr>
            </w:pPr>
            <w:r/>
          </w:p>
        </w:tc>
        <w:tc>
          <w:tcPr>
            <w:tcW w:w="1019" w:type="dxa"/>
            <w:vAlign w:val="top"/>
            <w:vMerge w:val="restart"/>
            <w:tcBorders>
              <w:bottom w:val="nil"/>
            </w:tcBorders>
          </w:tcPr>
          <w:p>
            <w:pPr>
              <w:pStyle w:val="TableText"/>
              <w:ind w:left="20"/>
              <w:spacing w:before="76" w:line="221" w:lineRule="auto"/>
              <w:rPr>
                <w:sz w:val="21"/>
                <w:szCs w:val="21"/>
              </w:rPr>
            </w:pPr>
            <w:r>
              <w:rPr>
                <w:sz w:val="21"/>
                <w:szCs w:val="21"/>
                <w:spacing w:val="2"/>
              </w:rPr>
              <w:t>15t/h蒸汽</w:t>
            </w:r>
          </w:p>
          <w:p>
            <w:pPr>
              <w:pStyle w:val="TableText"/>
              <w:ind w:left="79"/>
              <w:spacing w:before="6" w:line="220" w:lineRule="auto"/>
              <w:rPr>
                <w:sz w:val="21"/>
                <w:szCs w:val="21"/>
              </w:rPr>
            </w:pPr>
            <w:r>
              <w:rPr>
                <w:sz w:val="21"/>
                <w:szCs w:val="21"/>
                <w:spacing w:val="3"/>
              </w:rPr>
              <w:t>锅炉废气</w:t>
            </w:r>
          </w:p>
          <w:p>
            <w:pPr>
              <w:pStyle w:val="TableText"/>
              <w:ind w:left="229"/>
              <w:spacing w:before="40" w:line="220" w:lineRule="auto"/>
              <w:rPr>
                <w:sz w:val="21"/>
                <w:szCs w:val="21"/>
              </w:rPr>
            </w:pPr>
            <w:r>
              <w:rPr>
                <w:sz w:val="21"/>
                <w:szCs w:val="21"/>
                <w:spacing w:val="6"/>
              </w:rPr>
              <w:t>(1用1</w:t>
            </w:r>
          </w:p>
          <w:p>
            <w:pPr>
              <w:pStyle w:val="TableText"/>
              <w:ind w:left="339"/>
              <w:spacing w:line="195" w:lineRule="auto"/>
              <w:rPr>
                <w:sz w:val="21"/>
                <w:szCs w:val="21"/>
              </w:rPr>
            </w:pPr>
            <w:r>
              <w:rPr>
                <w:sz w:val="21"/>
                <w:szCs w:val="21"/>
                <w:spacing w:val="-6"/>
              </w:rPr>
              <w:t>备</w:t>
            </w:r>
            <w:r>
              <w:rPr>
                <w:sz w:val="21"/>
                <w:szCs w:val="21"/>
                <w:spacing w:val="-44"/>
              </w:rPr>
              <w:t xml:space="preserve"> </w:t>
            </w:r>
            <w:r>
              <w:rPr>
                <w:sz w:val="21"/>
                <w:szCs w:val="21"/>
                <w:spacing w:val="-6"/>
              </w:rPr>
              <w:t>)</w:t>
            </w:r>
          </w:p>
        </w:tc>
        <w:tc>
          <w:tcPr>
            <w:tcW w:w="969" w:type="dxa"/>
            <w:vAlign w:val="top"/>
          </w:tcPr>
          <w:p>
            <w:pPr>
              <w:pStyle w:val="TableText"/>
              <w:ind w:left="260"/>
              <w:spacing w:before="97" w:line="183" w:lineRule="auto"/>
              <w:rPr>
                <w:rFonts w:ascii="Calibri" w:hAnsi="Calibri" w:eastAsia="Calibri" w:cs="Calibri"/>
                <w:sz w:val="21"/>
                <w:szCs w:val="21"/>
              </w:rPr>
            </w:pPr>
            <w:r>
              <w:rPr>
                <w:sz w:val="21"/>
                <w:szCs w:val="21"/>
                <w:spacing w:val="-4"/>
              </w:rPr>
              <w:t>SO</w:t>
            </w:r>
            <w:r>
              <w:rPr>
                <w:rFonts w:ascii="Calibri" w:hAnsi="Calibri" w:eastAsia="Calibri" w:cs="Calibri"/>
                <w:sz w:val="21"/>
                <w:szCs w:val="21"/>
                <w:spacing w:val="-4"/>
              </w:rPr>
              <w:t>₂</w:t>
            </w:r>
          </w:p>
        </w:tc>
        <w:tc>
          <w:tcPr>
            <w:tcW w:w="859" w:type="dxa"/>
            <w:vAlign w:val="top"/>
            <w:vMerge w:val="restart"/>
            <w:tcBorders>
              <w:bottom w:val="nil"/>
            </w:tcBorders>
          </w:tcPr>
          <w:p>
            <w:pPr>
              <w:spacing w:line="283" w:lineRule="auto"/>
              <w:rPr>
                <w:rFonts w:ascii="Arial"/>
                <w:sz w:val="21"/>
              </w:rPr>
            </w:pPr>
            <w:r/>
          </w:p>
          <w:p>
            <w:pPr>
              <w:pStyle w:val="TableText"/>
              <w:ind w:left="101"/>
              <w:spacing w:before="69" w:line="219" w:lineRule="auto"/>
              <w:rPr>
                <w:sz w:val="21"/>
                <w:szCs w:val="21"/>
              </w:rPr>
            </w:pPr>
            <w:r>
              <w:rPr>
                <w:sz w:val="21"/>
                <w:szCs w:val="21"/>
                <w:spacing w:val="6"/>
              </w:rPr>
              <w:t>产污系</w:t>
            </w:r>
          </w:p>
          <w:p>
            <w:pPr>
              <w:pStyle w:val="TableText"/>
              <w:ind w:left="212"/>
              <w:spacing w:before="10" w:line="219" w:lineRule="auto"/>
              <w:rPr>
                <w:sz w:val="21"/>
                <w:szCs w:val="21"/>
              </w:rPr>
            </w:pPr>
            <w:r>
              <w:rPr>
                <w:sz w:val="21"/>
                <w:szCs w:val="21"/>
                <w:spacing w:val="-3"/>
              </w:rPr>
              <w:t>数法</w:t>
            </w:r>
          </w:p>
        </w:tc>
        <w:tc>
          <w:tcPr>
            <w:tcW w:w="969" w:type="dxa"/>
            <w:vAlign w:val="top"/>
          </w:tcPr>
          <w:p>
            <w:pPr>
              <w:pStyle w:val="TableText"/>
              <w:ind w:left="212"/>
              <w:spacing w:before="116" w:line="178" w:lineRule="auto"/>
              <w:rPr>
                <w:sz w:val="21"/>
                <w:szCs w:val="21"/>
              </w:rPr>
            </w:pPr>
            <w:r>
              <w:rPr>
                <w:sz w:val="21"/>
                <w:szCs w:val="21"/>
                <w:spacing w:val="-2"/>
              </w:rPr>
              <w:t>0.187</w:t>
            </w:r>
          </w:p>
        </w:tc>
        <w:tc>
          <w:tcPr>
            <w:tcW w:w="999" w:type="dxa"/>
            <w:vAlign w:val="top"/>
          </w:tcPr>
          <w:p>
            <w:pPr>
              <w:pStyle w:val="TableText"/>
              <w:ind w:left="434"/>
              <w:spacing w:before="117" w:line="177" w:lineRule="auto"/>
              <w:rPr>
                <w:sz w:val="21"/>
                <w:szCs w:val="21"/>
              </w:rPr>
            </w:pPr>
            <w:r>
              <w:rPr>
                <w:sz w:val="21"/>
                <w:szCs w:val="21"/>
              </w:rPr>
              <w:t>3</w:t>
            </w:r>
          </w:p>
        </w:tc>
        <w:tc>
          <w:tcPr>
            <w:tcW w:w="999" w:type="dxa"/>
            <w:vAlign w:val="top"/>
          </w:tcPr>
          <w:p>
            <w:pPr>
              <w:pStyle w:val="TableText"/>
              <w:ind w:left="174"/>
              <w:spacing w:before="116" w:line="178" w:lineRule="auto"/>
              <w:rPr>
                <w:sz w:val="21"/>
                <w:szCs w:val="21"/>
              </w:rPr>
            </w:pPr>
            <w:r>
              <w:rPr>
                <w:sz w:val="21"/>
                <w:szCs w:val="21"/>
                <w:spacing w:val="-4"/>
              </w:rPr>
              <w:t>1.5048</w:t>
            </w:r>
          </w:p>
        </w:tc>
        <w:tc>
          <w:tcPr>
            <w:tcW w:w="859" w:type="dxa"/>
            <w:vAlign w:val="top"/>
            <w:vMerge w:val="continue"/>
            <w:tcBorders>
              <w:top w:val="nil"/>
              <w:bottom w:val="nil"/>
            </w:tcBorders>
          </w:tcPr>
          <w:p>
            <w:pPr>
              <w:rPr>
                <w:rFonts w:ascii="Arial"/>
                <w:sz w:val="21"/>
              </w:rPr>
            </w:pPr>
            <w:r/>
          </w:p>
        </w:tc>
        <w:tc>
          <w:tcPr>
            <w:tcW w:w="690" w:type="dxa"/>
            <w:vAlign w:val="top"/>
            <w:vMerge w:val="continue"/>
            <w:tcBorders>
              <w:top w:val="nil"/>
              <w:bottom w:val="nil"/>
            </w:tcBorders>
          </w:tcPr>
          <w:p>
            <w:pPr>
              <w:rPr>
                <w:rFonts w:ascii="Arial"/>
                <w:sz w:val="21"/>
              </w:rPr>
            </w:pPr>
            <w:r/>
          </w:p>
        </w:tc>
        <w:tc>
          <w:tcPr>
            <w:tcW w:w="1019" w:type="dxa"/>
            <w:vAlign w:val="top"/>
          </w:tcPr>
          <w:p>
            <w:pPr>
              <w:pStyle w:val="TableText"/>
              <w:ind w:left="237"/>
              <w:spacing w:before="116" w:line="178" w:lineRule="auto"/>
              <w:rPr>
                <w:sz w:val="21"/>
                <w:szCs w:val="21"/>
              </w:rPr>
            </w:pPr>
            <w:r>
              <w:rPr>
                <w:sz w:val="21"/>
                <w:szCs w:val="21"/>
                <w:spacing w:val="-2"/>
              </w:rPr>
              <w:t>0.187</w:t>
            </w:r>
          </w:p>
        </w:tc>
        <w:tc>
          <w:tcPr>
            <w:tcW w:w="1009" w:type="dxa"/>
            <w:vAlign w:val="top"/>
          </w:tcPr>
          <w:p>
            <w:pPr>
              <w:pStyle w:val="TableText"/>
              <w:ind w:left="448"/>
              <w:spacing w:before="117" w:line="177" w:lineRule="auto"/>
              <w:rPr>
                <w:sz w:val="21"/>
                <w:szCs w:val="21"/>
              </w:rPr>
            </w:pPr>
            <w:r>
              <w:rPr>
                <w:sz w:val="21"/>
                <w:szCs w:val="21"/>
              </w:rPr>
              <w:t>3</w:t>
            </w:r>
          </w:p>
        </w:tc>
        <w:tc>
          <w:tcPr>
            <w:tcW w:w="819" w:type="dxa"/>
            <w:vAlign w:val="top"/>
          </w:tcPr>
          <w:p>
            <w:pPr>
              <w:pStyle w:val="TableText"/>
              <w:ind w:left="89"/>
              <w:spacing w:before="116" w:line="178" w:lineRule="auto"/>
              <w:rPr>
                <w:sz w:val="21"/>
                <w:szCs w:val="21"/>
              </w:rPr>
            </w:pPr>
            <w:r>
              <w:rPr>
                <w:sz w:val="21"/>
                <w:szCs w:val="21"/>
                <w:spacing w:val="-4"/>
              </w:rPr>
              <w:t>1.5048</w:t>
            </w:r>
          </w:p>
        </w:tc>
        <w:tc>
          <w:tcPr>
            <w:tcW w:w="700" w:type="dxa"/>
            <w:vAlign w:val="top"/>
            <w:vMerge w:val="restart"/>
            <w:tcBorders>
              <w:bottom w:val="nil"/>
            </w:tcBorders>
          </w:tcPr>
          <w:p>
            <w:pPr>
              <w:spacing w:line="435" w:lineRule="auto"/>
              <w:rPr>
                <w:rFonts w:ascii="Arial"/>
                <w:sz w:val="21"/>
              </w:rPr>
            </w:pPr>
            <w:r/>
          </w:p>
          <w:p>
            <w:pPr>
              <w:pStyle w:val="TableText"/>
              <w:ind w:left="80"/>
              <w:spacing w:before="68" w:line="184" w:lineRule="auto"/>
              <w:rPr>
                <w:sz w:val="21"/>
                <w:szCs w:val="21"/>
              </w:rPr>
            </w:pPr>
            <w:r>
              <w:rPr>
                <w:sz w:val="21"/>
                <w:szCs w:val="21"/>
                <w:spacing w:val="-4"/>
              </w:rPr>
              <w:t>12284</w:t>
            </w:r>
          </w:p>
        </w:tc>
        <w:tc>
          <w:tcPr>
            <w:tcW w:w="680" w:type="dxa"/>
            <w:vAlign w:val="top"/>
            <w:vMerge w:val="restart"/>
            <w:tcBorders>
              <w:bottom w:val="nil"/>
            </w:tcBorders>
          </w:tcPr>
          <w:p>
            <w:pPr>
              <w:spacing w:line="435" w:lineRule="auto"/>
              <w:rPr>
                <w:rFonts w:ascii="Arial"/>
                <w:sz w:val="21"/>
              </w:rPr>
            </w:pPr>
            <w:r/>
          </w:p>
          <w:p>
            <w:pPr>
              <w:pStyle w:val="TableText"/>
              <w:ind w:left="180"/>
              <w:spacing w:before="68" w:line="184" w:lineRule="auto"/>
              <w:rPr>
                <w:sz w:val="21"/>
                <w:szCs w:val="21"/>
              </w:rPr>
            </w:pPr>
            <w:r>
              <w:rPr>
                <w:sz w:val="21"/>
                <w:szCs w:val="21"/>
                <w:spacing w:val="-6"/>
              </w:rPr>
              <w:t>1.0</w:t>
            </w:r>
          </w:p>
        </w:tc>
        <w:tc>
          <w:tcPr>
            <w:tcW w:w="600" w:type="dxa"/>
            <w:vAlign w:val="top"/>
            <w:vMerge w:val="restart"/>
            <w:tcBorders>
              <w:bottom w:val="nil"/>
            </w:tcBorders>
          </w:tcPr>
          <w:p>
            <w:pPr>
              <w:spacing w:line="436" w:lineRule="auto"/>
              <w:rPr>
                <w:rFonts w:ascii="Arial"/>
                <w:sz w:val="21"/>
              </w:rPr>
            </w:pPr>
            <w:r/>
          </w:p>
          <w:p>
            <w:pPr>
              <w:pStyle w:val="TableText"/>
              <w:ind w:left="190"/>
              <w:spacing w:before="69" w:line="183" w:lineRule="auto"/>
              <w:rPr>
                <w:sz w:val="21"/>
                <w:szCs w:val="21"/>
              </w:rPr>
            </w:pPr>
            <w:r>
              <w:rPr>
                <w:sz w:val="21"/>
                <w:szCs w:val="21"/>
                <w:spacing w:val="-3"/>
              </w:rPr>
              <w:t>27</w:t>
            </w:r>
          </w:p>
        </w:tc>
        <w:tc>
          <w:tcPr>
            <w:tcW w:w="680" w:type="dxa"/>
            <w:vAlign w:val="top"/>
            <w:vMerge w:val="restart"/>
            <w:tcBorders>
              <w:bottom w:val="nil"/>
            </w:tcBorders>
          </w:tcPr>
          <w:p>
            <w:pPr>
              <w:pStyle w:val="TableText"/>
              <w:ind w:left="69"/>
              <w:spacing w:before="285" w:line="185" w:lineRule="auto"/>
              <w:rPr>
                <w:sz w:val="21"/>
                <w:szCs w:val="21"/>
              </w:rPr>
            </w:pPr>
            <w:r>
              <w:rPr>
                <w:sz w:val="21"/>
                <w:szCs w:val="21"/>
                <w:spacing w:val="-1"/>
              </w:rPr>
              <w:t>DA028</w:t>
            </w:r>
          </w:p>
          <w:p>
            <w:pPr>
              <w:spacing w:line="249" w:lineRule="auto"/>
              <w:rPr>
                <w:rFonts w:ascii="Arial"/>
                <w:sz w:val="21"/>
              </w:rPr>
            </w:pPr>
            <w:r/>
          </w:p>
          <w:p>
            <w:pPr>
              <w:pStyle w:val="TableText"/>
              <w:ind w:left="69"/>
              <w:spacing w:before="68" w:line="185" w:lineRule="auto"/>
              <w:rPr>
                <w:sz w:val="21"/>
                <w:szCs w:val="21"/>
              </w:rPr>
            </w:pPr>
            <w:r>
              <w:rPr>
                <w:sz w:val="21"/>
                <w:szCs w:val="21"/>
                <w:spacing w:val="-1"/>
              </w:rPr>
              <w:t>DA029</w:t>
            </w:r>
          </w:p>
        </w:tc>
        <w:tc>
          <w:tcPr>
            <w:tcW w:w="715" w:type="dxa"/>
            <w:vAlign w:val="top"/>
            <w:vMerge w:val="restart"/>
            <w:tcBorders>
              <w:bottom w:val="nil"/>
            </w:tcBorders>
          </w:tcPr>
          <w:p>
            <w:pPr>
              <w:spacing w:line="436" w:lineRule="auto"/>
              <w:rPr>
                <w:rFonts w:ascii="Arial"/>
                <w:sz w:val="21"/>
              </w:rPr>
            </w:pPr>
            <w:r/>
          </w:p>
          <w:p>
            <w:pPr>
              <w:pStyle w:val="TableText"/>
              <w:ind w:left="140"/>
              <w:spacing w:before="69" w:line="183" w:lineRule="auto"/>
              <w:rPr>
                <w:sz w:val="21"/>
                <w:szCs w:val="21"/>
              </w:rPr>
            </w:pPr>
            <w:r>
              <w:rPr>
                <w:sz w:val="21"/>
                <w:szCs w:val="21"/>
                <w:spacing w:val="-2"/>
              </w:rPr>
              <w:t>6600</w:t>
            </w:r>
          </w:p>
        </w:tc>
      </w:tr>
      <w:tr>
        <w:trPr>
          <w:trHeight w:val="309" w:hRule="atLeast"/>
        </w:trPr>
        <w:tc>
          <w:tcPr>
            <w:tcW w:w="655" w:type="dxa"/>
            <w:vAlign w:val="top"/>
            <w:vMerge w:val="continue"/>
            <w:tcBorders>
              <w:top w:val="nil"/>
              <w:bottom w:val="nil"/>
            </w:tcBorders>
          </w:tcPr>
          <w:p>
            <w:pPr>
              <w:rPr>
                <w:rFonts w:ascii="Arial"/>
                <w:sz w:val="21"/>
              </w:rPr>
            </w:pPr>
            <w:r/>
          </w:p>
        </w:tc>
        <w:tc>
          <w:tcPr>
            <w:tcW w:w="1019" w:type="dxa"/>
            <w:vAlign w:val="top"/>
            <w:vMerge w:val="continue"/>
            <w:tcBorders>
              <w:top w:val="nil"/>
              <w:bottom w:val="nil"/>
            </w:tcBorders>
          </w:tcPr>
          <w:p>
            <w:pPr>
              <w:rPr>
                <w:rFonts w:ascii="Arial"/>
                <w:sz w:val="21"/>
              </w:rPr>
            </w:pPr>
            <w:r/>
          </w:p>
        </w:tc>
        <w:tc>
          <w:tcPr>
            <w:tcW w:w="969" w:type="dxa"/>
            <w:vAlign w:val="top"/>
          </w:tcPr>
          <w:p>
            <w:pPr>
              <w:pStyle w:val="TableText"/>
              <w:ind w:left="310"/>
              <w:spacing w:before="109" w:line="167" w:lineRule="auto"/>
              <w:rPr>
                <w:sz w:val="21"/>
                <w:szCs w:val="21"/>
              </w:rPr>
            </w:pPr>
            <w:r>
              <w:rPr>
                <w:sz w:val="21"/>
                <w:szCs w:val="21"/>
                <w:spacing w:val="-1"/>
              </w:rPr>
              <w:t>NOx</w:t>
            </w:r>
          </w:p>
        </w:tc>
        <w:tc>
          <w:tcPr>
            <w:tcW w:w="859" w:type="dxa"/>
            <w:vAlign w:val="top"/>
            <w:vMerge w:val="continue"/>
            <w:tcBorders>
              <w:top w:val="nil"/>
              <w:bottom w:val="nil"/>
            </w:tcBorders>
          </w:tcPr>
          <w:p>
            <w:pPr>
              <w:rPr>
                <w:rFonts w:ascii="Arial"/>
                <w:sz w:val="21"/>
              </w:rPr>
            </w:pPr>
            <w:r/>
          </w:p>
        </w:tc>
        <w:tc>
          <w:tcPr>
            <w:tcW w:w="969" w:type="dxa"/>
            <w:vAlign w:val="top"/>
          </w:tcPr>
          <w:p>
            <w:pPr>
              <w:pStyle w:val="TableText"/>
              <w:ind w:left="212"/>
              <w:spacing w:before="127" w:line="172" w:lineRule="exact"/>
              <w:rPr>
                <w:sz w:val="21"/>
                <w:szCs w:val="21"/>
              </w:rPr>
            </w:pPr>
            <w:r>
              <w:rPr>
                <w:sz w:val="21"/>
                <w:szCs w:val="21"/>
                <w:spacing w:val="-2"/>
                <w:position w:val="-2"/>
              </w:rPr>
              <w:t>0.614</w:t>
            </w:r>
          </w:p>
        </w:tc>
        <w:tc>
          <w:tcPr>
            <w:tcW w:w="999" w:type="dxa"/>
            <w:vAlign w:val="top"/>
          </w:tcPr>
          <w:p>
            <w:pPr>
              <w:pStyle w:val="TableText"/>
              <w:ind w:left="384"/>
              <w:spacing w:before="128" w:line="171" w:lineRule="exact"/>
              <w:rPr>
                <w:sz w:val="21"/>
                <w:szCs w:val="21"/>
              </w:rPr>
            </w:pPr>
            <w:r>
              <w:rPr>
                <w:sz w:val="21"/>
                <w:szCs w:val="21"/>
                <w:spacing w:val="-4"/>
                <w:position w:val="-2"/>
              </w:rPr>
              <w:t>50</w:t>
            </w:r>
          </w:p>
        </w:tc>
        <w:tc>
          <w:tcPr>
            <w:tcW w:w="999" w:type="dxa"/>
            <w:vAlign w:val="top"/>
          </w:tcPr>
          <w:p>
            <w:pPr>
              <w:pStyle w:val="TableText"/>
              <w:ind w:left="174"/>
              <w:spacing w:before="128" w:line="171" w:lineRule="exact"/>
              <w:rPr>
                <w:sz w:val="21"/>
                <w:szCs w:val="21"/>
              </w:rPr>
            </w:pPr>
            <w:r>
              <w:rPr>
                <w:sz w:val="21"/>
                <w:szCs w:val="21"/>
                <w:spacing w:val="-2"/>
                <w:position w:val="-2"/>
              </w:rPr>
              <w:t>4.0536</w:t>
            </w:r>
          </w:p>
        </w:tc>
        <w:tc>
          <w:tcPr>
            <w:tcW w:w="859" w:type="dxa"/>
            <w:vAlign w:val="top"/>
            <w:vMerge w:val="continue"/>
            <w:tcBorders>
              <w:top w:val="nil"/>
              <w:bottom w:val="nil"/>
            </w:tcBorders>
          </w:tcPr>
          <w:p>
            <w:pPr>
              <w:rPr>
                <w:rFonts w:ascii="Arial"/>
                <w:sz w:val="21"/>
              </w:rPr>
            </w:pPr>
            <w:r/>
          </w:p>
        </w:tc>
        <w:tc>
          <w:tcPr>
            <w:tcW w:w="690" w:type="dxa"/>
            <w:vAlign w:val="top"/>
            <w:vMerge w:val="continue"/>
            <w:tcBorders>
              <w:top w:val="nil"/>
              <w:bottom w:val="nil"/>
            </w:tcBorders>
          </w:tcPr>
          <w:p>
            <w:pPr>
              <w:rPr>
                <w:rFonts w:ascii="Arial"/>
                <w:sz w:val="21"/>
              </w:rPr>
            </w:pPr>
            <w:r/>
          </w:p>
        </w:tc>
        <w:tc>
          <w:tcPr>
            <w:tcW w:w="1019" w:type="dxa"/>
            <w:vAlign w:val="top"/>
          </w:tcPr>
          <w:p>
            <w:pPr>
              <w:pStyle w:val="TableText"/>
              <w:ind w:left="237"/>
              <w:spacing w:before="127" w:line="172" w:lineRule="exact"/>
              <w:rPr>
                <w:sz w:val="21"/>
                <w:szCs w:val="21"/>
              </w:rPr>
            </w:pPr>
            <w:r>
              <w:rPr>
                <w:sz w:val="21"/>
                <w:szCs w:val="21"/>
                <w:spacing w:val="-2"/>
                <w:position w:val="-2"/>
              </w:rPr>
              <w:t>0.614</w:t>
            </w:r>
          </w:p>
        </w:tc>
        <w:tc>
          <w:tcPr>
            <w:tcW w:w="1009" w:type="dxa"/>
            <w:vAlign w:val="top"/>
          </w:tcPr>
          <w:p>
            <w:pPr>
              <w:pStyle w:val="TableText"/>
              <w:ind w:left="397"/>
              <w:spacing w:before="128" w:line="171" w:lineRule="exact"/>
              <w:rPr>
                <w:sz w:val="21"/>
                <w:szCs w:val="21"/>
              </w:rPr>
            </w:pPr>
            <w:r>
              <w:rPr>
                <w:sz w:val="21"/>
                <w:szCs w:val="21"/>
                <w:spacing w:val="-4"/>
                <w:position w:val="-2"/>
              </w:rPr>
              <w:t>50</w:t>
            </w:r>
          </w:p>
        </w:tc>
        <w:tc>
          <w:tcPr>
            <w:tcW w:w="819" w:type="dxa"/>
            <w:vAlign w:val="top"/>
          </w:tcPr>
          <w:p>
            <w:pPr>
              <w:pStyle w:val="TableText"/>
              <w:ind w:left="89"/>
              <w:spacing w:before="128" w:line="171" w:lineRule="exact"/>
              <w:rPr>
                <w:sz w:val="21"/>
                <w:szCs w:val="21"/>
              </w:rPr>
            </w:pPr>
            <w:r>
              <w:rPr>
                <w:sz w:val="21"/>
                <w:szCs w:val="21"/>
                <w:spacing w:val="-2"/>
                <w:position w:val="-2"/>
              </w:rPr>
              <w:t>4.0536</w:t>
            </w:r>
          </w:p>
        </w:tc>
        <w:tc>
          <w:tcPr>
            <w:tcW w:w="700" w:type="dxa"/>
            <w:vAlign w:val="top"/>
            <w:vMerge w:val="continue"/>
            <w:tcBorders>
              <w:top w:val="nil"/>
              <w:bottom w:val="nil"/>
            </w:tcBorders>
          </w:tcPr>
          <w:p>
            <w:pPr>
              <w:rPr>
                <w:rFonts w:ascii="Arial"/>
                <w:sz w:val="21"/>
              </w:rPr>
            </w:pPr>
            <w:r/>
          </w:p>
        </w:tc>
        <w:tc>
          <w:tcPr>
            <w:tcW w:w="680" w:type="dxa"/>
            <w:vAlign w:val="top"/>
            <w:vMerge w:val="continue"/>
            <w:tcBorders>
              <w:top w:val="nil"/>
              <w:bottom w:val="nil"/>
            </w:tcBorders>
          </w:tcPr>
          <w:p>
            <w:pPr>
              <w:rPr>
                <w:rFonts w:ascii="Arial"/>
                <w:sz w:val="21"/>
              </w:rPr>
            </w:pPr>
            <w:r/>
          </w:p>
        </w:tc>
        <w:tc>
          <w:tcPr>
            <w:tcW w:w="600" w:type="dxa"/>
            <w:vAlign w:val="top"/>
            <w:vMerge w:val="continue"/>
            <w:tcBorders>
              <w:top w:val="nil"/>
              <w:bottom w:val="nil"/>
            </w:tcBorders>
          </w:tcPr>
          <w:p>
            <w:pPr>
              <w:rPr>
                <w:rFonts w:ascii="Arial"/>
                <w:sz w:val="21"/>
              </w:rPr>
            </w:pPr>
            <w:r/>
          </w:p>
        </w:tc>
        <w:tc>
          <w:tcPr>
            <w:tcW w:w="680" w:type="dxa"/>
            <w:vAlign w:val="top"/>
            <w:vMerge w:val="continue"/>
            <w:tcBorders>
              <w:top w:val="nil"/>
              <w:bottom w:val="nil"/>
            </w:tcBorders>
          </w:tcPr>
          <w:p>
            <w:pPr>
              <w:rPr>
                <w:rFonts w:ascii="Arial"/>
                <w:sz w:val="21"/>
              </w:rPr>
            </w:pPr>
            <w:r/>
          </w:p>
        </w:tc>
        <w:tc>
          <w:tcPr>
            <w:tcW w:w="715" w:type="dxa"/>
            <w:vAlign w:val="top"/>
            <w:vMerge w:val="continue"/>
            <w:tcBorders>
              <w:top w:val="nil"/>
              <w:bottom w:val="nil"/>
            </w:tcBorders>
          </w:tcPr>
          <w:p>
            <w:pPr>
              <w:rPr>
                <w:rFonts w:ascii="Arial"/>
                <w:sz w:val="21"/>
              </w:rPr>
            </w:pPr>
            <w:r/>
          </w:p>
        </w:tc>
      </w:tr>
      <w:tr>
        <w:trPr>
          <w:trHeight w:val="449" w:hRule="atLeast"/>
        </w:trPr>
        <w:tc>
          <w:tcPr>
            <w:tcW w:w="655" w:type="dxa"/>
            <w:vAlign w:val="top"/>
            <w:vMerge w:val="continue"/>
            <w:tcBorders>
              <w:top w:val="nil"/>
            </w:tcBorders>
          </w:tcPr>
          <w:p>
            <w:pPr>
              <w:rPr>
                <w:rFonts w:ascii="Arial"/>
                <w:sz w:val="21"/>
              </w:rPr>
            </w:pPr>
            <w:r/>
          </w:p>
        </w:tc>
        <w:tc>
          <w:tcPr>
            <w:tcW w:w="1019" w:type="dxa"/>
            <w:vAlign w:val="top"/>
            <w:vMerge w:val="continue"/>
            <w:tcBorders>
              <w:top w:val="nil"/>
            </w:tcBorders>
          </w:tcPr>
          <w:p>
            <w:pPr>
              <w:rPr>
                <w:rFonts w:ascii="Arial"/>
                <w:sz w:val="21"/>
              </w:rPr>
            </w:pPr>
            <w:r/>
          </w:p>
        </w:tc>
        <w:tc>
          <w:tcPr>
            <w:tcW w:w="969" w:type="dxa"/>
            <w:vAlign w:val="top"/>
          </w:tcPr>
          <w:p>
            <w:pPr>
              <w:pStyle w:val="TableText"/>
              <w:ind w:left="161"/>
              <w:spacing w:before="126" w:line="220" w:lineRule="auto"/>
              <w:rPr>
                <w:sz w:val="21"/>
                <w:szCs w:val="21"/>
              </w:rPr>
            </w:pPr>
            <w:r>
              <w:rPr>
                <w:sz w:val="21"/>
                <w:szCs w:val="21"/>
                <w:spacing w:val="-2"/>
              </w:rPr>
              <w:t>颗粒物</w:t>
            </w:r>
          </w:p>
        </w:tc>
        <w:tc>
          <w:tcPr>
            <w:tcW w:w="859" w:type="dxa"/>
            <w:vAlign w:val="top"/>
            <w:vMerge w:val="continue"/>
            <w:tcBorders>
              <w:top w:val="nil"/>
            </w:tcBorders>
          </w:tcPr>
          <w:p>
            <w:pPr>
              <w:rPr>
                <w:rFonts w:ascii="Arial"/>
                <w:sz w:val="21"/>
              </w:rPr>
            </w:pPr>
            <w:r/>
          </w:p>
        </w:tc>
        <w:tc>
          <w:tcPr>
            <w:tcW w:w="969" w:type="dxa"/>
            <w:vAlign w:val="top"/>
          </w:tcPr>
          <w:p>
            <w:pPr>
              <w:pStyle w:val="TableText"/>
              <w:ind w:left="212"/>
              <w:spacing w:before="178" w:line="184" w:lineRule="auto"/>
              <w:rPr>
                <w:sz w:val="21"/>
                <w:szCs w:val="21"/>
              </w:rPr>
            </w:pPr>
            <w:r>
              <w:rPr>
                <w:sz w:val="21"/>
                <w:szCs w:val="21"/>
                <w:spacing w:val="-2"/>
              </w:rPr>
              <w:t>0.201</w:t>
            </w:r>
          </w:p>
        </w:tc>
        <w:tc>
          <w:tcPr>
            <w:tcW w:w="999" w:type="dxa"/>
            <w:vAlign w:val="top"/>
          </w:tcPr>
          <w:p>
            <w:pPr>
              <w:pStyle w:val="TableText"/>
              <w:ind w:left="384"/>
              <w:spacing w:before="259" w:line="158" w:lineRule="auto"/>
              <w:rPr>
                <w:sz w:val="21"/>
                <w:szCs w:val="21"/>
              </w:rPr>
            </w:pPr>
            <w:r>
              <w:rPr>
                <w:sz w:val="21"/>
                <w:szCs w:val="21"/>
                <w:spacing w:val="-3"/>
              </w:rPr>
              <w:t>20</w:t>
            </w:r>
          </w:p>
        </w:tc>
        <w:tc>
          <w:tcPr>
            <w:tcW w:w="999" w:type="dxa"/>
            <w:vAlign w:val="top"/>
          </w:tcPr>
          <w:p>
            <w:pPr>
              <w:pStyle w:val="TableText"/>
              <w:ind w:left="174"/>
              <w:spacing w:before="178" w:line="184" w:lineRule="auto"/>
              <w:rPr>
                <w:sz w:val="21"/>
                <w:szCs w:val="21"/>
              </w:rPr>
            </w:pPr>
            <w:r>
              <w:rPr>
                <w:sz w:val="21"/>
                <w:szCs w:val="21"/>
                <w:spacing w:val="-4"/>
              </w:rPr>
              <w:t>1.6215</w:t>
            </w:r>
          </w:p>
        </w:tc>
        <w:tc>
          <w:tcPr>
            <w:tcW w:w="859" w:type="dxa"/>
            <w:vAlign w:val="top"/>
            <w:vMerge w:val="continue"/>
            <w:tcBorders>
              <w:top w:val="nil"/>
            </w:tcBorders>
          </w:tcPr>
          <w:p>
            <w:pPr>
              <w:rPr>
                <w:rFonts w:ascii="Arial"/>
                <w:sz w:val="21"/>
              </w:rPr>
            </w:pPr>
            <w:r/>
          </w:p>
        </w:tc>
        <w:tc>
          <w:tcPr>
            <w:tcW w:w="690" w:type="dxa"/>
            <w:vAlign w:val="top"/>
            <w:vMerge w:val="continue"/>
            <w:tcBorders>
              <w:top w:val="nil"/>
            </w:tcBorders>
          </w:tcPr>
          <w:p>
            <w:pPr>
              <w:rPr>
                <w:rFonts w:ascii="Arial"/>
                <w:sz w:val="21"/>
              </w:rPr>
            </w:pPr>
            <w:r/>
          </w:p>
        </w:tc>
        <w:tc>
          <w:tcPr>
            <w:tcW w:w="1019" w:type="dxa"/>
            <w:vAlign w:val="top"/>
          </w:tcPr>
          <w:p>
            <w:pPr>
              <w:pStyle w:val="TableText"/>
              <w:ind w:left="237"/>
              <w:spacing w:before="178" w:line="184" w:lineRule="auto"/>
              <w:rPr>
                <w:sz w:val="21"/>
                <w:szCs w:val="21"/>
              </w:rPr>
            </w:pPr>
            <w:r>
              <w:rPr>
                <w:sz w:val="21"/>
                <w:szCs w:val="21"/>
                <w:spacing w:val="-2"/>
              </w:rPr>
              <w:t>0.201</w:t>
            </w:r>
          </w:p>
        </w:tc>
        <w:tc>
          <w:tcPr>
            <w:tcW w:w="1009" w:type="dxa"/>
            <w:vAlign w:val="top"/>
          </w:tcPr>
          <w:p>
            <w:pPr>
              <w:pStyle w:val="TableText"/>
              <w:ind w:left="397"/>
              <w:spacing w:before="259" w:line="158" w:lineRule="auto"/>
              <w:rPr>
                <w:sz w:val="21"/>
                <w:szCs w:val="21"/>
              </w:rPr>
            </w:pPr>
            <w:r>
              <w:rPr>
                <w:sz w:val="21"/>
                <w:szCs w:val="21"/>
                <w:spacing w:val="-3"/>
              </w:rPr>
              <w:t>20</w:t>
            </w:r>
          </w:p>
        </w:tc>
        <w:tc>
          <w:tcPr>
            <w:tcW w:w="819" w:type="dxa"/>
            <w:vAlign w:val="top"/>
          </w:tcPr>
          <w:p>
            <w:pPr>
              <w:pStyle w:val="TableText"/>
              <w:ind w:left="89"/>
              <w:spacing w:before="178" w:line="184" w:lineRule="auto"/>
              <w:rPr>
                <w:sz w:val="21"/>
                <w:szCs w:val="21"/>
              </w:rPr>
            </w:pPr>
            <w:r>
              <w:rPr>
                <w:sz w:val="21"/>
                <w:szCs w:val="21"/>
                <w:spacing w:val="-4"/>
              </w:rPr>
              <w:t>1.6215</w:t>
            </w:r>
          </w:p>
        </w:tc>
        <w:tc>
          <w:tcPr>
            <w:tcW w:w="700" w:type="dxa"/>
            <w:vAlign w:val="top"/>
            <w:vMerge w:val="continue"/>
            <w:tcBorders>
              <w:top w:val="nil"/>
            </w:tcBorders>
          </w:tcPr>
          <w:p>
            <w:pPr>
              <w:rPr>
                <w:rFonts w:ascii="Arial"/>
                <w:sz w:val="21"/>
              </w:rPr>
            </w:pPr>
            <w:r/>
          </w:p>
        </w:tc>
        <w:tc>
          <w:tcPr>
            <w:tcW w:w="680" w:type="dxa"/>
            <w:vAlign w:val="top"/>
            <w:vMerge w:val="continue"/>
            <w:tcBorders>
              <w:top w:val="nil"/>
            </w:tcBorders>
          </w:tcPr>
          <w:p>
            <w:pPr>
              <w:rPr>
                <w:rFonts w:ascii="Arial"/>
                <w:sz w:val="21"/>
              </w:rPr>
            </w:pPr>
            <w:r/>
          </w:p>
        </w:tc>
        <w:tc>
          <w:tcPr>
            <w:tcW w:w="600" w:type="dxa"/>
            <w:vAlign w:val="top"/>
            <w:vMerge w:val="continue"/>
            <w:tcBorders>
              <w:top w:val="nil"/>
            </w:tcBorders>
          </w:tcPr>
          <w:p>
            <w:pPr>
              <w:rPr>
                <w:rFonts w:ascii="Arial"/>
                <w:sz w:val="21"/>
              </w:rPr>
            </w:pPr>
            <w:r/>
          </w:p>
        </w:tc>
        <w:tc>
          <w:tcPr>
            <w:tcW w:w="680" w:type="dxa"/>
            <w:vAlign w:val="top"/>
            <w:vMerge w:val="continue"/>
            <w:tcBorders>
              <w:top w:val="nil"/>
            </w:tcBorders>
          </w:tcPr>
          <w:p>
            <w:pPr>
              <w:rPr>
                <w:rFonts w:ascii="Arial"/>
                <w:sz w:val="21"/>
              </w:rPr>
            </w:pPr>
            <w:r/>
          </w:p>
        </w:tc>
        <w:tc>
          <w:tcPr>
            <w:tcW w:w="715" w:type="dxa"/>
            <w:vAlign w:val="top"/>
            <w:vMerge w:val="continue"/>
            <w:tcBorders>
              <w:top w:val="nil"/>
            </w:tcBorders>
          </w:tcPr>
          <w:p>
            <w:pPr>
              <w:rPr>
                <w:rFonts w:ascii="Arial"/>
                <w:sz w:val="21"/>
              </w:rPr>
            </w:pPr>
            <w:r/>
          </w:p>
        </w:tc>
      </w:tr>
      <w:tr>
        <w:trPr>
          <w:trHeight w:val="329" w:hRule="atLeast"/>
        </w:trPr>
        <w:tc>
          <w:tcPr>
            <w:tcW w:w="1674" w:type="dxa"/>
            <w:vAlign w:val="top"/>
            <w:gridSpan w:val="2"/>
            <w:vMerge w:val="restart"/>
            <w:tcBorders>
              <w:bottom w:val="nil"/>
            </w:tcBorders>
          </w:tcPr>
          <w:p>
            <w:pPr>
              <w:spacing w:line="327" w:lineRule="auto"/>
              <w:rPr>
                <w:rFonts w:ascii="Arial"/>
                <w:sz w:val="21"/>
              </w:rPr>
            </w:pPr>
            <w:r/>
          </w:p>
          <w:p>
            <w:pPr>
              <w:pStyle w:val="TableText"/>
              <w:ind w:left="635"/>
              <w:spacing w:before="68" w:line="221" w:lineRule="auto"/>
              <w:rPr>
                <w:sz w:val="21"/>
                <w:szCs w:val="21"/>
              </w:rPr>
            </w:pPr>
            <w:r>
              <w:rPr>
                <w:sz w:val="21"/>
                <w:szCs w:val="21"/>
                <w:spacing w:val="-3"/>
              </w:rPr>
              <w:t>合计</w:t>
            </w:r>
          </w:p>
        </w:tc>
        <w:tc>
          <w:tcPr>
            <w:tcW w:w="969" w:type="dxa"/>
            <w:vAlign w:val="top"/>
          </w:tcPr>
          <w:p>
            <w:pPr>
              <w:pStyle w:val="TableText"/>
              <w:ind w:left="260"/>
              <w:spacing w:before="150" w:line="169" w:lineRule="exact"/>
              <w:rPr>
                <w:rFonts w:ascii="Calibri" w:hAnsi="Calibri" w:eastAsia="Calibri" w:cs="Calibri"/>
                <w:sz w:val="21"/>
                <w:szCs w:val="21"/>
              </w:rPr>
            </w:pPr>
            <w:r>
              <w:rPr>
                <w:sz w:val="21"/>
                <w:szCs w:val="21"/>
                <w:spacing w:val="-4"/>
                <w:position w:val="-1"/>
              </w:rPr>
              <w:t>SO</w:t>
            </w:r>
            <w:r>
              <w:rPr>
                <w:rFonts w:ascii="Calibri" w:hAnsi="Calibri" w:eastAsia="Calibri" w:cs="Calibri"/>
                <w:sz w:val="21"/>
                <w:szCs w:val="21"/>
                <w:spacing w:val="-4"/>
                <w:position w:val="-1"/>
              </w:rPr>
              <w:t>₂</w:t>
            </w:r>
          </w:p>
        </w:tc>
        <w:tc>
          <w:tcPr>
            <w:tcW w:w="859" w:type="dxa"/>
            <w:vAlign w:val="top"/>
            <w:vMerge w:val="restart"/>
            <w:tcBorders>
              <w:bottom w:val="nil"/>
            </w:tcBorders>
          </w:tcPr>
          <w:p>
            <w:pPr>
              <w:spacing w:line="332" w:lineRule="auto"/>
              <w:rPr>
                <w:rFonts w:ascii="Arial"/>
                <w:sz w:val="21"/>
              </w:rPr>
            </w:pPr>
            <w:r/>
          </w:p>
          <w:p>
            <w:pPr>
              <w:pStyle w:val="TableText"/>
              <w:ind w:left="361"/>
              <w:spacing w:before="68" w:line="224" w:lineRule="auto"/>
              <w:rPr>
                <w:sz w:val="21"/>
                <w:szCs w:val="21"/>
              </w:rPr>
            </w:pPr>
            <w:r>
              <w:rPr>
                <w:sz w:val="21"/>
                <w:szCs w:val="21"/>
              </w:rPr>
              <w:t>/</w:t>
            </w:r>
          </w:p>
        </w:tc>
        <w:tc>
          <w:tcPr>
            <w:tcW w:w="969" w:type="dxa"/>
            <w:vAlign w:val="top"/>
          </w:tcPr>
          <w:p>
            <w:pPr>
              <w:pStyle w:val="TableText"/>
              <w:ind w:left="422"/>
              <w:spacing w:before="101" w:line="191" w:lineRule="auto"/>
              <w:rPr>
                <w:sz w:val="21"/>
                <w:szCs w:val="21"/>
              </w:rPr>
            </w:pPr>
            <w:r>
              <w:rPr>
                <w:sz w:val="21"/>
                <w:szCs w:val="21"/>
              </w:rPr>
              <w:t>/</w:t>
            </w:r>
          </w:p>
        </w:tc>
        <w:tc>
          <w:tcPr>
            <w:tcW w:w="999" w:type="dxa"/>
            <w:vAlign w:val="top"/>
          </w:tcPr>
          <w:p>
            <w:pPr>
              <w:pStyle w:val="TableText"/>
              <w:ind w:left="434"/>
              <w:spacing w:before="101" w:line="191" w:lineRule="auto"/>
              <w:rPr>
                <w:sz w:val="21"/>
                <w:szCs w:val="21"/>
              </w:rPr>
            </w:pPr>
            <w:r>
              <w:rPr>
                <w:sz w:val="21"/>
                <w:szCs w:val="21"/>
              </w:rPr>
              <w:t>/</w:t>
            </w:r>
          </w:p>
        </w:tc>
        <w:tc>
          <w:tcPr>
            <w:tcW w:w="999" w:type="dxa"/>
            <w:vAlign w:val="top"/>
          </w:tcPr>
          <w:p>
            <w:pPr>
              <w:pStyle w:val="TableText"/>
              <w:ind w:left="174"/>
              <w:spacing w:before="119" w:line="175" w:lineRule="auto"/>
              <w:rPr>
                <w:sz w:val="21"/>
                <w:szCs w:val="21"/>
              </w:rPr>
            </w:pPr>
            <w:r>
              <w:rPr>
                <w:sz w:val="21"/>
                <w:szCs w:val="21"/>
                <w:spacing w:val="-2"/>
              </w:rPr>
              <w:t>3.5112</w:t>
            </w:r>
          </w:p>
        </w:tc>
        <w:tc>
          <w:tcPr>
            <w:tcW w:w="859" w:type="dxa"/>
            <w:vAlign w:val="top"/>
            <w:vMerge w:val="restart"/>
            <w:tcBorders>
              <w:bottom w:val="nil"/>
            </w:tcBorders>
          </w:tcPr>
          <w:p>
            <w:pPr>
              <w:spacing w:line="332" w:lineRule="auto"/>
              <w:rPr>
                <w:rFonts w:ascii="Arial"/>
                <w:sz w:val="21"/>
              </w:rPr>
            </w:pPr>
            <w:r/>
          </w:p>
          <w:p>
            <w:pPr>
              <w:pStyle w:val="TableText"/>
              <w:ind w:left="366"/>
              <w:spacing w:before="68" w:line="224" w:lineRule="auto"/>
              <w:rPr>
                <w:sz w:val="21"/>
                <w:szCs w:val="21"/>
              </w:rPr>
            </w:pPr>
            <w:r>
              <w:rPr>
                <w:sz w:val="21"/>
                <w:szCs w:val="21"/>
              </w:rPr>
              <w:t>/</w:t>
            </w:r>
          </w:p>
        </w:tc>
        <w:tc>
          <w:tcPr>
            <w:tcW w:w="690" w:type="dxa"/>
            <w:vAlign w:val="top"/>
            <w:vMerge w:val="restart"/>
            <w:tcBorders>
              <w:bottom w:val="nil"/>
            </w:tcBorders>
          </w:tcPr>
          <w:p>
            <w:pPr>
              <w:spacing w:line="332" w:lineRule="auto"/>
              <w:rPr>
                <w:rFonts w:ascii="Arial"/>
                <w:sz w:val="21"/>
              </w:rPr>
            </w:pPr>
            <w:r/>
          </w:p>
          <w:p>
            <w:pPr>
              <w:pStyle w:val="TableText"/>
              <w:ind w:left="287"/>
              <w:spacing w:before="68" w:line="224" w:lineRule="auto"/>
              <w:rPr>
                <w:sz w:val="21"/>
                <w:szCs w:val="21"/>
              </w:rPr>
            </w:pPr>
            <w:r>
              <w:rPr>
                <w:sz w:val="21"/>
                <w:szCs w:val="21"/>
              </w:rPr>
              <w:t>/</w:t>
            </w:r>
          </w:p>
        </w:tc>
        <w:tc>
          <w:tcPr>
            <w:tcW w:w="1019" w:type="dxa"/>
            <w:vAlign w:val="top"/>
          </w:tcPr>
          <w:p>
            <w:pPr>
              <w:pStyle w:val="TableText"/>
              <w:ind w:left="447"/>
              <w:spacing w:before="72" w:line="217" w:lineRule="auto"/>
              <w:rPr>
                <w:sz w:val="21"/>
                <w:szCs w:val="21"/>
              </w:rPr>
            </w:pPr>
            <w:r>
              <w:rPr>
                <w:sz w:val="21"/>
                <w:szCs w:val="21"/>
              </w:rPr>
              <w:t>/</w:t>
            </w:r>
          </w:p>
        </w:tc>
        <w:tc>
          <w:tcPr>
            <w:tcW w:w="1009" w:type="dxa"/>
            <w:vAlign w:val="top"/>
          </w:tcPr>
          <w:p>
            <w:pPr>
              <w:pStyle w:val="TableText"/>
              <w:ind w:left="448"/>
              <w:spacing w:before="122" w:line="173" w:lineRule="auto"/>
              <w:rPr>
                <w:sz w:val="21"/>
                <w:szCs w:val="21"/>
              </w:rPr>
            </w:pPr>
            <w:r>
              <w:rPr>
                <w:sz w:val="21"/>
                <w:szCs w:val="21"/>
              </w:rPr>
              <w:t>/</w:t>
            </w:r>
          </w:p>
        </w:tc>
        <w:tc>
          <w:tcPr>
            <w:tcW w:w="819" w:type="dxa"/>
            <w:vAlign w:val="top"/>
          </w:tcPr>
          <w:p>
            <w:pPr>
              <w:pStyle w:val="TableText"/>
              <w:ind w:left="89"/>
              <w:spacing w:before="119" w:line="175" w:lineRule="auto"/>
              <w:rPr>
                <w:sz w:val="21"/>
                <w:szCs w:val="21"/>
              </w:rPr>
            </w:pPr>
            <w:r>
              <w:rPr>
                <w:sz w:val="21"/>
                <w:szCs w:val="21"/>
                <w:spacing w:val="-2"/>
              </w:rPr>
              <w:t>3.5112</w:t>
            </w:r>
          </w:p>
        </w:tc>
        <w:tc>
          <w:tcPr>
            <w:tcW w:w="700" w:type="dxa"/>
            <w:vAlign w:val="top"/>
            <w:vMerge w:val="restart"/>
            <w:tcBorders>
              <w:bottom w:val="nil"/>
            </w:tcBorders>
          </w:tcPr>
          <w:p>
            <w:pPr>
              <w:spacing w:line="380" w:lineRule="auto"/>
              <w:rPr>
                <w:rFonts w:ascii="Arial"/>
                <w:sz w:val="21"/>
              </w:rPr>
            </w:pPr>
            <w:r/>
          </w:p>
          <w:p>
            <w:pPr>
              <w:pStyle w:val="TableText"/>
              <w:ind w:left="80"/>
              <w:spacing w:before="68" w:line="183" w:lineRule="auto"/>
              <w:rPr>
                <w:sz w:val="21"/>
                <w:szCs w:val="21"/>
              </w:rPr>
            </w:pPr>
            <w:r>
              <w:rPr>
                <w:sz w:val="21"/>
                <w:szCs w:val="21"/>
                <w:spacing w:val="-2"/>
              </w:rPr>
              <w:t>28662</w:t>
            </w:r>
          </w:p>
        </w:tc>
        <w:tc>
          <w:tcPr>
            <w:tcW w:w="680" w:type="dxa"/>
            <w:vAlign w:val="top"/>
          </w:tcPr>
          <w:p>
            <w:pPr>
              <w:pStyle w:val="TableText"/>
              <w:ind w:left="279"/>
              <w:spacing w:before="101" w:line="191" w:lineRule="auto"/>
              <w:rPr>
                <w:sz w:val="21"/>
                <w:szCs w:val="21"/>
              </w:rPr>
            </w:pPr>
            <w:r>
              <w:rPr>
                <w:sz w:val="21"/>
                <w:szCs w:val="21"/>
              </w:rPr>
              <w:t>/</w:t>
            </w:r>
          </w:p>
        </w:tc>
        <w:tc>
          <w:tcPr>
            <w:tcW w:w="600" w:type="dxa"/>
            <w:vAlign w:val="top"/>
          </w:tcPr>
          <w:p>
            <w:pPr>
              <w:pStyle w:val="TableText"/>
              <w:ind w:left="240"/>
              <w:spacing w:before="122" w:line="173" w:lineRule="auto"/>
              <w:rPr>
                <w:sz w:val="21"/>
                <w:szCs w:val="21"/>
              </w:rPr>
            </w:pPr>
            <w:r>
              <w:rPr>
                <w:sz w:val="21"/>
                <w:szCs w:val="21"/>
              </w:rPr>
              <w:t>/</w:t>
            </w:r>
          </w:p>
        </w:tc>
        <w:tc>
          <w:tcPr>
            <w:tcW w:w="680" w:type="dxa"/>
            <w:vAlign w:val="top"/>
          </w:tcPr>
          <w:p>
            <w:pPr>
              <w:pStyle w:val="TableText"/>
              <w:ind w:left="279"/>
              <w:spacing w:before="122" w:line="173" w:lineRule="auto"/>
              <w:rPr>
                <w:sz w:val="21"/>
                <w:szCs w:val="21"/>
              </w:rPr>
            </w:pPr>
            <w:r>
              <w:rPr>
                <w:sz w:val="21"/>
                <w:szCs w:val="21"/>
              </w:rPr>
              <w:t>/</w:t>
            </w:r>
          </w:p>
        </w:tc>
        <w:tc>
          <w:tcPr>
            <w:tcW w:w="715" w:type="dxa"/>
            <w:vAlign w:val="top"/>
          </w:tcPr>
          <w:p>
            <w:pPr>
              <w:pStyle w:val="TableText"/>
              <w:ind w:left="300"/>
              <w:spacing w:before="101" w:line="191" w:lineRule="auto"/>
              <w:rPr>
                <w:sz w:val="21"/>
                <w:szCs w:val="21"/>
              </w:rPr>
            </w:pPr>
            <w:r>
              <w:rPr>
                <w:sz w:val="21"/>
                <w:szCs w:val="21"/>
              </w:rPr>
              <w:t>/</w:t>
            </w:r>
          </w:p>
        </w:tc>
      </w:tr>
      <w:tr>
        <w:trPr>
          <w:trHeight w:val="339" w:hRule="atLeast"/>
        </w:trPr>
        <w:tc>
          <w:tcPr>
            <w:tcW w:w="1674" w:type="dxa"/>
            <w:vAlign w:val="top"/>
            <w:gridSpan w:val="2"/>
            <w:vMerge w:val="continue"/>
            <w:tcBorders>
              <w:top w:val="nil"/>
              <w:bottom w:val="nil"/>
            </w:tcBorders>
          </w:tcPr>
          <w:p>
            <w:pPr>
              <w:rPr>
                <w:rFonts w:ascii="Arial"/>
                <w:sz w:val="21"/>
              </w:rPr>
            </w:pPr>
            <w:r/>
          </w:p>
        </w:tc>
        <w:tc>
          <w:tcPr>
            <w:tcW w:w="969" w:type="dxa"/>
            <w:vAlign w:val="top"/>
          </w:tcPr>
          <w:p>
            <w:pPr>
              <w:pStyle w:val="TableText"/>
              <w:ind w:left="310"/>
              <w:spacing w:before="132" w:line="173" w:lineRule="auto"/>
              <w:rPr>
                <w:sz w:val="21"/>
                <w:szCs w:val="21"/>
              </w:rPr>
            </w:pPr>
            <w:r>
              <w:rPr>
                <w:sz w:val="21"/>
                <w:szCs w:val="21"/>
                <w:spacing w:val="-1"/>
              </w:rPr>
              <w:t>NOx</w:t>
            </w:r>
          </w:p>
        </w:tc>
        <w:tc>
          <w:tcPr>
            <w:tcW w:w="859" w:type="dxa"/>
            <w:vAlign w:val="top"/>
            <w:vMerge w:val="continue"/>
            <w:tcBorders>
              <w:top w:val="nil"/>
              <w:bottom w:val="nil"/>
            </w:tcBorders>
          </w:tcPr>
          <w:p>
            <w:pPr>
              <w:rPr>
                <w:rFonts w:ascii="Arial"/>
                <w:sz w:val="21"/>
              </w:rPr>
            </w:pPr>
            <w:r/>
          </w:p>
        </w:tc>
        <w:tc>
          <w:tcPr>
            <w:tcW w:w="969" w:type="dxa"/>
            <w:vAlign w:val="top"/>
          </w:tcPr>
          <w:p>
            <w:pPr>
              <w:pStyle w:val="TableText"/>
              <w:ind w:left="422"/>
              <w:spacing w:before="83" w:line="216" w:lineRule="auto"/>
              <w:rPr>
                <w:sz w:val="21"/>
                <w:szCs w:val="21"/>
              </w:rPr>
            </w:pPr>
            <w:r>
              <w:rPr>
                <w:sz w:val="21"/>
                <w:szCs w:val="21"/>
              </w:rPr>
              <w:t>/</w:t>
            </w:r>
          </w:p>
        </w:tc>
        <w:tc>
          <w:tcPr>
            <w:tcW w:w="999" w:type="dxa"/>
            <w:vAlign w:val="top"/>
          </w:tcPr>
          <w:p>
            <w:pPr>
              <w:pStyle w:val="TableText"/>
              <w:ind w:left="434"/>
              <w:spacing w:before="83" w:line="216" w:lineRule="auto"/>
              <w:rPr>
                <w:sz w:val="21"/>
                <w:szCs w:val="21"/>
              </w:rPr>
            </w:pPr>
            <w:r>
              <w:rPr>
                <w:sz w:val="21"/>
                <w:szCs w:val="21"/>
              </w:rPr>
              <w:t>/</w:t>
            </w:r>
          </w:p>
        </w:tc>
        <w:tc>
          <w:tcPr>
            <w:tcW w:w="999" w:type="dxa"/>
            <w:vAlign w:val="top"/>
          </w:tcPr>
          <w:p>
            <w:pPr>
              <w:pStyle w:val="TableText"/>
              <w:ind w:left="174"/>
              <w:spacing w:before="132" w:line="173" w:lineRule="auto"/>
              <w:rPr>
                <w:sz w:val="21"/>
                <w:szCs w:val="21"/>
              </w:rPr>
            </w:pPr>
            <w:r>
              <w:rPr>
                <w:sz w:val="21"/>
                <w:szCs w:val="21"/>
                <w:spacing w:val="-2"/>
              </w:rPr>
              <w:t>9.4586</w:t>
            </w:r>
          </w:p>
        </w:tc>
        <w:tc>
          <w:tcPr>
            <w:tcW w:w="859" w:type="dxa"/>
            <w:vAlign w:val="top"/>
            <w:vMerge w:val="continue"/>
            <w:tcBorders>
              <w:top w:val="nil"/>
              <w:bottom w:val="nil"/>
            </w:tcBorders>
          </w:tcPr>
          <w:p>
            <w:pPr>
              <w:rPr>
                <w:rFonts w:ascii="Arial"/>
                <w:sz w:val="21"/>
              </w:rPr>
            </w:pPr>
            <w:r/>
          </w:p>
        </w:tc>
        <w:tc>
          <w:tcPr>
            <w:tcW w:w="690" w:type="dxa"/>
            <w:vAlign w:val="top"/>
            <w:vMerge w:val="continue"/>
            <w:tcBorders>
              <w:top w:val="nil"/>
              <w:bottom w:val="nil"/>
            </w:tcBorders>
          </w:tcPr>
          <w:p>
            <w:pPr>
              <w:rPr>
                <w:rFonts w:ascii="Arial"/>
                <w:sz w:val="21"/>
              </w:rPr>
            </w:pPr>
            <w:r/>
          </w:p>
        </w:tc>
        <w:tc>
          <w:tcPr>
            <w:tcW w:w="1019" w:type="dxa"/>
            <w:vAlign w:val="top"/>
          </w:tcPr>
          <w:p>
            <w:pPr>
              <w:pStyle w:val="TableText"/>
              <w:ind w:left="447"/>
              <w:spacing w:before="83" w:line="216" w:lineRule="auto"/>
              <w:rPr>
                <w:sz w:val="21"/>
                <w:szCs w:val="21"/>
              </w:rPr>
            </w:pPr>
            <w:r>
              <w:rPr>
                <w:sz w:val="21"/>
                <w:szCs w:val="21"/>
              </w:rPr>
              <w:t>/</w:t>
            </w:r>
          </w:p>
        </w:tc>
        <w:tc>
          <w:tcPr>
            <w:tcW w:w="1009" w:type="dxa"/>
            <w:vAlign w:val="top"/>
          </w:tcPr>
          <w:p>
            <w:pPr>
              <w:pStyle w:val="TableText"/>
              <w:ind w:left="448"/>
              <w:spacing w:before="83" w:line="216" w:lineRule="auto"/>
              <w:rPr>
                <w:sz w:val="21"/>
                <w:szCs w:val="21"/>
              </w:rPr>
            </w:pPr>
            <w:r>
              <w:rPr>
                <w:sz w:val="21"/>
                <w:szCs w:val="21"/>
              </w:rPr>
              <w:t>/</w:t>
            </w:r>
          </w:p>
        </w:tc>
        <w:tc>
          <w:tcPr>
            <w:tcW w:w="819" w:type="dxa"/>
            <w:vAlign w:val="top"/>
          </w:tcPr>
          <w:p>
            <w:pPr>
              <w:pStyle w:val="TableText"/>
              <w:ind w:left="89"/>
              <w:spacing w:before="132" w:line="173" w:lineRule="auto"/>
              <w:rPr>
                <w:sz w:val="21"/>
                <w:szCs w:val="21"/>
              </w:rPr>
            </w:pPr>
            <w:r>
              <w:rPr>
                <w:sz w:val="21"/>
                <w:szCs w:val="21"/>
                <w:spacing w:val="-2"/>
              </w:rPr>
              <w:t>9.4586</w:t>
            </w:r>
          </w:p>
        </w:tc>
        <w:tc>
          <w:tcPr>
            <w:tcW w:w="700" w:type="dxa"/>
            <w:vAlign w:val="top"/>
            <w:vMerge w:val="continue"/>
            <w:tcBorders>
              <w:top w:val="nil"/>
              <w:bottom w:val="nil"/>
            </w:tcBorders>
          </w:tcPr>
          <w:p>
            <w:pPr>
              <w:rPr>
                <w:rFonts w:ascii="Arial"/>
                <w:sz w:val="21"/>
              </w:rPr>
            </w:pPr>
            <w:r/>
          </w:p>
        </w:tc>
        <w:tc>
          <w:tcPr>
            <w:tcW w:w="680" w:type="dxa"/>
            <w:vAlign w:val="top"/>
          </w:tcPr>
          <w:p>
            <w:pPr>
              <w:pStyle w:val="TableText"/>
              <w:ind w:left="279"/>
              <w:spacing w:before="83" w:line="216" w:lineRule="auto"/>
              <w:rPr>
                <w:sz w:val="21"/>
                <w:szCs w:val="21"/>
              </w:rPr>
            </w:pPr>
            <w:r>
              <w:rPr>
                <w:sz w:val="21"/>
                <w:szCs w:val="21"/>
              </w:rPr>
              <w:t>/</w:t>
            </w:r>
          </w:p>
        </w:tc>
        <w:tc>
          <w:tcPr>
            <w:tcW w:w="600" w:type="dxa"/>
            <w:vAlign w:val="top"/>
          </w:tcPr>
          <w:p>
            <w:pPr>
              <w:pStyle w:val="TableText"/>
              <w:ind w:left="240"/>
              <w:spacing w:before="83" w:line="216" w:lineRule="auto"/>
              <w:rPr>
                <w:sz w:val="21"/>
                <w:szCs w:val="21"/>
              </w:rPr>
            </w:pPr>
            <w:r>
              <w:rPr>
                <w:sz w:val="21"/>
                <w:szCs w:val="21"/>
              </w:rPr>
              <w:t>/</w:t>
            </w:r>
          </w:p>
        </w:tc>
        <w:tc>
          <w:tcPr>
            <w:tcW w:w="680" w:type="dxa"/>
            <w:vAlign w:val="top"/>
          </w:tcPr>
          <w:p>
            <w:pPr>
              <w:pStyle w:val="TableText"/>
              <w:ind w:left="279"/>
              <w:spacing w:before="83" w:line="216" w:lineRule="auto"/>
              <w:rPr>
                <w:sz w:val="21"/>
                <w:szCs w:val="21"/>
              </w:rPr>
            </w:pPr>
            <w:r>
              <w:rPr>
                <w:sz w:val="21"/>
                <w:szCs w:val="21"/>
              </w:rPr>
              <w:t>/</w:t>
            </w:r>
          </w:p>
        </w:tc>
        <w:tc>
          <w:tcPr>
            <w:tcW w:w="715" w:type="dxa"/>
            <w:vAlign w:val="top"/>
          </w:tcPr>
          <w:p>
            <w:pPr>
              <w:pStyle w:val="TableText"/>
              <w:ind w:left="300"/>
              <w:spacing w:before="83" w:line="216" w:lineRule="auto"/>
              <w:rPr>
                <w:sz w:val="21"/>
                <w:szCs w:val="21"/>
              </w:rPr>
            </w:pPr>
            <w:r>
              <w:rPr>
                <w:sz w:val="21"/>
                <w:szCs w:val="21"/>
              </w:rPr>
              <w:t>/</w:t>
            </w:r>
          </w:p>
        </w:tc>
      </w:tr>
      <w:tr>
        <w:trPr>
          <w:trHeight w:val="290" w:hRule="atLeast"/>
        </w:trPr>
        <w:tc>
          <w:tcPr>
            <w:tcW w:w="1674" w:type="dxa"/>
            <w:vAlign w:val="top"/>
            <w:gridSpan w:val="2"/>
            <w:vMerge w:val="continue"/>
            <w:tcBorders>
              <w:top w:val="nil"/>
            </w:tcBorders>
          </w:tcPr>
          <w:p>
            <w:pPr>
              <w:rPr>
                <w:rFonts w:ascii="Arial"/>
                <w:sz w:val="21"/>
              </w:rPr>
            </w:pPr>
            <w:r/>
          </w:p>
        </w:tc>
        <w:tc>
          <w:tcPr>
            <w:tcW w:w="969" w:type="dxa"/>
            <w:vAlign w:val="top"/>
          </w:tcPr>
          <w:p>
            <w:pPr>
              <w:pStyle w:val="TableText"/>
              <w:ind w:left="161"/>
              <w:spacing w:before="49" w:line="203" w:lineRule="auto"/>
              <w:rPr>
                <w:sz w:val="21"/>
                <w:szCs w:val="21"/>
              </w:rPr>
            </w:pPr>
            <w:r>
              <w:rPr>
                <w:sz w:val="21"/>
                <w:szCs w:val="21"/>
                <w:spacing w:val="-2"/>
              </w:rPr>
              <w:t>颗粒物</w:t>
            </w:r>
          </w:p>
        </w:tc>
        <w:tc>
          <w:tcPr>
            <w:tcW w:w="859" w:type="dxa"/>
            <w:vAlign w:val="top"/>
            <w:vMerge w:val="continue"/>
            <w:tcBorders>
              <w:top w:val="nil"/>
            </w:tcBorders>
          </w:tcPr>
          <w:p>
            <w:pPr>
              <w:rPr>
                <w:rFonts w:ascii="Arial"/>
                <w:sz w:val="21"/>
              </w:rPr>
            </w:pPr>
            <w:r/>
          </w:p>
        </w:tc>
        <w:tc>
          <w:tcPr>
            <w:tcW w:w="969" w:type="dxa"/>
            <w:vAlign w:val="top"/>
          </w:tcPr>
          <w:p>
            <w:pPr>
              <w:pStyle w:val="TableText"/>
              <w:ind w:left="422"/>
              <w:spacing w:before="54" w:line="198" w:lineRule="auto"/>
              <w:rPr>
                <w:sz w:val="21"/>
                <w:szCs w:val="21"/>
              </w:rPr>
            </w:pPr>
            <w:r>
              <w:rPr>
                <w:sz w:val="21"/>
                <w:szCs w:val="21"/>
              </w:rPr>
              <w:t>/</w:t>
            </w:r>
          </w:p>
        </w:tc>
        <w:tc>
          <w:tcPr>
            <w:tcW w:w="999" w:type="dxa"/>
            <w:vAlign w:val="top"/>
          </w:tcPr>
          <w:p>
            <w:pPr>
              <w:pStyle w:val="TableText"/>
              <w:ind w:left="434"/>
              <w:spacing w:before="54" w:line="198" w:lineRule="auto"/>
              <w:rPr>
                <w:sz w:val="21"/>
                <w:szCs w:val="21"/>
              </w:rPr>
            </w:pPr>
            <w:r>
              <w:rPr>
                <w:sz w:val="21"/>
                <w:szCs w:val="21"/>
              </w:rPr>
              <w:t>/</w:t>
            </w:r>
          </w:p>
        </w:tc>
        <w:tc>
          <w:tcPr>
            <w:tcW w:w="999" w:type="dxa"/>
            <w:vAlign w:val="top"/>
          </w:tcPr>
          <w:p>
            <w:pPr>
              <w:pStyle w:val="TableText"/>
              <w:ind w:left="174"/>
              <w:spacing w:before="102" w:line="177" w:lineRule="exact"/>
              <w:rPr>
                <w:sz w:val="21"/>
                <w:szCs w:val="21"/>
              </w:rPr>
            </w:pPr>
            <w:r>
              <w:rPr>
                <w:sz w:val="21"/>
                <w:szCs w:val="21"/>
                <w:spacing w:val="-2"/>
                <w:position w:val="-2"/>
              </w:rPr>
              <w:t>3.7835</w:t>
            </w:r>
          </w:p>
        </w:tc>
        <w:tc>
          <w:tcPr>
            <w:tcW w:w="859" w:type="dxa"/>
            <w:vAlign w:val="top"/>
            <w:vMerge w:val="continue"/>
            <w:tcBorders>
              <w:top w:val="nil"/>
            </w:tcBorders>
          </w:tcPr>
          <w:p>
            <w:pPr>
              <w:rPr>
                <w:rFonts w:ascii="Arial"/>
                <w:sz w:val="21"/>
              </w:rPr>
            </w:pPr>
            <w:r/>
          </w:p>
        </w:tc>
        <w:tc>
          <w:tcPr>
            <w:tcW w:w="690" w:type="dxa"/>
            <w:vAlign w:val="top"/>
            <w:vMerge w:val="continue"/>
            <w:tcBorders>
              <w:top w:val="nil"/>
            </w:tcBorders>
          </w:tcPr>
          <w:p>
            <w:pPr>
              <w:rPr>
                <w:rFonts w:ascii="Arial"/>
                <w:sz w:val="21"/>
              </w:rPr>
            </w:pPr>
            <w:r/>
          </w:p>
        </w:tc>
        <w:tc>
          <w:tcPr>
            <w:tcW w:w="1019" w:type="dxa"/>
            <w:vAlign w:val="top"/>
          </w:tcPr>
          <w:p>
            <w:pPr>
              <w:pStyle w:val="TableText"/>
              <w:ind w:left="447"/>
              <w:spacing w:before="54" w:line="198" w:lineRule="auto"/>
              <w:rPr>
                <w:sz w:val="21"/>
                <w:szCs w:val="21"/>
              </w:rPr>
            </w:pPr>
            <w:r>
              <w:rPr>
                <w:sz w:val="21"/>
                <w:szCs w:val="21"/>
              </w:rPr>
              <w:t>/</w:t>
            </w:r>
          </w:p>
        </w:tc>
        <w:tc>
          <w:tcPr>
            <w:tcW w:w="1009" w:type="dxa"/>
            <w:vAlign w:val="top"/>
          </w:tcPr>
          <w:p>
            <w:pPr>
              <w:pStyle w:val="TableText"/>
              <w:ind w:left="448"/>
              <w:spacing w:before="54" w:line="198" w:lineRule="auto"/>
              <w:rPr>
                <w:sz w:val="21"/>
                <w:szCs w:val="21"/>
              </w:rPr>
            </w:pPr>
            <w:r>
              <w:rPr>
                <w:sz w:val="21"/>
                <w:szCs w:val="21"/>
              </w:rPr>
              <w:t>/</w:t>
            </w:r>
          </w:p>
        </w:tc>
        <w:tc>
          <w:tcPr>
            <w:tcW w:w="819" w:type="dxa"/>
            <w:vAlign w:val="top"/>
          </w:tcPr>
          <w:p>
            <w:pPr>
              <w:pStyle w:val="TableText"/>
              <w:ind w:left="89"/>
              <w:spacing w:before="102" w:line="177" w:lineRule="exact"/>
              <w:rPr>
                <w:sz w:val="21"/>
                <w:szCs w:val="21"/>
              </w:rPr>
            </w:pPr>
            <w:r>
              <w:rPr>
                <w:sz w:val="21"/>
                <w:szCs w:val="21"/>
                <w:spacing w:val="-2"/>
                <w:position w:val="-2"/>
              </w:rPr>
              <w:t>3.7835</w:t>
            </w:r>
          </w:p>
        </w:tc>
        <w:tc>
          <w:tcPr>
            <w:tcW w:w="700" w:type="dxa"/>
            <w:vAlign w:val="top"/>
            <w:vMerge w:val="continue"/>
            <w:tcBorders>
              <w:top w:val="nil"/>
            </w:tcBorders>
          </w:tcPr>
          <w:p>
            <w:pPr>
              <w:rPr>
                <w:rFonts w:ascii="Arial"/>
                <w:sz w:val="21"/>
              </w:rPr>
            </w:pPr>
            <w:r/>
          </w:p>
        </w:tc>
        <w:tc>
          <w:tcPr>
            <w:tcW w:w="680" w:type="dxa"/>
            <w:vAlign w:val="top"/>
          </w:tcPr>
          <w:p>
            <w:pPr>
              <w:pStyle w:val="TableText"/>
              <w:ind w:left="279"/>
              <w:spacing w:before="54" w:line="198" w:lineRule="auto"/>
              <w:rPr>
                <w:sz w:val="21"/>
                <w:szCs w:val="21"/>
              </w:rPr>
            </w:pPr>
            <w:r>
              <w:rPr>
                <w:sz w:val="21"/>
                <w:szCs w:val="21"/>
              </w:rPr>
              <w:t>/</w:t>
            </w:r>
          </w:p>
        </w:tc>
        <w:tc>
          <w:tcPr>
            <w:tcW w:w="600" w:type="dxa"/>
            <w:vAlign w:val="top"/>
          </w:tcPr>
          <w:p>
            <w:pPr>
              <w:pStyle w:val="TableText"/>
              <w:ind w:left="240"/>
              <w:spacing w:before="54" w:line="198" w:lineRule="auto"/>
              <w:rPr>
                <w:sz w:val="21"/>
                <w:szCs w:val="21"/>
              </w:rPr>
            </w:pPr>
            <w:r>
              <w:rPr>
                <w:sz w:val="21"/>
                <w:szCs w:val="21"/>
              </w:rPr>
              <w:t>/</w:t>
            </w:r>
          </w:p>
        </w:tc>
        <w:tc>
          <w:tcPr>
            <w:tcW w:w="680" w:type="dxa"/>
            <w:vAlign w:val="top"/>
          </w:tcPr>
          <w:p>
            <w:pPr>
              <w:pStyle w:val="TableText"/>
              <w:ind w:left="279"/>
              <w:spacing w:before="54" w:line="198" w:lineRule="auto"/>
              <w:rPr>
                <w:sz w:val="21"/>
                <w:szCs w:val="21"/>
              </w:rPr>
            </w:pPr>
            <w:r>
              <w:rPr>
                <w:sz w:val="21"/>
                <w:szCs w:val="21"/>
              </w:rPr>
              <w:t>/</w:t>
            </w:r>
          </w:p>
        </w:tc>
        <w:tc>
          <w:tcPr>
            <w:tcW w:w="715" w:type="dxa"/>
            <w:vAlign w:val="top"/>
          </w:tcPr>
          <w:p>
            <w:pPr>
              <w:pStyle w:val="TableText"/>
              <w:ind w:left="300"/>
              <w:spacing w:before="54" w:line="198" w:lineRule="auto"/>
              <w:rPr>
                <w:sz w:val="21"/>
                <w:szCs w:val="21"/>
              </w:rPr>
            </w:pPr>
            <w:r>
              <w:rPr>
                <w:sz w:val="21"/>
                <w:szCs w:val="21"/>
              </w:rPr>
              <w:t>/</w:t>
            </w:r>
          </w:p>
        </w:tc>
      </w:tr>
      <w:tr>
        <w:trPr>
          <w:trHeight w:val="314" w:hRule="atLeast"/>
        </w:trPr>
        <w:tc>
          <w:tcPr>
            <w:tcW w:w="14240" w:type="dxa"/>
            <w:vAlign w:val="top"/>
            <w:gridSpan w:val="17"/>
          </w:tcPr>
          <w:p>
            <w:pPr>
              <w:pStyle w:val="TableText"/>
              <w:ind w:left="15"/>
              <w:spacing w:before="58" w:line="216" w:lineRule="auto"/>
              <w:rPr>
                <w:sz w:val="21"/>
                <w:szCs w:val="21"/>
              </w:rPr>
            </w:pPr>
            <w:r>
              <w:rPr>
                <w:sz w:val="21"/>
                <w:szCs w:val="21"/>
              </w:rPr>
              <w:t>注：NOx按采用低氮燃烧技术后计算源强。备用锅炉不核算源强。</w:t>
            </w:r>
          </w:p>
        </w:tc>
      </w:tr>
    </w:tbl>
    <w:p>
      <w:pPr>
        <w:rPr>
          <w:rFonts w:ascii="Arial"/>
          <w:sz w:val="21"/>
        </w:rPr>
      </w:pPr>
      <w:r/>
    </w:p>
    <w:p>
      <w:pPr>
        <w:sectPr>
          <w:footerReference w:type="default" r:id="rId99"/>
          <w:pgSz w:w="16840" w:h="11900"/>
          <w:pgMar w:top="1011" w:right="1334" w:bottom="979" w:left="1254" w:header="0" w:footer="840" w:gutter="0"/>
        </w:sectPr>
        <w:rPr>
          <w:rFonts w:ascii="Arial" w:hAnsi="Arial" w:eastAsia="Arial" w:cs="Arial"/>
          <w:sz w:val="21"/>
          <w:szCs w:val="21"/>
        </w:rPr>
      </w:pPr>
    </w:p>
    <w:p>
      <w:pPr>
        <w:pStyle w:val="BodyText"/>
        <w:ind w:left="5088"/>
        <w:spacing w:before="294" w:line="207" w:lineRule="auto"/>
        <w:rPr>
          <w:sz w:val="24"/>
          <w:szCs w:val="24"/>
        </w:rPr>
      </w:pPr>
      <w:r>
        <w:rPr>
          <w:sz w:val="24"/>
          <w:szCs w:val="24"/>
          <w:b/>
          <w:bCs/>
          <w:spacing w:val="-3"/>
        </w:rPr>
        <w:t>表4.2-6污水处理站废气源强核算情况一览表</w:t>
      </w:r>
    </w:p>
    <w:tbl>
      <w:tblPr>
        <w:tblStyle w:val="TableNormal"/>
        <w:tblW w:w="149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75"/>
        <w:gridCol w:w="999"/>
        <w:gridCol w:w="989"/>
        <w:gridCol w:w="839"/>
        <w:gridCol w:w="989"/>
        <w:gridCol w:w="989"/>
        <w:gridCol w:w="999"/>
        <w:gridCol w:w="859"/>
        <w:gridCol w:w="700"/>
        <w:gridCol w:w="710"/>
        <w:gridCol w:w="1019"/>
        <w:gridCol w:w="999"/>
        <w:gridCol w:w="850"/>
        <w:gridCol w:w="689"/>
        <w:gridCol w:w="670"/>
        <w:gridCol w:w="590"/>
        <w:gridCol w:w="720"/>
        <w:gridCol w:w="705"/>
      </w:tblGrid>
      <w:tr>
        <w:trPr>
          <w:trHeight w:val="315" w:hRule="atLeast"/>
        </w:trPr>
        <w:tc>
          <w:tcPr>
            <w:tcW w:w="675" w:type="dxa"/>
            <w:vAlign w:val="top"/>
            <w:vMerge w:val="restart"/>
            <w:tcBorders>
              <w:bottom w:val="nil"/>
            </w:tcBorders>
          </w:tcPr>
          <w:p>
            <w:pPr>
              <w:spacing w:line="258" w:lineRule="auto"/>
              <w:rPr>
                <w:rFonts w:ascii="Arial"/>
                <w:sz w:val="21"/>
              </w:rPr>
            </w:pPr>
            <w:r/>
          </w:p>
          <w:p>
            <w:pPr>
              <w:pStyle w:val="TableText"/>
              <w:ind w:left="224" w:right="47" w:hanging="199"/>
              <w:spacing w:before="65" w:line="244" w:lineRule="auto"/>
              <w:rPr>
                <w:sz w:val="20"/>
                <w:szCs w:val="20"/>
              </w:rPr>
            </w:pPr>
            <w:r>
              <w:rPr>
                <w:sz w:val="20"/>
                <w:szCs w:val="20"/>
                <w:spacing w:val="-3"/>
              </w:rPr>
              <w:t>排放方</w:t>
            </w:r>
            <w:r>
              <w:rPr>
                <w:sz w:val="20"/>
                <w:szCs w:val="20"/>
              </w:rPr>
              <w:t xml:space="preserve"> </w:t>
            </w:r>
            <w:r>
              <w:rPr>
                <w:sz w:val="20"/>
                <w:szCs w:val="20"/>
              </w:rPr>
              <w:t>式</w:t>
            </w:r>
          </w:p>
        </w:tc>
        <w:tc>
          <w:tcPr>
            <w:tcW w:w="999" w:type="dxa"/>
            <w:vAlign w:val="top"/>
            <w:vMerge w:val="restart"/>
            <w:tcBorders>
              <w:bottom w:val="nil"/>
            </w:tcBorders>
          </w:tcPr>
          <w:p>
            <w:pPr>
              <w:spacing w:line="416" w:lineRule="auto"/>
              <w:rPr>
                <w:rFonts w:ascii="Arial"/>
                <w:sz w:val="21"/>
              </w:rPr>
            </w:pPr>
            <w:r/>
          </w:p>
          <w:p>
            <w:pPr>
              <w:pStyle w:val="TableText"/>
              <w:ind w:left="290"/>
              <w:spacing w:before="65" w:line="220" w:lineRule="auto"/>
              <w:rPr>
                <w:sz w:val="20"/>
                <w:szCs w:val="20"/>
              </w:rPr>
            </w:pPr>
            <w:r>
              <w:rPr>
                <w:sz w:val="20"/>
                <w:szCs w:val="20"/>
                <w:spacing w:val="-2"/>
              </w:rPr>
              <w:t>装置</w:t>
            </w:r>
          </w:p>
        </w:tc>
        <w:tc>
          <w:tcPr>
            <w:tcW w:w="989" w:type="dxa"/>
            <w:vAlign w:val="top"/>
            <w:vMerge w:val="restart"/>
            <w:tcBorders>
              <w:bottom w:val="nil"/>
            </w:tcBorders>
          </w:tcPr>
          <w:p>
            <w:pPr>
              <w:spacing w:line="416" w:lineRule="auto"/>
              <w:rPr>
                <w:rFonts w:ascii="Arial"/>
                <w:sz w:val="21"/>
              </w:rPr>
            </w:pPr>
            <w:r/>
          </w:p>
          <w:p>
            <w:pPr>
              <w:pStyle w:val="TableText"/>
              <w:ind w:left="181"/>
              <w:spacing w:before="65" w:line="220" w:lineRule="auto"/>
              <w:rPr>
                <w:sz w:val="20"/>
                <w:szCs w:val="20"/>
              </w:rPr>
            </w:pPr>
            <w:r>
              <w:rPr>
                <w:sz w:val="20"/>
                <w:szCs w:val="20"/>
                <w:spacing w:val="-3"/>
              </w:rPr>
              <w:t>污染物</w:t>
            </w:r>
          </w:p>
        </w:tc>
        <w:tc>
          <w:tcPr>
            <w:tcW w:w="3816" w:type="dxa"/>
            <w:vAlign w:val="top"/>
            <w:gridSpan w:val="4"/>
          </w:tcPr>
          <w:p>
            <w:pPr>
              <w:pStyle w:val="TableText"/>
              <w:ind w:left="1382"/>
              <w:spacing w:before="63" w:line="219" w:lineRule="auto"/>
              <w:rPr>
                <w:sz w:val="20"/>
                <w:szCs w:val="20"/>
              </w:rPr>
            </w:pPr>
            <w:r>
              <w:rPr>
                <w:sz w:val="20"/>
                <w:szCs w:val="20"/>
                <w:spacing w:val="-2"/>
              </w:rPr>
              <w:t>污染物产生</w:t>
            </w:r>
          </w:p>
        </w:tc>
        <w:tc>
          <w:tcPr>
            <w:tcW w:w="2269" w:type="dxa"/>
            <w:vAlign w:val="top"/>
            <w:gridSpan w:val="3"/>
          </w:tcPr>
          <w:p>
            <w:pPr>
              <w:pStyle w:val="TableText"/>
              <w:ind w:left="736"/>
              <w:spacing w:before="63" w:line="220" w:lineRule="auto"/>
              <w:rPr>
                <w:sz w:val="20"/>
                <w:szCs w:val="20"/>
              </w:rPr>
            </w:pPr>
            <w:r>
              <w:rPr>
                <w:sz w:val="20"/>
                <w:szCs w:val="20"/>
                <w:spacing w:val="2"/>
              </w:rPr>
              <w:t>治理措施</w:t>
            </w:r>
          </w:p>
        </w:tc>
        <w:tc>
          <w:tcPr>
            <w:tcW w:w="2868" w:type="dxa"/>
            <w:vAlign w:val="top"/>
            <w:gridSpan w:val="3"/>
          </w:tcPr>
          <w:p>
            <w:pPr>
              <w:pStyle w:val="TableText"/>
              <w:ind w:left="937"/>
              <w:spacing w:before="63" w:line="220" w:lineRule="auto"/>
              <w:rPr>
                <w:sz w:val="20"/>
                <w:szCs w:val="20"/>
              </w:rPr>
            </w:pPr>
            <w:r>
              <w:rPr>
                <w:sz w:val="20"/>
                <w:szCs w:val="20"/>
                <w:spacing w:val="-2"/>
              </w:rPr>
              <w:t>污染物排放</w:t>
            </w:r>
          </w:p>
        </w:tc>
        <w:tc>
          <w:tcPr>
            <w:tcW w:w="2669" w:type="dxa"/>
            <w:vAlign w:val="top"/>
            <w:gridSpan w:val="4"/>
          </w:tcPr>
          <w:p>
            <w:pPr>
              <w:pStyle w:val="TableText"/>
              <w:ind w:left="819"/>
              <w:spacing w:before="63" w:line="219" w:lineRule="auto"/>
              <w:rPr>
                <w:sz w:val="20"/>
                <w:szCs w:val="20"/>
              </w:rPr>
            </w:pPr>
            <w:r>
              <w:rPr>
                <w:sz w:val="20"/>
                <w:szCs w:val="20"/>
                <w:spacing w:val="-2"/>
              </w:rPr>
              <w:t>排气筒参数</w:t>
            </w:r>
          </w:p>
        </w:tc>
        <w:tc>
          <w:tcPr>
            <w:tcW w:w="705" w:type="dxa"/>
            <w:vAlign w:val="top"/>
            <w:vMerge w:val="restart"/>
            <w:tcBorders>
              <w:bottom w:val="nil"/>
            </w:tcBorders>
          </w:tcPr>
          <w:p>
            <w:pPr>
              <w:spacing w:line="278" w:lineRule="auto"/>
              <w:rPr>
                <w:rFonts w:ascii="Arial"/>
                <w:sz w:val="21"/>
              </w:rPr>
            </w:pPr>
            <w:r/>
          </w:p>
          <w:p>
            <w:pPr>
              <w:pStyle w:val="TableText"/>
              <w:ind w:left="150" w:right="52" w:hanging="100"/>
              <w:spacing w:before="65" w:line="241" w:lineRule="auto"/>
              <w:rPr>
                <w:sz w:val="20"/>
                <w:szCs w:val="20"/>
              </w:rPr>
            </w:pPr>
            <w:r>
              <w:rPr>
                <w:sz w:val="20"/>
                <w:szCs w:val="20"/>
                <w:spacing w:val="-3"/>
              </w:rPr>
              <w:t>排放时</w:t>
            </w:r>
            <w:r>
              <w:rPr>
                <w:sz w:val="20"/>
                <w:szCs w:val="20"/>
              </w:rPr>
              <w:t xml:space="preserve"> </w:t>
            </w:r>
            <w:r>
              <w:rPr>
                <w:sz w:val="20"/>
                <w:szCs w:val="20"/>
                <w:spacing w:val="2"/>
              </w:rPr>
              <w:t>间/h</w:t>
            </w:r>
          </w:p>
        </w:tc>
      </w:tr>
      <w:tr>
        <w:trPr>
          <w:trHeight w:val="829" w:hRule="atLeast"/>
        </w:trPr>
        <w:tc>
          <w:tcPr>
            <w:tcW w:w="675" w:type="dxa"/>
            <w:vAlign w:val="top"/>
            <w:vMerge w:val="continue"/>
            <w:tcBorders>
              <w:top w:val="nil"/>
            </w:tcBorders>
          </w:tcPr>
          <w:p>
            <w:pPr>
              <w:rPr>
                <w:rFonts w:ascii="Arial"/>
                <w:sz w:val="21"/>
              </w:rPr>
            </w:pPr>
            <w:r/>
          </w:p>
        </w:tc>
        <w:tc>
          <w:tcPr>
            <w:tcW w:w="999" w:type="dxa"/>
            <w:vAlign w:val="top"/>
            <w:vMerge w:val="continue"/>
            <w:tcBorders>
              <w:top w:val="nil"/>
            </w:tcBorders>
          </w:tcPr>
          <w:p>
            <w:pPr>
              <w:rPr>
                <w:rFonts w:ascii="Arial"/>
                <w:sz w:val="21"/>
              </w:rPr>
            </w:pPr>
            <w:r/>
          </w:p>
        </w:tc>
        <w:tc>
          <w:tcPr>
            <w:tcW w:w="989" w:type="dxa"/>
            <w:vAlign w:val="top"/>
            <w:vMerge w:val="continue"/>
            <w:tcBorders>
              <w:top w:val="nil"/>
            </w:tcBorders>
          </w:tcPr>
          <w:p>
            <w:pPr>
              <w:rPr>
                <w:rFonts w:ascii="Arial"/>
                <w:sz w:val="21"/>
              </w:rPr>
            </w:pPr>
            <w:r/>
          </w:p>
        </w:tc>
        <w:tc>
          <w:tcPr>
            <w:tcW w:w="839" w:type="dxa"/>
            <w:vAlign w:val="top"/>
          </w:tcPr>
          <w:p>
            <w:pPr>
              <w:spacing w:line="251" w:lineRule="auto"/>
              <w:rPr>
                <w:rFonts w:ascii="Arial"/>
                <w:sz w:val="21"/>
              </w:rPr>
            </w:pPr>
            <w:r/>
          </w:p>
          <w:p>
            <w:pPr>
              <w:pStyle w:val="TableText"/>
              <w:ind w:left="12"/>
              <w:spacing w:before="65" w:line="219" w:lineRule="auto"/>
              <w:rPr>
                <w:sz w:val="20"/>
                <w:szCs w:val="20"/>
              </w:rPr>
            </w:pPr>
            <w:r>
              <w:rPr>
                <w:sz w:val="20"/>
                <w:szCs w:val="20"/>
                <w:spacing w:val="-2"/>
              </w:rPr>
              <w:t>核算方法</w:t>
            </w:r>
          </w:p>
        </w:tc>
        <w:tc>
          <w:tcPr>
            <w:tcW w:w="989" w:type="dxa"/>
            <w:vAlign w:val="top"/>
          </w:tcPr>
          <w:p>
            <w:pPr>
              <w:pStyle w:val="TableText"/>
              <w:ind w:left="110" w:hanging="97"/>
              <w:spacing w:before="190" w:line="207" w:lineRule="auto"/>
              <w:rPr>
                <w:sz w:val="25"/>
                <w:szCs w:val="25"/>
              </w:rPr>
            </w:pPr>
            <w:r>
              <w:rPr>
                <w:sz w:val="25"/>
                <w:szCs w:val="25"/>
                <w:spacing w:val="-9"/>
              </w:rPr>
              <w:t>产生速率</w:t>
            </w:r>
            <w:r>
              <w:rPr>
                <w:sz w:val="25"/>
                <w:szCs w:val="25"/>
              </w:rPr>
              <w:t xml:space="preserve"> </w:t>
            </w:r>
            <w:r>
              <w:rPr>
                <w:sz w:val="25"/>
                <w:szCs w:val="25"/>
                <w:spacing w:val="-10"/>
              </w:rPr>
              <w:t>(kg/h)</w:t>
            </w:r>
          </w:p>
        </w:tc>
        <w:tc>
          <w:tcPr>
            <w:tcW w:w="989" w:type="dxa"/>
            <w:vAlign w:val="top"/>
          </w:tcPr>
          <w:p>
            <w:pPr>
              <w:pStyle w:val="TableText"/>
              <w:ind w:left="84" w:right="102"/>
              <w:spacing w:before="188" w:line="233" w:lineRule="auto"/>
              <w:rPr>
                <w:sz w:val="20"/>
                <w:szCs w:val="20"/>
              </w:rPr>
            </w:pPr>
            <w:r>
              <w:rPr>
                <w:sz w:val="20"/>
                <w:szCs w:val="20"/>
                <w:spacing w:val="-2"/>
              </w:rPr>
              <w:t>产生浓度</w:t>
            </w:r>
            <w:r>
              <w:rPr>
                <w:sz w:val="20"/>
                <w:szCs w:val="20"/>
              </w:rPr>
              <w:t xml:space="preserve"> </w:t>
            </w:r>
            <w:r>
              <w:rPr>
                <w:sz w:val="20"/>
                <w:szCs w:val="20"/>
                <w:spacing w:val="-6"/>
              </w:rPr>
              <w:t>(mg/m³)</w:t>
            </w:r>
          </w:p>
        </w:tc>
        <w:tc>
          <w:tcPr>
            <w:tcW w:w="999" w:type="dxa"/>
            <w:vAlign w:val="top"/>
          </w:tcPr>
          <w:p>
            <w:pPr>
              <w:pStyle w:val="TableText"/>
              <w:ind w:left="195"/>
              <w:spacing w:before="178" w:line="303" w:lineRule="exact"/>
              <w:rPr>
                <w:sz w:val="20"/>
                <w:szCs w:val="20"/>
              </w:rPr>
            </w:pPr>
            <w:r>
              <w:rPr>
                <w:sz w:val="20"/>
                <w:szCs w:val="20"/>
                <w:spacing w:val="-2"/>
                <w:position w:val="7"/>
              </w:rPr>
              <w:t>产生量</w:t>
            </w:r>
          </w:p>
          <w:p>
            <w:pPr>
              <w:pStyle w:val="TableText"/>
              <w:ind w:left="245"/>
              <w:spacing w:line="222" w:lineRule="auto"/>
              <w:rPr>
                <w:sz w:val="20"/>
                <w:szCs w:val="20"/>
              </w:rPr>
            </w:pPr>
            <w:r>
              <w:rPr>
                <w:sz w:val="20"/>
                <w:szCs w:val="20"/>
                <w:spacing w:val="-7"/>
              </w:rPr>
              <w:t>(t/a)</w:t>
            </w:r>
          </w:p>
        </w:tc>
        <w:tc>
          <w:tcPr>
            <w:tcW w:w="859" w:type="dxa"/>
            <w:vAlign w:val="top"/>
          </w:tcPr>
          <w:p>
            <w:pPr>
              <w:spacing w:line="262" w:lineRule="auto"/>
              <w:rPr>
                <w:rFonts w:ascii="Arial"/>
                <w:sz w:val="21"/>
              </w:rPr>
            </w:pPr>
            <w:r/>
          </w:p>
          <w:p>
            <w:pPr>
              <w:pStyle w:val="TableText"/>
              <w:ind w:left="226"/>
              <w:spacing w:before="65" w:line="229" w:lineRule="auto"/>
              <w:rPr>
                <w:sz w:val="20"/>
                <w:szCs w:val="20"/>
              </w:rPr>
            </w:pPr>
            <w:r>
              <w:rPr>
                <w:sz w:val="20"/>
                <w:szCs w:val="20"/>
                <w:spacing w:val="6"/>
              </w:rPr>
              <w:t>工艺</w:t>
            </w:r>
          </w:p>
        </w:tc>
        <w:tc>
          <w:tcPr>
            <w:tcW w:w="700" w:type="dxa"/>
            <w:vAlign w:val="top"/>
          </w:tcPr>
          <w:p>
            <w:pPr>
              <w:pStyle w:val="TableText"/>
              <w:ind w:left="197" w:right="133" w:hanging="50"/>
              <w:spacing w:before="169" w:line="246" w:lineRule="auto"/>
              <w:rPr>
                <w:sz w:val="20"/>
                <w:szCs w:val="20"/>
              </w:rPr>
            </w:pPr>
            <w:r>
              <w:rPr>
                <w:sz w:val="20"/>
                <w:szCs w:val="20"/>
                <w:spacing w:val="4"/>
              </w:rPr>
              <w:t>效率</w:t>
            </w:r>
            <w:r>
              <w:rPr>
                <w:sz w:val="20"/>
                <w:szCs w:val="20"/>
              </w:rPr>
              <w:t xml:space="preserve"> </w:t>
            </w:r>
            <w:r>
              <w:rPr>
                <w:sz w:val="20"/>
                <w:szCs w:val="20"/>
                <w:spacing w:val="-10"/>
              </w:rPr>
              <w:t>(%)</w:t>
            </w:r>
          </w:p>
        </w:tc>
        <w:tc>
          <w:tcPr>
            <w:tcW w:w="710" w:type="dxa"/>
            <w:vAlign w:val="top"/>
          </w:tcPr>
          <w:p>
            <w:pPr>
              <w:pStyle w:val="TableText"/>
              <w:ind w:left="47"/>
              <w:spacing w:before="48" w:line="220" w:lineRule="auto"/>
              <w:rPr>
                <w:sz w:val="20"/>
                <w:szCs w:val="20"/>
              </w:rPr>
            </w:pPr>
            <w:r>
              <w:rPr>
                <w:sz w:val="20"/>
                <w:szCs w:val="20"/>
                <w:spacing w:val="3"/>
              </w:rPr>
              <w:t>是否为</w:t>
            </w:r>
          </w:p>
          <w:p>
            <w:pPr>
              <w:pStyle w:val="TableText"/>
              <w:ind w:left="47"/>
              <w:spacing w:before="31" w:line="220" w:lineRule="auto"/>
              <w:rPr>
                <w:sz w:val="20"/>
                <w:szCs w:val="20"/>
              </w:rPr>
            </w:pPr>
            <w:r>
              <w:rPr>
                <w:sz w:val="20"/>
                <w:szCs w:val="20"/>
                <w:spacing w:val="-3"/>
              </w:rPr>
              <w:t>可行技</w:t>
            </w:r>
          </w:p>
          <w:p>
            <w:pPr>
              <w:pStyle w:val="TableText"/>
              <w:ind w:left="246"/>
              <w:spacing w:before="11" w:line="219" w:lineRule="auto"/>
              <w:rPr>
                <w:sz w:val="20"/>
                <w:szCs w:val="20"/>
              </w:rPr>
            </w:pPr>
            <w:r>
              <w:rPr>
                <w:sz w:val="20"/>
                <w:szCs w:val="20"/>
              </w:rPr>
              <w:t>术</w:t>
            </w:r>
          </w:p>
        </w:tc>
        <w:tc>
          <w:tcPr>
            <w:tcW w:w="1019" w:type="dxa"/>
            <w:vAlign w:val="top"/>
          </w:tcPr>
          <w:p>
            <w:pPr>
              <w:pStyle w:val="TableText"/>
              <w:ind w:left="124" w:hanging="107"/>
              <w:spacing w:before="170" w:line="211" w:lineRule="auto"/>
              <w:rPr>
                <w:sz w:val="25"/>
                <w:szCs w:val="25"/>
              </w:rPr>
            </w:pPr>
            <w:r>
              <w:rPr>
                <w:sz w:val="25"/>
                <w:szCs w:val="25"/>
                <w:spacing w:val="-3"/>
              </w:rPr>
              <w:t>排放速率</w:t>
            </w:r>
            <w:r>
              <w:rPr>
                <w:sz w:val="25"/>
                <w:szCs w:val="25"/>
                <w:spacing w:val="2"/>
              </w:rPr>
              <w:t xml:space="preserve"> </w:t>
            </w:r>
            <w:r>
              <w:rPr>
                <w:sz w:val="25"/>
                <w:szCs w:val="25"/>
                <w:spacing w:val="-10"/>
              </w:rPr>
              <w:t>(kg/h)</w:t>
            </w:r>
          </w:p>
        </w:tc>
        <w:tc>
          <w:tcPr>
            <w:tcW w:w="999" w:type="dxa"/>
            <w:vAlign w:val="top"/>
          </w:tcPr>
          <w:p>
            <w:pPr>
              <w:pStyle w:val="TableText"/>
              <w:ind w:left="98" w:right="98"/>
              <w:spacing w:before="179" w:line="237" w:lineRule="auto"/>
              <w:rPr>
                <w:sz w:val="20"/>
                <w:szCs w:val="20"/>
              </w:rPr>
            </w:pPr>
            <w:r>
              <w:rPr>
                <w:sz w:val="20"/>
                <w:szCs w:val="20"/>
                <w:spacing w:val="-2"/>
              </w:rPr>
              <w:t>排放浓度</w:t>
            </w:r>
            <w:r>
              <w:rPr>
                <w:sz w:val="20"/>
                <w:szCs w:val="20"/>
              </w:rPr>
              <w:t xml:space="preserve"> </w:t>
            </w:r>
            <w:r>
              <w:rPr>
                <w:sz w:val="20"/>
                <w:szCs w:val="20"/>
                <w:spacing w:val="-6"/>
              </w:rPr>
              <w:t>(mg/m³)</w:t>
            </w:r>
          </w:p>
        </w:tc>
        <w:tc>
          <w:tcPr>
            <w:tcW w:w="850" w:type="dxa"/>
            <w:vAlign w:val="top"/>
          </w:tcPr>
          <w:p>
            <w:pPr>
              <w:pStyle w:val="TableText"/>
              <w:ind w:left="169" w:right="128" w:hanging="50"/>
              <w:spacing w:before="170" w:line="250" w:lineRule="auto"/>
              <w:rPr>
                <w:sz w:val="20"/>
                <w:szCs w:val="20"/>
              </w:rPr>
            </w:pPr>
            <w:r>
              <w:rPr>
                <w:sz w:val="20"/>
                <w:szCs w:val="20"/>
                <w:spacing w:val="-3"/>
              </w:rPr>
              <w:t>排放量</w:t>
            </w:r>
            <w:r>
              <w:rPr>
                <w:sz w:val="20"/>
                <w:szCs w:val="20"/>
              </w:rPr>
              <w:t xml:space="preserve"> </w:t>
            </w:r>
            <w:r>
              <w:rPr>
                <w:sz w:val="20"/>
                <w:szCs w:val="20"/>
                <w:spacing w:val="-7"/>
              </w:rPr>
              <w:t>(t/a)</w:t>
            </w:r>
          </w:p>
        </w:tc>
        <w:tc>
          <w:tcPr>
            <w:tcW w:w="689" w:type="dxa"/>
            <w:vAlign w:val="top"/>
          </w:tcPr>
          <w:p>
            <w:pPr>
              <w:pStyle w:val="TableText"/>
              <w:ind w:left="139"/>
              <w:spacing w:before="28" w:line="220" w:lineRule="auto"/>
              <w:rPr>
                <w:sz w:val="20"/>
                <w:szCs w:val="20"/>
              </w:rPr>
            </w:pPr>
            <w:r>
              <w:rPr>
                <w:sz w:val="20"/>
                <w:szCs w:val="20"/>
                <w:spacing w:val="-3"/>
              </w:rPr>
              <w:t>风量</w:t>
            </w:r>
          </w:p>
          <w:p>
            <w:pPr>
              <w:pStyle w:val="TableText"/>
              <w:ind w:left="149"/>
              <w:spacing w:before="54" w:line="222" w:lineRule="auto"/>
              <w:rPr>
                <w:sz w:val="20"/>
                <w:szCs w:val="20"/>
              </w:rPr>
            </w:pPr>
            <w:r>
              <w:rPr>
                <w:sz w:val="20"/>
                <w:szCs w:val="20"/>
                <w:spacing w:val="-7"/>
              </w:rPr>
              <w:t>(m³/h</w:t>
            </w:r>
          </w:p>
          <w:p>
            <w:pPr>
              <w:pStyle w:val="TableText"/>
              <w:ind w:left="289"/>
              <w:spacing w:before="29" w:line="210" w:lineRule="auto"/>
              <w:rPr>
                <w:sz w:val="20"/>
                <w:szCs w:val="20"/>
              </w:rPr>
            </w:pPr>
            <w:r>
              <w:rPr>
                <w:sz w:val="20"/>
                <w:szCs w:val="20"/>
              </w:rPr>
              <w:t>)</w:t>
            </w:r>
          </w:p>
        </w:tc>
        <w:tc>
          <w:tcPr>
            <w:tcW w:w="670" w:type="dxa"/>
            <w:vAlign w:val="top"/>
          </w:tcPr>
          <w:p>
            <w:pPr>
              <w:pStyle w:val="TableText"/>
              <w:ind w:left="180" w:right="119" w:hanging="50"/>
              <w:spacing w:before="169" w:line="246" w:lineRule="auto"/>
              <w:rPr>
                <w:sz w:val="20"/>
                <w:szCs w:val="20"/>
              </w:rPr>
            </w:pPr>
            <w:r>
              <w:rPr>
                <w:sz w:val="20"/>
                <w:szCs w:val="20"/>
                <w:spacing w:val="5"/>
              </w:rPr>
              <w:t>内径</w:t>
            </w:r>
            <w:r>
              <w:rPr>
                <w:sz w:val="20"/>
                <w:szCs w:val="20"/>
              </w:rPr>
              <w:t xml:space="preserve"> </w:t>
            </w:r>
            <w:r>
              <w:rPr>
                <w:sz w:val="20"/>
                <w:szCs w:val="20"/>
                <w:spacing w:val="-10"/>
              </w:rPr>
              <w:t>(m)</w:t>
            </w:r>
          </w:p>
        </w:tc>
        <w:tc>
          <w:tcPr>
            <w:tcW w:w="590" w:type="dxa"/>
            <w:vAlign w:val="top"/>
          </w:tcPr>
          <w:p>
            <w:pPr>
              <w:pStyle w:val="TableText"/>
              <w:ind w:left="140" w:right="78" w:hanging="50"/>
              <w:spacing w:before="168" w:line="251" w:lineRule="auto"/>
              <w:rPr>
                <w:sz w:val="20"/>
                <w:szCs w:val="20"/>
              </w:rPr>
            </w:pPr>
            <w:r>
              <w:rPr>
                <w:sz w:val="20"/>
                <w:szCs w:val="20"/>
                <w:spacing w:val="5"/>
              </w:rPr>
              <w:t>高度</w:t>
            </w:r>
            <w:r>
              <w:rPr>
                <w:sz w:val="20"/>
                <w:szCs w:val="20"/>
              </w:rPr>
              <w:t xml:space="preserve"> </w:t>
            </w:r>
            <w:r>
              <w:rPr>
                <w:sz w:val="20"/>
                <w:szCs w:val="20"/>
                <w:spacing w:val="-10"/>
              </w:rPr>
              <w:t>(m)</w:t>
            </w:r>
          </w:p>
        </w:tc>
        <w:tc>
          <w:tcPr>
            <w:tcW w:w="720" w:type="dxa"/>
            <w:vAlign w:val="top"/>
          </w:tcPr>
          <w:p>
            <w:pPr>
              <w:spacing w:line="251" w:lineRule="auto"/>
              <w:rPr>
                <w:rFonts w:ascii="Arial"/>
                <w:sz w:val="21"/>
              </w:rPr>
            </w:pPr>
            <w:r/>
          </w:p>
          <w:p>
            <w:pPr>
              <w:pStyle w:val="TableText"/>
              <w:ind w:left="159"/>
              <w:spacing w:before="65" w:line="219" w:lineRule="auto"/>
              <w:rPr>
                <w:sz w:val="20"/>
                <w:szCs w:val="20"/>
              </w:rPr>
            </w:pPr>
            <w:r>
              <w:rPr>
                <w:sz w:val="20"/>
                <w:szCs w:val="20"/>
                <w:spacing w:val="6"/>
              </w:rPr>
              <w:t>编号</w:t>
            </w:r>
          </w:p>
        </w:tc>
        <w:tc>
          <w:tcPr>
            <w:tcW w:w="705" w:type="dxa"/>
            <w:vAlign w:val="top"/>
            <w:vMerge w:val="continue"/>
            <w:tcBorders>
              <w:top w:val="nil"/>
            </w:tcBorders>
          </w:tcPr>
          <w:p>
            <w:pPr>
              <w:rPr>
                <w:rFonts w:ascii="Arial"/>
                <w:sz w:val="21"/>
              </w:rPr>
            </w:pPr>
            <w:r/>
          </w:p>
        </w:tc>
      </w:tr>
      <w:tr>
        <w:trPr>
          <w:trHeight w:val="349" w:hRule="atLeast"/>
        </w:trPr>
        <w:tc>
          <w:tcPr>
            <w:tcW w:w="675" w:type="dxa"/>
            <w:vAlign w:val="top"/>
            <w:vMerge w:val="restart"/>
            <w:tcBorders>
              <w:bottom w:val="nil"/>
            </w:tcBorders>
          </w:tcPr>
          <w:p>
            <w:pPr>
              <w:spacing w:line="270" w:lineRule="auto"/>
              <w:rPr>
                <w:rFonts w:ascii="Arial"/>
                <w:sz w:val="21"/>
              </w:rPr>
            </w:pPr>
            <w:r/>
          </w:p>
          <w:p>
            <w:pPr>
              <w:spacing w:line="271" w:lineRule="auto"/>
              <w:rPr>
                <w:rFonts w:ascii="Arial"/>
                <w:sz w:val="21"/>
              </w:rPr>
            </w:pPr>
            <w:r/>
          </w:p>
          <w:p>
            <w:pPr>
              <w:pStyle w:val="TableText"/>
              <w:ind w:left="25"/>
              <w:spacing w:before="65" w:line="220" w:lineRule="auto"/>
              <w:rPr>
                <w:sz w:val="20"/>
                <w:szCs w:val="20"/>
              </w:rPr>
            </w:pPr>
            <w:r>
              <w:rPr>
                <w:sz w:val="20"/>
                <w:szCs w:val="20"/>
                <w:spacing w:val="-2"/>
              </w:rPr>
              <w:t>有组织</w:t>
            </w:r>
          </w:p>
        </w:tc>
        <w:tc>
          <w:tcPr>
            <w:tcW w:w="999" w:type="dxa"/>
            <w:vAlign w:val="top"/>
            <w:vMerge w:val="restart"/>
            <w:tcBorders>
              <w:bottom w:val="nil"/>
            </w:tcBorders>
          </w:tcPr>
          <w:p>
            <w:pPr>
              <w:pStyle w:val="TableText"/>
              <w:ind w:left="389" w:right="107" w:hanging="299"/>
              <w:spacing w:before="129" w:line="231" w:lineRule="auto"/>
              <w:rPr>
                <w:sz w:val="20"/>
                <w:szCs w:val="20"/>
              </w:rPr>
            </w:pPr>
            <w:r>
              <w:rPr>
                <w:sz w:val="20"/>
                <w:szCs w:val="20"/>
                <w:spacing w:val="-3"/>
              </w:rPr>
              <w:t>本项目新</w:t>
            </w:r>
            <w:r>
              <w:rPr>
                <w:sz w:val="20"/>
                <w:szCs w:val="20"/>
                <w:spacing w:val="2"/>
              </w:rPr>
              <w:t xml:space="preserve"> </w:t>
            </w:r>
            <w:r>
              <w:rPr>
                <w:sz w:val="20"/>
                <w:szCs w:val="20"/>
              </w:rPr>
              <w:t>增</w:t>
            </w:r>
          </w:p>
        </w:tc>
        <w:tc>
          <w:tcPr>
            <w:tcW w:w="989" w:type="dxa"/>
            <w:vAlign w:val="top"/>
          </w:tcPr>
          <w:p>
            <w:pPr>
              <w:pStyle w:val="TableText"/>
              <w:ind w:left="281"/>
              <w:spacing w:before="110" w:line="182" w:lineRule="auto"/>
              <w:rPr>
                <w:rFonts w:ascii="Calibri" w:hAnsi="Calibri" w:eastAsia="Calibri" w:cs="Calibri"/>
                <w:sz w:val="20"/>
                <w:szCs w:val="20"/>
              </w:rPr>
            </w:pPr>
            <w:r>
              <w:rPr>
                <w:sz w:val="20"/>
                <w:szCs w:val="20"/>
                <w:spacing w:val="-1"/>
              </w:rPr>
              <w:t>NH</w:t>
            </w:r>
            <w:r>
              <w:rPr>
                <w:rFonts w:ascii="Calibri" w:hAnsi="Calibri" w:eastAsia="Calibri" w:cs="Calibri"/>
                <w:sz w:val="20"/>
                <w:szCs w:val="20"/>
                <w:spacing w:val="-1"/>
              </w:rPr>
              <w:t>₃</w:t>
            </w:r>
          </w:p>
        </w:tc>
        <w:tc>
          <w:tcPr>
            <w:tcW w:w="839" w:type="dxa"/>
            <w:vAlign w:val="top"/>
            <w:vMerge w:val="restart"/>
            <w:tcBorders>
              <w:bottom w:val="nil"/>
            </w:tcBorders>
          </w:tcPr>
          <w:p>
            <w:pPr>
              <w:pStyle w:val="TableText"/>
              <w:ind w:left="112"/>
              <w:spacing w:before="249" w:line="219" w:lineRule="auto"/>
              <w:rPr>
                <w:sz w:val="20"/>
                <w:szCs w:val="20"/>
              </w:rPr>
            </w:pPr>
            <w:r>
              <w:rPr>
                <w:sz w:val="20"/>
                <w:szCs w:val="20"/>
                <w:spacing w:val="-2"/>
              </w:rPr>
              <w:t>类比法</w:t>
            </w:r>
          </w:p>
        </w:tc>
        <w:tc>
          <w:tcPr>
            <w:tcW w:w="989" w:type="dxa"/>
            <w:vAlign w:val="top"/>
          </w:tcPr>
          <w:p>
            <w:pPr>
              <w:pStyle w:val="TableText"/>
              <w:ind w:left="232"/>
              <w:spacing w:before="130" w:line="183" w:lineRule="auto"/>
              <w:rPr>
                <w:sz w:val="20"/>
                <w:szCs w:val="20"/>
              </w:rPr>
            </w:pPr>
            <w:r>
              <w:rPr>
                <w:sz w:val="20"/>
                <w:szCs w:val="20"/>
                <w:spacing w:val="-2"/>
              </w:rPr>
              <w:t>0.048</w:t>
            </w:r>
          </w:p>
        </w:tc>
        <w:tc>
          <w:tcPr>
            <w:tcW w:w="989" w:type="dxa"/>
            <w:vAlign w:val="top"/>
          </w:tcPr>
          <w:p>
            <w:pPr>
              <w:pStyle w:val="TableText"/>
              <w:ind w:left="284"/>
              <w:spacing w:before="130" w:line="183" w:lineRule="auto"/>
              <w:rPr>
                <w:sz w:val="20"/>
                <w:szCs w:val="20"/>
              </w:rPr>
            </w:pPr>
            <w:r>
              <w:rPr>
                <w:sz w:val="20"/>
                <w:szCs w:val="20"/>
                <w:spacing w:val="-2"/>
              </w:rPr>
              <w:t>2.40</w:t>
            </w:r>
          </w:p>
        </w:tc>
        <w:tc>
          <w:tcPr>
            <w:tcW w:w="999" w:type="dxa"/>
            <w:vAlign w:val="top"/>
          </w:tcPr>
          <w:p>
            <w:pPr>
              <w:pStyle w:val="TableText"/>
              <w:ind w:left="245"/>
              <w:spacing w:before="130" w:line="183" w:lineRule="auto"/>
              <w:rPr>
                <w:sz w:val="20"/>
                <w:szCs w:val="20"/>
              </w:rPr>
            </w:pPr>
            <w:r>
              <w:rPr>
                <w:sz w:val="20"/>
                <w:szCs w:val="20"/>
                <w:spacing w:val="-2"/>
              </w:rPr>
              <w:t>0.320</w:t>
            </w:r>
          </w:p>
        </w:tc>
        <w:tc>
          <w:tcPr>
            <w:tcW w:w="859" w:type="dxa"/>
            <w:vAlign w:val="top"/>
            <w:vMerge w:val="restart"/>
            <w:tcBorders>
              <w:bottom w:val="nil"/>
            </w:tcBorders>
          </w:tcPr>
          <w:p>
            <w:pPr>
              <w:spacing w:line="254" w:lineRule="auto"/>
              <w:rPr>
                <w:rFonts w:ascii="Arial"/>
                <w:sz w:val="21"/>
              </w:rPr>
            </w:pPr>
            <w:r/>
          </w:p>
          <w:p>
            <w:pPr>
              <w:pStyle w:val="TableText"/>
              <w:ind w:left="126" w:right="117"/>
              <w:spacing w:before="65" w:line="248" w:lineRule="auto"/>
              <w:jc w:val="both"/>
              <w:rPr>
                <w:sz w:val="20"/>
                <w:szCs w:val="20"/>
              </w:rPr>
            </w:pPr>
            <w:r>
              <w:rPr>
                <w:sz w:val="20"/>
                <w:szCs w:val="20"/>
                <w:spacing w:val="-3"/>
              </w:rPr>
              <w:t>碱液喷</w:t>
            </w:r>
            <w:r>
              <w:rPr>
                <w:sz w:val="20"/>
                <w:szCs w:val="20"/>
                <w:spacing w:val="1"/>
              </w:rPr>
              <w:t xml:space="preserve"> </w:t>
            </w:r>
            <w:r>
              <w:rPr>
                <w:sz w:val="20"/>
                <w:szCs w:val="20"/>
                <w:spacing w:val="26"/>
              </w:rPr>
              <w:t>淋+UV</w:t>
            </w:r>
            <w:r>
              <w:rPr>
                <w:sz w:val="20"/>
                <w:szCs w:val="20"/>
              </w:rPr>
              <w:t xml:space="preserve"> </w:t>
            </w:r>
            <w:r>
              <w:rPr>
                <w:sz w:val="20"/>
                <w:szCs w:val="20"/>
                <w:spacing w:val="-3"/>
              </w:rPr>
              <w:t>光催化</w:t>
            </w:r>
          </w:p>
        </w:tc>
        <w:tc>
          <w:tcPr>
            <w:tcW w:w="700" w:type="dxa"/>
            <w:vAlign w:val="top"/>
          </w:tcPr>
          <w:p>
            <w:pPr>
              <w:pStyle w:val="TableText"/>
              <w:ind w:left="247"/>
              <w:spacing w:before="130" w:line="183" w:lineRule="auto"/>
              <w:rPr>
                <w:sz w:val="20"/>
                <w:szCs w:val="20"/>
              </w:rPr>
            </w:pPr>
            <w:r>
              <w:rPr>
                <w:sz w:val="20"/>
                <w:szCs w:val="20"/>
                <w:spacing w:val="-3"/>
              </w:rPr>
              <w:t>60</w:t>
            </w:r>
          </w:p>
        </w:tc>
        <w:tc>
          <w:tcPr>
            <w:tcW w:w="710" w:type="dxa"/>
            <w:vAlign w:val="top"/>
            <w:vMerge w:val="restart"/>
            <w:tcBorders>
              <w:bottom w:val="nil"/>
            </w:tcBorders>
          </w:tcPr>
          <w:p>
            <w:pPr>
              <w:pStyle w:val="TableText"/>
              <w:ind w:left="246"/>
              <w:spacing w:before="253" w:line="223" w:lineRule="auto"/>
              <w:rPr>
                <w:sz w:val="20"/>
                <w:szCs w:val="20"/>
              </w:rPr>
            </w:pPr>
            <w:r>
              <w:rPr>
                <w:sz w:val="20"/>
                <w:szCs w:val="20"/>
              </w:rPr>
              <w:t>是</w:t>
            </w:r>
          </w:p>
        </w:tc>
        <w:tc>
          <w:tcPr>
            <w:tcW w:w="1019" w:type="dxa"/>
            <w:vAlign w:val="top"/>
          </w:tcPr>
          <w:p>
            <w:pPr>
              <w:pStyle w:val="TableText"/>
              <w:ind w:left="257"/>
              <w:spacing w:before="129" w:line="184" w:lineRule="auto"/>
              <w:rPr>
                <w:sz w:val="20"/>
                <w:szCs w:val="20"/>
              </w:rPr>
            </w:pPr>
            <w:r>
              <w:rPr>
                <w:sz w:val="20"/>
                <w:szCs w:val="20"/>
                <w:spacing w:val="-2"/>
              </w:rPr>
              <w:t>0.019</w:t>
            </w:r>
          </w:p>
        </w:tc>
        <w:tc>
          <w:tcPr>
            <w:tcW w:w="999" w:type="dxa"/>
            <w:vAlign w:val="top"/>
          </w:tcPr>
          <w:p>
            <w:pPr>
              <w:pStyle w:val="TableText"/>
              <w:ind w:left="298"/>
              <w:spacing w:before="130" w:line="183" w:lineRule="auto"/>
              <w:rPr>
                <w:sz w:val="20"/>
                <w:szCs w:val="20"/>
              </w:rPr>
            </w:pPr>
            <w:r>
              <w:rPr>
                <w:sz w:val="20"/>
                <w:szCs w:val="20"/>
                <w:spacing w:val="-2"/>
              </w:rPr>
              <w:t>0.95</w:t>
            </w:r>
          </w:p>
        </w:tc>
        <w:tc>
          <w:tcPr>
            <w:tcW w:w="850" w:type="dxa"/>
            <w:vAlign w:val="top"/>
          </w:tcPr>
          <w:p>
            <w:pPr>
              <w:pStyle w:val="TableText"/>
              <w:ind w:left="169"/>
              <w:spacing w:before="129" w:line="184" w:lineRule="auto"/>
              <w:rPr>
                <w:sz w:val="20"/>
                <w:szCs w:val="20"/>
              </w:rPr>
            </w:pPr>
            <w:r>
              <w:rPr>
                <w:sz w:val="20"/>
                <w:szCs w:val="20"/>
                <w:spacing w:val="-2"/>
              </w:rPr>
              <w:t>0.128</w:t>
            </w:r>
          </w:p>
        </w:tc>
        <w:tc>
          <w:tcPr>
            <w:tcW w:w="689" w:type="dxa"/>
            <w:vAlign w:val="top"/>
            <w:vMerge w:val="restart"/>
            <w:tcBorders>
              <w:bottom w:val="nil"/>
            </w:tcBorders>
          </w:tcPr>
          <w:p>
            <w:pPr>
              <w:pStyle w:val="TableText"/>
              <w:ind w:left="89"/>
              <w:spacing w:before="300" w:line="183" w:lineRule="auto"/>
              <w:rPr>
                <w:sz w:val="20"/>
                <w:szCs w:val="20"/>
              </w:rPr>
            </w:pPr>
            <w:r>
              <w:rPr>
                <w:sz w:val="20"/>
                <w:szCs w:val="20"/>
                <w:spacing w:val="-2"/>
              </w:rPr>
              <w:t>20000</w:t>
            </w:r>
          </w:p>
        </w:tc>
        <w:tc>
          <w:tcPr>
            <w:tcW w:w="670" w:type="dxa"/>
            <w:vAlign w:val="top"/>
            <w:vMerge w:val="restart"/>
            <w:tcBorders>
              <w:bottom w:val="nil"/>
            </w:tcBorders>
          </w:tcPr>
          <w:p>
            <w:pPr>
              <w:pStyle w:val="TableText"/>
              <w:ind w:left="180"/>
              <w:spacing w:before="300" w:line="183" w:lineRule="auto"/>
              <w:rPr>
                <w:sz w:val="20"/>
                <w:szCs w:val="20"/>
              </w:rPr>
            </w:pPr>
            <w:r>
              <w:rPr>
                <w:sz w:val="20"/>
                <w:szCs w:val="20"/>
                <w:spacing w:val="-3"/>
              </w:rPr>
              <w:t>0.6</w:t>
            </w:r>
          </w:p>
        </w:tc>
        <w:tc>
          <w:tcPr>
            <w:tcW w:w="590" w:type="dxa"/>
            <w:vAlign w:val="top"/>
            <w:vMerge w:val="restart"/>
            <w:tcBorders>
              <w:bottom w:val="nil"/>
            </w:tcBorders>
          </w:tcPr>
          <w:p>
            <w:pPr>
              <w:pStyle w:val="TableText"/>
              <w:ind w:left="190"/>
              <w:spacing w:before="299" w:line="184" w:lineRule="auto"/>
              <w:rPr>
                <w:sz w:val="20"/>
                <w:szCs w:val="20"/>
              </w:rPr>
            </w:pPr>
            <w:r>
              <w:rPr>
                <w:sz w:val="20"/>
                <w:szCs w:val="20"/>
                <w:spacing w:val="-6"/>
              </w:rPr>
              <w:t>15</w:t>
            </w:r>
          </w:p>
        </w:tc>
        <w:tc>
          <w:tcPr>
            <w:tcW w:w="720" w:type="dxa"/>
            <w:vAlign w:val="top"/>
            <w:vMerge w:val="restart"/>
            <w:tcBorders>
              <w:bottom w:val="nil"/>
            </w:tcBorders>
          </w:tcPr>
          <w:p>
            <w:pPr>
              <w:pStyle w:val="TableText"/>
              <w:ind w:left="110"/>
              <w:spacing w:before="298" w:line="185" w:lineRule="auto"/>
              <w:rPr>
                <w:sz w:val="20"/>
                <w:szCs w:val="20"/>
              </w:rPr>
            </w:pPr>
            <w:r>
              <w:rPr>
                <w:sz w:val="20"/>
                <w:szCs w:val="20"/>
                <w:spacing w:val="-1"/>
              </w:rPr>
              <w:t>DA006</w:t>
            </w:r>
          </w:p>
        </w:tc>
        <w:tc>
          <w:tcPr>
            <w:tcW w:w="705" w:type="dxa"/>
            <w:vAlign w:val="top"/>
            <w:vMerge w:val="restart"/>
            <w:tcBorders>
              <w:bottom w:val="nil"/>
            </w:tcBorders>
          </w:tcPr>
          <w:p>
            <w:pPr>
              <w:pStyle w:val="TableText"/>
              <w:ind w:left="150"/>
              <w:spacing w:before="300" w:line="183" w:lineRule="auto"/>
              <w:rPr>
                <w:sz w:val="20"/>
                <w:szCs w:val="20"/>
              </w:rPr>
            </w:pPr>
            <w:r>
              <w:rPr>
                <w:sz w:val="20"/>
                <w:szCs w:val="20"/>
                <w:spacing w:val="-2"/>
              </w:rPr>
              <w:t>6600</w:t>
            </w:r>
          </w:p>
        </w:tc>
      </w:tr>
      <w:tr>
        <w:trPr>
          <w:trHeight w:val="340" w:hRule="atLeast"/>
        </w:trPr>
        <w:tc>
          <w:tcPr>
            <w:tcW w:w="675" w:type="dxa"/>
            <w:vAlign w:val="top"/>
            <w:vMerge w:val="continue"/>
            <w:tcBorders>
              <w:top w:val="nil"/>
              <w:bottom w:val="nil"/>
            </w:tcBorders>
          </w:tcPr>
          <w:p>
            <w:pPr>
              <w:rPr>
                <w:rFonts w:ascii="Arial"/>
                <w:sz w:val="21"/>
              </w:rPr>
            </w:pPr>
            <w:r/>
          </w:p>
        </w:tc>
        <w:tc>
          <w:tcPr>
            <w:tcW w:w="999" w:type="dxa"/>
            <w:vAlign w:val="top"/>
            <w:vMerge w:val="continue"/>
            <w:tcBorders>
              <w:top w:val="nil"/>
            </w:tcBorders>
          </w:tcPr>
          <w:p>
            <w:pPr>
              <w:rPr>
                <w:rFonts w:ascii="Arial"/>
                <w:sz w:val="21"/>
              </w:rPr>
            </w:pPr>
            <w:r/>
          </w:p>
        </w:tc>
        <w:tc>
          <w:tcPr>
            <w:tcW w:w="989" w:type="dxa"/>
            <w:vAlign w:val="top"/>
          </w:tcPr>
          <w:p>
            <w:pPr>
              <w:pStyle w:val="TableText"/>
              <w:ind w:left="281"/>
              <w:spacing w:before="102" w:line="183" w:lineRule="auto"/>
              <w:rPr>
                <w:sz w:val="20"/>
                <w:szCs w:val="20"/>
              </w:rPr>
            </w:pPr>
            <w:r>
              <w:rPr>
                <w:sz w:val="20"/>
                <w:szCs w:val="20"/>
                <w:spacing w:val="-2"/>
              </w:rPr>
              <w:t>H</w:t>
            </w:r>
            <w:r>
              <w:rPr>
                <w:rFonts w:ascii="Calibri" w:hAnsi="Calibri" w:eastAsia="Calibri" w:cs="Calibri"/>
                <w:sz w:val="20"/>
                <w:szCs w:val="20"/>
                <w:spacing w:val="-2"/>
              </w:rPr>
              <w:t>₂</w:t>
            </w:r>
            <w:r>
              <w:rPr>
                <w:sz w:val="20"/>
                <w:szCs w:val="20"/>
                <w:spacing w:val="-2"/>
              </w:rPr>
              <w:t>S</w:t>
            </w:r>
          </w:p>
        </w:tc>
        <w:tc>
          <w:tcPr>
            <w:tcW w:w="839" w:type="dxa"/>
            <w:vAlign w:val="top"/>
            <w:vMerge w:val="continue"/>
            <w:tcBorders>
              <w:top w:val="nil"/>
            </w:tcBorders>
          </w:tcPr>
          <w:p>
            <w:pPr>
              <w:rPr>
                <w:rFonts w:ascii="Arial"/>
                <w:sz w:val="21"/>
              </w:rPr>
            </w:pPr>
            <w:r/>
          </w:p>
        </w:tc>
        <w:tc>
          <w:tcPr>
            <w:tcW w:w="989" w:type="dxa"/>
            <w:vAlign w:val="top"/>
          </w:tcPr>
          <w:p>
            <w:pPr>
              <w:pStyle w:val="TableText"/>
              <w:ind w:left="232"/>
              <w:spacing w:before="120" w:line="184" w:lineRule="auto"/>
              <w:rPr>
                <w:sz w:val="20"/>
                <w:szCs w:val="20"/>
              </w:rPr>
            </w:pPr>
            <w:r>
              <w:rPr>
                <w:sz w:val="20"/>
                <w:szCs w:val="20"/>
                <w:spacing w:val="-2"/>
              </w:rPr>
              <w:t>0.001</w:t>
            </w:r>
          </w:p>
        </w:tc>
        <w:tc>
          <w:tcPr>
            <w:tcW w:w="989" w:type="dxa"/>
            <w:vAlign w:val="top"/>
          </w:tcPr>
          <w:p>
            <w:pPr>
              <w:pStyle w:val="TableText"/>
              <w:ind w:left="284"/>
              <w:spacing w:before="121" w:line="183" w:lineRule="auto"/>
              <w:rPr>
                <w:sz w:val="20"/>
                <w:szCs w:val="20"/>
              </w:rPr>
            </w:pPr>
            <w:r>
              <w:rPr>
                <w:sz w:val="20"/>
                <w:szCs w:val="20"/>
                <w:spacing w:val="-2"/>
              </w:rPr>
              <w:t>0.04</w:t>
            </w:r>
          </w:p>
        </w:tc>
        <w:tc>
          <w:tcPr>
            <w:tcW w:w="999" w:type="dxa"/>
            <w:vAlign w:val="top"/>
          </w:tcPr>
          <w:p>
            <w:pPr>
              <w:pStyle w:val="TableText"/>
              <w:ind w:left="195"/>
              <w:spacing w:before="121" w:line="183" w:lineRule="auto"/>
              <w:rPr>
                <w:sz w:val="20"/>
                <w:szCs w:val="20"/>
              </w:rPr>
            </w:pPr>
            <w:r>
              <w:rPr>
                <w:sz w:val="20"/>
                <w:szCs w:val="20"/>
                <w:spacing w:val="-2"/>
              </w:rPr>
              <w:t>0.0063</w:t>
            </w:r>
          </w:p>
        </w:tc>
        <w:tc>
          <w:tcPr>
            <w:tcW w:w="859" w:type="dxa"/>
            <w:vAlign w:val="top"/>
            <w:vMerge w:val="continue"/>
            <w:tcBorders>
              <w:top w:val="nil"/>
              <w:bottom w:val="nil"/>
            </w:tcBorders>
          </w:tcPr>
          <w:p>
            <w:pPr>
              <w:rPr>
                <w:rFonts w:ascii="Arial"/>
                <w:sz w:val="21"/>
              </w:rPr>
            </w:pPr>
            <w:r/>
          </w:p>
        </w:tc>
        <w:tc>
          <w:tcPr>
            <w:tcW w:w="700" w:type="dxa"/>
            <w:vAlign w:val="top"/>
          </w:tcPr>
          <w:p>
            <w:pPr>
              <w:pStyle w:val="TableText"/>
              <w:ind w:left="247"/>
              <w:spacing w:before="121" w:line="183" w:lineRule="auto"/>
              <w:rPr>
                <w:sz w:val="20"/>
                <w:szCs w:val="20"/>
              </w:rPr>
            </w:pPr>
            <w:r>
              <w:rPr>
                <w:sz w:val="20"/>
                <w:szCs w:val="20"/>
                <w:spacing w:val="-3"/>
              </w:rPr>
              <w:t>65</w:t>
            </w:r>
          </w:p>
        </w:tc>
        <w:tc>
          <w:tcPr>
            <w:tcW w:w="710" w:type="dxa"/>
            <w:vAlign w:val="top"/>
            <w:vMerge w:val="continue"/>
            <w:tcBorders>
              <w:top w:val="nil"/>
            </w:tcBorders>
          </w:tcPr>
          <w:p>
            <w:pPr>
              <w:rPr>
                <w:rFonts w:ascii="Arial"/>
                <w:sz w:val="21"/>
              </w:rPr>
            </w:pPr>
            <w:r/>
          </w:p>
        </w:tc>
        <w:tc>
          <w:tcPr>
            <w:tcW w:w="1019" w:type="dxa"/>
            <w:vAlign w:val="top"/>
          </w:tcPr>
          <w:p>
            <w:pPr>
              <w:pStyle w:val="TableText"/>
              <w:ind w:left="207"/>
              <w:spacing w:before="121" w:line="183" w:lineRule="auto"/>
              <w:rPr>
                <w:sz w:val="20"/>
                <w:szCs w:val="20"/>
              </w:rPr>
            </w:pPr>
            <w:r>
              <w:rPr>
                <w:sz w:val="20"/>
                <w:szCs w:val="20"/>
                <w:spacing w:val="-2"/>
              </w:rPr>
              <w:t>0.0003</w:t>
            </w:r>
          </w:p>
        </w:tc>
        <w:tc>
          <w:tcPr>
            <w:tcW w:w="999" w:type="dxa"/>
            <w:vAlign w:val="top"/>
          </w:tcPr>
          <w:p>
            <w:pPr>
              <w:pStyle w:val="TableText"/>
              <w:ind w:left="298"/>
              <w:spacing w:before="120" w:line="184" w:lineRule="auto"/>
              <w:rPr>
                <w:sz w:val="20"/>
                <w:szCs w:val="20"/>
              </w:rPr>
            </w:pPr>
            <w:r>
              <w:rPr>
                <w:sz w:val="20"/>
                <w:szCs w:val="20"/>
                <w:spacing w:val="-2"/>
              </w:rPr>
              <w:t>0.01</w:t>
            </w:r>
          </w:p>
        </w:tc>
        <w:tc>
          <w:tcPr>
            <w:tcW w:w="850" w:type="dxa"/>
            <w:vAlign w:val="top"/>
          </w:tcPr>
          <w:p>
            <w:pPr>
              <w:pStyle w:val="TableText"/>
              <w:ind w:left="169"/>
              <w:spacing w:before="121" w:line="183" w:lineRule="auto"/>
              <w:rPr>
                <w:sz w:val="20"/>
                <w:szCs w:val="20"/>
              </w:rPr>
            </w:pPr>
            <w:r>
              <w:rPr>
                <w:sz w:val="20"/>
                <w:szCs w:val="20"/>
                <w:spacing w:val="-2"/>
              </w:rPr>
              <w:t>0.002</w:t>
            </w:r>
          </w:p>
        </w:tc>
        <w:tc>
          <w:tcPr>
            <w:tcW w:w="689" w:type="dxa"/>
            <w:vAlign w:val="top"/>
            <w:vMerge w:val="continue"/>
            <w:tcBorders>
              <w:top w:val="nil"/>
            </w:tcBorders>
          </w:tcPr>
          <w:p>
            <w:pPr>
              <w:rPr>
                <w:rFonts w:ascii="Arial"/>
                <w:sz w:val="21"/>
              </w:rPr>
            </w:pPr>
            <w:r/>
          </w:p>
        </w:tc>
        <w:tc>
          <w:tcPr>
            <w:tcW w:w="670" w:type="dxa"/>
            <w:vAlign w:val="top"/>
            <w:vMerge w:val="continue"/>
            <w:tcBorders>
              <w:top w:val="nil"/>
            </w:tcBorders>
          </w:tcPr>
          <w:p>
            <w:pPr>
              <w:rPr>
                <w:rFonts w:ascii="Arial"/>
                <w:sz w:val="21"/>
              </w:rPr>
            </w:pPr>
            <w:r/>
          </w:p>
        </w:tc>
        <w:tc>
          <w:tcPr>
            <w:tcW w:w="590" w:type="dxa"/>
            <w:vAlign w:val="top"/>
            <w:vMerge w:val="continue"/>
            <w:tcBorders>
              <w:top w:val="nil"/>
            </w:tcBorders>
          </w:tcPr>
          <w:p>
            <w:pPr>
              <w:rPr>
                <w:rFonts w:ascii="Arial"/>
                <w:sz w:val="21"/>
              </w:rPr>
            </w:pPr>
            <w:r/>
          </w:p>
        </w:tc>
        <w:tc>
          <w:tcPr>
            <w:tcW w:w="720" w:type="dxa"/>
            <w:vAlign w:val="top"/>
            <w:vMerge w:val="continue"/>
            <w:tcBorders>
              <w:top w:val="nil"/>
            </w:tcBorders>
          </w:tcPr>
          <w:p>
            <w:pPr>
              <w:rPr>
                <w:rFonts w:ascii="Arial"/>
                <w:sz w:val="21"/>
              </w:rPr>
            </w:pPr>
            <w:r/>
          </w:p>
        </w:tc>
        <w:tc>
          <w:tcPr>
            <w:tcW w:w="705" w:type="dxa"/>
            <w:vAlign w:val="top"/>
            <w:vMerge w:val="continue"/>
            <w:tcBorders>
              <w:top w:val="nil"/>
            </w:tcBorders>
          </w:tcPr>
          <w:p>
            <w:pPr>
              <w:rPr>
                <w:rFonts w:ascii="Arial"/>
                <w:sz w:val="21"/>
              </w:rPr>
            </w:pPr>
            <w:r/>
          </w:p>
        </w:tc>
      </w:tr>
      <w:tr>
        <w:trPr>
          <w:trHeight w:val="339" w:hRule="atLeast"/>
        </w:trPr>
        <w:tc>
          <w:tcPr>
            <w:tcW w:w="675" w:type="dxa"/>
            <w:vAlign w:val="top"/>
            <w:vMerge w:val="continue"/>
            <w:tcBorders>
              <w:top w:val="nil"/>
              <w:bottom w:val="nil"/>
            </w:tcBorders>
          </w:tcPr>
          <w:p>
            <w:pPr>
              <w:rPr>
                <w:rFonts w:ascii="Arial"/>
                <w:sz w:val="21"/>
              </w:rPr>
            </w:pPr>
            <w:r/>
          </w:p>
        </w:tc>
        <w:tc>
          <w:tcPr>
            <w:tcW w:w="999" w:type="dxa"/>
            <w:vAlign w:val="top"/>
            <w:vMerge w:val="restart"/>
            <w:tcBorders>
              <w:bottom w:val="nil"/>
            </w:tcBorders>
          </w:tcPr>
          <w:p>
            <w:pPr>
              <w:pStyle w:val="TableText"/>
              <w:ind w:left="389" w:right="109" w:hanging="299"/>
              <w:spacing w:before="120" w:line="235" w:lineRule="auto"/>
              <w:rPr>
                <w:sz w:val="20"/>
                <w:szCs w:val="20"/>
              </w:rPr>
            </w:pPr>
            <w:r>
              <w:rPr>
                <w:sz w:val="20"/>
                <w:szCs w:val="20"/>
                <w:spacing w:val="-3"/>
              </w:rPr>
              <w:t>建成后全</w:t>
            </w:r>
            <w:r>
              <w:rPr>
                <w:sz w:val="20"/>
                <w:szCs w:val="20"/>
              </w:rPr>
              <w:t xml:space="preserve"> </w:t>
            </w:r>
            <w:r>
              <w:rPr>
                <w:sz w:val="20"/>
                <w:szCs w:val="20"/>
              </w:rPr>
              <w:t>厂</w:t>
            </w:r>
          </w:p>
        </w:tc>
        <w:tc>
          <w:tcPr>
            <w:tcW w:w="989" w:type="dxa"/>
            <w:vAlign w:val="top"/>
          </w:tcPr>
          <w:p>
            <w:pPr>
              <w:pStyle w:val="TableText"/>
              <w:ind w:left="281"/>
              <w:spacing w:before="102" w:line="182" w:lineRule="auto"/>
              <w:rPr>
                <w:rFonts w:ascii="Calibri" w:hAnsi="Calibri" w:eastAsia="Calibri" w:cs="Calibri"/>
                <w:sz w:val="20"/>
                <w:szCs w:val="20"/>
              </w:rPr>
            </w:pPr>
            <w:r>
              <w:rPr>
                <w:sz w:val="20"/>
                <w:szCs w:val="20"/>
                <w:spacing w:val="-1"/>
              </w:rPr>
              <w:t>NH</w:t>
            </w:r>
            <w:r>
              <w:rPr>
                <w:rFonts w:ascii="Calibri" w:hAnsi="Calibri" w:eastAsia="Calibri" w:cs="Calibri"/>
                <w:sz w:val="20"/>
                <w:szCs w:val="20"/>
                <w:spacing w:val="-1"/>
              </w:rPr>
              <w:t>₃</w:t>
            </w:r>
          </w:p>
        </w:tc>
        <w:tc>
          <w:tcPr>
            <w:tcW w:w="839" w:type="dxa"/>
            <w:vAlign w:val="top"/>
            <w:vMerge w:val="restart"/>
            <w:tcBorders>
              <w:bottom w:val="nil"/>
            </w:tcBorders>
          </w:tcPr>
          <w:p>
            <w:pPr>
              <w:pStyle w:val="TableText"/>
              <w:ind w:left="112"/>
              <w:spacing w:before="250" w:line="219" w:lineRule="auto"/>
              <w:rPr>
                <w:sz w:val="20"/>
                <w:szCs w:val="20"/>
              </w:rPr>
            </w:pPr>
            <w:r>
              <w:rPr>
                <w:sz w:val="20"/>
                <w:szCs w:val="20"/>
                <w:spacing w:val="-2"/>
              </w:rPr>
              <w:t>类比法</w:t>
            </w:r>
          </w:p>
        </w:tc>
        <w:tc>
          <w:tcPr>
            <w:tcW w:w="989" w:type="dxa"/>
            <w:vAlign w:val="top"/>
          </w:tcPr>
          <w:p>
            <w:pPr>
              <w:pStyle w:val="TableText"/>
              <w:ind w:left="232"/>
              <w:spacing w:before="121" w:line="183" w:lineRule="auto"/>
              <w:rPr>
                <w:sz w:val="20"/>
                <w:szCs w:val="20"/>
              </w:rPr>
            </w:pPr>
            <w:r>
              <w:rPr>
                <w:sz w:val="20"/>
                <w:szCs w:val="20"/>
                <w:spacing w:val="-2"/>
              </w:rPr>
              <w:t>0.243</w:t>
            </w:r>
          </w:p>
        </w:tc>
        <w:tc>
          <w:tcPr>
            <w:tcW w:w="989" w:type="dxa"/>
            <w:vAlign w:val="top"/>
          </w:tcPr>
          <w:p>
            <w:pPr>
              <w:pStyle w:val="TableText"/>
              <w:ind w:left="234"/>
              <w:spacing w:before="120" w:line="184" w:lineRule="auto"/>
              <w:rPr>
                <w:sz w:val="20"/>
                <w:szCs w:val="20"/>
              </w:rPr>
            </w:pPr>
            <w:r>
              <w:rPr>
                <w:sz w:val="20"/>
                <w:szCs w:val="20"/>
                <w:spacing w:val="-4"/>
              </w:rPr>
              <w:t>12.15</w:t>
            </w:r>
          </w:p>
        </w:tc>
        <w:tc>
          <w:tcPr>
            <w:tcW w:w="999" w:type="dxa"/>
            <w:vAlign w:val="top"/>
          </w:tcPr>
          <w:p>
            <w:pPr>
              <w:pStyle w:val="TableText"/>
              <w:ind w:left="245"/>
              <w:spacing w:before="120" w:line="184" w:lineRule="auto"/>
              <w:rPr>
                <w:sz w:val="20"/>
                <w:szCs w:val="20"/>
              </w:rPr>
            </w:pPr>
            <w:r>
              <w:rPr>
                <w:sz w:val="20"/>
                <w:szCs w:val="20"/>
                <w:spacing w:val="-4"/>
              </w:rPr>
              <w:t>1.604</w:t>
            </w:r>
          </w:p>
        </w:tc>
        <w:tc>
          <w:tcPr>
            <w:tcW w:w="859" w:type="dxa"/>
            <w:vAlign w:val="top"/>
            <w:vMerge w:val="continue"/>
            <w:tcBorders>
              <w:top w:val="nil"/>
              <w:bottom w:val="nil"/>
            </w:tcBorders>
          </w:tcPr>
          <w:p>
            <w:pPr>
              <w:rPr>
                <w:rFonts w:ascii="Arial"/>
                <w:sz w:val="21"/>
              </w:rPr>
            </w:pPr>
            <w:r/>
          </w:p>
        </w:tc>
        <w:tc>
          <w:tcPr>
            <w:tcW w:w="700" w:type="dxa"/>
            <w:vAlign w:val="top"/>
          </w:tcPr>
          <w:p>
            <w:pPr>
              <w:pStyle w:val="TableText"/>
              <w:ind w:left="247"/>
              <w:spacing w:before="121" w:line="183" w:lineRule="auto"/>
              <w:rPr>
                <w:sz w:val="20"/>
                <w:szCs w:val="20"/>
              </w:rPr>
            </w:pPr>
            <w:r>
              <w:rPr>
                <w:sz w:val="20"/>
                <w:szCs w:val="20"/>
                <w:spacing w:val="-3"/>
              </w:rPr>
              <w:t>60</w:t>
            </w:r>
          </w:p>
        </w:tc>
        <w:tc>
          <w:tcPr>
            <w:tcW w:w="710" w:type="dxa"/>
            <w:vAlign w:val="top"/>
            <w:vMerge w:val="restart"/>
            <w:tcBorders>
              <w:bottom w:val="nil"/>
            </w:tcBorders>
          </w:tcPr>
          <w:p>
            <w:pPr>
              <w:pStyle w:val="TableText"/>
              <w:ind w:left="246"/>
              <w:spacing w:before="253" w:line="223" w:lineRule="auto"/>
              <w:rPr>
                <w:sz w:val="20"/>
                <w:szCs w:val="20"/>
              </w:rPr>
            </w:pPr>
            <w:r>
              <w:rPr>
                <w:sz w:val="20"/>
                <w:szCs w:val="20"/>
              </w:rPr>
              <w:t>是</w:t>
            </w:r>
          </w:p>
        </w:tc>
        <w:tc>
          <w:tcPr>
            <w:tcW w:w="1019" w:type="dxa"/>
            <w:vAlign w:val="top"/>
          </w:tcPr>
          <w:p>
            <w:pPr>
              <w:pStyle w:val="TableText"/>
              <w:ind w:left="257"/>
              <w:spacing w:before="121" w:line="183" w:lineRule="auto"/>
              <w:rPr>
                <w:sz w:val="20"/>
                <w:szCs w:val="20"/>
              </w:rPr>
            </w:pPr>
            <w:r>
              <w:rPr>
                <w:sz w:val="20"/>
                <w:szCs w:val="20"/>
                <w:spacing w:val="-2"/>
              </w:rPr>
              <w:t>0.097</w:t>
            </w:r>
          </w:p>
        </w:tc>
        <w:tc>
          <w:tcPr>
            <w:tcW w:w="999" w:type="dxa"/>
            <w:vAlign w:val="top"/>
          </w:tcPr>
          <w:p>
            <w:pPr>
              <w:pStyle w:val="TableText"/>
              <w:ind w:left="298"/>
              <w:spacing w:before="121" w:line="183" w:lineRule="auto"/>
              <w:rPr>
                <w:sz w:val="20"/>
                <w:szCs w:val="20"/>
              </w:rPr>
            </w:pPr>
            <w:r>
              <w:rPr>
                <w:sz w:val="20"/>
                <w:szCs w:val="20"/>
                <w:spacing w:val="-2"/>
              </w:rPr>
              <w:t>4.32</w:t>
            </w:r>
          </w:p>
        </w:tc>
        <w:tc>
          <w:tcPr>
            <w:tcW w:w="850" w:type="dxa"/>
            <w:vAlign w:val="top"/>
          </w:tcPr>
          <w:p>
            <w:pPr>
              <w:pStyle w:val="TableText"/>
              <w:ind w:left="169"/>
              <w:spacing w:before="121" w:line="183" w:lineRule="auto"/>
              <w:rPr>
                <w:sz w:val="20"/>
                <w:szCs w:val="20"/>
              </w:rPr>
            </w:pPr>
            <w:r>
              <w:rPr>
                <w:sz w:val="20"/>
                <w:szCs w:val="20"/>
                <w:spacing w:val="-2"/>
              </w:rPr>
              <w:t>0.642</w:t>
            </w:r>
          </w:p>
        </w:tc>
        <w:tc>
          <w:tcPr>
            <w:tcW w:w="689" w:type="dxa"/>
            <w:vAlign w:val="top"/>
            <w:vMerge w:val="restart"/>
            <w:tcBorders>
              <w:bottom w:val="nil"/>
            </w:tcBorders>
          </w:tcPr>
          <w:p>
            <w:pPr>
              <w:pStyle w:val="TableText"/>
              <w:ind w:left="89"/>
              <w:spacing w:before="301" w:line="183" w:lineRule="auto"/>
              <w:rPr>
                <w:sz w:val="20"/>
                <w:szCs w:val="20"/>
              </w:rPr>
            </w:pPr>
            <w:r>
              <w:rPr>
                <w:sz w:val="20"/>
                <w:szCs w:val="20"/>
                <w:spacing w:val="-2"/>
              </w:rPr>
              <w:t>20000</w:t>
            </w:r>
          </w:p>
        </w:tc>
        <w:tc>
          <w:tcPr>
            <w:tcW w:w="670" w:type="dxa"/>
            <w:vAlign w:val="top"/>
            <w:vMerge w:val="restart"/>
            <w:tcBorders>
              <w:bottom w:val="nil"/>
            </w:tcBorders>
          </w:tcPr>
          <w:p>
            <w:pPr>
              <w:pStyle w:val="TableText"/>
              <w:ind w:left="180"/>
              <w:spacing w:before="301" w:line="183" w:lineRule="auto"/>
              <w:rPr>
                <w:sz w:val="20"/>
                <w:szCs w:val="20"/>
              </w:rPr>
            </w:pPr>
            <w:r>
              <w:rPr>
                <w:sz w:val="20"/>
                <w:szCs w:val="20"/>
                <w:spacing w:val="-3"/>
              </w:rPr>
              <w:t>0.6</w:t>
            </w:r>
          </w:p>
        </w:tc>
        <w:tc>
          <w:tcPr>
            <w:tcW w:w="590" w:type="dxa"/>
            <w:vAlign w:val="top"/>
            <w:vMerge w:val="restart"/>
            <w:tcBorders>
              <w:bottom w:val="nil"/>
            </w:tcBorders>
          </w:tcPr>
          <w:p>
            <w:pPr>
              <w:pStyle w:val="TableText"/>
              <w:ind w:left="190"/>
              <w:spacing w:before="300" w:line="184" w:lineRule="auto"/>
              <w:rPr>
                <w:sz w:val="20"/>
                <w:szCs w:val="20"/>
              </w:rPr>
            </w:pPr>
            <w:r>
              <w:rPr>
                <w:sz w:val="20"/>
                <w:szCs w:val="20"/>
                <w:spacing w:val="-6"/>
              </w:rPr>
              <w:t>15</w:t>
            </w:r>
          </w:p>
        </w:tc>
        <w:tc>
          <w:tcPr>
            <w:tcW w:w="720" w:type="dxa"/>
            <w:vAlign w:val="top"/>
            <w:vMerge w:val="restart"/>
            <w:tcBorders>
              <w:bottom w:val="nil"/>
            </w:tcBorders>
          </w:tcPr>
          <w:p>
            <w:pPr>
              <w:pStyle w:val="TableText"/>
              <w:ind w:left="110"/>
              <w:spacing w:before="299" w:line="185" w:lineRule="auto"/>
              <w:rPr>
                <w:sz w:val="20"/>
                <w:szCs w:val="20"/>
              </w:rPr>
            </w:pPr>
            <w:r>
              <w:rPr>
                <w:sz w:val="20"/>
                <w:szCs w:val="20"/>
                <w:spacing w:val="-1"/>
              </w:rPr>
              <w:t>DA006</w:t>
            </w:r>
          </w:p>
        </w:tc>
        <w:tc>
          <w:tcPr>
            <w:tcW w:w="705" w:type="dxa"/>
            <w:vAlign w:val="top"/>
            <w:vMerge w:val="restart"/>
            <w:tcBorders>
              <w:bottom w:val="nil"/>
            </w:tcBorders>
          </w:tcPr>
          <w:p>
            <w:pPr>
              <w:pStyle w:val="TableText"/>
              <w:ind w:left="150"/>
              <w:spacing w:before="301" w:line="183" w:lineRule="auto"/>
              <w:rPr>
                <w:sz w:val="20"/>
                <w:szCs w:val="20"/>
              </w:rPr>
            </w:pPr>
            <w:r>
              <w:rPr>
                <w:sz w:val="20"/>
                <w:szCs w:val="20"/>
                <w:spacing w:val="-2"/>
              </w:rPr>
              <w:t>6600</w:t>
            </w:r>
          </w:p>
        </w:tc>
      </w:tr>
      <w:tr>
        <w:trPr>
          <w:trHeight w:val="349" w:hRule="atLeast"/>
        </w:trPr>
        <w:tc>
          <w:tcPr>
            <w:tcW w:w="675" w:type="dxa"/>
            <w:vAlign w:val="top"/>
            <w:vMerge w:val="continue"/>
            <w:tcBorders>
              <w:top w:val="nil"/>
            </w:tcBorders>
          </w:tcPr>
          <w:p>
            <w:pPr>
              <w:rPr>
                <w:rFonts w:ascii="Arial"/>
                <w:sz w:val="21"/>
              </w:rPr>
            </w:pPr>
            <w:r/>
          </w:p>
        </w:tc>
        <w:tc>
          <w:tcPr>
            <w:tcW w:w="999" w:type="dxa"/>
            <w:vAlign w:val="top"/>
            <w:vMerge w:val="continue"/>
            <w:tcBorders>
              <w:top w:val="nil"/>
            </w:tcBorders>
          </w:tcPr>
          <w:p>
            <w:pPr>
              <w:rPr>
                <w:rFonts w:ascii="Arial"/>
                <w:sz w:val="21"/>
              </w:rPr>
            </w:pPr>
            <w:r/>
          </w:p>
        </w:tc>
        <w:tc>
          <w:tcPr>
            <w:tcW w:w="989" w:type="dxa"/>
            <w:vAlign w:val="top"/>
          </w:tcPr>
          <w:p>
            <w:pPr>
              <w:pStyle w:val="TableText"/>
              <w:ind w:left="281"/>
              <w:spacing w:before="113" w:line="183" w:lineRule="auto"/>
              <w:rPr>
                <w:sz w:val="20"/>
                <w:szCs w:val="20"/>
              </w:rPr>
            </w:pPr>
            <w:r>
              <w:rPr>
                <w:sz w:val="20"/>
                <w:szCs w:val="20"/>
                <w:spacing w:val="-2"/>
              </w:rPr>
              <w:t>H</w:t>
            </w:r>
            <w:r>
              <w:rPr>
                <w:rFonts w:ascii="Calibri" w:hAnsi="Calibri" w:eastAsia="Calibri" w:cs="Calibri"/>
                <w:sz w:val="20"/>
                <w:szCs w:val="20"/>
                <w:spacing w:val="-2"/>
              </w:rPr>
              <w:t>₂</w:t>
            </w:r>
            <w:r>
              <w:rPr>
                <w:sz w:val="20"/>
                <w:szCs w:val="20"/>
                <w:spacing w:val="-2"/>
              </w:rPr>
              <w:t>S</w:t>
            </w:r>
          </w:p>
        </w:tc>
        <w:tc>
          <w:tcPr>
            <w:tcW w:w="839" w:type="dxa"/>
            <w:vAlign w:val="top"/>
            <w:vMerge w:val="continue"/>
            <w:tcBorders>
              <w:top w:val="nil"/>
            </w:tcBorders>
          </w:tcPr>
          <w:p>
            <w:pPr>
              <w:rPr>
                <w:rFonts w:ascii="Arial"/>
                <w:sz w:val="21"/>
              </w:rPr>
            </w:pPr>
            <w:r/>
          </w:p>
        </w:tc>
        <w:tc>
          <w:tcPr>
            <w:tcW w:w="989" w:type="dxa"/>
            <w:vAlign w:val="top"/>
          </w:tcPr>
          <w:p>
            <w:pPr>
              <w:pStyle w:val="TableText"/>
              <w:ind w:left="232"/>
              <w:spacing w:before="132" w:line="183" w:lineRule="auto"/>
              <w:rPr>
                <w:sz w:val="20"/>
                <w:szCs w:val="20"/>
              </w:rPr>
            </w:pPr>
            <w:r>
              <w:rPr>
                <w:sz w:val="20"/>
                <w:szCs w:val="20"/>
                <w:spacing w:val="-2"/>
              </w:rPr>
              <w:t>0.005</w:t>
            </w:r>
          </w:p>
        </w:tc>
        <w:tc>
          <w:tcPr>
            <w:tcW w:w="989" w:type="dxa"/>
            <w:vAlign w:val="top"/>
          </w:tcPr>
          <w:p>
            <w:pPr>
              <w:pStyle w:val="TableText"/>
              <w:ind w:left="234"/>
              <w:spacing w:before="132" w:line="183" w:lineRule="auto"/>
              <w:rPr>
                <w:sz w:val="20"/>
                <w:szCs w:val="20"/>
              </w:rPr>
            </w:pPr>
            <w:r>
              <w:rPr>
                <w:sz w:val="20"/>
                <w:szCs w:val="20"/>
                <w:spacing w:val="-2"/>
              </w:rPr>
              <w:t>0.242</w:t>
            </w:r>
          </w:p>
        </w:tc>
        <w:tc>
          <w:tcPr>
            <w:tcW w:w="999" w:type="dxa"/>
            <w:vAlign w:val="top"/>
          </w:tcPr>
          <w:p>
            <w:pPr>
              <w:pStyle w:val="TableText"/>
              <w:ind w:left="245"/>
              <w:spacing w:before="132" w:line="183" w:lineRule="auto"/>
              <w:rPr>
                <w:sz w:val="20"/>
                <w:szCs w:val="20"/>
              </w:rPr>
            </w:pPr>
            <w:r>
              <w:rPr>
                <w:sz w:val="20"/>
                <w:szCs w:val="20"/>
                <w:spacing w:val="-2"/>
              </w:rPr>
              <w:t>0.032</w:t>
            </w:r>
          </w:p>
        </w:tc>
        <w:tc>
          <w:tcPr>
            <w:tcW w:w="859" w:type="dxa"/>
            <w:vAlign w:val="top"/>
            <w:vMerge w:val="continue"/>
            <w:tcBorders>
              <w:top w:val="nil"/>
            </w:tcBorders>
          </w:tcPr>
          <w:p>
            <w:pPr>
              <w:rPr>
                <w:rFonts w:ascii="Arial"/>
                <w:sz w:val="21"/>
              </w:rPr>
            </w:pPr>
            <w:r/>
          </w:p>
        </w:tc>
        <w:tc>
          <w:tcPr>
            <w:tcW w:w="700" w:type="dxa"/>
            <w:vAlign w:val="top"/>
          </w:tcPr>
          <w:p>
            <w:pPr>
              <w:pStyle w:val="TableText"/>
              <w:ind w:left="247"/>
              <w:spacing w:before="132" w:line="183" w:lineRule="auto"/>
              <w:rPr>
                <w:sz w:val="20"/>
                <w:szCs w:val="20"/>
              </w:rPr>
            </w:pPr>
            <w:r>
              <w:rPr>
                <w:sz w:val="20"/>
                <w:szCs w:val="20"/>
                <w:spacing w:val="-3"/>
              </w:rPr>
              <w:t>65</w:t>
            </w:r>
          </w:p>
        </w:tc>
        <w:tc>
          <w:tcPr>
            <w:tcW w:w="710" w:type="dxa"/>
            <w:vAlign w:val="top"/>
            <w:vMerge w:val="continue"/>
            <w:tcBorders>
              <w:top w:val="nil"/>
            </w:tcBorders>
          </w:tcPr>
          <w:p>
            <w:pPr>
              <w:rPr>
                <w:rFonts w:ascii="Arial"/>
                <w:sz w:val="21"/>
              </w:rPr>
            </w:pPr>
            <w:r/>
          </w:p>
        </w:tc>
        <w:tc>
          <w:tcPr>
            <w:tcW w:w="1019" w:type="dxa"/>
            <w:vAlign w:val="top"/>
          </w:tcPr>
          <w:p>
            <w:pPr>
              <w:pStyle w:val="TableText"/>
              <w:ind w:left="257"/>
              <w:spacing w:before="132" w:line="183" w:lineRule="auto"/>
              <w:rPr>
                <w:sz w:val="20"/>
                <w:szCs w:val="20"/>
              </w:rPr>
            </w:pPr>
            <w:r>
              <w:rPr>
                <w:sz w:val="20"/>
                <w:szCs w:val="20"/>
                <w:spacing w:val="-2"/>
              </w:rPr>
              <w:t>0.002</w:t>
            </w:r>
          </w:p>
        </w:tc>
        <w:tc>
          <w:tcPr>
            <w:tcW w:w="999" w:type="dxa"/>
            <w:vAlign w:val="top"/>
          </w:tcPr>
          <w:p>
            <w:pPr>
              <w:pStyle w:val="TableText"/>
              <w:ind w:left="298"/>
              <w:spacing w:before="132" w:line="183" w:lineRule="auto"/>
              <w:rPr>
                <w:sz w:val="20"/>
                <w:szCs w:val="20"/>
              </w:rPr>
            </w:pPr>
            <w:r>
              <w:rPr>
                <w:sz w:val="20"/>
                <w:szCs w:val="20"/>
                <w:spacing w:val="-2"/>
              </w:rPr>
              <w:t>0.08</w:t>
            </w:r>
          </w:p>
        </w:tc>
        <w:tc>
          <w:tcPr>
            <w:tcW w:w="850" w:type="dxa"/>
            <w:vAlign w:val="top"/>
          </w:tcPr>
          <w:p>
            <w:pPr>
              <w:pStyle w:val="TableText"/>
              <w:ind w:left="169"/>
              <w:spacing w:before="131" w:line="184" w:lineRule="auto"/>
              <w:rPr>
                <w:sz w:val="20"/>
                <w:szCs w:val="20"/>
              </w:rPr>
            </w:pPr>
            <w:r>
              <w:rPr>
                <w:sz w:val="20"/>
                <w:szCs w:val="20"/>
                <w:spacing w:val="-2"/>
              </w:rPr>
              <w:t>0.011</w:t>
            </w:r>
          </w:p>
        </w:tc>
        <w:tc>
          <w:tcPr>
            <w:tcW w:w="689" w:type="dxa"/>
            <w:vAlign w:val="top"/>
            <w:vMerge w:val="continue"/>
            <w:tcBorders>
              <w:top w:val="nil"/>
            </w:tcBorders>
          </w:tcPr>
          <w:p>
            <w:pPr>
              <w:rPr>
                <w:rFonts w:ascii="Arial"/>
                <w:sz w:val="21"/>
              </w:rPr>
            </w:pPr>
            <w:r/>
          </w:p>
        </w:tc>
        <w:tc>
          <w:tcPr>
            <w:tcW w:w="670" w:type="dxa"/>
            <w:vAlign w:val="top"/>
            <w:vMerge w:val="continue"/>
            <w:tcBorders>
              <w:top w:val="nil"/>
            </w:tcBorders>
          </w:tcPr>
          <w:p>
            <w:pPr>
              <w:rPr>
                <w:rFonts w:ascii="Arial"/>
                <w:sz w:val="21"/>
              </w:rPr>
            </w:pPr>
            <w:r/>
          </w:p>
        </w:tc>
        <w:tc>
          <w:tcPr>
            <w:tcW w:w="590" w:type="dxa"/>
            <w:vAlign w:val="top"/>
            <w:vMerge w:val="continue"/>
            <w:tcBorders>
              <w:top w:val="nil"/>
            </w:tcBorders>
          </w:tcPr>
          <w:p>
            <w:pPr>
              <w:rPr>
                <w:rFonts w:ascii="Arial"/>
                <w:sz w:val="21"/>
              </w:rPr>
            </w:pPr>
            <w:r/>
          </w:p>
        </w:tc>
        <w:tc>
          <w:tcPr>
            <w:tcW w:w="720" w:type="dxa"/>
            <w:vAlign w:val="top"/>
            <w:vMerge w:val="continue"/>
            <w:tcBorders>
              <w:top w:val="nil"/>
            </w:tcBorders>
          </w:tcPr>
          <w:p>
            <w:pPr>
              <w:rPr>
                <w:rFonts w:ascii="Arial"/>
                <w:sz w:val="21"/>
              </w:rPr>
            </w:pPr>
            <w:r/>
          </w:p>
        </w:tc>
        <w:tc>
          <w:tcPr>
            <w:tcW w:w="705" w:type="dxa"/>
            <w:vAlign w:val="top"/>
            <w:vMerge w:val="continue"/>
            <w:tcBorders>
              <w:top w:val="nil"/>
            </w:tcBorders>
          </w:tcPr>
          <w:p>
            <w:pPr>
              <w:rPr>
                <w:rFonts w:ascii="Arial"/>
                <w:sz w:val="21"/>
              </w:rPr>
            </w:pPr>
            <w:r/>
          </w:p>
        </w:tc>
      </w:tr>
      <w:tr>
        <w:trPr>
          <w:trHeight w:val="339" w:hRule="atLeast"/>
        </w:trPr>
        <w:tc>
          <w:tcPr>
            <w:tcW w:w="675" w:type="dxa"/>
            <w:vAlign w:val="top"/>
            <w:vMerge w:val="restart"/>
            <w:tcBorders>
              <w:bottom w:val="nil"/>
            </w:tcBorders>
          </w:tcPr>
          <w:p>
            <w:pPr>
              <w:spacing w:line="267" w:lineRule="auto"/>
              <w:rPr>
                <w:rFonts w:ascii="Arial"/>
                <w:sz w:val="21"/>
              </w:rPr>
            </w:pPr>
            <w:r/>
          </w:p>
          <w:p>
            <w:pPr>
              <w:spacing w:line="267" w:lineRule="auto"/>
              <w:rPr>
                <w:rFonts w:ascii="Arial"/>
                <w:sz w:val="21"/>
              </w:rPr>
            </w:pPr>
            <w:r/>
          </w:p>
          <w:p>
            <w:pPr>
              <w:pStyle w:val="TableText"/>
              <w:ind w:left="25"/>
              <w:spacing w:before="65" w:line="220" w:lineRule="auto"/>
              <w:rPr>
                <w:sz w:val="20"/>
                <w:szCs w:val="20"/>
              </w:rPr>
            </w:pPr>
            <w:r>
              <w:rPr>
                <w:sz w:val="20"/>
                <w:szCs w:val="20"/>
                <w:spacing w:val="3"/>
              </w:rPr>
              <w:t>无组织</w:t>
            </w:r>
          </w:p>
        </w:tc>
        <w:tc>
          <w:tcPr>
            <w:tcW w:w="999" w:type="dxa"/>
            <w:vAlign w:val="top"/>
            <w:vMerge w:val="restart"/>
            <w:tcBorders>
              <w:bottom w:val="nil"/>
            </w:tcBorders>
          </w:tcPr>
          <w:p>
            <w:pPr>
              <w:pStyle w:val="TableText"/>
              <w:ind w:left="389" w:right="107" w:hanging="299"/>
              <w:spacing w:before="120" w:line="227" w:lineRule="auto"/>
              <w:rPr>
                <w:sz w:val="20"/>
                <w:szCs w:val="20"/>
              </w:rPr>
            </w:pPr>
            <w:r>
              <w:rPr>
                <w:sz w:val="20"/>
                <w:szCs w:val="20"/>
                <w:spacing w:val="-3"/>
              </w:rPr>
              <w:t>本项目新</w:t>
            </w:r>
            <w:r>
              <w:rPr>
                <w:sz w:val="20"/>
                <w:szCs w:val="20"/>
                <w:spacing w:val="2"/>
              </w:rPr>
              <w:t xml:space="preserve"> </w:t>
            </w:r>
            <w:r>
              <w:rPr>
                <w:sz w:val="20"/>
                <w:szCs w:val="20"/>
              </w:rPr>
              <w:t>增</w:t>
            </w:r>
          </w:p>
        </w:tc>
        <w:tc>
          <w:tcPr>
            <w:tcW w:w="989" w:type="dxa"/>
            <w:vAlign w:val="top"/>
          </w:tcPr>
          <w:p>
            <w:pPr>
              <w:pStyle w:val="TableText"/>
              <w:ind w:left="281"/>
              <w:spacing w:before="104" w:line="182" w:lineRule="auto"/>
              <w:rPr>
                <w:rFonts w:ascii="Calibri" w:hAnsi="Calibri" w:eastAsia="Calibri" w:cs="Calibri"/>
                <w:sz w:val="20"/>
                <w:szCs w:val="20"/>
              </w:rPr>
            </w:pPr>
            <w:r>
              <w:rPr>
                <w:sz w:val="20"/>
                <w:szCs w:val="20"/>
                <w:spacing w:val="-1"/>
              </w:rPr>
              <w:t>NH</w:t>
            </w:r>
            <w:r>
              <w:rPr>
                <w:rFonts w:ascii="Calibri" w:hAnsi="Calibri" w:eastAsia="Calibri" w:cs="Calibri"/>
                <w:sz w:val="20"/>
                <w:szCs w:val="20"/>
                <w:spacing w:val="-1"/>
              </w:rPr>
              <w:t>₃</w:t>
            </w:r>
          </w:p>
        </w:tc>
        <w:tc>
          <w:tcPr>
            <w:tcW w:w="839" w:type="dxa"/>
            <w:vAlign w:val="top"/>
            <w:vMerge w:val="restart"/>
            <w:tcBorders>
              <w:bottom w:val="nil"/>
            </w:tcBorders>
          </w:tcPr>
          <w:p>
            <w:pPr>
              <w:pStyle w:val="TableText"/>
              <w:ind w:left="112"/>
              <w:spacing w:before="252" w:line="219" w:lineRule="auto"/>
              <w:rPr>
                <w:sz w:val="20"/>
                <w:szCs w:val="20"/>
              </w:rPr>
            </w:pPr>
            <w:r>
              <w:rPr>
                <w:sz w:val="20"/>
                <w:szCs w:val="20"/>
                <w:spacing w:val="-2"/>
              </w:rPr>
              <w:t>类比法</w:t>
            </w:r>
          </w:p>
        </w:tc>
        <w:tc>
          <w:tcPr>
            <w:tcW w:w="989" w:type="dxa"/>
            <w:vAlign w:val="top"/>
          </w:tcPr>
          <w:p>
            <w:pPr>
              <w:pStyle w:val="TableText"/>
              <w:ind w:left="232"/>
              <w:spacing w:before="123" w:line="183" w:lineRule="auto"/>
              <w:rPr>
                <w:sz w:val="20"/>
                <w:szCs w:val="20"/>
              </w:rPr>
            </w:pPr>
            <w:r>
              <w:rPr>
                <w:sz w:val="20"/>
                <w:szCs w:val="20"/>
                <w:spacing w:val="-2"/>
              </w:rPr>
              <w:t>0.005</w:t>
            </w:r>
          </w:p>
        </w:tc>
        <w:tc>
          <w:tcPr>
            <w:tcW w:w="989" w:type="dxa"/>
            <w:vAlign w:val="top"/>
          </w:tcPr>
          <w:p>
            <w:pPr>
              <w:pStyle w:val="TableText"/>
              <w:ind w:left="434"/>
              <w:spacing w:before="78" w:line="224" w:lineRule="auto"/>
              <w:rPr>
                <w:sz w:val="20"/>
                <w:szCs w:val="20"/>
              </w:rPr>
            </w:pPr>
            <w:r>
              <w:rPr>
                <w:sz w:val="20"/>
                <w:szCs w:val="20"/>
              </w:rPr>
              <w:t>/</w:t>
            </w:r>
          </w:p>
        </w:tc>
        <w:tc>
          <w:tcPr>
            <w:tcW w:w="999" w:type="dxa"/>
            <w:vAlign w:val="top"/>
          </w:tcPr>
          <w:p>
            <w:pPr>
              <w:pStyle w:val="TableText"/>
              <w:ind w:left="245"/>
              <w:spacing w:before="123" w:line="183" w:lineRule="auto"/>
              <w:rPr>
                <w:sz w:val="20"/>
                <w:szCs w:val="20"/>
              </w:rPr>
            </w:pPr>
            <w:r>
              <w:rPr>
                <w:sz w:val="20"/>
                <w:szCs w:val="20"/>
                <w:spacing w:val="-2"/>
              </w:rPr>
              <w:t>0.036</w:t>
            </w:r>
          </w:p>
        </w:tc>
        <w:tc>
          <w:tcPr>
            <w:tcW w:w="859" w:type="dxa"/>
            <w:vAlign w:val="top"/>
          </w:tcPr>
          <w:p>
            <w:pPr>
              <w:pStyle w:val="TableText"/>
              <w:ind w:left="376"/>
              <w:spacing w:before="78" w:line="224" w:lineRule="auto"/>
              <w:rPr>
                <w:sz w:val="20"/>
                <w:szCs w:val="20"/>
              </w:rPr>
            </w:pPr>
            <w:r>
              <w:rPr>
                <w:sz w:val="20"/>
                <w:szCs w:val="20"/>
              </w:rPr>
              <w:t>/</w:t>
            </w:r>
          </w:p>
        </w:tc>
        <w:tc>
          <w:tcPr>
            <w:tcW w:w="700" w:type="dxa"/>
            <w:vAlign w:val="top"/>
          </w:tcPr>
          <w:p>
            <w:pPr>
              <w:pStyle w:val="TableText"/>
              <w:ind w:left="297"/>
              <w:spacing w:before="78" w:line="224" w:lineRule="auto"/>
              <w:rPr>
                <w:sz w:val="20"/>
                <w:szCs w:val="20"/>
              </w:rPr>
            </w:pPr>
            <w:r>
              <w:rPr>
                <w:sz w:val="20"/>
                <w:szCs w:val="20"/>
              </w:rPr>
              <w:t>/</w:t>
            </w:r>
          </w:p>
        </w:tc>
        <w:tc>
          <w:tcPr>
            <w:tcW w:w="710" w:type="dxa"/>
            <w:vAlign w:val="top"/>
          </w:tcPr>
          <w:p>
            <w:pPr>
              <w:pStyle w:val="TableText"/>
              <w:ind w:left="297"/>
              <w:spacing w:before="78" w:line="224" w:lineRule="auto"/>
              <w:rPr>
                <w:sz w:val="20"/>
                <w:szCs w:val="20"/>
              </w:rPr>
            </w:pPr>
            <w:r>
              <w:rPr>
                <w:sz w:val="20"/>
                <w:szCs w:val="20"/>
              </w:rPr>
              <w:t>/</w:t>
            </w:r>
          </w:p>
        </w:tc>
        <w:tc>
          <w:tcPr>
            <w:tcW w:w="1019" w:type="dxa"/>
            <w:vAlign w:val="top"/>
          </w:tcPr>
          <w:p>
            <w:pPr>
              <w:pStyle w:val="TableText"/>
              <w:ind w:left="257"/>
              <w:spacing w:before="123" w:line="183" w:lineRule="auto"/>
              <w:rPr>
                <w:sz w:val="20"/>
                <w:szCs w:val="20"/>
              </w:rPr>
            </w:pPr>
            <w:r>
              <w:rPr>
                <w:sz w:val="20"/>
                <w:szCs w:val="20"/>
                <w:spacing w:val="-2"/>
              </w:rPr>
              <w:t>0.005</w:t>
            </w:r>
          </w:p>
        </w:tc>
        <w:tc>
          <w:tcPr>
            <w:tcW w:w="999" w:type="dxa"/>
            <w:vAlign w:val="top"/>
          </w:tcPr>
          <w:p>
            <w:pPr>
              <w:pStyle w:val="TableText"/>
              <w:ind w:left="448"/>
              <w:spacing w:before="78" w:line="224" w:lineRule="auto"/>
              <w:rPr>
                <w:sz w:val="20"/>
                <w:szCs w:val="20"/>
              </w:rPr>
            </w:pPr>
            <w:r>
              <w:rPr>
                <w:sz w:val="20"/>
                <w:szCs w:val="20"/>
              </w:rPr>
              <w:t>/</w:t>
            </w:r>
          </w:p>
        </w:tc>
        <w:tc>
          <w:tcPr>
            <w:tcW w:w="850" w:type="dxa"/>
            <w:vAlign w:val="top"/>
          </w:tcPr>
          <w:p>
            <w:pPr>
              <w:pStyle w:val="TableText"/>
              <w:ind w:left="169"/>
              <w:spacing w:before="123" w:line="183" w:lineRule="auto"/>
              <w:rPr>
                <w:sz w:val="20"/>
                <w:szCs w:val="20"/>
              </w:rPr>
            </w:pPr>
            <w:r>
              <w:rPr>
                <w:sz w:val="20"/>
                <w:szCs w:val="20"/>
                <w:spacing w:val="-2"/>
              </w:rPr>
              <w:t>0.036</w:t>
            </w:r>
          </w:p>
        </w:tc>
        <w:tc>
          <w:tcPr>
            <w:tcW w:w="689" w:type="dxa"/>
            <w:vAlign w:val="top"/>
          </w:tcPr>
          <w:p>
            <w:pPr>
              <w:pStyle w:val="TableText"/>
              <w:ind w:left="289"/>
              <w:spacing w:before="78" w:line="224" w:lineRule="auto"/>
              <w:rPr>
                <w:sz w:val="20"/>
                <w:szCs w:val="20"/>
              </w:rPr>
            </w:pPr>
            <w:r>
              <w:rPr>
                <w:sz w:val="20"/>
                <w:szCs w:val="20"/>
              </w:rPr>
              <w:t>/</w:t>
            </w:r>
          </w:p>
        </w:tc>
        <w:tc>
          <w:tcPr>
            <w:tcW w:w="670" w:type="dxa"/>
            <w:vAlign w:val="top"/>
          </w:tcPr>
          <w:p>
            <w:pPr>
              <w:pStyle w:val="TableText"/>
              <w:ind w:left="280"/>
              <w:spacing w:before="78" w:line="224" w:lineRule="auto"/>
              <w:rPr>
                <w:sz w:val="20"/>
                <w:szCs w:val="20"/>
              </w:rPr>
            </w:pPr>
            <w:r>
              <w:rPr>
                <w:sz w:val="20"/>
                <w:szCs w:val="20"/>
              </w:rPr>
              <w:t>/</w:t>
            </w:r>
          </w:p>
        </w:tc>
        <w:tc>
          <w:tcPr>
            <w:tcW w:w="590" w:type="dxa"/>
            <w:vAlign w:val="top"/>
          </w:tcPr>
          <w:p>
            <w:pPr>
              <w:pStyle w:val="TableText"/>
              <w:ind w:left="240"/>
              <w:spacing w:before="78" w:line="224" w:lineRule="auto"/>
              <w:rPr>
                <w:sz w:val="20"/>
                <w:szCs w:val="20"/>
              </w:rPr>
            </w:pPr>
            <w:r>
              <w:rPr>
                <w:sz w:val="20"/>
                <w:szCs w:val="20"/>
              </w:rPr>
              <w:t>/</w:t>
            </w:r>
          </w:p>
        </w:tc>
        <w:tc>
          <w:tcPr>
            <w:tcW w:w="720" w:type="dxa"/>
            <w:vAlign w:val="top"/>
          </w:tcPr>
          <w:p>
            <w:pPr>
              <w:pStyle w:val="TableText"/>
              <w:ind w:left="310"/>
              <w:spacing w:before="78" w:line="224" w:lineRule="auto"/>
              <w:rPr>
                <w:sz w:val="20"/>
                <w:szCs w:val="20"/>
              </w:rPr>
            </w:pPr>
            <w:r>
              <w:rPr>
                <w:sz w:val="20"/>
                <w:szCs w:val="20"/>
              </w:rPr>
              <w:t>/</w:t>
            </w:r>
          </w:p>
        </w:tc>
        <w:tc>
          <w:tcPr>
            <w:tcW w:w="705" w:type="dxa"/>
            <w:vAlign w:val="top"/>
            <w:vMerge w:val="restart"/>
            <w:tcBorders>
              <w:bottom w:val="nil"/>
            </w:tcBorders>
          </w:tcPr>
          <w:p>
            <w:pPr>
              <w:pStyle w:val="TableText"/>
              <w:ind w:left="150"/>
              <w:spacing w:before="303" w:line="183" w:lineRule="auto"/>
              <w:rPr>
                <w:sz w:val="20"/>
                <w:szCs w:val="20"/>
              </w:rPr>
            </w:pPr>
            <w:r>
              <w:rPr>
                <w:sz w:val="20"/>
                <w:szCs w:val="20"/>
                <w:spacing w:val="-2"/>
              </w:rPr>
              <w:t>6600</w:t>
            </w:r>
          </w:p>
        </w:tc>
      </w:tr>
      <w:tr>
        <w:trPr>
          <w:trHeight w:val="349" w:hRule="atLeast"/>
        </w:trPr>
        <w:tc>
          <w:tcPr>
            <w:tcW w:w="675" w:type="dxa"/>
            <w:vAlign w:val="top"/>
            <w:vMerge w:val="continue"/>
            <w:tcBorders>
              <w:top w:val="nil"/>
              <w:bottom w:val="nil"/>
            </w:tcBorders>
          </w:tcPr>
          <w:p>
            <w:pPr>
              <w:rPr>
                <w:rFonts w:ascii="Arial"/>
                <w:sz w:val="21"/>
              </w:rPr>
            </w:pPr>
            <w:r/>
          </w:p>
        </w:tc>
        <w:tc>
          <w:tcPr>
            <w:tcW w:w="999" w:type="dxa"/>
            <w:vAlign w:val="top"/>
            <w:vMerge w:val="continue"/>
            <w:tcBorders>
              <w:top w:val="nil"/>
            </w:tcBorders>
          </w:tcPr>
          <w:p>
            <w:pPr>
              <w:rPr>
                <w:rFonts w:ascii="Arial"/>
                <w:sz w:val="21"/>
              </w:rPr>
            </w:pPr>
            <w:r/>
          </w:p>
        </w:tc>
        <w:tc>
          <w:tcPr>
            <w:tcW w:w="989" w:type="dxa"/>
            <w:vAlign w:val="top"/>
          </w:tcPr>
          <w:p>
            <w:pPr>
              <w:pStyle w:val="TableText"/>
              <w:ind w:left="281"/>
              <w:spacing w:before="115" w:line="183" w:lineRule="auto"/>
              <w:rPr>
                <w:sz w:val="20"/>
                <w:szCs w:val="20"/>
              </w:rPr>
            </w:pPr>
            <w:r>
              <w:rPr>
                <w:sz w:val="20"/>
                <w:szCs w:val="20"/>
                <w:spacing w:val="-2"/>
              </w:rPr>
              <w:t>H</w:t>
            </w:r>
            <w:r>
              <w:rPr>
                <w:rFonts w:ascii="Calibri" w:hAnsi="Calibri" w:eastAsia="Calibri" w:cs="Calibri"/>
                <w:sz w:val="20"/>
                <w:szCs w:val="20"/>
                <w:spacing w:val="-2"/>
              </w:rPr>
              <w:t>₂</w:t>
            </w:r>
            <w:r>
              <w:rPr>
                <w:sz w:val="20"/>
                <w:szCs w:val="20"/>
                <w:spacing w:val="-2"/>
              </w:rPr>
              <w:t>S</w:t>
            </w:r>
          </w:p>
        </w:tc>
        <w:tc>
          <w:tcPr>
            <w:tcW w:w="839" w:type="dxa"/>
            <w:vAlign w:val="top"/>
            <w:vMerge w:val="continue"/>
            <w:tcBorders>
              <w:top w:val="nil"/>
            </w:tcBorders>
          </w:tcPr>
          <w:p>
            <w:pPr>
              <w:rPr>
                <w:rFonts w:ascii="Arial"/>
                <w:sz w:val="21"/>
              </w:rPr>
            </w:pPr>
            <w:r/>
          </w:p>
        </w:tc>
        <w:tc>
          <w:tcPr>
            <w:tcW w:w="989" w:type="dxa"/>
            <w:vAlign w:val="top"/>
          </w:tcPr>
          <w:p>
            <w:pPr>
              <w:pStyle w:val="TableText"/>
              <w:spacing w:before="133" w:line="184" w:lineRule="auto"/>
              <w:jc w:val="right"/>
              <w:rPr>
                <w:sz w:val="20"/>
                <w:szCs w:val="20"/>
              </w:rPr>
            </w:pPr>
            <w:r>
              <w:rPr>
                <w:sz w:val="20"/>
                <w:szCs w:val="20"/>
                <w:spacing w:val="-4"/>
              </w:rPr>
              <w:t>0.11×10-3</w:t>
            </w:r>
          </w:p>
        </w:tc>
        <w:tc>
          <w:tcPr>
            <w:tcW w:w="989" w:type="dxa"/>
            <w:vAlign w:val="top"/>
          </w:tcPr>
          <w:p>
            <w:pPr>
              <w:pStyle w:val="TableText"/>
              <w:ind w:left="434"/>
              <w:spacing w:before="89" w:line="224" w:lineRule="auto"/>
              <w:rPr>
                <w:sz w:val="20"/>
                <w:szCs w:val="20"/>
              </w:rPr>
            </w:pPr>
            <w:r>
              <w:rPr>
                <w:sz w:val="20"/>
                <w:szCs w:val="20"/>
              </w:rPr>
              <w:t>/</w:t>
            </w:r>
          </w:p>
        </w:tc>
        <w:tc>
          <w:tcPr>
            <w:tcW w:w="999" w:type="dxa"/>
            <w:vAlign w:val="top"/>
          </w:tcPr>
          <w:p>
            <w:pPr>
              <w:pStyle w:val="TableText"/>
              <w:ind w:left="195"/>
              <w:spacing w:before="134" w:line="183" w:lineRule="auto"/>
              <w:rPr>
                <w:sz w:val="20"/>
                <w:szCs w:val="20"/>
              </w:rPr>
            </w:pPr>
            <w:r>
              <w:rPr>
                <w:sz w:val="20"/>
                <w:szCs w:val="20"/>
                <w:spacing w:val="-2"/>
              </w:rPr>
              <w:t>0.0007</w:t>
            </w:r>
          </w:p>
        </w:tc>
        <w:tc>
          <w:tcPr>
            <w:tcW w:w="859" w:type="dxa"/>
            <w:vAlign w:val="top"/>
          </w:tcPr>
          <w:p>
            <w:pPr>
              <w:pStyle w:val="TableText"/>
              <w:ind w:left="376"/>
              <w:spacing w:before="89" w:line="224" w:lineRule="auto"/>
              <w:rPr>
                <w:sz w:val="20"/>
                <w:szCs w:val="20"/>
              </w:rPr>
            </w:pPr>
            <w:r>
              <w:rPr>
                <w:sz w:val="20"/>
                <w:szCs w:val="20"/>
              </w:rPr>
              <w:t>/</w:t>
            </w:r>
          </w:p>
        </w:tc>
        <w:tc>
          <w:tcPr>
            <w:tcW w:w="700" w:type="dxa"/>
            <w:vAlign w:val="top"/>
          </w:tcPr>
          <w:p>
            <w:pPr>
              <w:pStyle w:val="TableText"/>
              <w:ind w:left="297"/>
              <w:spacing w:before="89" w:line="224" w:lineRule="auto"/>
              <w:rPr>
                <w:sz w:val="20"/>
                <w:szCs w:val="20"/>
              </w:rPr>
            </w:pPr>
            <w:r>
              <w:rPr>
                <w:sz w:val="20"/>
                <w:szCs w:val="20"/>
              </w:rPr>
              <w:t>/</w:t>
            </w:r>
          </w:p>
        </w:tc>
        <w:tc>
          <w:tcPr>
            <w:tcW w:w="710" w:type="dxa"/>
            <w:vAlign w:val="top"/>
          </w:tcPr>
          <w:p>
            <w:pPr>
              <w:pStyle w:val="TableText"/>
              <w:ind w:left="297"/>
              <w:spacing w:before="89" w:line="224" w:lineRule="auto"/>
              <w:rPr>
                <w:sz w:val="20"/>
                <w:szCs w:val="20"/>
              </w:rPr>
            </w:pPr>
            <w:r>
              <w:rPr>
                <w:sz w:val="20"/>
                <w:szCs w:val="20"/>
              </w:rPr>
              <w:t>/</w:t>
            </w:r>
          </w:p>
        </w:tc>
        <w:tc>
          <w:tcPr>
            <w:tcW w:w="1019" w:type="dxa"/>
            <w:vAlign w:val="top"/>
          </w:tcPr>
          <w:p>
            <w:pPr>
              <w:pStyle w:val="TableText"/>
              <w:ind w:right="1"/>
              <w:spacing w:before="133" w:line="184" w:lineRule="auto"/>
              <w:jc w:val="right"/>
              <w:rPr>
                <w:sz w:val="20"/>
                <w:szCs w:val="20"/>
              </w:rPr>
            </w:pPr>
            <w:r>
              <w:rPr>
                <w:sz w:val="20"/>
                <w:szCs w:val="20"/>
                <w:spacing w:val="-2"/>
              </w:rPr>
              <w:t>0.11×10-3</w:t>
            </w:r>
          </w:p>
        </w:tc>
        <w:tc>
          <w:tcPr>
            <w:tcW w:w="999" w:type="dxa"/>
            <w:vAlign w:val="top"/>
          </w:tcPr>
          <w:p>
            <w:pPr>
              <w:pStyle w:val="TableText"/>
              <w:ind w:left="448"/>
              <w:spacing w:before="89" w:line="224" w:lineRule="auto"/>
              <w:rPr>
                <w:sz w:val="20"/>
                <w:szCs w:val="20"/>
              </w:rPr>
            </w:pPr>
            <w:r>
              <w:rPr>
                <w:sz w:val="20"/>
                <w:szCs w:val="20"/>
              </w:rPr>
              <w:t>/</w:t>
            </w:r>
          </w:p>
        </w:tc>
        <w:tc>
          <w:tcPr>
            <w:tcW w:w="850" w:type="dxa"/>
            <w:vAlign w:val="top"/>
          </w:tcPr>
          <w:p>
            <w:pPr>
              <w:pStyle w:val="TableText"/>
              <w:ind w:left="119"/>
              <w:spacing w:before="134" w:line="183" w:lineRule="auto"/>
              <w:rPr>
                <w:sz w:val="20"/>
                <w:szCs w:val="20"/>
              </w:rPr>
            </w:pPr>
            <w:r>
              <w:rPr>
                <w:sz w:val="20"/>
                <w:szCs w:val="20"/>
                <w:spacing w:val="-2"/>
              </w:rPr>
              <w:t>0.0007</w:t>
            </w:r>
          </w:p>
        </w:tc>
        <w:tc>
          <w:tcPr>
            <w:tcW w:w="689" w:type="dxa"/>
            <w:vAlign w:val="top"/>
          </w:tcPr>
          <w:p>
            <w:pPr>
              <w:pStyle w:val="TableText"/>
              <w:ind w:left="289"/>
              <w:spacing w:before="89" w:line="224" w:lineRule="auto"/>
              <w:rPr>
                <w:sz w:val="20"/>
                <w:szCs w:val="20"/>
              </w:rPr>
            </w:pPr>
            <w:r>
              <w:rPr>
                <w:sz w:val="20"/>
                <w:szCs w:val="20"/>
              </w:rPr>
              <w:t>/</w:t>
            </w:r>
          </w:p>
        </w:tc>
        <w:tc>
          <w:tcPr>
            <w:tcW w:w="670" w:type="dxa"/>
            <w:vAlign w:val="top"/>
          </w:tcPr>
          <w:p>
            <w:pPr>
              <w:pStyle w:val="TableText"/>
              <w:ind w:left="280"/>
              <w:spacing w:before="89" w:line="224" w:lineRule="auto"/>
              <w:rPr>
                <w:sz w:val="20"/>
                <w:szCs w:val="20"/>
              </w:rPr>
            </w:pPr>
            <w:r>
              <w:rPr>
                <w:sz w:val="20"/>
                <w:szCs w:val="20"/>
              </w:rPr>
              <w:t>/</w:t>
            </w:r>
          </w:p>
        </w:tc>
        <w:tc>
          <w:tcPr>
            <w:tcW w:w="590" w:type="dxa"/>
            <w:vAlign w:val="top"/>
          </w:tcPr>
          <w:p>
            <w:pPr>
              <w:pStyle w:val="TableText"/>
              <w:ind w:left="240"/>
              <w:spacing w:before="89" w:line="224" w:lineRule="auto"/>
              <w:rPr>
                <w:sz w:val="20"/>
                <w:szCs w:val="20"/>
              </w:rPr>
            </w:pPr>
            <w:r>
              <w:rPr>
                <w:sz w:val="20"/>
                <w:szCs w:val="20"/>
              </w:rPr>
              <w:t>/</w:t>
            </w:r>
          </w:p>
        </w:tc>
        <w:tc>
          <w:tcPr>
            <w:tcW w:w="720" w:type="dxa"/>
            <w:vAlign w:val="top"/>
          </w:tcPr>
          <w:p>
            <w:pPr>
              <w:pStyle w:val="TableText"/>
              <w:ind w:left="310"/>
              <w:spacing w:before="89" w:line="224" w:lineRule="auto"/>
              <w:rPr>
                <w:sz w:val="20"/>
                <w:szCs w:val="20"/>
              </w:rPr>
            </w:pPr>
            <w:r>
              <w:rPr>
                <w:sz w:val="20"/>
                <w:szCs w:val="20"/>
              </w:rPr>
              <w:t>/</w:t>
            </w:r>
          </w:p>
        </w:tc>
        <w:tc>
          <w:tcPr>
            <w:tcW w:w="705" w:type="dxa"/>
            <w:vAlign w:val="top"/>
            <w:vMerge w:val="continue"/>
            <w:tcBorders>
              <w:top w:val="nil"/>
            </w:tcBorders>
          </w:tcPr>
          <w:p>
            <w:pPr>
              <w:rPr>
                <w:rFonts w:ascii="Arial"/>
                <w:sz w:val="21"/>
              </w:rPr>
            </w:pPr>
            <w:r/>
          </w:p>
        </w:tc>
      </w:tr>
      <w:tr>
        <w:trPr>
          <w:trHeight w:val="330" w:hRule="atLeast"/>
        </w:trPr>
        <w:tc>
          <w:tcPr>
            <w:tcW w:w="675" w:type="dxa"/>
            <w:vAlign w:val="top"/>
            <w:vMerge w:val="continue"/>
            <w:tcBorders>
              <w:top w:val="nil"/>
              <w:bottom w:val="nil"/>
            </w:tcBorders>
          </w:tcPr>
          <w:p>
            <w:pPr>
              <w:rPr>
                <w:rFonts w:ascii="Arial"/>
                <w:sz w:val="21"/>
              </w:rPr>
            </w:pPr>
            <w:r/>
          </w:p>
        </w:tc>
        <w:tc>
          <w:tcPr>
            <w:tcW w:w="999" w:type="dxa"/>
            <w:vAlign w:val="top"/>
            <w:vMerge w:val="restart"/>
            <w:tcBorders>
              <w:bottom w:val="nil"/>
            </w:tcBorders>
          </w:tcPr>
          <w:p>
            <w:pPr>
              <w:pStyle w:val="TableText"/>
              <w:ind w:left="389" w:right="109" w:hanging="299"/>
              <w:spacing w:before="114" w:line="235" w:lineRule="auto"/>
              <w:rPr>
                <w:sz w:val="20"/>
                <w:szCs w:val="20"/>
              </w:rPr>
            </w:pPr>
            <w:r>
              <w:rPr>
                <w:sz w:val="20"/>
                <w:szCs w:val="20"/>
                <w:spacing w:val="-3"/>
              </w:rPr>
              <w:t>建成后全</w:t>
            </w:r>
            <w:r>
              <w:rPr>
                <w:sz w:val="20"/>
                <w:szCs w:val="20"/>
              </w:rPr>
              <w:t xml:space="preserve"> </w:t>
            </w:r>
            <w:r>
              <w:rPr>
                <w:sz w:val="20"/>
                <w:szCs w:val="20"/>
              </w:rPr>
              <w:t>厂</w:t>
            </w:r>
          </w:p>
        </w:tc>
        <w:tc>
          <w:tcPr>
            <w:tcW w:w="989" w:type="dxa"/>
            <w:vAlign w:val="top"/>
          </w:tcPr>
          <w:p>
            <w:pPr>
              <w:pStyle w:val="TableText"/>
              <w:ind w:left="281"/>
              <w:spacing w:before="105" w:line="182" w:lineRule="auto"/>
              <w:rPr>
                <w:rFonts w:ascii="Calibri" w:hAnsi="Calibri" w:eastAsia="Calibri" w:cs="Calibri"/>
                <w:sz w:val="20"/>
                <w:szCs w:val="20"/>
              </w:rPr>
            </w:pPr>
            <w:r>
              <w:rPr>
                <w:sz w:val="20"/>
                <w:szCs w:val="20"/>
                <w:spacing w:val="-1"/>
              </w:rPr>
              <w:t>NH</w:t>
            </w:r>
            <w:r>
              <w:rPr>
                <w:rFonts w:ascii="Calibri" w:hAnsi="Calibri" w:eastAsia="Calibri" w:cs="Calibri"/>
                <w:sz w:val="20"/>
                <w:szCs w:val="20"/>
                <w:spacing w:val="-1"/>
              </w:rPr>
              <w:t>₃</w:t>
            </w:r>
          </w:p>
        </w:tc>
        <w:tc>
          <w:tcPr>
            <w:tcW w:w="839" w:type="dxa"/>
            <w:vAlign w:val="top"/>
            <w:vMerge w:val="restart"/>
            <w:tcBorders>
              <w:bottom w:val="nil"/>
            </w:tcBorders>
          </w:tcPr>
          <w:p>
            <w:pPr>
              <w:pStyle w:val="TableText"/>
              <w:ind w:left="112"/>
              <w:spacing w:before="244" w:line="219" w:lineRule="auto"/>
              <w:rPr>
                <w:sz w:val="20"/>
                <w:szCs w:val="20"/>
              </w:rPr>
            </w:pPr>
            <w:r>
              <w:rPr>
                <w:sz w:val="20"/>
                <w:szCs w:val="20"/>
                <w:spacing w:val="-2"/>
              </w:rPr>
              <w:t>类比法</w:t>
            </w:r>
          </w:p>
        </w:tc>
        <w:tc>
          <w:tcPr>
            <w:tcW w:w="989" w:type="dxa"/>
            <w:vAlign w:val="top"/>
          </w:tcPr>
          <w:p>
            <w:pPr>
              <w:pStyle w:val="TableText"/>
              <w:ind w:left="232"/>
              <w:spacing w:before="126" w:line="179" w:lineRule="auto"/>
              <w:rPr>
                <w:sz w:val="20"/>
                <w:szCs w:val="20"/>
              </w:rPr>
            </w:pPr>
            <w:r>
              <w:rPr>
                <w:sz w:val="20"/>
                <w:szCs w:val="20"/>
                <w:spacing w:val="-2"/>
              </w:rPr>
              <w:t>0.027</w:t>
            </w:r>
          </w:p>
        </w:tc>
        <w:tc>
          <w:tcPr>
            <w:tcW w:w="989" w:type="dxa"/>
            <w:vAlign w:val="top"/>
          </w:tcPr>
          <w:p>
            <w:pPr>
              <w:pStyle w:val="TableText"/>
              <w:ind w:left="434"/>
              <w:spacing w:before="79" w:line="222" w:lineRule="auto"/>
              <w:rPr>
                <w:sz w:val="20"/>
                <w:szCs w:val="20"/>
              </w:rPr>
            </w:pPr>
            <w:r>
              <w:rPr>
                <w:sz w:val="20"/>
                <w:szCs w:val="20"/>
              </w:rPr>
              <w:t>/</w:t>
            </w:r>
          </w:p>
        </w:tc>
        <w:tc>
          <w:tcPr>
            <w:tcW w:w="999" w:type="dxa"/>
            <w:vAlign w:val="top"/>
          </w:tcPr>
          <w:p>
            <w:pPr>
              <w:pStyle w:val="TableText"/>
              <w:ind w:left="245"/>
              <w:spacing w:before="125" w:line="180" w:lineRule="auto"/>
              <w:rPr>
                <w:sz w:val="20"/>
                <w:szCs w:val="20"/>
              </w:rPr>
            </w:pPr>
            <w:r>
              <w:rPr>
                <w:sz w:val="20"/>
                <w:szCs w:val="20"/>
                <w:spacing w:val="-2"/>
              </w:rPr>
              <w:t>0.178</w:t>
            </w:r>
          </w:p>
        </w:tc>
        <w:tc>
          <w:tcPr>
            <w:tcW w:w="859" w:type="dxa"/>
            <w:vAlign w:val="top"/>
          </w:tcPr>
          <w:p>
            <w:pPr>
              <w:pStyle w:val="TableText"/>
              <w:ind w:left="376"/>
              <w:spacing w:before="79" w:line="222" w:lineRule="auto"/>
              <w:rPr>
                <w:sz w:val="20"/>
                <w:szCs w:val="20"/>
              </w:rPr>
            </w:pPr>
            <w:r>
              <w:rPr>
                <w:sz w:val="20"/>
                <w:szCs w:val="20"/>
              </w:rPr>
              <w:t>/</w:t>
            </w:r>
          </w:p>
        </w:tc>
        <w:tc>
          <w:tcPr>
            <w:tcW w:w="700" w:type="dxa"/>
            <w:vAlign w:val="top"/>
          </w:tcPr>
          <w:p>
            <w:pPr>
              <w:pStyle w:val="TableText"/>
              <w:ind w:left="297"/>
              <w:spacing w:before="79" w:line="222" w:lineRule="auto"/>
              <w:rPr>
                <w:sz w:val="20"/>
                <w:szCs w:val="20"/>
              </w:rPr>
            </w:pPr>
            <w:r>
              <w:rPr>
                <w:sz w:val="20"/>
                <w:szCs w:val="20"/>
              </w:rPr>
              <w:t>/</w:t>
            </w:r>
          </w:p>
        </w:tc>
        <w:tc>
          <w:tcPr>
            <w:tcW w:w="710" w:type="dxa"/>
            <w:vAlign w:val="top"/>
          </w:tcPr>
          <w:p>
            <w:pPr>
              <w:pStyle w:val="TableText"/>
              <w:ind w:left="297"/>
              <w:spacing w:before="79" w:line="222" w:lineRule="auto"/>
              <w:rPr>
                <w:sz w:val="20"/>
                <w:szCs w:val="20"/>
              </w:rPr>
            </w:pPr>
            <w:r>
              <w:rPr>
                <w:sz w:val="20"/>
                <w:szCs w:val="20"/>
              </w:rPr>
              <w:t>/</w:t>
            </w:r>
          </w:p>
        </w:tc>
        <w:tc>
          <w:tcPr>
            <w:tcW w:w="1019" w:type="dxa"/>
            <w:vAlign w:val="top"/>
          </w:tcPr>
          <w:p>
            <w:pPr>
              <w:pStyle w:val="TableText"/>
              <w:ind w:left="257"/>
              <w:spacing w:before="126" w:line="179" w:lineRule="auto"/>
              <w:rPr>
                <w:sz w:val="20"/>
                <w:szCs w:val="20"/>
              </w:rPr>
            </w:pPr>
            <w:r>
              <w:rPr>
                <w:sz w:val="20"/>
                <w:szCs w:val="20"/>
                <w:spacing w:val="-2"/>
              </w:rPr>
              <w:t>0.027</w:t>
            </w:r>
          </w:p>
        </w:tc>
        <w:tc>
          <w:tcPr>
            <w:tcW w:w="999" w:type="dxa"/>
            <w:vAlign w:val="top"/>
          </w:tcPr>
          <w:p>
            <w:pPr>
              <w:pStyle w:val="TableText"/>
              <w:ind w:left="448"/>
              <w:spacing w:before="79" w:line="222" w:lineRule="auto"/>
              <w:rPr>
                <w:sz w:val="20"/>
                <w:szCs w:val="20"/>
              </w:rPr>
            </w:pPr>
            <w:r>
              <w:rPr>
                <w:sz w:val="20"/>
                <w:szCs w:val="20"/>
              </w:rPr>
              <w:t>/</w:t>
            </w:r>
          </w:p>
        </w:tc>
        <w:tc>
          <w:tcPr>
            <w:tcW w:w="850" w:type="dxa"/>
            <w:vAlign w:val="top"/>
          </w:tcPr>
          <w:p>
            <w:pPr>
              <w:pStyle w:val="TableText"/>
              <w:ind w:left="169"/>
              <w:spacing w:before="125" w:line="180" w:lineRule="auto"/>
              <w:rPr>
                <w:sz w:val="20"/>
                <w:szCs w:val="20"/>
              </w:rPr>
            </w:pPr>
            <w:r>
              <w:rPr>
                <w:sz w:val="20"/>
                <w:szCs w:val="20"/>
                <w:spacing w:val="-2"/>
              </w:rPr>
              <w:t>0.178</w:t>
            </w:r>
          </w:p>
        </w:tc>
        <w:tc>
          <w:tcPr>
            <w:tcW w:w="689" w:type="dxa"/>
            <w:vAlign w:val="top"/>
          </w:tcPr>
          <w:p>
            <w:pPr>
              <w:pStyle w:val="TableText"/>
              <w:ind w:left="289"/>
              <w:spacing w:before="79" w:line="222" w:lineRule="auto"/>
              <w:rPr>
                <w:sz w:val="20"/>
                <w:szCs w:val="20"/>
              </w:rPr>
            </w:pPr>
            <w:r>
              <w:rPr>
                <w:sz w:val="20"/>
                <w:szCs w:val="20"/>
              </w:rPr>
              <w:t>/</w:t>
            </w:r>
          </w:p>
        </w:tc>
        <w:tc>
          <w:tcPr>
            <w:tcW w:w="670" w:type="dxa"/>
            <w:vAlign w:val="top"/>
          </w:tcPr>
          <w:p>
            <w:pPr>
              <w:pStyle w:val="TableText"/>
              <w:ind w:left="280"/>
              <w:spacing w:before="79" w:line="222" w:lineRule="auto"/>
              <w:rPr>
                <w:sz w:val="20"/>
                <w:szCs w:val="20"/>
              </w:rPr>
            </w:pPr>
            <w:r>
              <w:rPr>
                <w:sz w:val="20"/>
                <w:szCs w:val="20"/>
              </w:rPr>
              <w:t>/</w:t>
            </w:r>
          </w:p>
        </w:tc>
        <w:tc>
          <w:tcPr>
            <w:tcW w:w="590" w:type="dxa"/>
            <w:vAlign w:val="top"/>
          </w:tcPr>
          <w:p>
            <w:pPr>
              <w:pStyle w:val="TableText"/>
              <w:ind w:left="240"/>
              <w:spacing w:before="79" w:line="222" w:lineRule="auto"/>
              <w:rPr>
                <w:sz w:val="20"/>
                <w:szCs w:val="20"/>
              </w:rPr>
            </w:pPr>
            <w:r>
              <w:rPr>
                <w:sz w:val="20"/>
                <w:szCs w:val="20"/>
              </w:rPr>
              <w:t>/</w:t>
            </w:r>
          </w:p>
        </w:tc>
        <w:tc>
          <w:tcPr>
            <w:tcW w:w="720" w:type="dxa"/>
            <w:vAlign w:val="top"/>
          </w:tcPr>
          <w:p>
            <w:pPr>
              <w:pStyle w:val="TableText"/>
              <w:ind w:left="310"/>
              <w:spacing w:before="79" w:line="222" w:lineRule="auto"/>
              <w:rPr>
                <w:sz w:val="20"/>
                <w:szCs w:val="20"/>
              </w:rPr>
            </w:pPr>
            <w:r>
              <w:rPr>
                <w:sz w:val="20"/>
                <w:szCs w:val="20"/>
              </w:rPr>
              <w:t>/</w:t>
            </w:r>
          </w:p>
        </w:tc>
        <w:tc>
          <w:tcPr>
            <w:tcW w:w="705" w:type="dxa"/>
            <w:vAlign w:val="top"/>
            <w:vMerge w:val="restart"/>
            <w:tcBorders>
              <w:bottom w:val="nil"/>
            </w:tcBorders>
          </w:tcPr>
          <w:p>
            <w:pPr>
              <w:pStyle w:val="TableText"/>
              <w:ind w:left="150"/>
              <w:spacing w:before="295" w:line="183" w:lineRule="auto"/>
              <w:rPr>
                <w:sz w:val="20"/>
                <w:szCs w:val="20"/>
              </w:rPr>
            </w:pPr>
            <w:r>
              <w:rPr>
                <w:sz w:val="20"/>
                <w:szCs w:val="20"/>
                <w:spacing w:val="-2"/>
              </w:rPr>
              <w:t>6600</w:t>
            </w:r>
          </w:p>
        </w:tc>
      </w:tr>
      <w:tr>
        <w:trPr>
          <w:trHeight w:val="339" w:hRule="atLeast"/>
        </w:trPr>
        <w:tc>
          <w:tcPr>
            <w:tcW w:w="675" w:type="dxa"/>
            <w:vAlign w:val="top"/>
            <w:vMerge w:val="continue"/>
            <w:tcBorders>
              <w:top w:val="nil"/>
            </w:tcBorders>
          </w:tcPr>
          <w:p>
            <w:pPr>
              <w:rPr>
                <w:rFonts w:ascii="Arial"/>
                <w:sz w:val="21"/>
              </w:rPr>
            </w:pPr>
            <w:r/>
          </w:p>
        </w:tc>
        <w:tc>
          <w:tcPr>
            <w:tcW w:w="999" w:type="dxa"/>
            <w:vAlign w:val="top"/>
            <w:vMerge w:val="continue"/>
            <w:tcBorders>
              <w:top w:val="nil"/>
            </w:tcBorders>
          </w:tcPr>
          <w:p>
            <w:pPr>
              <w:rPr>
                <w:rFonts w:ascii="Arial"/>
                <w:sz w:val="21"/>
              </w:rPr>
            </w:pPr>
            <w:r/>
          </w:p>
        </w:tc>
        <w:tc>
          <w:tcPr>
            <w:tcW w:w="989" w:type="dxa"/>
            <w:vAlign w:val="top"/>
          </w:tcPr>
          <w:p>
            <w:pPr>
              <w:pStyle w:val="TableText"/>
              <w:ind w:left="281"/>
              <w:spacing w:before="106" w:line="183" w:lineRule="auto"/>
              <w:rPr>
                <w:sz w:val="20"/>
                <w:szCs w:val="20"/>
              </w:rPr>
            </w:pPr>
            <w:r>
              <w:rPr>
                <w:sz w:val="20"/>
                <w:szCs w:val="20"/>
                <w:spacing w:val="-2"/>
              </w:rPr>
              <w:t>H</w:t>
            </w:r>
            <w:r>
              <w:rPr>
                <w:rFonts w:ascii="Calibri" w:hAnsi="Calibri" w:eastAsia="Calibri" w:cs="Calibri"/>
                <w:sz w:val="20"/>
                <w:szCs w:val="20"/>
                <w:spacing w:val="-2"/>
              </w:rPr>
              <w:t>₂</w:t>
            </w:r>
            <w:r>
              <w:rPr>
                <w:sz w:val="20"/>
                <w:szCs w:val="20"/>
                <w:spacing w:val="-2"/>
              </w:rPr>
              <w:t>S</w:t>
            </w:r>
          </w:p>
        </w:tc>
        <w:tc>
          <w:tcPr>
            <w:tcW w:w="839" w:type="dxa"/>
            <w:vAlign w:val="top"/>
            <w:vMerge w:val="continue"/>
            <w:tcBorders>
              <w:top w:val="nil"/>
            </w:tcBorders>
          </w:tcPr>
          <w:p>
            <w:pPr>
              <w:rPr>
                <w:rFonts w:ascii="Arial"/>
                <w:sz w:val="21"/>
              </w:rPr>
            </w:pPr>
            <w:r/>
          </w:p>
        </w:tc>
        <w:tc>
          <w:tcPr>
            <w:tcW w:w="989" w:type="dxa"/>
            <w:vAlign w:val="top"/>
          </w:tcPr>
          <w:p>
            <w:pPr>
              <w:pStyle w:val="TableText"/>
              <w:ind w:left="183"/>
              <w:spacing w:before="125" w:line="183" w:lineRule="auto"/>
              <w:rPr>
                <w:sz w:val="20"/>
                <w:szCs w:val="20"/>
              </w:rPr>
            </w:pPr>
            <w:r>
              <w:rPr>
                <w:sz w:val="20"/>
                <w:szCs w:val="20"/>
                <w:spacing w:val="-2"/>
              </w:rPr>
              <w:t>0.0005</w:t>
            </w:r>
          </w:p>
        </w:tc>
        <w:tc>
          <w:tcPr>
            <w:tcW w:w="989" w:type="dxa"/>
            <w:vAlign w:val="top"/>
          </w:tcPr>
          <w:p>
            <w:pPr>
              <w:pStyle w:val="TableText"/>
              <w:ind w:left="434"/>
              <w:spacing w:before="79" w:line="224" w:lineRule="auto"/>
              <w:rPr>
                <w:sz w:val="20"/>
                <w:szCs w:val="20"/>
              </w:rPr>
            </w:pPr>
            <w:r>
              <w:rPr>
                <w:sz w:val="20"/>
                <w:szCs w:val="20"/>
              </w:rPr>
              <w:t>/</w:t>
            </w:r>
          </w:p>
        </w:tc>
        <w:tc>
          <w:tcPr>
            <w:tcW w:w="999" w:type="dxa"/>
            <w:vAlign w:val="top"/>
          </w:tcPr>
          <w:p>
            <w:pPr>
              <w:pStyle w:val="TableText"/>
              <w:ind w:left="195"/>
              <w:spacing w:before="125" w:line="183" w:lineRule="auto"/>
              <w:rPr>
                <w:sz w:val="20"/>
                <w:szCs w:val="20"/>
              </w:rPr>
            </w:pPr>
            <w:r>
              <w:rPr>
                <w:sz w:val="20"/>
                <w:szCs w:val="20"/>
                <w:spacing w:val="-2"/>
              </w:rPr>
              <w:t>0.0035</w:t>
            </w:r>
          </w:p>
        </w:tc>
        <w:tc>
          <w:tcPr>
            <w:tcW w:w="859" w:type="dxa"/>
            <w:vAlign w:val="top"/>
          </w:tcPr>
          <w:p>
            <w:pPr>
              <w:pStyle w:val="TableText"/>
              <w:ind w:left="376"/>
              <w:spacing w:before="79" w:line="224" w:lineRule="auto"/>
              <w:rPr>
                <w:sz w:val="20"/>
                <w:szCs w:val="20"/>
              </w:rPr>
            </w:pPr>
            <w:r>
              <w:rPr>
                <w:sz w:val="20"/>
                <w:szCs w:val="20"/>
              </w:rPr>
              <w:t>/</w:t>
            </w:r>
          </w:p>
        </w:tc>
        <w:tc>
          <w:tcPr>
            <w:tcW w:w="700" w:type="dxa"/>
            <w:vAlign w:val="top"/>
          </w:tcPr>
          <w:p>
            <w:pPr>
              <w:pStyle w:val="TableText"/>
              <w:ind w:left="297"/>
              <w:spacing w:before="79" w:line="224" w:lineRule="auto"/>
              <w:rPr>
                <w:sz w:val="20"/>
                <w:szCs w:val="20"/>
              </w:rPr>
            </w:pPr>
            <w:r>
              <w:rPr>
                <w:sz w:val="20"/>
                <w:szCs w:val="20"/>
              </w:rPr>
              <w:t>/</w:t>
            </w:r>
          </w:p>
        </w:tc>
        <w:tc>
          <w:tcPr>
            <w:tcW w:w="710" w:type="dxa"/>
            <w:vAlign w:val="top"/>
          </w:tcPr>
          <w:p>
            <w:pPr>
              <w:pStyle w:val="TableText"/>
              <w:ind w:left="297"/>
              <w:spacing w:before="79" w:line="224" w:lineRule="auto"/>
              <w:rPr>
                <w:sz w:val="20"/>
                <w:szCs w:val="20"/>
              </w:rPr>
            </w:pPr>
            <w:r>
              <w:rPr>
                <w:sz w:val="20"/>
                <w:szCs w:val="20"/>
              </w:rPr>
              <w:t>/</w:t>
            </w:r>
          </w:p>
        </w:tc>
        <w:tc>
          <w:tcPr>
            <w:tcW w:w="1019" w:type="dxa"/>
            <w:vAlign w:val="top"/>
          </w:tcPr>
          <w:p>
            <w:pPr>
              <w:pStyle w:val="TableText"/>
              <w:ind w:left="207"/>
              <w:spacing w:before="125" w:line="183" w:lineRule="auto"/>
              <w:rPr>
                <w:sz w:val="20"/>
                <w:szCs w:val="20"/>
              </w:rPr>
            </w:pPr>
            <w:r>
              <w:rPr>
                <w:sz w:val="20"/>
                <w:szCs w:val="20"/>
                <w:spacing w:val="-2"/>
              </w:rPr>
              <w:t>0.0005</w:t>
            </w:r>
          </w:p>
        </w:tc>
        <w:tc>
          <w:tcPr>
            <w:tcW w:w="999" w:type="dxa"/>
            <w:vAlign w:val="top"/>
          </w:tcPr>
          <w:p>
            <w:pPr>
              <w:pStyle w:val="TableText"/>
              <w:ind w:left="448"/>
              <w:spacing w:before="79" w:line="224" w:lineRule="auto"/>
              <w:rPr>
                <w:sz w:val="20"/>
                <w:szCs w:val="20"/>
              </w:rPr>
            </w:pPr>
            <w:r>
              <w:rPr>
                <w:sz w:val="20"/>
                <w:szCs w:val="20"/>
              </w:rPr>
              <w:t>/</w:t>
            </w:r>
          </w:p>
        </w:tc>
        <w:tc>
          <w:tcPr>
            <w:tcW w:w="850" w:type="dxa"/>
            <w:vAlign w:val="top"/>
          </w:tcPr>
          <w:p>
            <w:pPr>
              <w:pStyle w:val="TableText"/>
              <w:ind w:left="119"/>
              <w:spacing w:before="125" w:line="183" w:lineRule="auto"/>
              <w:rPr>
                <w:sz w:val="20"/>
                <w:szCs w:val="20"/>
              </w:rPr>
            </w:pPr>
            <w:r>
              <w:rPr>
                <w:sz w:val="20"/>
                <w:szCs w:val="20"/>
                <w:spacing w:val="-2"/>
              </w:rPr>
              <w:t>0.0035</w:t>
            </w:r>
          </w:p>
        </w:tc>
        <w:tc>
          <w:tcPr>
            <w:tcW w:w="689" w:type="dxa"/>
            <w:vAlign w:val="top"/>
          </w:tcPr>
          <w:p>
            <w:pPr>
              <w:pStyle w:val="TableText"/>
              <w:ind w:left="289"/>
              <w:spacing w:before="79" w:line="224" w:lineRule="auto"/>
              <w:rPr>
                <w:sz w:val="20"/>
                <w:szCs w:val="20"/>
              </w:rPr>
            </w:pPr>
            <w:r>
              <w:rPr>
                <w:sz w:val="20"/>
                <w:szCs w:val="20"/>
              </w:rPr>
              <w:t>/</w:t>
            </w:r>
          </w:p>
        </w:tc>
        <w:tc>
          <w:tcPr>
            <w:tcW w:w="670" w:type="dxa"/>
            <w:vAlign w:val="top"/>
          </w:tcPr>
          <w:p>
            <w:pPr>
              <w:pStyle w:val="TableText"/>
              <w:ind w:left="280"/>
              <w:spacing w:before="79" w:line="224" w:lineRule="auto"/>
              <w:rPr>
                <w:sz w:val="20"/>
                <w:szCs w:val="20"/>
              </w:rPr>
            </w:pPr>
            <w:r>
              <w:rPr>
                <w:sz w:val="20"/>
                <w:szCs w:val="20"/>
              </w:rPr>
              <w:t>/</w:t>
            </w:r>
          </w:p>
        </w:tc>
        <w:tc>
          <w:tcPr>
            <w:tcW w:w="590" w:type="dxa"/>
            <w:vAlign w:val="top"/>
          </w:tcPr>
          <w:p>
            <w:pPr>
              <w:pStyle w:val="TableText"/>
              <w:ind w:left="240"/>
              <w:spacing w:before="79" w:line="224" w:lineRule="auto"/>
              <w:rPr>
                <w:sz w:val="20"/>
                <w:szCs w:val="20"/>
              </w:rPr>
            </w:pPr>
            <w:r>
              <w:rPr>
                <w:sz w:val="20"/>
                <w:szCs w:val="20"/>
              </w:rPr>
              <w:t>/</w:t>
            </w:r>
          </w:p>
        </w:tc>
        <w:tc>
          <w:tcPr>
            <w:tcW w:w="720" w:type="dxa"/>
            <w:vAlign w:val="top"/>
          </w:tcPr>
          <w:p>
            <w:pPr>
              <w:pStyle w:val="TableText"/>
              <w:ind w:left="310"/>
              <w:spacing w:before="79" w:line="224" w:lineRule="auto"/>
              <w:rPr>
                <w:sz w:val="20"/>
                <w:szCs w:val="20"/>
              </w:rPr>
            </w:pPr>
            <w:r>
              <w:rPr>
                <w:sz w:val="20"/>
                <w:szCs w:val="20"/>
              </w:rPr>
              <w:t>/</w:t>
            </w:r>
          </w:p>
        </w:tc>
        <w:tc>
          <w:tcPr>
            <w:tcW w:w="705" w:type="dxa"/>
            <w:vAlign w:val="top"/>
            <w:vMerge w:val="continue"/>
            <w:tcBorders>
              <w:top w:val="nil"/>
            </w:tcBorders>
          </w:tcPr>
          <w:p>
            <w:pPr>
              <w:rPr>
                <w:rFonts w:ascii="Arial"/>
                <w:sz w:val="21"/>
              </w:rPr>
            </w:pPr>
            <w:r/>
          </w:p>
        </w:tc>
      </w:tr>
      <w:tr>
        <w:trPr>
          <w:trHeight w:val="349" w:hRule="atLeast"/>
        </w:trPr>
        <w:tc>
          <w:tcPr>
            <w:tcW w:w="675" w:type="dxa"/>
            <w:vAlign w:val="top"/>
            <w:vMerge w:val="restart"/>
            <w:tcBorders>
              <w:bottom w:val="nil"/>
            </w:tcBorders>
          </w:tcPr>
          <w:p>
            <w:pPr>
              <w:spacing w:line="273" w:lineRule="auto"/>
              <w:rPr>
                <w:rFonts w:ascii="Arial"/>
                <w:sz w:val="21"/>
              </w:rPr>
            </w:pPr>
            <w:r/>
          </w:p>
          <w:p>
            <w:pPr>
              <w:spacing w:line="274" w:lineRule="auto"/>
              <w:rPr>
                <w:rFonts w:ascii="Arial"/>
                <w:sz w:val="21"/>
              </w:rPr>
            </w:pPr>
            <w:r/>
          </w:p>
          <w:p>
            <w:pPr>
              <w:pStyle w:val="TableText"/>
              <w:ind w:left="125"/>
              <w:spacing w:before="65" w:line="221" w:lineRule="auto"/>
              <w:rPr>
                <w:sz w:val="20"/>
                <w:szCs w:val="20"/>
              </w:rPr>
            </w:pPr>
            <w:r>
              <w:rPr>
                <w:sz w:val="20"/>
                <w:szCs w:val="20"/>
                <w:spacing w:val="-3"/>
              </w:rPr>
              <w:t>合计</w:t>
            </w:r>
          </w:p>
        </w:tc>
        <w:tc>
          <w:tcPr>
            <w:tcW w:w="999" w:type="dxa"/>
            <w:vAlign w:val="top"/>
            <w:vMerge w:val="restart"/>
            <w:tcBorders>
              <w:bottom w:val="nil"/>
            </w:tcBorders>
          </w:tcPr>
          <w:p>
            <w:pPr>
              <w:pStyle w:val="TableText"/>
              <w:ind w:left="389" w:right="107" w:hanging="299"/>
              <w:spacing w:before="124" w:line="227" w:lineRule="auto"/>
              <w:rPr>
                <w:sz w:val="20"/>
                <w:szCs w:val="20"/>
              </w:rPr>
            </w:pPr>
            <w:r>
              <w:rPr>
                <w:sz w:val="20"/>
                <w:szCs w:val="20"/>
                <w:spacing w:val="-3"/>
              </w:rPr>
              <w:t>本项目新</w:t>
            </w:r>
            <w:r>
              <w:rPr>
                <w:sz w:val="20"/>
                <w:szCs w:val="20"/>
                <w:spacing w:val="2"/>
              </w:rPr>
              <w:t xml:space="preserve"> </w:t>
            </w:r>
            <w:r>
              <w:rPr>
                <w:sz w:val="20"/>
                <w:szCs w:val="20"/>
              </w:rPr>
              <w:t>增</w:t>
            </w:r>
          </w:p>
        </w:tc>
        <w:tc>
          <w:tcPr>
            <w:tcW w:w="989" w:type="dxa"/>
            <w:vAlign w:val="top"/>
          </w:tcPr>
          <w:p>
            <w:pPr>
              <w:pStyle w:val="TableText"/>
              <w:ind w:left="281"/>
              <w:spacing w:before="117" w:line="182" w:lineRule="auto"/>
              <w:rPr>
                <w:rFonts w:ascii="Calibri" w:hAnsi="Calibri" w:eastAsia="Calibri" w:cs="Calibri"/>
                <w:sz w:val="20"/>
                <w:szCs w:val="20"/>
              </w:rPr>
            </w:pPr>
            <w:r>
              <w:rPr>
                <w:sz w:val="20"/>
                <w:szCs w:val="20"/>
                <w:spacing w:val="-1"/>
              </w:rPr>
              <w:t>NH</w:t>
            </w:r>
            <w:r>
              <w:rPr>
                <w:rFonts w:ascii="Calibri" w:hAnsi="Calibri" w:eastAsia="Calibri" w:cs="Calibri"/>
                <w:sz w:val="20"/>
                <w:szCs w:val="20"/>
                <w:spacing w:val="-1"/>
              </w:rPr>
              <w:t>₃</w:t>
            </w:r>
          </w:p>
        </w:tc>
        <w:tc>
          <w:tcPr>
            <w:tcW w:w="839" w:type="dxa"/>
            <w:vAlign w:val="top"/>
          </w:tcPr>
          <w:p>
            <w:pPr>
              <w:pStyle w:val="TableText"/>
              <w:ind w:left="362"/>
              <w:spacing w:before="91" w:line="224" w:lineRule="auto"/>
              <w:rPr>
                <w:sz w:val="20"/>
                <w:szCs w:val="20"/>
              </w:rPr>
            </w:pPr>
            <w:r>
              <w:rPr>
                <w:sz w:val="20"/>
                <w:szCs w:val="20"/>
              </w:rPr>
              <w:t>/</w:t>
            </w:r>
          </w:p>
        </w:tc>
        <w:tc>
          <w:tcPr>
            <w:tcW w:w="989" w:type="dxa"/>
            <w:vAlign w:val="top"/>
          </w:tcPr>
          <w:p>
            <w:pPr>
              <w:pStyle w:val="TableText"/>
              <w:ind w:left="433"/>
              <w:spacing w:before="91" w:line="224" w:lineRule="auto"/>
              <w:rPr>
                <w:sz w:val="20"/>
                <w:szCs w:val="20"/>
              </w:rPr>
            </w:pPr>
            <w:r>
              <w:rPr>
                <w:sz w:val="20"/>
                <w:szCs w:val="20"/>
              </w:rPr>
              <w:t>/</w:t>
            </w:r>
          </w:p>
        </w:tc>
        <w:tc>
          <w:tcPr>
            <w:tcW w:w="989" w:type="dxa"/>
            <w:vAlign w:val="top"/>
          </w:tcPr>
          <w:p>
            <w:pPr>
              <w:rPr>
                <w:rFonts w:ascii="Arial"/>
                <w:sz w:val="21"/>
              </w:rPr>
            </w:pPr>
            <w:r/>
          </w:p>
        </w:tc>
        <w:tc>
          <w:tcPr>
            <w:tcW w:w="999" w:type="dxa"/>
            <w:vAlign w:val="top"/>
          </w:tcPr>
          <w:p>
            <w:pPr>
              <w:pStyle w:val="TableText"/>
              <w:ind w:left="245"/>
              <w:spacing w:before="136" w:line="183" w:lineRule="auto"/>
              <w:rPr>
                <w:sz w:val="20"/>
                <w:szCs w:val="20"/>
              </w:rPr>
            </w:pPr>
            <w:r>
              <w:rPr>
                <w:sz w:val="20"/>
                <w:szCs w:val="20"/>
                <w:spacing w:val="-2"/>
              </w:rPr>
              <w:t>0.356</w:t>
            </w:r>
          </w:p>
        </w:tc>
        <w:tc>
          <w:tcPr>
            <w:tcW w:w="859" w:type="dxa"/>
            <w:vAlign w:val="top"/>
          </w:tcPr>
          <w:p>
            <w:pPr>
              <w:pStyle w:val="TableText"/>
              <w:ind w:left="376"/>
              <w:spacing w:before="91" w:line="224" w:lineRule="auto"/>
              <w:rPr>
                <w:sz w:val="20"/>
                <w:szCs w:val="20"/>
              </w:rPr>
            </w:pPr>
            <w:r>
              <w:rPr>
                <w:sz w:val="20"/>
                <w:szCs w:val="20"/>
              </w:rPr>
              <w:t>/</w:t>
            </w:r>
          </w:p>
        </w:tc>
        <w:tc>
          <w:tcPr>
            <w:tcW w:w="700" w:type="dxa"/>
            <w:vAlign w:val="top"/>
          </w:tcPr>
          <w:p>
            <w:pPr>
              <w:pStyle w:val="TableText"/>
              <w:ind w:left="297"/>
              <w:spacing w:before="91" w:line="224" w:lineRule="auto"/>
              <w:rPr>
                <w:sz w:val="20"/>
                <w:szCs w:val="20"/>
              </w:rPr>
            </w:pPr>
            <w:r>
              <w:rPr>
                <w:sz w:val="20"/>
                <w:szCs w:val="20"/>
              </w:rPr>
              <w:t>/</w:t>
            </w:r>
          </w:p>
        </w:tc>
        <w:tc>
          <w:tcPr>
            <w:tcW w:w="710" w:type="dxa"/>
            <w:vAlign w:val="top"/>
          </w:tcPr>
          <w:p>
            <w:pPr>
              <w:pStyle w:val="TableText"/>
              <w:ind w:left="297"/>
              <w:spacing w:before="91" w:line="224" w:lineRule="auto"/>
              <w:rPr>
                <w:sz w:val="20"/>
                <w:szCs w:val="20"/>
              </w:rPr>
            </w:pPr>
            <w:r>
              <w:rPr>
                <w:sz w:val="20"/>
                <w:szCs w:val="20"/>
              </w:rPr>
              <w:t>/</w:t>
            </w:r>
          </w:p>
        </w:tc>
        <w:tc>
          <w:tcPr>
            <w:tcW w:w="1019" w:type="dxa"/>
            <w:vAlign w:val="top"/>
          </w:tcPr>
          <w:p>
            <w:pPr>
              <w:pStyle w:val="TableText"/>
              <w:ind w:left="457"/>
              <w:spacing w:before="91" w:line="224" w:lineRule="auto"/>
              <w:rPr>
                <w:sz w:val="20"/>
                <w:szCs w:val="20"/>
              </w:rPr>
            </w:pPr>
            <w:r>
              <w:rPr>
                <w:sz w:val="20"/>
                <w:szCs w:val="20"/>
              </w:rPr>
              <w:t>/</w:t>
            </w:r>
          </w:p>
        </w:tc>
        <w:tc>
          <w:tcPr>
            <w:tcW w:w="999" w:type="dxa"/>
            <w:vAlign w:val="top"/>
          </w:tcPr>
          <w:p>
            <w:pPr>
              <w:pStyle w:val="TableText"/>
              <w:ind w:left="448"/>
              <w:spacing w:before="91" w:line="224" w:lineRule="auto"/>
              <w:rPr>
                <w:sz w:val="20"/>
                <w:szCs w:val="20"/>
              </w:rPr>
            </w:pPr>
            <w:r>
              <w:rPr>
                <w:sz w:val="20"/>
                <w:szCs w:val="20"/>
              </w:rPr>
              <w:t>/</w:t>
            </w:r>
          </w:p>
        </w:tc>
        <w:tc>
          <w:tcPr>
            <w:tcW w:w="850" w:type="dxa"/>
            <w:vAlign w:val="top"/>
          </w:tcPr>
          <w:p>
            <w:pPr>
              <w:pStyle w:val="TableText"/>
              <w:ind w:left="169"/>
              <w:spacing w:before="135" w:line="184" w:lineRule="auto"/>
              <w:rPr>
                <w:sz w:val="20"/>
                <w:szCs w:val="20"/>
              </w:rPr>
            </w:pPr>
            <w:r>
              <w:rPr>
                <w:sz w:val="20"/>
                <w:szCs w:val="20"/>
                <w:spacing w:val="-2"/>
              </w:rPr>
              <w:t>0.164</w:t>
            </w:r>
          </w:p>
        </w:tc>
        <w:tc>
          <w:tcPr>
            <w:tcW w:w="689" w:type="dxa"/>
            <w:vAlign w:val="top"/>
          </w:tcPr>
          <w:p>
            <w:pPr>
              <w:pStyle w:val="TableText"/>
              <w:ind w:left="289"/>
              <w:spacing w:before="91" w:line="224" w:lineRule="auto"/>
              <w:rPr>
                <w:sz w:val="20"/>
                <w:szCs w:val="20"/>
              </w:rPr>
            </w:pPr>
            <w:r>
              <w:rPr>
                <w:sz w:val="20"/>
                <w:szCs w:val="20"/>
              </w:rPr>
              <w:t>/</w:t>
            </w:r>
          </w:p>
        </w:tc>
        <w:tc>
          <w:tcPr>
            <w:tcW w:w="670" w:type="dxa"/>
            <w:vAlign w:val="top"/>
          </w:tcPr>
          <w:p>
            <w:pPr>
              <w:pStyle w:val="TableText"/>
              <w:ind w:left="280"/>
              <w:spacing w:before="91" w:line="224" w:lineRule="auto"/>
              <w:rPr>
                <w:sz w:val="20"/>
                <w:szCs w:val="20"/>
              </w:rPr>
            </w:pPr>
            <w:r>
              <w:rPr>
                <w:sz w:val="20"/>
                <w:szCs w:val="20"/>
              </w:rPr>
              <w:t>/</w:t>
            </w:r>
          </w:p>
        </w:tc>
        <w:tc>
          <w:tcPr>
            <w:tcW w:w="590" w:type="dxa"/>
            <w:vAlign w:val="top"/>
          </w:tcPr>
          <w:p>
            <w:pPr>
              <w:pStyle w:val="TableText"/>
              <w:ind w:left="240"/>
              <w:spacing w:before="91" w:line="224" w:lineRule="auto"/>
              <w:rPr>
                <w:sz w:val="20"/>
                <w:szCs w:val="20"/>
              </w:rPr>
            </w:pPr>
            <w:r>
              <w:rPr>
                <w:sz w:val="20"/>
                <w:szCs w:val="20"/>
              </w:rPr>
              <w:t>/</w:t>
            </w:r>
          </w:p>
        </w:tc>
        <w:tc>
          <w:tcPr>
            <w:tcW w:w="720" w:type="dxa"/>
            <w:vAlign w:val="top"/>
          </w:tcPr>
          <w:p>
            <w:pPr>
              <w:pStyle w:val="TableText"/>
              <w:ind w:left="310"/>
              <w:spacing w:before="91" w:line="224" w:lineRule="auto"/>
              <w:rPr>
                <w:sz w:val="20"/>
                <w:szCs w:val="20"/>
              </w:rPr>
            </w:pPr>
            <w:r>
              <w:rPr>
                <w:sz w:val="20"/>
                <w:szCs w:val="20"/>
              </w:rPr>
              <w:t>/</w:t>
            </w:r>
          </w:p>
        </w:tc>
        <w:tc>
          <w:tcPr>
            <w:tcW w:w="705" w:type="dxa"/>
            <w:vAlign w:val="top"/>
          </w:tcPr>
          <w:p>
            <w:pPr>
              <w:pStyle w:val="TableText"/>
              <w:ind w:left="300"/>
              <w:spacing w:before="91" w:line="224" w:lineRule="auto"/>
              <w:rPr>
                <w:sz w:val="20"/>
                <w:szCs w:val="20"/>
              </w:rPr>
            </w:pPr>
            <w:r>
              <w:rPr>
                <w:sz w:val="20"/>
                <w:szCs w:val="20"/>
              </w:rPr>
              <w:t>/</w:t>
            </w:r>
          </w:p>
        </w:tc>
      </w:tr>
      <w:tr>
        <w:trPr>
          <w:trHeight w:val="339" w:hRule="atLeast"/>
        </w:trPr>
        <w:tc>
          <w:tcPr>
            <w:tcW w:w="675" w:type="dxa"/>
            <w:vAlign w:val="top"/>
            <w:vMerge w:val="continue"/>
            <w:tcBorders>
              <w:top w:val="nil"/>
              <w:bottom w:val="nil"/>
            </w:tcBorders>
          </w:tcPr>
          <w:p>
            <w:pPr>
              <w:rPr>
                <w:rFonts w:ascii="Arial"/>
                <w:sz w:val="21"/>
              </w:rPr>
            </w:pPr>
            <w:r/>
          </w:p>
        </w:tc>
        <w:tc>
          <w:tcPr>
            <w:tcW w:w="999" w:type="dxa"/>
            <w:vAlign w:val="top"/>
            <w:vMerge w:val="continue"/>
            <w:tcBorders>
              <w:top w:val="nil"/>
            </w:tcBorders>
          </w:tcPr>
          <w:p>
            <w:pPr>
              <w:rPr>
                <w:rFonts w:ascii="Arial"/>
                <w:sz w:val="21"/>
              </w:rPr>
            </w:pPr>
            <w:r/>
          </w:p>
        </w:tc>
        <w:tc>
          <w:tcPr>
            <w:tcW w:w="989" w:type="dxa"/>
            <w:vAlign w:val="top"/>
          </w:tcPr>
          <w:p>
            <w:pPr>
              <w:pStyle w:val="TableText"/>
              <w:ind w:left="281"/>
              <w:spacing w:before="108" w:line="183" w:lineRule="auto"/>
              <w:rPr>
                <w:sz w:val="20"/>
                <w:szCs w:val="20"/>
              </w:rPr>
            </w:pPr>
            <w:r>
              <w:rPr>
                <w:sz w:val="20"/>
                <w:szCs w:val="20"/>
                <w:spacing w:val="-2"/>
              </w:rPr>
              <w:t>H</w:t>
            </w:r>
            <w:r>
              <w:rPr>
                <w:rFonts w:ascii="Calibri" w:hAnsi="Calibri" w:eastAsia="Calibri" w:cs="Calibri"/>
                <w:sz w:val="20"/>
                <w:szCs w:val="20"/>
                <w:spacing w:val="-2"/>
              </w:rPr>
              <w:t>₂</w:t>
            </w:r>
            <w:r>
              <w:rPr>
                <w:sz w:val="20"/>
                <w:szCs w:val="20"/>
                <w:spacing w:val="-2"/>
              </w:rPr>
              <w:t>S</w:t>
            </w:r>
          </w:p>
        </w:tc>
        <w:tc>
          <w:tcPr>
            <w:tcW w:w="839" w:type="dxa"/>
            <w:vAlign w:val="top"/>
          </w:tcPr>
          <w:p>
            <w:pPr>
              <w:pStyle w:val="TableText"/>
              <w:ind w:left="362"/>
              <w:spacing w:before="82" w:line="224" w:lineRule="auto"/>
              <w:rPr>
                <w:sz w:val="20"/>
                <w:szCs w:val="20"/>
              </w:rPr>
            </w:pPr>
            <w:r>
              <w:rPr>
                <w:sz w:val="20"/>
                <w:szCs w:val="20"/>
              </w:rPr>
              <w:t>/</w:t>
            </w:r>
          </w:p>
        </w:tc>
        <w:tc>
          <w:tcPr>
            <w:tcW w:w="989" w:type="dxa"/>
            <w:vAlign w:val="top"/>
          </w:tcPr>
          <w:p>
            <w:pPr>
              <w:pStyle w:val="TableText"/>
              <w:ind w:left="433"/>
              <w:spacing w:before="82" w:line="224" w:lineRule="auto"/>
              <w:rPr>
                <w:sz w:val="20"/>
                <w:szCs w:val="20"/>
              </w:rPr>
            </w:pPr>
            <w:r>
              <w:rPr>
                <w:sz w:val="20"/>
                <w:szCs w:val="20"/>
              </w:rPr>
              <w:t>/</w:t>
            </w:r>
          </w:p>
        </w:tc>
        <w:tc>
          <w:tcPr>
            <w:tcW w:w="989" w:type="dxa"/>
            <w:vAlign w:val="top"/>
          </w:tcPr>
          <w:p>
            <w:pPr>
              <w:rPr>
                <w:rFonts w:ascii="Arial"/>
                <w:sz w:val="21"/>
              </w:rPr>
            </w:pPr>
            <w:r/>
          </w:p>
        </w:tc>
        <w:tc>
          <w:tcPr>
            <w:tcW w:w="999" w:type="dxa"/>
            <w:vAlign w:val="top"/>
          </w:tcPr>
          <w:p>
            <w:pPr>
              <w:pStyle w:val="TableText"/>
              <w:ind w:left="245"/>
              <w:spacing w:before="127" w:line="183" w:lineRule="auto"/>
              <w:rPr>
                <w:sz w:val="20"/>
                <w:szCs w:val="20"/>
              </w:rPr>
            </w:pPr>
            <w:r>
              <w:rPr>
                <w:sz w:val="20"/>
                <w:szCs w:val="20"/>
                <w:spacing w:val="-2"/>
              </w:rPr>
              <w:t>0.007</w:t>
            </w:r>
          </w:p>
        </w:tc>
        <w:tc>
          <w:tcPr>
            <w:tcW w:w="859" w:type="dxa"/>
            <w:vAlign w:val="top"/>
          </w:tcPr>
          <w:p>
            <w:pPr>
              <w:pStyle w:val="TableText"/>
              <w:ind w:left="376"/>
              <w:spacing w:before="82" w:line="224" w:lineRule="auto"/>
              <w:rPr>
                <w:sz w:val="20"/>
                <w:szCs w:val="20"/>
              </w:rPr>
            </w:pPr>
            <w:r>
              <w:rPr>
                <w:sz w:val="20"/>
                <w:szCs w:val="20"/>
              </w:rPr>
              <w:t>/</w:t>
            </w:r>
          </w:p>
        </w:tc>
        <w:tc>
          <w:tcPr>
            <w:tcW w:w="700" w:type="dxa"/>
            <w:vAlign w:val="top"/>
          </w:tcPr>
          <w:p>
            <w:pPr>
              <w:pStyle w:val="TableText"/>
              <w:ind w:left="297"/>
              <w:spacing w:before="82" w:line="224" w:lineRule="auto"/>
              <w:rPr>
                <w:sz w:val="20"/>
                <w:szCs w:val="20"/>
              </w:rPr>
            </w:pPr>
            <w:r>
              <w:rPr>
                <w:sz w:val="20"/>
                <w:szCs w:val="20"/>
              </w:rPr>
              <w:t>/</w:t>
            </w:r>
          </w:p>
        </w:tc>
        <w:tc>
          <w:tcPr>
            <w:tcW w:w="710" w:type="dxa"/>
            <w:vAlign w:val="top"/>
          </w:tcPr>
          <w:p>
            <w:pPr>
              <w:pStyle w:val="TableText"/>
              <w:ind w:left="297"/>
              <w:spacing w:before="82" w:line="224" w:lineRule="auto"/>
              <w:rPr>
                <w:sz w:val="20"/>
                <w:szCs w:val="20"/>
              </w:rPr>
            </w:pPr>
            <w:r>
              <w:rPr>
                <w:sz w:val="20"/>
                <w:szCs w:val="20"/>
              </w:rPr>
              <w:t>/</w:t>
            </w:r>
          </w:p>
        </w:tc>
        <w:tc>
          <w:tcPr>
            <w:tcW w:w="1019" w:type="dxa"/>
            <w:vAlign w:val="top"/>
          </w:tcPr>
          <w:p>
            <w:pPr>
              <w:pStyle w:val="TableText"/>
              <w:ind w:left="457"/>
              <w:spacing w:before="82" w:line="224" w:lineRule="auto"/>
              <w:rPr>
                <w:sz w:val="20"/>
                <w:szCs w:val="20"/>
              </w:rPr>
            </w:pPr>
            <w:r>
              <w:rPr>
                <w:sz w:val="20"/>
                <w:szCs w:val="20"/>
              </w:rPr>
              <w:t>/</w:t>
            </w:r>
          </w:p>
        </w:tc>
        <w:tc>
          <w:tcPr>
            <w:tcW w:w="999" w:type="dxa"/>
            <w:vAlign w:val="top"/>
          </w:tcPr>
          <w:p>
            <w:pPr>
              <w:pStyle w:val="TableText"/>
              <w:ind w:left="448"/>
              <w:spacing w:before="82" w:line="224" w:lineRule="auto"/>
              <w:rPr>
                <w:sz w:val="20"/>
                <w:szCs w:val="20"/>
              </w:rPr>
            </w:pPr>
            <w:r>
              <w:rPr>
                <w:sz w:val="20"/>
                <w:szCs w:val="20"/>
              </w:rPr>
              <w:t>/</w:t>
            </w:r>
          </w:p>
        </w:tc>
        <w:tc>
          <w:tcPr>
            <w:tcW w:w="850" w:type="dxa"/>
            <w:vAlign w:val="top"/>
          </w:tcPr>
          <w:p>
            <w:pPr>
              <w:pStyle w:val="TableText"/>
              <w:ind w:left="119"/>
              <w:spacing w:before="127" w:line="183" w:lineRule="auto"/>
              <w:rPr>
                <w:sz w:val="20"/>
                <w:szCs w:val="20"/>
              </w:rPr>
            </w:pPr>
            <w:r>
              <w:rPr>
                <w:sz w:val="20"/>
                <w:szCs w:val="20"/>
                <w:spacing w:val="-2"/>
              </w:rPr>
              <w:t>0.0027</w:t>
            </w:r>
          </w:p>
        </w:tc>
        <w:tc>
          <w:tcPr>
            <w:tcW w:w="689" w:type="dxa"/>
            <w:vAlign w:val="top"/>
          </w:tcPr>
          <w:p>
            <w:pPr>
              <w:pStyle w:val="TableText"/>
              <w:ind w:left="289"/>
              <w:spacing w:before="82" w:line="224" w:lineRule="auto"/>
              <w:rPr>
                <w:sz w:val="20"/>
                <w:szCs w:val="20"/>
              </w:rPr>
            </w:pPr>
            <w:r>
              <w:rPr>
                <w:sz w:val="20"/>
                <w:szCs w:val="20"/>
              </w:rPr>
              <w:t>/</w:t>
            </w:r>
          </w:p>
        </w:tc>
        <w:tc>
          <w:tcPr>
            <w:tcW w:w="670" w:type="dxa"/>
            <w:vAlign w:val="top"/>
          </w:tcPr>
          <w:p>
            <w:pPr>
              <w:pStyle w:val="TableText"/>
              <w:ind w:left="280"/>
              <w:spacing w:before="82" w:line="224" w:lineRule="auto"/>
              <w:rPr>
                <w:sz w:val="20"/>
                <w:szCs w:val="20"/>
              </w:rPr>
            </w:pPr>
            <w:r>
              <w:rPr>
                <w:sz w:val="20"/>
                <w:szCs w:val="20"/>
              </w:rPr>
              <w:t>/</w:t>
            </w:r>
          </w:p>
        </w:tc>
        <w:tc>
          <w:tcPr>
            <w:tcW w:w="590" w:type="dxa"/>
            <w:vAlign w:val="top"/>
          </w:tcPr>
          <w:p>
            <w:pPr>
              <w:pStyle w:val="TableText"/>
              <w:ind w:left="240"/>
              <w:spacing w:before="82" w:line="224" w:lineRule="auto"/>
              <w:rPr>
                <w:sz w:val="20"/>
                <w:szCs w:val="20"/>
              </w:rPr>
            </w:pPr>
            <w:r>
              <w:rPr>
                <w:sz w:val="20"/>
                <w:szCs w:val="20"/>
              </w:rPr>
              <w:t>/</w:t>
            </w:r>
          </w:p>
        </w:tc>
        <w:tc>
          <w:tcPr>
            <w:tcW w:w="720" w:type="dxa"/>
            <w:vAlign w:val="top"/>
          </w:tcPr>
          <w:p>
            <w:pPr>
              <w:pStyle w:val="TableText"/>
              <w:ind w:left="310"/>
              <w:spacing w:before="82" w:line="224" w:lineRule="auto"/>
              <w:rPr>
                <w:sz w:val="20"/>
                <w:szCs w:val="20"/>
              </w:rPr>
            </w:pPr>
            <w:r>
              <w:rPr>
                <w:sz w:val="20"/>
                <w:szCs w:val="20"/>
              </w:rPr>
              <w:t>/</w:t>
            </w:r>
          </w:p>
        </w:tc>
        <w:tc>
          <w:tcPr>
            <w:tcW w:w="705" w:type="dxa"/>
            <w:vAlign w:val="top"/>
          </w:tcPr>
          <w:p>
            <w:pPr>
              <w:pStyle w:val="TableText"/>
              <w:ind w:left="300"/>
              <w:spacing w:before="82" w:line="224" w:lineRule="auto"/>
              <w:rPr>
                <w:sz w:val="20"/>
                <w:szCs w:val="20"/>
              </w:rPr>
            </w:pPr>
            <w:r>
              <w:rPr>
                <w:sz w:val="20"/>
                <w:szCs w:val="20"/>
              </w:rPr>
              <w:t>/</w:t>
            </w:r>
          </w:p>
        </w:tc>
      </w:tr>
      <w:tr>
        <w:trPr>
          <w:trHeight w:val="339" w:hRule="atLeast"/>
        </w:trPr>
        <w:tc>
          <w:tcPr>
            <w:tcW w:w="675" w:type="dxa"/>
            <w:vAlign w:val="top"/>
            <w:vMerge w:val="continue"/>
            <w:tcBorders>
              <w:top w:val="nil"/>
              <w:bottom w:val="nil"/>
            </w:tcBorders>
          </w:tcPr>
          <w:p>
            <w:pPr>
              <w:rPr>
                <w:rFonts w:ascii="Arial"/>
                <w:sz w:val="21"/>
              </w:rPr>
            </w:pPr>
            <w:r/>
          </w:p>
        </w:tc>
        <w:tc>
          <w:tcPr>
            <w:tcW w:w="999" w:type="dxa"/>
            <w:vAlign w:val="top"/>
            <w:vMerge w:val="restart"/>
            <w:tcBorders>
              <w:bottom w:val="nil"/>
            </w:tcBorders>
          </w:tcPr>
          <w:p>
            <w:pPr>
              <w:pStyle w:val="TableText"/>
              <w:ind w:left="389" w:right="109" w:hanging="299"/>
              <w:spacing w:before="127" w:line="230" w:lineRule="auto"/>
              <w:rPr>
                <w:sz w:val="20"/>
                <w:szCs w:val="20"/>
              </w:rPr>
            </w:pPr>
            <w:r>
              <w:rPr>
                <w:sz w:val="20"/>
                <w:szCs w:val="20"/>
                <w:spacing w:val="-3"/>
              </w:rPr>
              <w:t>建成后全</w:t>
            </w:r>
            <w:r>
              <w:rPr>
                <w:sz w:val="20"/>
                <w:szCs w:val="20"/>
              </w:rPr>
              <w:t xml:space="preserve"> </w:t>
            </w:r>
            <w:r>
              <w:rPr>
                <w:sz w:val="20"/>
                <w:szCs w:val="20"/>
              </w:rPr>
              <w:t>厂</w:t>
            </w:r>
          </w:p>
        </w:tc>
        <w:tc>
          <w:tcPr>
            <w:tcW w:w="989" w:type="dxa"/>
            <w:vAlign w:val="top"/>
          </w:tcPr>
          <w:p>
            <w:pPr>
              <w:pStyle w:val="TableText"/>
              <w:ind w:left="281"/>
              <w:spacing w:before="108" w:line="182" w:lineRule="auto"/>
              <w:rPr>
                <w:rFonts w:ascii="Calibri" w:hAnsi="Calibri" w:eastAsia="Calibri" w:cs="Calibri"/>
                <w:sz w:val="20"/>
                <w:szCs w:val="20"/>
              </w:rPr>
            </w:pPr>
            <w:r>
              <w:rPr>
                <w:sz w:val="20"/>
                <w:szCs w:val="20"/>
                <w:spacing w:val="-1"/>
              </w:rPr>
              <w:t>NH</w:t>
            </w:r>
            <w:r>
              <w:rPr>
                <w:rFonts w:ascii="Calibri" w:hAnsi="Calibri" w:eastAsia="Calibri" w:cs="Calibri"/>
                <w:sz w:val="20"/>
                <w:szCs w:val="20"/>
                <w:spacing w:val="-1"/>
              </w:rPr>
              <w:t>₃</w:t>
            </w:r>
          </w:p>
        </w:tc>
        <w:tc>
          <w:tcPr>
            <w:tcW w:w="839" w:type="dxa"/>
            <w:vAlign w:val="top"/>
          </w:tcPr>
          <w:p>
            <w:pPr>
              <w:pStyle w:val="TableText"/>
              <w:ind w:left="362"/>
              <w:spacing w:before="83" w:line="224" w:lineRule="auto"/>
              <w:rPr>
                <w:sz w:val="20"/>
                <w:szCs w:val="20"/>
              </w:rPr>
            </w:pPr>
            <w:r>
              <w:rPr>
                <w:sz w:val="20"/>
                <w:szCs w:val="20"/>
              </w:rPr>
              <w:t>/</w:t>
            </w:r>
          </w:p>
        </w:tc>
        <w:tc>
          <w:tcPr>
            <w:tcW w:w="989" w:type="dxa"/>
            <w:vAlign w:val="top"/>
          </w:tcPr>
          <w:p>
            <w:pPr>
              <w:pStyle w:val="TableText"/>
              <w:ind w:left="433"/>
              <w:spacing w:before="83" w:line="224" w:lineRule="auto"/>
              <w:rPr>
                <w:sz w:val="20"/>
                <w:szCs w:val="20"/>
              </w:rPr>
            </w:pPr>
            <w:r>
              <w:rPr>
                <w:sz w:val="20"/>
                <w:szCs w:val="20"/>
              </w:rPr>
              <w:t>/</w:t>
            </w:r>
          </w:p>
        </w:tc>
        <w:tc>
          <w:tcPr>
            <w:tcW w:w="989" w:type="dxa"/>
            <w:vAlign w:val="top"/>
          </w:tcPr>
          <w:p>
            <w:pPr>
              <w:rPr>
                <w:rFonts w:ascii="Arial"/>
                <w:sz w:val="21"/>
              </w:rPr>
            </w:pPr>
            <w:r/>
          </w:p>
        </w:tc>
        <w:tc>
          <w:tcPr>
            <w:tcW w:w="999" w:type="dxa"/>
            <w:vAlign w:val="top"/>
          </w:tcPr>
          <w:p>
            <w:pPr>
              <w:pStyle w:val="TableText"/>
              <w:ind w:left="245"/>
              <w:spacing w:before="127" w:line="184" w:lineRule="auto"/>
              <w:rPr>
                <w:sz w:val="20"/>
                <w:szCs w:val="20"/>
              </w:rPr>
            </w:pPr>
            <w:r>
              <w:rPr>
                <w:sz w:val="20"/>
                <w:szCs w:val="20"/>
                <w:spacing w:val="-4"/>
              </w:rPr>
              <w:t>1.782</w:t>
            </w:r>
          </w:p>
        </w:tc>
        <w:tc>
          <w:tcPr>
            <w:tcW w:w="859" w:type="dxa"/>
            <w:vAlign w:val="top"/>
          </w:tcPr>
          <w:p>
            <w:pPr>
              <w:pStyle w:val="TableText"/>
              <w:ind w:left="376"/>
              <w:spacing w:before="83" w:line="224" w:lineRule="auto"/>
              <w:rPr>
                <w:sz w:val="20"/>
                <w:szCs w:val="20"/>
              </w:rPr>
            </w:pPr>
            <w:r>
              <w:rPr>
                <w:sz w:val="20"/>
                <w:szCs w:val="20"/>
              </w:rPr>
              <w:t>/</w:t>
            </w:r>
          </w:p>
        </w:tc>
        <w:tc>
          <w:tcPr>
            <w:tcW w:w="700" w:type="dxa"/>
            <w:vAlign w:val="top"/>
          </w:tcPr>
          <w:p>
            <w:pPr>
              <w:pStyle w:val="TableText"/>
              <w:ind w:left="297"/>
              <w:spacing w:before="83" w:line="224" w:lineRule="auto"/>
              <w:rPr>
                <w:sz w:val="20"/>
                <w:szCs w:val="20"/>
              </w:rPr>
            </w:pPr>
            <w:r>
              <w:rPr>
                <w:sz w:val="20"/>
                <w:szCs w:val="20"/>
              </w:rPr>
              <w:t>/</w:t>
            </w:r>
          </w:p>
        </w:tc>
        <w:tc>
          <w:tcPr>
            <w:tcW w:w="710" w:type="dxa"/>
            <w:vAlign w:val="top"/>
          </w:tcPr>
          <w:p>
            <w:pPr>
              <w:pStyle w:val="TableText"/>
              <w:ind w:left="297"/>
              <w:spacing w:before="83" w:line="224" w:lineRule="auto"/>
              <w:rPr>
                <w:sz w:val="20"/>
                <w:szCs w:val="20"/>
              </w:rPr>
            </w:pPr>
            <w:r>
              <w:rPr>
                <w:sz w:val="20"/>
                <w:szCs w:val="20"/>
              </w:rPr>
              <w:t>/</w:t>
            </w:r>
          </w:p>
        </w:tc>
        <w:tc>
          <w:tcPr>
            <w:tcW w:w="1019" w:type="dxa"/>
            <w:vAlign w:val="top"/>
          </w:tcPr>
          <w:p>
            <w:pPr>
              <w:pStyle w:val="TableText"/>
              <w:ind w:left="457"/>
              <w:spacing w:before="83" w:line="224" w:lineRule="auto"/>
              <w:rPr>
                <w:sz w:val="20"/>
                <w:szCs w:val="20"/>
              </w:rPr>
            </w:pPr>
            <w:r>
              <w:rPr>
                <w:sz w:val="20"/>
                <w:szCs w:val="20"/>
              </w:rPr>
              <w:t>/</w:t>
            </w:r>
          </w:p>
        </w:tc>
        <w:tc>
          <w:tcPr>
            <w:tcW w:w="999" w:type="dxa"/>
            <w:vAlign w:val="top"/>
          </w:tcPr>
          <w:p>
            <w:pPr>
              <w:pStyle w:val="TableText"/>
              <w:ind w:left="448"/>
              <w:spacing w:before="83" w:line="224" w:lineRule="auto"/>
              <w:rPr>
                <w:sz w:val="20"/>
                <w:szCs w:val="20"/>
              </w:rPr>
            </w:pPr>
            <w:r>
              <w:rPr>
                <w:sz w:val="20"/>
                <w:szCs w:val="20"/>
              </w:rPr>
              <w:t>/</w:t>
            </w:r>
          </w:p>
        </w:tc>
        <w:tc>
          <w:tcPr>
            <w:tcW w:w="850" w:type="dxa"/>
            <w:vAlign w:val="top"/>
          </w:tcPr>
          <w:p>
            <w:pPr>
              <w:pStyle w:val="TableText"/>
              <w:ind w:left="169"/>
              <w:spacing w:before="128" w:line="183" w:lineRule="auto"/>
              <w:rPr>
                <w:sz w:val="20"/>
                <w:szCs w:val="20"/>
              </w:rPr>
            </w:pPr>
            <w:r>
              <w:rPr>
                <w:sz w:val="20"/>
                <w:szCs w:val="20"/>
                <w:spacing w:val="-2"/>
              </w:rPr>
              <w:t>0.820</w:t>
            </w:r>
          </w:p>
        </w:tc>
        <w:tc>
          <w:tcPr>
            <w:tcW w:w="689" w:type="dxa"/>
            <w:vAlign w:val="top"/>
          </w:tcPr>
          <w:p>
            <w:pPr>
              <w:pStyle w:val="TableText"/>
              <w:ind w:left="289"/>
              <w:spacing w:before="83" w:line="224" w:lineRule="auto"/>
              <w:rPr>
                <w:sz w:val="20"/>
                <w:szCs w:val="20"/>
              </w:rPr>
            </w:pPr>
            <w:r>
              <w:rPr>
                <w:sz w:val="20"/>
                <w:szCs w:val="20"/>
              </w:rPr>
              <w:t>/</w:t>
            </w:r>
          </w:p>
        </w:tc>
        <w:tc>
          <w:tcPr>
            <w:tcW w:w="670" w:type="dxa"/>
            <w:vAlign w:val="top"/>
          </w:tcPr>
          <w:p>
            <w:pPr>
              <w:pStyle w:val="TableText"/>
              <w:ind w:left="280"/>
              <w:spacing w:before="83" w:line="224" w:lineRule="auto"/>
              <w:rPr>
                <w:sz w:val="20"/>
                <w:szCs w:val="20"/>
              </w:rPr>
            </w:pPr>
            <w:r>
              <w:rPr>
                <w:sz w:val="20"/>
                <w:szCs w:val="20"/>
              </w:rPr>
              <w:t>/</w:t>
            </w:r>
          </w:p>
        </w:tc>
        <w:tc>
          <w:tcPr>
            <w:tcW w:w="590" w:type="dxa"/>
            <w:vAlign w:val="top"/>
          </w:tcPr>
          <w:p>
            <w:pPr>
              <w:pStyle w:val="TableText"/>
              <w:ind w:left="240"/>
              <w:spacing w:before="83" w:line="224" w:lineRule="auto"/>
              <w:rPr>
                <w:sz w:val="20"/>
                <w:szCs w:val="20"/>
              </w:rPr>
            </w:pPr>
            <w:r>
              <w:rPr>
                <w:sz w:val="20"/>
                <w:szCs w:val="20"/>
              </w:rPr>
              <w:t>/</w:t>
            </w:r>
          </w:p>
        </w:tc>
        <w:tc>
          <w:tcPr>
            <w:tcW w:w="720" w:type="dxa"/>
            <w:vAlign w:val="top"/>
          </w:tcPr>
          <w:p>
            <w:pPr>
              <w:pStyle w:val="TableText"/>
              <w:ind w:left="310"/>
              <w:spacing w:before="83" w:line="224" w:lineRule="auto"/>
              <w:rPr>
                <w:sz w:val="20"/>
                <w:szCs w:val="20"/>
              </w:rPr>
            </w:pPr>
            <w:r>
              <w:rPr>
                <w:sz w:val="20"/>
                <w:szCs w:val="20"/>
              </w:rPr>
              <w:t>/</w:t>
            </w:r>
          </w:p>
        </w:tc>
        <w:tc>
          <w:tcPr>
            <w:tcW w:w="705" w:type="dxa"/>
            <w:vAlign w:val="top"/>
          </w:tcPr>
          <w:p>
            <w:pPr>
              <w:pStyle w:val="TableText"/>
              <w:ind w:left="300"/>
              <w:spacing w:before="83" w:line="224" w:lineRule="auto"/>
              <w:rPr>
                <w:sz w:val="20"/>
                <w:szCs w:val="20"/>
              </w:rPr>
            </w:pPr>
            <w:r>
              <w:rPr>
                <w:sz w:val="20"/>
                <w:szCs w:val="20"/>
              </w:rPr>
              <w:t>/</w:t>
            </w:r>
          </w:p>
        </w:tc>
      </w:tr>
      <w:tr>
        <w:trPr>
          <w:trHeight w:val="349" w:hRule="atLeast"/>
        </w:trPr>
        <w:tc>
          <w:tcPr>
            <w:tcW w:w="675" w:type="dxa"/>
            <w:vAlign w:val="top"/>
            <w:vMerge w:val="continue"/>
            <w:tcBorders>
              <w:top w:val="nil"/>
            </w:tcBorders>
          </w:tcPr>
          <w:p>
            <w:pPr>
              <w:rPr>
                <w:rFonts w:ascii="Arial"/>
                <w:sz w:val="21"/>
              </w:rPr>
            </w:pPr>
            <w:r/>
          </w:p>
        </w:tc>
        <w:tc>
          <w:tcPr>
            <w:tcW w:w="999" w:type="dxa"/>
            <w:vAlign w:val="top"/>
            <w:vMerge w:val="continue"/>
            <w:tcBorders>
              <w:top w:val="nil"/>
            </w:tcBorders>
          </w:tcPr>
          <w:p>
            <w:pPr>
              <w:rPr>
                <w:rFonts w:ascii="Arial"/>
                <w:sz w:val="21"/>
              </w:rPr>
            </w:pPr>
            <w:r/>
          </w:p>
        </w:tc>
        <w:tc>
          <w:tcPr>
            <w:tcW w:w="989" w:type="dxa"/>
            <w:vAlign w:val="top"/>
          </w:tcPr>
          <w:p>
            <w:pPr>
              <w:pStyle w:val="TableText"/>
              <w:ind w:left="281"/>
              <w:spacing w:before="120" w:line="183" w:lineRule="auto"/>
              <w:rPr>
                <w:sz w:val="20"/>
                <w:szCs w:val="20"/>
              </w:rPr>
            </w:pPr>
            <w:r>
              <w:rPr>
                <w:sz w:val="20"/>
                <w:szCs w:val="20"/>
                <w:spacing w:val="-2"/>
              </w:rPr>
              <w:t>H</w:t>
            </w:r>
            <w:r>
              <w:rPr>
                <w:rFonts w:ascii="Calibri" w:hAnsi="Calibri" w:eastAsia="Calibri" w:cs="Calibri"/>
                <w:sz w:val="20"/>
                <w:szCs w:val="20"/>
                <w:spacing w:val="-2"/>
              </w:rPr>
              <w:t>₂</w:t>
            </w:r>
            <w:r>
              <w:rPr>
                <w:sz w:val="20"/>
                <w:szCs w:val="20"/>
                <w:spacing w:val="-2"/>
              </w:rPr>
              <w:t>S</w:t>
            </w:r>
          </w:p>
        </w:tc>
        <w:tc>
          <w:tcPr>
            <w:tcW w:w="839" w:type="dxa"/>
            <w:vAlign w:val="top"/>
          </w:tcPr>
          <w:p>
            <w:pPr>
              <w:pStyle w:val="TableText"/>
              <w:ind w:left="362"/>
              <w:spacing w:before="94" w:line="224" w:lineRule="auto"/>
              <w:rPr>
                <w:sz w:val="20"/>
                <w:szCs w:val="20"/>
              </w:rPr>
            </w:pPr>
            <w:r>
              <w:rPr>
                <w:sz w:val="20"/>
                <w:szCs w:val="20"/>
              </w:rPr>
              <w:t>/</w:t>
            </w:r>
          </w:p>
        </w:tc>
        <w:tc>
          <w:tcPr>
            <w:tcW w:w="989" w:type="dxa"/>
            <w:vAlign w:val="top"/>
          </w:tcPr>
          <w:p>
            <w:pPr>
              <w:pStyle w:val="TableText"/>
              <w:ind w:left="433"/>
              <w:spacing w:before="94" w:line="224" w:lineRule="auto"/>
              <w:rPr>
                <w:sz w:val="20"/>
                <w:szCs w:val="20"/>
              </w:rPr>
            </w:pPr>
            <w:r>
              <w:rPr>
                <w:sz w:val="20"/>
                <w:szCs w:val="20"/>
              </w:rPr>
              <w:t>/</w:t>
            </w:r>
          </w:p>
        </w:tc>
        <w:tc>
          <w:tcPr>
            <w:tcW w:w="989" w:type="dxa"/>
            <w:vAlign w:val="top"/>
          </w:tcPr>
          <w:p>
            <w:pPr>
              <w:pStyle w:val="TableText"/>
              <w:ind w:left="434"/>
              <w:spacing w:before="94" w:line="224" w:lineRule="auto"/>
              <w:rPr>
                <w:sz w:val="20"/>
                <w:szCs w:val="20"/>
              </w:rPr>
            </w:pPr>
            <w:r>
              <w:rPr>
                <w:sz w:val="20"/>
                <w:szCs w:val="20"/>
              </w:rPr>
              <w:t>/</w:t>
            </w:r>
          </w:p>
        </w:tc>
        <w:tc>
          <w:tcPr>
            <w:tcW w:w="999" w:type="dxa"/>
            <w:vAlign w:val="top"/>
          </w:tcPr>
          <w:p>
            <w:pPr>
              <w:pStyle w:val="TableText"/>
              <w:ind w:left="245"/>
              <w:spacing w:before="139" w:line="183" w:lineRule="auto"/>
              <w:rPr>
                <w:sz w:val="20"/>
                <w:szCs w:val="20"/>
              </w:rPr>
            </w:pPr>
            <w:r>
              <w:rPr>
                <w:sz w:val="20"/>
                <w:szCs w:val="20"/>
                <w:spacing w:val="-2"/>
              </w:rPr>
              <w:t>0.035</w:t>
            </w:r>
          </w:p>
        </w:tc>
        <w:tc>
          <w:tcPr>
            <w:tcW w:w="859" w:type="dxa"/>
            <w:vAlign w:val="top"/>
          </w:tcPr>
          <w:p>
            <w:pPr>
              <w:pStyle w:val="TableText"/>
              <w:ind w:left="376"/>
              <w:spacing w:before="94" w:line="224" w:lineRule="auto"/>
              <w:rPr>
                <w:sz w:val="20"/>
                <w:szCs w:val="20"/>
              </w:rPr>
            </w:pPr>
            <w:r>
              <w:rPr>
                <w:sz w:val="20"/>
                <w:szCs w:val="20"/>
              </w:rPr>
              <w:t>/</w:t>
            </w:r>
          </w:p>
        </w:tc>
        <w:tc>
          <w:tcPr>
            <w:tcW w:w="700" w:type="dxa"/>
            <w:vAlign w:val="top"/>
          </w:tcPr>
          <w:p>
            <w:pPr>
              <w:pStyle w:val="TableText"/>
              <w:ind w:left="297"/>
              <w:spacing w:before="94" w:line="224" w:lineRule="auto"/>
              <w:rPr>
                <w:sz w:val="20"/>
                <w:szCs w:val="20"/>
              </w:rPr>
            </w:pPr>
            <w:r>
              <w:rPr>
                <w:sz w:val="20"/>
                <w:szCs w:val="20"/>
              </w:rPr>
              <w:t>/</w:t>
            </w:r>
          </w:p>
        </w:tc>
        <w:tc>
          <w:tcPr>
            <w:tcW w:w="710" w:type="dxa"/>
            <w:vAlign w:val="top"/>
          </w:tcPr>
          <w:p>
            <w:pPr>
              <w:pStyle w:val="TableText"/>
              <w:ind w:left="297"/>
              <w:spacing w:before="94" w:line="224" w:lineRule="auto"/>
              <w:rPr>
                <w:sz w:val="20"/>
                <w:szCs w:val="20"/>
              </w:rPr>
            </w:pPr>
            <w:r>
              <w:rPr>
                <w:sz w:val="20"/>
                <w:szCs w:val="20"/>
              </w:rPr>
              <w:t>/</w:t>
            </w:r>
          </w:p>
        </w:tc>
        <w:tc>
          <w:tcPr>
            <w:tcW w:w="1019" w:type="dxa"/>
            <w:vAlign w:val="top"/>
          </w:tcPr>
          <w:p>
            <w:pPr>
              <w:pStyle w:val="TableText"/>
              <w:ind w:left="457"/>
              <w:spacing w:before="94" w:line="224" w:lineRule="auto"/>
              <w:rPr>
                <w:sz w:val="20"/>
                <w:szCs w:val="20"/>
              </w:rPr>
            </w:pPr>
            <w:r>
              <w:rPr>
                <w:sz w:val="20"/>
                <w:szCs w:val="20"/>
              </w:rPr>
              <w:t>/</w:t>
            </w:r>
          </w:p>
        </w:tc>
        <w:tc>
          <w:tcPr>
            <w:tcW w:w="999" w:type="dxa"/>
            <w:vAlign w:val="top"/>
          </w:tcPr>
          <w:p>
            <w:pPr>
              <w:pStyle w:val="TableText"/>
              <w:ind w:left="448"/>
              <w:spacing w:before="94" w:line="224" w:lineRule="auto"/>
              <w:rPr>
                <w:sz w:val="20"/>
                <w:szCs w:val="20"/>
              </w:rPr>
            </w:pPr>
            <w:r>
              <w:rPr>
                <w:sz w:val="20"/>
                <w:szCs w:val="20"/>
              </w:rPr>
              <w:t>/</w:t>
            </w:r>
          </w:p>
        </w:tc>
        <w:tc>
          <w:tcPr>
            <w:tcW w:w="850" w:type="dxa"/>
            <w:vAlign w:val="top"/>
          </w:tcPr>
          <w:p>
            <w:pPr>
              <w:pStyle w:val="TableText"/>
              <w:ind w:left="169"/>
              <w:spacing w:before="138" w:line="184" w:lineRule="auto"/>
              <w:rPr>
                <w:sz w:val="20"/>
                <w:szCs w:val="20"/>
              </w:rPr>
            </w:pPr>
            <w:r>
              <w:rPr>
                <w:sz w:val="20"/>
                <w:szCs w:val="20"/>
                <w:spacing w:val="-2"/>
              </w:rPr>
              <w:t>0.015</w:t>
            </w:r>
          </w:p>
        </w:tc>
        <w:tc>
          <w:tcPr>
            <w:tcW w:w="689" w:type="dxa"/>
            <w:vAlign w:val="top"/>
          </w:tcPr>
          <w:p>
            <w:pPr>
              <w:pStyle w:val="TableText"/>
              <w:ind w:left="289"/>
              <w:spacing w:before="94" w:line="224" w:lineRule="auto"/>
              <w:rPr>
                <w:sz w:val="20"/>
                <w:szCs w:val="20"/>
              </w:rPr>
            </w:pPr>
            <w:r>
              <w:rPr>
                <w:sz w:val="20"/>
                <w:szCs w:val="20"/>
              </w:rPr>
              <w:t>/</w:t>
            </w:r>
          </w:p>
        </w:tc>
        <w:tc>
          <w:tcPr>
            <w:tcW w:w="670" w:type="dxa"/>
            <w:vAlign w:val="top"/>
          </w:tcPr>
          <w:p>
            <w:pPr>
              <w:pStyle w:val="TableText"/>
              <w:ind w:left="280"/>
              <w:spacing w:before="94" w:line="224" w:lineRule="auto"/>
              <w:rPr>
                <w:sz w:val="20"/>
                <w:szCs w:val="20"/>
              </w:rPr>
            </w:pPr>
            <w:r>
              <w:rPr>
                <w:sz w:val="20"/>
                <w:szCs w:val="20"/>
              </w:rPr>
              <w:t>/</w:t>
            </w:r>
          </w:p>
        </w:tc>
        <w:tc>
          <w:tcPr>
            <w:tcW w:w="590" w:type="dxa"/>
            <w:vAlign w:val="top"/>
          </w:tcPr>
          <w:p>
            <w:pPr>
              <w:pStyle w:val="TableText"/>
              <w:ind w:left="240"/>
              <w:spacing w:before="94" w:line="224" w:lineRule="auto"/>
              <w:rPr>
                <w:sz w:val="20"/>
                <w:szCs w:val="20"/>
              </w:rPr>
            </w:pPr>
            <w:r>
              <w:rPr>
                <w:sz w:val="20"/>
                <w:szCs w:val="20"/>
              </w:rPr>
              <w:t>/</w:t>
            </w:r>
          </w:p>
        </w:tc>
        <w:tc>
          <w:tcPr>
            <w:tcW w:w="720" w:type="dxa"/>
            <w:vAlign w:val="top"/>
          </w:tcPr>
          <w:p>
            <w:pPr>
              <w:pStyle w:val="TableText"/>
              <w:ind w:left="310"/>
              <w:spacing w:before="94" w:line="224" w:lineRule="auto"/>
              <w:rPr>
                <w:sz w:val="20"/>
                <w:szCs w:val="20"/>
              </w:rPr>
            </w:pPr>
            <w:r>
              <w:rPr>
                <w:sz w:val="20"/>
                <w:szCs w:val="20"/>
              </w:rPr>
              <w:t>/</w:t>
            </w:r>
          </w:p>
        </w:tc>
        <w:tc>
          <w:tcPr>
            <w:tcW w:w="705" w:type="dxa"/>
            <w:vAlign w:val="top"/>
          </w:tcPr>
          <w:p>
            <w:pPr>
              <w:pStyle w:val="TableText"/>
              <w:ind w:left="300"/>
              <w:spacing w:before="94" w:line="224" w:lineRule="auto"/>
              <w:rPr>
                <w:sz w:val="20"/>
                <w:szCs w:val="20"/>
              </w:rPr>
            </w:pPr>
            <w:r>
              <w:rPr>
                <w:sz w:val="20"/>
                <w:szCs w:val="20"/>
              </w:rPr>
              <w:t>/</w:t>
            </w:r>
          </w:p>
        </w:tc>
      </w:tr>
      <w:tr>
        <w:trPr>
          <w:trHeight w:val="295" w:hRule="atLeast"/>
        </w:trPr>
        <w:tc>
          <w:tcPr>
            <w:tcW w:w="14990" w:type="dxa"/>
            <w:vAlign w:val="top"/>
            <w:gridSpan w:val="18"/>
          </w:tcPr>
          <w:p>
            <w:pPr>
              <w:pStyle w:val="TableText"/>
              <w:ind w:left="15"/>
              <w:spacing w:before="56" w:line="211" w:lineRule="auto"/>
              <w:rPr>
                <w:sz w:val="20"/>
                <w:szCs w:val="20"/>
              </w:rPr>
            </w:pPr>
            <w:r>
              <w:rPr>
                <w:sz w:val="20"/>
                <w:szCs w:val="20"/>
                <w:spacing w:val="-4"/>
              </w:rPr>
              <w:t>注：</w:t>
            </w:r>
            <w:r>
              <w:rPr>
                <w:sz w:val="20"/>
                <w:szCs w:val="20"/>
                <w:spacing w:val="22"/>
              </w:rPr>
              <w:t xml:space="preserve">   </w:t>
            </w:r>
            <w:r>
              <w:rPr>
                <w:sz w:val="20"/>
                <w:szCs w:val="20"/>
                <w:spacing w:val="-4"/>
              </w:rPr>
              <w:t>“喷淋塔+UV”处理效率类比现有工程阶段性验收数据，分别</w:t>
            </w:r>
            <w:r>
              <w:rPr>
                <w:sz w:val="20"/>
                <w:szCs w:val="20"/>
                <w:spacing w:val="-5"/>
              </w:rPr>
              <w:t>取60%,65%。</w:t>
            </w:r>
          </w:p>
        </w:tc>
      </w:tr>
    </w:tbl>
    <w:p>
      <w:pPr>
        <w:rPr>
          <w:rFonts w:ascii="Arial"/>
          <w:sz w:val="21"/>
        </w:rPr>
      </w:pPr>
      <w:r/>
    </w:p>
    <w:p>
      <w:pPr>
        <w:sectPr>
          <w:footerReference w:type="default" r:id="rId100"/>
          <w:pgSz w:w="16840" w:h="11900"/>
          <w:pgMar w:top="1011" w:right="944" w:bottom="979" w:left="894" w:header="0" w:footer="840" w:gutter="0"/>
        </w:sectPr>
        <w:rPr>
          <w:rFonts w:ascii="Arial" w:hAnsi="Arial" w:eastAsia="Arial" w:cs="Arial"/>
          <w:sz w:val="21"/>
          <w:szCs w:val="21"/>
        </w:rPr>
      </w:pPr>
    </w:p>
    <w:p>
      <w:pPr>
        <w:spacing w:line="270" w:lineRule="auto"/>
        <w:rPr>
          <w:rFonts w:ascii="Arial"/>
          <w:sz w:val="21"/>
        </w:rPr>
      </w:pPr>
      <w:r/>
    </w:p>
    <w:p>
      <w:pPr>
        <w:pStyle w:val="BodyText"/>
        <w:ind w:left="5348"/>
        <w:spacing w:before="78" w:line="219" w:lineRule="auto"/>
        <w:rPr>
          <w:sz w:val="24"/>
          <w:szCs w:val="24"/>
        </w:rPr>
      </w:pPr>
      <w:r>
        <w:rPr>
          <w:sz w:val="24"/>
          <w:szCs w:val="24"/>
          <w:b/>
          <w:bCs/>
          <w:spacing w:val="-6"/>
        </w:rPr>
        <w:t>表4.2-7</w:t>
      </w:r>
      <w:r>
        <w:rPr>
          <w:sz w:val="24"/>
          <w:szCs w:val="24"/>
          <w:spacing w:val="-6"/>
        </w:rPr>
        <w:t xml:space="preserve"> </w:t>
      </w:r>
      <w:r>
        <w:rPr>
          <w:sz w:val="24"/>
          <w:szCs w:val="24"/>
          <w:b/>
          <w:bCs/>
          <w:spacing w:val="-6"/>
        </w:rPr>
        <w:t>本项目废气排放口参数一览表</w:t>
      </w:r>
    </w:p>
    <w:p>
      <w:pPr>
        <w:spacing w:line="165" w:lineRule="exact"/>
        <w:rPr/>
      </w:pPr>
      <w:r/>
    </w:p>
    <w:tbl>
      <w:tblPr>
        <w:tblStyle w:val="TableNormal"/>
        <w:tblW w:w="147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04"/>
        <w:gridCol w:w="700"/>
        <w:gridCol w:w="710"/>
        <w:gridCol w:w="1259"/>
        <w:gridCol w:w="1279"/>
        <w:gridCol w:w="1129"/>
        <w:gridCol w:w="989"/>
        <w:gridCol w:w="1099"/>
        <w:gridCol w:w="1029"/>
        <w:gridCol w:w="850"/>
        <w:gridCol w:w="999"/>
        <w:gridCol w:w="840"/>
        <w:gridCol w:w="989"/>
        <w:gridCol w:w="1129"/>
        <w:gridCol w:w="854"/>
      </w:tblGrid>
      <w:tr>
        <w:trPr>
          <w:trHeight w:val="544" w:hRule="atLeast"/>
        </w:trPr>
        <w:tc>
          <w:tcPr>
            <w:tcW w:w="904" w:type="dxa"/>
            <w:vAlign w:val="top"/>
            <w:vMerge w:val="restart"/>
            <w:tcBorders>
              <w:bottom w:val="nil"/>
            </w:tcBorders>
          </w:tcPr>
          <w:p>
            <w:pPr>
              <w:spacing w:line="246" w:lineRule="auto"/>
              <w:rPr>
                <w:rFonts w:ascii="Arial"/>
                <w:sz w:val="21"/>
              </w:rPr>
            </w:pPr>
            <w:r/>
          </w:p>
          <w:p>
            <w:pPr>
              <w:pStyle w:val="TableText"/>
              <w:ind w:left="245"/>
              <w:spacing w:before="65" w:line="219" w:lineRule="auto"/>
              <w:rPr>
                <w:sz w:val="20"/>
                <w:szCs w:val="20"/>
              </w:rPr>
            </w:pPr>
            <w:r>
              <w:rPr>
                <w:sz w:val="20"/>
                <w:szCs w:val="20"/>
                <w:spacing w:val="6"/>
              </w:rPr>
              <w:t>编号</w:t>
            </w:r>
          </w:p>
        </w:tc>
        <w:tc>
          <w:tcPr>
            <w:tcW w:w="1410" w:type="dxa"/>
            <w:vAlign w:val="top"/>
            <w:gridSpan w:val="2"/>
            <w:vMerge w:val="restart"/>
            <w:tcBorders>
              <w:bottom w:val="nil"/>
            </w:tcBorders>
          </w:tcPr>
          <w:p>
            <w:pPr>
              <w:spacing w:line="246" w:lineRule="auto"/>
              <w:rPr>
                <w:rFonts w:ascii="Arial"/>
                <w:sz w:val="21"/>
              </w:rPr>
            </w:pPr>
            <w:r/>
          </w:p>
          <w:p>
            <w:pPr>
              <w:pStyle w:val="TableText"/>
              <w:ind w:left="290"/>
              <w:spacing w:before="65" w:line="219" w:lineRule="auto"/>
              <w:rPr>
                <w:sz w:val="20"/>
                <w:szCs w:val="20"/>
              </w:rPr>
            </w:pPr>
            <w:r>
              <w:rPr>
                <w:sz w:val="20"/>
                <w:szCs w:val="20"/>
                <w:spacing w:val="4"/>
              </w:rPr>
              <w:t>废气类别</w:t>
            </w:r>
          </w:p>
        </w:tc>
        <w:tc>
          <w:tcPr>
            <w:tcW w:w="1259" w:type="dxa"/>
            <w:vAlign w:val="top"/>
            <w:vMerge w:val="restart"/>
            <w:tcBorders>
              <w:bottom w:val="nil"/>
            </w:tcBorders>
          </w:tcPr>
          <w:p>
            <w:pPr>
              <w:spacing w:line="247" w:lineRule="auto"/>
              <w:rPr>
                <w:rFonts w:ascii="Arial"/>
                <w:sz w:val="21"/>
              </w:rPr>
            </w:pPr>
            <w:r/>
          </w:p>
          <w:p>
            <w:pPr>
              <w:pStyle w:val="TableText"/>
              <w:ind w:left="320"/>
              <w:spacing w:before="65" w:line="220" w:lineRule="auto"/>
              <w:rPr>
                <w:sz w:val="20"/>
                <w:szCs w:val="20"/>
              </w:rPr>
            </w:pPr>
            <w:r>
              <w:rPr>
                <w:sz w:val="20"/>
                <w:szCs w:val="20"/>
                <w:spacing w:val="-3"/>
              </w:rPr>
              <w:t>污染物</w:t>
            </w:r>
          </w:p>
        </w:tc>
        <w:tc>
          <w:tcPr>
            <w:tcW w:w="2408" w:type="dxa"/>
            <w:vAlign w:val="top"/>
            <w:gridSpan w:val="2"/>
          </w:tcPr>
          <w:p>
            <w:pPr>
              <w:pStyle w:val="TableText"/>
              <w:ind w:left="292"/>
              <w:spacing w:before="33" w:line="219" w:lineRule="auto"/>
              <w:rPr>
                <w:sz w:val="20"/>
                <w:szCs w:val="20"/>
              </w:rPr>
            </w:pPr>
            <w:r>
              <w:rPr>
                <w:sz w:val="20"/>
                <w:szCs w:val="20"/>
                <w:spacing w:val="-1"/>
              </w:rPr>
              <w:t>排气筒底部中心坐标</w:t>
            </w:r>
          </w:p>
          <w:p>
            <w:pPr>
              <w:pStyle w:val="TableText"/>
              <w:ind w:left="791"/>
              <w:spacing w:before="43" w:line="203" w:lineRule="auto"/>
              <w:rPr>
                <w:sz w:val="20"/>
                <w:szCs w:val="20"/>
              </w:rPr>
            </w:pPr>
            <w:r>
              <w:rPr>
                <w:sz w:val="20"/>
                <w:szCs w:val="20"/>
                <w:spacing w:val="8"/>
              </w:rPr>
              <w:t>(经纬度)</w:t>
            </w:r>
          </w:p>
        </w:tc>
        <w:tc>
          <w:tcPr>
            <w:tcW w:w="989" w:type="dxa"/>
            <w:vAlign w:val="top"/>
            <w:vMerge w:val="restart"/>
            <w:tcBorders>
              <w:bottom w:val="nil"/>
            </w:tcBorders>
          </w:tcPr>
          <w:p>
            <w:pPr>
              <w:pStyle w:val="TableText"/>
              <w:ind w:left="183" w:right="182"/>
              <w:spacing w:before="172" w:line="230" w:lineRule="auto"/>
              <w:rPr>
                <w:sz w:val="20"/>
                <w:szCs w:val="20"/>
              </w:rPr>
            </w:pPr>
            <w:r>
              <w:rPr>
                <w:sz w:val="20"/>
                <w:szCs w:val="20"/>
                <w:spacing w:val="4"/>
              </w:rPr>
              <w:t>排气筒</w:t>
            </w:r>
            <w:r>
              <w:rPr>
                <w:sz w:val="20"/>
                <w:szCs w:val="20"/>
              </w:rPr>
              <w:t xml:space="preserve"> </w:t>
            </w:r>
            <w:r>
              <w:rPr>
                <w:sz w:val="20"/>
                <w:szCs w:val="20"/>
                <w:spacing w:val="-3"/>
              </w:rPr>
              <w:t>高度/m</w:t>
            </w:r>
          </w:p>
        </w:tc>
        <w:tc>
          <w:tcPr>
            <w:tcW w:w="1099" w:type="dxa"/>
            <w:vAlign w:val="top"/>
            <w:vMerge w:val="restart"/>
            <w:tcBorders>
              <w:bottom w:val="nil"/>
            </w:tcBorders>
          </w:tcPr>
          <w:p>
            <w:pPr>
              <w:pStyle w:val="TableText"/>
              <w:ind w:left="145" w:right="119"/>
              <w:spacing w:before="173" w:line="234" w:lineRule="auto"/>
              <w:rPr>
                <w:sz w:val="20"/>
                <w:szCs w:val="20"/>
              </w:rPr>
            </w:pPr>
            <w:r>
              <w:rPr>
                <w:sz w:val="20"/>
                <w:szCs w:val="20"/>
                <w:spacing w:val="6"/>
              </w:rPr>
              <w:t>排气筒出</w:t>
            </w:r>
            <w:r>
              <w:rPr>
                <w:sz w:val="20"/>
                <w:szCs w:val="20"/>
              </w:rPr>
              <w:t xml:space="preserve"> </w:t>
            </w:r>
            <w:r>
              <w:rPr>
                <w:sz w:val="20"/>
                <w:szCs w:val="20"/>
              </w:rPr>
              <w:t>口内径/m</w:t>
            </w:r>
          </w:p>
        </w:tc>
        <w:tc>
          <w:tcPr>
            <w:tcW w:w="1029" w:type="dxa"/>
            <w:vAlign w:val="top"/>
            <w:vMerge w:val="restart"/>
            <w:tcBorders>
              <w:bottom w:val="nil"/>
            </w:tcBorders>
          </w:tcPr>
          <w:p>
            <w:pPr>
              <w:pStyle w:val="TableText"/>
              <w:ind w:left="205"/>
              <w:spacing w:before="163" w:line="273" w:lineRule="exact"/>
              <w:rPr>
                <w:sz w:val="20"/>
                <w:szCs w:val="20"/>
              </w:rPr>
            </w:pPr>
            <w:r>
              <w:rPr>
                <w:sz w:val="20"/>
                <w:szCs w:val="20"/>
                <w:spacing w:val="-2"/>
                <w:position w:val="5"/>
              </w:rPr>
              <w:t>废气量</w:t>
            </w:r>
          </w:p>
          <w:p>
            <w:pPr>
              <w:pStyle w:val="TableText"/>
              <w:ind w:left="155"/>
              <w:spacing w:line="222" w:lineRule="auto"/>
              <w:rPr>
                <w:sz w:val="20"/>
                <w:szCs w:val="20"/>
              </w:rPr>
            </w:pPr>
            <w:r>
              <w:rPr>
                <w:sz w:val="20"/>
                <w:szCs w:val="20"/>
                <w:spacing w:val="-6"/>
              </w:rPr>
              <w:t>(m³/h)</w:t>
            </w:r>
          </w:p>
        </w:tc>
        <w:tc>
          <w:tcPr>
            <w:tcW w:w="850" w:type="dxa"/>
            <w:vAlign w:val="top"/>
            <w:vMerge w:val="restart"/>
            <w:tcBorders>
              <w:bottom w:val="nil"/>
            </w:tcBorders>
          </w:tcPr>
          <w:p>
            <w:pPr>
              <w:pStyle w:val="TableText"/>
              <w:ind w:left="166" w:right="131" w:hanging="50"/>
              <w:spacing w:before="165" w:line="234" w:lineRule="auto"/>
              <w:rPr>
                <w:sz w:val="20"/>
                <w:szCs w:val="20"/>
              </w:rPr>
            </w:pPr>
            <w:r>
              <w:rPr>
                <w:sz w:val="20"/>
                <w:szCs w:val="20"/>
                <w:spacing w:val="-3"/>
              </w:rPr>
              <w:t>烟气温</w:t>
            </w:r>
            <w:r>
              <w:rPr>
                <w:sz w:val="20"/>
                <w:szCs w:val="20"/>
              </w:rPr>
              <w:t xml:space="preserve"> </w:t>
            </w:r>
            <w:r>
              <w:rPr>
                <w:sz w:val="20"/>
                <w:szCs w:val="20"/>
                <w:spacing w:val="9"/>
              </w:rPr>
              <w:t>度/℃</w:t>
            </w:r>
          </w:p>
        </w:tc>
        <w:tc>
          <w:tcPr>
            <w:tcW w:w="999" w:type="dxa"/>
            <w:vAlign w:val="top"/>
            <w:vMerge w:val="restart"/>
            <w:tcBorders>
              <w:bottom w:val="nil"/>
            </w:tcBorders>
          </w:tcPr>
          <w:p>
            <w:pPr>
              <w:pStyle w:val="TableText"/>
              <w:ind w:left="196"/>
              <w:spacing w:before="173" w:line="272" w:lineRule="exact"/>
              <w:rPr>
                <w:sz w:val="20"/>
                <w:szCs w:val="20"/>
              </w:rPr>
            </w:pPr>
            <w:r>
              <w:rPr>
                <w:sz w:val="20"/>
                <w:szCs w:val="20"/>
                <w:spacing w:val="-2"/>
                <w:position w:val="5"/>
              </w:rPr>
              <w:t>年排放</w:t>
            </w:r>
          </w:p>
          <w:p>
            <w:pPr>
              <w:pStyle w:val="TableText"/>
              <w:ind w:left="196"/>
              <w:spacing w:line="221" w:lineRule="auto"/>
              <w:rPr>
                <w:sz w:val="20"/>
                <w:szCs w:val="20"/>
              </w:rPr>
            </w:pPr>
            <w:r>
              <w:rPr>
                <w:sz w:val="20"/>
                <w:szCs w:val="20"/>
                <w:spacing w:val="-3"/>
              </w:rPr>
              <w:t>小时/h</w:t>
            </w:r>
          </w:p>
        </w:tc>
        <w:tc>
          <w:tcPr>
            <w:tcW w:w="840" w:type="dxa"/>
            <w:vAlign w:val="top"/>
            <w:vMerge w:val="restart"/>
            <w:tcBorders>
              <w:bottom w:val="nil"/>
            </w:tcBorders>
          </w:tcPr>
          <w:p>
            <w:pPr>
              <w:pStyle w:val="TableText"/>
              <w:ind w:left="317" w:right="119" w:hanging="200"/>
              <w:spacing w:before="175" w:line="234" w:lineRule="auto"/>
              <w:rPr>
                <w:sz w:val="20"/>
                <w:szCs w:val="20"/>
              </w:rPr>
            </w:pPr>
            <w:r>
              <w:rPr>
                <w:sz w:val="20"/>
                <w:szCs w:val="20"/>
                <w:spacing w:val="-3"/>
              </w:rPr>
              <w:t>排放工</w:t>
            </w:r>
            <w:r>
              <w:rPr>
                <w:sz w:val="20"/>
                <w:szCs w:val="20"/>
              </w:rPr>
              <w:t xml:space="preserve"> </w:t>
            </w:r>
            <w:r>
              <w:rPr>
                <w:sz w:val="20"/>
                <w:szCs w:val="20"/>
              </w:rPr>
              <w:t>况</w:t>
            </w:r>
          </w:p>
        </w:tc>
        <w:tc>
          <w:tcPr>
            <w:tcW w:w="989" w:type="dxa"/>
            <w:vAlign w:val="top"/>
            <w:vMerge w:val="restart"/>
            <w:tcBorders>
              <w:bottom w:val="nil"/>
            </w:tcBorders>
          </w:tcPr>
          <w:p>
            <w:pPr>
              <w:pStyle w:val="TableText"/>
              <w:ind w:left="187"/>
              <w:spacing w:before="24" w:line="221" w:lineRule="auto"/>
              <w:rPr>
                <w:sz w:val="20"/>
                <w:szCs w:val="20"/>
              </w:rPr>
            </w:pPr>
            <w:r>
              <w:rPr>
                <w:sz w:val="20"/>
                <w:szCs w:val="20"/>
                <w:spacing w:val="-2"/>
              </w:rPr>
              <w:t>排放速</w:t>
            </w:r>
          </w:p>
          <w:p>
            <w:pPr>
              <w:pStyle w:val="TableText"/>
              <w:ind w:left="387"/>
              <w:spacing w:before="59" w:line="219" w:lineRule="auto"/>
              <w:rPr>
                <w:sz w:val="20"/>
                <w:szCs w:val="20"/>
              </w:rPr>
            </w:pPr>
            <w:r>
              <w:rPr>
                <w:sz w:val="20"/>
                <w:szCs w:val="20"/>
              </w:rPr>
              <w:t>率</w:t>
            </w:r>
          </w:p>
          <w:p>
            <w:pPr>
              <w:pStyle w:val="TableText"/>
              <w:ind w:left="187"/>
              <w:spacing w:before="15" w:line="210" w:lineRule="auto"/>
              <w:rPr>
                <w:sz w:val="20"/>
                <w:szCs w:val="20"/>
              </w:rPr>
            </w:pPr>
            <w:r>
              <w:rPr>
                <w:sz w:val="20"/>
                <w:szCs w:val="20"/>
                <w:spacing w:val="-6"/>
              </w:rPr>
              <w:t>(kg/h)</w:t>
            </w:r>
          </w:p>
        </w:tc>
        <w:tc>
          <w:tcPr>
            <w:tcW w:w="1129" w:type="dxa"/>
            <w:vAlign w:val="top"/>
            <w:vMerge w:val="restart"/>
            <w:tcBorders>
              <w:bottom w:val="nil"/>
            </w:tcBorders>
          </w:tcPr>
          <w:p>
            <w:pPr>
              <w:pStyle w:val="TableText"/>
              <w:ind w:left="158" w:right="167"/>
              <w:spacing w:before="163" w:line="233" w:lineRule="auto"/>
              <w:rPr>
                <w:sz w:val="20"/>
                <w:szCs w:val="20"/>
              </w:rPr>
            </w:pPr>
            <w:r>
              <w:rPr>
                <w:sz w:val="20"/>
                <w:szCs w:val="20"/>
                <w:spacing w:val="-2"/>
              </w:rPr>
              <w:t>排放浓度</w:t>
            </w:r>
            <w:r>
              <w:rPr>
                <w:sz w:val="20"/>
                <w:szCs w:val="20"/>
              </w:rPr>
              <w:t xml:space="preserve"> </w:t>
            </w:r>
            <w:r>
              <w:rPr>
                <w:sz w:val="20"/>
                <w:szCs w:val="20"/>
                <w:spacing w:val="-6"/>
              </w:rPr>
              <w:t>(mg/m³)</w:t>
            </w:r>
          </w:p>
        </w:tc>
        <w:tc>
          <w:tcPr>
            <w:tcW w:w="854" w:type="dxa"/>
            <w:vAlign w:val="top"/>
            <w:vMerge w:val="restart"/>
            <w:tcBorders>
              <w:bottom w:val="nil"/>
            </w:tcBorders>
          </w:tcPr>
          <w:p>
            <w:pPr>
              <w:pStyle w:val="TableText"/>
              <w:ind w:left="170" w:right="131" w:hanging="50"/>
              <w:spacing w:before="155" w:line="250" w:lineRule="auto"/>
              <w:rPr>
                <w:sz w:val="20"/>
                <w:szCs w:val="20"/>
              </w:rPr>
            </w:pPr>
            <w:r>
              <w:rPr>
                <w:sz w:val="20"/>
                <w:szCs w:val="20"/>
                <w:spacing w:val="-3"/>
              </w:rPr>
              <w:t>排放量</w:t>
            </w:r>
            <w:r>
              <w:rPr>
                <w:sz w:val="20"/>
                <w:szCs w:val="20"/>
              </w:rPr>
              <w:t xml:space="preserve"> </w:t>
            </w:r>
            <w:r>
              <w:rPr>
                <w:sz w:val="20"/>
                <w:szCs w:val="20"/>
                <w:spacing w:val="-7"/>
              </w:rPr>
              <w:t>(t/a)</w:t>
            </w:r>
          </w:p>
        </w:tc>
      </w:tr>
      <w:tr>
        <w:trPr>
          <w:trHeight w:val="260" w:hRule="atLeast"/>
        </w:trPr>
        <w:tc>
          <w:tcPr>
            <w:tcW w:w="904" w:type="dxa"/>
            <w:vAlign w:val="top"/>
            <w:vMerge w:val="continue"/>
            <w:tcBorders>
              <w:top w:val="nil"/>
            </w:tcBorders>
          </w:tcPr>
          <w:p>
            <w:pPr>
              <w:rPr>
                <w:rFonts w:ascii="Arial"/>
                <w:sz w:val="21"/>
              </w:rPr>
            </w:pPr>
            <w:r/>
          </w:p>
        </w:tc>
        <w:tc>
          <w:tcPr>
            <w:tcW w:w="1410" w:type="dxa"/>
            <w:vAlign w:val="top"/>
            <w:gridSpan w:val="2"/>
            <w:vMerge w:val="continue"/>
            <w:tcBorders>
              <w:top w:val="nil"/>
            </w:tcBorders>
          </w:tcPr>
          <w:p>
            <w:pPr>
              <w:rPr>
                <w:rFonts w:ascii="Arial"/>
                <w:sz w:val="21"/>
              </w:rPr>
            </w:pPr>
            <w:r/>
          </w:p>
        </w:tc>
        <w:tc>
          <w:tcPr>
            <w:tcW w:w="1259" w:type="dxa"/>
            <w:vAlign w:val="top"/>
            <w:vMerge w:val="continue"/>
            <w:tcBorders>
              <w:top w:val="nil"/>
            </w:tcBorders>
          </w:tcPr>
          <w:p>
            <w:pPr>
              <w:rPr>
                <w:rFonts w:ascii="Arial"/>
                <w:sz w:val="21"/>
              </w:rPr>
            </w:pPr>
            <w:r/>
          </w:p>
        </w:tc>
        <w:tc>
          <w:tcPr>
            <w:tcW w:w="1279" w:type="dxa"/>
            <w:vAlign w:val="top"/>
          </w:tcPr>
          <w:p>
            <w:pPr>
              <w:pStyle w:val="TableText"/>
              <w:ind w:left="581"/>
              <w:spacing w:before="82" w:line="167" w:lineRule="exact"/>
              <w:rPr>
                <w:sz w:val="20"/>
                <w:szCs w:val="20"/>
              </w:rPr>
            </w:pPr>
            <w:r>
              <w:rPr>
                <w:sz w:val="20"/>
                <w:szCs w:val="20"/>
                <w:position w:val="-2"/>
              </w:rPr>
              <w:t>E</w:t>
            </w:r>
          </w:p>
        </w:tc>
        <w:tc>
          <w:tcPr>
            <w:tcW w:w="1129" w:type="dxa"/>
            <w:vAlign w:val="top"/>
          </w:tcPr>
          <w:p>
            <w:pPr>
              <w:pStyle w:val="TableText"/>
              <w:ind w:left="502"/>
              <w:spacing w:before="82" w:line="167" w:lineRule="exact"/>
              <w:rPr>
                <w:sz w:val="20"/>
                <w:szCs w:val="20"/>
              </w:rPr>
            </w:pPr>
            <w:r>
              <w:rPr>
                <w:sz w:val="20"/>
                <w:szCs w:val="20"/>
                <w:position w:val="-2"/>
              </w:rPr>
              <w:t>N</w:t>
            </w:r>
          </w:p>
        </w:tc>
        <w:tc>
          <w:tcPr>
            <w:tcW w:w="989" w:type="dxa"/>
            <w:vAlign w:val="top"/>
            <w:vMerge w:val="continue"/>
            <w:tcBorders>
              <w:top w:val="nil"/>
            </w:tcBorders>
          </w:tcPr>
          <w:p>
            <w:pPr>
              <w:rPr>
                <w:rFonts w:ascii="Arial"/>
                <w:sz w:val="21"/>
              </w:rPr>
            </w:pPr>
            <w:r/>
          </w:p>
        </w:tc>
        <w:tc>
          <w:tcPr>
            <w:tcW w:w="1099" w:type="dxa"/>
            <w:vAlign w:val="top"/>
            <w:vMerge w:val="continue"/>
            <w:tcBorders>
              <w:top w:val="nil"/>
            </w:tcBorders>
          </w:tcPr>
          <w:p>
            <w:pPr>
              <w:rPr>
                <w:rFonts w:ascii="Arial"/>
                <w:sz w:val="21"/>
              </w:rPr>
            </w:pPr>
            <w:r/>
          </w:p>
        </w:tc>
        <w:tc>
          <w:tcPr>
            <w:tcW w:w="1029" w:type="dxa"/>
            <w:vAlign w:val="top"/>
            <w:vMerge w:val="continue"/>
            <w:tcBorders>
              <w:top w:val="nil"/>
            </w:tcBorders>
          </w:tcPr>
          <w:p>
            <w:pPr>
              <w:rPr>
                <w:rFonts w:ascii="Arial"/>
                <w:sz w:val="21"/>
              </w:rPr>
            </w:pPr>
            <w:r/>
          </w:p>
        </w:tc>
        <w:tc>
          <w:tcPr>
            <w:tcW w:w="850" w:type="dxa"/>
            <w:vAlign w:val="top"/>
            <w:vMerge w:val="continue"/>
            <w:tcBorders>
              <w:top w:val="nil"/>
            </w:tcBorders>
          </w:tcPr>
          <w:p>
            <w:pPr>
              <w:rPr>
                <w:rFonts w:ascii="Arial"/>
                <w:sz w:val="21"/>
              </w:rPr>
            </w:pPr>
            <w:r/>
          </w:p>
        </w:tc>
        <w:tc>
          <w:tcPr>
            <w:tcW w:w="999" w:type="dxa"/>
            <w:vAlign w:val="top"/>
            <w:vMerge w:val="continue"/>
            <w:tcBorders>
              <w:top w:val="nil"/>
            </w:tcBorders>
          </w:tcPr>
          <w:p>
            <w:pPr>
              <w:rPr>
                <w:rFonts w:ascii="Arial"/>
                <w:sz w:val="21"/>
              </w:rPr>
            </w:pPr>
            <w:r/>
          </w:p>
        </w:tc>
        <w:tc>
          <w:tcPr>
            <w:tcW w:w="840" w:type="dxa"/>
            <w:vAlign w:val="top"/>
            <w:vMerge w:val="continue"/>
            <w:tcBorders>
              <w:top w:val="nil"/>
            </w:tcBorders>
          </w:tcPr>
          <w:p>
            <w:pPr>
              <w:rPr>
                <w:rFonts w:ascii="Arial"/>
                <w:sz w:val="21"/>
              </w:rPr>
            </w:pPr>
            <w:r/>
          </w:p>
        </w:tc>
        <w:tc>
          <w:tcPr>
            <w:tcW w:w="989" w:type="dxa"/>
            <w:vAlign w:val="top"/>
            <w:vMerge w:val="continue"/>
            <w:tcBorders>
              <w:top w:val="nil"/>
            </w:tcBorders>
          </w:tcPr>
          <w:p>
            <w:pPr>
              <w:rPr>
                <w:rFonts w:ascii="Arial"/>
                <w:sz w:val="21"/>
              </w:rPr>
            </w:pPr>
            <w:r/>
          </w:p>
        </w:tc>
        <w:tc>
          <w:tcPr>
            <w:tcW w:w="1129" w:type="dxa"/>
            <w:vAlign w:val="top"/>
            <w:vMerge w:val="continue"/>
            <w:tcBorders>
              <w:top w:val="nil"/>
            </w:tcBorders>
          </w:tcPr>
          <w:p>
            <w:pPr>
              <w:rPr>
                <w:rFonts w:ascii="Arial"/>
                <w:sz w:val="21"/>
              </w:rPr>
            </w:pPr>
            <w:r/>
          </w:p>
        </w:tc>
        <w:tc>
          <w:tcPr>
            <w:tcW w:w="854" w:type="dxa"/>
            <w:vAlign w:val="top"/>
            <w:vMerge w:val="continue"/>
            <w:tcBorders>
              <w:top w:val="nil"/>
            </w:tcBorders>
          </w:tcPr>
          <w:p>
            <w:pPr>
              <w:rPr>
                <w:rFonts w:ascii="Arial"/>
                <w:sz w:val="21"/>
              </w:rPr>
            </w:pPr>
            <w:r/>
          </w:p>
        </w:tc>
      </w:tr>
      <w:tr>
        <w:trPr>
          <w:trHeight w:val="809" w:hRule="atLeast"/>
        </w:trPr>
        <w:tc>
          <w:tcPr>
            <w:tcW w:w="904" w:type="dxa"/>
            <w:vAlign w:val="top"/>
          </w:tcPr>
          <w:p>
            <w:pPr>
              <w:spacing w:line="291" w:lineRule="auto"/>
              <w:rPr>
                <w:rFonts w:ascii="Arial"/>
                <w:sz w:val="21"/>
              </w:rPr>
            </w:pPr>
            <w:r/>
          </w:p>
          <w:p>
            <w:pPr>
              <w:pStyle w:val="TableText"/>
              <w:ind w:left="195"/>
              <w:spacing w:before="65" w:line="185" w:lineRule="auto"/>
              <w:rPr>
                <w:sz w:val="20"/>
                <w:szCs w:val="20"/>
              </w:rPr>
            </w:pPr>
            <w:r>
              <w:rPr>
                <w:sz w:val="20"/>
                <w:szCs w:val="20"/>
                <w:spacing w:val="-1"/>
              </w:rPr>
              <w:t>DA026</w:t>
            </w:r>
          </w:p>
        </w:tc>
        <w:tc>
          <w:tcPr>
            <w:tcW w:w="700" w:type="dxa"/>
            <w:vAlign w:val="top"/>
          </w:tcPr>
          <w:p>
            <w:pPr>
              <w:pStyle w:val="TableText"/>
              <w:ind w:left="140" w:right="135"/>
              <w:spacing w:before="149" w:line="244" w:lineRule="auto"/>
              <w:rPr>
                <w:sz w:val="20"/>
                <w:szCs w:val="20"/>
              </w:rPr>
            </w:pPr>
            <w:r>
              <w:rPr>
                <w:sz w:val="20"/>
                <w:szCs w:val="20"/>
                <w:spacing w:val="3"/>
              </w:rPr>
              <w:t>凹版</w:t>
            </w:r>
            <w:r>
              <w:rPr>
                <w:sz w:val="20"/>
                <w:szCs w:val="20"/>
              </w:rPr>
              <w:t xml:space="preserve"> </w:t>
            </w:r>
            <w:r>
              <w:rPr>
                <w:sz w:val="20"/>
                <w:szCs w:val="20"/>
                <w:spacing w:val="7"/>
              </w:rPr>
              <w:t>厂房</w:t>
            </w:r>
          </w:p>
        </w:tc>
        <w:tc>
          <w:tcPr>
            <w:tcW w:w="710" w:type="dxa"/>
            <w:vAlign w:val="top"/>
          </w:tcPr>
          <w:p>
            <w:pPr>
              <w:pStyle w:val="TableText"/>
              <w:ind w:left="140"/>
              <w:spacing w:before="8" w:line="270" w:lineRule="exact"/>
              <w:rPr>
                <w:sz w:val="20"/>
                <w:szCs w:val="20"/>
              </w:rPr>
            </w:pPr>
            <w:r>
              <w:rPr>
                <w:sz w:val="20"/>
                <w:szCs w:val="20"/>
                <w:spacing w:val="5"/>
                <w:position w:val="4"/>
              </w:rPr>
              <w:t>涂布</w:t>
            </w:r>
          </w:p>
          <w:p>
            <w:pPr>
              <w:pStyle w:val="TableText"/>
              <w:ind w:left="140"/>
              <w:spacing w:line="218" w:lineRule="auto"/>
              <w:rPr>
                <w:sz w:val="20"/>
                <w:szCs w:val="20"/>
              </w:rPr>
            </w:pPr>
            <w:r>
              <w:rPr>
                <w:sz w:val="20"/>
                <w:szCs w:val="20"/>
                <w:spacing w:val="-2"/>
              </w:rPr>
              <w:t>烘干</w:t>
            </w:r>
          </w:p>
          <w:p>
            <w:pPr>
              <w:pStyle w:val="TableText"/>
              <w:ind w:left="140"/>
              <w:spacing w:before="34" w:line="220" w:lineRule="auto"/>
              <w:rPr>
                <w:sz w:val="20"/>
                <w:szCs w:val="20"/>
              </w:rPr>
            </w:pPr>
            <w:r>
              <w:rPr>
                <w:sz w:val="20"/>
                <w:szCs w:val="20"/>
                <w:spacing w:val="6"/>
              </w:rPr>
              <w:t>废气</w:t>
            </w:r>
          </w:p>
        </w:tc>
        <w:tc>
          <w:tcPr>
            <w:tcW w:w="1259" w:type="dxa"/>
            <w:vAlign w:val="top"/>
          </w:tcPr>
          <w:p>
            <w:pPr>
              <w:spacing w:line="243" w:lineRule="auto"/>
              <w:rPr>
                <w:rFonts w:ascii="Arial"/>
                <w:sz w:val="21"/>
              </w:rPr>
            </w:pPr>
            <w:r/>
          </w:p>
          <w:p>
            <w:pPr>
              <w:pStyle w:val="TableText"/>
              <w:ind w:left="120"/>
              <w:spacing w:before="65" w:line="220" w:lineRule="auto"/>
              <w:rPr>
                <w:sz w:val="20"/>
                <w:szCs w:val="20"/>
              </w:rPr>
            </w:pPr>
            <w:r>
              <w:rPr>
                <w:sz w:val="20"/>
                <w:szCs w:val="20"/>
                <w:spacing w:val="-2"/>
              </w:rPr>
              <w:t>非甲烷总烃</w:t>
            </w:r>
          </w:p>
        </w:tc>
        <w:tc>
          <w:tcPr>
            <w:tcW w:w="1279" w:type="dxa"/>
            <w:vAlign w:val="top"/>
          </w:tcPr>
          <w:p>
            <w:pPr>
              <w:pStyle w:val="TableText"/>
              <w:ind w:left="282"/>
              <w:spacing w:before="189" w:line="300" w:lineRule="exact"/>
              <w:rPr>
                <w:sz w:val="20"/>
                <w:szCs w:val="20"/>
              </w:rPr>
            </w:pPr>
            <w:r>
              <w:rPr>
                <w:sz w:val="20"/>
                <w:szCs w:val="20"/>
                <w:spacing w:val="-4"/>
                <w:position w:val="6"/>
              </w:rPr>
              <w:t>120°0'</w:t>
            </w:r>
          </w:p>
          <w:p>
            <w:pPr>
              <w:pStyle w:val="TableText"/>
              <w:ind w:left="332"/>
              <w:spacing w:line="183" w:lineRule="auto"/>
              <w:rPr>
                <w:sz w:val="20"/>
                <w:szCs w:val="20"/>
              </w:rPr>
            </w:pPr>
            <w:r>
              <w:rPr>
                <w:sz w:val="20"/>
                <w:szCs w:val="20"/>
                <w:spacing w:val="-2"/>
              </w:rPr>
              <w:t>36.174</w:t>
            </w:r>
          </w:p>
        </w:tc>
        <w:tc>
          <w:tcPr>
            <w:tcW w:w="1129" w:type="dxa"/>
            <w:vAlign w:val="top"/>
          </w:tcPr>
          <w:p>
            <w:pPr>
              <w:pStyle w:val="TableText"/>
              <w:ind w:left="202"/>
              <w:spacing w:before="199" w:line="280" w:lineRule="exact"/>
              <w:rPr>
                <w:sz w:val="20"/>
                <w:szCs w:val="20"/>
              </w:rPr>
            </w:pPr>
            <w:r>
              <w:rPr>
                <w:sz w:val="20"/>
                <w:szCs w:val="20"/>
                <w:spacing w:val="-2"/>
                <w:position w:val="4"/>
              </w:rPr>
              <w:t>26°51'</w:t>
            </w:r>
          </w:p>
          <w:p>
            <w:pPr>
              <w:pStyle w:val="TableText"/>
              <w:ind w:left="252"/>
              <w:spacing w:line="183" w:lineRule="auto"/>
              <w:rPr>
                <w:sz w:val="20"/>
                <w:szCs w:val="20"/>
              </w:rPr>
            </w:pPr>
            <w:r>
              <w:rPr>
                <w:sz w:val="20"/>
                <w:szCs w:val="20"/>
                <w:spacing w:val="-2"/>
              </w:rPr>
              <w:t>21.170</w:t>
            </w:r>
          </w:p>
        </w:tc>
        <w:tc>
          <w:tcPr>
            <w:tcW w:w="989" w:type="dxa"/>
            <w:vAlign w:val="top"/>
          </w:tcPr>
          <w:p>
            <w:pPr>
              <w:spacing w:line="294" w:lineRule="auto"/>
              <w:rPr>
                <w:rFonts w:ascii="Arial"/>
                <w:sz w:val="21"/>
              </w:rPr>
            </w:pPr>
            <w:r/>
          </w:p>
          <w:p>
            <w:pPr>
              <w:pStyle w:val="TableText"/>
              <w:ind w:left="383"/>
              <w:spacing w:before="65" w:line="183" w:lineRule="auto"/>
              <w:rPr>
                <w:sz w:val="20"/>
                <w:szCs w:val="20"/>
              </w:rPr>
            </w:pPr>
            <w:r>
              <w:rPr>
                <w:sz w:val="20"/>
                <w:szCs w:val="20"/>
                <w:spacing w:val="-3"/>
              </w:rPr>
              <w:t>27</w:t>
            </w:r>
          </w:p>
        </w:tc>
        <w:tc>
          <w:tcPr>
            <w:tcW w:w="1099" w:type="dxa"/>
            <w:vAlign w:val="top"/>
          </w:tcPr>
          <w:p>
            <w:pPr>
              <w:spacing w:line="292" w:lineRule="auto"/>
              <w:rPr>
                <w:rFonts w:ascii="Arial"/>
                <w:sz w:val="21"/>
              </w:rPr>
            </w:pPr>
            <w:r/>
          </w:p>
          <w:p>
            <w:pPr>
              <w:pStyle w:val="TableText"/>
              <w:ind w:left="344"/>
              <w:spacing w:before="65" w:line="184" w:lineRule="auto"/>
              <w:rPr>
                <w:sz w:val="20"/>
                <w:szCs w:val="20"/>
              </w:rPr>
            </w:pPr>
            <w:r>
              <w:rPr>
                <w:sz w:val="20"/>
                <w:szCs w:val="20"/>
                <w:spacing w:val="-6"/>
              </w:rPr>
              <w:t>1×1</w:t>
            </w:r>
          </w:p>
        </w:tc>
        <w:tc>
          <w:tcPr>
            <w:tcW w:w="1029" w:type="dxa"/>
            <w:vAlign w:val="top"/>
          </w:tcPr>
          <w:p>
            <w:pPr>
              <w:spacing w:line="294" w:lineRule="auto"/>
              <w:rPr>
                <w:rFonts w:ascii="Arial"/>
                <w:sz w:val="21"/>
              </w:rPr>
            </w:pPr>
            <w:r/>
          </w:p>
          <w:p>
            <w:pPr>
              <w:pStyle w:val="TableText"/>
              <w:ind w:left="255"/>
              <w:spacing w:before="65" w:line="183" w:lineRule="auto"/>
              <w:rPr>
                <w:sz w:val="20"/>
                <w:szCs w:val="20"/>
              </w:rPr>
            </w:pPr>
            <w:r>
              <w:rPr>
                <w:sz w:val="20"/>
                <w:szCs w:val="20"/>
                <w:spacing w:val="-2"/>
              </w:rPr>
              <w:t>32500</w:t>
            </w:r>
          </w:p>
        </w:tc>
        <w:tc>
          <w:tcPr>
            <w:tcW w:w="850" w:type="dxa"/>
            <w:vAlign w:val="top"/>
          </w:tcPr>
          <w:p>
            <w:pPr>
              <w:spacing w:line="294" w:lineRule="auto"/>
              <w:rPr>
                <w:rFonts w:ascii="Arial"/>
                <w:sz w:val="21"/>
              </w:rPr>
            </w:pPr>
            <w:r/>
          </w:p>
          <w:p>
            <w:pPr>
              <w:pStyle w:val="TableText"/>
              <w:ind w:left="316"/>
              <w:spacing w:before="65" w:line="183" w:lineRule="auto"/>
              <w:rPr>
                <w:sz w:val="20"/>
                <w:szCs w:val="20"/>
              </w:rPr>
            </w:pPr>
            <w:r>
              <w:rPr>
                <w:sz w:val="20"/>
                <w:szCs w:val="20"/>
                <w:spacing w:val="-3"/>
              </w:rPr>
              <w:t>25</w:t>
            </w:r>
          </w:p>
        </w:tc>
        <w:tc>
          <w:tcPr>
            <w:tcW w:w="999" w:type="dxa"/>
            <w:vAlign w:val="top"/>
          </w:tcPr>
          <w:p>
            <w:pPr>
              <w:spacing w:line="294" w:lineRule="auto"/>
              <w:rPr>
                <w:rFonts w:ascii="Arial"/>
                <w:sz w:val="21"/>
              </w:rPr>
            </w:pPr>
            <w:r/>
          </w:p>
          <w:p>
            <w:pPr>
              <w:pStyle w:val="TableText"/>
              <w:ind w:left="297"/>
              <w:spacing w:before="65" w:line="183" w:lineRule="auto"/>
              <w:rPr>
                <w:sz w:val="20"/>
                <w:szCs w:val="20"/>
              </w:rPr>
            </w:pPr>
            <w:r>
              <w:rPr>
                <w:sz w:val="20"/>
                <w:szCs w:val="20"/>
                <w:spacing w:val="-2"/>
              </w:rPr>
              <w:t>6600</w:t>
            </w:r>
          </w:p>
        </w:tc>
        <w:tc>
          <w:tcPr>
            <w:tcW w:w="840" w:type="dxa"/>
            <w:vAlign w:val="top"/>
          </w:tcPr>
          <w:p>
            <w:pPr>
              <w:pStyle w:val="TableText"/>
              <w:ind w:left="317" w:right="123" w:hanging="200"/>
              <w:spacing w:before="179" w:line="231" w:lineRule="auto"/>
              <w:rPr>
                <w:sz w:val="20"/>
                <w:szCs w:val="20"/>
              </w:rPr>
            </w:pPr>
            <w:r>
              <w:rPr>
                <w:sz w:val="20"/>
                <w:szCs w:val="20"/>
                <w:spacing w:val="-4"/>
              </w:rPr>
              <w:t>正常排</w:t>
            </w:r>
            <w:r>
              <w:rPr>
                <w:sz w:val="20"/>
                <w:szCs w:val="20"/>
              </w:rPr>
              <w:t xml:space="preserve"> </w:t>
            </w:r>
            <w:r>
              <w:rPr>
                <w:sz w:val="20"/>
                <w:szCs w:val="20"/>
              </w:rPr>
              <w:t>放</w:t>
            </w:r>
          </w:p>
        </w:tc>
        <w:tc>
          <w:tcPr>
            <w:tcW w:w="989" w:type="dxa"/>
            <w:vAlign w:val="top"/>
          </w:tcPr>
          <w:p>
            <w:pPr>
              <w:spacing w:line="292" w:lineRule="auto"/>
              <w:rPr>
                <w:rFonts w:ascii="Arial"/>
                <w:sz w:val="21"/>
              </w:rPr>
            </w:pPr>
            <w:r/>
          </w:p>
          <w:p>
            <w:pPr>
              <w:pStyle w:val="TableText"/>
              <w:ind w:left="237"/>
              <w:spacing w:before="65" w:line="184" w:lineRule="auto"/>
              <w:rPr>
                <w:sz w:val="20"/>
                <w:szCs w:val="20"/>
              </w:rPr>
            </w:pPr>
            <w:r>
              <w:rPr>
                <w:sz w:val="20"/>
                <w:szCs w:val="20"/>
                <w:spacing w:val="-2"/>
              </w:rPr>
              <w:t>0.145</w:t>
            </w:r>
          </w:p>
        </w:tc>
        <w:tc>
          <w:tcPr>
            <w:tcW w:w="1129" w:type="dxa"/>
            <w:vAlign w:val="top"/>
          </w:tcPr>
          <w:p>
            <w:pPr>
              <w:spacing w:line="294" w:lineRule="auto"/>
              <w:rPr>
                <w:rFonts w:ascii="Arial"/>
                <w:sz w:val="21"/>
              </w:rPr>
            </w:pPr>
            <w:r/>
          </w:p>
          <w:p>
            <w:pPr>
              <w:pStyle w:val="TableText"/>
              <w:ind w:left="358"/>
              <w:spacing w:before="65" w:line="183" w:lineRule="auto"/>
              <w:rPr>
                <w:sz w:val="20"/>
                <w:szCs w:val="20"/>
              </w:rPr>
            </w:pPr>
            <w:r>
              <w:rPr>
                <w:sz w:val="20"/>
                <w:szCs w:val="20"/>
                <w:spacing w:val="-2"/>
              </w:rPr>
              <w:t>4.47</w:t>
            </w:r>
          </w:p>
        </w:tc>
        <w:tc>
          <w:tcPr>
            <w:tcW w:w="854" w:type="dxa"/>
            <w:vAlign w:val="top"/>
          </w:tcPr>
          <w:p>
            <w:pPr>
              <w:spacing w:line="294" w:lineRule="auto"/>
              <w:rPr>
                <w:rFonts w:ascii="Arial"/>
                <w:sz w:val="21"/>
              </w:rPr>
            </w:pPr>
            <w:r/>
          </w:p>
          <w:p>
            <w:pPr>
              <w:pStyle w:val="TableText"/>
              <w:ind w:left="170"/>
              <w:spacing w:before="65" w:line="183" w:lineRule="auto"/>
              <w:rPr>
                <w:sz w:val="20"/>
                <w:szCs w:val="20"/>
              </w:rPr>
            </w:pPr>
            <w:r>
              <w:rPr>
                <w:sz w:val="20"/>
                <w:szCs w:val="20"/>
                <w:spacing w:val="-2"/>
              </w:rPr>
              <w:t>0.960</w:t>
            </w:r>
          </w:p>
        </w:tc>
      </w:tr>
      <w:tr>
        <w:trPr>
          <w:trHeight w:val="339" w:hRule="atLeast"/>
        </w:trPr>
        <w:tc>
          <w:tcPr>
            <w:tcW w:w="904" w:type="dxa"/>
            <w:vAlign w:val="top"/>
            <w:vMerge w:val="restart"/>
            <w:tcBorders>
              <w:bottom w:val="nil"/>
            </w:tcBorders>
          </w:tcPr>
          <w:p>
            <w:pPr>
              <w:spacing w:line="372" w:lineRule="auto"/>
              <w:rPr>
                <w:rFonts w:ascii="Arial"/>
                <w:sz w:val="21"/>
              </w:rPr>
            </w:pPr>
            <w:r/>
          </w:p>
          <w:p>
            <w:pPr>
              <w:pStyle w:val="TableText"/>
              <w:ind w:left="195"/>
              <w:spacing w:before="65" w:line="185" w:lineRule="auto"/>
              <w:rPr>
                <w:sz w:val="20"/>
                <w:szCs w:val="20"/>
              </w:rPr>
            </w:pPr>
            <w:r>
              <w:rPr>
                <w:sz w:val="20"/>
                <w:szCs w:val="20"/>
                <w:spacing w:val="-1"/>
              </w:rPr>
              <w:t>DA025</w:t>
            </w:r>
          </w:p>
        </w:tc>
        <w:tc>
          <w:tcPr>
            <w:tcW w:w="700" w:type="dxa"/>
            <w:vAlign w:val="top"/>
            <w:vMerge w:val="restart"/>
            <w:tcBorders>
              <w:bottom w:val="nil"/>
            </w:tcBorders>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6" w:lineRule="auto"/>
              <w:rPr>
                <w:rFonts w:ascii="Arial"/>
                <w:sz w:val="21"/>
              </w:rPr>
            </w:pPr>
            <w:r/>
          </w:p>
          <w:p>
            <w:pPr>
              <w:spacing w:line="286" w:lineRule="auto"/>
              <w:rPr>
                <w:rFonts w:ascii="Arial"/>
                <w:sz w:val="21"/>
              </w:rPr>
            </w:pPr>
            <w:r/>
          </w:p>
          <w:p>
            <w:pPr>
              <w:pStyle w:val="TableText"/>
              <w:ind w:left="140"/>
              <w:spacing w:before="65" w:line="220" w:lineRule="auto"/>
              <w:rPr>
                <w:sz w:val="20"/>
                <w:szCs w:val="20"/>
              </w:rPr>
            </w:pPr>
            <w:r>
              <w:rPr>
                <w:sz w:val="20"/>
                <w:szCs w:val="20"/>
                <w:spacing w:val="3"/>
              </w:rPr>
              <w:t>凹版</w:t>
            </w:r>
          </w:p>
          <w:p>
            <w:pPr>
              <w:pStyle w:val="TableText"/>
              <w:ind w:left="140"/>
              <w:spacing w:before="42" w:line="221" w:lineRule="auto"/>
              <w:rPr>
                <w:sz w:val="20"/>
                <w:szCs w:val="20"/>
              </w:rPr>
            </w:pPr>
            <w:r>
              <w:rPr>
                <w:sz w:val="20"/>
                <w:szCs w:val="20"/>
                <w:spacing w:val="4"/>
              </w:rPr>
              <w:t>设施</w:t>
            </w:r>
          </w:p>
          <w:p>
            <w:pPr>
              <w:pStyle w:val="TableText"/>
              <w:ind w:left="240"/>
              <w:spacing w:before="20" w:line="220" w:lineRule="auto"/>
              <w:rPr>
                <w:sz w:val="20"/>
                <w:szCs w:val="20"/>
              </w:rPr>
            </w:pPr>
            <w:r>
              <w:rPr>
                <w:sz w:val="20"/>
                <w:szCs w:val="20"/>
              </w:rPr>
              <w:t>房</w:t>
            </w:r>
          </w:p>
        </w:tc>
        <w:tc>
          <w:tcPr>
            <w:tcW w:w="710" w:type="dxa"/>
            <w:vAlign w:val="top"/>
            <w:vMerge w:val="restart"/>
            <w:tcBorders>
              <w:bottom w:val="nil"/>
            </w:tcBorders>
          </w:tcPr>
          <w:p>
            <w:pPr>
              <w:spacing w:line="417" w:lineRule="auto"/>
              <w:rPr>
                <w:rFonts w:ascii="Arial"/>
                <w:sz w:val="21"/>
              </w:rPr>
            </w:pPr>
            <w:r/>
          </w:p>
          <w:p>
            <w:pPr>
              <w:pStyle w:val="TableText"/>
              <w:ind w:left="140" w:right="131" w:hanging="50"/>
              <w:spacing w:before="65" w:line="234" w:lineRule="auto"/>
              <w:jc w:val="both"/>
              <w:rPr>
                <w:sz w:val="20"/>
                <w:szCs w:val="20"/>
              </w:rPr>
            </w:pPr>
            <w:r>
              <w:rPr>
                <w:sz w:val="20"/>
                <w:szCs w:val="20"/>
                <w:spacing w:val="-5"/>
              </w:rPr>
              <w:t>10t/h</w:t>
            </w:r>
            <w:r>
              <w:rPr>
                <w:sz w:val="20"/>
                <w:szCs w:val="20"/>
                <w:spacing w:val="1"/>
              </w:rPr>
              <w:t xml:space="preserve"> </w:t>
            </w:r>
            <w:r>
              <w:rPr>
                <w:sz w:val="20"/>
                <w:szCs w:val="20"/>
                <w:spacing w:val="6"/>
              </w:rPr>
              <w:t>蒸汽</w:t>
            </w:r>
            <w:r>
              <w:rPr>
                <w:sz w:val="20"/>
                <w:szCs w:val="20"/>
              </w:rPr>
              <w:t xml:space="preserve"> </w:t>
            </w:r>
            <w:r>
              <w:rPr>
                <w:sz w:val="20"/>
                <w:szCs w:val="20"/>
                <w:spacing w:val="7"/>
              </w:rPr>
              <w:t>锅炉</w:t>
            </w:r>
            <w:r>
              <w:rPr>
                <w:sz w:val="20"/>
                <w:szCs w:val="20"/>
              </w:rPr>
              <w:t xml:space="preserve"> </w:t>
            </w:r>
            <w:r>
              <w:rPr>
                <w:sz w:val="20"/>
                <w:szCs w:val="20"/>
                <w:spacing w:val="6"/>
              </w:rPr>
              <w:t>废气</w:t>
            </w:r>
          </w:p>
        </w:tc>
        <w:tc>
          <w:tcPr>
            <w:tcW w:w="1259" w:type="dxa"/>
            <w:vAlign w:val="top"/>
          </w:tcPr>
          <w:p>
            <w:pPr>
              <w:pStyle w:val="TableText"/>
              <w:ind w:left="420"/>
              <w:spacing w:before="102" w:line="183" w:lineRule="auto"/>
              <w:rPr>
                <w:rFonts w:ascii="Calibri" w:hAnsi="Calibri" w:eastAsia="Calibri" w:cs="Calibri"/>
                <w:sz w:val="20"/>
                <w:szCs w:val="20"/>
              </w:rPr>
            </w:pPr>
            <w:r>
              <w:rPr>
                <w:sz w:val="20"/>
                <w:szCs w:val="20"/>
                <w:spacing w:val="-3"/>
              </w:rPr>
              <w:t>SO</w:t>
            </w:r>
            <w:r>
              <w:rPr>
                <w:rFonts w:ascii="Calibri" w:hAnsi="Calibri" w:eastAsia="Calibri" w:cs="Calibri"/>
                <w:sz w:val="20"/>
                <w:szCs w:val="20"/>
                <w:spacing w:val="-3"/>
              </w:rPr>
              <w:t>₂</w:t>
            </w:r>
          </w:p>
        </w:tc>
        <w:tc>
          <w:tcPr>
            <w:tcW w:w="1279" w:type="dxa"/>
            <w:vAlign w:val="top"/>
            <w:vMerge w:val="restart"/>
            <w:tcBorders>
              <w:bottom w:val="nil"/>
            </w:tcBorders>
          </w:tcPr>
          <w:p>
            <w:pPr>
              <w:pStyle w:val="TableText"/>
              <w:ind w:left="282"/>
              <w:spacing w:before="260" w:line="361" w:lineRule="exact"/>
              <w:rPr>
                <w:sz w:val="20"/>
                <w:szCs w:val="20"/>
              </w:rPr>
            </w:pPr>
            <w:r>
              <w:rPr>
                <w:sz w:val="20"/>
                <w:szCs w:val="20"/>
                <w:spacing w:val="-4"/>
                <w:position w:val="11"/>
              </w:rPr>
              <w:t>120°0'</w:t>
            </w:r>
          </w:p>
          <w:p>
            <w:pPr>
              <w:pStyle w:val="TableText"/>
              <w:ind w:left="332"/>
              <w:spacing w:line="183" w:lineRule="auto"/>
              <w:rPr>
                <w:sz w:val="20"/>
                <w:szCs w:val="20"/>
              </w:rPr>
            </w:pPr>
            <w:r>
              <w:rPr>
                <w:sz w:val="20"/>
                <w:szCs w:val="20"/>
                <w:spacing w:val="-1"/>
              </w:rPr>
              <w:t>46.584</w:t>
            </w:r>
          </w:p>
        </w:tc>
        <w:tc>
          <w:tcPr>
            <w:tcW w:w="1129" w:type="dxa"/>
            <w:vAlign w:val="top"/>
            <w:vMerge w:val="restart"/>
            <w:tcBorders>
              <w:bottom w:val="nil"/>
            </w:tcBorders>
          </w:tcPr>
          <w:p>
            <w:pPr>
              <w:pStyle w:val="TableText"/>
              <w:ind w:left="202"/>
              <w:spacing w:before="270" w:line="351" w:lineRule="exact"/>
              <w:rPr>
                <w:sz w:val="20"/>
                <w:szCs w:val="20"/>
              </w:rPr>
            </w:pPr>
            <w:r>
              <w:rPr>
                <w:sz w:val="20"/>
                <w:szCs w:val="20"/>
                <w:spacing w:val="-2"/>
                <w:position w:val="10"/>
              </w:rPr>
              <w:t>26°51'</w:t>
            </w:r>
          </w:p>
          <w:p>
            <w:pPr>
              <w:pStyle w:val="TableText"/>
              <w:ind w:left="252"/>
              <w:spacing w:line="183" w:lineRule="auto"/>
              <w:rPr>
                <w:sz w:val="20"/>
                <w:szCs w:val="20"/>
              </w:rPr>
            </w:pPr>
            <w:r>
              <w:rPr>
                <w:sz w:val="20"/>
                <w:szCs w:val="20"/>
                <w:spacing w:val="-4"/>
              </w:rPr>
              <w:t>17.366</w:t>
            </w:r>
          </w:p>
        </w:tc>
        <w:tc>
          <w:tcPr>
            <w:tcW w:w="989" w:type="dxa"/>
            <w:vAlign w:val="top"/>
            <w:vMerge w:val="restart"/>
            <w:tcBorders>
              <w:bottom w:val="nil"/>
            </w:tcBorders>
          </w:tcPr>
          <w:p>
            <w:pPr>
              <w:spacing w:line="374" w:lineRule="auto"/>
              <w:rPr>
                <w:rFonts w:ascii="Arial"/>
                <w:sz w:val="21"/>
              </w:rPr>
            </w:pPr>
            <w:r/>
          </w:p>
          <w:p>
            <w:pPr>
              <w:pStyle w:val="TableText"/>
              <w:ind w:left="383"/>
              <w:spacing w:before="65" w:line="183" w:lineRule="auto"/>
              <w:rPr>
                <w:sz w:val="20"/>
                <w:szCs w:val="20"/>
              </w:rPr>
            </w:pPr>
            <w:r>
              <w:rPr>
                <w:sz w:val="20"/>
                <w:szCs w:val="20"/>
                <w:spacing w:val="-3"/>
              </w:rPr>
              <w:t>27</w:t>
            </w:r>
          </w:p>
        </w:tc>
        <w:tc>
          <w:tcPr>
            <w:tcW w:w="1099" w:type="dxa"/>
            <w:vAlign w:val="top"/>
            <w:vMerge w:val="restart"/>
            <w:tcBorders>
              <w:bottom w:val="nil"/>
            </w:tcBorders>
          </w:tcPr>
          <w:p>
            <w:pPr>
              <w:spacing w:line="373" w:lineRule="auto"/>
              <w:rPr>
                <w:rFonts w:ascii="Arial"/>
                <w:sz w:val="21"/>
              </w:rPr>
            </w:pPr>
            <w:r/>
          </w:p>
          <w:p>
            <w:pPr>
              <w:pStyle w:val="TableText"/>
              <w:ind w:left="494"/>
              <w:spacing w:before="65" w:line="184" w:lineRule="auto"/>
              <w:rPr>
                <w:sz w:val="20"/>
                <w:szCs w:val="20"/>
              </w:rPr>
            </w:pPr>
            <w:r>
              <w:rPr>
                <w:sz w:val="20"/>
                <w:szCs w:val="20"/>
              </w:rPr>
              <w:t>1</w:t>
            </w:r>
          </w:p>
        </w:tc>
        <w:tc>
          <w:tcPr>
            <w:tcW w:w="1029" w:type="dxa"/>
            <w:vAlign w:val="top"/>
            <w:vMerge w:val="restart"/>
            <w:tcBorders>
              <w:bottom w:val="nil"/>
            </w:tcBorders>
          </w:tcPr>
          <w:p>
            <w:pPr>
              <w:spacing w:line="373" w:lineRule="auto"/>
              <w:rPr>
                <w:rFonts w:ascii="Arial"/>
                <w:sz w:val="21"/>
              </w:rPr>
            </w:pPr>
            <w:r/>
          </w:p>
          <w:p>
            <w:pPr>
              <w:pStyle w:val="TableText"/>
              <w:ind w:left="305"/>
              <w:spacing w:before="65" w:line="184" w:lineRule="auto"/>
              <w:rPr>
                <w:sz w:val="20"/>
                <w:szCs w:val="20"/>
              </w:rPr>
            </w:pPr>
            <w:r>
              <w:rPr>
                <w:sz w:val="20"/>
                <w:szCs w:val="20"/>
                <w:spacing w:val="-2"/>
              </w:rPr>
              <w:t>8189</w:t>
            </w:r>
          </w:p>
        </w:tc>
        <w:tc>
          <w:tcPr>
            <w:tcW w:w="850" w:type="dxa"/>
            <w:vAlign w:val="top"/>
            <w:vMerge w:val="restart"/>
            <w:tcBorders>
              <w:bottom w:val="nil"/>
            </w:tcBorders>
          </w:tcPr>
          <w:p>
            <w:pPr>
              <w:spacing w:line="373" w:lineRule="auto"/>
              <w:rPr>
                <w:rFonts w:ascii="Arial"/>
                <w:sz w:val="21"/>
              </w:rPr>
            </w:pPr>
            <w:r/>
          </w:p>
          <w:p>
            <w:pPr>
              <w:pStyle w:val="TableText"/>
              <w:ind w:left="266"/>
              <w:spacing w:before="65" w:line="184" w:lineRule="auto"/>
              <w:rPr>
                <w:sz w:val="20"/>
                <w:szCs w:val="20"/>
              </w:rPr>
            </w:pPr>
            <w:r>
              <w:rPr>
                <w:sz w:val="20"/>
                <w:szCs w:val="20"/>
                <w:spacing w:val="-6"/>
              </w:rPr>
              <w:t>150</w:t>
            </w:r>
          </w:p>
        </w:tc>
        <w:tc>
          <w:tcPr>
            <w:tcW w:w="999" w:type="dxa"/>
            <w:vAlign w:val="top"/>
            <w:vMerge w:val="restart"/>
            <w:tcBorders>
              <w:bottom w:val="nil"/>
            </w:tcBorders>
          </w:tcPr>
          <w:p>
            <w:pPr>
              <w:spacing w:line="374" w:lineRule="auto"/>
              <w:rPr>
                <w:rFonts w:ascii="Arial"/>
                <w:sz w:val="21"/>
              </w:rPr>
            </w:pPr>
            <w:r/>
          </w:p>
          <w:p>
            <w:pPr>
              <w:pStyle w:val="TableText"/>
              <w:ind w:left="297"/>
              <w:spacing w:before="65" w:line="183" w:lineRule="auto"/>
              <w:rPr>
                <w:sz w:val="20"/>
                <w:szCs w:val="20"/>
              </w:rPr>
            </w:pPr>
            <w:r>
              <w:rPr>
                <w:sz w:val="20"/>
                <w:szCs w:val="20"/>
                <w:spacing w:val="-2"/>
              </w:rPr>
              <w:t>6600</w:t>
            </w:r>
          </w:p>
        </w:tc>
        <w:tc>
          <w:tcPr>
            <w:tcW w:w="840" w:type="dxa"/>
            <w:vAlign w:val="top"/>
            <w:vMerge w:val="restart"/>
            <w:tcBorders>
              <w:bottom w:val="nil"/>
            </w:tcBorders>
          </w:tcPr>
          <w:p>
            <w:pPr>
              <w:pStyle w:val="TableText"/>
              <w:ind w:left="317" w:right="123" w:hanging="200"/>
              <w:spacing w:before="261" w:line="226" w:lineRule="auto"/>
              <w:rPr>
                <w:sz w:val="20"/>
                <w:szCs w:val="20"/>
              </w:rPr>
            </w:pPr>
            <w:r>
              <w:rPr>
                <w:sz w:val="20"/>
                <w:szCs w:val="20"/>
                <w:spacing w:val="-4"/>
              </w:rPr>
              <w:t>正常排</w:t>
            </w:r>
            <w:r>
              <w:rPr>
                <w:sz w:val="20"/>
                <w:szCs w:val="20"/>
              </w:rPr>
              <w:t xml:space="preserve"> </w:t>
            </w:r>
            <w:r>
              <w:rPr>
                <w:sz w:val="20"/>
                <w:szCs w:val="20"/>
              </w:rPr>
              <w:t>放</w:t>
            </w:r>
          </w:p>
        </w:tc>
        <w:tc>
          <w:tcPr>
            <w:tcW w:w="989" w:type="dxa"/>
            <w:vAlign w:val="top"/>
          </w:tcPr>
          <w:p>
            <w:pPr>
              <w:pStyle w:val="TableText"/>
              <w:ind w:left="237"/>
              <w:spacing w:before="120" w:line="184" w:lineRule="auto"/>
              <w:rPr>
                <w:sz w:val="20"/>
                <w:szCs w:val="20"/>
              </w:rPr>
            </w:pPr>
            <w:r>
              <w:rPr>
                <w:sz w:val="20"/>
                <w:szCs w:val="20"/>
                <w:spacing w:val="-2"/>
              </w:rPr>
              <w:t>0.124</w:t>
            </w:r>
          </w:p>
        </w:tc>
        <w:tc>
          <w:tcPr>
            <w:tcW w:w="1129" w:type="dxa"/>
            <w:vAlign w:val="top"/>
          </w:tcPr>
          <w:p>
            <w:pPr>
              <w:pStyle w:val="TableText"/>
              <w:ind w:left="508"/>
              <w:spacing w:before="121" w:line="183" w:lineRule="auto"/>
              <w:rPr>
                <w:sz w:val="20"/>
                <w:szCs w:val="20"/>
              </w:rPr>
            </w:pPr>
            <w:r>
              <w:rPr>
                <w:sz w:val="20"/>
                <w:szCs w:val="20"/>
              </w:rPr>
              <w:t>3</w:t>
            </w:r>
          </w:p>
        </w:tc>
        <w:tc>
          <w:tcPr>
            <w:tcW w:w="854" w:type="dxa"/>
            <w:vAlign w:val="top"/>
          </w:tcPr>
          <w:p>
            <w:pPr>
              <w:pStyle w:val="TableText"/>
              <w:ind w:left="120"/>
              <w:spacing w:before="120" w:line="184" w:lineRule="auto"/>
              <w:rPr>
                <w:sz w:val="20"/>
                <w:szCs w:val="20"/>
              </w:rPr>
            </w:pPr>
            <w:r>
              <w:rPr>
                <w:sz w:val="20"/>
                <w:szCs w:val="20"/>
                <w:spacing w:val="-4"/>
              </w:rPr>
              <w:t>1.0032</w:t>
            </w:r>
          </w:p>
        </w:tc>
      </w:tr>
      <w:tr>
        <w:trPr>
          <w:trHeight w:val="290" w:hRule="atLeast"/>
        </w:trPr>
        <w:tc>
          <w:tcPr>
            <w:tcW w:w="904" w:type="dxa"/>
            <w:vAlign w:val="top"/>
            <w:vMerge w:val="continue"/>
            <w:tcBorders>
              <w:top w:val="nil"/>
              <w:bottom w:val="nil"/>
            </w:tcBorders>
          </w:tcPr>
          <w:p>
            <w:pPr>
              <w:rPr>
                <w:rFonts w:ascii="Arial"/>
                <w:sz w:val="21"/>
              </w:rPr>
            </w:pPr>
            <w:r/>
          </w:p>
        </w:tc>
        <w:tc>
          <w:tcPr>
            <w:tcW w:w="700" w:type="dxa"/>
            <w:vAlign w:val="top"/>
            <w:vMerge w:val="continue"/>
            <w:tcBorders>
              <w:top w:val="nil"/>
              <w:bottom w:val="nil"/>
            </w:tcBorders>
          </w:tcPr>
          <w:p>
            <w:pPr>
              <w:rPr>
                <w:rFonts w:ascii="Arial"/>
                <w:sz w:val="21"/>
              </w:rPr>
            </w:pPr>
            <w:r/>
          </w:p>
        </w:tc>
        <w:tc>
          <w:tcPr>
            <w:tcW w:w="710" w:type="dxa"/>
            <w:vAlign w:val="top"/>
            <w:vMerge w:val="continue"/>
            <w:tcBorders>
              <w:top w:val="nil"/>
              <w:bottom w:val="nil"/>
            </w:tcBorders>
          </w:tcPr>
          <w:p>
            <w:pPr>
              <w:rPr>
                <w:rFonts w:ascii="Arial"/>
                <w:sz w:val="21"/>
              </w:rPr>
            </w:pPr>
            <w:r/>
          </w:p>
        </w:tc>
        <w:tc>
          <w:tcPr>
            <w:tcW w:w="1259" w:type="dxa"/>
            <w:vAlign w:val="top"/>
          </w:tcPr>
          <w:p>
            <w:pPr>
              <w:pStyle w:val="TableText"/>
              <w:ind w:left="520"/>
              <w:spacing w:before="102" w:line="164" w:lineRule="auto"/>
              <w:rPr>
                <w:sz w:val="20"/>
                <w:szCs w:val="20"/>
              </w:rPr>
            </w:pPr>
            <w:r>
              <w:rPr>
                <w:sz w:val="20"/>
                <w:szCs w:val="20"/>
                <w:spacing w:val="-1"/>
              </w:rPr>
              <w:t>NO</w:t>
            </w:r>
          </w:p>
        </w:tc>
        <w:tc>
          <w:tcPr>
            <w:tcW w:w="1279" w:type="dxa"/>
            <w:vAlign w:val="top"/>
            <w:vMerge w:val="continue"/>
            <w:tcBorders>
              <w:top w:val="nil"/>
              <w:bottom w:val="nil"/>
            </w:tcBorders>
          </w:tcPr>
          <w:p>
            <w:pPr>
              <w:rPr>
                <w:rFonts w:ascii="Arial"/>
                <w:sz w:val="21"/>
              </w:rPr>
            </w:pPr>
            <w:r/>
          </w:p>
        </w:tc>
        <w:tc>
          <w:tcPr>
            <w:tcW w:w="1129" w:type="dxa"/>
            <w:vAlign w:val="top"/>
            <w:vMerge w:val="continue"/>
            <w:tcBorders>
              <w:top w:val="nil"/>
              <w:bottom w:val="nil"/>
            </w:tcBorders>
          </w:tcPr>
          <w:p>
            <w:pPr>
              <w:rPr>
                <w:rFonts w:ascii="Arial"/>
                <w:sz w:val="21"/>
              </w:rPr>
            </w:pPr>
            <w:r/>
          </w:p>
        </w:tc>
        <w:tc>
          <w:tcPr>
            <w:tcW w:w="989" w:type="dxa"/>
            <w:vAlign w:val="top"/>
            <w:vMerge w:val="continue"/>
            <w:tcBorders>
              <w:top w:val="nil"/>
              <w:bottom w:val="nil"/>
            </w:tcBorders>
          </w:tcPr>
          <w:p>
            <w:pPr>
              <w:rPr>
                <w:rFonts w:ascii="Arial"/>
                <w:sz w:val="21"/>
              </w:rPr>
            </w:pPr>
            <w:r/>
          </w:p>
        </w:tc>
        <w:tc>
          <w:tcPr>
            <w:tcW w:w="1099" w:type="dxa"/>
            <w:vAlign w:val="top"/>
            <w:vMerge w:val="continue"/>
            <w:tcBorders>
              <w:top w:val="nil"/>
              <w:bottom w:val="nil"/>
            </w:tcBorders>
          </w:tcPr>
          <w:p>
            <w:pPr>
              <w:rPr>
                <w:rFonts w:ascii="Arial"/>
                <w:sz w:val="21"/>
              </w:rPr>
            </w:pPr>
            <w:r/>
          </w:p>
        </w:tc>
        <w:tc>
          <w:tcPr>
            <w:tcW w:w="1029" w:type="dxa"/>
            <w:vAlign w:val="top"/>
            <w:vMerge w:val="continue"/>
            <w:tcBorders>
              <w:top w:val="nil"/>
              <w:bottom w:val="nil"/>
            </w:tcBorders>
          </w:tcPr>
          <w:p>
            <w:pPr>
              <w:rPr>
                <w:rFonts w:ascii="Arial"/>
                <w:sz w:val="21"/>
              </w:rPr>
            </w:pPr>
            <w:r/>
          </w:p>
        </w:tc>
        <w:tc>
          <w:tcPr>
            <w:tcW w:w="850" w:type="dxa"/>
            <w:vAlign w:val="top"/>
            <w:vMerge w:val="continue"/>
            <w:tcBorders>
              <w:top w:val="nil"/>
              <w:bottom w:val="nil"/>
            </w:tcBorders>
          </w:tcPr>
          <w:p>
            <w:pPr>
              <w:rPr>
                <w:rFonts w:ascii="Arial"/>
                <w:sz w:val="21"/>
              </w:rPr>
            </w:pPr>
            <w:r/>
          </w:p>
        </w:tc>
        <w:tc>
          <w:tcPr>
            <w:tcW w:w="999" w:type="dxa"/>
            <w:vAlign w:val="top"/>
            <w:vMerge w:val="continue"/>
            <w:tcBorders>
              <w:top w:val="nil"/>
              <w:bottom w:val="nil"/>
            </w:tcBorders>
          </w:tcPr>
          <w:p>
            <w:pPr>
              <w:rPr>
                <w:rFonts w:ascii="Arial"/>
                <w:sz w:val="21"/>
              </w:rPr>
            </w:pPr>
            <w:r/>
          </w:p>
        </w:tc>
        <w:tc>
          <w:tcPr>
            <w:tcW w:w="840" w:type="dxa"/>
            <w:vAlign w:val="top"/>
            <w:vMerge w:val="continue"/>
            <w:tcBorders>
              <w:top w:val="nil"/>
              <w:bottom w:val="nil"/>
            </w:tcBorders>
          </w:tcPr>
          <w:p>
            <w:pPr>
              <w:rPr>
                <w:rFonts w:ascii="Arial"/>
                <w:sz w:val="21"/>
              </w:rPr>
            </w:pPr>
            <w:r/>
          </w:p>
        </w:tc>
        <w:tc>
          <w:tcPr>
            <w:tcW w:w="989" w:type="dxa"/>
            <w:vAlign w:val="top"/>
          </w:tcPr>
          <w:p>
            <w:pPr>
              <w:pStyle w:val="TableText"/>
              <w:ind w:left="237"/>
              <w:spacing w:before="102" w:line="164" w:lineRule="auto"/>
              <w:rPr>
                <w:sz w:val="20"/>
                <w:szCs w:val="20"/>
              </w:rPr>
            </w:pPr>
            <w:r>
              <w:rPr>
                <w:sz w:val="20"/>
                <w:szCs w:val="20"/>
                <w:spacing w:val="-2"/>
              </w:rPr>
              <w:t>0.409</w:t>
            </w:r>
          </w:p>
        </w:tc>
        <w:tc>
          <w:tcPr>
            <w:tcW w:w="1129" w:type="dxa"/>
            <w:vAlign w:val="top"/>
          </w:tcPr>
          <w:p>
            <w:pPr>
              <w:pStyle w:val="TableText"/>
              <w:ind w:left="458"/>
              <w:spacing w:before="102" w:line="164" w:lineRule="auto"/>
              <w:rPr>
                <w:sz w:val="20"/>
                <w:szCs w:val="20"/>
              </w:rPr>
            </w:pPr>
            <w:r>
              <w:rPr>
                <w:sz w:val="20"/>
                <w:szCs w:val="20"/>
                <w:spacing w:val="-3"/>
              </w:rPr>
              <w:t>50</w:t>
            </w:r>
          </w:p>
        </w:tc>
        <w:tc>
          <w:tcPr>
            <w:tcW w:w="854" w:type="dxa"/>
            <w:vAlign w:val="top"/>
          </w:tcPr>
          <w:p>
            <w:pPr>
              <w:pStyle w:val="TableText"/>
              <w:ind w:left="120"/>
              <w:spacing w:before="102" w:line="164" w:lineRule="auto"/>
              <w:rPr>
                <w:sz w:val="20"/>
                <w:szCs w:val="20"/>
              </w:rPr>
            </w:pPr>
            <w:r>
              <w:rPr>
                <w:sz w:val="20"/>
                <w:szCs w:val="20"/>
                <w:spacing w:val="-2"/>
              </w:rPr>
              <w:t>2.7025</w:t>
            </w:r>
          </w:p>
        </w:tc>
      </w:tr>
      <w:tr>
        <w:trPr>
          <w:trHeight w:val="319" w:hRule="atLeast"/>
        </w:trPr>
        <w:tc>
          <w:tcPr>
            <w:tcW w:w="904" w:type="dxa"/>
            <w:vAlign w:val="top"/>
            <w:vMerge w:val="continue"/>
            <w:tcBorders>
              <w:top w:val="nil"/>
            </w:tcBorders>
          </w:tcPr>
          <w:p>
            <w:pPr>
              <w:rPr>
                <w:rFonts w:ascii="Arial"/>
                <w:sz w:val="21"/>
              </w:rPr>
            </w:pPr>
            <w:r/>
          </w:p>
        </w:tc>
        <w:tc>
          <w:tcPr>
            <w:tcW w:w="700" w:type="dxa"/>
            <w:vAlign w:val="top"/>
            <w:vMerge w:val="continue"/>
            <w:tcBorders>
              <w:top w:val="nil"/>
              <w:bottom w:val="nil"/>
            </w:tcBorders>
          </w:tcPr>
          <w:p>
            <w:pPr>
              <w:rPr>
                <w:rFonts w:ascii="Arial"/>
                <w:sz w:val="21"/>
              </w:rPr>
            </w:pPr>
            <w:r/>
          </w:p>
        </w:tc>
        <w:tc>
          <w:tcPr>
            <w:tcW w:w="710" w:type="dxa"/>
            <w:vAlign w:val="top"/>
            <w:vMerge w:val="continue"/>
            <w:tcBorders>
              <w:top w:val="nil"/>
              <w:bottom w:val="nil"/>
            </w:tcBorders>
          </w:tcPr>
          <w:p>
            <w:pPr>
              <w:rPr>
                <w:rFonts w:ascii="Arial"/>
                <w:sz w:val="21"/>
              </w:rPr>
            </w:pPr>
            <w:r/>
          </w:p>
        </w:tc>
        <w:tc>
          <w:tcPr>
            <w:tcW w:w="1259" w:type="dxa"/>
            <w:vAlign w:val="top"/>
          </w:tcPr>
          <w:p>
            <w:pPr>
              <w:pStyle w:val="TableText"/>
              <w:ind w:left="320"/>
              <w:spacing w:before="61" w:line="220" w:lineRule="auto"/>
              <w:rPr>
                <w:sz w:val="20"/>
                <w:szCs w:val="20"/>
              </w:rPr>
            </w:pPr>
            <w:r>
              <w:rPr>
                <w:sz w:val="20"/>
                <w:szCs w:val="20"/>
                <w:spacing w:val="-2"/>
              </w:rPr>
              <w:t>颗粒物</w:t>
            </w:r>
          </w:p>
        </w:tc>
        <w:tc>
          <w:tcPr>
            <w:tcW w:w="1279" w:type="dxa"/>
            <w:vAlign w:val="top"/>
            <w:vMerge w:val="continue"/>
            <w:tcBorders>
              <w:top w:val="nil"/>
            </w:tcBorders>
          </w:tcPr>
          <w:p>
            <w:pPr>
              <w:rPr>
                <w:rFonts w:ascii="Arial"/>
                <w:sz w:val="21"/>
              </w:rPr>
            </w:pPr>
            <w:r/>
          </w:p>
        </w:tc>
        <w:tc>
          <w:tcPr>
            <w:tcW w:w="1129" w:type="dxa"/>
            <w:vAlign w:val="top"/>
            <w:vMerge w:val="continue"/>
            <w:tcBorders>
              <w:top w:val="nil"/>
            </w:tcBorders>
          </w:tcPr>
          <w:p>
            <w:pPr>
              <w:rPr>
                <w:rFonts w:ascii="Arial"/>
                <w:sz w:val="21"/>
              </w:rPr>
            </w:pPr>
            <w:r/>
          </w:p>
        </w:tc>
        <w:tc>
          <w:tcPr>
            <w:tcW w:w="989" w:type="dxa"/>
            <w:vAlign w:val="top"/>
            <w:vMerge w:val="continue"/>
            <w:tcBorders>
              <w:top w:val="nil"/>
            </w:tcBorders>
          </w:tcPr>
          <w:p>
            <w:pPr>
              <w:rPr>
                <w:rFonts w:ascii="Arial"/>
                <w:sz w:val="21"/>
              </w:rPr>
            </w:pPr>
            <w:r/>
          </w:p>
        </w:tc>
        <w:tc>
          <w:tcPr>
            <w:tcW w:w="1099" w:type="dxa"/>
            <w:vAlign w:val="top"/>
            <w:vMerge w:val="continue"/>
            <w:tcBorders>
              <w:top w:val="nil"/>
            </w:tcBorders>
          </w:tcPr>
          <w:p>
            <w:pPr>
              <w:rPr>
                <w:rFonts w:ascii="Arial"/>
                <w:sz w:val="21"/>
              </w:rPr>
            </w:pPr>
            <w:r/>
          </w:p>
        </w:tc>
        <w:tc>
          <w:tcPr>
            <w:tcW w:w="1029" w:type="dxa"/>
            <w:vAlign w:val="top"/>
            <w:vMerge w:val="continue"/>
            <w:tcBorders>
              <w:top w:val="nil"/>
            </w:tcBorders>
          </w:tcPr>
          <w:p>
            <w:pPr>
              <w:rPr>
                <w:rFonts w:ascii="Arial"/>
                <w:sz w:val="21"/>
              </w:rPr>
            </w:pPr>
            <w:r/>
          </w:p>
        </w:tc>
        <w:tc>
          <w:tcPr>
            <w:tcW w:w="850" w:type="dxa"/>
            <w:vAlign w:val="top"/>
            <w:vMerge w:val="continue"/>
            <w:tcBorders>
              <w:top w:val="nil"/>
            </w:tcBorders>
          </w:tcPr>
          <w:p>
            <w:pPr>
              <w:rPr>
                <w:rFonts w:ascii="Arial"/>
                <w:sz w:val="21"/>
              </w:rPr>
            </w:pPr>
            <w:r/>
          </w:p>
        </w:tc>
        <w:tc>
          <w:tcPr>
            <w:tcW w:w="999" w:type="dxa"/>
            <w:vAlign w:val="top"/>
            <w:vMerge w:val="continue"/>
            <w:tcBorders>
              <w:top w:val="nil"/>
            </w:tcBorders>
          </w:tcPr>
          <w:p>
            <w:pPr>
              <w:rPr>
                <w:rFonts w:ascii="Arial"/>
                <w:sz w:val="21"/>
              </w:rPr>
            </w:pPr>
            <w:r/>
          </w:p>
        </w:tc>
        <w:tc>
          <w:tcPr>
            <w:tcW w:w="840" w:type="dxa"/>
            <w:vAlign w:val="top"/>
            <w:vMerge w:val="continue"/>
            <w:tcBorders>
              <w:top w:val="nil"/>
            </w:tcBorders>
          </w:tcPr>
          <w:p>
            <w:pPr>
              <w:rPr>
                <w:rFonts w:ascii="Arial"/>
                <w:sz w:val="21"/>
              </w:rPr>
            </w:pPr>
            <w:r/>
          </w:p>
        </w:tc>
        <w:tc>
          <w:tcPr>
            <w:tcW w:w="989" w:type="dxa"/>
            <w:vAlign w:val="top"/>
          </w:tcPr>
          <w:p>
            <w:pPr>
              <w:pStyle w:val="TableText"/>
              <w:ind w:left="237"/>
              <w:spacing w:before="111" w:line="182" w:lineRule="auto"/>
              <w:rPr>
                <w:sz w:val="20"/>
                <w:szCs w:val="20"/>
              </w:rPr>
            </w:pPr>
            <w:r>
              <w:rPr>
                <w:sz w:val="20"/>
                <w:szCs w:val="20"/>
                <w:spacing w:val="-2"/>
              </w:rPr>
              <w:t>0.134</w:t>
            </w:r>
          </w:p>
        </w:tc>
        <w:tc>
          <w:tcPr>
            <w:tcW w:w="1129" w:type="dxa"/>
            <w:vAlign w:val="top"/>
          </w:tcPr>
          <w:p>
            <w:pPr>
              <w:pStyle w:val="TableText"/>
              <w:ind w:left="458"/>
              <w:spacing w:before="112" w:line="181" w:lineRule="auto"/>
              <w:rPr>
                <w:sz w:val="20"/>
                <w:szCs w:val="20"/>
              </w:rPr>
            </w:pPr>
            <w:r>
              <w:rPr>
                <w:sz w:val="20"/>
                <w:szCs w:val="20"/>
                <w:spacing w:val="-3"/>
              </w:rPr>
              <w:t>20</w:t>
            </w:r>
          </w:p>
        </w:tc>
        <w:tc>
          <w:tcPr>
            <w:tcW w:w="854" w:type="dxa"/>
            <w:vAlign w:val="top"/>
          </w:tcPr>
          <w:p>
            <w:pPr>
              <w:pStyle w:val="TableText"/>
              <w:ind w:left="170"/>
              <w:spacing w:before="111" w:line="182" w:lineRule="auto"/>
              <w:rPr>
                <w:sz w:val="20"/>
                <w:szCs w:val="20"/>
              </w:rPr>
            </w:pPr>
            <w:r>
              <w:rPr>
                <w:sz w:val="20"/>
                <w:szCs w:val="20"/>
                <w:spacing w:val="-3"/>
              </w:rPr>
              <w:t>.0810</w:t>
            </w:r>
          </w:p>
        </w:tc>
      </w:tr>
      <w:tr>
        <w:trPr>
          <w:trHeight w:val="299" w:hRule="atLeast"/>
        </w:trPr>
        <w:tc>
          <w:tcPr>
            <w:tcW w:w="904" w:type="dxa"/>
            <w:vAlign w:val="top"/>
            <w:vMerge w:val="restart"/>
            <w:tcBorders>
              <w:bottom w:val="nil"/>
            </w:tcBorders>
          </w:tcPr>
          <w:p>
            <w:pPr>
              <w:spacing w:line="354" w:lineRule="auto"/>
              <w:rPr>
                <w:rFonts w:ascii="Arial"/>
                <w:sz w:val="21"/>
              </w:rPr>
            </w:pPr>
            <w:r/>
          </w:p>
          <w:p>
            <w:pPr>
              <w:pStyle w:val="TableText"/>
              <w:ind w:left="195"/>
              <w:spacing w:before="65" w:line="185" w:lineRule="auto"/>
              <w:rPr>
                <w:sz w:val="20"/>
                <w:szCs w:val="20"/>
              </w:rPr>
            </w:pPr>
            <w:r>
              <w:rPr>
                <w:sz w:val="20"/>
                <w:szCs w:val="20"/>
                <w:spacing w:val="-1"/>
              </w:rPr>
              <w:t>DA027</w:t>
            </w:r>
          </w:p>
        </w:tc>
        <w:tc>
          <w:tcPr>
            <w:tcW w:w="700" w:type="dxa"/>
            <w:vAlign w:val="top"/>
            <w:vMerge w:val="continue"/>
            <w:tcBorders>
              <w:top w:val="nil"/>
              <w:bottom w:val="nil"/>
            </w:tcBorders>
          </w:tcPr>
          <w:p>
            <w:pPr>
              <w:rPr>
                <w:rFonts w:ascii="Arial"/>
                <w:sz w:val="21"/>
              </w:rPr>
            </w:pPr>
            <w:r/>
          </w:p>
        </w:tc>
        <w:tc>
          <w:tcPr>
            <w:tcW w:w="710" w:type="dxa"/>
            <w:vAlign w:val="top"/>
            <w:vMerge w:val="continue"/>
            <w:tcBorders>
              <w:top w:val="nil"/>
              <w:bottom w:val="nil"/>
            </w:tcBorders>
          </w:tcPr>
          <w:p>
            <w:pPr>
              <w:rPr>
                <w:rFonts w:ascii="Arial"/>
                <w:sz w:val="21"/>
              </w:rPr>
            </w:pPr>
            <w:r/>
          </w:p>
        </w:tc>
        <w:tc>
          <w:tcPr>
            <w:tcW w:w="1259" w:type="dxa"/>
            <w:vAlign w:val="top"/>
          </w:tcPr>
          <w:p>
            <w:pPr>
              <w:pStyle w:val="TableText"/>
              <w:ind w:left="420"/>
              <w:spacing w:before="84" w:line="183" w:lineRule="auto"/>
              <w:rPr>
                <w:rFonts w:ascii="Calibri" w:hAnsi="Calibri" w:eastAsia="Calibri" w:cs="Calibri"/>
                <w:sz w:val="20"/>
                <w:szCs w:val="20"/>
              </w:rPr>
            </w:pPr>
            <w:r>
              <w:rPr>
                <w:sz w:val="20"/>
                <w:szCs w:val="20"/>
                <w:spacing w:val="-3"/>
              </w:rPr>
              <w:t>SO</w:t>
            </w:r>
            <w:r>
              <w:rPr>
                <w:rFonts w:ascii="Calibri" w:hAnsi="Calibri" w:eastAsia="Calibri" w:cs="Calibri"/>
                <w:sz w:val="20"/>
                <w:szCs w:val="20"/>
                <w:spacing w:val="-3"/>
              </w:rPr>
              <w:t>₂</w:t>
            </w:r>
          </w:p>
        </w:tc>
        <w:tc>
          <w:tcPr>
            <w:tcW w:w="1279" w:type="dxa"/>
            <w:vAlign w:val="top"/>
            <w:vMerge w:val="restart"/>
            <w:tcBorders>
              <w:bottom w:val="nil"/>
            </w:tcBorders>
          </w:tcPr>
          <w:p>
            <w:pPr>
              <w:pStyle w:val="TableText"/>
              <w:ind w:left="282"/>
              <w:spacing w:before="252" w:line="341" w:lineRule="exact"/>
              <w:rPr>
                <w:sz w:val="20"/>
                <w:szCs w:val="20"/>
              </w:rPr>
            </w:pPr>
            <w:r>
              <w:rPr>
                <w:sz w:val="20"/>
                <w:szCs w:val="20"/>
                <w:spacing w:val="-4"/>
                <w:position w:val="9"/>
              </w:rPr>
              <w:t>120°0'</w:t>
            </w:r>
          </w:p>
          <w:p>
            <w:pPr>
              <w:pStyle w:val="TableText"/>
              <w:ind w:left="332"/>
              <w:spacing w:line="183" w:lineRule="auto"/>
              <w:rPr>
                <w:sz w:val="20"/>
                <w:szCs w:val="20"/>
              </w:rPr>
            </w:pPr>
            <w:r>
              <w:rPr>
                <w:sz w:val="20"/>
                <w:szCs w:val="20"/>
                <w:spacing w:val="-1"/>
              </w:rPr>
              <w:t>46.583</w:t>
            </w:r>
          </w:p>
        </w:tc>
        <w:tc>
          <w:tcPr>
            <w:tcW w:w="1129" w:type="dxa"/>
            <w:vAlign w:val="top"/>
            <w:vMerge w:val="restart"/>
            <w:tcBorders>
              <w:bottom w:val="nil"/>
            </w:tcBorders>
          </w:tcPr>
          <w:p>
            <w:pPr>
              <w:pStyle w:val="TableText"/>
              <w:ind w:left="252" w:right="76" w:hanging="100"/>
              <w:spacing w:before="241" w:line="254" w:lineRule="auto"/>
              <w:rPr>
                <w:sz w:val="20"/>
                <w:szCs w:val="20"/>
              </w:rPr>
            </w:pPr>
            <w:r>
              <w:rPr>
                <w:sz w:val="20"/>
                <w:szCs w:val="20"/>
                <w:spacing w:val="14"/>
              </w:rPr>
              <w:t>26°51’</w:t>
            </w:r>
            <w:r>
              <w:rPr>
                <w:sz w:val="20"/>
                <w:szCs w:val="20"/>
                <w:spacing w:val="4"/>
              </w:rPr>
              <w:t xml:space="preserve"> </w:t>
            </w:r>
            <w:r>
              <w:rPr>
                <w:sz w:val="20"/>
                <w:szCs w:val="20"/>
                <w:spacing w:val="-4"/>
              </w:rPr>
              <w:t>17.366</w:t>
            </w:r>
          </w:p>
        </w:tc>
        <w:tc>
          <w:tcPr>
            <w:tcW w:w="989" w:type="dxa"/>
            <w:vAlign w:val="top"/>
            <w:vMerge w:val="restart"/>
            <w:tcBorders>
              <w:bottom w:val="nil"/>
            </w:tcBorders>
          </w:tcPr>
          <w:p>
            <w:pPr>
              <w:spacing w:line="356" w:lineRule="auto"/>
              <w:rPr>
                <w:rFonts w:ascii="Arial"/>
                <w:sz w:val="21"/>
              </w:rPr>
            </w:pPr>
            <w:r/>
          </w:p>
          <w:p>
            <w:pPr>
              <w:pStyle w:val="TableText"/>
              <w:ind w:left="383"/>
              <w:spacing w:before="65" w:line="183" w:lineRule="auto"/>
              <w:rPr>
                <w:sz w:val="20"/>
                <w:szCs w:val="20"/>
              </w:rPr>
            </w:pPr>
            <w:r>
              <w:rPr>
                <w:sz w:val="20"/>
                <w:szCs w:val="20"/>
                <w:spacing w:val="-3"/>
              </w:rPr>
              <w:t>27</w:t>
            </w:r>
          </w:p>
        </w:tc>
        <w:tc>
          <w:tcPr>
            <w:tcW w:w="1099" w:type="dxa"/>
            <w:vAlign w:val="top"/>
            <w:vMerge w:val="restart"/>
            <w:tcBorders>
              <w:bottom w:val="nil"/>
            </w:tcBorders>
          </w:tcPr>
          <w:p>
            <w:pPr>
              <w:spacing w:line="355" w:lineRule="auto"/>
              <w:rPr>
                <w:rFonts w:ascii="Arial"/>
                <w:sz w:val="21"/>
              </w:rPr>
            </w:pPr>
            <w:r/>
          </w:p>
          <w:p>
            <w:pPr>
              <w:pStyle w:val="TableText"/>
              <w:ind w:left="494"/>
              <w:spacing w:before="65" w:line="184" w:lineRule="auto"/>
              <w:rPr>
                <w:sz w:val="20"/>
                <w:szCs w:val="20"/>
              </w:rPr>
            </w:pPr>
            <w:r>
              <w:rPr>
                <w:sz w:val="20"/>
                <w:szCs w:val="20"/>
              </w:rPr>
              <w:t>1</w:t>
            </w:r>
          </w:p>
        </w:tc>
        <w:tc>
          <w:tcPr>
            <w:tcW w:w="1029" w:type="dxa"/>
            <w:vAlign w:val="top"/>
            <w:vMerge w:val="restart"/>
            <w:tcBorders>
              <w:bottom w:val="nil"/>
            </w:tcBorders>
          </w:tcPr>
          <w:p>
            <w:pPr>
              <w:spacing w:line="355" w:lineRule="auto"/>
              <w:rPr>
                <w:rFonts w:ascii="Arial"/>
                <w:sz w:val="21"/>
              </w:rPr>
            </w:pPr>
            <w:r/>
          </w:p>
          <w:p>
            <w:pPr>
              <w:pStyle w:val="TableText"/>
              <w:ind w:left="305"/>
              <w:spacing w:before="65" w:line="184" w:lineRule="auto"/>
              <w:rPr>
                <w:sz w:val="20"/>
                <w:szCs w:val="20"/>
              </w:rPr>
            </w:pPr>
            <w:r>
              <w:rPr>
                <w:sz w:val="20"/>
                <w:szCs w:val="20"/>
                <w:spacing w:val="-2"/>
              </w:rPr>
              <w:t>8189</w:t>
            </w:r>
          </w:p>
        </w:tc>
        <w:tc>
          <w:tcPr>
            <w:tcW w:w="850" w:type="dxa"/>
            <w:vAlign w:val="top"/>
            <w:vMerge w:val="restart"/>
            <w:tcBorders>
              <w:bottom w:val="nil"/>
            </w:tcBorders>
          </w:tcPr>
          <w:p>
            <w:pPr>
              <w:spacing w:line="355" w:lineRule="auto"/>
              <w:rPr>
                <w:rFonts w:ascii="Arial"/>
                <w:sz w:val="21"/>
              </w:rPr>
            </w:pPr>
            <w:r/>
          </w:p>
          <w:p>
            <w:pPr>
              <w:pStyle w:val="TableText"/>
              <w:ind w:left="266"/>
              <w:spacing w:before="65" w:line="184" w:lineRule="auto"/>
              <w:rPr>
                <w:sz w:val="20"/>
                <w:szCs w:val="20"/>
              </w:rPr>
            </w:pPr>
            <w:r>
              <w:rPr>
                <w:sz w:val="20"/>
                <w:szCs w:val="20"/>
                <w:spacing w:val="-6"/>
              </w:rPr>
              <w:t>150</w:t>
            </w:r>
          </w:p>
        </w:tc>
        <w:tc>
          <w:tcPr>
            <w:tcW w:w="999" w:type="dxa"/>
            <w:vAlign w:val="top"/>
            <w:vMerge w:val="restart"/>
            <w:tcBorders>
              <w:bottom w:val="nil"/>
            </w:tcBorders>
          </w:tcPr>
          <w:p>
            <w:pPr>
              <w:spacing w:line="356" w:lineRule="auto"/>
              <w:rPr>
                <w:rFonts w:ascii="Arial"/>
                <w:sz w:val="21"/>
              </w:rPr>
            </w:pPr>
            <w:r/>
          </w:p>
          <w:p>
            <w:pPr>
              <w:pStyle w:val="TableText"/>
              <w:ind w:left="297"/>
              <w:spacing w:before="65" w:line="183" w:lineRule="auto"/>
              <w:rPr>
                <w:sz w:val="20"/>
                <w:szCs w:val="20"/>
              </w:rPr>
            </w:pPr>
            <w:r>
              <w:rPr>
                <w:sz w:val="20"/>
                <w:szCs w:val="20"/>
                <w:spacing w:val="-2"/>
              </w:rPr>
              <w:t>6600</w:t>
            </w:r>
          </w:p>
        </w:tc>
        <w:tc>
          <w:tcPr>
            <w:tcW w:w="840" w:type="dxa"/>
            <w:vAlign w:val="top"/>
            <w:vMerge w:val="restart"/>
            <w:tcBorders>
              <w:bottom w:val="nil"/>
            </w:tcBorders>
          </w:tcPr>
          <w:p>
            <w:pPr>
              <w:pStyle w:val="TableText"/>
              <w:ind w:left="317" w:right="123" w:hanging="200"/>
              <w:spacing w:before="241" w:line="222" w:lineRule="auto"/>
              <w:rPr>
                <w:sz w:val="20"/>
                <w:szCs w:val="20"/>
              </w:rPr>
            </w:pPr>
            <w:r>
              <w:rPr>
                <w:sz w:val="20"/>
                <w:szCs w:val="20"/>
                <w:spacing w:val="-4"/>
              </w:rPr>
              <w:t>正常排</w:t>
            </w:r>
            <w:r>
              <w:rPr>
                <w:sz w:val="20"/>
                <w:szCs w:val="20"/>
              </w:rPr>
              <w:t xml:space="preserve"> </w:t>
            </w:r>
            <w:r>
              <w:rPr>
                <w:sz w:val="20"/>
                <w:szCs w:val="20"/>
              </w:rPr>
              <w:t>放</w:t>
            </w:r>
          </w:p>
        </w:tc>
        <w:tc>
          <w:tcPr>
            <w:tcW w:w="989" w:type="dxa"/>
            <w:vAlign w:val="top"/>
          </w:tcPr>
          <w:p>
            <w:pPr>
              <w:pStyle w:val="TableText"/>
              <w:ind w:left="237"/>
              <w:spacing w:before="102" w:line="172" w:lineRule="auto"/>
              <w:rPr>
                <w:sz w:val="20"/>
                <w:szCs w:val="20"/>
              </w:rPr>
            </w:pPr>
            <w:r>
              <w:rPr>
                <w:sz w:val="20"/>
                <w:szCs w:val="20"/>
                <w:spacing w:val="-2"/>
              </w:rPr>
              <w:t>0.124</w:t>
            </w:r>
          </w:p>
        </w:tc>
        <w:tc>
          <w:tcPr>
            <w:tcW w:w="1129" w:type="dxa"/>
            <w:vAlign w:val="top"/>
          </w:tcPr>
          <w:p>
            <w:pPr>
              <w:pStyle w:val="TableText"/>
              <w:ind w:left="508"/>
              <w:spacing w:before="103" w:line="171" w:lineRule="auto"/>
              <w:rPr>
                <w:sz w:val="20"/>
                <w:szCs w:val="20"/>
              </w:rPr>
            </w:pPr>
            <w:r>
              <w:rPr>
                <w:sz w:val="20"/>
                <w:szCs w:val="20"/>
              </w:rPr>
              <w:t>3</w:t>
            </w:r>
          </w:p>
        </w:tc>
        <w:tc>
          <w:tcPr>
            <w:tcW w:w="854" w:type="dxa"/>
            <w:vAlign w:val="top"/>
          </w:tcPr>
          <w:p>
            <w:pPr>
              <w:pStyle w:val="TableText"/>
              <w:ind w:left="120"/>
              <w:spacing w:before="102" w:line="172" w:lineRule="auto"/>
              <w:rPr>
                <w:sz w:val="20"/>
                <w:szCs w:val="20"/>
              </w:rPr>
            </w:pPr>
            <w:r>
              <w:rPr>
                <w:sz w:val="20"/>
                <w:szCs w:val="20"/>
                <w:spacing w:val="-4"/>
              </w:rPr>
              <w:t>1.0032</w:t>
            </w:r>
          </w:p>
        </w:tc>
      </w:tr>
      <w:tr>
        <w:trPr>
          <w:trHeight w:val="300" w:hRule="atLeast"/>
        </w:trPr>
        <w:tc>
          <w:tcPr>
            <w:tcW w:w="904" w:type="dxa"/>
            <w:vAlign w:val="top"/>
            <w:vMerge w:val="continue"/>
            <w:tcBorders>
              <w:top w:val="nil"/>
              <w:bottom w:val="nil"/>
            </w:tcBorders>
          </w:tcPr>
          <w:p>
            <w:pPr>
              <w:rPr>
                <w:rFonts w:ascii="Arial"/>
                <w:sz w:val="21"/>
              </w:rPr>
            </w:pPr>
            <w:r/>
          </w:p>
        </w:tc>
        <w:tc>
          <w:tcPr>
            <w:tcW w:w="700" w:type="dxa"/>
            <w:vAlign w:val="top"/>
            <w:vMerge w:val="continue"/>
            <w:tcBorders>
              <w:top w:val="nil"/>
              <w:bottom w:val="nil"/>
            </w:tcBorders>
          </w:tcPr>
          <w:p>
            <w:pPr>
              <w:rPr>
                <w:rFonts w:ascii="Arial"/>
                <w:sz w:val="21"/>
              </w:rPr>
            </w:pPr>
            <w:r/>
          </w:p>
        </w:tc>
        <w:tc>
          <w:tcPr>
            <w:tcW w:w="710" w:type="dxa"/>
            <w:vAlign w:val="top"/>
            <w:vMerge w:val="continue"/>
            <w:tcBorders>
              <w:top w:val="nil"/>
              <w:bottom w:val="nil"/>
            </w:tcBorders>
          </w:tcPr>
          <w:p>
            <w:pPr>
              <w:rPr>
                <w:rFonts w:ascii="Arial"/>
                <w:sz w:val="21"/>
              </w:rPr>
            </w:pPr>
            <w:r/>
          </w:p>
        </w:tc>
        <w:tc>
          <w:tcPr>
            <w:tcW w:w="1259" w:type="dxa"/>
            <w:vAlign w:val="top"/>
          </w:tcPr>
          <w:p>
            <w:pPr>
              <w:pStyle w:val="TableText"/>
              <w:ind w:left="420"/>
              <w:spacing w:before="84" w:line="183" w:lineRule="auto"/>
              <w:rPr>
                <w:rFonts w:ascii="Calibri" w:hAnsi="Calibri" w:eastAsia="Calibri" w:cs="Calibri"/>
                <w:sz w:val="20"/>
                <w:szCs w:val="20"/>
              </w:rPr>
            </w:pPr>
            <w:r>
              <w:rPr>
                <w:sz w:val="20"/>
                <w:szCs w:val="20"/>
                <w:spacing w:val="-1"/>
              </w:rPr>
              <w:t>NO</w:t>
            </w:r>
            <w:r>
              <w:rPr>
                <w:rFonts w:ascii="Calibri" w:hAnsi="Calibri" w:eastAsia="Calibri" w:cs="Calibri"/>
                <w:sz w:val="20"/>
                <w:szCs w:val="20"/>
                <w:spacing w:val="-1"/>
              </w:rPr>
              <w:t>₄</w:t>
            </w:r>
          </w:p>
        </w:tc>
        <w:tc>
          <w:tcPr>
            <w:tcW w:w="1279" w:type="dxa"/>
            <w:vAlign w:val="top"/>
            <w:vMerge w:val="continue"/>
            <w:tcBorders>
              <w:top w:val="nil"/>
              <w:bottom w:val="nil"/>
            </w:tcBorders>
          </w:tcPr>
          <w:p>
            <w:pPr>
              <w:rPr>
                <w:rFonts w:ascii="Arial"/>
                <w:sz w:val="21"/>
              </w:rPr>
            </w:pPr>
            <w:r/>
          </w:p>
        </w:tc>
        <w:tc>
          <w:tcPr>
            <w:tcW w:w="1129" w:type="dxa"/>
            <w:vAlign w:val="top"/>
            <w:vMerge w:val="continue"/>
            <w:tcBorders>
              <w:top w:val="nil"/>
              <w:bottom w:val="nil"/>
            </w:tcBorders>
          </w:tcPr>
          <w:p>
            <w:pPr>
              <w:rPr>
                <w:rFonts w:ascii="Arial"/>
                <w:sz w:val="21"/>
              </w:rPr>
            </w:pPr>
            <w:r/>
          </w:p>
        </w:tc>
        <w:tc>
          <w:tcPr>
            <w:tcW w:w="989" w:type="dxa"/>
            <w:vAlign w:val="top"/>
            <w:vMerge w:val="continue"/>
            <w:tcBorders>
              <w:top w:val="nil"/>
              <w:bottom w:val="nil"/>
            </w:tcBorders>
          </w:tcPr>
          <w:p>
            <w:pPr>
              <w:rPr>
                <w:rFonts w:ascii="Arial"/>
                <w:sz w:val="21"/>
              </w:rPr>
            </w:pPr>
            <w:r/>
          </w:p>
        </w:tc>
        <w:tc>
          <w:tcPr>
            <w:tcW w:w="1099" w:type="dxa"/>
            <w:vAlign w:val="top"/>
            <w:vMerge w:val="continue"/>
            <w:tcBorders>
              <w:top w:val="nil"/>
              <w:bottom w:val="nil"/>
            </w:tcBorders>
          </w:tcPr>
          <w:p>
            <w:pPr>
              <w:rPr>
                <w:rFonts w:ascii="Arial"/>
                <w:sz w:val="21"/>
              </w:rPr>
            </w:pPr>
            <w:r/>
          </w:p>
        </w:tc>
        <w:tc>
          <w:tcPr>
            <w:tcW w:w="1029" w:type="dxa"/>
            <w:vAlign w:val="top"/>
            <w:vMerge w:val="continue"/>
            <w:tcBorders>
              <w:top w:val="nil"/>
              <w:bottom w:val="nil"/>
            </w:tcBorders>
          </w:tcPr>
          <w:p>
            <w:pPr>
              <w:rPr>
                <w:rFonts w:ascii="Arial"/>
                <w:sz w:val="21"/>
              </w:rPr>
            </w:pPr>
            <w:r/>
          </w:p>
        </w:tc>
        <w:tc>
          <w:tcPr>
            <w:tcW w:w="850" w:type="dxa"/>
            <w:vAlign w:val="top"/>
            <w:vMerge w:val="continue"/>
            <w:tcBorders>
              <w:top w:val="nil"/>
              <w:bottom w:val="nil"/>
            </w:tcBorders>
          </w:tcPr>
          <w:p>
            <w:pPr>
              <w:rPr>
                <w:rFonts w:ascii="Arial"/>
                <w:sz w:val="21"/>
              </w:rPr>
            </w:pPr>
            <w:r/>
          </w:p>
        </w:tc>
        <w:tc>
          <w:tcPr>
            <w:tcW w:w="999" w:type="dxa"/>
            <w:vAlign w:val="top"/>
            <w:vMerge w:val="continue"/>
            <w:tcBorders>
              <w:top w:val="nil"/>
              <w:bottom w:val="nil"/>
            </w:tcBorders>
          </w:tcPr>
          <w:p>
            <w:pPr>
              <w:rPr>
                <w:rFonts w:ascii="Arial"/>
                <w:sz w:val="21"/>
              </w:rPr>
            </w:pPr>
            <w:r/>
          </w:p>
        </w:tc>
        <w:tc>
          <w:tcPr>
            <w:tcW w:w="840" w:type="dxa"/>
            <w:vAlign w:val="top"/>
            <w:vMerge w:val="continue"/>
            <w:tcBorders>
              <w:top w:val="nil"/>
              <w:bottom w:val="nil"/>
            </w:tcBorders>
          </w:tcPr>
          <w:p>
            <w:pPr>
              <w:rPr>
                <w:rFonts w:ascii="Arial"/>
                <w:sz w:val="21"/>
              </w:rPr>
            </w:pPr>
            <w:r/>
          </w:p>
        </w:tc>
        <w:tc>
          <w:tcPr>
            <w:tcW w:w="989" w:type="dxa"/>
            <w:vAlign w:val="top"/>
          </w:tcPr>
          <w:p>
            <w:pPr>
              <w:pStyle w:val="TableText"/>
              <w:ind w:left="237"/>
              <w:spacing w:before="104" w:line="171" w:lineRule="auto"/>
              <w:rPr>
                <w:sz w:val="20"/>
                <w:szCs w:val="20"/>
              </w:rPr>
            </w:pPr>
            <w:r>
              <w:rPr>
                <w:sz w:val="20"/>
                <w:szCs w:val="20"/>
                <w:spacing w:val="-2"/>
              </w:rPr>
              <w:t>0.409</w:t>
            </w:r>
          </w:p>
        </w:tc>
        <w:tc>
          <w:tcPr>
            <w:tcW w:w="1129" w:type="dxa"/>
            <w:vAlign w:val="top"/>
          </w:tcPr>
          <w:p>
            <w:pPr>
              <w:pStyle w:val="TableText"/>
              <w:ind w:left="458"/>
              <w:spacing w:before="104" w:line="171" w:lineRule="auto"/>
              <w:rPr>
                <w:sz w:val="20"/>
                <w:szCs w:val="20"/>
              </w:rPr>
            </w:pPr>
            <w:r>
              <w:rPr>
                <w:sz w:val="20"/>
                <w:szCs w:val="20"/>
                <w:spacing w:val="-3"/>
              </w:rPr>
              <w:t>50</w:t>
            </w:r>
          </w:p>
        </w:tc>
        <w:tc>
          <w:tcPr>
            <w:tcW w:w="854" w:type="dxa"/>
            <w:vAlign w:val="top"/>
          </w:tcPr>
          <w:p>
            <w:pPr>
              <w:pStyle w:val="TableText"/>
              <w:ind w:left="120"/>
              <w:spacing w:before="104" w:line="171" w:lineRule="auto"/>
              <w:rPr>
                <w:sz w:val="20"/>
                <w:szCs w:val="20"/>
              </w:rPr>
            </w:pPr>
            <w:r>
              <w:rPr>
                <w:sz w:val="20"/>
                <w:szCs w:val="20"/>
                <w:spacing w:val="-2"/>
              </w:rPr>
              <w:t>2.7025</w:t>
            </w:r>
          </w:p>
        </w:tc>
      </w:tr>
      <w:tr>
        <w:trPr>
          <w:trHeight w:val="309" w:hRule="atLeast"/>
        </w:trPr>
        <w:tc>
          <w:tcPr>
            <w:tcW w:w="904" w:type="dxa"/>
            <w:vAlign w:val="top"/>
            <w:vMerge w:val="continue"/>
            <w:tcBorders>
              <w:top w:val="nil"/>
            </w:tcBorders>
          </w:tcPr>
          <w:p>
            <w:pPr>
              <w:rPr>
                <w:rFonts w:ascii="Arial"/>
                <w:sz w:val="21"/>
              </w:rPr>
            </w:pPr>
            <w:r/>
          </w:p>
        </w:tc>
        <w:tc>
          <w:tcPr>
            <w:tcW w:w="700" w:type="dxa"/>
            <w:vAlign w:val="top"/>
            <w:vMerge w:val="continue"/>
            <w:tcBorders>
              <w:top w:val="nil"/>
              <w:bottom w:val="nil"/>
            </w:tcBorders>
          </w:tcPr>
          <w:p>
            <w:pPr>
              <w:rPr>
                <w:rFonts w:ascii="Arial"/>
                <w:sz w:val="21"/>
              </w:rPr>
            </w:pPr>
            <w:r/>
          </w:p>
        </w:tc>
        <w:tc>
          <w:tcPr>
            <w:tcW w:w="710" w:type="dxa"/>
            <w:vAlign w:val="top"/>
            <w:vMerge w:val="continue"/>
            <w:tcBorders>
              <w:top w:val="nil"/>
            </w:tcBorders>
          </w:tcPr>
          <w:p>
            <w:pPr>
              <w:rPr>
                <w:rFonts w:ascii="Arial"/>
                <w:sz w:val="21"/>
              </w:rPr>
            </w:pPr>
            <w:r/>
          </w:p>
        </w:tc>
        <w:tc>
          <w:tcPr>
            <w:tcW w:w="1259" w:type="dxa"/>
            <w:vAlign w:val="top"/>
          </w:tcPr>
          <w:p>
            <w:pPr>
              <w:pStyle w:val="TableText"/>
              <w:ind w:left="320"/>
              <w:spacing w:before="63" w:line="217" w:lineRule="auto"/>
              <w:rPr>
                <w:sz w:val="20"/>
                <w:szCs w:val="20"/>
              </w:rPr>
            </w:pPr>
            <w:r>
              <w:rPr>
                <w:sz w:val="20"/>
                <w:szCs w:val="20"/>
                <w:spacing w:val="-2"/>
              </w:rPr>
              <w:t>颗粒物</w:t>
            </w:r>
          </w:p>
        </w:tc>
        <w:tc>
          <w:tcPr>
            <w:tcW w:w="1279" w:type="dxa"/>
            <w:vAlign w:val="top"/>
            <w:vMerge w:val="continue"/>
            <w:tcBorders>
              <w:top w:val="nil"/>
            </w:tcBorders>
          </w:tcPr>
          <w:p>
            <w:pPr>
              <w:rPr>
                <w:rFonts w:ascii="Arial"/>
                <w:sz w:val="21"/>
              </w:rPr>
            </w:pPr>
            <w:r/>
          </w:p>
        </w:tc>
        <w:tc>
          <w:tcPr>
            <w:tcW w:w="1129" w:type="dxa"/>
            <w:vAlign w:val="top"/>
            <w:vMerge w:val="continue"/>
            <w:tcBorders>
              <w:top w:val="nil"/>
            </w:tcBorders>
          </w:tcPr>
          <w:p>
            <w:pPr>
              <w:rPr>
                <w:rFonts w:ascii="Arial"/>
                <w:sz w:val="21"/>
              </w:rPr>
            </w:pPr>
            <w:r/>
          </w:p>
        </w:tc>
        <w:tc>
          <w:tcPr>
            <w:tcW w:w="989" w:type="dxa"/>
            <w:vAlign w:val="top"/>
            <w:vMerge w:val="continue"/>
            <w:tcBorders>
              <w:top w:val="nil"/>
            </w:tcBorders>
          </w:tcPr>
          <w:p>
            <w:pPr>
              <w:rPr>
                <w:rFonts w:ascii="Arial"/>
                <w:sz w:val="21"/>
              </w:rPr>
            </w:pPr>
            <w:r/>
          </w:p>
        </w:tc>
        <w:tc>
          <w:tcPr>
            <w:tcW w:w="1099" w:type="dxa"/>
            <w:vAlign w:val="top"/>
            <w:vMerge w:val="continue"/>
            <w:tcBorders>
              <w:top w:val="nil"/>
            </w:tcBorders>
          </w:tcPr>
          <w:p>
            <w:pPr>
              <w:rPr>
                <w:rFonts w:ascii="Arial"/>
                <w:sz w:val="21"/>
              </w:rPr>
            </w:pPr>
            <w:r/>
          </w:p>
        </w:tc>
        <w:tc>
          <w:tcPr>
            <w:tcW w:w="1029" w:type="dxa"/>
            <w:vAlign w:val="top"/>
            <w:vMerge w:val="continue"/>
            <w:tcBorders>
              <w:top w:val="nil"/>
            </w:tcBorders>
          </w:tcPr>
          <w:p>
            <w:pPr>
              <w:rPr>
                <w:rFonts w:ascii="Arial"/>
                <w:sz w:val="21"/>
              </w:rPr>
            </w:pPr>
            <w:r/>
          </w:p>
        </w:tc>
        <w:tc>
          <w:tcPr>
            <w:tcW w:w="850" w:type="dxa"/>
            <w:vAlign w:val="top"/>
            <w:vMerge w:val="continue"/>
            <w:tcBorders>
              <w:top w:val="nil"/>
            </w:tcBorders>
          </w:tcPr>
          <w:p>
            <w:pPr>
              <w:rPr>
                <w:rFonts w:ascii="Arial"/>
                <w:sz w:val="21"/>
              </w:rPr>
            </w:pPr>
            <w:r/>
          </w:p>
        </w:tc>
        <w:tc>
          <w:tcPr>
            <w:tcW w:w="999" w:type="dxa"/>
            <w:vAlign w:val="top"/>
            <w:vMerge w:val="continue"/>
            <w:tcBorders>
              <w:top w:val="nil"/>
            </w:tcBorders>
          </w:tcPr>
          <w:p>
            <w:pPr>
              <w:rPr>
                <w:rFonts w:ascii="Arial"/>
                <w:sz w:val="21"/>
              </w:rPr>
            </w:pPr>
            <w:r/>
          </w:p>
        </w:tc>
        <w:tc>
          <w:tcPr>
            <w:tcW w:w="840" w:type="dxa"/>
            <w:vAlign w:val="top"/>
            <w:vMerge w:val="continue"/>
            <w:tcBorders>
              <w:top w:val="nil"/>
            </w:tcBorders>
          </w:tcPr>
          <w:p>
            <w:pPr>
              <w:rPr>
                <w:rFonts w:ascii="Arial"/>
                <w:sz w:val="21"/>
              </w:rPr>
            </w:pPr>
            <w:r/>
          </w:p>
        </w:tc>
        <w:tc>
          <w:tcPr>
            <w:tcW w:w="989" w:type="dxa"/>
            <w:vAlign w:val="top"/>
          </w:tcPr>
          <w:p>
            <w:pPr>
              <w:pStyle w:val="TableText"/>
              <w:ind w:left="237"/>
              <w:spacing w:before="113" w:line="171" w:lineRule="auto"/>
              <w:rPr>
                <w:sz w:val="20"/>
                <w:szCs w:val="20"/>
              </w:rPr>
            </w:pPr>
            <w:r>
              <w:rPr>
                <w:sz w:val="20"/>
                <w:szCs w:val="20"/>
                <w:spacing w:val="-2"/>
              </w:rPr>
              <w:t>0.134</w:t>
            </w:r>
          </w:p>
        </w:tc>
        <w:tc>
          <w:tcPr>
            <w:tcW w:w="1129" w:type="dxa"/>
            <w:vAlign w:val="top"/>
          </w:tcPr>
          <w:p>
            <w:pPr>
              <w:pStyle w:val="TableText"/>
              <w:ind w:left="458"/>
              <w:spacing w:before="114" w:line="170" w:lineRule="auto"/>
              <w:rPr>
                <w:sz w:val="20"/>
                <w:szCs w:val="20"/>
              </w:rPr>
            </w:pPr>
            <w:r>
              <w:rPr>
                <w:sz w:val="20"/>
                <w:szCs w:val="20"/>
                <w:spacing w:val="-3"/>
              </w:rPr>
              <w:t>20</w:t>
            </w:r>
          </w:p>
        </w:tc>
        <w:tc>
          <w:tcPr>
            <w:tcW w:w="854" w:type="dxa"/>
            <w:vAlign w:val="top"/>
          </w:tcPr>
          <w:p>
            <w:pPr>
              <w:pStyle w:val="TableText"/>
              <w:ind w:left="170"/>
              <w:spacing w:before="113" w:line="171" w:lineRule="auto"/>
              <w:rPr>
                <w:sz w:val="20"/>
                <w:szCs w:val="20"/>
              </w:rPr>
            </w:pPr>
            <w:r>
              <w:rPr>
                <w:sz w:val="20"/>
                <w:szCs w:val="20"/>
                <w:spacing w:val="-3"/>
              </w:rPr>
              <w:t>.0810</w:t>
            </w:r>
          </w:p>
        </w:tc>
      </w:tr>
      <w:tr>
        <w:trPr>
          <w:trHeight w:val="290" w:hRule="atLeast"/>
        </w:trPr>
        <w:tc>
          <w:tcPr>
            <w:tcW w:w="904" w:type="dxa"/>
            <w:vAlign w:val="top"/>
            <w:vMerge w:val="restart"/>
            <w:tcBorders>
              <w:bottom w:val="nil"/>
            </w:tcBorders>
          </w:tcPr>
          <w:p>
            <w:pPr>
              <w:spacing w:line="346" w:lineRule="auto"/>
              <w:rPr>
                <w:rFonts w:ascii="Arial"/>
                <w:sz w:val="21"/>
              </w:rPr>
            </w:pPr>
            <w:r/>
          </w:p>
          <w:p>
            <w:pPr>
              <w:pStyle w:val="TableText"/>
              <w:ind w:left="195"/>
              <w:spacing w:before="65" w:line="185" w:lineRule="auto"/>
              <w:rPr>
                <w:sz w:val="20"/>
                <w:szCs w:val="20"/>
              </w:rPr>
            </w:pPr>
            <w:r>
              <w:rPr>
                <w:sz w:val="20"/>
                <w:szCs w:val="20"/>
                <w:spacing w:val="-1"/>
              </w:rPr>
              <w:t>DA028</w:t>
            </w:r>
          </w:p>
        </w:tc>
        <w:tc>
          <w:tcPr>
            <w:tcW w:w="700" w:type="dxa"/>
            <w:vAlign w:val="top"/>
            <w:vMerge w:val="continue"/>
            <w:tcBorders>
              <w:top w:val="nil"/>
              <w:bottom w:val="nil"/>
            </w:tcBorders>
          </w:tcPr>
          <w:p>
            <w:pPr>
              <w:rPr>
                <w:rFonts w:ascii="Arial"/>
                <w:sz w:val="21"/>
              </w:rPr>
            </w:pPr>
            <w:r/>
          </w:p>
        </w:tc>
        <w:tc>
          <w:tcPr>
            <w:tcW w:w="710" w:type="dxa"/>
            <w:vAlign w:val="top"/>
            <w:vMerge w:val="restart"/>
            <w:tcBorders>
              <w:bottom w:val="nil"/>
            </w:tcBorders>
          </w:tcPr>
          <w:p>
            <w:pPr>
              <w:spacing w:line="393" w:lineRule="auto"/>
              <w:rPr>
                <w:rFonts w:ascii="Arial"/>
                <w:sz w:val="21"/>
              </w:rPr>
            </w:pPr>
            <w:r/>
          </w:p>
          <w:p>
            <w:pPr>
              <w:pStyle w:val="TableText"/>
              <w:ind w:left="140" w:right="131" w:hanging="50"/>
              <w:spacing w:before="65" w:line="229" w:lineRule="auto"/>
              <w:jc w:val="both"/>
              <w:rPr>
                <w:sz w:val="20"/>
                <w:szCs w:val="20"/>
              </w:rPr>
            </w:pPr>
            <w:r>
              <w:rPr>
                <w:sz w:val="20"/>
                <w:szCs w:val="20"/>
                <w:spacing w:val="-5"/>
              </w:rPr>
              <w:t>15t/h</w:t>
            </w:r>
            <w:r>
              <w:rPr>
                <w:sz w:val="20"/>
                <w:szCs w:val="20"/>
                <w:spacing w:val="1"/>
              </w:rPr>
              <w:t xml:space="preserve"> </w:t>
            </w:r>
            <w:r>
              <w:rPr>
                <w:sz w:val="20"/>
                <w:szCs w:val="20"/>
                <w:spacing w:val="6"/>
              </w:rPr>
              <w:t>蒸汽</w:t>
            </w:r>
            <w:r>
              <w:rPr>
                <w:sz w:val="20"/>
                <w:szCs w:val="20"/>
              </w:rPr>
              <w:t xml:space="preserve"> </w:t>
            </w:r>
            <w:r>
              <w:rPr>
                <w:sz w:val="20"/>
                <w:szCs w:val="20"/>
                <w:spacing w:val="7"/>
              </w:rPr>
              <w:t>锅炉</w:t>
            </w:r>
            <w:r>
              <w:rPr>
                <w:sz w:val="20"/>
                <w:szCs w:val="20"/>
              </w:rPr>
              <w:t xml:space="preserve"> </w:t>
            </w:r>
            <w:r>
              <w:rPr>
                <w:sz w:val="20"/>
                <w:szCs w:val="20"/>
                <w:spacing w:val="6"/>
              </w:rPr>
              <w:t>废气</w:t>
            </w:r>
          </w:p>
        </w:tc>
        <w:tc>
          <w:tcPr>
            <w:tcW w:w="1259" w:type="dxa"/>
            <w:vAlign w:val="top"/>
          </w:tcPr>
          <w:p>
            <w:pPr>
              <w:pStyle w:val="TableText"/>
              <w:ind w:left="420"/>
              <w:spacing w:before="86" w:line="179" w:lineRule="auto"/>
              <w:rPr>
                <w:rFonts w:ascii="Calibri" w:hAnsi="Calibri" w:eastAsia="Calibri" w:cs="Calibri"/>
                <w:sz w:val="20"/>
                <w:szCs w:val="20"/>
              </w:rPr>
            </w:pPr>
            <w:r>
              <w:rPr>
                <w:sz w:val="20"/>
                <w:szCs w:val="20"/>
                <w:spacing w:val="-3"/>
              </w:rPr>
              <w:t>SO</w:t>
            </w:r>
            <w:r>
              <w:rPr>
                <w:rFonts w:ascii="Calibri" w:hAnsi="Calibri" w:eastAsia="Calibri" w:cs="Calibri"/>
                <w:sz w:val="20"/>
                <w:szCs w:val="20"/>
                <w:spacing w:val="-3"/>
              </w:rPr>
              <w:t>₂</w:t>
            </w:r>
          </w:p>
        </w:tc>
        <w:tc>
          <w:tcPr>
            <w:tcW w:w="1279" w:type="dxa"/>
            <w:vAlign w:val="top"/>
            <w:vMerge w:val="restart"/>
            <w:tcBorders>
              <w:bottom w:val="nil"/>
            </w:tcBorders>
          </w:tcPr>
          <w:p>
            <w:pPr>
              <w:pStyle w:val="TableText"/>
              <w:ind w:left="282"/>
              <w:spacing w:before="244" w:line="351" w:lineRule="exact"/>
              <w:rPr>
                <w:sz w:val="20"/>
                <w:szCs w:val="20"/>
              </w:rPr>
            </w:pPr>
            <w:r>
              <w:rPr>
                <w:sz w:val="20"/>
                <w:szCs w:val="20"/>
                <w:spacing w:val="-4"/>
                <w:position w:val="10"/>
              </w:rPr>
              <w:t>120°0'</w:t>
            </w:r>
          </w:p>
          <w:p>
            <w:pPr>
              <w:pStyle w:val="TableText"/>
              <w:ind w:left="332"/>
              <w:spacing w:line="183" w:lineRule="auto"/>
              <w:rPr>
                <w:sz w:val="20"/>
                <w:szCs w:val="20"/>
              </w:rPr>
            </w:pPr>
            <w:r>
              <w:rPr>
                <w:sz w:val="20"/>
                <w:szCs w:val="20"/>
                <w:spacing w:val="-1"/>
              </w:rPr>
              <w:t>46.584</w:t>
            </w:r>
          </w:p>
        </w:tc>
        <w:tc>
          <w:tcPr>
            <w:tcW w:w="1129" w:type="dxa"/>
            <w:vAlign w:val="top"/>
            <w:vMerge w:val="restart"/>
            <w:tcBorders>
              <w:bottom w:val="nil"/>
            </w:tcBorders>
          </w:tcPr>
          <w:p>
            <w:pPr>
              <w:pStyle w:val="TableText"/>
              <w:ind w:left="252" w:right="76" w:hanging="100"/>
              <w:spacing w:before="244" w:line="249" w:lineRule="auto"/>
              <w:rPr>
                <w:sz w:val="20"/>
                <w:szCs w:val="20"/>
              </w:rPr>
            </w:pPr>
            <w:r>
              <w:rPr>
                <w:sz w:val="20"/>
                <w:szCs w:val="20"/>
                <w:spacing w:val="14"/>
              </w:rPr>
              <w:t>26°51’</w:t>
            </w:r>
            <w:r>
              <w:rPr>
                <w:sz w:val="20"/>
                <w:szCs w:val="20"/>
                <w:spacing w:val="4"/>
              </w:rPr>
              <w:t xml:space="preserve"> </w:t>
            </w:r>
            <w:r>
              <w:rPr>
                <w:sz w:val="20"/>
                <w:szCs w:val="20"/>
                <w:spacing w:val="-4"/>
              </w:rPr>
              <w:t>17.365</w:t>
            </w:r>
          </w:p>
        </w:tc>
        <w:tc>
          <w:tcPr>
            <w:tcW w:w="989" w:type="dxa"/>
            <w:vAlign w:val="top"/>
            <w:vMerge w:val="restart"/>
            <w:tcBorders>
              <w:bottom w:val="nil"/>
            </w:tcBorders>
          </w:tcPr>
          <w:p>
            <w:pPr>
              <w:spacing w:line="348" w:lineRule="auto"/>
              <w:rPr>
                <w:rFonts w:ascii="Arial"/>
                <w:sz w:val="21"/>
              </w:rPr>
            </w:pPr>
            <w:r/>
          </w:p>
          <w:p>
            <w:pPr>
              <w:pStyle w:val="TableText"/>
              <w:ind w:left="383"/>
              <w:spacing w:before="65" w:line="183" w:lineRule="auto"/>
              <w:rPr>
                <w:sz w:val="20"/>
                <w:szCs w:val="20"/>
              </w:rPr>
            </w:pPr>
            <w:r>
              <w:rPr>
                <w:sz w:val="20"/>
                <w:szCs w:val="20"/>
                <w:spacing w:val="-3"/>
              </w:rPr>
              <w:t>27</w:t>
            </w:r>
          </w:p>
        </w:tc>
        <w:tc>
          <w:tcPr>
            <w:tcW w:w="1099" w:type="dxa"/>
            <w:vAlign w:val="top"/>
            <w:vMerge w:val="restart"/>
            <w:tcBorders>
              <w:bottom w:val="nil"/>
            </w:tcBorders>
          </w:tcPr>
          <w:p>
            <w:pPr>
              <w:spacing w:line="347" w:lineRule="auto"/>
              <w:rPr>
                <w:rFonts w:ascii="Arial"/>
                <w:sz w:val="21"/>
              </w:rPr>
            </w:pPr>
            <w:r/>
          </w:p>
          <w:p>
            <w:pPr>
              <w:pStyle w:val="TableText"/>
              <w:ind w:left="494"/>
              <w:spacing w:before="65" w:line="184" w:lineRule="auto"/>
              <w:rPr>
                <w:sz w:val="20"/>
                <w:szCs w:val="20"/>
              </w:rPr>
            </w:pPr>
            <w:r>
              <w:rPr>
                <w:sz w:val="20"/>
                <w:szCs w:val="20"/>
              </w:rPr>
              <w:t>1</w:t>
            </w:r>
          </w:p>
        </w:tc>
        <w:tc>
          <w:tcPr>
            <w:tcW w:w="1029" w:type="dxa"/>
            <w:vAlign w:val="top"/>
            <w:vMerge w:val="restart"/>
            <w:tcBorders>
              <w:bottom w:val="nil"/>
            </w:tcBorders>
          </w:tcPr>
          <w:p>
            <w:pPr>
              <w:spacing w:line="347" w:lineRule="auto"/>
              <w:rPr>
                <w:rFonts w:ascii="Arial"/>
                <w:sz w:val="21"/>
              </w:rPr>
            </w:pPr>
            <w:r/>
          </w:p>
          <w:p>
            <w:pPr>
              <w:pStyle w:val="TableText"/>
              <w:ind w:left="255"/>
              <w:spacing w:before="65" w:line="184" w:lineRule="auto"/>
              <w:rPr>
                <w:sz w:val="20"/>
                <w:szCs w:val="20"/>
              </w:rPr>
            </w:pPr>
            <w:r>
              <w:rPr>
                <w:sz w:val="20"/>
                <w:szCs w:val="20"/>
                <w:spacing w:val="-4"/>
              </w:rPr>
              <w:t>12284</w:t>
            </w:r>
          </w:p>
        </w:tc>
        <w:tc>
          <w:tcPr>
            <w:tcW w:w="850" w:type="dxa"/>
            <w:vAlign w:val="top"/>
            <w:vMerge w:val="restart"/>
            <w:tcBorders>
              <w:bottom w:val="nil"/>
            </w:tcBorders>
          </w:tcPr>
          <w:p>
            <w:pPr>
              <w:spacing w:line="347" w:lineRule="auto"/>
              <w:rPr>
                <w:rFonts w:ascii="Arial"/>
                <w:sz w:val="21"/>
              </w:rPr>
            </w:pPr>
            <w:r/>
          </w:p>
          <w:p>
            <w:pPr>
              <w:pStyle w:val="TableText"/>
              <w:ind w:left="266"/>
              <w:spacing w:before="65" w:line="184" w:lineRule="auto"/>
              <w:rPr>
                <w:sz w:val="20"/>
                <w:szCs w:val="20"/>
              </w:rPr>
            </w:pPr>
            <w:r>
              <w:rPr>
                <w:sz w:val="20"/>
                <w:szCs w:val="20"/>
                <w:spacing w:val="-6"/>
              </w:rPr>
              <w:t>150</w:t>
            </w:r>
          </w:p>
        </w:tc>
        <w:tc>
          <w:tcPr>
            <w:tcW w:w="999" w:type="dxa"/>
            <w:vAlign w:val="top"/>
            <w:vMerge w:val="restart"/>
            <w:tcBorders>
              <w:bottom w:val="nil"/>
            </w:tcBorders>
          </w:tcPr>
          <w:p>
            <w:pPr>
              <w:spacing w:line="348" w:lineRule="auto"/>
              <w:rPr>
                <w:rFonts w:ascii="Arial"/>
                <w:sz w:val="21"/>
              </w:rPr>
            </w:pPr>
            <w:r/>
          </w:p>
          <w:p>
            <w:pPr>
              <w:pStyle w:val="TableText"/>
              <w:ind w:left="297"/>
              <w:spacing w:before="65" w:line="183" w:lineRule="auto"/>
              <w:rPr>
                <w:sz w:val="20"/>
                <w:szCs w:val="20"/>
              </w:rPr>
            </w:pPr>
            <w:r>
              <w:rPr>
                <w:sz w:val="20"/>
                <w:szCs w:val="20"/>
                <w:spacing w:val="-2"/>
              </w:rPr>
              <w:t>6600</w:t>
            </w:r>
          </w:p>
        </w:tc>
        <w:tc>
          <w:tcPr>
            <w:tcW w:w="840" w:type="dxa"/>
            <w:vAlign w:val="top"/>
            <w:vMerge w:val="restart"/>
            <w:tcBorders>
              <w:bottom w:val="nil"/>
            </w:tcBorders>
          </w:tcPr>
          <w:p>
            <w:pPr>
              <w:pStyle w:val="TableText"/>
              <w:ind w:left="317" w:right="123" w:hanging="200"/>
              <w:spacing w:before="235" w:line="226" w:lineRule="auto"/>
              <w:rPr>
                <w:sz w:val="20"/>
                <w:szCs w:val="20"/>
              </w:rPr>
            </w:pPr>
            <w:r>
              <w:rPr>
                <w:sz w:val="20"/>
                <w:szCs w:val="20"/>
                <w:spacing w:val="-4"/>
              </w:rPr>
              <w:t>正常排</w:t>
            </w:r>
            <w:r>
              <w:rPr>
                <w:sz w:val="20"/>
                <w:szCs w:val="20"/>
              </w:rPr>
              <w:t xml:space="preserve"> </w:t>
            </w:r>
            <w:r>
              <w:rPr>
                <w:sz w:val="20"/>
                <w:szCs w:val="20"/>
              </w:rPr>
              <w:t>放</w:t>
            </w:r>
          </w:p>
        </w:tc>
        <w:tc>
          <w:tcPr>
            <w:tcW w:w="989" w:type="dxa"/>
            <w:vAlign w:val="top"/>
          </w:tcPr>
          <w:p>
            <w:pPr>
              <w:pStyle w:val="TableText"/>
              <w:ind w:left="237"/>
              <w:spacing w:before="104" w:line="162" w:lineRule="auto"/>
              <w:rPr>
                <w:sz w:val="20"/>
                <w:szCs w:val="20"/>
              </w:rPr>
            </w:pPr>
            <w:r>
              <w:rPr>
                <w:sz w:val="20"/>
                <w:szCs w:val="20"/>
                <w:spacing w:val="-2"/>
              </w:rPr>
              <w:t>0.187</w:t>
            </w:r>
          </w:p>
        </w:tc>
        <w:tc>
          <w:tcPr>
            <w:tcW w:w="1129" w:type="dxa"/>
            <w:vAlign w:val="top"/>
          </w:tcPr>
          <w:p>
            <w:pPr>
              <w:pStyle w:val="TableText"/>
              <w:ind w:left="508"/>
              <w:spacing w:before="105" w:line="161" w:lineRule="auto"/>
              <w:rPr>
                <w:sz w:val="20"/>
                <w:szCs w:val="20"/>
              </w:rPr>
            </w:pPr>
            <w:r>
              <w:rPr>
                <w:sz w:val="20"/>
                <w:szCs w:val="20"/>
              </w:rPr>
              <w:t>3</w:t>
            </w:r>
          </w:p>
        </w:tc>
        <w:tc>
          <w:tcPr>
            <w:tcW w:w="854" w:type="dxa"/>
            <w:vAlign w:val="top"/>
          </w:tcPr>
          <w:p>
            <w:pPr>
              <w:pStyle w:val="TableText"/>
              <w:ind w:left="170"/>
              <w:spacing w:before="105" w:line="161" w:lineRule="auto"/>
              <w:rPr>
                <w:sz w:val="20"/>
                <w:szCs w:val="20"/>
              </w:rPr>
            </w:pPr>
            <w:r>
              <w:rPr>
                <w:sz w:val="20"/>
                <w:szCs w:val="20"/>
                <w:spacing w:val="-3"/>
              </w:rPr>
              <w:t>.5048</w:t>
            </w:r>
          </w:p>
        </w:tc>
      </w:tr>
      <w:tr>
        <w:trPr>
          <w:trHeight w:val="299" w:hRule="atLeast"/>
        </w:trPr>
        <w:tc>
          <w:tcPr>
            <w:tcW w:w="904" w:type="dxa"/>
            <w:vAlign w:val="top"/>
            <w:vMerge w:val="continue"/>
            <w:tcBorders>
              <w:top w:val="nil"/>
              <w:bottom w:val="nil"/>
            </w:tcBorders>
          </w:tcPr>
          <w:p>
            <w:pPr>
              <w:rPr>
                <w:rFonts w:ascii="Arial"/>
                <w:sz w:val="21"/>
              </w:rPr>
            </w:pPr>
            <w:r/>
          </w:p>
        </w:tc>
        <w:tc>
          <w:tcPr>
            <w:tcW w:w="700" w:type="dxa"/>
            <w:vAlign w:val="top"/>
            <w:vMerge w:val="continue"/>
            <w:tcBorders>
              <w:top w:val="nil"/>
              <w:bottom w:val="nil"/>
            </w:tcBorders>
          </w:tcPr>
          <w:p>
            <w:pPr>
              <w:rPr>
                <w:rFonts w:ascii="Arial"/>
                <w:sz w:val="21"/>
              </w:rPr>
            </w:pPr>
            <w:r/>
          </w:p>
        </w:tc>
        <w:tc>
          <w:tcPr>
            <w:tcW w:w="710" w:type="dxa"/>
            <w:vAlign w:val="top"/>
            <w:vMerge w:val="continue"/>
            <w:tcBorders>
              <w:top w:val="nil"/>
              <w:bottom w:val="nil"/>
            </w:tcBorders>
          </w:tcPr>
          <w:p>
            <w:pPr>
              <w:rPr>
                <w:rFonts w:ascii="Arial"/>
                <w:sz w:val="21"/>
              </w:rPr>
            </w:pPr>
            <w:r/>
          </w:p>
        </w:tc>
        <w:tc>
          <w:tcPr>
            <w:tcW w:w="1259" w:type="dxa"/>
            <w:vAlign w:val="top"/>
          </w:tcPr>
          <w:p>
            <w:pPr>
              <w:pStyle w:val="TableText"/>
              <w:ind w:left="420"/>
              <w:spacing w:before="85" w:line="183" w:lineRule="auto"/>
              <w:rPr>
                <w:rFonts w:ascii="Calibri" w:hAnsi="Calibri" w:eastAsia="Calibri" w:cs="Calibri"/>
                <w:sz w:val="20"/>
                <w:szCs w:val="20"/>
              </w:rPr>
            </w:pPr>
            <w:r>
              <w:rPr>
                <w:sz w:val="20"/>
                <w:szCs w:val="20"/>
                <w:spacing w:val="-1"/>
              </w:rPr>
              <w:t>NO</w:t>
            </w:r>
            <w:r>
              <w:rPr>
                <w:rFonts w:ascii="Calibri" w:hAnsi="Calibri" w:eastAsia="Calibri" w:cs="Calibri"/>
                <w:sz w:val="20"/>
                <w:szCs w:val="20"/>
                <w:spacing w:val="-1"/>
              </w:rPr>
              <w:t>₄</w:t>
            </w:r>
          </w:p>
        </w:tc>
        <w:tc>
          <w:tcPr>
            <w:tcW w:w="1279" w:type="dxa"/>
            <w:vAlign w:val="top"/>
            <w:vMerge w:val="continue"/>
            <w:tcBorders>
              <w:top w:val="nil"/>
              <w:bottom w:val="nil"/>
            </w:tcBorders>
          </w:tcPr>
          <w:p>
            <w:pPr>
              <w:rPr>
                <w:rFonts w:ascii="Arial"/>
                <w:sz w:val="21"/>
              </w:rPr>
            </w:pPr>
            <w:r/>
          </w:p>
        </w:tc>
        <w:tc>
          <w:tcPr>
            <w:tcW w:w="1129" w:type="dxa"/>
            <w:vAlign w:val="top"/>
            <w:vMerge w:val="continue"/>
            <w:tcBorders>
              <w:top w:val="nil"/>
              <w:bottom w:val="nil"/>
            </w:tcBorders>
          </w:tcPr>
          <w:p>
            <w:pPr>
              <w:rPr>
                <w:rFonts w:ascii="Arial"/>
                <w:sz w:val="21"/>
              </w:rPr>
            </w:pPr>
            <w:r/>
          </w:p>
        </w:tc>
        <w:tc>
          <w:tcPr>
            <w:tcW w:w="989" w:type="dxa"/>
            <w:vAlign w:val="top"/>
            <w:vMerge w:val="continue"/>
            <w:tcBorders>
              <w:top w:val="nil"/>
              <w:bottom w:val="nil"/>
            </w:tcBorders>
          </w:tcPr>
          <w:p>
            <w:pPr>
              <w:rPr>
                <w:rFonts w:ascii="Arial"/>
                <w:sz w:val="21"/>
              </w:rPr>
            </w:pPr>
            <w:r/>
          </w:p>
        </w:tc>
        <w:tc>
          <w:tcPr>
            <w:tcW w:w="1099" w:type="dxa"/>
            <w:vAlign w:val="top"/>
            <w:vMerge w:val="continue"/>
            <w:tcBorders>
              <w:top w:val="nil"/>
              <w:bottom w:val="nil"/>
            </w:tcBorders>
          </w:tcPr>
          <w:p>
            <w:pPr>
              <w:rPr>
                <w:rFonts w:ascii="Arial"/>
                <w:sz w:val="21"/>
              </w:rPr>
            </w:pPr>
            <w:r/>
          </w:p>
        </w:tc>
        <w:tc>
          <w:tcPr>
            <w:tcW w:w="1029" w:type="dxa"/>
            <w:vAlign w:val="top"/>
            <w:vMerge w:val="continue"/>
            <w:tcBorders>
              <w:top w:val="nil"/>
              <w:bottom w:val="nil"/>
            </w:tcBorders>
          </w:tcPr>
          <w:p>
            <w:pPr>
              <w:rPr>
                <w:rFonts w:ascii="Arial"/>
                <w:sz w:val="21"/>
              </w:rPr>
            </w:pPr>
            <w:r/>
          </w:p>
        </w:tc>
        <w:tc>
          <w:tcPr>
            <w:tcW w:w="850" w:type="dxa"/>
            <w:vAlign w:val="top"/>
            <w:vMerge w:val="continue"/>
            <w:tcBorders>
              <w:top w:val="nil"/>
              <w:bottom w:val="nil"/>
            </w:tcBorders>
          </w:tcPr>
          <w:p>
            <w:pPr>
              <w:rPr>
                <w:rFonts w:ascii="Arial"/>
                <w:sz w:val="21"/>
              </w:rPr>
            </w:pPr>
            <w:r/>
          </w:p>
        </w:tc>
        <w:tc>
          <w:tcPr>
            <w:tcW w:w="999" w:type="dxa"/>
            <w:vAlign w:val="top"/>
            <w:vMerge w:val="continue"/>
            <w:tcBorders>
              <w:top w:val="nil"/>
              <w:bottom w:val="nil"/>
            </w:tcBorders>
          </w:tcPr>
          <w:p>
            <w:pPr>
              <w:rPr>
                <w:rFonts w:ascii="Arial"/>
                <w:sz w:val="21"/>
              </w:rPr>
            </w:pPr>
            <w:r/>
          </w:p>
        </w:tc>
        <w:tc>
          <w:tcPr>
            <w:tcW w:w="840" w:type="dxa"/>
            <w:vAlign w:val="top"/>
            <w:vMerge w:val="continue"/>
            <w:tcBorders>
              <w:top w:val="nil"/>
              <w:bottom w:val="nil"/>
            </w:tcBorders>
          </w:tcPr>
          <w:p>
            <w:pPr>
              <w:rPr>
                <w:rFonts w:ascii="Arial"/>
                <w:sz w:val="21"/>
              </w:rPr>
            </w:pPr>
            <w:r/>
          </w:p>
        </w:tc>
        <w:tc>
          <w:tcPr>
            <w:tcW w:w="989" w:type="dxa"/>
            <w:vAlign w:val="top"/>
          </w:tcPr>
          <w:p>
            <w:pPr>
              <w:pStyle w:val="TableText"/>
              <w:ind w:left="237"/>
              <w:spacing w:before="104" w:line="170" w:lineRule="auto"/>
              <w:rPr>
                <w:sz w:val="20"/>
                <w:szCs w:val="20"/>
              </w:rPr>
            </w:pPr>
            <w:r>
              <w:rPr>
                <w:sz w:val="20"/>
                <w:szCs w:val="20"/>
                <w:spacing w:val="-2"/>
              </w:rPr>
              <w:t>0.614</w:t>
            </w:r>
          </w:p>
        </w:tc>
        <w:tc>
          <w:tcPr>
            <w:tcW w:w="1129" w:type="dxa"/>
            <w:vAlign w:val="top"/>
          </w:tcPr>
          <w:p>
            <w:pPr>
              <w:pStyle w:val="TableText"/>
              <w:ind w:left="458"/>
              <w:spacing w:before="105" w:line="169" w:lineRule="auto"/>
              <w:rPr>
                <w:sz w:val="20"/>
                <w:szCs w:val="20"/>
              </w:rPr>
            </w:pPr>
            <w:r>
              <w:rPr>
                <w:sz w:val="20"/>
                <w:szCs w:val="20"/>
                <w:spacing w:val="-3"/>
              </w:rPr>
              <w:t>50</w:t>
            </w:r>
          </w:p>
        </w:tc>
        <w:tc>
          <w:tcPr>
            <w:tcW w:w="854" w:type="dxa"/>
            <w:vAlign w:val="top"/>
          </w:tcPr>
          <w:p>
            <w:pPr>
              <w:pStyle w:val="TableText"/>
              <w:ind w:left="120"/>
              <w:spacing w:before="105" w:line="169" w:lineRule="auto"/>
              <w:rPr>
                <w:sz w:val="20"/>
                <w:szCs w:val="20"/>
              </w:rPr>
            </w:pPr>
            <w:r>
              <w:rPr>
                <w:sz w:val="20"/>
                <w:szCs w:val="20"/>
                <w:spacing w:val="-1"/>
              </w:rPr>
              <w:t>4.0536</w:t>
            </w:r>
          </w:p>
        </w:tc>
      </w:tr>
      <w:tr>
        <w:trPr>
          <w:trHeight w:val="310" w:hRule="atLeast"/>
        </w:trPr>
        <w:tc>
          <w:tcPr>
            <w:tcW w:w="904" w:type="dxa"/>
            <w:vAlign w:val="top"/>
            <w:vMerge w:val="continue"/>
            <w:tcBorders>
              <w:top w:val="nil"/>
            </w:tcBorders>
          </w:tcPr>
          <w:p>
            <w:pPr>
              <w:rPr>
                <w:rFonts w:ascii="Arial"/>
                <w:sz w:val="21"/>
              </w:rPr>
            </w:pPr>
            <w:r/>
          </w:p>
        </w:tc>
        <w:tc>
          <w:tcPr>
            <w:tcW w:w="700" w:type="dxa"/>
            <w:vAlign w:val="top"/>
            <w:vMerge w:val="continue"/>
            <w:tcBorders>
              <w:top w:val="nil"/>
              <w:bottom w:val="nil"/>
            </w:tcBorders>
          </w:tcPr>
          <w:p>
            <w:pPr>
              <w:rPr>
                <w:rFonts w:ascii="Arial"/>
                <w:sz w:val="21"/>
              </w:rPr>
            </w:pPr>
            <w:r/>
          </w:p>
        </w:tc>
        <w:tc>
          <w:tcPr>
            <w:tcW w:w="710" w:type="dxa"/>
            <w:vAlign w:val="top"/>
            <w:vMerge w:val="continue"/>
            <w:tcBorders>
              <w:top w:val="nil"/>
              <w:bottom w:val="nil"/>
            </w:tcBorders>
          </w:tcPr>
          <w:p>
            <w:pPr>
              <w:rPr>
                <w:rFonts w:ascii="Arial"/>
                <w:sz w:val="21"/>
              </w:rPr>
            </w:pPr>
            <w:r/>
          </w:p>
        </w:tc>
        <w:tc>
          <w:tcPr>
            <w:tcW w:w="1259" w:type="dxa"/>
            <w:vAlign w:val="top"/>
          </w:tcPr>
          <w:p>
            <w:pPr>
              <w:pStyle w:val="TableText"/>
              <w:ind w:left="320"/>
              <w:spacing w:before="66" w:line="216" w:lineRule="auto"/>
              <w:rPr>
                <w:sz w:val="20"/>
                <w:szCs w:val="20"/>
              </w:rPr>
            </w:pPr>
            <w:r>
              <w:rPr>
                <w:sz w:val="20"/>
                <w:szCs w:val="20"/>
                <w:spacing w:val="-2"/>
              </w:rPr>
              <w:t>颗粒物</w:t>
            </w:r>
          </w:p>
        </w:tc>
        <w:tc>
          <w:tcPr>
            <w:tcW w:w="1279" w:type="dxa"/>
            <w:vAlign w:val="top"/>
            <w:vMerge w:val="continue"/>
            <w:tcBorders>
              <w:top w:val="nil"/>
            </w:tcBorders>
          </w:tcPr>
          <w:p>
            <w:pPr>
              <w:rPr>
                <w:rFonts w:ascii="Arial"/>
                <w:sz w:val="21"/>
              </w:rPr>
            </w:pPr>
            <w:r/>
          </w:p>
        </w:tc>
        <w:tc>
          <w:tcPr>
            <w:tcW w:w="1129" w:type="dxa"/>
            <w:vAlign w:val="top"/>
            <w:vMerge w:val="continue"/>
            <w:tcBorders>
              <w:top w:val="nil"/>
            </w:tcBorders>
          </w:tcPr>
          <w:p>
            <w:pPr>
              <w:rPr>
                <w:rFonts w:ascii="Arial"/>
                <w:sz w:val="21"/>
              </w:rPr>
            </w:pPr>
            <w:r/>
          </w:p>
        </w:tc>
        <w:tc>
          <w:tcPr>
            <w:tcW w:w="989" w:type="dxa"/>
            <w:vAlign w:val="top"/>
            <w:vMerge w:val="continue"/>
            <w:tcBorders>
              <w:top w:val="nil"/>
            </w:tcBorders>
          </w:tcPr>
          <w:p>
            <w:pPr>
              <w:rPr>
                <w:rFonts w:ascii="Arial"/>
                <w:sz w:val="21"/>
              </w:rPr>
            </w:pPr>
            <w:r/>
          </w:p>
        </w:tc>
        <w:tc>
          <w:tcPr>
            <w:tcW w:w="1099" w:type="dxa"/>
            <w:vAlign w:val="top"/>
            <w:vMerge w:val="continue"/>
            <w:tcBorders>
              <w:top w:val="nil"/>
            </w:tcBorders>
          </w:tcPr>
          <w:p>
            <w:pPr>
              <w:rPr>
                <w:rFonts w:ascii="Arial"/>
                <w:sz w:val="21"/>
              </w:rPr>
            </w:pPr>
            <w:r/>
          </w:p>
        </w:tc>
        <w:tc>
          <w:tcPr>
            <w:tcW w:w="1029" w:type="dxa"/>
            <w:vAlign w:val="top"/>
            <w:vMerge w:val="continue"/>
            <w:tcBorders>
              <w:top w:val="nil"/>
            </w:tcBorders>
          </w:tcPr>
          <w:p>
            <w:pPr>
              <w:rPr>
                <w:rFonts w:ascii="Arial"/>
                <w:sz w:val="21"/>
              </w:rPr>
            </w:pPr>
            <w:r/>
          </w:p>
        </w:tc>
        <w:tc>
          <w:tcPr>
            <w:tcW w:w="850" w:type="dxa"/>
            <w:vAlign w:val="top"/>
            <w:vMerge w:val="continue"/>
            <w:tcBorders>
              <w:top w:val="nil"/>
            </w:tcBorders>
          </w:tcPr>
          <w:p>
            <w:pPr>
              <w:rPr>
                <w:rFonts w:ascii="Arial"/>
                <w:sz w:val="21"/>
              </w:rPr>
            </w:pPr>
            <w:r/>
          </w:p>
        </w:tc>
        <w:tc>
          <w:tcPr>
            <w:tcW w:w="999" w:type="dxa"/>
            <w:vAlign w:val="top"/>
            <w:vMerge w:val="continue"/>
            <w:tcBorders>
              <w:top w:val="nil"/>
            </w:tcBorders>
          </w:tcPr>
          <w:p>
            <w:pPr>
              <w:rPr>
                <w:rFonts w:ascii="Arial"/>
                <w:sz w:val="21"/>
              </w:rPr>
            </w:pPr>
            <w:r/>
          </w:p>
        </w:tc>
        <w:tc>
          <w:tcPr>
            <w:tcW w:w="840" w:type="dxa"/>
            <w:vAlign w:val="top"/>
            <w:vMerge w:val="continue"/>
            <w:tcBorders>
              <w:top w:val="nil"/>
            </w:tcBorders>
          </w:tcPr>
          <w:p>
            <w:pPr>
              <w:rPr>
                <w:rFonts w:ascii="Arial"/>
                <w:sz w:val="21"/>
              </w:rPr>
            </w:pPr>
            <w:r/>
          </w:p>
        </w:tc>
        <w:tc>
          <w:tcPr>
            <w:tcW w:w="989" w:type="dxa"/>
            <w:vAlign w:val="top"/>
          </w:tcPr>
          <w:p>
            <w:pPr>
              <w:pStyle w:val="TableText"/>
              <w:ind w:left="237"/>
              <w:spacing w:before="115" w:line="170" w:lineRule="auto"/>
              <w:rPr>
                <w:sz w:val="20"/>
                <w:szCs w:val="20"/>
              </w:rPr>
            </w:pPr>
            <w:r>
              <w:rPr>
                <w:sz w:val="20"/>
                <w:szCs w:val="20"/>
                <w:spacing w:val="-2"/>
              </w:rPr>
              <w:t>0.201</w:t>
            </w:r>
          </w:p>
        </w:tc>
        <w:tc>
          <w:tcPr>
            <w:tcW w:w="1129" w:type="dxa"/>
            <w:vAlign w:val="top"/>
          </w:tcPr>
          <w:p>
            <w:pPr>
              <w:pStyle w:val="TableText"/>
              <w:ind w:left="458"/>
              <w:spacing w:before="116" w:line="169" w:lineRule="auto"/>
              <w:rPr>
                <w:sz w:val="20"/>
                <w:szCs w:val="20"/>
              </w:rPr>
            </w:pPr>
            <w:r>
              <w:rPr>
                <w:sz w:val="20"/>
                <w:szCs w:val="20"/>
                <w:spacing w:val="-3"/>
              </w:rPr>
              <w:t>20</w:t>
            </w:r>
          </w:p>
        </w:tc>
        <w:tc>
          <w:tcPr>
            <w:tcW w:w="854" w:type="dxa"/>
            <w:vAlign w:val="top"/>
          </w:tcPr>
          <w:p>
            <w:pPr>
              <w:pStyle w:val="TableText"/>
              <w:ind w:left="120"/>
              <w:spacing w:before="115" w:line="170" w:lineRule="auto"/>
              <w:rPr>
                <w:sz w:val="20"/>
                <w:szCs w:val="20"/>
              </w:rPr>
            </w:pPr>
            <w:r>
              <w:rPr>
                <w:sz w:val="20"/>
                <w:szCs w:val="20"/>
                <w:spacing w:val="-4"/>
              </w:rPr>
              <w:t>1.6215</w:t>
            </w:r>
          </w:p>
        </w:tc>
      </w:tr>
      <w:tr>
        <w:trPr>
          <w:trHeight w:val="289" w:hRule="atLeast"/>
        </w:trPr>
        <w:tc>
          <w:tcPr>
            <w:tcW w:w="904" w:type="dxa"/>
            <w:vAlign w:val="top"/>
            <w:vMerge w:val="restart"/>
            <w:tcBorders>
              <w:bottom w:val="nil"/>
            </w:tcBorders>
          </w:tcPr>
          <w:p>
            <w:pPr>
              <w:spacing w:line="347" w:lineRule="auto"/>
              <w:rPr>
                <w:rFonts w:ascii="Arial"/>
                <w:sz w:val="21"/>
              </w:rPr>
            </w:pPr>
            <w:r/>
          </w:p>
          <w:p>
            <w:pPr>
              <w:pStyle w:val="TableText"/>
              <w:ind w:left="195"/>
              <w:spacing w:before="65" w:line="185" w:lineRule="auto"/>
              <w:rPr>
                <w:sz w:val="20"/>
                <w:szCs w:val="20"/>
              </w:rPr>
            </w:pPr>
            <w:r>
              <w:rPr>
                <w:sz w:val="20"/>
                <w:szCs w:val="20"/>
                <w:spacing w:val="-1"/>
              </w:rPr>
              <w:t>DA029</w:t>
            </w:r>
          </w:p>
        </w:tc>
        <w:tc>
          <w:tcPr>
            <w:tcW w:w="700" w:type="dxa"/>
            <w:vAlign w:val="top"/>
            <w:vMerge w:val="continue"/>
            <w:tcBorders>
              <w:top w:val="nil"/>
              <w:bottom w:val="nil"/>
            </w:tcBorders>
          </w:tcPr>
          <w:p>
            <w:pPr>
              <w:rPr>
                <w:rFonts w:ascii="Arial"/>
                <w:sz w:val="21"/>
              </w:rPr>
            </w:pPr>
            <w:r/>
          </w:p>
        </w:tc>
        <w:tc>
          <w:tcPr>
            <w:tcW w:w="710" w:type="dxa"/>
            <w:vAlign w:val="top"/>
            <w:vMerge w:val="continue"/>
            <w:tcBorders>
              <w:top w:val="nil"/>
              <w:bottom w:val="nil"/>
            </w:tcBorders>
          </w:tcPr>
          <w:p>
            <w:pPr>
              <w:rPr>
                <w:rFonts w:ascii="Arial"/>
                <w:sz w:val="21"/>
              </w:rPr>
            </w:pPr>
            <w:r/>
          </w:p>
        </w:tc>
        <w:tc>
          <w:tcPr>
            <w:tcW w:w="1259" w:type="dxa"/>
            <w:vAlign w:val="top"/>
          </w:tcPr>
          <w:p>
            <w:pPr>
              <w:pStyle w:val="TableText"/>
              <w:ind w:left="420"/>
              <w:spacing w:before="87" w:line="177" w:lineRule="auto"/>
              <w:rPr>
                <w:rFonts w:ascii="Calibri" w:hAnsi="Calibri" w:eastAsia="Calibri" w:cs="Calibri"/>
                <w:sz w:val="20"/>
                <w:szCs w:val="20"/>
              </w:rPr>
            </w:pPr>
            <w:r>
              <w:rPr>
                <w:sz w:val="20"/>
                <w:szCs w:val="20"/>
                <w:spacing w:val="-3"/>
              </w:rPr>
              <w:t>SO</w:t>
            </w:r>
            <w:r>
              <w:rPr>
                <w:rFonts w:ascii="Calibri" w:hAnsi="Calibri" w:eastAsia="Calibri" w:cs="Calibri"/>
                <w:sz w:val="20"/>
                <w:szCs w:val="20"/>
                <w:spacing w:val="-3"/>
              </w:rPr>
              <w:t>₂</w:t>
            </w:r>
          </w:p>
        </w:tc>
        <w:tc>
          <w:tcPr>
            <w:tcW w:w="1279" w:type="dxa"/>
            <w:vAlign w:val="top"/>
            <w:vMerge w:val="restart"/>
            <w:tcBorders>
              <w:bottom w:val="nil"/>
            </w:tcBorders>
          </w:tcPr>
          <w:p>
            <w:pPr>
              <w:pStyle w:val="TableText"/>
              <w:ind w:left="282"/>
              <w:spacing w:before="245" w:line="341" w:lineRule="exact"/>
              <w:rPr>
                <w:sz w:val="20"/>
                <w:szCs w:val="20"/>
              </w:rPr>
            </w:pPr>
            <w:r>
              <w:rPr>
                <w:sz w:val="20"/>
                <w:szCs w:val="20"/>
                <w:spacing w:val="-4"/>
                <w:position w:val="9"/>
              </w:rPr>
              <w:t>120°0'</w:t>
            </w:r>
          </w:p>
          <w:p>
            <w:pPr>
              <w:pStyle w:val="TableText"/>
              <w:ind w:left="332"/>
              <w:spacing w:line="183" w:lineRule="auto"/>
              <w:rPr>
                <w:sz w:val="20"/>
                <w:szCs w:val="20"/>
              </w:rPr>
            </w:pPr>
            <w:r>
              <w:rPr>
                <w:sz w:val="20"/>
                <w:szCs w:val="20"/>
                <w:spacing w:val="-1"/>
              </w:rPr>
              <w:t>46.583</w:t>
            </w:r>
          </w:p>
        </w:tc>
        <w:tc>
          <w:tcPr>
            <w:tcW w:w="1129" w:type="dxa"/>
            <w:vAlign w:val="top"/>
            <w:vMerge w:val="restart"/>
            <w:tcBorders>
              <w:bottom w:val="nil"/>
            </w:tcBorders>
          </w:tcPr>
          <w:p>
            <w:pPr>
              <w:pStyle w:val="TableText"/>
              <w:ind w:left="202"/>
              <w:spacing w:before="235" w:line="341" w:lineRule="exact"/>
              <w:rPr>
                <w:sz w:val="20"/>
                <w:szCs w:val="20"/>
              </w:rPr>
            </w:pPr>
            <w:r>
              <w:rPr>
                <w:sz w:val="20"/>
                <w:szCs w:val="20"/>
                <w:spacing w:val="-2"/>
                <w:position w:val="9"/>
              </w:rPr>
              <w:t>26°51'</w:t>
            </w:r>
          </w:p>
          <w:p>
            <w:pPr>
              <w:pStyle w:val="TableText"/>
              <w:ind w:left="252"/>
              <w:spacing w:line="183" w:lineRule="auto"/>
              <w:rPr>
                <w:sz w:val="20"/>
                <w:szCs w:val="20"/>
              </w:rPr>
            </w:pPr>
            <w:r>
              <w:rPr>
                <w:sz w:val="20"/>
                <w:szCs w:val="20"/>
                <w:spacing w:val="-4"/>
              </w:rPr>
              <w:t>17.365</w:t>
            </w:r>
          </w:p>
        </w:tc>
        <w:tc>
          <w:tcPr>
            <w:tcW w:w="989" w:type="dxa"/>
            <w:vAlign w:val="top"/>
            <w:vMerge w:val="restart"/>
            <w:tcBorders>
              <w:bottom w:val="nil"/>
            </w:tcBorders>
          </w:tcPr>
          <w:p>
            <w:pPr>
              <w:spacing w:line="349" w:lineRule="auto"/>
              <w:rPr>
                <w:rFonts w:ascii="Arial"/>
                <w:sz w:val="21"/>
              </w:rPr>
            </w:pPr>
            <w:r/>
          </w:p>
          <w:p>
            <w:pPr>
              <w:pStyle w:val="TableText"/>
              <w:ind w:left="383"/>
              <w:spacing w:before="65" w:line="183" w:lineRule="auto"/>
              <w:rPr>
                <w:sz w:val="20"/>
                <w:szCs w:val="20"/>
              </w:rPr>
            </w:pPr>
            <w:r>
              <w:rPr>
                <w:sz w:val="20"/>
                <w:szCs w:val="20"/>
                <w:spacing w:val="-3"/>
              </w:rPr>
              <w:t>27</w:t>
            </w:r>
          </w:p>
        </w:tc>
        <w:tc>
          <w:tcPr>
            <w:tcW w:w="1099" w:type="dxa"/>
            <w:vAlign w:val="top"/>
            <w:vMerge w:val="restart"/>
            <w:tcBorders>
              <w:bottom w:val="nil"/>
            </w:tcBorders>
          </w:tcPr>
          <w:p>
            <w:pPr>
              <w:spacing w:line="348" w:lineRule="auto"/>
              <w:rPr>
                <w:rFonts w:ascii="Arial"/>
                <w:sz w:val="21"/>
              </w:rPr>
            </w:pPr>
            <w:r/>
          </w:p>
          <w:p>
            <w:pPr>
              <w:pStyle w:val="TableText"/>
              <w:ind w:left="494"/>
              <w:spacing w:before="65" w:line="184" w:lineRule="auto"/>
              <w:rPr>
                <w:sz w:val="20"/>
                <w:szCs w:val="20"/>
              </w:rPr>
            </w:pPr>
            <w:r>
              <w:rPr>
                <w:sz w:val="20"/>
                <w:szCs w:val="20"/>
              </w:rPr>
              <w:t>1</w:t>
            </w:r>
          </w:p>
        </w:tc>
        <w:tc>
          <w:tcPr>
            <w:tcW w:w="1029" w:type="dxa"/>
            <w:vAlign w:val="top"/>
            <w:vMerge w:val="restart"/>
            <w:tcBorders>
              <w:bottom w:val="nil"/>
            </w:tcBorders>
          </w:tcPr>
          <w:p>
            <w:pPr>
              <w:spacing w:line="348" w:lineRule="auto"/>
              <w:rPr>
                <w:rFonts w:ascii="Arial"/>
                <w:sz w:val="21"/>
              </w:rPr>
            </w:pPr>
            <w:r/>
          </w:p>
          <w:p>
            <w:pPr>
              <w:pStyle w:val="TableText"/>
              <w:ind w:left="255"/>
              <w:spacing w:before="65" w:line="184" w:lineRule="auto"/>
              <w:rPr>
                <w:sz w:val="20"/>
                <w:szCs w:val="20"/>
              </w:rPr>
            </w:pPr>
            <w:r>
              <w:rPr>
                <w:sz w:val="20"/>
                <w:szCs w:val="20"/>
                <w:spacing w:val="-4"/>
              </w:rPr>
              <w:t>12284</w:t>
            </w:r>
          </w:p>
        </w:tc>
        <w:tc>
          <w:tcPr>
            <w:tcW w:w="850" w:type="dxa"/>
            <w:vAlign w:val="top"/>
            <w:vMerge w:val="restart"/>
            <w:tcBorders>
              <w:bottom w:val="nil"/>
            </w:tcBorders>
          </w:tcPr>
          <w:p>
            <w:pPr>
              <w:spacing w:line="348" w:lineRule="auto"/>
              <w:rPr>
                <w:rFonts w:ascii="Arial"/>
                <w:sz w:val="21"/>
              </w:rPr>
            </w:pPr>
            <w:r/>
          </w:p>
          <w:p>
            <w:pPr>
              <w:pStyle w:val="TableText"/>
              <w:ind w:left="266"/>
              <w:spacing w:before="65" w:line="184" w:lineRule="auto"/>
              <w:rPr>
                <w:sz w:val="20"/>
                <w:szCs w:val="20"/>
              </w:rPr>
            </w:pPr>
            <w:r>
              <w:rPr>
                <w:sz w:val="20"/>
                <w:szCs w:val="20"/>
                <w:spacing w:val="-6"/>
              </w:rPr>
              <w:t>150</w:t>
            </w:r>
          </w:p>
        </w:tc>
        <w:tc>
          <w:tcPr>
            <w:tcW w:w="999" w:type="dxa"/>
            <w:vAlign w:val="top"/>
            <w:vMerge w:val="restart"/>
            <w:tcBorders>
              <w:bottom w:val="nil"/>
            </w:tcBorders>
          </w:tcPr>
          <w:p>
            <w:pPr>
              <w:spacing w:line="349" w:lineRule="auto"/>
              <w:rPr>
                <w:rFonts w:ascii="Arial"/>
                <w:sz w:val="21"/>
              </w:rPr>
            </w:pPr>
            <w:r/>
          </w:p>
          <w:p>
            <w:pPr>
              <w:pStyle w:val="TableText"/>
              <w:ind w:left="297"/>
              <w:spacing w:before="65" w:line="183" w:lineRule="auto"/>
              <w:rPr>
                <w:sz w:val="20"/>
                <w:szCs w:val="20"/>
              </w:rPr>
            </w:pPr>
            <w:r>
              <w:rPr>
                <w:sz w:val="20"/>
                <w:szCs w:val="20"/>
                <w:spacing w:val="-2"/>
              </w:rPr>
              <w:t>6600</w:t>
            </w:r>
          </w:p>
        </w:tc>
        <w:tc>
          <w:tcPr>
            <w:tcW w:w="840" w:type="dxa"/>
            <w:vAlign w:val="top"/>
            <w:vMerge w:val="restart"/>
            <w:tcBorders>
              <w:bottom w:val="nil"/>
            </w:tcBorders>
          </w:tcPr>
          <w:p>
            <w:pPr>
              <w:pStyle w:val="TableText"/>
              <w:ind w:left="317" w:right="123" w:hanging="200"/>
              <w:spacing w:before="224" w:line="222" w:lineRule="auto"/>
              <w:rPr>
                <w:sz w:val="20"/>
                <w:szCs w:val="20"/>
              </w:rPr>
            </w:pPr>
            <w:r>
              <w:rPr>
                <w:sz w:val="20"/>
                <w:szCs w:val="20"/>
                <w:spacing w:val="-4"/>
              </w:rPr>
              <w:t>正常排</w:t>
            </w:r>
            <w:r>
              <w:rPr>
                <w:sz w:val="20"/>
                <w:szCs w:val="20"/>
              </w:rPr>
              <w:t xml:space="preserve"> </w:t>
            </w:r>
            <w:r>
              <w:rPr>
                <w:sz w:val="20"/>
                <w:szCs w:val="20"/>
              </w:rPr>
              <w:t>放</w:t>
            </w:r>
          </w:p>
        </w:tc>
        <w:tc>
          <w:tcPr>
            <w:tcW w:w="989" w:type="dxa"/>
            <w:vAlign w:val="top"/>
          </w:tcPr>
          <w:p>
            <w:pPr>
              <w:pStyle w:val="TableText"/>
              <w:ind w:left="237"/>
              <w:spacing w:before="105" w:line="160" w:lineRule="auto"/>
              <w:rPr>
                <w:sz w:val="20"/>
                <w:szCs w:val="20"/>
              </w:rPr>
            </w:pPr>
            <w:r>
              <w:rPr>
                <w:sz w:val="20"/>
                <w:szCs w:val="20"/>
                <w:spacing w:val="-2"/>
              </w:rPr>
              <w:t>0.187</w:t>
            </w:r>
          </w:p>
        </w:tc>
        <w:tc>
          <w:tcPr>
            <w:tcW w:w="1129" w:type="dxa"/>
            <w:vAlign w:val="top"/>
          </w:tcPr>
          <w:p>
            <w:pPr>
              <w:pStyle w:val="TableText"/>
              <w:ind w:left="508"/>
              <w:spacing w:before="106" w:line="159" w:lineRule="auto"/>
              <w:rPr>
                <w:sz w:val="20"/>
                <w:szCs w:val="20"/>
              </w:rPr>
            </w:pPr>
            <w:r>
              <w:rPr>
                <w:sz w:val="20"/>
                <w:szCs w:val="20"/>
              </w:rPr>
              <w:t>3</w:t>
            </w:r>
          </w:p>
        </w:tc>
        <w:tc>
          <w:tcPr>
            <w:tcW w:w="854" w:type="dxa"/>
            <w:vAlign w:val="top"/>
          </w:tcPr>
          <w:p>
            <w:pPr>
              <w:pStyle w:val="TableText"/>
              <w:ind w:left="120"/>
              <w:spacing w:before="105" w:line="160" w:lineRule="auto"/>
              <w:rPr>
                <w:sz w:val="20"/>
                <w:szCs w:val="20"/>
              </w:rPr>
            </w:pPr>
            <w:r>
              <w:rPr>
                <w:sz w:val="20"/>
                <w:szCs w:val="20"/>
                <w:spacing w:val="-4"/>
              </w:rPr>
              <w:t>1.5048</w:t>
            </w:r>
          </w:p>
        </w:tc>
      </w:tr>
      <w:tr>
        <w:trPr>
          <w:trHeight w:val="300" w:hRule="atLeast"/>
        </w:trPr>
        <w:tc>
          <w:tcPr>
            <w:tcW w:w="904" w:type="dxa"/>
            <w:vAlign w:val="top"/>
            <w:vMerge w:val="continue"/>
            <w:tcBorders>
              <w:top w:val="nil"/>
              <w:bottom w:val="nil"/>
            </w:tcBorders>
          </w:tcPr>
          <w:p>
            <w:pPr>
              <w:rPr>
                <w:rFonts w:ascii="Arial"/>
                <w:sz w:val="21"/>
              </w:rPr>
            </w:pPr>
            <w:r/>
          </w:p>
        </w:tc>
        <w:tc>
          <w:tcPr>
            <w:tcW w:w="700" w:type="dxa"/>
            <w:vAlign w:val="top"/>
            <w:vMerge w:val="continue"/>
            <w:tcBorders>
              <w:top w:val="nil"/>
              <w:bottom w:val="nil"/>
            </w:tcBorders>
          </w:tcPr>
          <w:p>
            <w:pPr>
              <w:rPr>
                <w:rFonts w:ascii="Arial"/>
                <w:sz w:val="21"/>
              </w:rPr>
            </w:pPr>
            <w:r/>
          </w:p>
        </w:tc>
        <w:tc>
          <w:tcPr>
            <w:tcW w:w="710" w:type="dxa"/>
            <w:vAlign w:val="top"/>
            <w:vMerge w:val="continue"/>
            <w:tcBorders>
              <w:top w:val="nil"/>
              <w:bottom w:val="nil"/>
            </w:tcBorders>
          </w:tcPr>
          <w:p>
            <w:pPr>
              <w:rPr>
                <w:rFonts w:ascii="Arial"/>
                <w:sz w:val="21"/>
              </w:rPr>
            </w:pPr>
            <w:r/>
          </w:p>
        </w:tc>
        <w:tc>
          <w:tcPr>
            <w:tcW w:w="1259" w:type="dxa"/>
            <w:vAlign w:val="top"/>
          </w:tcPr>
          <w:p>
            <w:pPr>
              <w:pStyle w:val="TableText"/>
              <w:ind w:left="420"/>
              <w:spacing w:before="87" w:line="183" w:lineRule="auto"/>
              <w:rPr>
                <w:rFonts w:ascii="Calibri" w:hAnsi="Calibri" w:eastAsia="Calibri" w:cs="Calibri"/>
                <w:sz w:val="20"/>
                <w:szCs w:val="20"/>
              </w:rPr>
            </w:pPr>
            <w:r>
              <w:rPr>
                <w:sz w:val="20"/>
                <w:szCs w:val="20"/>
                <w:spacing w:val="-1"/>
              </w:rPr>
              <w:t>NO</w:t>
            </w:r>
            <w:r>
              <w:rPr>
                <w:rFonts w:ascii="Calibri" w:hAnsi="Calibri" w:eastAsia="Calibri" w:cs="Calibri"/>
                <w:sz w:val="20"/>
                <w:szCs w:val="20"/>
                <w:spacing w:val="-1"/>
              </w:rPr>
              <w:t>₄</w:t>
            </w:r>
          </w:p>
        </w:tc>
        <w:tc>
          <w:tcPr>
            <w:tcW w:w="1279" w:type="dxa"/>
            <w:vAlign w:val="top"/>
            <w:vMerge w:val="continue"/>
            <w:tcBorders>
              <w:top w:val="nil"/>
              <w:bottom w:val="nil"/>
            </w:tcBorders>
          </w:tcPr>
          <w:p>
            <w:pPr>
              <w:rPr>
                <w:rFonts w:ascii="Arial"/>
                <w:sz w:val="21"/>
              </w:rPr>
            </w:pPr>
            <w:r/>
          </w:p>
        </w:tc>
        <w:tc>
          <w:tcPr>
            <w:tcW w:w="1129" w:type="dxa"/>
            <w:vAlign w:val="top"/>
            <w:vMerge w:val="continue"/>
            <w:tcBorders>
              <w:top w:val="nil"/>
              <w:bottom w:val="nil"/>
            </w:tcBorders>
          </w:tcPr>
          <w:p>
            <w:pPr>
              <w:rPr>
                <w:rFonts w:ascii="Arial"/>
                <w:sz w:val="21"/>
              </w:rPr>
            </w:pPr>
            <w:r/>
          </w:p>
        </w:tc>
        <w:tc>
          <w:tcPr>
            <w:tcW w:w="989" w:type="dxa"/>
            <w:vAlign w:val="top"/>
            <w:vMerge w:val="continue"/>
            <w:tcBorders>
              <w:top w:val="nil"/>
              <w:bottom w:val="nil"/>
            </w:tcBorders>
          </w:tcPr>
          <w:p>
            <w:pPr>
              <w:rPr>
                <w:rFonts w:ascii="Arial"/>
                <w:sz w:val="21"/>
              </w:rPr>
            </w:pPr>
            <w:r/>
          </w:p>
        </w:tc>
        <w:tc>
          <w:tcPr>
            <w:tcW w:w="1099" w:type="dxa"/>
            <w:vAlign w:val="top"/>
            <w:vMerge w:val="continue"/>
            <w:tcBorders>
              <w:top w:val="nil"/>
              <w:bottom w:val="nil"/>
            </w:tcBorders>
          </w:tcPr>
          <w:p>
            <w:pPr>
              <w:rPr>
                <w:rFonts w:ascii="Arial"/>
                <w:sz w:val="21"/>
              </w:rPr>
            </w:pPr>
            <w:r/>
          </w:p>
        </w:tc>
        <w:tc>
          <w:tcPr>
            <w:tcW w:w="1029" w:type="dxa"/>
            <w:vAlign w:val="top"/>
            <w:vMerge w:val="continue"/>
            <w:tcBorders>
              <w:top w:val="nil"/>
              <w:bottom w:val="nil"/>
            </w:tcBorders>
          </w:tcPr>
          <w:p>
            <w:pPr>
              <w:rPr>
                <w:rFonts w:ascii="Arial"/>
                <w:sz w:val="21"/>
              </w:rPr>
            </w:pPr>
            <w:r/>
          </w:p>
        </w:tc>
        <w:tc>
          <w:tcPr>
            <w:tcW w:w="850" w:type="dxa"/>
            <w:vAlign w:val="top"/>
            <w:vMerge w:val="continue"/>
            <w:tcBorders>
              <w:top w:val="nil"/>
              <w:bottom w:val="nil"/>
            </w:tcBorders>
          </w:tcPr>
          <w:p>
            <w:pPr>
              <w:rPr>
                <w:rFonts w:ascii="Arial"/>
                <w:sz w:val="21"/>
              </w:rPr>
            </w:pPr>
            <w:r/>
          </w:p>
        </w:tc>
        <w:tc>
          <w:tcPr>
            <w:tcW w:w="999" w:type="dxa"/>
            <w:vAlign w:val="top"/>
            <w:vMerge w:val="continue"/>
            <w:tcBorders>
              <w:top w:val="nil"/>
              <w:bottom w:val="nil"/>
            </w:tcBorders>
          </w:tcPr>
          <w:p>
            <w:pPr>
              <w:rPr>
                <w:rFonts w:ascii="Arial"/>
                <w:sz w:val="21"/>
              </w:rPr>
            </w:pPr>
            <w:r/>
          </w:p>
        </w:tc>
        <w:tc>
          <w:tcPr>
            <w:tcW w:w="840" w:type="dxa"/>
            <w:vAlign w:val="top"/>
            <w:vMerge w:val="continue"/>
            <w:tcBorders>
              <w:top w:val="nil"/>
              <w:bottom w:val="nil"/>
            </w:tcBorders>
          </w:tcPr>
          <w:p>
            <w:pPr>
              <w:rPr>
                <w:rFonts w:ascii="Arial"/>
                <w:sz w:val="21"/>
              </w:rPr>
            </w:pPr>
            <w:r/>
          </w:p>
        </w:tc>
        <w:tc>
          <w:tcPr>
            <w:tcW w:w="989" w:type="dxa"/>
            <w:vAlign w:val="top"/>
          </w:tcPr>
          <w:p>
            <w:pPr>
              <w:pStyle w:val="TableText"/>
              <w:ind w:left="237"/>
              <w:spacing w:before="106" w:line="169" w:lineRule="auto"/>
              <w:rPr>
                <w:sz w:val="20"/>
                <w:szCs w:val="20"/>
              </w:rPr>
            </w:pPr>
            <w:r>
              <w:rPr>
                <w:sz w:val="20"/>
                <w:szCs w:val="20"/>
                <w:spacing w:val="-2"/>
              </w:rPr>
              <w:t>0.614</w:t>
            </w:r>
          </w:p>
        </w:tc>
        <w:tc>
          <w:tcPr>
            <w:tcW w:w="1129" w:type="dxa"/>
            <w:vAlign w:val="top"/>
          </w:tcPr>
          <w:p>
            <w:pPr>
              <w:pStyle w:val="TableText"/>
              <w:ind w:left="458"/>
              <w:spacing w:before="108" w:line="168" w:lineRule="auto"/>
              <w:rPr>
                <w:sz w:val="20"/>
                <w:szCs w:val="20"/>
              </w:rPr>
            </w:pPr>
            <w:r>
              <w:rPr>
                <w:sz w:val="20"/>
                <w:szCs w:val="20"/>
                <w:spacing w:val="-3"/>
              </w:rPr>
              <w:t>50</w:t>
            </w:r>
          </w:p>
        </w:tc>
        <w:tc>
          <w:tcPr>
            <w:tcW w:w="854" w:type="dxa"/>
            <w:vAlign w:val="top"/>
          </w:tcPr>
          <w:p>
            <w:pPr>
              <w:pStyle w:val="TableText"/>
              <w:ind w:left="120"/>
              <w:spacing w:before="108" w:line="168" w:lineRule="auto"/>
              <w:rPr>
                <w:sz w:val="20"/>
                <w:szCs w:val="20"/>
              </w:rPr>
            </w:pPr>
            <w:r>
              <w:rPr>
                <w:sz w:val="20"/>
                <w:szCs w:val="20"/>
                <w:spacing w:val="-1"/>
              </w:rPr>
              <w:t>4.0536</w:t>
            </w:r>
          </w:p>
        </w:tc>
      </w:tr>
      <w:tr>
        <w:trPr>
          <w:trHeight w:val="299" w:hRule="atLeast"/>
        </w:trPr>
        <w:tc>
          <w:tcPr>
            <w:tcW w:w="904" w:type="dxa"/>
            <w:vAlign w:val="top"/>
            <w:vMerge w:val="continue"/>
            <w:tcBorders>
              <w:top w:val="nil"/>
            </w:tcBorders>
          </w:tcPr>
          <w:p>
            <w:pPr>
              <w:rPr>
                <w:rFonts w:ascii="Arial"/>
                <w:sz w:val="21"/>
              </w:rPr>
            </w:pPr>
            <w:r/>
          </w:p>
        </w:tc>
        <w:tc>
          <w:tcPr>
            <w:tcW w:w="700" w:type="dxa"/>
            <w:vAlign w:val="top"/>
            <w:vMerge w:val="continue"/>
            <w:tcBorders>
              <w:top w:val="nil"/>
            </w:tcBorders>
          </w:tcPr>
          <w:p>
            <w:pPr>
              <w:rPr>
                <w:rFonts w:ascii="Arial"/>
                <w:sz w:val="21"/>
              </w:rPr>
            </w:pPr>
            <w:r/>
          </w:p>
        </w:tc>
        <w:tc>
          <w:tcPr>
            <w:tcW w:w="710" w:type="dxa"/>
            <w:vAlign w:val="top"/>
            <w:vMerge w:val="continue"/>
            <w:tcBorders>
              <w:top w:val="nil"/>
            </w:tcBorders>
          </w:tcPr>
          <w:p>
            <w:pPr>
              <w:rPr>
                <w:rFonts w:ascii="Arial"/>
                <w:sz w:val="21"/>
              </w:rPr>
            </w:pPr>
            <w:r/>
          </w:p>
        </w:tc>
        <w:tc>
          <w:tcPr>
            <w:tcW w:w="1259" w:type="dxa"/>
            <w:vAlign w:val="top"/>
          </w:tcPr>
          <w:p>
            <w:pPr>
              <w:pStyle w:val="TableText"/>
              <w:ind w:left="320"/>
              <w:spacing w:before="57" w:line="214" w:lineRule="auto"/>
              <w:rPr>
                <w:sz w:val="20"/>
                <w:szCs w:val="20"/>
              </w:rPr>
            </w:pPr>
            <w:r>
              <w:rPr>
                <w:sz w:val="20"/>
                <w:szCs w:val="20"/>
                <w:spacing w:val="-2"/>
              </w:rPr>
              <w:t>颗粒物</w:t>
            </w:r>
          </w:p>
        </w:tc>
        <w:tc>
          <w:tcPr>
            <w:tcW w:w="1279" w:type="dxa"/>
            <w:vAlign w:val="top"/>
            <w:vMerge w:val="continue"/>
            <w:tcBorders>
              <w:top w:val="nil"/>
            </w:tcBorders>
          </w:tcPr>
          <w:p>
            <w:pPr>
              <w:rPr>
                <w:rFonts w:ascii="Arial"/>
                <w:sz w:val="21"/>
              </w:rPr>
            </w:pPr>
            <w:r/>
          </w:p>
        </w:tc>
        <w:tc>
          <w:tcPr>
            <w:tcW w:w="1129" w:type="dxa"/>
            <w:vAlign w:val="top"/>
            <w:vMerge w:val="continue"/>
            <w:tcBorders>
              <w:top w:val="nil"/>
            </w:tcBorders>
          </w:tcPr>
          <w:p>
            <w:pPr>
              <w:rPr>
                <w:rFonts w:ascii="Arial"/>
                <w:sz w:val="21"/>
              </w:rPr>
            </w:pPr>
            <w:r/>
          </w:p>
        </w:tc>
        <w:tc>
          <w:tcPr>
            <w:tcW w:w="989" w:type="dxa"/>
            <w:vAlign w:val="top"/>
            <w:vMerge w:val="continue"/>
            <w:tcBorders>
              <w:top w:val="nil"/>
            </w:tcBorders>
          </w:tcPr>
          <w:p>
            <w:pPr>
              <w:rPr>
                <w:rFonts w:ascii="Arial"/>
                <w:sz w:val="21"/>
              </w:rPr>
            </w:pPr>
            <w:r/>
          </w:p>
        </w:tc>
        <w:tc>
          <w:tcPr>
            <w:tcW w:w="1099" w:type="dxa"/>
            <w:vAlign w:val="top"/>
            <w:vMerge w:val="continue"/>
            <w:tcBorders>
              <w:top w:val="nil"/>
            </w:tcBorders>
          </w:tcPr>
          <w:p>
            <w:pPr>
              <w:rPr>
                <w:rFonts w:ascii="Arial"/>
                <w:sz w:val="21"/>
              </w:rPr>
            </w:pPr>
            <w:r/>
          </w:p>
        </w:tc>
        <w:tc>
          <w:tcPr>
            <w:tcW w:w="1029" w:type="dxa"/>
            <w:vAlign w:val="top"/>
            <w:vMerge w:val="continue"/>
            <w:tcBorders>
              <w:top w:val="nil"/>
            </w:tcBorders>
          </w:tcPr>
          <w:p>
            <w:pPr>
              <w:rPr>
                <w:rFonts w:ascii="Arial"/>
                <w:sz w:val="21"/>
              </w:rPr>
            </w:pPr>
            <w:r/>
          </w:p>
        </w:tc>
        <w:tc>
          <w:tcPr>
            <w:tcW w:w="850" w:type="dxa"/>
            <w:vAlign w:val="top"/>
            <w:vMerge w:val="continue"/>
            <w:tcBorders>
              <w:top w:val="nil"/>
            </w:tcBorders>
          </w:tcPr>
          <w:p>
            <w:pPr>
              <w:rPr>
                <w:rFonts w:ascii="Arial"/>
                <w:sz w:val="21"/>
              </w:rPr>
            </w:pPr>
            <w:r/>
          </w:p>
        </w:tc>
        <w:tc>
          <w:tcPr>
            <w:tcW w:w="999" w:type="dxa"/>
            <w:vAlign w:val="top"/>
            <w:vMerge w:val="continue"/>
            <w:tcBorders>
              <w:top w:val="nil"/>
            </w:tcBorders>
          </w:tcPr>
          <w:p>
            <w:pPr>
              <w:rPr>
                <w:rFonts w:ascii="Arial"/>
                <w:sz w:val="21"/>
              </w:rPr>
            </w:pPr>
            <w:r/>
          </w:p>
        </w:tc>
        <w:tc>
          <w:tcPr>
            <w:tcW w:w="840" w:type="dxa"/>
            <w:vAlign w:val="top"/>
            <w:vMerge w:val="continue"/>
            <w:tcBorders>
              <w:top w:val="nil"/>
            </w:tcBorders>
          </w:tcPr>
          <w:p>
            <w:pPr>
              <w:rPr>
                <w:rFonts w:ascii="Arial"/>
                <w:sz w:val="21"/>
              </w:rPr>
            </w:pPr>
            <w:r/>
          </w:p>
        </w:tc>
        <w:tc>
          <w:tcPr>
            <w:tcW w:w="989" w:type="dxa"/>
            <w:vAlign w:val="top"/>
          </w:tcPr>
          <w:p>
            <w:pPr>
              <w:pStyle w:val="TableText"/>
              <w:ind w:left="237"/>
              <w:spacing w:before="106" w:line="168" w:lineRule="auto"/>
              <w:rPr>
                <w:sz w:val="20"/>
                <w:szCs w:val="20"/>
              </w:rPr>
            </w:pPr>
            <w:r>
              <w:rPr>
                <w:sz w:val="20"/>
                <w:szCs w:val="20"/>
                <w:spacing w:val="-2"/>
              </w:rPr>
              <w:t>0.201</w:t>
            </w:r>
          </w:p>
        </w:tc>
        <w:tc>
          <w:tcPr>
            <w:tcW w:w="1129" w:type="dxa"/>
            <w:vAlign w:val="top"/>
          </w:tcPr>
          <w:p>
            <w:pPr>
              <w:pStyle w:val="TableText"/>
              <w:ind w:left="458"/>
              <w:spacing w:before="108" w:line="167" w:lineRule="auto"/>
              <w:rPr>
                <w:sz w:val="20"/>
                <w:szCs w:val="20"/>
              </w:rPr>
            </w:pPr>
            <w:r>
              <w:rPr>
                <w:sz w:val="20"/>
                <w:szCs w:val="20"/>
                <w:spacing w:val="-3"/>
              </w:rPr>
              <w:t>20</w:t>
            </w:r>
          </w:p>
        </w:tc>
        <w:tc>
          <w:tcPr>
            <w:tcW w:w="854" w:type="dxa"/>
            <w:vAlign w:val="top"/>
          </w:tcPr>
          <w:p>
            <w:pPr>
              <w:pStyle w:val="TableText"/>
              <w:ind w:left="120"/>
              <w:spacing w:before="106" w:line="168" w:lineRule="auto"/>
              <w:rPr>
                <w:sz w:val="20"/>
                <w:szCs w:val="20"/>
              </w:rPr>
            </w:pPr>
            <w:r>
              <w:rPr>
                <w:sz w:val="20"/>
                <w:szCs w:val="20"/>
                <w:spacing w:val="-4"/>
              </w:rPr>
              <w:t>1.6215</w:t>
            </w:r>
          </w:p>
        </w:tc>
      </w:tr>
      <w:tr>
        <w:trPr>
          <w:trHeight w:val="349" w:hRule="atLeast"/>
        </w:trPr>
        <w:tc>
          <w:tcPr>
            <w:tcW w:w="904" w:type="dxa"/>
            <w:vAlign w:val="top"/>
            <w:vMerge w:val="restart"/>
            <w:tcBorders>
              <w:bottom w:val="nil"/>
            </w:tcBorders>
          </w:tcPr>
          <w:p>
            <w:pPr>
              <w:pStyle w:val="TableText"/>
              <w:ind w:left="195"/>
              <w:spacing w:before="276" w:line="185" w:lineRule="auto"/>
              <w:rPr>
                <w:sz w:val="20"/>
                <w:szCs w:val="20"/>
              </w:rPr>
            </w:pPr>
            <w:r>
              <w:rPr>
                <w:sz w:val="20"/>
                <w:szCs w:val="20"/>
                <w:spacing w:val="-1"/>
              </w:rPr>
              <w:t>DA006</w:t>
            </w:r>
          </w:p>
        </w:tc>
        <w:tc>
          <w:tcPr>
            <w:tcW w:w="1410" w:type="dxa"/>
            <w:vAlign w:val="top"/>
            <w:gridSpan w:val="2"/>
            <w:vMerge w:val="restart"/>
            <w:tcBorders>
              <w:bottom w:val="nil"/>
            </w:tcBorders>
          </w:tcPr>
          <w:p>
            <w:pPr>
              <w:pStyle w:val="TableText"/>
              <w:ind w:left="190"/>
              <w:spacing w:before="227" w:line="219" w:lineRule="auto"/>
              <w:rPr>
                <w:sz w:val="20"/>
                <w:szCs w:val="20"/>
              </w:rPr>
            </w:pPr>
            <w:r>
              <w:rPr>
                <w:sz w:val="20"/>
                <w:szCs w:val="20"/>
                <w:spacing w:val="-2"/>
              </w:rPr>
              <w:t>污水站恶臭</w:t>
            </w:r>
          </w:p>
        </w:tc>
        <w:tc>
          <w:tcPr>
            <w:tcW w:w="1259" w:type="dxa"/>
            <w:vAlign w:val="top"/>
          </w:tcPr>
          <w:p>
            <w:pPr>
              <w:pStyle w:val="TableText"/>
              <w:ind w:left="420"/>
              <w:spacing w:before="118" w:line="182" w:lineRule="auto"/>
              <w:rPr>
                <w:rFonts w:ascii="Calibri" w:hAnsi="Calibri" w:eastAsia="Calibri" w:cs="Calibri"/>
                <w:sz w:val="20"/>
                <w:szCs w:val="20"/>
              </w:rPr>
            </w:pPr>
            <w:r>
              <w:rPr>
                <w:sz w:val="20"/>
                <w:szCs w:val="20"/>
                <w:spacing w:val="-1"/>
              </w:rPr>
              <w:t>NH</w:t>
            </w:r>
            <w:r>
              <w:rPr>
                <w:rFonts w:ascii="Calibri" w:hAnsi="Calibri" w:eastAsia="Calibri" w:cs="Calibri"/>
                <w:sz w:val="20"/>
                <w:szCs w:val="20"/>
                <w:spacing w:val="-1"/>
              </w:rPr>
              <w:t>₃</w:t>
            </w:r>
          </w:p>
        </w:tc>
        <w:tc>
          <w:tcPr>
            <w:tcW w:w="1279" w:type="dxa"/>
            <w:vAlign w:val="top"/>
            <w:vMerge w:val="restart"/>
            <w:tcBorders>
              <w:bottom w:val="nil"/>
            </w:tcBorders>
          </w:tcPr>
          <w:p>
            <w:pPr>
              <w:pStyle w:val="TableText"/>
              <w:ind w:left="282"/>
              <w:spacing w:before="117" w:line="311" w:lineRule="exact"/>
              <w:rPr>
                <w:sz w:val="20"/>
                <w:szCs w:val="20"/>
              </w:rPr>
            </w:pPr>
            <w:r>
              <w:rPr>
                <w:sz w:val="20"/>
                <w:szCs w:val="20"/>
                <w:spacing w:val="-4"/>
                <w:position w:val="7"/>
              </w:rPr>
              <w:t>120°0'</w:t>
            </w:r>
          </w:p>
          <w:p>
            <w:pPr>
              <w:pStyle w:val="TableText"/>
              <w:ind w:left="332"/>
              <w:spacing w:line="183" w:lineRule="auto"/>
              <w:rPr>
                <w:sz w:val="20"/>
                <w:szCs w:val="20"/>
              </w:rPr>
            </w:pPr>
            <w:r>
              <w:rPr>
                <w:sz w:val="20"/>
                <w:szCs w:val="20"/>
                <w:spacing w:val="-2"/>
              </w:rPr>
              <w:t>54.067</w:t>
            </w:r>
          </w:p>
        </w:tc>
        <w:tc>
          <w:tcPr>
            <w:tcW w:w="1129" w:type="dxa"/>
            <w:vAlign w:val="top"/>
            <w:vMerge w:val="restart"/>
            <w:tcBorders>
              <w:bottom w:val="nil"/>
            </w:tcBorders>
          </w:tcPr>
          <w:p>
            <w:pPr>
              <w:pStyle w:val="TableText"/>
              <w:ind w:left="202"/>
              <w:spacing w:before="107" w:line="321" w:lineRule="exact"/>
              <w:rPr>
                <w:sz w:val="20"/>
                <w:szCs w:val="20"/>
              </w:rPr>
            </w:pPr>
            <w:r>
              <w:rPr>
                <w:sz w:val="20"/>
                <w:szCs w:val="20"/>
                <w:spacing w:val="-2"/>
                <w:position w:val="8"/>
              </w:rPr>
              <w:t>26°51'</w:t>
            </w:r>
          </w:p>
          <w:p>
            <w:pPr>
              <w:pStyle w:val="TableText"/>
              <w:ind w:left="252"/>
              <w:spacing w:line="183" w:lineRule="auto"/>
              <w:rPr>
                <w:sz w:val="20"/>
                <w:szCs w:val="20"/>
              </w:rPr>
            </w:pPr>
            <w:r>
              <w:rPr>
                <w:sz w:val="20"/>
                <w:szCs w:val="20"/>
                <w:spacing w:val="-4"/>
              </w:rPr>
              <w:t>11.297</w:t>
            </w:r>
          </w:p>
        </w:tc>
        <w:tc>
          <w:tcPr>
            <w:tcW w:w="989" w:type="dxa"/>
            <w:vAlign w:val="top"/>
            <w:vMerge w:val="restart"/>
            <w:tcBorders>
              <w:bottom w:val="nil"/>
            </w:tcBorders>
          </w:tcPr>
          <w:p>
            <w:pPr>
              <w:pStyle w:val="TableText"/>
              <w:ind w:left="383"/>
              <w:spacing w:before="277" w:line="184" w:lineRule="auto"/>
              <w:rPr>
                <w:sz w:val="20"/>
                <w:szCs w:val="20"/>
              </w:rPr>
            </w:pPr>
            <w:r>
              <w:rPr>
                <w:sz w:val="20"/>
                <w:szCs w:val="20"/>
                <w:spacing w:val="-6"/>
              </w:rPr>
              <w:t>15</w:t>
            </w:r>
          </w:p>
        </w:tc>
        <w:tc>
          <w:tcPr>
            <w:tcW w:w="1099" w:type="dxa"/>
            <w:vAlign w:val="top"/>
            <w:vMerge w:val="restart"/>
            <w:tcBorders>
              <w:bottom w:val="nil"/>
            </w:tcBorders>
          </w:tcPr>
          <w:p>
            <w:pPr>
              <w:pStyle w:val="TableText"/>
              <w:ind w:left="394"/>
              <w:spacing w:before="278" w:line="183" w:lineRule="auto"/>
              <w:rPr>
                <w:sz w:val="20"/>
                <w:szCs w:val="20"/>
              </w:rPr>
            </w:pPr>
            <w:r>
              <w:rPr>
                <w:sz w:val="20"/>
                <w:szCs w:val="20"/>
                <w:spacing w:val="-3"/>
              </w:rPr>
              <w:t>0.6</w:t>
            </w:r>
          </w:p>
        </w:tc>
        <w:tc>
          <w:tcPr>
            <w:tcW w:w="1029" w:type="dxa"/>
            <w:vAlign w:val="top"/>
            <w:vMerge w:val="restart"/>
            <w:tcBorders>
              <w:bottom w:val="nil"/>
            </w:tcBorders>
          </w:tcPr>
          <w:p>
            <w:pPr>
              <w:pStyle w:val="TableText"/>
              <w:ind w:left="255"/>
              <w:spacing w:before="278" w:line="183" w:lineRule="auto"/>
              <w:rPr>
                <w:sz w:val="20"/>
                <w:szCs w:val="20"/>
              </w:rPr>
            </w:pPr>
            <w:r>
              <w:rPr>
                <w:sz w:val="20"/>
                <w:szCs w:val="20"/>
                <w:spacing w:val="-2"/>
              </w:rPr>
              <w:t>20000</w:t>
            </w:r>
          </w:p>
        </w:tc>
        <w:tc>
          <w:tcPr>
            <w:tcW w:w="850" w:type="dxa"/>
            <w:vAlign w:val="top"/>
            <w:vMerge w:val="restart"/>
            <w:tcBorders>
              <w:bottom w:val="nil"/>
            </w:tcBorders>
          </w:tcPr>
          <w:p>
            <w:pPr>
              <w:pStyle w:val="TableText"/>
              <w:ind w:left="316"/>
              <w:spacing w:before="278" w:line="183" w:lineRule="auto"/>
              <w:rPr>
                <w:sz w:val="20"/>
                <w:szCs w:val="20"/>
              </w:rPr>
            </w:pPr>
            <w:r>
              <w:rPr>
                <w:sz w:val="20"/>
                <w:szCs w:val="20"/>
                <w:spacing w:val="-3"/>
              </w:rPr>
              <w:t>25</w:t>
            </w:r>
          </w:p>
        </w:tc>
        <w:tc>
          <w:tcPr>
            <w:tcW w:w="999" w:type="dxa"/>
            <w:vAlign w:val="top"/>
            <w:vMerge w:val="restart"/>
            <w:tcBorders>
              <w:bottom w:val="nil"/>
            </w:tcBorders>
          </w:tcPr>
          <w:p>
            <w:pPr>
              <w:pStyle w:val="TableText"/>
              <w:ind w:left="297"/>
              <w:spacing w:before="278" w:line="183" w:lineRule="auto"/>
              <w:rPr>
                <w:sz w:val="20"/>
                <w:szCs w:val="20"/>
              </w:rPr>
            </w:pPr>
            <w:r>
              <w:rPr>
                <w:sz w:val="20"/>
                <w:szCs w:val="20"/>
                <w:spacing w:val="-2"/>
              </w:rPr>
              <w:t>6600</w:t>
            </w:r>
          </w:p>
        </w:tc>
        <w:tc>
          <w:tcPr>
            <w:tcW w:w="840" w:type="dxa"/>
            <w:vAlign w:val="top"/>
            <w:vMerge w:val="restart"/>
            <w:tcBorders>
              <w:bottom w:val="nil"/>
            </w:tcBorders>
          </w:tcPr>
          <w:p>
            <w:pPr>
              <w:pStyle w:val="TableText"/>
              <w:ind w:left="317" w:right="123" w:hanging="200"/>
              <w:spacing w:before="77" w:line="245" w:lineRule="auto"/>
              <w:rPr>
                <w:sz w:val="20"/>
                <w:szCs w:val="20"/>
              </w:rPr>
            </w:pPr>
            <w:r>
              <w:rPr>
                <w:sz w:val="20"/>
                <w:szCs w:val="20"/>
                <w:spacing w:val="-4"/>
              </w:rPr>
              <w:t>正常排</w:t>
            </w:r>
            <w:r>
              <w:rPr>
                <w:sz w:val="20"/>
                <w:szCs w:val="20"/>
              </w:rPr>
              <w:t xml:space="preserve"> </w:t>
            </w:r>
            <w:r>
              <w:rPr>
                <w:sz w:val="20"/>
                <w:szCs w:val="20"/>
              </w:rPr>
              <w:t>放</w:t>
            </w:r>
          </w:p>
        </w:tc>
        <w:tc>
          <w:tcPr>
            <w:tcW w:w="989" w:type="dxa"/>
            <w:vAlign w:val="top"/>
          </w:tcPr>
          <w:p>
            <w:pPr>
              <w:pStyle w:val="TableText"/>
              <w:ind w:left="237"/>
              <w:spacing w:before="137" w:line="184" w:lineRule="auto"/>
              <w:rPr>
                <w:sz w:val="20"/>
                <w:szCs w:val="20"/>
              </w:rPr>
            </w:pPr>
            <w:r>
              <w:rPr>
                <w:sz w:val="20"/>
                <w:szCs w:val="20"/>
                <w:spacing w:val="-2"/>
              </w:rPr>
              <w:t>0.019</w:t>
            </w:r>
          </w:p>
        </w:tc>
        <w:tc>
          <w:tcPr>
            <w:tcW w:w="1129" w:type="dxa"/>
            <w:vAlign w:val="top"/>
          </w:tcPr>
          <w:p>
            <w:pPr>
              <w:pStyle w:val="TableText"/>
              <w:ind w:left="358"/>
              <w:spacing w:before="138" w:line="183" w:lineRule="auto"/>
              <w:rPr>
                <w:sz w:val="20"/>
                <w:szCs w:val="20"/>
              </w:rPr>
            </w:pPr>
            <w:r>
              <w:rPr>
                <w:sz w:val="20"/>
                <w:szCs w:val="20"/>
                <w:spacing w:val="-2"/>
              </w:rPr>
              <w:t>0.95</w:t>
            </w:r>
          </w:p>
        </w:tc>
        <w:tc>
          <w:tcPr>
            <w:tcW w:w="854" w:type="dxa"/>
            <w:vAlign w:val="top"/>
          </w:tcPr>
          <w:p>
            <w:pPr>
              <w:pStyle w:val="TableText"/>
              <w:ind w:left="170"/>
              <w:spacing w:before="137" w:line="184" w:lineRule="auto"/>
              <w:rPr>
                <w:sz w:val="20"/>
                <w:szCs w:val="20"/>
              </w:rPr>
            </w:pPr>
            <w:r>
              <w:rPr>
                <w:sz w:val="20"/>
                <w:szCs w:val="20"/>
                <w:spacing w:val="-2"/>
              </w:rPr>
              <w:t>0.128</w:t>
            </w:r>
          </w:p>
        </w:tc>
      </w:tr>
      <w:tr>
        <w:trPr>
          <w:trHeight w:val="280" w:hRule="atLeast"/>
        </w:trPr>
        <w:tc>
          <w:tcPr>
            <w:tcW w:w="904" w:type="dxa"/>
            <w:vAlign w:val="top"/>
            <w:vMerge w:val="continue"/>
            <w:tcBorders>
              <w:top w:val="nil"/>
            </w:tcBorders>
          </w:tcPr>
          <w:p>
            <w:pPr>
              <w:rPr>
                <w:rFonts w:ascii="Arial"/>
                <w:sz w:val="21"/>
              </w:rPr>
            </w:pPr>
            <w:r/>
          </w:p>
        </w:tc>
        <w:tc>
          <w:tcPr>
            <w:tcW w:w="1410" w:type="dxa"/>
            <w:vAlign w:val="top"/>
            <w:gridSpan w:val="2"/>
            <w:vMerge w:val="continue"/>
            <w:tcBorders>
              <w:top w:val="nil"/>
            </w:tcBorders>
          </w:tcPr>
          <w:p>
            <w:pPr>
              <w:rPr>
                <w:rFonts w:ascii="Arial"/>
                <w:sz w:val="21"/>
              </w:rPr>
            </w:pPr>
            <w:r/>
          </w:p>
        </w:tc>
        <w:tc>
          <w:tcPr>
            <w:tcW w:w="1259" w:type="dxa"/>
            <w:vAlign w:val="top"/>
          </w:tcPr>
          <w:p>
            <w:pPr>
              <w:pStyle w:val="TableText"/>
              <w:ind w:left="420"/>
              <w:spacing w:before="80" w:line="175" w:lineRule="auto"/>
              <w:rPr>
                <w:sz w:val="20"/>
                <w:szCs w:val="20"/>
              </w:rPr>
            </w:pPr>
            <w:r>
              <w:rPr>
                <w:sz w:val="20"/>
                <w:szCs w:val="20"/>
                <w:spacing w:val="-2"/>
              </w:rPr>
              <w:t>H</w:t>
            </w:r>
            <w:r>
              <w:rPr>
                <w:rFonts w:ascii="Calibri" w:hAnsi="Calibri" w:eastAsia="Calibri" w:cs="Calibri"/>
                <w:sz w:val="20"/>
                <w:szCs w:val="20"/>
                <w:spacing w:val="-2"/>
              </w:rPr>
              <w:t>₂</w:t>
            </w:r>
            <w:r>
              <w:rPr>
                <w:sz w:val="20"/>
                <w:szCs w:val="20"/>
                <w:spacing w:val="-2"/>
              </w:rPr>
              <w:t>S</w:t>
            </w:r>
          </w:p>
        </w:tc>
        <w:tc>
          <w:tcPr>
            <w:tcW w:w="1279" w:type="dxa"/>
            <w:vAlign w:val="top"/>
            <w:vMerge w:val="continue"/>
            <w:tcBorders>
              <w:top w:val="nil"/>
            </w:tcBorders>
          </w:tcPr>
          <w:p>
            <w:pPr>
              <w:rPr>
                <w:rFonts w:ascii="Arial"/>
                <w:sz w:val="21"/>
              </w:rPr>
            </w:pPr>
            <w:r/>
          </w:p>
        </w:tc>
        <w:tc>
          <w:tcPr>
            <w:tcW w:w="1129" w:type="dxa"/>
            <w:vAlign w:val="top"/>
            <w:vMerge w:val="continue"/>
            <w:tcBorders>
              <w:top w:val="nil"/>
            </w:tcBorders>
          </w:tcPr>
          <w:p>
            <w:pPr>
              <w:rPr>
                <w:rFonts w:ascii="Arial"/>
                <w:sz w:val="21"/>
              </w:rPr>
            </w:pPr>
            <w:r/>
          </w:p>
        </w:tc>
        <w:tc>
          <w:tcPr>
            <w:tcW w:w="989" w:type="dxa"/>
            <w:vAlign w:val="top"/>
            <w:vMerge w:val="continue"/>
            <w:tcBorders>
              <w:top w:val="nil"/>
            </w:tcBorders>
          </w:tcPr>
          <w:p>
            <w:pPr>
              <w:rPr>
                <w:rFonts w:ascii="Arial"/>
                <w:sz w:val="21"/>
              </w:rPr>
            </w:pPr>
            <w:r/>
          </w:p>
        </w:tc>
        <w:tc>
          <w:tcPr>
            <w:tcW w:w="1099" w:type="dxa"/>
            <w:vAlign w:val="top"/>
            <w:vMerge w:val="continue"/>
            <w:tcBorders>
              <w:top w:val="nil"/>
            </w:tcBorders>
          </w:tcPr>
          <w:p>
            <w:pPr>
              <w:rPr>
                <w:rFonts w:ascii="Arial"/>
                <w:sz w:val="21"/>
              </w:rPr>
            </w:pPr>
            <w:r/>
          </w:p>
        </w:tc>
        <w:tc>
          <w:tcPr>
            <w:tcW w:w="1029" w:type="dxa"/>
            <w:vAlign w:val="top"/>
            <w:vMerge w:val="continue"/>
            <w:tcBorders>
              <w:top w:val="nil"/>
            </w:tcBorders>
          </w:tcPr>
          <w:p>
            <w:pPr>
              <w:rPr>
                <w:rFonts w:ascii="Arial"/>
                <w:sz w:val="21"/>
              </w:rPr>
            </w:pPr>
            <w:r/>
          </w:p>
        </w:tc>
        <w:tc>
          <w:tcPr>
            <w:tcW w:w="850" w:type="dxa"/>
            <w:vAlign w:val="top"/>
            <w:vMerge w:val="continue"/>
            <w:tcBorders>
              <w:top w:val="nil"/>
            </w:tcBorders>
          </w:tcPr>
          <w:p>
            <w:pPr>
              <w:rPr>
                <w:rFonts w:ascii="Arial"/>
                <w:sz w:val="21"/>
              </w:rPr>
            </w:pPr>
            <w:r/>
          </w:p>
        </w:tc>
        <w:tc>
          <w:tcPr>
            <w:tcW w:w="999" w:type="dxa"/>
            <w:vAlign w:val="top"/>
            <w:vMerge w:val="continue"/>
            <w:tcBorders>
              <w:top w:val="nil"/>
            </w:tcBorders>
          </w:tcPr>
          <w:p>
            <w:pPr>
              <w:rPr>
                <w:rFonts w:ascii="Arial"/>
                <w:sz w:val="21"/>
              </w:rPr>
            </w:pPr>
            <w:r/>
          </w:p>
        </w:tc>
        <w:tc>
          <w:tcPr>
            <w:tcW w:w="840" w:type="dxa"/>
            <w:vAlign w:val="top"/>
            <w:vMerge w:val="continue"/>
            <w:tcBorders>
              <w:top w:val="nil"/>
            </w:tcBorders>
          </w:tcPr>
          <w:p>
            <w:pPr>
              <w:rPr>
                <w:rFonts w:ascii="Arial"/>
                <w:sz w:val="21"/>
              </w:rPr>
            </w:pPr>
            <w:r/>
          </w:p>
        </w:tc>
        <w:tc>
          <w:tcPr>
            <w:tcW w:w="989" w:type="dxa"/>
            <w:vAlign w:val="top"/>
          </w:tcPr>
          <w:p>
            <w:pPr>
              <w:pStyle w:val="TableText"/>
              <w:ind w:left="187"/>
              <w:spacing w:before="99" w:line="157" w:lineRule="auto"/>
              <w:rPr>
                <w:sz w:val="20"/>
                <w:szCs w:val="20"/>
              </w:rPr>
            </w:pPr>
            <w:r>
              <w:rPr>
                <w:sz w:val="20"/>
                <w:szCs w:val="20"/>
                <w:spacing w:val="-2"/>
              </w:rPr>
              <w:t>0.0003</w:t>
            </w:r>
          </w:p>
        </w:tc>
        <w:tc>
          <w:tcPr>
            <w:tcW w:w="1129" w:type="dxa"/>
            <w:vAlign w:val="top"/>
          </w:tcPr>
          <w:p>
            <w:pPr>
              <w:pStyle w:val="TableText"/>
              <w:ind w:left="408"/>
              <w:spacing w:before="99" w:line="157" w:lineRule="auto"/>
              <w:rPr>
                <w:sz w:val="20"/>
                <w:szCs w:val="20"/>
              </w:rPr>
            </w:pPr>
            <w:r>
              <w:rPr>
                <w:sz w:val="20"/>
                <w:szCs w:val="20"/>
                <w:spacing w:val="-3"/>
              </w:rPr>
              <w:t>0.0</w:t>
            </w:r>
          </w:p>
        </w:tc>
        <w:tc>
          <w:tcPr>
            <w:tcW w:w="854" w:type="dxa"/>
            <w:vAlign w:val="top"/>
          </w:tcPr>
          <w:p>
            <w:pPr>
              <w:pStyle w:val="TableText"/>
              <w:ind w:left="170"/>
              <w:spacing w:before="99" w:line="157" w:lineRule="auto"/>
              <w:rPr>
                <w:sz w:val="20"/>
                <w:szCs w:val="20"/>
              </w:rPr>
            </w:pPr>
            <w:r>
              <w:rPr>
                <w:sz w:val="20"/>
                <w:szCs w:val="20"/>
                <w:spacing w:val="-2"/>
              </w:rPr>
              <w:t>0.002</w:t>
            </w:r>
          </w:p>
        </w:tc>
      </w:tr>
      <w:tr>
        <w:trPr>
          <w:trHeight w:val="280" w:hRule="atLeast"/>
        </w:trPr>
        <w:tc>
          <w:tcPr>
            <w:tcW w:w="2314" w:type="dxa"/>
            <w:vAlign w:val="top"/>
            <w:gridSpan w:val="3"/>
            <w:vMerge w:val="restart"/>
            <w:tcBorders>
              <w:bottom w:val="nil"/>
            </w:tcBorders>
          </w:tcPr>
          <w:p>
            <w:pPr>
              <w:spacing w:line="340" w:lineRule="auto"/>
              <w:rPr>
                <w:rFonts w:ascii="Arial"/>
                <w:sz w:val="21"/>
              </w:rPr>
            </w:pPr>
            <w:r/>
          </w:p>
          <w:p>
            <w:pPr>
              <w:spacing w:line="340" w:lineRule="auto"/>
              <w:rPr>
                <w:rFonts w:ascii="Arial"/>
                <w:sz w:val="21"/>
              </w:rPr>
            </w:pPr>
            <w:r/>
          </w:p>
          <w:p>
            <w:pPr>
              <w:pStyle w:val="TableText"/>
              <w:ind w:left="954"/>
              <w:spacing w:before="65" w:line="221" w:lineRule="auto"/>
              <w:rPr>
                <w:sz w:val="20"/>
                <w:szCs w:val="20"/>
              </w:rPr>
            </w:pPr>
            <w:r>
              <w:rPr>
                <w:sz w:val="20"/>
                <w:szCs w:val="20"/>
                <w:spacing w:val="-3"/>
              </w:rPr>
              <w:t>合计</w:t>
            </w:r>
          </w:p>
        </w:tc>
        <w:tc>
          <w:tcPr>
            <w:tcW w:w="1259" w:type="dxa"/>
            <w:vAlign w:val="top"/>
          </w:tcPr>
          <w:p>
            <w:pPr>
              <w:pStyle w:val="TableText"/>
              <w:ind w:left="120"/>
              <w:spacing w:before="48" w:line="204" w:lineRule="auto"/>
              <w:rPr>
                <w:sz w:val="20"/>
                <w:szCs w:val="20"/>
              </w:rPr>
            </w:pPr>
            <w:r>
              <w:rPr>
                <w:sz w:val="20"/>
                <w:szCs w:val="20"/>
                <w:spacing w:val="-2"/>
              </w:rPr>
              <w:t>非甲烷总烃</w:t>
            </w:r>
          </w:p>
        </w:tc>
        <w:tc>
          <w:tcPr>
            <w:tcW w:w="1279" w:type="dxa"/>
            <w:vAlign w:val="top"/>
          </w:tcPr>
          <w:p>
            <w:pPr>
              <w:ind w:left="611"/>
              <w:spacing w:line="193" w:lineRule="exact"/>
              <w:tabs>
                <w:tab w:val="left" w:pos="640"/>
              </w:tabs>
              <w:rPr>
                <w:rFonts w:ascii="Arial"/>
                <w:sz w:val="21"/>
              </w:rPr>
            </w:pPr>
            <w:r>
              <w:rPr>
                <w:rFonts w:ascii="Arial" w:hAnsi="Arial" w:eastAsia="Arial" w:cs="Arial"/>
                <w:sz w:val="21"/>
                <w:szCs w:val="21"/>
                <w:u w:val="single" w:color="auto"/>
                <w:position w:val="-2"/>
              </w:rPr>
              <w:tab/>
            </w:r>
          </w:p>
        </w:tc>
        <w:tc>
          <w:tcPr>
            <w:tcW w:w="1129" w:type="dxa"/>
            <w:vAlign w:val="top"/>
          </w:tcPr>
          <w:p>
            <w:pPr>
              <w:ind w:left="542"/>
              <w:spacing w:line="193" w:lineRule="exact"/>
              <w:tabs>
                <w:tab w:val="left" w:pos="572"/>
              </w:tabs>
              <w:rPr>
                <w:rFonts w:ascii="Arial"/>
                <w:sz w:val="21"/>
              </w:rPr>
            </w:pPr>
            <w:r>
              <w:rPr>
                <w:rFonts w:ascii="Arial" w:hAnsi="Arial" w:eastAsia="Arial" w:cs="Arial"/>
                <w:sz w:val="21"/>
                <w:szCs w:val="21"/>
                <w:u w:val="single" w:color="auto"/>
                <w:position w:val="-2"/>
              </w:rPr>
              <w:tab/>
            </w:r>
          </w:p>
        </w:tc>
        <w:tc>
          <w:tcPr>
            <w:tcW w:w="989" w:type="dxa"/>
            <w:vAlign w:val="top"/>
          </w:tcPr>
          <w:p>
            <w:pPr>
              <w:rPr>
                <w:rFonts w:ascii="Arial"/>
                <w:sz w:val="21"/>
              </w:rPr>
            </w:pPr>
            <w:r/>
          </w:p>
        </w:tc>
        <w:tc>
          <w:tcPr>
            <w:tcW w:w="1099" w:type="dxa"/>
            <w:vAlign w:val="top"/>
          </w:tcPr>
          <w:p>
            <w:pPr>
              <w:rPr>
                <w:rFonts w:ascii="Arial"/>
                <w:sz w:val="21"/>
              </w:rPr>
            </w:pPr>
            <w:r/>
          </w:p>
        </w:tc>
        <w:tc>
          <w:tcPr>
            <w:tcW w:w="1029" w:type="dxa"/>
            <w:vAlign w:val="top"/>
          </w:tcPr>
          <w:p>
            <w:pPr>
              <w:rPr>
                <w:rFonts w:ascii="Arial"/>
                <w:sz w:val="21"/>
              </w:rPr>
            </w:pPr>
            <w:r/>
          </w:p>
        </w:tc>
        <w:tc>
          <w:tcPr>
            <w:tcW w:w="850" w:type="dxa"/>
            <w:vAlign w:val="top"/>
          </w:tcPr>
          <w:p>
            <w:pPr>
              <w:ind w:left="406"/>
              <w:spacing w:line="193" w:lineRule="exact"/>
              <w:tabs>
                <w:tab w:val="left" w:pos="435"/>
              </w:tabs>
              <w:rPr>
                <w:rFonts w:ascii="Arial"/>
                <w:sz w:val="21"/>
              </w:rPr>
            </w:pPr>
            <w:r>
              <w:rPr>
                <w:rFonts w:ascii="Arial" w:hAnsi="Arial" w:eastAsia="Arial" w:cs="Arial"/>
                <w:sz w:val="21"/>
                <w:szCs w:val="21"/>
                <w:u w:val="single" w:color="auto"/>
                <w:position w:val="-2"/>
              </w:rPr>
              <w:tab/>
            </w:r>
          </w:p>
        </w:tc>
        <w:tc>
          <w:tcPr>
            <w:tcW w:w="999" w:type="dxa"/>
            <w:vAlign w:val="top"/>
          </w:tcPr>
          <w:p>
            <w:pPr>
              <w:ind w:left="477"/>
              <w:spacing w:line="193" w:lineRule="exact"/>
              <w:tabs>
                <w:tab w:val="left" w:pos="505"/>
              </w:tabs>
              <w:rPr>
                <w:rFonts w:ascii="Arial"/>
                <w:sz w:val="21"/>
              </w:rPr>
            </w:pPr>
            <w:r>
              <w:rPr>
                <w:rFonts w:ascii="Arial" w:hAnsi="Arial" w:eastAsia="Arial" w:cs="Arial"/>
                <w:sz w:val="21"/>
                <w:szCs w:val="21"/>
                <w:u w:val="single" w:color="auto"/>
                <w:position w:val="-2"/>
              </w:rPr>
              <w:tab/>
            </w:r>
          </w:p>
        </w:tc>
        <w:tc>
          <w:tcPr>
            <w:tcW w:w="840" w:type="dxa"/>
            <w:vAlign w:val="top"/>
          </w:tcPr>
          <w:p>
            <w:pPr>
              <w:rPr>
                <w:rFonts w:ascii="Arial"/>
                <w:sz w:val="21"/>
              </w:rPr>
            </w:pPr>
            <w:r/>
          </w:p>
        </w:tc>
        <w:tc>
          <w:tcPr>
            <w:tcW w:w="2118" w:type="dxa"/>
            <w:vAlign w:val="top"/>
            <w:gridSpan w:val="2"/>
          </w:tcPr>
          <w:p>
            <w:pPr>
              <w:rPr>
                <w:rFonts w:ascii="Arial"/>
                <w:sz w:val="21"/>
              </w:rPr>
            </w:pPr>
            <w:r/>
          </w:p>
        </w:tc>
        <w:tc>
          <w:tcPr>
            <w:tcW w:w="854" w:type="dxa"/>
            <w:vAlign w:val="top"/>
          </w:tcPr>
          <w:p>
            <w:pPr>
              <w:pStyle w:val="TableText"/>
              <w:ind w:left="170"/>
              <w:spacing w:before="99" w:line="157" w:lineRule="auto"/>
              <w:rPr>
                <w:sz w:val="20"/>
                <w:szCs w:val="20"/>
              </w:rPr>
            </w:pPr>
            <w:r>
              <w:rPr>
                <w:sz w:val="20"/>
                <w:szCs w:val="20"/>
                <w:spacing w:val="-2"/>
              </w:rPr>
              <w:t>0.960</w:t>
            </w:r>
          </w:p>
        </w:tc>
      </w:tr>
      <w:tr>
        <w:trPr>
          <w:trHeight w:val="270" w:hRule="atLeast"/>
        </w:trPr>
        <w:tc>
          <w:tcPr>
            <w:tcW w:w="2314" w:type="dxa"/>
            <w:vAlign w:val="top"/>
            <w:gridSpan w:val="3"/>
            <w:vMerge w:val="continue"/>
            <w:tcBorders>
              <w:top w:val="nil"/>
              <w:bottom w:val="nil"/>
            </w:tcBorders>
          </w:tcPr>
          <w:p>
            <w:pPr>
              <w:rPr>
                <w:rFonts w:ascii="Arial"/>
                <w:sz w:val="21"/>
              </w:rPr>
            </w:pPr>
            <w:r/>
          </w:p>
        </w:tc>
        <w:tc>
          <w:tcPr>
            <w:tcW w:w="1259" w:type="dxa"/>
            <w:vAlign w:val="top"/>
          </w:tcPr>
          <w:p>
            <w:pPr>
              <w:pStyle w:val="TableText"/>
              <w:ind w:left="420"/>
              <w:spacing w:before="80" w:line="166" w:lineRule="auto"/>
              <w:rPr>
                <w:rFonts w:ascii="Calibri" w:hAnsi="Calibri" w:eastAsia="Calibri" w:cs="Calibri"/>
                <w:sz w:val="20"/>
                <w:szCs w:val="20"/>
              </w:rPr>
            </w:pPr>
            <w:r>
              <w:rPr>
                <w:sz w:val="20"/>
                <w:szCs w:val="20"/>
                <w:spacing w:val="-3"/>
              </w:rPr>
              <w:t>SO</w:t>
            </w:r>
            <w:r>
              <w:rPr>
                <w:rFonts w:ascii="Calibri" w:hAnsi="Calibri" w:eastAsia="Calibri" w:cs="Calibri"/>
                <w:sz w:val="20"/>
                <w:szCs w:val="20"/>
                <w:spacing w:val="-3"/>
              </w:rPr>
              <w:t>₂</w:t>
            </w:r>
          </w:p>
        </w:tc>
        <w:tc>
          <w:tcPr>
            <w:tcW w:w="1279" w:type="dxa"/>
            <w:vAlign w:val="top"/>
          </w:tcPr>
          <w:p>
            <w:pPr>
              <w:rPr>
                <w:rFonts w:ascii="Arial"/>
                <w:sz w:val="21"/>
              </w:rPr>
            </w:pPr>
            <w:r/>
          </w:p>
        </w:tc>
        <w:tc>
          <w:tcPr>
            <w:tcW w:w="1129" w:type="dxa"/>
            <w:vAlign w:val="top"/>
          </w:tcPr>
          <w:p>
            <w:pPr>
              <w:rPr>
                <w:rFonts w:ascii="Arial"/>
                <w:sz w:val="21"/>
              </w:rPr>
            </w:pPr>
            <w:r/>
          </w:p>
        </w:tc>
        <w:tc>
          <w:tcPr>
            <w:tcW w:w="989" w:type="dxa"/>
            <w:vAlign w:val="top"/>
          </w:tcPr>
          <w:p>
            <w:pPr>
              <w:rPr>
                <w:rFonts w:ascii="Arial"/>
                <w:sz w:val="21"/>
              </w:rPr>
            </w:pPr>
            <w:r/>
          </w:p>
        </w:tc>
        <w:tc>
          <w:tcPr>
            <w:tcW w:w="1099" w:type="dxa"/>
            <w:vAlign w:val="top"/>
          </w:tcPr>
          <w:p>
            <w:pPr>
              <w:rPr>
                <w:rFonts w:ascii="Arial"/>
                <w:sz w:val="21"/>
              </w:rPr>
            </w:pPr>
            <w:r/>
          </w:p>
        </w:tc>
        <w:tc>
          <w:tcPr>
            <w:tcW w:w="1029" w:type="dxa"/>
            <w:vAlign w:val="top"/>
          </w:tcPr>
          <w:p>
            <w:pPr>
              <w:rPr>
                <w:rFonts w:ascii="Arial"/>
                <w:sz w:val="21"/>
              </w:rPr>
            </w:pPr>
            <w:r/>
          </w:p>
        </w:tc>
        <w:tc>
          <w:tcPr>
            <w:tcW w:w="850" w:type="dxa"/>
            <w:vAlign w:val="top"/>
          </w:tcPr>
          <w:p>
            <w:pPr>
              <w:rPr>
                <w:rFonts w:ascii="Arial"/>
                <w:sz w:val="21"/>
              </w:rPr>
            </w:pPr>
            <w:r/>
          </w:p>
        </w:tc>
        <w:tc>
          <w:tcPr>
            <w:tcW w:w="999" w:type="dxa"/>
            <w:vAlign w:val="top"/>
          </w:tcPr>
          <w:p>
            <w:pPr>
              <w:rPr>
                <w:rFonts w:ascii="Arial"/>
                <w:sz w:val="21"/>
              </w:rPr>
            </w:pPr>
            <w:r/>
          </w:p>
        </w:tc>
        <w:tc>
          <w:tcPr>
            <w:tcW w:w="840" w:type="dxa"/>
            <w:vAlign w:val="top"/>
          </w:tcPr>
          <w:p>
            <w:pPr>
              <w:rPr>
                <w:rFonts w:ascii="Arial"/>
                <w:sz w:val="21"/>
              </w:rPr>
            </w:pPr>
            <w:r/>
          </w:p>
        </w:tc>
        <w:tc>
          <w:tcPr>
            <w:tcW w:w="2118" w:type="dxa"/>
            <w:vAlign w:val="top"/>
            <w:gridSpan w:val="2"/>
          </w:tcPr>
          <w:p>
            <w:pPr>
              <w:rPr>
                <w:rFonts w:ascii="Arial"/>
                <w:sz w:val="21"/>
              </w:rPr>
            </w:pPr>
            <w:r/>
          </w:p>
        </w:tc>
        <w:tc>
          <w:tcPr>
            <w:tcW w:w="854" w:type="dxa"/>
            <w:vAlign w:val="top"/>
          </w:tcPr>
          <w:p>
            <w:pPr>
              <w:pStyle w:val="TableText"/>
              <w:ind w:left="120"/>
              <w:spacing w:before="99" w:line="161" w:lineRule="exact"/>
              <w:rPr>
                <w:sz w:val="20"/>
                <w:szCs w:val="20"/>
              </w:rPr>
            </w:pPr>
            <w:r>
              <w:rPr>
                <w:sz w:val="20"/>
                <w:szCs w:val="20"/>
                <w:spacing w:val="-2"/>
                <w:position w:val="-2"/>
              </w:rPr>
              <w:t>3.5112</w:t>
            </w:r>
          </w:p>
        </w:tc>
      </w:tr>
      <w:tr>
        <w:trPr>
          <w:trHeight w:val="270" w:hRule="atLeast"/>
        </w:trPr>
        <w:tc>
          <w:tcPr>
            <w:tcW w:w="2314" w:type="dxa"/>
            <w:vAlign w:val="top"/>
            <w:gridSpan w:val="3"/>
            <w:vMerge w:val="continue"/>
            <w:tcBorders>
              <w:top w:val="nil"/>
              <w:bottom w:val="nil"/>
            </w:tcBorders>
          </w:tcPr>
          <w:p>
            <w:pPr>
              <w:rPr>
                <w:rFonts w:ascii="Arial"/>
                <w:sz w:val="21"/>
              </w:rPr>
            </w:pPr>
            <w:r/>
          </w:p>
        </w:tc>
        <w:tc>
          <w:tcPr>
            <w:tcW w:w="1259" w:type="dxa"/>
            <w:vAlign w:val="top"/>
          </w:tcPr>
          <w:p>
            <w:pPr>
              <w:pStyle w:val="TableText"/>
              <w:ind w:left="470"/>
              <w:spacing w:before="99" w:line="161" w:lineRule="exact"/>
              <w:rPr>
                <w:sz w:val="20"/>
                <w:szCs w:val="20"/>
              </w:rPr>
            </w:pPr>
            <w:r>
              <w:rPr>
                <w:sz w:val="20"/>
                <w:szCs w:val="20"/>
                <w:spacing w:val="-1"/>
                <w:position w:val="-2"/>
              </w:rPr>
              <w:t>NOx</w:t>
            </w:r>
          </w:p>
        </w:tc>
        <w:tc>
          <w:tcPr>
            <w:tcW w:w="1279" w:type="dxa"/>
            <w:vAlign w:val="top"/>
          </w:tcPr>
          <w:p>
            <w:pPr>
              <w:rPr>
                <w:rFonts w:ascii="Arial"/>
                <w:sz w:val="21"/>
              </w:rPr>
            </w:pPr>
            <w:r/>
          </w:p>
        </w:tc>
        <w:tc>
          <w:tcPr>
            <w:tcW w:w="1129" w:type="dxa"/>
            <w:vAlign w:val="top"/>
          </w:tcPr>
          <w:p>
            <w:pPr>
              <w:rPr>
                <w:rFonts w:ascii="Arial"/>
                <w:sz w:val="21"/>
              </w:rPr>
            </w:pPr>
            <w:r/>
          </w:p>
        </w:tc>
        <w:tc>
          <w:tcPr>
            <w:tcW w:w="989" w:type="dxa"/>
            <w:vAlign w:val="top"/>
          </w:tcPr>
          <w:p>
            <w:pPr>
              <w:rPr>
                <w:rFonts w:ascii="Arial"/>
                <w:sz w:val="21"/>
              </w:rPr>
            </w:pPr>
            <w:r/>
          </w:p>
        </w:tc>
        <w:tc>
          <w:tcPr>
            <w:tcW w:w="1099" w:type="dxa"/>
            <w:vAlign w:val="top"/>
          </w:tcPr>
          <w:p>
            <w:pPr>
              <w:rPr>
                <w:rFonts w:ascii="Arial"/>
                <w:sz w:val="21"/>
              </w:rPr>
            </w:pPr>
            <w:r/>
          </w:p>
        </w:tc>
        <w:tc>
          <w:tcPr>
            <w:tcW w:w="1029" w:type="dxa"/>
            <w:vAlign w:val="top"/>
          </w:tcPr>
          <w:p>
            <w:pPr>
              <w:rPr>
                <w:rFonts w:ascii="Arial"/>
                <w:sz w:val="21"/>
              </w:rPr>
            </w:pPr>
            <w:r/>
          </w:p>
        </w:tc>
        <w:tc>
          <w:tcPr>
            <w:tcW w:w="850" w:type="dxa"/>
            <w:vAlign w:val="top"/>
          </w:tcPr>
          <w:p>
            <w:pPr>
              <w:rPr>
                <w:rFonts w:ascii="Arial"/>
                <w:sz w:val="21"/>
              </w:rPr>
            </w:pPr>
            <w:r/>
          </w:p>
        </w:tc>
        <w:tc>
          <w:tcPr>
            <w:tcW w:w="999" w:type="dxa"/>
            <w:vAlign w:val="top"/>
          </w:tcPr>
          <w:p>
            <w:pPr>
              <w:rPr>
                <w:rFonts w:ascii="Arial"/>
                <w:sz w:val="21"/>
              </w:rPr>
            </w:pPr>
            <w:r/>
          </w:p>
        </w:tc>
        <w:tc>
          <w:tcPr>
            <w:tcW w:w="840" w:type="dxa"/>
            <w:vAlign w:val="top"/>
          </w:tcPr>
          <w:p>
            <w:pPr>
              <w:rPr>
                <w:rFonts w:ascii="Arial"/>
                <w:sz w:val="21"/>
              </w:rPr>
            </w:pPr>
            <w:r/>
          </w:p>
        </w:tc>
        <w:tc>
          <w:tcPr>
            <w:tcW w:w="2118" w:type="dxa"/>
            <w:vAlign w:val="top"/>
            <w:gridSpan w:val="2"/>
          </w:tcPr>
          <w:p>
            <w:pPr>
              <w:rPr>
                <w:rFonts w:ascii="Arial"/>
                <w:sz w:val="21"/>
              </w:rPr>
            </w:pPr>
            <w:r/>
          </w:p>
        </w:tc>
        <w:tc>
          <w:tcPr>
            <w:tcW w:w="854" w:type="dxa"/>
            <w:vAlign w:val="top"/>
          </w:tcPr>
          <w:p>
            <w:pPr>
              <w:pStyle w:val="TableText"/>
              <w:ind w:left="120"/>
              <w:spacing w:before="99" w:line="161" w:lineRule="exact"/>
              <w:rPr>
                <w:sz w:val="20"/>
                <w:szCs w:val="20"/>
              </w:rPr>
            </w:pPr>
            <w:r>
              <w:rPr>
                <w:sz w:val="20"/>
                <w:szCs w:val="20"/>
                <w:spacing w:val="-2"/>
                <w:position w:val="-2"/>
              </w:rPr>
              <w:t>9.4586</w:t>
            </w:r>
          </w:p>
        </w:tc>
      </w:tr>
      <w:tr>
        <w:trPr>
          <w:trHeight w:val="270" w:hRule="atLeast"/>
        </w:trPr>
        <w:tc>
          <w:tcPr>
            <w:tcW w:w="2314" w:type="dxa"/>
            <w:vAlign w:val="top"/>
            <w:gridSpan w:val="3"/>
            <w:vMerge w:val="continue"/>
            <w:tcBorders>
              <w:top w:val="nil"/>
              <w:bottom w:val="nil"/>
            </w:tcBorders>
          </w:tcPr>
          <w:p>
            <w:pPr>
              <w:rPr>
                <w:rFonts w:ascii="Arial"/>
                <w:sz w:val="21"/>
              </w:rPr>
            </w:pPr>
            <w:r/>
          </w:p>
        </w:tc>
        <w:tc>
          <w:tcPr>
            <w:tcW w:w="1259" w:type="dxa"/>
            <w:vAlign w:val="top"/>
          </w:tcPr>
          <w:p>
            <w:pPr>
              <w:pStyle w:val="TableText"/>
              <w:ind w:left="320"/>
              <w:spacing w:before="48" w:line="195" w:lineRule="auto"/>
              <w:rPr>
                <w:sz w:val="20"/>
                <w:szCs w:val="20"/>
              </w:rPr>
            </w:pPr>
            <w:r>
              <w:rPr>
                <w:sz w:val="20"/>
                <w:szCs w:val="20"/>
                <w:spacing w:val="-2"/>
              </w:rPr>
              <w:t>颗粒物</w:t>
            </w:r>
          </w:p>
        </w:tc>
        <w:tc>
          <w:tcPr>
            <w:tcW w:w="1279" w:type="dxa"/>
            <w:vAlign w:val="top"/>
          </w:tcPr>
          <w:p>
            <w:pPr>
              <w:rPr>
                <w:rFonts w:ascii="Arial"/>
                <w:sz w:val="21"/>
              </w:rPr>
            </w:pPr>
            <w:r/>
          </w:p>
        </w:tc>
        <w:tc>
          <w:tcPr>
            <w:tcW w:w="1129" w:type="dxa"/>
            <w:vAlign w:val="top"/>
          </w:tcPr>
          <w:p>
            <w:pPr>
              <w:rPr>
                <w:rFonts w:ascii="Arial"/>
                <w:sz w:val="21"/>
              </w:rPr>
            </w:pPr>
            <w:r/>
          </w:p>
        </w:tc>
        <w:tc>
          <w:tcPr>
            <w:tcW w:w="989" w:type="dxa"/>
            <w:vAlign w:val="top"/>
          </w:tcPr>
          <w:p>
            <w:pPr>
              <w:rPr>
                <w:rFonts w:ascii="Arial"/>
                <w:sz w:val="21"/>
              </w:rPr>
            </w:pPr>
            <w:r/>
          </w:p>
        </w:tc>
        <w:tc>
          <w:tcPr>
            <w:tcW w:w="1099" w:type="dxa"/>
            <w:vAlign w:val="top"/>
          </w:tcPr>
          <w:p>
            <w:pPr>
              <w:rPr>
                <w:rFonts w:ascii="Arial"/>
                <w:sz w:val="21"/>
              </w:rPr>
            </w:pPr>
            <w:r/>
          </w:p>
        </w:tc>
        <w:tc>
          <w:tcPr>
            <w:tcW w:w="1029" w:type="dxa"/>
            <w:vAlign w:val="top"/>
          </w:tcPr>
          <w:p>
            <w:pPr>
              <w:rPr>
                <w:rFonts w:ascii="Arial"/>
                <w:sz w:val="21"/>
              </w:rPr>
            </w:pPr>
            <w:r/>
          </w:p>
        </w:tc>
        <w:tc>
          <w:tcPr>
            <w:tcW w:w="850" w:type="dxa"/>
            <w:vAlign w:val="top"/>
          </w:tcPr>
          <w:p>
            <w:pPr>
              <w:rPr>
                <w:rFonts w:ascii="Arial"/>
                <w:sz w:val="21"/>
              </w:rPr>
            </w:pPr>
            <w:r/>
          </w:p>
        </w:tc>
        <w:tc>
          <w:tcPr>
            <w:tcW w:w="999" w:type="dxa"/>
            <w:vAlign w:val="top"/>
          </w:tcPr>
          <w:p>
            <w:pPr>
              <w:rPr>
                <w:rFonts w:ascii="Arial"/>
                <w:sz w:val="21"/>
              </w:rPr>
            </w:pPr>
            <w:r/>
          </w:p>
        </w:tc>
        <w:tc>
          <w:tcPr>
            <w:tcW w:w="840" w:type="dxa"/>
            <w:vAlign w:val="top"/>
          </w:tcPr>
          <w:p>
            <w:pPr>
              <w:rPr>
                <w:rFonts w:ascii="Arial"/>
                <w:sz w:val="21"/>
              </w:rPr>
            </w:pPr>
            <w:r/>
          </w:p>
        </w:tc>
        <w:tc>
          <w:tcPr>
            <w:tcW w:w="2118" w:type="dxa"/>
            <w:vAlign w:val="top"/>
            <w:gridSpan w:val="2"/>
          </w:tcPr>
          <w:p>
            <w:pPr>
              <w:rPr>
                <w:rFonts w:ascii="Arial"/>
                <w:sz w:val="21"/>
              </w:rPr>
            </w:pPr>
            <w:r/>
          </w:p>
        </w:tc>
        <w:tc>
          <w:tcPr>
            <w:tcW w:w="854" w:type="dxa"/>
            <w:vAlign w:val="top"/>
          </w:tcPr>
          <w:p>
            <w:pPr>
              <w:pStyle w:val="TableText"/>
              <w:ind w:left="120"/>
              <w:spacing w:before="99" w:line="161" w:lineRule="exact"/>
              <w:rPr>
                <w:sz w:val="20"/>
                <w:szCs w:val="20"/>
              </w:rPr>
            </w:pPr>
            <w:r>
              <w:rPr>
                <w:sz w:val="20"/>
                <w:szCs w:val="20"/>
                <w:spacing w:val="-2"/>
                <w:position w:val="-2"/>
              </w:rPr>
              <w:t>3.7835</w:t>
            </w:r>
          </w:p>
        </w:tc>
      </w:tr>
      <w:tr>
        <w:trPr>
          <w:trHeight w:val="279" w:hRule="atLeast"/>
        </w:trPr>
        <w:tc>
          <w:tcPr>
            <w:tcW w:w="2314" w:type="dxa"/>
            <w:vAlign w:val="top"/>
            <w:gridSpan w:val="3"/>
            <w:vMerge w:val="continue"/>
            <w:tcBorders>
              <w:top w:val="nil"/>
              <w:bottom w:val="nil"/>
            </w:tcBorders>
          </w:tcPr>
          <w:p>
            <w:pPr>
              <w:rPr>
                <w:rFonts w:ascii="Arial"/>
                <w:sz w:val="21"/>
              </w:rPr>
            </w:pPr>
            <w:r/>
          </w:p>
        </w:tc>
        <w:tc>
          <w:tcPr>
            <w:tcW w:w="1259" w:type="dxa"/>
            <w:vAlign w:val="top"/>
          </w:tcPr>
          <w:p>
            <w:pPr>
              <w:pStyle w:val="TableText"/>
              <w:ind w:left="470"/>
              <w:spacing w:before="99" w:line="169" w:lineRule="exact"/>
              <w:rPr>
                <w:sz w:val="20"/>
                <w:szCs w:val="20"/>
              </w:rPr>
            </w:pPr>
            <w:r>
              <w:rPr>
                <w:sz w:val="20"/>
                <w:szCs w:val="20"/>
                <w:spacing w:val="-1"/>
                <w:position w:val="-2"/>
              </w:rPr>
              <w:t>NH3</w:t>
            </w:r>
          </w:p>
        </w:tc>
        <w:tc>
          <w:tcPr>
            <w:tcW w:w="1279" w:type="dxa"/>
            <w:vAlign w:val="top"/>
          </w:tcPr>
          <w:p>
            <w:pPr>
              <w:rPr>
                <w:rFonts w:ascii="Arial"/>
                <w:sz w:val="21"/>
              </w:rPr>
            </w:pPr>
            <w:r/>
          </w:p>
        </w:tc>
        <w:tc>
          <w:tcPr>
            <w:tcW w:w="1129" w:type="dxa"/>
            <w:vAlign w:val="top"/>
          </w:tcPr>
          <w:p>
            <w:pPr>
              <w:rPr>
                <w:rFonts w:ascii="Arial"/>
                <w:sz w:val="21"/>
              </w:rPr>
            </w:pPr>
            <w:r/>
          </w:p>
        </w:tc>
        <w:tc>
          <w:tcPr>
            <w:tcW w:w="989" w:type="dxa"/>
            <w:vAlign w:val="top"/>
          </w:tcPr>
          <w:p>
            <w:pPr>
              <w:rPr>
                <w:rFonts w:ascii="Arial"/>
                <w:sz w:val="21"/>
              </w:rPr>
            </w:pPr>
            <w:r/>
          </w:p>
        </w:tc>
        <w:tc>
          <w:tcPr>
            <w:tcW w:w="1099" w:type="dxa"/>
            <w:vAlign w:val="top"/>
          </w:tcPr>
          <w:p>
            <w:pPr>
              <w:rPr>
                <w:rFonts w:ascii="Arial"/>
                <w:sz w:val="21"/>
              </w:rPr>
            </w:pPr>
            <w:r/>
          </w:p>
        </w:tc>
        <w:tc>
          <w:tcPr>
            <w:tcW w:w="1029" w:type="dxa"/>
            <w:vAlign w:val="top"/>
          </w:tcPr>
          <w:p>
            <w:pPr>
              <w:rPr>
                <w:rFonts w:ascii="Arial"/>
                <w:sz w:val="21"/>
              </w:rPr>
            </w:pPr>
            <w:r/>
          </w:p>
        </w:tc>
        <w:tc>
          <w:tcPr>
            <w:tcW w:w="850" w:type="dxa"/>
            <w:vAlign w:val="top"/>
          </w:tcPr>
          <w:p>
            <w:pPr>
              <w:rPr>
                <w:rFonts w:ascii="Arial"/>
                <w:sz w:val="21"/>
              </w:rPr>
            </w:pPr>
            <w:r/>
          </w:p>
        </w:tc>
        <w:tc>
          <w:tcPr>
            <w:tcW w:w="999" w:type="dxa"/>
            <w:vAlign w:val="top"/>
          </w:tcPr>
          <w:p>
            <w:pPr>
              <w:rPr>
                <w:rFonts w:ascii="Arial"/>
                <w:sz w:val="21"/>
              </w:rPr>
            </w:pPr>
            <w:r/>
          </w:p>
        </w:tc>
        <w:tc>
          <w:tcPr>
            <w:tcW w:w="840" w:type="dxa"/>
            <w:vAlign w:val="top"/>
          </w:tcPr>
          <w:p>
            <w:pPr>
              <w:rPr>
                <w:rFonts w:ascii="Arial"/>
                <w:sz w:val="21"/>
              </w:rPr>
            </w:pPr>
            <w:r/>
          </w:p>
        </w:tc>
        <w:tc>
          <w:tcPr>
            <w:tcW w:w="2118" w:type="dxa"/>
            <w:vAlign w:val="top"/>
            <w:gridSpan w:val="2"/>
          </w:tcPr>
          <w:p>
            <w:pPr>
              <w:rPr>
                <w:rFonts w:ascii="Arial"/>
                <w:sz w:val="21"/>
              </w:rPr>
            </w:pPr>
            <w:r/>
          </w:p>
        </w:tc>
        <w:tc>
          <w:tcPr>
            <w:tcW w:w="854" w:type="dxa"/>
            <w:vAlign w:val="top"/>
          </w:tcPr>
          <w:p>
            <w:pPr>
              <w:pStyle w:val="TableText"/>
              <w:ind w:left="170"/>
              <w:spacing w:before="98" w:line="157" w:lineRule="auto"/>
              <w:rPr>
                <w:sz w:val="20"/>
                <w:szCs w:val="20"/>
              </w:rPr>
            </w:pPr>
            <w:r>
              <w:rPr>
                <w:sz w:val="20"/>
                <w:szCs w:val="20"/>
                <w:spacing w:val="-2"/>
              </w:rPr>
              <w:t>0.128</w:t>
            </w:r>
          </w:p>
        </w:tc>
      </w:tr>
      <w:tr>
        <w:trPr>
          <w:trHeight w:val="265" w:hRule="atLeast"/>
        </w:trPr>
        <w:tc>
          <w:tcPr>
            <w:tcW w:w="2314" w:type="dxa"/>
            <w:vAlign w:val="top"/>
            <w:gridSpan w:val="3"/>
            <w:vMerge w:val="continue"/>
            <w:tcBorders>
              <w:top w:val="nil"/>
            </w:tcBorders>
          </w:tcPr>
          <w:p>
            <w:pPr>
              <w:rPr>
                <w:rFonts w:ascii="Arial"/>
                <w:sz w:val="21"/>
              </w:rPr>
            </w:pPr>
            <w:r/>
          </w:p>
        </w:tc>
        <w:tc>
          <w:tcPr>
            <w:tcW w:w="1259" w:type="dxa"/>
            <w:vAlign w:val="top"/>
          </w:tcPr>
          <w:p>
            <w:pPr>
              <w:pStyle w:val="TableText"/>
              <w:ind w:left="420"/>
              <w:spacing w:before="70" w:line="170" w:lineRule="auto"/>
              <w:rPr>
                <w:sz w:val="20"/>
                <w:szCs w:val="20"/>
              </w:rPr>
            </w:pPr>
            <w:r>
              <w:rPr>
                <w:sz w:val="20"/>
                <w:szCs w:val="20"/>
                <w:spacing w:val="-2"/>
              </w:rPr>
              <w:t>H</w:t>
            </w:r>
            <w:r>
              <w:rPr>
                <w:rFonts w:ascii="Calibri" w:hAnsi="Calibri" w:eastAsia="Calibri" w:cs="Calibri"/>
                <w:sz w:val="20"/>
                <w:szCs w:val="20"/>
                <w:spacing w:val="-2"/>
              </w:rPr>
              <w:t>₂</w:t>
            </w:r>
            <w:r>
              <w:rPr>
                <w:sz w:val="20"/>
                <w:szCs w:val="20"/>
                <w:spacing w:val="-2"/>
              </w:rPr>
              <w:t>S</w:t>
            </w:r>
          </w:p>
        </w:tc>
        <w:tc>
          <w:tcPr>
            <w:tcW w:w="1279" w:type="dxa"/>
            <w:vAlign w:val="top"/>
          </w:tcPr>
          <w:p>
            <w:pPr>
              <w:rPr>
                <w:rFonts w:ascii="Arial"/>
                <w:sz w:val="21"/>
              </w:rPr>
            </w:pPr>
            <w:r/>
          </w:p>
        </w:tc>
        <w:tc>
          <w:tcPr>
            <w:tcW w:w="1129" w:type="dxa"/>
            <w:vAlign w:val="top"/>
          </w:tcPr>
          <w:p>
            <w:pPr>
              <w:rPr>
                <w:rFonts w:ascii="Arial"/>
                <w:sz w:val="21"/>
              </w:rPr>
            </w:pPr>
            <w:r/>
          </w:p>
        </w:tc>
        <w:tc>
          <w:tcPr>
            <w:tcW w:w="989" w:type="dxa"/>
            <w:vAlign w:val="top"/>
          </w:tcPr>
          <w:p>
            <w:pPr>
              <w:rPr>
                <w:rFonts w:ascii="Arial"/>
                <w:sz w:val="21"/>
              </w:rPr>
            </w:pPr>
            <w:r/>
          </w:p>
        </w:tc>
        <w:tc>
          <w:tcPr>
            <w:tcW w:w="1099" w:type="dxa"/>
            <w:vAlign w:val="top"/>
          </w:tcPr>
          <w:p>
            <w:pPr>
              <w:rPr>
                <w:rFonts w:ascii="Arial"/>
                <w:sz w:val="21"/>
              </w:rPr>
            </w:pPr>
            <w:r/>
          </w:p>
        </w:tc>
        <w:tc>
          <w:tcPr>
            <w:tcW w:w="1029" w:type="dxa"/>
            <w:vAlign w:val="top"/>
          </w:tcPr>
          <w:p>
            <w:pPr>
              <w:rPr>
                <w:rFonts w:ascii="Arial"/>
                <w:sz w:val="21"/>
              </w:rPr>
            </w:pPr>
            <w:r/>
          </w:p>
        </w:tc>
        <w:tc>
          <w:tcPr>
            <w:tcW w:w="850" w:type="dxa"/>
            <w:vAlign w:val="top"/>
          </w:tcPr>
          <w:p>
            <w:pPr>
              <w:rPr>
                <w:rFonts w:ascii="Arial"/>
                <w:sz w:val="21"/>
              </w:rPr>
            </w:pPr>
            <w:r/>
          </w:p>
        </w:tc>
        <w:tc>
          <w:tcPr>
            <w:tcW w:w="999" w:type="dxa"/>
            <w:vAlign w:val="top"/>
          </w:tcPr>
          <w:p>
            <w:pPr>
              <w:rPr>
                <w:rFonts w:ascii="Arial"/>
                <w:sz w:val="21"/>
              </w:rPr>
            </w:pPr>
            <w:r/>
          </w:p>
        </w:tc>
        <w:tc>
          <w:tcPr>
            <w:tcW w:w="840" w:type="dxa"/>
            <w:vAlign w:val="top"/>
          </w:tcPr>
          <w:p>
            <w:pPr>
              <w:rPr>
                <w:rFonts w:ascii="Arial"/>
                <w:sz w:val="21"/>
              </w:rPr>
            </w:pPr>
            <w:r/>
          </w:p>
        </w:tc>
        <w:tc>
          <w:tcPr>
            <w:tcW w:w="2118" w:type="dxa"/>
            <w:vAlign w:val="top"/>
            <w:gridSpan w:val="2"/>
          </w:tcPr>
          <w:p>
            <w:pPr>
              <w:rPr>
                <w:rFonts w:ascii="Arial"/>
                <w:sz w:val="21"/>
              </w:rPr>
            </w:pPr>
            <w:r/>
          </w:p>
        </w:tc>
        <w:tc>
          <w:tcPr>
            <w:tcW w:w="854" w:type="dxa"/>
            <w:vAlign w:val="top"/>
          </w:tcPr>
          <w:p>
            <w:pPr>
              <w:pStyle w:val="TableText"/>
              <w:ind w:left="170"/>
              <w:spacing w:before="90" w:line="165" w:lineRule="exact"/>
              <w:rPr>
                <w:sz w:val="20"/>
                <w:szCs w:val="20"/>
              </w:rPr>
            </w:pPr>
            <w:r>
              <w:rPr>
                <w:sz w:val="20"/>
                <w:szCs w:val="20"/>
                <w:spacing w:val="-2"/>
                <w:position w:val="-2"/>
              </w:rPr>
              <w:t>0.002</w:t>
            </w:r>
          </w:p>
        </w:tc>
      </w:tr>
    </w:tbl>
    <w:p>
      <w:pPr>
        <w:rPr>
          <w:rFonts w:ascii="Arial"/>
          <w:sz w:val="21"/>
        </w:rPr>
      </w:pPr>
      <w:r/>
    </w:p>
    <w:p>
      <w:pPr>
        <w:sectPr>
          <w:footerReference w:type="default" r:id="rId101"/>
          <w:pgSz w:w="16950" w:h="12060"/>
          <w:pgMar w:top="1025" w:right="1025" w:bottom="1058" w:left="1155" w:header="0" w:footer="919" w:gutter="0"/>
        </w:sectPr>
        <w:rPr>
          <w:rFonts w:ascii="Arial" w:hAnsi="Arial" w:eastAsia="Arial" w:cs="Arial"/>
          <w:sz w:val="21"/>
          <w:szCs w:val="21"/>
        </w:rPr>
      </w:pPr>
    </w:p>
    <w:p>
      <w:pPr>
        <w:pStyle w:val="BodyText"/>
        <w:ind w:left="4338"/>
        <w:spacing w:before="295" w:line="220" w:lineRule="auto"/>
        <w:rPr>
          <w:sz w:val="24"/>
          <w:szCs w:val="24"/>
        </w:rPr>
      </w:pPr>
      <w:r>
        <w:rPr>
          <w:sz w:val="24"/>
          <w:szCs w:val="24"/>
          <w:b/>
          <w:bCs/>
          <w:spacing w:val="15"/>
        </w:rPr>
        <w:t>表4.2-8</w:t>
      </w:r>
      <w:r>
        <w:rPr>
          <w:sz w:val="24"/>
          <w:szCs w:val="24"/>
          <w:spacing w:val="15"/>
        </w:rPr>
        <w:t xml:space="preserve"> </w:t>
      </w:r>
      <w:r>
        <w:rPr>
          <w:sz w:val="24"/>
          <w:szCs w:val="24"/>
          <w:b/>
          <w:bCs/>
          <w:spacing w:val="15"/>
        </w:rPr>
        <w:t>项目运营期无组织废气排放情况一览表</w:t>
      </w:r>
    </w:p>
    <w:p>
      <w:pPr>
        <w:spacing w:line="191" w:lineRule="exact"/>
        <w:rPr/>
      </w:pPr>
      <w:r/>
    </w:p>
    <w:tbl>
      <w:tblPr>
        <w:tblStyle w:val="TableNormal"/>
        <w:tblW w:w="1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54"/>
        <w:gridCol w:w="1049"/>
        <w:gridCol w:w="1329"/>
        <w:gridCol w:w="1499"/>
        <w:gridCol w:w="1559"/>
        <w:gridCol w:w="1499"/>
        <w:gridCol w:w="1809"/>
        <w:gridCol w:w="1079"/>
        <w:gridCol w:w="1779"/>
        <w:gridCol w:w="1564"/>
      </w:tblGrid>
      <w:tr>
        <w:trPr>
          <w:trHeight w:val="263" w:hRule="atLeast"/>
        </w:trPr>
        <w:tc>
          <w:tcPr>
            <w:tcW w:w="954" w:type="dxa"/>
            <w:vAlign w:val="top"/>
          </w:tcPr>
          <w:p>
            <w:pPr>
              <w:pStyle w:val="TableText"/>
              <w:ind w:left="267"/>
              <w:spacing w:before="31" w:line="204" w:lineRule="auto"/>
              <w:rPr>
                <w:sz w:val="20"/>
                <w:szCs w:val="20"/>
              </w:rPr>
            </w:pPr>
            <w:r>
              <w:rPr>
                <w:sz w:val="20"/>
                <w:szCs w:val="20"/>
                <w:b/>
                <w:bCs/>
                <w:spacing w:val="-5"/>
              </w:rPr>
              <w:t>位置</w:t>
            </w:r>
          </w:p>
        </w:tc>
        <w:tc>
          <w:tcPr>
            <w:tcW w:w="1049" w:type="dxa"/>
            <w:vAlign w:val="top"/>
          </w:tcPr>
          <w:p>
            <w:pPr>
              <w:pStyle w:val="TableText"/>
              <w:ind w:left="213"/>
              <w:spacing w:before="30" w:line="205" w:lineRule="auto"/>
              <w:rPr>
                <w:sz w:val="20"/>
                <w:szCs w:val="20"/>
              </w:rPr>
            </w:pPr>
            <w:r>
              <w:rPr>
                <w:sz w:val="20"/>
                <w:szCs w:val="20"/>
                <w:b/>
                <w:bCs/>
                <w:spacing w:val="-5"/>
              </w:rPr>
              <w:t>污染源</w:t>
            </w:r>
          </w:p>
        </w:tc>
        <w:tc>
          <w:tcPr>
            <w:tcW w:w="1329" w:type="dxa"/>
            <w:vAlign w:val="top"/>
          </w:tcPr>
          <w:p>
            <w:pPr>
              <w:pStyle w:val="TableText"/>
              <w:ind w:left="354"/>
              <w:spacing w:before="30" w:line="205" w:lineRule="auto"/>
              <w:rPr>
                <w:sz w:val="20"/>
                <w:szCs w:val="20"/>
              </w:rPr>
            </w:pPr>
            <w:r>
              <w:rPr>
                <w:sz w:val="20"/>
                <w:szCs w:val="20"/>
                <w:b/>
                <w:bCs/>
                <w:spacing w:val="-5"/>
              </w:rPr>
              <w:t>污染物</w:t>
            </w:r>
          </w:p>
        </w:tc>
        <w:tc>
          <w:tcPr>
            <w:tcW w:w="1499" w:type="dxa"/>
            <w:vAlign w:val="top"/>
          </w:tcPr>
          <w:p>
            <w:pPr>
              <w:pStyle w:val="TableText"/>
              <w:ind w:left="195"/>
              <w:spacing w:before="30" w:line="205" w:lineRule="auto"/>
              <w:rPr>
                <w:sz w:val="20"/>
                <w:szCs w:val="20"/>
              </w:rPr>
            </w:pPr>
            <w:r>
              <w:rPr>
                <w:sz w:val="20"/>
                <w:szCs w:val="20"/>
                <w:b/>
                <w:bCs/>
                <w:spacing w:val="3"/>
              </w:rPr>
              <w:t>面源长度(m)</w:t>
            </w:r>
          </w:p>
        </w:tc>
        <w:tc>
          <w:tcPr>
            <w:tcW w:w="1559" w:type="dxa"/>
            <w:vAlign w:val="top"/>
          </w:tcPr>
          <w:p>
            <w:pPr>
              <w:pStyle w:val="TableText"/>
              <w:ind w:left="226"/>
              <w:spacing w:before="30" w:line="205" w:lineRule="auto"/>
              <w:rPr>
                <w:sz w:val="20"/>
                <w:szCs w:val="20"/>
              </w:rPr>
            </w:pPr>
            <w:r>
              <w:rPr>
                <w:sz w:val="20"/>
                <w:szCs w:val="20"/>
                <w:b/>
                <w:bCs/>
                <w:spacing w:val="3"/>
              </w:rPr>
              <w:t>面源宽度(m)</w:t>
            </w:r>
          </w:p>
        </w:tc>
        <w:tc>
          <w:tcPr>
            <w:tcW w:w="1499" w:type="dxa"/>
            <w:vAlign w:val="top"/>
          </w:tcPr>
          <w:p>
            <w:pPr>
              <w:pStyle w:val="TableText"/>
              <w:ind w:left="197"/>
              <w:spacing w:before="29" w:line="206" w:lineRule="auto"/>
              <w:rPr>
                <w:sz w:val="20"/>
                <w:szCs w:val="20"/>
              </w:rPr>
            </w:pPr>
            <w:r>
              <w:rPr>
                <w:sz w:val="20"/>
                <w:szCs w:val="20"/>
                <w:b/>
                <w:bCs/>
                <w:spacing w:val="3"/>
              </w:rPr>
              <w:t>面源高度(m)</w:t>
            </w:r>
          </w:p>
        </w:tc>
        <w:tc>
          <w:tcPr>
            <w:tcW w:w="1809" w:type="dxa"/>
            <w:vAlign w:val="top"/>
          </w:tcPr>
          <w:p>
            <w:pPr>
              <w:pStyle w:val="TableText"/>
              <w:ind w:left="148"/>
              <w:spacing w:before="29" w:line="206" w:lineRule="auto"/>
              <w:rPr>
                <w:sz w:val="20"/>
                <w:szCs w:val="20"/>
              </w:rPr>
            </w:pPr>
            <w:r>
              <w:rPr>
                <w:sz w:val="20"/>
                <w:szCs w:val="20"/>
                <w:b/>
                <w:bCs/>
                <w:spacing w:val="2"/>
              </w:rPr>
              <w:t>年排放小时数(h)</w:t>
            </w:r>
          </w:p>
        </w:tc>
        <w:tc>
          <w:tcPr>
            <w:tcW w:w="1079" w:type="dxa"/>
            <w:vAlign w:val="top"/>
          </w:tcPr>
          <w:p>
            <w:pPr>
              <w:pStyle w:val="TableText"/>
              <w:ind w:left="139"/>
              <w:spacing w:before="30" w:line="205" w:lineRule="auto"/>
              <w:rPr>
                <w:sz w:val="20"/>
                <w:szCs w:val="20"/>
              </w:rPr>
            </w:pPr>
            <w:r>
              <w:rPr>
                <w:sz w:val="20"/>
                <w:szCs w:val="20"/>
                <w:b/>
                <w:bCs/>
                <w:spacing w:val="-4"/>
              </w:rPr>
              <w:t>排放工况</w:t>
            </w:r>
          </w:p>
        </w:tc>
        <w:tc>
          <w:tcPr>
            <w:tcW w:w="1779" w:type="dxa"/>
            <w:vAlign w:val="top"/>
          </w:tcPr>
          <w:p>
            <w:pPr>
              <w:pStyle w:val="TableText"/>
              <w:ind w:left="190"/>
              <w:spacing w:before="24" w:line="211" w:lineRule="auto"/>
              <w:rPr>
                <w:sz w:val="20"/>
                <w:szCs w:val="20"/>
              </w:rPr>
            </w:pPr>
            <w:r>
              <w:rPr>
                <w:sz w:val="20"/>
                <w:szCs w:val="20"/>
                <w:b/>
                <w:bCs/>
                <w:spacing w:val="2"/>
              </w:rPr>
              <w:t>排放速率(</w:t>
            </w:r>
            <w:r>
              <w:rPr>
                <w:sz w:val="20"/>
                <w:szCs w:val="20"/>
                <w:b/>
                <w:bCs/>
              </w:rPr>
              <w:t>kg</w:t>
            </w:r>
            <w:r>
              <w:rPr>
                <w:sz w:val="20"/>
                <w:szCs w:val="20"/>
                <w:b/>
                <w:bCs/>
                <w:spacing w:val="2"/>
              </w:rPr>
              <w:t>/h)</w:t>
            </w:r>
          </w:p>
        </w:tc>
        <w:tc>
          <w:tcPr>
            <w:tcW w:w="1564" w:type="dxa"/>
            <w:vAlign w:val="top"/>
          </w:tcPr>
          <w:p>
            <w:pPr>
              <w:pStyle w:val="TableText"/>
              <w:ind w:left="231"/>
              <w:spacing w:before="31" w:line="204" w:lineRule="auto"/>
              <w:rPr>
                <w:sz w:val="20"/>
                <w:szCs w:val="20"/>
              </w:rPr>
            </w:pPr>
            <w:r>
              <w:rPr>
                <w:sz w:val="20"/>
                <w:szCs w:val="20"/>
                <w:b/>
                <w:bCs/>
                <w:spacing w:val="2"/>
              </w:rPr>
              <w:t>排放量(t/a)</w:t>
            </w:r>
          </w:p>
        </w:tc>
      </w:tr>
      <w:tr>
        <w:trPr>
          <w:trHeight w:val="507" w:hRule="atLeast"/>
        </w:trPr>
        <w:tc>
          <w:tcPr>
            <w:tcW w:w="954" w:type="dxa"/>
            <w:vAlign w:val="top"/>
            <w:vMerge w:val="restart"/>
            <w:tcBorders>
              <w:bottom w:val="nil"/>
            </w:tcBorders>
          </w:tcPr>
          <w:p>
            <w:pPr>
              <w:pStyle w:val="TableText"/>
              <w:ind w:left="364" w:right="167" w:hanging="200"/>
              <w:spacing w:before="181" w:line="225" w:lineRule="auto"/>
              <w:rPr>
                <w:sz w:val="20"/>
                <w:szCs w:val="20"/>
              </w:rPr>
            </w:pPr>
            <w:r>
              <w:rPr>
                <w:sz w:val="20"/>
                <w:szCs w:val="20"/>
                <w:spacing w:val="3"/>
              </w:rPr>
              <w:t>凹版厂</w:t>
            </w:r>
            <w:r>
              <w:rPr>
                <w:sz w:val="20"/>
                <w:szCs w:val="20"/>
                <w:spacing w:val="1"/>
              </w:rPr>
              <w:t xml:space="preserve"> </w:t>
            </w:r>
            <w:r>
              <w:rPr>
                <w:sz w:val="20"/>
                <w:szCs w:val="20"/>
              </w:rPr>
              <w:t>房</w:t>
            </w:r>
          </w:p>
        </w:tc>
        <w:tc>
          <w:tcPr>
            <w:tcW w:w="1049" w:type="dxa"/>
            <w:vAlign w:val="top"/>
          </w:tcPr>
          <w:p>
            <w:pPr>
              <w:pStyle w:val="TableText"/>
              <w:ind w:left="360" w:right="117" w:hanging="249"/>
              <w:spacing w:before="48" w:line="207" w:lineRule="auto"/>
              <w:rPr>
                <w:sz w:val="20"/>
                <w:szCs w:val="20"/>
              </w:rPr>
            </w:pPr>
            <w:r>
              <w:rPr>
                <w:sz w:val="20"/>
                <w:szCs w:val="20"/>
                <w:spacing w:val="2"/>
              </w:rPr>
              <w:t>阴极涂布</w:t>
            </w:r>
            <w:r>
              <w:rPr>
                <w:sz w:val="20"/>
                <w:szCs w:val="20"/>
                <w:spacing w:val="1"/>
              </w:rPr>
              <w:t xml:space="preserve"> </w:t>
            </w:r>
            <w:r>
              <w:rPr>
                <w:sz w:val="20"/>
                <w:szCs w:val="20"/>
                <w:spacing w:val="-1"/>
              </w:rPr>
              <w:t>NMP</w:t>
            </w:r>
          </w:p>
        </w:tc>
        <w:tc>
          <w:tcPr>
            <w:tcW w:w="1329" w:type="dxa"/>
            <w:vAlign w:val="top"/>
          </w:tcPr>
          <w:p>
            <w:pPr>
              <w:pStyle w:val="TableText"/>
              <w:ind w:left="151"/>
              <w:spacing w:before="160" w:line="220" w:lineRule="auto"/>
              <w:rPr>
                <w:sz w:val="20"/>
                <w:szCs w:val="20"/>
              </w:rPr>
            </w:pPr>
            <w:r>
              <w:rPr>
                <w:sz w:val="20"/>
                <w:szCs w:val="20"/>
                <w:spacing w:val="-2"/>
              </w:rPr>
              <w:t>非甲烷总烃</w:t>
            </w:r>
          </w:p>
        </w:tc>
        <w:tc>
          <w:tcPr>
            <w:tcW w:w="1499" w:type="dxa"/>
            <w:vAlign w:val="top"/>
            <w:vMerge w:val="restart"/>
            <w:tcBorders>
              <w:bottom w:val="nil"/>
            </w:tcBorders>
          </w:tcPr>
          <w:p>
            <w:pPr>
              <w:spacing w:line="284" w:lineRule="auto"/>
              <w:rPr>
                <w:rFonts w:ascii="Arial"/>
                <w:sz w:val="21"/>
              </w:rPr>
            </w:pPr>
            <w:r/>
          </w:p>
          <w:p>
            <w:pPr>
              <w:pStyle w:val="TableText"/>
              <w:ind w:left="592"/>
              <w:spacing w:before="65" w:line="184" w:lineRule="auto"/>
              <w:rPr>
                <w:sz w:val="20"/>
                <w:szCs w:val="20"/>
              </w:rPr>
            </w:pPr>
            <w:r>
              <w:rPr>
                <w:sz w:val="20"/>
                <w:szCs w:val="20"/>
                <w:spacing w:val="-6"/>
              </w:rPr>
              <w:t>168</w:t>
            </w:r>
          </w:p>
        </w:tc>
        <w:tc>
          <w:tcPr>
            <w:tcW w:w="1559" w:type="dxa"/>
            <w:vAlign w:val="top"/>
            <w:vMerge w:val="restart"/>
            <w:tcBorders>
              <w:bottom w:val="nil"/>
            </w:tcBorders>
          </w:tcPr>
          <w:p>
            <w:pPr>
              <w:spacing w:line="284" w:lineRule="auto"/>
              <w:rPr>
                <w:rFonts w:ascii="Arial"/>
                <w:sz w:val="21"/>
              </w:rPr>
            </w:pPr>
            <w:r/>
          </w:p>
          <w:p>
            <w:pPr>
              <w:pStyle w:val="TableText"/>
              <w:ind w:left="574"/>
              <w:spacing w:before="65" w:line="184" w:lineRule="auto"/>
              <w:rPr>
                <w:sz w:val="20"/>
                <w:szCs w:val="20"/>
              </w:rPr>
            </w:pPr>
            <w:r>
              <w:rPr>
                <w:sz w:val="20"/>
                <w:szCs w:val="20"/>
                <w:spacing w:val="-2"/>
              </w:rPr>
              <w:t>60.1</w:t>
            </w:r>
          </w:p>
        </w:tc>
        <w:tc>
          <w:tcPr>
            <w:tcW w:w="1499" w:type="dxa"/>
            <w:vAlign w:val="top"/>
            <w:vMerge w:val="restart"/>
            <w:tcBorders>
              <w:bottom w:val="nil"/>
            </w:tcBorders>
          </w:tcPr>
          <w:p>
            <w:pPr>
              <w:spacing w:line="285" w:lineRule="auto"/>
              <w:rPr>
                <w:rFonts w:ascii="Arial"/>
                <w:sz w:val="21"/>
              </w:rPr>
            </w:pPr>
            <w:r/>
          </w:p>
          <w:p>
            <w:pPr>
              <w:pStyle w:val="TableText"/>
              <w:ind w:left="544"/>
              <w:spacing w:before="65" w:line="183" w:lineRule="auto"/>
              <w:rPr>
                <w:sz w:val="20"/>
                <w:szCs w:val="20"/>
              </w:rPr>
            </w:pPr>
            <w:r>
              <w:rPr>
                <w:sz w:val="20"/>
                <w:szCs w:val="20"/>
                <w:spacing w:val="-2"/>
              </w:rPr>
              <w:t>23.8</w:t>
            </w:r>
          </w:p>
        </w:tc>
        <w:tc>
          <w:tcPr>
            <w:tcW w:w="1809" w:type="dxa"/>
            <w:vAlign w:val="top"/>
          </w:tcPr>
          <w:p>
            <w:pPr>
              <w:pStyle w:val="TableText"/>
              <w:ind w:left="695"/>
              <w:spacing w:before="211" w:line="183" w:lineRule="auto"/>
              <w:rPr>
                <w:sz w:val="20"/>
                <w:szCs w:val="20"/>
              </w:rPr>
            </w:pPr>
            <w:r>
              <w:rPr>
                <w:sz w:val="20"/>
                <w:szCs w:val="20"/>
                <w:spacing w:val="-2"/>
              </w:rPr>
              <w:t>6600</w:t>
            </w:r>
          </w:p>
        </w:tc>
        <w:tc>
          <w:tcPr>
            <w:tcW w:w="1079" w:type="dxa"/>
            <w:vAlign w:val="top"/>
            <w:vMerge w:val="restart"/>
            <w:tcBorders>
              <w:bottom w:val="nil"/>
            </w:tcBorders>
          </w:tcPr>
          <w:p>
            <w:pPr>
              <w:pStyle w:val="TableText"/>
              <w:ind w:left="337"/>
              <w:spacing w:before="300" w:line="220" w:lineRule="auto"/>
              <w:rPr>
                <w:sz w:val="20"/>
                <w:szCs w:val="20"/>
              </w:rPr>
            </w:pPr>
            <w:r>
              <w:rPr>
                <w:sz w:val="20"/>
                <w:szCs w:val="20"/>
                <w:spacing w:val="5"/>
              </w:rPr>
              <w:t>正常</w:t>
            </w:r>
          </w:p>
        </w:tc>
        <w:tc>
          <w:tcPr>
            <w:tcW w:w="1779" w:type="dxa"/>
            <w:vAlign w:val="top"/>
          </w:tcPr>
          <w:p>
            <w:pPr>
              <w:pStyle w:val="TableText"/>
              <w:ind w:left="638"/>
              <w:spacing w:before="210" w:line="184" w:lineRule="auto"/>
              <w:rPr>
                <w:sz w:val="20"/>
                <w:szCs w:val="20"/>
              </w:rPr>
            </w:pPr>
            <w:r>
              <w:rPr>
                <w:sz w:val="20"/>
                <w:szCs w:val="20"/>
                <w:spacing w:val="-2"/>
              </w:rPr>
              <w:t>0.145</w:t>
            </w:r>
          </w:p>
        </w:tc>
        <w:tc>
          <w:tcPr>
            <w:tcW w:w="1564" w:type="dxa"/>
            <w:vAlign w:val="top"/>
          </w:tcPr>
          <w:p>
            <w:pPr>
              <w:pStyle w:val="TableText"/>
              <w:ind w:left="578"/>
              <w:spacing w:before="211" w:line="183" w:lineRule="auto"/>
              <w:rPr>
                <w:sz w:val="20"/>
                <w:szCs w:val="20"/>
              </w:rPr>
            </w:pPr>
            <w:r>
              <w:rPr>
                <w:sz w:val="20"/>
                <w:szCs w:val="20"/>
                <w:spacing w:val="-2"/>
              </w:rPr>
              <w:t>0.96</w:t>
            </w:r>
          </w:p>
        </w:tc>
      </w:tr>
      <w:tr>
        <w:trPr>
          <w:trHeight w:val="268" w:hRule="atLeast"/>
        </w:trPr>
        <w:tc>
          <w:tcPr>
            <w:tcW w:w="954" w:type="dxa"/>
            <w:vAlign w:val="top"/>
            <w:vMerge w:val="continue"/>
            <w:tcBorders>
              <w:top w:val="nil"/>
            </w:tcBorders>
          </w:tcPr>
          <w:p>
            <w:pPr>
              <w:rPr>
                <w:rFonts w:ascii="Arial"/>
                <w:sz w:val="21"/>
              </w:rPr>
            </w:pPr>
            <w:r/>
          </w:p>
        </w:tc>
        <w:tc>
          <w:tcPr>
            <w:tcW w:w="1049" w:type="dxa"/>
            <w:vAlign w:val="top"/>
          </w:tcPr>
          <w:p>
            <w:pPr>
              <w:pStyle w:val="TableText"/>
              <w:ind w:left="111"/>
              <w:spacing w:before="42" w:line="199" w:lineRule="auto"/>
              <w:rPr>
                <w:sz w:val="20"/>
                <w:szCs w:val="20"/>
              </w:rPr>
            </w:pPr>
            <w:r>
              <w:rPr>
                <w:sz w:val="20"/>
                <w:szCs w:val="20"/>
                <w:spacing w:val="-2"/>
              </w:rPr>
              <w:t>配料粉尘</w:t>
            </w:r>
          </w:p>
        </w:tc>
        <w:tc>
          <w:tcPr>
            <w:tcW w:w="1329" w:type="dxa"/>
            <w:vAlign w:val="top"/>
          </w:tcPr>
          <w:p>
            <w:pPr>
              <w:pStyle w:val="TableText"/>
              <w:ind w:left="351"/>
              <w:spacing w:before="43" w:line="198" w:lineRule="auto"/>
              <w:rPr>
                <w:sz w:val="20"/>
                <w:szCs w:val="20"/>
              </w:rPr>
            </w:pPr>
            <w:r>
              <w:rPr>
                <w:sz w:val="20"/>
                <w:szCs w:val="20"/>
                <w:spacing w:val="-2"/>
              </w:rPr>
              <w:t>颗粒物</w:t>
            </w:r>
          </w:p>
        </w:tc>
        <w:tc>
          <w:tcPr>
            <w:tcW w:w="1499" w:type="dxa"/>
            <w:vAlign w:val="top"/>
            <w:vMerge w:val="continue"/>
            <w:tcBorders>
              <w:top w:val="nil"/>
            </w:tcBorders>
          </w:tcPr>
          <w:p>
            <w:pPr>
              <w:rPr>
                <w:rFonts w:ascii="Arial"/>
                <w:sz w:val="21"/>
              </w:rPr>
            </w:pPr>
            <w:r/>
          </w:p>
        </w:tc>
        <w:tc>
          <w:tcPr>
            <w:tcW w:w="1559" w:type="dxa"/>
            <w:vAlign w:val="top"/>
            <w:vMerge w:val="continue"/>
            <w:tcBorders>
              <w:top w:val="nil"/>
            </w:tcBorders>
          </w:tcPr>
          <w:p>
            <w:pPr>
              <w:rPr>
                <w:rFonts w:ascii="Arial"/>
                <w:sz w:val="21"/>
              </w:rPr>
            </w:pPr>
            <w:r/>
          </w:p>
        </w:tc>
        <w:tc>
          <w:tcPr>
            <w:tcW w:w="1499" w:type="dxa"/>
            <w:vAlign w:val="top"/>
            <w:vMerge w:val="continue"/>
            <w:tcBorders>
              <w:top w:val="nil"/>
            </w:tcBorders>
          </w:tcPr>
          <w:p>
            <w:pPr>
              <w:rPr>
                <w:rFonts w:ascii="Arial"/>
                <w:sz w:val="21"/>
              </w:rPr>
            </w:pPr>
            <w:r/>
          </w:p>
        </w:tc>
        <w:tc>
          <w:tcPr>
            <w:tcW w:w="1809" w:type="dxa"/>
            <w:vAlign w:val="top"/>
          </w:tcPr>
          <w:p>
            <w:pPr>
              <w:pStyle w:val="TableText"/>
              <w:ind w:left="695"/>
              <w:spacing w:before="94" w:line="163" w:lineRule="exact"/>
              <w:rPr>
                <w:sz w:val="20"/>
                <w:szCs w:val="20"/>
              </w:rPr>
            </w:pPr>
            <w:r>
              <w:rPr>
                <w:sz w:val="20"/>
                <w:szCs w:val="20"/>
                <w:spacing w:val="-3"/>
                <w:position w:val="-2"/>
              </w:rPr>
              <w:t>3000</w:t>
            </w:r>
          </w:p>
        </w:tc>
        <w:tc>
          <w:tcPr>
            <w:tcW w:w="1079" w:type="dxa"/>
            <w:vAlign w:val="top"/>
            <w:vMerge w:val="continue"/>
            <w:tcBorders>
              <w:top w:val="nil"/>
            </w:tcBorders>
          </w:tcPr>
          <w:p>
            <w:pPr>
              <w:rPr>
                <w:rFonts w:ascii="Arial"/>
                <w:sz w:val="21"/>
              </w:rPr>
            </w:pPr>
            <w:r/>
          </w:p>
        </w:tc>
        <w:tc>
          <w:tcPr>
            <w:tcW w:w="1779" w:type="dxa"/>
            <w:vAlign w:val="top"/>
          </w:tcPr>
          <w:p>
            <w:pPr>
              <w:pStyle w:val="TableText"/>
              <w:ind w:left="638"/>
              <w:spacing w:before="93" w:line="164" w:lineRule="exact"/>
              <w:rPr>
                <w:sz w:val="20"/>
                <w:szCs w:val="20"/>
              </w:rPr>
            </w:pPr>
            <w:r>
              <w:rPr>
                <w:sz w:val="20"/>
                <w:szCs w:val="20"/>
                <w:spacing w:val="-2"/>
                <w:position w:val="-2"/>
              </w:rPr>
              <w:t>0.017</w:t>
            </w:r>
          </w:p>
        </w:tc>
        <w:tc>
          <w:tcPr>
            <w:tcW w:w="1564" w:type="dxa"/>
            <w:vAlign w:val="top"/>
          </w:tcPr>
          <w:p>
            <w:pPr>
              <w:pStyle w:val="TableText"/>
              <w:ind w:left="528"/>
              <w:spacing w:before="93" w:line="164" w:lineRule="exact"/>
              <w:rPr>
                <w:sz w:val="20"/>
                <w:szCs w:val="20"/>
              </w:rPr>
            </w:pPr>
            <w:r>
              <w:rPr>
                <w:sz w:val="20"/>
                <w:szCs w:val="20"/>
                <w:spacing w:val="-2"/>
                <w:position w:val="-2"/>
              </w:rPr>
              <w:t>0.051</w:t>
            </w:r>
          </w:p>
        </w:tc>
      </w:tr>
      <w:tr>
        <w:trPr>
          <w:trHeight w:val="268" w:hRule="atLeast"/>
        </w:trPr>
        <w:tc>
          <w:tcPr>
            <w:tcW w:w="954" w:type="dxa"/>
            <w:vAlign w:val="top"/>
            <w:vMerge w:val="restart"/>
            <w:tcBorders>
              <w:bottom w:val="nil"/>
            </w:tcBorders>
          </w:tcPr>
          <w:p>
            <w:pPr>
              <w:pStyle w:val="TableText"/>
              <w:ind w:left="264" w:right="188" w:hanging="100"/>
              <w:spacing w:before="55" w:line="224" w:lineRule="auto"/>
              <w:rPr>
                <w:sz w:val="20"/>
                <w:szCs w:val="20"/>
              </w:rPr>
            </w:pPr>
            <w:r>
              <w:rPr>
                <w:sz w:val="20"/>
                <w:szCs w:val="20"/>
                <w:spacing w:val="-4"/>
              </w:rPr>
              <w:t>污水处</w:t>
            </w:r>
            <w:r>
              <w:rPr>
                <w:sz w:val="20"/>
                <w:szCs w:val="20"/>
                <w:spacing w:val="1"/>
              </w:rPr>
              <w:t xml:space="preserve"> </w:t>
            </w:r>
            <w:r>
              <w:rPr>
                <w:sz w:val="20"/>
                <w:szCs w:val="20"/>
                <w:spacing w:val="5"/>
              </w:rPr>
              <w:t>理站</w:t>
            </w:r>
          </w:p>
        </w:tc>
        <w:tc>
          <w:tcPr>
            <w:tcW w:w="1049" w:type="dxa"/>
            <w:vAlign w:val="top"/>
            <w:vMerge w:val="restart"/>
            <w:tcBorders>
              <w:bottom w:val="nil"/>
            </w:tcBorders>
          </w:tcPr>
          <w:p>
            <w:pPr>
              <w:pStyle w:val="TableText"/>
              <w:ind w:left="111"/>
              <w:spacing w:before="185" w:line="219" w:lineRule="auto"/>
              <w:rPr>
                <w:sz w:val="20"/>
                <w:szCs w:val="20"/>
              </w:rPr>
            </w:pPr>
            <w:r>
              <w:rPr>
                <w:sz w:val="20"/>
                <w:szCs w:val="20"/>
                <w:spacing w:val="-2"/>
              </w:rPr>
              <w:t>污水处理</w:t>
            </w:r>
          </w:p>
        </w:tc>
        <w:tc>
          <w:tcPr>
            <w:tcW w:w="1329" w:type="dxa"/>
            <w:vAlign w:val="top"/>
          </w:tcPr>
          <w:p>
            <w:pPr>
              <w:pStyle w:val="TableText"/>
              <w:ind w:left="451"/>
              <w:spacing w:before="77" w:line="167" w:lineRule="auto"/>
              <w:rPr>
                <w:rFonts w:ascii="Calibri" w:hAnsi="Calibri" w:eastAsia="Calibri" w:cs="Calibri"/>
                <w:sz w:val="20"/>
                <w:szCs w:val="20"/>
              </w:rPr>
            </w:pPr>
            <w:r>
              <w:rPr>
                <w:sz w:val="20"/>
                <w:szCs w:val="20"/>
                <w:spacing w:val="-1"/>
              </w:rPr>
              <w:t>NH</w:t>
            </w:r>
            <w:r>
              <w:rPr>
                <w:rFonts w:ascii="Calibri" w:hAnsi="Calibri" w:eastAsia="Calibri" w:cs="Calibri"/>
                <w:sz w:val="20"/>
                <w:szCs w:val="20"/>
                <w:spacing w:val="-1"/>
              </w:rPr>
              <w:t>₃</w:t>
            </w:r>
          </w:p>
        </w:tc>
        <w:tc>
          <w:tcPr>
            <w:tcW w:w="1499" w:type="dxa"/>
            <w:vAlign w:val="top"/>
            <w:vMerge w:val="restart"/>
            <w:tcBorders>
              <w:bottom w:val="nil"/>
            </w:tcBorders>
          </w:tcPr>
          <w:p>
            <w:pPr>
              <w:pStyle w:val="TableText"/>
              <w:ind w:left="542"/>
              <w:spacing w:before="236" w:line="183" w:lineRule="auto"/>
              <w:rPr>
                <w:sz w:val="20"/>
                <w:szCs w:val="20"/>
              </w:rPr>
            </w:pPr>
            <w:r>
              <w:rPr>
                <w:sz w:val="20"/>
                <w:szCs w:val="20"/>
                <w:spacing w:val="-2"/>
              </w:rPr>
              <w:t>42.7</w:t>
            </w:r>
          </w:p>
        </w:tc>
        <w:tc>
          <w:tcPr>
            <w:tcW w:w="1559" w:type="dxa"/>
            <w:vAlign w:val="top"/>
            <w:vMerge w:val="restart"/>
            <w:tcBorders>
              <w:bottom w:val="nil"/>
            </w:tcBorders>
          </w:tcPr>
          <w:p>
            <w:pPr>
              <w:pStyle w:val="TableText"/>
              <w:ind w:left="574"/>
              <w:spacing w:before="236" w:line="183" w:lineRule="auto"/>
              <w:rPr>
                <w:sz w:val="20"/>
                <w:szCs w:val="20"/>
              </w:rPr>
            </w:pPr>
            <w:r>
              <w:rPr>
                <w:sz w:val="20"/>
                <w:szCs w:val="20"/>
                <w:spacing w:val="-2"/>
              </w:rPr>
              <w:t>20.9</w:t>
            </w:r>
          </w:p>
        </w:tc>
        <w:tc>
          <w:tcPr>
            <w:tcW w:w="1499" w:type="dxa"/>
            <w:vAlign w:val="top"/>
            <w:vMerge w:val="restart"/>
            <w:tcBorders>
              <w:bottom w:val="nil"/>
            </w:tcBorders>
          </w:tcPr>
          <w:p>
            <w:pPr>
              <w:pStyle w:val="TableText"/>
              <w:ind w:left="694"/>
              <w:spacing w:before="237" w:line="182" w:lineRule="auto"/>
              <w:rPr>
                <w:sz w:val="20"/>
                <w:szCs w:val="20"/>
              </w:rPr>
            </w:pPr>
            <w:r>
              <w:rPr>
                <w:sz w:val="20"/>
                <w:szCs w:val="20"/>
              </w:rPr>
              <w:t>5</w:t>
            </w:r>
          </w:p>
        </w:tc>
        <w:tc>
          <w:tcPr>
            <w:tcW w:w="1809" w:type="dxa"/>
            <w:vAlign w:val="top"/>
            <w:vMerge w:val="restart"/>
            <w:tcBorders>
              <w:bottom w:val="nil"/>
            </w:tcBorders>
          </w:tcPr>
          <w:p>
            <w:pPr>
              <w:pStyle w:val="TableText"/>
              <w:ind w:left="695"/>
              <w:spacing w:before="236" w:line="183" w:lineRule="auto"/>
              <w:rPr>
                <w:sz w:val="20"/>
                <w:szCs w:val="20"/>
              </w:rPr>
            </w:pPr>
            <w:r>
              <w:rPr>
                <w:sz w:val="20"/>
                <w:szCs w:val="20"/>
                <w:spacing w:val="-2"/>
              </w:rPr>
              <w:t>6600</w:t>
            </w:r>
          </w:p>
        </w:tc>
        <w:tc>
          <w:tcPr>
            <w:tcW w:w="1079" w:type="dxa"/>
            <w:vAlign w:val="top"/>
            <w:vMerge w:val="restart"/>
            <w:tcBorders>
              <w:bottom w:val="nil"/>
            </w:tcBorders>
          </w:tcPr>
          <w:p>
            <w:pPr>
              <w:pStyle w:val="TableText"/>
              <w:ind w:left="337"/>
              <w:spacing w:before="185" w:line="220" w:lineRule="auto"/>
              <w:rPr>
                <w:sz w:val="20"/>
                <w:szCs w:val="20"/>
              </w:rPr>
            </w:pPr>
            <w:r>
              <w:rPr>
                <w:sz w:val="20"/>
                <w:szCs w:val="20"/>
                <w:spacing w:val="5"/>
              </w:rPr>
              <w:t>正常</w:t>
            </w:r>
          </w:p>
        </w:tc>
        <w:tc>
          <w:tcPr>
            <w:tcW w:w="1779" w:type="dxa"/>
            <w:vAlign w:val="top"/>
          </w:tcPr>
          <w:p>
            <w:pPr>
              <w:pStyle w:val="TableText"/>
              <w:ind w:left="638"/>
              <w:spacing w:before="96" w:line="161" w:lineRule="exact"/>
              <w:rPr>
                <w:sz w:val="20"/>
                <w:szCs w:val="20"/>
              </w:rPr>
            </w:pPr>
            <w:r>
              <w:rPr>
                <w:sz w:val="20"/>
                <w:szCs w:val="20"/>
                <w:spacing w:val="-2"/>
                <w:position w:val="-2"/>
              </w:rPr>
              <w:t>0.005</w:t>
            </w:r>
          </w:p>
        </w:tc>
        <w:tc>
          <w:tcPr>
            <w:tcW w:w="1564" w:type="dxa"/>
            <w:vAlign w:val="top"/>
          </w:tcPr>
          <w:p>
            <w:pPr>
              <w:pStyle w:val="TableText"/>
              <w:ind w:left="528"/>
              <w:spacing w:before="96" w:line="161" w:lineRule="exact"/>
              <w:rPr>
                <w:sz w:val="20"/>
                <w:szCs w:val="20"/>
              </w:rPr>
            </w:pPr>
            <w:r>
              <w:rPr>
                <w:sz w:val="20"/>
                <w:szCs w:val="20"/>
                <w:spacing w:val="-2"/>
                <w:position w:val="-2"/>
              </w:rPr>
              <w:t>0.036</w:t>
            </w:r>
          </w:p>
        </w:tc>
      </w:tr>
      <w:tr>
        <w:trPr>
          <w:trHeight w:val="273" w:hRule="atLeast"/>
        </w:trPr>
        <w:tc>
          <w:tcPr>
            <w:tcW w:w="954" w:type="dxa"/>
            <w:vAlign w:val="top"/>
            <w:vMerge w:val="continue"/>
            <w:tcBorders>
              <w:top w:val="nil"/>
            </w:tcBorders>
          </w:tcPr>
          <w:p>
            <w:pPr>
              <w:rPr>
                <w:rFonts w:ascii="Arial"/>
                <w:sz w:val="21"/>
              </w:rPr>
            </w:pPr>
            <w:r/>
          </w:p>
        </w:tc>
        <w:tc>
          <w:tcPr>
            <w:tcW w:w="1049" w:type="dxa"/>
            <w:vAlign w:val="top"/>
            <w:vMerge w:val="continue"/>
            <w:tcBorders>
              <w:top w:val="nil"/>
            </w:tcBorders>
          </w:tcPr>
          <w:p>
            <w:pPr>
              <w:rPr>
                <w:rFonts w:ascii="Arial"/>
                <w:sz w:val="21"/>
              </w:rPr>
            </w:pPr>
            <w:r/>
          </w:p>
        </w:tc>
        <w:tc>
          <w:tcPr>
            <w:tcW w:w="1329" w:type="dxa"/>
            <w:vAlign w:val="top"/>
          </w:tcPr>
          <w:p>
            <w:pPr>
              <w:pStyle w:val="TableText"/>
              <w:ind w:left="451"/>
              <w:spacing w:before="78" w:line="170" w:lineRule="auto"/>
              <w:rPr>
                <w:sz w:val="20"/>
                <w:szCs w:val="20"/>
              </w:rPr>
            </w:pPr>
            <w:r>
              <w:rPr>
                <w:sz w:val="20"/>
                <w:szCs w:val="20"/>
                <w:spacing w:val="-2"/>
              </w:rPr>
              <w:t>H</w:t>
            </w:r>
            <w:r>
              <w:rPr>
                <w:rFonts w:ascii="Calibri" w:hAnsi="Calibri" w:eastAsia="Calibri" w:cs="Calibri"/>
                <w:sz w:val="20"/>
                <w:szCs w:val="20"/>
                <w:spacing w:val="-2"/>
              </w:rPr>
              <w:t>₂</w:t>
            </w:r>
            <w:r>
              <w:rPr>
                <w:sz w:val="20"/>
                <w:szCs w:val="20"/>
                <w:spacing w:val="-2"/>
              </w:rPr>
              <w:t>S</w:t>
            </w:r>
          </w:p>
        </w:tc>
        <w:tc>
          <w:tcPr>
            <w:tcW w:w="1499" w:type="dxa"/>
            <w:vAlign w:val="top"/>
            <w:vMerge w:val="continue"/>
            <w:tcBorders>
              <w:top w:val="nil"/>
            </w:tcBorders>
          </w:tcPr>
          <w:p>
            <w:pPr>
              <w:rPr>
                <w:rFonts w:ascii="Arial"/>
                <w:sz w:val="21"/>
              </w:rPr>
            </w:pPr>
            <w:r/>
          </w:p>
        </w:tc>
        <w:tc>
          <w:tcPr>
            <w:tcW w:w="1559" w:type="dxa"/>
            <w:vAlign w:val="top"/>
            <w:vMerge w:val="continue"/>
            <w:tcBorders>
              <w:top w:val="nil"/>
            </w:tcBorders>
          </w:tcPr>
          <w:p>
            <w:pPr>
              <w:rPr>
                <w:rFonts w:ascii="Arial"/>
                <w:sz w:val="21"/>
              </w:rPr>
            </w:pPr>
            <w:r/>
          </w:p>
        </w:tc>
        <w:tc>
          <w:tcPr>
            <w:tcW w:w="1499" w:type="dxa"/>
            <w:vAlign w:val="top"/>
            <w:vMerge w:val="continue"/>
            <w:tcBorders>
              <w:top w:val="nil"/>
            </w:tcBorders>
          </w:tcPr>
          <w:p>
            <w:pPr>
              <w:rPr>
                <w:rFonts w:ascii="Arial"/>
                <w:sz w:val="21"/>
              </w:rPr>
            </w:pPr>
            <w:r/>
          </w:p>
        </w:tc>
        <w:tc>
          <w:tcPr>
            <w:tcW w:w="1809" w:type="dxa"/>
            <w:vAlign w:val="top"/>
            <w:vMerge w:val="continue"/>
            <w:tcBorders>
              <w:top w:val="nil"/>
            </w:tcBorders>
          </w:tcPr>
          <w:p>
            <w:pPr>
              <w:rPr>
                <w:rFonts w:ascii="Arial"/>
                <w:sz w:val="21"/>
              </w:rPr>
            </w:pPr>
            <w:r/>
          </w:p>
        </w:tc>
        <w:tc>
          <w:tcPr>
            <w:tcW w:w="1079" w:type="dxa"/>
            <w:vAlign w:val="top"/>
            <w:vMerge w:val="continue"/>
            <w:tcBorders>
              <w:top w:val="nil"/>
            </w:tcBorders>
          </w:tcPr>
          <w:p>
            <w:pPr>
              <w:rPr>
                <w:rFonts w:ascii="Arial"/>
                <w:sz w:val="21"/>
              </w:rPr>
            </w:pPr>
            <w:r/>
          </w:p>
        </w:tc>
        <w:tc>
          <w:tcPr>
            <w:tcW w:w="1779" w:type="dxa"/>
            <w:vAlign w:val="top"/>
          </w:tcPr>
          <w:p>
            <w:pPr>
              <w:pStyle w:val="TableText"/>
              <w:ind w:left="387"/>
              <w:spacing w:before="97" w:line="165" w:lineRule="exact"/>
              <w:rPr>
                <w:sz w:val="20"/>
                <w:szCs w:val="20"/>
              </w:rPr>
            </w:pPr>
            <w:r>
              <w:rPr>
                <w:sz w:val="20"/>
                <w:szCs w:val="20"/>
                <w:spacing w:val="-2"/>
                <w:position w:val="-2"/>
              </w:rPr>
              <w:t>0.11×10-3</w:t>
            </w:r>
          </w:p>
        </w:tc>
        <w:tc>
          <w:tcPr>
            <w:tcW w:w="1564" w:type="dxa"/>
            <w:vAlign w:val="top"/>
          </w:tcPr>
          <w:p>
            <w:pPr>
              <w:pStyle w:val="TableText"/>
              <w:ind w:left="479"/>
              <w:spacing w:before="98" w:line="164" w:lineRule="exact"/>
              <w:rPr>
                <w:sz w:val="20"/>
                <w:szCs w:val="20"/>
              </w:rPr>
            </w:pPr>
            <w:r>
              <w:rPr>
                <w:sz w:val="20"/>
                <w:szCs w:val="20"/>
                <w:spacing w:val="-2"/>
                <w:position w:val="-2"/>
              </w:rPr>
              <w:t>0.0007</w:t>
            </w:r>
          </w:p>
        </w:tc>
      </w:tr>
    </w:tbl>
    <w:p>
      <w:pPr>
        <w:spacing w:line="391" w:lineRule="auto"/>
        <w:rPr>
          <w:rFonts w:ascii="Arial"/>
          <w:sz w:val="21"/>
        </w:rPr>
      </w:pPr>
      <w:r/>
    </w:p>
    <w:p>
      <w:pPr>
        <w:pStyle w:val="BodyText"/>
        <w:ind w:left="5078"/>
        <w:spacing w:before="78" w:line="220" w:lineRule="auto"/>
        <w:rPr>
          <w:sz w:val="24"/>
          <w:szCs w:val="24"/>
        </w:rPr>
      </w:pPr>
      <w:r>
        <w:rPr>
          <w:sz w:val="24"/>
          <w:szCs w:val="24"/>
          <w:b/>
          <w:bCs/>
          <w:spacing w:val="-5"/>
        </w:rPr>
        <w:t>表4.2-9</w:t>
      </w:r>
      <w:r>
        <w:rPr>
          <w:sz w:val="24"/>
          <w:szCs w:val="24"/>
          <w:spacing w:val="51"/>
        </w:rPr>
        <w:t xml:space="preserve">  </w:t>
      </w:r>
      <w:r>
        <w:rPr>
          <w:sz w:val="24"/>
          <w:szCs w:val="24"/>
          <w:b/>
          <w:bCs/>
          <w:spacing w:val="-5"/>
        </w:rPr>
        <w:t>项目运营期废气排放情况一览表</w:t>
      </w:r>
    </w:p>
    <w:p>
      <w:pPr>
        <w:spacing w:line="132" w:lineRule="exact"/>
        <w:rPr/>
      </w:pPr>
      <w:r/>
    </w:p>
    <w:tbl>
      <w:tblPr>
        <w:tblStyle w:val="TableNormal"/>
        <w:tblW w:w="139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13"/>
        <w:gridCol w:w="3428"/>
        <w:gridCol w:w="2848"/>
        <w:gridCol w:w="2838"/>
        <w:gridCol w:w="2633"/>
      </w:tblGrid>
      <w:tr>
        <w:trPr>
          <w:trHeight w:val="294" w:hRule="atLeast"/>
        </w:trPr>
        <w:tc>
          <w:tcPr>
            <w:tcW w:w="2213" w:type="dxa"/>
            <w:vAlign w:val="top"/>
            <w:vMerge w:val="restart"/>
            <w:tcBorders>
              <w:bottom w:val="nil"/>
            </w:tcBorders>
          </w:tcPr>
          <w:p>
            <w:pPr>
              <w:pStyle w:val="TableText"/>
              <w:ind w:left="894"/>
              <w:spacing w:before="194" w:line="221" w:lineRule="auto"/>
              <w:rPr>
                <w:sz w:val="20"/>
                <w:szCs w:val="20"/>
              </w:rPr>
            </w:pPr>
            <w:r>
              <w:rPr>
                <w:sz w:val="20"/>
                <w:szCs w:val="20"/>
                <w:spacing w:val="-2"/>
              </w:rPr>
              <w:t>序号</w:t>
            </w:r>
          </w:p>
        </w:tc>
        <w:tc>
          <w:tcPr>
            <w:tcW w:w="3428" w:type="dxa"/>
            <w:vAlign w:val="top"/>
            <w:vMerge w:val="restart"/>
            <w:tcBorders>
              <w:bottom w:val="nil"/>
            </w:tcBorders>
          </w:tcPr>
          <w:p>
            <w:pPr>
              <w:pStyle w:val="TableText"/>
              <w:ind w:left="1401"/>
              <w:spacing w:before="193" w:line="220" w:lineRule="auto"/>
              <w:rPr>
                <w:sz w:val="20"/>
                <w:szCs w:val="20"/>
              </w:rPr>
            </w:pPr>
            <w:r>
              <w:rPr>
                <w:sz w:val="20"/>
                <w:szCs w:val="20"/>
                <w:spacing w:val="-3"/>
              </w:rPr>
              <w:t>污染物</w:t>
            </w:r>
          </w:p>
        </w:tc>
        <w:tc>
          <w:tcPr>
            <w:tcW w:w="8319" w:type="dxa"/>
            <w:vAlign w:val="top"/>
            <w:gridSpan w:val="3"/>
          </w:tcPr>
          <w:p>
            <w:pPr>
              <w:pStyle w:val="TableText"/>
              <w:ind w:left="3563"/>
              <w:spacing w:before="54" w:line="212" w:lineRule="auto"/>
              <w:rPr>
                <w:sz w:val="20"/>
                <w:szCs w:val="20"/>
              </w:rPr>
            </w:pPr>
            <w:r>
              <w:rPr>
                <w:sz w:val="20"/>
                <w:szCs w:val="20"/>
                <w:spacing w:val="5"/>
              </w:rPr>
              <w:t>排放量(t/a)</w:t>
            </w:r>
          </w:p>
        </w:tc>
      </w:tr>
      <w:tr>
        <w:trPr>
          <w:trHeight w:val="269" w:hRule="atLeast"/>
        </w:trPr>
        <w:tc>
          <w:tcPr>
            <w:tcW w:w="2213" w:type="dxa"/>
            <w:vAlign w:val="top"/>
            <w:vMerge w:val="continue"/>
            <w:tcBorders>
              <w:top w:val="nil"/>
            </w:tcBorders>
          </w:tcPr>
          <w:p>
            <w:pPr>
              <w:rPr>
                <w:rFonts w:ascii="Arial"/>
                <w:sz w:val="21"/>
              </w:rPr>
            </w:pPr>
            <w:r/>
          </w:p>
        </w:tc>
        <w:tc>
          <w:tcPr>
            <w:tcW w:w="3428" w:type="dxa"/>
            <w:vAlign w:val="top"/>
            <w:vMerge w:val="continue"/>
            <w:tcBorders>
              <w:top w:val="nil"/>
            </w:tcBorders>
          </w:tcPr>
          <w:p>
            <w:pPr>
              <w:rPr>
                <w:rFonts w:ascii="Arial"/>
                <w:sz w:val="21"/>
              </w:rPr>
            </w:pPr>
            <w:r/>
          </w:p>
        </w:tc>
        <w:tc>
          <w:tcPr>
            <w:tcW w:w="2848" w:type="dxa"/>
            <w:vAlign w:val="top"/>
          </w:tcPr>
          <w:p>
            <w:pPr>
              <w:pStyle w:val="TableText"/>
              <w:ind w:left="1113"/>
              <w:spacing w:before="40" w:line="202" w:lineRule="auto"/>
              <w:rPr>
                <w:sz w:val="20"/>
                <w:szCs w:val="20"/>
              </w:rPr>
            </w:pPr>
            <w:r>
              <w:rPr>
                <w:sz w:val="20"/>
                <w:szCs w:val="20"/>
                <w:spacing w:val="-2"/>
              </w:rPr>
              <w:t>有组织</w:t>
            </w:r>
          </w:p>
        </w:tc>
        <w:tc>
          <w:tcPr>
            <w:tcW w:w="2838" w:type="dxa"/>
            <w:vAlign w:val="top"/>
          </w:tcPr>
          <w:p>
            <w:pPr>
              <w:pStyle w:val="TableText"/>
              <w:ind w:left="1115"/>
              <w:spacing w:before="40" w:line="202" w:lineRule="auto"/>
              <w:rPr>
                <w:sz w:val="20"/>
                <w:szCs w:val="20"/>
              </w:rPr>
            </w:pPr>
            <w:r>
              <w:rPr>
                <w:sz w:val="20"/>
                <w:szCs w:val="20"/>
                <w:spacing w:val="3"/>
              </w:rPr>
              <w:t>无组织</w:t>
            </w:r>
          </w:p>
        </w:tc>
        <w:tc>
          <w:tcPr>
            <w:tcW w:w="2633" w:type="dxa"/>
            <w:vAlign w:val="top"/>
          </w:tcPr>
          <w:p>
            <w:pPr>
              <w:pStyle w:val="TableText"/>
              <w:ind w:left="1108"/>
              <w:spacing w:before="40" w:line="202" w:lineRule="auto"/>
              <w:rPr>
                <w:sz w:val="20"/>
                <w:szCs w:val="20"/>
              </w:rPr>
            </w:pPr>
            <w:r>
              <w:rPr>
                <w:sz w:val="20"/>
                <w:szCs w:val="20"/>
                <w:spacing w:val="-3"/>
              </w:rPr>
              <w:t>合计</w:t>
            </w:r>
          </w:p>
        </w:tc>
      </w:tr>
      <w:tr>
        <w:trPr>
          <w:trHeight w:val="299" w:hRule="atLeast"/>
        </w:trPr>
        <w:tc>
          <w:tcPr>
            <w:tcW w:w="2213" w:type="dxa"/>
            <w:vAlign w:val="top"/>
          </w:tcPr>
          <w:p>
            <w:pPr>
              <w:pStyle w:val="TableText"/>
              <w:ind w:left="1044"/>
              <w:spacing w:before="100" w:line="174" w:lineRule="auto"/>
              <w:rPr>
                <w:sz w:val="20"/>
                <w:szCs w:val="20"/>
              </w:rPr>
            </w:pPr>
            <w:r>
              <w:rPr>
                <w:sz w:val="20"/>
                <w:szCs w:val="20"/>
              </w:rPr>
              <w:t>1</w:t>
            </w:r>
          </w:p>
        </w:tc>
        <w:tc>
          <w:tcPr>
            <w:tcW w:w="3428" w:type="dxa"/>
            <w:vAlign w:val="top"/>
          </w:tcPr>
          <w:p>
            <w:pPr>
              <w:pStyle w:val="TableText"/>
              <w:ind w:left="1202"/>
              <w:spacing w:before="50" w:line="220" w:lineRule="auto"/>
              <w:rPr>
                <w:sz w:val="20"/>
                <w:szCs w:val="20"/>
              </w:rPr>
            </w:pPr>
            <w:r>
              <w:rPr>
                <w:sz w:val="20"/>
                <w:szCs w:val="20"/>
                <w:spacing w:val="-2"/>
              </w:rPr>
              <w:t>非甲烷总烃</w:t>
            </w:r>
          </w:p>
        </w:tc>
        <w:tc>
          <w:tcPr>
            <w:tcW w:w="2848" w:type="dxa"/>
            <w:vAlign w:val="top"/>
          </w:tcPr>
          <w:p>
            <w:pPr>
              <w:pStyle w:val="TableText"/>
              <w:ind w:left="1163"/>
              <w:spacing w:before="101" w:line="173" w:lineRule="auto"/>
              <w:rPr>
                <w:sz w:val="20"/>
                <w:szCs w:val="20"/>
              </w:rPr>
            </w:pPr>
            <w:r>
              <w:rPr>
                <w:sz w:val="20"/>
                <w:szCs w:val="20"/>
                <w:spacing w:val="-2"/>
              </w:rPr>
              <w:t>0.960</w:t>
            </w:r>
          </w:p>
        </w:tc>
        <w:tc>
          <w:tcPr>
            <w:tcW w:w="2838" w:type="dxa"/>
            <w:vAlign w:val="top"/>
          </w:tcPr>
          <w:p>
            <w:pPr>
              <w:pStyle w:val="TableText"/>
              <w:ind w:left="1165"/>
              <w:spacing w:before="101" w:line="173" w:lineRule="auto"/>
              <w:rPr>
                <w:sz w:val="20"/>
                <w:szCs w:val="20"/>
              </w:rPr>
            </w:pPr>
            <w:r>
              <w:rPr>
                <w:sz w:val="20"/>
                <w:szCs w:val="20"/>
                <w:spacing w:val="-2"/>
              </w:rPr>
              <w:t>0.960</w:t>
            </w:r>
          </w:p>
        </w:tc>
        <w:tc>
          <w:tcPr>
            <w:tcW w:w="2633" w:type="dxa"/>
            <w:vAlign w:val="top"/>
          </w:tcPr>
          <w:p>
            <w:pPr>
              <w:pStyle w:val="TableText"/>
              <w:ind w:left="1058"/>
              <w:spacing w:before="100" w:line="174" w:lineRule="auto"/>
              <w:rPr>
                <w:sz w:val="20"/>
                <w:szCs w:val="20"/>
              </w:rPr>
            </w:pPr>
            <w:r>
              <w:rPr>
                <w:sz w:val="20"/>
                <w:szCs w:val="20"/>
                <w:spacing w:val="-4"/>
              </w:rPr>
              <w:t>1.920</w:t>
            </w:r>
          </w:p>
        </w:tc>
      </w:tr>
      <w:tr>
        <w:trPr>
          <w:trHeight w:val="268" w:hRule="atLeast"/>
        </w:trPr>
        <w:tc>
          <w:tcPr>
            <w:tcW w:w="2213" w:type="dxa"/>
            <w:vAlign w:val="top"/>
          </w:tcPr>
          <w:p>
            <w:pPr>
              <w:pStyle w:val="TableText"/>
              <w:ind w:left="1044"/>
              <w:spacing w:before="92" w:line="165" w:lineRule="exact"/>
              <w:rPr>
                <w:sz w:val="20"/>
                <w:szCs w:val="20"/>
              </w:rPr>
            </w:pPr>
            <w:r>
              <w:rPr>
                <w:sz w:val="20"/>
                <w:szCs w:val="20"/>
                <w:position w:val="-2"/>
              </w:rPr>
              <w:t>2</w:t>
            </w:r>
          </w:p>
        </w:tc>
        <w:tc>
          <w:tcPr>
            <w:tcW w:w="3428" w:type="dxa"/>
            <w:vAlign w:val="top"/>
          </w:tcPr>
          <w:p>
            <w:pPr>
              <w:pStyle w:val="TableText"/>
              <w:ind w:left="1401"/>
              <w:spacing w:before="41" w:line="200" w:lineRule="auto"/>
              <w:rPr>
                <w:sz w:val="20"/>
                <w:szCs w:val="20"/>
              </w:rPr>
            </w:pPr>
            <w:r>
              <w:rPr>
                <w:sz w:val="20"/>
                <w:szCs w:val="20"/>
                <w:spacing w:val="-2"/>
              </w:rPr>
              <w:t>颗粒物</w:t>
            </w:r>
          </w:p>
        </w:tc>
        <w:tc>
          <w:tcPr>
            <w:tcW w:w="2848" w:type="dxa"/>
            <w:vAlign w:val="top"/>
          </w:tcPr>
          <w:p>
            <w:pPr>
              <w:pStyle w:val="TableText"/>
              <w:ind w:left="1113"/>
              <w:spacing w:before="92" w:line="165" w:lineRule="exact"/>
              <w:rPr>
                <w:sz w:val="20"/>
                <w:szCs w:val="20"/>
              </w:rPr>
            </w:pPr>
            <w:r>
              <w:rPr>
                <w:sz w:val="20"/>
                <w:szCs w:val="20"/>
                <w:spacing w:val="-2"/>
                <w:position w:val="-2"/>
              </w:rPr>
              <w:t>3.7835</w:t>
            </w:r>
          </w:p>
        </w:tc>
        <w:tc>
          <w:tcPr>
            <w:tcW w:w="2838" w:type="dxa"/>
            <w:vAlign w:val="top"/>
          </w:tcPr>
          <w:p>
            <w:pPr>
              <w:pStyle w:val="TableText"/>
              <w:ind w:left="1165"/>
              <w:spacing w:before="91" w:line="166" w:lineRule="exact"/>
              <w:rPr>
                <w:sz w:val="20"/>
                <w:szCs w:val="20"/>
              </w:rPr>
            </w:pPr>
            <w:r>
              <w:rPr>
                <w:sz w:val="20"/>
                <w:szCs w:val="20"/>
                <w:spacing w:val="-2"/>
                <w:position w:val="-2"/>
              </w:rPr>
              <w:t>0.051</w:t>
            </w:r>
          </w:p>
        </w:tc>
        <w:tc>
          <w:tcPr>
            <w:tcW w:w="2633" w:type="dxa"/>
            <w:vAlign w:val="top"/>
          </w:tcPr>
          <w:p>
            <w:pPr>
              <w:pStyle w:val="TableText"/>
              <w:ind w:left="1008"/>
              <w:spacing w:before="92" w:line="165" w:lineRule="exact"/>
              <w:rPr>
                <w:sz w:val="20"/>
                <w:szCs w:val="20"/>
              </w:rPr>
            </w:pPr>
            <w:r>
              <w:rPr>
                <w:sz w:val="20"/>
                <w:szCs w:val="20"/>
                <w:spacing w:val="-2"/>
                <w:position w:val="-2"/>
              </w:rPr>
              <w:t>3.8345</w:t>
            </w:r>
          </w:p>
        </w:tc>
      </w:tr>
      <w:tr>
        <w:trPr>
          <w:trHeight w:val="298" w:hRule="atLeast"/>
        </w:trPr>
        <w:tc>
          <w:tcPr>
            <w:tcW w:w="2213" w:type="dxa"/>
            <w:vAlign w:val="top"/>
          </w:tcPr>
          <w:p>
            <w:pPr>
              <w:pStyle w:val="TableText"/>
              <w:ind w:left="1044"/>
              <w:spacing w:before="104" w:line="169" w:lineRule="auto"/>
              <w:rPr>
                <w:sz w:val="20"/>
                <w:szCs w:val="20"/>
              </w:rPr>
            </w:pPr>
            <w:r>
              <w:rPr>
                <w:sz w:val="20"/>
                <w:szCs w:val="20"/>
              </w:rPr>
              <w:t>3</w:t>
            </w:r>
          </w:p>
        </w:tc>
        <w:tc>
          <w:tcPr>
            <w:tcW w:w="3428" w:type="dxa"/>
            <w:vAlign w:val="top"/>
          </w:tcPr>
          <w:p>
            <w:pPr>
              <w:pStyle w:val="TableText"/>
              <w:ind w:left="1501"/>
              <w:spacing w:before="85" w:line="183" w:lineRule="auto"/>
              <w:rPr>
                <w:rFonts w:ascii="Calibri" w:hAnsi="Calibri" w:eastAsia="Calibri" w:cs="Calibri"/>
                <w:sz w:val="20"/>
                <w:szCs w:val="20"/>
              </w:rPr>
            </w:pPr>
            <w:r>
              <w:rPr>
                <w:sz w:val="20"/>
                <w:szCs w:val="20"/>
                <w:spacing w:val="-3"/>
              </w:rPr>
              <w:t>SO</w:t>
            </w:r>
            <w:r>
              <w:rPr>
                <w:rFonts w:ascii="Calibri" w:hAnsi="Calibri" w:eastAsia="Calibri" w:cs="Calibri"/>
                <w:sz w:val="20"/>
                <w:szCs w:val="20"/>
                <w:spacing w:val="-3"/>
              </w:rPr>
              <w:t>₂</w:t>
            </w:r>
          </w:p>
        </w:tc>
        <w:tc>
          <w:tcPr>
            <w:tcW w:w="2848" w:type="dxa"/>
            <w:vAlign w:val="top"/>
          </w:tcPr>
          <w:p>
            <w:pPr>
              <w:pStyle w:val="TableText"/>
              <w:ind w:left="1113"/>
              <w:spacing w:before="103" w:line="170" w:lineRule="auto"/>
              <w:rPr>
                <w:sz w:val="20"/>
                <w:szCs w:val="20"/>
              </w:rPr>
            </w:pPr>
            <w:r>
              <w:rPr>
                <w:sz w:val="20"/>
                <w:szCs w:val="20"/>
                <w:spacing w:val="-2"/>
              </w:rPr>
              <w:t>3.5112</w:t>
            </w:r>
          </w:p>
        </w:tc>
        <w:tc>
          <w:tcPr>
            <w:tcW w:w="2838" w:type="dxa"/>
            <w:vAlign w:val="top"/>
          </w:tcPr>
          <w:p>
            <w:pPr>
              <w:pStyle w:val="TableText"/>
              <w:ind w:left="1365"/>
              <w:spacing w:before="104" w:line="169" w:lineRule="auto"/>
              <w:rPr>
                <w:sz w:val="20"/>
                <w:szCs w:val="20"/>
              </w:rPr>
            </w:pPr>
            <w:r>
              <w:rPr>
                <w:sz w:val="20"/>
                <w:szCs w:val="20"/>
              </w:rPr>
              <w:t>0</w:t>
            </w:r>
          </w:p>
        </w:tc>
        <w:tc>
          <w:tcPr>
            <w:tcW w:w="2633" w:type="dxa"/>
            <w:vAlign w:val="top"/>
          </w:tcPr>
          <w:p>
            <w:pPr>
              <w:pStyle w:val="TableText"/>
              <w:ind w:left="1008"/>
              <w:spacing w:before="103" w:line="170" w:lineRule="auto"/>
              <w:rPr>
                <w:sz w:val="20"/>
                <w:szCs w:val="20"/>
              </w:rPr>
            </w:pPr>
            <w:r>
              <w:rPr>
                <w:sz w:val="20"/>
                <w:szCs w:val="20"/>
                <w:spacing w:val="-2"/>
              </w:rPr>
              <w:t>3.5112</w:t>
            </w:r>
          </w:p>
        </w:tc>
      </w:tr>
      <w:tr>
        <w:trPr>
          <w:trHeight w:val="269" w:hRule="atLeast"/>
        </w:trPr>
        <w:tc>
          <w:tcPr>
            <w:tcW w:w="2213" w:type="dxa"/>
            <w:vAlign w:val="top"/>
          </w:tcPr>
          <w:p>
            <w:pPr>
              <w:pStyle w:val="TableText"/>
              <w:ind w:left="1044"/>
              <w:spacing w:before="96" w:line="163" w:lineRule="exact"/>
              <w:rPr>
                <w:sz w:val="20"/>
                <w:szCs w:val="20"/>
              </w:rPr>
            </w:pPr>
            <w:r>
              <w:rPr>
                <w:sz w:val="20"/>
                <w:szCs w:val="20"/>
                <w:position w:val="-2"/>
              </w:rPr>
              <w:t>4</w:t>
            </w:r>
          </w:p>
        </w:tc>
        <w:tc>
          <w:tcPr>
            <w:tcW w:w="3428" w:type="dxa"/>
            <w:vAlign w:val="top"/>
          </w:tcPr>
          <w:p>
            <w:pPr>
              <w:pStyle w:val="TableText"/>
              <w:ind w:left="1551"/>
              <w:spacing w:before="96" w:line="163" w:lineRule="exact"/>
              <w:rPr>
                <w:sz w:val="20"/>
                <w:szCs w:val="20"/>
              </w:rPr>
            </w:pPr>
            <w:r>
              <w:rPr>
                <w:sz w:val="20"/>
                <w:szCs w:val="20"/>
                <w:spacing w:val="-1"/>
                <w:position w:val="-2"/>
              </w:rPr>
              <w:t>NOx</w:t>
            </w:r>
          </w:p>
        </w:tc>
        <w:tc>
          <w:tcPr>
            <w:tcW w:w="2848" w:type="dxa"/>
            <w:vAlign w:val="top"/>
          </w:tcPr>
          <w:p>
            <w:pPr>
              <w:pStyle w:val="TableText"/>
              <w:ind w:left="1113"/>
              <w:spacing w:before="96" w:line="163" w:lineRule="exact"/>
              <w:rPr>
                <w:sz w:val="20"/>
                <w:szCs w:val="20"/>
              </w:rPr>
            </w:pPr>
            <w:r>
              <w:rPr>
                <w:sz w:val="20"/>
                <w:szCs w:val="20"/>
                <w:spacing w:val="-2"/>
                <w:position w:val="-2"/>
              </w:rPr>
              <w:t>9.4586</w:t>
            </w:r>
          </w:p>
        </w:tc>
        <w:tc>
          <w:tcPr>
            <w:tcW w:w="2838" w:type="dxa"/>
            <w:vAlign w:val="top"/>
          </w:tcPr>
          <w:p>
            <w:pPr>
              <w:pStyle w:val="TableText"/>
              <w:ind w:left="1365"/>
              <w:spacing w:before="96" w:line="163" w:lineRule="exact"/>
              <w:rPr>
                <w:sz w:val="20"/>
                <w:szCs w:val="20"/>
              </w:rPr>
            </w:pPr>
            <w:r>
              <w:rPr>
                <w:sz w:val="20"/>
                <w:szCs w:val="20"/>
                <w:position w:val="-2"/>
              </w:rPr>
              <w:t>0</w:t>
            </w:r>
          </w:p>
        </w:tc>
        <w:tc>
          <w:tcPr>
            <w:tcW w:w="2633" w:type="dxa"/>
            <w:vAlign w:val="top"/>
          </w:tcPr>
          <w:p>
            <w:pPr>
              <w:pStyle w:val="TableText"/>
              <w:ind w:left="1008"/>
              <w:spacing w:before="96" w:line="163" w:lineRule="exact"/>
              <w:rPr>
                <w:sz w:val="20"/>
                <w:szCs w:val="20"/>
              </w:rPr>
            </w:pPr>
            <w:r>
              <w:rPr>
                <w:sz w:val="20"/>
                <w:szCs w:val="20"/>
                <w:spacing w:val="-2"/>
                <w:position w:val="-2"/>
              </w:rPr>
              <w:t>9.4586</w:t>
            </w:r>
          </w:p>
        </w:tc>
      </w:tr>
      <w:tr>
        <w:trPr>
          <w:trHeight w:val="298" w:hRule="atLeast"/>
        </w:trPr>
        <w:tc>
          <w:tcPr>
            <w:tcW w:w="2213" w:type="dxa"/>
            <w:vAlign w:val="top"/>
          </w:tcPr>
          <w:p>
            <w:pPr>
              <w:pStyle w:val="TableText"/>
              <w:ind w:left="1044"/>
              <w:spacing w:before="109" w:line="165" w:lineRule="auto"/>
              <w:rPr>
                <w:sz w:val="20"/>
                <w:szCs w:val="20"/>
              </w:rPr>
            </w:pPr>
            <w:r>
              <w:rPr>
                <w:sz w:val="20"/>
                <w:szCs w:val="20"/>
              </w:rPr>
              <w:t>5</w:t>
            </w:r>
          </w:p>
        </w:tc>
        <w:tc>
          <w:tcPr>
            <w:tcW w:w="3428" w:type="dxa"/>
            <w:vAlign w:val="top"/>
          </w:tcPr>
          <w:p>
            <w:pPr>
              <w:pStyle w:val="TableText"/>
              <w:ind w:left="1501"/>
              <w:spacing w:before="87" w:line="182" w:lineRule="auto"/>
              <w:rPr>
                <w:rFonts w:ascii="Calibri" w:hAnsi="Calibri" w:eastAsia="Calibri" w:cs="Calibri"/>
                <w:sz w:val="20"/>
                <w:szCs w:val="20"/>
              </w:rPr>
            </w:pPr>
            <w:r>
              <w:rPr>
                <w:sz w:val="20"/>
                <w:szCs w:val="20"/>
                <w:spacing w:val="-1"/>
              </w:rPr>
              <w:t>NH</w:t>
            </w:r>
            <w:r>
              <w:rPr>
                <w:rFonts w:ascii="Calibri" w:hAnsi="Calibri" w:eastAsia="Calibri" w:cs="Calibri"/>
                <w:sz w:val="20"/>
                <w:szCs w:val="20"/>
                <w:spacing w:val="-1"/>
              </w:rPr>
              <w:t>₃</w:t>
            </w:r>
          </w:p>
        </w:tc>
        <w:tc>
          <w:tcPr>
            <w:tcW w:w="2848" w:type="dxa"/>
            <w:vAlign w:val="top"/>
          </w:tcPr>
          <w:p>
            <w:pPr>
              <w:pStyle w:val="TableText"/>
              <w:ind w:left="1163"/>
              <w:spacing w:before="107" w:line="167" w:lineRule="auto"/>
              <w:rPr>
                <w:sz w:val="20"/>
                <w:szCs w:val="20"/>
              </w:rPr>
            </w:pPr>
            <w:r>
              <w:rPr>
                <w:sz w:val="20"/>
                <w:szCs w:val="20"/>
                <w:spacing w:val="-2"/>
              </w:rPr>
              <w:t>0.128</w:t>
            </w:r>
          </w:p>
        </w:tc>
        <w:tc>
          <w:tcPr>
            <w:tcW w:w="2838" w:type="dxa"/>
            <w:vAlign w:val="top"/>
          </w:tcPr>
          <w:p>
            <w:pPr>
              <w:pStyle w:val="TableText"/>
              <w:ind w:left="1165"/>
              <w:spacing w:before="108" w:line="166" w:lineRule="auto"/>
              <w:rPr>
                <w:sz w:val="20"/>
                <w:szCs w:val="20"/>
              </w:rPr>
            </w:pPr>
            <w:r>
              <w:rPr>
                <w:sz w:val="20"/>
                <w:szCs w:val="20"/>
                <w:spacing w:val="-2"/>
              </w:rPr>
              <w:t>0.036</w:t>
            </w:r>
          </w:p>
        </w:tc>
        <w:tc>
          <w:tcPr>
            <w:tcW w:w="2633" w:type="dxa"/>
            <w:vAlign w:val="top"/>
          </w:tcPr>
          <w:p>
            <w:pPr>
              <w:pStyle w:val="TableText"/>
              <w:ind w:left="1058"/>
              <w:spacing w:before="107" w:line="167" w:lineRule="auto"/>
              <w:rPr>
                <w:sz w:val="20"/>
                <w:szCs w:val="20"/>
              </w:rPr>
            </w:pPr>
            <w:r>
              <w:rPr>
                <w:sz w:val="20"/>
                <w:szCs w:val="20"/>
                <w:spacing w:val="-2"/>
              </w:rPr>
              <w:t>0.164</w:t>
            </w:r>
          </w:p>
        </w:tc>
      </w:tr>
      <w:tr>
        <w:trPr>
          <w:trHeight w:val="264" w:hRule="atLeast"/>
        </w:trPr>
        <w:tc>
          <w:tcPr>
            <w:tcW w:w="2213" w:type="dxa"/>
            <w:vAlign w:val="top"/>
          </w:tcPr>
          <w:p>
            <w:pPr>
              <w:pStyle w:val="TableText"/>
              <w:ind w:left="1044"/>
              <w:spacing w:before="89" w:line="165" w:lineRule="exact"/>
              <w:rPr>
                <w:sz w:val="20"/>
                <w:szCs w:val="20"/>
              </w:rPr>
            </w:pPr>
            <w:r>
              <w:rPr>
                <w:sz w:val="20"/>
                <w:szCs w:val="20"/>
                <w:position w:val="-2"/>
              </w:rPr>
              <w:t>6</w:t>
            </w:r>
          </w:p>
        </w:tc>
        <w:tc>
          <w:tcPr>
            <w:tcW w:w="3428" w:type="dxa"/>
            <w:vAlign w:val="top"/>
          </w:tcPr>
          <w:p>
            <w:pPr>
              <w:pStyle w:val="TableText"/>
              <w:ind w:left="1501"/>
              <w:spacing w:before="69" w:line="170" w:lineRule="auto"/>
              <w:rPr>
                <w:sz w:val="20"/>
                <w:szCs w:val="20"/>
              </w:rPr>
            </w:pPr>
            <w:r>
              <w:rPr>
                <w:sz w:val="20"/>
                <w:szCs w:val="20"/>
                <w:spacing w:val="-2"/>
              </w:rPr>
              <w:t>H</w:t>
            </w:r>
            <w:r>
              <w:rPr>
                <w:rFonts w:ascii="Calibri" w:hAnsi="Calibri" w:eastAsia="Calibri" w:cs="Calibri"/>
                <w:sz w:val="20"/>
                <w:szCs w:val="20"/>
                <w:spacing w:val="-2"/>
              </w:rPr>
              <w:t>₂</w:t>
            </w:r>
            <w:r>
              <w:rPr>
                <w:sz w:val="20"/>
                <w:szCs w:val="20"/>
                <w:spacing w:val="-2"/>
              </w:rPr>
              <w:t>S</w:t>
            </w:r>
          </w:p>
        </w:tc>
        <w:tc>
          <w:tcPr>
            <w:tcW w:w="2848" w:type="dxa"/>
            <w:vAlign w:val="top"/>
          </w:tcPr>
          <w:p>
            <w:pPr>
              <w:pStyle w:val="TableText"/>
              <w:ind w:left="1163"/>
              <w:spacing w:before="89" w:line="165" w:lineRule="exact"/>
              <w:rPr>
                <w:sz w:val="20"/>
                <w:szCs w:val="20"/>
              </w:rPr>
            </w:pPr>
            <w:r>
              <w:rPr>
                <w:sz w:val="20"/>
                <w:szCs w:val="20"/>
                <w:spacing w:val="-2"/>
                <w:position w:val="-2"/>
              </w:rPr>
              <w:t>0.002</w:t>
            </w:r>
          </w:p>
        </w:tc>
        <w:tc>
          <w:tcPr>
            <w:tcW w:w="2838" w:type="dxa"/>
            <w:vAlign w:val="top"/>
          </w:tcPr>
          <w:p>
            <w:pPr>
              <w:pStyle w:val="TableText"/>
              <w:ind w:left="1115"/>
              <w:spacing w:before="89" w:line="165" w:lineRule="exact"/>
              <w:rPr>
                <w:sz w:val="20"/>
                <w:szCs w:val="20"/>
              </w:rPr>
            </w:pPr>
            <w:r>
              <w:rPr>
                <w:sz w:val="20"/>
                <w:szCs w:val="20"/>
                <w:spacing w:val="-2"/>
                <w:position w:val="-2"/>
              </w:rPr>
              <w:t>0.0007</w:t>
            </w:r>
          </w:p>
        </w:tc>
        <w:tc>
          <w:tcPr>
            <w:tcW w:w="2633" w:type="dxa"/>
            <w:vAlign w:val="top"/>
          </w:tcPr>
          <w:p>
            <w:pPr>
              <w:pStyle w:val="TableText"/>
              <w:ind w:left="1058"/>
              <w:spacing w:before="89" w:line="165" w:lineRule="exact"/>
              <w:rPr>
                <w:sz w:val="20"/>
                <w:szCs w:val="20"/>
              </w:rPr>
            </w:pPr>
            <w:r>
              <w:rPr>
                <w:sz w:val="20"/>
                <w:szCs w:val="20"/>
                <w:spacing w:val="-2"/>
                <w:position w:val="-2"/>
              </w:rPr>
              <w:t>0.003</w:t>
            </w:r>
          </w:p>
        </w:tc>
      </w:tr>
    </w:tbl>
    <w:p>
      <w:pPr>
        <w:rPr>
          <w:rFonts w:ascii="Arial"/>
          <w:sz w:val="21"/>
        </w:rPr>
      </w:pPr>
      <w:r/>
    </w:p>
    <w:p>
      <w:pPr>
        <w:sectPr>
          <w:footerReference w:type="default" r:id="rId102"/>
          <w:pgSz w:w="16840" w:h="11900"/>
          <w:pgMar w:top="1011" w:right="1384" w:bottom="979" w:left="1325" w:header="0" w:footer="840" w:gutter="0"/>
        </w:sectPr>
        <w:rPr>
          <w:rFonts w:ascii="Arial" w:hAnsi="Arial" w:eastAsia="Arial" w:cs="Arial"/>
          <w:sz w:val="21"/>
          <w:szCs w:val="21"/>
        </w:rPr>
      </w:pPr>
    </w:p>
    <w:p>
      <w:pPr>
        <w:spacing w:line="141" w:lineRule="auto"/>
        <w:rPr>
          <w:rFonts w:ascii="Arial"/>
          <w:sz w:val="2"/>
        </w:rPr>
      </w:pPr>
      <w:r>
        <w:rPr>
          <w:rFonts w:ascii="Arial"/>
          <w:sz w:val="2"/>
        </w:rPr>
      </w:r>
    </w:p>
    <w:tbl>
      <w:tblPr>
        <w:tblStyle w:val="TableNormal"/>
        <w:tblW w:w="9134"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04"/>
        <w:gridCol w:w="8530"/>
      </w:tblGrid>
      <w:tr>
        <w:trPr>
          <w:trHeight w:val="13540" w:hRule="atLeast"/>
        </w:trPr>
        <w:tc>
          <w:tcPr>
            <w:tcW w:w="604"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54" w:right="39"/>
              <w:spacing w:before="78" w:line="211" w:lineRule="auto"/>
              <w:jc w:val="both"/>
              <w:rPr>
                <w:sz w:val="24"/>
                <w:szCs w:val="24"/>
              </w:rPr>
            </w:pPr>
            <w:r>
              <w:rPr>
                <w:sz w:val="24"/>
                <w:szCs w:val="24"/>
                <w:spacing w:val="7"/>
              </w:rPr>
              <w:t>运营</w:t>
            </w:r>
            <w:r>
              <w:rPr>
                <w:sz w:val="24"/>
                <w:szCs w:val="24"/>
              </w:rPr>
              <w:t xml:space="preserve"> </w:t>
            </w:r>
            <w:r>
              <w:rPr>
                <w:sz w:val="24"/>
                <w:szCs w:val="24"/>
                <w:spacing w:val="6"/>
              </w:rPr>
              <w:t>期环</w:t>
            </w:r>
            <w:r>
              <w:rPr>
                <w:sz w:val="24"/>
                <w:szCs w:val="24"/>
              </w:rPr>
              <w:t xml:space="preserve"> </w:t>
            </w:r>
            <w:r>
              <w:rPr>
                <w:sz w:val="24"/>
                <w:szCs w:val="24"/>
                <w:spacing w:val="5"/>
              </w:rPr>
              <w:t>境影</w:t>
            </w:r>
            <w:r>
              <w:rPr>
                <w:sz w:val="24"/>
                <w:szCs w:val="24"/>
              </w:rPr>
              <w:t xml:space="preserve"> </w:t>
            </w:r>
            <w:r>
              <w:rPr>
                <w:sz w:val="24"/>
                <w:szCs w:val="24"/>
                <w:spacing w:val="9"/>
              </w:rPr>
              <w:t>响和</w:t>
            </w:r>
            <w:r>
              <w:rPr>
                <w:sz w:val="24"/>
                <w:szCs w:val="24"/>
              </w:rPr>
              <w:t xml:space="preserve"> </w:t>
            </w:r>
            <w:r>
              <w:rPr>
                <w:sz w:val="24"/>
                <w:szCs w:val="24"/>
                <w:spacing w:val="8"/>
              </w:rPr>
              <w:t>保护</w:t>
            </w:r>
            <w:r>
              <w:rPr>
                <w:sz w:val="24"/>
                <w:szCs w:val="24"/>
              </w:rPr>
              <w:t xml:space="preserve"> </w:t>
            </w:r>
            <w:r>
              <w:rPr>
                <w:sz w:val="24"/>
                <w:szCs w:val="24"/>
                <w:spacing w:val="5"/>
              </w:rPr>
              <w:t>措施</w:t>
            </w:r>
          </w:p>
        </w:tc>
        <w:tc>
          <w:tcPr>
            <w:tcW w:w="8530" w:type="dxa"/>
            <w:vAlign w:val="top"/>
          </w:tcPr>
          <w:p>
            <w:pPr>
              <w:pStyle w:val="TableText"/>
              <w:ind w:left="144"/>
              <w:spacing w:before="39" w:line="219" w:lineRule="auto"/>
              <w:rPr>
                <w:sz w:val="24"/>
                <w:szCs w:val="24"/>
              </w:rPr>
            </w:pPr>
            <w:r>
              <w:rPr>
                <w:sz w:val="24"/>
                <w:szCs w:val="24"/>
                <w:b/>
                <w:bCs/>
                <w:spacing w:val="-3"/>
              </w:rPr>
              <w:t>4.2.7挥发性有机物无组织排放控制措施</w:t>
            </w:r>
          </w:p>
          <w:p>
            <w:pPr>
              <w:pStyle w:val="TableText"/>
              <w:ind w:left="744"/>
              <w:spacing w:before="177" w:line="219" w:lineRule="auto"/>
              <w:rPr>
                <w:sz w:val="24"/>
                <w:szCs w:val="24"/>
              </w:rPr>
            </w:pPr>
            <w:r>
              <w:rPr>
                <w:sz w:val="24"/>
                <w:szCs w:val="24"/>
                <w:b/>
                <w:bCs/>
                <w:spacing w:val="-3"/>
              </w:rPr>
              <w:t>(1)VOCs物料储存无组织排放控制措施</w:t>
            </w:r>
          </w:p>
          <w:p>
            <w:pPr>
              <w:pStyle w:val="TableText"/>
              <w:ind w:left="620"/>
              <w:spacing w:before="195" w:line="216" w:lineRule="auto"/>
              <w:rPr>
                <w:sz w:val="24"/>
                <w:szCs w:val="24"/>
              </w:rPr>
            </w:pPr>
            <w:r>
              <w:rPr>
                <w:sz w:val="24"/>
                <w:szCs w:val="24"/>
              </w:rPr>
              <w:t>本项目含VOCs物料主要为NMP。NMP真实蒸汽压0.046kPa,采用固定顶</w:t>
            </w:r>
          </w:p>
          <w:p>
            <w:pPr>
              <w:pStyle w:val="TableText"/>
              <w:ind w:left="140" w:right="348" w:hanging="9"/>
              <w:spacing w:before="181" w:line="366" w:lineRule="auto"/>
              <w:rPr>
                <w:sz w:val="24"/>
                <w:szCs w:val="24"/>
              </w:rPr>
            </w:pPr>
            <w:r>
              <w:rPr>
                <w:sz w:val="24"/>
                <w:szCs w:val="24"/>
              </w:rPr>
              <w:t>储罐，顶部设有呼吸阀，位于NMP储罐区，设有防渗，</w:t>
            </w:r>
            <w:r>
              <w:rPr>
                <w:sz w:val="24"/>
                <w:szCs w:val="24"/>
                <w:spacing w:val="-1"/>
              </w:rPr>
              <w:t>运营过程中固定顶罐罐</w:t>
            </w:r>
            <w:r>
              <w:rPr>
                <w:sz w:val="24"/>
                <w:szCs w:val="24"/>
              </w:rPr>
              <w:t xml:space="preserve"> </w:t>
            </w:r>
            <w:r>
              <w:rPr>
                <w:sz w:val="24"/>
                <w:szCs w:val="24"/>
              </w:rPr>
              <w:t>体保持完好，不应有孔洞、缝隙。储罐附件开口(孔)</w:t>
            </w:r>
            <w:r>
              <w:rPr>
                <w:sz w:val="24"/>
                <w:szCs w:val="24"/>
                <w:spacing w:val="-1"/>
              </w:rPr>
              <w:t>,除采样、计量、例行检</w:t>
            </w:r>
          </w:p>
          <w:p>
            <w:pPr>
              <w:pStyle w:val="TableText"/>
              <w:ind w:left="141"/>
              <w:spacing w:line="220" w:lineRule="auto"/>
              <w:rPr>
                <w:sz w:val="24"/>
                <w:szCs w:val="24"/>
              </w:rPr>
            </w:pPr>
            <w:r>
              <w:rPr>
                <w:sz w:val="24"/>
                <w:szCs w:val="24"/>
              </w:rPr>
              <w:t>查、维护和其他正常活动外，应密闭。</w:t>
            </w:r>
          </w:p>
          <w:p>
            <w:pPr>
              <w:pStyle w:val="TableText"/>
              <w:ind w:left="734"/>
              <w:spacing w:before="159" w:line="219" w:lineRule="auto"/>
              <w:rPr>
                <w:sz w:val="24"/>
                <w:szCs w:val="24"/>
              </w:rPr>
            </w:pPr>
            <w:r>
              <w:rPr>
                <w:sz w:val="24"/>
                <w:szCs w:val="24"/>
                <w:b/>
                <w:bCs/>
                <w:spacing w:val="-3"/>
              </w:rPr>
              <w:t>(2)VOCs物料转移和输送无组织排放控制措施</w:t>
            </w:r>
          </w:p>
          <w:p>
            <w:pPr>
              <w:pStyle w:val="TableText"/>
              <w:ind w:left="620"/>
              <w:spacing w:before="188" w:line="470" w:lineRule="exact"/>
              <w:rPr>
                <w:sz w:val="24"/>
                <w:szCs w:val="24"/>
              </w:rPr>
            </w:pPr>
            <w:r>
              <w:rPr>
                <w:sz w:val="24"/>
                <w:szCs w:val="24"/>
                <w:position w:val="17"/>
              </w:rPr>
              <w:t>本项目NMP卸料时采用底部进料方式，采用氮</w:t>
            </w:r>
            <w:r>
              <w:rPr>
                <w:sz w:val="24"/>
                <w:szCs w:val="24"/>
                <w:spacing w:val="-1"/>
                <w:position w:val="17"/>
              </w:rPr>
              <w:t>封措施，减少无组织废气排</w:t>
            </w:r>
          </w:p>
          <w:p>
            <w:pPr>
              <w:pStyle w:val="TableText"/>
              <w:ind w:left="141"/>
              <w:spacing w:before="1" w:line="218" w:lineRule="auto"/>
              <w:rPr>
                <w:sz w:val="24"/>
                <w:szCs w:val="24"/>
              </w:rPr>
            </w:pPr>
            <w:r>
              <w:rPr>
                <w:sz w:val="24"/>
                <w:szCs w:val="24"/>
              </w:rPr>
              <w:t>放；生产区使用NMP采用密闭管道进行输送。</w:t>
            </w:r>
          </w:p>
          <w:p>
            <w:pPr>
              <w:pStyle w:val="TableText"/>
              <w:ind w:left="744"/>
              <w:spacing w:before="174" w:line="220" w:lineRule="auto"/>
              <w:rPr>
                <w:sz w:val="24"/>
                <w:szCs w:val="24"/>
              </w:rPr>
            </w:pPr>
            <w:r>
              <w:rPr>
                <w:sz w:val="24"/>
                <w:szCs w:val="24"/>
                <w:b/>
                <w:bCs/>
                <w:spacing w:val="-3"/>
              </w:rPr>
              <w:t>(3)工艺过程VOCs无组织排放控制要求</w:t>
            </w:r>
          </w:p>
          <w:p>
            <w:pPr>
              <w:pStyle w:val="TableText"/>
              <w:ind w:right="9"/>
              <w:spacing w:before="196" w:line="450" w:lineRule="exact"/>
              <w:jc w:val="right"/>
              <w:rPr>
                <w:sz w:val="24"/>
                <w:szCs w:val="24"/>
              </w:rPr>
            </w:pPr>
            <w:r>
              <w:rPr>
                <w:sz w:val="24"/>
                <w:szCs w:val="24"/>
                <w:position w:val="15"/>
              </w:rPr>
              <w:t>生产装置采取自动化、管道化、密闭化的生产方</w:t>
            </w:r>
            <w:r>
              <w:rPr>
                <w:sz w:val="24"/>
                <w:szCs w:val="24"/>
                <w:spacing w:val="-1"/>
                <w:position w:val="15"/>
              </w:rPr>
              <w:t>式，物料的混合、反应等生</w:t>
            </w:r>
          </w:p>
          <w:p>
            <w:pPr>
              <w:pStyle w:val="TableText"/>
              <w:ind w:left="141"/>
              <w:spacing w:before="1" w:line="219" w:lineRule="auto"/>
              <w:rPr>
                <w:sz w:val="24"/>
                <w:szCs w:val="24"/>
              </w:rPr>
            </w:pPr>
            <w:r>
              <w:rPr>
                <w:sz w:val="24"/>
                <w:szCs w:val="24"/>
              </w:rPr>
              <w:t>产过程均在密闭的管道和设备中自动进行，源头控制无组织废气产</w:t>
            </w:r>
            <w:r>
              <w:rPr>
                <w:sz w:val="24"/>
                <w:szCs w:val="24"/>
                <w:spacing w:val="-1"/>
              </w:rPr>
              <w:t>生。</w:t>
            </w:r>
          </w:p>
          <w:p>
            <w:pPr>
              <w:pStyle w:val="TableText"/>
              <w:ind w:right="7"/>
              <w:spacing w:before="184" w:line="470" w:lineRule="exact"/>
              <w:jc w:val="right"/>
              <w:rPr>
                <w:sz w:val="24"/>
                <w:szCs w:val="24"/>
              </w:rPr>
            </w:pPr>
            <w:r>
              <w:rPr>
                <w:sz w:val="24"/>
                <w:szCs w:val="24"/>
                <w:spacing w:val="-1"/>
                <w:position w:val="17"/>
              </w:rPr>
              <w:t>在涂布烘干工序，采用顶部自带抽风系统的隧道型烘箱，且烘干前后的输送</w:t>
            </w:r>
          </w:p>
          <w:p>
            <w:pPr>
              <w:pStyle w:val="TableText"/>
              <w:spacing w:before="1" w:line="218" w:lineRule="auto"/>
              <w:jc w:val="right"/>
              <w:rPr>
                <w:sz w:val="24"/>
                <w:szCs w:val="24"/>
              </w:rPr>
            </w:pPr>
            <w:r>
              <w:rPr>
                <w:sz w:val="24"/>
                <w:szCs w:val="24"/>
                <w:spacing w:val="-1"/>
              </w:rPr>
              <w:t>段配备有密闭罩体实现废气收集，涂布烘箱进、出口处设有飘带监控装置对烘箱</w:t>
            </w:r>
          </w:p>
          <w:p>
            <w:pPr>
              <w:pStyle w:val="TableText"/>
              <w:ind w:left="141" w:right="680"/>
              <w:spacing w:before="185" w:line="362" w:lineRule="auto"/>
              <w:jc w:val="both"/>
              <w:rPr>
                <w:sz w:val="24"/>
                <w:szCs w:val="24"/>
              </w:rPr>
            </w:pPr>
            <w:r>
              <w:rPr>
                <w:sz w:val="24"/>
                <w:szCs w:val="24"/>
              </w:rPr>
              <w:t>内的负压状态进行监控，确保NMP废气能完全收集，涂布废气进入NMP轮转</w:t>
            </w:r>
            <w:r>
              <w:rPr>
                <w:sz w:val="24"/>
                <w:szCs w:val="24"/>
                <w:spacing w:val="9"/>
              </w:rPr>
              <w:t xml:space="preserve"> </w:t>
            </w:r>
            <w:r>
              <w:rPr>
                <w:sz w:val="24"/>
                <w:szCs w:val="24"/>
              </w:rPr>
              <w:t>回收装置，回收的NMP废液由管道输送进入NMP废液罐，经沸石转轮回收后</w:t>
            </w:r>
          </w:p>
          <w:p>
            <w:pPr>
              <w:pStyle w:val="TableText"/>
              <w:ind w:left="141"/>
              <w:spacing w:line="219" w:lineRule="auto"/>
              <w:rPr>
                <w:sz w:val="24"/>
                <w:szCs w:val="24"/>
              </w:rPr>
            </w:pPr>
            <w:r>
              <w:rPr>
                <w:sz w:val="24"/>
                <w:szCs w:val="24"/>
                <w:spacing w:val="-1"/>
              </w:rPr>
              <w:t>的尾气由排气筒排放。</w:t>
            </w:r>
          </w:p>
          <w:p>
            <w:pPr>
              <w:pStyle w:val="TableText"/>
              <w:ind w:left="744"/>
              <w:spacing w:before="172" w:line="219" w:lineRule="auto"/>
              <w:rPr>
                <w:sz w:val="24"/>
                <w:szCs w:val="24"/>
              </w:rPr>
            </w:pPr>
            <w:r>
              <w:rPr>
                <w:sz w:val="24"/>
                <w:szCs w:val="24"/>
                <w:b/>
                <w:bCs/>
                <w:spacing w:val="-3"/>
              </w:rPr>
              <w:t>(4)设备与管线组件VOCs泄漏控制要求</w:t>
            </w:r>
          </w:p>
          <w:p>
            <w:pPr>
              <w:pStyle w:val="TableText"/>
              <w:ind w:left="131" w:right="1" w:firstLine="489"/>
              <w:spacing w:before="167" w:line="366" w:lineRule="auto"/>
              <w:rPr>
                <w:sz w:val="24"/>
                <w:szCs w:val="24"/>
              </w:rPr>
            </w:pPr>
            <w:r>
              <w:rPr>
                <w:sz w:val="24"/>
                <w:szCs w:val="24"/>
              </w:rPr>
              <w:t>设备与管线组件包括：泵、压缩机、搅拌器(机)、阀门、开口阀或开</w:t>
            </w:r>
            <w:r>
              <w:rPr>
                <w:sz w:val="24"/>
                <w:szCs w:val="24"/>
                <w:spacing w:val="-1"/>
              </w:rPr>
              <w:t>口管  </w:t>
            </w:r>
            <w:r>
              <w:rPr>
                <w:sz w:val="24"/>
                <w:szCs w:val="24"/>
              </w:rPr>
              <w:t>线、法兰及其他连接件、泄压设备、取样连接系</w:t>
            </w:r>
            <w:r>
              <w:rPr>
                <w:sz w:val="24"/>
                <w:szCs w:val="24"/>
                <w:spacing w:val="-1"/>
              </w:rPr>
              <w:t>统、其他密封设备。企业应按下</w:t>
            </w:r>
          </w:p>
          <w:p>
            <w:pPr>
              <w:pStyle w:val="TableText"/>
              <w:ind w:left="141"/>
              <w:spacing w:line="219" w:lineRule="auto"/>
              <w:rPr>
                <w:sz w:val="24"/>
                <w:szCs w:val="24"/>
              </w:rPr>
            </w:pPr>
            <w:r>
              <w:rPr>
                <w:sz w:val="24"/>
                <w:szCs w:val="24"/>
              </w:rPr>
              <w:t>列频次对设备与管线组件的密封点进行VOCs泄漏检测：</w:t>
            </w:r>
          </w:p>
          <w:p>
            <w:pPr>
              <w:pStyle w:val="TableText"/>
              <w:spacing w:before="185" w:line="450" w:lineRule="exact"/>
              <w:jc w:val="right"/>
              <w:rPr>
                <w:sz w:val="24"/>
                <w:szCs w:val="24"/>
              </w:rPr>
            </w:pPr>
            <w:r>
              <w:rPr>
                <w:sz w:val="24"/>
                <w:szCs w:val="24"/>
                <w:position w:val="15"/>
              </w:rPr>
              <w:t>对设备与管线组件的密封点每周目视观察，检查</w:t>
            </w:r>
            <w:r>
              <w:rPr>
                <w:sz w:val="24"/>
                <w:szCs w:val="24"/>
                <w:spacing w:val="-1"/>
                <w:position w:val="15"/>
              </w:rPr>
              <w:t>其密封处是否出现可见泄漏</w:t>
            </w:r>
          </w:p>
          <w:p>
            <w:pPr>
              <w:pStyle w:val="TableText"/>
              <w:ind w:left="141"/>
              <w:spacing w:before="1" w:line="219" w:lineRule="auto"/>
              <w:rPr>
                <w:sz w:val="24"/>
                <w:szCs w:val="24"/>
              </w:rPr>
            </w:pPr>
            <w:r>
              <w:rPr>
                <w:sz w:val="24"/>
                <w:szCs w:val="24"/>
                <w:spacing w:val="-10"/>
              </w:rPr>
              <w:t>现 象</w:t>
            </w:r>
            <w:r>
              <w:rPr>
                <w:sz w:val="24"/>
                <w:szCs w:val="24"/>
                <w:spacing w:val="-26"/>
              </w:rPr>
              <w:t xml:space="preserve"> </w:t>
            </w:r>
            <w:r>
              <w:rPr>
                <w:sz w:val="24"/>
                <w:szCs w:val="24"/>
                <w:spacing w:val="-10"/>
              </w:rPr>
              <w:t>；</w:t>
            </w:r>
          </w:p>
          <w:p>
            <w:pPr>
              <w:pStyle w:val="TableText"/>
              <w:ind w:left="610"/>
              <w:spacing w:before="204" w:line="481" w:lineRule="exact"/>
              <w:rPr>
                <w:sz w:val="24"/>
                <w:szCs w:val="24"/>
              </w:rPr>
            </w:pPr>
            <w:r>
              <w:rPr>
                <w:sz w:val="24"/>
                <w:szCs w:val="24"/>
                <w:position w:val="18"/>
              </w:rPr>
              <w:t>泵、压缩机、搅拌器(机)、阀门、开口阀或开口</w:t>
            </w:r>
            <w:r>
              <w:rPr>
                <w:sz w:val="24"/>
                <w:szCs w:val="24"/>
                <w:spacing w:val="-1"/>
                <w:position w:val="18"/>
              </w:rPr>
              <w:t>管线、泄压设备、取样连</w:t>
            </w:r>
          </w:p>
          <w:p>
            <w:pPr>
              <w:pStyle w:val="TableText"/>
              <w:ind w:left="141"/>
              <w:spacing w:line="219" w:lineRule="auto"/>
              <w:rPr>
                <w:sz w:val="24"/>
                <w:szCs w:val="24"/>
              </w:rPr>
            </w:pPr>
            <w:r>
              <w:rPr>
                <w:sz w:val="24"/>
                <w:szCs w:val="24"/>
                <w:spacing w:val="9"/>
              </w:rPr>
              <w:t>接系统至少每6个月检测一次；</w:t>
            </w:r>
          </w:p>
          <w:p>
            <w:pPr>
              <w:pStyle w:val="TableText"/>
              <w:ind w:left="610"/>
              <w:spacing w:before="155" w:line="219" w:lineRule="auto"/>
              <w:rPr>
                <w:sz w:val="24"/>
                <w:szCs w:val="24"/>
              </w:rPr>
            </w:pPr>
            <w:r>
              <w:rPr>
                <w:sz w:val="24"/>
                <w:szCs w:val="24"/>
                <w:spacing w:val="5"/>
              </w:rPr>
              <w:t>法兰及其他连接件、其他密封设备至少每12个月检测一次；</w:t>
            </w:r>
          </w:p>
          <w:p>
            <w:pPr>
              <w:pStyle w:val="TableText"/>
              <w:spacing w:before="185" w:line="470" w:lineRule="exact"/>
              <w:jc w:val="right"/>
              <w:rPr>
                <w:sz w:val="24"/>
                <w:szCs w:val="24"/>
              </w:rPr>
            </w:pPr>
            <w:r>
              <w:rPr>
                <w:sz w:val="24"/>
                <w:szCs w:val="24"/>
                <w:position w:val="17"/>
              </w:rPr>
              <w:t>对于直接排放的泄压设备，在非泄压状态下进行</w:t>
            </w:r>
            <w:r>
              <w:rPr>
                <w:sz w:val="24"/>
                <w:szCs w:val="24"/>
                <w:spacing w:val="-1"/>
                <w:position w:val="17"/>
              </w:rPr>
              <w:t>泄漏检测。直接排放的泄压</w:t>
            </w:r>
          </w:p>
          <w:p>
            <w:pPr>
              <w:pStyle w:val="TableText"/>
              <w:ind w:left="141"/>
              <w:spacing w:before="1" w:line="219" w:lineRule="auto"/>
              <w:rPr>
                <w:sz w:val="24"/>
                <w:szCs w:val="24"/>
              </w:rPr>
            </w:pPr>
            <w:r>
              <w:rPr>
                <w:sz w:val="24"/>
                <w:szCs w:val="24"/>
                <w:spacing w:val="3"/>
              </w:rPr>
              <w:t>设备泄压后，应在泄压之日起5个工作日之内，对泄压设备进行泄漏检测；</w:t>
            </w:r>
          </w:p>
          <w:p>
            <w:pPr>
              <w:pStyle w:val="TableText"/>
              <w:ind w:left="610"/>
              <w:spacing w:before="185" w:line="219" w:lineRule="auto"/>
              <w:rPr>
                <w:sz w:val="24"/>
                <w:szCs w:val="24"/>
              </w:rPr>
            </w:pPr>
            <w:r>
              <w:rPr>
                <w:sz w:val="24"/>
                <w:szCs w:val="24"/>
              </w:rPr>
              <w:t>设备与管线组件初次启用或检维修后，应在90d内进行泄漏检测。</w:t>
            </w:r>
          </w:p>
        </w:tc>
      </w:tr>
    </w:tbl>
    <w:p>
      <w:pPr>
        <w:rPr>
          <w:rFonts w:ascii="Arial"/>
          <w:sz w:val="21"/>
        </w:rPr>
      </w:pPr>
      <w:r/>
    </w:p>
    <w:p>
      <w:pPr>
        <w:sectPr>
          <w:footerReference w:type="default" r:id="rId103"/>
          <w:pgSz w:w="11900" w:h="16840"/>
          <w:pgMar w:top="1431" w:right="1510" w:bottom="988" w:left="1244" w:header="0" w:footer="849" w:gutter="0"/>
        </w:sectPr>
        <w:rPr>
          <w:rFonts w:ascii="Arial" w:hAnsi="Arial" w:eastAsia="Arial" w:cs="Arial"/>
          <w:sz w:val="21"/>
          <w:szCs w:val="21"/>
        </w:rPr>
      </w:pPr>
    </w:p>
    <w:p>
      <w:pPr>
        <w:spacing w:line="141" w:lineRule="auto"/>
        <w:rPr>
          <w:rFonts w:ascii="Arial"/>
          <w:sz w:val="2"/>
        </w:rPr>
      </w:pPr>
      <w:r>
        <w:rPr>
          <w:rFonts w:ascii="Arial"/>
          <w:sz w:val="2"/>
        </w:rPr>
      </w:r>
    </w:p>
    <w:tbl>
      <w:tblPr>
        <w:tblStyle w:val="TableNormal"/>
        <w:tblW w:w="91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24"/>
        <w:gridCol w:w="8516"/>
      </w:tblGrid>
      <w:tr>
        <w:trPr>
          <w:trHeight w:val="13560" w:hRule="atLeast"/>
        </w:trPr>
        <w:tc>
          <w:tcPr>
            <w:tcW w:w="624" w:type="dxa"/>
            <w:vAlign w:val="top"/>
          </w:tcPr>
          <w:p>
            <w:pPr>
              <w:rPr>
                <w:rFonts w:ascii="Arial"/>
                <w:sz w:val="21"/>
              </w:rPr>
            </w:pPr>
            <w:r/>
          </w:p>
        </w:tc>
        <w:tc>
          <w:tcPr>
            <w:tcW w:w="8516" w:type="dxa"/>
            <w:vAlign w:val="top"/>
          </w:tcPr>
          <w:p>
            <w:pPr>
              <w:pStyle w:val="TableText"/>
              <w:ind w:left="734"/>
              <w:spacing w:before="42" w:line="220" w:lineRule="auto"/>
              <w:rPr>
                <w:sz w:val="24"/>
                <w:szCs w:val="24"/>
              </w:rPr>
            </w:pPr>
            <w:r>
              <w:rPr>
                <w:sz w:val="24"/>
                <w:szCs w:val="24"/>
                <w:b/>
                <w:bCs/>
                <w:spacing w:val="-3"/>
              </w:rPr>
              <w:t>(5)敞开液面VOCs无组织排放控制要求</w:t>
            </w:r>
          </w:p>
          <w:p>
            <w:pPr>
              <w:pStyle w:val="TableText"/>
              <w:ind w:left="610"/>
              <w:spacing w:before="184" w:line="473" w:lineRule="exact"/>
              <w:rPr>
                <w:sz w:val="24"/>
                <w:szCs w:val="24"/>
              </w:rPr>
            </w:pPr>
            <w:r>
              <w:rPr>
                <w:sz w:val="24"/>
                <w:szCs w:val="24"/>
                <w:position w:val="17"/>
              </w:rPr>
              <w:t>本项目的污水处理站池体均加盖密闭收集，废气经喷淋+UV氧化装置进行</w:t>
            </w:r>
          </w:p>
          <w:p>
            <w:pPr>
              <w:pStyle w:val="TableText"/>
              <w:ind w:left="131"/>
              <w:spacing w:line="220" w:lineRule="auto"/>
              <w:rPr>
                <w:sz w:val="24"/>
                <w:szCs w:val="24"/>
              </w:rPr>
            </w:pPr>
            <w:r>
              <w:rPr>
                <w:sz w:val="24"/>
                <w:szCs w:val="24"/>
              </w:rPr>
              <w:t>处理达标后排放。</w:t>
            </w:r>
          </w:p>
          <w:p>
            <w:pPr>
              <w:pStyle w:val="TableText"/>
              <w:ind w:left="600"/>
              <w:spacing w:before="183" w:line="219" w:lineRule="auto"/>
              <w:rPr>
                <w:sz w:val="24"/>
                <w:szCs w:val="24"/>
              </w:rPr>
            </w:pPr>
            <w:r>
              <w:rPr>
                <w:sz w:val="24"/>
                <w:szCs w:val="24"/>
                <w:spacing w:val="1"/>
              </w:rPr>
              <w:t>对开式循环冷却水系统，每6个月对流经换热器进口和出</w:t>
            </w:r>
            <w:r>
              <w:rPr>
                <w:sz w:val="24"/>
                <w:szCs w:val="24"/>
              </w:rPr>
              <w:t>口的循环冷却水中</w:t>
            </w:r>
          </w:p>
          <w:p>
            <w:pPr>
              <w:pStyle w:val="TableText"/>
              <w:ind w:left="121"/>
              <w:spacing w:before="181" w:line="473" w:lineRule="exact"/>
              <w:rPr>
                <w:sz w:val="24"/>
                <w:szCs w:val="24"/>
              </w:rPr>
            </w:pPr>
            <w:r>
              <w:rPr>
                <w:sz w:val="24"/>
                <w:szCs w:val="24"/>
                <w:position w:val="17"/>
              </w:rPr>
              <w:t>的总有机碳(TOC)浓度进行检测，若出口浓度大于进口浓度10%,则认定发生</w:t>
            </w:r>
          </w:p>
          <w:p>
            <w:pPr>
              <w:pStyle w:val="TableText"/>
              <w:ind w:left="161"/>
              <w:spacing w:line="219" w:lineRule="auto"/>
              <w:rPr>
                <w:sz w:val="24"/>
                <w:szCs w:val="24"/>
              </w:rPr>
            </w:pPr>
            <w:r>
              <w:rPr>
                <w:sz w:val="24"/>
                <w:szCs w:val="24"/>
                <w:spacing w:val="-1"/>
              </w:rPr>
              <w:t>了泄漏，应按照规定进行泄漏源修复与记录。</w:t>
            </w:r>
          </w:p>
          <w:p>
            <w:pPr>
              <w:pStyle w:val="TableText"/>
              <w:ind w:left="734"/>
              <w:spacing w:before="162" w:line="219" w:lineRule="auto"/>
              <w:rPr>
                <w:sz w:val="24"/>
                <w:szCs w:val="24"/>
              </w:rPr>
            </w:pPr>
            <w:r>
              <w:rPr>
                <w:sz w:val="24"/>
                <w:szCs w:val="24"/>
                <w:b/>
                <w:bCs/>
                <w:spacing w:val="-3"/>
              </w:rPr>
              <w:t>(6)VOCs无组织排放废气收集处理系统要求</w:t>
            </w:r>
          </w:p>
          <w:p>
            <w:pPr>
              <w:pStyle w:val="TableText"/>
              <w:ind w:left="600"/>
              <w:spacing w:before="187" w:line="219" w:lineRule="auto"/>
              <w:rPr>
                <w:sz w:val="24"/>
                <w:szCs w:val="24"/>
              </w:rPr>
            </w:pPr>
            <w:r>
              <w:rPr>
                <w:sz w:val="24"/>
                <w:szCs w:val="24"/>
              </w:rPr>
              <w:t>涂布烘干废气经集气管收集后，进入NMP轮转回收装置，回收的NMP液</w:t>
            </w:r>
          </w:p>
          <w:p>
            <w:pPr>
              <w:pStyle w:val="TableText"/>
              <w:ind w:left="131" w:right="320"/>
              <w:spacing w:before="186" w:line="359" w:lineRule="auto"/>
              <w:rPr>
                <w:sz w:val="24"/>
                <w:szCs w:val="24"/>
              </w:rPr>
            </w:pPr>
            <w:r>
              <w:rPr>
                <w:sz w:val="24"/>
                <w:szCs w:val="24"/>
              </w:rPr>
              <w:t>体由管道输送进入NMP废液罐，经沸石转轮回收后的尾气由排气筒排放；根据</w:t>
            </w:r>
            <w:r>
              <w:rPr>
                <w:sz w:val="24"/>
                <w:szCs w:val="24"/>
                <w:spacing w:val="13"/>
              </w:rPr>
              <w:t xml:space="preserve"> </w:t>
            </w:r>
            <w:r>
              <w:rPr>
                <w:sz w:val="24"/>
                <w:szCs w:val="24"/>
              </w:rPr>
              <w:t>物料平衡分析，NMP回收率达96.40%,满足《挥发性</w:t>
            </w:r>
            <w:r>
              <w:rPr>
                <w:sz w:val="24"/>
                <w:szCs w:val="24"/>
                <w:spacing w:val="-1"/>
              </w:rPr>
              <w:t>有机物无组织排放控制标</w:t>
            </w:r>
          </w:p>
          <w:p>
            <w:pPr>
              <w:pStyle w:val="TableText"/>
              <w:ind w:left="131"/>
              <w:spacing w:line="213" w:lineRule="auto"/>
              <w:rPr>
                <w:sz w:val="24"/>
                <w:szCs w:val="24"/>
              </w:rPr>
            </w:pPr>
            <w:r>
              <w:rPr>
                <w:sz w:val="24"/>
                <w:szCs w:val="24"/>
              </w:rPr>
              <w:t>准》(GB37822-2019)中“收集废气中NMHC初始排放速率≥3kg/h时，应配</w:t>
            </w:r>
          </w:p>
          <w:p>
            <w:pPr>
              <w:pStyle w:val="TableText"/>
              <w:ind w:left="131"/>
              <w:spacing w:before="180" w:line="219" w:lineRule="auto"/>
              <w:rPr>
                <w:sz w:val="24"/>
                <w:szCs w:val="24"/>
              </w:rPr>
            </w:pPr>
            <w:r>
              <w:rPr>
                <w:sz w:val="24"/>
                <w:szCs w:val="24"/>
                <w:spacing w:val="5"/>
              </w:rPr>
              <w:t>置</w:t>
            </w:r>
            <w:r>
              <w:rPr>
                <w:sz w:val="24"/>
                <w:szCs w:val="24"/>
              </w:rPr>
              <w:t>VOCs</w:t>
            </w:r>
            <w:r>
              <w:rPr>
                <w:sz w:val="24"/>
                <w:szCs w:val="24"/>
                <w:spacing w:val="5"/>
              </w:rPr>
              <w:t>处理设施，处理效率不应低于80%”的相关要</w:t>
            </w:r>
            <w:r>
              <w:rPr>
                <w:sz w:val="24"/>
                <w:szCs w:val="24"/>
                <w:spacing w:val="4"/>
              </w:rPr>
              <w:t>求；</w:t>
            </w:r>
          </w:p>
          <w:p>
            <w:pPr>
              <w:pStyle w:val="TableText"/>
              <w:ind w:left="590"/>
              <w:spacing w:before="185" w:line="480" w:lineRule="exact"/>
              <w:rPr>
                <w:sz w:val="24"/>
                <w:szCs w:val="24"/>
              </w:rPr>
            </w:pPr>
            <w:r>
              <w:rPr>
                <w:sz w:val="24"/>
                <w:szCs w:val="24"/>
                <w:position w:val="18"/>
              </w:rPr>
              <w:t>VOCs废气收集处理系统与生产工艺设备同步运行，采用密闭的输送管道，</w:t>
            </w:r>
          </w:p>
          <w:p>
            <w:pPr>
              <w:pStyle w:val="TableText"/>
              <w:ind w:left="121"/>
              <w:spacing w:before="1" w:line="219" w:lineRule="auto"/>
              <w:rPr>
                <w:sz w:val="24"/>
                <w:szCs w:val="24"/>
              </w:rPr>
            </w:pPr>
            <w:r>
              <w:rPr>
                <w:sz w:val="24"/>
                <w:szCs w:val="24"/>
                <w:spacing w:val="-1"/>
              </w:rPr>
              <w:t>且在负压下进行，排气筒高度不低于15m。</w:t>
            </w:r>
          </w:p>
          <w:p>
            <w:pPr>
              <w:pStyle w:val="TableText"/>
              <w:ind w:right="4"/>
              <w:spacing w:before="174" w:line="450" w:lineRule="exact"/>
              <w:jc w:val="right"/>
              <w:rPr>
                <w:sz w:val="24"/>
                <w:szCs w:val="24"/>
              </w:rPr>
            </w:pPr>
            <w:r>
              <w:rPr>
                <w:sz w:val="24"/>
                <w:szCs w:val="24"/>
                <w:spacing w:val="-1"/>
                <w:position w:val="15"/>
              </w:rPr>
              <w:t>综上所述，项目按照《福建省环保厅关于印发福建省重点行业挥发性有机物</w:t>
            </w:r>
          </w:p>
          <w:p>
            <w:pPr>
              <w:pStyle w:val="TableText"/>
              <w:spacing w:before="1" w:line="218" w:lineRule="auto"/>
              <w:jc w:val="right"/>
              <w:rPr>
                <w:sz w:val="24"/>
                <w:szCs w:val="24"/>
              </w:rPr>
            </w:pPr>
            <w:r>
              <w:rPr>
                <w:sz w:val="24"/>
                <w:szCs w:val="24"/>
              </w:rPr>
              <w:t>排放控制要求(试行)的通知》(闽环保大气[2017]9号)、《挥发性有机物无组织</w:t>
            </w:r>
          </w:p>
          <w:p>
            <w:pPr>
              <w:pStyle w:val="TableText"/>
              <w:ind w:left="121"/>
              <w:spacing w:before="216" w:line="481" w:lineRule="exact"/>
              <w:rPr>
                <w:sz w:val="24"/>
                <w:szCs w:val="24"/>
              </w:rPr>
            </w:pPr>
            <w:r>
              <w:rPr>
                <w:sz w:val="24"/>
                <w:szCs w:val="24"/>
                <w:position w:val="18"/>
              </w:rPr>
              <w:t>排放控制标准》(GB37822-2019)等相关法规、标准要</w:t>
            </w:r>
            <w:r>
              <w:rPr>
                <w:sz w:val="24"/>
                <w:szCs w:val="24"/>
                <w:spacing w:val="-1"/>
                <w:position w:val="18"/>
              </w:rPr>
              <w:t>求对VOCs无组织排放</w:t>
            </w:r>
          </w:p>
          <w:p>
            <w:pPr>
              <w:pStyle w:val="TableText"/>
              <w:ind w:left="151"/>
              <w:spacing w:line="220" w:lineRule="auto"/>
              <w:rPr>
                <w:sz w:val="24"/>
                <w:szCs w:val="24"/>
              </w:rPr>
            </w:pPr>
            <w:r>
              <w:rPr>
                <w:sz w:val="24"/>
                <w:szCs w:val="24"/>
                <w:spacing w:val="-1"/>
              </w:rPr>
              <w:t>废气进行控制，污染防治措施可行。</w:t>
            </w:r>
          </w:p>
          <w:p>
            <w:pPr>
              <w:pStyle w:val="TableText"/>
              <w:ind w:left="134"/>
              <w:spacing w:before="159" w:line="219" w:lineRule="auto"/>
              <w:rPr>
                <w:sz w:val="24"/>
                <w:szCs w:val="24"/>
              </w:rPr>
            </w:pPr>
            <w:r>
              <w:rPr>
                <w:sz w:val="24"/>
                <w:szCs w:val="24"/>
                <w:b/>
                <w:bCs/>
                <w:spacing w:val="-4"/>
              </w:rPr>
              <w:t>4.2.8本项目排气筒设置的合理性</w:t>
            </w:r>
          </w:p>
          <w:p>
            <w:pPr>
              <w:pStyle w:val="TableText"/>
              <w:ind w:left="721"/>
              <w:spacing w:before="178" w:line="219" w:lineRule="auto"/>
              <w:rPr>
                <w:sz w:val="24"/>
                <w:szCs w:val="24"/>
              </w:rPr>
            </w:pPr>
            <w:r>
              <w:rPr>
                <w:sz w:val="24"/>
                <w:szCs w:val="24"/>
                <w:spacing w:val="3"/>
              </w:rPr>
              <w:t>(1)本项目新增5根排气筒，分别为1根27m涂布废气排气筒(</w:t>
            </w:r>
            <w:r>
              <w:rPr>
                <w:sz w:val="24"/>
                <w:szCs w:val="24"/>
              </w:rPr>
              <w:t>DA</w:t>
            </w:r>
            <w:r>
              <w:rPr>
                <w:sz w:val="24"/>
                <w:szCs w:val="24"/>
                <w:spacing w:val="3"/>
              </w:rPr>
              <w:t>026)、</w:t>
            </w:r>
          </w:p>
          <w:p>
            <w:pPr>
              <w:pStyle w:val="TableText"/>
              <w:ind w:left="130" w:right="319" w:hanging="9"/>
              <w:spacing w:before="182" w:line="363" w:lineRule="auto"/>
              <w:rPr>
                <w:sz w:val="24"/>
                <w:szCs w:val="24"/>
              </w:rPr>
            </w:pPr>
            <w:r>
              <w:rPr>
                <w:sz w:val="24"/>
                <w:szCs w:val="24"/>
                <w:spacing w:val="1"/>
              </w:rPr>
              <w:t>4根27m锅炉废气排气筒(每台锅炉配1根排气烟道，(</w:t>
            </w:r>
            <w:r>
              <w:rPr>
                <w:sz w:val="24"/>
                <w:szCs w:val="24"/>
              </w:rPr>
              <w:t>DA</w:t>
            </w:r>
            <w:r>
              <w:rPr>
                <w:sz w:val="24"/>
                <w:szCs w:val="24"/>
                <w:spacing w:val="1"/>
              </w:rPr>
              <w:t>025、</w:t>
            </w:r>
            <w:r>
              <w:rPr>
                <w:sz w:val="24"/>
                <w:szCs w:val="24"/>
              </w:rPr>
              <w:t>DA</w:t>
            </w:r>
            <w:r>
              <w:rPr>
                <w:sz w:val="24"/>
                <w:szCs w:val="24"/>
                <w:spacing w:val="1"/>
              </w:rPr>
              <w:t>027~</w:t>
            </w:r>
            <w:r>
              <w:rPr>
                <w:sz w:val="24"/>
                <w:szCs w:val="24"/>
              </w:rPr>
              <w:t>DA</w:t>
            </w:r>
            <w:r>
              <w:rPr>
                <w:sz w:val="24"/>
                <w:szCs w:val="24"/>
                <w:spacing w:val="1"/>
              </w:rPr>
              <w:t>029),  </w:t>
            </w:r>
            <w:r>
              <w:rPr>
                <w:sz w:val="24"/>
                <w:szCs w:val="24"/>
              </w:rPr>
              <w:t>锅炉3用1备)、生产工艺废气排气筒位于凹版厂房，排气筒与最近敏感点大沙</w:t>
            </w:r>
          </w:p>
          <w:p>
            <w:pPr>
              <w:pStyle w:val="TableText"/>
              <w:ind w:left="111"/>
              <w:spacing w:before="1" w:line="218" w:lineRule="auto"/>
              <w:rPr>
                <w:sz w:val="24"/>
                <w:szCs w:val="24"/>
              </w:rPr>
            </w:pPr>
            <w:r>
              <w:rPr>
                <w:sz w:val="24"/>
                <w:szCs w:val="24"/>
              </w:rPr>
              <w:t>村、池头村距离均在300m以上，从整体布局而言，排气筒设置合理。</w:t>
            </w:r>
          </w:p>
          <w:p>
            <w:pPr>
              <w:pStyle w:val="TableText"/>
              <w:ind w:left="731"/>
              <w:spacing w:before="187" w:line="219" w:lineRule="auto"/>
              <w:rPr>
                <w:sz w:val="24"/>
                <w:szCs w:val="24"/>
              </w:rPr>
            </w:pPr>
            <w:r>
              <w:rPr>
                <w:sz w:val="24"/>
                <w:szCs w:val="24"/>
              </w:rPr>
              <w:t>(2)根据《电池工业污染物排放标准》(GB30484-2013)中4.2.6规定“产</w:t>
            </w:r>
          </w:p>
          <w:p>
            <w:pPr>
              <w:pStyle w:val="TableText"/>
              <w:ind w:left="131" w:right="79"/>
              <w:spacing w:before="184" w:line="354" w:lineRule="auto"/>
              <w:rPr>
                <w:sz w:val="24"/>
                <w:szCs w:val="24"/>
              </w:rPr>
            </w:pPr>
            <w:r>
              <w:rPr>
                <w:sz w:val="24"/>
                <w:szCs w:val="24"/>
              </w:rPr>
              <w:t>生大气污染物的生产工艺和装置必须设立局部或整体气体收集系统及集中净化</w:t>
            </w:r>
            <w:r>
              <w:rPr>
                <w:sz w:val="24"/>
                <w:szCs w:val="24"/>
                <w:spacing w:val="4"/>
              </w:rPr>
              <w:t xml:space="preserve">  </w:t>
            </w:r>
            <w:r>
              <w:rPr>
                <w:sz w:val="24"/>
                <w:szCs w:val="24"/>
              </w:rPr>
              <w:t>处理装置，净化后的气体由排气筒排放，所有排气筒高度应不低于15m。排气筒</w:t>
            </w:r>
          </w:p>
          <w:p>
            <w:pPr>
              <w:pStyle w:val="TableText"/>
              <w:ind w:left="121"/>
              <w:spacing w:before="1" w:line="218" w:lineRule="auto"/>
              <w:rPr>
                <w:sz w:val="24"/>
                <w:szCs w:val="24"/>
              </w:rPr>
            </w:pPr>
            <w:r>
              <w:rPr>
                <w:sz w:val="24"/>
                <w:szCs w:val="24"/>
              </w:rPr>
              <w:t>周围半径200m范围内有建筑物时，排气筒还应高出最高建筑物3m以上”。本</w:t>
            </w:r>
          </w:p>
          <w:p>
            <w:pPr>
              <w:pStyle w:val="TableText"/>
              <w:ind w:left="121"/>
              <w:spacing w:before="183" w:line="490" w:lineRule="exact"/>
              <w:rPr>
                <w:sz w:val="24"/>
                <w:szCs w:val="24"/>
              </w:rPr>
            </w:pPr>
            <w:r>
              <w:rPr>
                <w:sz w:val="24"/>
                <w:szCs w:val="24"/>
                <w:position w:val="19"/>
              </w:rPr>
              <w:t>项目涂布废气排气筒为27m,周围半径200m范围内最高建筑为凹版厂房(高为</w:t>
            </w:r>
          </w:p>
          <w:p>
            <w:pPr>
              <w:pStyle w:val="TableText"/>
              <w:ind w:left="121"/>
              <w:spacing w:line="216" w:lineRule="auto"/>
              <w:rPr>
                <w:sz w:val="24"/>
                <w:szCs w:val="24"/>
              </w:rPr>
            </w:pPr>
            <w:r>
              <w:rPr>
                <w:sz w:val="24"/>
                <w:szCs w:val="24"/>
              </w:rPr>
              <w:t>23.8m),排气筒高度符合要求。</w:t>
            </w:r>
          </w:p>
        </w:tc>
      </w:tr>
    </w:tbl>
    <w:p>
      <w:pPr>
        <w:rPr>
          <w:rFonts w:ascii="Arial"/>
          <w:sz w:val="21"/>
        </w:rPr>
      </w:pPr>
      <w:r/>
    </w:p>
    <w:p>
      <w:pPr>
        <w:sectPr>
          <w:footerReference w:type="default" r:id="rId104"/>
          <w:pgSz w:w="11900" w:h="16840"/>
          <w:pgMar w:top="1431" w:right="1514" w:bottom="988" w:left="1234" w:header="0" w:footer="849" w:gutter="0"/>
        </w:sectPr>
        <w:rPr>
          <w:rFonts w:ascii="Arial" w:hAnsi="Arial" w:eastAsia="Arial" w:cs="Arial"/>
          <w:sz w:val="21"/>
          <w:szCs w:val="21"/>
        </w:rPr>
      </w:pPr>
    </w:p>
    <w:p>
      <w:pPr>
        <w:spacing w:line="37" w:lineRule="auto"/>
        <w:rPr>
          <w:rFonts w:ascii="Arial"/>
          <w:sz w:val="2"/>
        </w:rPr>
      </w:pPr>
      <w:r>
        <w:rPr>
          <w:rFonts w:ascii="Arial"/>
          <w:sz w:val="2"/>
        </w:rPr>
      </w:r>
    </w:p>
    <w:tbl>
      <w:tblPr>
        <w:tblStyle w:val="TableNormal"/>
        <w:tblW w:w="91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24"/>
        <w:gridCol w:w="8536"/>
      </w:tblGrid>
      <w:tr>
        <w:trPr>
          <w:trHeight w:val="11560" w:hRule="atLeast"/>
        </w:trPr>
        <w:tc>
          <w:tcPr>
            <w:tcW w:w="624" w:type="dxa"/>
            <w:vAlign w:val="top"/>
          </w:tcPr>
          <w:p>
            <w:pPr>
              <w:rPr>
                <w:rFonts w:ascii="Arial"/>
                <w:sz w:val="21"/>
              </w:rPr>
            </w:pPr>
            <w:r/>
          </w:p>
        </w:tc>
        <w:tc>
          <w:tcPr>
            <w:tcW w:w="8536" w:type="dxa"/>
            <w:vAlign w:val="top"/>
          </w:tcPr>
          <w:p>
            <w:pPr>
              <w:pStyle w:val="TableText"/>
              <w:ind w:left="741"/>
              <w:spacing w:before="55" w:line="219" w:lineRule="auto"/>
              <w:rPr>
                <w:sz w:val="24"/>
                <w:szCs w:val="24"/>
              </w:rPr>
            </w:pPr>
            <w:r>
              <w:rPr>
                <w:sz w:val="24"/>
                <w:szCs w:val="24"/>
              </w:rPr>
              <w:t>(3)根据《锅炉大气污染物排放标准》(GB13271-2014)中4.5规定“燃</w:t>
            </w:r>
          </w:p>
          <w:p>
            <w:pPr>
              <w:pStyle w:val="TableText"/>
              <w:ind w:left="141"/>
              <w:spacing w:before="185" w:line="219" w:lineRule="auto"/>
              <w:rPr>
                <w:sz w:val="24"/>
                <w:szCs w:val="24"/>
              </w:rPr>
            </w:pPr>
            <w:r>
              <w:rPr>
                <w:sz w:val="24"/>
                <w:szCs w:val="24"/>
              </w:rPr>
              <w:t>油、燃气锅炉烟囱不低于8m。新建锅炉房的烟囱周围半径200m距离内有建筑</w:t>
            </w:r>
          </w:p>
          <w:p>
            <w:pPr>
              <w:pStyle w:val="TableText"/>
              <w:ind w:left="141"/>
              <w:spacing w:before="184" w:line="470" w:lineRule="exact"/>
              <w:rPr>
                <w:sz w:val="24"/>
                <w:szCs w:val="24"/>
              </w:rPr>
            </w:pPr>
            <w:r>
              <w:rPr>
                <w:sz w:val="24"/>
                <w:szCs w:val="24"/>
                <w:spacing w:val="1"/>
                <w:position w:val="17"/>
              </w:rPr>
              <w:t>物时，其烟囱应高出最高建筑物3m以上。”本项目均为</w:t>
            </w:r>
            <w:r>
              <w:rPr>
                <w:sz w:val="24"/>
                <w:szCs w:val="24"/>
                <w:position w:val="17"/>
              </w:rPr>
              <w:t>燃气锅炉，锅炉三用一</w:t>
            </w:r>
          </w:p>
          <w:p>
            <w:pPr>
              <w:pStyle w:val="TableText"/>
              <w:ind w:left="141"/>
              <w:spacing w:line="219" w:lineRule="auto"/>
              <w:rPr>
                <w:sz w:val="24"/>
                <w:szCs w:val="24"/>
              </w:rPr>
            </w:pPr>
            <w:r>
              <w:rPr>
                <w:sz w:val="24"/>
                <w:szCs w:val="24"/>
              </w:rPr>
              <w:t>备，每台锅炉配1根高27m排气筒，周围半径200m范围内最高建筑为凹版厂房</w:t>
            </w:r>
          </w:p>
          <w:p>
            <w:pPr>
              <w:pStyle w:val="TableText"/>
              <w:ind w:left="261"/>
              <w:spacing w:before="171" w:line="216" w:lineRule="auto"/>
              <w:rPr>
                <w:sz w:val="24"/>
                <w:szCs w:val="24"/>
              </w:rPr>
            </w:pPr>
            <w:r>
              <w:rPr>
                <w:sz w:val="24"/>
                <w:szCs w:val="24"/>
              </w:rPr>
              <w:t>(高为23.8m),锅炉废气排气筒高度符合要求。</w:t>
            </w:r>
          </w:p>
          <w:p>
            <w:pPr>
              <w:pStyle w:val="TableText"/>
              <w:ind w:left="144"/>
              <w:spacing w:before="200" w:line="220" w:lineRule="auto"/>
              <w:rPr>
                <w:sz w:val="24"/>
                <w:szCs w:val="24"/>
              </w:rPr>
            </w:pPr>
            <w:r>
              <w:rPr>
                <w:sz w:val="24"/>
                <w:szCs w:val="24"/>
                <w:b/>
                <w:bCs/>
                <w:spacing w:val="-4"/>
              </w:rPr>
              <w:t>4.2.9大气环境影响分析</w:t>
            </w:r>
          </w:p>
          <w:p>
            <w:pPr>
              <w:pStyle w:val="TableText"/>
              <w:ind w:left="640"/>
              <w:spacing w:before="184" w:line="218" w:lineRule="auto"/>
              <w:rPr>
                <w:sz w:val="24"/>
                <w:szCs w:val="24"/>
              </w:rPr>
            </w:pPr>
            <w:r>
              <w:rPr>
                <w:sz w:val="24"/>
                <w:szCs w:val="24"/>
                <w:spacing w:val="1"/>
              </w:rPr>
              <w:t>1、</w:t>
            </w:r>
            <w:r>
              <w:rPr>
                <w:sz w:val="24"/>
                <w:szCs w:val="24"/>
              </w:rPr>
              <w:t>AERSCREEN</w:t>
            </w:r>
            <w:r>
              <w:rPr>
                <w:sz w:val="24"/>
                <w:szCs w:val="24"/>
                <w:spacing w:val="1"/>
              </w:rPr>
              <w:t>估算模型参数</w:t>
            </w:r>
          </w:p>
          <w:p>
            <w:pPr>
              <w:pStyle w:val="TableText"/>
              <w:spacing w:before="167" w:line="470" w:lineRule="exact"/>
              <w:jc w:val="right"/>
              <w:rPr>
                <w:sz w:val="24"/>
                <w:szCs w:val="24"/>
              </w:rPr>
            </w:pPr>
            <w:r>
              <w:rPr>
                <w:sz w:val="24"/>
                <w:szCs w:val="24"/>
                <w:position w:val="17"/>
              </w:rPr>
              <w:t>本项目采用《环境影响评价技术导则-大气环境》(H</w:t>
            </w:r>
            <w:r>
              <w:rPr>
                <w:sz w:val="24"/>
                <w:szCs w:val="24"/>
                <w:spacing w:val="-1"/>
                <w:position w:val="17"/>
              </w:rPr>
              <w:t>J2.2-2018)中附录A推荐</w:t>
            </w:r>
          </w:p>
          <w:p>
            <w:pPr>
              <w:pStyle w:val="TableText"/>
              <w:ind w:left="141"/>
              <w:spacing w:before="1" w:line="217" w:lineRule="auto"/>
              <w:rPr>
                <w:sz w:val="24"/>
                <w:szCs w:val="24"/>
              </w:rPr>
            </w:pPr>
            <w:r>
              <w:rPr>
                <w:sz w:val="24"/>
                <w:szCs w:val="24"/>
              </w:rPr>
              <w:t>模式中的AERSCREEN估算模式预测大气环境影响，选用参数如</w:t>
            </w:r>
            <w:r>
              <w:rPr>
                <w:sz w:val="24"/>
                <w:szCs w:val="24"/>
                <w:spacing w:val="-1"/>
              </w:rPr>
              <w:t>下表所示。</w:t>
            </w:r>
          </w:p>
          <w:p>
            <w:pPr>
              <w:pStyle w:val="TableText"/>
              <w:ind w:left="2744"/>
              <w:spacing w:before="314" w:line="185" w:lineRule="auto"/>
              <w:rPr>
                <w:sz w:val="24"/>
                <w:szCs w:val="24"/>
              </w:rPr>
            </w:pPr>
            <w:r>
              <w:rPr>
                <w:sz w:val="24"/>
                <w:szCs w:val="24"/>
                <w:b/>
                <w:bCs/>
                <w:spacing w:val="-4"/>
              </w:rPr>
              <w:t>表4.2-10估算模型参数一览表</w:t>
            </w:r>
          </w:p>
          <w:tbl>
            <w:tblPr>
              <w:tblStyle w:val="TableNormal"/>
              <w:tblW w:w="8279" w:type="dxa"/>
              <w:tblInd w:w="111"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621"/>
              <w:gridCol w:w="2427"/>
              <w:gridCol w:w="3231"/>
            </w:tblGrid>
            <w:tr>
              <w:trPr>
                <w:trHeight w:val="474" w:hRule="atLeast"/>
              </w:trPr>
              <w:tc>
                <w:tcPr>
                  <w:tcW w:w="5048" w:type="dxa"/>
                  <w:vAlign w:val="top"/>
                  <w:gridSpan w:val="2"/>
                </w:tcPr>
                <w:p>
                  <w:pPr>
                    <w:pStyle w:val="TableText"/>
                    <w:ind w:left="2314"/>
                    <w:spacing w:before="143" w:line="219" w:lineRule="auto"/>
                    <w:rPr>
                      <w:sz w:val="20"/>
                      <w:szCs w:val="20"/>
                    </w:rPr>
                  </w:pPr>
                  <w:r>
                    <w:rPr>
                      <w:sz w:val="20"/>
                      <w:szCs w:val="20"/>
                      <w:spacing w:val="-3"/>
                    </w:rPr>
                    <w:t>参数</w:t>
                  </w:r>
                </w:p>
              </w:tc>
              <w:tc>
                <w:tcPr>
                  <w:tcW w:w="3231" w:type="dxa"/>
                  <w:vAlign w:val="top"/>
                </w:tcPr>
                <w:p>
                  <w:pPr>
                    <w:pStyle w:val="TableText"/>
                    <w:ind w:left="1406"/>
                    <w:spacing w:before="143" w:line="219" w:lineRule="auto"/>
                    <w:rPr>
                      <w:sz w:val="20"/>
                      <w:szCs w:val="20"/>
                    </w:rPr>
                  </w:pPr>
                  <w:r>
                    <w:rPr>
                      <w:sz w:val="20"/>
                      <w:szCs w:val="20"/>
                      <w:spacing w:val="-3"/>
                    </w:rPr>
                    <w:t>取值</w:t>
                  </w:r>
                </w:p>
              </w:tc>
            </w:tr>
            <w:tr>
              <w:trPr>
                <w:trHeight w:val="379" w:hRule="atLeast"/>
              </w:trPr>
              <w:tc>
                <w:tcPr>
                  <w:tcW w:w="2621" w:type="dxa"/>
                  <w:vAlign w:val="top"/>
                  <w:vMerge w:val="restart"/>
                  <w:tcBorders>
                    <w:bottom w:val="nil"/>
                  </w:tcBorders>
                </w:tcPr>
                <w:p>
                  <w:pPr>
                    <w:pStyle w:val="TableText"/>
                    <w:ind w:left="944"/>
                    <w:spacing w:before="277" w:line="219" w:lineRule="auto"/>
                    <w:rPr>
                      <w:sz w:val="20"/>
                      <w:szCs w:val="20"/>
                    </w:rPr>
                  </w:pPr>
                  <w:r>
                    <w:rPr>
                      <w:sz w:val="20"/>
                      <w:szCs w:val="20"/>
                      <w:spacing w:val="1"/>
                    </w:rPr>
                    <w:t>城市/农村选项</w:t>
                  </w:r>
                </w:p>
              </w:tc>
              <w:tc>
                <w:tcPr>
                  <w:tcW w:w="2427" w:type="dxa"/>
                  <w:vAlign w:val="top"/>
                </w:tcPr>
                <w:p>
                  <w:pPr>
                    <w:pStyle w:val="TableText"/>
                    <w:ind w:left="753"/>
                    <w:spacing w:before="87" w:line="219" w:lineRule="auto"/>
                    <w:rPr>
                      <w:sz w:val="20"/>
                      <w:szCs w:val="20"/>
                    </w:rPr>
                  </w:pPr>
                  <w:r>
                    <w:rPr>
                      <w:sz w:val="20"/>
                      <w:szCs w:val="20"/>
                      <w:spacing w:val="-2"/>
                    </w:rPr>
                    <w:t>城市/农村</w:t>
                  </w:r>
                </w:p>
              </w:tc>
              <w:tc>
                <w:tcPr>
                  <w:tcW w:w="3231" w:type="dxa"/>
                  <w:vAlign w:val="top"/>
                </w:tcPr>
                <w:p>
                  <w:pPr>
                    <w:pStyle w:val="TableText"/>
                    <w:ind w:left="1406"/>
                    <w:spacing w:before="89" w:line="219" w:lineRule="auto"/>
                    <w:rPr>
                      <w:sz w:val="20"/>
                      <w:szCs w:val="20"/>
                    </w:rPr>
                  </w:pPr>
                  <w:r>
                    <w:rPr>
                      <w:sz w:val="20"/>
                      <w:szCs w:val="20"/>
                      <w:spacing w:val="-2"/>
                    </w:rPr>
                    <w:t>城市</w:t>
                  </w:r>
                </w:p>
              </w:tc>
            </w:tr>
            <w:tr>
              <w:trPr>
                <w:trHeight w:val="359" w:hRule="atLeast"/>
              </w:trPr>
              <w:tc>
                <w:tcPr>
                  <w:tcW w:w="2621" w:type="dxa"/>
                  <w:vAlign w:val="top"/>
                  <w:vMerge w:val="continue"/>
                  <w:tcBorders>
                    <w:top w:val="nil"/>
                  </w:tcBorders>
                </w:tcPr>
                <w:p>
                  <w:pPr>
                    <w:rPr>
                      <w:rFonts w:ascii="Arial"/>
                      <w:sz w:val="21"/>
                    </w:rPr>
                  </w:pPr>
                  <w:r/>
                </w:p>
              </w:tc>
              <w:tc>
                <w:tcPr>
                  <w:tcW w:w="2427" w:type="dxa"/>
                  <w:vAlign w:val="top"/>
                </w:tcPr>
                <w:p>
                  <w:pPr>
                    <w:pStyle w:val="TableText"/>
                    <w:ind w:left="304"/>
                    <w:spacing w:before="80" w:line="219" w:lineRule="auto"/>
                    <w:rPr>
                      <w:sz w:val="20"/>
                      <w:szCs w:val="20"/>
                    </w:rPr>
                  </w:pPr>
                  <w:r>
                    <w:rPr>
                      <w:sz w:val="20"/>
                      <w:szCs w:val="20"/>
                      <w:spacing w:val="4"/>
                    </w:rPr>
                    <w:t>人口数(城市选项时)</w:t>
                  </w:r>
                </w:p>
              </w:tc>
              <w:tc>
                <w:tcPr>
                  <w:tcW w:w="3231" w:type="dxa"/>
                  <w:vAlign w:val="top"/>
                </w:tcPr>
                <w:p>
                  <w:pPr>
                    <w:pStyle w:val="TableText"/>
                    <w:ind w:left="1306"/>
                    <w:spacing w:before="80" w:line="220" w:lineRule="auto"/>
                    <w:rPr>
                      <w:sz w:val="20"/>
                      <w:szCs w:val="20"/>
                    </w:rPr>
                  </w:pPr>
                  <w:r>
                    <w:rPr>
                      <w:sz w:val="20"/>
                      <w:szCs w:val="20"/>
                      <w:spacing w:val="-2"/>
                    </w:rPr>
                    <w:t>47.9万</w:t>
                  </w:r>
                </w:p>
              </w:tc>
            </w:tr>
            <w:tr>
              <w:trPr>
                <w:trHeight w:val="359" w:hRule="atLeast"/>
              </w:trPr>
              <w:tc>
                <w:tcPr>
                  <w:tcW w:w="5048" w:type="dxa"/>
                  <w:vAlign w:val="top"/>
                  <w:gridSpan w:val="2"/>
                </w:tcPr>
                <w:p>
                  <w:pPr>
                    <w:pStyle w:val="TableText"/>
                    <w:ind w:left="1765"/>
                    <w:spacing w:before="131" w:line="201" w:lineRule="auto"/>
                    <w:rPr>
                      <w:sz w:val="20"/>
                      <w:szCs w:val="20"/>
                    </w:rPr>
                  </w:pPr>
                  <w:r>
                    <w:rPr>
                      <w:sz w:val="20"/>
                      <w:szCs w:val="20"/>
                      <w:spacing w:val="3"/>
                    </w:rPr>
                    <w:t>最高环境温度/℃</w:t>
                  </w:r>
                </w:p>
              </w:tc>
              <w:tc>
                <w:tcPr>
                  <w:tcW w:w="3231" w:type="dxa"/>
                  <w:vAlign w:val="top"/>
                </w:tcPr>
                <w:p>
                  <w:pPr>
                    <w:pStyle w:val="TableText"/>
                    <w:ind w:left="1406"/>
                    <w:spacing w:before="182" w:line="167" w:lineRule="exact"/>
                    <w:rPr>
                      <w:sz w:val="20"/>
                      <w:szCs w:val="20"/>
                    </w:rPr>
                  </w:pPr>
                  <w:r>
                    <w:rPr>
                      <w:sz w:val="20"/>
                      <w:szCs w:val="20"/>
                      <w:spacing w:val="-3"/>
                      <w:position w:val="-2"/>
                    </w:rPr>
                    <w:t>38.9</w:t>
                  </w:r>
                </w:p>
              </w:tc>
            </w:tr>
            <w:tr>
              <w:trPr>
                <w:trHeight w:val="389" w:hRule="atLeast"/>
              </w:trPr>
              <w:tc>
                <w:tcPr>
                  <w:tcW w:w="5048" w:type="dxa"/>
                  <w:vAlign w:val="top"/>
                  <w:gridSpan w:val="2"/>
                </w:tcPr>
                <w:p>
                  <w:pPr>
                    <w:pStyle w:val="TableText"/>
                    <w:ind w:left="1765"/>
                    <w:spacing w:before="151" w:line="210" w:lineRule="auto"/>
                    <w:rPr>
                      <w:sz w:val="20"/>
                      <w:szCs w:val="20"/>
                    </w:rPr>
                  </w:pPr>
                  <w:r>
                    <w:rPr>
                      <w:sz w:val="20"/>
                      <w:szCs w:val="20"/>
                      <w:spacing w:val="3"/>
                    </w:rPr>
                    <w:t>最低环境温度/℃</w:t>
                  </w:r>
                </w:p>
              </w:tc>
              <w:tc>
                <w:tcPr>
                  <w:tcW w:w="3231" w:type="dxa"/>
                  <w:vAlign w:val="top"/>
                </w:tcPr>
                <w:p>
                  <w:pPr>
                    <w:pStyle w:val="TableText"/>
                    <w:ind w:left="1457"/>
                    <w:spacing w:before="203" w:line="162" w:lineRule="auto"/>
                    <w:rPr>
                      <w:sz w:val="20"/>
                      <w:szCs w:val="20"/>
                    </w:rPr>
                  </w:pPr>
                  <w:r>
                    <w:rPr>
                      <w:sz w:val="20"/>
                      <w:szCs w:val="20"/>
                      <w:spacing w:val="-3"/>
                    </w:rPr>
                    <w:t>0.9</w:t>
                  </w:r>
                </w:p>
              </w:tc>
            </w:tr>
            <w:tr>
              <w:trPr>
                <w:trHeight w:val="359" w:hRule="atLeast"/>
              </w:trPr>
              <w:tc>
                <w:tcPr>
                  <w:tcW w:w="5048" w:type="dxa"/>
                  <w:vAlign w:val="top"/>
                  <w:gridSpan w:val="2"/>
                </w:tcPr>
                <w:p>
                  <w:pPr>
                    <w:pStyle w:val="TableText"/>
                    <w:ind w:left="1914"/>
                    <w:spacing w:before="83" w:line="219" w:lineRule="auto"/>
                    <w:rPr>
                      <w:sz w:val="20"/>
                      <w:szCs w:val="20"/>
                    </w:rPr>
                  </w:pPr>
                  <w:r>
                    <w:rPr>
                      <w:sz w:val="20"/>
                      <w:szCs w:val="20"/>
                      <w:spacing w:val="2"/>
                    </w:rPr>
                    <w:t>土地利用类型</w:t>
                  </w:r>
                </w:p>
              </w:tc>
              <w:tc>
                <w:tcPr>
                  <w:tcW w:w="3231" w:type="dxa"/>
                  <w:vAlign w:val="top"/>
                </w:tcPr>
                <w:p>
                  <w:pPr>
                    <w:pStyle w:val="TableText"/>
                    <w:ind w:left="1206"/>
                    <w:spacing w:before="84" w:line="221" w:lineRule="auto"/>
                    <w:rPr>
                      <w:sz w:val="20"/>
                      <w:szCs w:val="20"/>
                    </w:rPr>
                  </w:pPr>
                  <w:r>
                    <w:rPr>
                      <w:sz w:val="20"/>
                      <w:szCs w:val="20"/>
                      <w:spacing w:val="-2"/>
                    </w:rPr>
                    <w:t>建设用地</w:t>
                  </w:r>
                </w:p>
              </w:tc>
            </w:tr>
            <w:tr>
              <w:trPr>
                <w:trHeight w:val="379" w:hRule="atLeast"/>
              </w:trPr>
              <w:tc>
                <w:tcPr>
                  <w:tcW w:w="5048" w:type="dxa"/>
                  <w:vAlign w:val="top"/>
                  <w:gridSpan w:val="2"/>
                </w:tcPr>
                <w:p>
                  <w:pPr>
                    <w:pStyle w:val="TableText"/>
                    <w:ind w:left="1914"/>
                    <w:spacing w:before="94" w:line="219" w:lineRule="auto"/>
                    <w:rPr>
                      <w:sz w:val="20"/>
                      <w:szCs w:val="20"/>
                    </w:rPr>
                  </w:pPr>
                  <w:r>
                    <w:rPr>
                      <w:sz w:val="20"/>
                      <w:szCs w:val="20"/>
                      <w:spacing w:val="1"/>
                    </w:rPr>
                    <w:t>区域湿度条件</w:t>
                  </w:r>
                </w:p>
              </w:tc>
              <w:tc>
                <w:tcPr>
                  <w:tcW w:w="3231" w:type="dxa"/>
                  <w:vAlign w:val="top"/>
                </w:tcPr>
                <w:p>
                  <w:pPr>
                    <w:pStyle w:val="TableText"/>
                    <w:ind w:left="1206"/>
                    <w:spacing w:before="94" w:line="219" w:lineRule="auto"/>
                    <w:rPr>
                      <w:sz w:val="20"/>
                      <w:szCs w:val="20"/>
                    </w:rPr>
                  </w:pPr>
                  <w:r>
                    <w:rPr>
                      <w:sz w:val="20"/>
                      <w:szCs w:val="20"/>
                      <w:spacing w:val="-2"/>
                    </w:rPr>
                    <w:t>潮湿气候</w:t>
                  </w:r>
                </w:p>
              </w:tc>
            </w:tr>
            <w:tr>
              <w:trPr>
                <w:trHeight w:val="359" w:hRule="atLeast"/>
              </w:trPr>
              <w:tc>
                <w:tcPr>
                  <w:tcW w:w="5048" w:type="dxa"/>
                  <w:vAlign w:val="top"/>
                  <w:gridSpan w:val="2"/>
                </w:tcPr>
                <w:p>
                  <w:pPr>
                    <w:pStyle w:val="TableText"/>
                    <w:ind w:left="1814"/>
                    <w:spacing w:before="85" w:line="219" w:lineRule="auto"/>
                    <w:rPr>
                      <w:sz w:val="20"/>
                      <w:szCs w:val="20"/>
                    </w:rPr>
                  </w:pPr>
                  <w:r>
                    <w:rPr>
                      <w:sz w:val="20"/>
                      <w:szCs w:val="20"/>
                      <w:spacing w:val="-1"/>
                    </w:rPr>
                    <w:t>地形数据分辨率</w:t>
                  </w:r>
                </w:p>
              </w:tc>
              <w:tc>
                <w:tcPr>
                  <w:tcW w:w="3231" w:type="dxa"/>
                  <w:vAlign w:val="top"/>
                </w:tcPr>
                <w:p>
                  <w:pPr>
                    <w:pStyle w:val="TableText"/>
                    <w:ind w:left="1457"/>
                    <w:spacing w:before="136" w:line="183" w:lineRule="auto"/>
                    <w:rPr>
                      <w:sz w:val="20"/>
                      <w:szCs w:val="20"/>
                    </w:rPr>
                  </w:pPr>
                  <w:r>
                    <w:rPr>
                      <w:sz w:val="20"/>
                      <w:szCs w:val="20"/>
                      <w:spacing w:val="-2"/>
                    </w:rPr>
                    <w:t>90m</w:t>
                  </w:r>
                </w:p>
              </w:tc>
            </w:tr>
            <w:tr>
              <w:trPr>
                <w:trHeight w:val="359" w:hRule="atLeast"/>
              </w:trPr>
              <w:tc>
                <w:tcPr>
                  <w:tcW w:w="2621" w:type="dxa"/>
                  <w:vAlign w:val="top"/>
                  <w:vMerge w:val="restart"/>
                  <w:tcBorders>
                    <w:bottom w:val="nil"/>
                  </w:tcBorders>
                </w:tcPr>
                <w:p>
                  <w:pPr>
                    <w:spacing w:line="407" w:lineRule="auto"/>
                    <w:rPr>
                      <w:rFonts w:ascii="Arial"/>
                      <w:sz w:val="21"/>
                    </w:rPr>
                  </w:pPr>
                  <w:r/>
                </w:p>
                <w:p>
                  <w:pPr>
                    <w:pStyle w:val="TableText"/>
                    <w:ind w:left="324"/>
                    <w:spacing w:before="65" w:line="219" w:lineRule="auto"/>
                    <w:rPr>
                      <w:sz w:val="20"/>
                      <w:szCs w:val="20"/>
                    </w:rPr>
                  </w:pPr>
                  <w:r>
                    <w:rPr>
                      <w:sz w:val="20"/>
                      <w:szCs w:val="20"/>
                      <w:spacing w:val="1"/>
                    </w:rPr>
                    <w:t>是否考虑海岸线熏烟</w:t>
                  </w:r>
                </w:p>
              </w:tc>
              <w:tc>
                <w:tcPr>
                  <w:tcW w:w="2427" w:type="dxa"/>
                  <w:vAlign w:val="top"/>
                </w:tcPr>
                <w:p>
                  <w:pPr>
                    <w:pStyle w:val="TableText"/>
                    <w:ind w:left="953"/>
                    <w:spacing w:before="86" w:line="220" w:lineRule="auto"/>
                    <w:rPr>
                      <w:sz w:val="20"/>
                      <w:szCs w:val="20"/>
                    </w:rPr>
                  </w:pPr>
                  <w:r>
                    <w:rPr>
                      <w:sz w:val="20"/>
                      <w:szCs w:val="20"/>
                      <w:spacing w:val="4"/>
                    </w:rPr>
                    <w:t>是/否</w:t>
                  </w:r>
                </w:p>
              </w:tc>
              <w:tc>
                <w:tcPr>
                  <w:tcW w:w="3231" w:type="dxa"/>
                  <w:vAlign w:val="top"/>
                </w:tcPr>
                <w:p>
                  <w:pPr>
                    <w:pStyle w:val="TableText"/>
                    <w:ind w:left="1506"/>
                    <w:spacing w:before="89" w:line="223" w:lineRule="auto"/>
                    <w:rPr>
                      <w:sz w:val="20"/>
                      <w:szCs w:val="20"/>
                    </w:rPr>
                  </w:pPr>
                  <w:r>
                    <w:rPr>
                      <w:sz w:val="20"/>
                      <w:szCs w:val="20"/>
                    </w:rPr>
                    <w:t>是</w:t>
                  </w:r>
                </w:p>
              </w:tc>
            </w:tr>
            <w:tr>
              <w:trPr>
                <w:trHeight w:val="389" w:hRule="atLeast"/>
              </w:trPr>
              <w:tc>
                <w:tcPr>
                  <w:tcW w:w="2621" w:type="dxa"/>
                  <w:vAlign w:val="top"/>
                  <w:vMerge w:val="continue"/>
                  <w:tcBorders>
                    <w:top w:val="nil"/>
                    <w:bottom w:val="nil"/>
                  </w:tcBorders>
                </w:tcPr>
                <w:p>
                  <w:pPr>
                    <w:rPr>
                      <w:rFonts w:ascii="Arial"/>
                      <w:sz w:val="21"/>
                    </w:rPr>
                  </w:pPr>
                  <w:r/>
                </w:p>
              </w:tc>
              <w:tc>
                <w:tcPr>
                  <w:tcW w:w="2427" w:type="dxa"/>
                  <w:vAlign w:val="top"/>
                </w:tcPr>
                <w:p>
                  <w:pPr>
                    <w:pStyle w:val="TableText"/>
                    <w:ind w:left="604"/>
                    <w:spacing w:before="107" w:line="220" w:lineRule="auto"/>
                    <w:rPr>
                      <w:sz w:val="20"/>
                      <w:szCs w:val="20"/>
                    </w:rPr>
                  </w:pPr>
                  <w:r>
                    <w:rPr>
                      <w:sz w:val="20"/>
                      <w:szCs w:val="20"/>
                      <w:spacing w:val="-1"/>
                    </w:rPr>
                    <w:t>海岸线距离/m</w:t>
                  </w:r>
                </w:p>
              </w:tc>
              <w:tc>
                <w:tcPr>
                  <w:tcW w:w="3231" w:type="dxa"/>
                  <w:vAlign w:val="top"/>
                </w:tcPr>
                <w:p>
                  <w:pPr>
                    <w:pStyle w:val="TableText"/>
                    <w:ind w:left="1356"/>
                    <w:spacing w:before="158" w:line="183" w:lineRule="auto"/>
                    <w:rPr>
                      <w:sz w:val="20"/>
                      <w:szCs w:val="20"/>
                    </w:rPr>
                  </w:pPr>
                  <w:r>
                    <w:rPr>
                      <w:sz w:val="20"/>
                      <w:szCs w:val="20"/>
                      <w:spacing w:val="-2"/>
                    </w:rPr>
                    <w:t>2900m</w:t>
                  </w:r>
                </w:p>
              </w:tc>
            </w:tr>
            <w:tr>
              <w:trPr>
                <w:trHeight w:val="364" w:hRule="atLeast"/>
              </w:trPr>
              <w:tc>
                <w:tcPr>
                  <w:tcW w:w="2621" w:type="dxa"/>
                  <w:vAlign w:val="top"/>
                  <w:vMerge w:val="continue"/>
                  <w:tcBorders>
                    <w:top w:val="nil"/>
                  </w:tcBorders>
                </w:tcPr>
                <w:p>
                  <w:pPr>
                    <w:rPr>
                      <w:rFonts w:ascii="Arial"/>
                      <w:sz w:val="21"/>
                    </w:rPr>
                  </w:pPr>
                  <w:r/>
                </w:p>
              </w:tc>
              <w:tc>
                <w:tcPr>
                  <w:tcW w:w="2427" w:type="dxa"/>
                  <w:vAlign w:val="top"/>
                </w:tcPr>
                <w:p>
                  <w:pPr>
                    <w:pStyle w:val="TableText"/>
                    <w:ind w:left="653"/>
                    <w:spacing w:before="88" w:line="220" w:lineRule="auto"/>
                    <w:rPr>
                      <w:sz w:val="20"/>
                      <w:szCs w:val="20"/>
                    </w:rPr>
                  </w:pPr>
                  <w:r>
                    <w:rPr>
                      <w:sz w:val="20"/>
                      <w:szCs w:val="20"/>
                      <w:spacing w:val="-2"/>
                    </w:rPr>
                    <w:t>海岸线方向/</w:t>
                  </w:r>
                </w:p>
              </w:tc>
              <w:tc>
                <w:tcPr>
                  <w:tcW w:w="3231" w:type="dxa"/>
                  <w:vAlign w:val="top"/>
                </w:tcPr>
                <w:p>
                  <w:pPr>
                    <w:pStyle w:val="TableText"/>
                    <w:ind w:left="1556"/>
                    <w:spacing w:before="93" w:line="224" w:lineRule="auto"/>
                    <w:rPr>
                      <w:sz w:val="20"/>
                      <w:szCs w:val="20"/>
                    </w:rPr>
                  </w:pPr>
                  <w:r>
                    <w:rPr>
                      <w:sz w:val="20"/>
                      <w:szCs w:val="20"/>
                    </w:rPr>
                    <w:t>/</w:t>
                  </w:r>
                </w:p>
              </w:tc>
            </w:tr>
          </w:tbl>
          <w:p>
            <w:pPr>
              <w:spacing w:line="384" w:lineRule="auto"/>
              <w:rPr>
                <w:rFonts w:ascii="Arial"/>
                <w:sz w:val="21"/>
              </w:rPr>
            </w:pPr>
            <w:r/>
          </w:p>
          <w:p>
            <w:pPr>
              <w:pStyle w:val="TableText"/>
              <w:ind w:left="590"/>
              <w:spacing w:before="78" w:line="219" w:lineRule="auto"/>
              <w:rPr>
                <w:sz w:val="24"/>
                <w:szCs w:val="24"/>
              </w:rPr>
            </w:pPr>
            <w:r>
              <w:rPr>
                <w:sz w:val="24"/>
                <w:szCs w:val="24"/>
                <w:spacing w:val="1"/>
              </w:rPr>
              <w:t>2、污染源源强参数</w:t>
            </w:r>
          </w:p>
          <w:p>
            <w:pPr>
              <w:pStyle w:val="TableText"/>
              <w:spacing w:before="194" w:line="451" w:lineRule="exact"/>
              <w:jc w:val="right"/>
              <w:rPr>
                <w:sz w:val="24"/>
                <w:szCs w:val="24"/>
              </w:rPr>
            </w:pPr>
            <w:r>
              <w:rPr>
                <w:sz w:val="24"/>
                <w:szCs w:val="24"/>
                <w:spacing w:val="-1"/>
                <w:position w:val="15"/>
              </w:rPr>
              <w:t>本项目大气污染源主要为生产车间产生的非甲烷总烃、锅炉废气和污水处理</w:t>
            </w:r>
          </w:p>
          <w:p>
            <w:pPr>
              <w:pStyle w:val="TableText"/>
              <w:ind w:left="161"/>
              <w:spacing w:before="1" w:line="219" w:lineRule="auto"/>
              <w:rPr>
                <w:sz w:val="24"/>
                <w:szCs w:val="24"/>
              </w:rPr>
            </w:pPr>
            <w:r>
              <w:rPr>
                <w:sz w:val="24"/>
                <w:szCs w:val="24"/>
                <w:spacing w:val="3"/>
              </w:rPr>
              <w:t>设施废气，根据污染源强分析，污染因子源强参数见下表所示.</w:t>
            </w:r>
          </w:p>
        </w:tc>
      </w:tr>
    </w:tbl>
    <w:p>
      <w:pPr>
        <w:rPr>
          <w:rFonts w:ascii="Arial"/>
          <w:sz w:val="21"/>
        </w:rPr>
      </w:pPr>
      <w:r/>
    </w:p>
    <w:p>
      <w:pPr>
        <w:sectPr>
          <w:footerReference w:type="default" r:id="rId105"/>
          <w:pgSz w:w="11900" w:h="16840"/>
          <w:pgMar w:top="1431" w:right="1494" w:bottom="988" w:left="1234" w:header="0" w:footer="849" w:gutter="0"/>
        </w:sectPr>
        <w:rPr>
          <w:rFonts w:ascii="Arial" w:hAnsi="Arial" w:eastAsia="Arial" w:cs="Arial"/>
          <w:sz w:val="21"/>
          <w:szCs w:val="21"/>
        </w:rPr>
      </w:pPr>
    </w:p>
    <w:p>
      <w:pPr>
        <w:ind w:left="4818"/>
        <w:spacing w:before="282" w:line="221" w:lineRule="auto"/>
        <w:rPr>
          <w:rFonts w:ascii="SimHei" w:hAnsi="SimHei" w:eastAsia="SimHei" w:cs="SimHei"/>
          <w:sz w:val="24"/>
          <w:szCs w:val="24"/>
        </w:rPr>
      </w:pPr>
      <w:r>
        <w:rPr>
          <w:rFonts w:ascii="SimHei" w:hAnsi="SimHei" w:eastAsia="SimHei" w:cs="SimHei"/>
          <w:sz w:val="24"/>
          <w:szCs w:val="24"/>
          <w:b/>
          <w:bCs/>
          <w:spacing w:val="-6"/>
        </w:rPr>
        <w:t>表4.2-11</w:t>
      </w:r>
      <w:r>
        <w:rPr>
          <w:rFonts w:ascii="SimHei" w:hAnsi="SimHei" w:eastAsia="SimHei" w:cs="SimHei"/>
          <w:sz w:val="24"/>
          <w:szCs w:val="24"/>
          <w:spacing w:val="-6"/>
        </w:rPr>
        <w:t xml:space="preserve"> </w:t>
      </w:r>
      <w:r>
        <w:rPr>
          <w:rFonts w:ascii="SimHei" w:hAnsi="SimHei" w:eastAsia="SimHei" w:cs="SimHei"/>
          <w:sz w:val="24"/>
          <w:szCs w:val="24"/>
          <w:b/>
          <w:bCs/>
          <w:spacing w:val="-6"/>
        </w:rPr>
        <w:t>项目大气污染源正常排放参数表</w:t>
      </w:r>
    </w:p>
    <w:p>
      <w:pPr>
        <w:spacing w:line="153" w:lineRule="exact"/>
        <w:rPr/>
      </w:pPr>
      <w:r/>
    </w:p>
    <w:tbl>
      <w:tblPr>
        <w:tblStyle w:val="TableNormal"/>
        <w:tblW w:w="13929" w:type="dxa"/>
        <w:tblInd w:w="2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54"/>
        <w:gridCol w:w="1119"/>
        <w:gridCol w:w="810"/>
        <w:gridCol w:w="869"/>
        <w:gridCol w:w="1479"/>
        <w:gridCol w:w="899"/>
        <w:gridCol w:w="1029"/>
        <w:gridCol w:w="1069"/>
        <w:gridCol w:w="1089"/>
        <w:gridCol w:w="919"/>
        <w:gridCol w:w="1499"/>
        <w:gridCol w:w="840"/>
        <w:gridCol w:w="754"/>
      </w:tblGrid>
      <w:tr>
        <w:trPr>
          <w:trHeight w:val="354" w:hRule="atLeast"/>
        </w:trPr>
        <w:tc>
          <w:tcPr>
            <w:tcW w:w="2673" w:type="dxa"/>
            <w:vAlign w:val="top"/>
            <w:gridSpan w:val="2"/>
            <w:vMerge w:val="restart"/>
            <w:tcBorders>
              <w:bottom w:val="nil"/>
            </w:tcBorders>
          </w:tcPr>
          <w:p>
            <w:pPr>
              <w:spacing w:line="252" w:lineRule="auto"/>
              <w:rPr>
                <w:rFonts w:ascii="Arial"/>
                <w:sz w:val="21"/>
              </w:rPr>
            </w:pPr>
            <w:r/>
          </w:p>
          <w:p>
            <w:pPr>
              <w:spacing w:line="253" w:lineRule="auto"/>
              <w:rPr>
                <w:rFonts w:ascii="Arial"/>
                <w:sz w:val="21"/>
              </w:rPr>
            </w:pPr>
            <w:r/>
          </w:p>
          <w:p>
            <w:pPr>
              <w:pStyle w:val="TableText"/>
              <w:ind w:left="1034"/>
              <w:spacing w:before="65" w:line="220" w:lineRule="auto"/>
              <w:rPr>
                <w:sz w:val="20"/>
                <w:szCs w:val="20"/>
              </w:rPr>
            </w:pPr>
            <w:r>
              <w:rPr>
                <w:sz w:val="20"/>
                <w:szCs w:val="20"/>
                <w:spacing w:val="-2"/>
              </w:rPr>
              <w:t>废气源</w:t>
            </w:r>
          </w:p>
        </w:tc>
        <w:tc>
          <w:tcPr>
            <w:tcW w:w="7244" w:type="dxa"/>
            <w:vAlign w:val="top"/>
            <w:gridSpan w:val="7"/>
          </w:tcPr>
          <w:p>
            <w:pPr>
              <w:pStyle w:val="TableText"/>
              <w:ind w:left="3221"/>
              <w:spacing w:before="83" w:line="219" w:lineRule="auto"/>
              <w:rPr>
                <w:sz w:val="20"/>
                <w:szCs w:val="20"/>
              </w:rPr>
            </w:pPr>
            <w:r>
              <w:rPr>
                <w:sz w:val="20"/>
                <w:szCs w:val="20"/>
                <w:spacing w:val="-2"/>
              </w:rPr>
              <w:t>排放参数</w:t>
            </w:r>
          </w:p>
        </w:tc>
        <w:tc>
          <w:tcPr>
            <w:tcW w:w="919" w:type="dxa"/>
            <w:vAlign w:val="top"/>
            <w:vMerge w:val="restart"/>
            <w:tcBorders>
              <w:bottom w:val="nil"/>
            </w:tcBorders>
          </w:tcPr>
          <w:p>
            <w:pPr>
              <w:spacing w:line="354" w:lineRule="auto"/>
              <w:rPr>
                <w:rFonts w:ascii="Arial"/>
                <w:sz w:val="21"/>
              </w:rPr>
            </w:pPr>
            <w:r/>
          </w:p>
          <w:p>
            <w:pPr>
              <w:pStyle w:val="TableText"/>
              <w:ind w:left="157" w:right="34" w:hanging="100"/>
              <w:spacing w:before="65" w:line="244" w:lineRule="auto"/>
              <w:rPr>
                <w:sz w:val="20"/>
                <w:szCs w:val="20"/>
              </w:rPr>
            </w:pPr>
            <w:r>
              <w:rPr>
                <w:sz w:val="20"/>
                <w:szCs w:val="20"/>
                <w:spacing w:val="4"/>
              </w:rPr>
              <w:t>年排放小</w:t>
            </w:r>
            <w:r>
              <w:rPr>
                <w:sz w:val="20"/>
                <w:szCs w:val="20"/>
              </w:rPr>
              <w:t xml:space="preserve"> </w:t>
            </w:r>
            <w:r>
              <w:rPr>
                <w:sz w:val="20"/>
                <w:szCs w:val="20"/>
                <w:spacing w:val="1"/>
              </w:rPr>
              <w:t>时数/h</w:t>
            </w:r>
          </w:p>
        </w:tc>
        <w:tc>
          <w:tcPr>
            <w:tcW w:w="1499" w:type="dxa"/>
            <w:vAlign w:val="top"/>
            <w:vMerge w:val="restart"/>
            <w:tcBorders>
              <w:bottom w:val="nil"/>
            </w:tcBorders>
          </w:tcPr>
          <w:p>
            <w:pPr>
              <w:spacing w:line="252" w:lineRule="auto"/>
              <w:rPr>
                <w:rFonts w:ascii="Arial"/>
                <w:sz w:val="21"/>
              </w:rPr>
            </w:pPr>
            <w:r/>
          </w:p>
          <w:p>
            <w:pPr>
              <w:spacing w:line="253" w:lineRule="auto"/>
              <w:rPr>
                <w:rFonts w:ascii="Arial"/>
                <w:sz w:val="21"/>
              </w:rPr>
            </w:pPr>
            <w:r/>
          </w:p>
          <w:p>
            <w:pPr>
              <w:pStyle w:val="TableText"/>
              <w:ind w:left="248"/>
              <w:spacing w:before="65" w:line="220" w:lineRule="auto"/>
              <w:rPr>
                <w:sz w:val="20"/>
                <w:szCs w:val="20"/>
              </w:rPr>
            </w:pPr>
            <w:r>
              <w:rPr>
                <w:sz w:val="20"/>
                <w:szCs w:val="20"/>
                <w:spacing w:val="-2"/>
              </w:rPr>
              <w:t>污染物名称</w:t>
            </w:r>
          </w:p>
        </w:tc>
        <w:tc>
          <w:tcPr>
            <w:tcW w:w="1594" w:type="dxa"/>
            <w:vAlign w:val="top"/>
            <w:gridSpan w:val="2"/>
            <w:vMerge w:val="restart"/>
            <w:tcBorders>
              <w:bottom w:val="nil"/>
            </w:tcBorders>
          </w:tcPr>
          <w:p>
            <w:pPr>
              <w:pStyle w:val="TableText"/>
              <w:ind w:left="390"/>
              <w:spacing w:before="102" w:line="264" w:lineRule="exact"/>
              <w:rPr>
                <w:sz w:val="20"/>
                <w:szCs w:val="20"/>
              </w:rPr>
            </w:pPr>
            <w:r>
              <w:rPr>
                <w:sz w:val="20"/>
                <w:szCs w:val="20"/>
                <w:spacing w:val="-2"/>
                <w:position w:val="4"/>
              </w:rPr>
              <w:t>排放速率</w:t>
            </w:r>
          </w:p>
          <w:p>
            <w:pPr>
              <w:pStyle w:val="TableText"/>
              <w:ind w:left="489"/>
              <w:spacing w:line="213" w:lineRule="auto"/>
              <w:rPr>
                <w:sz w:val="20"/>
                <w:szCs w:val="20"/>
              </w:rPr>
            </w:pPr>
            <w:r>
              <w:rPr>
                <w:sz w:val="20"/>
                <w:szCs w:val="20"/>
                <w:spacing w:val="-6"/>
              </w:rPr>
              <w:t>(kg/h)</w:t>
            </w:r>
          </w:p>
        </w:tc>
      </w:tr>
      <w:tr>
        <w:trPr>
          <w:trHeight w:val="299" w:hRule="atLeast"/>
        </w:trPr>
        <w:tc>
          <w:tcPr>
            <w:tcW w:w="2673" w:type="dxa"/>
            <w:vAlign w:val="top"/>
            <w:gridSpan w:val="2"/>
            <w:vMerge w:val="continue"/>
            <w:tcBorders>
              <w:top w:val="nil"/>
              <w:bottom w:val="nil"/>
            </w:tcBorders>
          </w:tcPr>
          <w:p>
            <w:pPr>
              <w:rPr>
                <w:rFonts w:ascii="Arial"/>
                <w:sz w:val="21"/>
              </w:rPr>
            </w:pPr>
            <w:r/>
          </w:p>
        </w:tc>
        <w:tc>
          <w:tcPr>
            <w:tcW w:w="1679" w:type="dxa"/>
            <w:vAlign w:val="top"/>
            <w:gridSpan w:val="2"/>
            <w:vMerge w:val="restart"/>
            <w:tcBorders>
              <w:bottom w:val="nil"/>
            </w:tcBorders>
          </w:tcPr>
          <w:p>
            <w:pPr>
              <w:pStyle w:val="TableText"/>
              <w:ind w:left="431" w:right="123" w:hanging="300"/>
              <w:spacing w:before="108"/>
              <w:rPr>
                <w:sz w:val="20"/>
                <w:szCs w:val="20"/>
              </w:rPr>
            </w:pPr>
            <w:r>
              <w:rPr>
                <w:sz w:val="20"/>
                <w:szCs w:val="20"/>
                <w:spacing w:val="1"/>
              </w:rPr>
              <w:t>排气筒底部中心</w:t>
            </w:r>
            <w:r>
              <w:rPr>
                <w:sz w:val="20"/>
                <w:szCs w:val="20"/>
                <w:spacing w:val="5"/>
              </w:rPr>
              <w:t xml:space="preserve"> </w:t>
            </w:r>
            <w:r>
              <w:rPr>
                <w:sz w:val="20"/>
                <w:szCs w:val="20"/>
                <w:spacing w:val="-2"/>
              </w:rPr>
              <w:t>相对坐标</w:t>
            </w:r>
          </w:p>
        </w:tc>
        <w:tc>
          <w:tcPr>
            <w:tcW w:w="1479" w:type="dxa"/>
            <w:vAlign w:val="top"/>
            <w:vMerge w:val="restart"/>
            <w:tcBorders>
              <w:bottom w:val="nil"/>
            </w:tcBorders>
          </w:tcPr>
          <w:p>
            <w:pPr>
              <w:pStyle w:val="TableText"/>
              <w:ind w:left="332" w:right="143" w:hanging="200"/>
              <w:spacing w:before="258" w:line="239" w:lineRule="auto"/>
              <w:rPr>
                <w:sz w:val="20"/>
                <w:szCs w:val="20"/>
              </w:rPr>
            </w:pPr>
            <w:r>
              <w:rPr>
                <w:sz w:val="20"/>
                <w:szCs w:val="20"/>
                <w:spacing w:val="-2"/>
              </w:rPr>
              <w:t>排气筒底部海</w:t>
            </w:r>
            <w:r>
              <w:rPr>
                <w:sz w:val="20"/>
                <w:szCs w:val="20"/>
                <w:spacing w:val="3"/>
              </w:rPr>
              <w:t xml:space="preserve"> </w:t>
            </w:r>
            <w:r>
              <w:rPr>
                <w:sz w:val="20"/>
                <w:szCs w:val="20"/>
                <w:spacing w:val="-2"/>
              </w:rPr>
              <w:t>拔高度/m</w:t>
            </w:r>
          </w:p>
        </w:tc>
        <w:tc>
          <w:tcPr>
            <w:tcW w:w="899" w:type="dxa"/>
            <w:vAlign w:val="top"/>
            <w:vMerge w:val="restart"/>
            <w:tcBorders>
              <w:bottom w:val="nil"/>
            </w:tcBorders>
          </w:tcPr>
          <w:p>
            <w:pPr>
              <w:pStyle w:val="TableText"/>
              <w:ind w:left="243" w:right="52" w:hanging="199"/>
              <w:spacing w:before="249" w:line="244" w:lineRule="auto"/>
              <w:rPr>
                <w:sz w:val="20"/>
                <w:szCs w:val="20"/>
              </w:rPr>
            </w:pPr>
            <w:r>
              <w:rPr>
                <w:sz w:val="20"/>
                <w:szCs w:val="20"/>
                <w:spacing w:val="-2"/>
              </w:rPr>
              <w:t>排气筒高</w:t>
            </w:r>
            <w:r>
              <w:rPr>
                <w:sz w:val="20"/>
                <w:szCs w:val="20"/>
              </w:rPr>
              <w:t xml:space="preserve"> </w:t>
            </w:r>
            <w:r>
              <w:rPr>
                <w:sz w:val="20"/>
                <w:szCs w:val="20"/>
                <w:spacing w:val="-2"/>
              </w:rPr>
              <w:t>度/m</w:t>
            </w:r>
          </w:p>
        </w:tc>
        <w:tc>
          <w:tcPr>
            <w:tcW w:w="1029" w:type="dxa"/>
            <w:vAlign w:val="top"/>
            <w:vMerge w:val="restart"/>
            <w:tcBorders>
              <w:bottom w:val="nil"/>
            </w:tcBorders>
          </w:tcPr>
          <w:p>
            <w:pPr>
              <w:pStyle w:val="TableText"/>
              <w:ind w:left="154" w:right="89" w:hanging="50"/>
              <w:spacing w:before="258" w:line="239" w:lineRule="auto"/>
              <w:rPr>
                <w:sz w:val="20"/>
                <w:szCs w:val="20"/>
              </w:rPr>
            </w:pPr>
            <w:r>
              <w:rPr>
                <w:sz w:val="20"/>
                <w:szCs w:val="20"/>
                <w:spacing w:val="6"/>
              </w:rPr>
              <w:t>排气筒出</w:t>
            </w:r>
            <w:r>
              <w:rPr>
                <w:sz w:val="20"/>
                <w:szCs w:val="20"/>
              </w:rPr>
              <w:t xml:space="preserve"> </w:t>
            </w:r>
            <w:r>
              <w:rPr>
                <w:sz w:val="20"/>
                <w:szCs w:val="20"/>
              </w:rPr>
              <w:t>口内径m</w:t>
            </w:r>
          </w:p>
        </w:tc>
        <w:tc>
          <w:tcPr>
            <w:tcW w:w="1069" w:type="dxa"/>
            <w:vAlign w:val="top"/>
            <w:vMerge w:val="restart"/>
            <w:tcBorders>
              <w:bottom w:val="nil"/>
            </w:tcBorders>
          </w:tcPr>
          <w:p>
            <w:pPr>
              <w:pStyle w:val="TableText"/>
              <w:ind w:left="125" w:right="141"/>
              <w:spacing w:before="280" w:line="241" w:lineRule="auto"/>
              <w:rPr>
                <w:sz w:val="20"/>
                <w:szCs w:val="20"/>
              </w:rPr>
            </w:pPr>
            <w:r>
              <w:rPr>
                <w:sz w:val="20"/>
                <w:szCs w:val="20"/>
                <w:spacing w:val="-3"/>
              </w:rPr>
              <w:t>烟气流速</w:t>
            </w:r>
            <w:r>
              <w:rPr>
                <w:sz w:val="20"/>
                <w:szCs w:val="20"/>
                <w:spacing w:val="2"/>
              </w:rPr>
              <w:t xml:space="preserve"> </w:t>
            </w:r>
            <w:r>
              <w:rPr>
                <w:sz w:val="20"/>
                <w:szCs w:val="20"/>
                <w:spacing w:val="-1"/>
              </w:rPr>
              <w:t>/(m³/h)</w:t>
            </w:r>
          </w:p>
        </w:tc>
        <w:tc>
          <w:tcPr>
            <w:tcW w:w="1089" w:type="dxa"/>
            <w:vAlign w:val="top"/>
            <w:vMerge w:val="restart"/>
            <w:tcBorders>
              <w:bottom w:val="nil"/>
            </w:tcBorders>
          </w:tcPr>
          <w:p>
            <w:pPr>
              <w:pStyle w:val="TableText"/>
              <w:ind w:left="335" w:right="130" w:hanging="199"/>
              <w:spacing w:before="280" w:line="232" w:lineRule="auto"/>
              <w:rPr>
                <w:sz w:val="20"/>
                <w:szCs w:val="20"/>
              </w:rPr>
            </w:pPr>
            <w:r>
              <w:rPr>
                <w:sz w:val="20"/>
                <w:szCs w:val="20"/>
                <w:spacing w:val="2"/>
              </w:rPr>
              <w:t>烟气温度 </w:t>
            </w:r>
            <w:r>
              <w:rPr>
                <w:sz w:val="20"/>
                <w:szCs w:val="20"/>
                <w:spacing w:val="-11"/>
              </w:rPr>
              <w:t>(℃)</w:t>
            </w:r>
          </w:p>
        </w:tc>
        <w:tc>
          <w:tcPr>
            <w:tcW w:w="919" w:type="dxa"/>
            <w:vAlign w:val="top"/>
            <w:vMerge w:val="continue"/>
            <w:tcBorders>
              <w:top w:val="nil"/>
              <w:bottom w:val="nil"/>
            </w:tcBorders>
          </w:tcPr>
          <w:p>
            <w:pPr>
              <w:rPr>
                <w:rFonts w:ascii="Arial"/>
                <w:sz w:val="21"/>
              </w:rPr>
            </w:pPr>
            <w:r/>
          </w:p>
        </w:tc>
        <w:tc>
          <w:tcPr>
            <w:tcW w:w="1499" w:type="dxa"/>
            <w:vAlign w:val="top"/>
            <w:vMerge w:val="continue"/>
            <w:tcBorders>
              <w:top w:val="nil"/>
              <w:bottom w:val="nil"/>
            </w:tcBorders>
          </w:tcPr>
          <w:p>
            <w:pPr>
              <w:rPr>
                <w:rFonts w:ascii="Arial"/>
                <w:sz w:val="21"/>
              </w:rPr>
            </w:pPr>
            <w:r/>
          </w:p>
        </w:tc>
        <w:tc>
          <w:tcPr>
            <w:tcW w:w="1594" w:type="dxa"/>
            <w:vAlign w:val="top"/>
            <w:gridSpan w:val="2"/>
            <w:vMerge w:val="continue"/>
            <w:tcBorders>
              <w:top w:val="nil"/>
            </w:tcBorders>
          </w:tcPr>
          <w:p>
            <w:pPr>
              <w:rPr>
                <w:rFonts w:ascii="Arial"/>
                <w:sz w:val="21"/>
              </w:rPr>
            </w:pPr>
            <w:r/>
          </w:p>
        </w:tc>
      </w:tr>
      <w:tr>
        <w:trPr>
          <w:trHeight w:val="379" w:hRule="atLeast"/>
        </w:trPr>
        <w:tc>
          <w:tcPr>
            <w:tcW w:w="2673" w:type="dxa"/>
            <w:vAlign w:val="top"/>
            <w:gridSpan w:val="2"/>
            <w:vMerge w:val="continue"/>
            <w:tcBorders>
              <w:top w:val="nil"/>
              <w:bottom w:val="nil"/>
            </w:tcBorders>
          </w:tcPr>
          <w:p>
            <w:pPr>
              <w:rPr>
                <w:rFonts w:ascii="Arial"/>
                <w:sz w:val="21"/>
              </w:rPr>
            </w:pPr>
            <w:r/>
          </w:p>
        </w:tc>
        <w:tc>
          <w:tcPr>
            <w:tcW w:w="1679" w:type="dxa"/>
            <w:vAlign w:val="top"/>
            <w:gridSpan w:val="2"/>
            <w:vMerge w:val="continue"/>
            <w:tcBorders>
              <w:top w:val="nil"/>
            </w:tcBorders>
          </w:tcPr>
          <w:p>
            <w:pPr>
              <w:rPr>
                <w:rFonts w:ascii="Arial"/>
                <w:sz w:val="21"/>
              </w:rPr>
            </w:pPr>
            <w:r/>
          </w:p>
        </w:tc>
        <w:tc>
          <w:tcPr>
            <w:tcW w:w="1479" w:type="dxa"/>
            <w:vAlign w:val="top"/>
            <w:vMerge w:val="continue"/>
            <w:tcBorders>
              <w:top w:val="nil"/>
              <w:bottom w:val="nil"/>
            </w:tcBorders>
          </w:tcPr>
          <w:p>
            <w:pPr>
              <w:rPr>
                <w:rFonts w:ascii="Arial"/>
                <w:sz w:val="21"/>
              </w:rPr>
            </w:pPr>
            <w:r/>
          </w:p>
        </w:tc>
        <w:tc>
          <w:tcPr>
            <w:tcW w:w="899" w:type="dxa"/>
            <w:vAlign w:val="top"/>
            <w:vMerge w:val="continue"/>
            <w:tcBorders>
              <w:top w:val="nil"/>
              <w:bottom w:val="nil"/>
            </w:tcBorders>
          </w:tcPr>
          <w:p>
            <w:pPr>
              <w:rPr>
                <w:rFonts w:ascii="Arial"/>
                <w:sz w:val="21"/>
              </w:rPr>
            </w:pPr>
            <w:r/>
          </w:p>
        </w:tc>
        <w:tc>
          <w:tcPr>
            <w:tcW w:w="1029" w:type="dxa"/>
            <w:vAlign w:val="top"/>
            <w:vMerge w:val="continue"/>
            <w:tcBorders>
              <w:top w:val="nil"/>
              <w:bottom w:val="nil"/>
            </w:tcBorders>
          </w:tcPr>
          <w:p>
            <w:pPr>
              <w:rPr>
                <w:rFonts w:ascii="Arial"/>
                <w:sz w:val="21"/>
              </w:rPr>
            </w:pPr>
            <w:r/>
          </w:p>
        </w:tc>
        <w:tc>
          <w:tcPr>
            <w:tcW w:w="1069" w:type="dxa"/>
            <w:vAlign w:val="top"/>
            <w:vMerge w:val="continue"/>
            <w:tcBorders>
              <w:top w:val="nil"/>
              <w:bottom w:val="nil"/>
            </w:tcBorders>
          </w:tcPr>
          <w:p>
            <w:pPr>
              <w:rPr>
                <w:rFonts w:ascii="Arial"/>
                <w:sz w:val="21"/>
              </w:rPr>
            </w:pPr>
            <w:r/>
          </w:p>
        </w:tc>
        <w:tc>
          <w:tcPr>
            <w:tcW w:w="1089" w:type="dxa"/>
            <w:vAlign w:val="top"/>
            <w:vMerge w:val="continue"/>
            <w:tcBorders>
              <w:top w:val="nil"/>
              <w:bottom w:val="nil"/>
            </w:tcBorders>
          </w:tcPr>
          <w:p>
            <w:pPr>
              <w:rPr>
                <w:rFonts w:ascii="Arial"/>
                <w:sz w:val="21"/>
              </w:rPr>
            </w:pPr>
            <w:r/>
          </w:p>
        </w:tc>
        <w:tc>
          <w:tcPr>
            <w:tcW w:w="919" w:type="dxa"/>
            <w:vAlign w:val="top"/>
            <w:vMerge w:val="continue"/>
            <w:tcBorders>
              <w:top w:val="nil"/>
              <w:bottom w:val="nil"/>
            </w:tcBorders>
          </w:tcPr>
          <w:p>
            <w:pPr>
              <w:rPr>
                <w:rFonts w:ascii="Arial"/>
                <w:sz w:val="21"/>
              </w:rPr>
            </w:pPr>
            <w:r/>
          </w:p>
        </w:tc>
        <w:tc>
          <w:tcPr>
            <w:tcW w:w="1499" w:type="dxa"/>
            <w:vAlign w:val="top"/>
            <w:vMerge w:val="continue"/>
            <w:tcBorders>
              <w:top w:val="nil"/>
              <w:bottom w:val="nil"/>
            </w:tcBorders>
          </w:tcPr>
          <w:p>
            <w:pPr>
              <w:rPr>
                <w:rFonts w:ascii="Arial"/>
                <w:sz w:val="21"/>
              </w:rPr>
            </w:pPr>
            <w:r/>
          </w:p>
        </w:tc>
        <w:tc>
          <w:tcPr>
            <w:tcW w:w="840" w:type="dxa"/>
            <w:vAlign w:val="top"/>
            <w:vMerge w:val="restart"/>
            <w:tcBorders>
              <w:bottom w:val="nil"/>
            </w:tcBorders>
          </w:tcPr>
          <w:p>
            <w:pPr>
              <w:pStyle w:val="TableText"/>
              <w:ind w:left="19" w:right="12" w:firstLine="10"/>
              <w:spacing w:before="121" w:line="226" w:lineRule="auto"/>
              <w:rPr>
                <w:sz w:val="20"/>
                <w:szCs w:val="20"/>
              </w:rPr>
            </w:pPr>
            <w:r>
              <w:rPr>
                <w:sz w:val="20"/>
                <w:szCs w:val="20"/>
                <w:spacing w:val="-11"/>
              </w:rPr>
              <w:t>正</w:t>
            </w:r>
            <w:r>
              <w:rPr>
                <w:sz w:val="20"/>
                <w:szCs w:val="20"/>
                <w:spacing w:val="12"/>
              </w:rPr>
              <w:t xml:space="preserve"> </w:t>
            </w:r>
            <w:r>
              <w:rPr>
                <w:sz w:val="20"/>
                <w:szCs w:val="20"/>
                <w:spacing w:val="-11"/>
              </w:rPr>
              <w:t>常</w:t>
            </w:r>
            <w:r>
              <w:rPr>
                <w:sz w:val="20"/>
                <w:szCs w:val="20"/>
                <w:spacing w:val="7"/>
              </w:rPr>
              <w:t xml:space="preserve"> </w:t>
            </w:r>
            <w:r>
              <w:rPr>
                <w:sz w:val="20"/>
                <w:szCs w:val="20"/>
                <w:spacing w:val="-11"/>
              </w:rPr>
              <w:t>排</w:t>
            </w:r>
            <w:r>
              <w:rPr>
                <w:sz w:val="20"/>
                <w:szCs w:val="20"/>
              </w:rPr>
              <w:t xml:space="preserve"> </w:t>
            </w:r>
            <w:r>
              <w:rPr>
                <w:sz w:val="20"/>
                <w:szCs w:val="20"/>
              </w:rPr>
              <w:t>放</w:t>
            </w:r>
          </w:p>
        </w:tc>
        <w:tc>
          <w:tcPr>
            <w:tcW w:w="754" w:type="dxa"/>
            <w:vAlign w:val="top"/>
            <w:vMerge w:val="restart"/>
            <w:tcBorders>
              <w:bottom w:val="nil"/>
            </w:tcBorders>
          </w:tcPr>
          <w:p>
            <w:pPr>
              <w:pStyle w:val="TableText"/>
              <w:ind w:left="39" w:right="63" w:firstLine="29"/>
              <w:spacing w:before="111" w:line="235" w:lineRule="auto"/>
              <w:rPr>
                <w:sz w:val="20"/>
                <w:szCs w:val="20"/>
              </w:rPr>
            </w:pPr>
            <w:r>
              <w:rPr>
                <w:sz w:val="20"/>
                <w:szCs w:val="20"/>
                <w:spacing w:val="3"/>
              </w:rPr>
              <w:t>非正常</w:t>
            </w:r>
            <w:r>
              <w:rPr>
                <w:sz w:val="20"/>
                <w:szCs w:val="20"/>
              </w:rPr>
              <w:t xml:space="preserve"> </w:t>
            </w:r>
            <w:r>
              <w:rPr>
                <w:sz w:val="20"/>
                <w:szCs w:val="20"/>
                <w:spacing w:val="-2"/>
              </w:rPr>
              <w:t>排放</w:t>
            </w:r>
          </w:p>
        </w:tc>
      </w:tr>
      <w:tr>
        <w:trPr>
          <w:trHeight w:val="269" w:hRule="atLeast"/>
        </w:trPr>
        <w:tc>
          <w:tcPr>
            <w:tcW w:w="2673" w:type="dxa"/>
            <w:vAlign w:val="top"/>
            <w:gridSpan w:val="2"/>
            <w:vMerge w:val="continue"/>
            <w:tcBorders>
              <w:top w:val="nil"/>
            </w:tcBorders>
          </w:tcPr>
          <w:p>
            <w:pPr>
              <w:rPr>
                <w:rFonts w:ascii="Arial"/>
                <w:sz w:val="21"/>
              </w:rPr>
            </w:pPr>
            <w:r/>
          </w:p>
        </w:tc>
        <w:tc>
          <w:tcPr>
            <w:tcW w:w="810" w:type="dxa"/>
            <w:vAlign w:val="top"/>
          </w:tcPr>
          <w:p>
            <w:pPr>
              <w:pStyle w:val="TableText"/>
              <w:ind w:left="341"/>
              <w:spacing w:before="94" w:line="165" w:lineRule="exact"/>
              <w:rPr>
                <w:sz w:val="20"/>
                <w:szCs w:val="20"/>
              </w:rPr>
            </w:pPr>
            <w:r>
              <w:rPr>
                <w:sz w:val="20"/>
                <w:szCs w:val="20"/>
                <w:position w:val="-2"/>
              </w:rPr>
              <w:t>X</w:t>
            </w:r>
          </w:p>
        </w:tc>
        <w:tc>
          <w:tcPr>
            <w:tcW w:w="869" w:type="dxa"/>
            <w:vAlign w:val="top"/>
          </w:tcPr>
          <w:p>
            <w:pPr>
              <w:pStyle w:val="TableText"/>
              <w:ind w:left="371"/>
              <w:spacing w:before="94" w:line="165" w:lineRule="exact"/>
              <w:rPr>
                <w:sz w:val="20"/>
                <w:szCs w:val="20"/>
              </w:rPr>
            </w:pPr>
            <w:r>
              <w:rPr>
                <w:sz w:val="20"/>
                <w:szCs w:val="20"/>
                <w:position w:val="-2"/>
              </w:rPr>
              <w:t>Y</w:t>
            </w:r>
          </w:p>
        </w:tc>
        <w:tc>
          <w:tcPr>
            <w:tcW w:w="1479" w:type="dxa"/>
            <w:vAlign w:val="top"/>
            <w:vMerge w:val="continue"/>
            <w:tcBorders>
              <w:top w:val="nil"/>
            </w:tcBorders>
          </w:tcPr>
          <w:p>
            <w:pPr>
              <w:rPr>
                <w:rFonts w:ascii="Arial"/>
                <w:sz w:val="21"/>
              </w:rPr>
            </w:pPr>
            <w:r/>
          </w:p>
        </w:tc>
        <w:tc>
          <w:tcPr>
            <w:tcW w:w="899" w:type="dxa"/>
            <w:vAlign w:val="top"/>
            <w:vMerge w:val="continue"/>
            <w:tcBorders>
              <w:top w:val="nil"/>
            </w:tcBorders>
          </w:tcPr>
          <w:p>
            <w:pPr>
              <w:rPr>
                <w:rFonts w:ascii="Arial"/>
                <w:sz w:val="21"/>
              </w:rPr>
            </w:pPr>
            <w:r/>
          </w:p>
        </w:tc>
        <w:tc>
          <w:tcPr>
            <w:tcW w:w="1029" w:type="dxa"/>
            <w:vAlign w:val="top"/>
            <w:vMerge w:val="continue"/>
            <w:tcBorders>
              <w:top w:val="nil"/>
            </w:tcBorders>
          </w:tcPr>
          <w:p>
            <w:pPr>
              <w:rPr>
                <w:rFonts w:ascii="Arial"/>
                <w:sz w:val="21"/>
              </w:rPr>
            </w:pPr>
            <w:r/>
          </w:p>
        </w:tc>
        <w:tc>
          <w:tcPr>
            <w:tcW w:w="1069" w:type="dxa"/>
            <w:vAlign w:val="top"/>
            <w:vMerge w:val="continue"/>
            <w:tcBorders>
              <w:top w:val="nil"/>
            </w:tcBorders>
          </w:tcPr>
          <w:p>
            <w:pPr>
              <w:rPr>
                <w:rFonts w:ascii="Arial"/>
                <w:sz w:val="21"/>
              </w:rPr>
            </w:pPr>
            <w:r/>
          </w:p>
        </w:tc>
        <w:tc>
          <w:tcPr>
            <w:tcW w:w="1089" w:type="dxa"/>
            <w:vAlign w:val="top"/>
            <w:vMerge w:val="continue"/>
            <w:tcBorders>
              <w:top w:val="nil"/>
            </w:tcBorders>
          </w:tcPr>
          <w:p>
            <w:pPr>
              <w:rPr>
                <w:rFonts w:ascii="Arial"/>
                <w:sz w:val="21"/>
              </w:rPr>
            </w:pPr>
            <w:r/>
          </w:p>
        </w:tc>
        <w:tc>
          <w:tcPr>
            <w:tcW w:w="919" w:type="dxa"/>
            <w:vAlign w:val="top"/>
            <w:vMerge w:val="continue"/>
            <w:tcBorders>
              <w:top w:val="nil"/>
            </w:tcBorders>
          </w:tcPr>
          <w:p>
            <w:pPr>
              <w:rPr>
                <w:rFonts w:ascii="Arial"/>
                <w:sz w:val="21"/>
              </w:rPr>
            </w:pPr>
            <w:r/>
          </w:p>
        </w:tc>
        <w:tc>
          <w:tcPr>
            <w:tcW w:w="1499" w:type="dxa"/>
            <w:vAlign w:val="top"/>
            <w:vMerge w:val="continue"/>
            <w:tcBorders>
              <w:top w:val="nil"/>
            </w:tcBorders>
          </w:tcPr>
          <w:p>
            <w:pPr>
              <w:rPr>
                <w:rFonts w:ascii="Arial"/>
                <w:sz w:val="21"/>
              </w:rPr>
            </w:pPr>
            <w:r/>
          </w:p>
        </w:tc>
        <w:tc>
          <w:tcPr>
            <w:tcW w:w="840" w:type="dxa"/>
            <w:vAlign w:val="top"/>
            <w:vMerge w:val="continue"/>
            <w:tcBorders>
              <w:top w:val="nil"/>
            </w:tcBorders>
          </w:tcPr>
          <w:p>
            <w:pPr>
              <w:rPr>
                <w:rFonts w:ascii="Arial"/>
                <w:sz w:val="21"/>
              </w:rPr>
            </w:pPr>
            <w:r/>
          </w:p>
        </w:tc>
        <w:tc>
          <w:tcPr>
            <w:tcW w:w="754" w:type="dxa"/>
            <w:vAlign w:val="top"/>
            <w:vMerge w:val="continue"/>
            <w:tcBorders>
              <w:top w:val="nil"/>
            </w:tcBorders>
          </w:tcPr>
          <w:p>
            <w:pPr>
              <w:rPr>
                <w:rFonts w:ascii="Arial"/>
                <w:sz w:val="21"/>
              </w:rPr>
            </w:pPr>
            <w:r/>
          </w:p>
        </w:tc>
      </w:tr>
      <w:tr>
        <w:trPr>
          <w:trHeight w:val="299" w:hRule="atLeast"/>
        </w:trPr>
        <w:tc>
          <w:tcPr>
            <w:tcW w:w="1554" w:type="dxa"/>
            <w:vAlign w:val="top"/>
          </w:tcPr>
          <w:p>
            <w:pPr>
              <w:pStyle w:val="TableText"/>
              <w:ind w:left="164"/>
              <w:spacing w:before="50" w:line="219" w:lineRule="auto"/>
              <w:rPr>
                <w:sz w:val="20"/>
                <w:szCs w:val="20"/>
              </w:rPr>
            </w:pPr>
            <w:r>
              <w:rPr>
                <w:sz w:val="20"/>
                <w:szCs w:val="20"/>
                <w:spacing w:val="1"/>
              </w:rPr>
              <w:t>阴极涂布烘于</w:t>
            </w:r>
          </w:p>
        </w:tc>
        <w:tc>
          <w:tcPr>
            <w:tcW w:w="1119" w:type="dxa"/>
            <w:vAlign w:val="top"/>
          </w:tcPr>
          <w:p>
            <w:pPr>
              <w:pStyle w:val="TableText"/>
              <w:ind w:left="300"/>
              <w:spacing w:before="102" w:line="172" w:lineRule="auto"/>
              <w:rPr>
                <w:sz w:val="20"/>
                <w:szCs w:val="20"/>
              </w:rPr>
            </w:pPr>
            <w:r>
              <w:rPr>
                <w:sz w:val="20"/>
                <w:szCs w:val="20"/>
                <w:spacing w:val="-1"/>
              </w:rPr>
              <w:t>DA026</w:t>
            </w:r>
          </w:p>
        </w:tc>
        <w:tc>
          <w:tcPr>
            <w:tcW w:w="810" w:type="dxa"/>
            <w:vAlign w:val="top"/>
          </w:tcPr>
          <w:p>
            <w:pPr>
              <w:pStyle w:val="TableText"/>
              <w:ind w:left="241"/>
              <w:spacing w:before="102" w:line="172" w:lineRule="auto"/>
              <w:rPr>
                <w:sz w:val="20"/>
                <w:szCs w:val="20"/>
              </w:rPr>
            </w:pPr>
            <w:r>
              <w:rPr>
                <w:sz w:val="20"/>
                <w:szCs w:val="20"/>
                <w:spacing w:val="-6"/>
              </w:rPr>
              <w:t>103</w:t>
            </w:r>
          </w:p>
        </w:tc>
        <w:tc>
          <w:tcPr>
            <w:tcW w:w="869" w:type="dxa"/>
            <w:vAlign w:val="top"/>
          </w:tcPr>
          <w:p>
            <w:pPr>
              <w:pStyle w:val="TableText"/>
              <w:ind w:left="321"/>
              <w:spacing w:before="102" w:line="172" w:lineRule="auto"/>
              <w:rPr>
                <w:sz w:val="20"/>
                <w:szCs w:val="20"/>
              </w:rPr>
            </w:pPr>
            <w:r>
              <w:rPr>
                <w:sz w:val="20"/>
                <w:szCs w:val="20"/>
                <w:spacing w:val="-2"/>
              </w:rPr>
              <w:t>-1</w:t>
            </w:r>
          </w:p>
        </w:tc>
        <w:tc>
          <w:tcPr>
            <w:tcW w:w="1479" w:type="dxa"/>
            <w:vAlign w:val="top"/>
          </w:tcPr>
          <w:p>
            <w:pPr>
              <w:pStyle w:val="TableText"/>
              <w:ind w:left="682"/>
              <w:spacing w:before="103" w:line="171" w:lineRule="auto"/>
              <w:rPr>
                <w:sz w:val="20"/>
                <w:szCs w:val="20"/>
              </w:rPr>
            </w:pPr>
            <w:r>
              <w:rPr>
                <w:sz w:val="20"/>
                <w:szCs w:val="20"/>
              </w:rPr>
              <w:t>0</w:t>
            </w:r>
          </w:p>
        </w:tc>
        <w:tc>
          <w:tcPr>
            <w:tcW w:w="899" w:type="dxa"/>
            <w:vAlign w:val="top"/>
          </w:tcPr>
          <w:p>
            <w:pPr>
              <w:pStyle w:val="TableText"/>
              <w:ind w:left="343"/>
              <w:spacing w:before="103" w:line="171" w:lineRule="auto"/>
              <w:rPr>
                <w:sz w:val="20"/>
                <w:szCs w:val="20"/>
              </w:rPr>
            </w:pPr>
            <w:r>
              <w:rPr>
                <w:sz w:val="20"/>
                <w:szCs w:val="20"/>
                <w:spacing w:val="-3"/>
              </w:rPr>
              <w:t>27</w:t>
            </w:r>
          </w:p>
        </w:tc>
        <w:tc>
          <w:tcPr>
            <w:tcW w:w="1029" w:type="dxa"/>
            <w:vAlign w:val="top"/>
          </w:tcPr>
          <w:p>
            <w:pPr>
              <w:pStyle w:val="TableText"/>
              <w:ind w:left="354"/>
              <w:spacing w:before="102" w:line="172" w:lineRule="auto"/>
              <w:rPr>
                <w:sz w:val="20"/>
                <w:szCs w:val="20"/>
              </w:rPr>
            </w:pPr>
            <w:r>
              <w:rPr>
                <w:sz w:val="20"/>
                <w:szCs w:val="20"/>
                <w:spacing w:val="-6"/>
              </w:rPr>
              <w:t>1.0</w:t>
            </w:r>
          </w:p>
        </w:tc>
        <w:tc>
          <w:tcPr>
            <w:tcW w:w="1069" w:type="dxa"/>
            <w:vAlign w:val="top"/>
          </w:tcPr>
          <w:p>
            <w:pPr>
              <w:pStyle w:val="TableText"/>
              <w:ind w:left="275"/>
              <w:spacing w:before="103" w:line="171" w:lineRule="auto"/>
              <w:rPr>
                <w:sz w:val="20"/>
                <w:szCs w:val="20"/>
              </w:rPr>
            </w:pPr>
            <w:r>
              <w:rPr>
                <w:sz w:val="20"/>
                <w:szCs w:val="20"/>
                <w:spacing w:val="-2"/>
              </w:rPr>
              <w:t>32500</w:t>
            </w:r>
          </w:p>
        </w:tc>
        <w:tc>
          <w:tcPr>
            <w:tcW w:w="1089" w:type="dxa"/>
            <w:vAlign w:val="top"/>
          </w:tcPr>
          <w:p>
            <w:pPr>
              <w:pStyle w:val="TableText"/>
              <w:ind w:left="436"/>
              <w:spacing w:before="103" w:line="171" w:lineRule="auto"/>
              <w:rPr>
                <w:sz w:val="20"/>
                <w:szCs w:val="20"/>
              </w:rPr>
            </w:pPr>
            <w:r>
              <w:rPr>
                <w:sz w:val="20"/>
                <w:szCs w:val="20"/>
                <w:spacing w:val="-3"/>
              </w:rPr>
              <w:t>25</w:t>
            </w:r>
          </w:p>
        </w:tc>
        <w:tc>
          <w:tcPr>
            <w:tcW w:w="919" w:type="dxa"/>
            <w:vAlign w:val="top"/>
          </w:tcPr>
          <w:p>
            <w:pPr>
              <w:pStyle w:val="TableText"/>
              <w:ind w:left="257"/>
              <w:spacing w:before="103" w:line="171" w:lineRule="auto"/>
              <w:rPr>
                <w:sz w:val="20"/>
                <w:szCs w:val="20"/>
              </w:rPr>
            </w:pPr>
            <w:r>
              <w:rPr>
                <w:sz w:val="20"/>
                <w:szCs w:val="20"/>
                <w:spacing w:val="-2"/>
              </w:rPr>
              <w:t>6600</w:t>
            </w:r>
          </w:p>
        </w:tc>
        <w:tc>
          <w:tcPr>
            <w:tcW w:w="1499" w:type="dxa"/>
            <w:vAlign w:val="top"/>
          </w:tcPr>
          <w:p>
            <w:pPr>
              <w:pStyle w:val="TableText"/>
              <w:ind w:left="248"/>
              <w:spacing w:before="52" w:line="218" w:lineRule="auto"/>
              <w:rPr>
                <w:sz w:val="20"/>
                <w:szCs w:val="20"/>
              </w:rPr>
            </w:pPr>
            <w:r>
              <w:rPr>
                <w:sz w:val="20"/>
                <w:szCs w:val="20"/>
                <w:spacing w:val="-2"/>
              </w:rPr>
              <w:t>非甲烷总烃</w:t>
            </w:r>
          </w:p>
        </w:tc>
        <w:tc>
          <w:tcPr>
            <w:tcW w:w="840" w:type="dxa"/>
            <w:vAlign w:val="top"/>
          </w:tcPr>
          <w:p>
            <w:pPr>
              <w:pStyle w:val="TableText"/>
              <w:ind w:left="169"/>
              <w:spacing w:before="102" w:line="172" w:lineRule="auto"/>
              <w:rPr>
                <w:sz w:val="20"/>
                <w:szCs w:val="20"/>
              </w:rPr>
            </w:pPr>
            <w:r>
              <w:rPr>
                <w:sz w:val="20"/>
                <w:szCs w:val="20"/>
                <w:spacing w:val="-2"/>
              </w:rPr>
              <w:t>0.145</w:t>
            </w:r>
          </w:p>
        </w:tc>
        <w:tc>
          <w:tcPr>
            <w:tcW w:w="754" w:type="dxa"/>
            <w:vAlign w:val="top"/>
          </w:tcPr>
          <w:p>
            <w:pPr>
              <w:pStyle w:val="TableText"/>
              <w:ind w:left="69"/>
              <w:spacing w:before="102" w:line="172" w:lineRule="auto"/>
              <w:rPr>
                <w:sz w:val="20"/>
                <w:szCs w:val="20"/>
              </w:rPr>
            </w:pPr>
            <w:r>
              <w:rPr>
                <w:sz w:val="20"/>
                <w:szCs w:val="20"/>
                <w:spacing w:val="-2"/>
              </w:rPr>
              <w:t>350.91</w:t>
            </w:r>
          </w:p>
        </w:tc>
      </w:tr>
      <w:tr>
        <w:trPr>
          <w:trHeight w:val="269" w:hRule="atLeast"/>
        </w:trPr>
        <w:tc>
          <w:tcPr>
            <w:tcW w:w="1554" w:type="dxa"/>
            <w:vAlign w:val="top"/>
            <w:vMerge w:val="restart"/>
            <w:tcBorders>
              <w:bottom w:val="nil"/>
            </w:tcBorders>
          </w:tcPr>
          <w:p>
            <w:pPr>
              <w:spacing w:line="267" w:lineRule="auto"/>
              <w:rPr>
                <w:rFonts w:ascii="Arial"/>
                <w:sz w:val="21"/>
              </w:rPr>
            </w:pPr>
            <w:r/>
          </w:p>
          <w:p>
            <w:pPr>
              <w:pStyle w:val="TableText"/>
              <w:ind w:left="264"/>
              <w:spacing w:before="65" w:line="220" w:lineRule="auto"/>
              <w:rPr>
                <w:sz w:val="20"/>
                <w:szCs w:val="20"/>
              </w:rPr>
            </w:pPr>
            <w:r>
              <w:rPr>
                <w:sz w:val="20"/>
                <w:szCs w:val="20"/>
                <w:spacing w:val="2"/>
              </w:rPr>
              <w:t>天然气锅炉</w:t>
            </w:r>
          </w:p>
        </w:tc>
        <w:tc>
          <w:tcPr>
            <w:tcW w:w="1119" w:type="dxa"/>
            <w:vAlign w:val="top"/>
            <w:vMerge w:val="restart"/>
            <w:tcBorders>
              <w:bottom w:val="nil"/>
            </w:tcBorders>
          </w:tcPr>
          <w:p>
            <w:pPr>
              <w:pStyle w:val="TableText"/>
              <w:ind w:left="300"/>
              <w:spacing w:before="263" w:line="280" w:lineRule="exact"/>
              <w:rPr>
                <w:sz w:val="20"/>
                <w:szCs w:val="20"/>
              </w:rPr>
            </w:pPr>
            <w:r>
              <w:rPr>
                <w:sz w:val="20"/>
                <w:szCs w:val="20"/>
                <w:spacing w:val="-1"/>
                <w:position w:val="8"/>
              </w:rPr>
              <w:t>DA025</w:t>
            </w:r>
          </w:p>
          <w:p>
            <w:pPr>
              <w:pStyle w:val="TableText"/>
              <w:ind w:left="300"/>
              <w:spacing w:line="184" w:lineRule="auto"/>
              <w:rPr>
                <w:sz w:val="20"/>
                <w:szCs w:val="20"/>
              </w:rPr>
            </w:pPr>
            <w:r>
              <w:rPr>
                <w:sz w:val="20"/>
                <w:szCs w:val="20"/>
                <w:spacing w:val="-1"/>
              </w:rPr>
              <w:t>DA027</w:t>
            </w:r>
          </w:p>
        </w:tc>
        <w:tc>
          <w:tcPr>
            <w:tcW w:w="810" w:type="dxa"/>
            <w:vAlign w:val="top"/>
            <w:vMerge w:val="restart"/>
            <w:tcBorders>
              <w:bottom w:val="nil"/>
            </w:tcBorders>
          </w:tcPr>
          <w:p>
            <w:pPr>
              <w:spacing w:line="316" w:lineRule="auto"/>
              <w:rPr>
                <w:rFonts w:ascii="Arial"/>
                <w:sz w:val="21"/>
              </w:rPr>
            </w:pPr>
            <w:r/>
          </w:p>
          <w:p>
            <w:pPr>
              <w:pStyle w:val="TableText"/>
              <w:ind w:left="241"/>
              <w:spacing w:before="65" w:line="184" w:lineRule="auto"/>
              <w:rPr>
                <w:sz w:val="20"/>
                <w:szCs w:val="20"/>
              </w:rPr>
            </w:pPr>
            <w:r>
              <w:rPr>
                <w:sz w:val="20"/>
                <w:szCs w:val="20"/>
                <w:spacing w:val="-6"/>
              </w:rPr>
              <w:t>120</w:t>
            </w:r>
          </w:p>
        </w:tc>
        <w:tc>
          <w:tcPr>
            <w:tcW w:w="869" w:type="dxa"/>
            <w:vAlign w:val="top"/>
            <w:vMerge w:val="restart"/>
            <w:tcBorders>
              <w:bottom w:val="nil"/>
            </w:tcBorders>
          </w:tcPr>
          <w:p>
            <w:pPr>
              <w:spacing w:line="317" w:lineRule="auto"/>
              <w:rPr>
                <w:rFonts w:ascii="Arial"/>
                <w:sz w:val="21"/>
              </w:rPr>
            </w:pPr>
            <w:r/>
          </w:p>
          <w:p>
            <w:pPr>
              <w:pStyle w:val="TableText"/>
              <w:ind w:left="321"/>
              <w:spacing w:before="65" w:line="183" w:lineRule="auto"/>
              <w:rPr>
                <w:sz w:val="20"/>
                <w:szCs w:val="20"/>
              </w:rPr>
            </w:pPr>
            <w:r>
              <w:rPr>
                <w:sz w:val="20"/>
                <w:szCs w:val="20"/>
                <w:spacing w:val="-3"/>
              </w:rPr>
              <w:t>83</w:t>
            </w:r>
          </w:p>
        </w:tc>
        <w:tc>
          <w:tcPr>
            <w:tcW w:w="1479" w:type="dxa"/>
            <w:vAlign w:val="top"/>
            <w:vMerge w:val="restart"/>
            <w:tcBorders>
              <w:bottom w:val="nil"/>
            </w:tcBorders>
          </w:tcPr>
          <w:p>
            <w:pPr>
              <w:spacing w:line="317" w:lineRule="auto"/>
              <w:rPr>
                <w:rFonts w:ascii="Arial"/>
                <w:sz w:val="21"/>
              </w:rPr>
            </w:pPr>
            <w:r/>
          </w:p>
          <w:p>
            <w:pPr>
              <w:pStyle w:val="TableText"/>
              <w:ind w:left="682"/>
              <w:spacing w:before="65" w:line="183" w:lineRule="auto"/>
              <w:rPr>
                <w:sz w:val="20"/>
                <w:szCs w:val="20"/>
              </w:rPr>
            </w:pPr>
            <w:r>
              <w:rPr>
                <w:sz w:val="20"/>
                <w:szCs w:val="20"/>
              </w:rPr>
              <w:t>0</w:t>
            </w:r>
          </w:p>
        </w:tc>
        <w:tc>
          <w:tcPr>
            <w:tcW w:w="899" w:type="dxa"/>
            <w:vAlign w:val="top"/>
            <w:vMerge w:val="restart"/>
            <w:tcBorders>
              <w:bottom w:val="nil"/>
            </w:tcBorders>
          </w:tcPr>
          <w:p>
            <w:pPr>
              <w:spacing w:line="317" w:lineRule="auto"/>
              <w:rPr>
                <w:rFonts w:ascii="Arial"/>
                <w:sz w:val="21"/>
              </w:rPr>
            </w:pPr>
            <w:r/>
          </w:p>
          <w:p>
            <w:pPr>
              <w:pStyle w:val="TableText"/>
              <w:ind w:left="343"/>
              <w:spacing w:before="65" w:line="183" w:lineRule="auto"/>
              <w:rPr>
                <w:sz w:val="20"/>
                <w:szCs w:val="20"/>
              </w:rPr>
            </w:pPr>
            <w:r>
              <w:rPr>
                <w:sz w:val="20"/>
                <w:szCs w:val="20"/>
                <w:spacing w:val="-3"/>
              </w:rPr>
              <w:t>27</w:t>
            </w:r>
          </w:p>
        </w:tc>
        <w:tc>
          <w:tcPr>
            <w:tcW w:w="1029" w:type="dxa"/>
            <w:vAlign w:val="top"/>
            <w:vMerge w:val="restart"/>
            <w:tcBorders>
              <w:bottom w:val="nil"/>
            </w:tcBorders>
          </w:tcPr>
          <w:p>
            <w:pPr>
              <w:spacing w:line="316" w:lineRule="auto"/>
              <w:rPr>
                <w:rFonts w:ascii="Arial"/>
                <w:sz w:val="21"/>
              </w:rPr>
            </w:pPr>
            <w:r/>
          </w:p>
          <w:p>
            <w:pPr>
              <w:pStyle w:val="TableText"/>
              <w:ind w:left="354"/>
              <w:spacing w:before="65" w:line="184" w:lineRule="auto"/>
              <w:rPr>
                <w:sz w:val="20"/>
                <w:szCs w:val="20"/>
              </w:rPr>
            </w:pPr>
            <w:r>
              <w:rPr>
                <w:sz w:val="20"/>
                <w:szCs w:val="20"/>
                <w:spacing w:val="-6"/>
              </w:rPr>
              <w:t>1.0</w:t>
            </w:r>
          </w:p>
        </w:tc>
        <w:tc>
          <w:tcPr>
            <w:tcW w:w="1069" w:type="dxa"/>
            <w:vAlign w:val="top"/>
            <w:vMerge w:val="restart"/>
            <w:tcBorders>
              <w:bottom w:val="nil"/>
            </w:tcBorders>
          </w:tcPr>
          <w:p>
            <w:pPr>
              <w:spacing w:line="316" w:lineRule="auto"/>
              <w:rPr>
                <w:rFonts w:ascii="Arial"/>
                <w:sz w:val="21"/>
              </w:rPr>
            </w:pPr>
            <w:r/>
          </w:p>
          <w:p>
            <w:pPr>
              <w:pStyle w:val="TableText"/>
              <w:ind w:left="325"/>
              <w:spacing w:before="65" w:line="184" w:lineRule="auto"/>
              <w:rPr>
                <w:sz w:val="20"/>
                <w:szCs w:val="20"/>
              </w:rPr>
            </w:pPr>
            <w:r>
              <w:rPr>
                <w:sz w:val="20"/>
                <w:szCs w:val="20"/>
                <w:spacing w:val="-2"/>
              </w:rPr>
              <w:t>8189</w:t>
            </w:r>
          </w:p>
        </w:tc>
        <w:tc>
          <w:tcPr>
            <w:tcW w:w="1089" w:type="dxa"/>
            <w:vAlign w:val="top"/>
            <w:vMerge w:val="restart"/>
            <w:tcBorders>
              <w:bottom w:val="nil"/>
            </w:tcBorders>
          </w:tcPr>
          <w:p>
            <w:pPr>
              <w:spacing w:line="316" w:lineRule="auto"/>
              <w:rPr>
                <w:rFonts w:ascii="Arial"/>
                <w:sz w:val="21"/>
              </w:rPr>
            </w:pPr>
            <w:r/>
          </w:p>
          <w:p>
            <w:pPr>
              <w:pStyle w:val="TableText"/>
              <w:ind w:left="386"/>
              <w:spacing w:before="65" w:line="184" w:lineRule="auto"/>
              <w:rPr>
                <w:sz w:val="20"/>
                <w:szCs w:val="20"/>
              </w:rPr>
            </w:pPr>
            <w:r>
              <w:rPr>
                <w:sz w:val="20"/>
                <w:szCs w:val="20"/>
                <w:spacing w:val="-6"/>
              </w:rPr>
              <w:t>150</w:t>
            </w:r>
          </w:p>
        </w:tc>
        <w:tc>
          <w:tcPr>
            <w:tcW w:w="919" w:type="dxa"/>
            <w:vAlign w:val="top"/>
            <w:vMerge w:val="restart"/>
            <w:tcBorders>
              <w:bottom w:val="nil"/>
            </w:tcBorders>
          </w:tcPr>
          <w:p>
            <w:pPr>
              <w:spacing w:line="317" w:lineRule="auto"/>
              <w:rPr>
                <w:rFonts w:ascii="Arial"/>
                <w:sz w:val="21"/>
              </w:rPr>
            </w:pPr>
            <w:r/>
          </w:p>
          <w:p>
            <w:pPr>
              <w:pStyle w:val="TableText"/>
              <w:ind w:left="257"/>
              <w:spacing w:before="65" w:line="183" w:lineRule="auto"/>
              <w:rPr>
                <w:sz w:val="20"/>
                <w:szCs w:val="20"/>
              </w:rPr>
            </w:pPr>
            <w:r>
              <w:rPr>
                <w:sz w:val="20"/>
                <w:szCs w:val="20"/>
                <w:spacing w:val="-2"/>
              </w:rPr>
              <w:t>6600</w:t>
            </w:r>
          </w:p>
        </w:tc>
        <w:tc>
          <w:tcPr>
            <w:tcW w:w="1499" w:type="dxa"/>
            <w:vAlign w:val="top"/>
          </w:tcPr>
          <w:p>
            <w:pPr>
              <w:pStyle w:val="TableText"/>
              <w:ind w:left="598"/>
              <w:spacing w:before="85" w:line="183" w:lineRule="auto"/>
              <w:rPr>
                <w:rFonts w:ascii="Calibri" w:hAnsi="Calibri" w:eastAsia="Calibri" w:cs="Calibri"/>
                <w:sz w:val="15"/>
                <w:szCs w:val="15"/>
              </w:rPr>
            </w:pPr>
            <w:r>
              <w:rPr>
                <w:sz w:val="15"/>
                <w:szCs w:val="15"/>
                <w:spacing w:val="-3"/>
              </w:rPr>
              <w:t>SO</w:t>
            </w:r>
            <w:r>
              <w:rPr>
                <w:rFonts w:ascii="Calibri" w:hAnsi="Calibri" w:eastAsia="Calibri" w:cs="Calibri"/>
                <w:sz w:val="15"/>
                <w:szCs w:val="15"/>
                <w:spacing w:val="-3"/>
              </w:rPr>
              <w:t>₂</w:t>
            </w:r>
          </w:p>
        </w:tc>
        <w:tc>
          <w:tcPr>
            <w:tcW w:w="840" w:type="dxa"/>
            <w:vAlign w:val="top"/>
          </w:tcPr>
          <w:p>
            <w:pPr>
              <w:pStyle w:val="TableText"/>
              <w:ind w:left="169"/>
              <w:spacing w:before="93" w:line="166" w:lineRule="exact"/>
              <w:rPr>
                <w:sz w:val="20"/>
                <w:szCs w:val="20"/>
              </w:rPr>
            </w:pPr>
            <w:r>
              <w:rPr>
                <w:sz w:val="20"/>
                <w:szCs w:val="20"/>
                <w:spacing w:val="-2"/>
                <w:position w:val="-2"/>
              </w:rPr>
              <w:t>0.124</w:t>
            </w:r>
          </w:p>
        </w:tc>
        <w:tc>
          <w:tcPr>
            <w:tcW w:w="754" w:type="dxa"/>
            <w:vAlign w:val="top"/>
          </w:tcPr>
          <w:p>
            <w:pPr>
              <w:pStyle w:val="TableText"/>
              <w:ind w:left="119"/>
              <w:spacing w:before="93" w:line="166" w:lineRule="exact"/>
              <w:rPr>
                <w:sz w:val="20"/>
                <w:szCs w:val="20"/>
              </w:rPr>
            </w:pPr>
            <w:r>
              <w:rPr>
                <w:sz w:val="20"/>
                <w:szCs w:val="20"/>
                <w:spacing w:val="-2"/>
                <w:position w:val="-2"/>
              </w:rPr>
              <w:t>0.124</w:t>
            </w:r>
          </w:p>
        </w:tc>
      </w:tr>
      <w:tr>
        <w:trPr>
          <w:trHeight w:val="299" w:hRule="atLeast"/>
        </w:trPr>
        <w:tc>
          <w:tcPr>
            <w:tcW w:w="1554" w:type="dxa"/>
            <w:vAlign w:val="top"/>
            <w:vMerge w:val="continue"/>
            <w:tcBorders>
              <w:top w:val="nil"/>
              <w:bottom w:val="nil"/>
            </w:tcBorders>
          </w:tcPr>
          <w:p>
            <w:pPr>
              <w:rPr>
                <w:rFonts w:ascii="Arial"/>
                <w:sz w:val="21"/>
              </w:rPr>
            </w:pPr>
            <w:r/>
          </w:p>
        </w:tc>
        <w:tc>
          <w:tcPr>
            <w:tcW w:w="1119" w:type="dxa"/>
            <w:vAlign w:val="top"/>
            <w:vMerge w:val="continue"/>
            <w:tcBorders>
              <w:top w:val="nil"/>
              <w:bottom w:val="nil"/>
            </w:tcBorders>
          </w:tcPr>
          <w:p>
            <w:pPr>
              <w:rPr>
                <w:rFonts w:ascii="Arial"/>
                <w:sz w:val="21"/>
              </w:rPr>
            </w:pPr>
            <w:r/>
          </w:p>
        </w:tc>
        <w:tc>
          <w:tcPr>
            <w:tcW w:w="810" w:type="dxa"/>
            <w:vAlign w:val="top"/>
            <w:vMerge w:val="continue"/>
            <w:tcBorders>
              <w:top w:val="nil"/>
              <w:bottom w:val="nil"/>
            </w:tcBorders>
          </w:tcPr>
          <w:p>
            <w:pPr>
              <w:rPr>
                <w:rFonts w:ascii="Arial"/>
                <w:sz w:val="21"/>
              </w:rPr>
            </w:pPr>
            <w:r/>
          </w:p>
        </w:tc>
        <w:tc>
          <w:tcPr>
            <w:tcW w:w="869" w:type="dxa"/>
            <w:vAlign w:val="top"/>
            <w:vMerge w:val="continue"/>
            <w:tcBorders>
              <w:top w:val="nil"/>
              <w:bottom w:val="nil"/>
            </w:tcBorders>
          </w:tcPr>
          <w:p>
            <w:pPr>
              <w:rPr>
                <w:rFonts w:ascii="Arial"/>
                <w:sz w:val="21"/>
              </w:rPr>
            </w:pPr>
            <w:r/>
          </w:p>
        </w:tc>
        <w:tc>
          <w:tcPr>
            <w:tcW w:w="1479" w:type="dxa"/>
            <w:vAlign w:val="top"/>
            <w:vMerge w:val="continue"/>
            <w:tcBorders>
              <w:top w:val="nil"/>
              <w:bottom w:val="nil"/>
            </w:tcBorders>
          </w:tcPr>
          <w:p>
            <w:pPr>
              <w:rPr>
                <w:rFonts w:ascii="Arial"/>
                <w:sz w:val="21"/>
              </w:rPr>
            </w:pPr>
            <w:r/>
          </w:p>
        </w:tc>
        <w:tc>
          <w:tcPr>
            <w:tcW w:w="899" w:type="dxa"/>
            <w:vAlign w:val="top"/>
            <w:vMerge w:val="continue"/>
            <w:tcBorders>
              <w:top w:val="nil"/>
              <w:bottom w:val="nil"/>
            </w:tcBorders>
          </w:tcPr>
          <w:p>
            <w:pPr>
              <w:rPr>
                <w:rFonts w:ascii="Arial"/>
                <w:sz w:val="21"/>
              </w:rPr>
            </w:pPr>
            <w:r/>
          </w:p>
        </w:tc>
        <w:tc>
          <w:tcPr>
            <w:tcW w:w="1029" w:type="dxa"/>
            <w:vAlign w:val="top"/>
            <w:vMerge w:val="continue"/>
            <w:tcBorders>
              <w:top w:val="nil"/>
              <w:bottom w:val="nil"/>
            </w:tcBorders>
          </w:tcPr>
          <w:p>
            <w:pPr>
              <w:rPr>
                <w:rFonts w:ascii="Arial"/>
                <w:sz w:val="21"/>
              </w:rPr>
            </w:pPr>
            <w:r/>
          </w:p>
        </w:tc>
        <w:tc>
          <w:tcPr>
            <w:tcW w:w="1069" w:type="dxa"/>
            <w:vAlign w:val="top"/>
            <w:vMerge w:val="continue"/>
            <w:tcBorders>
              <w:top w:val="nil"/>
              <w:bottom w:val="nil"/>
            </w:tcBorders>
          </w:tcPr>
          <w:p>
            <w:pPr>
              <w:rPr>
                <w:rFonts w:ascii="Arial"/>
                <w:sz w:val="21"/>
              </w:rPr>
            </w:pPr>
            <w:r/>
          </w:p>
        </w:tc>
        <w:tc>
          <w:tcPr>
            <w:tcW w:w="1089" w:type="dxa"/>
            <w:vAlign w:val="top"/>
            <w:vMerge w:val="continue"/>
            <w:tcBorders>
              <w:top w:val="nil"/>
              <w:bottom w:val="nil"/>
            </w:tcBorders>
          </w:tcPr>
          <w:p>
            <w:pPr>
              <w:rPr>
                <w:rFonts w:ascii="Arial"/>
                <w:sz w:val="21"/>
              </w:rPr>
            </w:pPr>
            <w:r/>
          </w:p>
        </w:tc>
        <w:tc>
          <w:tcPr>
            <w:tcW w:w="919" w:type="dxa"/>
            <w:vAlign w:val="top"/>
            <w:vMerge w:val="continue"/>
            <w:tcBorders>
              <w:top w:val="nil"/>
              <w:bottom w:val="nil"/>
            </w:tcBorders>
          </w:tcPr>
          <w:p>
            <w:pPr>
              <w:rPr>
                <w:rFonts w:ascii="Arial"/>
                <w:sz w:val="21"/>
              </w:rPr>
            </w:pPr>
            <w:r/>
          </w:p>
        </w:tc>
        <w:tc>
          <w:tcPr>
            <w:tcW w:w="1499" w:type="dxa"/>
            <w:vAlign w:val="top"/>
          </w:tcPr>
          <w:p>
            <w:pPr>
              <w:pStyle w:val="TableText"/>
              <w:ind w:left="598"/>
              <w:spacing w:before="105" w:line="169" w:lineRule="auto"/>
              <w:rPr>
                <w:sz w:val="20"/>
                <w:szCs w:val="20"/>
              </w:rPr>
            </w:pPr>
            <w:r>
              <w:rPr>
                <w:sz w:val="20"/>
                <w:szCs w:val="20"/>
                <w:spacing w:val="-1"/>
              </w:rPr>
              <w:t>NOx</w:t>
            </w:r>
          </w:p>
        </w:tc>
        <w:tc>
          <w:tcPr>
            <w:tcW w:w="840" w:type="dxa"/>
            <w:vAlign w:val="top"/>
          </w:tcPr>
          <w:p>
            <w:pPr>
              <w:pStyle w:val="TableText"/>
              <w:ind w:left="169"/>
              <w:spacing w:before="105" w:line="169" w:lineRule="auto"/>
              <w:rPr>
                <w:sz w:val="20"/>
                <w:szCs w:val="20"/>
              </w:rPr>
            </w:pPr>
            <w:r>
              <w:rPr>
                <w:sz w:val="20"/>
                <w:szCs w:val="20"/>
                <w:spacing w:val="-2"/>
              </w:rPr>
              <w:t>0.409</w:t>
            </w:r>
          </w:p>
        </w:tc>
        <w:tc>
          <w:tcPr>
            <w:tcW w:w="754" w:type="dxa"/>
            <w:vAlign w:val="top"/>
          </w:tcPr>
          <w:p>
            <w:pPr>
              <w:pStyle w:val="TableText"/>
              <w:ind w:left="119"/>
              <w:spacing w:before="105" w:line="169" w:lineRule="auto"/>
              <w:rPr>
                <w:sz w:val="20"/>
                <w:szCs w:val="20"/>
              </w:rPr>
            </w:pPr>
            <w:r>
              <w:rPr>
                <w:sz w:val="20"/>
                <w:szCs w:val="20"/>
                <w:spacing w:val="-2"/>
              </w:rPr>
              <w:t>0.409</w:t>
            </w:r>
          </w:p>
        </w:tc>
      </w:tr>
      <w:tr>
        <w:trPr>
          <w:trHeight w:val="270" w:hRule="atLeast"/>
        </w:trPr>
        <w:tc>
          <w:tcPr>
            <w:tcW w:w="1554" w:type="dxa"/>
            <w:vAlign w:val="top"/>
            <w:vMerge w:val="continue"/>
            <w:tcBorders>
              <w:top w:val="nil"/>
            </w:tcBorders>
          </w:tcPr>
          <w:p>
            <w:pPr>
              <w:rPr>
                <w:rFonts w:ascii="Arial"/>
                <w:sz w:val="21"/>
              </w:rPr>
            </w:pPr>
            <w:r/>
          </w:p>
        </w:tc>
        <w:tc>
          <w:tcPr>
            <w:tcW w:w="1119" w:type="dxa"/>
            <w:vAlign w:val="top"/>
            <w:vMerge w:val="continue"/>
            <w:tcBorders>
              <w:top w:val="nil"/>
            </w:tcBorders>
          </w:tcPr>
          <w:p>
            <w:pPr>
              <w:rPr>
                <w:rFonts w:ascii="Arial"/>
                <w:sz w:val="21"/>
              </w:rPr>
            </w:pPr>
            <w:r/>
          </w:p>
        </w:tc>
        <w:tc>
          <w:tcPr>
            <w:tcW w:w="810" w:type="dxa"/>
            <w:vAlign w:val="top"/>
            <w:vMerge w:val="continue"/>
            <w:tcBorders>
              <w:top w:val="nil"/>
            </w:tcBorders>
          </w:tcPr>
          <w:p>
            <w:pPr>
              <w:rPr>
                <w:rFonts w:ascii="Arial"/>
                <w:sz w:val="21"/>
              </w:rPr>
            </w:pPr>
            <w:r/>
          </w:p>
        </w:tc>
        <w:tc>
          <w:tcPr>
            <w:tcW w:w="869" w:type="dxa"/>
            <w:vAlign w:val="top"/>
            <w:vMerge w:val="continue"/>
            <w:tcBorders>
              <w:top w:val="nil"/>
            </w:tcBorders>
          </w:tcPr>
          <w:p>
            <w:pPr>
              <w:rPr>
                <w:rFonts w:ascii="Arial"/>
                <w:sz w:val="21"/>
              </w:rPr>
            </w:pPr>
            <w:r/>
          </w:p>
        </w:tc>
        <w:tc>
          <w:tcPr>
            <w:tcW w:w="1479" w:type="dxa"/>
            <w:vAlign w:val="top"/>
            <w:vMerge w:val="continue"/>
            <w:tcBorders>
              <w:top w:val="nil"/>
            </w:tcBorders>
          </w:tcPr>
          <w:p>
            <w:pPr>
              <w:rPr>
                <w:rFonts w:ascii="Arial"/>
                <w:sz w:val="21"/>
              </w:rPr>
            </w:pPr>
            <w:r/>
          </w:p>
        </w:tc>
        <w:tc>
          <w:tcPr>
            <w:tcW w:w="899" w:type="dxa"/>
            <w:vAlign w:val="top"/>
            <w:vMerge w:val="continue"/>
            <w:tcBorders>
              <w:top w:val="nil"/>
            </w:tcBorders>
          </w:tcPr>
          <w:p>
            <w:pPr>
              <w:rPr>
                <w:rFonts w:ascii="Arial"/>
                <w:sz w:val="21"/>
              </w:rPr>
            </w:pPr>
            <w:r/>
          </w:p>
        </w:tc>
        <w:tc>
          <w:tcPr>
            <w:tcW w:w="1029" w:type="dxa"/>
            <w:vAlign w:val="top"/>
            <w:vMerge w:val="continue"/>
            <w:tcBorders>
              <w:top w:val="nil"/>
            </w:tcBorders>
          </w:tcPr>
          <w:p>
            <w:pPr>
              <w:rPr>
                <w:rFonts w:ascii="Arial"/>
                <w:sz w:val="21"/>
              </w:rPr>
            </w:pPr>
            <w:r/>
          </w:p>
        </w:tc>
        <w:tc>
          <w:tcPr>
            <w:tcW w:w="1069" w:type="dxa"/>
            <w:vAlign w:val="top"/>
            <w:vMerge w:val="continue"/>
            <w:tcBorders>
              <w:top w:val="nil"/>
            </w:tcBorders>
          </w:tcPr>
          <w:p>
            <w:pPr>
              <w:rPr>
                <w:rFonts w:ascii="Arial"/>
                <w:sz w:val="21"/>
              </w:rPr>
            </w:pPr>
            <w:r/>
          </w:p>
        </w:tc>
        <w:tc>
          <w:tcPr>
            <w:tcW w:w="1089" w:type="dxa"/>
            <w:vAlign w:val="top"/>
            <w:vMerge w:val="continue"/>
            <w:tcBorders>
              <w:top w:val="nil"/>
            </w:tcBorders>
          </w:tcPr>
          <w:p>
            <w:pPr>
              <w:rPr>
                <w:rFonts w:ascii="Arial"/>
                <w:sz w:val="21"/>
              </w:rPr>
            </w:pPr>
            <w:r/>
          </w:p>
        </w:tc>
        <w:tc>
          <w:tcPr>
            <w:tcW w:w="919" w:type="dxa"/>
            <w:vAlign w:val="top"/>
            <w:vMerge w:val="continue"/>
            <w:tcBorders>
              <w:top w:val="nil"/>
            </w:tcBorders>
          </w:tcPr>
          <w:p>
            <w:pPr>
              <w:rPr>
                <w:rFonts w:ascii="Arial"/>
                <w:sz w:val="21"/>
              </w:rPr>
            </w:pPr>
            <w:r/>
          </w:p>
        </w:tc>
        <w:tc>
          <w:tcPr>
            <w:tcW w:w="1499" w:type="dxa"/>
            <w:vAlign w:val="top"/>
          </w:tcPr>
          <w:p>
            <w:pPr>
              <w:pStyle w:val="TableText"/>
              <w:ind w:left="448"/>
              <w:spacing w:before="45" w:line="198" w:lineRule="auto"/>
              <w:rPr>
                <w:sz w:val="20"/>
                <w:szCs w:val="20"/>
              </w:rPr>
            </w:pPr>
            <w:r>
              <w:rPr>
                <w:sz w:val="20"/>
                <w:szCs w:val="20"/>
                <w:spacing w:val="-2"/>
              </w:rPr>
              <w:t>颗粒物</w:t>
            </w:r>
          </w:p>
        </w:tc>
        <w:tc>
          <w:tcPr>
            <w:tcW w:w="840" w:type="dxa"/>
            <w:vAlign w:val="top"/>
          </w:tcPr>
          <w:p>
            <w:pPr>
              <w:pStyle w:val="TableText"/>
              <w:ind w:left="169"/>
              <w:spacing w:before="95" w:line="165" w:lineRule="exact"/>
              <w:rPr>
                <w:sz w:val="20"/>
                <w:szCs w:val="20"/>
              </w:rPr>
            </w:pPr>
            <w:r>
              <w:rPr>
                <w:sz w:val="20"/>
                <w:szCs w:val="20"/>
                <w:spacing w:val="-2"/>
                <w:position w:val="-2"/>
              </w:rPr>
              <w:t>0.134</w:t>
            </w:r>
          </w:p>
        </w:tc>
        <w:tc>
          <w:tcPr>
            <w:tcW w:w="754" w:type="dxa"/>
            <w:vAlign w:val="top"/>
          </w:tcPr>
          <w:p>
            <w:pPr>
              <w:pStyle w:val="TableText"/>
              <w:ind w:left="119"/>
              <w:spacing w:before="95" w:line="165" w:lineRule="exact"/>
              <w:rPr>
                <w:sz w:val="20"/>
                <w:szCs w:val="20"/>
              </w:rPr>
            </w:pPr>
            <w:r>
              <w:rPr>
                <w:sz w:val="20"/>
                <w:szCs w:val="20"/>
                <w:spacing w:val="-2"/>
                <w:position w:val="-2"/>
              </w:rPr>
              <w:t>0.134</w:t>
            </w:r>
          </w:p>
        </w:tc>
      </w:tr>
      <w:tr>
        <w:trPr>
          <w:trHeight w:val="289" w:hRule="atLeast"/>
        </w:trPr>
        <w:tc>
          <w:tcPr>
            <w:tcW w:w="1554" w:type="dxa"/>
            <w:vAlign w:val="top"/>
            <w:vMerge w:val="restart"/>
            <w:tcBorders>
              <w:bottom w:val="nil"/>
            </w:tcBorders>
          </w:tcPr>
          <w:p>
            <w:pPr>
              <w:spacing w:line="279" w:lineRule="auto"/>
              <w:rPr>
                <w:rFonts w:ascii="Arial"/>
                <w:sz w:val="21"/>
              </w:rPr>
            </w:pPr>
            <w:r/>
          </w:p>
          <w:p>
            <w:pPr>
              <w:pStyle w:val="TableText"/>
              <w:ind w:left="264"/>
              <w:spacing w:before="65" w:line="220" w:lineRule="auto"/>
              <w:rPr>
                <w:sz w:val="20"/>
                <w:szCs w:val="20"/>
              </w:rPr>
            </w:pPr>
            <w:r>
              <w:rPr>
                <w:sz w:val="20"/>
                <w:szCs w:val="20"/>
                <w:spacing w:val="2"/>
              </w:rPr>
              <w:t>天然气锅炉</w:t>
            </w:r>
          </w:p>
        </w:tc>
        <w:tc>
          <w:tcPr>
            <w:tcW w:w="1119" w:type="dxa"/>
            <w:vAlign w:val="top"/>
            <w:vMerge w:val="restart"/>
            <w:tcBorders>
              <w:bottom w:val="nil"/>
            </w:tcBorders>
          </w:tcPr>
          <w:p>
            <w:pPr>
              <w:spacing w:line="327" w:lineRule="auto"/>
              <w:rPr>
                <w:rFonts w:ascii="Arial"/>
                <w:sz w:val="21"/>
              </w:rPr>
            </w:pPr>
            <w:r/>
          </w:p>
          <w:p>
            <w:pPr>
              <w:pStyle w:val="TableText"/>
              <w:ind w:left="300"/>
              <w:spacing w:before="65" w:line="185" w:lineRule="auto"/>
              <w:rPr>
                <w:sz w:val="20"/>
                <w:szCs w:val="20"/>
              </w:rPr>
            </w:pPr>
            <w:r>
              <w:rPr>
                <w:sz w:val="20"/>
                <w:szCs w:val="20"/>
                <w:spacing w:val="-1"/>
              </w:rPr>
              <w:t>DA028</w:t>
            </w:r>
          </w:p>
        </w:tc>
        <w:tc>
          <w:tcPr>
            <w:tcW w:w="810" w:type="dxa"/>
            <w:vAlign w:val="top"/>
            <w:vMerge w:val="restart"/>
            <w:tcBorders>
              <w:bottom w:val="nil"/>
            </w:tcBorders>
          </w:tcPr>
          <w:p>
            <w:pPr>
              <w:spacing w:line="328" w:lineRule="auto"/>
              <w:rPr>
                <w:rFonts w:ascii="Arial"/>
                <w:sz w:val="21"/>
              </w:rPr>
            </w:pPr>
            <w:r/>
          </w:p>
          <w:p>
            <w:pPr>
              <w:pStyle w:val="TableText"/>
              <w:ind w:left="241"/>
              <w:spacing w:before="65" w:line="184" w:lineRule="auto"/>
              <w:rPr>
                <w:sz w:val="20"/>
                <w:szCs w:val="20"/>
              </w:rPr>
            </w:pPr>
            <w:r>
              <w:rPr>
                <w:sz w:val="20"/>
                <w:szCs w:val="20"/>
                <w:spacing w:val="-6"/>
              </w:rPr>
              <w:t>121</w:t>
            </w:r>
          </w:p>
        </w:tc>
        <w:tc>
          <w:tcPr>
            <w:tcW w:w="869" w:type="dxa"/>
            <w:vAlign w:val="top"/>
            <w:vMerge w:val="restart"/>
            <w:tcBorders>
              <w:bottom w:val="nil"/>
            </w:tcBorders>
          </w:tcPr>
          <w:p>
            <w:pPr>
              <w:spacing w:line="329" w:lineRule="auto"/>
              <w:rPr>
                <w:rFonts w:ascii="Arial"/>
                <w:sz w:val="21"/>
              </w:rPr>
            </w:pPr>
            <w:r/>
          </w:p>
          <w:p>
            <w:pPr>
              <w:pStyle w:val="TableText"/>
              <w:ind w:left="321"/>
              <w:spacing w:before="65" w:line="183" w:lineRule="auto"/>
              <w:rPr>
                <w:sz w:val="20"/>
                <w:szCs w:val="20"/>
              </w:rPr>
            </w:pPr>
            <w:r>
              <w:rPr>
                <w:sz w:val="20"/>
                <w:szCs w:val="20"/>
                <w:spacing w:val="-4"/>
              </w:rPr>
              <w:t>70</w:t>
            </w:r>
          </w:p>
        </w:tc>
        <w:tc>
          <w:tcPr>
            <w:tcW w:w="1479" w:type="dxa"/>
            <w:vAlign w:val="top"/>
            <w:vMerge w:val="restart"/>
            <w:tcBorders>
              <w:bottom w:val="nil"/>
            </w:tcBorders>
          </w:tcPr>
          <w:p>
            <w:pPr>
              <w:spacing w:line="329" w:lineRule="auto"/>
              <w:rPr>
                <w:rFonts w:ascii="Arial"/>
                <w:sz w:val="21"/>
              </w:rPr>
            </w:pPr>
            <w:r/>
          </w:p>
          <w:p>
            <w:pPr>
              <w:pStyle w:val="TableText"/>
              <w:ind w:left="682"/>
              <w:spacing w:before="65" w:line="183" w:lineRule="auto"/>
              <w:rPr>
                <w:sz w:val="20"/>
                <w:szCs w:val="20"/>
              </w:rPr>
            </w:pPr>
            <w:r>
              <w:rPr>
                <w:sz w:val="20"/>
                <w:szCs w:val="20"/>
              </w:rPr>
              <w:t>0</w:t>
            </w:r>
          </w:p>
        </w:tc>
        <w:tc>
          <w:tcPr>
            <w:tcW w:w="899" w:type="dxa"/>
            <w:vAlign w:val="top"/>
            <w:vMerge w:val="restart"/>
            <w:tcBorders>
              <w:bottom w:val="nil"/>
            </w:tcBorders>
          </w:tcPr>
          <w:p>
            <w:pPr>
              <w:spacing w:line="329" w:lineRule="auto"/>
              <w:rPr>
                <w:rFonts w:ascii="Arial"/>
                <w:sz w:val="21"/>
              </w:rPr>
            </w:pPr>
            <w:r/>
          </w:p>
          <w:p>
            <w:pPr>
              <w:pStyle w:val="TableText"/>
              <w:ind w:left="343"/>
              <w:spacing w:before="65" w:line="183" w:lineRule="auto"/>
              <w:rPr>
                <w:sz w:val="20"/>
                <w:szCs w:val="20"/>
              </w:rPr>
            </w:pPr>
            <w:r>
              <w:rPr>
                <w:sz w:val="20"/>
                <w:szCs w:val="20"/>
                <w:spacing w:val="-3"/>
              </w:rPr>
              <w:t>27</w:t>
            </w:r>
          </w:p>
        </w:tc>
        <w:tc>
          <w:tcPr>
            <w:tcW w:w="1029" w:type="dxa"/>
            <w:vAlign w:val="top"/>
            <w:vMerge w:val="restart"/>
            <w:tcBorders>
              <w:bottom w:val="nil"/>
            </w:tcBorders>
          </w:tcPr>
          <w:p>
            <w:pPr>
              <w:spacing w:line="328" w:lineRule="auto"/>
              <w:rPr>
                <w:rFonts w:ascii="Arial"/>
                <w:sz w:val="21"/>
              </w:rPr>
            </w:pPr>
            <w:r/>
          </w:p>
          <w:p>
            <w:pPr>
              <w:pStyle w:val="TableText"/>
              <w:ind w:left="354"/>
              <w:spacing w:before="65" w:line="184" w:lineRule="auto"/>
              <w:rPr>
                <w:sz w:val="20"/>
                <w:szCs w:val="20"/>
              </w:rPr>
            </w:pPr>
            <w:r>
              <w:rPr>
                <w:sz w:val="20"/>
                <w:szCs w:val="20"/>
                <w:spacing w:val="-6"/>
              </w:rPr>
              <w:t>1.0</w:t>
            </w:r>
          </w:p>
        </w:tc>
        <w:tc>
          <w:tcPr>
            <w:tcW w:w="1069" w:type="dxa"/>
            <w:vAlign w:val="top"/>
            <w:vMerge w:val="restart"/>
            <w:tcBorders>
              <w:bottom w:val="nil"/>
            </w:tcBorders>
          </w:tcPr>
          <w:p>
            <w:pPr>
              <w:spacing w:line="328" w:lineRule="auto"/>
              <w:rPr>
                <w:rFonts w:ascii="Arial"/>
                <w:sz w:val="21"/>
              </w:rPr>
            </w:pPr>
            <w:r/>
          </w:p>
          <w:p>
            <w:pPr>
              <w:pStyle w:val="TableText"/>
              <w:ind w:left="275"/>
              <w:spacing w:before="65" w:line="184" w:lineRule="auto"/>
              <w:rPr>
                <w:sz w:val="20"/>
                <w:szCs w:val="20"/>
              </w:rPr>
            </w:pPr>
            <w:r>
              <w:rPr>
                <w:sz w:val="20"/>
                <w:szCs w:val="20"/>
                <w:spacing w:val="-4"/>
              </w:rPr>
              <w:t>12284</w:t>
            </w:r>
          </w:p>
        </w:tc>
        <w:tc>
          <w:tcPr>
            <w:tcW w:w="1089" w:type="dxa"/>
            <w:vAlign w:val="top"/>
            <w:vMerge w:val="restart"/>
            <w:tcBorders>
              <w:bottom w:val="nil"/>
            </w:tcBorders>
          </w:tcPr>
          <w:p>
            <w:pPr>
              <w:spacing w:line="328" w:lineRule="auto"/>
              <w:rPr>
                <w:rFonts w:ascii="Arial"/>
                <w:sz w:val="21"/>
              </w:rPr>
            </w:pPr>
            <w:r/>
          </w:p>
          <w:p>
            <w:pPr>
              <w:pStyle w:val="TableText"/>
              <w:ind w:left="386"/>
              <w:spacing w:before="65" w:line="184" w:lineRule="auto"/>
              <w:rPr>
                <w:sz w:val="20"/>
                <w:szCs w:val="20"/>
              </w:rPr>
            </w:pPr>
            <w:r>
              <w:rPr>
                <w:sz w:val="20"/>
                <w:szCs w:val="20"/>
                <w:spacing w:val="-6"/>
              </w:rPr>
              <w:t>150</w:t>
            </w:r>
          </w:p>
        </w:tc>
        <w:tc>
          <w:tcPr>
            <w:tcW w:w="919" w:type="dxa"/>
            <w:vAlign w:val="top"/>
            <w:vMerge w:val="restart"/>
            <w:tcBorders>
              <w:bottom w:val="nil"/>
            </w:tcBorders>
          </w:tcPr>
          <w:p>
            <w:pPr>
              <w:spacing w:line="329" w:lineRule="auto"/>
              <w:rPr>
                <w:rFonts w:ascii="Arial"/>
                <w:sz w:val="21"/>
              </w:rPr>
            </w:pPr>
            <w:r/>
          </w:p>
          <w:p>
            <w:pPr>
              <w:pStyle w:val="TableText"/>
              <w:ind w:left="257"/>
              <w:spacing w:before="65" w:line="183" w:lineRule="auto"/>
              <w:rPr>
                <w:sz w:val="20"/>
                <w:szCs w:val="20"/>
              </w:rPr>
            </w:pPr>
            <w:r>
              <w:rPr>
                <w:sz w:val="20"/>
                <w:szCs w:val="20"/>
                <w:spacing w:val="-2"/>
              </w:rPr>
              <w:t>6600</w:t>
            </w:r>
          </w:p>
        </w:tc>
        <w:tc>
          <w:tcPr>
            <w:tcW w:w="1499" w:type="dxa"/>
            <w:vAlign w:val="top"/>
          </w:tcPr>
          <w:p>
            <w:pPr>
              <w:pStyle w:val="TableText"/>
              <w:ind w:left="548"/>
              <w:spacing w:before="87" w:line="177" w:lineRule="auto"/>
              <w:rPr>
                <w:rFonts w:ascii="Calibri" w:hAnsi="Calibri" w:eastAsia="Calibri" w:cs="Calibri"/>
                <w:sz w:val="20"/>
                <w:szCs w:val="20"/>
              </w:rPr>
            </w:pPr>
            <w:r>
              <w:rPr>
                <w:sz w:val="20"/>
                <w:szCs w:val="20"/>
                <w:spacing w:val="-3"/>
              </w:rPr>
              <w:t>SO</w:t>
            </w:r>
            <w:r>
              <w:rPr>
                <w:rFonts w:ascii="Calibri" w:hAnsi="Calibri" w:eastAsia="Calibri" w:cs="Calibri"/>
                <w:sz w:val="20"/>
                <w:szCs w:val="20"/>
                <w:spacing w:val="-3"/>
              </w:rPr>
              <w:t>₂</w:t>
            </w:r>
          </w:p>
        </w:tc>
        <w:tc>
          <w:tcPr>
            <w:tcW w:w="840" w:type="dxa"/>
            <w:vAlign w:val="top"/>
          </w:tcPr>
          <w:p>
            <w:pPr>
              <w:pStyle w:val="TableText"/>
              <w:ind w:left="169"/>
              <w:spacing w:before="105" w:line="160" w:lineRule="auto"/>
              <w:rPr>
                <w:sz w:val="20"/>
                <w:szCs w:val="20"/>
              </w:rPr>
            </w:pPr>
            <w:r>
              <w:rPr>
                <w:sz w:val="20"/>
                <w:szCs w:val="20"/>
                <w:spacing w:val="-2"/>
              </w:rPr>
              <w:t>0.187</w:t>
            </w:r>
          </w:p>
        </w:tc>
        <w:tc>
          <w:tcPr>
            <w:tcW w:w="754" w:type="dxa"/>
            <w:vAlign w:val="top"/>
          </w:tcPr>
          <w:p>
            <w:pPr>
              <w:pStyle w:val="TableText"/>
              <w:ind w:left="119"/>
              <w:spacing w:before="105" w:line="160" w:lineRule="auto"/>
              <w:rPr>
                <w:sz w:val="20"/>
                <w:szCs w:val="20"/>
              </w:rPr>
            </w:pPr>
            <w:r>
              <w:rPr>
                <w:sz w:val="20"/>
                <w:szCs w:val="20"/>
                <w:spacing w:val="-2"/>
              </w:rPr>
              <w:t>0.187</w:t>
            </w:r>
          </w:p>
        </w:tc>
      </w:tr>
      <w:tr>
        <w:trPr>
          <w:trHeight w:val="270" w:hRule="atLeast"/>
        </w:trPr>
        <w:tc>
          <w:tcPr>
            <w:tcW w:w="1554" w:type="dxa"/>
            <w:vAlign w:val="top"/>
            <w:vMerge w:val="continue"/>
            <w:tcBorders>
              <w:top w:val="nil"/>
              <w:bottom w:val="nil"/>
            </w:tcBorders>
          </w:tcPr>
          <w:p>
            <w:pPr>
              <w:rPr>
                <w:rFonts w:ascii="Arial"/>
                <w:sz w:val="21"/>
              </w:rPr>
            </w:pPr>
            <w:r/>
          </w:p>
        </w:tc>
        <w:tc>
          <w:tcPr>
            <w:tcW w:w="1119" w:type="dxa"/>
            <w:vAlign w:val="top"/>
            <w:vMerge w:val="continue"/>
            <w:tcBorders>
              <w:top w:val="nil"/>
              <w:bottom w:val="nil"/>
            </w:tcBorders>
          </w:tcPr>
          <w:p>
            <w:pPr>
              <w:rPr>
                <w:rFonts w:ascii="Arial"/>
                <w:sz w:val="21"/>
              </w:rPr>
            </w:pPr>
            <w:r/>
          </w:p>
        </w:tc>
        <w:tc>
          <w:tcPr>
            <w:tcW w:w="810" w:type="dxa"/>
            <w:vAlign w:val="top"/>
            <w:vMerge w:val="continue"/>
            <w:tcBorders>
              <w:top w:val="nil"/>
              <w:bottom w:val="nil"/>
            </w:tcBorders>
          </w:tcPr>
          <w:p>
            <w:pPr>
              <w:rPr>
                <w:rFonts w:ascii="Arial"/>
                <w:sz w:val="21"/>
              </w:rPr>
            </w:pPr>
            <w:r/>
          </w:p>
        </w:tc>
        <w:tc>
          <w:tcPr>
            <w:tcW w:w="869" w:type="dxa"/>
            <w:vAlign w:val="top"/>
            <w:vMerge w:val="continue"/>
            <w:tcBorders>
              <w:top w:val="nil"/>
              <w:bottom w:val="nil"/>
            </w:tcBorders>
          </w:tcPr>
          <w:p>
            <w:pPr>
              <w:rPr>
                <w:rFonts w:ascii="Arial"/>
                <w:sz w:val="21"/>
              </w:rPr>
            </w:pPr>
            <w:r/>
          </w:p>
        </w:tc>
        <w:tc>
          <w:tcPr>
            <w:tcW w:w="1479" w:type="dxa"/>
            <w:vAlign w:val="top"/>
            <w:vMerge w:val="continue"/>
            <w:tcBorders>
              <w:top w:val="nil"/>
              <w:bottom w:val="nil"/>
            </w:tcBorders>
          </w:tcPr>
          <w:p>
            <w:pPr>
              <w:rPr>
                <w:rFonts w:ascii="Arial"/>
                <w:sz w:val="21"/>
              </w:rPr>
            </w:pPr>
            <w:r/>
          </w:p>
        </w:tc>
        <w:tc>
          <w:tcPr>
            <w:tcW w:w="899" w:type="dxa"/>
            <w:vAlign w:val="top"/>
            <w:vMerge w:val="continue"/>
            <w:tcBorders>
              <w:top w:val="nil"/>
              <w:bottom w:val="nil"/>
            </w:tcBorders>
          </w:tcPr>
          <w:p>
            <w:pPr>
              <w:rPr>
                <w:rFonts w:ascii="Arial"/>
                <w:sz w:val="21"/>
              </w:rPr>
            </w:pPr>
            <w:r/>
          </w:p>
        </w:tc>
        <w:tc>
          <w:tcPr>
            <w:tcW w:w="1029" w:type="dxa"/>
            <w:vAlign w:val="top"/>
            <w:vMerge w:val="continue"/>
            <w:tcBorders>
              <w:top w:val="nil"/>
              <w:bottom w:val="nil"/>
            </w:tcBorders>
          </w:tcPr>
          <w:p>
            <w:pPr>
              <w:rPr>
                <w:rFonts w:ascii="Arial"/>
                <w:sz w:val="21"/>
              </w:rPr>
            </w:pPr>
            <w:r/>
          </w:p>
        </w:tc>
        <w:tc>
          <w:tcPr>
            <w:tcW w:w="1069" w:type="dxa"/>
            <w:vAlign w:val="top"/>
            <w:vMerge w:val="continue"/>
            <w:tcBorders>
              <w:top w:val="nil"/>
              <w:bottom w:val="nil"/>
            </w:tcBorders>
          </w:tcPr>
          <w:p>
            <w:pPr>
              <w:rPr>
                <w:rFonts w:ascii="Arial"/>
                <w:sz w:val="21"/>
              </w:rPr>
            </w:pPr>
            <w:r/>
          </w:p>
        </w:tc>
        <w:tc>
          <w:tcPr>
            <w:tcW w:w="1089" w:type="dxa"/>
            <w:vAlign w:val="top"/>
            <w:vMerge w:val="continue"/>
            <w:tcBorders>
              <w:top w:val="nil"/>
              <w:bottom w:val="nil"/>
            </w:tcBorders>
          </w:tcPr>
          <w:p>
            <w:pPr>
              <w:rPr>
                <w:rFonts w:ascii="Arial"/>
                <w:sz w:val="21"/>
              </w:rPr>
            </w:pPr>
            <w:r/>
          </w:p>
        </w:tc>
        <w:tc>
          <w:tcPr>
            <w:tcW w:w="919" w:type="dxa"/>
            <w:vAlign w:val="top"/>
            <w:vMerge w:val="continue"/>
            <w:tcBorders>
              <w:top w:val="nil"/>
              <w:bottom w:val="nil"/>
            </w:tcBorders>
          </w:tcPr>
          <w:p>
            <w:pPr>
              <w:rPr>
                <w:rFonts w:ascii="Arial"/>
                <w:sz w:val="21"/>
              </w:rPr>
            </w:pPr>
            <w:r/>
          </w:p>
        </w:tc>
        <w:tc>
          <w:tcPr>
            <w:tcW w:w="1499" w:type="dxa"/>
            <w:vAlign w:val="top"/>
          </w:tcPr>
          <w:p>
            <w:pPr>
              <w:pStyle w:val="TableText"/>
              <w:ind w:left="598"/>
              <w:spacing w:before="97" w:line="162" w:lineRule="exact"/>
              <w:rPr>
                <w:sz w:val="20"/>
                <w:szCs w:val="20"/>
              </w:rPr>
            </w:pPr>
            <w:r>
              <w:rPr>
                <w:sz w:val="20"/>
                <w:szCs w:val="20"/>
                <w:spacing w:val="-1"/>
                <w:position w:val="-2"/>
              </w:rPr>
              <w:t>NOx</w:t>
            </w:r>
          </w:p>
        </w:tc>
        <w:tc>
          <w:tcPr>
            <w:tcW w:w="840" w:type="dxa"/>
            <w:vAlign w:val="top"/>
          </w:tcPr>
          <w:p>
            <w:pPr>
              <w:pStyle w:val="TableText"/>
              <w:ind w:left="169"/>
              <w:spacing w:before="96" w:line="163" w:lineRule="exact"/>
              <w:rPr>
                <w:sz w:val="20"/>
                <w:szCs w:val="20"/>
              </w:rPr>
            </w:pPr>
            <w:r>
              <w:rPr>
                <w:sz w:val="20"/>
                <w:szCs w:val="20"/>
                <w:spacing w:val="-2"/>
                <w:position w:val="-2"/>
              </w:rPr>
              <w:t>0.614</w:t>
            </w:r>
          </w:p>
        </w:tc>
        <w:tc>
          <w:tcPr>
            <w:tcW w:w="754" w:type="dxa"/>
            <w:vAlign w:val="top"/>
          </w:tcPr>
          <w:p>
            <w:pPr>
              <w:pStyle w:val="TableText"/>
              <w:ind w:left="119"/>
              <w:spacing w:before="96" w:line="163" w:lineRule="exact"/>
              <w:rPr>
                <w:sz w:val="20"/>
                <w:szCs w:val="20"/>
              </w:rPr>
            </w:pPr>
            <w:r>
              <w:rPr>
                <w:sz w:val="20"/>
                <w:szCs w:val="20"/>
                <w:spacing w:val="-2"/>
                <w:position w:val="-2"/>
              </w:rPr>
              <w:t>0.614</w:t>
            </w:r>
          </w:p>
        </w:tc>
      </w:tr>
      <w:tr>
        <w:trPr>
          <w:trHeight w:val="299" w:hRule="atLeast"/>
        </w:trPr>
        <w:tc>
          <w:tcPr>
            <w:tcW w:w="1554" w:type="dxa"/>
            <w:vAlign w:val="top"/>
            <w:vMerge w:val="continue"/>
            <w:tcBorders>
              <w:top w:val="nil"/>
            </w:tcBorders>
          </w:tcPr>
          <w:p>
            <w:pPr>
              <w:rPr>
                <w:rFonts w:ascii="Arial"/>
                <w:sz w:val="21"/>
              </w:rPr>
            </w:pPr>
            <w:r/>
          </w:p>
        </w:tc>
        <w:tc>
          <w:tcPr>
            <w:tcW w:w="1119" w:type="dxa"/>
            <w:vAlign w:val="top"/>
            <w:vMerge w:val="continue"/>
            <w:tcBorders>
              <w:top w:val="nil"/>
            </w:tcBorders>
          </w:tcPr>
          <w:p>
            <w:pPr>
              <w:rPr>
                <w:rFonts w:ascii="Arial"/>
                <w:sz w:val="21"/>
              </w:rPr>
            </w:pPr>
            <w:r/>
          </w:p>
        </w:tc>
        <w:tc>
          <w:tcPr>
            <w:tcW w:w="810" w:type="dxa"/>
            <w:vAlign w:val="top"/>
            <w:vMerge w:val="continue"/>
            <w:tcBorders>
              <w:top w:val="nil"/>
            </w:tcBorders>
          </w:tcPr>
          <w:p>
            <w:pPr>
              <w:rPr>
                <w:rFonts w:ascii="Arial"/>
                <w:sz w:val="21"/>
              </w:rPr>
            </w:pPr>
            <w:r/>
          </w:p>
        </w:tc>
        <w:tc>
          <w:tcPr>
            <w:tcW w:w="869" w:type="dxa"/>
            <w:vAlign w:val="top"/>
            <w:vMerge w:val="continue"/>
            <w:tcBorders>
              <w:top w:val="nil"/>
            </w:tcBorders>
          </w:tcPr>
          <w:p>
            <w:pPr>
              <w:rPr>
                <w:rFonts w:ascii="Arial"/>
                <w:sz w:val="21"/>
              </w:rPr>
            </w:pPr>
            <w:r/>
          </w:p>
        </w:tc>
        <w:tc>
          <w:tcPr>
            <w:tcW w:w="1479" w:type="dxa"/>
            <w:vAlign w:val="top"/>
            <w:vMerge w:val="continue"/>
            <w:tcBorders>
              <w:top w:val="nil"/>
            </w:tcBorders>
          </w:tcPr>
          <w:p>
            <w:pPr>
              <w:rPr>
                <w:rFonts w:ascii="Arial"/>
                <w:sz w:val="21"/>
              </w:rPr>
            </w:pPr>
            <w:r/>
          </w:p>
        </w:tc>
        <w:tc>
          <w:tcPr>
            <w:tcW w:w="899" w:type="dxa"/>
            <w:vAlign w:val="top"/>
            <w:vMerge w:val="continue"/>
            <w:tcBorders>
              <w:top w:val="nil"/>
            </w:tcBorders>
          </w:tcPr>
          <w:p>
            <w:pPr>
              <w:rPr>
                <w:rFonts w:ascii="Arial"/>
                <w:sz w:val="21"/>
              </w:rPr>
            </w:pPr>
            <w:r/>
          </w:p>
        </w:tc>
        <w:tc>
          <w:tcPr>
            <w:tcW w:w="1029" w:type="dxa"/>
            <w:vAlign w:val="top"/>
            <w:vMerge w:val="continue"/>
            <w:tcBorders>
              <w:top w:val="nil"/>
            </w:tcBorders>
          </w:tcPr>
          <w:p>
            <w:pPr>
              <w:rPr>
                <w:rFonts w:ascii="Arial"/>
                <w:sz w:val="21"/>
              </w:rPr>
            </w:pPr>
            <w:r/>
          </w:p>
        </w:tc>
        <w:tc>
          <w:tcPr>
            <w:tcW w:w="1069" w:type="dxa"/>
            <w:vAlign w:val="top"/>
            <w:vMerge w:val="continue"/>
            <w:tcBorders>
              <w:top w:val="nil"/>
            </w:tcBorders>
          </w:tcPr>
          <w:p>
            <w:pPr>
              <w:rPr>
                <w:rFonts w:ascii="Arial"/>
                <w:sz w:val="21"/>
              </w:rPr>
            </w:pPr>
            <w:r/>
          </w:p>
        </w:tc>
        <w:tc>
          <w:tcPr>
            <w:tcW w:w="1089" w:type="dxa"/>
            <w:vAlign w:val="top"/>
            <w:vMerge w:val="continue"/>
            <w:tcBorders>
              <w:top w:val="nil"/>
            </w:tcBorders>
          </w:tcPr>
          <w:p>
            <w:pPr>
              <w:rPr>
                <w:rFonts w:ascii="Arial"/>
                <w:sz w:val="21"/>
              </w:rPr>
            </w:pPr>
            <w:r/>
          </w:p>
        </w:tc>
        <w:tc>
          <w:tcPr>
            <w:tcW w:w="919" w:type="dxa"/>
            <w:vAlign w:val="top"/>
            <w:vMerge w:val="continue"/>
            <w:tcBorders>
              <w:top w:val="nil"/>
            </w:tcBorders>
          </w:tcPr>
          <w:p>
            <w:pPr>
              <w:rPr>
                <w:rFonts w:ascii="Arial"/>
                <w:sz w:val="21"/>
              </w:rPr>
            </w:pPr>
            <w:r/>
          </w:p>
        </w:tc>
        <w:tc>
          <w:tcPr>
            <w:tcW w:w="1499" w:type="dxa"/>
            <w:vAlign w:val="top"/>
          </w:tcPr>
          <w:p>
            <w:pPr>
              <w:pStyle w:val="TableText"/>
              <w:ind w:left="448"/>
              <w:spacing w:before="57" w:line="214" w:lineRule="auto"/>
              <w:rPr>
                <w:sz w:val="20"/>
                <w:szCs w:val="20"/>
              </w:rPr>
            </w:pPr>
            <w:r>
              <w:rPr>
                <w:sz w:val="20"/>
                <w:szCs w:val="20"/>
                <w:spacing w:val="-2"/>
              </w:rPr>
              <w:t>颗粒物</w:t>
            </w:r>
          </w:p>
        </w:tc>
        <w:tc>
          <w:tcPr>
            <w:tcW w:w="840" w:type="dxa"/>
            <w:vAlign w:val="top"/>
          </w:tcPr>
          <w:p>
            <w:pPr>
              <w:pStyle w:val="TableText"/>
              <w:ind w:left="169"/>
              <w:spacing w:before="107" w:line="168" w:lineRule="auto"/>
              <w:rPr>
                <w:sz w:val="20"/>
                <w:szCs w:val="20"/>
              </w:rPr>
            </w:pPr>
            <w:r>
              <w:rPr>
                <w:sz w:val="20"/>
                <w:szCs w:val="20"/>
                <w:spacing w:val="-2"/>
              </w:rPr>
              <w:t>0.201</w:t>
            </w:r>
          </w:p>
        </w:tc>
        <w:tc>
          <w:tcPr>
            <w:tcW w:w="754" w:type="dxa"/>
            <w:vAlign w:val="top"/>
          </w:tcPr>
          <w:p>
            <w:pPr>
              <w:pStyle w:val="TableText"/>
              <w:ind w:left="119"/>
              <w:spacing w:before="107" w:line="168" w:lineRule="auto"/>
              <w:rPr>
                <w:sz w:val="20"/>
                <w:szCs w:val="20"/>
              </w:rPr>
            </w:pPr>
            <w:r>
              <w:rPr>
                <w:sz w:val="20"/>
                <w:szCs w:val="20"/>
                <w:spacing w:val="-2"/>
              </w:rPr>
              <w:t>0.201</w:t>
            </w:r>
          </w:p>
        </w:tc>
      </w:tr>
      <w:tr>
        <w:trPr>
          <w:trHeight w:val="270" w:hRule="atLeast"/>
        </w:trPr>
        <w:tc>
          <w:tcPr>
            <w:tcW w:w="1554" w:type="dxa"/>
            <w:vAlign w:val="top"/>
            <w:vMerge w:val="restart"/>
            <w:tcBorders>
              <w:bottom w:val="nil"/>
            </w:tcBorders>
          </w:tcPr>
          <w:p>
            <w:pPr>
              <w:pStyle w:val="TableText"/>
              <w:ind w:left="264"/>
              <w:spacing w:before="197" w:line="219" w:lineRule="auto"/>
              <w:rPr>
                <w:sz w:val="20"/>
                <w:szCs w:val="20"/>
              </w:rPr>
            </w:pPr>
            <w:r>
              <w:rPr>
                <w:sz w:val="20"/>
                <w:szCs w:val="20"/>
                <w:spacing w:val="2"/>
              </w:rPr>
              <w:t>工业污水站</w:t>
            </w:r>
          </w:p>
        </w:tc>
        <w:tc>
          <w:tcPr>
            <w:tcW w:w="1119" w:type="dxa"/>
            <w:vAlign w:val="top"/>
            <w:vMerge w:val="restart"/>
            <w:tcBorders>
              <w:bottom w:val="nil"/>
            </w:tcBorders>
          </w:tcPr>
          <w:p>
            <w:pPr>
              <w:pStyle w:val="TableText"/>
              <w:ind w:left="300"/>
              <w:spacing w:before="246" w:line="185" w:lineRule="auto"/>
              <w:rPr>
                <w:sz w:val="20"/>
                <w:szCs w:val="20"/>
              </w:rPr>
            </w:pPr>
            <w:r>
              <w:rPr>
                <w:sz w:val="20"/>
                <w:szCs w:val="20"/>
                <w:spacing w:val="-1"/>
              </w:rPr>
              <w:t>DA006</w:t>
            </w:r>
          </w:p>
        </w:tc>
        <w:tc>
          <w:tcPr>
            <w:tcW w:w="810" w:type="dxa"/>
            <w:vAlign w:val="top"/>
            <w:vMerge w:val="restart"/>
            <w:tcBorders>
              <w:bottom w:val="nil"/>
            </w:tcBorders>
          </w:tcPr>
          <w:p>
            <w:pPr>
              <w:pStyle w:val="TableText"/>
              <w:ind w:left="241"/>
              <w:spacing w:before="248" w:line="183" w:lineRule="auto"/>
              <w:rPr>
                <w:sz w:val="20"/>
                <w:szCs w:val="20"/>
              </w:rPr>
            </w:pPr>
            <w:r>
              <w:rPr>
                <w:sz w:val="20"/>
                <w:szCs w:val="20"/>
                <w:spacing w:val="-3"/>
              </w:rPr>
              <w:t>694</w:t>
            </w:r>
          </w:p>
        </w:tc>
        <w:tc>
          <w:tcPr>
            <w:tcW w:w="869" w:type="dxa"/>
            <w:vAlign w:val="top"/>
            <w:vMerge w:val="restart"/>
            <w:tcBorders>
              <w:bottom w:val="nil"/>
            </w:tcBorders>
          </w:tcPr>
          <w:p>
            <w:pPr>
              <w:pStyle w:val="TableText"/>
              <w:ind w:left="222"/>
              <w:spacing w:before="248" w:line="183" w:lineRule="auto"/>
              <w:rPr>
                <w:sz w:val="20"/>
                <w:szCs w:val="20"/>
              </w:rPr>
            </w:pPr>
            <w:r>
              <w:rPr>
                <w:sz w:val="20"/>
                <w:szCs w:val="20"/>
                <w:spacing w:val="-2"/>
              </w:rPr>
              <w:t>-295</w:t>
            </w:r>
          </w:p>
        </w:tc>
        <w:tc>
          <w:tcPr>
            <w:tcW w:w="1479" w:type="dxa"/>
            <w:vAlign w:val="top"/>
            <w:vMerge w:val="restart"/>
            <w:tcBorders>
              <w:bottom w:val="nil"/>
            </w:tcBorders>
          </w:tcPr>
          <w:p>
            <w:pPr>
              <w:pStyle w:val="TableText"/>
              <w:ind w:left="682"/>
              <w:spacing w:before="248" w:line="183" w:lineRule="auto"/>
              <w:rPr>
                <w:sz w:val="20"/>
                <w:szCs w:val="20"/>
              </w:rPr>
            </w:pPr>
            <w:r>
              <w:rPr>
                <w:sz w:val="20"/>
                <w:szCs w:val="20"/>
              </w:rPr>
              <w:t>0</w:t>
            </w:r>
          </w:p>
        </w:tc>
        <w:tc>
          <w:tcPr>
            <w:tcW w:w="899" w:type="dxa"/>
            <w:vAlign w:val="top"/>
            <w:vMerge w:val="restart"/>
            <w:tcBorders>
              <w:bottom w:val="nil"/>
            </w:tcBorders>
          </w:tcPr>
          <w:p>
            <w:pPr>
              <w:pStyle w:val="TableText"/>
              <w:ind w:left="343"/>
              <w:spacing w:before="247" w:line="184" w:lineRule="auto"/>
              <w:rPr>
                <w:sz w:val="20"/>
                <w:szCs w:val="20"/>
              </w:rPr>
            </w:pPr>
            <w:r>
              <w:rPr>
                <w:sz w:val="20"/>
                <w:szCs w:val="20"/>
                <w:spacing w:val="-6"/>
              </w:rPr>
              <w:t>15</w:t>
            </w:r>
          </w:p>
        </w:tc>
        <w:tc>
          <w:tcPr>
            <w:tcW w:w="1029" w:type="dxa"/>
            <w:vAlign w:val="top"/>
            <w:vMerge w:val="restart"/>
            <w:tcBorders>
              <w:bottom w:val="nil"/>
            </w:tcBorders>
          </w:tcPr>
          <w:p>
            <w:pPr>
              <w:pStyle w:val="TableText"/>
              <w:ind w:left="354"/>
              <w:spacing w:before="248" w:line="183" w:lineRule="auto"/>
              <w:rPr>
                <w:sz w:val="20"/>
                <w:szCs w:val="20"/>
              </w:rPr>
            </w:pPr>
            <w:r>
              <w:rPr>
                <w:sz w:val="20"/>
                <w:szCs w:val="20"/>
                <w:spacing w:val="-3"/>
              </w:rPr>
              <w:t>0.6</w:t>
            </w:r>
          </w:p>
        </w:tc>
        <w:tc>
          <w:tcPr>
            <w:tcW w:w="1069" w:type="dxa"/>
            <w:vAlign w:val="top"/>
            <w:vMerge w:val="restart"/>
            <w:tcBorders>
              <w:bottom w:val="nil"/>
            </w:tcBorders>
          </w:tcPr>
          <w:p>
            <w:pPr>
              <w:pStyle w:val="TableText"/>
              <w:ind w:left="275"/>
              <w:spacing w:before="248" w:line="183" w:lineRule="auto"/>
              <w:rPr>
                <w:sz w:val="20"/>
                <w:szCs w:val="20"/>
              </w:rPr>
            </w:pPr>
            <w:r>
              <w:rPr>
                <w:sz w:val="20"/>
                <w:szCs w:val="20"/>
                <w:spacing w:val="-2"/>
              </w:rPr>
              <w:t>20000</w:t>
            </w:r>
          </w:p>
        </w:tc>
        <w:tc>
          <w:tcPr>
            <w:tcW w:w="1089" w:type="dxa"/>
            <w:vAlign w:val="top"/>
            <w:vMerge w:val="restart"/>
            <w:tcBorders>
              <w:bottom w:val="nil"/>
            </w:tcBorders>
          </w:tcPr>
          <w:p>
            <w:pPr>
              <w:pStyle w:val="TableText"/>
              <w:ind w:left="436"/>
              <w:spacing w:before="248" w:line="183" w:lineRule="auto"/>
              <w:rPr>
                <w:sz w:val="20"/>
                <w:szCs w:val="20"/>
              </w:rPr>
            </w:pPr>
            <w:r>
              <w:rPr>
                <w:sz w:val="20"/>
                <w:szCs w:val="20"/>
                <w:spacing w:val="-3"/>
              </w:rPr>
              <w:t>25</w:t>
            </w:r>
          </w:p>
        </w:tc>
        <w:tc>
          <w:tcPr>
            <w:tcW w:w="919" w:type="dxa"/>
            <w:vAlign w:val="top"/>
            <w:vMerge w:val="restart"/>
            <w:tcBorders>
              <w:bottom w:val="nil"/>
            </w:tcBorders>
          </w:tcPr>
          <w:p>
            <w:pPr>
              <w:pStyle w:val="TableText"/>
              <w:ind w:left="257"/>
              <w:spacing w:before="248" w:line="183" w:lineRule="auto"/>
              <w:rPr>
                <w:sz w:val="20"/>
                <w:szCs w:val="20"/>
              </w:rPr>
            </w:pPr>
            <w:r>
              <w:rPr>
                <w:sz w:val="20"/>
                <w:szCs w:val="20"/>
                <w:spacing w:val="-2"/>
              </w:rPr>
              <w:t>6600</w:t>
            </w:r>
          </w:p>
        </w:tc>
        <w:tc>
          <w:tcPr>
            <w:tcW w:w="1499" w:type="dxa"/>
            <w:vAlign w:val="top"/>
          </w:tcPr>
          <w:p>
            <w:pPr>
              <w:pStyle w:val="TableText"/>
              <w:ind w:left="548"/>
              <w:spacing w:before="79" w:line="167" w:lineRule="auto"/>
              <w:rPr>
                <w:sz w:val="20"/>
                <w:szCs w:val="20"/>
              </w:rPr>
            </w:pPr>
            <w:r>
              <w:rPr>
                <w:sz w:val="20"/>
                <w:szCs w:val="20"/>
                <w:spacing w:val="-2"/>
              </w:rPr>
              <w:t>H</w:t>
            </w:r>
            <w:r>
              <w:rPr>
                <w:rFonts w:ascii="Calibri" w:hAnsi="Calibri" w:eastAsia="Calibri" w:cs="Calibri"/>
                <w:sz w:val="20"/>
                <w:szCs w:val="20"/>
                <w:spacing w:val="-2"/>
              </w:rPr>
              <w:t>₂</w:t>
            </w:r>
            <w:r>
              <w:rPr>
                <w:sz w:val="20"/>
                <w:szCs w:val="20"/>
                <w:spacing w:val="-2"/>
              </w:rPr>
              <w:t>S</w:t>
            </w:r>
          </w:p>
        </w:tc>
        <w:tc>
          <w:tcPr>
            <w:tcW w:w="840" w:type="dxa"/>
            <w:vAlign w:val="top"/>
          </w:tcPr>
          <w:p>
            <w:pPr>
              <w:pStyle w:val="TableText"/>
              <w:ind w:left="119"/>
              <w:spacing w:before="98" w:line="162" w:lineRule="exact"/>
              <w:rPr>
                <w:sz w:val="20"/>
                <w:szCs w:val="20"/>
              </w:rPr>
            </w:pPr>
            <w:r>
              <w:rPr>
                <w:sz w:val="20"/>
                <w:szCs w:val="20"/>
                <w:spacing w:val="-2"/>
                <w:position w:val="-2"/>
              </w:rPr>
              <w:t>0.0003</w:t>
            </w:r>
          </w:p>
        </w:tc>
        <w:tc>
          <w:tcPr>
            <w:tcW w:w="754" w:type="dxa"/>
            <w:vAlign w:val="top"/>
          </w:tcPr>
          <w:p>
            <w:pPr>
              <w:pStyle w:val="TableText"/>
              <w:ind w:left="119"/>
              <w:spacing w:before="97" w:line="162" w:lineRule="exact"/>
              <w:rPr>
                <w:sz w:val="20"/>
                <w:szCs w:val="20"/>
              </w:rPr>
            </w:pPr>
            <w:r>
              <w:rPr>
                <w:sz w:val="20"/>
                <w:szCs w:val="20"/>
                <w:spacing w:val="-2"/>
                <w:position w:val="-2"/>
              </w:rPr>
              <w:t>0.001</w:t>
            </w:r>
          </w:p>
        </w:tc>
      </w:tr>
      <w:tr>
        <w:trPr>
          <w:trHeight w:val="299" w:hRule="atLeast"/>
        </w:trPr>
        <w:tc>
          <w:tcPr>
            <w:tcW w:w="1554" w:type="dxa"/>
            <w:vAlign w:val="top"/>
            <w:vMerge w:val="continue"/>
            <w:tcBorders>
              <w:top w:val="nil"/>
            </w:tcBorders>
          </w:tcPr>
          <w:p>
            <w:pPr>
              <w:rPr>
                <w:rFonts w:ascii="Arial"/>
                <w:sz w:val="21"/>
              </w:rPr>
            </w:pPr>
            <w:r/>
          </w:p>
        </w:tc>
        <w:tc>
          <w:tcPr>
            <w:tcW w:w="1119" w:type="dxa"/>
            <w:vAlign w:val="top"/>
            <w:vMerge w:val="continue"/>
            <w:tcBorders>
              <w:top w:val="nil"/>
            </w:tcBorders>
          </w:tcPr>
          <w:p>
            <w:pPr>
              <w:rPr>
                <w:rFonts w:ascii="Arial"/>
                <w:sz w:val="21"/>
              </w:rPr>
            </w:pPr>
            <w:r/>
          </w:p>
        </w:tc>
        <w:tc>
          <w:tcPr>
            <w:tcW w:w="810" w:type="dxa"/>
            <w:vAlign w:val="top"/>
            <w:vMerge w:val="continue"/>
            <w:tcBorders>
              <w:top w:val="nil"/>
            </w:tcBorders>
          </w:tcPr>
          <w:p>
            <w:pPr>
              <w:rPr>
                <w:rFonts w:ascii="Arial"/>
                <w:sz w:val="21"/>
              </w:rPr>
            </w:pPr>
            <w:r/>
          </w:p>
        </w:tc>
        <w:tc>
          <w:tcPr>
            <w:tcW w:w="869" w:type="dxa"/>
            <w:vAlign w:val="top"/>
            <w:vMerge w:val="continue"/>
            <w:tcBorders>
              <w:top w:val="nil"/>
            </w:tcBorders>
          </w:tcPr>
          <w:p>
            <w:pPr>
              <w:rPr>
                <w:rFonts w:ascii="Arial"/>
                <w:sz w:val="21"/>
              </w:rPr>
            </w:pPr>
            <w:r/>
          </w:p>
        </w:tc>
        <w:tc>
          <w:tcPr>
            <w:tcW w:w="1479" w:type="dxa"/>
            <w:vAlign w:val="top"/>
            <w:vMerge w:val="continue"/>
            <w:tcBorders>
              <w:top w:val="nil"/>
            </w:tcBorders>
          </w:tcPr>
          <w:p>
            <w:pPr>
              <w:rPr>
                <w:rFonts w:ascii="Arial"/>
                <w:sz w:val="21"/>
              </w:rPr>
            </w:pPr>
            <w:r/>
          </w:p>
        </w:tc>
        <w:tc>
          <w:tcPr>
            <w:tcW w:w="899" w:type="dxa"/>
            <w:vAlign w:val="top"/>
            <w:vMerge w:val="continue"/>
            <w:tcBorders>
              <w:top w:val="nil"/>
            </w:tcBorders>
          </w:tcPr>
          <w:p>
            <w:pPr>
              <w:rPr>
                <w:rFonts w:ascii="Arial"/>
                <w:sz w:val="21"/>
              </w:rPr>
            </w:pPr>
            <w:r/>
          </w:p>
        </w:tc>
        <w:tc>
          <w:tcPr>
            <w:tcW w:w="1029" w:type="dxa"/>
            <w:vAlign w:val="top"/>
            <w:vMerge w:val="continue"/>
            <w:tcBorders>
              <w:top w:val="nil"/>
            </w:tcBorders>
          </w:tcPr>
          <w:p>
            <w:pPr>
              <w:rPr>
                <w:rFonts w:ascii="Arial"/>
                <w:sz w:val="21"/>
              </w:rPr>
            </w:pPr>
            <w:r/>
          </w:p>
        </w:tc>
        <w:tc>
          <w:tcPr>
            <w:tcW w:w="1069" w:type="dxa"/>
            <w:vAlign w:val="top"/>
            <w:vMerge w:val="continue"/>
            <w:tcBorders>
              <w:top w:val="nil"/>
            </w:tcBorders>
          </w:tcPr>
          <w:p>
            <w:pPr>
              <w:rPr>
                <w:rFonts w:ascii="Arial"/>
                <w:sz w:val="21"/>
              </w:rPr>
            </w:pPr>
            <w:r/>
          </w:p>
        </w:tc>
        <w:tc>
          <w:tcPr>
            <w:tcW w:w="1089" w:type="dxa"/>
            <w:vAlign w:val="top"/>
            <w:vMerge w:val="continue"/>
            <w:tcBorders>
              <w:top w:val="nil"/>
            </w:tcBorders>
          </w:tcPr>
          <w:p>
            <w:pPr>
              <w:rPr>
                <w:rFonts w:ascii="Arial"/>
                <w:sz w:val="21"/>
              </w:rPr>
            </w:pPr>
            <w:r/>
          </w:p>
        </w:tc>
        <w:tc>
          <w:tcPr>
            <w:tcW w:w="919" w:type="dxa"/>
            <w:vAlign w:val="top"/>
            <w:vMerge w:val="continue"/>
            <w:tcBorders>
              <w:top w:val="nil"/>
            </w:tcBorders>
          </w:tcPr>
          <w:p>
            <w:pPr>
              <w:rPr>
                <w:rFonts w:ascii="Arial"/>
                <w:sz w:val="21"/>
              </w:rPr>
            </w:pPr>
            <w:r/>
          </w:p>
        </w:tc>
        <w:tc>
          <w:tcPr>
            <w:tcW w:w="1499" w:type="dxa"/>
            <w:vAlign w:val="top"/>
          </w:tcPr>
          <w:p>
            <w:pPr>
              <w:pStyle w:val="TableText"/>
              <w:ind w:left="548"/>
              <w:spacing w:before="88" w:line="182" w:lineRule="auto"/>
              <w:rPr>
                <w:rFonts w:ascii="Calibri" w:hAnsi="Calibri" w:eastAsia="Calibri" w:cs="Calibri"/>
                <w:sz w:val="20"/>
                <w:szCs w:val="20"/>
              </w:rPr>
            </w:pPr>
            <w:r>
              <w:rPr>
                <w:sz w:val="20"/>
                <w:szCs w:val="20"/>
                <w:spacing w:val="-1"/>
              </w:rPr>
              <w:t>NH</w:t>
            </w:r>
            <w:r>
              <w:rPr>
                <w:rFonts w:ascii="Calibri" w:hAnsi="Calibri" w:eastAsia="Calibri" w:cs="Calibri"/>
                <w:sz w:val="20"/>
                <w:szCs w:val="20"/>
                <w:spacing w:val="-1"/>
              </w:rPr>
              <w:t>₃</w:t>
            </w:r>
          </w:p>
        </w:tc>
        <w:tc>
          <w:tcPr>
            <w:tcW w:w="840" w:type="dxa"/>
            <w:vAlign w:val="top"/>
          </w:tcPr>
          <w:p>
            <w:pPr>
              <w:pStyle w:val="TableText"/>
              <w:ind w:left="169"/>
              <w:spacing w:before="108" w:line="167" w:lineRule="auto"/>
              <w:rPr>
                <w:sz w:val="20"/>
                <w:szCs w:val="20"/>
              </w:rPr>
            </w:pPr>
            <w:r>
              <w:rPr>
                <w:sz w:val="20"/>
                <w:szCs w:val="20"/>
                <w:spacing w:val="-2"/>
              </w:rPr>
              <w:t>0.019</w:t>
            </w:r>
          </w:p>
        </w:tc>
        <w:tc>
          <w:tcPr>
            <w:tcW w:w="754" w:type="dxa"/>
            <w:vAlign w:val="top"/>
          </w:tcPr>
          <w:p>
            <w:pPr>
              <w:pStyle w:val="TableText"/>
              <w:ind w:left="119"/>
              <w:spacing w:before="109" w:line="166" w:lineRule="auto"/>
              <w:rPr>
                <w:sz w:val="20"/>
                <w:szCs w:val="20"/>
              </w:rPr>
            </w:pPr>
            <w:r>
              <w:rPr>
                <w:sz w:val="20"/>
                <w:szCs w:val="20"/>
                <w:spacing w:val="-2"/>
              </w:rPr>
              <w:t>0.048</w:t>
            </w:r>
          </w:p>
        </w:tc>
      </w:tr>
      <w:tr>
        <w:trPr>
          <w:trHeight w:val="554" w:hRule="atLeast"/>
        </w:trPr>
        <w:tc>
          <w:tcPr>
            <w:tcW w:w="13929" w:type="dxa"/>
            <w:vAlign w:val="top"/>
            <w:gridSpan w:val="13"/>
          </w:tcPr>
          <w:p>
            <w:pPr>
              <w:pStyle w:val="TableText"/>
              <w:ind w:left="45"/>
              <w:spacing w:before="34" w:line="282" w:lineRule="exact"/>
              <w:rPr>
                <w:sz w:val="20"/>
                <w:szCs w:val="20"/>
              </w:rPr>
            </w:pPr>
            <w:r>
              <w:rPr>
                <w:sz w:val="20"/>
                <w:szCs w:val="20"/>
                <w:position w:val="5"/>
              </w:rPr>
              <w:t>注：1.以凹版厂房西南角为坐标原点(0,0,0),东西方向为X轴、南北方向为Y</w:t>
            </w:r>
            <w:r>
              <w:rPr>
                <w:sz w:val="20"/>
                <w:szCs w:val="20"/>
                <w:spacing w:val="-1"/>
                <w:position w:val="5"/>
              </w:rPr>
              <w:t>轴。</w:t>
            </w:r>
          </w:p>
          <w:p>
            <w:pPr>
              <w:pStyle w:val="TableText"/>
              <w:ind w:left="454"/>
              <w:spacing w:before="1" w:line="209" w:lineRule="auto"/>
              <w:rPr>
                <w:sz w:val="20"/>
                <w:szCs w:val="20"/>
              </w:rPr>
            </w:pPr>
            <w:r>
              <w:rPr>
                <w:sz w:val="20"/>
                <w:szCs w:val="20"/>
              </w:rPr>
              <w:t>2.阴极涂布烘干非正常排放以其中1套冷凝+转轮设施故障估算。</w:t>
            </w:r>
          </w:p>
        </w:tc>
      </w:tr>
    </w:tbl>
    <w:p>
      <w:pPr>
        <w:pStyle w:val="BodyText"/>
        <w:ind w:left="5267"/>
        <w:spacing w:before="150" w:line="219" w:lineRule="auto"/>
        <w:rPr>
          <w:sz w:val="21"/>
          <w:szCs w:val="21"/>
        </w:rPr>
      </w:pPr>
      <w:r>
        <w:rPr>
          <w:sz w:val="21"/>
          <w:szCs w:val="21"/>
          <w:b/>
          <w:bCs/>
          <w:spacing w:val="-3"/>
        </w:rPr>
        <w:t>表4.2-12</w:t>
      </w:r>
      <w:r>
        <w:rPr>
          <w:sz w:val="21"/>
          <w:szCs w:val="21"/>
          <w:spacing w:val="-3"/>
        </w:rPr>
        <w:t xml:space="preserve">  </w:t>
      </w:r>
      <w:r>
        <w:rPr>
          <w:sz w:val="21"/>
          <w:szCs w:val="21"/>
          <w:b/>
          <w:bCs/>
          <w:spacing w:val="-3"/>
        </w:rPr>
        <w:t>无组织面源排放参数表</w:t>
      </w:r>
    </w:p>
    <w:tbl>
      <w:tblPr>
        <w:tblStyle w:val="TableNormal"/>
        <w:tblW w:w="139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94"/>
        <w:gridCol w:w="839"/>
        <w:gridCol w:w="869"/>
        <w:gridCol w:w="1179"/>
        <w:gridCol w:w="1059"/>
        <w:gridCol w:w="1039"/>
        <w:gridCol w:w="1289"/>
        <w:gridCol w:w="1429"/>
        <w:gridCol w:w="1409"/>
        <w:gridCol w:w="1679"/>
        <w:gridCol w:w="1404"/>
      </w:tblGrid>
      <w:tr>
        <w:trPr>
          <w:trHeight w:val="712" w:hRule="atLeast"/>
        </w:trPr>
        <w:tc>
          <w:tcPr>
            <w:tcW w:w="1794" w:type="dxa"/>
            <w:vAlign w:val="top"/>
            <w:vMerge w:val="restart"/>
            <w:tcBorders>
              <w:bottom w:val="nil"/>
            </w:tcBorders>
          </w:tcPr>
          <w:p>
            <w:pPr>
              <w:spacing w:line="365" w:lineRule="auto"/>
              <w:rPr>
                <w:rFonts w:ascii="Arial"/>
                <w:sz w:val="21"/>
              </w:rPr>
            </w:pPr>
            <w:r/>
          </w:p>
          <w:p>
            <w:pPr>
              <w:pStyle w:val="TableText"/>
              <w:ind w:left="674"/>
              <w:spacing w:before="69" w:line="221" w:lineRule="auto"/>
              <w:rPr>
                <w:sz w:val="21"/>
                <w:szCs w:val="21"/>
              </w:rPr>
            </w:pPr>
            <w:r>
              <w:rPr>
                <w:sz w:val="21"/>
                <w:szCs w:val="21"/>
                <w:spacing w:val="5"/>
              </w:rPr>
              <w:t>名称</w:t>
            </w:r>
          </w:p>
        </w:tc>
        <w:tc>
          <w:tcPr>
            <w:tcW w:w="1708" w:type="dxa"/>
            <w:vAlign w:val="top"/>
            <w:gridSpan w:val="2"/>
          </w:tcPr>
          <w:p>
            <w:pPr>
              <w:pStyle w:val="TableText"/>
              <w:ind w:left="150"/>
              <w:spacing w:before="254" w:line="220" w:lineRule="auto"/>
              <w:rPr>
                <w:sz w:val="21"/>
                <w:szCs w:val="21"/>
              </w:rPr>
            </w:pPr>
            <w:r>
              <w:rPr>
                <w:sz w:val="21"/>
                <w:szCs w:val="21"/>
                <w:spacing w:val="-2"/>
              </w:rPr>
              <w:t>面源中心坐标/m</w:t>
            </w:r>
          </w:p>
        </w:tc>
        <w:tc>
          <w:tcPr>
            <w:tcW w:w="1179" w:type="dxa"/>
            <w:vAlign w:val="top"/>
            <w:vMerge w:val="restart"/>
            <w:tcBorders>
              <w:bottom w:val="nil"/>
            </w:tcBorders>
          </w:tcPr>
          <w:p>
            <w:pPr>
              <w:spacing w:line="243" w:lineRule="auto"/>
              <w:rPr>
                <w:rFonts w:ascii="Arial"/>
                <w:sz w:val="21"/>
              </w:rPr>
            </w:pPr>
            <w:r/>
          </w:p>
          <w:p>
            <w:pPr>
              <w:pStyle w:val="TableText"/>
              <w:ind w:left="371" w:right="75" w:hanging="319"/>
              <w:spacing w:before="69" w:line="229" w:lineRule="auto"/>
              <w:rPr>
                <w:sz w:val="21"/>
                <w:szCs w:val="21"/>
              </w:rPr>
            </w:pPr>
            <w:r>
              <w:rPr>
                <w:sz w:val="21"/>
                <w:szCs w:val="21"/>
                <w:spacing w:val="-2"/>
              </w:rPr>
              <w:t>面源海拔高</w:t>
            </w:r>
            <w:r>
              <w:rPr>
                <w:sz w:val="21"/>
                <w:szCs w:val="21"/>
              </w:rPr>
              <w:t xml:space="preserve"> </w:t>
            </w:r>
            <w:r>
              <w:rPr>
                <w:sz w:val="21"/>
                <w:szCs w:val="21"/>
                <w:spacing w:val="-2"/>
              </w:rPr>
              <w:t>度/m</w:t>
            </w:r>
          </w:p>
        </w:tc>
        <w:tc>
          <w:tcPr>
            <w:tcW w:w="1059" w:type="dxa"/>
            <w:vAlign w:val="top"/>
            <w:vMerge w:val="restart"/>
            <w:tcBorders>
              <w:bottom w:val="nil"/>
            </w:tcBorders>
          </w:tcPr>
          <w:p>
            <w:pPr>
              <w:spacing w:line="253" w:lineRule="auto"/>
              <w:rPr>
                <w:rFonts w:ascii="Arial"/>
                <w:sz w:val="21"/>
              </w:rPr>
            </w:pPr>
            <w:r/>
          </w:p>
          <w:p>
            <w:pPr>
              <w:pStyle w:val="TableText"/>
              <w:ind w:left="413" w:right="92" w:hanging="310"/>
              <w:spacing w:before="68" w:line="229" w:lineRule="auto"/>
              <w:rPr>
                <w:sz w:val="21"/>
                <w:szCs w:val="21"/>
              </w:rPr>
            </w:pPr>
            <w:r>
              <w:rPr>
                <w:sz w:val="21"/>
                <w:szCs w:val="21"/>
                <w:spacing w:val="3"/>
              </w:rPr>
              <w:t>面源长度</w:t>
            </w:r>
            <w:r>
              <w:rPr>
                <w:sz w:val="21"/>
                <w:szCs w:val="21"/>
              </w:rPr>
              <w:t xml:space="preserve"> </w:t>
            </w:r>
            <w:r>
              <w:rPr>
                <w:sz w:val="21"/>
                <w:szCs w:val="21"/>
                <w:spacing w:val="-2"/>
              </w:rPr>
              <w:t>/m</w:t>
            </w:r>
          </w:p>
        </w:tc>
        <w:tc>
          <w:tcPr>
            <w:tcW w:w="1039" w:type="dxa"/>
            <w:vAlign w:val="top"/>
            <w:vMerge w:val="restart"/>
            <w:tcBorders>
              <w:bottom w:val="nil"/>
            </w:tcBorders>
          </w:tcPr>
          <w:p>
            <w:pPr>
              <w:spacing w:line="244" w:lineRule="auto"/>
              <w:rPr>
                <w:rFonts w:ascii="Arial"/>
                <w:sz w:val="21"/>
              </w:rPr>
            </w:pPr>
            <w:r/>
          </w:p>
          <w:p>
            <w:pPr>
              <w:pStyle w:val="TableText"/>
              <w:ind w:left="404" w:right="81" w:hanging="310"/>
              <w:spacing w:before="68" w:line="233" w:lineRule="auto"/>
              <w:rPr>
                <w:sz w:val="21"/>
                <w:szCs w:val="21"/>
              </w:rPr>
            </w:pPr>
            <w:r>
              <w:rPr>
                <w:sz w:val="21"/>
                <w:szCs w:val="21"/>
                <w:spacing w:val="3"/>
              </w:rPr>
              <w:t>面源宽度</w:t>
            </w:r>
            <w:r>
              <w:rPr>
                <w:sz w:val="21"/>
                <w:szCs w:val="21"/>
              </w:rPr>
              <w:t xml:space="preserve"> </w:t>
            </w:r>
            <w:r>
              <w:rPr>
                <w:sz w:val="21"/>
                <w:szCs w:val="21"/>
                <w:spacing w:val="-2"/>
              </w:rPr>
              <w:t>/m</w:t>
            </w:r>
          </w:p>
        </w:tc>
        <w:tc>
          <w:tcPr>
            <w:tcW w:w="1289" w:type="dxa"/>
            <w:vAlign w:val="top"/>
            <w:vMerge w:val="restart"/>
            <w:tcBorders>
              <w:bottom w:val="nil"/>
            </w:tcBorders>
          </w:tcPr>
          <w:p>
            <w:pPr>
              <w:spacing w:line="245" w:lineRule="auto"/>
              <w:rPr>
                <w:rFonts w:ascii="Arial"/>
                <w:sz w:val="21"/>
              </w:rPr>
            </w:pPr>
            <w:r/>
          </w:p>
          <w:p>
            <w:pPr>
              <w:pStyle w:val="TableText"/>
              <w:ind w:left="376" w:right="102" w:hanging="260"/>
              <w:spacing w:before="68" w:line="227" w:lineRule="auto"/>
              <w:rPr>
                <w:sz w:val="21"/>
                <w:szCs w:val="21"/>
              </w:rPr>
            </w:pPr>
            <w:r>
              <w:rPr>
                <w:sz w:val="21"/>
                <w:szCs w:val="21"/>
                <w:spacing w:val="2"/>
              </w:rPr>
              <w:t>与正北向夹</w:t>
            </w:r>
            <w:r>
              <w:rPr>
                <w:sz w:val="21"/>
                <w:szCs w:val="21"/>
              </w:rPr>
              <w:t xml:space="preserve"> </w:t>
            </w:r>
            <w:r>
              <w:rPr>
                <w:sz w:val="21"/>
                <w:szCs w:val="21"/>
                <w:spacing w:val="-7"/>
              </w:rPr>
              <w:t>角</w:t>
            </w:r>
            <w:r>
              <w:rPr>
                <w:sz w:val="21"/>
                <w:szCs w:val="21"/>
                <w:spacing w:val="-28"/>
              </w:rPr>
              <w:t xml:space="preserve"> </w:t>
            </w:r>
            <w:r>
              <w:rPr>
                <w:sz w:val="21"/>
                <w:szCs w:val="21"/>
                <w:spacing w:val="-7"/>
              </w:rPr>
              <w:t>/ °</w:t>
            </w:r>
          </w:p>
        </w:tc>
        <w:tc>
          <w:tcPr>
            <w:tcW w:w="1429" w:type="dxa"/>
            <w:vAlign w:val="top"/>
            <w:vMerge w:val="restart"/>
            <w:tcBorders>
              <w:bottom w:val="nil"/>
            </w:tcBorders>
          </w:tcPr>
          <w:p>
            <w:pPr>
              <w:spacing w:line="244" w:lineRule="auto"/>
              <w:rPr>
                <w:rFonts w:ascii="Arial"/>
                <w:sz w:val="21"/>
              </w:rPr>
            </w:pPr>
            <w:r/>
          </w:p>
          <w:p>
            <w:pPr>
              <w:pStyle w:val="TableText"/>
              <w:ind w:left="396" w:right="90" w:hanging="319"/>
              <w:spacing w:before="68" w:line="228" w:lineRule="auto"/>
              <w:rPr>
                <w:sz w:val="21"/>
                <w:szCs w:val="21"/>
              </w:rPr>
            </w:pPr>
            <w:r>
              <w:rPr>
                <w:sz w:val="21"/>
                <w:szCs w:val="21"/>
                <w:spacing w:val="-2"/>
              </w:rPr>
              <w:t>面源有效排放</w:t>
            </w:r>
            <w:r>
              <w:rPr>
                <w:sz w:val="21"/>
                <w:szCs w:val="21"/>
                <w:spacing w:val="1"/>
              </w:rPr>
              <w:t xml:space="preserve"> </w:t>
            </w:r>
            <w:r>
              <w:rPr>
                <w:sz w:val="21"/>
                <w:szCs w:val="21"/>
                <w:spacing w:val="-3"/>
              </w:rPr>
              <w:t>高度/m</w:t>
            </w:r>
          </w:p>
        </w:tc>
        <w:tc>
          <w:tcPr>
            <w:tcW w:w="1409" w:type="dxa"/>
            <w:vAlign w:val="top"/>
            <w:vMerge w:val="restart"/>
            <w:tcBorders>
              <w:bottom w:val="nil"/>
            </w:tcBorders>
          </w:tcPr>
          <w:p>
            <w:pPr>
              <w:spacing w:line="244" w:lineRule="auto"/>
              <w:rPr>
                <w:rFonts w:ascii="Arial"/>
                <w:sz w:val="21"/>
              </w:rPr>
            </w:pPr>
            <w:r/>
          </w:p>
          <w:p>
            <w:pPr>
              <w:pStyle w:val="TableText"/>
              <w:ind w:left="597" w:right="80" w:hanging="529"/>
              <w:spacing w:before="68" w:line="233" w:lineRule="auto"/>
              <w:rPr>
                <w:sz w:val="21"/>
                <w:szCs w:val="21"/>
              </w:rPr>
            </w:pPr>
            <w:r>
              <w:rPr>
                <w:sz w:val="21"/>
                <w:szCs w:val="21"/>
                <w:spacing w:val="-2"/>
              </w:rPr>
              <w:t>年排放小时数</w:t>
            </w:r>
            <w:r>
              <w:rPr>
                <w:sz w:val="21"/>
                <w:szCs w:val="21"/>
                <w:spacing w:val="1"/>
              </w:rPr>
              <w:t xml:space="preserve"> </w:t>
            </w:r>
            <w:r>
              <w:rPr>
                <w:sz w:val="21"/>
                <w:szCs w:val="21"/>
                <w:spacing w:val="-2"/>
              </w:rPr>
              <w:t>/h</w:t>
            </w:r>
          </w:p>
        </w:tc>
        <w:tc>
          <w:tcPr>
            <w:tcW w:w="1679" w:type="dxa"/>
            <w:vAlign w:val="top"/>
            <w:vMerge w:val="restart"/>
            <w:tcBorders>
              <w:bottom w:val="nil"/>
            </w:tcBorders>
          </w:tcPr>
          <w:p>
            <w:pPr>
              <w:spacing w:line="363" w:lineRule="auto"/>
              <w:rPr>
                <w:rFonts w:ascii="Arial"/>
                <w:sz w:val="21"/>
              </w:rPr>
            </w:pPr>
            <w:r/>
          </w:p>
          <w:p>
            <w:pPr>
              <w:pStyle w:val="TableText"/>
              <w:ind w:left="308"/>
              <w:spacing w:before="69" w:line="220" w:lineRule="auto"/>
              <w:rPr>
                <w:sz w:val="21"/>
                <w:szCs w:val="21"/>
              </w:rPr>
            </w:pPr>
            <w:r>
              <w:rPr>
                <w:sz w:val="21"/>
                <w:szCs w:val="21"/>
                <w:spacing w:val="2"/>
              </w:rPr>
              <w:t>污染物名称</w:t>
            </w:r>
          </w:p>
        </w:tc>
        <w:tc>
          <w:tcPr>
            <w:tcW w:w="1404" w:type="dxa"/>
            <w:vAlign w:val="top"/>
            <w:vMerge w:val="restart"/>
            <w:tcBorders>
              <w:bottom w:val="nil"/>
            </w:tcBorders>
          </w:tcPr>
          <w:p>
            <w:pPr>
              <w:pStyle w:val="TableText"/>
              <w:ind w:left="279"/>
              <w:spacing w:before="303" w:line="313" w:lineRule="exact"/>
              <w:rPr>
                <w:sz w:val="21"/>
                <w:szCs w:val="21"/>
              </w:rPr>
            </w:pPr>
            <w:r>
              <w:rPr>
                <w:sz w:val="21"/>
                <w:szCs w:val="21"/>
                <w:spacing w:val="-2"/>
                <w:position w:val="7"/>
              </w:rPr>
              <w:t>排放速率</w:t>
            </w:r>
          </w:p>
          <w:p>
            <w:pPr>
              <w:pStyle w:val="TableText"/>
              <w:ind w:left="379"/>
              <w:spacing w:line="213" w:lineRule="auto"/>
              <w:rPr>
                <w:sz w:val="21"/>
                <w:szCs w:val="21"/>
              </w:rPr>
            </w:pPr>
            <w:r>
              <w:rPr>
                <w:sz w:val="21"/>
                <w:szCs w:val="21"/>
                <w:spacing w:val="-7"/>
              </w:rPr>
              <w:t>(kg/h)</w:t>
            </w:r>
          </w:p>
        </w:tc>
      </w:tr>
      <w:tr>
        <w:trPr>
          <w:trHeight w:val="348" w:hRule="atLeast"/>
        </w:trPr>
        <w:tc>
          <w:tcPr>
            <w:tcW w:w="1794" w:type="dxa"/>
            <w:vAlign w:val="top"/>
            <w:vMerge w:val="continue"/>
            <w:tcBorders>
              <w:top w:val="nil"/>
            </w:tcBorders>
          </w:tcPr>
          <w:p>
            <w:pPr>
              <w:rPr>
                <w:rFonts w:ascii="Arial"/>
                <w:sz w:val="21"/>
              </w:rPr>
            </w:pPr>
            <w:r/>
          </w:p>
        </w:tc>
        <w:tc>
          <w:tcPr>
            <w:tcW w:w="839" w:type="dxa"/>
            <w:vAlign w:val="top"/>
          </w:tcPr>
          <w:p>
            <w:pPr>
              <w:pStyle w:val="TableText"/>
              <w:ind w:left="350"/>
              <w:spacing w:before="126" w:line="182" w:lineRule="auto"/>
              <w:rPr>
                <w:sz w:val="21"/>
                <w:szCs w:val="21"/>
              </w:rPr>
            </w:pPr>
            <w:r>
              <w:rPr>
                <w:sz w:val="21"/>
                <w:szCs w:val="21"/>
              </w:rPr>
              <w:t>X</w:t>
            </w:r>
          </w:p>
        </w:tc>
        <w:tc>
          <w:tcPr>
            <w:tcW w:w="869" w:type="dxa"/>
            <w:vAlign w:val="top"/>
          </w:tcPr>
          <w:p>
            <w:pPr>
              <w:pStyle w:val="TableText"/>
              <w:ind w:left="371"/>
              <w:spacing w:before="126" w:line="182" w:lineRule="auto"/>
              <w:rPr>
                <w:sz w:val="21"/>
                <w:szCs w:val="21"/>
              </w:rPr>
            </w:pPr>
            <w:r>
              <w:rPr>
                <w:sz w:val="21"/>
                <w:szCs w:val="21"/>
              </w:rPr>
              <w:t>Y</w:t>
            </w:r>
          </w:p>
        </w:tc>
        <w:tc>
          <w:tcPr>
            <w:tcW w:w="1179" w:type="dxa"/>
            <w:vAlign w:val="top"/>
            <w:vMerge w:val="continue"/>
            <w:tcBorders>
              <w:top w:val="nil"/>
            </w:tcBorders>
          </w:tcPr>
          <w:p>
            <w:pPr>
              <w:rPr>
                <w:rFonts w:ascii="Arial"/>
                <w:sz w:val="21"/>
              </w:rPr>
            </w:pPr>
            <w:r/>
          </w:p>
        </w:tc>
        <w:tc>
          <w:tcPr>
            <w:tcW w:w="1059" w:type="dxa"/>
            <w:vAlign w:val="top"/>
            <w:vMerge w:val="continue"/>
            <w:tcBorders>
              <w:top w:val="nil"/>
            </w:tcBorders>
          </w:tcPr>
          <w:p>
            <w:pPr>
              <w:rPr>
                <w:rFonts w:ascii="Arial"/>
                <w:sz w:val="21"/>
              </w:rPr>
            </w:pPr>
            <w:r/>
          </w:p>
        </w:tc>
        <w:tc>
          <w:tcPr>
            <w:tcW w:w="1039" w:type="dxa"/>
            <w:vAlign w:val="top"/>
            <w:vMerge w:val="continue"/>
            <w:tcBorders>
              <w:top w:val="nil"/>
            </w:tcBorders>
          </w:tcPr>
          <w:p>
            <w:pPr>
              <w:rPr>
                <w:rFonts w:ascii="Arial"/>
                <w:sz w:val="21"/>
              </w:rPr>
            </w:pPr>
            <w:r/>
          </w:p>
        </w:tc>
        <w:tc>
          <w:tcPr>
            <w:tcW w:w="1289" w:type="dxa"/>
            <w:vAlign w:val="top"/>
            <w:vMerge w:val="continue"/>
            <w:tcBorders>
              <w:top w:val="nil"/>
            </w:tcBorders>
          </w:tcPr>
          <w:p>
            <w:pPr>
              <w:rPr>
                <w:rFonts w:ascii="Arial"/>
                <w:sz w:val="21"/>
              </w:rPr>
            </w:pPr>
            <w:r/>
          </w:p>
        </w:tc>
        <w:tc>
          <w:tcPr>
            <w:tcW w:w="1429" w:type="dxa"/>
            <w:vAlign w:val="top"/>
            <w:vMerge w:val="continue"/>
            <w:tcBorders>
              <w:top w:val="nil"/>
            </w:tcBorders>
          </w:tcPr>
          <w:p>
            <w:pPr>
              <w:rPr>
                <w:rFonts w:ascii="Arial"/>
                <w:sz w:val="21"/>
              </w:rPr>
            </w:pPr>
            <w:r/>
          </w:p>
        </w:tc>
        <w:tc>
          <w:tcPr>
            <w:tcW w:w="1409" w:type="dxa"/>
            <w:vAlign w:val="top"/>
            <w:vMerge w:val="continue"/>
            <w:tcBorders>
              <w:top w:val="nil"/>
            </w:tcBorders>
          </w:tcPr>
          <w:p>
            <w:pPr>
              <w:rPr>
                <w:rFonts w:ascii="Arial"/>
                <w:sz w:val="21"/>
              </w:rPr>
            </w:pPr>
            <w:r/>
          </w:p>
        </w:tc>
        <w:tc>
          <w:tcPr>
            <w:tcW w:w="1679" w:type="dxa"/>
            <w:vAlign w:val="top"/>
            <w:vMerge w:val="continue"/>
            <w:tcBorders>
              <w:top w:val="nil"/>
            </w:tcBorders>
          </w:tcPr>
          <w:p>
            <w:pPr>
              <w:rPr>
                <w:rFonts w:ascii="Arial"/>
                <w:sz w:val="21"/>
              </w:rPr>
            </w:pPr>
            <w:r/>
          </w:p>
        </w:tc>
        <w:tc>
          <w:tcPr>
            <w:tcW w:w="1404" w:type="dxa"/>
            <w:vAlign w:val="top"/>
            <w:vMerge w:val="continue"/>
            <w:tcBorders>
              <w:top w:val="nil"/>
            </w:tcBorders>
          </w:tcPr>
          <w:p>
            <w:pPr>
              <w:rPr>
                <w:rFonts w:ascii="Arial"/>
                <w:sz w:val="21"/>
              </w:rPr>
            </w:pPr>
            <w:r/>
          </w:p>
        </w:tc>
      </w:tr>
      <w:tr>
        <w:trPr>
          <w:trHeight w:val="378" w:hRule="atLeast"/>
        </w:trPr>
        <w:tc>
          <w:tcPr>
            <w:tcW w:w="1794" w:type="dxa"/>
            <w:vAlign w:val="top"/>
            <w:vMerge w:val="restart"/>
            <w:tcBorders>
              <w:bottom w:val="nil"/>
            </w:tcBorders>
          </w:tcPr>
          <w:p>
            <w:pPr>
              <w:pStyle w:val="TableText"/>
              <w:ind w:left="465"/>
              <w:spacing w:before="274" w:line="220" w:lineRule="auto"/>
              <w:rPr>
                <w:sz w:val="21"/>
                <w:szCs w:val="21"/>
              </w:rPr>
            </w:pPr>
            <w:r>
              <w:rPr>
                <w:sz w:val="21"/>
                <w:szCs w:val="21"/>
                <w:spacing w:val="3"/>
              </w:rPr>
              <w:t>凹版厂房</w:t>
            </w:r>
          </w:p>
        </w:tc>
        <w:tc>
          <w:tcPr>
            <w:tcW w:w="839" w:type="dxa"/>
            <w:vAlign w:val="top"/>
            <w:vMerge w:val="restart"/>
            <w:tcBorders>
              <w:bottom w:val="nil"/>
            </w:tcBorders>
          </w:tcPr>
          <w:p>
            <w:pPr>
              <w:spacing w:line="256" w:lineRule="auto"/>
              <w:rPr>
                <w:rFonts w:ascii="Arial"/>
                <w:sz w:val="21"/>
              </w:rPr>
            </w:pPr>
            <w:r/>
          </w:p>
          <w:p>
            <w:pPr>
              <w:pStyle w:val="TableText"/>
              <w:ind w:left="250"/>
              <w:spacing w:before="69" w:line="184" w:lineRule="auto"/>
              <w:rPr>
                <w:sz w:val="21"/>
                <w:szCs w:val="21"/>
              </w:rPr>
            </w:pPr>
            <w:r>
              <w:rPr>
                <w:sz w:val="21"/>
                <w:szCs w:val="21"/>
                <w:spacing w:val="-6"/>
              </w:rPr>
              <w:t>103</w:t>
            </w:r>
          </w:p>
        </w:tc>
        <w:tc>
          <w:tcPr>
            <w:tcW w:w="869" w:type="dxa"/>
            <w:vAlign w:val="top"/>
            <w:vMerge w:val="restart"/>
            <w:tcBorders>
              <w:bottom w:val="nil"/>
            </w:tcBorders>
          </w:tcPr>
          <w:p>
            <w:pPr>
              <w:spacing w:line="257" w:lineRule="auto"/>
              <w:rPr>
                <w:rFonts w:ascii="Arial"/>
                <w:sz w:val="21"/>
              </w:rPr>
            </w:pPr>
            <w:r/>
          </w:p>
          <w:p>
            <w:pPr>
              <w:pStyle w:val="TableText"/>
              <w:ind w:left="321"/>
              <w:spacing w:before="69" w:line="183" w:lineRule="auto"/>
              <w:rPr>
                <w:sz w:val="21"/>
                <w:szCs w:val="21"/>
              </w:rPr>
            </w:pPr>
            <w:r>
              <w:rPr>
                <w:sz w:val="21"/>
                <w:szCs w:val="21"/>
                <w:spacing w:val="-3"/>
              </w:rPr>
              <w:t>26</w:t>
            </w:r>
          </w:p>
        </w:tc>
        <w:tc>
          <w:tcPr>
            <w:tcW w:w="1179" w:type="dxa"/>
            <w:vAlign w:val="top"/>
            <w:vMerge w:val="restart"/>
            <w:tcBorders>
              <w:bottom w:val="nil"/>
            </w:tcBorders>
          </w:tcPr>
          <w:p>
            <w:pPr>
              <w:spacing w:line="257" w:lineRule="auto"/>
              <w:rPr>
                <w:rFonts w:ascii="Arial"/>
                <w:sz w:val="21"/>
              </w:rPr>
            </w:pPr>
            <w:r/>
          </w:p>
          <w:p>
            <w:pPr>
              <w:pStyle w:val="TableText"/>
              <w:ind w:left="522"/>
              <w:spacing w:before="69" w:line="183" w:lineRule="auto"/>
              <w:rPr>
                <w:sz w:val="21"/>
                <w:szCs w:val="21"/>
              </w:rPr>
            </w:pPr>
            <w:r>
              <w:rPr>
                <w:sz w:val="21"/>
                <w:szCs w:val="21"/>
              </w:rPr>
              <w:t>0</w:t>
            </w:r>
          </w:p>
        </w:tc>
        <w:tc>
          <w:tcPr>
            <w:tcW w:w="1059" w:type="dxa"/>
            <w:vAlign w:val="top"/>
            <w:vMerge w:val="restart"/>
            <w:tcBorders>
              <w:bottom w:val="nil"/>
            </w:tcBorders>
          </w:tcPr>
          <w:p>
            <w:pPr>
              <w:spacing w:line="256" w:lineRule="auto"/>
              <w:rPr>
                <w:rFonts w:ascii="Arial"/>
                <w:sz w:val="21"/>
              </w:rPr>
            </w:pPr>
            <w:r/>
          </w:p>
          <w:p>
            <w:pPr>
              <w:pStyle w:val="TableText"/>
              <w:ind w:left="363"/>
              <w:spacing w:before="69" w:line="184" w:lineRule="auto"/>
              <w:rPr>
                <w:sz w:val="21"/>
                <w:szCs w:val="21"/>
              </w:rPr>
            </w:pPr>
            <w:r>
              <w:rPr>
                <w:sz w:val="21"/>
                <w:szCs w:val="21"/>
                <w:spacing w:val="-6"/>
              </w:rPr>
              <w:t>168</w:t>
            </w:r>
          </w:p>
        </w:tc>
        <w:tc>
          <w:tcPr>
            <w:tcW w:w="1039" w:type="dxa"/>
            <w:vAlign w:val="top"/>
            <w:vMerge w:val="restart"/>
            <w:tcBorders>
              <w:bottom w:val="nil"/>
            </w:tcBorders>
          </w:tcPr>
          <w:p>
            <w:pPr>
              <w:spacing w:line="256" w:lineRule="auto"/>
              <w:rPr>
                <w:rFonts w:ascii="Arial"/>
                <w:sz w:val="21"/>
              </w:rPr>
            </w:pPr>
            <w:r/>
          </w:p>
          <w:p>
            <w:pPr>
              <w:pStyle w:val="TableText"/>
              <w:ind w:left="304"/>
              <w:spacing w:before="69" w:line="184" w:lineRule="auto"/>
              <w:rPr>
                <w:sz w:val="21"/>
                <w:szCs w:val="21"/>
              </w:rPr>
            </w:pPr>
            <w:r>
              <w:rPr>
                <w:sz w:val="21"/>
                <w:szCs w:val="21"/>
                <w:spacing w:val="-2"/>
              </w:rPr>
              <w:t>60.1</w:t>
            </w:r>
          </w:p>
        </w:tc>
        <w:tc>
          <w:tcPr>
            <w:tcW w:w="1289" w:type="dxa"/>
            <w:vAlign w:val="top"/>
            <w:vMerge w:val="restart"/>
            <w:tcBorders>
              <w:bottom w:val="nil"/>
            </w:tcBorders>
          </w:tcPr>
          <w:p>
            <w:pPr>
              <w:spacing w:line="257" w:lineRule="auto"/>
              <w:rPr>
                <w:rFonts w:ascii="Arial"/>
                <w:sz w:val="21"/>
              </w:rPr>
            </w:pPr>
            <w:r/>
          </w:p>
          <w:p>
            <w:pPr>
              <w:pStyle w:val="TableText"/>
              <w:ind w:left="586"/>
              <w:spacing w:before="69" w:line="183" w:lineRule="auto"/>
              <w:rPr>
                <w:sz w:val="21"/>
                <w:szCs w:val="21"/>
              </w:rPr>
            </w:pPr>
            <w:r>
              <w:rPr>
                <w:sz w:val="21"/>
                <w:szCs w:val="21"/>
              </w:rPr>
              <w:t>8</w:t>
            </w:r>
          </w:p>
        </w:tc>
        <w:tc>
          <w:tcPr>
            <w:tcW w:w="1429" w:type="dxa"/>
            <w:vAlign w:val="top"/>
            <w:vMerge w:val="restart"/>
            <w:tcBorders>
              <w:bottom w:val="nil"/>
            </w:tcBorders>
          </w:tcPr>
          <w:p>
            <w:pPr>
              <w:spacing w:line="257" w:lineRule="auto"/>
              <w:rPr>
                <w:rFonts w:ascii="Arial"/>
                <w:sz w:val="21"/>
              </w:rPr>
            </w:pPr>
            <w:r/>
          </w:p>
          <w:p>
            <w:pPr>
              <w:pStyle w:val="TableText"/>
              <w:ind w:left="497"/>
              <w:spacing w:before="69" w:line="183" w:lineRule="auto"/>
              <w:rPr>
                <w:sz w:val="21"/>
                <w:szCs w:val="21"/>
              </w:rPr>
            </w:pPr>
            <w:r>
              <w:rPr>
                <w:sz w:val="21"/>
                <w:szCs w:val="21"/>
                <w:spacing w:val="-3"/>
              </w:rPr>
              <w:t>23.8</w:t>
            </w:r>
          </w:p>
        </w:tc>
        <w:tc>
          <w:tcPr>
            <w:tcW w:w="1409" w:type="dxa"/>
            <w:vAlign w:val="top"/>
            <w:vMerge w:val="restart"/>
            <w:tcBorders>
              <w:bottom w:val="nil"/>
            </w:tcBorders>
          </w:tcPr>
          <w:p>
            <w:pPr>
              <w:spacing w:line="257" w:lineRule="auto"/>
              <w:rPr>
                <w:rFonts w:ascii="Arial"/>
                <w:sz w:val="21"/>
              </w:rPr>
            </w:pPr>
            <w:r/>
          </w:p>
          <w:p>
            <w:pPr>
              <w:pStyle w:val="TableText"/>
              <w:ind w:left="487"/>
              <w:spacing w:before="69" w:line="183" w:lineRule="auto"/>
              <w:rPr>
                <w:sz w:val="21"/>
                <w:szCs w:val="21"/>
              </w:rPr>
            </w:pPr>
            <w:r>
              <w:rPr>
                <w:sz w:val="21"/>
                <w:szCs w:val="21"/>
                <w:spacing w:val="-2"/>
              </w:rPr>
              <w:t>6600</w:t>
            </w:r>
          </w:p>
        </w:tc>
        <w:tc>
          <w:tcPr>
            <w:tcW w:w="1679" w:type="dxa"/>
            <w:vAlign w:val="top"/>
          </w:tcPr>
          <w:p>
            <w:pPr>
              <w:pStyle w:val="TableText"/>
              <w:ind w:left="308"/>
              <w:spacing w:before="94" w:line="220" w:lineRule="auto"/>
              <w:rPr>
                <w:sz w:val="21"/>
                <w:szCs w:val="21"/>
              </w:rPr>
            </w:pPr>
            <w:r>
              <w:rPr>
                <w:sz w:val="21"/>
                <w:szCs w:val="21"/>
                <w:spacing w:val="-2"/>
              </w:rPr>
              <w:t>非甲烷总烃</w:t>
            </w:r>
          </w:p>
        </w:tc>
        <w:tc>
          <w:tcPr>
            <w:tcW w:w="1404" w:type="dxa"/>
            <w:vAlign w:val="top"/>
          </w:tcPr>
          <w:p>
            <w:pPr>
              <w:pStyle w:val="TableText"/>
              <w:ind w:left="430"/>
              <w:spacing w:before="146" w:line="184" w:lineRule="auto"/>
              <w:rPr>
                <w:sz w:val="21"/>
                <w:szCs w:val="21"/>
              </w:rPr>
            </w:pPr>
            <w:r>
              <w:rPr>
                <w:sz w:val="21"/>
                <w:szCs w:val="21"/>
                <w:spacing w:val="-2"/>
              </w:rPr>
              <w:t>0.145</w:t>
            </w:r>
          </w:p>
        </w:tc>
      </w:tr>
      <w:tr>
        <w:trPr>
          <w:trHeight w:val="359" w:hRule="atLeast"/>
        </w:trPr>
        <w:tc>
          <w:tcPr>
            <w:tcW w:w="1794" w:type="dxa"/>
            <w:vAlign w:val="top"/>
            <w:vMerge w:val="continue"/>
            <w:tcBorders>
              <w:top w:val="nil"/>
            </w:tcBorders>
          </w:tcPr>
          <w:p>
            <w:pPr>
              <w:rPr>
                <w:rFonts w:ascii="Arial"/>
                <w:sz w:val="21"/>
              </w:rPr>
            </w:pPr>
            <w:r/>
          </w:p>
        </w:tc>
        <w:tc>
          <w:tcPr>
            <w:tcW w:w="839" w:type="dxa"/>
            <w:vAlign w:val="top"/>
            <w:vMerge w:val="continue"/>
            <w:tcBorders>
              <w:top w:val="nil"/>
            </w:tcBorders>
          </w:tcPr>
          <w:p>
            <w:pPr>
              <w:rPr>
                <w:rFonts w:ascii="Arial"/>
                <w:sz w:val="21"/>
              </w:rPr>
            </w:pPr>
            <w:r/>
          </w:p>
        </w:tc>
        <w:tc>
          <w:tcPr>
            <w:tcW w:w="869" w:type="dxa"/>
            <w:vAlign w:val="top"/>
            <w:vMerge w:val="continue"/>
            <w:tcBorders>
              <w:top w:val="nil"/>
            </w:tcBorders>
          </w:tcPr>
          <w:p>
            <w:pPr>
              <w:rPr>
                <w:rFonts w:ascii="Arial"/>
                <w:sz w:val="21"/>
              </w:rPr>
            </w:pPr>
            <w:r/>
          </w:p>
        </w:tc>
        <w:tc>
          <w:tcPr>
            <w:tcW w:w="1179" w:type="dxa"/>
            <w:vAlign w:val="top"/>
            <w:vMerge w:val="continue"/>
            <w:tcBorders>
              <w:top w:val="nil"/>
            </w:tcBorders>
          </w:tcPr>
          <w:p>
            <w:pPr>
              <w:rPr>
                <w:rFonts w:ascii="Arial"/>
                <w:sz w:val="21"/>
              </w:rPr>
            </w:pPr>
            <w:r/>
          </w:p>
        </w:tc>
        <w:tc>
          <w:tcPr>
            <w:tcW w:w="1059" w:type="dxa"/>
            <w:vAlign w:val="top"/>
            <w:vMerge w:val="continue"/>
            <w:tcBorders>
              <w:top w:val="nil"/>
            </w:tcBorders>
          </w:tcPr>
          <w:p>
            <w:pPr>
              <w:rPr>
                <w:rFonts w:ascii="Arial"/>
                <w:sz w:val="21"/>
              </w:rPr>
            </w:pPr>
            <w:r/>
          </w:p>
        </w:tc>
        <w:tc>
          <w:tcPr>
            <w:tcW w:w="1039" w:type="dxa"/>
            <w:vAlign w:val="top"/>
            <w:vMerge w:val="continue"/>
            <w:tcBorders>
              <w:top w:val="nil"/>
            </w:tcBorders>
          </w:tcPr>
          <w:p>
            <w:pPr>
              <w:rPr>
                <w:rFonts w:ascii="Arial"/>
                <w:sz w:val="21"/>
              </w:rPr>
            </w:pPr>
            <w:r/>
          </w:p>
        </w:tc>
        <w:tc>
          <w:tcPr>
            <w:tcW w:w="1289" w:type="dxa"/>
            <w:vAlign w:val="top"/>
            <w:vMerge w:val="continue"/>
            <w:tcBorders>
              <w:top w:val="nil"/>
            </w:tcBorders>
          </w:tcPr>
          <w:p>
            <w:pPr>
              <w:rPr>
                <w:rFonts w:ascii="Arial"/>
                <w:sz w:val="21"/>
              </w:rPr>
            </w:pPr>
            <w:r/>
          </w:p>
        </w:tc>
        <w:tc>
          <w:tcPr>
            <w:tcW w:w="1429" w:type="dxa"/>
            <w:vAlign w:val="top"/>
            <w:vMerge w:val="continue"/>
            <w:tcBorders>
              <w:top w:val="nil"/>
            </w:tcBorders>
          </w:tcPr>
          <w:p>
            <w:pPr>
              <w:rPr>
                <w:rFonts w:ascii="Arial"/>
                <w:sz w:val="21"/>
              </w:rPr>
            </w:pPr>
            <w:r/>
          </w:p>
        </w:tc>
        <w:tc>
          <w:tcPr>
            <w:tcW w:w="1409" w:type="dxa"/>
            <w:vAlign w:val="top"/>
            <w:vMerge w:val="continue"/>
            <w:tcBorders>
              <w:top w:val="nil"/>
            </w:tcBorders>
          </w:tcPr>
          <w:p>
            <w:pPr>
              <w:rPr>
                <w:rFonts w:ascii="Arial"/>
                <w:sz w:val="21"/>
              </w:rPr>
            </w:pPr>
            <w:r/>
          </w:p>
        </w:tc>
        <w:tc>
          <w:tcPr>
            <w:tcW w:w="1679" w:type="dxa"/>
            <w:vAlign w:val="top"/>
          </w:tcPr>
          <w:p>
            <w:pPr>
              <w:pStyle w:val="TableText"/>
              <w:ind w:left="518"/>
              <w:spacing w:before="86" w:line="220" w:lineRule="auto"/>
              <w:rPr>
                <w:sz w:val="21"/>
                <w:szCs w:val="21"/>
              </w:rPr>
            </w:pPr>
            <w:r>
              <w:rPr>
                <w:sz w:val="21"/>
                <w:szCs w:val="21"/>
                <w:spacing w:val="-2"/>
              </w:rPr>
              <w:t>颗粒物</w:t>
            </w:r>
          </w:p>
        </w:tc>
        <w:tc>
          <w:tcPr>
            <w:tcW w:w="1404" w:type="dxa"/>
            <w:vAlign w:val="top"/>
          </w:tcPr>
          <w:p>
            <w:pPr>
              <w:pStyle w:val="TableText"/>
              <w:ind w:left="430"/>
              <w:spacing w:before="138" w:line="184" w:lineRule="auto"/>
              <w:rPr>
                <w:sz w:val="21"/>
                <w:szCs w:val="21"/>
              </w:rPr>
            </w:pPr>
            <w:r>
              <w:rPr>
                <w:sz w:val="21"/>
                <w:szCs w:val="21"/>
                <w:spacing w:val="-2"/>
              </w:rPr>
              <w:t>0.017</w:t>
            </w:r>
          </w:p>
        </w:tc>
      </w:tr>
      <w:tr>
        <w:trPr>
          <w:trHeight w:val="319" w:hRule="atLeast"/>
        </w:trPr>
        <w:tc>
          <w:tcPr>
            <w:tcW w:w="1794" w:type="dxa"/>
            <w:vAlign w:val="top"/>
            <w:vMerge w:val="restart"/>
            <w:tcBorders>
              <w:bottom w:val="nil"/>
            </w:tcBorders>
          </w:tcPr>
          <w:p>
            <w:pPr>
              <w:pStyle w:val="TableText"/>
              <w:ind w:left="574"/>
              <w:spacing w:before="246" w:line="219" w:lineRule="auto"/>
              <w:rPr>
                <w:sz w:val="21"/>
                <w:szCs w:val="21"/>
              </w:rPr>
            </w:pPr>
            <w:r>
              <w:rPr>
                <w:sz w:val="21"/>
                <w:szCs w:val="21"/>
                <w:spacing w:val="3"/>
              </w:rPr>
              <w:t>污水站</w:t>
            </w:r>
          </w:p>
        </w:tc>
        <w:tc>
          <w:tcPr>
            <w:tcW w:w="839" w:type="dxa"/>
            <w:vAlign w:val="top"/>
            <w:vMerge w:val="restart"/>
            <w:tcBorders>
              <w:bottom w:val="nil"/>
            </w:tcBorders>
          </w:tcPr>
          <w:p>
            <w:pPr>
              <w:pStyle w:val="TableText"/>
              <w:ind w:left="250"/>
              <w:spacing w:before="300" w:line="183" w:lineRule="auto"/>
              <w:rPr>
                <w:sz w:val="21"/>
                <w:szCs w:val="21"/>
              </w:rPr>
            </w:pPr>
            <w:r>
              <w:rPr>
                <w:sz w:val="21"/>
                <w:szCs w:val="21"/>
                <w:spacing w:val="-3"/>
              </w:rPr>
              <w:t>684</w:t>
            </w:r>
          </w:p>
        </w:tc>
        <w:tc>
          <w:tcPr>
            <w:tcW w:w="869" w:type="dxa"/>
            <w:vAlign w:val="top"/>
            <w:vMerge w:val="restart"/>
            <w:tcBorders>
              <w:bottom w:val="nil"/>
            </w:tcBorders>
          </w:tcPr>
          <w:p>
            <w:pPr>
              <w:pStyle w:val="TableText"/>
              <w:ind w:left="212"/>
              <w:spacing w:before="300" w:line="183" w:lineRule="auto"/>
              <w:rPr>
                <w:sz w:val="21"/>
                <w:szCs w:val="21"/>
              </w:rPr>
            </w:pPr>
            <w:r>
              <w:rPr>
                <w:sz w:val="21"/>
                <w:szCs w:val="21"/>
                <w:spacing w:val="-2"/>
              </w:rPr>
              <w:t>-285</w:t>
            </w:r>
          </w:p>
        </w:tc>
        <w:tc>
          <w:tcPr>
            <w:tcW w:w="1179" w:type="dxa"/>
            <w:vAlign w:val="top"/>
            <w:vMerge w:val="restart"/>
            <w:tcBorders>
              <w:bottom w:val="nil"/>
            </w:tcBorders>
          </w:tcPr>
          <w:p>
            <w:pPr>
              <w:pStyle w:val="TableText"/>
              <w:ind w:left="522"/>
              <w:spacing w:before="300" w:line="183" w:lineRule="auto"/>
              <w:rPr>
                <w:sz w:val="21"/>
                <w:szCs w:val="21"/>
              </w:rPr>
            </w:pPr>
            <w:r>
              <w:rPr>
                <w:sz w:val="21"/>
                <w:szCs w:val="21"/>
              </w:rPr>
              <w:t>0</w:t>
            </w:r>
          </w:p>
        </w:tc>
        <w:tc>
          <w:tcPr>
            <w:tcW w:w="1059" w:type="dxa"/>
            <w:vAlign w:val="top"/>
            <w:vMerge w:val="restart"/>
            <w:tcBorders>
              <w:bottom w:val="nil"/>
            </w:tcBorders>
          </w:tcPr>
          <w:p>
            <w:pPr>
              <w:pStyle w:val="TableText"/>
              <w:ind w:left="313"/>
              <w:spacing w:before="300" w:line="183" w:lineRule="auto"/>
              <w:rPr>
                <w:sz w:val="21"/>
                <w:szCs w:val="21"/>
              </w:rPr>
            </w:pPr>
            <w:r>
              <w:rPr>
                <w:sz w:val="21"/>
                <w:szCs w:val="21"/>
                <w:spacing w:val="-2"/>
              </w:rPr>
              <w:t>42.7</w:t>
            </w:r>
          </w:p>
        </w:tc>
        <w:tc>
          <w:tcPr>
            <w:tcW w:w="1039" w:type="dxa"/>
            <w:vAlign w:val="top"/>
            <w:vMerge w:val="restart"/>
            <w:tcBorders>
              <w:bottom w:val="nil"/>
            </w:tcBorders>
          </w:tcPr>
          <w:p>
            <w:pPr>
              <w:pStyle w:val="TableText"/>
              <w:ind w:left="304"/>
              <w:spacing w:before="300" w:line="183" w:lineRule="auto"/>
              <w:rPr>
                <w:sz w:val="21"/>
                <w:szCs w:val="21"/>
              </w:rPr>
            </w:pPr>
            <w:r>
              <w:rPr>
                <w:sz w:val="21"/>
                <w:szCs w:val="21"/>
                <w:spacing w:val="-3"/>
              </w:rPr>
              <w:t>20.9</w:t>
            </w:r>
          </w:p>
        </w:tc>
        <w:tc>
          <w:tcPr>
            <w:tcW w:w="1289" w:type="dxa"/>
            <w:vAlign w:val="top"/>
            <w:vMerge w:val="restart"/>
            <w:tcBorders>
              <w:bottom w:val="nil"/>
            </w:tcBorders>
          </w:tcPr>
          <w:p>
            <w:pPr>
              <w:pStyle w:val="TableText"/>
              <w:ind w:left="586"/>
              <w:spacing w:before="300" w:line="183" w:lineRule="auto"/>
              <w:rPr>
                <w:sz w:val="21"/>
                <w:szCs w:val="21"/>
              </w:rPr>
            </w:pPr>
            <w:r>
              <w:rPr>
                <w:sz w:val="21"/>
                <w:szCs w:val="21"/>
              </w:rPr>
              <w:t>8</w:t>
            </w:r>
          </w:p>
        </w:tc>
        <w:tc>
          <w:tcPr>
            <w:tcW w:w="1429" w:type="dxa"/>
            <w:vAlign w:val="top"/>
            <w:vMerge w:val="restart"/>
            <w:tcBorders>
              <w:bottom w:val="nil"/>
            </w:tcBorders>
          </w:tcPr>
          <w:p>
            <w:pPr>
              <w:pStyle w:val="TableText"/>
              <w:ind w:left="657"/>
              <w:spacing w:before="301" w:line="182" w:lineRule="auto"/>
              <w:rPr>
                <w:sz w:val="21"/>
                <w:szCs w:val="21"/>
              </w:rPr>
            </w:pPr>
            <w:r>
              <w:rPr>
                <w:sz w:val="21"/>
                <w:szCs w:val="21"/>
              </w:rPr>
              <w:t>5</w:t>
            </w:r>
          </w:p>
        </w:tc>
        <w:tc>
          <w:tcPr>
            <w:tcW w:w="1409" w:type="dxa"/>
            <w:vAlign w:val="top"/>
            <w:vMerge w:val="restart"/>
            <w:tcBorders>
              <w:bottom w:val="nil"/>
            </w:tcBorders>
          </w:tcPr>
          <w:p>
            <w:pPr>
              <w:pStyle w:val="TableText"/>
              <w:ind w:left="487"/>
              <w:spacing w:before="300" w:line="183" w:lineRule="auto"/>
              <w:rPr>
                <w:sz w:val="21"/>
                <w:szCs w:val="21"/>
              </w:rPr>
            </w:pPr>
            <w:r>
              <w:rPr>
                <w:sz w:val="21"/>
                <w:szCs w:val="21"/>
                <w:spacing w:val="-2"/>
              </w:rPr>
              <w:t>6600</w:t>
            </w:r>
          </w:p>
        </w:tc>
        <w:tc>
          <w:tcPr>
            <w:tcW w:w="1679" w:type="dxa"/>
            <w:vAlign w:val="top"/>
          </w:tcPr>
          <w:p>
            <w:pPr>
              <w:pStyle w:val="TableText"/>
              <w:ind w:left="628"/>
              <w:spacing w:before="99" w:line="182" w:lineRule="auto"/>
              <w:rPr>
                <w:rFonts w:ascii="Calibri" w:hAnsi="Calibri" w:eastAsia="Calibri" w:cs="Calibri"/>
                <w:sz w:val="21"/>
                <w:szCs w:val="21"/>
              </w:rPr>
            </w:pPr>
            <w:r>
              <w:rPr>
                <w:sz w:val="21"/>
                <w:szCs w:val="21"/>
                <w:spacing w:val="-1"/>
              </w:rPr>
              <w:t>NH</w:t>
            </w:r>
            <w:r>
              <w:rPr>
                <w:rFonts w:ascii="Calibri" w:hAnsi="Calibri" w:eastAsia="Calibri" w:cs="Calibri"/>
                <w:sz w:val="21"/>
                <w:szCs w:val="21"/>
                <w:spacing w:val="-1"/>
              </w:rPr>
              <w:t>₃</w:t>
            </w:r>
          </w:p>
        </w:tc>
        <w:tc>
          <w:tcPr>
            <w:tcW w:w="1404" w:type="dxa"/>
            <w:vAlign w:val="top"/>
          </w:tcPr>
          <w:p>
            <w:pPr>
              <w:pStyle w:val="TableText"/>
              <w:ind w:left="430"/>
              <w:spacing w:before="121" w:line="165" w:lineRule="auto"/>
              <w:rPr>
                <w:sz w:val="21"/>
                <w:szCs w:val="21"/>
              </w:rPr>
            </w:pPr>
            <w:r>
              <w:rPr>
                <w:sz w:val="21"/>
                <w:szCs w:val="21"/>
                <w:spacing w:val="-2"/>
              </w:rPr>
              <w:t>0.005</w:t>
            </w:r>
          </w:p>
        </w:tc>
      </w:tr>
      <w:tr>
        <w:trPr>
          <w:trHeight w:val="349" w:hRule="atLeast"/>
        </w:trPr>
        <w:tc>
          <w:tcPr>
            <w:tcW w:w="1794" w:type="dxa"/>
            <w:vAlign w:val="top"/>
            <w:vMerge w:val="continue"/>
            <w:tcBorders>
              <w:top w:val="nil"/>
            </w:tcBorders>
          </w:tcPr>
          <w:p>
            <w:pPr>
              <w:rPr>
                <w:rFonts w:ascii="Arial"/>
                <w:sz w:val="21"/>
              </w:rPr>
            </w:pPr>
            <w:r/>
          </w:p>
        </w:tc>
        <w:tc>
          <w:tcPr>
            <w:tcW w:w="839" w:type="dxa"/>
            <w:vAlign w:val="top"/>
            <w:vMerge w:val="continue"/>
            <w:tcBorders>
              <w:top w:val="nil"/>
            </w:tcBorders>
          </w:tcPr>
          <w:p>
            <w:pPr>
              <w:rPr>
                <w:rFonts w:ascii="Arial"/>
                <w:sz w:val="21"/>
              </w:rPr>
            </w:pPr>
            <w:r/>
          </w:p>
        </w:tc>
        <w:tc>
          <w:tcPr>
            <w:tcW w:w="869" w:type="dxa"/>
            <w:vAlign w:val="top"/>
            <w:vMerge w:val="continue"/>
            <w:tcBorders>
              <w:top w:val="nil"/>
            </w:tcBorders>
          </w:tcPr>
          <w:p>
            <w:pPr>
              <w:rPr>
                <w:rFonts w:ascii="Arial"/>
                <w:sz w:val="21"/>
              </w:rPr>
            </w:pPr>
            <w:r/>
          </w:p>
        </w:tc>
        <w:tc>
          <w:tcPr>
            <w:tcW w:w="1179" w:type="dxa"/>
            <w:vAlign w:val="top"/>
            <w:vMerge w:val="continue"/>
            <w:tcBorders>
              <w:top w:val="nil"/>
            </w:tcBorders>
          </w:tcPr>
          <w:p>
            <w:pPr>
              <w:rPr>
                <w:rFonts w:ascii="Arial"/>
                <w:sz w:val="21"/>
              </w:rPr>
            </w:pPr>
            <w:r/>
          </w:p>
        </w:tc>
        <w:tc>
          <w:tcPr>
            <w:tcW w:w="1059" w:type="dxa"/>
            <w:vAlign w:val="top"/>
            <w:vMerge w:val="continue"/>
            <w:tcBorders>
              <w:top w:val="nil"/>
            </w:tcBorders>
          </w:tcPr>
          <w:p>
            <w:pPr>
              <w:rPr>
                <w:rFonts w:ascii="Arial"/>
                <w:sz w:val="21"/>
              </w:rPr>
            </w:pPr>
            <w:r/>
          </w:p>
        </w:tc>
        <w:tc>
          <w:tcPr>
            <w:tcW w:w="1039" w:type="dxa"/>
            <w:vAlign w:val="top"/>
            <w:vMerge w:val="continue"/>
            <w:tcBorders>
              <w:top w:val="nil"/>
            </w:tcBorders>
          </w:tcPr>
          <w:p>
            <w:pPr>
              <w:rPr>
                <w:rFonts w:ascii="Arial"/>
                <w:sz w:val="21"/>
              </w:rPr>
            </w:pPr>
            <w:r/>
          </w:p>
        </w:tc>
        <w:tc>
          <w:tcPr>
            <w:tcW w:w="1289" w:type="dxa"/>
            <w:vAlign w:val="top"/>
            <w:vMerge w:val="continue"/>
            <w:tcBorders>
              <w:top w:val="nil"/>
            </w:tcBorders>
          </w:tcPr>
          <w:p>
            <w:pPr>
              <w:rPr>
                <w:rFonts w:ascii="Arial"/>
                <w:sz w:val="21"/>
              </w:rPr>
            </w:pPr>
            <w:r/>
          </w:p>
        </w:tc>
        <w:tc>
          <w:tcPr>
            <w:tcW w:w="1429" w:type="dxa"/>
            <w:vAlign w:val="top"/>
            <w:vMerge w:val="continue"/>
            <w:tcBorders>
              <w:top w:val="nil"/>
            </w:tcBorders>
          </w:tcPr>
          <w:p>
            <w:pPr>
              <w:rPr>
                <w:rFonts w:ascii="Arial"/>
                <w:sz w:val="21"/>
              </w:rPr>
            </w:pPr>
            <w:r/>
          </w:p>
        </w:tc>
        <w:tc>
          <w:tcPr>
            <w:tcW w:w="1409" w:type="dxa"/>
            <w:vAlign w:val="top"/>
            <w:vMerge w:val="continue"/>
            <w:tcBorders>
              <w:top w:val="nil"/>
            </w:tcBorders>
          </w:tcPr>
          <w:p>
            <w:pPr>
              <w:rPr>
                <w:rFonts w:ascii="Arial"/>
                <w:sz w:val="21"/>
              </w:rPr>
            </w:pPr>
            <w:r/>
          </w:p>
        </w:tc>
        <w:tc>
          <w:tcPr>
            <w:tcW w:w="1679" w:type="dxa"/>
            <w:vAlign w:val="top"/>
          </w:tcPr>
          <w:p>
            <w:pPr>
              <w:pStyle w:val="TableText"/>
              <w:ind w:left="628"/>
              <w:spacing w:before="111" w:line="183" w:lineRule="auto"/>
              <w:rPr>
                <w:sz w:val="21"/>
                <w:szCs w:val="21"/>
              </w:rPr>
            </w:pPr>
            <w:r>
              <w:rPr>
                <w:sz w:val="21"/>
                <w:szCs w:val="21"/>
                <w:spacing w:val="-2"/>
              </w:rPr>
              <w:t>H</w:t>
            </w:r>
            <w:r>
              <w:rPr>
                <w:rFonts w:ascii="Calibri" w:hAnsi="Calibri" w:eastAsia="Calibri" w:cs="Calibri"/>
                <w:sz w:val="21"/>
                <w:szCs w:val="21"/>
                <w:spacing w:val="-2"/>
              </w:rPr>
              <w:t>₂</w:t>
            </w:r>
            <w:r>
              <w:rPr>
                <w:sz w:val="21"/>
                <w:szCs w:val="21"/>
                <w:spacing w:val="-2"/>
              </w:rPr>
              <w:t>S</w:t>
            </w:r>
          </w:p>
        </w:tc>
        <w:tc>
          <w:tcPr>
            <w:tcW w:w="1404" w:type="dxa"/>
            <w:vAlign w:val="top"/>
          </w:tcPr>
          <w:p>
            <w:pPr>
              <w:pStyle w:val="TableText"/>
              <w:ind w:left="170"/>
              <w:spacing w:before="130" w:line="183" w:lineRule="auto"/>
              <w:rPr>
                <w:sz w:val="21"/>
                <w:szCs w:val="21"/>
              </w:rPr>
            </w:pPr>
            <w:r>
              <w:rPr>
                <w:sz w:val="21"/>
                <w:szCs w:val="21"/>
                <w:spacing w:val="-2"/>
              </w:rPr>
              <w:t>0.11×10-3</w:t>
            </w:r>
          </w:p>
        </w:tc>
      </w:tr>
      <w:tr>
        <w:trPr>
          <w:trHeight w:val="344" w:hRule="atLeast"/>
        </w:trPr>
        <w:tc>
          <w:tcPr>
            <w:tcW w:w="13989" w:type="dxa"/>
            <w:vAlign w:val="top"/>
            <w:gridSpan w:val="11"/>
          </w:tcPr>
          <w:p>
            <w:pPr>
              <w:pStyle w:val="TableText"/>
              <w:ind w:left="24"/>
              <w:spacing w:before="75" w:line="216" w:lineRule="auto"/>
              <w:rPr>
                <w:sz w:val="21"/>
                <w:szCs w:val="21"/>
              </w:rPr>
            </w:pPr>
            <w:r>
              <w:rPr>
                <w:sz w:val="21"/>
                <w:szCs w:val="21"/>
              </w:rPr>
              <w:t>注：以凹版厂房西南角为坐标原点(0,0,0),东西方向为X轴、南</w:t>
            </w:r>
            <w:r>
              <w:rPr>
                <w:sz w:val="21"/>
                <w:szCs w:val="21"/>
                <w:spacing w:val="-1"/>
              </w:rPr>
              <w:t>北方向为Y轴。</w:t>
            </w:r>
          </w:p>
        </w:tc>
      </w:tr>
    </w:tbl>
    <w:p>
      <w:pPr>
        <w:rPr>
          <w:rFonts w:ascii="Arial"/>
          <w:sz w:val="21"/>
        </w:rPr>
      </w:pPr>
      <w:r/>
    </w:p>
    <w:p>
      <w:pPr>
        <w:sectPr>
          <w:footerReference w:type="default" r:id="rId106"/>
          <w:pgSz w:w="16840" w:h="11900"/>
          <w:pgMar w:top="1011" w:right="1434" w:bottom="978" w:left="1405" w:header="0" w:footer="839" w:gutter="0"/>
        </w:sectPr>
        <w:rPr>
          <w:rFonts w:ascii="Arial" w:hAnsi="Arial" w:eastAsia="Arial" w:cs="Arial"/>
          <w:sz w:val="21"/>
          <w:szCs w:val="21"/>
        </w:rPr>
      </w:pPr>
    </w:p>
    <w:tbl>
      <w:tblPr>
        <w:tblStyle w:val="TableNormal"/>
        <w:tblW w:w="937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14"/>
        <w:gridCol w:w="8960"/>
      </w:tblGrid>
      <w:tr>
        <w:trPr>
          <w:trHeight w:val="13299" w:hRule="atLeast"/>
        </w:trPr>
        <w:tc>
          <w:tcPr>
            <w:tcW w:w="414" w:type="dxa"/>
            <w:vAlign w:val="top"/>
          </w:tcPr>
          <w:p>
            <w:pPr>
              <w:rPr>
                <w:rFonts w:ascii="Arial"/>
                <w:sz w:val="21"/>
              </w:rPr>
            </w:pPr>
            <w:r/>
          </w:p>
        </w:tc>
        <w:tc>
          <w:tcPr>
            <w:tcW w:w="8960" w:type="dxa"/>
            <w:vAlign w:val="top"/>
          </w:tcPr>
          <w:p>
            <w:pPr>
              <w:pStyle w:val="TableText"/>
              <w:ind w:left="580"/>
              <w:spacing w:before="74" w:line="220" w:lineRule="auto"/>
              <w:rPr>
                <w:sz w:val="22"/>
                <w:szCs w:val="22"/>
              </w:rPr>
            </w:pPr>
            <w:r>
              <w:rPr>
                <w:sz w:val="22"/>
                <w:szCs w:val="22"/>
                <w:spacing w:val="3"/>
              </w:rPr>
              <w:t>3、</w:t>
            </w:r>
            <w:r>
              <w:rPr>
                <w:sz w:val="22"/>
                <w:szCs w:val="22"/>
                <w:spacing w:val="-47"/>
              </w:rPr>
              <w:t xml:space="preserve"> </w:t>
            </w:r>
            <w:r>
              <w:rPr>
                <w:sz w:val="22"/>
                <w:szCs w:val="22"/>
                <w:spacing w:val="3"/>
              </w:rPr>
              <w:t>预测结果</w:t>
            </w:r>
          </w:p>
          <w:p>
            <w:pPr>
              <w:pStyle w:val="TableText"/>
              <w:ind w:left="580"/>
              <w:spacing w:before="215" w:line="218" w:lineRule="auto"/>
              <w:rPr>
                <w:sz w:val="22"/>
                <w:szCs w:val="22"/>
              </w:rPr>
            </w:pPr>
            <w:r>
              <w:rPr>
                <w:sz w:val="22"/>
                <w:szCs w:val="22"/>
                <w:spacing w:val="12"/>
              </w:rPr>
              <w:t>根</w:t>
            </w:r>
            <w:r>
              <w:rPr>
                <w:sz w:val="22"/>
                <w:szCs w:val="22"/>
                <w:spacing w:val="-47"/>
              </w:rPr>
              <w:t xml:space="preserve"> </w:t>
            </w:r>
            <w:r>
              <w:rPr>
                <w:sz w:val="22"/>
                <w:szCs w:val="22"/>
                <w:spacing w:val="12"/>
              </w:rPr>
              <w:t>据</w:t>
            </w:r>
            <w:r>
              <w:rPr>
                <w:rFonts w:ascii="Times New Roman" w:hAnsi="Times New Roman" w:eastAsia="Times New Roman" w:cs="Times New Roman"/>
                <w:sz w:val="22"/>
                <w:szCs w:val="22"/>
              </w:rPr>
              <w:t>AERSCREEN</w:t>
            </w:r>
            <w:r>
              <w:rPr>
                <w:rFonts w:ascii="Times New Roman" w:hAnsi="Times New Roman" w:eastAsia="Times New Roman" w:cs="Times New Roman"/>
                <w:sz w:val="22"/>
                <w:szCs w:val="22"/>
                <w:spacing w:val="12"/>
              </w:rPr>
              <w:t xml:space="preserve">  </w:t>
            </w:r>
            <w:r>
              <w:rPr>
                <w:sz w:val="22"/>
                <w:szCs w:val="22"/>
                <w:spacing w:val="12"/>
              </w:rPr>
              <w:t>估算模式，本项目预测结果如下所示。</w:t>
            </w:r>
          </w:p>
          <w:p>
            <w:pPr>
              <w:spacing w:line="254" w:lineRule="auto"/>
              <w:rPr>
                <w:rFonts w:ascii="Arial"/>
                <w:sz w:val="21"/>
              </w:rPr>
            </w:pPr>
            <w:r/>
          </w:p>
          <w:p>
            <w:pPr>
              <w:ind w:left="2524"/>
              <w:spacing w:before="72" w:line="222" w:lineRule="auto"/>
              <w:rPr>
                <w:rFonts w:ascii="SimHei" w:hAnsi="SimHei" w:eastAsia="SimHei" w:cs="SimHei"/>
                <w:sz w:val="22"/>
                <w:szCs w:val="22"/>
              </w:rPr>
            </w:pPr>
            <w:r>
              <w:rPr>
                <w:rFonts w:ascii="SimHei" w:hAnsi="SimHei" w:eastAsia="SimHei" w:cs="SimHei"/>
                <w:sz w:val="22"/>
                <w:szCs w:val="22"/>
                <w:b/>
                <w:bCs/>
                <w:spacing w:val="12"/>
              </w:rPr>
              <w:t>表4.2-13估算模式计算结果一览表</w:t>
            </w:r>
          </w:p>
          <w:p>
            <w:pPr>
              <w:spacing w:line="146" w:lineRule="exact"/>
              <w:rPr/>
            </w:pPr>
            <w:r/>
          </w:p>
          <w:tbl>
            <w:tblPr>
              <w:tblStyle w:val="TableNormal"/>
              <w:tblW w:w="8669" w:type="dxa"/>
              <w:tblInd w:w="111"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64"/>
              <w:gridCol w:w="839"/>
              <w:gridCol w:w="1498"/>
              <w:gridCol w:w="1348"/>
              <w:gridCol w:w="1398"/>
              <w:gridCol w:w="1119"/>
              <w:gridCol w:w="799"/>
              <w:gridCol w:w="1104"/>
            </w:tblGrid>
            <w:tr>
              <w:trPr>
                <w:trHeight w:val="534" w:hRule="atLeast"/>
              </w:trPr>
              <w:tc>
                <w:tcPr>
                  <w:tcW w:w="1403" w:type="dxa"/>
                  <w:vAlign w:val="top"/>
                  <w:gridSpan w:val="2"/>
                </w:tcPr>
                <w:p>
                  <w:pPr>
                    <w:pStyle w:val="TableText"/>
                    <w:ind w:left="374"/>
                    <w:spacing w:before="173" w:line="220" w:lineRule="auto"/>
                    <w:rPr>
                      <w:sz w:val="20"/>
                      <w:szCs w:val="20"/>
                    </w:rPr>
                  </w:pPr>
                  <w:r>
                    <w:rPr>
                      <w:sz w:val="20"/>
                      <w:szCs w:val="20"/>
                      <w:spacing w:val="-2"/>
                    </w:rPr>
                    <w:t>废气源</w:t>
                  </w:r>
                </w:p>
              </w:tc>
              <w:tc>
                <w:tcPr>
                  <w:tcW w:w="1498" w:type="dxa"/>
                  <w:vAlign w:val="top"/>
                </w:tcPr>
                <w:p>
                  <w:pPr>
                    <w:pStyle w:val="TableText"/>
                    <w:ind w:left="241"/>
                    <w:spacing w:before="173" w:line="220" w:lineRule="auto"/>
                    <w:rPr>
                      <w:sz w:val="20"/>
                      <w:szCs w:val="20"/>
                    </w:rPr>
                  </w:pPr>
                  <w:r>
                    <w:rPr>
                      <w:sz w:val="20"/>
                      <w:szCs w:val="20"/>
                      <w:spacing w:val="-2"/>
                    </w:rPr>
                    <w:t>污染物名称</w:t>
                  </w:r>
                </w:p>
              </w:tc>
              <w:tc>
                <w:tcPr>
                  <w:tcW w:w="1348" w:type="dxa"/>
                  <w:vAlign w:val="top"/>
                </w:tcPr>
                <w:p>
                  <w:pPr>
                    <w:pStyle w:val="TableText"/>
                    <w:ind w:left="113"/>
                    <w:spacing w:before="166" w:line="214" w:lineRule="auto"/>
                    <w:rPr>
                      <w:sz w:val="20"/>
                      <w:szCs w:val="20"/>
                    </w:rPr>
                  </w:pPr>
                  <w:r>
                    <w:rPr>
                      <w:sz w:val="20"/>
                      <w:szCs w:val="20"/>
                      <w:spacing w:val="-1"/>
                    </w:rPr>
                    <w:t>Coi(mg/m³)</w:t>
                  </w:r>
                </w:p>
              </w:tc>
              <w:tc>
                <w:tcPr>
                  <w:tcW w:w="1398" w:type="dxa"/>
                  <w:vAlign w:val="top"/>
                </w:tcPr>
                <w:p>
                  <w:pPr>
                    <w:pStyle w:val="TableText"/>
                    <w:ind w:left="196"/>
                    <w:spacing w:before="166" w:line="214" w:lineRule="auto"/>
                    <w:rPr>
                      <w:sz w:val="20"/>
                      <w:szCs w:val="20"/>
                    </w:rPr>
                  </w:pPr>
                  <w:r>
                    <w:rPr>
                      <w:sz w:val="20"/>
                      <w:szCs w:val="20"/>
                      <w:spacing w:val="-1"/>
                    </w:rPr>
                    <w:t>Cm(mg/m³)</w:t>
                  </w:r>
                </w:p>
              </w:tc>
              <w:tc>
                <w:tcPr>
                  <w:tcW w:w="1119" w:type="dxa"/>
                  <w:vAlign w:val="top"/>
                </w:tcPr>
                <w:p>
                  <w:pPr>
                    <w:pStyle w:val="TableText"/>
                    <w:ind w:left="227"/>
                    <w:spacing w:before="113" w:line="222" w:lineRule="auto"/>
                    <w:rPr>
                      <w:sz w:val="33"/>
                      <w:szCs w:val="33"/>
                    </w:rPr>
                  </w:pPr>
                  <w:r>
                    <w:rPr>
                      <w:sz w:val="33"/>
                      <w:szCs w:val="33"/>
                      <w:spacing w:val="-2"/>
                    </w:rPr>
                    <w:t>P(%)</w:t>
                  </w:r>
                </w:p>
              </w:tc>
              <w:tc>
                <w:tcPr>
                  <w:tcW w:w="799" w:type="dxa"/>
                  <w:vAlign w:val="top"/>
                </w:tcPr>
                <w:p>
                  <w:pPr>
                    <w:pStyle w:val="TableText"/>
                    <w:ind w:left="198"/>
                    <w:spacing w:before="223" w:line="184" w:lineRule="auto"/>
                    <w:rPr>
                      <w:sz w:val="20"/>
                      <w:szCs w:val="20"/>
                    </w:rPr>
                  </w:pPr>
                  <w:r>
                    <w:rPr>
                      <w:sz w:val="20"/>
                      <w:szCs w:val="20"/>
                      <w:spacing w:val="-1"/>
                    </w:rPr>
                    <w:t>D1o%</w:t>
                  </w:r>
                </w:p>
              </w:tc>
              <w:tc>
                <w:tcPr>
                  <w:tcW w:w="1104" w:type="dxa"/>
                  <w:vAlign w:val="top"/>
                </w:tcPr>
                <w:p>
                  <w:pPr>
                    <w:pStyle w:val="TableText"/>
                    <w:ind w:left="150"/>
                    <w:spacing w:before="23" w:line="220" w:lineRule="auto"/>
                    <w:rPr>
                      <w:sz w:val="20"/>
                      <w:szCs w:val="20"/>
                    </w:rPr>
                  </w:pPr>
                  <w:r>
                    <w:rPr>
                      <w:sz w:val="20"/>
                      <w:szCs w:val="20"/>
                      <w:spacing w:val="2"/>
                    </w:rPr>
                    <w:t>离源距离</w:t>
                  </w:r>
                </w:p>
                <w:p>
                  <w:pPr>
                    <w:pStyle w:val="TableText"/>
                    <w:ind w:left="399"/>
                    <w:spacing w:before="63" w:line="183" w:lineRule="auto"/>
                    <w:rPr>
                      <w:sz w:val="20"/>
                      <w:szCs w:val="20"/>
                    </w:rPr>
                  </w:pPr>
                  <w:r>
                    <w:rPr>
                      <w:sz w:val="20"/>
                      <w:szCs w:val="20"/>
                      <w:spacing w:val="-10"/>
                    </w:rPr>
                    <w:t>(m)</w:t>
                  </w:r>
                </w:p>
              </w:tc>
            </w:tr>
            <w:tr>
              <w:trPr>
                <w:trHeight w:val="289" w:hRule="atLeast"/>
              </w:trPr>
              <w:tc>
                <w:tcPr>
                  <w:tcW w:w="564" w:type="dxa"/>
                  <w:vAlign w:val="top"/>
                  <w:vMerge w:val="restart"/>
                  <w:textDirection w:val="tbRlV"/>
                  <w:tcBorders>
                    <w:bottom w:val="nil"/>
                  </w:tcBorders>
                </w:tcPr>
                <w:p>
                  <w:pPr>
                    <w:pStyle w:val="TableText"/>
                    <w:ind w:left="931"/>
                    <w:spacing w:before="178" w:line="217" w:lineRule="auto"/>
                    <w:rPr>
                      <w:sz w:val="20"/>
                      <w:szCs w:val="20"/>
                    </w:rPr>
                  </w:pPr>
                  <w:r>
                    <w:rPr>
                      <w:sz w:val="20"/>
                      <w:szCs w:val="20"/>
                    </w:rPr>
                    <w:t>有</w:t>
                  </w:r>
                  <w:r>
                    <w:rPr>
                      <w:sz w:val="20"/>
                      <w:szCs w:val="20"/>
                      <w:spacing w:val="-21"/>
                    </w:rPr>
                    <w:t xml:space="preserve"> </w:t>
                  </w:r>
                  <w:r>
                    <w:rPr>
                      <w:sz w:val="20"/>
                      <w:szCs w:val="20"/>
                    </w:rPr>
                    <w:t>组</w:t>
                  </w:r>
                  <w:r>
                    <w:rPr>
                      <w:sz w:val="20"/>
                      <w:szCs w:val="20"/>
                      <w:spacing w:val="-21"/>
                    </w:rPr>
                    <w:t xml:space="preserve"> </w:t>
                  </w:r>
                  <w:r>
                    <w:rPr>
                      <w:sz w:val="20"/>
                      <w:szCs w:val="20"/>
                    </w:rPr>
                    <w:t>织</w:t>
                  </w:r>
                </w:p>
              </w:tc>
              <w:tc>
                <w:tcPr>
                  <w:tcW w:w="839" w:type="dxa"/>
                  <w:vAlign w:val="top"/>
                </w:tcPr>
                <w:p>
                  <w:pPr>
                    <w:pStyle w:val="TableText"/>
                    <w:ind w:left="160"/>
                    <w:spacing w:before="99" w:line="166" w:lineRule="auto"/>
                    <w:rPr>
                      <w:sz w:val="20"/>
                      <w:szCs w:val="20"/>
                    </w:rPr>
                  </w:pPr>
                  <w:r>
                    <w:rPr>
                      <w:sz w:val="20"/>
                      <w:szCs w:val="20"/>
                      <w:spacing w:val="-1"/>
                    </w:rPr>
                    <w:t>DA026</w:t>
                  </w:r>
                </w:p>
              </w:tc>
              <w:tc>
                <w:tcPr>
                  <w:tcW w:w="1498" w:type="dxa"/>
                  <w:vAlign w:val="top"/>
                </w:tcPr>
                <w:p>
                  <w:pPr>
                    <w:pStyle w:val="TableText"/>
                    <w:ind w:left="241"/>
                    <w:spacing w:before="49" w:line="212" w:lineRule="auto"/>
                    <w:rPr>
                      <w:sz w:val="20"/>
                      <w:szCs w:val="20"/>
                    </w:rPr>
                  </w:pPr>
                  <w:r>
                    <w:rPr>
                      <w:sz w:val="20"/>
                      <w:szCs w:val="20"/>
                      <w:spacing w:val="-2"/>
                    </w:rPr>
                    <w:t>非甲烷总烃</w:t>
                  </w:r>
                </w:p>
              </w:tc>
              <w:tc>
                <w:tcPr>
                  <w:tcW w:w="1348" w:type="dxa"/>
                  <w:vAlign w:val="top"/>
                </w:tcPr>
                <w:p>
                  <w:pPr>
                    <w:pStyle w:val="TableText"/>
                    <w:ind w:left="513"/>
                    <w:spacing w:before="100" w:line="165" w:lineRule="auto"/>
                    <w:rPr>
                      <w:sz w:val="20"/>
                      <w:szCs w:val="20"/>
                    </w:rPr>
                  </w:pPr>
                  <w:r>
                    <w:rPr>
                      <w:sz w:val="20"/>
                      <w:szCs w:val="20"/>
                      <w:spacing w:val="-3"/>
                    </w:rPr>
                    <w:t>2.0</w:t>
                  </w:r>
                </w:p>
              </w:tc>
              <w:tc>
                <w:tcPr>
                  <w:tcW w:w="1398" w:type="dxa"/>
                  <w:vAlign w:val="top"/>
                </w:tcPr>
                <w:p>
                  <w:pPr>
                    <w:pStyle w:val="TableText"/>
                    <w:ind w:left="196"/>
                    <w:spacing w:before="100" w:line="165" w:lineRule="auto"/>
                    <w:rPr>
                      <w:sz w:val="20"/>
                      <w:szCs w:val="20"/>
                    </w:rPr>
                  </w:pPr>
                  <w:r>
                    <w:rPr>
                      <w:sz w:val="20"/>
                      <w:szCs w:val="20"/>
                      <w:spacing w:val="-1"/>
                    </w:rPr>
                    <w:t>4.09×10-3</w:t>
                  </w:r>
                </w:p>
              </w:tc>
              <w:tc>
                <w:tcPr>
                  <w:tcW w:w="1119" w:type="dxa"/>
                  <w:vAlign w:val="top"/>
                </w:tcPr>
                <w:p>
                  <w:pPr>
                    <w:pStyle w:val="TableText"/>
                    <w:ind w:left="357"/>
                    <w:spacing w:before="100" w:line="165" w:lineRule="auto"/>
                    <w:rPr>
                      <w:sz w:val="20"/>
                      <w:szCs w:val="20"/>
                    </w:rPr>
                  </w:pPr>
                  <w:r>
                    <w:rPr>
                      <w:sz w:val="20"/>
                      <w:szCs w:val="20"/>
                      <w:spacing w:val="-2"/>
                    </w:rPr>
                    <w:t>0.20</w:t>
                  </w:r>
                </w:p>
              </w:tc>
              <w:tc>
                <w:tcPr>
                  <w:tcW w:w="799" w:type="dxa"/>
                  <w:vAlign w:val="top"/>
                </w:tcPr>
                <w:p>
                  <w:pPr>
                    <w:pStyle w:val="TableText"/>
                    <w:ind w:left="349"/>
                    <w:spacing w:before="100" w:line="165" w:lineRule="auto"/>
                    <w:rPr>
                      <w:sz w:val="20"/>
                      <w:szCs w:val="20"/>
                    </w:rPr>
                  </w:pPr>
                  <w:r>
                    <w:rPr>
                      <w:sz w:val="20"/>
                      <w:szCs w:val="20"/>
                    </w:rPr>
                    <w:t>0</w:t>
                  </w:r>
                </w:p>
              </w:tc>
              <w:tc>
                <w:tcPr>
                  <w:tcW w:w="1104" w:type="dxa"/>
                  <w:vAlign w:val="top"/>
                </w:tcPr>
                <w:p>
                  <w:pPr>
                    <w:pStyle w:val="TableText"/>
                    <w:ind w:left="399"/>
                    <w:spacing w:before="100" w:line="165" w:lineRule="auto"/>
                    <w:rPr>
                      <w:sz w:val="20"/>
                      <w:szCs w:val="20"/>
                    </w:rPr>
                  </w:pPr>
                  <w:r>
                    <w:rPr>
                      <w:sz w:val="20"/>
                      <w:szCs w:val="20"/>
                      <w:spacing w:val="-6"/>
                    </w:rPr>
                    <w:t>174</w:t>
                  </w:r>
                </w:p>
              </w:tc>
            </w:tr>
            <w:tr>
              <w:trPr>
                <w:trHeight w:val="289" w:hRule="atLeast"/>
              </w:trPr>
              <w:tc>
                <w:tcPr>
                  <w:tcW w:w="564" w:type="dxa"/>
                  <w:vAlign w:val="top"/>
                  <w:vMerge w:val="continue"/>
                  <w:textDirection w:val="tbRlV"/>
                  <w:tcBorders>
                    <w:top w:val="nil"/>
                    <w:bottom w:val="nil"/>
                  </w:tcBorders>
                </w:tcPr>
                <w:p>
                  <w:pPr>
                    <w:rPr>
                      <w:rFonts w:ascii="Arial"/>
                      <w:sz w:val="21"/>
                    </w:rPr>
                  </w:pPr>
                  <w:r/>
                </w:p>
              </w:tc>
              <w:tc>
                <w:tcPr>
                  <w:tcW w:w="839" w:type="dxa"/>
                  <w:vAlign w:val="top"/>
                  <w:vMerge w:val="restart"/>
                  <w:tcBorders>
                    <w:bottom w:val="nil"/>
                  </w:tcBorders>
                </w:tcPr>
                <w:p>
                  <w:pPr>
                    <w:pStyle w:val="TableText"/>
                    <w:ind w:left="160"/>
                    <w:spacing w:before="289" w:line="231" w:lineRule="auto"/>
                    <w:rPr>
                      <w:sz w:val="20"/>
                      <w:szCs w:val="20"/>
                    </w:rPr>
                  </w:pPr>
                  <w:r>
                    <w:rPr>
                      <w:sz w:val="20"/>
                      <w:szCs w:val="20"/>
                      <w:spacing w:val="-1"/>
                    </w:rPr>
                    <w:t>DA025</w:t>
                  </w:r>
                </w:p>
                <w:p>
                  <w:pPr>
                    <w:pStyle w:val="TableText"/>
                    <w:ind w:left="160"/>
                    <w:spacing w:line="184" w:lineRule="auto"/>
                    <w:rPr>
                      <w:sz w:val="20"/>
                      <w:szCs w:val="20"/>
                    </w:rPr>
                  </w:pPr>
                  <w:r>
                    <w:rPr>
                      <w:sz w:val="20"/>
                      <w:szCs w:val="20"/>
                      <w:spacing w:val="-1"/>
                    </w:rPr>
                    <w:t>DA027</w:t>
                  </w:r>
                </w:p>
              </w:tc>
              <w:tc>
                <w:tcPr>
                  <w:tcW w:w="1498" w:type="dxa"/>
                  <w:vAlign w:val="top"/>
                </w:tcPr>
                <w:p>
                  <w:pPr>
                    <w:pStyle w:val="TableText"/>
                    <w:ind w:left="541"/>
                    <w:spacing w:before="81" w:line="182" w:lineRule="auto"/>
                    <w:rPr>
                      <w:rFonts w:ascii="Calibri" w:hAnsi="Calibri" w:eastAsia="Calibri" w:cs="Calibri"/>
                      <w:sz w:val="20"/>
                      <w:szCs w:val="20"/>
                    </w:rPr>
                  </w:pPr>
                  <w:r>
                    <w:rPr>
                      <w:sz w:val="20"/>
                      <w:szCs w:val="20"/>
                      <w:spacing w:val="-3"/>
                    </w:rPr>
                    <w:t>SO</w:t>
                  </w:r>
                  <w:r>
                    <w:rPr>
                      <w:rFonts w:ascii="Calibri" w:hAnsi="Calibri" w:eastAsia="Calibri" w:cs="Calibri"/>
                      <w:sz w:val="20"/>
                      <w:szCs w:val="20"/>
                      <w:spacing w:val="-3"/>
                    </w:rPr>
                    <w:t>₂</w:t>
                  </w:r>
                </w:p>
              </w:tc>
              <w:tc>
                <w:tcPr>
                  <w:tcW w:w="1348" w:type="dxa"/>
                  <w:vAlign w:val="top"/>
                </w:tcPr>
                <w:p>
                  <w:pPr>
                    <w:pStyle w:val="TableText"/>
                    <w:ind w:left="513"/>
                    <w:spacing w:before="101" w:line="164" w:lineRule="auto"/>
                    <w:rPr>
                      <w:sz w:val="20"/>
                      <w:szCs w:val="20"/>
                    </w:rPr>
                  </w:pPr>
                  <w:r>
                    <w:rPr>
                      <w:sz w:val="20"/>
                      <w:szCs w:val="20"/>
                      <w:spacing w:val="-3"/>
                    </w:rPr>
                    <w:t>0.5</w:t>
                  </w:r>
                </w:p>
              </w:tc>
              <w:tc>
                <w:tcPr>
                  <w:tcW w:w="1398" w:type="dxa"/>
                  <w:vAlign w:val="top"/>
                </w:tcPr>
                <w:p>
                  <w:pPr>
                    <w:pStyle w:val="TableText"/>
                    <w:ind w:left="145"/>
                    <w:spacing w:before="89" w:line="175" w:lineRule="auto"/>
                    <w:rPr>
                      <w:sz w:val="20"/>
                      <w:szCs w:val="20"/>
                    </w:rPr>
                  </w:pPr>
                  <w:r>
                    <w:rPr>
                      <w:sz w:val="20"/>
                      <w:szCs w:val="20"/>
                      <w:spacing w:val="-3"/>
                    </w:rPr>
                    <w:t>1.19×10-³</w:t>
                  </w:r>
                </w:p>
              </w:tc>
              <w:tc>
                <w:tcPr>
                  <w:tcW w:w="1119" w:type="dxa"/>
                  <w:vAlign w:val="top"/>
                </w:tcPr>
                <w:p>
                  <w:pPr>
                    <w:pStyle w:val="TableText"/>
                    <w:ind w:left="357"/>
                    <w:spacing w:before="101" w:line="164" w:lineRule="auto"/>
                    <w:rPr>
                      <w:sz w:val="20"/>
                      <w:szCs w:val="20"/>
                    </w:rPr>
                  </w:pPr>
                  <w:r>
                    <w:rPr>
                      <w:sz w:val="20"/>
                      <w:szCs w:val="20"/>
                      <w:spacing w:val="-2"/>
                    </w:rPr>
                    <w:t>0.24</w:t>
                  </w:r>
                </w:p>
              </w:tc>
              <w:tc>
                <w:tcPr>
                  <w:tcW w:w="799" w:type="dxa"/>
                  <w:vAlign w:val="top"/>
                </w:tcPr>
                <w:p>
                  <w:pPr>
                    <w:pStyle w:val="TableText"/>
                    <w:ind w:left="349"/>
                    <w:spacing w:before="101" w:line="164" w:lineRule="auto"/>
                    <w:rPr>
                      <w:sz w:val="20"/>
                      <w:szCs w:val="20"/>
                    </w:rPr>
                  </w:pPr>
                  <w:r>
                    <w:rPr>
                      <w:sz w:val="20"/>
                      <w:szCs w:val="20"/>
                    </w:rPr>
                    <w:t>0</w:t>
                  </w:r>
                </w:p>
              </w:tc>
              <w:tc>
                <w:tcPr>
                  <w:tcW w:w="1104" w:type="dxa"/>
                  <w:vAlign w:val="top"/>
                  <w:vMerge w:val="restart"/>
                  <w:tcBorders>
                    <w:bottom w:val="nil"/>
                  </w:tcBorders>
                </w:tcPr>
                <w:p>
                  <w:pPr>
                    <w:spacing w:line="324" w:lineRule="auto"/>
                    <w:rPr>
                      <w:rFonts w:ascii="Arial"/>
                      <w:sz w:val="21"/>
                    </w:rPr>
                  </w:pPr>
                  <w:r/>
                </w:p>
                <w:p>
                  <w:pPr>
                    <w:pStyle w:val="TableText"/>
                    <w:ind w:left="450"/>
                    <w:spacing w:before="65" w:line="183" w:lineRule="auto"/>
                    <w:rPr>
                      <w:sz w:val="20"/>
                      <w:szCs w:val="20"/>
                    </w:rPr>
                  </w:pPr>
                  <w:r>
                    <w:rPr>
                      <w:sz w:val="20"/>
                      <w:szCs w:val="20"/>
                      <w:spacing w:val="-3"/>
                    </w:rPr>
                    <w:t>38</w:t>
                  </w:r>
                </w:p>
              </w:tc>
            </w:tr>
            <w:tr>
              <w:trPr>
                <w:trHeight w:val="279" w:hRule="atLeast"/>
              </w:trPr>
              <w:tc>
                <w:tcPr>
                  <w:tcW w:w="564" w:type="dxa"/>
                  <w:vAlign w:val="top"/>
                  <w:vMerge w:val="continue"/>
                  <w:textDirection w:val="tbRlV"/>
                  <w:tcBorders>
                    <w:top w:val="nil"/>
                    <w:bottom w:val="nil"/>
                  </w:tcBorders>
                </w:tcPr>
                <w:p>
                  <w:pPr>
                    <w:rPr>
                      <w:rFonts w:ascii="Arial"/>
                      <w:sz w:val="21"/>
                    </w:rPr>
                  </w:pPr>
                  <w:r/>
                </w:p>
              </w:tc>
              <w:tc>
                <w:tcPr>
                  <w:tcW w:w="839" w:type="dxa"/>
                  <w:vAlign w:val="top"/>
                  <w:vMerge w:val="continue"/>
                  <w:tcBorders>
                    <w:top w:val="nil"/>
                    <w:bottom w:val="nil"/>
                  </w:tcBorders>
                </w:tcPr>
                <w:p>
                  <w:pPr>
                    <w:rPr>
                      <w:rFonts w:ascii="Arial"/>
                      <w:sz w:val="21"/>
                    </w:rPr>
                  </w:pPr>
                  <w:r/>
                </w:p>
              </w:tc>
              <w:tc>
                <w:tcPr>
                  <w:tcW w:w="1498" w:type="dxa"/>
                  <w:vAlign w:val="top"/>
                </w:tcPr>
                <w:p>
                  <w:pPr>
                    <w:pStyle w:val="TableText"/>
                    <w:ind w:left="441"/>
                    <w:spacing w:before="41" w:line="210" w:lineRule="auto"/>
                    <w:rPr>
                      <w:sz w:val="20"/>
                      <w:szCs w:val="20"/>
                    </w:rPr>
                  </w:pPr>
                  <w:r>
                    <w:rPr>
                      <w:sz w:val="20"/>
                      <w:szCs w:val="20"/>
                      <w:spacing w:val="-2"/>
                    </w:rPr>
                    <w:t>颗粒物</w:t>
                  </w:r>
                </w:p>
              </w:tc>
              <w:tc>
                <w:tcPr>
                  <w:tcW w:w="1348" w:type="dxa"/>
                  <w:vAlign w:val="top"/>
                </w:tcPr>
                <w:p>
                  <w:pPr>
                    <w:pStyle w:val="TableText"/>
                    <w:ind w:left="463"/>
                    <w:spacing w:before="92" w:line="163" w:lineRule="auto"/>
                    <w:rPr>
                      <w:sz w:val="20"/>
                      <w:szCs w:val="20"/>
                    </w:rPr>
                  </w:pPr>
                  <w:r>
                    <w:rPr>
                      <w:sz w:val="20"/>
                      <w:szCs w:val="20"/>
                      <w:spacing w:val="-2"/>
                    </w:rPr>
                    <w:t>0.45</w:t>
                  </w:r>
                </w:p>
              </w:tc>
              <w:tc>
                <w:tcPr>
                  <w:tcW w:w="1398" w:type="dxa"/>
                  <w:vAlign w:val="top"/>
                </w:tcPr>
                <w:p>
                  <w:pPr>
                    <w:pStyle w:val="TableText"/>
                    <w:ind w:left="145"/>
                    <w:spacing w:before="80" w:line="174" w:lineRule="auto"/>
                    <w:rPr>
                      <w:sz w:val="20"/>
                      <w:szCs w:val="20"/>
                    </w:rPr>
                  </w:pPr>
                  <w:r>
                    <w:rPr>
                      <w:sz w:val="20"/>
                      <w:szCs w:val="20"/>
                      <w:spacing w:val="-3"/>
                    </w:rPr>
                    <w:t>1.30×10-³</w:t>
                  </w:r>
                </w:p>
              </w:tc>
              <w:tc>
                <w:tcPr>
                  <w:tcW w:w="1119" w:type="dxa"/>
                  <w:vAlign w:val="top"/>
                </w:tcPr>
                <w:p>
                  <w:pPr>
                    <w:pStyle w:val="TableText"/>
                    <w:ind w:left="357"/>
                    <w:spacing w:before="92" w:line="163" w:lineRule="auto"/>
                    <w:rPr>
                      <w:sz w:val="20"/>
                      <w:szCs w:val="20"/>
                    </w:rPr>
                  </w:pPr>
                  <w:r>
                    <w:rPr>
                      <w:sz w:val="20"/>
                      <w:szCs w:val="20"/>
                      <w:spacing w:val="-2"/>
                    </w:rPr>
                    <w:t>0.29</w:t>
                  </w:r>
                </w:p>
              </w:tc>
              <w:tc>
                <w:tcPr>
                  <w:tcW w:w="799" w:type="dxa"/>
                  <w:vAlign w:val="top"/>
                </w:tcPr>
                <w:p>
                  <w:pPr>
                    <w:pStyle w:val="TableText"/>
                    <w:ind w:left="349"/>
                    <w:spacing w:before="92" w:line="163" w:lineRule="auto"/>
                    <w:rPr>
                      <w:sz w:val="20"/>
                      <w:szCs w:val="20"/>
                    </w:rPr>
                  </w:pPr>
                  <w:r>
                    <w:rPr>
                      <w:sz w:val="20"/>
                      <w:szCs w:val="20"/>
                    </w:rPr>
                    <w:t>0</w:t>
                  </w:r>
                </w:p>
              </w:tc>
              <w:tc>
                <w:tcPr>
                  <w:tcW w:w="1104" w:type="dxa"/>
                  <w:vAlign w:val="top"/>
                  <w:vMerge w:val="continue"/>
                  <w:tcBorders>
                    <w:top w:val="nil"/>
                    <w:bottom w:val="nil"/>
                  </w:tcBorders>
                </w:tcPr>
                <w:p>
                  <w:pPr>
                    <w:rPr>
                      <w:rFonts w:ascii="Arial"/>
                      <w:sz w:val="21"/>
                    </w:rPr>
                  </w:pPr>
                  <w:r/>
                </w:p>
              </w:tc>
            </w:tr>
            <w:tr>
              <w:trPr>
                <w:trHeight w:val="279" w:hRule="atLeast"/>
              </w:trPr>
              <w:tc>
                <w:tcPr>
                  <w:tcW w:w="564" w:type="dxa"/>
                  <w:vAlign w:val="top"/>
                  <w:vMerge w:val="continue"/>
                  <w:textDirection w:val="tbRlV"/>
                  <w:tcBorders>
                    <w:top w:val="nil"/>
                    <w:bottom w:val="nil"/>
                  </w:tcBorders>
                </w:tcPr>
                <w:p>
                  <w:pPr>
                    <w:rPr>
                      <w:rFonts w:ascii="Arial"/>
                      <w:sz w:val="21"/>
                    </w:rPr>
                  </w:pPr>
                  <w:r/>
                </w:p>
              </w:tc>
              <w:tc>
                <w:tcPr>
                  <w:tcW w:w="839" w:type="dxa"/>
                  <w:vAlign w:val="top"/>
                  <w:vMerge w:val="continue"/>
                  <w:tcBorders>
                    <w:top w:val="nil"/>
                  </w:tcBorders>
                </w:tcPr>
                <w:p>
                  <w:pPr>
                    <w:rPr>
                      <w:rFonts w:ascii="Arial"/>
                      <w:sz w:val="21"/>
                    </w:rPr>
                  </w:pPr>
                  <w:r/>
                </w:p>
              </w:tc>
              <w:tc>
                <w:tcPr>
                  <w:tcW w:w="1498" w:type="dxa"/>
                  <w:vAlign w:val="top"/>
                </w:tcPr>
                <w:p>
                  <w:pPr>
                    <w:pStyle w:val="TableText"/>
                    <w:ind w:left="591"/>
                    <w:spacing w:before="93" w:line="162" w:lineRule="auto"/>
                    <w:rPr>
                      <w:sz w:val="20"/>
                      <w:szCs w:val="20"/>
                    </w:rPr>
                  </w:pPr>
                  <w:r>
                    <w:rPr>
                      <w:sz w:val="20"/>
                      <w:szCs w:val="20"/>
                      <w:spacing w:val="-1"/>
                    </w:rPr>
                    <w:t>NOx</w:t>
                  </w:r>
                </w:p>
              </w:tc>
              <w:tc>
                <w:tcPr>
                  <w:tcW w:w="1348" w:type="dxa"/>
                  <w:vAlign w:val="top"/>
                </w:tcPr>
                <w:p>
                  <w:pPr>
                    <w:pStyle w:val="TableText"/>
                    <w:ind w:left="463"/>
                    <w:spacing w:before="93" w:line="162" w:lineRule="auto"/>
                    <w:rPr>
                      <w:sz w:val="20"/>
                      <w:szCs w:val="20"/>
                    </w:rPr>
                  </w:pPr>
                  <w:r>
                    <w:rPr>
                      <w:sz w:val="20"/>
                      <w:szCs w:val="20"/>
                      <w:spacing w:val="-2"/>
                    </w:rPr>
                    <w:t>0.25</w:t>
                  </w:r>
                </w:p>
              </w:tc>
              <w:tc>
                <w:tcPr>
                  <w:tcW w:w="1398" w:type="dxa"/>
                  <w:vAlign w:val="top"/>
                </w:tcPr>
                <w:p>
                  <w:pPr>
                    <w:pStyle w:val="TableText"/>
                    <w:ind w:left="196"/>
                    <w:spacing w:before="92" w:line="163" w:lineRule="auto"/>
                    <w:rPr>
                      <w:sz w:val="20"/>
                      <w:szCs w:val="20"/>
                    </w:rPr>
                  </w:pPr>
                  <w:r>
                    <w:rPr>
                      <w:sz w:val="20"/>
                      <w:szCs w:val="20"/>
                      <w:spacing w:val="-1"/>
                    </w:rPr>
                    <w:t>4.00×10-3</w:t>
                  </w:r>
                </w:p>
              </w:tc>
              <w:tc>
                <w:tcPr>
                  <w:tcW w:w="1119" w:type="dxa"/>
                  <w:vAlign w:val="top"/>
                </w:tcPr>
                <w:p>
                  <w:pPr>
                    <w:pStyle w:val="TableText"/>
                    <w:ind w:left="357"/>
                    <w:spacing w:before="92" w:line="163" w:lineRule="auto"/>
                    <w:rPr>
                      <w:sz w:val="20"/>
                      <w:szCs w:val="20"/>
                    </w:rPr>
                  </w:pPr>
                  <w:r>
                    <w:rPr>
                      <w:sz w:val="20"/>
                      <w:szCs w:val="20"/>
                      <w:spacing w:val="-5"/>
                    </w:rPr>
                    <w:t>1.60</w:t>
                  </w:r>
                </w:p>
              </w:tc>
              <w:tc>
                <w:tcPr>
                  <w:tcW w:w="799" w:type="dxa"/>
                  <w:vAlign w:val="top"/>
                </w:tcPr>
                <w:p>
                  <w:pPr>
                    <w:pStyle w:val="TableText"/>
                    <w:ind w:left="349"/>
                    <w:spacing w:before="93" w:line="162" w:lineRule="auto"/>
                    <w:rPr>
                      <w:sz w:val="20"/>
                      <w:szCs w:val="20"/>
                    </w:rPr>
                  </w:pPr>
                  <w:r>
                    <w:rPr>
                      <w:sz w:val="20"/>
                      <w:szCs w:val="20"/>
                    </w:rPr>
                    <w:t>0</w:t>
                  </w:r>
                </w:p>
              </w:tc>
              <w:tc>
                <w:tcPr>
                  <w:tcW w:w="1104" w:type="dxa"/>
                  <w:vAlign w:val="top"/>
                  <w:vMerge w:val="continue"/>
                  <w:tcBorders>
                    <w:top w:val="nil"/>
                  </w:tcBorders>
                </w:tcPr>
                <w:p>
                  <w:pPr>
                    <w:rPr>
                      <w:rFonts w:ascii="Arial"/>
                      <w:sz w:val="21"/>
                    </w:rPr>
                  </w:pPr>
                  <w:r/>
                </w:p>
              </w:tc>
            </w:tr>
            <w:tr>
              <w:trPr>
                <w:trHeight w:val="279" w:hRule="atLeast"/>
              </w:trPr>
              <w:tc>
                <w:tcPr>
                  <w:tcW w:w="564" w:type="dxa"/>
                  <w:vAlign w:val="top"/>
                  <w:vMerge w:val="continue"/>
                  <w:textDirection w:val="tbRlV"/>
                  <w:tcBorders>
                    <w:top w:val="nil"/>
                    <w:bottom w:val="nil"/>
                  </w:tcBorders>
                </w:tcPr>
                <w:p>
                  <w:pPr>
                    <w:rPr>
                      <w:rFonts w:ascii="Arial"/>
                      <w:sz w:val="21"/>
                    </w:rPr>
                  </w:pPr>
                  <w:r/>
                </w:p>
              </w:tc>
              <w:tc>
                <w:tcPr>
                  <w:tcW w:w="839" w:type="dxa"/>
                  <w:vAlign w:val="top"/>
                  <w:vMerge w:val="restart"/>
                  <w:tcBorders>
                    <w:bottom w:val="nil"/>
                  </w:tcBorders>
                </w:tcPr>
                <w:p>
                  <w:pPr>
                    <w:spacing w:line="325" w:lineRule="auto"/>
                    <w:rPr>
                      <w:rFonts w:ascii="Arial"/>
                      <w:sz w:val="21"/>
                    </w:rPr>
                  </w:pPr>
                  <w:r/>
                </w:p>
                <w:p>
                  <w:pPr>
                    <w:pStyle w:val="TableText"/>
                    <w:ind w:left="160"/>
                    <w:spacing w:before="65" w:line="185" w:lineRule="auto"/>
                    <w:rPr>
                      <w:sz w:val="20"/>
                      <w:szCs w:val="20"/>
                    </w:rPr>
                  </w:pPr>
                  <w:r>
                    <w:rPr>
                      <w:sz w:val="20"/>
                      <w:szCs w:val="20"/>
                      <w:spacing w:val="-1"/>
                    </w:rPr>
                    <w:t>DA028</w:t>
                  </w:r>
                </w:p>
              </w:tc>
              <w:tc>
                <w:tcPr>
                  <w:tcW w:w="1498" w:type="dxa"/>
                  <w:vAlign w:val="top"/>
                </w:tcPr>
                <w:p>
                  <w:pPr>
                    <w:pStyle w:val="TableText"/>
                    <w:ind w:left="541"/>
                    <w:spacing w:before="75" w:line="179" w:lineRule="auto"/>
                    <w:rPr>
                      <w:rFonts w:ascii="Calibri" w:hAnsi="Calibri" w:eastAsia="Calibri" w:cs="Calibri"/>
                      <w:sz w:val="20"/>
                      <w:szCs w:val="20"/>
                    </w:rPr>
                  </w:pPr>
                  <w:r>
                    <w:rPr>
                      <w:sz w:val="20"/>
                      <w:szCs w:val="20"/>
                      <w:spacing w:val="-3"/>
                    </w:rPr>
                    <w:t>SO</w:t>
                  </w:r>
                  <w:r>
                    <w:rPr>
                      <w:rFonts w:ascii="Calibri" w:hAnsi="Calibri" w:eastAsia="Calibri" w:cs="Calibri"/>
                      <w:sz w:val="20"/>
                      <w:szCs w:val="20"/>
                      <w:spacing w:val="-3"/>
                    </w:rPr>
                    <w:t>₂</w:t>
                  </w:r>
                </w:p>
              </w:tc>
              <w:tc>
                <w:tcPr>
                  <w:tcW w:w="1348" w:type="dxa"/>
                  <w:vAlign w:val="top"/>
                </w:tcPr>
                <w:p>
                  <w:pPr>
                    <w:pStyle w:val="TableText"/>
                    <w:ind w:left="513"/>
                    <w:spacing w:before="94" w:line="161" w:lineRule="auto"/>
                    <w:rPr>
                      <w:sz w:val="20"/>
                      <w:szCs w:val="20"/>
                    </w:rPr>
                  </w:pPr>
                  <w:r>
                    <w:rPr>
                      <w:sz w:val="20"/>
                      <w:szCs w:val="20"/>
                      <w:spacing w:val="-3"/>
                    </w:rPr>
                    <w:t>0.5</w:t>
                  </w:r>
                </w:p>
              </w:tc>
              <w:tc>
                <w:tcPr>
                  <w:tcW w:w="1398" w:type="dxa"/>
                  <w:vAlign w:val="top"/>
                </w:tcPr>
                <w:p>
                  <w:pPr>
                    <w:pStyle w:val="TableText"/>
                    <w:ind w:left="145"/>
                    <w:spacing w:before="82" w:line="172" w:lineRule="auto"/>
                    <w:rPr>
                      <w:sz w:val="20"/>
                      <w:szCs w:val="20"/>
                    </w:rPr>
                  </w:pPr>
                  <w:r>
                    <w:rPr>
                      <w:sz w:val="20"/>
                      <w:szCs w:val="20"/>
                      <w:spacing w:val="-3"/>
                    </w:rPr>
                    <w:t>1.53×10-³</w:t>
                  </w:r>
                </w:p>
              </w:tc>
              <w:tc>
                <w:tcPr>
                  <w:tcW w:w="1119" w:type="dxa"/>
                  <w:vAlign w:val="top"/>
                </w:tcPr>
                <w:p>
                  <w:pPr>
                    <w:pStyle w:val="TableText"/>
                    <w:ind w:left="357"/>
                    <w:spacing w:before="93" w:line="162" w:lineRule="auto"/>
                    <w:rPr>
                      <w:sz w:val="20"/>
                      <w:szCs w:val="20"/>
                    </w:rPr>
                  </w:pPr>
                  <w:r>
                    <w:rPr>
                      <w:sz w:val="20"/>
                      <w:szCs w:val="20"/>
                      <w:spacing w:val="-2"/>
                    </w:rPr>
                    <w:t>0.31</w:t>
                  </w:r>
                </w:p>
              </w:tc>
              <w:tc>
                <w:tcPr>
                  <w:tcW w:w="799" w:type="dxa"/>
                  <w:vAlign w:val="top"/>
                </w:tcPr>
                <w:p>
                  <w:pPr>
                    <w:pStyle w:val="TableText"/>
                    <w:ind w:left="349"/>
                    <w:spacing w:before="94" w:line="161" w:lineRule="auto"/>
                    <w:rPr>
                      <w:sz w:val="20"/>
                      <w:szCs w:val="20"/>
                    </w:rPr>
                  </w:pPr>
                  <w:r>
                    <w:rPr>
                      <w:sz w:val="20"/>
                      <w:szCs w:val="20"/>
                    </w:rPr>
                    <w:t>0</w:t>
                  </w:r>
                </w:p>
              </w:tc>
              <w:tc>
                <w:tcPr>
                  <w:tcW w:w="1104" w:type="dxa"/>
                  <w:vAlign w:val="top"/>
                  <w:vMerge w:val="restart"/>
                  <w:tcBorders>
                    <w:bottom w:val="nil"/>
                  </w:tcBorders>
                </w:tcPr>
                <w:p>
                  <w:pPr>
                    <w:spacing w:line="327" w:lineRule="auto"/>
                    <w:rPr>
                      <w:rFonts w:ascii="Arial"/>
                      <w:sz w:val="21"/>
                    </w:rPr>
                  </w:pPr>
                  <w:r/>
                </w:p>
                <w:p>
                  <w:pPr>
                    <w:pStyle w:val="TableText"/>
                    <w:ind w:left="450"/>
                    <w:spacing w:before="65" w:line="183" w:lineRule="auto"/>
                    <w:rPr>
                      <w:sz w:val="20"/>
                      <w:szCs w:val="20"/>
                    </w:rPr>
                  </w:pPr>
                  <w:r>
                    <w:rPr>
                      <w:sz w:val="20"/>
                      <w:szCs w:val="20"/>
                      <w:spacing w:val="-2"/>
                    </w:rPr>
                    <w:t>40</w:t>
                  </w:r>
                </w:p>
              </w:tc>
            </w:tr>
            <w:tr>
              <w:trPr>
                <w:trHeight w:val="290" w:hRule="atLeast"/>
              </w:trPr>
              <w:tc>
                <w:tcPr>
                  <w:tcW w:w="564" w:type="dxa"/>
                  <w:vAlign w:val="top"/>
                  <w:vMerge w:val="continue"/>
                  <w:textDirection w:val="tbRlV"/>
                  <w:tcBorders>
                    <w:top w:val="nil"/>
                    <w:bottom w:val="nil"/>
                  </w:tcBorders>
                </w:tcPr>
                <w:p>
                  <w:pPr>
                    <w:rPr>
                      <w:rFonts w:ascii="Arial"/>
                      <w:sz w:val="21"/>
                    </w:rPr>
                  </w:pPr>
                  <w:r/>
                </w:p>
              </w:tc>
              <w:tc>
                <w:tcPr>
                  <w:tcW w:w="839" w:type="dxa"/>
                  <w:vAlign w:val="top"/>
                  <w:vMerge w:val="continue"/>
                  <w:tcBorders>
                    <w:top w:val="nil"/>
                    <w:bottom w:val="nil"/>
                  </w:tcBorders>
                </w:tcPr>
                <w:p>
                  <w:pPr>
                    <w:rPr>
                      <w:rFonts w:ascii="Arial"/>
                      <w:sz w:val="21"/>
                    </w:rPr>
                  </w:pPr>
                  <w:r/>
                </w:p>
              </w:tc>
              <w:tc>
                <w:tcPr>
                  <w:tcW w:w="1498" w:type="dxa"/>
                  <w:vAlign w:val="top"/>
                </w:tcPr>
                <w:p>
                  <w:pPr>
                    <w:pStyle w:val="TableText"/>
                    <w:ind w:left="441"/>
                    <w:spacing w:before="54" w:line="208" w:lineRule="auto"/>
                    <w:rPr>
                      <w:sz w:val="20"/>
                      <w:szCs w:val="20"/>
                    </w:rPr>
                  </w:pPr>
                  <w:r>
                    <w:rPr>
                      <w:sz w:val="20"/>
                      <w:szCs w:val="20"/>
                      <w:spacing w:val="-2"/>
                    </w:rPr>
                    <w:t>颗粒物</w:t>
                  </w:r>
                </w:p>
              </w:tc>
              <w:tc>
                <w:tcPr>
                  <w:tcW w:w="1348" w:type="dxa"/>
                  <w:vAlign w:val="top"/>
                </w:tcPr>
                <w:p>
                  <w:pPr>
                    <w:pStyle w:val="TableText"/>
                    <w:ind w:left="463"/>
                    <w:spacing w:before="105" w:line="161" w:lineRule="auto"/>
                    <w:rPr>
                      <w:sz w:val="20"/>
                      <w:szCs w:val="20"/>
                    </w:rPr>
                  </w:pPr>
                  <w:r>
                    <w:rPr>
                      <w:sz w:val="20"/>
                      <w:szCs w:val="20"/>
                      <w:spacing w:val="-2"/>
                    </w:rPr>
                    <w:t>0.45</w:t>
                  </w:r>
                </w:p>
              </w:tc>
              <w:tc>
                <w:tcPr>
                  <w:tcW w:w="1398" w:type="dxa"/>
                  <w:vAlign w:val="top"/>
                </w:tcPr>
                <w:p>
                  <w:pPr>
                    <w:pStyle w:val="TableText"/>
                    <w:ind w:left="196"/>
                    <w:spacing w:before="104" w:line="162" w:lineRule="auto"/>
                    <w:rPr>
                      <w:sz w:val="20"/>
                      <w:szCs w:val="20"/>
                    </w:rPr>
                  </w:pPr>
                  <w:r>
                    <w:rPr>
                      <w:sz w:val="20"/>
                      <w:szCs w:val="20"/>
                      <w:spacing w:val="-3"/>
                    </w:rPr>
                    <w:t>1.64×10-3</w:t>
                  </w:r>
                </w:p>
              </w:tc>
              <w:tc>
                <w:tcPr>
                  <w:tcW w:w="1119" w:type="dxa"/>
                  <w:vAlign w:val="top"/>
                </w:tcPr>
                <w:p>
                  <w:pPr>
                    <w:pStyle w:val="TableText"/>
                    <w:ind w:left="357"/>
                    <w:spacing w:before="105" w:line="161" w:lineRule="auto"/>
                    <w:rPr>
                      <w:sz w:val="20"/>
                      <w:szCs w:val="20"/>
                    </w:rPr>
                  </w:pPr>
                  <w:r>
                    <w:rPr>
                      <w:sz w:val="20"/>
                      <w:szCs w:val="20"/>
                      <w:spacing w:val="-2"/>
                    </w:rPr>
                    <w:t>0.37</w:t>
                  </w:r>
                </w:p>
              </w:tc>
              <w:tc>
                <w:tcPr>
                  <w:tcW w:w="799" w:type="dxa"/>
                  <w:vAlign w:val="top"/>
                </w:tcPr>
                <w:p>
                  <w:pPr>
                    <w:pStyle w:val="TableText"/>
                    <w:ind w:left="349"/>
                    <w:spacing w:before="105" w:line="161" w:lineRule="auto"/>
                    <w:rPr>
                      <w:sz w:val="20"/>
                      <w:szCs w:val="20"/>
                    </w:rPr>
                  </w:pPr>
                  <w:r>
                    <w:rPr>
                      <w:sz w:val="20"/>
                      <w:szCs w:val="20"/>
                    </w:rPr>
                    <w:t>0</w:t>
                  </w:r>
                </w:p>
              </w:tc>
              <w:tc>
                <w:tcPr>
                  <w:tcW w:w="1104" w:type="dxa"/>
                  <w:vAlign w:val="top"/>
                  <w:vMerge w:val="continue"/>
                  <w:tcBorders>
                    <w:top w:val="nil"/>
                    <w:bottom w:val="nil"/>
                  </w:tcBorders>
                </w:tcPr>
                <w:p>
                  <w:pPr>
                    <w:rPr>
                      <w:rFonts w:ascii="Arial"/>
                      <w:sz w:val="21"/>
                    </w:rPr>
                  </w:pPr>
                  <w:r/>
                </w:p>
              </w:tc>
            </w:tr>
            <w:tr>
              <w:trPr>
                <w:trHeight w:val="289" w:hRule="atLeast"/>
              </w:trPr>
              <w:tc>
                <w:tcPr>
                  <w:tcW w:w="564" w:type="dxa"/>
                  <w:vAlign w:val="top"/>
                  <w:vMerge w:val="continue"/>
                  <w:textDirection w:val="tbRlV"/>
                  <w:tcBorders>
                    <w:top w:val="nil"/>
                    <w:bottom w:val="nil"/>
                  </w:tcBorders>
                </w:tcPr>
                <w:p>
                  <w:pPr>
                    <w:rPr>
                      <w:rFonts w:ascii="Arial"/>
                      <w:sz w:val="21"/>
                    </w:rPr>
                  </w:pPr>
                  <w:r/>
                </w:p>
              </w:tc>
              <w:tc>
                <w:tcPr>
                  <w:tcW w:w="839" w:type="dxa"/>
                  <w:vAlign w:val="top"/>
                  <w:vMerge w:val="continue"/>
                  <w:tcBorders>
                    <w:top w:val="nil"/>
                  </w:tcBorders>
                </w:tcPr>
                <w:p>
                  <w:pPr>
                    <w:rPr>
                      <w:rFonts w:ascii="Arial"/>
                      <w:sz w:val="21"/>
                    </w:rPr>
                  </w:pPr>
                  <w:r/>
                </w:p>
              </w:tc>
              <w:tc>
                <w:tcPr>
                  <w:tcW w:w="1498" w:type="dxa"/>
                  <w:vAlign w:val="top"/>
                </w:tcPr>
                <w:p>
                  <w:pPr>
                    <w:pStyle w:val="TableText"/>
                    <w:ind w:left="591"/>
                    <w:spacing w:before="105" w:line="160" w:lineRule="auto"/>
                    <w:rPr>
                      <w:sz w:val="20"/>
                      <w:szCs w:val="20"/>
                    </w:rPr>
                  </w:pPr>
                  <w:r>
                    <w:rPr>
                      <w:sz w:val="20"/>
                      <w:szCs w:val="20"/>
                      <w:spacing w:val="-1"/>
                    </w:rPr>
                    <w:t>NOx</w:t>
                  </w:r>
                </w:p>
              </w:tc>
              <w:tc>
                <w:tcPr>
                  <w:tcW w:w="1348" w:type="dxa"/>
                  <w:vAlign w:val="top"/>
                </w:tcPr>
                <w:p>
                  <w:pPr>
                    <w:pStyle w:val="TableText"/>
                    <w:ind w:left="463"/>
                    <w:spacing w:before="105" w:line="160" w:lineRule="auto"/>
                    <w:rPr>
                      <w:sz w:val="20"/>
                      <w:szCs w:val="20"/>
                    </w:rPr>
                  </w:pPr>
                  <w:r>
                    <w:rPr>
                      <w:sz w:val="20"/>
                      <w:szCs w:val="20"/>
                      <w:spacing w:val="-2"/>
                    </w:rPr>
                    <w:t>0.25</w:t>
                  </w:r>
                </w:p>
              </w:tc>
              <w:tc>
                <w:tcPr>
                  <w:tcW w:w="1398" w:type="dxa"/>
                  <w:vAlign w:val="top"/>
                </w:tcPr>
                <w:p>
                  <w:pPr>
                    <w:pStyle w:val="TableText"/>
                    <w:ind w:left="196"/>
                    <w:spacing w:before="104" w:line="161" w:lineRule="auto"/>
                    <w:rPr>
                      <w:sz w:val="20"/>
                      <w:szCs w:val="20"/>
                    </w:rPr>
                  </w:pPr>
                  <w:r>
                    <w:rPr>
                      <w:sz w:val="20"/>
                      <w:szCs w:val="20"/>
                      <w:spacing w:val="-2"/>
                    </w:rPr>
                    <w:t>5.02×10-2</w:t>
                  </w:r>
                </w:p>
              </w:tc>
              <w:tc>
                <w:tcPr>
                  <w:tcW w:w="1119" w:type="dxa"/>
                  <w:vAlign w:val="top"/>
                </w:tcPr>
                <w:p>
                  <w:pPr>
                    <w:pStyle w:val="TableText"/>
                    <w:ind w:left="357"/>
                    <w:spacing w:before="104" w:line="161" w:lineRule="auto"/>
                    <w:rPr>
                      <w:sz w:val="20"/>
                      <w:szCs w:val="20"/>
                    </w:rPr>
                  </w:pPr>
                  <w:r>
                    <w:rPr>
                      <w:sz w:val="20"/>
                      <w:szCs w:val="20"/>
                      <w:spacing w:val="-2"/>
                    </w:rPr>
                    <w:t>2.01</w:t>
                  </w:r>
                </w:p>
              </w:tc>
              <w:tc>
                <w:tcPr>
                  <w:tcW w:w="799" w:type="dxa"/>
                  <w:vAlign w:val="top"/>
                </w:tcPr>
                <w:p>
                  <w:pPr>
                    <w:pStyle w:val="TableText"/>
                    <w:ind w:left="349"/>
                    <w:spacing w:before="105" w:line="160" w:lineRule="auto"/>
                    <w:rPr>
                      <w:sz w:val="20"/>
                      <w:szCs w:val="20"/>
                    </w:rPr>
                  </w:pPr>
                  <w:r>
                    <w:rPr>
                      <w:sz w:val="20"/>
                      <w:szCs w:val="20"/>
                    </w:rPr>
                    <w:t>0</w:t>
                  </w:r>
                </w:p>
              </w:tc>
              <w:tc>
                <w:tcPr>
                  <w:tcW w:w="1104" w:type="dxa"/>
                  <w:vAlign w:val="top"/>
                  <w:vMerge w:val="continue"/>
                  <w:tcBorders>
                    <w:top w:val="nil"/>
                  </w:tcBorders>
                </w:tcPr>
                <w:p>
                  <w:pPr>
                    <w:rPr>
                      <w:rFonts w:ascii="Arial"/>
                      <w:sz w:val="21"/>
                    </w:rPr>
                  </w:pPr>
                  <w:r/>
                </w:p>
              </w:tc>
            </w:tr>
            <w:tr>
              <w:trPr>
                <w:trHeight w:val="270" w:hRule="atLeast"/>
              </w:trPr>
              <w:tc>
                <w:tcPr>
                  <w:tcW w:w="564" w:type="dxa"/>
                  <w:vAlign w:val="top"/>
                  <w:vMerge w:val="continue"/>
                  <w:textDirection w:val="tbRlV"/>
                  <w:tcBorders>
                    <w:top w:val="nil"/>
                    <w:bottom w:val="nil"/>
                  </w:tcBorders>
                </w:tcPr>
                <w:p>
                  <w:pPr>
                    <w:rPr>
                      <w:rFonts w:ascii="Arial"/>
                      <w:sz w:val="21"/>
                    </w:rPr>
                  </w:pPr>
                  <w:r/>
                </w:p>
              </w:tc>
              <w:tc>
                <w:tcPr>
                  <w:tcW w:w="839" w:type="dxa"/>
                  <w:vAlign w:val="top"/>
                  <w:vMerge w:val="restart"/>
                  <w:tcBorders>
                    <w:bottom w:val="nil"/>
                  </w:tcBorders>
                </w:tcPr>
                <w:p>
                  <w:pPr>
                    <w:pStyle w:val="TableText"/>
                    <w:ind w:left="160"/>
                    <w:spacing w:before="244" w:line="185" w:lineRule="auto"/>
                    <w:rPr>
                      <w:sz w:val="20"/>
                      <w:szCs w:val="20"/>
                    </w:rPr>
                  </w:pPr>
                  <w:r>
                    <w:rPr>
                      <w:sz w:val="20"/>
                      <w:szCs w:val="20"/>
                      <w:spacing w:val="-1"/>
                    </w:rPr>
                    <w:t>DA006</w:t>
                  </w:r>
                </w:p>
              </w:tc>
              <w:tc>
                <w:tcPr>
                  <w:tcW w:w="1498" w:type="dxa"/>
                  <w:vAlign w:val="top"/>
                </w:tcPr>
                <w:p>
                  <w:pPr>
                    <w:pStyle w:val="TableText"/>
                    <w:ind w:left="541"/>
                    <w:spacing w:before="76" w:line="169" w:lineRule="auto"/>
                    <w:rPr>
                      <w:sz w:val="20"/>
                      <w:szCs w:val="20"/>
                    </w:rPr>
                  </w:pPr>
                  <w:r>
                    <w:rPr>
                      <w:sz w:val="20"/>
                      <w:szCs w:val="20"/>
                      <w:spacing w:val="-2"/>
                    </w:rPr>
                    <w:t>H</w:t>
                  </w:r>
                  <w:r>
                    <w:rPr>
                      <w:rFonts w:ascii="Calibri" w:hAnsi="Calibri" w:eastAsia="Calibri" w:cs="Calibri"/>
                      <w:sz w:val="20"/>
                      <w:szCs w:val="20"/>
                      <w:spacing w:val="-2"/>
                    </w:rPr>
                    <w:t>₂</w:t>
                  </w:r>
                  <w:r>
                    <w:rPr>
                      <w:sz w:val="20"/>
                      <w:szCs w:val="20"/>
                      <w:spacing w:val="-2"/>
                    </w:rPr>
                    <w:t>S</w:t>
                  </w:r>
                </w:p>
              </w:tc>
              <w:tc>
                <w:tcPr>
                  <w:tcW w:w="1348" w:type="dxa"/>
                  <w:vAlign w:val="top"/>
                </w:tcPr>
                <w:p>
                  <w:pPr>
                    <w:pStyle w:val="TableText"/>
                    <w:ind w:left="463"/>
                    <w:spacing w:before="96" w:line="163" w:lineRule="exact"/>
                    <w:rPr>
                      <w:sz w:val="20"/>
                      <w:szCs w:val="20"/>
                    </w:rPr>
                  </w:pPr>
                  <w:r>
                    <w:rPr>
                      <w:sz w:val="20"/>
                      <w:szCs w:val="20"/>
                      <w:spacing w:val="-2"/>
                      <w:position w:val="-2"/>
                    </w:rPr>
                    <w:t>0.01</w:t>
                  </w:r>
                </w:p>
              </w:tc>
              <w:tc>
                <w:tcPr>
                  <w:tcW w:w="1398" w:type="dxa"/>
                  <w:vAlign w:val="top"/>
                </w:tcPr>
                <w:p>
                  <w:pPr>
                    <w:pStyle w:val="TableText"/>
                    <w:ind w:left="196"/>
                    <w:spacing w:before="65" w:line="180" w:lineRule="auto"/>
                    <w:rPr>
                      <w:sz w:val="20"/>
                      <w:szCs w:val="20"/>
                    </w:rPr>
                  </w:pPr>
                  <w:r>
                    <w:rPr>
                      <w:sz w:val="20"/>
                      <w:szCs w:val="20"/>
                      <w:spacing w:val="-3"/>
                    </w:rPr>
                    <w:t>1.82×10~5</w:t>
                  </w:r>
                </w:p>
              </w:tc>
              <w:tc>
                <w:tcPr>
                  <w:tcW w:w="1119" w:type="dxa"/>
                  <w:vAlign w:val="top"/>
                </w:tcPr>
                <w:p>
                  <w:pPr>
                    <w:pStyle w:val="TableText"/>
                    <w:ind w:left="357"/>
                    <w:spacing w:before="96" w:line="163" w:lineRule="exact"/>
                    <w:rPr>
                      <w:sz w:val="20"/>
                      <w:szCs w:val="20"/>
                    </w:rPr>
                  </w:pPr>
                  <w:r>
                    <w:rPr>
                      <w:sz w:val="20"/>
                      <w:szCs w:val="20"/>
                      <w:spacing w:val="-2"/>
                      <w:position w:val="-2"/>
                    </w:rPr>
                    <w:t>0.18</w:t>
                  </w:r>
                </w:p>
              </w:tc>
              <w:tc>
                <w:tcPr>
                  <w:tcW w:w="799" w:type="dxa"/>
                  <w:vAlign w:val="top"/>
                </w:tcPr>
                <w:p>
                  <w:pPr>
                    <w:pStyle w:val="TableText"/>
                    <w:ind w:left="349"/>
                    <w:spacing w:before="96" w:line="163" w:lineRule="exact"/>
                    <w:rPr>
                      <w:sz w:val="20"/>
                      <w:szCs w:val="20"/>
                    </w:rPr>
                  </w:pPr>
                  <w:r>
                    <w:rPr>
                      <w:sz w:val="20"/>
                      <w:szCs w:val="20"/>
                      <w:position w:val="-2"/>
                    </w:rPr>
                    <w:t>0</w:t>
                  </w:r>
                </w:p>
              </w:tc>
              <w:tc>
                <w:tcPr>
                  <w:tcW w:w="1104" w:type="dxa"/>
                  <w:vAlign w:val="top"/>
                  <w:vMerge w:val="restart"/>
                  <w:tcBorders>
                    <w:bottom w:val="nil"/>
                  </w:tcBorders>
                </w:tcPr>
                <w:p>
                  <w:pPr>
                    <w:pStyle w:val="TableText"/>
                    <w:ind w:left="450"/>
                    <w:spacing w:before="246" w:line="183" w:lineRule="auto"/>
                    <w:rPr>
                      <w:sz w:val="20"/>
                      <w:szCs w:val="20"/>
                    </w:rPr>
                  </w:pPr>
                  <w:r>
                    <w:rPr>
                      <w:sz w:val="20"/>
                      <w:szCs w:val="20"/>
                      <w:spacing w:val="-3"/>
                    </w:rPr>
                    <w:t>96</w:t>
                  </w:r>
                </w:p>
              </w:tc>
            </w:tr>
            <w:tr>
              <w:trPr>
                <w:trHeight w:val="290" w:hRule="atLeast"/>
              </w:trPr>
              <w:tc>
                <w:tcPr>
                  <w:tcW w:w="564" w:type="dxa"/>
                  <w:vAlign w:val="top"/>
                  <w:vMerge w:val="continue"/>
                  <w:textDirection w:val="tbRlV"/>
                  <w:tcBorders>
                    <w:top w:val="nil"/>
                  </w:tcBorders>
                </w:tcPr>
                <w:p>
                  <w:pPr>
                    <w:rPr>
                      <w:rFonts w:ascii="Arial"/>
                      <w:sz w:val="21"/>
                    </w:rPr>
                  </w:pPr>
                  <w:r/>
                </w:p>
              </w:tc>
              <w:tc>
                <w:tcPr>
                  <w:tcW w:w="839" w:type="dxa"/>
                  <w:vAlign w:val="top"/>
                  <w:vMerge w:val="continue"/>
                  <w:tcBorders>
                    <w:top w:val="nil"/>
                  </w:tcBorders>
                </w:tcPr>
                <w:p>
                  <w:pPr>
                    <w:rPr>
                      <w:rFonts w:ascii="Arial"/>
                      <w:sz w:val="21"/>
                    </w:rPr>
                  </w:pPr>
                  <w:r/>
                </w:p>
              </w:tc>
              <w:tc>
                <w:tcPr>
                  <w:tcW w:w="1498" w:type="dxa"/>
                  <w:vAlign w:val="top"/>
                </w:tcPr>
                <w:p>
                  <w:pPr>
                    <w:pStyle w:val="TableText"/>
                    <w:ind w:left="541"/>
                    <w:spacing w:before="87" w:line="178" w:lineRule="auto"/>
                    <w:rPr>
                      <w:rFonts w:ascii="Calibri" w:hAnsi="Calibri" w:eastAsia="Calibri" w:cs="Calibri"/>
                      <w:sz w:val="20"/>
                      <w:szCs w:val="20"/>
                    </w:rPr>
                  </w:pPr>
                  <w:r>
                    <w:rPr>
                      <w:sz w:val="20"/>
                      <w:szCs w:val="20"/>
                      <w:spacing w:val="-1"/>
                    </w:rPr>
                    <w:t>NH</w:t>
                  </w:r>
                  <w:r>
                    <w:rPr>
                      <w:rFonts w:ascii="Calibri" w:hAnsi="Calibri" w:eastAsia="Calibri" w:cs="Calibri"/>
                      <w:sz w:val="20"/>
                      <w:szCs w:val="20"/>
                      <w:spacing w:val="-1"/>
                    </w:rPr>
                    <w:t>₃</w:t>
                  </w:r>
                </w:p>
              </w:tc>
              <w:tc>
                <w:tcPr>
                  <w:tcW w:w="1348" w:type="dxa"/>
                  <w:vAlign w:val="top"/>
                </w:tcPr>
                <w:p>
                  <w:pPr>
                    <w:pStyle w:val="TableText"/>
                    <w:ind w:left="513"/>
                    <w:spacing w:before="106" w:line="160" w:lineRule="auto"/>
                    <w:rPr>
                      <w:sz w:val="20"/>
                      <w:szCs w:val="20"/>
                    </w:rPr>
                  </w:pPr>
                  <w:r>
                    <w:rPr>
                      <w:sz w:val="20"/>
                      <w:szCs w:val="20"/>
                      <w:spacing w:val="-3"/>
                    </w:rPr>
                    <w:t>0.2</w:t>
                  </w:r>
                </w:p>
              </w:tc>
              <w:tc>
                <w:tcPr>
                  <w:tcW w:w="1398" w:type="dxa"/>
                  <w:vAlign w:val="top"/>
                </w:tcPr>
                <w:p>
                  <w:pPr>
                    <w:pStyle w:val="TableText"/>
                    <w:ind w:left="196"/>
                    <w:spacing w:before="105" w:line="161" w:lineRule="auto"/>
                    <w:rPr>
                      <w:sz w:val="20"/>
                      <w:szCs w:val="20"/>
                    </w:rPr>
                  </w:pPr>
                  <w:r>
                    <w:rPr>
                      <w:sz w:val="20"/>
                      <w:szCs w:val="20"/>
                      <w:spacing w:val="-3"/>
                    </w:rPr>
                    <w:t>1.15×10-3</w:t>
                  </w:r>
                </w:p>
              </w:tc>
              <w:tc>
                <w:tcPr>
                  <w:tcW w:w="1119" w:type="dxa"/>
                  <w:vAlign w:val="top"/>
                </w:tcPr>
                <w:p>
                  <w:pPr>
                    <w:pStyle w:val="TableText"/>
                    <w:ind w:left="357"/>
                    <w:spacing w:before="106" w:line="160" w:lineRule="auto"/>
                    <w:rPr>
                      <w:sz w:val="20"/>
                      <w:szCs w:val="20"/>
                    </w:rPr>
                  </w:pPr>
                  <w:r>
                    <w:rPr>
                      <w:sz w:val="20"/>
                      <w:szCs w:val="20"/>
                      <w:spacing w:val="-2"/>
                    </w:rPr>
                    <w:t>0.58</w:t>
                  </w:r>
                </w:p>
              </w:tc>
              <w:tc>
                <w:tcPr>
                  <w:tcW w:w="799" w:type="dxa"/>
                  <w:vAlign w:val="top"/>
                </w:tcPr>
                <w:p>
                  <w:pPr>
                    <w:pStyle w:val="TableText"/>
                    <w:ind w:left="349"/>
                    <w:spacing w:before="106" w:line="160" w:lineRule="auto"/>
                    <w:rPr>
                      <w:sz w:val="20"/>
                      <w:szCs w:val="20"/>
                    </w:rPr>
                  </w:pPr>
                  <w:r>
                    <w:rPr>
                      <w:sz w:val="20"/>
                      <w:szCs w:val="20"/>
                    </w:rPr>
                    <w:t>0</w:t>
                  </w:r>
                </w:p>
              </w:tc>
              <w:tc>
                <w:tcPr>
                  <w:tcW w:w="1104" w:type="dxa"/>
                  <w:vAlign w:val="top"/>
                  <w:vMerge w:val="continue"/>
                  <w:tcBorders>
                    <w:top w:val="nil"/>
                  </w:tcBorders>
                </w:tcPr>
                <w:p>
                  <w:pPr>
                    <w:rPr>
                      <w:rFonts w:ascii="Arial"/>
                      <w:sz w:val="21"/>
                    </w:rPr>
                  </w:pPr>
                  <w:r/>
                </w:p>
              </w:tc>
            </w:tr>
            <w:tr>
              <w:trPr>
                <w:trHeight w:val="289" w:hRule="atLeast"/>
              </w:trPr>
              <w:tc>
                <w:tcPr>
                  <w:tcW w:w="564" w:type="dxa"/>
                  <w:vAlign w:val="top"/>
                  <w:vMerge w:val="restart"/>
                  <w:textDirection w:val="tbRlV"/>
                  <w:tcBorders>
                    <w:bottom w:val="nil"/>
                  </w:tcBorders>
                </w:tcPr>
                <w:p>
                  <w:pPr>
                    <w:pStyle w:val="TableText"/>
                    <w:ind w:left="232"/>
                    <w:spacing w:before="268" w:line="217" w:lineRule="auto"/>
                    <w:rPr>
                      <w:sz w:val="20"/>
                      <w:szCs w:val="20"/>
                    </w:rPr>
                  </w:pPr>
                  <w:r>
                    <w:rPr>
                      <w:sz w:val="20"/>
                      <w:szCs w:val="20"/>
                    </w:rPr>
                    <w:t>无</w:t>
                  </w:r>
                  <w:r>
                    <w:rPr>
                      <w:sz w:val="20"/>
                      <w:szCs w:val="20"/>
                      <w:spacing w:val="-9"/>
                    </w:rPr>
                    <w:t xml:space="preserve"> </w:t>
                  </w:r>
                  <w:r>
                    <w:rPr>
                      <w:sz w:val="20"/>
                      <w:szCs w:val="20"/>
                    </w:rPr>
                    <w:t>组</w:t>
                  </w:r>
                  <w:r>
                    <w:rPr>
                      <w:sz w:val="20"/>
                      <w:szCs w:val="20"/>
                      <w:spacing w:val="-9"/>
                    </w:rPr>
                    <w:t xml:space="preserve"> </w:t>
                  </w:r>
                  <w:r>
                    <w:rPr>
                      <w:sz w:val="20"/>
                      <w:szCs w:val="20"/>
                    </w:rPr>
                    <w:t>织</w:t>
                  </w:r>
                </w:p>
              </w:tc>
              <w:tc>
                <w:tcPr>
                  <w:tcW w:w="839" w:type="dxa"/>
                  <w:vAlign w:val="top"/>
                  <w:vMerge w:val="restart"/>
                  <w:tcBorders>
                    <w:bottom w:val="nil"/>
                  </w:tcBorders>
                </w:tcPr>
                <w:p>
                  <w:pPr>
                    <w:pStyle w:val="TableText"/>
                    <w:ind w:left="210"/>
                    <w:spacing w:before="75" w:line="290" w:lineRule="exact"/>
                    <w:rPr>
                      <w:sz w:val="20"/>
                      <w:szCs w:val="20"/>
                    </w:rPr>
                  </w:pPr>
                  <w:r>
                    <w:rPr>
                      <w:sz w:val="20"/>
                      <w:szCs w:val="20"/>
                      <w:spacing w:val="3"/>
                      <w:position w:val="6"/>
                    </w:rPr>
                    <w:t>凹版</w:t>
                  </w:r>
                </w:p>
                <w:p>
                  <w:pPr>
                    <w:pStyle w:val="TableText"/>
                    <w:ind w:left="210"/>
                    <w:spacing w:line="214" w:lineRule="auto"/>
                    <w:rPr>
                      <w:sz w:val="20"/>
                      <w:szCs w:val="20"/>
                    </w:rPr>
                  </w:pPr>
                  <w:r>
                    <w:rPr>
                      <w:sz w:val="20"/>
                      <w:szCs w:val="20"/>
                      <w:spacing w:val="7"/>
                    </w:rPr>
                    <w:t>厂房</w:t>
                  </w:r>
                </w:p>
              </w:tc>
              <w:tc>
                <w:tcPr>
                  <w:tcW w:w="1498" w:type="dxa"/>
                  <w:vAlign w:val="top"/>
                </w:tcPr>
                <w:p>
                  <w:pPr>
                    <w:pStyle w:val="TableText"/>
                    <w:ind w:left="241"/>
                    <w:spacing w:before="55" w:line="206" w:lineRule="auto"/>
                    <w:rPr>
                      <w:sz w:val="20"/>
                      <w:szCs w:val="20"/>
                    </w:rPr>
                  </w:pPr>
                  <w:r>
                    <w:rPr>
                      <w:sz w:val="20"/>
                      <w:szCs w:val="20"/>
                      <w:spacing w:val="-2"/>
                    </w:rPr>
                    <w:t>非甲烷总烃</w:t>
                  </w:r>
                </w:p>
              </w:tc>
              <w:tc>
                <w:tcPr>
                  <w:tcW w:w="1348" w:type="dxa"/>
                  <w:vAlign w:val="top"/>
                </w:tcPr>
                <w:p>
                  <w:pPr>
                    <w:pStyle w:val="TableText"/>
                    <w:ind w:left="513"/>
                    <w:spacing w:before="106" w:line="159" w:lineRule="auto"/>
                    <w:rPr>
                      <w:sz w:val="20"/>
                      <w:szCs w:val="20"/>
                    </w:rPr>
                  </w:pPr>
                  <w:r>
                    <w:rPr>
                      <w:sz w:val="20"/>
                      <w:szCs w:val="20"/>
                      <w:spacing w:val="-3"/>
                    </w:rPr>
                    <w:t>2.0</w:t>
                  </w:r>
                </w:p>
              </w:tc>
              <w:tc>
                <w:tcPr>
                  <w:tcW w:w="1398" w:type="dxa"/>
                  <w:vAlign w:val="top"/>
                </w:tcPr>
                <w:p>
                  <w:pPr>
                    <w:pStyle w:val="TableText"/>
                    <w:ind w:left="196"/>
                    <w:spacing w:before="105" w:line="160" w:lineRule="auto"/>
                    <w:rPr>
                      <w:sz w:val="20"/>
                      <w:szCs w:val="20"/>
                    </w:rPr>
                  </w:pPr>
                  <w:r>
                    <w:rPr>
                      <w:sz w:val="20"/>
                      <w:szCs w:val="20"/>
                      <w:spacing w:val="-3"/>
                    </w:rPr>
                    <w:t>1.30×10-2</w:t>
                  </w:r>
                </w:p>
              </w:tc>
              <w:tc>
                <w:tcPr>
                  <w:tcW w:w="1119" w:type="dxa"/>
                  <w:vAlign w:val="top"/>
                </w:tcPr>
                <w:p>
                  <w:pPr>
                    <w:pStyle w:val="TableText"/>
                    <w:ind w:left="357"/>
                    <w:spacing w:before="106" w:line="159" w:lineRule="auto"/>
                    <w:rPr>
                      <w:sz w:val="20"/>
                      <w:szCs w:val="20"/>
                    </w:rPr>
                  </w:pPr>
                  <w:r>
                    <w:rPr>
                      <w:sz w:val="20"/>
                      <w:szCs w:val="20"/>
                      <w:spacing w:val="-2"/>
                    </w:rPr>
                    <w:t>0.65</w:t>
                  </w:r>
                </w:p>
              </w:tc>
              <w:tc>
                <w:tcPr>
                  <w:tcW w:w="799" w:type="dxa"/>
                  <w:vAlign w:val="top"/>
                </w:tcPr>
                <w:p>
                  <w:pPr>
                    <w:pStyle w:val="TableText"/>
                    <w:ind w:left="349"/>
                    <w:spacing w:before="106" w:line="159" w:lineRule="auto"/>
                    <w:rPr>
                      <w:sz w:val="20"/>
                      <w:szCs w:val="20"/>
                    </w:rPr>
                  </w:pPr>
                  <w:r>
                    <w:rPr>
                      <w:sz w:val="20"/>
                      <w:szCs w:val="20"/>
                    </w:rPr>
                    <w:t>0</w:t>
                  </w:r>
                </w:p>
              </w:tc>
              <w:tc>
                <w:tcPr>
                  <w:tcW w:w="1104" w:type="dxa"/>
                  <w:vAlign w:val="top"/>
                  <w:vMerge w:val="restart"/>
                  <w:tcBorders>
                    <w:bottom w:val="nil"/>
                  </w:tcBorders>
                </w:tcPr>
                <w:p>
                  <w:pPr>
                    <w:pStyle w:val="TableText"/>
                    <w:ind w:left="450"/>
                    <w:spacing w:before="266" w:line="183" w:lineRule="auto"/>
                    <w:rPr>
                      <w:sz w:val="20"/>
                      <w:szCs w:val="20"/>
                    </w:rPr>
                  </w:pPr>
                  <w:r>
                    <w:rPr>
                      <w:sz w:val="20"/>
                      <w:szCs w:val="20"/>
                      <w:spacing w:val="-3"/>
                    </w:rPr>
                    <w:t>99</w:t>
                  </w:r>
                </w:p>
              </w:tc>
            </w:tr>
            <w:tr>
              <w:trPr>
                <w:trHeight w:val="309" w:hRule="atLeast"/>
              </w:trPr>
              <w:tc>
                <w:tcPr>
                  <w:tcW w:w="564" w:type="dxa"/>
                  <w:vAlign w:val="top"/>
                  <w:vMerge w:val="continue"/>
                  <w:textDirection w:val="tbRlV"/>
                  <w:tcBorders>
                    <w:top w:val="nil"/>
                    <w:bottom w:val="nil"/>
                  </w:tcBorders>
                </w:tcPr>
                <w:p>
                  <w:pPr>
                    <w:rPr>
                      <w:rFonts w:ascii="Arial"/>
                      <w:sz w:val="21"/>
                    </w:rPr>
                  </w:pPr>
                  <w:r/>
                </w:p>
              </w:tc>
              <w:tc>
                <w:tcPr>
                  <w:tcW w:w="839" w:type="dxa"/>
                  <w:vAlign w:val="top"/>
                  <w:vMerge w:val="continue"/>
                  <w:tcBorders>
                    <w:top w:val="nil"/>
                  </w:tcBorders>
                </w:tcPr>
                <w:p>
                  <w:pPr>
                    <w:rPr>
                      <w:rFonts w:ascii="Arial"/>
                      <w:sz w:val="21"/>
                    </w:rPr>
                  </w:pPr>
                  <w:r/>
                </w:p>
              </w:tc>
              <w:tc>
                <w:tcPr>
                  <w:tcW w:w="1498" w:type="dxa"/>
                  <w:vAlign w:val="top"/>
                </w:tcPr>
                <w:p>
                  <w:pPr>
                    <w:pStyle w:val="TableText"/>
                    <w:ind w:left="441"/>
                    <w:spacing w:before="67" w:line="214" w:lineRule="auto"/>
                    <w:rPr>
                      <w:sz w:val="20"/>
                      <w:szCs w:val="20"/>
                    </w:rPr>
                  </w:pPr>
                  <w:r>
                    <w:rPr>
                      <w:sz w:val="20"/>
                      <w:szCs w:val="20"/>
                      <w:spacing w:val="-2"/>
                    </w:rPr>
                    <w:t>颗粒物</w:t>
                  </w:r>
                </w:p>
              </w:tc>
              <w:tc>
                <w:tcPr>
                  <w:tcW w:w="1348" w:type="dxa"/>
                  <w:vAlign w:val="top"/>
                </w:tcPr>
                <w:p>
                  <w:pPr>
                    <w:pStyle w:val="TableText"/>
                    <w:ind w:left="463"/>
                    <w:spacing w:before="118" w:line="167" w:lineRule="auto"/>
                    <w:rPr>
                      <w:sz w:val="20"/>
                      <w:szCs w:val="20"/>
                    </w:rPr>
                  </w:pPr>
                  <w:r>
                    <w:rPr>
                      <w:sz w:val="20"/>
                      <w:szCs w:val="20"/>
                      <w:spacing w:val="-2"/>
                    </w:rPr>
                    <w:t>0.45</w:t>
                  </w:r>
                </w:p>
              </w:tc>
              <w:tc>
                <w:tcPr>
                  <w:tcW w:w="1398" w:type="dxa"/>
                  <w:vAlign w:val="top"/>
                </w:tcPr>
                <w:p>
                  <w:pPr>
                    <w:pStyle w:val="TableText"/>
                    <w:ind w:left="145"/>
                    <w:spacing w:before="106" w:line="178" w:lineRule="auto"/>
                    <w:rPr>
                      <w:sz w:val="20"/>
                      <w:szCs w:val="20"/>
                    </w:rPr>
                  </w:pPr>
                  <w:r>
                    <w:rPr>
                      <w:sz w:val="20"/>
                      <w:szCs w:val="20"/>
                      <w:spacing w:val="-3"/>
                    </w:rPr>
                    <w:t>1.52×10-³</w:t>
                  </w:r>
                </w:p>
              </w:tc>
              <w:tc>
                <w:tcPr>
                  <w:tcW w:w="1119" w:type="dxa"/>
                  <w:vAlign w:val="top"/>
                </w:tcPr>
                <w:p>
                  <w:pPr>
                    <w:pStyle w:val="TableText"/>
                    <w:ind w:left="357"/>
                    <w:spacing w:before="118" w:line="167" w:lineRule="auto"/>
                    <w:rPr>
                      <w:sz w:val="20"/>
                      <w:szCs w:val="20"/>
                    </w:rPr>
                  </w:pPr>
                  <w:r>
                    <w:rPr>
                      <w:sz w:val="20"/>
                      <w:szCs w:val="20"/>
                      <w:spacing w:val="-2"/>
                    </w:rPr>
                    <w:t>0.34</w:t>
                  </w:r>
                </w:p>
              </w:tc>
              <w:tc>
                <w:tcPr>
                  <w:tcW w:w="799" w:type="dxa"/>
                  <w:vAlign w:val="top"/>
                </w:tcPr>
                <w:p>
                  <w:pPr>
                    <w:pStyle w:val="TableText"/>
                    <w:ind w:left="349"/>
                    <w:spacing w:before="118" w:line="167" w:lineRule="auto"/>
                    <w:rPr>
                      <w:sz w:val="20"/>
                      <w:szCs w:val="20"/>
                    </w:rPr>
                  </w:pPr>
                  <w:r>
                    <w:rPr>
                      <w:sz w:val="20"/>
                      <w:szCs w:val="20"/>
                    </w:rPr>
                    <w:t>0</w:t>
                  </w:r>
                </w:p>
              </w:tc>
              <w:tc>
                <w:tcPr>
                  <w:tcW w:w="1104" w:type="dxa"/>
                  <w:vAlign w:val="top"/>
                  <w:vMerge w:val="continue"/>
                  <w:tcBorders>
                    <w:top w:val="nil"/>
                  </w:tcBorders>
                </w:tcPr>
                <w:p>
                  <w:pPr>
                    <w:rPr>
                      <w:rFonts w:ascii="Arial"/>
                      <w:sz w:val="21"/>
                    </w:rPr>
                  </w:pPr>
                  <w:r/>
                </w:p>
              </w:tc>
            </w:tr>
            <w:tr>
              <w:trPr>
                <w:trHeight w:val="319" w:hRule="atLeast"/>
              </w:trPr>
              <w:tc>
                <w:tcPr>
                  <w:tcW w:w="564" w:type="dxa"/>
                  <w:vAlign w:val="top"/>
                  <w:vMerge w:val="continue"/>
                  <w:textDirection w:val="tbRlV"/>
                  <w:tcBorders>
                    <w:top w:val="nil"/>
                    <w:bottom w:val="nil"/>
                  </w:tcBorders>
                </w:tcPr>
                <w:p>
                  <w:pPr>
                    <w:rPr>
                      <w:rFonts w:ascii="Arial"/>
                      <w:sz w:val="21"/>
                    </w:rPr>
                  </w:pPr>
                  <w:r/>
                </w:p>
              </w:tc>
              <w:tc>
                <w:tcPr>
                  <w:tcW w:w="839" w:type="dxa"/>
                  <w:vAlign w:val="top"/>
                  <w:vMerge w:val="restart"/>
                  <w:tcBorders>
                    <w:bottom w:val="nil"/>
                  </w:tcBorders>
                </w:tcPr>
                <w:p>
                  <w:pPr>
                    <w:pStyle w:val="TableText"/>
                    <w:ind w:left="210"/>
                    <w:spacing w:before="86" w:line="274" w:lineRule="exact"/>
                    <w:rPr>
                      <w:sz w:val="20"/>
                      <w:szCs w:val="20"/>
                    </w:rPr>
                  </w:pPr>
                  <w:r>
                    <w:rPr>
                      <w:sz w:val="20"/>
                      <w:szCs w:val="20"/>
                      <w:spacing w:val="-3"/>
                      <w:position w:val="5"/>
                    </w:rPr>
                    <w:t>污水</w:t>
                  </w:r>
                </w:p>
                <w:p>
                  <w:pPr>
                    <w:pStyle w:val="TableText"/>
                    <w:ind w:left="311"/>
                    <w:spacing w:line="222" w:lineRule="auto"/>
                    <w:rPr>
                      <w:sz w:val="20"/>
                      <w:szCs w:val="20"/>
                    </w:rPr>
                  </w:pPr>
                  <w:r>
                    <w:rPr>
                      <w:sz w:val="20"/>
                      <w:szCs w:val="20"/>
                    </w:rPr>
                    <w:t>站</w:t>
                  </w:r>
                </w:p>
              </w:tc>
              <w:tc>
                <w:tcPr>
                  <w:tcW w:w="1498" w:type="dxa"/>
                  <w:vAlign w:val="top"/>
                </w:tcPr>
                <w:p>
                  <w:pPr>
                    <w:pStyle w:val="TableText"/>
                    <w:ind w:left="541"/>
                    <w:spacing w:before="99" w:line="183" w:lineRule="auto"/>
                    <w:rPr>
                      <w:sz w:val="20"/>
                      <w:szCs w:val="20"/>
                    </w:rPr>
                  </w:pPr>
                  <w:r>
                    <w:rPr>
                      <w:sz w:val="20"/>
                      <w:szCs w:val="20"/>
                      <w:spacing w:val="-2"/>
                    </w:rPr>
                    <w:t>H</w:t>
                  </w:r>
                  <w:r>
                    <w:rPr>
                      <w:rFonts w:ascii="Calibri" w:hAnsi="Calibri" w:eastAsia="Calibri" w:cs="Calibri"/>
                      <w:sz w:val="20"/>
                      <w:szCs w:val="20"/>
                      <w:spacing w:val="-2"/>
                    </w:rPr>
                    <w:t>₂</w:t>
                  </w:r>
                  <w:r>
                    <w:rPr>
                      <w:sz w:val="20"/>
                      <w:szCs w:val="20"/>
                      <w:spacing w:val="-2"/>
                    </w:rPr>
                    <w:t>S</w:t>
                  </w:r>
                </w:p>
              </w:tc>
              <w:tc>
                <w:tcPr>
                  <w:tcW w:w="1348" w:type="dxa"/>
                  <w:vAlign w:val="top"/>
                </w:tcPr>
                <w:p>
                  <w:pPr>
                    <w:pStyle w:val="TableText"/>
                    <w:ind w:left="463"/>
                    <w:spacing w:before="118" w:line="176" w:lineRule="auto"/>
                    <w:rPr>
                      <w:sz w:val="20"/>
                      <w:szCs w:val="20"/>
                    </w:rPr>
                  </w:pPr>
                  <w:r>
                    <w:rPr>
                      <w:sz w:val="20"/>
                      <w:szCs w:val="20"/>
                      <w:spacing w:val="-2"/>
                    </w:rPr>
                    <w:t>0.01</w:t>
                  </w:r>
                </w:p>
              </w:tc>
              <w:tc>
                <w:tcPr>
                  <w:tcW w:w="1398" w:type="dxa"/>
                  <w:vAlign w:val="top"/>
                </w:tcPr>
                <w:p>
                  <w:pPr>
                    <w:pStyle w:val="TableText"/>
                    <w:ind w:left="196"/>
                    <w:spacing w:before="118" w:line="176" w:lineRule="auto"/>
                    <w:rPr>
                      <w:sz w:val="20"/>
                      <w:szCs w:val="20"/>
                    </w:rPr>
                  </w:pPr>
                  <w:r>
                    <w:rPr>
                      <w:sz w:val="20"/>
                      <w:szCs w:val="20"/>
                      <w:spacing w:val="-2"/>
                    </w:rPr>
                    <w:t>2.60×10-4</w:t>
                  </w:r>
                </w:p>
              </w:tc>
              <w:tc>
                <w:tcPr>
                  <w:tcW w:w="1119" w:type="dxa"/>
                  <w:vAlign w:val="top"/>
                </w:tcPr>
                <w:p>
                  <w:pPr>
                    <w:pStyle w:val="TableText"/>
                    <w:ind w:left="357"/>
                    <w:spacing w:before="118" w:line="176" w:lineRule="auto"/>
                    <w:rPr>
                      <w:sz w:val="20"/>
                      <w:szCs w:val="20"/>
                    </w:rPr>
                  </w:pPr>
                  <w:r>
                    <w:rPr>
                      <w:sz w:val="20"/>
                      <w:szCs w:val="20"/>
                      <w:spacing w:val="-2"/>
                    </w:rPr>
                    <w:t>2.60</w:t>
                  </w:r>
                </w:p>
              </w:tc>
              <w:tc>
                <w:tcPr>
                  <w:tcW w:w="799" w:type="dxa"/>
                  <w:vAlign w:val="top"/>
                </w:tcPr>
                <w:p>
                  <w:pPr>
                    <w:pStyle w:val="TableText"/>
                    <w:ind w:left="349"/>
                    <w:spacing w:before="118" w:line="176" w:lineRule="auto"/>
                    <w:rPr>
                      <w:sz w:val="20"/>
                      <w:szCs w:val="20"/>
                    </w:rPr>
                  </w:pPr>
                  <w:r>
                    <w:rPr>
                      <w:sz w:val="20"/>
                      <w:szCs w:val="20"/>
                    </w:rPr>
                    <w:t>0</w:t>
                  </w:r>
                </w:p>
              </w:tc>
              <w:tc>
                <w:tcPr>
                  <w:tcW w:w="1104" w:type="dxa"/>
                  <w:vAlign w:val="top"/>
                  <w:vMerge w:val="restart"/>
                  <w:tcBorders>
                    <w:bottom w:val="nil"/>
                  </w:tcBorders>
                </w:tcPr>
                <w:p>
                  <w:pPr>
                    <w:pStyle w:val="TableText"/>
                    <w:ind w:left="450"/>
                    <w:spacing w:before="278" w:line="183" w:lineRule="auto"/>
                    <w:rPr>
                      <w:sz w:val="20"/>
                      <w:szCs w:val="20"/>
                    </w:rPr>
                  </w:pPr>
                  <w:r>
                    <w:rPr>
                      <w:sz w:val="20"/>
                      <w:szCs w:val="20"/>
                      <w:spacing w:val="-3"/>
                    </w:rPr>
                    <w:t>25</w:t>
                  </w:r>
                </w:p>
              </w:tc>
            </w:tr>
            <w:tr>
              <w:trPr>
                <w:trHeight w:val="304" w:hRule="atLeast"/>
              </w:trPr>
              <w:tc>
                <w:tcPr>
                  <w:tcW w:w="564" w:type="dxa"/>
                  <w:vAlign w:val="top"/>
                  <w:vMerge w:val="continue"/>
                  <w:textDirection w:val="tbRlV"/>
                  <w:tcBorders>
                    <w:top w:val="nil"/>
                  </w:tcBorders>
                </w:tcPr>
                <w:p>
                  <w:pPr>
                    <w:rPr>
                      <w:rFonts w:ascii="Arial"/>
                      <w:sz w:val="21"/>
                    </w:rPr>
                  </w:pPr>
                  <w:r/>
                </w:p>
              </w:tc>
              <w:tc>
                <w:tcPr>
                  <w:tcW w:w="839" w:type="dxa"/>
                  <w:vAlign w:val="top"/>
                  <w:vMerge w:val="continue"/>
                  <w:tcBorders>
                    <w:top w:val="nil"/>
                  </w:tcBorders>
                </w:tcPr>
                <w:p>
                  <w:pPr>
                    <w:rPr>
                      <w:rFonts w:ascii="Arial"/>
                      <w:sz w:val="21"/>
                    </w:rPr>
                  </w:pPr>
                  <w:r/>
                </w:p>
              </w:tc>
              <w:tc>
                <w:tcPr>
                  <w:shd w:val="clear" w:fill="EDEBE0"/>
                  <w:tcW w:w="1498" w:type="dxa"/>
                  <w:vAlign w:val="top"/>
                </w:tcPr>
                <w:p>
                  <w:pPr>
                    <w:pStyle w:val="TableText"/>
                    <w:ind w:left="541"/>
                    <w:spacing w:before="109" w:line="170" w:lineRule="auto"/>
                    <w:rPr>
                      <w:rFonts w:ascii="Calibri" w:hAnsi="Calibri" w:eastAsia="Calibri" w:cs="Calibri"/>
                      <w:sz w:val="20"/>
                      <w:szCs w:val="20"/>
                    </w:rPr>
                  </w:pPr>
                  <w:r>
                    <w:rPr>
                      <w:sz w:val="20"/>
                      <w:szCs w:val="20"/>
                      <w:spacing w:val="-1"/>
                    </w:rPr>
                    <w:t>NH</w:t>
                  </w:r>
                  <w:r>
                    <w:rPr>
                      <w:rFonts w:ascii="Calibri" w:hAnsi="Calibri" w:eastAsia="Calibri" w:cs="Calibri"/>
                      <w:sz w:val="20"/>
                      <w:szCs w:val="20"/>
                      <w:spacing w:val="-1"/>
                    </w:rPr>
                    <w:t>₃</w:t>
                  </w:r>
                </w:p>
              </w:tc>
              <w:tc>
                <w:tcPr>
                  <w:shd w:val="clear" w:fill="EDEBE0"/>
                  <w:tcW w:w="1348" w:type="dxa"/>
                  <w:vAlign w:val="top"/>
                </w:tcPr>
                <w:p>
                  <w:pPr>
                    <w:pStyle w:val="TableText"/>
                    <w:ind w:left="513"/>
                    <w:spacing w:before="109" w:line="170" w:lineRule="auto"/>
                    <w:rPr>
                      <w:sz w:val="20"/>
                      <w:szCs w:val="20"/>
                    </w:rPr>
                  </w:pPr>
                  <w:r>
                    <w:rPr>
                      <w:sz w:val="20"/>
                      <w:szCs w:val="20"/>
                      <w:spacing w:val="-3"/>
                    </w:rPr>
                    <w:t>0.2</w:t>
                  </w:r>
                </w:p>
              </w:tc>
              <w:tc>
                <w:tcPr>
                  <w:shd w:val="clear" w:fill="EDEBE0"/>
                  <w:tcW w:w="1398" w:type="dxa"/>
                  <w:vAlign w:val="top"/>
                </w:tcPr>
                <w:p>
                  <w:pPr>
                    <w:pStyle w:val="TableText"/>
                    <w:ind w:left="196"/>
                    <w:spacing w:before="108" w:line="171" w:lineRule="auto"/>
                    <w:rPr>
                      <w:sz w:val="20"/>
                      <w:szCs w:val="20"/>
                    </w:rPr>
                  </w:pPr>
                  <w:r>
                    <w:rPr>
                      <w:sz w:val="20"/>
                      <w:szCs w:val="20"/>
                      <w:spacing w:val="-3"/>
                    </w:rPr>
                    <w:t>1.18×10-2</w:t>
                  </w:r>
                </w:p>
              </w:tc>
              <w:tc>
                <w:tcPr>
                  <w:shd w:val="clear" w:fill="EDEBE0"/>
                  <w:tcW w:w="1119" w:type="dxa"/>
                  <w:vAlign w:val="top"/>
                </w:tcPr>
                <w:p>
                  <w:pPr>
                    <w:pStyle w:val="TableText"/>
                    <w:ind w:left="357"/>
                    <w:spacing w:before="109" w:line="170" w:lineRule="auto"/>
                    <w:rPr>
                      <w:sz w:val="20"/>
                      <w:szCs w:val="20"/>
                    </w:rPr>
                  </w:pPr>
                  <w:r>
                    <w:rPr>
                      <w:sz w:val="20"/>
                      <w:szCs w:val="20"/>
                      <w:spacing w:val="-3"/>
                    </w:rPr>
                    <w:t>5.92</w:t>
                  </w:r>
                </w:p>
              </w:tc>
              <w:tc>
                <w:tcPr>
                  <w:tcW w:w="799" w:type="dxa"/>
                  <w:vAlign w:val="top"/>
                </w:tcPr>
                <w:p>
                  <w:pPr>
                    <w:pStyle w:val="TableText"/>
                    <w:ind w:left="349"/>
                    <w:spacing w:before="109" w:line="170" w:lineRule="auto"/>
                    <w:rPr>
                      <w:sz w:val="20"/>
                      <w:szCs w:val="20"/>
                    </w:rPr>
                  </w:pPr>
                  <w:r>
                    <w:rPr>
                      <w:sz w:val="20"/>
                      <w:szCs w:val="20"/>
                    </w:rPr>
                    <w:t>0</w:t>
                  </w:r>
                </w:p>
              </w:tc>
              <w:tc>
                <w:tcPr>
                  <w:tcW w:w="1104" w:type="dxa"/>
                  <w:vAlign w:val="top"/>
                  <w:vMerge w:val="continue"/>
                  <w:tcBorders>
                    <w:top w:val="nil"/>
                  </w:tcBorders>
                </w:tcPr>
                <w:p>
                  <w:pPr>
                    <w:rPr>
                      <w:rFonts w:ascii="Arial"/>
                      <w:sz w:val="21"/>
                    </w:rPr>
                  </w:pPr>
                  <w:r/>
                </w:p>
              </w:tc>
            </w:tr>
          </w:tbl>
          <w:p>
            <w:pPr>
              <w:pStyle w:val="TableText"/>
              <w:ind w:left="580"/>
              <w:spacing w:before="280" w:line="503" w:lineRule="exact"/>
              <w:rPr>
                <w:sz w:val="22"/>
                <w:szCs w:val="22"/>
              </w:rPr>
            </w:pPr>
            <w:r>
              <w:rPr>
                <w:sz w:val="22"/>
                <w:szCs w:val="22"/>
                <w:spacing w:val="20"/>
                <w:position w:val="21"/>
              </w:rPr>
              <w:t>根据预测，项目污染物最大地面浓度</w:t>
            </w:r>
            <w:r>
              <w:rPr>
                <w:sz w:val="22"/>
                <w:szCs w:val="22"/>
                <w:position w:val="21"/>
              </w:rPr>
              <w:t>Pi</w:t>
            </w:r>
            <w:r>
              <w:rPr>
                <w:sz w:val="22"/>
                <w:szCs w:val="22"/>
                <w:spacing w:val="20"/>
                <w:position w:val="21"/>
              </w:rPr>
              <w:t>占标率为5</w:t>
            </w:r>
            <w:r>
              <w:rPr>
                <w:sz w:val="22"/>
                <w:szCs w:val="22"/>
                <w:spacing w:val="-53"/>
                <w:position w:val="21"/>
              </w:rPr>
              <w:t xml:space="preserve"> </w:t>
            </w:r>
            <w:r>
              <w:rPr>
                <w:sz w:val="22"/>
                <w:szCs w:val="22"/>
                <w:spacing w:val="20"/>
                <w:position w:val="21"/>
              </w:rPr>
              <w:t>.92%,为污水站排放的</w:t>
            </w:r>
            <w:r>
              <w:rPr>
                <w:sz w:val="22"/>
                <w:szCs w:val="22"/>
                <w:position w:val="21"/>
              </w:rPr>
              <w:t>NO</w:t>
            </w:r>
            <w:r>
              <w:rPr>
                <w:sz w:val="22"/>
                <w:szCs w:val="22"/>
                <w:spacing w:val="20"/>
                <w:position w:val="21"/>
              </w:rPr>
              <w:t>.,</w:t>
            </w:r>
          </w:p>
          <w:p>
            <w:pPr>
              <w:pStyle w:val="TableText"/>
              <w:ind w:left="101"/>
              <w:spacing w:line="219" w:lineRule="auto"/>
              <w:rPr>
                <w:sz w:val="22"/>
                <w:szCs w:val="22"/>
              </w:rPr>
            </w:pPr>
            <w:r>
              <w:rPr>
                <w:sz w:val="22"/>
                <w:szCs w:val="22"/>
                <w:spacing w:val="17"/>
              </w:rPr>
              <w:t>可见，在正常情况下，项目运营期对周边大气环境的影响是可接受的。</w:t>
            </w:r>
          </w:p>
          <w:p>
            <w:pPr>
              <w:pStyle w:val="TableText"/>
              <w:ind w:left="451"/>
              <w:spacing w:before="209" w:line="220" w:lineRule="auto"/>
              <w:rPr>
                <w:sz w:val="22"/>
                <w:szCs w:val="22"/>
              </w:rPr>
            </w:pPr>
            <w:r>
              <w:rPr>
                <w:sz w:val="22"/>
                <w:szCs w:val="22"/>
                <w:spacing w:val="10"/>
              </w:rPr>
              <w:t>4、</w:t>
            </w:r>
            <w:r>
              <w:rPr>
                <w:sz w:val="22"/>
                <w:szCs w:val="22"/>
                <w:spacing w:val="-49"/>
              </w:rPr>
              <w:t xml:space="preserve"> </w:t>
            </w:r>
            <w:r>
              <w:rPr>
                <w:sz w:val="22"/>
                <w:szCs w:val="22"/>
                <w:spacing w:val="10"/>
              </w:rPr>
              <w:t>大气环境防护距离</w:t>
            </w:r>
          </w:p>
          <w:p>
            <w:pPr>
              <w:pStyle w:val="TableText"/>
              <w:ind w:left="101" w:right="215" w:firstLine="349"/>
              <w:spacing w:before="185" w:line="395" w:lineRule="auto"/>
              <w:rPr>
                <w:sz w:val="22"/>
                <w:szCs w:val="22"/>
              </w:rPr>
            </w:pPr>
            <w:r>
              <w:rPr>
                <w:sz w:val="22"/>
                <w:szCs w:val="22"/>
                <w:spacing w:val="11"/>
              </w:rPr>
              <w:t>根据《环境影响评价技术导则大气环境》  (</w:t>
            </w:r>
            <w:r>
              <w:rPr>
                <w:sz w:val="22"/>
                <w:szCs w:val="22"/>
              </w:rPr>
              <w:t>HJ</w:t>
            </w:r>
            <w:r>
              <w:rPr>
                <w:sz w:val="22"/>
                <w:szCs w:val="22"/>
                <w:spacing w:val="11"/>
              </w:rPr>
              <w:t>2.2-2018)</w:t>
            </w:r>
            <w:r>
              <w:rPr>
                <w:sz w:val="22"/>
                <w:szCs w:val="22"/>
                <w:spacing w:val="99"/>
              </w:rPr>
              <w:t xml:space="preserve"> </w:t>
            </w:r>
            <w:r>
              <w:rPr>
                <w:sz w:val="22"/>
                <w:szCs w:val="22"/>
                <w:spacing w:val="11"/>
              </w:rPr>
              <w:t>第</w:t>
            </w:r>
            <w:hyperlink w:history="true" r:id="rId108">
              <w:r>
                <w:rPr>
                  <w:sz w:val="22"/>
                  <w:szCs w:val="22"/>
                  <w:spacing w:val="11"/>
                </w:rPr>
                <w:t>8.7.5.1</w:t>
              </w:r>
            </w:hyperlink>
            <w:r>
              <w:rPr>
                <w:sz w:val="22"/>
                <w:szCs w:val="22"/>
                <w:spacing w:val="11"/>
              </w:rPr>
              <w:t>条，对于项</w:t>
            </w:r>
            <w:r>
              <w:rPr>
                <w:sz w:val="22"/>
                <w:szCs w:val="22"/>
              </w:rPr>
              <w:t xml:space="preserve"> </w:t>
            </w:r>
            <w:r>
              <w:rPr>
                <w:sz w:val="22"/>
                <w:szCs w:val="22"/>
                <w:spacing w:val="20"/>
              </w:rPr>
              <w:t>目厂界浓度满足大气污染物厂界浓度限值，但厂界外大气污染物短期贡献浓</w:t>
            </w:r>
            <w:r>
              <w:rPr>
                <w:sz w:val="22"/>
                <w:szCs w:val="22"/>
                <w:spacing w:val="19"/>
              </w:rPr>
              <w:t>度超过</w:t>
            </w:r>
            <w:r>
              <w:rPr>
                <w:sz w:val="22"/>
                <w:szCs w:val="22"/>
              </w:rPr>
              <w:t xml:space="preserve"> </w:t>
            </w:r>
            <w:r>
              <w:rPr>
                <w:sz w:val="22"/>
                <w:szCs w:val="22"/>
                <w:spacing w:val="19"/>
              </w:rPr>
              <w:t>环境质量浓度限值的，可以自厂界外设置一定范围的大气环境防护区域，以确保大</w:t>
            </w:r>
          </w:p>
          <w:p>
            <w:pPr>
              <w:pStyle w:val="TableText"/>
              <w:ind w:left="101"/>
              <w:spacing w:line="219" w:lineRule="auto"/>
              <w:rPr>
                <w:sz w:val="22"/>
                <w:szCs w:val="22"/>
              </w:rPr>
            </w:pPr>
            <w:r>
              <w:rPr>
                <w:sz w:val="22"/>
                <w:szCs w:val="22"/>
                <w:spacing w:val="16"/>
              </w:rPr>
              <w:t>气环境防护区域外的污染物贡献浓度满足环境质量标准。</w:t>
            </w:r>
          </w:p>
          <w:p>
            <w:pPr>
              <w:pStyle w:val="TableText"/>
              <w:ind w:left="451"/>
              <w:spacing w:before="187" w:line="489" w:lineRule="exact"/>
              <w:rPr>
                <w:sz w:val="22"/>
                <w:szCs w:val="22"/>
              </w:rPr>
            </w:pPr>
            <w:r>
              <w:rPr>
                <w:sz w:val="22"/>
                <w:szCs w:val="22"/>
                <w:spacing w:val="18"/>
                <w:position w:val="20"/>
              </w:rPr>
              <w:t>根据前述估算模型计算结果，本项目大气污染物短期贡献浓度均未超过环</w:t>
            </w:r>
            <w:r>
              <w:rPr>
                <w:sz w:val="22"/>
                <w:szCs w:val="22"/>
                <w:spacing w:val="17"/>
                <w:position w:val="20"/>
              </w:rPr>
              <w:t>境质量</w:t>
            </w:r>
          </w:p>
          <w:p>
            <w:pPr>
              <w:pStyle w:val="TableText"/>
              <w:ind w:left="101"/>
              <w:spacing w:line="216" w:lineRule="auto"/>
              <w:rPr>
                <w:sz w:val="22"/>
                <w:szCs w:val="22"/>
              </w:rPr>
            </w:pPr>
            <w:r>
              <w:rPr>
                <w:sz w:val="22"/>
                <w:szCs w:val="22"/>
                <w:spacing w:val="23"/>
              </w:rPr>
              <w:t>浓度限值，最大占标率不超过10%,因此，按照《环境影响评价技术导则大气环境》</w:t>
            </w:r>
          </w:p>
          <w:p>
            <w:pPr>
              <w:pStyle w:val="TableText"/>
              <w:ind w:left="230"/>
              <w:spacing w:before="204" w:line="482" w:lineRule="exact"/>
              <w:rPr>
                <w:sz w:val="22"/>
                <w:szCs w:val="22"/>
              </w:rPr>
            </w:pPr>
            <w:r>
              <w:rPr>
                <w:sz w:val="22"/>
                <w:szCs w:val="22"/>
                <w:spacing w:val="8"/>
                <w:position w:val="20"/>
              </w:rPr>
              <w:t>(</w:t>
            </w:r>
            <w:r>
              <w:rPr>
                <w:sz w:val="22"/>
                <w:szCs w:val="22"/>
                <w:position w:val="20"/>
              </w:rPr>
              <w:t>HJ</w:t>
            </w:r>
            <w:r>
              <w:rPr>
                <w:sz w:val="22"/>
                <w:szCs w:val="22"/>
                <w:spacing w:val="8"/>
                <w:position w:val="20"/>
              </w:rPr>
              <w:t>2.2-2018)</w:t>
            </w:r>
            <w:r>
              <w:rPr>
                <w:sz w:val="22"/>
                <w:szCs w:val="22"/>
                <w:spacing w:val="103"/>
                <w:position w:val="20"/>
              </w:rPr>
              <w:t xml:space="preserve"> </w:t>
            </w:r>
            <w:r>
              <w:rPr>
                <w:sz w:val="22"/>
                <w:szCs w:val="22"/>
                <w:spacing w:val="8"/>
                <w:position w:val="20"/>
              </w:rPr>
              <w:t>的要求，不需设置大气环境防护距离。</w:t>
            </w:r>
          </w:p>
          <w:p>
            <w:pPr>
              <w:pStyle w:val="TableText"/>
              <w:ind w:left="451"/>
              <w:spacing w:line="219" w:lineRule="auto"/>
              <w:rPr>
                <w:sz w:val="22"/>
                <w:szCs w:val="22"/>
              </w:rPr>
            </w:pPr>
            <w:r>
              <w:rPr>
                <w:sz w:val="22"/>
                <w:szCs w:val="22"/>
                <w:spacing w:val="12"/>
              </w:rPr>
              <w:t>5、</w:t>
            </w:r>
            <w:r>
              <w:rPr>
                <w:sz w:val="22"/>
                <w:szCs w:val="22"/>
                <w:spacing w:val="-50"/>
              </w:rPr>
              <w:t xml:space="preserve"> </w:t>
            </w:r>
            <w:r>
              <w:rPr>
                <w:sz w:val="22"/>
                <w:szCs w:val="22"/>
                <w:spacing w:val="12"/>
              </w:rPr>
              <w:t>对周边主要敏感点影响分析</w:t>
            </w:r>
          </w:p>
          <w:p>
            <w:pPr>
              <w:pStyle w:val="TableText"/>
              <w:ind w:left="101" w:right="176" w:firstLine="479"/>
              <w:spacing w:before="186" w:line="392" w:lineRule="auto"/>
              <w:jc w:val="both"/>
              <w:rPr>
                <w:sz w:val="22"/>
                <w:szCs w:val="22"/>
              </w:rPr>
            </w:pPr>
            <w:r>
              <w:rPr>
                <w:sz w:val="22"/>
                <w:szCs w:val="22"/>
                <w:spacing w:val="20"/>
              </w:rPr>
              <w:t>根据估算模式分析，项目各废气在正常排放情况下，对周边环境的影响是可接</w:t>
            </w:r>
            <w:r>
              <w:rPr>
                <w:sz w:val="22"/>
                <w:szCs w:val="22"/>
                <w:spacing w:val="17"/>
              </w:rPr>
              <w:t xml:space="preserve"> </w:t>
            </w:r>
            <w:r>
              <w:rPr>
                <w:sz w:val="22"/>
                <w:szCs w:val="22"/>
                <w:spacing w:val="13"/>
              </w:rPr>
              <w:t>受，若发生非正常排放，特别是阴极烘干废气非正常排放，则影响较大，见表4.2-14</w:t>
            </w:r>
          </w:p>
          <w:p>
            <w:pPr>
              <w:pStyle w:val="TableText"/>
              <w:ind w:left="101"/>
              <w:spacing w:before="1" w:line="220" w:lineRule="auto"/>
              <w:rPr>
                <w:sz w:val="22"/>
                <w:szCs w:val="22"/>
              </w:rPr>
            </w:pPr>
            <w:r>
              <w:rPr>
                <w:sz w:val="22"/>
                <w:szCs w:val="22"/>
              </w:rPr>
              <w:t>和表4.2-15。</w:t>
            </w:r>
          </w:p>
        </w:tc>
      </w:tr>
    </w:tbl>
    <w:p>
      <w:pPr>
        <w:rPr>
          <w:rFonts w:ascii="Arial"/>
          <w:sz w:val="21"/>
        </w:rPr>
      </w:pPr>
      <w:r/>
    </w:p>
    <w:p>
      <w:pPr>
        <w:sectPr>
          <w:footerReference w:type="default" r:id="rId107"/>
          <w:pgSz w:w="11900" w:h="16840"/>
          <w:pgMar w:top="1410" w:right="1380" w:bottom="988" w:left="1140" w:header="0" w:footer="849" w:gutter="0"/>
        </w:sectPr>
        <w:rPr>
          <w:rFonts w:ascii="Arial" w:hAnsi="Arial" w:eastAsia="Arial" w:cs="Arial"/>
          <w:sz w:val="21"/>
          <w:szCs w:val="21"/>
        </w:rPr>
      </w:pPr>
    </w:p>
    <w:p>
      <w:pPr>
        <w:pStyle w:val="BodyText"/>
        <w:ind w:left="4848"/>
        <w:spacing w:before="294" w:line="199" w:lineRule="auto"/>
        <w:rPr>
          <w:sz w:val="24"/>
          <w:szCs w:val="24"/>
        </w:rPr>
      </w:pPr>
      <w:r>
        <w:rPr>
          <w:sz w:val="24"/>
          <w:szCs w:val="24"/>
          <w:b/>
          <w:bCs/>
          <w:spacing w:val="-3"/>
        </w:rPr>
        <w:t>表4.2-14废气正常排放对敏感目标影响分析表</w:t>
      </w:r>
    </w:p>
    <w:tbl>
      <w:tblPr>
        <w:tblStyle w:val="TableNormal"/>
        <w:tblW w:w="1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94"/>
        <w:gridCol w:w="1569"/>
        <w:gridCol w:w="2528"/>
        <w:gridCol w:w="1199"/>
        <w:gridCol w:w="2518"/>
        <w:gridCol w:w="1199"/>
        <w:gridCol w:w="2529"/>
        <w:gridCol w:w="1184"/>
      </w:tblGrid>
      <w:tr>
        <w:trPr>
          <w:trHeight w:val="274" w:hRule="atLeast"/>
        </w:trPr>
        <w:tc>
          <w:tcPr>
            <w:tcW w:w="1394" w:type="dxa"/>
            <w:vAlign w:val="top"/>
            <w:vMerge w:val="restart"/>
            <w:tcBorders>
              <w:bottom w:val="nil"/>
            </w:tcBorders>
          </w:tcPr>
          <w:p>
            <w:pPr>
              <w:pStyle w:val="TableText"/>
              <w:ind w:left="494"/>
              <w:spacing w:before="173" w:line="220" w:lineRule="auto"/>
              <w:rPr>
                <w:sz w:val="19"/>
                <w:szCs w:val="19"/>
              </w:rPr>
            </w:pPr>
            <w:r>
              <w:rPr>
                <w:sz w:val="19"/>
                <w:szCs w:val="19"/>
                <w:spacing w:val="-5"/>
              </w:rPr>
              <w:t>项 目</w:t>
            </w:r>
          </w:p>
        </w:tc>
        <w:tc>
          <w:tcPr>
            <w:tcW w:w="1569" w:type="dxa"/>
            <w:vAlign w:val="top"/>
          </w:tcPr>
          <w:p>
            <w:pPr>
              <w:pStyle w:val="TableText"/>
              <w:ind w:left="490"/>
              <w:spacing w:before="42" w:line="215" w:lineRule="auto"/>
              <w:rPr>
                <w:sz w:val="19"/>
                <w:szCs w:val="19"/>
              </w:rPr>
            </w:pPr>
            <w:r>
              <w:rPr>
                <w:sz w:val="19"/>
                <w:szCs w:val="19"/>
                <w:spacing w:val="5"/>
              </w:rPr>
              <w:t>敏感点</w:t>
            </w:r>
          </w:p>
        </w:tc>
        <w:tc>
          <w:tcPr>
            <w:tcW w:w="3727" w:type="dxa"/>
            <w:vAlign w:val="top"/>
            <w:gridSpan w:val="2"/>
          </w:tcPr>
          <w:p>
            <w:pPr>
              <w:pStyle w:val="TableText"/>
              <w:ind w:left="1571"/>
              <w:spacing w:before="41" w:line="216" w:lineRule="auto"/>
              <w:rPr>
                <w:sz w:val="19"/>
                <w:szCs w:val="19"/>
              </w:rPr>
            </w:pPr>
            <w:r>
              <w:rPr>
                <w:sz w:val="19"/>
                <w:szCs w:val="19"/>
                <w:spacing w:val="-2"/>
              </w:rPr>
              <w:t>池头村</w:t>
            </w:r>
          </w:p>
        </w:tc>
        <w:tc>
          <w:tcPr>
            <w:tcW w:w="3717" w:type="dxa"/>
            <w:vAlign w:val="top"/>
            <w:gridSpan w:val="2"/>
          </w:tcPr>
          <w:p>
            <w:pPr>
              <w:pStyle w:val="TableText"/>
              <w:ind w:left="1565"/>
              <w:spacing w:before="41" w:line="216" w:lineRule="auto"/>
              <w:rPr>
                <w:sz w:val="19"/>
                <w:szCs w:val="19"/>
              </w:rPr>
            </w:pPr>
            <w:r>
              <w:rPr>
                <w:sz w:val="19"/>
                <w:szCs w:val="19"/>
                <w:spacing w:val="-3"/>
              </w:rPr>
              <w:t>大沙村</w:t>
            </w:r>
          </w:p>
        </w:tc>
        <w:tc>
          <w:tcPr>
            <w:tcW w:w="3713" w:type="dxa"/>
            <w:vAlign w:val="top"/>
            <w:gridSpan w:val="2"/>
          </w:tcPr>
          <w:p>
            <w:pPr>
              <w:pStyle w:val="TableText"/>
              <w:ind w:left="1467"/>
              <w:spacing w:before="41" w:line="216" w:lineRule="auto"/>
              <w:rPr>
                <w:sz w:val="19"/>
                <w:szCs w:val="19"/>
              </w:rPr>
            </w:pPr>
            <w:r>
              <w:rPr>
                <w:sz w:val="19"/>
                <w:szCs w:val="19"/>
                <w:spacing w:val="-2"/>
              </w:rPr>
              <w:t>石雷洋村</w:t>
            </w:r>
          </w:p>
        </w:tc>
      </w:tr>
      <w:tr>
        <w:trPr>
          <w:trHeight w:val="250" w:hRule="atLeast"/>
        </w:trPr>
        <w:tc>
          <w:tcPr>
            <w:tcW w:w="1394" w:type="dxa"/>
            <w:vAlign w:val="top"/>
            <w:vMerge w:val="continue"/>
            <w:tcBorders>
              <w:top w:val="nil"/>
            </w:tcBorders>
          </w:tcPr>
          <w:p>
            <w:pPr>
              <w:rPr>
                <w:rFonts w:ascii="Arial"/>
                <w:sz w:val="21"/>
              </w:rPr>
            </w:pPr>
            <w:r/>
          </w:p>
        </w:tc>
        <w:tc>
          <w:tcPr>
            <w:tcW w:w="1569" w:type="dxa"/>
            <w:vAlign w:val="top"/>
          </w:tcPr>
          <w:p>
            <w:pPr>
              <w:pStyle w:val="TableText"/>
              <w:ind w:left="490"/>
              <w:spacing w:before="29" w:line="205" w:lineRule="auto"/>
              <w:rPr>
                <w:sz w:val="19"/>
                <w:szCs w:val="19"/>
              </w:rPr>
            </w:pPr>
            <w:r>
              <w:rPr>
                <w:sz w:val="19"/>
                <w:szCs w:val="19"/>
                <w:spacing w:val="-6"/>
              </w:rPr>
              <w:t>距</w:t>
            </w:r>
            <w:r>
              <w:rPr>
                <w:sz w:val="19"/>
                <w:szCs w:val="19"/>
                <w:spacing w:val="-39"/>
              </w:rPr>
              <w:t xml:space="preserve"> </w:t>
            </w:r>
            <w:r>
              <w:rPr>
                <w:sz w:val="19"/>
                <w:szCs w:val="19"/>
                <w:spacing w:val="-6"/>
              </w:rPr>
              <w:t>离</w:t>
            </w:r>
            <w:r>
              <w:rPr>
                <w:sz w:val="19"/>
                <w:szCs w:val="19"/>
                <w:spacing w:val="-46"/>
              </w:rPr>
              <w:t xml:space="preserve"> </w:t>
            </w:r>
            <w:r>
              <w:rPr>
                <w:sz w:val="19"/>
                <w:szCs w:val="19"/>
                <w:spacing w:val="-6"/>
              </w:rPr>
              <w:t>m</w:t>
            </w:r>
          </w:p>
        </w:tc>
        <w:tc>
          <w:tcPr>
            <w:tcW w:w="3727" w:type="dxa"/>
            <w:vAlign w:val="top"/>
            <w:gridSpan w:val="2"/>
          </w:tcPr>
          <w:p>
            <w:pPr>
              <w:pStyle w:val="TableText"/>
              <w:ind w:left="1712"/>
              <w:spacing w:before="77" w:line="158" w:lineRule="auto"/>
              <w:rPr>
                <w:sz w:val="19"/>
                <w:szCs w:val="19"/>
              </w:rPr>
            </w:pPr>
            <w:r>
              <w:rPr>
                <w:sz w:val="19"/>
                <w:szCs w:val="19"/>
                <w:spacing w:val="-3"/>
              </w:rPr>
              <w:t>290</w:t>
            </w:r>
          </w:p>
        </w:tc>
        <w:tc>
          <w:tcPr>
            <w:tcW w:w="3717" w:type="dxa"/>
            <w:vAlign w:val="top"/>
            <w:gridSpan w:val="2"/>
          </w:tcPr>
          <w:p>
            <w:pPr>
              <w:pStyle w:val="TableText"/>
              <w:ind w:left="1704"/>
              <w:spacing w:before="77" w:line="158" w:lineRule="auto"/>
              <w:rPr>
                <w:sz w:val="19"/>
                <w:szCs w:val="19"/>
              </w:rPr>
            </w:pPr>
            <w:r>
              <w:rPr>
                <w:sz w:val="19"/>
                <w:szCs w:val="19"/>
                <w:spacing w:val="-3"/>
              </w:rPr>
              <w:t>310</w:t>
            </w:r>
          </w:p>
        </w:tc>
        <w:tc>
          <w:tcPr>
            <w:tcW w:w="3713" w:type="dxa"/>
            <w:vAlign w:val="top"/>
            <w:gridSpan w:val="2"/>
          </w:tcPr>
          <w:p>
            <w:pPr>
              <w:pStyle w:val="TableText"/>
              <w:ind w:left="1707"/>
              <w:spacing w:before="77" w:line="158" w:lineRule="auto"/>
              <w:rPr>
                <w:sz w:val="19"/>
                <w:szCs w:val="19"/>
              </w:rPr>
            </w:pPr>
            <w:r>
              <w:rPr>
                <w:sz w:val="19"/>
                <w:szCs w:val="19"/>
                <w:spacing w:val="-3"/>
              </w:rPr>
              <w:t>500</w:t>
            </w:r>
          </w:p>
        </w:tc>
      </w:tr>
      <w:tr>
        <w:trPr>
          <w:trHeight w:val="249" w:hRule="atLeast"/>
        </w:trPr>
        <w:tc>
          <w:tcPr>
            <w:tcW w:w="1394" w:type="dxa"/>
            <w:vAlign w:val="top"/>
          </w:tcPr>
          <w:p>
            <w:pPr>
              <w:pStyle w:val="TableText"/>
              <w:ind w:left="405"/>
              <w:spacing w:before="29" w:line="204" w:lineRule="auto"/>
              <w:rPr>
                <w:sz w:val="19"/>
                <w:szCs w:val="19"/>
              </w:rPr>
            </w:pPr>
            <w:r>
              <w:rPr>
                <w:sz w:val="19"/>
                <w:szCs w:val="19"/>
                <w:spacing w:val="-2"/>
              </w:rPr>
              <w:t>污染源</w:t>
            </w:r>
          </w:p>
        </w:tc>
        <w:tc>
          <w:tcPr>
            <w:tcW w:w="1569" w:type="dxa"/>
            <w:vAlign w:val="top"/>
          </w:tcPr>
          <w:p>
            <w:pPr>
              <w:pStyle w:val="TableText"/>
              <w:ind w:left="490"/>
              <w:spacing w:before="29" w:line="204" w:lineRule="auto"/>
              <w:rPr>
                <w:sz w:val="19"/>
                <w:szCs w:val="19"/>
              </w:rPr>
            </w:pPr>
            <w:r>
              <w:rPr>
                <w:sz w:val="19"/>
                <w:szCs w:val="19"/>
                <w:spacing w:val="-2"/>
              </w:rPr>
              <w:t>污染物</w:t>
            </w:r>
          </w:p>
        </w:tc>
        <w:tc>
          <w:tcPr>
            <w:tcW w:w="2528" w:type="dxa"/>
            <w:vAlign w:val="top"/>
          </w:tcPr>
          <w:p>
            <w:pPr>
              <w:pStyle w:val="TableText"/>
              <w:ind w:left="402"/>
              <w:spacing w:before="22" w:line="210" w:lineRule="auto"/>
              <w:rPr>
                <w:sz w:val="19"/>
                <w:szCs w:val="19"/>
              </w:rPr>
            </w:pPr>
            <w:r>
              <w:rPr>
                <w:sz w:val="19"/>
                <w:szCs w:val="19"/>
                <w:spacing w:val="15"/>
              </w:rPr>
              <w:t>最大落地浓度</w:t>
            </w:r>
            <w:r>
              <w:rPr>
                <w:sz w:val="19"/>
                <w:szCs w:val="19"/>
              </w:rPr>
              <w:t>mg</w:t>
            </w:r>
            <w:r>
              <w:rPr>
                <w:sz w:val="19"/>
                <w:szCs w:val="19"/>
                <w:spacing w:val="15"/>
              </w:rPr>
              <w:t>/m³</w:t>
            </w:r>
          </w:p>
        </w:tc>
        <w:tc>
          <w:tcPr>
            <w:tcW w:w="1199" w:type="dxa"/>
            <w:vAlign w:val="top"/>
          </w:tcPr>
          <w:p>
            <w:pPr>
              <w:pStyle w:val="TableText"/>
              <w:ind w:left="254"/>
              <w:spacing w:before="29" w:line="204" w:lineRule="auto"/>
              <w:rPr>
                <w:sz w:val="19"/>
                <w:szCs w:val="19"/>
              </w:rPr>
            </w:pPr>
            <w:r>
              <w:rPr>
                <w:sz w:val="19"/>
                <w:szCs w:val="19"/>
                <w:spacing w:val="2"/>
              </w:rPr>
              <w:t>占标率%</w:t>
            </w:r>
          </w:p>
        </w:tc>
        <w:tc>
          <w:tcPr>
            <w:tcW w:w="2518" w:type="dxa"/>
            <w:vAlign w:val="top"/>
          </w:tcPr>
          <w:p>
            <w:pPr>
              <w:pStyle w:val="TableText"/>
              <w:ind w:left="394"/>
              <w:spacing w:before="22" w:line="210" w:lineRule="auto"/>
              <w:rPr>
                <w:sz w:val="19"/>
                <w:szCs w:val="19"/>
              </w:rPr>
            </w:pPr>
            <w:r>
              <w:rPr>
                <w:sz w:val="19"/>
                <w:szCs w:val="19"/>
                <w:spacing w:val="15"/>
              </w:rPr>
              <w:t>最大落地浓度</w:t>
            </w:r>
            <w:r>
              <w:rPr>
                <w:sz w:val="19"/>
                <w:szCs w:val="19"/>
              </w:rPr>
              <w:t>mg</w:t>
            </w:r>
            <w:r>
              <w:rPr>
                <w:sz w:val="19"/>
                <w:szCs w:val="19"/>
                <w:spacing w:val="15"/>
              </w:rPr>
              <w:t>/m³</w:t>
            </w:r>
          </w:p>
        </w:tc>
        <w:tc>
          <w:tcPr>
            <w:tcW w:w="1199" w:type="dxa"/>
            <w:vAlign w:val="top"/>
          </w:tcPr>
          <w:p>
            <w:pPr>
              <w:pStyle w:val="TableText"/>
              <w:ind w:left="256"/>
              <w:spacing w:before="29" w:line="204" w:lineRule="auto"/>
              <w:rPr>
                <w:sz w:val="19"/>
                <w:szCs w:val="19"/>
              </w:rPr>
            </w:pPr>
            <w:r>
              <w:rPr>
                <w:sz w:val="19"/>
                <w:szCs w:val="19"/>
                <w:spacing w:val="2"/>
              </w:rPr>
              <w:t>占标率%</w:t>
            </w:r>
          </w:p>
        </w:tc>
        <w:tc>
          <w:tcPr>
            <w:tcW w:w="2529" w:type="dxa"/>
            <w:vAlign w:val="top"/>
          </w:tcPr>
          <w:p>
            <w:pPr>
              <w:pStyle w:val="TableText"/>
              <w:ind w:left="408"/>
              <w:spacing w:before="22" w:line="210" w:lineRule="auto"/>
              <w:rPr>
                <w:sz w:val="19"/>
                <w:szCs w:val="19"/>
              </w:rPr>
            </w:pPr>
            <w:r>
              <w:rPr>
                <w:sz w:val="19"/>
                <w:szCs w:val="19"/>
                <w:spacing w:val="15"/>
              </w:rPr>
              <w:t>最大落地浓度</w:t>
            </w:r>
            <w:r>
              <w:rPr>
                <w:sz w:val="19"/>
                <w:szCs w:val="19"/>
              </w:rPr>
              <w:t>mg</w:t>
            </w:r>
            <w:r>
              <w:rPr>
                <w:sz w:val="19"/>
                <w:szCs w:val="19"/>
                <w:spacing w:val="15"/>
              </w:rPr>
              <w:t>/m³</w:t>
            </w:r>
          </w:p>
        </w:tc>
        <w:tc>
          <w:tcPr>
            <w:tcW w:w="1184" w:type="dxa"/>
            <w:vAlign w:val="top"/>
          </w:tcPr>
          <w:p>
            <w:pPr>
              <w:pStyle w:val="TableText"/>
              <w:ind w:left="248"/>
              <w:spacing w:before="29" w:line="204" w:lineRule="auto"/>
              <w:rPr>
                <w:sz w:val="19"/>
                <w:szCs w:val="19"/>
              </w:rPr>
            </w:pPr>
            <w:r>
              <w:rPr>
                <w:sz w:val="19"/>
                <w:szCs w:val="19"/>
                <w:spacing w:val="2"/>
              </w:rPr>
              <w:t>占标率%</w:t>
            </w:r>
          </w:p>
        </w:tc>
      </w:tr>
      <w:tr>
        <w:trPr>
          <w:trHeight w:val="269" w:hRule="atLeast"/>
        </w:trPr>
        <w:tc>
          <w:tcPr>
            <w:tcW w:w="1394" w:type="dxa"/>
            <w:vAlign w:val="top"/>
          </w:tcPr>
          <w:p>
            <w:pPr>
              <w:pStyle w:val="TableText"/>
              <w:ind w:left="444"/>
              <w:spacing w:before="87" w:line="167" w:lineRule="auto"/>
              <w:rPr>
                <w:sz w:val="19"/>
                <w:szCs w:val="19"/>
              </w:rPr>
            </w:pPr>
            <w:r>
              <w:rPr>
                <w:sz w:val="19"/>
                <w:szCs w:val="19"/>
                <w:spacing w:val="-1"/>
              </w:rPr>
              <w:t>DA026</w:t>
            </w:r>
          </w:p>
        </w:tc>
        <w:tc>
          <w:tcPr>
            <w:tcW w:w="1569" w:type="dxa"/>
            <w:vAlign w:val="top"/>
          </w:tcPr>
          <w:p>
            <w:pPr>
              <w:pStyle w:val="TableText"/>
              <w:ind w:left="300"/>
              <w:spacing w:before="40" w:line="212" w:lineRule="auto"/>
              <w:rPr>
                <w:sz w:val="19"/>
                <w:szCs w:val="19"/>
              </w:rPr>
            </w:pPr>
            <w:r>
              <w:rPr>
                <w:sz w:val="19"/>
                <w:szCs w:val="19"/>
                <w:spacing w:val="-2"/>
              </w:rPr>
              <w:t>非甲烷总烃</w:t>
            </w:r>
          </w:p>
        </w:tc>
        <w:tc>
          <w:tcPr>
            <w:tcW w:w="2528" w:type="dxa"/>
            <w:vAlign w:val="top"/>
          </w:tcPr>
          <w:p>
            <w:pPr>
              <w:pStyle w:val="TableText"/>
              <w:ind w:left="872"/>
              <w:spacing w:before="89" w:line="165" w:lineRule="auto"/>
              <w:rPr>
                <w:sz w:val="19"/>
                <w:szCs w:val="19"/>
              </w:rPr>
            </w:pPr>
            <w:r>
              <w:rPr>
                <w:sz w:val="19"/>
                <w:szCs w:val="19"/>
                <w:spacing w:val="-2"/>
              </w:rPr>
              <w:t>3.32E-03</w:t>
            </w:r>
          </w:p>
        </w:tc>
        <w:tc>
          <w:tcPr>
            <w:tcW w:w="1199" w:type="dxa"/>
            <w:vAlign w:val="top"/>
          </w:tcPr>
          <w:p>
            <w:pPr>
              <w:pStyle w:val="TableText"/>
              <w:ind w:left="403"/>
              <w:spacing w:before="88" w:line="166" w:lineRule="auto"/>
              <w:rPr>
                <w:sz w:val="19"/>
                <w:szCs w:val="19"/>
              </w:rPr>
            </w:pPr>
            <w:r>
              <w:rPr>
                <w:sz w:val="19"/>
                <w:szCs w:val="19"/>
                <w:spacing w:val="-2"/>
              </w:rPr>
              <w:t>0.17</w:t>
            </w:r>
          </w:p>
        </w:tc>
        <w:tc>
          <w:tcPr>
            <w:tcW w:w="2518" w:type="dxa"/>
            <w:vAlign w:val="top"/>
          </w:tcPr>
          <w:p>
            <w:pPr>
              <w:pStyle w:val="TableText"/>
              <w:ind w:left="874"/>
              <w:spacing w:before="88" w:line="166" w:lineRule="auto"/>
              <w:rPr>
                <w:sz w:val="19"/>
                <w:szCs w:val="19"/>
              </w:rPr>
            </w:pPr>
            <w:r>
              <w:rPr>
                <w:sz w:val="19"/>
                <w:szCs w:val="19"/>
                <w:spacing w:val="-2"/>
              </w:rPr>
              <w:t>3.16E-03</w:t>
            </w:r>
          </w:p>
        </w:tc>
        <w:tc>
          <w:tcPr>
            <w:tcW w:w="1199" w:type="dxa"/>
            <w:vAlign w:val="top"/>
          </w:tcPr>
          <w:p>
            <w:pPr>
              <w:pStyle w:val="TableText"/>
              <w:ind w:left="407"/>
              <w:spacing w:before="88" w:line="166" w:lineRule="auto"/>
              <w:rPr>
                <w:sz w:val="19"/>
                <w:szCs w:val="19"/>
              </w:rPr>
            </w:pPr>
            <w:r>
              <w:rPr>
                <w:sz w:val="19"/>
                <w:szCs w:val="19"/>
                <w:spacing w:val="-2"/>
              </w:rPr>
              <w:t>0.16</w:t>
            </w:r>
          </w:p>
        </w:tc>
        <w:tc>
          <w:tcPr>
            <w:tcW w:w="2529" w:type="dxa"/>
            <w:vAlign w:val="top"/>
          </w:tcPr>
          <w:p>
            <w:pPr>
              <w:pStyle w:val="TableText"/>
              <w:ind w:left="878"/>
              <w:spacing w:before="88" w:line="166" w:lineRule="auto"/>
              <w:rPr>
                <w:sz w:val="19"/>
                <w:szCs w:val="19"/>
              </w:rPr>
            </w:pPr>
            <w:r>
              <w:rPr>
                <w:sz w:val="19"/>
                <w:szCs w:val="19"/>
                <w:spacing w:val="-2"/>
              </w:rPr>
              <w:t>2.01E-03</w:t>
            </w:r>
          </w:p>
        </w:tc>
        <w:tc>
          <w:tcPr>
            <w:tcW w:w="1184" w:type="dxa"/>
            <w:vAlign w:val="top"/>
          </w:tcPr>
          <w:p>
            <w:pPr>
              <w:pStyle w:val="TableText"/>
              <w:ind w:left="398"/>
              <w:spacing w:before="88" w:line="166" w:lineRule="auto"/>
              <w:rPr>
                <w:sz w:val="19"/>
                <w:szCs w:val="19"/>
              </w:rPr>
            </w:pPr>
            <w:r>
              <w:rPr>
                <w:sz w:val="19"/>
                <w:szCs w:val="19"/>
                <w:spacing w:val="-2"/>
              </w:rPr>
              <w:t>0.10</w:t>
            </w:r>
          </w:p>
        </w:tc>
      </w:tr>
      <w:tr>
        <w:trPr>
          <w:trHeight w:val="249" w:hRule="atLeast"/>
        </w:trPr>
        <w:tc>
          <w:tcPr>
            <w:tcW w:w="1394" w:type="dxa"/>
            <w:vAlign w:val="top"/>
            <w:vMerge w:val="restart"/>
            <w:tcBorders>
              <w:bottom w:val="nil"/>
            </w:tcBorders>
          </w:tcPr>
          <w:p>
            <w:pPr>
              <w:spacing w:line="282" w:lineRule="auto"/>
              <w:rPr>
                <w:rFonts w:ascii="Arial"/>
                <w:sz w:val="21"/>
              </w:rPr>
            </w:pPr>
            <w:r/>
          </w:p>
          <w:p>
            <w:pPr>
              <w:pStyle w:val="TableText"/>
              <w:ind w:left="114"/>
              <w:spacing w:before="62" w:line="184" w:lineRule="auto"/>
              <w:rPr>
                <w:sz w:val="19"/>
                <w:szCs w:val="19"/>
              </w:rPr>
            </w:pPr>
            <w:r>
              <w:rPr>
                <w:sz w:val="19"/>
                <w:szCs w:val="19"/>
                <w:spacing w:val="-1"/>
              </w:rPr>
              <w:t>DA025、DA027</w:t>
            </w:r>
          </w:p>
        </w:tc>
        <w:tc>
          <w:tcPr>
            <w:tcW w:w="1569" w:type="dxa"/>
            <w:vAlign w:val="top"/>
          </w:tcPr>
          <w:p>
            <w:pPr>
              <w:pStyle w:val="TableText"/>
              <w:ind w:left="581"/>
              <w:spacing w:before="60" w:line="173" w:lineRule="auto"/>
              <w:rPr>
                <w:rFonts w:ascii="Calibri" w:hAnsi="Calibri" w:eastAsia="Calibri" w:cs="Calibri"/>
                <w:sz w:val="19"/>
                <w:szCs w:val="19"/>
              </w:rPr>
            </w:pPr>
            <w:r>
              <w:rPr>
                <w:sz w:val="19"/>
                <w:szCs w:val="19"/>
                <w:spacing w:val="-3"/>
              </w:rPr>
              <w:t>SO</w:t>
            </w:r>
            <w:r>
              <w:rPr>
                <w:rFonts w:ascii="Calibri" w:hAnsi="Calibri" w:eastAsia="Calibri" w:cs="Calibri"/>
                <w:sz w:val="19"/>
                <w:szCs w:val="19"/>
                <w:spacing w:val="-3"/>
              </w:rPr>
              <w:t>₂</w:t>
            </w:r>
          </w:p>
        </w:tc>
        <w:tc>
          <w:tcPr>
            <w:tcW w:w="2528" w:type="dxa"/>
            <w:vAlign w:val="top"/>
          </w:tcPr>
          <w:p>
            <w:pPr>
              <w:pStyle w:val="TableText"/>
              <w:ind w:left="872"/>
              <w:spacing w:before="79" w:line="160" w:lineRule="exact"/>
              <w:rPr>
                <w:sz w:val="19"/>
                <w:szCs w:val="19"/>
              </w:rPr>
            </w:pPr>
            <w:r>
              <w:rPr>
                <w:sz w:val="19"/>
                <w:szCs w:val="19"/>
                <w:spacing w:val="-1"/>
                <w:position w:val="-2"/>
              </w:rPr>
              <w:t>4.72E-04</w:t>
            </w:r>
          </w:p>
        </w:tc>
        <w:tc>
          <w:tcPr>
            <w:tcW w:w="1199" w:type="dxa"/>
            <w:vAlign w:val="top"/>
          </w:tcPr>
          <w:p>
            <w:pPr>
              <w:pStyle w:val="TableText"/>
              <w:ind w:left="403"/>
              <w:spacing w:before="79" w:line="160" w:lineRule="exact"/>
              <w:rPr>
                <w:sz w:val="19"/>
                <w:szCs w:val="19"/>
              </w:rPr>
            </w:pPr>
            <w:r>
              <w:rPr>
                <w:sz w:val="19"/>
                <w:szCs w:val="19"/>
                <w:spacing w:val="-2"/>
                <w:position w:val="-2"/>
              </w:rPr>
              <w:t>0.09</w:t>
            </w:r>
          </w:p>
        </w:tc>
        <w:tc>
          <w:tcPr>
            <w:tcW w:w="2518" w:type="dxa"/>
            <w:vAlign w:val="top"/>
          </w:tcPr>
          <w:p>
            <w:pPr>
              <w:pStyle w:val="TableText"/>
              <w:ind w:left="874"/>
              <w:spacing w:before="79" w:line="160" w:lineRule="exact"/>
              <w:rPr>
                <w:sz w:val="19"/>
                <w:szCs w:val="19"/>
              </w:rPr>
            </w:pPr>
            <w:r>
              <w:rPr>
                <w:sz w:val="19"/>
                <w:szCs w:val="19"/>
                <w:spacing w:val="-1"/>
                <w:position w:val="-2"/>
              </w:rPr>
              <w:t>4.30E-04</w:t>
            </w:r>
          </w:p>
        </w:tc>
        <w:tc>
          <w:tcPr>
            <w:tcW w:w="1199" w:type="dxa"/>
            <w:vAlign w:val="top"/>
          </w:tcPr>
          <w:p>
            <w:pPr>
              <w:pStyle w:val="TableText"/>
              <w:ind w:left="407"/>
              <w:spacing w:before="79" w:line="160" w:lineRule="exact"/>
              <w:rPr>
                <w:sz w:val="19"/>
                <w:szCs w:val="19"/>
              </w:rPr>
            </w:pPr>
            <w:r>
              <w:rPr>
                <w:sz w:val="19"/>
                <w:szCs w:val="19"/>
                <w:spacing w:val="-2"/>
                <w:position w:val="-2"/>
              </w:rPr>
              <w:t>0.09</w:t>
            </w:r>
          </w:p>
        </w:tc>
        <w:tc>
          <w:tcPr>
            <w:tcW w:w="2529" w:type="dxa"/>
            <w:vAlign w:val="top"/>
          </w:tcPr>
          <w:p>
            <w:pPr>
              <w:pStyle w:val="TableText"/>
              <w:ind w:left="878"/>
              <w:spacing w:before="79" w:line="160" w:lineRule="exact"/>
              <w:rPr>
                <w:sz w:val="19"/>
                <w:szCs w:val="19"/>
              </w:rPr>
            </w:pPr>
            <w:r>
              <w:rPr>
                <w:sz w:val="19"/>
                <w:szCs w:val="19"/>
                <w:spacing w:val="-2"/>
                <w:position w:val="-2"/>
              </w:rPr>
              <w:t>5.52E-04</w:t>
            </w:r>
          </w:p>
        </w:tc>
        <w:tc>
          <w:tcPr>
            <w:tcW w:w="1184" w:type="dxa"/>
            <w:vAlign w:val="top"/>
          </w:tcPr>
          <w:p>
            <w:pPr>
              <w:pStyle w:val="TableText"/>
              <w:ind w:left="398"/>
              <w:spacing w:before="79" w:line="160" w:lineRule="exact"/>
              <w:rPr>
                <w:sz w:val="19"/>
                <w:szCs w:val="19"/>
              </w:rPr>
            </w:pPr>
            <w:r>
              <w:rPr>
                <w:sz w:val="19"/>
                <w:szCs w:val="19"/>
                <w:spacing w:val="-2"/>
                <w:position w:val="-2"/>
              </w:rPr>
              <w:t>0.11</w:t>
            </w:r>
          </w:p>
        </w:tc>
      </w:tr>
      <w:tr>
        <w:trPr>
          <w:trHeight w:val="269" w:hRule="atLeast"/>
        </w:trPr>
        <w:tc>
          <w:tcPr>
            <w:tcW w:w="1394" w:type="dxa"/>
            <w:vAlign w:val="top"/>
            <w:vMerge w:val="continue"/>
            <w:tcBorders>
              <w:top w:val="nil"/>
              <w:bottom w:val="nil"/>
            </w:tcBorders>
          </w:tcPr>
          <w:p>
            <w:pPr>
              <w:rPr>
                <w:rFonts w:ascii="Arial"/>
                <w:sz w:val="21"/>
              </w:rPr>
            </w:pPr>
            <w:r/>
          </w:p>
        </w:tc>
        <w:tc>
          <w:tcPr>
            <w:tcW w:w="1569" w:type="dxa"/>
            <w:vAlign w:val="top"/>
          </w:tcPr>
          <w:p>
            <w:pPr>
              <w:pStyle w:val="TableText"/>
              <w:ind w:left="581"/>
              <w:spacing w:before="72" w:line="181" w:lineRule="auto"/>
              <w:rPr>
                <w:rFonts w:ascii="Calibri" w:hAnsi="Calibri" w:eastAsia="Calibri" w:cs="Calibri"/>
                <w:sz w:val="19"/>
                <w:szCs w:val="19"/>
              </w:rPr>
            </w:pPr>
            <w:r>
              <w:rPr>
                <w:sz w:val="19"/>
                <w:szCs w:val="19"/>
                <w:spacing w:val="-2"/>
              </w:rPr>
              <w:t>PM</w:t>
            </w:r>
            <w:r>
              <w:rPr>
                <w:rFonts w:ascii="Calibri" w:hAnsi="Calibri" w:eastAsia="Calibri" w:cs="Calibri"/>
                <w:sz w:val="19"/>
                <w:szCs w:val="19"/>
                <w:spacing w:val="-2"/>
              </w:rPr>
              <w:t>₀</w:t>
            </w:r>
          </w:p>
        </w:tc>
        <w:tc>
          <w:tcPr>
            <w:tcW w:w="2528" w:type="dxa"/>
            <w:vAlign w:val="top"/>
          </w:tcPr>
          <w:p>
            <w:pPr>
              <w:pStyle w:val="TableText"/>
              <w:ind w:left="872"/>
              <w:spacing w:before="90" w:line="164" w:lineRule="auto"/>
              <w:rPr>
                <w:sz w:val="19"/>
                <w:szCs w:val="19"/>
              </w:rPr>
            </w:pPr>
            <w:r>
              <w:rPr>
                <w:sz w:val="19"/>
                <w:szCs w:val="19"/>
                <w:spacing w:val="-2"/>
              </w:rPr>
              <w:t>5.14E-04</w:t>
            </w:r>
          </w:p>
        </w:tc>
        <w:tc>
          <w:tcPr>
            <w:tcW w:w="1199" w:type="dxa"/>
            <w:vAlign w:val="top"/>
          </w:tcPr>
          <w:p>
            <w:pPr>
              <w:pStyle w:val="TableText"/>
              <w:ind w:left="403"/>
              <w:spacing w:before="90" w:line="164" w:lineRule="auto"/>
              <w:rPr>
                <w:sz w:val="19"/>
                <w:szCs w:val="19"/>
              </w:rPr>
            </w:pPr>
            <w:r>
              <w:rPr>
                <w:sz w:val="19"/>
                <w:szCs w:val="19"/>
                <w:spacing w:val="-2"/>
              </w:rPr>
              <w:t>0.11</w:t>
            </w:r>
          </w:p>
        </w:tc>
        <w:tc>
          <w:tcPr>
            <w:tcW w:w="2518" w:type="dxa"/>
            <w:vAlign w:val="top"/>
          </w:tcPr>
          <w:p>
            <w:pPr>
              <w:pStyle w:val="TableText"/>
              <w:ind w:left="874"/>
              <w:spacing w:before="91" w:line="163" w:lineRule="auto"/>
              <w:rPr>
                <w:sz w:val="19"/>
                <w:szCs w:val="19"/>
              </w:rPr>
            </w:pPr>
            <w:r>
              <w:rPr>
                <w:sz w:val="19"/>
                <w:szCs w:val="19"/>
                <w:spacing w:val="-1"/>
              </w:rPr>
              <w:t>4.68E-04</w:t>
            </w:r>
          </w:p>
        </w:tc>
        <w:tc>
          <w:tcPr>
            <w:tcW w:w="1199" w:type="dxa"/>
            <w:vAlign w:val="top"/>
          </w:tcPr>
          <w:p>
            <w:pPr>
              <w:pStyle w:val="TableText"/>
              <w:ind w:left="407"/>
              <w:spacing w:before="90" w:line="164" w:lineRule="auto"/>
              <w:rPr>
                <w:sz w:val="19"/>
                <w:szCs w:val="19"/>
              </w:rPr>
            </w:pPr>
            <w:r>
              <w:rPr>
                <w:sz w:val="19"/>
                <w:szCs w:val="19"/>
                <w:spacing w:val="-2"/>
              </w:rPr>
              <w:t>0.10</w:t>
            </w:r>
          </w:p>
        </w:tc>
        <w:tc>
          <w:tcPr>
            <w:tcW w:w="2529" w:type="dxa"/>
            <w:vAlign w:val="top"/>
          </w:tcPr>
          <w:p>
            <w:pPr>
              <w:pStyle w:val="TableText"/>
              <w:ind w:left="878"/>
              <w:spacing w:before="90" w:line="164" w:lineRule="auto"/>
              <w:rPr>
                <w:sz w:val="19"/>
                <w:szCs w:val="19"/>
              </w:rPr>
            </w:pPr>
            <w:r>
              <w:rPr>
                <w:sz w:val="19"/>
                <w:szCs w:val="19"/>
                <w:spacing w:val="-2"/>
              </w:rPr>
              <w:t>6.01E-04</w:t>
            </w:r>
          </w:p>
        </w:tc>
        <w:tc>
          <w:tcPr>
            <w:tcW w:w="1184" w:type="dxa"/>
            <w:vAlign w:val="top"/>
          </w:tcPr>
          <w:p>
            <w:pPr>
              <w:pStyle w:val="TableText"/>
              <w:ind w:left="398"/>
              <w:spacing w:before="90" w:line="164" w:lineRule="auto"/>
              <w:rPr>
                <w:sz w:val="19"/>
                <w:szCs w:val="19"/>
              </w:rPr>
            </w:pPr>
            <w:r>
              <w:rPr>
                <w:sz w:val="19"/>
                <w:szCs w:val="19"/>
                <w:spacing w:val="-2"/>
              </w:rPr>
              <w:t>0.13</w:t>
            </w:r>
          </w:p>
        </w:tc>
      </w:tr>
      <w:tr>
        <w:trPr>
          <w:trHeight w:val="249" w:hRule="atLeast"/>
        </w:trPr>
        <w:tc>
          <w:tcPr>
            <w:tcW w:w="1394" w:type="dxa"/>
            <w:vAlign w:val="top"/>
            <w:vMerge w:val="continue"/>
            <w:tcBorders>
              <w:top w:val="nil"/>
            </w:tcBorders>
          </w:tcPr>
          <w:p>
            <w:pPr>
              <w:rPr>
                <w:rFonts w:ascii="Arial"/>
                <w:sz w:val="21"/>
              </w:rPr>
            </w:pPr>
            <w:r/>
          </w:p>
        </w:tc>
        <w:tc>
          <w:tcPr>
            <w:tcW w:w="1569" w:type="dxa"/>
            <w:vAlign w:val="top"/>
          </w:tcPr>
          <w:p>
            <w:pPr>
              <w:pStyle w:val="TableText"/>
              <w:ind w:left="630"/>
              <w:spacing w:before="81" w:line="158" w:lineRule="exact"/>
              <w:rPr>
                <w:sz w:val="19"/>
                <w:szCs w:val="19"/>
              </w:rPr>
            </w:pPr>
            <w:r>
              <w:rPr>
                <w:sz w:val="19"/>
                <w:szCs w:val="19"/>
                <w:spacing w:val="-1"/>
                <w:position w:val="-2"/>
              </w:rPr>
              <w:t>NOx</w:t>
            </w:r>
          </w:p>
        </w:tc>
        <w:tc>
          <w:tcPr>
            <w:tcW w:w="2528" w:type="dxa"/>
            <w:vAlign w:val="top"/>
          </w:tcPr>
          <w:p>
            <w:pPr>
              <w:pStyle w:val="TableText"/>
              <w:ind w:left="872"/>
              <w:spacing w:before="81" w:line="158" w:lineRule="exact"/>
              <w:rPr>
                <w:sz w:val="19"/>
                <w:szCs w:val="19"/>
              </w:rPr>
            </w:pPr>
            <w:r>
              <w:rPr>
                <w:sz w:val="19"/>
                <w:szCs w:val="19"/>
                <w:spacing w:val="-3"/>
                <w:position w:val="-2"/>
              </w:rPr>
              <w:t>1.58E-03</w:t>
            </w:r>
          </w:p>
        </w:tc>
        <w:tc>
          <w:tcPr>
            <w:tcW w:w="1199" w:type="dxa"/>
            <w:vAlign w:val="top"/>
          </w:tcPr>
          <w:p>
            <w:pPr>
              <w:pStyle w:val="TableText"/>
              <w:ind w:left="403"/>
              <w:spacing w:before="81" w:line="158" w:lineRule="exact"/>
              <w:rPr>
                <w:sz w:val="19"/>
                <w:szCs w:val="19"/>
              </w:rPr>
            </w:pPr>
            <w:r>
              <w:rPr>
                <w:sz w:val="19"/>
                <w:szCs w:val="19"/>
                <w:spacing w:val="-2"/>
                <w:position w:val="-2"/>
              </w:rPr>
              <w:t>0.63</w:t>
            </w:r>
          </w:p>
        </w:tc>
        <w:tc>
          <w:tcPr>
            <w:tcW w:w="2518" w:type="dxa"/>
            <w:vAlign w:val="top"/>
          </w:tcPr>
          <w:p>
            <w:pPr>
              <w:pStyle w:val="TableText"/>
              <w:ind w:left="874"/>
              <w:spacing w:before="81" w:line="158" w:lineRule="exact"/>
              <w:rPr>
                <w:sz w:val="19"/>
                <w:szCs w:val="19"/>
              </w:rPr>
            </w:pPr>
            <w:r>
              <w:rPr>
                <w:sz w:val="19"/>
                <w:szCs w:val="19"/>
                <w:spacing w:val="-3"/>
                <w:position w:val="-2"/>
              </w:rPr>
              <w:t>1.44E-03</w:t>
            </w:r>
          </w:p>
        </w:tc>
        <w:tc>
          <w:tcPr>
            <w:tcW w:w="1199" w:type="dxa"/>
            <w:vAlign w:val="top"/>
          </w:tcPr>
          <w:p>
            <w:pPr>
              <w:pStyle w:val="TableText"/>
              <w:ind w:left="407"/>
              <w:spacing w:before="81" w:line="158" w:lineRule="exact"/>
              <w:rPr>
                <w:sz w:val="19"/>
                <w:szCs w:val="19"/>
              </w:rPr>
            </w:pPr>
            <w:r>
              <w:rPr>
                <w:sz w:val="19"/>
                <w:szCs w:val="19"/>
                <w:spacing w:val="-2"/>
                <w:position w:val="-2"/>
              </w:rPr>
              <w:t>0.58</w:t>
            </w:r>
          </w:p>
        </w:tc>
        <w:tc>
          <w:tcPr>
            <w:tcW w:w="2529" w:type="dxa"/>
            <w:vAlign w:val="top"/>
          </w:tcPr>
          <w:p>
            <w:pPr>
              <w:pStyle w:val="TableText"/>
              <w:ind w:left="878"/>
              <w:spacing w:before="81" w:line="158" w:lineRule="exact"/>
              <w:rPr>
                <w:sz w:val="19"/>
                <w:szCs w:val="19"/>
              </w:rPr>
            </w:pPr>
            <w:r>
              <w:rPr>
                <w:sz w:val="19"/>
                <w:szCs w:val="19"/>
                <w:spacing w:val="-3"/>
                <w:position w:val="-2"/>
              </w:rPr>
              <w:t>1.85E-03</w:t>
            </w:r>
          </w:p>
        </w:tc>
        <w:tc>
          <w:tcPr>
            <w:tcW w:w="1184" w:type="dxa"/>
            <w:vAlign w:val="top"/>
          </w:tcPr>
          <w:p>
            <w:pPr>
              <w:pStyle w:val="TableText"/>
              <w:ind w:left="398"/>
              <w:spacing w:before="81" w:line="158" w:lineRule="exact"/>
              <w:rPr>
                <w:sz w:val="19"/>
                <w:szCs w:val="19"/>
              </w:rPr>
            </w:pPr>
            <w:r>
              <w:rPr>
                <w:sz w:val="19"/>
                <w:szCs w:val="19"/>
                <w:spacing w:val="-2"/>
                <w:position w:val="-2"/>
              </w:rPr>
              <w:t>0.74</w:t>
            </w:r>
          </w:p>
        </w:tc>
      </w:tr>
      <w:tr>
        <w:trPr>
          <w:trHeight w:val="269" w:hRule="atLeast"/>
        </w:trPr>
        <w:tc>
          <w:tcPr>
            <w:tcW w:w="1394" w:type="dxa"/>
            <w:vAlign w:val="top"/>
            <w:vMerge w:val="restart"/>
            <w:tcBorders>
              <w:bottom w:val="nil"/>
            </w:tcBorders>
          </w:tcPr>
          <w:p>
            <w:pPr>
              <w:spacing w:line="297" w:lineRule="auto"/>
              <w:rPr>
                <w:rFonts w:ascii="Arial"/>
                <w:sz w:val="21"/>
              </w:rPr>
            </w:pPr>
            <w:r/>
          </w:p>
          <w:p>
            <w:pPr>
              <w:pStyle w:val="TableText"/>
              <w:ind w:left="444"/>
              <w:spacing w:before="61" w:line="185" w:lineRule="auto"/>
              <w:rPr>
                <w:sz w:val="19"/>
                <w:szCs w:val="19"/>
              </w:rPr>
            </w:pPr>
            <w:r>
              <w:rPr>
                <w:sz w:val="19"/>
                <w:szCs w:val="19"/>
                <w:spacing w:val="-1"/>
              </w:rPr>
              <w:t>DA028</w:t>
            </w:r>
          </w:p>
        </w:tc>
        <w:tc>
          <w:tcPr>
            <w:tcW w:w="1569" w:type="dxa"/>
            <w:vAlign w:val="top"/>
          </w:tcPr>
          <w:p>
            <w:pPr>
              <w:pStyle w:val="TableText"/>
              <w:ind w:left="581"/>
              <w:spacing w:before="73" w:line="180" w:lineRule="auto"/>
              <w:rPr>
                <w:rFonts w:ascii="Calibri" w:hAnsi="Calibri" w:eastAsia="Calibri" w:cs="Calibri"/>
                <w:sz w:val="19"/>
                <w:szCs w:val="19"/>
              </w:rPr>
            </w:pPr>
            <w:r>
              <w:rPr>
                <w:sz w:val="19"/>
                <w:szCs w:val="19"/>
                <w:spacing w:val="-3"/>
              </w:rPr>
              <w:t>SO</w:t>
            </w:r>
            <w:r>
              <w:rPr>
                <w:rFonts w:ascii="Calibri" w:hAnsi="Calibri" w:eastAsia="Calibri" w:cs="Calibri"/>
                <w:sz w:val="19"/>
                <w:szCs w:val="19"/>
                <w:spacing w:val="-3"/>
              </w:rPr>
              <w:t>₂</w:t>
            </w:r>
          </w:p>
        </w:tc>
        <w:tc>
          <w:tcPr>
            <w:tcW w:w="2528" w:type="dxa"/>
            <w:vAlign w:val="top"/>
          </w:tcPr>
          <w:p>
            <w:pPr>
              <w:pStyle w:val="TableText"/>
              <w:ind w:left="872"/>
              <w:spacing w:before="93" w:line="161" w:lineRule="auto"/>
              <w:rPr>
                <w:sz w:val="19"/>
                <w:szCs w:val="19"/>
              </w:rPr>
            </w:pPr>
            <w:r>
              <w:rPr>
                <w:sz w:val="19"/>
                <w:szCs w:val="19"/>
                <w:spacing w:val="-2"/>
              </w:rPr>
              <w:t>6.68E-04</w:t>
            </w:r>
          </w:p>
        </w:tc>
        <w:tc>
          <w:tcPr>
            <w:tcW w:w="1199" w:type="dxa"/>
            <w:vAlign w:val="top"/>
          </w:tcPr>
          <w:p>
            <w:pPr>
              <w:pStyle w:val="TableText"/>
              <w:ind w:left="403"/>
              <w:spacing w:before="92" w:line="162" w:lineRule="auto"/>
              <w:rPr>
                <w:sz w:val="19"/>
                <w:szCs w:val="19"/>
              </w:rPr>
            </w:pPr>
            <w:r>
              <w:rPr>
                <w:sz w:val="19"/>
                <w:szCs w:val="19"/>
                <w:spacing w:val="-2"/>
              </w:rPr>
              <w:t>0.13</w:t>
            </w:r>
          </w:p>
        </w:tc>
        <w:tc>
          <w:tcPr>
            <w:tcW w:w="2518" w:type="dxa"/>
            <w:vAlign w:val="top"/>
          </w:tcPr>
          <w:p>
            <w:pPr>
              <w:pStyle w:val="TableText"/>
              <w:ind w:left="874"/>
              <w:spacing w:before="92" w:line="162" w:lineRule="auto"/>
              <w:rPr>
                <w:sz w:val="19"/>
                <w:szCs w:val="19"/>
              </w:rPr>
            </w:pPr>
            <w:r>
              <w:rPr>
                <w:sz w:val="19"/>
                <w:szCs w:val="19"/>
                <w:spacing w:val="-2"/>
              </w:rPr>
              <w:t>6.12E-04</w:t>
            </w:r>
          </w:p>
        </w:tc>
        <w:tc>
          <w:tcPr>
            <w:tcW w:w="1199" w:type="dxa"/>
            <w:vAlign w:val="top"/>
          </w:tcPr>
          <w:p>
            <w:pPr>
              <w:pStyle w:val="TableText"/>
              <w:ind w:left="407"/>
              <w:spacing w:before="92" w:line="162" w:lineRule="auto"/>
              <w:rPr>
                <w:sz w:val="19"/>
                <w:szCs w:val="19"/>
              </w:rPr>
            </w:pPr>
            <w:r>
              <w:rPr>
                <w:sz w:val="19"/>
                <w:szCs w:val="19"/>
                <w:spacing w:val="-2"/>
              </w:rPr>
              <w:t>0.12</w:t>
            </w:r>
          </w:p>
        </w:tc>
        <w:tc>
          <w:tcPr>
            <w:tcW w:w="2529" w:type="dxa"/>
            <w:vAlign w:val="top"/>
          </w:tcPr>
          <w:p>
            <w:pPr>
              <w:pStyle w:val="TableText"/>
              <w:ind w:left="878"/>
              <w:spacing w:before="93" w:line="161" w:lineRule="auto"/>
              <w:rPr>
                <w:sz w:val="19"/>
                <w:szCs w:val="19"/>
              </w:rPr>
            </w:pPr>
            <w:r>
              <w:rPr>
                <w:sz w:val="19"/>
                <w:szCs w:val="19"/>
                <w:spacing w:val="-2"/>
              </w:rPr>
              <w:t>5.84E-04</w:t>
            </w:r>
          </w:p>
        </w:tc>
        <w:tc>
          <w:tcPr>
            <w:tcW w:w="1184" w:type="dxa"/>
            <w:vAlign w:val="top"/>
          </w:tcPr>
          <w:p>
            <w:pPr>
              <w:pStyle w:val="TableText"/>
              <w:ind w:left="398"/>
              <w:spacing w:before="92" w:line="162" w:lineRule="auto"/>
              <w:rPr>
                <w:sz w:val="19"/>
                <w:szCs w:val="19"/>
              </w:rPr>
            </w:pPr>
            <w:r>
              <w:rPr>
                <w:sz w:val="19"/>
                <w:szCs w:val="19"/>
                <w:spacing w:val="-2"/>
              </w:rPr>
              <w:t>0.12</w:t>
            </w:r>
          </w:p>
        </w:tc>
      </w:tr>
      <w:tr>
        <w:trPr>
          <w:trHeight w:val="249" w:hRule="atLeast"/>
        </w:trPr>
        <w:tc>
          <w:tcPr>
            <w:tcW w:w="1394" w:type="dxa"/>
            <w:vAlign w:val="top"/>
            <w:vMerge w:val="continue"/>
            <w:tcBorders>
              <w:top w:val="nil"/>
              <w:bottom w:val="nil"/>
            </w:tcBorders>
          </w:tcPr>
          <w:p>
            <w:pPr>
              <w:rPr>
                <w:rFonts w:ascii="Arial"/>
                <w:sz w:val="21"/>
              </w:rPr>
            </w:pPr>
            <w:r/>
          </w:p>
        </w:tc>
        <w:tc>
          <w:tcPr>
            <w:tcW w:w="1569" w:type="dxa"/>
            <w:vAlign w:val="top"/>
          </w:tcPr>
          <w:p>
            <w:pPr>
              <w:pStyle w:val="TableText"/>
              <w:ind w:left="581"/>
              <w:spacing w:before="65" w:line="169" w:lineRule="auto"/>
              <w:rPr>
                <w:rFonts w:ascii="Calibri" w:hAnsi="Calibri" w:eastAsia="Calibri" w:cs="Calibri"/>
                <w:sz w:val="19"/>
                <w:szCs w:val="19"/>
              </w:rPr>
            </w:pPr>
            <w:r>
              <w:rPr>
                <w:sz w:val="19"/>
                <w:szCs w:val="19"/>
                <w:spacing w:val="-2"/>
              </w:rPr>
              <w:t>PM</w:t>
            </w:r>
            <w:r>
              <w:rPr>
                <w:rFonts w:ascii="Calibri" w:hAnsi="Calibri" w:eastAsia="Calibri" w:cs="Calibri"/>
                <w:sz w:val="19"/>
                <w:szCs w:val="19"/>
                <w:spacing w:val="-2"/>
              </w:rPr>
              <w:t>₀</w:t>
            </w:r>
          </w:p>
        </w:tc>
        <w:tc>
          <w:tcPr>
            <w:tcW w:w="2528" w:type="dxa"/>
            <w:vAlign w:val="top"/>
          </w:tcPr>
          <w:p>
            <w:pPr>
              <w:pStyle w:val="TableText"/>
              <w:ind w:left="872"/>
              <w:spacing w:before="83" w:line="156" w:lineRule="exact"/>
              <w:rPr>
                <w:sz w:val="19"/>
                <w:szCs w:val="19"/>
              </w:rPr>
            </w:pPr>
            <w:r>
              <w:rPr>
                <w:sz w:val="19"/>
                <w:szCs w:val="19"/>
                <w:spacing w:val="-2"/>
                <w:position w:val="-2"/>
              </w:rPr>
              <w:t>7.20E-04</w:t>
            </w:r>
          </w:p>
        </w:tc>
        <w:tc>
          <w:tcPr>
            <w:tcW w:w="1199" w:type="dxa"/>
            <w:vAlign w:val="top"/>
          </w:tcPr>
          <w:p>
            <w:pPr>
              <w:pStyle w:val="TableText"/>
              <w:ind w:left="403"/>
              <w:spacing w:before="83" w:line="156" w:lineRule="exact"/>
              <w:rPr>
                <w:sz w:val="19"/>
                <w:szCs w:val="19"/>
              </w:rPr>
            </w:pPr>
            <w:r>
              <w:rPr>
                <w:sz w:val="19"/>
                <w:szCs w:val="19"/>
                <w:spacing w:val="-2"/>
                <w:position w:val="-2"/>
              </w:rPr>
              <w:t>0.16</w:t>
            </w:r>
          </w:p>
        </w:tc>
        <w:tc>
          <w:tcPr>
            <w:tcW w:w="2518" w:type="dxa"/>
            <w:vAlign w:val="top"/>
          </w:tcPr>
          <w:p>
            <w:pPr>
              <w:pStyle w:val="TableText"/>
              <w:ind w:left="874"/>
              <w:spacing w:before="83" w:line="156" w:lineRule="exact"/>
              <w:rPr>
                <w:sz w:val="19"/>
                <w:szCs w:val="19"/>
              </w:rPr>
            </w:pPr>
            <w:r>
              <w:rPr>
                <w:sz w:val="19"/>
                <w:szCs w:val="19"/>
                <w:spacing w:val="-2"/>
                <w:position w:val="-2"/>
              </w:rPr>
              <w:t>6.60E-04</w:t>
            </w:r>
          </w:p>
        </w:tc>
        <w:tc>
          <w:tcPr>
            <w:tcW w:w="1199" w:type="dxa"/>
            <w:vAlign w:val="top"/>
          </w:tcPr>
          <w:p>
            <w:pPr>
              <w:pStyle w:val="TableText"/>
              <w:ind w:left="407"/>
              <w:spacing w:before="83" w:line="156" w:lineRule="exact"/>
              <w:rPr>
                <w:sz w:val="19"/>
                <w:szCs w:val="19"/>
              </w:rPr>
            </w:pPr>
            <w:r>
              <w:rPr>
                <w:sz w:val="19"/>
                <w:szCs w:val="19"/>
                <w:spacing w:val="-2"/>
                <w:position w:val="-2"/>
              </w:rPr>
              <w:t>0.15</w:t>
            </w:r>
          </w:p>
        </w:tc>
        <w:tc>
          <w:tcPr>
            <w:tcW w:w="2529" w:type="dxa"/>
            <w:vAlign w:val="top"/>
          </w:tcPr>
          <w:p>
            <w:pPr>
              <w:pStyle w:val="TableText"/>
              <w:ind w:left="878"/>
              <w:spacing w:before="83" w:line="156" w:lineRule="exact"/>
              <w:rPr>
                <w:sz w:val="19"/>
                <w:szCs w:val="19"/>
              </w:rPr>
            </w:pPr>
            <w:r>
              <w:rPr>
                <w:sz w:val="19"/>
                <w:szCs w:val="19"/>
                <w:spacing w:val="-2"/>
                <w:position w:val="-2"/>
              </w:rPr>
              <w:t>6.29E-04</w:t>
            </w:r>
          </w:p>
        </w:tc>
        <w:tc>
          <w:tcPr>
            <w:tcW w:w="1184" w:type="dxa"/>
            <w:vAlign w:val="top"/>
          </w:tcPr>
          <w:p>
            <w:pPr>
              <w:pStyle w:val="TableText"/>
              <w:ind w:left="398"/>
              <w:spacing w:before="83" w:line="156" w:lineRule="exact"/>
              <w:rPr>
                <w:sz w:val="19"/>
                <w:szCs w:val="19"/>
              </w:rPr>
            </w:pPr>
            <w:r>
              <w:rPr>
                <w:sz w:val="19"/>
                <w:szCs w:val="19"/>
                <w:spacing w:val="-2"/>
                <w:position w:val="-2"/>
              </w:rPr>
              <w:t>0.14</w:t>
            </w:r>
          </w:p>
        </w:tc>
      </w:tr>
      <w:tr>
        <w:trPr>
          <w:trHeight w:val="269" w:hRule="atLeast"/>
        </w:trPr>
        <w:tc>
          <w:tcPr>
            <w:tcW w:w="1394" w:type="dxa"/>
            <w:vAlign w:val="top"/>
            <w:vMerge w:val="continue"/>
            <w:tcBorders>
              <w:top w:val="nil"/>
            </w:tcBorders>
          </w:tcPr>
          <w:p>
            <w:pPr>
              <w:rPr>
                <w:rFonts w:ascii="Arial"/>
                <w:sz w:val="21"/>
              </w:rPr>
            </w:pPr>
            <w:r/>
          </w:p>
        </w:tc>
        <w:tc>
          <w:tcPr>
            <w:tcW w:w="1569" w:type="dxa"/>
            <w:vAlign w:val="top"/>
          </w:tcPr>
          <w:p>
            <w:pPr>
              <w:pStyle w:val="TableText"/>
              <w:ind w:left="630"/>
              <w:spacing w:before="94" w:line="160" w:lineRule="auto"/>
              <w:rPr>
                <w:sz w:val="19"/>
                <w:szCs w:val="19"/>
              </w:rPr>
            </w:pPr>
            <w:r>
              <w:rPr>
                <w:sz w:val="19"/>
                <w:szCs w:val="19"/>
                <w:spacing w:val="-1"/>
              </w:rPr>
              <w:t>NOx</w:t>
            </w:r>
          </w:p>
        </w:tc>
        <w:tc>
          <w:tcPr>
            <w:tcW w:w="2528" w:type="dxa"/>
            <w:vAlign w:val="top"/>
          </w:tcPr>
          <w:p>
            <w:pPr>
              <w:pStyle w:val="TableText"/>
              <w:ind w:left="872"/>
              <w:spacing w:before="94" w:line="160" w:lineRule="auto"/>
              <w:rPr>
                <w:sz w:val="19"/>
                <w:szCs w:val="19"/>
              </w:rPr>
            </w:pPr>
            <w:r>
              <w:rPr>
                <w:sz w:val="19"/>
                <w:szCs w:val="19"/>
                <w:spacing w:val="-2"/>
              </w:rPr>
              <w:t>2.20E-03</w:t>
            </w:r>
          </w:p>
        </w:tc>
        <w:tc>
          <w:tcPr>
            <w:tcW w:w="1199" w:type="dxa"/>
            <w:vAlign w:val="top"/>
          </w:tcPr>
          <w:p>
            <w:pPr>
              <w:pStyle w:val="TableText"/>
              <w:ind w:left="403"/>
              <w:spacing w:before="94" w:line="160" w:lineRule="auto"/>
              <w:rPr>
                <w:sz w:val="19"/>
                <w:szCs w:val="19"/>
              </w:rPr>
            </w:pPr>
            <w:r>
              <w:rPr>
                <w:sz w:val="19"/>
                <w:szCs w:val="19"/>
                <w:spacing w:val="-2"/>
              </w:rPr>
              <w:t>0.88</w:t>
            </w:r>
          </w:p>
        </w:tc>
        <w:tc>
          <w:tcPr>
            <w:tcW w:w="2518" w:type="dxa"/>
            <w:vAlign w:val="top"/>
          </w:tcPr>
          <w:p>
            <w:pPr>
              <w:pStyle w:val="TableText"/>
              <w:ind w:left="874"/>
              <w:spacing w:before="94" w:line="160" w:lineRule="auto"/>
              <w:rPr>
                <w:sz w:val="19"/>
                <w:szCs w:val="19"/>
              </w:rPr>
            </w:pPr>
            <w:r>
              <w:rPr>
                <w:sz w:val="19"/>
                <w:szCs w:val="19"/>
                <w:spacing w:val="-2"/>
              </w:rPr>
              <w:t>2.01E-03</w:t>
            </w:r>
          </w:p>
        </w:tc>
        <w:tc>
          <w:tcPr>
            <w:tcW w:w="1199" w:type="dxa"/>
            <w:vAlign w:val="top"/>
          </w:tcPr>
          <w:p>
            <w:pPr>
              <w:pStyle w:val="TableText"/>
              <w:ind w:left="407"/>
              <w:spacing w:before="94" w:line="160" w:lineRule="auto"/>
              <w:rPr>
                <w:sz w:val="19"/>
                <w:szCs w:val="19"/>
              </w:rPr>
            </w:pPr>
            <w:r>
              <w:rPr>
                <w:sz w:val="19"/>
                <w:szCs w:val="19"/>
                <w:spacing w:val="-2"/>
              </w:rPr>
              <w:t>0.81</w:t>
            </w:r>
          </w:p>
        </w:tc>
        <w:tc>
          <w:tcPr>
            <w:tcW w:w="2529" w:type="dxa"/>
            <w:vAlign w:val="top"/>
          </w:tcPr>
          <w:p>
            <w:pPr>
              <w:pStyle w:val="TableText"/>
              <w:ind w:left="878"/>
              <w:spacing w:before="94" w:line="160" w:lineRule="auto"/>
              <w:rPr>
                <w:sz w:val="19"/>
                <w:szCs w:val="19"/>
              </w:rPr>
            </w:pPr>
            <w:r>
              <w:rPr>
                <w:sz w:val="19"/>
                <w:szCs w:val="19"/>
                <w:spacing w:val="-3"/>
              </w:rPr>
              <w:t>1.92E-03</w:t>
            </w:r>
          </w:p>
        </w:tc>
        <w:tc>
          <w:tcPr>
            <w:tcW w:w="1184" w:type="dxa"/>
            <w:vAlign w:val="top"/>
          </w:tcPr>
          <w:p>
            <w:pPr>
              <w:pStyle w:val="TableText"/>
              <w:ind w:left="398"/>
              <w:spacing w:before="94" w:line="160" w:lineRule="auto"/>
              <w:rPr>
                <w:sz w:val="19"/>
                <w:szCs w:val="19"/>
              </w:rPr>
            </w:pPr>
            <w:r>
              <w:rPr>
                <w:sz w:val="19"/>
                <w:szCs w:val="19"/>
                <w:spacing w:val="-2"/>
              </w:rPr>
              <w:t>0.77</w:t>
            </w:r>
          </w:p>
        </w:tc>
      </w:tr>
      <w:tr>
        <w:trPr>
          <w:trHeight w:val="250" w:hRule="atLeast"/>
        </w:trPr>
        <w:tc>
          <w:tcPr>
            <w:tcW w:w="1394" w:type="dxa"/>
            <w:vAlign w:val="top"/>
            <w:vMerge w:val="restart"/>
            <w:tcBorders>
              <w:bottom w:val="nil"/>
            </w:tcBorders>
          </w:tcPr>
          <w:p>
            <w:pPr>
              <w:pStyle w:val="TableText"/>
              <w:ind w:left="444"/>
              <w:spacing w:before="223" w:line="185" w:lineRule="auto"/>
              <w:rPr>
                <w:sz w:val="19"/>
                <w:szCs w:val="19"/>
              </w:rPr>
            </w:pPr>
            <w:r>
              <w:rPr>
                <w:sz w:val="19"/>
                <w:szCs w:val="19"/>
                <w:spacing w:val="-1"/>
              </w:rPr>
              <w:t>DA006</w:t>
            </w:r>
          </w:p>
        </w:tc>
        <w:tc>
          <w:tcPr>
            <w:tcW w:w="1569" w:type="dxa"/>
            <w:vAlign w:val="top"/>
          </w:tcPr>
          <w:p>
            <w:pPr>
              <w:pStyle w:val="TableText"/>
              <w:ind w:left="680"/>
              <w:spacing w:before="85" w:line="155" w:lineRule="exact"/>
              <w:rPr>
                <w:sz w:val="19"/>
                <w:szCs w:val="19"/>
              </w:rPr>
            </w:pPr>
            <w:r>
              <w:rPr>
                <w:sz w:val="19"/>
                <w:szCs w:val="19"/>
                <w:spacing w:val="-1"/>
                <w:position w:val="-2"/>
              </w:rPr>
              <w:t>HS</w:t>
            </w:r>
          </w:p>
        </w:tc>
        <w:tc>
          <w:tcPr>
            <w:tcW w:w="2528" w:type="dxa"/>
            <w:vAlign w:val="top"/>
          </w:tcPr>
          <w:p>
            <w:pPr>
              <w:pStyle w:val="TableText"/>
              <w:ind w:left="872"/>
              <w:spacing w:before="85" w:line="155" w:lineRule="exact"/>
              <w:rPr>
                <w:sz w:val="19"/>
                <w:szCs w:val="19"/>
              </w:rPr>
            </w:pPr>
            <w:r>
              <w:rPr>
                <w:sz w:val="19"/>
                <w:szCs w:val="19"/>
                <w:spacing w:val="-2"/>
                <w:position w:val="-2"/>
              </w:rPr>
              <w:t>7.48E-06</w:t>
            </w:r>
          </w:p>
        </w:tc>
        <w:tc>
          <w:tcPr>
            <w:tcW w:w="1199" w:type="dxa"/>
            <w:vAlign w:val="top"/>
          </w:tcPr>
          <w:p>
            <w:pPr>
              <w:pStyle w:val="TableText"/>
              <w:ind w:left="403"/>
              <w:spacing w:before="85" w:line="155" w:lineRule="exact"/>
              <w:rPr>
                <w:sz w:val="19"/>
                <w:szCs w:val="19"/>
              </w:rPr>
            </w:pPr>
            <w:r>
              <w:rPr>
                <w:sz w:val="19"/>
                <w:szCs w:val="19"/>
                <w:spacing w:val="-2"/>
                <w:position w:val="-2"/>
              </w:rPr>
              <w:t>0.07</w:t>
            </w:r>
          </w:p>
        </w:tc>
        <w:tc>
          <w:tcPr>
            <w:tcW w:w="2518" w:type="dxa"/>
            <w:vAlign w:val="top"/>
          </w:tcPr>
          <w:p>
            <w:pPr>
              <w:pStyle w:val="TableText"/>
              <w:ind w:left="874"/>
              <w:spacing w:before="85" w:line="155" w:lineRule="exact"/>
              <w:rPr>
                <w:sz w:val="19"/>
                <w:szCs w:val="19"/>
              </w:rPr>
            </w:pPr>
            <w:r>
              <w:rPr>
                <w:sz w:val="19"/>
                <w:szCs w:val="19"/>
                <w:spacing w:val="-2"/>
                <w:position w:val="-2"/>
              </w:rPr>
              <w:t>6.99E-06</w:t>
            </w:r>
          </w:p>
        </w:tc>
        <w:tc>
          <w:tcPr>
            <w:tcW w:w="1199" w:type="dxa"/>
            <w:vAlign w:val="top"/>
          </w:tcPr>
          <w:p>
            <w:pPr>
              <w:pStyle w:val="TableText"/>
              <w:ind w:left="407"/>
              <w:spacing w:before="85" w:line="155" w:lineRule="exact"/>
              <w:rPr>
                <w:sz w:val="19"/>
                <w:szCs w:val="19"/>
              </w:rPr>
            </w:pPr>
            <w:r>
              <w:rPr>
                <w:sz w:val="19"/>
                <w:szCs w:val="19"/>
                <w:spacing w:val="-2"/>
                <w:position w:val="-2"/>
              </w:rPr>
              <w:t>0.07</w:t>
            </w:r>
          </w:p>
        </w:tc>
        <w:tc>
          <w:tcPr>
            <w:tcW w:w="2529" w:type="dxa"/>
            <w:vAlign w:val="top"/>
          </w:tcPr>
          <w:p>
            <w:pPr>
              <w:pStyle w:val="TableText"/>
              <w:ind w:left="878"/>
              <w:spacing w:before="85" w:line="155" w:lineRule="exact"/>
              <w:rPr>
                <w:sz w:val="19"/>
                <w:szCs w:val="19"/>
              </w:rPr>
            </w:pPr>
            <w:r>
              <w:rPr>
                <w:sz w:val="19"/>
                <w:szCs w:val="19"/>
                <w:spacing w:val="-1"/>
                <w:position w:val="-2"/>
              </w:rPr>
              <w:t>4.06E-06</w:t>
            </w:r>
          </w:p>
        </w:tc>
        <w:tc>
          <w:tcPr>
            <w:tcW w:w="1184" w:type="dxa"/>
            <w:vAlign w:val="top"/>
          </w:tcPr>
          <w:p>
            <w:pPr>
              <w:pStyle w:val="TableText"/>
              <w:ind w:left="398"/>
              <w:spacing w:before="85" w:line="155" w:lineRule="exact"/>
              <w:rPr>
                <w:sz w:val="19"/>
                <w:szCs w:val="19"/>
              </w:rPr>
            </w:pPr>
            <w:r>
              <w:rPr>
                <w:sz w:val="19"/>
                <w:szCs w:val="19"/>
                <w:spacing w:val="-2"/>
                <w:position w:val="-2"/>
              </w:rPr>
              <w:t>0.04</w:t>
            </w:r>
          </w:p>
        </w:tc>
      </w:tr>
      <w:tr>
        <w:trPr>
          <w:trHeight w:val="274" w:hRule="atLeast"/>
        </w:trPr>
        <w:tc>
          <w:tcPr>
            <w:tcW w:w="1394" w:type="dxa"/>
            <w:vAlign w:val="top"/>
            <w:vMerge w:val="continue"/>
            <w:tcBorders>
              <w:top w:val="nil"/>
            </w:tcBorders>
          </w:tcPr>
          <w:p>
            <w:pPr>
              <w:rPr>
                <w:rFonts w:ascii="Arial"/>
                <w:sz w:val="21"/>
              </w:rPr>
            </w:pPr>
            <w:r/>
          </w:p>
        </w:tc>
        <w:tc>
          <w:tcPr>
            <w:tcW w:w="1569" w:type="dxa"/>
            <w:vAlign w:val="top"/>
          </w:tcPr>
          <w:p>
            <w:pPr>
              <w:pStyle w:val="TableText"/>
              <w:ind w:left="581"/>
              <w:spacing w:before="77" w:line="181" w:lineRule="auto"/>
              <w:rPr>
                <w:rFonts w:ascii="Calibri" w:hAnsi="Calibri" w:eastAsia="Calibri" w:cs="Calibri"/>
                <w:sz w:val="19"/>
                <w:szCs w:val="19"/>
              </w:rPr>
            </w:pPr>
            <w:r>
              <w:rPr>
                <w:sz w:val="19"/>
                <w:szCs w:val="19"/>
                <w:spacing w:val="-1"/>
              </w:rPr>
              <w:t>NH</w:t>
            </w:r>
            <w:r>
              <w:rPr>
                <w:rFonts w:ascii="Calibri" w:hAnsi="Calibri" w:eastAsia="Calibri" w:cs="Calibri"/>
                <w:sz w:val="19"/>
                <w:szCs w:val="19"/>
                <w:spacing w:val="-1"/>
              </w:rPr>
              <w:t>₃</w:t>
            </w:r>
          </w:p>
        </w:tc>
        <w:tc>
          <w:tcPr>
            <w:tcW w:w="2528" w:type="dxa"/>
            <w:vAlign w:val="top"/>
          </w:tcPr>
          <w:p>
            <w:pPr>
              <w:pStyle w:val="TableText"/>
              <w:ind w:left="872"/>
              <w:spacing w:before="96" w:line="163" w:lineRule="auto"/>
              <w:rPr>
                <w:sz w:val="19"/>
                <w:szCs w:val="19"/>
              </w:rPr>
            </w:pPr>
            <w:r>
              <w:rPr>
                <w:sz w:val="19"/>
                <w:szCs w:val="19"/>
                <w:spacing w:val="-1"/>
              </w:rPr>
              <w:t>4.74E-04</w:t>
            </w:r>
          </w:p>
        </w:tc>
        <w:tc>
          <w:tcPr>
            <w:tcW w:w="1199" w:type="dxa"/>
            <w:vAlign w:val="top"/>
          </w:tcPr>
          <w:p>
            <w:pPr>
              <w:pStyle w:val="TableText"/>
              <w:ind w:left="403"/>
              <w:spacing w:before="96" w:line="163" w:lineRule="auto"/>
              <w:rPr>
                <w:sz w:val="19"/>
                <w:szCs w:val="19"/>
              </w:rPr>
            </w:pPr>
            <w:r>
              <w:rPr>
                <w:sz w:val="19"/>
                <w:szCs w:val="19"/>
                <w:spacing w:val="-2"/>
              </w:rPr>
              <w:t>0.24</w:t>
            </w:r>
          </w:p>
        </w:tc>
        <w:tc>
          <w:tcPr>
            <w:tcW w:w="2518" w:type="dxa"/>
            <w:vAlign w:val="top"/>
          </w:tcPr>
          <w:p>
            <w:pPr>
              <w:pStyle w:val="TableText"/>
              <w:ind w:left="874"/>
              <w:spacing w:before="96" w:line="163" w:lineRule="auto"/>
              <w:rPr>
                <w:sz w:val="19"/>
                <w:szCs w:val="19"/>
              </w:rPr>
            </w:pPr>
            <w:r>
              <w:rPr>
                <w:sz w:val="19"/>
                <w:szCs w:val="19"/>
                <w:spacing w:val="-1"/>
              </w:rPr>
              <w:t>4.43E-04</w:t>
            </w:r>
          </w:p>
        </w:tc>
        <w:tc>
          <w:tcPr>
            <w:tcW w:w="1199" w:type="dxa"/>
            <w:vAlign w:val="top"/>
          </w:tcPr>
          <w:p>
            <w:pPr>
              <w:pStyle w:val="TableText"/>
              <w:ind w:left="407"/>
              <w:spacing w:before="96" w:line="163" w:lineRule="auto"/>
              <w:rPr>
                <w:sz w:val="19"/>
                <w:szCs w:val="19"/>
              </w:rPr>
            </w:pPr>
            <w:r>
              <w:rPr>
                <w:sz w:val="19"/>
                <w:szCs w:val="19"/>
                <w:spacing w:val="-2"/>
              </w:rPr>
              <w:t>0.22</w:t>
            </w:r>
          </w:p>
        </w:tc>
        <w:tc>
          <w:tcPr>
            <w:tcW w:w="2529" w:type="dxa"/>
            <w:vAlign w:val="top"/>
          </w:tcPr>
          <w:p>
            <w:pPr>
              <w:pStyle w:val="TableText"/>
              <w:ind w:left="878"/>
              <w:spacing w:before="96" w:line="163" w:lineRule="auto"/>
              <w:rPr>
                <w:sz w:val="19"/>
                <w:szCs w:val="19"/>
              </w:rPr>
            </w:pPr>
            <w:r>
              <w:rPr>
                <w:sz w:val="19"/>
                <w:szCs w:val="19"/>
                <w:spacing w:val="-2"/>
              </w:rPr>
              <w:t>2.57E-04</w:t>
            </w:r>
          </w:p>
        </w:tc>
        <w:tc>
          <w:tcPr>
            <w:tcW w:w="1184" w:type="dxa"/>
            <w:vAlign w:val="top"/>
          </w:tcPr>
          <w:p>
            <w:pPr>
              <w:pStyle w:val="TableText"/>
              <w:ind w:left="398"/>
              <w:spacing w:before="95" w:line="164" w:lineRule="auto"/>
              <w:rPr>
                <w:sz w:val="19"/>
                <w:szCs w:val="19"/>
              </w:rPr>
            </w:pPr>
            <w:r>
              <w:rPr>
                <w:sz w:val="19"/>
                <w:szCs w:val="19"/>
                <w:spacing w:val="-2"/>
              </w:rPr>
              <w:t>0.13</w:t>
            </w:r>
          </w:p>
        </w:tc>
      </w:tr>
    </w:tbl>
    <w:p>
      <w:pPr>
        <w:pStyle w:val="BodyText"/>
        <w:ind w:left="4718"/>
        <w:spacing w:before="281" w:line="199" w:lineRule="auto"/>
        <w:rPr>
          <w:sz w:val="24"/>
          <w:szCs w:val="24"/>
        </w:rPr>
      </w:pPr>
      <w:r>
        <w:rPr>
          <w:sz w:val="24"/>
          <w:szCs w:val="24"/>
          <w:b/>
          <w:bCs/>
          <w:spacing w:val="-3"/>
        </w:rPr>
        <w:t>表4.2-15废气非正常排放对敏感目标影响分析表</w:t>
      </w:r>
    </w:p>
    <w:tbl>
      <w:tblPr>
        <w:tblStyle w:val="TableNormal"/>
        <w:tblW w:w="1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84"/>
        <w:gridCol w:w="1499"/>
        <w:gridCol w:w="2528"/>
        <w:gridCol w:w="1219"/>
        <w:gridCol w:w="2528"/>
        <w:gridCol w:w="1219"/>
        <w:gridCol w:w="2529"/>
        <w:gridCol w:w="1214"/>
      </w:tblGrid>
      <w:tr>
        <w:trPr>
          <w:trHeight w:val="274" w:hRule="atLeast"/>
        </w:trPr>
        <w:tc>
          <w:tcPr>
            <w:tcW w:w="1384" w:type="dxa"/>
            <w:vAlign w:val="top"/>
            <w:vMerge w:val="restart"/>
            <w:tcBorders>
              <w:bottom w:val="nil"/>
            </w:tcBorders>
          </w:tcPr>
          <w:p>
            <w:pPr>
              <w:pStyle w:val="TableText"/>
              <w:ind w:left="494"/>
              <w:spacing w:before="173" w:line="220" w:lineRule="auto"/>
              <w:rPr>
                <w:sz w:val="19"/>
                <w:szCs w:val="19"/>
              </w:rPr>
            </w:pPr>
            <w:r>
              <w:rPr>
                <w:sz w:val="19"/>
                <w:szCs w:val="19"/>
                <w:spacing w:val="-5"/>
              </w:rPr>
              <w:t>项 目</w:t>
            </w:r>
          </w:p>
        </w:tc>
        <w:tc>
          <w:tcPr>
            <w:tcW w:w="1499" w:type="dxa"/>
            <w:vAlign w:val="top"/>
          </w:tcPr>
          <w:p>
            <w:pPr>
              <w:pStyle w:val="TableText"/>
              <w:ind w:left="450"/>
              <w:spacing w:before="42" w:line="215" w:lineRule="auto"/>
              <w:rPr>
                <w:sz w:val="19"/>
                <w:szCs w:val="19"/>
              </w:rPr>
            </w:pPr>
            <w:r>
              <w:rPr>
                <w:sz w:val="19"/>
                <w:szCs w:val="19"/>
                <w:spacing w:val="5"/>
              </w:rPr>
              <w:t>敏感点</w:t>
            </w:r>
          </w:p>
        </w:tc>
        <w:tc>
          <w:tcPr>
            <w:tcW w:w="3747" w:type="dxa"/>
            <w:vAlign w:val="top"/>
            <w:gridSpan w:val="2"/>
          </w:tcPr>
          <w:p>
            <w:pPr>
              <w:pStyle w:val="TableText"/>
              <w:ind w:left="1582"/>
              <w:spacing w:before="41" w:line="216" w:lineRule="auto"/>
              <w:rPr>
                <w:sz w:val="19"/>
                <w:szCs w:val="19"/>
              </w:rPr>
            </w:pPr>
            <w:r>
              <w:rPr>
                <w:sz w:val="19"/>
                <w:szCs w:val="19"/>
                <w:spacing w:val="-2"/>
              </w:rPr>
              <w:t>池头村</w:t>
            </w:r>
          </w:p>
        </w:tc>
        <w:tc>
          <w:tcPr>
            <w:tcW w:w="3747" w:type="dxa"/>
            <w:vAlign w:val="top"/>
            <w:gridSpan w:val="2"/>
          </w:tcPr>
          <w:p>
            <w:pPr>
              <w:pStyle w:val="TableText"/>
              <w:ind w:left="1584"/>
              <w:spacing w:before="41" w:line="216" w:lineRule="auto"/>
              <w:rPr>
                <w:sz w:val="19"/>
                <w:szCs w:val="19"/>
              </w:rPr>
            </w:pPr>
            <w:r>
              <w:rPr>
                <w:sz w:val="19"/>
                <w:szCs w:val="19"/>
                <w:spacing w:val="-3"/>
              </w:rPr>
              <w:t>大沙村</w:t>
            </w:r>
          </w:p>
        </w:tc>
        <w:tc>
          <w:tcPr>
            <w:tcW w:w="3743" w:type="dxa"/>
            <w:vAlign w:val="top"/>
            <w:gridSpan w:val="2"/>
          </w:tcPr>
          <w:p>
            <w:pPr>
              <w:pStyle w:val="TableText"/>
              <w:ind w:left="1488"/>
              <w:spacing w:before="41" w:line="216" w:lineRule="auto"/>
              <w:rPr>
                <w:sz w:val="19"/>
                <w:szCs w:val="19"/>
              </w:rPr>
            </w:pPr>
            <w:r>
              <w:rPr>
                <w:sz w:val="19"/>
                <w:szCs w:val="19"/>
                <w:spacing w:val="-2"/>
              </w:rPr>
              <w:t>石雷洋村</w:t>
            </w:r>
          </w:p>
        </w:tc>
      </w:tr>
      <w:tr>
        <w:trPr>
          <w:trHeight w:val="249" w:hRule="atLeast"/>
        </w:trPr>
        <w:tc>
          <w:tcPr>
            <w:tcW w:w="1384" w:type="dxa"/>
            <w:vAlign w:val="top"/>
            <w:vMerge w:val="continue"/>
            <w:tcBorders>
              <w:top w:val="nil"/>
            </w:tcBorders>
          </w:tcPr>
          <w:p>
            <w:pPr>
              <w:rPr>
                <w:rFonts w:ascii="Arial"/>
                <w:sz w:val="21"/>
              </w:rPr>
            </w:pPr>
            <w:r/>
          </w:p>
        </w:tc>
        <w:tc>
          <w:tcPr>
            <w:tcW w:w="1499" w:type="dxa"/>
            <w:vAlign w:val="top"/>
          </w:tcPr>
          <w:p>
            <w:pPr>
              <w:pStyle w:val="TableText"/>
              <w:ind w:left="500"/>
              <w:spacing w:before="29" w:line="204" w:lineRule="auto"/>
              <w:rPr>
                <w:sz w:val="19"/>
                <w:szCs w:val="19"/>
              </w:rPr>
            </w:pPr>
            <w:r>
              <w:rPr>
                <w:sz w:val="19"/>
                <w:szCs w:val="19"/>
                <w:spacing w:val="-2"/>
              </w:rPr>
              <w:t>距离m</w:t>
            </w:r>
          </w:p>
        </w:tc>
        <w:tc>
          <w:tcPr>
            <w:tcW w:w="3747" w:type="dxa"/>
            <w:vAlign w:val="top"/>
            <w:gridSpan w:val="2"/>
          </w:tcPr>
          <w:p>
            <w:pPr>
              <w:pStyle w:val="TableText"/>
              <w:ind w:left="1721"/>
              <w:spacing w:before="77" w:line="157" w:lineRule="auto"/>
              <w:rPr>
                <w:sz w:val="19"/>
                <w:szCs w:val="19"/>
              </w:rPr>
            </w:pPr>
            <w:r>
              <w:rPr>
                <w:sz w:val="19"/>
                <w:szCs w:val="19"/>
                <w:spacing w:val="-3"/>
              </w:rPr>
              <w:t>290</w:t>
            </w:r>
          </w:p>
        </w:tc>
        <w:tc>
          <w:tcPr>
            <w:tcW w:w="3747" w:type="dxa"/>
            <w:vAlign w:val="top"/>
            <w:gridSpan w:val="2"/>
          </w:tcPr>
          <w:p>
            <w:pPr>
              <w:pStyle w:val="TableText"/>
              <w:ind w:left="1725"/>
              <w:spacing w:before="77" w:line="157" w:lineRule="auto"/>
              <w:rPr>
                <w:sz w:val="19"/>
                <w:szCs w:val="19"/>
              </w:rPr>
            </w:pPr>
            <w:r>
              <w:rPr>
                <w:sz w:val="19"/>
                <w:szCs w:val="19"/>
                <w:spacing w:val="-3"/>
              </w:rPr>
              <w:t>310</w:t>
            </w:r>
          </w:p>
        </w:tc>
        <w:tc>
          <w:tcPr>
            <w:tcW w:w="3743" w:type="dxa"/>
            <w:vAlign w:val="top"/>
            <w:gridSpan w:val="2"/>
          </w:tcPr>
          <w:p>
            <w:pPr>
              <w:pStyle w:val="TableText"/>
              <w:ind w:left="1718"/>
              <w:spacing w:before="77" w:line="157" w:lineRule="auto"/>
              <w:rPr>
                <w:sz w:val="19"/>
                <w:szCs w:val="19"/>
              </w:rPr>
            </w:pPr>
            <w:r>
              <w:rPr>
                <w:sz w:val="19"/>
                <w:szCs w:val="19"/>
                <w:spacing w:val="-3"/>
              </w:rPr>
              <w:t>500</w:t>
            </w:r>
          </w:p>
        </w:tc>
      </w:tr>
      <w:tr>
        <w:trPr>
          <w:trHeight w:val="269" w:hRule="atLeast"/>
        </w:trPr>
        <w:tc>
          <w:tcPr>
            <w:tcW w:w="1384" w:type="dxa"/>
            <w:vAlign w:val="top"/>
          </w:tcPr>
          <w:p>
            <w:pPr>
              <w:pStyle w:val="TableText"/>
              <w:ind w:left="394"/>
              <w:spacing w:before="40" w:line="212" w:lineRule="auto"/>
              <w:rPr>
                <w:sz w:val="19"/>
                <w:szCs w:val="19"/>
              </w:rPr>
            </w:pPr>
            <w:r>
              <w:rPr>
                <w:sz w:val="19"/>
                <w:szCs w:val="19"/>
                <w:spacing w:val="-2"/>
              </w:rPr>
              <w:t>污染源</w:t>
            </w:r>
          </w:p>
        </w:tc>
        <w:tc>
          <w:tcPr>
            <w:tcW w:w="1499" w:type="dxa"/>
            <w:vAlign w:val="top"/>
          </w:tcPr>
          <w:p>
            <w:pPr>
              <w:pStyle w:val="TableText"/>
              <w:ind w:left="450"/>
              <w:spacing w:before="40" w:line="212" w:lineRule="auto"/>
              <w:rPr>
                <w:sz w:val="19"/>
                <w:szCs w:val="19"/>
              </w:rPr>
            </w:pPr>
            <w:r>
              <w:rPr>
                <w:sz w:val="19"/>
                <w:szCs w:val="19"/>
                <w:spacing w:val="-2"/>
              </w:rPr>
              <w:t>污染物</w:t>
            </w:r>
          </w:p>
        </w:tc>
        <w:tc>
          <w:tcPr>
            <w:tcW w:w="2528" w:type="dxa"/>
            <w:vAlign w:val="top"/>
          </w:tcPr>
          <w:p>
            <w:pPr>
              <w:pStyle w:val="TableText"/>
              <w:ind w:left="491"/>
              <w:spacing w:before="33" w:line="214" w:lineRule="auto"/>
              <w:rPr>
                <w:sz w:val="19"/>
                <w:szCs w:val="19"/>
              </w:rPr>
            </w:pPr>
            <w:r>
              <w:rPr>
                <w:sz w:val="19"/>
                <w:szCs w:val="19"/>
                <w:spacing w:val="-1"/>
              </w:rPr>
              <w:t>最大落地浓度mg/m</w:t>
            </w:r>
          </w:p>
        </w:tc>
        <w:tc>
          <w:tcPr>
            <w:tcW w:w="1219" w:type="dxa"/>
            <w:vAlign w:val="top"/>
          </w:tcPr>
          <w:p>
            <w:pPr>
              <w:pStyle w:val="TableText"/>
              <w:ind w:left="263"/>
              <w:spacing w:before="39" w:line="213" w:lineRule="auto"/>
              <w:rPr>
                <w:sz w:val="19"/>
                <w:szCs w:val="19"/>
              </w:rPr>
            </w:pPr>
            <w:r>
              <w:rPr>
                <w:sz w:val="19"/>
                <w:szCs w:val="19"/>
                <w:spacing w:val="2"/>
              </w:rPr>
              <w:t>占标率%</w:t>
            </w:r>
          </w:p>
        </w:tc>
        <w:tc>
          <w:tcPr>
            <w:tcW w:w="2528" w:type="dxa"/>
            <w:vAlign w:val="top"/>
          </w:tcPr>
          <w:p>
            <w:pPr>
              <w:pStyle w:val="TableText"/>
              <w:ind w:left="495"/>
              <w:spacing w:before="33" w:line="214" w:lineRule="auto"/>
              <w:rPr>
                <w:sz w:val="19"/>
                <w:szCs w:val="19"/>
              </w:rPr>
            </w:pPr>
            <w:r>
              <w:rPr>
                <w:sz w:val="19"/>
                <w:szCs w:val="19"/>
                <w:spacing w:val="-1"/>
              </w:rPr>
              <w:t>最大落地浓度mg/m</w:t>
            </w:r>
          </w:p>
        </w:tc>
        <w:tc>
          <w:tcPr>
            <w:tcW w:w="1219" w:type="dxa"/>
            <w:vAlign w:val="top"/>
          </w:tcPr>
          <w:p>
            <w:pPr>
              <w:pStyle w:val="TableText"/>
              <w:ind w:left="266"/>
              <w:spacing w:before="39" w:line="213" w:lineRule="auto"/>
              <w:rPr>
                <w:sz w:val="19"/>
                <w:szCs w:val="19"/>
              </w:rPr>
            </w:pPr>
            <w:r>
              <w:rPr>
                <w:sz w:val="19"/>
                <w:szCs w:val="19"/>
                <w:spacing w:val="2"/>
              </w:rPr>
              <w:t>占标率%</w:t>
            </w:r>
          </w:p>
        </w:tc>
        <w:tc>
          <w:tcPr>
            <w:tcW w:w="2529" w:type="dxa"/>
            <w:vAlign w:val="top"/>
          </w:tcPr>
          <w:p>
            <w:pPr>
              <w:pStyle w:val="TableText"/>
              <w:ind w:left="497"/>
              <w:spacing w:before="33" w:line="214" w:lineRule="auto"/>
              <w:rPr>
                <w:sz w:val="19"/>
                <w:szCs w:val="19"/>
              </w:rPr>
            </w:pPr>
            <w:r>
              <w:rPr>
                <w:sz w:val="19"/>
                <w:szCs w:val="19"/>
                <w:spacing w:val="-1"/>
              </w:rPr>
              <w:t>最大落地浓度mg/m</w:t>
            </w:r>
          </w:p>
        </w:tc>
        <w:tc>
          <w:tcPr>
            <w:tcW w:w="1214" w:type="dxa"/>
            <w:vAlign w:val="top"/>
          </w:tcPr>
          <w:p>
            <w:pPr>
              <w:pStyle w:val="TableText"/>
              <w:ind w:left="268"/>
              <w:spacing w:before="39" w:line="213" w:lineRule="auto"/>
              <w:rPr>
                <w:sz w:val="19"/>
                <w:szCs w:val="19"/>
              </w:rPr>
            </w:pPr>
            <w:r>
              <w:rPr>
                <w:sz w:val="19"/>
                <w:szCs w:val="19"/>
                <w:spacing w:val="-1"/>
              </w:rPr>
              <w:t>占标率%</w:t>
            </w:r>
          </w:p>
        </w:tc>
      </w:tr>
      <w:tr>
        <w:trPr>
          <w:trHeight w:val="250" w:hRule="atLeast"/>
        </w:trPr>
        <w:tc>
          <w:tcPr>
            <w:tcW w:w="1384" w:type="dxa"/>
            <w:vAlign w:val="top"/>
          </w:tcPr>
          <w:p>
            <w:pPr>
              <w:pStyle w:val="TableText"/>
              <w:ind w:left="444"/>
              <w:spacing w:before="78" w:line="157" w:lineRule="auto"/>
              <w:rPr>
                <w:sz w:val="19"/>
                <w:szCs w:val="19"/>
              </w:rPr>
            </w:pPr>
            <w:r>
              <w:rPr>
                <w:sz w:val="19"/>
                <w:szCs w:val="19"/>
                <w:spacing w:val="-1"/>
              </w:rPr>
              <w:t>DAO26</w:t>
            </w:r>
          </w:p>
        </w:tc>
        <w:tc>
          <w:tcPr>
            <w:tcW w:w="1499" w:type="dxa"/>
            <w:vAlign w:val="top"/>
          </w:tcPr>
          <w:p>
            <w:pPr>
              <w:pStyle w:val="TableText"/>
              <w:ind w:left="260"/>
              <w:spacing w:before="31" w:line="203" w:lineRule="auto"/>
              <w:rPr>
                <w:sz w:val="19"/>
                <w:szCs w:val="19"/>
              </w:rPr>
            </w:pPr>
            <w:r>
              <w:rPr>
                <w:sz w:val="19"/>
                <w:szCs w:val="19"/>
                <w:spacing w:val="-2"/>
              </w:rPr>
              <w:t>非甲烷总烃</w:t>
            </w:r>
          </w:p>
        </w:tc>
        <w:tc>
          <w:tcPr>
            <w:tcW w:w="2528" w:type="dxa"/>
            <w:vAlign w:val="top"/>
          </w:tcPr>
          <w:p>
            <w:pPr>
              <w:pStyle w:val="TableText"/>
              <w:ind w:left="872"/>
              <w:spacing w:before="79" w:line="161" w:lineRule="exact"/>
              <w:rPr>
                <w:sz w:val="19"/>
                <w:szCs w:val="19"/>
              </w:rPr>
            </w:pPr>
            <w:r>
              <w:rPr>
                <w:sz w:val="19"/>
                <w:szCs w:val="19"/>
                <w:spacing w:val="-2"/>
                <w:position w:val="-2"/>
              </w:rPr>
              <w:t>8.04E+00</w:t>
            </w:r>
          </w:p>
        </w:tc>
        <w:tc>
          <w:tcPr>
            <w:tcW w:w="1219" w:type="dxa"/>
            <w:vAlign w:val="top"/>
          </w:tcPr>
          <w:p>
            <w:pPr>
              <w:pStyle w:val="TableText"/>
              <w:ind w:left="313"/>
              <w:spacing w:before="79" w:line="161" w:lineRule="exact"/>
              <w:rPr>
                <w:sz w:val="19"/>
                <w:szCs w:val="19"/>
              </w:rPr>
            </w:pPr>
            <w:r>
              <w:rPr>
                <w:sz w:val="19"/>
                <w:szCs w:val="19"/>
                <w:spacing w:val="-1"/>
                <w:position w:val="-2"/>
              </w:rPr>
              <w:t>401.92</w:t>
            </w:r>
          </w:p>
        </w:tc>
        <w:tc>
          <w:tcPr>
            <w:tcW w:w="2528" w:type="dxa"/>
            <w:vAlign w:val="top"/>
          </w:tcPr>
          <w:p>
            <w:pPr>
              <w:pStyle w:val="TableText"/>
              <w:ind w:left="874"/>
              <w:spacing w:before="79" w:line="161" w:lineRule="exact"/>
              <w:rPr>
                <w:sz w:val="19"/>
                <w:szCs w:val="19"/>
              </w:rPr>
            </w:pPr>
            <w:r>
              <w:rPr>
                <w:sz w:val="19"/>
                <w:szCs w:val="19"/>
                <w:spacing w:val="-2"/>
                <w:position w:val="-2"/>
              </w:rPr>
              <w:t>7.64E+00</w:t>
            </w:r>
          </w:p>
        </w:tc>
        <w:tc>
          <w:tcPr>
            <w:tcW w:w="1219" w:type="dxa"/>
            <w:vAlign w:val="top"/>
          </w:tcPr>
          <w:p>
            <w:pPr>
              <w:pStyle w:val="TableText"/>
              <w:ind w:left="316"/>
              <w:spacing w:before="79" w:line="161" w:lineRule="exact"/>
              <w:rPr>
                <w:sz w:val="19"/>
                <w:szCs w:val="19"/>
              </w:rPr>
            </w:pPr>
            <w:r>
              <w:rPr>
                <w:sz w:val="19"/>
                <w:szCs w:val="19"/>
                <w:spacing w:val="-2"/>
                <w:position w:val="-2"/>
              </w:rPr>
              <w:t>382.24</w:t>
            </w:r>
          </w:p>
        </w:tc>
        <w:tc>
          <w:tcPr>
            <w:tcW w:w="2529" w:type="dxa"/>
            <w:vAlign w:val="top"/>
          </w:tcPr>
          <w:p>
            <w:pPr>
              <w:pStyle w:val="TableText"/>
              <w:ind w:left="877"/>
              <w:spacing w:before="79" w:line="161" w:lineRule="exact"/>
              <w:rPr>
                <w:sz w:val="19"/>
                <w:szCs w:val="19"/>
              </w:rPr>
            </w:pPr>
            <w:r>
              <w:rPr>
                <w:sz w:val="19"/>
                <w:szCs w:val="19"/>
                <w:spacing w:val="-1"/>
                <w:position w:val="-2"/>
              </w:rPr>
              <w:t>4.86E+00</w:t>
            </w:r>
          </w:p>
        </w:tc>
        <w:tc>
          <w:tcPr>
            <w:tcW w:w="1214" w:type="dxa"/>
            <w:vAlign w:val="top"/>
          </w:tcPr>
          <w:p>
            <w:pPr>
              <w:pStyle w:val="TableText"/>
              <w:ind w:left="319"/>
              <w:spacing w:before="79" w:line="161" w:lineRule="exact"/>
              <w:rPr>
                <w:sz w:val="19"/>
                <w:szCs w:val="19"/>
              </w:rPr>
            </w:pPr>
            <w:r>
              <w:rPr>
                <w:sz w:val="19"/>
                <w:szCs w:val="19"/>
                <w:spacing w:val="-2"/>
                <w:position w:val="-2"/>
              </w:rPr>
              <w:t>243.17</w:t>
            </w:r>
          </w:p>
        </w:tc>
      </w:tr>
      <w:tr>
        <w:trPr>
          <w:trHeight w:val="279" w:hRule="atLeast"/>
        </w:trPr>
        <w:tc>
          <w:tcPr>
            <w:tcW w:w="1384" w:type="dxa"/>
            <w:vAlign w:val="top"/>
            <w:vMerge w:val="restart"/>
            <w:tcBorders>
              <w:bottom w:val="nil"/>
            </w:tcBorders>
          </w:tcPr>
          <w:p>
            <w:pPr>
              <w:spacing w:line="302" w:lineRule="auto"/>
              <w:rPr>
                <w:rFonts w:ascii="Arial"/>
                <w:sz w:val="21"/>
              </w:rPr>
            </w:pPr>
            <w:r/>
          </w:p>
          <w:p>
            <w:pPr>
              <w:pStyle w:val="TableText"/>
              <w:ind w:left="114"/>
              <w:spacing w:before="61" w:line="184" w:lineRule="auto"/>
              <w:rPr>
                <w:sz w:val="19"/>
                <w:szCs w:val="19"/>
              </w:rPr>
            </w:pPr>
            <w:r>
              <w:rPr>
                <w:sz w:val="19"/>
                <w:szCs w:val="19"/>
                <w:spacing w:val="-1"/>
              </w:rPr>
              <w:t>DA025、DA027</w:t>
            </w:r>
          </w:p>
        </w:tc>
        <w:tc>
          <w:tcPr>
            <w:tcW w:w="1499" w:type="dxa"/>
            <w:vAlign w:val="top"/>
          </w:tcPr>
          <w:p>
            <w:pPr>
              <w:pStyle w:val="TableText"/>
              <w:ind w:left="640"/>
              <w:spacing w:before="100" w:line="164" w:lineRule="auto"/>
              <w:rPr>
                <w:sz w:val="19"/>
                <w:szCs w:val="19"/>
              </w:rPr>
            </w:pPr>
            <w:r>
              <w:rPr>
                <w:sz w:val="19"/>
                <w:szCs w:val="19"/>
                <w:spacing w:val="-3"/>
              </w:rPr>
              <w:t>SO</w:t>
            </w:r>
          </w:p>
        </w:tc>
        <w:tc>
          <w:tcPr>
            <w:tcW w:w="2528" w:type="dxa"/>
            <w:vAlign w:val="top"/>
          </w:tcPr>
          <w:p>
            <w:pPr>
              <w:pStyle w:val="TableText"/>
              <w:ind w:left="872"/>
              <w:spacing w:before="100" w:line="164" w:lineRule="auto"/>
              <w:rPr>
                <w:sz w:val="19"/>
                <w:szCs w:val="19"/>
              </w:rPr>
            </w:pPr>
            <w:r>
              <w:rPr>
                <w:sz w:val="19"/>
                <w:szCs w:val="19"/>
                <w:spacing w:val="-1"/>
              </w:rPr>
              <w:t>4.72E-04</w:t>
            </w:r>
          </w:p>
        </w:tc>
        <w:tc>
          <w:tcPr>
            <w:tcW w:w="1219" w:type="dxa"/>
            <w:vAlign w:val="top"/>
          </w:tcPr>
          <w:p>
            <w:pPr>
              <w:pStyle w:val="TableText"/>
              <w:ind w:left="414"/>
              <w:spacing w:before="100" w:line="164" w:lineRule="auto"/>
              <w:rPr>
                <w:sz w:val="19"/>
                <w:szCs w:val="19"/>
              </w:rPr>
            </w:pPr>
            <w:r>
              <w:rPr>
                <w:sz w:val="19"/>
                <w:szCs w:val="19"/>
                <w:spacing w:val="-2"/>
              </w:rPr>
              <w:t>0.09</w:t>
            </w:r>
          </w:p>
        </w:tc>
        <w:tc>
          <w:tcPr>
            <w:tcW w:w="2528" w:type="dxa"/>
            <w:vAlign w:val="top"/>
          </w:tcPr>
          <w:p>
            <w:pPr>
              <w:pStyle w:val="TableText"/>
              <w:ind w:left="874"/>
              <w:spacing w:before="100" w:line="164" w:lineRule="auto"/>
              <w:rPr>
                <w:sz w:val="19"/>
                <w:szCs w:val="19"/>
              </w:rPr>
            </w:pPr>
            <w:r>
              <w:rPr>
                <w:sz w:val="19"/>
                <w:szCs w:val="19"/>
                <w:spacing w:val="-1"/>
              </w:rPr>
              <w:t>4.30E-04</w:t>
            </w:r>
          </w:p>
        </w:tc>
        <w:tc>
          <w:tcPr>
            <w:tcW w:w="1219" w:type="dxa"/>
            <w:vAlign w:val="top"/>
          </w:tcPr>
          <w:p>
            <w:pPr>
              <w:pStyle w:val="TableText"/>
              <w:ind w:left="416"/>
              <w:spacing w:before="100" w:line="164" w:lineRule="auto"/>
              <w:rPr>
                <w:sz w:val="19"/>
                <w:szCs w:val="19"/>
              </w:rPr>
            </w:pPr>
            <w:r>
              <w:rPr>
                <w:sz w:val="19"/>
                <w:szCs w:val="19"/>
                <w:spacing w:val="-2"/>
              </w:rPr>
              <w:t>0.09</w:t>
            </w:r>
          </w:p>
        </w:tc>
        <w:tc>
          <w:tcPr>
            <w:tcW w:w="2529" w:type="dxa"/>
            <w:vAlign w:val="top"/>
          </w:tcPr>
          <w:p>
            <w:pPr>
              <w:pStyle w:val="TableText"/>
              <w:ind w:left="877"/>
              <w:spacing w:before="100" w:line="164" w:lineRule="auto"/>
              <w:rPr>
                <w:sz w:val="19"/>
                <w:szCs w:val="19"/>
              </w:rPr>
            </w:pPr>
            <w:r>
              <w:rPr>
                <w:sz w:val="19"/>
                <w:szCs w:val="19"/>
                <w:spacing w:val="-2"/>
              </w:rPr>
              <w:t>5.52E-04</w:t>
            </w:r>
          </w:p>
        </w:tc>
        <w:tc>
          <w:tcPr>
            <w:tcW w:w="1214" w:type="dxa"/>
            <w:vAlign w:val="top"/>
          </w:tcPr>
          <w:p>
            <w:pPr>
              <w:pStyle w:val="TableText"/>
              <w:ind w:left="408"/>
              <w:spacing w:before="99" w:line="165" w:lineRule="auto"/>
              <w:rPr>
                <w:sz w:val="19"/>
                <w:szCs w:val="19"/>
              </w:rPr>
            </w:pPr>
            <w:r>
              <w:rPr>
                <w:sz w:val="19"/>
                <w:szCs w:val="19"/>
                <w:spacing w:val="-2"/>
              </w:rPr>
              <w:t>0.11</w:t>
            </w:r>
          </w:p>
        </w:tc>
      </w:tr>
      <w:tr>
        <w:trPr>
          <w:trHeight w:val="239" w:hRule="atLeast"/>
        </w:trPr>
        <w:tc>
          <w:tcPr>
            <w:tcW w:w="1384" w:type="dxa"/>
            <w:vAlign w:val="top"/>
            <w:vMerge w:val="continue"/>
            <w:tcBorders>
              <w:top w:val="nil"/>
              <w:bottom w:val="nil"/>
            </w:tcBorders>
          </w:tcPr>
          <w:p>
            <w:pPr>
              <w:rPr>
                <w:rFonts w:ascii="Arial"/>
                <w:sz w:val="21"/>
              </w:rPr>
            </w:pPr>
            <w:r/>
          </w:p>
        </w:tc>
        <w:tc>
          <w:tcPr>
            <w:tcW w:w="1499" w:type="dxa"/>
            <w:vAlign w:val="top"/>
          </w:tcPr>
          <w:p>
            <w:pPr>
              <w:pStyle w:val="TableText"/>
              <w:ind w:left="591"/>
              <w:spacing w:before="81" w:line="147" w:lineRule="exact"/>
              <w:rPr>
                <w:sz w:val="19"/>
                <w:szCs w:val="19"/>
              </w:rPr>
            </w:pPr>
            <w:r>
              <w:rPr>
                <w:sz w:val="19"/>
                <w:szCs w:val="19"/>
                <w:spacing w:val="-6"/>
                <w:position w:val="-2"/>
              </w:rPr>
              <w:t>PM。</w:t>
            </w:r>
          </w:p>
        </w:tc>
        <w:tc>
          <w:tcPr>
            <w:tcW w:w="2528" w:type="dxa"/>
            <w:vAlign w:val="top"/>
          </w:tcPr>
          <w:p>
            <w:pPr>
              <w:pStyle w:val="TableText"/>
              <w:ind w:left="872"/>
              <w:spacing w:before="80" w:line="148" w:lineRule="exact"/>
              <w:rPr>
                <w:sz w:val="19"/>
                <w:szCs w:val="19"/>
              </w:rPr>
            </w:pPr>
            <w:r>
              <w:rPr>
                <w:sz w:val="19"/>
                <w:szCs w:val="19"/>
                <w:spacing w:val="-2"/>
                <w:position w:val="-2"/>
              </w:rPr>
              <w:t>5.14E-04</w:t>
            </w:r>
          </w:p>
        </w:tc>
        <w:tc>
          <w:tcPr>
            <w:tcW w:w="1219" w:type="dxa"/>
            <w:vAlign w:val="top"/>
          </w:tcPr>
          <w:p>
            <w:pPr>
              <w:pStyle w:val="TableText"/>
              <w:ind w:left="414"/>
              <w:spacing w:before="80" w:line="148" w:lineRule="exact"/>
              <w:rPr>
                <w:sz w:val="19"/>
                <w:szCs w:val="19"/>
              </w:rPr>
            </w:pPr>
            <w:r>
              <w:rPr>
                <w:sz w:val="19"/>
                <w:szCs w:val="19"/>
                <w:spacing w:val="-2"/>
                <w:position w:val="-2"/>
              </w:rPr>
              <w:t>0.11</w:t>
            </w:r>
          </w:p>
        </w:tc>
        <w:tc>
          <w:tcPr>
            <w:tcW w:w="2528" w:type="dxa"/>
            <w:vAlign w:val="top"/>
          </w:tcPr>
          <w:p>
            <w:pPr>
              <w:pStyle w:val="TableText"/>
              <w:ind w:left="874"/>
              <w:spacing w:before="80" w:line="148" w:lineRule="exact"/>
              <w:rPr>
                <w:sz w:val="19"/>
                <w:szCs w:val="19"/>
              </w:rPr>
            </w:pPr>
            <w:r>
              <w:rPr>
                <w:sz w:val="19"/>
                <w:szCs w:val="19"/>
                <w:spacing w:val="-1"/>
                <w:position w:val="-2"/>
              </w:rPr>
              <w:t>4.68E-04</w:t>
            </w:r>
          </w:p>
        </w:tc>
        <w:tc>
          <w:tcPr>
            <w:tcW w:w="1219" w:type="dxa"/>
            <w:vAlign w:val="top"/>
          </w:tcPr>
          <w:p>
            <w:pPr>
              <w:pStyle w:val="TableText"/>
              <w:ind w:left="416"/>
              <w:spacing w:before="80" w:line="148" w:lineRule="exact"/>
              <w:rPr>
                <w:sz w:val="19"/>
                <w:szCs w:val="19"/>
              </w:rPr>
            </w:pPr>
            <w:r>
              <w:rPr>
                <w:sz w:val="19"/>
                <w:szCs w:val="19"/>
                <w:spacing w:val="-2"/>
                <w:position w:val="-2"/>
              </w:rPr>
              <w:t>0.10</w:t>
            </w:r>
          </w:p>
        </w:tc>
        <w:tc>
          <w:tcPr>
            <w:tcW w:w="2529" w:type="dxa"/>
            <w:vAlign w:val="top"/>
          </w:tcPr>
          <w:p>
            <w:pPr>
              <w:pStyle w:val="TableText"/>
              <w:ind w:left="877"/>
              <w:spacing w:before="80" w:line="148" w:lineRule="exact"/>
              <w:rPr>
                <w:sz w:val="19"/>
                <w:szCs w:val="19"/>
              </w:rPr>
            </w:pPr>
            <w:r>
              <w:rPr>
                <w:sz w:val="19"/>
                <w:szCs w:val="19"/>
                <w:spacing w:val="-2"/>
                <w:position w:val="-2"/>
              </w:rPr>
              <w:t>6.01E-04</w:t>
            </w:r>
          </w:p>
        </w:tc>
        <w:tc>
          <w:tcPr>
            <w:tcW w:w="1214" w:type="dxa"/>
            <w:vAlign w:val="top"/>
          </w:tcPr>
          <w:p>
            <w:pPr>
              <w:pStyle w:val="TableText"/>
              <w:ind w:left="408"/>
              <w:spacing w:before="80" w:line="148" w:lineRule="exact"/>
              <w:rPr>
                <w:sz w:val="19"/>
                <w:szCs w:val="19"/>
              </w:rPr>
            </w:pPr>
            <w:r>
              <w:rPr>
                <w:sz w:val="19"/>
                <w:szCs w:val="19"/>
                <w:spacing w:val="-2"/>
                <w:position w:val="-2"/>
              </w:rPr>
              <w:t>0.13</w:t>
            </w:r>
          </w:p>
        </w:tc>
      </w:tr>
      <w:tr>
        <w:trPr>
          <w:trHeight w:val="279" w:hRule="atLeast"/>
        </w:trPr>
        <w:tc>
          <w:tcPr>
            <w:tcW w:w="1384" w:type="dxa"/>
            <w:vAlign w:val="top"/>
            <w:vMerge w:val="continue"/>
            <w:tcBorders>
              <w:top w:val="nil"/>
            </w:tcBorders>
          </w:tcPr>
          <w:p>
            <w:pPr>
              <w:rPr>
                <w:rFonts w:ascii="Arial"/>
                <w:sz w:val="21"/>
              </w:rPr>
            </w:pPr>
            <w:r/>
          </w:p>
        </w:tc>
        <w:tc>
          <w:tcPr>
            <w:tcW w:w="1499" w:type="dxa"/>
            <w:vAlign w:val="top"/>
          </w:tcPr>
          <w:p>
            <w:pPr>
              <w:pStyle w:val="TableText"/>
              <w:ind w:left="591"/>
              <w:spacing w:before="102" w:line="162" w:lineRule="auto"/>
              <w:rPr>
                <w:sz w:val="19"/>
                <w:szCs w:val="19"/>
              </w:rPr>
            </w:pPr>
            <w:r>
              <w:rPr>
                <w:sz w:val="19"/>
                <w:szCs w:val="19"/>
                <w:spacing w:val="-1"/>
              </w:rPr>
              <w:t>NOx</w:t>
            </w:r>
          </w:p>
        </w:tc>
        <w:tc>
          <w:tcPr>
            <w:tcW w:w="2528" w:type="dxa"/>
            <w:vAlign w:val="top"/>
          </w:tcPr>
          <w:p>
            <w:pPr>
              <w:pStyle w:val="TableText"/>
              <w:ind w:left="872"/>
              <w:spacing w:before="101" w:line="163" w:lineRule="auto"/>
              <w:rPr>
                <w:sz w:val="19"/>
                <w:szCs w:val="19"/>
              </w:rPr>
            </w:pPr>
            <w:r>
              <w:rPr>
                <w:sz w:val="19"/>
                <w:szCs w:val="19"/>
                <w:spacing w:val="-3"/>
              </w:rPr>
              <w:t>1.58E-03</w:t>
            </w:r>
          </w:p>
        </w:tc>
        <w:tc>
          <w:tcPr>
            <w:tcW w:w="1219" w:type="dxa"/>
            <w:vAlign w:val="top"/>
          </w:tcPr>
          <w:p>
            <w:pPr>
              <w:pStyle w:val="TableText"/>
              <w:ind w:left="414"/>
              <w:spacing w:before="102" w:line="162" w:lineRule="auto"/>
              <w:rPr>
                <w:sz w:val="19"/>
                <w:szCs w:val="19"/>
              </w:rPr>
            </w:pPr>
            <w:r>
              <w:rPr>
                <w:sz w:val="19"/>
                <w:szCs w:val="19"/>
                <w:spacing w:val="-2"/>
              </w:rPr>
              <w:t>0.63</w:t>
            </w:r>
          </w:p>
        </w:tc>
        <w:tc>
          <w:tcPr>
            <w:tcW w:w="2528" w:type="dxa"/>
            <w:vAlign w:val="top"/>
          </w:tcPr>
          <w:p>
            <w:pPr>
              <w:pStyle w:val="TableText"/>
              <w:ind w:left="874"/>
              <w:spacing w:before="101" w:line="163" w:lineRule="auto"/>
              <w:rPr>
                <w:sz w:val="19"/>
                <w:szCs w:val="19"/>
              </w:rPr>
            </w:pPr>
            <w:r>
              <w:rPr>
                <w:sz w:val="19"/>
                <w:szCs w:val="19"/>
                <w:spacing w:val="-3"/>
              </w:rPr>
              <w:t>1.44E-03</w:t>
            </w:r>
          </w:p>
        </w:tc>
        <w:tc>
          <w:tcPr>
            <w:tcW w:w="1219" w:type="dxa"/>
            <w:vAlign w:val="top"/>
          </w:tcPr>
          <w:p>
            <w:pPr>
              <w:pStyle w:val="TableText"/>
              <w:ind w:left="416"/>
              <w:spacing w:before="102" w:line="162" w:lineRule="auto"/>
              <w:rPr>
                <w:sz w:val="19"/>
                <w:szCs w:val="19"/>
              </w:rPr>
            </w:pPr>
            <w:r>
              <w:rPr>
                <w:sz w:val="19"/>
                <w:szCs w:val="19"/>
                <w:spacing w:val="-2"/>
              </w:rPr>
              <w:t>0.58</w:t>
            </w:r>
          </w:p>
        </w:tc>
        <w:tc>
          <w:tcPr>
            <w:tcW w:w="2529" w:type="dxa"/>
            <w:vAlign w:val="top"/>
          </w:tcPr>
          <w:p>
            <w:pPr>
              <w:pStyle w:val="TableText"/>
              <w:ind w:left="877"/>
              <w:spacing w:before="101" w:line="163" w:lineRule="auto"/>
              <w:rPr>
                <w:sz w:val="19"/>
                <w:szCs w:val="19"/>
              </w:rPr>
            </w:pPr>
            <w:r>
              <w:rPr>
                <w:sz w:val="19"/>
                <w:szCs w:val="19"/>
                <w:spacing w:val="-3"/>
              </w:rPr>
              <w:t>1.85E-03</w:t>
            </w:r>
          </w:p>
        </w:tc>
        <w:tc>
          <w:tcPr>
            <w:tcW w:w="1214" w:type="dxa"/>
            <w:vAlign w:val="top"/>
          </w:tcPr>
          <w:p>
            <w:pPr>
              <w:pStyle w:val="TableText"/>
              <w:ind w:left="408"/>
              <w:spacing w:before="102" w:line="162" w:lineRule="auto"/>
              <w:rPr>
                <w:sz w:val="19"/>
                <w:szCs w:val="19"/>
              </w:rPr>
            </w:pPr>
            <w:r>
              <w:rPr>
                <w:sz w:val="19"/>
                <w:szCs w:val="19"/>
                <w:spacing w:val="-2"/>
              </w:rPr>
              <w:t>0.74</w:t>
            </w:r>
          </w:p>
        </w:tc>
      </w:tr>
      <w:tr>
        <w:trPr>
          <w:trHeight w:val="240" w:hRule="atLeast"/>
        </w:trPr>
        <w:tc>
          <w:tcPr>
            <w:tcW w:w="1384" w:type="dxa"/>
            <w:vAlign w:val="top"/>
            <w:vMerge w:val="restart"/>
            <w:tcBorders>
              <w:bottom w:val="nil"/>
            </w:tcBorders>
          </w:tcPr>
          <w:p>
            <w:pPr>
              <w:spacing w:line="287" w:lineRule="auto"/>
              <w:rPr>
                <w:rFonts w:ascii="Arial"/>
                <w:sz w:val="21"/>
              </w:rPr>
            </w:pPr>
            <w:r/>
          </w:p>
          <w:p>
            <w:pPr>
              <w:pStyle w:val="TableText"/>
              <w:ind w:left="444"/>
              <w:spacing w:before="62" w:line="185" w:lineRule="auto"/>
              <w:rPr>
                <w:sz w:val="19"/>
                <w:szCs w:val="19"/>
              </w:rPr>
            </w:pPr>
            <w:r>
              <w:rPr>
                <w:sz w:val="19"/>
                <w:szCs w:val="19"/>
                <w:spacing w:val="-1"/>
              </w:rPr>
              <w:t>DA028</w:t>
            </w:r>
          </w:p>
        </w:tc>
        <w:tc>
          <w:tcPr>
            <w:tcW w:w="1499" w:type="dxa"/>
            <w:vAlign w:val="top"/>
          </w:tcPr>
          <w:p>
            <w:pPr>
              <w:pStyle w:val="TableText"/>
              <w:ind w:left="550"/>
              <w:spacing w:before="64" w:line="161" w:lineRule="auto"/>
              <w:rPr>
                <w:rFonts w:ascii="Calibri" w:hAnsi="Calibri" w:eastAsia="Calibri" w:cs="Calibri"/>
                <w:sz w:val="19"/>
                <w:szCs w:val="19"/>
              </w:rPr>
            </w:pPr>
            <w:r>
              <w:rPr>
                <w:sz w:val="19"/>
                <w:szCs w:val="19"/>
                <w:spacing w:val="-3"/>
              </w:rPr>
              <w:t>SO</w:t>
            </w:r>
            <w:r>
              <w:rPr>
                <w:rFonts w:ascii="Calibri" w:hAnsi="Calibri" w:eastAsia="Calibri" w:cs="Calibri"/>
                <w:sz w:val="19"/>
                <w:szCs w:val="19"/>
                <w:spacing w:val="-3"/>
              </w:rPr>
              <w:t>₂</w:t>
            </w:r>
          </w:p>
        </w:tc>
        <w:tc>
          <w:tcPr>
            <w:tcW w:w="2528" w:type="dxa"/>
            <w:vAlign w:val="top"/>
          </w:tcPr>
          <w:p>
            <w:pPr>
              <w:pStyle w:val="TableText"/>
              <w:ind w:left="872"/>
              <w:spacing w:before="82" w:line="148" w:lineRule="exact"/>
              <w:rPr>
                <w:sz w:val="19"/>
                <w:szCs w:val="19"/>
              </w:rPr>
            </w:pPr>
            <w:r>
              <w:rPr>
                <w:sz w:val="19"/>
                <w:szCs w:val="19"/>
                <w:spacing w:val="-2"/>
                <w:position w:val="-2"/>
              </w:rPr>
              <w:t>6.68E-04</w:t>
            </w:r>
          </w:p>
        </w:tc>
        <w:tc>
          <w:tcPr>
            <w:tcW w:w="1219" w:type="dxa"/>
            <w:vAlign w:val="top"/>
          </w:tcPr>
          <w:p>
            <w:pPr>
              <w:pStyle w:val="TableText"/>
              <w:ind w:left="414"/>
              <w:spacing w:before="82" w:line="148" w:lineRule="exact"/>
              <w:rPr>
                <w:sz w:val="19"/>
                <w:szCs w:val="19"/>
              </w:rPr>
            </w:pPr>
            <w:r>
              <w:rPr>
                <w:sz w:val="19"/>
                <w:szCs w:val="19"/>
                <w:spacing w:val="-2"/>
                <w:position w:val="-2"/>
              </w:rPr>
              <w:t>0.13</w:t>
            </w:r>
          </w:p>
        </w:tc>
        <w:tc>
          <w:tcPr>
            <w:tcW w:w="2528" w:type="dxa"/>
            <w:vAlign w:val="top"/>
          </w:tcPr>
          <w:p>
            <w:pPr>
              <w:pStyle w:val="TableText"/>
              <w:ind w:left="874"/>
              <w:spacing w:before="82" w:line="148" w:lineRule="exact"/>
              <w:rPr>
                <w:sz w:val="19"/>
                <w:szCs w:val="19"/>
              </w:rPr>
            </w:pPr>
            <w:r>
              <w:rPr>
                <w:sz w:val="19"/>
                <w:szCs w:val="19"/>
                <w:spacing w:val="-2"/>
                <w:position w:val="-2"/>
              </w:rPr>
              <w:t>6.12E-04</w:t>
            </w:r>
          </w:p>
        </w:tc>
        <w:tc>
          <w:tcPr>
            <w:tcW w:w="1219" w:type="dxa"/>
            <w:vAlign w:val="top"/>
          </w:tcPr>
          <w:p>
            <w:pPr>
              <w:pStyle w:val="TableText"/>
              <w:ind w:left="416"/>
              <w:spacing w:before="82" w:line="148" w:lineRule="exact"/>
              <w:rPr>
                <w:sz w:val="19"/>
                <w:szCs w:val="19"/>
              </w:rPr>
            </w:pPr>
            <w:r>
              <w:rPr>
                <w:sz w:val="19"/>
                <w:szCs w:val="19"/>
                <w:spacing w:val="-2"/>
                <w:position w:val="-2"/>
              </w:rPr>
              <w:t>0.12</w:t>
            </w:r>
          </w:p>
        </w:tc>
        <w:tc>
          <w:tcPr>
            <w:tcW w:w="2529" w:type="dxa"/>
            <w:vAlign w:val="top"/>
          </w:tcPr>
          <w:p>
            <w:pPr>
              <w:pStyle w:val="TableText"/>
              <w:ind w:left="877"/>
              <w:spacing w:before="82" w:line="148" w:lineRule="exact"/>
              <w:rPr>
                <w:sz w:val="19"/>
                <w:szCs w:val="19"/>
              </w:rPr>
            </w:pPr>
            <w:r>
              <w:rPr>
                <w:sz w:val="19"/>
                <w:szCs w:val="19"/>
                <w:spacing w:val="-2"/>
                <w:position w:val="-2"/>
              </w:rPr>
              <w:t>5.84E-04</w:t>
            </w:r>
          </w:p>
        </w:tc>
        <w:tc>
          <w:tcPr>
            <w:tcW w:w="1214" w:type="dxa"/>
            <w:vAlign w:val="top"/>
          </w:tcPr>
          <w:p>
            <w:pPr>
              <w:pStyle w:val="TableText"/>
              <w:ind w:left="408"/>
              <w:spacing w:before="82" w:line="148" w:lineRule="exact"/>
              <w:rPr>
                <w:sz w:val="19"/>
                <w:szCs w:val="19"/>
              </w:rPr>
            </w:pPr>
            <w:r>
              <w:rPr>
                <w:sz w:val="19"/>
                <w:szCs w:val="19"/>
                <w:spacing w:val="-2"/>
                <w:position w:val="-2"/>
              </w:rPr>
              <w:t>0.12</w:t>
            </w:r>
          </w:p>
        </w:tc>
      </w:tr>
      <w:tr>
        <w:trPr>
          <w:trHeight w:val="269" w:hRule="atLeast"/>
        </w:trPr>
        <w:tc>
          <w:tcPr>
            <w:tcW w:w="1384" w:type="dxa"/>
            <w:vAlign w:val="top"/>
            <w:vMerge w:val="continue"/>
            <w:tcBorders>
              <w:top w:val="nil"/>
              <w:bottom w:val="nil"/>
            </w:tcBorders>
          </w:tcPr>
          <w:p>
            <w:pPr>
              <w:rPr>
                <w:rFonts w:ascii="Arial"/>
                <w:sz w:val="21"/>
              </w:rPr>
            </w:pPr>
            <w:r/>
          </w:p>
        </w:tc>
        <w:tc>
          <w:tcPr>
            <w:tcW w:w="1499" w:type="dxa"/>
            <w:vAlign w:val="top"/>
          </w:tcPr>
          <w:p>
            <w:pPr>
              <w:pStyle w:val="TableText"/>
              <w:ind w:left="550"/>
              <w:spacing w:before="74" w:line="179" w:lineRule="auto"/>
              <w:rPr>
                <w:rFonts w:ascii="Calibri" w:hAnsi="Calibri" w:eastAsia="Calibri" w:cs="Calibri"/>
                <w:sz w:val="19"/>
                <w:szCs w:val="19"/>
              </w:rPr>
            </w:pPr>
            <w:r>
              <w:rPr>
                <w:sz w:val="19"/>
                <w:szCs w:val="19"/>
                <w:spacing w:val="-2"/>
              </w:rPr>
              <w:t>PM</w:t>
            </w:r>
            <w:r>
              <w:rPr>
                <w:rFonts w:ascii="Calibri" w:hAnsi="Calibri" w:eastAsia="Calibri" w:cs="Calibri"/>
                <w:sz w:val="19"/>
                <w:szCs w:val="19"/>
                <w:spacing w:val="-2"/>
              </w:rPr>
              <w:t>₀</w:t>
            </w:r>
          </w:p>
        </w:tc>
        <w:tc>
          <w:tcPr>
            <w:tcW w:w="2528" w:type="dxa"/>
            <w:vAlign w:val="top"/>
          </w:tcPr>
          <w:p>
            <w:pPr>
              <w:pStyle w:val="TableText"/>
              <w:ind w:left="872"/>
              <w:spacing w:before="93" w:line="161" w:lineRule="auto"/>
              <w:rPr>
                <w:sz w:val="19"/>
                <w:szCs w:val="19"/>
              </w:rPr>
            </w:pPr>
            <w:r>
              <w:rPr>
                <w:sz w:val="19"/>
                <w:szCs w:val="19"/>
                <w:spacing w:val="-2"/>
              </w:rPr>
              <w:t>7.20E-04</w:t>
            </w:r>
          </w:p>
        </w:tc>
        <w:tc>
          <w:tcPr>
            <w:tcW w:w="1219" w:type="dxa"/>
            <w:vAlign w:val="top"/>
          </w:tcPr>
          <w:p>
            <w:pPr>
              <w:pStyle w:val="TableText"/>
              <w:ind w:left="414"/>
              <w:spacing w:before="92" w:line="162" w:lineRule="auto"/>
              <w:rPr>
                <w:sz w:val="19"/>
                <w:szCs w:val="19"/>
              </w:rPr>
            </w:pPr>
            <w:r>
              <w:rPr>
                <w:sz w:val="19"/>
                <w:szCs w:val="19"/>
                <w:spacing w:val="-2"/>
              </w:rPr>
              <w:t>0.16</w:t>
            </w:r>
          </w:p>
        </w:tc>
        <w:tc>
          <w:tcPr>
            <w:tcW w:w="2528" w:type="dxa"/>
            <w:vAlign w:val="top"/>
          </w:tcPr>
          <w:p>
            <w:pPr>
              <w:pStyle w:val="TableText"/>
              <w:ind w:left="874"/>
              <w:spacing w:before="93" w:line="161" w:lineRule="auto"/>
              <w:rPr>
                <w:sz w:val="19"/>
                <w:szCs w:val="19"/>
              </w:rPr>
            </w:pPr>
            <w:r>
              <w:rPr>
                <w:sz w:val="19"/>
                <w:szCs w:val="19"/>
                <w:spacing w:val="-2"/>
              </w:rPr>
              <w:t>6.60E-04</w:t>
            </w:r>
          </w:p>
        </w:tc>
        <w:tc>
          <w:tcPr>
            <w:tcW w:w="1219" w:type="dxa"/>
            <w:vAlign w:val="top"/>
          </w:tcPr>
          <w:p>
            <w:pPr>
              <w:pStyle w:val="TableText"/>
              <w:ind w:left="416"/>
              <w:spacing w:before="92" w:line="162" w:lineRule="auto"/>
              <w:rPr>
                <w:sz w:val="19"/>
                <w:szCs w:val="19"/>
              </w:rPr>
            </w:pPr>
            <w:r>
              <w:rPr>
                <w:sz w:val="19"/>
                <w:szCs w:val="19"/>
                <w:spacing w:val="-2"/>
              </w:rPr>
              <w:t>0.15</w:t>
            </w:r>
          </w:p>
        </w:tc>
        <w:tc>
          <w:tcPr>
            <w:tcW w:w="2529" w:type="dxa"/>
            <w:vAlign w:val="top"/>
          </w:tcPr>
          <w:p>
            <w:pPr>
              <w:pStyle w:val="TableText"/>
              <w:ind w:left="877"/>
              <w:spacing w:before="93" w:line="161" w:lineRule="auto"/>
              <w:rPr>
                <w:sz w:val="19"/>
                <w:szCs w:val="19"/>
              </w:rPr>
            </w:pPr>
            <w:r>
              <w:rPr>
                <w:sz w:val="19"/>
                <w:szCs w:val="19"/>
                <w:spacing w:val="-2"/>
              </w:rPr>
              <w:t>6.29E-04</w:t>
            </w:r>
          </w:p>
        </w:tc>
        <w:tc>
          <w:tcPr>
            <w:tcW w:w="1214" w:type="dxa"/>
            <w:vAlign w:val="top"/>
          </w:tcPr>
          <w:p>
            <w:pPr>
              <w:pStyle w:val="TableText"/>
              <w:ind w:left="408"/>
              <w:spacing w:before="92" w:line="162" w:lineRule="auto"/>
              <w:rPr>
                <w:sz w:val="19"/>
                <w:szCs w:val="19"/>
              </w:rPr>
            </w:pPr>
            <w:r>
              <w:rPr>
                <w:sz w:val="19"/>
                <w:szCs w:val="19"/>
                <w:spacing w:val="-2"/>
              </w:rPr>
              <w:t>0.14</w:t>
            </w:r>
          </w:p>
        </w:tc>
      </w:tr>
      <w:tr>
        <w:trPr>
          <w:trHeight w:val="249" w:hRule="atLeast"/>
        </w:trPr>
        <w:tc>
          <w:tcPr>
            <w:tcW w:w="1384" w:type="dxa"/>
            <w:vAlign w:val="top"/>
            <w:vMerge w:val="continue"/>
            <w:tcBorders>
              <w:top w:val="nil"/>
            </w:tcBorders>
          </w:tcPr>
          <w:p>
            <w:pPr>
              <w:rPr>
                <w:rFonts w:ascii="Arial"/>
                <w:sz w:val="21"/>
              </w:rPr>
            </w:pPr>
            <w:r/>
          </w:p>
        </w:tc>
        <w:tc>
          <w:tcPr>
            <w:tcW w:w="1499" w:type="dxa"/>
            <w:vAlign w:val="top"/>
          </w:tcPr>
          <w:p>
            <w:pPr>
              <w:pStyle w:val="TableText"/>
              <w:ind w:left="591"/>
              <w:spacing w:before="83" w:line="155" w:lineRule="exact"/>
              <w:rPr>
                <w:sz w:val="19"/>
                <w:szCs w:val="19"/>
              </w:rPr>
            </w:pPr>
            <w:r>
              <w:rPr>
                <w:sz w:val="19"/>
                <w:szCs w:val="19"/>
                <w:spacing w:val="-1"/>
                <w:position w:val="-2"/>
              </w:rPr>
              <w:t>NOx</w:t>
            </w:r>
          </w:p>
        </w:tc>
        <w:tc>
          <w:tcPr>
            <w:tcW w:w="2528" w:type="dxa"/>
            <w:vAlign w:val="top"/>
          </w:tcPr>
          <w:p>
            <w:pPr>
              <w:pStyle w:val="TableText"/>
              <w:ind w:left="872"/>
              <w:spacing w:before="83" w:line="155" w:lineRule="exact"/>
              <w:rPr>
                <w:sz w:val="19"/>
                <w:szCs w:val="19"/>
              </w:rPr>
            </w:pPr>
            <w:r>
              <w:rPr>
                <w:sz w:val="19"/>
                <w:szCs w:val="19"/>
                <w:spacing w:val="-2"/>
                <w:position w:val="-2"/>
              </w:rPr>
              <w:t>2.20E-03</w:t>
            </w:r>
          </w:p>
        </w:tc>
        <w:tc>
          <w:tcPr>
            <w:tcW w:w="1219" w:type="dxa"/>
            <w:vAlign w:val="top"/>
          </w:tcPr>
          <w:p>
            <w:pPr>
              <w:pStyle w:val="TableText"/>
              <w:ind w:left="414"/>
              <w:spacing w:before="83" w:line="155" w:lineRule="exact"/>
              <w:rPr>
                <w:sz w:val="19"/>
                <w:szCs w:val="19"/>
              </w:rPr>
            </w:pPr>
            <w:r>
              <w:rPr>
                <w:sz w:val="19"/>
                <w:szCs w:val="19"/>
                <w:spacing w:val="-2"/>
                <w:position w:val="-2"/>
              </w:rPr>
              <w:t>0.88</w:t>
            </w:r>
          </w:p>
        </w:tc>
        <w:tc>
          <w:tcPr>
            <w:tcW w:w="2528" w:type="dxa"/>
            <w:vAlign w:val="top"/>
          </w:tcPr>
          <w:p>
            <w:pPr>
              <w:pStyle w:val="TableText"/>
              <w:ind w:left="874"/>
              <w:spacing w:before="83" w:line="155" w:lineRule="exact"/>
              <w:rPr>
                <w:sz w:val="19"/>
                <w:szCs w:val="19"/>
              </w:rPr>
            </w:pPr>
            <w:r>
              <w:rPr>
                <w:sz w:val="19"/>
                <w:szCs w:val="19"/>
                <w:spacing w:val="-2"/>
                <w:position w:val="-2"/>
              </w:rPr>
              <w:t>2.01E-03</w:t>
            </w:r>
          </w:p>
        </w:tc>
        <w:tc>
          <w:tcPr>
            <w:tcW w:w="1219" w:type="dxa"/>
            <w:vAlign w:val="top"/>
          </w:tcPr>
          <w:p>
            <w:pPr>
              <w:pStyle w:val="TableText"/>
              <w:ind w:left="416"/>
              <w:spacing w:before="83" w:line="155" w:lineRule="exact"/>
              <w:rPr>
                <w:sz w:val="19"/>
                <w:szCs w:val="19"/>
              </w:rPr>
            </w:pPr>
            <w:r>
              <w:rPr>
                <w:sz w:val="19"/>
                <w:szCs w:val="19"/>
                <w:spacing w:val="-2"/>
                <w:position w:val="-2"/>
              </w:rPr>
              <w:t>0.81</w:t>
            </w:r>
          </w:p>
        </w:tc>
        <w:tc>
          <w:tcPr>
            <w:tcW w:w="2529" w:type="dxa"/>
            <w:vAlign w:val="top"/>
          </w:tcPr>
          <w:p>
            <w:pPr>
              <w:pStyle w:val="TableText"/>
              <w:ind w:left="877"/>
              <w:spacing w:before="83" w:line="155" w:lineRule="exact"/>
              <w:rPr>
                <w:sz w:val="19"/>
                <w:szCs w:val="19"/>
              </w:rPr>
            </w:pPr>
            <w:r>
              <w:rPr>
                <w:sz w:val="19"/>
                <w:szCs w:val="19"/>
                <w:spacing w:val="-3"/>
                <w:position w:val="-2"/>
              </w:rPr>
              <w:t>1.92E-03</w:t>
            </w:r>
          </w:p>
        </w:tc>
        <w:tc>
          <w:tcPr>
            <w:tcW w:w="1214" w:type="dxa"/>
            <w:vAlign w:val="top"/>
          </w:tcPr>
          <w:p>
            <w:pPr>
              <w:pStyle w:val="TableText"/>
              <w:ind w:left="408"/>
              <w:spacing w:before="83" w:line="155" w:lineRule="exact"/>
              <w:rPr>
                <w:sz w:val="19"/>
                <w:szCs w:val="19"/>
              </w:rPr>
            </w:pPr>
            <w:r>
              <w:rPr>
                <w:sz w:val="19"/>
                <w:szCs w:val="19"/>
                <w:spacing w:val="-2"/>
                <w:position w:val="-2"/>
              </w:rPr>
              <w:t>0.77</w:t>
            </w:r>
          </w:p>
        </w:tc>
      </w:tr>
      <w:tr>
        <w:trPr>
          <w:trHeight w:val="249" w:hRule="atLeast"/>
        </w:trPr>
        <w:tc>
          <w:tcPr>
            <w:tcW w:w="1384" w:type="dxa"/>
            <w:vAlign w:val="top"/>
            <w:vMerge w:val="restart"/>
            <w:tcBorders>
              <w:bottom w:val="nil"/>
            </w:tcBorders>
          </w:tcPr>
          <w:p>
            <w:pPr>
              <w:pStyle w:val="TableText"/>
              <w:ind w:left="444"/>
              <w:spacing w:before="222" w:line="185" w:lineRule="auto"/>
              <w:rPr>
                <w:sz w:val="19"/>
                <w:szCs w:val="19"/>
              </w:rPr>
            </w:pPr>
            <w:r>
              <w:rPr>
                <w:sz w:val="19"/>
                <w:szCs w:val="19"/>
                <w:spacing w:val="-1"/>
              </w:rPr>
              <w:t>DA006</w:t>
            </w:r>
          </w:p>
        </w:tc>
        <w:tc>
          <w:tcPr>
            <w:tcW w:w="1499" w:type="dxa"/>
            <w:vAlign w:val="top"/>
          </w:tcPr>
          <w:p>
            <w:pPr>
              <w:pStyle w:val="TableText"/>
              <w:ind w:left="550"/>
              <w:spacing w:before="66" w:line="168" w:lineRule="auto"/>
              <w:rPr>
                <w:sz w:val="19"/>
                <w:szCs w:val="19"/>
              </w:rPr>
            </w:pPr>
            <w:r>
              <w:rPr>
                <w:sz w:val="19"/>
                <w:szCs w:val="19"/>
                <w:spacing w:val="-2"/>
              </w:rPr>
              <w:t>H</w:t>
            </w:r>
            <w:r>
              <w:rPr>
                <w:rFonts w:ascii="Calibri" w:hAnsi="Calibri" w:eastAsia="Calibri" w:cs="Calibri"/>
                <w:sz w:val="19"/>
                <w:szCs w:val="19"/>
                <w:spacing w:val="-2"/>
              </w:rPr>
              <w:t>₂</w:t>
            </w:r>
            <w:r>
              <w:rPr>
                <w:sz w:val="19"/>
                <w:szCs w:val="19"/>
                <w:spacing w:val="-2"/>
              </w:rPr>
              <w:t>S</w:t>
            </w:r>
          </w:p>
        </w:tc>
        <w:tc>
          <w:tcPr>
            <w:tcW w:w="2528" w:type="dxa"/>
            <w:vAlign w:val="top"/>
          </w:tcPr>
          <w:p>
            <w:pPr>
              <w:pStyle w:val="TableText"/>
              <w:ind w:left="872"/>
              <w:spacing w:before="84" w:line="154" w:lineRule="exact"/>
              <w:rPr>
                <w:sz w:val="19"/>
                <w:szCs w:val="19"/>
              </w:rPr>
            </w:pPr>
            <w:r>
              <w:rPr>
                <w:sz w:val="19"/>
                <w:szCs w:val="19"/>
                <w:spacing w:val="-2"/>
                <w:position w:val="-2"/>
              </w:rPr>
              <w:t>2.49E-05</w:t>
            </w:r>
          </w:p>
        </w:tc>
        <w:tc>
          <w:tcPr>
            <w:tcW w:w="1219" w:type="dxa"/>
            <w:vAlign w:val="top"/>
          </w:tcPr>
          <w:p>
            <w:pPr>
              <w:pStyle w:val="TableText"/>
              <w:ind w:left="414"/>
              <w:spacing w:before="84" w:line="154" w:lineRule="exact"/>
              <w:rPr>
                <w:sz w:val="19"/>
                <w:szCs w:val="19"/>
              </w:rPr>
            </w:pPr>
            <w:r>
              <w:rPr>
                <w:sz w:val="19"/>
                <w:szCs w:val="19"/>
                <w:spacing w:val="-2"/>
                <w:position w:val="-2"/>
              </w:rPr>
              <w:t>0.25</w:t>
            </w:r>
          </w:p>
        </w:tc>
        <w:tc>
          <w:tcPr>
            <w:tcW w:w="2528" w:type="dxa"/>
            <w:vAlign w:val="top"/>
          </w:tcPr>
          <w:p>
            <w:pPr>
              <w:pStyle w:val="TableText"/>
              <w:ind w:left="874"/>
              <w:spacing w:before="84" w:line="154" w:lineRule="exact"/>
              <w:rPr>
                <w:sz w:val="19"/>
                <w:szCs w:val="19"/>
              </w:rPr>
            </w:pPr>
            <w:r>
              <w:rPr>
                <w:sz w:val="19"/>
                <w:szCs w:val="19"/>
                <w:spacing w:val="-2"/>
                <w:position w:val="-2"/>
              </w:rPr>
              <w:t>2.33E-05</w:t>
            </w:r>
          </w:p>
        </w:tc>
        <w:tc>
          <w:tcPr>
            <w:tcW w:w="1219" w:type="dxa"/>
            <w:vAlign w:val="top"/>
          </w:tcPr>
          <w:p>
            <w:pPr>
              <w:pStyle w:val="TableText"/>
              <w:ind w:left="416"/>
              <w:spacing w:before="84" w:line="154" w:lineRule="exact"/>
              <w:rPr>
                <w:sz w:val="19"/>
                <w:szCs w:val="19"/>
              </w:rPr>
            </w:pPr>
            <w:r>
              <w:rPr>
                <w:sz w:val="19"/>
                <w:szCs w:val="19"/>
                <w:spacing w:val="-2"/>
                <w:position w:val="-2"/>
              </w:rPr>
              <w:t>0.23</w:t>
            </w:r>
          </w:p>
        </w:tc>
        <w:tc>
          <w:tcPr>
            <w:tcW w:w="2529" w:type="dxa"/>
            <w:vAlign w:val="top"/>
          </w:tcPr>
          <w:p>
            <w:pPr>
              <w:pStyle w:val="TableText"/>
              <w:ind w:left="927"/>
              <w:spacing w:before="84" w:line="154" w:lineRule="exact"/>
              <w:rPr>
                <w:sz w:val="19"/>
                <w:szCs w:val="19"/>
              </w:rPr>
            </w:pPr>
            <w:r>
              <w:rPr>
                <w:sz w:val="19"/>
                <w:szCs w:val="19"/>
                <w:spacing w:val="-2"/>
                <w:position w:val="-2"/>
              </w:rPr>
              <w:t>.35E-05</w:t>
            </w:r>
          </w:p>
        </w:tc>
        <w:tc>
          <w:tcPr>
            <w:tcW w:w="1214" w:type="dxa"/>
            <w:vAlign w:val="top"/>
          </w:tcPr>
          <w:p>
            <w:pPr>
              <w:pStyle w:val="TableText"/>
              <w:ind w:left="408"/>
              <w:spacing w:before="84" w:line="154" w:lineRule="exact"/>
              <w:rPr>
                <w:sz w:val="19"/>
                <w:szCs w:val="19"/>
              </w:rPr>
            </w:pPr>
            <w:r>
              <w:rPr>
                <w:sz w:val="19"/>
                <w:szCs w:val="19"/>
                <w:spacing w:val="-2"/>
                <w:position w:val="-2"/>
              </w:rPr>
              <w:t>0.14</w:t>
            </w:r>
          </w:p>
        </w:tc>
      </w:tr>
      <w:tr>
        <w:trPr>
          <w:trHeight w:val="274" w:hRule="atLeast"/>
        </w:trPr>
        <w:tc>
          <w:tcPr>
            <w:tcW w:w="1384" w:type="dxa"/>
            <w:vAlign w:val="top"/>
            <w:vMerge w:val="continue"/>
            <w:tcBorders>
              <w:top w:val="nil"/>
            </w:tcBorders>
          </w:tcPr>
          <w:p>
            <w:pPr>
              <w:rPr>
                <w:rFonts w:ascii="Arial"/>
                <w:sz w:val="21"/>
              </w:rPr>
            </w:pPr>
            <w:r/>
          </w:p>
        </w:tc>
        <w:tc>
          <w:tcPr>
            <w:tcW w:w="1499" w:type="dxa"/>
            <w:vAlign w:val="top"/>
          </w:tcPr>
          <w:p>
            <w:pPr>
              <w:pStyle w:val="TableText"/>
              <w:ind w:left="550"/>
              <w:spacing w:before="77" w:line="181" w:lineRule="auto"/>
              <w:rPr>
                <w:rFonts w:ascii="Calibri" w:hAnsi="Calibri" w:eastAsia="Calibri" w:cs="Calibri"/>
                <w:sz w:val="19"/>
                <w:szCs w:val="19"/>
              </w:rPr>
            </w:pPr>
            <w:r>
              <w:rPr>
                <w:sz w:val="19"/>
                <w:szCs w:val="19"/>
                <w:spacing w:val="-1"/>
              </w:rPr>
              <w:t>NH</w:t>
            </w:r>
            <w:r>
              <w:rPr>
                <w:rFonts w:ascii="Calibri" w:hAnsi="Calibri" w:eastAsia="Calibri" w:cs="Calibri"/>
                <w:sz w:val="19"/>
                <w:szCs w:val="19"/>
                <w:spacing w:val="-1"/>
              </w:rPr>
              <w:t>₃</w:t>
            </w:r>
          </w:p>
        </w:tc>
        <w:tc>
          <w:tcPr>
            <w:tcW w:w="2528" w:type="dxa"/>
            <w:vAlign w:val="top"/>
          </w:tcPr>
          <w:p>
            <w:pPr>
              <w:pStyle w:val="TableText"/>
              <w:ind w:left="872"/>
              <w:spacing w:before="95" w:line="164" w:lineRule="auto"/>
              <w:rPr>
                <w:sz w:val="19"/>
                <w:szCs w:val="19"/>
              </w:rPr>
            </w:pPr>
            <w:r>
              <w:rPr>
                <w:sz w:val="19"/>
                <w:szCs w:val="19"/>
                <w:spacing w:val="-3"/>
              </w:rPr>
              <w:t>1.20E-03</w:t>
            </w:r>
          </w:p>
        </w:tc>
        <w:tc>
          <w:tcPr>
            <w:tcW w:w="1219" w:type="dxa"/>
            <w:vAlign w:val="top"/>
          </w:tcPr>
          <w:p>
            <w:pPr>
              <w:pStyle w:val="TableText"/>
              <w:ind w:left="414"/>
              <w:spacing w:before="96" w:line="163" w:lineRule="auto"/>
              <w:rPr>
                <w:sz w:val="19"/>
                <w:szCs w:val="19"/>
              </w:rPr>
            </w:pPr>
            <w:r>
              <w:rPr>
                <w:sz w:val="19"/>
                <w:szCs w:val="19"/>
                <w:spacing w:val="-2"/>
              </w:rPr>
              <w:t>0.60</w:t>
            </w:r>
          </w:p>
        </w:tc>
        <w:tc>
          <w:tcPr>
            <w:tcW w:w="2528" w:type="dxa"/>
            <w:vAlign w:val="top"/>
          </w:tcPr>
          <w:p>
            <w:pPr>
              <w:pStyle w:val="TableText"/>
              <w:ind w:left="874"/>
              <w:spacing w:before="95" w:line="164" w:lineRule="auto"/>
              <w:rPr>
                <w:sz w:val="19"/>
                <w:szCs w:val="19"/>
              </w:rPr>
            </w:pPr>
            <w:r>
              <w:rPr>
                <w:sz w:val="19"/>
                <w:szCs w:val="19"/>
                <w:spacing w:val="-3"/>
              </w:rPr>
              <w:t>1.12E-03</w:t>
            </w:r>
          </w:p>
        </w:tc>
        <w:tc>
          <w:tcPr>
            <w:tcW w:w="1219" w:type="dxa"/>
            <w:vAlign w:val="top"/>
          </w:tcPr>
          <w:p>
            <w:pPr>
              <w:pStyle w:val="TableText"/>
              <w:ind w:left="416"/>
              <w:spacing w:before="96" w:line="163" w:lineRule="auto"/>
              <w:rPr>
                <w:sz w:val="19"/>
                <w:szCs w:val="19"/>
              </w:rPr>
            </w:pPr>
            <w:r>
              <w:rPr>
                <w:sz w:val="19"/>
                <w:szCs w:val="19"/>
                <w:spacing w:val="-2"/>
              </w:rPr>
              <w:t>0.56</w:t>
            </w:r>
          </w:p>
        </w:tc>
        <w:tc>
          <w:tcPr>
            <w:tcW w:w="2529" w:type="dxa"/>
            <w:vAlign w:val="top"/>
          </w:tcPr>
          <w:p>
            <w:pPr>
              <w:pStyle w:val="TableText"/>
              <w:ind w:left="877"/>
              <w:spacing w:before="96" w:line="163" w:lineRule="auto"/>
              <w:rPr>
                <w:sz w:val="19"/>
                <w:szCs w:val="19"/>
              </w:rPr>
            </w:pPr>
            <w:r>
              <w:rPr>
                <w:sz w:val="19"/>
                <w:szCs w:val="19"/>
                <w:spacing w:val="-2"/>
              </w:rPr>
              <w:t>6.49E-04</w:t>
            </w:r>
          </w:p>
        </w:tc>
        <w:tc>
          <w:tcPr>
            <w:tcW w:w="1214" w:type="dxa"/>
            <w:vAlign w:val="top"/>
          </w:tcPr>
          <w:p>
            <w:pPr>
              <w:pStyle w:val="TableText"/>
              <w:ind w:left="408"/>
              <w:spacing w:before="96" w:line="163" w:lineRule="auto"/>
              <w:rPr>
                <w:sz w:val="19"/>
                <w:szCs w:val="19"/>
              </w:rPr>
            </w:pPr>
            <w:r>
              <w:rPr>
                <w:sz w:val="19"/>
                <w:szCs w:val="19"/>
                <w:spacing w:val="-2"/>
              </w:rPr>
              <w:t>0.32</w:t>
            </w:r>
          </w:p>
        </w:tc>
      </w:tr>
    </w:tbl>
    <w:p>
      <w:pPr>
        <w:rPr>
          <w:rFonts w:ascii="Arial"/>
          <w:sz w:val="21"/>
        </w:rPr>
      </w:pPr>
      <w:r/>
    </w:p>
    <w:p>
      <w:pPr>
        <w:sectPr>
          <w:footerReference w:type="default" r:id="rId109"/>
          <w:pgSz w:w="16840" w:h="11900"/>
          <w:pgMar w:top="1011" w:right="1384" w:bottom="979" w:left="1325" w:header="0" w:footer="840" w:gutter="0"/>
        </w:sectPr>
        <w:rPr>
          <w:rFonts w:ascii="Arial" w:hAnsi="Arial" w:eastAsia="Arial" w:cs="Arial"/>
          <w:sz w:val="21"/>
          <w:szCs w:val="21"/>
        </w:rPr>
      </w:pPr>
    </w:p>
    <w:p>
      <w:pPr>
        <w:spacing w:line="103" w:lineRule="exact"/>
        <w:rPr/>
      </w:pPr>
      <w:r/>
    </w:p>
    <w:tbl>
      <w:tblPr>
        <w:tblStyle w:val="TableNormal"/>
        <w:tblW w:w="8882"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8298"/>
      </w:tblGrid>
      <w:tr>
        <w:trPr>
          <w:trHeight w:val="12159" w:hRule="atLeast"/>
        </w:trPr>
        <w:tc>
          <w:tcPr>
            <w:tcW w:w="584"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44" w:right="29"/>
              <w:spacing w:before="78" w:line="210" w:lineRule="auto"/>
              <w:jc w:val="both"/>
              <w:rPr>
                <w:sz w:val="24"/>
                <w:szCs w:val="24"/>
              </w:rPr>
            </w:pPr>
            <w:r>
              <w:rPr>
                <w:sz w:val="24"/>
                <w:szCs w:val="24"/>
                <w:spacing w:val="7"/>
              </w:rPr>
              <w:t>运营</w:t>
            </w:r>
            <w:r>
              <w:rPr>
                <w:sz w:val="24"/>
                <w:szCs w:val="24"/>
              </w:rPr>
              <w:t xml:space="preserve"> </w:t>
            </w:r>
            <w:r>
              <w:rPr>
                <w:sz w:val="24"/>
                <w:szCs w:val="24"/>
                <w:spacing w:val="6"/>
              </w:rPr>
              <w:t>期环</w:t>
            </w:r>
            <w:r>
              <w:rPr>
                <w:sz w:val="24"/>
                <w:szCs w:val="24"/>
              </w:rPr>
              <w:t xml:space="preserve"> </w:t>
            </w:r>
            <w:r>
              <w:rPr>
                <w:sz w:val="24"/>
                <w:szCs w:val="24"/>
                <w:spacing w:val="5"/>
              </w:rPr>
              <w:t>境影</w:t>
            </w:r>
            <w:r>
              <w:rPr>
                <w:sz w:val="24"/>
                <w:szCs w:val="24"/>
              </w:rPr>
              <w:t xml:space="preserve"> </w:t>
            </w:r>
            <w:r>
              <w:rPr>
                <w:sz w:val="24"/>
                <w:szCs w:val="24"/>
                <w:spacing w:val="9"/>
              </w:rPr>
              <w:t>响和</w:t>
            </w:r>
            <w:r>
              <w:rPr>
                <w:sz w:val="24"/>
                <w:szCs w:val="24"/>
              </w:rPr>
              <w:t xml:space="preserve"> </w:t>
            </w:r>
            <w:r>
              <w:rPr>
                <w:sz w:val="24"/>
                <w:szCs w:val="24"/>
                <w:spacing w:val="8"/>
              </w:rPr>
              <w:t>保护</w:t>
            </w:r>
            <w:r>
              <w:rPr>
                <w:sz w:val="24"/>
                <w:szCs w:val="24"/>
              </w:rPr>
              <w:t xml:space="preserve"> </w:t>
            </w:r>
            <w:r>
              <w:rPr>
                <w:sz w:val="24"/>
                <w:szCs w:val="24"/>
                <w:spacing w:val="5"/>
              </w:rPr>
              <w:t>措施</w:t>
            </w:r>
          </w:p>
        </w:tc>
        <w:tc>
          <w:tcPr>
            <w:tcW w:w="8298" w:type="dxa"/>
            <w:vAlign w:val="top"/>
          </w:tcPr>
          <w:p>
            <w:pPr>
              <w:pStyle w:val="TableText"/>
              <w:ind w:left="630"/>
              <w:spacing w:before="75" w:line="220" w:lineRule="auto"/>
              <w:rPr>
                <w:sz w:val="24"/>
                <w:szCs w:val="24"/>
              </w:rPr>
            </w:pPr>
            <w:r>
              <w:rPr>
                <w:sz w:val="24"/>
                <w:szCs w:val="24"/>
                <w:spacing w:val="1"/>
              </w:rPr>
              <w:t>6、影响分析小结</w:t>
            </w:r>
          </w:p>
          <w:p>
            <w:pPr>
              <w:pStyle w:val="TableText"/>
              <w:spacing w:before="162" w:line="457" w:lineRule="exact"/>
              <w:jc w:val="right"/>
              <w:rPr>
                <w:sz w:val="24"/>
                <w:szCs w:val="24"/>
              </w:rPr>
            </w:pPr>
            <w:r>
              <w:rPr>
                <w:sz w:val="24"/>
                <w:szCs w:val="24"/>
                <w:spacing w:val="-1"/>
                <w:position w:val="16"/>
              </w:rPr>
              <w:t>本项目所在区域主导风向为东南风，环境空气敏感点主要为项目厂房南侧</w:t>
            </w:r>
          </w:p>
          <w:p>
            <w:pPr>
              <w:pStyle w:val="TableText"/>
              <w:ind w:left="161"/>
              <w:spacing w:line="216" w:lineRule="auto"/>
              <w:rPr>
                <w:sz w:val="24"/>
                <w:szCs w:val="24"/>
              </w:rPr>
            </w:pPr>
            <w:r>
              <w:rPr>
                <w:sz w:val="24"/>
                <w:szCs w:val="24"/>
              </w:rPr>
              <w:t>的石雷洋村(距离本项目凹版厂房距离约500m),东侧的大沙村(与凹版厂</w:t>
            </w:r>
          </w:p>
          <w:p>
            <w:pPr>
              <w:pStyle w:val="TableText"/>
              <w:ind w:left="161"/>
              <w:spacing w:before="188" w:line="484" w:lineRule="exact"/>
              <w:rPr>
                <w:sz w:val="24"/>
                <w:szCs w:val="24"/>
              </w:rPr>
            </w:pPr>
            <w:r>
              <w:rPr>
                <w:sz w:val="24"/>
                <w:szCs w:val="24"/>
                <w:position w:val="18"/>
              </w:rPr>
              <w:t>房距离约310m),东北侧的池头村(距离本项目凹版厂房距离约290m),可</w:t>
            </w:r>
          </w:p>
          <w:p>
            <w:pPr>
              <w:pStyle w:val="TableText"/>
              <w:ind w:left="171"/>
              <w:spacing w:line="219" w:lineRule="auto"/>
              <w:rPr>
                <w:sz w:val="24"/>
                <w:szCs w:val="24"/>
              </w:rPr>
            </w:pPr>
            <w:r>
              <w:rPr>
                <w:sz w:val="24"/>
                <w:szCs w:val="24"/>
              </w:rPr>
              <w:t>见，项目周边敏感点均不在主导风向的下风</w:t>
            </w:r>
            <w:r>
              <w:rPr>
                <w:sz w:val="24"/>
                <w:szCs w:val="24"/>
                <w:spacing w:val="-1"/>
              </w:rPr>
              <w:t>向。</w:t>
            </w:r>
          </w:p>
          <w:p>
            <w:pPr>
              <w:pStyle w:val="TableText"/>
              <w:ind w:left="620"/>
              <w:spacing w:before="163" w:line="219" w:lineRule="auto"/>
              <w:rPr>
                <w:sz w:val="24"/>
                <w:szCs w:val="24"/>
              </w:rPr>
            </w:pPr>
            <w:r>
              <w:rPr>
                <w:sz w:val="24"/>
                <w:szCs w:val="24"/>
              </w:rPr>
              <w:t>项目阴极涂布NMP废气，锅炉废气，污水站恶臭及食堂油烟废气等有组</w:t>
            </w:r>
          </w:p>
          <w:p>
            <w:pPr>
              <w:pStyle w:val="TableText"/>
              <w:ind w:left="60" w:right="47" w:firstLine="120"/>
              <w:spacing w:before="185" w:line="361" w:lineRule="auto"/>
              <w:rPr>
                <w:sz w:val="24"/>
                <w:szCs w:val="24"/>
              </w:rPr>
            </w:pPr>
            <w:r>
              <w:rPr>
                <w:sz w:val="24"/>
                <w:szCs w:val="24"/>
              </w:rPr>
              <w:t>织废气分别收集处理后由配套的排气筒达标排放，且排气筒远离敏感点设置</w:t>
            </w:r>
            <w:r>
              <w:rPr>
                <w:sz w:val="24"/>
                <w:szCs w:val="24"/>
                <w:spacing w:val="3"/>
              </w:rPr>
              <w:t xml:space="preserve">  </w:t>
            </w:r>
            <w:r>
              <w:rPr>
                <w:sz w:val="24"/>
                <w:szCs w:val="24"/>
              </w:rPr>
              <w:t>可尽量降低对周边环境的影响。项目车间搅拌采用全封闭搅拌装置，密闭性良</w:t>
            </w:r>
            <w:r>
              <w:rPr>
                <w:sz w:val="24"/>
                <w:szCs w:val="24"/>
                <w:spacing w:val="18"/>
              </w:rPr>
              <w:t xml:space="preserve"> </w:t>
            </w:r>
            <w:r>
              <w:rPr>
                <w:sz w:val="24"/>
                <w:szCs w:val="24"/>
              </w:rPr>
              <w:t>好，无组织粉尘及有机废气量很小，产线配备固定式单体吸尘器进行收集，剩</w:t>
            </w:r>
          </w:p>
          <w:p>
            <w:pPr>
              <w:pStyle w:val="TableText"/>
              <w:ind w:left="241"/>
              <w:spacing w:before="1" w:line="216" w:lineRule="auto"/>
              <w:rPr>
                <w:sz w:val="24"/>
                <w:szCs w:val="24"/>
              </w:rPr>
            </w:pPr>
            <w:r>
              <w:rPr>
                <w:sz w:val="24"/>
                <w:szCs w:val="24"/>
              </w:rPr>
              <w:t>余极少量的粉尘(颗粒物),厂区通过企业车间通</w:t>
            </w:r>
            <w:r>
              <w:rPr>
                <w:sz w:val="24"/>
                <w:szCs w:val="24"/>
                <w:spacing w:val="-1"/>
              </w:rPr>
              <w:t>风系统排放，污水处理站位</w:t>
            </w:r>
          </w:p>
          <w:p>
            <w:pPr>
              <w:pStyle w:val="TableText"/>
              <w:ind w:left="60" w:right="21"/>
              <w:spacing w:before="203" w:line="357" w:lineRule="auto"/>
              <w:rPr>
                <w:sz w:val="24"/>
                <w:szCs w:val="24"/>
              </w:rPr>
            </w:pPr>
            <w:r>
              <w:rPr>
                <w:sz w:val="24"/>
                <w:szCs w:val="24"/>
                <w:spacing w:val="1"/>
              </w:rPr>
              <w:t>于厂区中部，远离厂界，员工生活区、周边敏感点。根据表4.2-15可知，项目</w:t>
            </w:r>
            <w:r>
              <w:rPr>
                <w:sz w:val="24"/>
                <w:szCs w:val="24"/>
                <w:spacing w:val="7"/>
              </w:rPr>
              <w:t xml:space="preserve"> </w:t>
            </w:r>
            <w:r>
              <w:rPr>
                <w:sz w:val="24"/>
                <w:szCs w:val="24"/>
              </w:rPr>
              <w:t>各类废气排放对周边敏感点的影响是可接受的；根据表4.2-16可知，若阴极涂</w:t>
            </w:r>
          </w:p>
          <w:p>
            <w:pPr>
              <w:pStyle w:val="TableText"/>
              <w:ind w:left="151"/>
              <w:spacing w:before="1" w:line="218" w:lineRule="auto"/>
              <w:rPr>
                <w:sz w:val="24"/>
                <w:szCs w:val="24"/>
              </w:rPr>
            </w:pPr>
            <w:r>
              <w:rPr>
                <w:sz w:val="24"/>
                <w:szCs w:val="24"/>
                <w:spacing w:val="1"/>
              </w:rPr>
              <w:t>布烘干废气冷凝+转轮吸附设施故障，并且</w:t>
            </w:r>
            <w:r>
              <w:rPr>
                <w:sz w:val="24"/>
                <w:szCs w:val="24"/>
              </w:rPr>
              <w:t>NMP</w:t>
            </w:r>
            <w:r>
              <w:rPr>
                <w:sz w:val="24"/>
                <w:szCs w:val="24"/>
                <w:spacing w:val="1"/>
              </w:rPr>
              <w:t>废</w:t>
            </w:r>
            <w:r>
              <w:rPr>
                <w:sz w:val="24"/>
                <w:szCs w:val="24"/>
              </w:rPr>
              <w:t>气超标排放，则对敏感点</w:t>
            </w:r>
          </w:p>
          <w:p>
            <w:pPr>
              <w:pStyle w:val="TableText"/>
              <w:ind w:left="140"/>
              <w:spacing w:before="197" w:line="219" w:lineRule="auto"/>
              <w:rPr>
                <w:sz w:val="24"/>
                <w:szCs w:val="24"/>
              </w:rPr>
            </w:pPr>
            <w:r>
              <w:rPr>
                <w:sz w:val="24"/>
                <w:szCs w:val="24"/>
              </w:rPr>
              <w:t>影响较大，因此，项目应杜绝NMP废气超标排放。</w:t>
            </w:r>
          </w:p>
          <w:p>
            <w:pPr>
              <w:pStyle w:val="TableText"/>
              <w:ind w:left="60" w:firstLine="569"/>
              <w:spacing w:before="162" w:line="362" w:lineRule="auto"/>
              <w:jc w:val="both"/>
              <w:rPr>
                <w:sz w:val="24"/>
                <w:szCs w:val="24"/>
              </w:rPr>
            </w:pPr>
            <w:r>
              <w:rPr>
                <w:sz w:val="24"/>
                <w:szCs w:val="24"/>
                <w:spacing w:val="-1"/>
              </w:rPr>
              <w:t>虽然项目运行期间采取了有效可行的措施降低废气对周边环境的影响，但</w:t>
            </w:r>
            <w:r>
              <w:rPr>
                <w:sz w:val="24"/>
                <w:szCs w:val="24"/>
                <w:spacing w:val="8"/>
              </w:rPr>
              <w:t xml:space="preserve"> </w:t>
            </w:r>
            <w:r>
              <w:rPr>
                <w:sz w:val="24"/>
                <w:szCs w:val="24"/>
              </w:rPr>
              <w:t>仍会有一定的异味逸散于空气中，以臭气浓度表征。由于恶臭物质的逸出和扩</w:t>
            </w:r>
            <w:r>
              <w:rPr>
                <w:sz w:val="24"/>
                <w:szCs w:val="24"/>
                <w:spacing w:val="8"/>
              </w:rPr>
              <w:t xml:space="preserve"> </w:t>
            </w:r>
            <w:r>
              <w:rPr>
                <w:sz w:val="24"/>
                <w:szCs w:val="24"/>
              </w:rPr>
              <w:t>散机理比较复杂，废气源强难于计算，要求建设单位加强废气收集处理设施的</w:t>
            </w:r>
            <w:r>
              <w:rPr>
                <w:sz w:val="24"/>
                <w:szCs w:val="24"/>
                <w:spacing w:val="15"/>
              </w:rPr>
              <w:t xml:space="preserve"> </w:t>
            </w:r>
            <w:r>
              <w:rPr>
                <w:sz w:val="24"/>
                <w:szCs w:val="24"/>
              </w:rPr>
              <w:t>日常管理和维护，加强车间密闭性等措施。本项目不对恶臭污染进行分析，建</w:t>
            </w:r>
          </w:p>
          <w:p>
            <w:pPr>
              <w:pStyle w:val="TableText"/>
              <w:ind w:right="9"/>
              <w:spacing w:before="1" w:line="219" w:lineRule="auto"/>
              <w:jc w:val="right"/>
              <w:rPr>
                <w:sz w:val="24"/>
                <w:szCs w:val="24"/>
              </w:rPr>
            </w:pPr>
            <w:r>
              <w:rPr>
                <w:sz w:val="24"/>
                <w:szCs w:val="24"/>
              </w:rPr>
              <w:t>议建设单位将厂界臭气浓度纳入监测计划，以了解厂界周边异味的影</w:t>
            </w:r>
            <w:r>
              <w:rPr>
                <w:sz w:val="24"/>
                <w:szCs w:val="24"/>
                <w:spacing w:val="-1"/>
              </w:rPr>
              <w:t>响程度。</w:t>
            </w:r>
          </w:p>
          <w:p>
            <w:pPr>
              <w:pStyle w:val="TableText"/>
              <w:ind w:left="134"/>
              <w:spacing w:before="193" w:line="221" w:lineRule="auto"/>
              <w:rPr>
                <w:sz w:val="24"/>
                <w:szCs w:val="24"/>
              </w:rPr>
            </w:pPr>
            <w:r>
              <w:rPr>
                <w:sz w:val="24"/>
                <w:szCs w:val="24"/>
                <w:b/>
                <w:bCs/>
                <w:spacing w:val="-4"/>
              </w:rPr>
              <w:t>4.2.10监测计划</w:t>
            </w:r>
          </w:p>
          <w:p>
            <w:pPr>
              <w:pStyle w:val="TableText"/>
              <w:ind w:left="60" w:firstLine="569"/>
              <w:spacing w:before="165" w:line="357" w:lineRule="auto"/>
              <w:rPr>
                <w:sz w:val="24"/>
                <w:szCs w:val="24"/>
              </w:rPr>
            </w:pPr>
            <w:r>
              <w:rPr>
                <w:sz w:val="24"/>
                <w:szCs w:val="24"/>
                <w:spacing w:val="-1"/>
              </w:rPr>
              <w:t>为及时了解和掌握运营期主要污染源污染物的排放情况，建设单位应定期</w:t>
            </w:r>
            <w:r>
              <w:rPr>
                <w:sz w:val="24"/>
                <w:szCs w:val="24"/>
                <w:spacing w:val="8"/>
              </w:rPr>
              <w:t xml:space="preserve"> </w:t>
            </w:r>
            <w:r>
              <w:rPr>
                <w:sz w:val="24"/>
                <w:szCs w:val="24"/>
                <w:spacing w:val="-1"/>
              </w:rPr>
              <w:t>委托有资质的环境监测单位监测本项目主要污染物的排放情况，本项目监测计</w:t>
            </w:r>
          </w:p>
          <w:p>
            <w:pPr>
              <w:pStyle w:val="TableText"/>
              <w:ind w:left="180"/>
              <w:spacing w:before="1" w:line="217" w:lineRule="auto"/>
              <w:rPr>
                <w:sz w:val="24"/>
                <w:szCs w:val="24"/>
              </w:rPr>
            </w:pPr>
            <w:r>
              <w:rPr>
                <w:sz w:val="24"/>
                <w:szCs w:val="24"/>
                <w:spacing w:val="-6"/>
              </w:rPr>
              <w:t>划参照《排污单位自行监测技术指南总则》(HJ819-2017)、    《排污许可证</w:t>
            </w:r>
          </w:p>
          <w:p>
            <w:pPr>
              <w:pStyle w:val="TableText"/>
              <w:ind w:left="120" w:right="127" w:firstLine="60"/>
              <w:spacing w:before="185" w:line="362" w:lineRule="auto"/>
              <w:rPr>
                <w:sz w:val="24"/>
                <w:szCs w:val="24"/>
              </w:rPr>
            </w:pPr>
            <w:r>
              <w:rPr>
                <w:sz w:val="24"/>
                <w:szCs w:val="24"/>
                <w:spacing w:val="-6"/>
              </w:rPr>
              <w:t>申请与核发技术规范电池工业》(HJ967-2018)、    《排污单位自行监测技术</w:t>
            </w:r>
            <w:r>
              <w:rPr>
                <w:sz w:val="24"/>
                <w:szCs w:val="24"/>
                <w:spacing w:val="10"/>
              </w:rPr>
              <w:t xml:space="preserve"> </w:t>
            </w:r>
            <w:r>
              <w:rPr>
                <w:sz w:val="24"/>
                <w:szCs w:val="24"/>
                <w:spacing w:val="-10"/>
              </w:rPr>
              <w:t>指南电池工业》</w:t>
            </w:r>
            <w:r>
              <w:rPr>
                <w:sz w:val="24"/>
                <w:szCs w:val="24"/>
                <w:spacing w:val="21"/>
              </w:rPr>
              <w:t xml:space="preserve">   </w:t>
            </w:r>
            <w:r>
              <w:rPr>
                <w:sz w:val="24"/>
                <w:szCs w:val="24"/>
                <w:spacing w:val="-10"/>
              </w:rPr>
              <w:t>(HJ1204-2021)、    《排污单位自行监测技术指</w:t>
            </w:r>
            <w:r>
              <w:rPr>
                <w:sz w:val="24"/>
                <w:szCs w:val="24"/>
                <w:spacing w:val="-11"/>
              </w:rPr>
              <w:t>南火力发电</w:t>
            </w:r>
          </w:p>
          <w:p>
            <w:pPr>
              <w:pStyle w:val="TableText"/>
              <w:spacing w:before="1" w:line="217" w:lineRule="auto"/>
              <w:jc w:val="right"/>
              <w:rPr>
                <w:sz w:val="24"/>
                <w:szCs w:val="24"/>
              </w:rPr>
            </w:pPr>
            <w:r>
              <w:rPr>
                <w:sz w:val="24"/>
                <w:szCs w:val="24"/>
              </w:rPr>
              <w:t>及锅炉》(HJ820-2017)等相关要求制定，项目运营期废气监测计划见4.2-1</w:t>
            </w:r>
            <w:r>
              <w:rPr>
                <w:sz w:val="24"/>
                <w:szCs w:val="24"/>
                <w:spacing w:val="-1"/>
              </w:rPr>
              <w:t>6。</w:t>
            </w:r>
          </w:p>
        </w:tc>
      </w:tr>
    </w:tbl>
    <w:p>
      <w:pPr>
        <w:rPr>
          <w:rFonts w:ascii="Arial"/>
          <w:sz w:val="21"/>
        </w:rPr>
      </w:pPr>
      <w:r/>
    </w:p>
    <w:p>
      <w:pPr>
        <w:sectPr>
          <w:footerReference w:type="default" r:id="rId110"/>
          <w:pgSz w:w="11900" w:h="16840"/>
          <w:pgMar w:top="1431" w:right="1512" w:bottom="988" w:left="1494" w:header="0" w:footer="849" w:gutter="0"/>
        </w:sectPr>
        <w:rPr>
          <w:rFonts w:ascii="Arial" w:hAnsi="Arial" w:eastAsia="Arial" w:cs="Arial"/>
          <w:sz w:val="21"/>
          <w:szCs w:val="21"/>
        </w:rPr>
      </w:pPr>
    </w:p>
    <w:p>
      <w:pPr>
        <w:spacing w:line="471" w:lineRule="auto"/>
        <w:rPr>
          <w:rFonts w:ascii="Arial"/>
          <w:sz w:val="21"/>
        </w:rPr>
      </w:pPr>
      <w:r/>
    </w:p>
    <w:p>
      <w:pPr>
        <w:pStyle w:val="BodyText"/>
        <w:ind w:left="4498"/>
        <w:spacing w:before="82" w:line="220" w:lineRule="auto"/>
        <w:rPr>
          <w:sz w:val="25"/>
          <w:szCs w:val="25"/>
        </w:rPr>
      </w:pPr>
      <w:r>
        <w:rPr>
          <w:sz w:val="25"/>
          <w:szCs w:val="25"/>
          <w:b/>
          <w:bCs/>
          <w:spacing w:val="6"/>
        </w:rPr>
        <w:t>表4.2-16</w:t>
      </w:r>
      <w:r>
        <w:rPr>
          <w:sz w:val="25"/>
          <w:szCs w:val="25"/>
          <w:spacing w:val="6"/>
        </w:rPr>
        <w:t xml:space="preserve">  </w:t>
      </w:r>
      <w:r>
        <w:rPr>
          <w:sz w:val="25"/>
          <w:szCs w:val="25"/>
          <w:b/>
          <w:bCs/>
          <w:spacing w:val="6"/>
        </w:rPr>
        <w:t>项目运营期废气监测计划一览表</w:t>
      </w:r>
    </w:p>
    <w:p>
      <w:pPr>
        <w:spacing w:line="139" w:lineRule="exact"/>
        <w:rPr/>
      </w:pPr>
      <w:r/>
    </w:p>
    <w:tbl>
      <w:tblPr>
        <w:tblStyle w:val="TableNormal"/>
        <w:tblW w:w="1413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04"/>
        <w:gridCol w:w="1539"/>
        <w:gridCol w:w="2418"/>
        <w:gridCol w:w="2848"/>
        <w:gridCol w:w="1109"/>
        <w:gridCol w:w="5521"/>
      </w:tblGrid>
      <w:tr>
        <w:trPr>
          <w:trHeight w:val="385" w:hRule="atLeast"/>
        </w:trPr>
        <w:tc>
          <w:tcPr>
            <w:tcW w:w="704" w:type="dxa"/>
            <w:vAlign w:val="top"/>
          </w:tcPr>
          <w:p>
            <w:pPr>
              <w:pStyle w:val="TableText"/>
              <w:ind w:left="184"/>
              <w:spacing w:before="94" w:line="221" w:lineRule="auto"/>
              <w:rPr>
                <w:sz w:val="20"/>
                <w:szCs w:val="20"/>
              </w:rPr>
            </w:pPr>
            <w:r>
              <w:rPr>
                <w:sz w:val="20"/>
                <w:szCs w:val="20"/>
                <w:spacing w:val="-2"/>
              </w:rPr>
              <w:t>序号</w:t>
            </w:r>
          </w:p>
        </w:tc>
        <w:tc>
          <w:tcPr>
            <w:tcW w:w="1539" w:type="dxa"/>
            <w:vAlign w:val="top"/>
          </w:tcPr>
          <w:p>
            <w:pPr>
              <w:pStyle w:val="TableText"/>
              <w:ind w:left="270"/>
              <w:spacing w:before="93" w:line="220" w:lineRule="auto"/>
              <w:rPr>
                <w:sz w:val="20"/>
                <w:szCs w:val="20"/>
              </w:rPr>
            </w:pPr>
            <w:r>
              <w:rPr>
                <w:sz w:val="20"/>
                <w:szCs w:val="20"/>
                <w:spacing w:val="-2"/>
              </w:rPr>
              <w:t>污染源名称</w:t>
            </w:r>
          </w:p>
        </w:tc>
        <w:tc>
          <w:tcPr>
            <w:tcW w:w="2418" w:type="dxa"/>
            <w:vAlign w:val="top"/>
          </w:tcPr>
          <w:p>
            <w:pPr>
              <w:pStyle w:val="TableText"/>
              <w:ind w:left="801"/>
              <w:spacing w:before="94" w:line="221" w:lineRule="auto"/>
              <w:rPr>
                <w:sz w:val="20"/>
                <w:szCs w:val="20"/>
              </w:rPr>
            </w:pPr>
            <w:r>
              <w:rPr>
                <w:sz w:val="20"/>
                <w:szCs w:val="20"/>
                <w:spacing w:val="-2"/>
              </w:rPr>
              <w:t>监测位置</w:t>
            </w:r>
          </w:p>
        </w:tc>
        <w:tc>
          <w:tcPr>
            <w:tcW w:w="2848" w:type="dxa"/>
            <w:vAlign w:val="top"/>
          </w:tcPr>
          <w:p>
            <w:pPr>
              <w:pStyle w:val="TableText"/>
              <w:ind w:left="863"/>
              <w:spacing w:before="93" w:line="220" w:lineRule="auto"/>
              <w:rPr>
                <w:sz w:val="20"/>
                <w:szCs w:val="20"/>
              </w:rPr>
            </w:pPr>
            <w:r>
              <w:rPr>
                <w:sz w:val="20"/>
                <w:szCs w:val="20"/>
                <w:spacing w:val="-8"/>
              </w:rPr>
              <w:t>监</w:t>
            </w:r>
            <w:r>
              <w:rPr>
                <w:sz w:val="20"/>
                <w:szCs w:val="20"/>
                <w:spacing w:val="27"/>
              </w:rPr>
              <w:t xml:space="preserve"> </w:t>
            </w:r>
            <w:r>
              <w:rPr>
                <w:sz w:val="20"/>
                <w:szCs w:val="20"/>
                <w:spacing w:val="-8"/>
              </w:rPr>
              <w:t>测</w:t>
            </w:r>
            <w:r>
              <w:rPr>
                <w:sz w:val="20"/>
                <w:szCs w:val="20"/>
                <w:spacing w:val="26"/>
              </w:rPr>
              <w:t xml:space="preserve"> </w:t>
            </w:r>
            <w:r>
              <w:rPr>
                <w:sz w:val="20"/>
                <w:szCs w:val="20"/>
                <w:spacing w:val="-8"/>
              </w:rPr>
              <w:t>项</w:t>
            </w:r>
            <w:r>
              <w:rPr>
                <w:sz w:val="20"/>
                <w:szCs w:val="20"/>
                <w:spacing w:val="62"/>
              </w:rPr>
              <w:t xml:space="preserve"> </w:t>
            </w:r>
            <w:r>
              <w:rPr>
                <w:sz w:val="20"/>
                <w:szCs w:val="20"/>
                <w:spacing w:val="-8"/>
              </w:rPr>
              <w:t>目</w:t>
            </w:r>
          </w:p>
        </w:tc>
        <w:tc>
          <w:tcPr>
            <w:tcW w:w="1109" w:type="dxa"/>
            <w:vAlign w:val="top"/>
          </w:tcPr>
          <w:p>
            <w:pPr>
              <w:pStyle w:val="TableText"/>
              <w:ind w:left="125"/>
              <w:spacing w:before="93" w:line="219" w:lineRule="auto"/>
              <w:rPr>
                <w:sz w:val="20"/>
                <w:szCs w:val="20"/>
              </w:rPr>
            </w:pPr>
            <w:r>
              <w:rPr>
                <w:sz w:val="20"/>
                <w:szCs w:val="20"/>
                <w:spacing w:val="-2"/>
              </w:rPr>
              <w:t>监测频次</w:t>
            </w:r>
          </w:p>
        </w:tc>
        <w:tc>
          <w:tcPr>
            <w:tcW w:w="5521" w:type="dxa"/>
            <w:vAlign w:val="top"/>
          </w:tcPr>
          <w:p>
            <w:pPr>
              <w:pStyle w:val="TableText"/>
              <w:ind w:left="2357"/>
              <w:spacing w:before="93" w:line="219" w:lineRule="auto"/>
              <w:rPr>
                <w:sz w:val="20"/>
                <w:szCs w:val="20"/>
              </w:rPr>
            </w:pPr>
            <w:r>
              <w:rPr>
                <w:sz w:val="20"/>
                <w:szCs w:val="20"/>
                <w:spacing w:val="-2"/>
              </w:rPr>
              <w:t>执行标准</w:t>
            </w:r>
          </w:p>
        </w:tc>
      </w:tr>
      <w:tr>
        <w:trPr>
          <w:trHeight w:val="599" w:hRule="atLeast"/>
        </w:trPr>
        <w:tc>
          <w:tcPr>
            <w:tcW w:w="704" w:type="dxa"/>
            <w:vAlign w:val="top"/>
            <w:vMerge w:val="restart"/>
            <w:tcBorders>
              <w:bottom w:val="nil"/>
            </w:tcBorders>
          </w:tcPr>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294"/>
              <w:spacing w:before="65" w:line="184" w:lineRule="auto"/>
              <w:rPr>
                <w:sz w:val="20"/>
                <w:szCs w:val="20"/>
              </w:rPr>
            </w:pPr>
            <w:r>
              <w:rPr>
                <w:sz w:val="20"/>
                <w:szCs w:val="20"/>
              </w:rPr>
              <w:t>1</w:t>
            </w:r>
          </w:p>
        </w:tc>
        <w:tc>
          <w:tcPr>
            <w:tcW w:w="1539" w:type="dxa"/>
            <w:vAlign w:val="top"/>
            <w:vMerge w:val="restart"/>
            <w:tcBorders>
              <w:bottom w:val="nil"/>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260" w:right="24" w:firstLine="199"/>
              <w:spacing w:before="65" w:line="244" w:lineRule="auto"/>
              <w:rPr>
                <w:sz w:val="20"/>
                <w:szCs w:val="20"/>
              </w:rPr>
            </w:pPr>
            <w:r>
              <w:rPr>
                <w:sz w:val="20"/>
                <w:szCs w:val="20"/>
                <w:spacing w:val="5"/>
              </w:rPr>
              <w:t>废气排放口</w:t>
            </w:r>
            <w:r>
              <w:rPr>
                <w:sz w:val="20"/>
                <w:szCs w:val="20"/>
                <w:spacing w:val="3"/>
              </w:rPr>
              <w:t xml:space="preserve"> </w:t>
            </w:r>
            <w:r>
              <w:rPr>
                <w:sz w:val="20"/>
                <w:szCs w:val="20"/>
                <w:spacing w:val="6"/>
              </w:rPr>
              <w:t>(有组织废气)</w:t>
            </w:r>
          </w:p>
        </w:tc>
        <w:tc>
          <w:tcPr>
            <w:tcW w:w="2418" w:type="dxa"/>
            <w:vAlign w:val="top"/>
          </w:tcPr>
          <w:p>
            <w:pPr>
              <w:pStyle w:val="TableText"/>
              <w:ind w:left="451"/>
              <w:spacing w:before="96" w:line="219" w:lineRule="auto"/>
              <w:rPr>
                <w:sz w:val="20"/>
                <w:szCs w:val="20"/>
              </w:rPr>
            </w:pPr>
            <w:r>
              <w:rPr>
                <w:sz w:val="20"/>
                <w:szCs w:val="20"/>
                <w:spacing w:val="2"/>
              </w:rPr>
              <w:t>阴极涂布</w:t>
            </w:r>
            <w:r>
              <w:rPr>
                <w:sz w:val="20"/>
                <w:szCs w:val="20"/>
              </w:rPr>
              <w:t>NMP</w:t>
            </w:r>
            <w:r>
              <w:rPr>
                <w:sz w:val="20"/>
                <w:szCs w:val="20"/>
                <w:spacing w:val="2"/>
              </w:rPr>
              <w:t>废气</w:t>
            </w:r>
          </w:p>
          <w:p>
            <w:pPr>
              <w:pStyle w:val="TableText"/>
              <w:ind w:left="301"/>
              <w:spacing w:before="20" w:line="216" w:lineRule="auto"/>
              <w:rPr>
                <w:sz w:val="20"/>
                <w:szCs w:val="20"/>
              </w:rPr>
            </w:pPr>
            <w:r>
              <w:rPr>
                <w:sz w:val="20"/>
                <w:szCs w:val="20"/>
                <w:spacing w:val="3"/>
              </w:rPr>
              <w:t>(</w:t>
            </w:r>
            <w:r>
              <w:rPr>
                <w:sz w:val="20"/>
                <w:szCs w:val="20"/>
              </w:rPr>
              <w:t>DA</w:t>
            </w:r>
            <w:r>
              <w:rPr>
                <w:sz w:val="20"/>
                <w:szCs w:val="20"/>
                <w:spacing w:val="3"/>
              </w:rPr>
              <w:t>026,一般排放口)</w:t>
            </w:r>
          </w:p>
        </w:tc>
        <w:tc>
          <w:tcPr>
            <w:tcW w:w="2848" w:type="dxa"/>
            <w:vAlign w:val="top"/>
          </w:tcPr>
          <w:p>
            <w:pPr>
              <w:pStyle w:val="TableText"/>
              <w:ind w:left="513"/>
              <w:spacing w:before="198" w:line="220" w:lineRule="auto"/>
              <w:rPr>
                <w:sz w:val="20"/>
                <w:szCs w:val="20"/>
              </w:rPr>
            </w:pPr>
            <w:r>
              <w:rPr>
                <w:sz w:val="20"/>
                <w:szCs w:val="20"/>
                <w:spacing w:val="-1"/>
              </w:rPr>
              <w:t>废气量、非甲烷总烃</w:t>
            </w:r>
          </w:p>
        </w:tc>
        <w:tc>
          <w:tcPr>
            <w:tcW w:w="1109" w:type="dxa"/>
            <w:vAlign w:val="top"/>
          </w:tcPr>
          <w:p>
            <w:pPr>
              <w:pStyle w:val="TableText"/>
              <w:ind w:left="125"/>
              <w:spacing w:before="198" w:line="219" w:lineRule="auto"/>
              <w:rPr>
                <w:sz w:val="20"/>
                <w:szCs w:val="20"/>
              </w:rPr>
            </w:pPr>
            <w:r>
              <w:rPr>
                <w:sz w:val="20"/>
                <w:szCs w:val="20"/>
                <w:spacing w:val="1"/>
              </w:rPr>
              <w:t>1次/半年</w:t>
            </w:r>
          </w:p>
        </w:tc>
        <w:tc>
          <w:tcPr>
            <w:tcW w:w="5521" w:type="dxa"/>
            <w:vAlign w:val="top"/>
          </w:tcPr>
          <w:p>
            <w:pPr>
              <w:pStyle w:val="TableText"/>
              <w:ind w:left="156"/>
              <w:spacing w:before="98" w:line="220" w:lineRule="auto"/>
              <w:rPr>
                <w:sz w:val="20"/>
                <w:szCs w:val="20"/>
              </w:rPr>
            </w:pPr>
            <w:r>
              <w:rPr>
                <w:sz w:val="20"/>
                <w:szCs w:val="20"/>
              </w:rPr>
              <w:t>《电池工业污染物排放标准》(GB30484-2</w:t>
            </w:r>
            <w:r>
              <w:rPr>
                <w:sz w:val="20"/>
                <w:szCs w:val="20"/>
                <w:spacing w:val="-1"/>
              </w:rPr>
              <w:t>013)表5新建企业</w:t>
            </w:r>
          </w:p>
          <w:p>
            <w:pPr>
              <w:pStyle w:val="TableText"/>
              <w:ind w:left="657"/>
              <w:spacing w:before="4" w:line="214" w:lineRule="auto"/>
              <w:rPr>
                <w:sz w:val="20"/>
                <w:szCs w:val="20"/>
              </w:rPr>
            </w:pPr>
            <w:r>
              <w:rPr>
                <w:sz w:val="20"/>
                <w:szCs w:val="20"/>
                <w:spacing w:val="6"/>
              </w:rPr>
              <w:t>大气污染物排放限值要求(非甲烷总烃50</w:t>
            </w:r>
            <w:r>
              <w:rPr>
                <w:sz w:val="20"/>
                <w:szCs w:val="20"/>
              </w:rPr>
              <w:t>mg</w:t>
            </w:r>
            <w:r>
              <w:rPr>
                <w:sz w:val="20"/>
                <w:szCs w:val="20"/>
                <w:spacing w:val="6"/>
              </w:rPr>
              <w:t>/m³)</w:t>
            </w:r>
          </w:p>
        </w:tc>
      </w:tr>
      <w:tr>
        <w:trPr>
          <w:trHeight w:val="859" w:hRule="atLeast"/>
        </w:trPr>
        <w:tc>
          <w:tcPr>
            <w:tcW w:w="704" w:type="dxa"/>
            <w:vAlign w:val="top"/>
            <w:vMerge w:val="continue"/>
            <w:tcBorders>
              <w:top w:val="nil"/>
              <w:bottom w:val="nil"/>
            </w:tcBorders>
          </w:tcPr>
          <w:p>
            <w:pPr>
              <w:rPr>
                <w:rFonts w:ascii="Arial"/>
                <w:sz w:val="21"/>
              </w:rPr>
            </w:pPr>
            <w:r/>
          </w:p>
        </w:tc>
        <w:tc>
          <w:tcPr>
            <w:tcW w:w="1539" w:type="dxa"/>
            <w:vAlign w:val="top"/>
            <w:vMerge w:val="continue"/>
            <w:tcBorders>
              <w:top w:val="nil"/>
              <w:bottom w:val="nil"/>
            </w:tcBorders>
          </w:tcPr>
          <w:p>
            <w:pPr>
              <w:rPr>
                <w:rFonts w:ascii="Arial"/>
                <w:sz w:val="21"/>
              </w:rPr>
            </w:pPr>
            <w:r/>
          </w:p>
        </w:tc>
        <w:tc>
          <w:tcPr>
            <w:tcW w:w="2418" w:type="dxa"/>
            <w:vAlign w:val="top"/>
          </w:tcPr>
          <w:p>
            <w:pPr>
              <w:pStyle w:val="TableText"/>
              <w:ind w:left="501"/>
              <w:spacing w:before="169" w:line="219" w:lineRule="auto"/>
              <w:rPr>
                <w:sz w:val="20"/>
                <w:szCs w:val="20"/>
              </w:rPr>
            </w:pPr>
            <w:r>
              <w:rPr>
                <w:sz w:val="20"/>
                <w:szCs w:val="20"/>
                <w:spacing w:val="-1"/>
              </w:rPr>
              <w:t>废水处理站恶臭</w:t>
            </w:r>
          </w:p>
          <w:p>
            <w:pPr>
              <w:pStyle w:val="TableText"/>
              <w:ind w:left="301"/>
              <w:spacing w:before="69" w:line="216" w:lineRule="auto"/>
              <w:rPr>
                <w:sz w:val="20"/>
                <w:szCs w:val="20"/>
              </w:rPr>
            </w:pPr>
            <w:r>
              <w:rPr>
                <w:sz w:val="20"/>
                <w:szCs w:val="20"/>
                <w:spacing w:val="3"/>
              </w:rPr>
              <w:t>(</w:t>
            </w:r>
            <w:r>
              <w:rPr>
                <w:sz w:val="20"/>
                <w:szCs w:val="20"/>
              </w:rPr>
              <w:t>DA</w:t>
            </w:r>
            <w:r>
              <w:rPr>
                <w:sz w:val="20"/>
                <w:szCs w:val="20"/>
                <w:spacing w:val="3"/>
              </w:rPr>
              <w:t>006,一般排放口)</w:t>
            </w:r>
          </w:p>
        </w:tc>
        <w:tc>
          <w:tcPr>
            <w:tcW w:w="2848" w:type="dxa"/>
            <w:vAlign w:val="top"/>
          </w:tcPr>
          <w:p>
            <w:pPr>
              <w:spacing w:line="261" w:lineRule="auto"/>
              <w:rPr>
                <w:rFonts w:ascii="Arial"/>
                <w:sz w:val="21"/>
              </w:rPr>
            </w:pPr>
            <w:r/>
          </w:p>
          <w:p>
            <w:pPr>
              <w:pStyle w:val="TableText"/>
              <w:ind w:left="14"/>
              <w:spacing w:before="65" w:line="219" w:lineRule="auto"/>
              <w:rPr>
                <w:sz w:val="20"/>
                <w:szCs w:val="20"/>
              </w:rPr>
            </w:pPr>
            <w:r>
              <w:rPr>
                <w:sz w:val="20"/>
                <w:szCs w:val="20"/>
                <w:spacing w:val="12"/>
              </w:rPr>
              <w:t>废气量、H</w:t>
            </w:r>
            <w:r>
              <w:rPr>
                <w:rFonts w:ascii="Calibri" w:hAnsi="Calibri" w:eastAsia="Calibri" w:cs="Calibri"/>
                <w:sz w:val="20"/>
                <w:szCs w:val="20"/>
                <w:spacing w:val="12"/>
              </w:rPr>
              <w:t>₂</w:t>
            </w:r>
            <w:r>
              <w:rPr>
                <w:sz w:val="20"/>
                <w:szCs w:val="20"/>
                <w:spacing w:val="12"/>
              </w:rPr>
              <w:t>S、</w:t>
            </w:r>
            <w:r>
              <w:rPr>
                <w:sz w:val="20"/>
                <w:szCs w:val="20"/>
              </w:rPr>
              <w:t>NH</w:t>
            </w:r>
            <w:r>
              <w:rPr>
                <w:rFonts w:ascii="Calibri" w:hAnsi="Calibri" w:eastAsia="Calibri" w:cs="Calibri"/>
                <w:sz w:val="20"/>
                <w:szCs w:val="20"/>
                <w:spacing w:val="12"/>
              </w:rPr>
              <w:t>₃</w:t>
            </w:r>
            <w:r>
              <w:rPr>
                <w:rFonts w:ascii="Calibri" w:hAnsi="Calibri" w:eastAsia="Calibri" w:cs="Calibri"/>
                <w:sz w:val="20"/>
                <w:szCs w:val="20"/>
                <w:spacing w:val="-24"/>
              </w:rPr>
              <w:t xml:space="preserve"> </w:t>
            </w:r>
            <w:r>
              <w:rPr>
                <w:sz w:val="20"/>
                <w:szCs w:val="20"/>
                <w:spacing w:val="12"/>
              </w:rPr>
              <w:t>、臭气浓度</w:t>
            </w:r>
          </w:p>
        </w:tc>
        <w:tc>
          <w:tcPr>
            <w:tcW w:w="1109" w:type="dxa"/>
            <w:vAlign w:val="top"/>
            <w:vMerge w:val="restart"/>
            <w:tcBorders>
              <w:bottom w:val="nil"/>
            </w:tcBorders>
          </w:tcPr>
          <w:p>
            <w:pPr>
              <w:spacing w:line="275" w:lineRule="auto"/>
              <w:rPr>
                <w:rFonts w:ascii="Arial"/>
                <w:sz w:val="21"/>
              </w:rPr>
            </w:pPr>
            <w:r/>
          </w:p>
          <w:p>
            <w:pPr>
              <w:spacing w:line="275" w:lineRule="auto"/>
              <w:rPr>
                <w:rFonts w:ascii="Arial"/>
                <w:sz w:val="21"/>
              </w:rPr>
            </w:pPr>
            <w:r/>
          </w:p>
          <w:p>
            <w:pPr>
              <w:pStyle w:val="TableText"/>
              <w:ind w:left="326"/>
              <w:spacing w:before="65" w:line="219" w:lineRule="auto"/>
              <w:rPr>
                <w:sz w:val="20"/>
                <w:szCs w:val="20"/>
              </w:rPr>
            </w:pPr>
            <w:r>
              <w:rPr>
                <w:sz w:val="20"/>
                <w:szCs w:val="20"/>
                <w:spacing w:val="2"/>
              </w:rPr>
              <w:t>1次/年</w:t>
            </w:r>
          </w:p>
        </w:tc>
        <w:tc>
          <w:tcPr>
            <w:tcW w:w="5521" w:type="dxa"/>
            <w:vAlign w:val="top"/>
          </w:tcPr>
          <w:p>
            <w:pPr>
              <w:pStyle w:val="TableText"/>
              <w:ind w:left="256"/>
              <w:spacing w:before="59" w:line="219" w:lineRule="auto"/>
              <w:rPr>
                <w:sz w:val="20"/>
                <w:szCs w:val="20"/>
              </w:rPr>
            </w:pPr>
            <w:r>
              <w:rPr>
                <w:sz w:val="20"/>
                <w:szCs w:val="20"/>
              </w:rPr>
              <w:t>《恶臭污染物排放标准》(GB14554-19</w:t>
            </w:r>
            <w:r>
              <w:rPr>
                <w:sz w:val="20"/>
                <w:szCs w:val="20"/>
                <w:spacing w:val="-1"/>
              </w:rPr>
              <w:t>93)中的表2恶臭污</w:t>
            </w:r>
          </w:p>
          <w:p>
            <w:pPr>
              <w:pStyle w:val="TableText"/>
              <w:ind w:left="156"/>
              <w:spacing w:before="35" w:line="214" w:lineRule="auto"/>
              <w:rPr>
                <w:sz w:val="20"/>
                <w:szCs w:val="20"/>
              </w:rPr>
            </w:pPr>
            <w:r>
              <w:rPr>
                <w:sz w:val="20"/>
                <w:szCs w:val="20"/>
                <w:spacing w:val="2"/>
              </w:rPr>
              <w:t>染物排放标准值(排气筒高度15m,硫化氢排放量≤0.33</w:t>
            </w:r>
            <w:r>
              <w:rPr>
                <w:sz w:val="20"/>
                <w:szCs w:val="20"/>
              </w:rPr>
              <w:t>kg</w:t>
            </w:r>
            <w:r>
              <w:rPr>
                <w:sz w:val="20"/>
                <w:szCs w:val="20"/>
                <w:spacing w:val="2"/>
              </w:rPr>
              <w:t>/</w:t>
            </w:r>
            <w:r>
              <w:rPr>
                <w:sz w:val="20"/>
                <w:szCs w:val="20"/>
                <w:spacing w:val="1"/>
              </w:rPr>
              <w:t>h,</w:t>
            </w:r>
          </w:p>
          <w:p>
            <w:pPr>
              <w:pStyle w:val="TableText"/>
              <w:ind w:left="657"/>
              <w:spacing w:before="48" w:line="214" w:lineRule="auto"/>
              <w:rPr>
                <w:sz w:val="20"/>
                <w:szCs w:val="20"/>
              </w:rPr>
            </w:pPr>
            <w:r>
              <w:rPr>
                <w:sz w:val="20"/>
                <w:szCs w:val="20"/>
                <w:spacing w:val="1"/>
              </w:rPr>
              <w:t>氨排放量≤4.9</w:t>
            </w:r>
            <w:r>
              <w:rPr>
                <w:sz w:val="20"/>
                <w:szCs w:val="20"/>
              </w:rPr>
              <w:t>kg</w:t>
            </w:r>
            <w:r>
              <w:rPr>
                <w:sz w:val="20"/>
                <w:szCs w:val="20"/>
                <w:spacing w:val="1"/>
              </w:rPr>
              <w:t>/h、臭气浓度(无量纲)≤2000)</w:t>
            </w:r>
          </w:p>
        </w:tc>
      </w:tr>
      <w:tr>
        <w:trPr>
          <w:trHeight w:val="559" w:hRule="atLeast"/>
        </w:trPr>
        <w:tc>
          <w:tcPr>
            <w:tcW w:w="704" w:type="dxa"/>
            <w:vAlign w:val="top"/>
            <w:vMerge w:val="continue"/>
            <w:tcBorders>
              <w:top w:val="nil"/>
              <w:bottom w:val="nil"/>
            </w:tcBorders>
          </w:tcPr>
          <w:p>
            <w:pPr>
              <w:rPr>
                <w:rFonts w:ascii="Arial"/>
                <w:sz w:val="21"/>
              </w:rPr>
            </w:pPr>
            <w:r/>
          </w:p>
        </w:tc>
        <w:tc>
          <w:tcPr>
            <w:tcW w:w="1539" w:type="dxa"/>
            <w:vAlign w:val="top"/>
            <w:vMerge w:val="continue"/>
            <w:tcBorders>
              <w:top w:val="nil"/>
              <w:bottom w:val="nil"/>
            </w:tcBorders>
          </w:tcPr>
          <w:p>
            <w:pPr>
              <w:rPr>
                <w:rFonts w:ascii="Arial"/>
                <w:sz w:val="21"/>
              </w:rPr>
            </w:pPr>
            <w:r/>
          </w:p>
        </w:tc>
        <w:tc>
          <w:tcPr>
            <w:tcW w:w="2418" w:type="dxa"/>
            <w:vAlign w:val="top"/>
          </w:tcPr>
          <w:p>
            <w:pPr>
              <w:pStyle w:val="TableText"/>
              <w:ind w:left="602"/>
              <w:spacing w:before="60" w:line="232" w:lineRule="auto"/>
              <w:rPr>
                <w:sz w:val="20"/>
                <w:szCs w:val="20"/>
              </w:rPr>
            </w:pPr>
            <w:r>
              <w:rPr>
                <w:sz w:val="20"/>
                <w:szCs w:val="20"/>
                <w:spacing w:val="2"/>
              </w:rPr>
              <w:t>食堂油烟废气</w:t>
            </w:r>
          </w:p>
          <w:p>
            <w:pPr>
              <w:pStyle w:val="TableText"/>
              <w:ind w:left="602"/>
              <w:spacing w:line="219" w:lineRule="auto"/>
              <w:rPr>
                <w:sz w:val="20"/>
                <w:szCs w:val="20"/>
              </w:rPr>
            </w:pPr>
            <w:r>
              <w:rPr>
                <w:sz w:val="20"/>
                <w:szCs w:val="20"/>
                <w:spacing w:val="6"/>
              </w:rPr>
              <w:t>(一般排放口)</w:t>
            </w:r>
          </w:p>
        </w:tc>
        <w:tc>
          <w:tcPr>
            <w:tcW w:w="2848" w:type="dxa"/>
            <w:vAlign w:val="top"/>
          </w:tcPr>
          <w:p>
            <w:pPr>
              <w:pStyle w:val="TableText"/>
              <w:ind w:left="614"/>
              <w:spacing w:before="180" w:line="220" w:lineRule="auto"/>
              <w:rPr>
                <w:sz w:val="20"/>
                <w:szCs w:val="20"/>
              </w:rPr>
            </w:pPr>
            <w:r>
              <w:rPr>
                <w:sz w:val="20"/>
                <w:szCs w:val="20"/>
                <w:spacing w:val="-1"/>
              </w:rPr>
              <w:t>废气量、油烟浓度</w:t>
            </w:r>
          </w:p>
        </w:tc>
        <w:tc>
          <w:tcPr>
            <w:tcW w:w="1109" w:type="dxa"/>
            <w:vAlign w:val="top"/>
            <w:vMerge w:val="continue"/>
            <w:tcBorders>
              <w:top w:val="nil"/>
            </w:tcBorders>
          </w:tcPr>
          <w:p>
            <w:pPr>
              <w:rPr>
                <w:rFonts w:ascii="Arial"/>
                <w:sz w:val="21"/>
              </w:rPr>
            </w:pPr>
            <w:r/>
          </w:p>
        </w:tc>
        <w:tc>
          <w:tcPr>
            <w:tcW w:w="5521" w:type="dxa"/>
            <w:vAlign w:val="top"/>
          </w:tcPr>
          <w:p>
            <w:pPr>
              <w:pStyle w:val="TableText"/>
              <w:ind w:left="506" w:right="312" w:hanging="300"/>
              <w:spacing w:before="61" w:line="225" w:lineRule="auto"/>
              <w:rPr>
                <w:sz w:val="20"/>
                <w:szCs w:val="20"/>
              </w:rPr>
            </w:pPr>
            <w:r>
              <w:rPr>
                <w:sz w:val="20"/>
                <w:szCs w:val="20"/>
                <w:spacing w:val="-5"/>
              </w:rPr>
              <w:t>《饮食业油烟排放标准(试行)》</w:t>
            </w:r>
            <w:r>
              <w:rPr>
                <w:sz w:val="20"/>
                <w:szCs w:val="20"/>
                <w:spacing w:val="16"/>
              </w:rPr>
              <w:t xml:space="preserve">   </w:t>
            </w:r>
            <w:r>
              <w:rPr>
                <w:sz w:val="20"/>
                <w:szCs w:val="20"/>
                <w:spacing w:val="-5"/>
              </w:rPr>
              <w:t>(GB18483-2001)中的大</w:t>
            </w:r>
            <w:r>
              <w:rPr>
                <w:sz w:val="20"/>
                <w:szCs w:val="20"/>
                <w:spacing w:val="2"/>
              </w:rPr>
              <w:t xml:space="preserve"> </w:t>
            </w:r>
            <w:r>
              <w:rPr>
                <w:sz w:val="20"/>
                <w:szCs w:val="20"/>
                <w:spacing w:val="6"/>
              </w:rPr>
              <w:t>型规模：最高允许排放浓度：油烟废气≤2.0</w:t>
            </w:r>
            <w:r>
              <w:rPr>
                <w:sz w:val="20"/>
                <w:szCs w:val="20"/>
              </w:rPr>
              <w:t>mg</w:t>
            </w:r>
            <w:r>
              <w:rPr>
                <w:sz w:val="20"/>
                <w:szCs w:val="20"/>
                <w:spacing w:val="6"/>
              </w:rPr>
              <w:t>/m³</w:t>
            </w:r>
          </w:p>
        </w:tc>
      </w:tr>
      <w:tr>
        <w:trPr>
          <w:trHeight w:val="589" w:hRule="atLeast"/>
        </w:trPr>
        <w:tc>
          <w:tcPr>
            <w:tcW w:w="704" w:type="dxa"/>
            <w:vAlign w:val="top"/>
            <w:vMerge w:val="continue"/>
            <w:tcBorders>
              <w:top w:val="nil"/>
              <w:bottom w:val="nil"/>
            </w:tcBorders>
          </w:tcPr>
          <w:p>
            <w:pPr>
              <w:rPr>
                <w:rFonts w:ascii="Arial"/>
                <w:sz w:val="21"/>
              </w:rPr>
            </w:pPr>
            <w:r/>
          </w:p>
        </w:tc>
        <w:tc>
          <w:tcPr>
            <w:tcW w:w="1539" w:type="dxa"/>
            <w:vAlign w:val="top"/>
            <w:vMerge w:val="continue"/>
            <w:tcBorders>
              <w:top w:val="nil"/>
              <w:bottom w:val="nil"/>
            </w:tcBorders>
          </w:tcPr>
          <w:p>
            <w:pPr>
              <w:rPr>
                <w:rFonts w:ascii="Arial"/>
                <w:sz w:val="21"/>
              </w:rPr>
            </w:pPr>
            <w:r/>
          </w:p>
        </w:tc>
        <w:tc>
          <w:tcPr>
            <w:tcW w:w="2418" w:type="dxa"/>
            <w:vAlign w:val="top"/>
            <w:vMerge w:val="restart"/>
            <w:tcBorders>
              <w:bottom w:val="nil"/>
            </w:tcBorders>
          </w:tcPr>
          <w:p>
            <w:pPr>
              <w:pStyle w:val="TableText"/>
              <w:ind w:left="795" w:hanging="784"/>
              <w:spacing w:before="41" w:line="246" w:lineRule="auto"/>
              <w:rPr>
                <w:sz w:val="20"/>
                <w:szCs w:val="20"/>
              </w:rPr>
            </w:pPr>
            <w:r>
              <w:rPr>
                <w:sz w:val="20"/>
                <w:szCs w:val="20"/>
                <w:spacing w:val="-1"/>
              </w:rPr>
              <w:t>10t/h、15t/h蒸汽锅炉废气</w:t>
            </w:r>
            <w:r>
              <w:rPr>
                <w:sz w:val="20"/>
                <w:szCs w:val="20"/>
                <w:spacing w:val="12"/>
              </w:rPr>
              <w:t xml:space="preserve"> </w:t>
            </w:r>
            <w:r>
              <w:rPr>
                <w:sz w:val="20"/>
                <w:szCs w:val="20"/>
                <w:spacing w:val="-9"/>
              </w:rPr>
              <w:t>(DA025、</w:t>
            </w:r>
          </w:p>
          <w:p>
            <w:pPr>
              <w:pStyle w:val="TableText"/>
              <w:ind w:left="21"/>
              <w:spacing w:before="23" w:line="216" w:lineRule="auto"/>
              <w:rPr>
                <w:sz w:val="20"/>
                <w:szCs w:val="20"/>
              </w:rPr>
            </w:pPr>
            <w:r>
              <w:rPr>
                <w:sz w:val="20"/>
                <w:szCs w:val="20"/>
              </w:rPr>
              <w:t>DA</w:t>
            </w:r>
            <w:r>
              <w:rPr>
                <w:sz w:val="20"/>
                <w:szCs w:val="20"/>
                <w:spacing w:val="30"/>
              </w:rPr>
              <w:t>027~</w:t>
            </w:r>
            <w:r>
              <w:rPr>
                <w:sz w:val="20"/>
                <w:szCs w:val="20"/>
              </w:rPr>
              <w:t>DA</w:t>
            </w:r>
            <w:r>
              <w:rPr>
                <w:sz w:val="20"/>
                <w:szCs w:val="20"/>
                <w:spacing w:val="30"/>
              </w:rPr>
              <w:t>029,主要排放</w:t>
            </w:r>
          </w:p>
          <w:p>
            <w:pPr>
              <w:pStyle w:val="TableText"/>
              <w:ind w:left="1051"/>
              <w:spacing w:before="41" w:line="179" w:lineRule="auto"/>
              <w:rPr>
                <w:sz w:val="20"/>
                <w:szCs w:val="20"/>
              </w:rPr>
            </w:pPr>
            <w:r>
              <w:rPr>
                <w:sz w:val="20"/>
                <w:szCs w:val="20"/>
                <w:spacing w:val="-16"/>
              </w:rPr>
              <w:t>口 )</w:t>
            </w:r>
          </w:p>
        </w:tc>
        <w:tc>
          <w:tcPr>
            <w:tcW w:w="2848" w:type="dxa"/>
            <w:vAlign w:val="top"/>
          </w:tcPr>
          <w:p>
            <w:pPr>
              <w:pStyle w:val="TableText"/>
              <w:ind w:left="913" w:right="24" w:hanging="800"/>
              <w:spacing w:before="69" w:line="235" w:lineRule="auto"/>
              <w:rPr>
                <w:sz w:val="20"/>
                <w:szCs w:val="20"/>
              </w:rPr>
            </w:pPr>
            <w:r>
              <w:rPr>
                <w:sz w:val="20"/>
                <w:szCs w:val="20"/>
                <w:spacing w:val="7"/>
              </w:rPr>
              <w:t>废气量、二氧化硫、颗粒物、</w:t>
            </w:r>
            <w:r>
              <w:rPr>
                <w:sz w:val="20"/>
                <w:szCs w:val="20"/>
                <w:spacing w:val="8"/>
              </w:rPr>
              <w:t xml:space="preserve"> </w:t>
            </w:r>
            <w:r>
              <w:rPr>
                <w:sz w:val="20"/>
                <w:szCs w:val="20"/>
                <w:spacing w:val="2"/>
              </w:rPr>
              <w:t>林格曼黑度</w:t>
            </w:r>
          </w:p>
        </w:tc>
        <w:tc>
          <w:tcPr>
            <w:tcW w:w="1109" w:type="dxa"/>
            <w:vAlign w:val="top"/>
          </w:tcPr>
          <w:p>
            <w:pPr>
              <w:pStyle w:val="TableText"/>
              <w:ind w:left="326"/>
              <w:spacing w:before="201" w:line="219" w:lineRule="auto"/>
              <w:rPr>
                <w:sz w:val="20"/>
                <w:szCs w:val="20"/>
              </w:rPr>
            </w:pPr>
            <w:r>
              <w:rPr>
                <w:sz w:val="20"/>
                <w:szCs w:val="20"/>
                <w:spacing w:val="2"/>
              </w:rPr>
              <w:t>1次/年</w:t>
            </w:r>
          </w:p>
        </w:tc>
        <w:tc>
          <w:tcPr>
            <w:tcW w:w="5521" w:type="dxa"/>
            <w:vAlign w:val="top"/>
            <w:vMerge w:val="restart"/>
            <w:tcBorders>
              <w:bottom w:val="nil"/>
            </w:tcBorders>
          </w:tcPr>
          <w:p>
            <w:pPr>
              <w:pStyle w:val="TableText"/>
              <w:ind w:left="256"/>
              <w:spacing w:before="181" w:line="220" w:lineRule="auto"/>
              <w:rPr>
                <w:sz w:val="20"/>
                <w:szCs w:val="20"/>
              </w:rPr>
            </w:pPr>
            <w:r>
              <w:rPr>
                <w:sz w:val="20"/>
                <w:szCs w:val="20"/>
              </w:rPr>
              <w:t>《锅炉大气污染物排放标准》(GB13271-2014)表2新建锅</w:t>
            </w:r>
          </w:p>
          <w:p>
            <w:pPr>
              <w:pStyle w:val="TableText"/>
              <w:ind w:left="156"/>
              <w:spacing w:before="14" w:line="214" w:lineRule="auto"/>
              <w:rPr>
                <w:sz w:val="20"/>
                <w:szCs w:val="20"/>
              </w:rPr>
            </w:pPr>
            <w:r>
              <w:rPr>
                <w:sz w:val="20"/>
                <w:szCs w:val="20"/>
                <w:spacing w:val="4"/>
              </w:rPr>
              <w:t>炉大气污染物排放浓度限值要求(二氧化硫≤50</w:t>
            </w:r>
            <w:r>
              <w:rPr>
                <w:sz w:val="20"/>
                <w:szCs w:val="20"/>
              </w:rPr>
              <w:t>mg</w:t>
            </w:r>
            <w:r>
              <w:rPr>
                <w:sz w:val="20"/>
                <w:szCs w:val="20"/>
                <w:spacing w:val="4"/>
              </w:rPr>
              <w:t>/</w:t>
            </w:r>
            <w:r>
              <w:rPr>
                <w:sz w:val="20"/>
                <w:szCs w:val="20"/>
                <w:spacing w:val="3"/>
              </w:rPr>
              <w:t>m³,氮氧</w:t>
            </w:r>
          </w:p>
          <w:p>
            <w:pPr>
              <w:pStyle w:val="TableText"/>
              <w:ind w:left="406"/>
              <w:spacing w:before="38" w:line="214" w:lineRule="auto"/>
              <w:rPr>
                <w:sz w:val="20"/>
                <w:szCs w:val="20"/>
              </w:rPr>
            </w:pPr>
            <w:r>
              <w:rPr>
                <w:sz w:val="20"/>
                <w:szCs w:val="20"/>
                <w:spacing w:val="8"/>
              </w:rPr>
              <w:t>化物≤200</w:t>
            </w:r>
            <w:r>
              <w:rPr>
                <w:sz w:val="20"/>
                <w:szCs w:val="20"/>
              </w:rPr>
              <w:t>mg</w:t>
            </w:r>
            <w:r>
              <w:rPr>
                <w:sz w:val="20"/>
                <w:szCs w:val="20"/>
                <w:spacing w:val="8"/>
              </w:rPr>
              <w:t>/m³,颗粒物≤20</w:t>
            </w:r>
            <w:r>
              <w:rPr>
                <w:sz w:val="20"/>
                <w:szCs w:val="20"/>
              </w:rPr>
              <w:t>mg</w:t>
            </w:r>
            <w:r>
              <w:rPr>
                <w:sz w:val="20"/>
                <w:szCs w:val="20"/>
                <w:spacing w:val="8"/>
              </w:rPr>
              <w:t>/m³,烟气黑度≤1级)</w:t>
            </w:r>
          </w:p>
        </w:tc>
      </w:tr>
      <w:tr>
        <w:trPr>
          <w:trHeight w:val="479" w:hRule="atLeast"/>
        </w:trPr>
        <w:tc>
          <w:tcPr>
            <w:tcW w:w="704" w:type="dxa"/>
            <w:vAlign w:val="top"/>
            <w:vMerge w:val="continue"/>
            <w:tcBorders>
              <w:top w:val="nil"/>
            </w:tcBorders>
          </w:tcPr>
          <w:p>
            <w:pPr>
              <w:rPr>
                <w:rFonts w:ascii="Arial"/>
                <w:sz w:val="21"/>
              </w:rPr>
            </w:pPr>
            <w:r/>
          </w:p>
        </w:tc>
        <w:tc>
          <w:tcPr>
            <w:tcW w:w="1539" w:type="dxa"/>
            <w:vAlign w:val="top"/>
            <w:vMerge w:val="continue"/>
            <w:tcBorders>
              <w:top w:val="nil"/>
            </w:tcBorders>
          </w:tcPr>
          <w:p>
            <w:pPr>
              <w:rPr>
                <w:rFonts w:ascii="Arial"/>
                <w:sz w:val="21"/>
              </w:rPr>
            </w:pPr>
            <w:r/>
          </w:p>
        </w:tc>
        <w:tc>
          <w:tcPr>
            <w:tcW w:w="2418" w:type="dxa"/>
            <w:vAlign w:val="top"/>
            <w:vMerge w:val="continue"/>
            <w:tcBorders>
              <w:top w:val="nil"/>
            </w:tcBorders>
          </w:tcPr>
          <w:p>
            <w:pPr>
              <w:rPr>
                <w:rFonts w:ascii="Arial"/>
                <w:sz w:val="21"/>
              </w:rPr>
            </w:pPr>
            <w:r/>
          </w:p>
        </w:tc>
        <w:tc>
          <w:tcPr>
            <w:tcW w:w="2848" w:type="dxa"/>
            <w:vAlign w:val="top"/>
          </w:tcPr>
          <w:p>
            <w:pPr>
              <w:pStyle w:val="TableText"/>
              <w:ind w:left="1263"/>
              <w:spacing w:before="193" w:line="183" w:lineRule="auto"/>
              <w:rPr>
                <w:sz w:val="20"/>
                <w:szCs w:val="20"/>
              </w:rPr>
            </w:pPr>
            <w:r>
              <w:rPr>
                <w:sz w:val="20"/>
                <w:szCs w:val="20"/>
                <w:spacing w:val="-1"/>
              </w:rPr>
              <w:t>NOx</w:t>
            </w:r>
          </w:p>
        </w:tc>
        <w:tc>
          <w:tcPr>
            <w:tcW w:w="1109" w:type="dxa"/>
            <w:vAlign w:val="top"/>
          </w:tcPr>
          <w:p>
            <w:pPr>
              <w:pStyle w:val="TableText"/>
              <w:ind w:left="326"/>
              <w:spacing w:before="142" w:line="219" w:lineRule="auto"/>
              <w:rPr>
                <w:sz w:val="20"/>
                <w:szCs w:val="20"/>
              </w:rPr>
            </w:pPr>
            <w:r>
              <w:rPr>
                <w:sz w:val="20"/>
                <w:szCs w:val="20"/>
                <w:spacing w:val="10"/>
              </w:rPr>
              <w:t>1次/月</w:t>
            </w:r>
          </w:p>
        </w:tc>
        <w:tc>
          <w:tcPr>
            <w:tcW w:w="5521" w:type="dxa"/>
            <w:vAlign w:val="top"/>
            <w:vMerge w:val="continue"/>
            <w:tcBorders>
              <w:top w:val="nil"/>
            </w:tcBorders>
          </w:tcPr>
          <w:p>
            <w:pPr>
              <w:rPr>
                <w:rFonts w:ascii="Arial"/>
                <w:sz w:val="21"/>
              </w:rPr>
            </w:pPr>
            <w:r/>
          </w:p>
        </w:tc>
      </w:tr>
      <w:tr>
        <w:trPr>
          <w:trHeight w:val="819" w:hRule="atLeast"/>
        </w:trPr>
        <w:tc>
          <w:tcPr>
            <w:tcW w:w="704" w:type="dxa"/>
            <w:vAlign w:val="top"/>
            <w:vMerge w:val="restart"/>
            <w:tcBorders>
              <w:bottom w:val="nil"/>
            </w:tcBorders>
          </w:tcPr>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pStyle w:val="TableText"/>
              <w:ind w:left="294"/>
              <w:spacing w:before="65" w:line="183" w:lineRule="auto"/>
              <w:rPr>
                <w:sz w:val="20"/>
                <w:szCs w:val="20"/>
              </w:rPr>
            </w:pPr>
            <w:r>
              <w:rPr>
                <w:sz w:val="20"/>
                <w:szCs w:val="20"/>
              </w:rPr>
              <w:t>2</w:t>
            </w:r>
          </w:p>
        </w:tc>
        <w:tc>
          <w:tcPr>
            <w:tcW w:w="1539" w:type="dxa"/>
            <w:vAlign w:val="top"/>
            <w:vMerge w:val="restart"/>
            <w:tcBorders>
              <w:bottom w:val="nil"/>
            </w:tcBorders>
          </w:tcPr>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260"/>
              <w:spacing w:before="65" w:line="220" w:lineRule="auto"/>
              <w:rPr>
                <w:sz w:val="20"/>
                <w:szCs w:val="20"/>
              </w:rPr>
            </w:pPr>
            <w:r>
              <w:rPr>
                <w:sz w:val="20"/>
                <w:szCs w:val="20"/>
                <w:spacing w:val="2"/>
              </w:rPr>
              <w:t>无组织监控点</w:t>
            </w:r>
          </w:p>
        </w:tc>
        <w:tc>
          <w:tcPr>
            <w:tcW w:w="2418" w:type="dxa"/>
            <w:vAlign w:val="top"/>
          </w:tcPr>
          <w:p>
            <w:pPr>
              <w:spacing w:line="246" w:lineRule="auto"/>
              <w:rPr>
                <w:rFonts w:ascii="Arial"/>
                <w:sz w:val="21"/>
              </w:rPr>
            </w:pPr>
            <w:r/>
          </w:p>
          <w:p>
            <w:pPr>
              <w:pStyle w:val="TableText"/>
              <w:ind w:left="901"/>
              <w:spacing w:before="65" w:line="219" w:lineRule="auto"/>
              <w:rPr>
                <w:sz w:val="20"/>
                <w:szCs w:val="20"/>
              </w:rPr>
            </w:pPr>
            <w:r>
              <w:rPr>
                <w:sz w:val="20"/>
                <w:szCs w:val="20"/>
                <w:spacing w:val="9"/>
              </w:rPr>
              <w:t>厂区内</w:t>
            </w:r>
          </w:p>
        </w:tc>
        <w:tc>
          <w:tcPr>
            <w:tcW w:w="2848" w:type="dxa"/>
            <w:vAlign w:val="top"/>
          </w:tcPr>
          <w:p>
            <w:pPr>
              <w:spacing w:line="247" w:lineRule="auto"/>
              <w:rPr>
                <w:rFonts w:ascii="Arial"/>
                <w:sz w:val="21"/>
              </w:rPr>
            </w:pPr>
            <w:r/>
          </w:p>
          <w:p>
            <w:pPr>
              <w:pStyle w:val="TableText"/>
              <w:ind w:left="913"/>
              <w:spacing w:before="65" w:line="220" w:lineRule="auto"/>
              <w:rPr>
                <w:sz w:val="20"/>
                <w:szCs w:val="20"/>
              </w:rPr>
            </w:pPr>
            <w:r>
              <w:rPr>
                <w:sz w:val="20"/>
                <w:szCs w:val="20"/>
                <w:spacing w:val="-2"/>
              </w:rPr>
              <w:t>非甲烷总烃</w:t>
            </w:r>
          </w:p>
        </w:tc>
        <w:tc>
          <w:tcPr>
            <w:tcW w:w="1109" w:type="dxa"/>
            <w:vAlign w:val="top"/>
          </w:tcPr>
          <w:p>
            <w:pPr>
              <w:spacing w:line="246" w:lineRule="auto"/>
              <w:rPr>
                <w:rFonts w:ascii="Arial"/>
                <w:sz w:val="21"/>
              </w:rPr>
            </w:pPr>
            <w:r/>
          </w:p>
          <w:p>
            <w:pPr>
              <w:pStyle w:val="TableText"/>
              <w:ind w:left="326"/>
              <w:spacing w:before="65" w:line="219" w:lineRule="auto"/>
              <w:rPr>
                <w:sz w:val="20"/>
                <w:szCs w:val="20"/>
              </w:rPr>
            </w:pPr>
            <w:r>
              <w:rPr>
                <w:sz w:val="20"/>
                <w:szCs w:val="20"/>
                <w:spacing w:val="2"/>
              </w:rPr>
              <w:t>1次/年</w:t>
            </w:r>
          </w:p>
        </w:tc>
        <w:tc>
          <w:tcPr>
            <w:tcW w:w="5521" w:type="dxa"/>
            <w:vAlign w:val="top"/>
          </w:tcPr>
          <w:p>
            <w:pPr>
              <w:pStyle w:val="TableText"/>
              <w:ind w:left="306" w:right="212" w:hanging="200"/>
              <w:spacing w:before="71" w:line="227" w:lineRule="auto"/>
              <w:rPr>
                <w:sz w:val="20"/>
                <w:szCs w:val="20"/>
              </w:rPr>
            </w:pPr>
            <w:r>
              <w:rPr>
                <w:sz w:val="20"/>
                <w:szCs w:val="20"/>
                <w:spacing w:val="-5"/>
              </w:rPr>
              <w:t>《挥发性有机物无组织排放控制标准》</w:t>
            </w:r>
            <w:r>
              <w:rPr>
                <w:sz w:val="20"/>
                <w:szCs w:val="20"/>
                <w:spacing w:val="16"/>
              </w:rPr>
              <w:t xml:space="preserve">   </w:t>
            </w:r>
            <w:r>
              <w:rPr>
                <w:sz w:val="20"/>
                <w:szCs w:val="20"/>
                <w:spacing w:val="-5"/>
              </w:rPr>
              <w:t>(GB37822-2019)附</w:t>
            </w:r>
            <w:r>
              <w:rPr>
                <w:sz w:val="20"/>
                <w:szCs w:val="20"/>
                <w:spacing w:val="2"/>
              </w:rPr>
              <w:t xml:space="preserve"> </w:t>
            </w:r>
            <w:r>
              <w:rPr>
                <w:sz w:val="20"/>
                <w:szCs w:val="20"/>
              </w:rPr>
              <w:t>录A表A.1中排放限值要求：非甲烷总烃厂区内监控点1h  </w:t>
            </w:r>
            <w:r>
              <w:rPr>
                <w:sz w:val="20"/>
                <w:szCs w:val="20"/>
                <w:spacing w:val="9"/>
              </w:rPr>
              <w:t>平均浓度值、任意一次浓度值分别≤10</w:t>
            </w:r>
            <w:r>
              <w:rPr>
                <w:sz w:val="20"/>
                <w:szCs w:val="20"/>
              </w:rPr>
              <w:t>mg</w:t>
            </w:r>
            <w:r>
              <w:rPr>
                <w:sz w:val="20"/>
                <w:szCs w:val="20"/>
                <w:spacing w:val="9"/>
              </w:rPr>
              <w:t>/m³,30</w:t>
            </w:r>
            <w:r>
              <w:rPr>
                <w:sz w:val="20"/>
                <w:szCs w:val="20"/>
              </w:rPr>
              <w:t>mg</w:t>
            </w:r>
            <w:r>
              <w:rPr>
                <w:sz w:val="20"/>
                <w:szCs w:val="20"/>
                <w:spacing w:val="9"/>
              </w:rPr>
              <w:t>/m³</w:t>
            </w:r>
          </w:p>
        </w:tc>
      </w:tr>
      <w:tr>
        <w:trPr>
          <w:trHeight w:val="2177" w:hRule="atLeast"/>
        </w:trPr>
        <w:tc>
          <w:tcPr>
            <w:tcW w:w="704" w:type="dxa"/>
            <w:vAlign w:val="top"/>
            <w:vMerge w:val="continue"/>
            <w:tcBorders>
              <w:top w:val="nil"/>
            </w:tcBorders>
          </w:tcPr>
          <w:p>
            <w:pPr>
              <w:rPr>
                <w:rFonts w:ascii="Arial"/>
                <w:sz w:val="21"/>
              </w:rPr>
            </w:pPr>
            <w:r/>
          </w:p>
        </w:tc>
        <w:tc>
          <w:tcPr>
            <w:tcW w:w="1539" w:type="dxa"/>
            <w:vAlign w:val="top"/>
            <w:vMerge w:val="continue"/>
            <w:tcBorders>
              <w:top w:val="nil"/>
            </w:tcBorders>
          </w:tcPr>
          <w:p>
            <w:pPr>
              <w:rPr>
                <w:rFonts w:ascii="Arial"/>
                <w:sz w:val="21"/>
              </w:rPr>
            </w:pPr>
            <w:r/>
          </w:p>
        </w:tc>
        <w:tc>
          <w:tcPr>
            <w:tcW w:w="2418" w:type="dxa"/>
            <w:vAlign w:val="top"/>
          </w:tcPr>
          <w:p>
            <w:pPr>
              <w:spacing w:line="308" w:lineRule="auto"/>
              <w:rPr>
                <w:rFonts w:ascii="Arial"/>
                <w:sz w:val="21"/>
              </w:rPr>
            </w:pPr>
            <w:r/>
          </w:p>
          <w:p>
            <w:pPr>
              <w:spacing w:line="308" w:lineRule="auto"/>
              <w:rPr>
                <w:rFonts w:ascii="Arial"/>
                <w:sz w:val="21"/>
              </w:rPr>
            </w:pPr>
            <w:r/>
          </w:p>
          <w:p>
            <w:pPr>
              <w:spacing w:line="308" w:lineRule="auto"/>
              <w:rPr>
                <w:rFonts w:ascii="Arial"/>
                <w:sz w:val="21"/>
              </w:rPr>
            </w:pPr>
            <w:r/>
          </w:p>
          <w:p>
            <w:pPr>
              <w:pStyle w:val="TableText"/>
              <w:ind w:left="1001"/>
              <w:spacing w:before="65" w:line="220" w:lineRule="auto"/>
              <w:rPr>
                <w:sz w:val="20"/>
                <w:szCs w:val="20"/>
              </w:rPr>
            </w:pPr>
            <w:r>
              <w:rPr>
                <w:sz w:val="20"/>
                <w:szCs w:val="20"/>
                <w:spacing w:val="-3"/>
              </w:rPr>
              <w:t>厂界</w:t>
            </w:r>
          </w:p>
        </w:tc>
        <w:tc>
          <w:tcPr>
            <w:tcW w:w="2848" w:type="dxa"/>
            <w:vAlign w:val="top"/>
          </w:tcPr>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pStyle w:val="TableText"/>
              <w:ind w:left="702" w:hanging="449"/>
              <w:spacing w:before="65" w:line="233" w:lineRule="auto"/>
              <w:rPr>
                <w:sz w:val="20"/>
                <w:szCs w:val="20"/>
              </w:rPr>
            </w:pPr>
            <w:r>
              <w:rPr>
                <w:sz w:val="20"/>
                <w:szCs w:val="20"/>
                <w:spacing w:val="8"/>
              </w:rPr>
              <w:t>非甲烷总烃、颗粒物、H</w:t>
            </w:r>
            <w:r>
              <w:rPr>
                <w:rFonts w:ascii="Calibri" w:hAnsi="Calibri" w:eastAsia="Calibri" w:cs="Calibri"/>
                <w:sz w:val="20"/>
                <w:szCs w:val="20"/>
                <w:spacing w:val="8"/>
              </w:rPr>
              <w:t>₂</w:t>
            </w:r>
            <w:r>
              <w:rPr>
                <w:sz w:val="20"/>
                <w:szCs w:val="20"/>
                <w:spacing w:val="8"/>
              </w:rPr>
              <w:t>S、</w:t>
            </w:r>
            <w:r>
              <w:rPr>
                <w:sz w:val="20"/>
                <w:szCs w:val="20"/>
                <w:spacing w:val="3"/>
              </w:rPr>
              <w:t xml:space="preserve"> </w:t>
            </w:r>
            <w:r>
              <w:rPr>
                <w:sz w:val="20"/>
                <w:szCs w:val="20"/>
              </w:rPr>
              <w:t>NH</w:t>
            </w:r>
            <w:r>
              <w:rPr>
                <w:rFonts w:ascii="Calibri" w:hAnsi="Calibri" w:eastAsia="Calibri" w:cs="Calibri"/>
                <w:sz w:val="20"/>
                <w:szCs w:val="20"/>
                <w:spacing w:val="6"/>
              </w:rPr>
              <w:t>₃</w:t>
            </w:r>
            <w:r>
              <w:rPr>
                <w:rFonts w:ascii="Calibri" w:hAnsi="Calibri" w:eastAsia="Calibri" w:cs="Calibri"/>
                <w:sz w:val="20"/>
                <w:szCs w:val="20"/>
                <w:spacing w:val="-21"/>
              </w:rPr>
              <w:t xml:space="preserve"> </w:t>
            </w:r>
            <w:r>
              <w:rPr>
                <w:sz w:val="20"/>
                <w:szCs w:val="20"/>
                <w:spacing w:val="6"/>
              </w:rPr>
              <w:t>、臭气浓度</w:t>
            </w:r>
          </w:p>
        </w:tc>
        <w:tc>
          <w:tcPr>
            <w:tcW w:w="1109" w:type="dxa"/>
            <w:vAlign w:val="top"/>
          </w:tcPr>
          <w:p>
            <w:pPr>
              <w:spacing w:line="307" w:lineRule="auto"/>
              <w:rPr>
                <w:rFonts w:ascii="Arial"/>
                <w:sz w:val="21"/>
              </w:rPr>
            </w:pPr>
            <w:r/>
          </w:p>
          <w:p>
            <w:pPr>
              <w:spacing w:line="308" w:lineRule="auto"/>
              <w:rPr>
                <w:rFonts w:ascii="Arial"/>
                <w:sz w:val="21"/>
              </w:rPr>
            </w:pPr>
            <w:r/>
          </w:p>
          <w:p>
            <w:pPr>
              <w:spacing w:line="308" w:lineRule="auto"/>
              <w:rPr>
                <w:rFonts w:ascii="Arial"/>
                <w:sz w:val="21"/>
              </w:rPr>
            </w:pPr>
            <w:r/>
          </w:p>
          <w:p>
            <w:pPr>
              <w:pStyle w:val="TableText"/>
              <w:ind w:left="326"/>
              <w:spacing w:before="65" w:line="219" w:lineRule="auto"/>
              <w:rPr>
                <w:sz w:val="20"/>
                <w:szCs w:val="20"/>
              </w:rPr>
            </w:pPr>
            <w:r>
              <w:rPr>
                <w:sz w:val="20"/>
                <w:szCs w:val="20"/>
                <w:spacing w:val="2"/>
              </w:rPr>
              <w:t>1次/年</w:t>
            </w:r>
          </w:p>
        </w:tc>
        <w:tc>
          <w:tcPr>
            <w:tcW w:w="5521" w:type="dxa"/>
            <w:vAlign w:val="top"/>
          </w:tcPr>
          <w:p>
            <w:pPr>
              <w:pStyle w:val="TableText"/>
              <w:ind w:left="57" w:right="161" w:firstLine="99"/>
              <w:spacing w:before="74" w:line="234" w:lineRule="auto"/>
              <w:rPr>
                <w:sz w:val="20"/>
                <w:szCs w:val="20"/>
              </w:rPr>
            </w:pPr>
            <w:r>
              <w:rPr>
                <w:sz w:val="20"/>
                <w:szCs w:val="20"/>
                <w:spacing w:val="-1"/>
              </w:rPr>
              <w:t>颗粒物、非甲烷总烃企业边界监控点浓度执行《电池工业污</w:t>
            </w:r>
            <w:r>
              <w:rPr>
                <w:sz w:val="20"/>
                <w:szCs w:val="20"/>
                <w:spacing w:val="18"/>
              </w:rPr>
              <w:t xml:space="preserve"> </w:t>
            </w:r>
            <w:r>
              <w:rPr>
                <w:sz w:val="20"/>
                <w:szCs w:val="20"/>
                <w:spacing w:val="-5"/>
              </w:rPr>
              <w:t>染物排放标准》</w:t>
            </w:r>
            <w:r>
              <w:rPr>
                <w:sz w:val="20"/>
                <w:szCs w:val="20"/>
                <w:spacing w:val="17"/>
              </w:rPr>
              <w:t xml:space="preserve">   </w:t>
            </w:r>
            <w:r>
              <w:rPr>
                <w:sz w:val="20"/>
                <w:szCs w:val="20"/>
                <w:spacing w:val="-5"/>
              </w:rPr>
              <w:t>(GB30484-2013)表6中的浓度限值</w:t>
            </w:r>
            <w:r>
              <w:rPr>
                <w:sz w:val="20"/>
                <w:szCs w:val="20"/>
                <w:spacing w:val="-6"/>
              </w:rPr>
              <w:t>：即非</w:t>
            </w:r>
          </w:p>
          <w:p>
            <w:pPr>
              <w:pStyle w:val="TableText"/>
              <w:ind w:left="16" w:right="4" w:firstLine="40"/>
              <w:spacing w:before="15" w:line="227" w:lineRule="auto"/>
              <w:rPr>
                <w:sz w:val="20"/>
                <w:szCs w:val="20"/>
              </w:rPr>
            </w:pPr>
            <w:r>
              <w:rPr>
                <w:sz w:val="20"/>
                <w:szCs w:val="20"/>
                <w:spacing w:val="4"/>
              </w:rPr>
              <w:t>甲烷总烃无组织最高允许排放浓度≤2.0</w:t>
            </w:r>
            <w:r>
              <w:rPr>
                <w:sz w:val="20"/>
                <w:szCs w:val="20"/>
              </w:rPr>
              <w:t>mg</w:t>
            </w:r>
            <w:r>
              <w:rPr>
                <w:sz w:val="20"/>
                <w:szCs w:val="20"/>
                <w:spacing w:val="4"/>
              </w:rPr>
              <w:t>/m³,</w:t>
            </w:r>
            <w:r>
              <w:rPr>
                <w:sz w:val="20"/>
                <w:szCs w:val="20"/>
                <w:spacing w:val="3"/>
              </w:rPr>
              <w:t>颗粒物无组织</w:t>
            </w:r>
            <w:r>
              <w:rPr>
                <w:sz w:val="20"/>
                <w:szCs w:val="20"/>
              </w:rPr>
              <w:t xml:space="preserve"> </w:t>
            </w:r>
            <w:r>
              <w:rPr>
                <w:sz w:val="20"/>
                <w:szCs w:val="20"/>
              </w:rPr>
              <w:t>最高允许排放浓度≤0.3mg/m³;氨、</w:t>
            </w:r>
            <w:r>
              <w:rPr>
                <w:sz w:val="20"/>
                <w:szCs w:val="20"/>
                <w:spacing w:val="-1"/>
              </w:rPr>
              <w:t>硫化氢、臭气浓度执行《恶</w:t>
            </w:r>
          </w:p>
          <w:p>
            <w:pPr>
              <w:pStyle w:val="TableText"/>
              <w:ind w:left="57"/>
              <w:spacing w:before="75" w:line="219" w:lineRule="auto"/>
              <w:rPr>
                <w:sz w:val="20"/>
                <w:szCs w:val="20"/>
              </w:rPr>
            </w:pPr>
            <w:r>
              <w:rPr>
                <w:sz w:val="20"/>
                <w:szCs w:val="20"/>
              </w:rPr>
              <w:t>臭污染物排放标准》(GB14554-1993)中的表1中标准要求，</w:t>
            </w:r>
          </w:p>
          <w:p>
            <w:pPr>
              <w:pStyle w:val="TableText"/>
              <w:ind w:left="57"/>
              <w:spacing w:before="15" w:line="214" w:lineRule="auto"/>
              <w:rPr>
                <w:sz w:val="20"/>
                <w:szCs w:val="20"/>
              </w:rPr>
            </w:pPr>
            <w:r>
              <w:rPr>
                <w:sz w:val="20"/>
                <w:szCs w:val="20"/>
                <w:spacing w:val="4"/>
              </w:rPr>
              <w:t>即氨厂界无组织最高允许排放浓度≤1.5</w:t>
            </w:r>
            <w:r>
              <w:rPr>
                <w:sz w:val="20"/>
                <w:szCs w:val="20"/>
              </w:rPr>
              <w:t>mg</w:t>
            </w:r>
            <w:r>
              <w:rPr>
                <w:sz w:val="20"/>
                <w:szCs w:val="20"/>
                <w:spacing w:val="4"/>
              </w:rPr>
              <w:t>/</w:t>
            </w:r>
            <w:r>
              <w:rPr>
                <w:sz w:val="20"/>
                <w:szCs w:val="20"/>
                <w:spacing w:val="3"/>
              </w:rPr>
              <w:t>m³,硫化氢厂界无</w:t>
            </w:r>
          </w:p>
          <w:p>
            <w:pPr>
              <w:pStyle w:val="TableText"/>
              <w:ind w:left="1306" w:right="142" w:hanging="1150"/>
              <w:spacing w:before="28" w:line="226" w:lineRule="auto"/>
              <w:rPr>
                <w:sz w:val="20"/>
                <w:szCs w:val="20"/>
              </w:rPr>
            </w:pPr>
            <w:r>
              <w:rPr>
                <w:sz w:val="20"/>
                <w:szCs w:val="20"/>
                <w:spacing w:val="4"/>
              </w:rPr>
              <w:t>组织最高允许排放浓度≤0.06</w:t>
            </w:r>
            <w:r>
              <w:rPr>
                <w:sz w:val="20"/>
                <w:szCs w:val="20"/>
              </w:rPr>
              <w:t>mg</w:t>
            </w:r>
            <w:r>
              <w:rPr>
                <w:sz w:val="20"/>
                <w:szCs w:val="20"/>
                <w:spacing w:val="4"/>
              </w:rPr>
              <w:t>/m³、臭气浓度</w:t>
            </w:r>
            <w:r>
              <w:rPr>
                <w:sz w:val="20"/>
                <w:szCs w:val="20"/>
                <w:spacing w:val="3"/>
              </w:rPr>
              <w:t>(无量纲)厂</w:t>
            </w:r>
            <w:r>
              <w:rPr>
                <w:sz w:val="20"/>
                <w:szCs w:val="20"/>
              </w:rPr>
              <w:t xml:space="preserve"> </w:t>
            </w:r>
            <w:r>
              <w:rPr>
                <w:sz w:val="20"/>
                <w:szCs w:val="20"/>
              </w:rPr>
              <w:t>界无组织最高允许排放浓度≤20。</w:t>
            </w:r>
          </w:p>
        </w:tc>
      </w:tr>
      <w:tr>
        <w:trPr>
          <w:trHeight w:val="1363" w:hRule="atLeast"/>
        </w:trPr>
        <w:tc>
          <w:tcPr>
            <w:tcW w:w="14139" w:type="dxa"/>
            <w:vAlign w:val="top"/>
            <w:gridSpan w:val="6"/>
          </w:tcPr>
          <w:p>
            <w:pPr>
              <w:pStyle w:val="TableText"/>
              <w:ind w:left="45"/>
              <w:spacing w:before="55" w:line="219" w:lineRule="auto"/>
              <w:rPr>
                <w:sz w:val="20"/>
                <w:szCs w:val="20"/>
              </w:rPr>
            </w:pPr>
            <w:r>
              <w:rPr>
                <w:sz w:val="20"/>
                <w:szCs w:val="20"/>
                <w:spacing w:val="3"/>
              </w:rPr>
              <w:t>备注：1)排气筒应设置监测采样孔、采样平台和安全通道；</w:t>
            </w:r>
          </w:p>
          <w:p>
            <w:pPr>
              <w:pStyle w:val="TableText"/>
              <w:ind w:left="45" w:right="834" w:firstLine="559"/>
              <w:spacing w:before="34" w:line="248" w:lineRule="auto"/>
              <w:rPr>
                <w:sz w:val="20"/>
                <w:szCs w:val="20"/>
              </w:rPr>
            </w:pPr>
            <w:r>
              <w:rPr>
                <w:sz w:val="20"/>
                <w:szCs w:val="20"/>
              </w:rPr>
              <w:t>2)采样孔位置应优先选择在垂直管段和烟道负压区域，避开烟道弯头和断面急剧变化的部位，应设置在距弯头、阀门、</w:t>
            </w:r>
            <w:r>
              <w:rPr>
                <w:sz w:val="20"/>
                <w:szCs w:val="20"/>
                <w:spacing w:val="-1"/>
              </w:rPr>
              <w:t>变径管下游方向不小于6倍</w:t>
            </w:r>
            <w:r>
              <w:rPr>
                <w:sz w:val="20"/>
                <w:szCs w:val="20"/>
              </w:rPr>
              <w:t xml:space="preserve"> </w:t>
            </w:r>
            <w:r>
              <w:rPr>
                <w:sz w:val="20"/>
                <w:szCs w:val="20"/>
                <w:spacing w:val="3"/>
              </w:rPr>
              <w:t>烟道直径处，以及距上述部件上游方向不小于3倍烟道直径处；</w:t>
            </w:r>
          </w:p>
          <w:p>
            <w:pPr>
              <w:pStyle w:val="TableText"/>
              <w:ind w:left="45" w:right="794" w:firstLine="579"/>
              <w:spacing w:before="29" w:line="212" w:lineRule="auto"/>
              <w:rPr>
                <w:sz w:val="20"/>
                <w:szCs w:val="20"/>
              </w:rPr>
            </w:pPr>
            <w:r>
              <w:rPr>
                <w:sz w:val="20"/>
                <w:szCs w:val="20"/>
                <w:spacing w:val="2"/>
              </w:rPr>
              <w:t>3)采样平台为检测人员采样设置，应有足够的工作面积使工作人员安全、方便操作。平</w:t>
            </w:r>
            <w:r>
              <w:rPr>
                <w:sz w:val="20"/>
                <w:szCs w:val="20"/>
                <w:spacing w:val="1"/>
              </w:rPr>
              <w:t>台面积应不小于1.5m²,并设有1.1m高的护栏，采样孔距平</w:t>
            </w:r>
            <w:r>
              <w:rPr>
                <w:sz w:val="20"/>
                <w:szCs w:val="20"/>
              </w:rPr>
              <w:t xml:space="preserve"> </w:t>
            </w:r>
            <w:r>
              <w:rPr>
                <w:sz w:val="20"/>
                <w:szCs w:val="20"/>
              </w:rPr>
              <w:t>台面约为1.2-1.3m。</w:t>
            </w:r>
          </w:p>
        </w:tc>
      </w:tr>
    </w:tbl>
    <w:p>
      <w:pPr>
        <w:rPr>
          <w:rFonts w:ascii="Arial"/>
          <w:sz w:val="21"/>
        </w:rPr>
      </w:pPr>
      <w:r/>
    </w:p>
    <w:p>
      <w:pPr>
        <w:sectPr>
          <w:footerReference w:type="default" r:id="rId111"/>
          <w:pgSz w:w="16840" w:h="11900"/>
          <w:pgMar w:top="1011" w:right="1265" w:bottom="978" w:left="1425" w:header="0" w:footer="839" w:gutter="0"/>
        </w:sectPr>
        <w:rPr>
          <w:rFonts w:ascii="Arial" w:hAnsi="Arial" w:eastAsia="Arial" w:cs="Arial"/>
          <w:sz w:val="21"/>
          <w:szCs w:val="21"/>
        </w:rPr>
      </w:pPr>
    </w:p>
    <w:p>
      <w:pPr>
        <w:spacing w:line="103" w:lineRule="exact"/>
        <w:rPr/>
      </w:pPr>
      <w:r/>
    </w:p>
    <w:tbl>
      <w:tblPr>
        <w:tblStyle w:val="TableNormal"/>
        <w:tblW w:w="89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24"/>
        <w:gridCol w:w="8365"/>
      </w:tblGrid>
      <w:tr>
        <w:trPr>
          <w:trHeight w:val="13560" w:hRule="atLeast"/>
        </w:trPr>
        <w:tc>
          <w:tcPr>
            <w:tcW w:w="624"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pStyle w:val="TableText"/>
              <w:ind w:left="64" w:right="49"/>
              <w:spacing w:before="78" w:line="211" w:lineRule="auto"/>
              <w:jc w:val="both"/>
              <w:rPr>
                <w:sz w:val="24"/>
                <w:szCs w:val="24"/>
              </w:rPr>
            </w:pPr>
            <w:r>
              <w:rPr>
                <w:sz w:val="24"/>
                <w:szCs w:val="24"/>
                <w:spacing w:val="7"/>
              </w:rPr>
              <w:t>运营</w:t>
            </w:r>
            <w:r>
              <w:rPr>
                <w:sz w:val="24"/>
                <w:szCs w:val="24"/>
              </w:rPr>
              <w:t xml:space="preserve"> </w:t>
            </w:r>
            <w:r>
              <w:rPr>
                <w:sz w:val="24"/>
                <w:szCs w:val="24"/>
                <w:spacing w:val="6"/>
              </w:rPr>
              <w:t>期环</w:t>
            </w:r>
            <w:r>
              <w:rPr>
                <w:sz w:val="24"/>
                <w:szCs w:val="24"/>
              </w:rPr>
              <w:t xml:space="preserve"> </w:t>
            </w:r>
            <w:r>
              <w:rPr>
                <w:sz w:val="24"/>
                <w:szCs w:val="24"/>
                <w:spacing w:val="5"/>
              </w:rPr>
              <w:t>境影</w:t>
            </w:r>
            <w:r>
              <w:rPr>
                <w:sz w:val="24"/>
                <w:szCs w:val="24"/>
              </w:rPr>
              <w:t xml:space="preserve"> </w:t>
            </w:r>
            <w:r>
              <w:rPr>
                <w:sz w:val="24"/>
                <w:szCs w:val="24"/>
                <w:spacing w:val="9"/>
              </w:rPr>
              <w:t>响和</w:t>
            </w:r>
            <w:r>
              <w:rPr>
                <w:sz w:val="24"/>
                <w:szCs w:val="24"/>
              </w:rPr>
              <w:t xml:space="preserve"> </w:t>
            </w:r>
            <w:r>
              <w:rPr>
                <w:sz w:val="24"/>
                <w:szCs w:val="24"/>
                <w:spacing w:val="8"/>
              </w:rPr>
              <w:t>保护</w:t>
            </w:r>
            <w:r>
              <w:rPr>
                <w:sz w:val="24"/>
                <w:szCs w:val="24"/>
              </w:rPr>
              <w:t xml:space="preserve"> </w:t>
            </w:r>
            <w:r>
              <w:rPr>
                <w:sz w:val="24"/>
                <w:szCs w:val="24"/>
                <w:spacing w:val="5"/>
              </w:rPr>
              <w:t>措施</w:t>
            </w:r>
          </w:p>
        </w:tc>
        <w:tc>
          <w:tcPr>
            <w:tcW w:w="8365" w:type="dxa"/>
            <w:vAlign w:val="top"/>
          </w:tcPr>
          <w:p>
            <w:pPr>
              <w:pStyle w:val="TableText"/>
              <w:ind w:left="114"/>
              <w:spacing w:before="31" w:line="219" w:lineRule="auto"/>
              <w:rPr>
                <w:sz w:val="24"/>
                <w:szCs w:val="24"/>
              </w:rPr>
            </w:pPr>
            <w:r>
              <w:rPr>
                <w:sz w:val="24"/>
                <w:szCs w:val="24"/>
                <w:b/>
                <w:bCs/>
                <w:spacing w:val="-4"/>
              </w:rPr>
              <w:t>4.3水环境影响和污染防治措施</w:t>
            </w:r>
          </w:p>
          <w:p>
            <w:pPr>
              <w:pStyle w:val="TableText"/>
              <w:ind w:left="630"/>
              <w:spacing w:before="208" w:line="219" w:lineRule="auto"/>
              <w:rPr>
                <w:sz w:val="24"/>
                <w:szCs w:val="24"/>
              </w:rPr>
            </w:pPr>
            <w:r>
              <w:rPr>
                <w:sz w:val="24"/>
                <w:szCs w:val="24"/>
                <w:spacing w:val="-1"/>
              </w:rPr>
              <w:t>项目废水主要为生产废水和生活污水。</w:t>
            </w:r>
          </w:p>
          <w:p>
            <w:pPr>
              <w:pStyle w:val="TableText"/>
              <w:ind w:left="134"/>
              <w:spacing w:before="181" w:line="460" w:lineRule="exact"/>
              <w:rPr>
                <w:sz w:val="24"/>
                <w:szCs w:val="24"/>
              </w:rPr>
            </w:pPr>
            <w:r>
              <w:rPr>
                <w:sz w:val="24"/>
                <w:szCs w:val="24"/>
                <w:b/>
                <w:bCs/>
                <w:spacing w:val="-4"/>
                <w:position w:val="16"/>
              </w:rPr>
              <w:t>4.3.1水污染源强及源强核算</w:t>
            </w:r>
          </w:p>
          <w:p>
            <w:pPr>
              <w:pStyle w:val="TableText"/>
              <w:ind w:left="624"/>
              <w:spacing w:line="219" w:lineRule="auto"/>
              <w:rPr>
                <w:sz w:val="24"/>
                <w:szCs w:val="24"/>
              </w:rPr>
            </w:pPr>
            <w:r>
              <w:rPr>
                <w:sz w:val="24"/>
                <w:szCs w:val="24"/>
                <w:b/>
                <w:bCs/>
                <w:spacing w:val="-2"/>
              </w:rPr>
              <w:t>1、生产废水</w:t>
            </w:r>
          </w:p>
          <w:p>
            <w:pPr>
              <w:pStyle w:val="TableText"/>
              <w:ind w:right="17"/>
              <w:spacing w:before="177" w:line="219" w:lineRule="auto"/>
              <w:jc w:val="right"/>
              <w:rPr>
                <w:sz w:val="24"/>
                <w:szCs w:val="24"/>
              </w:rPr>
            </w:pPr>
            <w:r>
              <w:rPr>
                <w:sz w:val="24"/>
                <w:szCs w:val="24"/>
                <w:spacing w:val="1"/>
              </w:rPr>
              <w:t>从水平衡图及生产工艺流程图可以看出，本项目外排生产</w:t>
            </w:r>
            <w:r>
              <w:rPr>
                <w:sz w:val="24"/>
                <w:szCs w:val="24"/>
              </w:rPr>
              <w:t>废水包括阴、阳</w:t>
            </w:r>
          </w:p>
          <w:p>
            <w:pPr>
              <w:pStyle w:val="TableText"/>
              <w:ind w:left="130"/>
              <w:spacing w:before="173" w:line="216" w:lineRule="auto"/>
              <w:rPr>
                <w:sz w:val="24"/>
                <w:szCs w:val="24"/>
              </w:rPr>
            </w:pPr>
            <w:r>
              <w:rPr>
                <w:sz w:val="24"/>
                <w:szCs w:val="24"/>
              </w:rPr>
              <w:t>极生产废水(含料罐设备清洗废水、车间地面冲洗废水),凹版工程(含料罐</w:t>
            </w:r>
          </w:p>
          <w:p>
            <w:pPr>
              <w:pStyle w:val="TableText"/>
              <w:ind w:left="150"/>
              <w:spacing w:before="193" w:line="489" w:lineRule="exact"/>
              <w:rPr>
                <w:sz w:val="24"/>
                <w:szCs w:val="24"/>
              </w:rPr>
            </w:pPr>
            <w:r>
              <w:rPr>
                <w:sz w:val="24"/>
                <w:szCs w:val="24"/>
                <w:position w:val="19"/>
              </w:rPr>
              <w:t>设备清洗废水、车间地面冲洗废水)、循环冷却系统废水、锅炉软化水、锅炉</w:t>
            </w:r>
          </w:p>
          <w:p>
            <w:pPr>
              <w:pStyle w:val="TableText"/>
              <w:ind w:left="140"/>
              <w:spacing w:before="1" w:line="219" w:lineRule="auto"/>
              <w:rPr>
                <w:sz w:val="24"/>
                <w:szCs w:val="24"/>
              </w:rPr>
            </w:pPr>
            <w:r>
              <w:rPr>
                <w:sz w:val="24"/>
                <w:szCs w:val="24"/>
              </w:rPr>
              <w:t>排污水、RO/DI系统排水。</w:t>
            </w:r>
          </w:p>
          <w:p>
            <w:pPr>
              <w:pStyle w:val="TableText"/>
              <w:ind w:left="730"/>
              <w:spacing w:before="175" w:line="219" w:lineRule="auto"/>
              <w:rPr>
                <w:sz w:val="24"/>
                <w:szCs w:val="24"/>
              </w:rPr>
            </w:pPr>
            <w:r>
              <w:rPr>
                <w:sz w:val="24"/>
                <w:szCs w:val="24"/>
                <w:spacing w:val="1"/>
              </w:rPr>
              <w:t>(1)阴极生产废水</w:t>
            </w:r>
          </w:p>
          <w:p>
            <w:pPr>
              <w:pStyle w:val="TableText"/>
              <w:ind w:right="44"/>
              <w:spacing w:before="174" w:line="481" w:lineRule="exact"/>
              <w:jc w:val="right"/>
              <w:rPr>
                <w:sz w:val="24"/>
                <w:szCs w:val="24"/>
              </w:rPr>
            </w:pPr>
            <w:r>
              <w:rPr>
                <w:sz w:val="24"/>
                <w:szCs w:val="24"/>
                <w:position w:val="18"/>
              </w:rPr>
              <w:t>阴极生产废水来源于搅拌、涂布工序清洗罐体、设备废水及车间地面清洗</w:t>
            </w:r>
          </w:p>
          <w:p>
            <w:pPr>
              <w:pStyle w:val="TableText"/>
              <w:ind w:left="140"/>
              <w:spacing w:before="1" w:line="219" w:lineRule="auto"/>
              <w:rPr>
                <w:sz w:val="24"/>
                <w:szCs w:val="24"/>
              </w:rPr>
            </w:pPr>
            <w:r>
              <w:rPr>
                <w:sz w:val="24"/>
                <w:szCs w:val="24"/>
              </w:rPr>
              <w:t>废水。阴极生产废水产生量为10.8t/d。</w:t>
            </w:r>
          </w:p>
          <w:p>
            <w:pPr>
              <w:pStyle w:val="TableText"/>
              <w:ind w:left="620"/>
              <w:spacing w:before="163" w:line="219" w:lineRule="auto"/>
              <w:rPr>
                <w:sz w:val="24"/>
                <w:szCs w:val="24"/>
              </w:rPr>
            </w:pPr>
            <w:r>
              <w:rPr>
                <w:sz w:val="24"/>
                <w:szCs w:val="24"/>
              </w:rPr>
              <w:t>本项目阴极使用的主要原料是三元材料(NCM)、N-甲基吡咯烷酮等，搅</w:t>
            </w:r>
          </w:p>
          <w:p>
            <w:pPr>
              <w:pStyle w:val="TableText"/>
              <w:ind w:left="140"/>
              <w:spacing w:before="186" w:line="477" w:lineRule="exact"/>
              <w:rPr>
                <w:sz w:val="24"/>
                <w:szCs w:val="24"/>
              </w:rPr>
            </w:pPr>
            <w:r>
              <w:rPr>
                <w:sz w:val="24"/>
                <w:szCs w:val="24"/>
                <w:position w:val="18"/>
              </w:rPr>
              <w:t>拌、涂布过程均为物理过程没有发生化学反应，其中N-甲基吡咯烷酮为可溶物</w:t>
            </w:r>
          </w:p>
          <w:p>
            <w:pPr>
              <w:pStyle w:val="TableText"/>
              <w:ind w:left="140"/>
              <w:spacing w:before="1" w:line="216" w:lineRule="auto"/>
              <w:rPr>
                <w:sz w:val="24"/>
                <w:szCs w:val="24"/>
              </w:rPr>
            </w:pPr>
            <w:r>
              <w:rPr>
                <w:sz w:val="24"/>
                <w:szCs w:val="24"/>
                <w:spacing w:val="4"/>
              </w:rPr>
              <w:t>表征为</w:t>
            </w:r>
            <w:r>
              <w:rPr>
                <w:sz w:val="24"/>
                <w:szCs w:val="24"/>
              </w:rPr>
              <w:t>COD</w:t>
            </w:r>
            <w:r>
              <w:rPr>
                <w:sz w:val="24"/>
                <w:szCs w:val="24"/>
                <w:spacing w:val="4"/>
              </w:rPr>
              <w:t>,其他成分为不溶物，即表征为</w:t>
            </w:r>
            <w:r>
              <w:rPr>
                <w:sz w:val="24"/>
                <w:szCs w:val="24"/>
              </w:rPr>
              <w:t>SS</w:t>
            </w:r>
            <w:r>
              <w:rPr>
                <w:sz w:val="24"/>
                <w:szCs w:val="24"/>
                <w:spacing w:val="4"/>
              </w:rPr>
              <w:t>,还含有少量特征</w:t>
            </w:r>
            <w:r>
              <w:rPr>
                <w:sz w:val="24"/>
                <w:szCs w:val="24"/>
                <w:spacing w:val="3"/>
              </w:rPr>
              <w:t>污染物(镍、</w:t>
            </w:r>
          </w:p>
          <w:p>
            <w:pPr>
              <w:pStyle w:val="TableText"/>
              <w:ind w:left="120"/>
              <w:spacing w:before="172" w:line="219" w:lineRule="auto"/>
              <w:rPr>
                <w:sz w:val="24"/>
                <w:szCs w:val="24"/>
              </w:rPr>
            </w:pPr>
            <w:r>
              <w:rPr>
                <w:sz w:val="24"/>
                <w:szCs w:val="24"/>
              </w:rPr>
              <w:t>钴、锰等)。</w:t>
            </w:r>
          </w:p>
          <w:p>
            <w:pPr>
              <w:pStyle w:val="TableText"/>
              <w:ind w:left="620"/>
              <w:spacing w:before="199" w:line="214" w:lineRule="auto"/>
              <w:rPr>
                <w:sz w:val="24"/>
                <w:szCs w:val="24"/>
              </w:rPr>
            </w:pPr>
            <w:r>
              <w:rPr>
                <w:sz w:val="24"/>
                <w:szCs w:val="24"/>
                <w:spacing w:val="1"/>
              </w:rPr>
              <w:t>类比同类工程，阴极生产废水主要污染物浓度为：</w:t>
            </w:r>
            <w:r>
              <w:rPr>
                <w:sz w:val="24"/>
                <w:szCs w:val="24"/>
              </w:rPr>
              <w:t>pH</w:t>
            </w:r>
            <w:r>
              <w:rPr>
                <w:sz w:val="24"/>
                <w:szCs w:val="24"/>
                <w:spacing w:val="1"/>
              </w:rPr>
              <w:t>:6~9</w:t>
            </w:r>
            <w:r>
              <w:rPr>
                <w:sz w:val="24"/>
                <w:szCs w:val="24"/>
              </w:rPr>
              <w:t>、COD≤</w:t>
            </w:r>
          </w:p>
          <w:p>
            <w:pPr>
              <w:pStyle w:val="TableText"/>
              <w:ind w:left="130"/>
              <w:spacing w:before="190" w:line="214" w:lineRule="auto"/>
              <w:rPr>
                <w:sz w:val="24"/>
                <w:szCs w:val="24"/>
              </w:rPr>
            </w:pPr>
            <w:r>
              <w:rPr>
                <w:sz w:val="24"/>
                <w:szCs w:val="24"/>
              </w:rPr>
              <w:t>4500mg/L、BODs≤1200mg/L、SS≤1500mg/L、NH</w:t>
            </w:r>
            <w:r>
              <w:rPr>
                <w:rFonts w:ascii="Calibri" w:hAnsi="Calibri" w:eastAsia="Calibri" w:cs="Calibri"/>
                <w:sz w:val="24"/>
                <w:szCs w:val="24"/>
              </w:rPr>
              <w:t>₃</w:t>
            </w:r>
            <w:r>
              <w:rPr>
                <w:sz w:val="24"/>
                <w:szCs w:val="24"/>
              </w:rPr>
              <w:t>-N≤80mg/L、C</w:t>
            </w:r>
            <w:r>
              <w:rPr>
                <w:sz w:val="24"/>
                <w:szCs w:val="24"/>
                <w:spacing w:val="-1"/>
              </w:rPr>
              <w:t>o≤9.04mg/L</w:t>
            </w:r>
          </w:p>
          <w:p>
            <w:pPr>
              <w:pStyle w:val="TableText"/>
              <w:ind w:left="260"/>
              <w:spacing w:before="182" w:line="478" w:lineRule="exact"/>
              <w:rPr>
                <w:sz w:val="24"/>
                <w:szCs w:val="24"/>
              </w:rPr>
            </w:pPr>
            <w:r>
              <w:rPr>
                <w:sz w:val="24"/>
                <w:szCs w:val="24"/>
                <w:position w:val="18"/>
              </w:rPr>
              <w:t>(根据物料平衡核算)、Ni≤9.02mg/L(根据物料平衡核算)、Mn≤8.44mg/L</w:t>
            </w:r>
          </w:p>
          <w:p>
            <w:pPr>
              <w:pStyle w:val="TableText"/>
              <w:ind w:left="270"/>
              <w:spacing w:line="219" w:lineRule="auto"/>
              <w:rPr>
                <w:sz w:val="24"/>
                <w:szCs w:val="24"/>
              </w:rPr>
            </w:pPr>
            <w:r>
              <w:rPr>
                <w:sz w:val="24"/>
                <w:szCs w:val="24"/>
                <w:spacing w:val="-1"/>
              </w:rPr>
              <w:t>(根据物料平衡核算)。</w:t>
            </w:r>
          </w:p>
          <w:p>
            <w:pPr>
              <w:pStyle w:val="TableText"/>
              <w:ind w:left="150" w:right="272" w:firstLine="480"/>
              <w:spacing w:before="165" w:line="360" w:lineRule="auto"/>
              <w:rPr>
                <w:sz w:val="24"/>
                <w:szCs w:val="24"/>
              </w:rPr>
            </w:pPr>
            <w:r>
              <w:rPr>
                <w:sz w:val="24"/>
                <w:szCs w:val="24"/>
              </w:rPr>
              <w:t>阴极生产废水经车间旁三级沉淀池沉淀后进入生产废水处理站阴极废水</w:t>
            </w:r>
            <w:r>
              <w:rPr>
                <w:sz w:val="24"/>
                <w:szCs w:val="24"/>
                <w:spacing w:val="10"/>
              </w:rPr>
              <w:t xml:space="preserve"> </w:t>
            </w:r>
            <w:r>
              <w:rPr>
                <w:sz w:val="24"/>
                <w:szCs w:val="24"/>
              </w:rPr>
              <w:t>预处理系统，处理工艺为“芬顿氧化+混凝沉淀”,经过预处理后的废水进入</w:t>
            </w:r>
          </w:p>
          <w:p>
            <w:pPr>
              <w:pStyle w:val="TableText"/>
              <w:ind w:left="150"/>
              <w:spacing w:before="1" w:line="216" w:lineRule="auto"/>
              <w:rPr>
                <w:sz w:val="24"/>
                <w:szCs w:val="24"/>
              </w:rPr>
            </w:pPr>
            <w:r>
              <w:rPr>
                <w:sz w:val="24"/>
                <w:szCs w:val="24"/>
                <w:spacing w:val="2"/>
              </w:rPr>
              <w:t>阴极生化处理系统，处理工艺“</w:t>
            </w:r>
            <w:r>
              <w:rPr>
                <w:sz w:val="24"/>
                <w:szCs w:val="24"/>
              </w:rPr>
              <w:t>ABR</w:t>
            </w:r>
            <w:r>
              <w:rPr>
                <w:sz w:val="24"/>
                <w:szCs w:val="24"/>
                <w:spacing w:val="2"/>
              </w:rPr>
              <w:t>+两级</w:t>
            </w:r>
            <w:r>
              <w:rPr>
                <w:sz w:val="24"/>
                <w:szCs w:val="24"/>
              </w:rPr>
              <w:t>AO</w:t>
            </w:r>
            <w:r>
              <w:rPr>
                <w:sz w:val="24"/>
                <w:szCs w:val="24"/>
                <w:spacing w:val="2"/>
              </w:rPr>
              <w:t>(</w:t>
            </w:r>
            <w:r>
              <w:rPr>
                <w:sz w:val="24"/>
                <w:szCs w:val="24"/>
              </w:rPr>
              <w:t>MBR</w:t>
            </w:r>
            <w:r>
              <w:rPr>
                <w:sz w:val="24"/>
                <w:szCs w:val="24"/>
                <w:spacing w:val="2"/>
              </w:rPr>
              <w:t>作为二级O池使用)”,</w:t>
            </w:r>
          </w:p>
          <w:p>
            <w:pPr>
              <w:pStyle w:val="TableText"/>
              <w:ind w:left="130" w:right="241" w:firstLine="9"/>
              <w:spacing w:before="211" w:line="358" w:lineRule="auto"/>
              <w:rPr>
                <w:sz w:val="24"/>
                <w:szCs w:val="24"/>
              </w:rPr>
            </w:pPr>
            <w:r>
              <w:rPr>
                <w:sz w:val="24"/>
                <w:szCs w:val="24"/>
              </w:rPr>
              <w:t>Co</w:t>
            </w:r>
            <w:r>
              <w:rPr>
                <w:sz w:val="24"/>
                <w:szCs w:val="24"/>
                <w:spacing w:val="1"/>
              </w:rPr>
              <w:t>、</w:t>
            </w:r>
            <w:r>
              <w:rPr>
                <w:sz w:val="24"/>
                <w:szCs w:val="24"/>
              </w:rPr>
              <w:t>Ni</w:t>
            </w:r>
            <w:r>
              <w:rPr>
                <w:sz w:val="24"/>
                <w:szCs w:val="24"/>
                <w:spacing w:val="1"/>
              </w:rPr>
              <w:t>在阴极废水系统出口达《电池工业污染物排放标准》(</w:t>
            </w:r>
            <w:r>
              <w:rPr>
                <w:sz w:val="24"/>
                <w:szCs w:val="24"/>
              </w:rPr>
              <w:t>GB</w:t>
            </w:r>
            <w:r>
              <w:rPr>
                <w:sz w:val="24"/>
                <w:szCs w:val="24"/>
                <w:spacing w:val="1"/>
              </w:rPr>
              <w:t>30484-2013)</w:t>
            </w:r>
            <w:r>
              <w:rPr>
                <w:sz w:val="24"/>
                <w:szCs w:val="24"/>
                <w:spacing w:val="15"/>
              </w:rPr>
              <w:t xml:space="preserve"> </w:t>
            </w:r>
            <w:r>
              <w:rPr>
                <w:sz w:val="24"/>
                <w:szCs w:val="24"/>
              </w:rPr>
              <w:t>表3直接排放标准(Co≤0.1mg/L、Ni≤0.05mg/L)处理后排入东侧长富路的市</w:t>
            </w:r>
          </w:p>
          <w:p>
            <w:pPr>
              <w:pStyle w:val="TableText"/>
              <w:ind w:left="130"/>
              <w:spacing w:before="1" w:line="219" w:lineRule="auto"/>
              <w:rPr>
                <w:sz w:val="24"/>
                <w:szCs w:val="24"/>
              </w:rPr>
            </w:pPr>
            <w:r>
              <w:rPr>
                <w:sz w:val="24"/>
                <w:szCs w:val="24"/>
              </w:rPr>
              <w:t>政污水管网，纳入霞浦县污水处理厂集中处理，尾水排入罗汉</w:t>
            </w:r>
            <w:r>
              <w:rPr>
                <w:sz w:val="24"/>
                <w:szCs w:val="24"/>
                <w:spacing w:val="-1"/>
              </w:rPr>
              <w:t>溪。</w:t>
            </w:r>
          </w:p>
          <w:p>
            <w:pPr>
              <w:pStyle w:val="TableText"/>
              <w:ind w:left="750"/>
              <w:spacing w:before="175" w:line="219" w:lineRule="auto"/>
              <w:rPr>
                <w:sz w:val="24"/>
                <w:szCs w:val="24"/>
              </w:rPr>
            </w:pPr>
            <w:r>
              <w:rPr>
                <w:sz w:val="24"/>
                <w:szCs w:val="24"/>
                <w:spacing w:val="1"/>
              </w:rPr>
              <w:t>(2)阳极生产废水</w:t>
            </w:r>
          </w:p>
          <w:p>
            <w:pPr>
              <w:pStyle w:val="TableText"/>
              <w:ind w:right="44"/>
              <w:spacing w:before="174" w:line="491" w:lineRule="exact"/>
              <w:jc w:val="right"/>
              <w:rPr>
                <w:sz w:val="24"/>
                <w:szCs w:val="24"/>
              </w:rPr>
            </w:pPr>
            <w:r>
              <w:rPr>
                <w:sz w:val="24"/>
                <w:szCs w:val="24"/>
                <w:position w:val="19"/>
              </w:rPr>
              <w:t>阳极生产废水来源于搅拌、涂布工序清洗罐体、设备废水及车间地面清洗</w:t>
            </w:r>
          </w:p>
          <w:p>
            <w:pPr>
              <w:pStyle w:val="TableText"/>
              <w:ind w:left="150"/>
              <w:spacing w:line="219" w:lineRule="auto"/>
              <w:rPr>
                <w:sz w:val="24"/>
                <w:szCs w:val="24"/>
              </w:rPr>
            </w:pPr>
            <w:r>
              <w:rPr>
                <w:sz w:val="24"/>
                <w:szCs w:val="24"/>
              </w:rPr>
              <w:t>废水。阳极车间废水产生量为18t/d。</w:t>
            </w:r>
          </w:p>
          <w:p>
            <w:pPr>
              <w:pStyle w:val="TableText"/>
              <w:ind w:left="630"/>
              <w:spacing w:before="154" w:line="219" w:lineRule="auto"/>
              <w:rPr>
                <w:sz w:val="24"/>
                <w:szCs w:val="24"/>
              </w:rPr>
            </w:pPr>
            <w:r>
              <w:rPr>
                <w:sz w:val="24"/>
                <w:szCs w:val="24"/>
                <w:spacing w:val="1"/>
              </w:rPr>
              <w:t>本项目阳极使用的主要原料是石墨和聚合物等</w:t>
            </w:r>
            <w:r>
              <w:rPr>
                <w:sz w:val="24"/>
                <w:szCs w:val="24"/>
              </w:rPr>
              <w:t>，主要污染物为COD、SS。</w:t>
            </w:r>
          </w:p>
        </w:tc>
      </w:tr>
    </w:tbl>
    <w:p>
      <w:pPr>
        <w:rPr>
          <w:rFonts w:ascii="Arial"/>
          <w:sz w:val="21"/>
        </w:rPr>
      </w:pPr>
      <w:r/>
    </w:p>
    <w:p>
      <w:pPr>
        <w:sectPr>
          <w:footerReference w:type="default" r:id="rId112"/>
          <w:pgSz w:w="11900" w:h="16840"/>
          <w:pgMar w:top="1431" w:right="1465" w:bottom="988" w:left="1435" w:header="0" w:footer="849" w:gutter="0"/>
        </w:sectPr>
        <w:rPr>
          <w:rFonts w:ascii="Arial" w:hAnsi="Arial" w:eastAsia="Arial" w:cs="Arial"/>
          <w:sz w:val="21"/>
          <w:szCs w:val="21"/>
        </w:rPr>
      </w:pPr>
    </w:p>
    <w:p>
      <w:pPr>
        <w:spacing w:line="83" w:lineRule="exact"/>
        <w:rPr/>
      </w:pPr>
      <w:r/>
    </w:p>
    <w:tbl>
      <w:tblPr>
        <w:tblStyle w:val="TableNormal"/>
        <w:tblW w:w="896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04"/>
        <w:gridCol w:w="8365"/>
      </w:tblGrid>
      <w:tr>
        <w:trPr>
          <w:trHeight w:val="13569" w:hRule="atLeast"/>
        </w:trPr>
        <w:tc>
          <w:tcPr>
            <w:tcW w:w="604" w:type="dxa"/>
            <w:vAlign w:val="top"/>
          </w:tcPr>
          <w:p>
            <w:pPr>
              <w:rPr>
                <w:rFonts w:ascii="Arial"/>
                <w:sz w:val="21"/>
              </w:rPr>
            </w:pPr>
            <w:r/>
          </w:p>
        </w:tc>
        <w:tc>
          <w:tcPr>
            <w:tcW w:w="8365" w:type="dxa"/>
            <w:vAlign w:val="top"/>
          </w:tcPr>
          <w:p>
            <w:pPr>
              <w:pStyle w:val="TableText"/>
              <w:ind w:left="610"/>
              <w:spacing w:before="38" w:line="479" w:lineRule="exact"/>
              <w:rPr>
                <w:sz w:val="24"/>
                <w:szCs w:val="24"/>
              </w:rPr>
            </w:pPr>
            <w:r>
              <w:rPr>
                <w:sz w:val="24"/>
                <w:szCs w:val="24"/>
                <w:position w:val="18"/>
              </w:rPr>
              <w:t>类比现有工程，阳极生产车间清洗废水主要污染物浓度为</w:t>
            </w:r>
            <w:r>
              <w:rPr>
                <w:sz w:val="24"/>
                <w:szCs w:val="24"/>
                <w:spacing w:val="-1"/>
                <w:position w:val="18"/>
              </w:rPr>
              <w:t>：pH:6~9、COD</w:t>
            </w:r>
          </w:p>
          <w:p>
            <w:pPr>
              <w:pStyle w:val="TableText"/>
              <w:ind w:left="150"/>
              <w:spacing w:line="213" w:lineRule="auto"/>
              <w:rPr>
                <w:sz w:val="24"/>
                <w:szCs w:val="24"/>
              </w:rPr>
            </w:pPr>
            <w:r>
              <w:rPr>
                <w:sz w:val="24"/>
                <w:szCs w:val="24"/>
                <w:spacing w:val="-1"/>
              </w:rPr>
              <w:t>≤1000mg/L、BODs≤500mg/L、SS≤500mg/L、NH</w:t>
            </w:r>
            <w:r>
              <w:rPr>
                <w:rFonts w:ascii="Calibri" w:hAnsi="Calibri" w:eastAsia="Calibri" w:cs="Calibri"/>
                <w:sz w:val="24"/>
                <w:szCs w:val="24"/>
                <w:spacing w:val="-1"/>
              </w:rPr>
              <w:t>₃</w:t>
            </w:r>
            <w:r>
              <w:rPr>
                <w:sz w:val="24"/>
                <w:szCs w:val="24"/>
                <w:spacing w:val="-1"/>
              </w:rPr>
              <w:t>-</w:t>
            </w:r>
            <w:r>
              <w:rPr>
                <w:sz w:val="24"/>
                <w:szCs w:val="24"/>
                <w:spacing w:val="-2"/>
              </w:rPr>
              <w:t>N≤80mg/L。</w:t>
            </w:r>
          </w:p>
          <w:p>
            <w:pPr>
              <w:pStyle w:val="TableText"/>
              <w:ind w:left="630"/>
              <w:spacing w:before="200" w:line="219" w:lineRule="auto"/>
              <w:rPr>
                <w:sz w:val="24"/>
                <w:szCs w:val="24"/>
              </w:rPr>
            </w:pPr>
            <w:r>
              <w:rPr>
                <w:sz w:val="24"/>
                <w:szCs w:val="24"/>
              </w:rPr>
              <w:t>阳极生产废水经车间旁三级沉淀池沉淀后进入生产废水处理站阳极废水</w:t>
            </w:r>
          </w:p>
          <w:p>
            <w:pPr>
              <w:pStyle w:val="TableText"/>
              <w:ind w:left="140" w:right="21" w:firstLine="9"/>
              <w:spacing w:before="184" w:line="358" w:lineRule="auto"/>
              <w:rPr>
                <w:sz w:val="24"/>
                <w:szCs w:val="24"/>
              </w:rPr>
            </w:pPr>
            <w:r>
              <w:rPr>
                <w:sz w:val="24"/>
                <w:szCs w:val="24"/>
                <w:spacing w:val="1"/>
              </w:rPr>
              <w:t>预处理系统，处理工艺为混凝沉淀，经过预处理</w:t>
            </w:r>
            <w:r>
              <w:rPr>
                <w:sz w:val="24"/>
                <w:szCs w:val="24"/>
              </w:rPr>
              <w:t>后的废水进入阳极生化处理系 </w:t>
            </w:r>
            <w:r>
              <w:rPr>
                <w:sz w:val="24"/>
                <w:szCs w:val="24"/>
                <w:spacing w:val="4"/>
              </w:rPr>
              <w:t>统，处理工艺“A²O+二沉池”,处理后排入</w:t>
            </w:r>
            <w:r>
              <w:rPr>
                <w:sz w:val="24"/>
                <w:szCs w:val="24"/>
                <w:spacing w:val="3"/>
              </w:rPr>
              <w:t>东侧长富路的市政污水管网，纳入</w:t>
            </w:r>
          </w:p>
          <w:p>
            <w:pPr>
              <w:pStyle w:val="TableText"/>
              <w:ind w:left="140"/>
              <w:spacing w:line="219" w:lineRule="auto"/>
              <w:rPr>
                <w:sz w:val="24"/>
                <w:szCs w:val="24"/>
              </w:rPr>
            </w:pPr>
            <w:r>
              <w:rPr>
                <w:sz w:val="24"/>
                <w:szCs w:val="24"/>
              </w:rPr>
              <w:t>霞浦县污水处理厂集中处理，尾水排入罗汉溪。</w:t>
            </w:r>
          </w:p>
          <w:p>
            <w:pPr>
              <w:pStyle w:val="TableText"/>
              <w:ind w:left="761"/>
              <w:spacing w:before="195" w:line="219" w:lineRule="auto"/>
              <w:rPr>
                <w:sz w:val="24"/>
                <w:szCs w:val="24"/>
              </w:rPr>
            </w:pPr>
            <w:r>
              <w:rPr>
                <w:sz w:val="24"/>
                <w:szCs w:val="24"/>
                <w:spacing w:val="1"/>
              </w:rPr>
              <w:t>(3)凹版工程生产废水</w:t>
            </w:r>
          </w:p>
          <w:p>
            <w:pPr>
              <w:pStyle w:val="TableText"/>
              <w:ind w:right="33"/>
              <w:spacing w:before="184" w:line="470" w:lineRule="exact"/>
              <w:jc w:val="right"/>
              <w:rPr>
                <w:sz w:val="24"/>
                <w:szCs w:val="24"/>
              </w:rPr>
            </w:pPr>
            <w:r>
              <w:rPr>
                <w:sz w:val="24"/>
                <w:szCs w:val="24"/>
                <w:position w:val="17"/>
              </w:rPr>
              <w:t>凹版工程生产废水来源于搅拌、涂布工序清洗罐体、设备废水及车间地面</w:t>
            </w:r>
          </w:p>
          <w:p>
            <w:pPr>
              <w:pStyle w:val="TableText"/>
              <w:ind w:left="150"/>
              <w:spacing w:before="1" w:line="219" w:lineRule="auto"/>
              <w:rPr>
                <w:sz w:val="24"/>
                <w:szCs w:val="24"/>
              </w:rPr>
            </w:pPr>
            <w:r>
              <w:rPr>
                <w:sz w:val="24"/>
                <w:szCs w:val="24"/>
              </w:rPr>
              <w:t>清洗废水。凹版工程生产废水产生量为6.3t/d。</w:t>
            </w:r>
          </w:p>
          <w:p>
            <w:pPr>
              <w:pStyle w:val="TableText"/>
              <w:ind w:left="630"/>
              <w:spacing w:before="173" w:line="219" w:lineRule="auto"/>
              <w:rPr>
                <w:sz w:val="24"/>
                <w:szCs w:val="24"/>
              </w:rPr>
            </w:pPr>
            <w:r>
              <w:rPr>
                <w:sz w:val="24"/>
                <w:szCs w:val="24"/>
                <w:spacing w:val="4"/>
              </w:rPr>
              <w:t>本项目凹版工程使用的主要原料是炭黑和聚合物等，主要污染物</w:t>
            </w:r>
            <w:r>
              <w:rPr>
                <w:sz w:val="24"/>
                <w:szCs w:val="24"/>
                <w:spacing w:val="3"/>
              </w:rPr>
              <w:t>为</w:t>
            </w:r>
            <w:r>
              <w:rPr>
                <w:sz w:val="24"/>
                <w:szCs w:val="24"/>
              </w:rPr>
              <w:t>COD</w:t>
            </w:r>
            <w:r>
              <w:rPr>
                <w:sz w:val="24"/>
                <w:szCs w:val="24"/>
                <w:spacing w:val="3"/>
              </w:rPr>
              <w:t>、</w:t>
            </w:r>
          </w:p>
          <w:p>
            <w:pPr>
              <w:pStyle w:val="TableText"/>
              <w:ind w:left="120"/>
              <w:spacing w:before="258" w:line="183" w:lineRule="auto"/>
              <w:rPr>
                <w:sz w:val="24"/>
                <w:szCs w:val="24"/>
              </w:rPr>
            </w:pPr>
            <w:r>
              <w:rPr>
                <w:sz w:val="24"/>
                <w:szCs w:val="24"/>
                <w:spacing w:val="-8"/>
              </w:rPr>
              <w:t>SS。</w:t>
            </w:r>
          </w:p>
          <w:p>
            <w:pPr>
              <w:pStyle w:val="TableText"/>
              <w:ind w:left="620"/>
              <w:spacing w:before="145" w:line="479" w:lineRule="exact"/>
              <w:rPr>
                <w:sz w:val="24"/>
                <w:szCs w:val="24"/>
              </w:rPr>
            </w:pPr>
            <w:r>
              <w:rPr>
                <w:sz w:val="24"/>
                <w:szCs w:val="24"/>
                <w:spacing w:val="1"/>
                <w:position w:val="18"/>
              </w:rPr>
              <w:t>类比同类工程，凹版工程清洗废水主要污染物浓度为：</w:t>
            </w:r>
            <w:r>
              <w:rPr>
                <w:sz w:val="24"/>
                <w:szCs w:val="24"/>
                <w:position w:val="18"/>
              </w:rPr>
              <w:t>pH</w:t>
            </w:r>
            <w:r>
              <w:rPr>
                <w:sz w:val="24"/>
                <w:szCs w:val="24"/>
                <w:spacing w:val="1"/>
                <w:position w:val="18"/>
              </w:rPr>
              <w:t>:6</w:t>
            </w:r>
            <w:r>
              <w:rPr>
                <w:sz w:val="24"/>
                <w:szCs w:val="24"/>
                <w:position w:val="18"/>
              </w:rPr>
              <w:t>~9、COD≤</w:t>
            </w:r>
          </w:p>
          <w:p>
            <w:pPr>
              <w:pStyle w:val="TableText"/>
              <w:ind w:left="160"/>
              <w:spacing w:line="213" w:lineRule="auto"/>
              <w:rPr>
                <w:sz w:val="24"/>
                <w:szCs w:val="24"/>
              </w:rPr>
            </w:pPr>
            <w:r>
              <w:rPr>
                <w:sz w:val="24"/>
                <w:szCs w:val="24"/>
                <w:spacing w:val="-1"/>
              </w:rPr>
              <w:t>1000mg/L、BODs≤500mg/L、SS≤500mg/L、NH</w:t>
            </w:r>
            <w:r>
              <w:rPr>
                <w:rFonts w:ascii="Calibri" w:hAnsi="Calibri" w:eastAsia="Calibri" w:cs="Calibri"/>
                <w:sz w:val="24"/>
                <w:szCs w:val="24"/>
                <w:spacing w:val="-2"/>
              </w:rPr>
              <w:t>₃</w:t>
            </w:r>
            <w:r>
              <w:rPr>
                <w:sz w:val="24"/>
                <w:szCs w:val="24"/>
                <w:spacing w:val="-2"/>
              </w:rPr>
              <w:t>-N≤80mg/L。</w:t>
            </w:r>
          </w:p>
          <w:p>
            <w:pPr>
              <w:pStyle w:val="TableText"/>
              <w:ind w:left="150" w:right="153" w:firstLine="480"/>
              <w:spacing w:before="189" w:line="358" w:lineRule="auto"/>
              <w:rPr>
                <w:sz w:val="24"/>
                <w:szCs w:val="24"/>
              </w:rPr>
            </w:pPr>
            <w:r>
              <w:rPr>
                <w:sz w:val="24"/>
                <w:szCs w:val="24"/>
              </w:rPr>
              <w:t>凹版工程生产废水经车间三级沉淀池沉淀后进入阳极废水处理系统(处理</w:t>
            </w:r>
            <w:r>
              <w:rPr>
                <w:sz w:val="24"/>
                <w:szCs w:val="24"/>
                <w:spacing w:val="7"/>
              </w:rPr>
              <w:t xml:space="preserve"> </w:t>
            </w:r>
            <w:r>
              <w:rPr>
                <w:sz w:val="24"/>
                <w:szCs w:val="24"/>
                <w:spacing w:val="4"/>
              </w:rPr>
              <w:t>工艺为“混凝沉淀+A²O+二沉池”)处理达</w:t>
            </w:r>
            <w:r>
              <w:rPr>
                <w:sz w:val="24"/>
                <w:szCs w:val="24"/>
                <w:spacing w:val="3"/>
              </w:rPr>
              <w:t>标后处理后排入东侧长富路的市政</w:t>
            </w:r>
          </w:p>
          <w:p>
            <w:pPr>
              <w:pStyle w:val="TableText"/>
              <w:ind w:left="140"/>
              <w:spacing w:before="1" w:line="219" w:lineRule="auto"/>
              <w:rPr>
                <w:sz w:val="24"/>
                <w:szCs w:val="24"/>
              </w:rPr>
            </w:pPr>
            <w:r>
              <w:rPr>
                <w:sz w:val="24"/>
                <w:szCs w:val="24"/>
              </w:rPr>
              <w:t>污水管网，纳入霞浦县污水处理厂集中处理，尾水排入罗汉溪。</w:t>
            </w:r>
          </w:p>
          <w:p>
            <w:pPr>
              <w:pStyle w:val="TableText"/>
              <w:ind w:left="740"/>
              <w:spacing w:before="205" w:line="219" w:lineRule="auto"/>
              <w:rPr>
                <w:sz w:val="24"/>
                <w:szCs w:val="24"/>
              </w:rPr>
            </w:pPr>
            <w:r>
              <w:rPr>
                <w:sz w:val="24"/>
                <w:szCs w:val="24"/>
                <w:spacing w:val="1"/>
              </w:rPr>
              <w:t>(4)锅炉软化水</w:t>
            </w:r>
          </w:p>
          <w:p>
            <w:pPr>
              <w:pStyle w:val="TableText"/>
              <w:ind w:right="42"/>
              <w:spacing w:before="151" w:line="478" w:lineRule="exact"/>
              <w:jc w:val="right"/>
              <w:rPr>
                <w:sz w:val="24"/>
                <w:szCs w:val="24"/>
              </w:rPr>
            </w:pPr>
            <w:r>
              <w:rPr>
                <w:sz w:val="24"/>
                <w:szCs w:val="24"/>
                <w:position w:val="18"/>
              </w:rPr>
              <w:t>项目锅炉软化水排水量为23.1t/d,该部分废水不与物料接触，不含特征污</w:t>
            </w:r>
          </w:p>
          <w:p>
            <w:pPr>
              <w:pStyle w:val="TableText"/>
              <w:ind w:left="150"/>
              <w:spacing w:line="214" w:lineRule="auto"/>
              <w:rPr>
                <w:sz w:val="24"/>
                <w:szCs w:val="24"/>
              </w:rPr>
            </w:pPr>
            <w:r>
              <w:rPr>
                <w:sz w:val="24"/>
                <w:szCs w:val="24"/>
              </w:rPr>
              <w:t>染物，仅水质偏酸性，pH约为6～7,该废水经厂区生活污水管网直接排入市</w:t>
            </w:r>
          </w:p>
          <w:p>
            <w:pPr>
              <w:pStyle w:val="TableText"/>
              <w:ind w:left="140"/>
              <w:spacing w:before="208" w:line="219" w:lineRule="auto"/>
              <w:rPr>
                <w:sz w:val="24"/>
                <w:szCs w:val="24"/>
              </w:rPr>
            </w:pPr>
            <w:r>
              <w:rPr>
                <w:sz w:val="24"/>
                <w:szCs w:val="24"/>
              </w:rPr>
              <w:t>政污水管网。</w:t>
            </w:r>
          </w:p>
          <w:p>
            <w:pPr>
              <w:pStyle w:val="TableText"/>
              <w:ind w:left="740"/>
              <w:spacing w:before="176" w:line="219" w:lineRule="auto"/>
              <w:rPr>
                <w:sz w:val="24"/>
                <w:szCs w:val="24"/>
              </w:rPr>
            </w:pPr>
            <w:r>
              <w:rPr>
                <w:sz w:val="24"/>
                <w:szCs w:val="24"/>
                <w:spacing w:val="1"/>
              </w:rPr>
              <w:t>(5)其他废水</w:t>
            </w:r>
          </w:p>
          <w:p>
            <w:pPr>
              <w:pStyle w:val="TableText"/>
              <w:ind w:left="640"/>
              <w:spacing w:before="175" w:line="219" w:lineRule="auto"/>
              <w:rPr>
                <w:sz w:val="24"/>
                <w:szCs w:val="24"/>
              </w:rPr>
            </w:pPr>
            <w:r>
              <w:rPr>
                <w:sz w:val="24"/>
                <w:szCs w:val="24"/>
              </w:rPr>
              <w:t>主要为锅炉排污水、RO/DI系统排水、循环冷却系统废</w:t>
            </w:r>
            <w:r>
              <w:rPr>
                <w:sz w:val="24"/>
                <w:szCs w:val="24"/>
                <w:spacing w:val="-1"/>
              </w:rPr>
              <w:t>水。</w:t>
            </w:r>
          </w:p>
          <w:p>
            <w:pPr>
              <w:pStyle w:val="TableText"/>
              <w:ind w:right="22"/>
              <w:spacing w:before="171" w:line="484" w:lineRule="exact"/>
              <w:jc w:val="right"/>
              <w:rPr>
                <w:sz w:val="24"/>
                <w:szCs w:val="24"/>
              </w:rPr>
            </w:pPr>
            <w:r>
              <w:rPr>
                <w:sz w:val="24"/>
                <w:szCs w:val="24"/>
                <w:position w:val="18"/>
              </w:rPr>
              <w:t>项目锅炉排污水，均为38.5t/d,不含特征污染物，经厂区生活污水管网直</w:t>
            </w:r>
          </w:p>
          <w:p>
            <w:pPr>
              <w:pStyle w:val="TableText"/>
              <w:ind w:left="160"/>
              <w:spacing w:line="219" w:lineRule="auto"/>
              <w:rPr>
                <w:sz w:val="24"/>
                <w:szCs w:val="24"/>
              </w:rPr>
            </w:pPr>
            <w:r>
              <w:rPr>
                <w:sz w:val="24"/>
                <w:szCs w:val="24"/>
                <w:spacing w:val="-1"/>
              </w:rPr>
              <w:t>接排入市政污水管网。</w:t>
            </w:r>
          </w:p>
          <w:p>
            <w:pPr>
              <w:pStyle w:val="TableText"/>
              <w:ind w:left="630"/>
              <w:spacing w:before="184" w:line="219" w:lineRule="auto"/>
              <w:rPr>
                <w:sz w:val="24"/>
                <w:szCs w:val="24"/>
              </w:rPr>
            </w:pPr>
            <w:r>
              <w:rPr>
                <w:sz w:val="24"/>
                <w:szCs w:val="24"/>
              </w:rPr>
              <w:t>纯水(RO/DI系统)制备过程中会产生的废水，其废水中含有少量的盐分，</w:t>
            </w:r>
          </w:p>
          <w:p>
            <w:pPr>
              <w:pStyle w:val="TableText"/>
              <w:spacing w:before="153" w:line="216" w:lineRule="auto"/>
              <w:jc w:val="right"/>
              <w:rPr>
                <w:sz w:val="24"/>
                <w:szCs w:val="24"/>
              </w:rPr>
            </w:pPr>
            <w:r>
              <w:rPr>
                <w:sz w:val="24"/>
                <w:szCs w:val="24"/>
                <w:spacing w:val="-5"/>
              </w:rPr>
              <w:t>为清净下水，排水量约为58.7t/d,经厂区生活污水管网直接排入市政污水管</w:t>
            </w:r>
            <w:r>
              <w:rPr>
                <w:sz w:val="24"/>
                <w:szCs w:val="24"/>
                <w:spacing w:val="-6"/>
              </w:rPr>
              <w:t>网。</w:t>
            </w:r>
          </w:p>
          <w:p>
            <w:pPr>
              <w:pStyle w:val="TableText"/>
              <w:ind w:right="30"/>
              <w:spacing w:before="199" w:line="450" w:lineRule="exact"/>
              <w:jc w:val="right"/>
              <w:rPr>
                <w:sz w:val="24"/>
                <w:szCs w:val="24"/>
              </w:rPr>
            </w:pPr>
            <w:r>
              <w:rPr>
                <w:sz w:val="24"/>
                <w:szCs w:val="24"/>
                <w:position w:val="16"/>
              </w:rPr>
              <w:t>循环冷却系统废水约为32.2t/d,经厂区生活污水管网直接排入市政污水管</w:t>
            </w:r>
          </w:p>
          <w:p>
            <w:pPr>
              <w:pStyle w:val="TableText"/>
              <w:ind w:left="130"/>
              <w:spacing w:before="1" w:line="224" w:lineRule="auto"/>
              <w:rPr>
                <w:sz w:val="24"/>
                <w:szCs w:val="24"/>
              </w:rPr>
            </w:pPr>
            <w:r>
              <w:rPr>
                <w:sz w:val="24"/>
                <w:szCs w:val="24"/>
                <w:spacing w:val="-15"/>
              </w:rPr>
              <w:t>网</w:t>
            </w:r>
            <w:r>
              <w:rPr>
                <w:sz w:val="24"/>
                <w:szCs w:val="24"/>
                <w:spacing w:val="-57"/>
              </w:rPr>
              <w:t xml:space="preserve"> </w:t>
            </w:r>
            <w:r>
              <w:rPr>
                <w:sz w:val="24"/>
                <w:szCs w:val="24"/>
                <w:spacing w:val="-15"/>
              </w:rPr>
              <w:t>。</w:t>
            </w:r>
          </w:p>
          <w:p>
            <w:pPr>
              <w:pStyle w:val="TableText"/>
              <w:ind w:left="620"/>
              <w:spacing w:before="192" w:line="219" w:lineRule="auto"/>
              <w:rPr>
                <w:sz w:val="24"/>
                <w:szCs w:val="24"/>
              </w:rPr>
            </w:pPr>
            <w:r>
              <w:rPr>
                <w:sz w:val="24"/>
                <w:szCs w:val="24"/>
                <w:spacing w:val="1"/>
              </w:rPr>
              <w:t>项目生产废水产生、处置及排放情况详见表</w:t>
            </w:r>
            <w:r>
              <w:rPr>
                <w:sz w:val="24"/>
                <w:szCs w:val="24"/>
              </w:rPr>
              <w:t>4.3-1。</w:t>
            </w:r>
          </w:p>
        </w:tc>
      </w:tr>
    </w:tbl>
    <w:p>
      <w:pPr>
        <w:rPr>
          <w:rFonts w:ascii="Arial"/>
          <w:sz w:val="21"/>
        </w:rPr>
      </w:pPr>
      <w:r/>
    </w:p>
    <w:p>
      <w:pPr>
        <w:sectPr>
          <w:footerReference w:type="default" r:id="rId113"/>
          <w:pgSz w:w="11900" w:h="16840"/>
          <w:pgMar w:top="1431" w:right="1465" w:bottom="988" w:left="1455" w:header="0" w:footer="849" w:gutter="0"/>
        </w:sectPr>
        <w:rPr>
          <w:rFonts w:ascii="Arial" w:hAnsi="Arial" w:eastAsia="Arial" w:cs="Arial"/>
          <w:sz w:val="21"/>
          <w:szCs w:val="21"/>
        </w:rPr>
      </w:pPr>
    </w:p>
    <w:p>
      <w:pPr>
        <w:spacing w:line="93" w:lineRule="exact"/>
        <w:rPr/>
      </w:pPr>
      <w:r/>
    </w:p>
    <w:tbl>
      <w:tblPr>
        <w:tblStyle w:val="TableNormal"/>
        <w:tblW w:w="89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34"/>
        <w:gridCol w:w="8355"/>
      </w:tblGrid>
      <w:tr>
        <w:trPr>
          <w:trHeight w:val="11579" w:hRule="atLeast"/>
        </w:trPr>
        <w:tc>
          <w:tcPr>
            <w:tcW w:w="634" w:type="dxa"/>
            <w:vAlign w:val="top"/>
          </w:tcPr>
          <w:p>
            <w:pPr>
              <w:rPr>
                <w:rFonts w:ascii="Arial"/>
                <w:sz w:val="21"/>
              </w:rPr>
            </w:pPr>
            <w:r/>
          </w:p>
        </w:tc>
        <w:tc>
          <w:tcPr>
            <w:tcW w:w="8355" w:type="dxa"/>
            <w:vAlign w:val="top"/>
          </w:tcPr>
          <w:p>
            <w:pPr>
              <w:pStyle w:val="TableText"/>
              <w:ind w:left="624"/>
              <w:spacing w:before="71" w:line="219" w:lineRule="auto"/>
              <w:rPr>
                <w:sz w:val="24"/>
                <w:szCs w:val="24"/>
              </w:rPr>
            </w:pPr>
            <w:r>
              <w:rPr>
                <w:sz w:val="24"/>
                <w:szCs w:val="24"/>
                <w:b/>
                <w:bCs/>
                <w:spacing w:val="-5"/>
              </w:rPr>
              <w:t>2、生活污水</w:t>
            </w:r>
          </w:p>
          <w:p>
            <w:pPr>
              <w:pStyle w:val="TableText"/>
              <w:spacing w:before="165" w:line="216" w:lineRule="auto"/>
              <w:jc w:val="right"/>
              <w:rPr>
                <w:sz w:val="24"/>
                <w:szCs w:val="24"/>
              </w:rPr>
            </w:pPr>
            <w:r>
              <w:rPr>
                <w:sz w:val="24"/>
                <w:szCs w:val="24"/>
                <w:spacing w:val="-7"/>
              </w:rPr>
              <w:t>项目生活污水产生总量为31.2t/d,为食堂污水7.2</w:t>
            </w:r>
            <w:r>
              <w:rPr>
                <w:sz w:val="24"/>
                <w:szCs w:val="24"/>
                <w:spacing w:val="-8"/>
              </w:rPr>
              <w:t>t/d和其他生活污水24t/d。</w:t>
            </w:r>
          </w:p>
          <w:p>
            <w:pPr>
              <w:pStyle w:val="TableText"/>
              <w:ind w:left="210" w:firstLine="387"/>
              <w:spacing w:before="163" w:line="362" w:lineRule="auto"/>
              <w:rPr>
                <w:sz w:val="24"/>
                <w:szCs w:val="24"/>
              </w:rPr>
            </w:pPr>
            <w:r>
              <w:rPr>
                <w:sz w:val="24"/>
                <w:szCs w:val="24"/>
                <w:spacing w:val="2"/>
              </w:rPr>
              <w:t>生活污水中主要污染物及其浓度分别为：</w:t>
            </w:r>
            <w:r>
              <w:rPr>
                <w:sz w:val="24"/>
                <w:szCs w:val="24"/>
              </w:rPr>
              <w:t>CODc</w:t>
            </w:r>
            <w:r>
              <w:rPr>
                <w:sz w:val="24"/>
                <w:szCs w:val="24"/>
                <w:spacing w:val="2"/>
              </w:rPr>
              <w:t>:450</w:t>
            </w:r>
            <w:r>
              <w:rPr>
                <w:sz w:val="24"/>
                <w:szCs w:val="24"/>
              </w:rPr>
              <w:t>mg</w:t>
            </w:r>
            <w:r>
              <w:rPr>
                <w:sz w:val="24"/>
                <w:szCs w:val="24"/>
                <w:spacing w:val="2"/>
              </w:rPr>
              <w:t>/L、氨氮：45</w:t>
            </w:r>
            <w:r>
              <w:rPr>
                <w:sz w:val="24"/>
                <w:szCs w:val="24"/>
              </w:rPr>
              <w:t>mg</w:t>
            </w:r>
            <w:r>
              <w:rPr>
                <w:sz w:val="24"/>
                <w:szCs w:val="24"/>
                <w:spacing w:val="2"/>
              </w:rPr>
              <w:t>/L、</w:t>
            </w:r>
            <w:r>
              <w:rPr>
                <w:sz w:val="24"/>
                <w:szCs w:val="24"/>
              </w:rPr>
              <w:t xml:space="preserve"> </w:t>
            </w:r>
            <w:r>
              <w:rPr>
                <w:sz w:val="24"/>
                <w:szCs w:val="24"/>
              </w:rPr>
              <w:t>SS:200mg/L,BODs:250mg/L;含油废水中主要污染物及其浓度分别为</w:t>
            </w:r>
            <w:r>
              <w:rPr>
                <w:sz w:val="24"/>
                <w:szCs w:val="24"/>
                <w:spacing w:val="-1"/>
              </w:rPr>
              <w:t>：CODcr:</w:t>
            </w:r>
          </w:p>
          <w:p>
            <w:pPr>
              <w:pStyle w:val="TableText"/>
              <w:ind w:left="120"/>
              <w:spacing w:line="213" w:lineRule="auto"/>
              <w:rPr>
                <w:sz w:val="24"/>
                <w:szCs w:val="24"/>
              </w:rPr>
            </w:pPr>
            <w:r>
              <w:rPr>
                <w:sz w:val="24"/>
                <w:szCs w:val="24"/>
                <w:spacing w:val="-1"/>
              </w:rPr>
              <w:t>800mg/L、氨氮：45mg/L、动植物油250mg/L、SS:300mg/L,BODs:500mg/L。</w:t>
            </w:r>
          </w:p>
          <w:p>
            <w:pPr>
              <w:pStyle w:val="TableText"/>
              <w:ind w:left="620"/>
              <w:spacing w:before="199" w:line="470" w:lineRule="exact"/>
              <w:rPr>
                <w:sz w:val="24"/>
                <w:szCs w:val="24"/>
              </w:rPr>
            </w:pPr>
            <w:r>
              <w:rPr>
                <w:sz w:val="24"/>
                <w:szCs w:val="24"/>
                <w:position w:val="17"/>
              </w:rPr>
              <w:t>食堂含油废水经隔油后与其他生活污水一起经</w:t>
            </w:r>
            <w:r>
              <w:rPr>
                <w:sz w:val="24"/>
                <w:szCs w:val="24"/>
                <w:spacing w:val="-1"/>
                <w:position w:val="17"/>
              </w:rPr>
              <w:t>三级化粪池处理后一并经</w:t>
            </w:r>
          </w:p>
          <w:p>
            <w:pPr>
              <w:pStyle w:val="TableText"/>
              <w:ind w:left="140"/>
              <w:spacing w:before="1" w:line="219" w:lineRule="auto"/>
              <w:rPr>
                <w:sz w:val="24"/>
                <w:szCs w:val="24"/>
              </w:rPr>
            </w:pPr>
            <w:r>
              <w:rPr>
                <w:sz w:val="24"/>
                <w:szCs w:val="24"/>
              </w:rPr>
              <w:t>市政污水管网纳入霞浦县污水处理厂进行深度处</w:t>
            </w:r>
            <w:r>
              <w:rPr>
                <w:sz w:val="24"/>
                <w:szCs w:val="24"/>
                <w:spacing w:val="-1"/>
              </w:rPr>
              <w:t>理。</w:t>
            </w:r>
          </w:p>
          <w:p>
            <w:pPr>
              <w:pStyle w:val="TableText"/>
              <w:ind w:right="39"/>
              <w:spacing w:before="191" w:line="484" w:lineRule="exact"/>
              <w:jc w:val="right"/>
              <w:rPr>
                <w:sz w:val="24"/>
                <w:szCs w:val="24"/>
              </w:rPr>
            </w:pPr>
            <w:r>
              <w:rPr>
                <w:sz w:val="24"/>
                <w:szCs w:val="24"/>
                <w:position w:val="18"/>
              </w:rPr>
              <w:t>项目生活污水产生、处置及排放情况详见表4.3-2,项目废水主要污染物产</w:t>
            </w:r>
          </w:p>
          <w:p>
            <w:pPr>
              <w:pStyle w:val="TableText"/>
              <w:ind w:left="150"/>
              <w:spacing w:line="219" w:lineRule="auto"/>
              <w:rPr>
                <w:sz w:val="24"/>
                <w:szCs w:val="24"/>
              </w:rPr>
            </w:pPr>
            <w:r>
              <w:rPr>
                <w:sz w:val="24"/>
                <w:szCs w:val="24"/>
                <w:spacing w:val="1"/>
              </w:rPr>
              <w:t>排情况详见表4.3-3。</w:t>
            </w:r>
          </w:p>
          <w:p>
            <w:pPr>
              <w:pStyle w:val="TableText"/>
              <w:ind w:left="614"/>
              <w:spacing w:before="172" w:line="219" w:lineRule="auto"/>
              <w:rPr>
                <w:sz w:val="24"/>
                <w:szCs w:val="24"/>
              </w:rPr>
            </w:pPr>
            <w:r>
              <w:rPr>
                <w:sz w:val="24"/>
                <w:szCs w:val="24"/>
                <w:b/>
                <w:bCs/>
                <w:spacing w:val="-4"/>
              </w:rPr>
              <w:t>3、单位产品基准排水量分析</w:t>
            </w:r>
          </w:p>
          <w:p>
            <w:pPr>
              <w:pStyle w:val="TableText"/>
              <w:ind w:left="30" w:firstLine="574"/>
              <w:spacing w:before="191" w:line="358" w:lineRule="auto"/>
              <w:rPr>
                <w:sz w:val="24"/>
                <w:szCs w:val="24"/>
              </w:rPr>
            </w:pPr>
            <w:r>
              <w:rPr>
                <w:sz w:val="24"/>
                <w:szCs w:val="24"/>
                <w:spacing w:val="-2"/>
              </w:rPr>
              <w:t>根据环函〔2014〕170号《关于执行电池工业污染物排放标准有关问题的</w:t>
            </w:r>
            <w:r>
              <w:rPr>
                <w:sz w:val="24"/>
                <w:szCs w:val="24"/>
                <w:spacing w:val="3"/>
              </w:rPr>
              <w:t xml:space="preserve">   </w:t>
            </w:r>
            <w:r>
              <w:rPr>
                <w:sz w:val="24"/>
                <w:szCs w:val="24"/>
                <w:spacing w:val="-2"/>
              </w:rPr>
              <w:t>复函》:“《电池工业污染物排放标准》   (GB30484-2013)以每万只电池为单</w:t>
            </w:r>
            <w:r>
              <w:rPr>
                <w:sz w:val="24"/>
                <w:szCs w:val="24"/>
                <w:spacing w:val="4"/>
              </w:rPr>
              <w:t xml:space="preserve">   </w:t>
            </w:r>
            <w:r>
              <w:rPr>
                <w:sz w:val="24"/>
                <w:szCs w:val="24"/>
                <w:spacing w:val="1"/>
              </w:rPr>
              <w:t>位规定了锂离子/锂电池单位产品基准排水量，主要适用于手提电脑、摄像</w:t>
            </w:r>
            <w:r>
              <w:rPr>
                <w:sz w:val="24"/>
                <w:szCs w:val="24"/>
              </w:rPr>
              <w:t>机、 </w:t>
            </w:r>
            <w:r>
              <w:rPr>
                <w:sz w:val="24"/>
                <w:szCs w:val="24"/>
                <w:spacing w:val="-3"/>
              </w:rPr>
              <w:t>移动通讯等便携式电器用锂离子/锂电池生产企业。随着电动汽车等领域的快速</w:t>
            </w:r>
            <w:r>
              <w:rPr>
                <w:sz w:val="24"/>
                <w:szCs w:val="24"/>
                <w:spacing w:val="4"/>
              </w:rPr>
              <w:t xml:space="preserve">  </w:t>
            </w:r>
            <w:r>
              <w:rPr>
                <w:sz w:val="24"/>
                <w:szCs w:val="24"/>
                <w:spacing w:val="-2"/>
              </w:rPr>
              <w:t>发展，大容量锂离子电池迅速应用，以每万只为单位规定的锂离</w:t>
            </w:r>
            <w:r>
              <w:rPr>
                <w:sz w:val="24"/>
                <w:szCs w:val="24"/>
                <w:spacing w:val="-3"/>
              </w:rPr>
              <w:t>子/锂电池单位</w:t>
            </w:r>
            <w:r>
              <w:rPr>
                <w:sz w:val="24"/>
                <w:szCs w:val="24"/>
              </w:rPr>
              <w:t xml:space="preserve">  </w:t>
            </w:r>
            <w:r>
              <w:rPr>
                <w:sz w:val="24"/>
                <w:szCs w:val="24"/>
                <w:spacing w:val="1"/>
              </w:rPr>
              <w:t>产品基准排水量与实际排放情况有一定的差别。此类大容量锂离子电池企业，</w:t>
            </w:r>
            <w:r>
              <w:rPr>
                <w:sz w:val="24"/>
                <w:szCs w:val="24"/>
              </w:rPr>
              <w:t xml:space="preserve">  </w:t>
            </w:r>
            <w:r>
              <w:rPr>
                <w:sz w:val="24"/>
                <w:szCs w:val="24"/>
                <w:spacing w:val="1"/>
              </w:rPr>
              <w:t>应以电池容量为单位执行单位产品基准排水量，即现有企业水污染物排放限   </w:t>
            </w:r>
            <w:r>
              <w:rPr>
                <w:sz w:val="24"/>
                <w:szCs w:val="24"/>
                <w:spacing w:val="-3"/>
              </w:rPr>
              <w:t>值、新建企业水污染物排放限值和水污染物特别排放限值的锂离子/锂电池单位</w:t>
            </w:r>
            <w:r>
              <w:rPr>
                <w:sz w:val="24"/>
                <w:szCs w:val="24"/>
                <w:spacing w:val="5"/>
              </w:rPr>
              <w:t xml:space="preserve">  </w:t>
            </w:r>
            <w:r>
              <w:rPr>
                <w:sz w:val="24"/>
                <w:szCs w:val="24"/>
                <w:spacing w:val="7"/>
              </w:rPr>
              <w:t>产品基准排水量分别按照1.0m³/万</w:t>
            </w:r>
            <w:r>
              <w:rPr>
                <w:sz w:val="24"/>
                <w:szCs w:val="24"/>
              </w:rPr>
              <w:t>Ah</w:t>
            </w:r>
            <w:r>
              <w:rPr>
                <w:sz w:val="24"/>
                <w:szCs w:val="24"/>
                <w:spacing w:val="7"/>
              </w:rPr>
              <w:t>、0.8m³/万</w:t>
            </w:r>
            <w:r>
              <w:rPr>
                <w:sz w:val="24"/>
                <w:szCs w:val="24"/>
              </w:rPr>
              <w:t>Ah</w:t>
            </w:r>
            <w:r>
              <w:rPr>
                <w:sz w:val="24"/>
                <w:szCs w:val="24"/>
                <w:spacing w:val="7"/>
              </w:rPr>
              <w:t>、0.6m³/万</w:t>
            </w:r>
            <w:r>
              <w:rPr>
                <w:sz w:val="24"/>
                <w:szCs w:val="24"/>
              </w:rPr>
              <w:t>Ah</w:t>
            </w:r>
            <w:r>
              <w:rPr>
                <w:sz w:val="24"/>
                <w:szCs w:val="24"/>
                <w:spacing w:val="7"/>
              </w:rPr>
              <w:t>执行”。因 </w:t>
            </w:r>
            <w:r>
              <w:rPr>
                <w:sz w:val="24"/>
                <w:szCs w:val="24"/>
                <w:spacing w:val="3"/>
              </w:rPr>
              <w:t>此，本项目所在厂区的锂离子电池单位产品基准排水量执行0.8m³/万</w:t>
            </w:r>
            <w:r>
              <w:rPr>
                <w:sz w:val="24"/>
                <w:szCs w:val="24"/>
              </w:rPr>
              <w:t>Ah</w:t>
            </w:r>
            <w:r>
              <w:rPr>
                <w:sz w:val="24"/>
                <w:szCs w:val="24"/>
                <w:spacing w:val="3"/>
              </w:rPr>
              <w:t>,本项</w:t>
            </w:r>
          </w:p>
          <w:p>
            <w:pPr>
              <w:pStyle w:val="TableText"/>
              <w:ind w:left="169"/>
              <w:spacing w:line="216" w:lineRule="auto"/>
              <w:rPr>
                <w:sz w:val="24"/>
                <w:szCs w:val="24"/>
              </w:rPr>
            </w:pPr>
            <w:r>
              <w:rPr>
                <w:sz w:val="24"/>
                <w:szCs w:val="24"/>
                <w:spacing w:val="-2"/>
              </w:rPr>
              <w:t>目建成后全厂产能为30GWh/a,折合为810000万Ah/a,废水总排放量为</w:t>
            </w:r>
          </w:p>
          <w:p>
            <w:pPr>
              <w:pStyle w:val="TableText"/>
              <w:ind w:left="90"/>
              <w:spacing w:before="199" w:line="484" w:lineRule="exact"/>
              <w:rPr>
                <w:sz w:val="24"/>
                <w:szCs w:val="24"/>
              </w:rPr>
            </w:pPr>
            <w:r>
              <w:rPr>
                <w:sz w:val="24"/>
                <w:szCs w:val="24"/>
                <w:spacing w:val="4"/>
                <w:position w:val="18"/>
              </w:rPr>
              <w:t>1436.6t/d(约430980t/a)。则</w:t>
            </w:r>
            <w:r>
              <w:rPr>
                <w:sz w:val="24"/>
                <w:szCs w:val="24"/>
                <w:spacing w:val="3"/>
                <w:position w:val="18"/>
              </w:rPr>
              <w:t>单位产品排水量为0.530m³/万</w:t>
            </w:r>
            <w:r>
              <w:rPr>
                <w:sz w:val="24"/>
                <w:szCs w:val="24"/>
                <w:position w:val="18"/>
              </w:rPr>
              <w:t>Ah</w:t>
            </w:r>
            <w:r>
              <w:rPr>
                <w:sz w:val="24"/>
                <w:szCs w:val="24"/>
                <w:spacing w:val="3"/>
                <w:position w:val="18"/>
              </w:rPr>
              <w:t>,因此，本项目</w:t>
            </w:r>
          </w:p>
          <w:p>
            <w:pPr>
              <w:pStyle w:val="TableText"/>
              <w:ind w:left="140"/>
              <w:spacing w:line="219" w:lineRule="auto"/>
              <w:rPr>
                <w:sz w:val="24"/>
                <w:szCs w:val="24"/>
              </w:rPr>
            </w:pPr>
            <w:r>
              <w:rPr>
                <w:sz w:val="24"/>
                <w:szCs w:val="24"/>
              </w:rPr>
              <w:t>排水符合基准排水量要求。</w:t>
            </w:r>
          </w:p>
        </w:tc>
      </w:tr>
    </w:tbl>
    <w:p>
      <w:pPr>
        <w:rPr>
          <w:rFonts w:ascii="Arial"/>
          <w:sz w:val="21"/>
        </w:rPr>
      </w:pPr>
      <w:r/>
    </w:p>
    <w:p>
      <w:pPr>
        <w:sectPr>
          <w:footerReference w:type="default" r:id="rId114"/>
          <w:pgSz w:w="11900" w:h="16840"/>
          <w:pgMar w:top="1431" w:right="1465" w:bottom="988" w:left="1435" w:header="0" w:footer="849" w:gutter="0"/>
        </w:sectPr>
        <w:rPr>
          <w:rFonts w:ascii="Arial" w:hAnsi="Arial" w:eastAsia="Arial" w:cs="Arial"/>
          <w:sz w:val="21"/>
          <w:szCs w:val="21"/>
        </w:rPr>
      </w:pPr>
    </w:p>
    <w:p>
      <w:pPr>
        <w:pStyle w:val="BodyText"/>
        <w:ind w:left="4668"/>
        <w:spacing w:before="155" w:line="219" w:lineRule="auto"/>
        <w:rPr>
          <w:sz w:val="24"/>
          <w:szCs w:val="24"/>
        </w:rPr>
      </w:pPr>
      <w:r>
        <w:rPr>
          <w:sz w:val="24"/>
          <w:szCs w:val="24"/>
          <w:b/>
          <w:bCs/>
          <w:spacing w:val="-6"/>
        </w:rPr>
        <w:t>表4.3-1</w:t>
      </w:r>
      <w:r>
        <w:rPr>
          <w:sz w:val="24"/>
          <w:szCs w:val="24"/>
          <w:spacing w:val="-6"/>
        </w:rPr>
        <w:t xml:space="preserve">  </w:t>
      </w:r>
      <w:r>
        <w:rPr>
          <w:sz w:val="24"/>
          <w:szCs w:val="24"/>
          <w:b/>
          <w:bCs/>
          <w:spacing w:val="-6"/>
        </w:rPr>
        <w:t>项目生产废水污染物产排情况一览表</w:t>
      </w:r>
    </w:p>
    <w:p>
      <w:pPr>
        <w:spacing w:line="143" w:lineRule="exact"/>
        <w:rPr/>
      </w:pPr>
      <w:r/>
    </w:p>
    <w:tbl>
      <w:tblPr>
        <w:tblStyle w:val="TableNormal"/>
        <w:tblW w:w="141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05"/>
        <w:gridCol w:w="1499"/>
        <w:gridCol w:w="969"/>
        <w:gridCol w:w="1279"/>
        <w:gridCol w:w="1079"/>
        <w:gridCol w:w="1849"/>
        <w:gridCol w:w="1449"/>
        <w:gridCol w:w="1219"/>
        <w:gridCol w:w="1419"/>
        <w:gridCol w:w="1339"/>
        <w:gridCol w:w="1334"/>
      </w:tblGrid>
      <w:tr>
        <w:trPr>
          <w:trHeight w:val="275" w:hRule="atLeast"/>
        </w:trPr>
        <w:tc>
          <w:tcPr>
            <w:tcW w:w="2204" w:type="dxa"/>
            <w:vAlign w:val="top"/>
            <w:gridSpan w:val="2"/>
            <w:vMerge w:val="restart"/>
            <w:tcBorders>
              <w:bottom w:val="nil"/>
            </w:tcBorders>
          </w:tcPr>
          <w:p>
            <w:pPr>
              <w:pStyle w:val="TableText"/>
              <w:ind w:left="575"/>
              <w:spacing w:before="193" w:line="219" w:lineRule="auto"/>
              <w:rPr>
                <w:sz w:val="20"/>
                <w:szCs w:val="20"/>
              </w:rPr>
            </w:pPr>
            <w:r>
              <w:rPr>
                <w:sz w:val="20"/>
                <w:szCs w:val="20"/>
                <w:spacing w:val="-2"/>
              </w:rPr>
              <w:t>废水污染源</w:t>
            </w:r>
          </w:p>
        </w:tc>
        <w:tc>
          <w:tcPr>
            <w:tcW w:w="2248" w:type="dxa"/>
            <w:vAlign w:val="top"/>
            <w:gridSpan w:val="2"/>
          </w:tcPr>
          <w:p>
            <w:pPr>
              <w:pStyle w:val="TableText"/>
              <w:ind w:left="821"/>
              <w:spacing w:before="42" w:line="205" w:lineRule="auto"/>
              <w:rPr>
                <w:sz w:val="20"/>
                <w:szCs w:val="20"/>
              </w:rPr>
            </w:pPr>
            <w:r>
              <w:rPr>
                <w:sz w:val="20"/>
                <w:szCs w:val="20"/>
                <w:spacing w:val="-2"/>
              </w:rPr>
              <w:t>废水量</w:t>
            </w:r>
          </w:p>
        </w:tc>
        <w:tc>
          <w:tcPr>
            <w:tcW w:w="1079" w:type="dxa"/>
            <w:vAlign w:val="top"/>
            <w:vMerge w:val="restart"/>
            <w:tcBorders>
              <w:bottom w:val="nil"/>
            </w:tcBorders>
          </w:tcPr>
          <w:p>
            <w:pPr>
              <w:pStyle w:val="TableText"/>
              <w:ind w:left="333"/>
              <w:spacing w:before="193" w:line="220" w:lineRule="auto"/>
              <w:rPr>
                <w:sz w:val="20"/>
                <w:szCs w:val="20"/>
              </w:rPr>
            </w:pPr>
            <w:r>
              <w:rPr>
                <w:sz w:val="20"/>
                <w:szCs w:val="20"/>
                <w:spacing w:val="-3"/>
              </w:rPr>
              <w:t>单位</w:t>
            </w:r>
          </w:p>
        </w:tc>
        <w:tc>
          <w:tcPr>
            <w:tcW w:w="8609" w:type="dxa"/>
            <w:vAlign w:val="top"/>
            <w:gridSpan w:val="6"/>
          </w:tcPr>
          <w:p>
            <w:pPr>
              <w:pStyle w:val="TableText"/>
              <w:ind w:left="4014"/>
              <w:spacing w:before="43" w:line="204" w:lineRule="auto"/>
              <w:rPr>
                <w:sz w:val="20"/>
                <w:szCs w:val="20"/>
              </w:rPr>
            </w:pPr>
            <w:r>
              <w:rPr>
                <w:sz w:val="20"/>
                <w:szCs w:val="20"/>
                <w:spacing w:val="-3"/>
              </w:rPr>
              <w:t>污染物</w:t>
            </w:r>
          </w:p>
        </w:tc>
      </w:tr>
      <w:tr>
        <w:trPr>
          <w:trHeight w:val="289" w:hRule="atLeast"/>
        </w:trPr>
        <w:tc>
          <w:tcPr>
            <w:tcW w:w="2204" w:type="dxa"/>
            <w:vAlign w:val="top"/>
            <w:gridSpan w:val="2"/>
            <w:vMerge w:val="continue"/>
            <w:tcBorders>
              <w:top w:val="nil"/>
            </w:tcBorders>
          </w:tcPr>
          <w:p>
            <w:pPr>
              <w:rPr>
                <w:rFonts w:ascii="Arial"/>
                <w:sz w:val="21"/>
              </w:rPr>
            </w:pPr>
            <w:r/>
          </w:p>
        </w:tc>
        <w:tc>
          <w:tcPr>
            <w:tcW w:w="969" w:type="dxa"/>
            <w:vAlign w:val="top"/>
          </w:tcPr>
          <w:p>
            <w:pPr>
              <w:pStyle w:val="TableText"/>
              <w:ind w:left="321"/>
              <w:spacing w:before="53" w:line="208" w:lineRule="auto"/>
              <w:rPr>
                <w:sz w:val="20"/>
                <w:szCs w:val="20"/>
              </w:rPr>
            </w:pPr>
            <w:r>
              <w:rPr>
                <w:sz w:val="20"/>
                <w:szCs w:val="20"/>
                <w:spacing w:val="-3"/>
              </w:rPr>
              <w:t>t/d</w:t>
            </w:r>
          </w:p>
        </w:tc>
        <w:tc>
          <w:tcPr>
            <w:tcW w:w="1279" w:type="dxa"/>
            <w:vAlign w:val="top"/>
          </w:tcPr>
          <w:p>
            <w:pPr>
              <w:pStyle w:val="TableText"/>
              <w:ind w:left="482"/>
              <w:spacing w:before="53" w:line="208" w:lineRule="auto"/>
              <w:rPr>
                <w:sz w:val="20"/>
                <w:szCs w:val="20"/>
              </w:rPr>
            </w:pPr>
            <w:r>
              <w:rPr>
                <w:sz w:val="20"/>
                <w:szCs w:val="20"/>
                <w:spacing w:val="-3"/>
              </w:rPr>
              <w:t>t/a</w:t>
            </w:r>
          </w:p>
        </w:tc>
        <w:tc>
          <w:tcPr>
            <w:tcW w:w="1079" w:type="dxa"/>
            <w:vAlign w:val="top"/>
            <w:vMerge w:val="continue"/>
            <w:tcBorders>
              <w:top w:val="nil"/>
            </w:tcBorders>
          </w:tcPr>
          <w:p>
            <w:pPr>
              <w:rPr>
                <w:rFonts w:ascii="Arial"/>
                <w:sz w:val="21"/>
              </w:rPr>
            </w:pPr>
            <w:r/>
          </w:p>
        </w:tc>
        <w:tc>
          <w:tcPr>
            <w:tcW w:w="1849" w:type="dxa"/>
            <w:vAlign w:val="top"/>
          </w:tcPr>
          <w:p>
            <w:pPr>
              <w:pStyle w:val="TableText"/>
              <w:ind w:left="764"/>
              <w:spacing w:before="100" w:line="165" w:lineRule="auto"/>
              <w:rPr>
                <w:sz w:val="20"/>
                <w:szCs w:val="20"/>
              </w:rPr>
            </w:pPr>
            <w:r>
              <w:rPr>
                <w:sz w:val="20"/>
                <w:szCs w:val="20"/>
                <w:spacing w:val="-2"/>
              </w:rPr>
              <w:t>COD</w:t>
            </w:r>
          </w:p>
        </w:tc>
        <w:tc>
          <w:tcPr>
            <w:tcW w:w="1449" w:type="dxa"/>
            <w:vAlign w:val="top"/>
          </w:tcPr>
          <w:p>
            <w:pPr>
              <w:pStyle w:val="TableText"/>
              <w:ind w:left="615"/>
              <w:spacing w:before="100" w:line="165" w:lineRule="auto"/>
              <w:rPr>
                <w:sz w:val="20"/>
                <w:szCs w:val="20"/>
              </w:rPr>
            </w:pPr>
            <w:r>
              <w:rPr>
                <w:sz w:val="20"/>
                <w:szCs w:val="20"/>
                <w:spacing w:val="-5"/>
              </w:rPr>
              <w:t>SS</w:t>
            </w:r>
          </w:p>
        </w:tc>
        <w:tc>
          <w:tcPr>
            <w:tcW w:w="1219" w:type="dxa"/>
            <w:vAlign w:val="top"/>
          </w:tcPr>
          <w:p>
            <w:pPr>
              <w:pStyle w:val="TableText"/>
              <w:ind w:left="406"/>
              <w:spacing w:before="47" w:line="214" w:lineRule="auto"/>
              <w:rPr>
                <w:sz w:val="20"/>
                <w:szCs w:val="20"/>
              </w:rPr>
            </w:pPr>
            <w:r>
              <w:rPr>
                <w:sz w:val="20"/>
                <w:szCs w:val="20"/>
                <w:spacing w:val="-2"/>
              </w:rPr>
              <w:t>氨氮</w:t>
            </w:r>
          </w:p>
        </w:tc>
        <w:tc>
          <w:tcPr>
            <w:tcW w:w="1419" w:type="dxa"/>
            <w:vAlign w:val="top"/>
          </w:tcPr>
          <w:p>
            <w:pPr>
              <w:pStyle w:val="TableText"/>
              <w:ind w:left="607"/>
              <w:spacing w:before="100" w:line="165" w:lineRule="auto"/>
              <w:rPr>
                <w:sz w:val="20"/>
                <w:szCs w:val="20"/>
              </w:rPr>
            </w:pPr>
            <w:r>
              <w:rPr>
                <w:sz w:val="20"/>
                <w:szCs w:val="20"/>
                <w:spacing w:val="-2"/>
              </w:rPr>
              <w:t>Co</w:t>
            </w:r>
          </w:p>
        </w:tc>
        <w:tc>
          <w:tcPr>
            <w:tcW w:w="1339" w:type="dxa"/>
            <w:vAlign w:val="top"/>
          </w:tcPr>
          <w:p>
            <w:pPr>
              <w:pStyle w:val="TableText"/>
              <w:ind w:left="568"/>
              <w:spacing w:before="100" w:line="165" w:lineRule="auto"/>
              <w:rPr>
                <w:sz w:val="20"/>
                <w:szCs w:val="20"/>
              </w:rPr>
            </w:pPr>
            <w:r>
              <w:rPr>
                <w:sz w:val="20"/>
                <w:szCs w:val="20"/>
                <w:spacing w:val="-1"/>
              </w:rPr>
              <w:t>Ni</w:t>
            </w:r>
          </w:p>
        </w:tc>
        <w:tc>
          <w:tcPr>
            <w:tcW w:w="1334" w:type="dxa"/>
            <w:vAlign w:val="top"/>
          </w:tcPr>
          <w:p>
            <w:pPr>
              <w:pStyle w:val="TableText"/>
              <w:ind w:left="559"/>
              <w:spacing w:before="101" w:line="164" w:lineRule="auto"/>
              <w:rPr>
                <w:sz w:val="20"/>
                <w:szCs w:val="20"/>
              </w:rPr>
            </w:pPr>
            <w:r>
              <w:rPr>
                <w:sz w:val="20"/>
                <w:szCs w:val="20"/>
                <w:spacing w:val="-1"/>
              </w:rPr>
              <w:t>Mn</w:t>
            </w:r>
          </w:p>
        </w:tc>
      </w:tr>
      <w:tr>
        <w:trPr>
          <w:trHeight w:val="279" w:hRule="atLeast"/>
        </w:trPr>
        <w:tc>
          <w:tcPr>
            <w:tcW w:w="705" w:type="dxa"/>
            <w:vAlign w:val="top"/>
            <w:vMerge w:val="restart"/>
            <w:tcBorders>
              <w:bottom w:val="nil"/>
            </w:tcBorders>
          </w:tcPr>
          <w:p>
            <w:pPr>
              <w:spacing w:line="359" w:lineRule="auto"/>
              <w:rPr>
                <w:rFonts w:ascii="Arial"/>
                <w:sz w:val="21"/>
              </w:rPr>
            </w:pPr>
            <w:r/>
          </w:p>
          <w:p>
            <w:pPr>
              <w:spacing w:line="360" w:lineRule="auto"/>
              <w:rPr>
                <w:rFonts w:ascii="Arial"/>
                <w:sz w:val="21"/>
              </w:rPr>
            </w:pPr>
            <w:r/>
          </w:p>
          <w:p>
            <w:pPr>
              <w:pStyle w:val="TableText"/>
              <w:ind w:left="145"/>
              <w:spacing w:before="65" w:line="271" w:lineRule="exact"/>
              <w:rPr>
                <w:sz w:val="20"/>
                <w:szCs w:val="20"/>
              </w:rPr>
            </w:pPr>
            <w:r>
              <w:rPr>
                <w:sz w:val="20"/>
                <w:szCs w:val="20"/>
                <w:spacing w:val="-2"/>
                <w:position w:val="4"/>
              </w:rPr>
              <w:t>产生</w:t>
            </w:r>
          </w:p>
          <w:p>
            <w:pPr>
              <w:pStyle w:val="TableText"/>
              <w:ind w:left="145"/>
              <w:spacing w:line="220" w:lineRule="auto"/>
              <w:rPr>
                <w:sz w:val="20"/>
                <w:szCs w:val="20"/>
              </w:rPr>
            </w:pPr>
            <w:r>
              <w:rPr>
                <w:sz w:val="20"/>
                <w:szCs w:val="20"/>
                <w:spacing w:val="-3"/>
              </w:rPr>
              <w:t>情况</w:t>
            </w:r>
          </w:p>
        </w:tc>
        <w:tc>
          <w:tcPr>
            <w:tcW w:w="1499" w:type="dxa"/>
            <w:vAlign w:val="top"/>
            <w:vMerge w:val="restart"/>
            <w:tcBorders>
              <w:bottom w:val="nil"/>
            </w:tcBorders>
          </w:tcPr>
          <w:p>
            <w:pPr>
              <w:pStyle w:val="TableText"/>
              <w:ind w:left="140"/>
              <w:spacing w:before="179" w:line="219" w:lineRule="auto"/>
              <w:rPr>
                <w:sz w:val="20"/>
                <w:szCs w:val="20"/>
              </w:rPr>
            </w:pPr>
            <w:r>
              <w:rPr>
                <w:sz w:val="20"/>
                <w:szCs w:val="20"/>
                <w:spacing w:val="1"/>
              </w:rPr>
              <w:t>阴极生产废水</w:t>
            </w:r>
          </w:p>
        </w:tc>
        <w:tc>
          <w:tcPr>
            <w:tcW w:w="969" w:type="dxa"/>
            <w:vAlign w:val="top"/>
            <w:vMerge w:val="restart"/>
            <w:tcBorders>
              <w:bottom w:val="nil"/>
            </w:tcBorders>
          </w:tcPr>
          <w:p>
            <w:pPr>
              <w:pStyle w:val="TableText"/>
              <w:ind w:left="271"/>
              <w:spacing w:before="229" w:line="184" w:lineRule="auto"/>
              <w:rPr>
                <w:sz w:val="20"/>
                <w:szCs w:val="20"/>
              </w:rPr>
            </w:pPr>
            <w:r>
              <w:rPr>
                <w:sz w:val="20"/>
                <w:szCs w:val="20"/>
                <w:spacing w:val="-5"/>
              </w:rPr>
              <w:t>10.8</w:t>
            </w:r>
          </w:p>
        </w:tc>
        <w:tc>
          <w:tcPr>
            <w:tcW w:w="1279" w:type="dxa"/>
            <w:vAlign w:val="top"/>
            <w:vMerge w:val="restart"/>
            <w:tcBorders>
              <w:bottom w:val="nil"/>
            </w:tcBorders>
          </w:tcPr>
          <w:p>
            <w:pPr>
              <w:pStyle w:val="TableText"/>
              <w:ind w:left="432"/>
              <w:spacing w:before="230" w:line="183" w:lineRule="auto"/>
              <w:rPr>
                <w:sz w:val="20"/>
                <w:szCs w:val="20"/>
              </w:rPr>
            </w:pPr>
            <w:r>
              <w:rPr>
                <w:sz w:val="20"/>
                <w:szCs w:val="20"/>
                <w:spacing w:val="-3"/>
              </w:rPr>
              <w:t>3240</w:t>
            </w:r>
          </w:p>
        </w:tc>
        <w:tc>
          <w:tcPr>
            <w:tcW w:w="1079" w:type="dxa"/>
            <w:vAlign w:val="top"/>
          </w:tcPr>
          <w:p>
            <w:pPr>
              <w:pStyle w:val="TableText"/>
              <w:ind w:left="333"/>
              <w:spacing w:before="32" w:line="214" w:lineRule="auto"/>
              <w:rPr>
                <w:sz w:val="20"/>
                <w:szCs w:val="20"/>
              </w:rPr>
            </w:pPr>
            <w:r>
              <w:rPr>
                <w:sz w:val="20"/>
                <w:szCs w:val="20"/>
                <w:spacing w:val="-1"/>
              </w:rPr>
              <w:t>mg/L</w:t>
            </w:r>
          </w:p>
        </w:tc>
        <w:tc>
          <w:tcPr>
            <w:tcW w:w="1849" w:type="dxa"/>
            <w:vAlign w:val="top"/>
          </w:tcPr>
          <w:p>
            <w:pPr>
              <w:pStyle w:val="TableText"/>
              <w:ind w:left="713"/>
              <w:spacing w:before="91" w:line="164" w:lineRule="auto"/>
              <w:rPr>
                <w:sz w:val="20"/>
                <w:szCs w:val="20"/>
              </w:rPr>
            </w:pPr>
            <w:r>
              <w:rPr>
                <w:sz w:val="20"/>
                <w:szCs w:val="20"/>
                <w:spacing w:val="-2"/>
              </w:rPr>
              <w:t>4500</w:t>
            </w:r>
          </w:p>
        </w:tc>
        <w:tc>
          <w:tcPr>
            <w:tcW w:w="1449" w:type="dxa"/>
            <w:vAlign w:val="top"/>
          </w:tcPr>
          <w:p>
            <w:pPr>
              <w:pStyle w:val="TableText"/>
              <w:ind w:left="515"/>
              <w:spacing w:before="90" w:line="165" w:lineRule="auto"/>
              <w:rPr>
                <w:sz w:val="20"/>
                <w:szCs w:val="20"/>
              </w:rPr>
            </w:pPr>
            <w:r>
              <w:rPr>
                <w:sz w:val="20"/>
                <w:szCs w:val="20"/>
                <w:spacing w:val="-5"/>
              </w:rPr>
              <w:t>1500</w:t>
            </w:r>
          </w:p>
        </w:tc>
        <w:tc>
          <w:tcPr>
            <w:tcW w:w="1219" w:type="dxa"/>
            <w:vAlign w:val="top"/>
          </w:tcPr>
          <w:p>
            <w:pPr>
              <w:pStyle w:val="TableText"/>
              <w:ind w:left="506"/>
              <w:spacing w:before="91" w:line="164" w:lineRule="auto"/>
              <w:rPr>
                <w:sz w:val="20"/>
                <w:szCs w:val="20"/>
              </w:rPr>
            </w:pPr>
            <w:r>
              <w:rPr>
                <w:sz w:val="20"/>
                <w:szCs w:val="20"/>
                <w:spacing w:val="-3"/>
              </w:rPr>
              <w:t>80</w:t>
            </w:r>
          </w:p>
        </w:tc>
        <w:tc>
          <w:tcPr>
            <w:tcW w:w="1419" w:type="dxa"/>
            <w:vAlign w:val="top"/>
          </w:tcPr>
          <w:p>
            <w:pPr>
              <w:pStyle w:val="TableText"/>
              <w:ind w:left="507"/>
              <w:spacing w:before="91" w:line="164" w:lineRule="auto"/>
              <w:rPr>
                <w:sz w:val="20"/>
                <w:szCs w:val="20"/>
              </w:rPr>
            </w:pPr>
            <w:r>
              <w:rPr>
                <w:sz w:val="20"/>
                <w:szCs w:val="20"/>
                <w:spacing w:val="-2"/>
              </w:rPr>
              <w:t>9.04</w:t>
            </w:r>
          </w:p>
        </w:tc>
        <w:tc>
          <w:tcPr>
            <w:tcW w:w="1339" w:type="dxa"/>
            <w:vAlign w:val="top"/>
          </w:tcPr>
          <w:p>
            <w:pPr>
              <w:pStyle w:val="TableText"/>
              <w:ind w:left="468"/>
              <w:spacing w:before="91" w:line="164" w:lineRule="auto"/>
              <w:rPr>
                <w:sz w:val="20"/>
                <w:szCs w:val="20"/>
              </w:rPr>
            </w:pPr>
            <w:r>
              <w:rPr>
                <w:sz w:val="20"/>
                <w:szCs w:val="20"/>
                <w:spacing w:val="-2"/>
              </w:rPr>
              <w:t>9.02</w:t>
            </w:r>
          </w:p>
        </w:tc>
        <w:tc>
          <w:tcPr>
            <w:tcW w:w="1334" w:type="dxa"/>
            <w:vAlign w:val="top"/>
          </w:tcPr>
          <w:p>
            <w:pPr>
              <w:pStyle w:val="TableText"/>
              <w:ind w:left="459"/>
              <w:spacing w:before="91" w:line="164" w:lineRule="auto"/>
              <w:rPr>
                <w:sz w:val="20"/>
                <w:szCs w:val="20"/>
              </w:rPr>
            </w:pPr>
            <w:r>
              <w:rPr>
                <w:sz w:val="20"/>
                <w:szCs w:val="20"/>
                <w:spacing w:val="-2"/>
              </w:rPr>
              <w:t>8.44</w:t>
            </w:r>
          </w:p>
        </w:tc>
      </w:tr>
      <w:tr>
        <w:trPr>
          <w:trHeight w:val="270" w:hRule="atLeast"/>
        </w:trPr>
        <w:tc>
          <w:tcPr>
            <w:tcW w:w="705" w:type="dxa"/>
            <w:vAlign w:val="top"/>
            <w:vMerge w:val="continue"/>
            <w:tcBorders>
              <w:top w:val="nil"/>
              <w:bottom w:val="nil"/>
            </w:tcBorders>
          </w:tcPr>
          <w:p>
            <w:pPr>
              <w:rPr>
                <w:rFonts w:ascii="Arial"/>
                <w:sz w:val="21"/>
              </w:rPr>
            </w:pPr>
            <w:r/>
          </w:p>
        </w:tc>
        <w:tc>
          <w:tcPr>
            <w:tcW w:w="1499" w:type="dxa"/>
            <w:vAlign w:val="top"/>
            <w:vMerge w:val="continue"/>
            <w:tcBorders>
              <w:top w:val="nil"/>
            </w:tcBorders>
          </w:tcPr>
          <w:p>
            <w:pPr>
              <w:rPr>
                <w:rFonts w:ascii="Arial"/>
                <w:sz w:val="21"/>
              </w:rPr>
            </w:pPr>
            <w:r/>
          </w:p>
        </w:tc>
        <w:tc>
          <w:tcPr>
            <w:tcW w:w="969" w:type="dxa"/>
            <w:vAlign w:val="top"/>
            <w:vMerge w:val="continue"/>
            <w:tcBorders>
              <w:top w:val="nil"/>
            </w:tcBorders>
          </w:tcPr>
          <w:p>
            <w:pPr>
              <w:rPr>
                <w:rFonts w:ascii="Arial"/>
                <w:sz w:val="21"/>
              </w:rPr>
            </w:pPr>
            <w:r/>
          </w:p>
        </w:tc>
        <w:tc>
          <w:tcPr>
            <w:tcW w:w="1279" w:type="dxa"/>
            <w:vAlign w:val="top"/>
            <w:vMerge w:val="continue"/>
            <w:tcBorders>
              <w:top w:val="nil"/>
            </w:tcBorders>
          </w:tcPr>
          <w:p>
            <w:pPr>
              <w:rPr>
                <w:rFonts w:ascii="Arial"/>
                <w:sz w:val="21"/>
              </w:rPr>
            </w:pPr>
            <w:r/>
          </w:p>
        </w:tc>
        <w:tc>
          <w:tcPr>
            <w:tcW w:w="1079" w:type="dxa"/>
            <w:vAlign w:val="top"/>
          </w:tcPr>
          <w:p>
            <w:pPr>
              <w:pStyle w:val="TableText"/>
              <w:ind w:left="383"/>
              <w:spacing w:before="45" w:line="198" w:lineRule="auto"/>
              <w:rPr>
                <w:sz w:val="20"/>
                <w:szCs w:val="20"/>
              </w:rPr>
            </w:pPr>
            <w:r>
              <w:rPr>
                <w:sz w:val="20"/>
                <w:szCs w:val="20"/>
                <w:spacing w:val="-3"/>
              </w:rPr>
              <w:t>t/a</w:t>
            </w:r>
          </w:p>
        </w:tc>
        <w:tc>
          <w:tcPr>
            <w:tcW w:w="1849" w:type="dxa"/>
            <w:vAlign w:val="top"/>
          </w:tcPr>
          <w:p>
            <w:pPr>
              <w:pStyle w:val="TableText"/>
              <w:ind w:left="664"/>
              <w:spacing w:before="91" w:line="168" w:lineRule="exact"/>
              <w:rPr>
                <w:sz w:val="20"/>
                <w:szCs w:val="20"/>
              </w:rPr>
            </w:pPr>
            <w:r>
              <w:rPr>
                <w:sz w:val="20"/>
                <w:szCs w:val="20"/>
                <w:spacing w:val="-2"/>
                <w:position w:val="-2"/>
              </w:rPr>
              <w:t>4.580</w:t>
            </w:r>
          </w:p>
        </w:tc>
        <w:tc>
          <w:tcPr>
            <w:tcW w:w="1449" w:type="dxa"/>
            <w:vAlign w:val="top"/>
          </w:tcPr>
          <w:p>
            <w:pPr>
              <w:pStyle w:val="TableText"/>
              <w:ind w:left="465"/>
              <w:spacing w:before="91" w:line="168" w:lineRule="exact"/>
              <w:rPr>
                <w:sz w:val="20"/>
                <w:szCs w:val="20"/>
              </w:rPr>
            </w:pPr>
            <w:r>
              <w:rPr>
                <w:sz w:val="20"/>
                <w:szCs w:val="20"/>
                <w:spacing w:val="-2"/>
                <w:position w:val="-2"/>
              </w:rPr>
              <w:t>4.860</w:t>
            </w:r>
          </w:p>
        </w:tc>
        <w:tc>
          <w:tcPr>
            <w:tcW w:w="1219" w:type="dxa"/>
            <w:vAlign w:val="top"/>
          </w:tcPr>
          <w:p>
            <w:pPr>
              <w:pStyle w:val="TableText"/>
              <w:ind w:left="356"/>
              <w:spacing w:before="91" w:line="168" w:lineRule="exact"/>
              <w:rPr>
                <w:sz w:val="20"/>
                <w:szCs w:val="20"/>
              </w:rPr>
            </w:pPr>
            <w:r>
              <w:rPr>
                <w:sz w:val="20"/>
                <w:szCs w:val="20"/>
                <w:spacing w:val="-2"/>
                <w:position w:val="-2"/>
              </w:rPr>
              <w:t>0.259</w:t>
            </w:r>
          </w:p>
        </w:tc>
        <w:tc>
          <w:tcPr>
            <w:tcW w:w="1419" w:type="dxa"/>
            <w:vAlign w:val="top"/>
          </w:tcPr>
          <w:p>
            <w:pPr>
              <w:pStyle w:val="TableText"/>
              <w:ind w:left="457"/>
              <w:spacing w:before="91" w:line="168" w:lineRule="exact"/>
              <w:rPr>
                <w:sz w:val="20"/>
                <w:szCs w:val="20"/>
              </w:rPr>
            </w:pPr>
            <w:r>
              <w:rPr>
                <w:sz w:val="20"/>
                <w:szCs w:val="20"/>
                <w:spacing w:val="-2"/>
                <w:position w:val="-2"/>
              </w:rPr>
              <w:t>0.029</w:t>
            </w:r>
          </w:p>
        </w:tc>
        <w:tc>
          <w:tcPr>
            <w:tcW w:w="1339" w:type="dxa"/>
            <w:vAlign w:val="top"/>
          </w:tcPr>
          <w:p>
            <w:pPr>
              <w:pStyle w:val="TableText"/>
              <w:ind w:left="418"/>
              <w:spacing w:before="91" w:line="168" w:lineRule="exact"/>
              <w:rPr>
                <w:sz w:val="20"/>
                <w:szCs w:val="20"/>
              </w:rPr>
            </w:pPr>
            <w:r>
              <w:rPr>
                <w:sz w:val="20"/>
                <w:szCs w:val="20"/>
                <w:spacing w:val="-2"/>
                <w:position w:val="-2"/>
              </w:rPr>
              <w:t>0.029</w:t>
            </w:r>
          </w:p>
        </w:tc>
        <w:tc>
          <w:tcPr>
            <w:tcW w:w="1334" w:type="dxa"/>
            <w:vAlign w:val="top"/>
          </w:tcPr>
          <w:p>
            <w:pPr>
              <w:pStyle w:val="TableText"/>
              <w:ind w:left="409"/>
              <w:spacing w:before="91" w:line="168" w:lineRule="exact"/>
              <w:rPr>
                <w:sz w:val="20"/>
                <w:szCs w:val="20"/>
              </w:rPr>
            </w:pPr>
            <w:r>
              <w:rPr>
                <w:sz w:val="20"/>
                <w:szCs w:val="20"/>
                <w:spacing w:val="-2"/>
                <w:position w:val="-2"/>
              </w:rPr>
              <w:t>0.027</w:t>
            </w:r>
          </w:p>
        </w:tc>
      </w:tr>
      <w:tr>
        <w:trPr>
          <w:trHeight w:val="299" w:hRule="atLeast"/>
        </w:trPr>
        <w:tc>
          <w:tcPr>
            <w:tcW w:w="705" w:type="dxa"/>
            <w:vAlign w:val="top"/>
            <w:vMerge w:val="continue"/>
            <w:tcBorders>
              <w:top w:val="nil"/>
              <w:bottom w:val="nil"/>
            </w:tcBorders>
          </w:tcPr>
          <w:p>
            <w:pPr>
              <w:rPr>
                <w:rFonts w:ascii="Arial"/>
                <w:sz w:val="21"/>
              </w:rPr>
            </w:pPr>
            <w:r/>
          </w:p>
        </w:tc>
        <w:tc>
          <w:tcPr>
            <w:tcW w:w="1499" w:type="dxa"/>
            <w:vAlign w:val="top"/>
            <w:vMerge w:val="restart"/>
            <w:tcBorders>
              <w:bottom w:val="nil"/>
            </w:tcBorders>
          </w:tcPr>
          <w:p>
            <w:pPr>
              <w:pStyle w:val="TableText"/>
              <w:ind w:left="140"/>
              <w:spacing w:before="200" w:line="219" w:lineRule="auto"/>
              <w:rPr>
                <w:sz w:val="20"/>
                <w:szCs w:val="20"/>
              </w:rPr>
            </w:pPr>
            <w:r>
              <w:rPr>
                <w:sz w:val="20"/>
                <w:szCs w:val="20"/>
                <w:spacing w:val="1"/>
              </w:rPr>
              <w:t>阳极生产废水</w:t>
            </w:r>
          </w:p>
        </w:tc>
        <w:tc>
          <w:tcPr>
            <w:tcW w:w="969" w:type="dxa"/>
            <w:vAlign w:val="top"/>
            <w:vMerge w:val="restart"/>
            <w:tcBorders>
              <w:bottom w:val="nil"/>
            </w:tcBorders>
          </w:tcPr>
          <w:p>
            <w:pPr>
              <w:pStyle w:val="TableText"/>
              <w:ind w:left="371"/>
              <w:spacing w:before="250" w:line="184" w:lineRule="auto"/>
              <w:rPr>
                <w:sz w:val="20"/>
                <w:szCs w:val="20"/>
              </w:rPr>
            </w:pPr>
            <w:r>
              <w:rPr>
                <w:sz w:val="20"/>
                <w:szCs w:val="20"/>
                <w:spacing w:val="-6"/>
              </w:rPr>
              <w:t>18</w:t>
            </w:r>
          </w:p>
        </w:tc>
        <w:tc>
          <w:tcPr>
            <w:tcW w:w="1279" w:type="dxa"/>
            <w:vAlign w:val="top"/>
            <w:vMerge w:val="restart"/>
            <w:tcBorders>
              <w:bottom w:val="nil"/>
            </w:tcBorders>
          </w:tcPr>
          <w:p>
            <w:pPr>
              <w:pStyle w:val="TableText"/>
              <w:ind w:left="432"/>
              <w:spacing w:before="251" w:line="183" w:lineRule="auto"/>
              <w:rPr>
                <w:sz w:val="20"/>
                <w:szCs w:val="20"/>
              </w:rPr>
            </w:pPr>
            <w:r>
              <w:rPr>
                <w:sz w:val="20"/>
                <w:szCs w:val="20"/>
                <w:spacing w:val="-3"/>
              </w:rPr>
              <w:t>5400</w:t>
            </w:r>
          </w:p>
        </w:tc>
        <w:tc>
          <w:tcPr>
            <w:tcW w:w="1079" w:type="dxa"/>
            <w:vAlign w:val="top"/>
          </w:tcPr>
          <w:p>
            <w:pPr>
              <w:pStyle w:val="TableText"/>
              <w:ind w:left="333"/>
              <w:spacing w:before="43" w:line="214" w:lineRule="auto"/>
              <w:rPr>
                <w:sz w:val="20"/>
                <w:szCs w:val="20"/>
              </w:rPr>
            </w:pPr>
            <w:r>
              <w:rPr>
                <w:sz w:val="20"/>
                <w:szCs w:val="20"/>
                <w:spacing w:val="-1"/>
              </w:rPr>
              <w:t>mg/L</w:t>
            </w:r>
          </w:p>
        </w:tc>
        <w:tc>
          <w:tcPr>
            <w:tcW w:w="1849" w:type="dxa"/>
            <w:vAlign w:val="top"/>
          </w:tcPr>
          <w:p>
            <w:pPr>
              <w:pStyle w:val="TableText"/>
              <w:ind w:left="713"/>
              <w:spacing w:before="100" w:line="174" w:lineRule="auto"/>
              <w:rPr>
                <w:sz w:val="20"/>
                <w:szCs w:val="20"/>
              </w:rPr>
            </w:pPr>
            <w:r>
              <w:rPr>
                <w:sz w:val="20"/>
                <w:szCs w:val="20"/>
                <w:spacing w:val="-5"/>
              </w:rPr>
              <w:t>1000</w:t>
            </w:r>
          </w:p>
        </w:tc>
        <w:tc>
          <w:tcPr>
            <w:tcW w:w="1449" w:type="dxa"/>
            <w:vAlign w:val="top"/>
          </w:tcPr>
          <w:p>
            <w:pPr>
              <w:pStyle w:val="TableText"/>
              <w:ind w:left="565"/>
              <w:spacing w:before="101" w:line="173" w:lineRule="auto"/>
              <w:rPr>
                <w:sz w:val="20"/>
                <w:szCs w:val="20"/>
              </w:rPr>
            </w:pPr>
            <w:r>
              <w:rPr>
                <w:sz w:val="20"/>
                <w:szCs w:val="20"/>
                <w:spacing w:val="-3"/>
              </w:rPr>
              <w:t>500</w:t>
            </w:r>
          </w:p>
        </w:tc>
        <w:tc>
          <w:tcPr>
            <w:tcW w:w="1219" w:type="dxa"/>
            <w:vAlign w:val="top"/>
          </w:tcPr>
          <w:p>
            <w:pPr>
              <w:pStyle w:val="TableText"/>
              <w:ind w:left="506"/>
              <w:spacing w:before="101" w:line="173" w:lineRule="auto"/>
              <w:rPr>
                <w:sz w:val="20"/>
                <w:szCs w:val="20"/>
              </w:rPr>
            </w:pPr>
            <w:r>
              <w:rPr>
                <w:sz w:val="20"/>
                <w:szCs w:val="20"/>
                <w:spacing w:val="-3"/>
              </w:rPr>
              <w:t>80</w:t>
            </w:r>
          </w:p>
        </w:tc>
        <w:tc>
          <w:tcPr>
            <w:tcW w:w="1419" w:type="dxa"/>
            <w:vAlign w:val="top"/>
          </w:tcPr>
          <w:p>
            <w:pPr>
              <w:pStyle w:val="TableText"/>
              <w:ind w:left="657"/>
              <w:spacing w:before="56" w:line="215" w:lineRule="auto"/>
              <w:rPr>
                <w:sz w:val="20"/>
                <w:szCs w:val="20"/>
              </w:rPr>
            </w:pPr>
            <w:r>
              <w:rPr>
                <w:sz w:val="20"/>
                <w:szCs w:val="20"/>
              </w:rPr>
              <w:t>/</w:t>
            </w:r>
          </w:p>
        </w:tc>
        <w:tc>
          <w:tcPr>
            <w:tcW w:w="1339" w:type="dxa"/>
            <w:vAlign w:val="top"/>
          </w:tcPr>
          <w:p>
            <w:pPr>
              <w:pStyle w:val="TableText"/>
              <w:ind w:left="618"/>
              <w:spacing w:before="56" w:line="215" w:lineRule="auto"/>
              <w:rPr>
                <w:sz w:val="20"/>
                <w:szCs w:val="20"/>
              </w:rPr>
            </w:pPr>
            <w:r>
              <w:rPr>
                <w:sz w:val="20"/>
                <w:szCs w:val="20"/>
              </w:rPr>
              <w:t>/</w:t>
            </w:r>
          </w:p>
        </w:tc>
        <w:tc>
          <w:tcPr>
            <w:tcW w:w="1334" w:type="dxa"/>
            <w:vAlign w:val="top"/>
          </w:tcPr>
          <w:p>
            <w:pPr>
              <w:pStyle w:val="TableText"/>
              <w:ind w:left="609"/>
              <w:spacing w:before="56" w:line="215" w:lineRule="auto"/>
              <w:rPr>
                <w:sz w:val="20"/>
                <w:szCs w:val="20"/>
              </w:rPr>
            </w:pPr>
            <w:r>
              <w:rPr>
                <w:sz w:val="20"/>
                <w:szCs w:val="20"/>
              </w:rPr>
              <w:t>/</w:t>
            </w:r>
          </w:p>
        </w:tc>
      </w:tr>
      <w:tr>
        <w:trPr>
          <w:trHeight w:val="279" w:hRule="atLeast"/>
        </w:trPr>
        <w:tc>
          <w:tcPr>
            <w:tcW w:w="705" w:type="dxa"/>
            <w:vAlign w:val="top"/>
            <w:vMerge w:val="continue"/>
            <w:tcBorders>
              <w:top w:val="nil"/>
              <w:bottom w:val="nil"/>
            </w:tcBorders>
          </w:tcPr>
          <w:p>
            <w:pPr>
              <w:rPr>
                <w:rFonts w:ascii="Arial"/>
                <w:sz w:val="21"/>
              </w:rPr>
            </w:pPr>
            <w:r/>
          </w:p>
        </w:tc>
        <w:tc>
          <w:tcPr>
            <w:tcW w:w="1499" w:type="dxa"/>
            <w:vAlign w:val="top"/>
            <w:vMerge w:val="continue"/>
            <w:tcBorders>
              <w:top w:val="nil"/>
            </w:tcBorders>
          </w:tcPr>
          <w:p>
            <w:pPr>
              <w:rPr>
                <w:rFonts w:ascii="Arial"/>
                <w:sz w:val="21"/>
              </w:rPr>
            </w:pPr>
            <w:r/>
          </w:p>
        </w:tc>
        <w:tc>
          <w:tcPr>
            <w:tcW w:w="969" w:type="dxa"/>
            <w:vAlign w:val="top"/>
            <w:vMerge w:val="continue"/>
            <w:tcBorders>
              <w:top w:val="nil"/>
            </w:tcBorders>
          </w:tcPr>
          <w:p>
            <w:pPr>
              <w:rPr>
                <w:rFonts w:ascii="Arial"/>
                <w:sz w:val="21"/>
              </w:rPr>
            </w:pPr>
            <w:r/>
          </w:p>
        </w:tc>
        <w:tc>
          <w:tcPr>
            <w:tcW w:w="1279" w:type="dxa"/>
            <w:vAlign w:val="top"/>
            <w:vMerge w:val="continue"/>
            <w:tcBorders>
              <w:top w:val="nil"/>
            </w:tcBorders>
          </w:tcPr>
          <w:p>
            <w:pPr>
              <w:rPr>
                <w:rFonts w:ascii="Arial"/>
                <w:sz w:val="21"/>
              </w:rPr>
            </w:pPr>
            <w:r/>
          </w:p>
        </w:tc>
        <w:tc>
          <w:tcPr>
            <w:tcW w:w="1079" w:type="dxa"/>
            <w:vAlign w:val="top"/>
          </w:tcPr>
          <w:p>
            <w:pPr>
              <w:pStyle w:val="TableText"/>
              <w:ind w:left="383"/>
              <w:spacing w:before="46" w:line="205" w:lineRule="auto"/>
              <w:rPr>
                <w:sz w:val="20"/>
                <w:szCs w:val="20"/>
              </w:rPr>
            </w:pPr>
            <w:r>
              <w:rPr>
                <w:sz w:val="20"/>
                <w:szCs w:val="20"/>
                <w:spacing w:val="-3"/>
              </w:rPr>
              <w:t>t/a</w:t>
            </w:r>
          </w:p>
        </w:tc>
        <w:tc>
          <w:tcPr>
            <w:tcW w:w="1849" w:type="dxa"/>
            <w:vAlign w:val="top"/>
          </w:tcPr>
          <w:p>
            <w:pPr>
              <w:pStyle w:val="TableText"/>
              <w:ind w:left="664"/>
              <w:spacing w:before="92" w:line="163" w:lineRule="auto"/>
              <w:rPr>
                <w:sz w:val="20"/>
                <w:szCs w:val="20"/>
              </w:rPr>
            </w:pPr>
            <w:r>
              <w:rPr>
                <w:sz w:val="20"/>
                <w:szCs w:val="20"/>
                <w:spacing w:val="-2"/>
              </w:rPr>
              <w:t>5.400</w:t>
            </w:r>
          </w:p>
        </w:tc>
        <w:tc>
          <w:tcPr>
            <w:tcW w:w="1449" w:type="dxa"/>
            <w:vAlign w:val="top"/>
          </w:tcPr>
          <w:p>
            <w:pPr>
              <w:pStyle w:val="TableText"/>
              <w:ind w:left="465"/>
              <w:spacing w:before="92" w:line="163" w:lineRule="auto"/>
              <w:rPr>
                <w:sz w:val="20"/>
                <w:szCs w:val="20"/>
              </w:rPr>
            </w:pPr>
            <w:r>
              <w:rPr>
                <w:sz w:val="20"/>
                <w:szCs w:val="20"/>
                <w:spacing w:val="-2"/>
              </w:rPr>
              <w:t>2.700</w:t>
            </w:r>
          </w:p>
        </w:tc>
        <w:tc>
          <w:tcPr>
            <w:tcW w:w="1219" w:type="dxa"/>
            <w:vAlign w:val="top"/>
          </w:tcPr>
          <w:p>
            <w:pPr>
              <w:pStyle w:val="TableText"/>
              <w:ind w:left="356"/>
              <w:spacing w:before="92" w:line="163" w:lineRule="auto"/>
              <w:rPr>
                <w:sz w:val="20"/>
                <w:szCs w:val="20"/>
              </w:rPr>
            </w:pPr>
            <w:r>
              <w:rPr>
                <w:sz w:val="20"/>
                <w:szCs w:val="20"/>
                <w:spacing w:val="-2"/>
              </w:rPr>
              <w:t>0.432</w:t>
            </w:r>
          </w:p>
        </w:tc>
        <w:tc>
          <w:tcPr>
            <w:tcW w:w="1419" w:type="dxa"/>
            <w:vAlign w:val="top"/>
          </w:tcPr>
          <w:p>
            <w:pPr>
              <w:pStyle w:val="TableText"/>
              <w:ind w:left="657"/>
              <w:spacing w:before="46" w:line="205" w:lineRule="auto"/>
              <w:rPr>
                <w:sz w:val="20"/>
                <w:szCs w:val="20"/>
              </w:rPr>
            </w:pPr>
            <w:r>
              <w:rPr>
                <w:sz w:val="20"/>
                <w:szCs w:val="20"/>
              </w:rPr>
              <w:t>/</w:t>
            </w:r>
          </w:p>
        </w:tc>
        <w:tc>
          <w:tcPr>
            <w:tcW w:w="1339" w:type="dxa"/>
            <w:vAlign w:val="top"/>
          </w:tcPr>
          <w:p>
            <w:pPr>
              <w:pStyle w:val="TableText"/>
              <w:ind w:left="618"/>
              <w:spacing w:before="46" w:line="205" w:lineRule="auto"/>
              <w:rPr>
                <w:sz w:val="20"/>
                <w:szCs w:val="20"/>
              </w:rPr>
            </w:pPr>
            <w:r>
              <w:rPr>
                <w:sz w:val="20"/>
                <w:szCs w:val="20"/>
              </w:rPr>
              <w:t>/</w:t>
            </w:r>
          </w:p>
        </w:tc>
        <w:tc>
          <w:tcPr>
            <w:tcW w:w="1334" w:type="dxa"/>
            <w:vAlign w:val="top"/>
          </w:tcPr>
          <w:p>
            <w:pPr>
              <w:pStyle w:val="TableText"/>
              <w:ind w:left="609"/>
              <w:spacing w:before="46" w:line="205" w:lineRule="auto"/>
              <w:rPr>
                <w:sz w:val="20"/>
                <w:szCs w:val="20"/>
              </w:rPr>
            </w:pPr>
            <w:r>
              <w:rPr>
                <w:sz w:val="20"/>
                <w:szCs w:val="20"/>
              </w:rPr>
              <w:t>/</w:t>
            </w:r>
          </w:p>
        </w:tc>
      </w:tr>
      <w:tr>
        <w:trPr>
          <w:trHeight w:val="270" w:hRule="atLeast"/>
        </w:trPr>
        <w:tc>
          <w:tcPr>
            <w:tcW w:w="705" w:type="dxa"/>
            <w:vAlign w:val="top"/>
            <w:vMerge w:val="continue"/>
            <w:tcBorders>
              <w:top w:val="nil"/>
              <w:bottom w:val="nil"/>
            </w:tcBorders>
          </w:tcPr>
          <w:p>
            <w:pPr>
              <w:rPr>
                <w:rFonts w:ascii="Arial"/>
                <w:sz w:val="21"/>
              </w:rPr>
            </w:pPr>
            <w:r/>
          </w:p>
        </w:tc>
        <w:tc>
          <w:tcPr>
            <w:tcW w:w="1499" w:type="dxa"/>
            <w:vAlign w:val="top"/>
            <w:vMerge w:val="restart"/>
            <w:tcBorders>
              <w:bottom w:val="nil"/>
            </w:tcBorders>
          </w:tcPr>
          <w:p>
            <w:pPr>
              <w:pStyle w:val="TableText"/>
              <w:ind w:left="539" w:right="136" w:hanging="399"/>
              <w:spacing w:before="61" w:line="239" w:lineRule="auto"/>
              <w:rPr>
                <w:sz w:val="20"/>
                <w:szCs w:val="20"/>
              </w:rPr>
            </w:pPr>
            <w:r>
              <w:rPr>
                <w:sz w:val="20"/>
                <w:szCs w:val="20"/>
                <w:spacing w:val="2"/>
              </w:rPr>
              <w:t>凹版工程生产</w:t>
            </w:r>
            <w:r>
              <w:rPr>
                <w:sz w:val="20"/>
                <w:szCs w:val="20"/>
              </w:rPr>
              <w:t xml:space="preserve"> </w:t>
            </w:r>
            <w:r>
              <w:rPr>
                <w:sz w:val="20"/>
                <w:szCs w:val="20"/>
                <w:spacing w:val="-2"/>
              </w:rPr>
              <w:t>废水</w:t>
            </w:r>
          </w:p>
        </w:tc>
        <w:tc>
          <w:tcPr>
            <w:tcW w:w="969" w:type="dxa"/>
            <w:vAlign w:val="top"/>
            <w:vMerge w:val="restart"/>
            <w:tcBorders>
              <w:bottom w:val="nil"/>
            </w:tcBorders>
          </w:tcPr>
          <w:p>
            <w:pPr>
              <w:pStyle w:val="TableText"/>
              <w:ind w:left="321"/>
              <w:spacing w:before="253" w:line="183" w:lineRule="auto"/>
              <w:rPr>
                <w:sz w:val="20"/>
                <w:szCs w:val="20"/>
              </w:rPr>
            </w:pPr>
            <w:r>
              <w:rPr>
                <w:sz w:val="20"/>
                <w:szCs w:val="20"/>
                <w:spacing w:val="-3"/>
              </w:rPr>
              <w:t>6.3</w:t>
            </w:r>
          </w:p>
        </w:tc>
        <w:tc>
          <w:tcPr>
            <w:tcW w:w="1279" w:type="dxa"/>
            <w:vAlign w:val="top"/>
            <w:vMerge w:val="restart"/>
            <w:tcBorders>
              <w:bottom w:val="nil"/>
            </w:tcBorders>
          </w:tcPr>
          <w:p>
            <w:pPr>
              <w:pStyle w:val="TableText"/>
              <w:ind w:left="432"/>
              <w:spacing w:before="252" w:line="184" w:lineRule="auto"/>
              <w:rPr>
                <w:sz w:val="20"/>
                <w:szCs w:val="20"/>
              </w:rPr>
            </w:pPr>
            <w:r>
              <w:rPr>
                <w:sz w:val="20"/>
                <w:szCs w:val="20"/>
                <w:spacing w:val="-5"/>
              </w:rPr>
              <w:t>1890</w:t>
            </w:r>
          </w:p>
        </w:tc>
        <w:tc>
          <w:tcPr>
            <w:tcW w:w="1079" w:type="dxa"/>
            <w:vAlign w:val="top"/>
          </w:tcPr>
          <w:p>
            <w:pPr>
              <w:pStyle w:val="TableText"/>
              <w:ind w:left="333"/>
              <w:spacing w:before="35" w:line="207" w:lineRule="auto"/>
              <w:rPr>
                <w:sz w:val="20"/>
                <w:szCs w:val="20"/>
              </w:rPr>
            </w:pPr>
            <w:r>
              <w:rPr>
                <w:sz w:val="20"/>
                <w:szCs w:val="20"/>
                <w:spacing w:val="-1"/>
              </w:rPr>
              <w:t>mg/L</w:t>
            </w:r>
          </w:p>
        </w:tc>
        <w:tc>
          <w:tcPr>
            <w:tcW w:w="1849" w:type="dxa"/>
            <w:vAlign w:val="top"/>
          </w:tcPr>
          <w:p>
            <w:pPr>
              <w:pStyle w:val="TableText"/>
              <w:ind w:left="713"/>
              <w:spacing w:before="93" w:line="167" w:lineRule="exact"/>
              <w:rPr>
                <w:sz w:val="20"/>
                <w:szCs w:val="20"/>
              </w:rPr>
            </w:pPr>
            <w:r>
              <w:rPr>
                <w:sz w:val="20"/>
                <w:szCs w:val="20"/>
                <w:spacing w:val="-5"/>
                <w:position w:val="-2"/>
              </w:rPr>
              <w:t>1000</w:t>
            </w:r>
          </w:p>
        </w:tc>
        <w:tc>
          <w:tcPr>
            <w:tcW w:w="1449" w:type="dxa"/>
            <w:vAlign w:val="top"/>
          </w:tcPr>
          <w:p>
            <w:pPr>
              <w:pStyle w:val="TableText"/>
              <w:ind w:left="565"/>
              <w:spacing w:before="93" w:line="167" w:lineRule="exact"/>
              <w:rPr>
                <w:sz w:val="20"/>
                <w:szCs w:val="20"/>
              </w:rPr>
            </w:pPr>
            <w:r>
              <w:rPr>
                <w:sz w:val="20"/>
                <w:szCs w:val="20"/>
                <w:spacing w:val="-3"/>
                <w:position w:val="-2"/>
              </w:rPr>
              <w:t>500</w:t>
            </w:r>
          </w:p>
        </w:tc>
        <w:tc>
          <w:tcPr>
            <w:tcW w:w="1219" w:type="dxa"/>
            <w:vAlign w:val="top"/>
          </w:tcPr>
          <w:p>
            <w:pPr>
              <w:pStyle w:val="TableText"/>
              <w:ind w:left="506"/>
              <w:spacing w:before="93" w:line="167" w:lineRule="exact"/>
              <w:rPr>
                <w:sz w:val="20"/>
                <w:szCs w:val="20"/>
              </w:rPr>
            </w:pPr>
            <w:r>
              <w:rPr>
                <w:sz w:val="20"/>
                <w:szCs w:val="20"/>
                <w:spacing w:val="-3"/>
                <w:position w:val="-2"/>
              </w:rPr>
              <w:t>80</w:t>
            </w:r>
          </w:p>
        </w:tc>
        <w:tc>
          <w:tcPr>
            <w:tcW w:w="1419" w:type="dxa"/>
            <w:vAlign w:val="top"/>
          </w:tcPr>
          <w:p>
            <w:pPr>
              <w:pStyle w:val="TableText"/>
              <w:ind w:left="657"/>
              <w:spacing w:before="47" w:line="196" w:lineRule="auto"/>
              <w:rPr>
                <w:sz w:val="20"/>
                <w:szCs w:val="20"/>
              </w:rPr>
            </w:pPr>
            <w:r>
              <w:rPr>
                <w:sz w:val="20"/>
                <w:szCs w:val="20"/>
              </w:rPr>
              <w:t>/</w:t>
            </w:r>
          </w:p>
        </w:tc>
        <w:tc>
          <w:tcPr>
            <w:tcW w:w="1339" w:type="dxa"/>
            <w:vAlign w:val="top"/>
          </w:tcPr>
          <w:p>
            <w:pPr>
              <w:pStyle w:val="TableText"/>
              <w:ind w:left="618"/>
              <w:spacing w:before="47" w:line="196" w:lineRule="auto"/>
              <w:rPr>
                <w:sz w:val="20"/>
                <w:szCs w:val="20"/>
              </w:rPr>
            </w:pPr>
            <w:r>
              <w:rPr>
                <w:sz w:val="20"/>
                <w:szCs w:val="20"/>
              </w:rPr>
              <w:t>/</w:t>
            </w:r>
          </w:p>
        </w:tc>
        <w:tc>
          <w:tcPr>
            <w:tcW w:w="1334" w:type="dxa"/>
            <w:vAlign w:val="top"/>
          </w:tcPr>
          <w:p>
            <w:pPr>
              <w:pStyle w:val="TableText"/>
              <w:ind w:left="609"/>
              <w:spacing w:before="47" w:line="196" w:lineRule="auto"/>
              <w:rPr>
                <w:sz w:val="20"/>
                <w:szCs w:val="20"/>
              </w:rPr>
            </w:pPr>
            <w:r>
              <w:rPr>
                <w:sz w:val="20"/>
                <w:szCs w:val="20"/>
              </w:rPr>
              <w:t>/</w:t>
            </w:r>
          </w:p>
        </w:tc>
      </w:tr>
      <w:tr>
        <w:trPr>
          <w:trHeight w:val="309" w:hRule="atLeast"/>
        </w:trPr>
        <w:tc>
          <w:tcPr>
            <w:tcW w:w="705" w:type="dxa"/>
            <w:vAlign w:val="top"/>
            <w:vMerge w:val="continue"/>
            <w:tcBorders>
              <w:top w:val="nil"/>
              <w:bottom w:val="nil"/>
            </w:tcBorders>
          </w:tcPr>
          <w:p>
            <w:pPr>
              <w:rPr>
                <w:rFonts w:ascii="Arial"/>
                <w:sz w:val="21"/>
              </w:rPr>
            </w:pPr>
            <w:r/>
          </w:p>
        </w:tc>
        <w:tc>
          <w:tcPr>
            <w:tcW w:w="1499" w:type="dxa"/>
            <w:vAlign w:val="top"/>
            <w:vMerge w:val="continue"/>
            <w:tcBorders>
              <w:top w:val="nil"/>
            </w:tcBorders>
          </w:tcPr>
          <w:p>
            <w:pPr>
              <w:rPr>
                <w:rFonts w:ascii="Arial"/>
                <w:sz w:val="21"/>
              </w:rPr>
            </w:pPr>
            <w:r/>
          </w:p>
        </w:tc>
        <w:tc>
          <w:tcPr>
            <w:tcW w:w="969" w:type="dxa"/>
            <w:vAlign w:val="top"/>
            <w:vMerge w:val="continue"/>
            <w:tcBorders>
              <w:top w:val="nil"/>
            </w:tcBorders>
          </w:tcPr>
          <w:p>
            <w:pPr>
              <w:rPr>
                <w:rFonts w:ascii="Arial"/>
                <w:sz w:val="21"/>
              </w:rPr>
            </w:pPr>
            <w:r/>
          </w:p>
        </w:tc>
        <w:tc>
          <w:tcPr>
            <w:tcW w:w="1279" w:type="dxa"/>
            <w:vAlign w:val="top"/>
            <w:vMerge w:val="continue"/>
            <w:tcBorders>
              <w:top w:val="nil"/>
            </w:tcBorders>
          </w:tcPr>
          <w:p>
            <w:pPr>
              <w:rPr>
                <w:rFonts w:ascii="Arial"/>
                <w:sz w:val="21"/>
              </w:rPr>
            </w:pPr>
            <w:r/>
          </w:p>
        </w:tc>
        <w:tc>
          <w:tcPr>
            <w:tcW w:w="1079" w:type="dxa"/>
            <w:vAlign w:val="top"/>
          </w:tcPr>
          <w:p>
            <w:pPr>
              <w:pStyle w:val="TableText"/>
              <w:ind w:left="383"/>
              <w:spacing w:before="67" w:line="214" w:lineRule="auto"/>
              <w:rPr>
                <w:sz w:val="20"/>
                <w:szCs w:val="20"/>
              </w:rPr>
            </w:pPr>
            <w:r>
              <w:rPr>
                <w:sz w:val="20"/>
                <w:szCs w:val="20"/>
                <w:spacing w:val="-3"/>
              </w:rPr>
              <w:t>t/a</w:t>
            </w:r>
          </w:p>
        </w:tc>
        <w:tc>
          <w:tcPr>
            <w:tcW w:w="1849" w:type="dxa"/>
            <w:vAlign w:val="top"/>
          </w:tcPr>
          <w:p>
            <w:pPr>
              <w:pStyle w:val="TableText"/>
              <w:ind w:left="664"/>
              <w:spacing w:before="112" w:line="172" w:lineRule="auto"/>
              <w:rPr>
                <w:sz w:val="20"/>
                <w:szCs w:val="20"/>
              </w:rPr>
            </w:pPr>
            <w:r>
              <w:rPr>
                <w:sz w:val="20"/>
                <w:szCs w:val="20"/>
                <w:spacing w:val="-4"/>
              </w:rPr>
              <w:t>1.890</w:t>
            </w:r>
          </w:p>
        </w:tc>
        <w:tc>
          <w:tcPr>
            <w:tcW w:w="1449" w:type="dxa"/>
            <w:vAlign w:val="top"/>
          </w:tcPr>
          <w:p>
            <w:pPr>
              <w:pStyle w:val="TableText"/>
              <w:ind w:left="465"/>
              <w:spacing w:before="113" w:line="171" w:lineRule="auto"/>
              <w:rPr>
                <w:sz w:val="20"/>
                <w:szCs w:val="20"/>
              </w:rPr>
            </w:pPr>
            <w:r>
              <w:rPr>
                <w:sz w:val="20"/>
                <w:szCs w:val="20"/>
                <w:spacing w:val="-2"/>
              </w:rPr>
              <w:t>0.945</w:t>
            </w:r>
          </w:p>
        </w:tc>
        <w:tc>
          <w:tcPr>
            <w:tcW w:w="1219" w:type="dxa"/>
            <w:vAlign w:val="top"/>
          </w:tcPr>
          <w:p>
            <w:pPr>
              <w:pStyle w:val="TableText"/>
              <w:ind w:left="356"/>
              <w:spacing w:before="112" w:line="172" w:lineRule="auto"/>
              <w:rPr>
                <w:sz w:val="20"/>
                <w:szCs w:val="20"/>
              </w:rPr>
            </w:pPr>
            <w:r>
              <w:rPr>
                <w:sz w:val="20"/>
                <w:szCs w:val="20"/>
                <w:spacing w:val="-2"/>
              </w:rPr>
              <w:t>0.151</w:t>
            </w:r>
          </w:p>
        </w:tc>
        <w:tc>
          <w:tcPr>
            <w:tcW w:w="1419" w:type="dxa"/>
            <w:vAlign w:val="top"/>
          </w:tcPr>
          <w:p>
            <w:pPr>
              <w:pStyle w:val="TableText"/>
              <w:ind w:left="657"/>
              <w:spacing w:before="67" w:line="214" w:lineRule="auto"/>
              <w:rPr>
                <w:sz w:val="20"/>
                <w:szCs w:val="20"/>
              </w:rPr>
            </w:pPr>
            <w:r>
              <w:rPr>
                <w:sz w:val="20"/>
                <w:szCs w:val="20"/>
              </w:rPr>
              <w:t>/</w:t>
            </w:r>
          </w:p>
        </w:tc>
        <w:tc>
          <w:tcPr>
            <w:tcW w:w="1339" w:type="dxa"/>
            <w:vAlign w:val="top"/>
          </w:tcPr>
          <w:p>
            <w:pPr>
              <w:pStyle w:val="TableText"/>
              <w:ind w:left="618"/>
              <w:spacing w:before="67" w:line="214" w:lineRule="auto"/>
              <w:rPr>
                <w:sz w:val="20"/>
                <w:szCs w:val="20"/>
              </w:rPr>
            </w:pPr>
            <w:r>
              <w:rPr>
                <w:sz w:val="20"/>
                <w:szCs w:val="20"/>
              </w:rPr>
              <w:t>/</w:t>
            </w:r>
          </w:p>
        </w:tc>
        <w:tc>
          <w:tcPr>
            <w:tcW w:w="1334" w:type="dxa"/>
            <w:vAlign w:val="top"/>
          </w:tcPr>
          <w:p>
            <w:pPr>
              <w:pStyle w:val="TableText"/>
              <w:ind w:left="609"/>
              <w:spacing w:before="67" w:line="214" w:lineRule="auto"/>
              <w:rPr>
                <w:sz w:val="20"/>
                <w:szCs w:val="20"/>
              </w:rPr>
            </w:pPr>
            <w:r>
              <w:rPr>
                <w:sz w:val="20"/>
                <w:szCs w:val="20"/>
              </w:rPr>
              <w:t>/</w:t>
            </w:r>
          </w:p>
        </w:tc>
      </w:tr>
      <w:tr>
        <w:trPr>
          <w:trHeight w:val="270" w:hRule="atLeast"/>
        </w:trPr>
        <w:tc>
          <w:tcPr>
            <w:tcW w:w="705" w:type="dxa"/>
            <w:vAlign w:val="top"/>
            <w:vMerge w:val="continue"/>
            <w:tcBorders>
              <w:top w:val="nil"/>
            </w:tcBorders>
          </w:tcPr>
          <w:p>
            <w:pPr>
              <w:rPr>
                <w:rFonts w:ascii="Arial"/>
                <w:sz w:val="21"/>
              </w:rPr>
            </w:pPr>
            <w:r/>
          </w:p>
        </w:tc>
        <w:tc>
          <w:tcPr>
            <w:tcW w:w="1499" w:type="dxa"/>
            <w:vAlign w:val="top"/>
          </w:tcPr>
          <w:p>
            <w:pPr>
              <w:pStyle w:val="TableText"/>
              <w:ind w:left="540"/>
              <w:spacing w:before="44" w:line="199" w:lineRule="auto"/>
              <w:rPr>
                <w:sz w:val="20"/>
                <w:szCs w:val="20"/>
              </w:rPr>
            </w:pPr>
            <w:r>
              <w:rPr>
                <w:sz w:val="20"/>
                <w:szCs w:val="20"/>
                <w:spacing w:val="-3"/>
              </w:rPr>
              <w:t>合计</w:t>
            </w:r>
          </w:p>
        </w:tc>
        <w:tc>
          <w:tcPr>
            <w:tcW w:w="969" w:type="dxa"/>
            <w:vAlign w:val="top"/>
          </w:tcPr>
          <w:p>
            <w:pPr>
              <w:pStyle w:val="TableText"/>
              <w:ind w:left="271"/>
              <w:spacing w:before="94" w:line="166" w:lineRule="exact"/>
              <w:rPr>
                <w:sz w:val="20"/>
                <w:szCs w:val="20"/>
              </w:rPr>
            </w:pPr>
            <w:r>
              <w:rPr>
                <w:sz w:val="20"/>
                <w:szCs w:val="20"/>
                <w:spacing w:val="-3"/>
                <w:position w:val="-2"/>
              </w:rPr>
              <w:t>35.1</w:t>
            </w:r>
          </w:p>
        </w:tc>
        <w:tc>
          <w:tcPr>
            <w:tcW w:w="1279" w:type="dxa"/>
            <w:vAlign w:val="top"/>
          </w:tcPr>
          <w:p>
            <w:pPr>
              <w:pStyle w:val="TableText"/>
              <w:ind w:left="382"/>
              <w:spacing w:before="94" w:line="166" w:lineRule="exact"/>
              <w:rPr>
                <w:sz w:val="20"/>
                <w:szCs w:val="20"/>
              </w:rPr>
            </w:pPr>
            <w:r>
              <w:rPr>
                <w:sz w:val="20"/>
                <w:szCs w:val="20"/>
                <w:spacing w:val="-4"/>
                <w:position w:val="-2"/>
              </w:rPr>
              <w:t>10530</w:t>
            </w:r>
          </w:p>
        </w:tc>
        <w:tc>
          <w:tcPr>
            <w:tcW w:w="1079" w:type="dxa"/>
            <w:vAlign w:val="top"/>
          </w:tcPr>
          <w:p>
            <w:pPr>
              <w:pStyle w:val="TableText"/>
              <w:ind w:left="383"/>
              <w:spacing w:before="48" w:line="195" w:lineRule="auto"/>
              <w:rPr>
                <w:sz w:val="20"/>
                <w:szCs w:val="20"/>
              </w:rPr>
            </w:pPr>
            <w:r>
              <w:rPr>
                <w:sz w:val="20"/>
                <w:szCs w:val="20"/>
                <w:spacing w:val="-3"/>
              </w:rPr>
              <w:t>t/a</w:t>
            </w:r>
          </w:p>
        </w:tc>
        <w:tc>
          <w:tcPr>
            <w:tcW w:w="1849" w:type="dxa"/>
            <w:vAlign w:val="top"/>
          </w:tcPr>
          <w:p>
            <w:pPr>
              <w:pStyle w:val="TableText"/>
              <w:ind w:left="614"/>
              <w:spacing w:before="94" w:line="166" w:lineRule="exact"/>
              <w:rPr>
                <w:sz w:val="20"/>
                <w:szCs w:val="20"/>
              </w:rPr>
            </w:pPr>
            <w:r>
              <w:rPr>
                <w:sz w:val="20"/>
                <w:szCs w:val="20"/>
                <w:spacing w:val="-2"/>
                <w:position w:val="-2"/>
              </w:rPr>
              <w:t>21.870</w:t>
            </w:r>
          </w:p>
        </w:tc>
        <w:tc>
          <w:tcPr>
            <w:tcW w:w="1449" w:type="dxa"/>
            <w:vAlign w:val="top"/>
          </w:tcPr>
          <w:p>
            <w:pPr>
              <w:pStyle w:val="TableText"/>
              <w:ind w:left="465"/>
              <w:spacing w:before="94" w:line="166" w:lineRule="exact"/>
              <w:rPr>
                <w:sz w:val="20"/>
                <w:szCs w:val="20"/>
              </w:rPr>
            </w:pPr>
            <w:r>
              <w:rPr>
                <w:sz w:val="20"/>
                <w:szCs w:val="20"/>
                <w:spacing w:val="-2"/>
                <w:position w:val="-2"/>
              </w:rPr>
              <w:t>8.505</w:t>
            </w:r>
          </w:p>
        </w:tc>
        <w:tc>
          <w:tcPr>
            <w:tcW w:w="1219" w:type="dxa"/>
            <w:vAlign w:val="top"/>
          </w:tcPr>
          <w:p>
            <w:pPr>
              <w:pStyle w:val="TableText"/>
              <w:ind w:left="356"/>
              <w:spacing w:before="94" w:line="166" w:lineRule="exact"/>
              <w:rPr>
                <w:sz w:val="20"/>
                <w:szCs w:val="20"/>
              </w:rPr>
            </w:pPr>
            <w:r>
              <w:rPr>
                <w:sz w:val="20"/>
                <w:szCs w:val="20"/>
                <w:spacing w:val="-2"/>
                <w:position w:val="-2"/>
              </w:rPr>
              <w:t>0.842</w:t>
            </w:r>
          </w:p>
        </w:tc>
        <w:tc>
          <w:tcPr>
            <w:tcW w:w="1419" w:type="dxa"/>
            <w:vAlign w:val="top"/>
          </w:tcPr>
          <w:p>
            <w:pPr>
              <w:pStyle w:val="TableText"/>
              <w:ind w:left="457"/>
              <w:spacing w:before="94" w:line="166" w:lineRule="exact"/>
              <w:rPr>
                <w:sz w:val="20"/>
                <w:szCs w:val="20"/>
              </w:rPr>
            </w:pPr>
            <w:r>
              <w:rPr>
                <w:sz w:val="20"/>
                <w:szCs w:val="20"/>
                <w:spacing w:val="-2"/>
                <w:position w:val="-2"/>
              </w:rPr>
              <w:t>0.029</w:t>
            </w:r>
          </w:p>
        </w:tc>
        <w:tc>
          <w:tcPr>
            <w:tcW w:w="1339" w:type="dxa"/>
            <w:vAlign w:val="top"/>
          </w:tcPr>
          <w:p>
            <w:pPr>
              <w:pStyle w:val="TableText"/>
              <w:ind w:left="418"/>
              <w:spacing w:before="94" w:line="166" w:lineRule="exact"/>
              <w:rPr>
                <w:sz w:val="20"/>
                <w:szCs w:val="20"/>
              </w:rPr>
            </w:pPr>
            <w:r>
              <w:rPr>
                <w:sz w:val="20"/>
                <w:szCs w:val="20"/>
                <w:spacing w:val="-2"/>
                <w:position w:val="-2"/>
              </w:rPr>
              <w:t>0.029</w:t>
            </w:r>
          </w:p>
        </w:tc>
        <w:tc>
          <w:tcPr>
            <w:tcW w:w="1334" w:type="dxa"/>
            <w:vAlign w:val="top"/>
          </w:tcPr>
          <w:p>
            <w:pPr>
              <w:pStyle w:val="TableText"/>
              <w:ind w:left="409"/>
              <w:spacing w:before="94" w:line="166" w:lineRule="exact"/>
              <w:rPr>
                <w:sz w:val="20"/>
                <w:szCs w:val="20"/>
              </w:rPr>
            </w:pPr>
            <w:r>
              <w:rPr>
                <w:sz w:val="20"/>
                <w:szCs w:val="20"/>
                <w:spacing w:val="-2"/>
                <w:position w:val="-2"/>
              </w:rPr>
              <w:t>0.027</w:t>
            </w:r>
          </w:p>
        </w:tc>
      </w:tr>
      <w:tr>
        <w:trPr>
          <w:trHeight w:val="279" w:hRule="atLeast"/>
        </w:trPr>
        <w:tc>
          <w:tcPr>
            <w:tcW w:w="705" w:type="dxa"/>
            <w:vAlign w:val="top"/>
            <w:vMerge w:val="restart"/>
            <w:tcBorders>
              <w:bottom w:val="nil"/>
            </w:tcBorders>
          </w:tcPr>
          <w:p>
            <w:pPr>
              <w:spacing w:line="293" w:lineRule="auto"/>
              <w:rPr>
                <w:rFonts w:ascii="Arial"/>
                <w:sz w:val="21"/>
              </w:rPr>
            </w:pPr>
            <w:r/>
          </w:p>
          <w:p>
            <w:pPr>
              <w:spacing w:line="293" w:lineRule="auto"/>
              <w:rPr>
                <w:rFonts w:ascii="Arial"/>
                <w:sz w:val="21"/>
              </w:rPr>
            </w:pPr>
            <w:r/>
          </w:p>
          <w:p>
            <w:pPr>
              <w:pStyle w:val="TableText"/>
              <w:ind w:left="145"/>
              <w:spacing w:before="65" w:line="269" w:lineRule="exact"/>
              <w:rPr>
                <w:sz w:val="20"/>
                <w:szCs w:val="20"/>
              </w:rPr>
            </w:pPr>
            <w:r>
              <w:rPr>
                <w:sz w:val="20"/>
                <w:szCs w:val="20"/>
                <w:spacing w:val="-2"/>
                <w:position w:val="4"/>
              </w:rPr>
              <w:t>排放</w:t>
            </w:r>
          </w:p>
          <w:p>
            <w:pPr>
              <w:pStyle w:val="TableText"/>
              <w:ind w:left="145"/>
              <w:spacing w:line="220" w:lineRule="auto"/>
              <w:rPr>
                <w:sz w:val="20"/>
                <w:szCs w:val="20"/>
              </w:rPr>
            </w:pPr>
            <w:r>
              <w:rPr>
                <w:sz w:val="20"/>
                <w:szCs w:val="20"/>
                <w:spacing w:val="-3"/>
              </w:rPr>
              <w:t>情况</w:t>
            </w:r>
          </w:p>
        </w:tc>
        <w:tc>
          <w:tcPr>
            <w:tcW w:w="1499" w:type="dxa"/>
            <w:vAlign w:val="top"/>
            <w:vMerge w:val="restart"/>
            <w:tcBorders>
              <w:bottom w:val="nil"/>
            </w:tcBorders>
          </w:tcPr>
          <w:p>
            <w:pPr>
              <w:pStyle w:val="TableText"/>
              <w:ind w:left="340" w:right="141" w:hanging="200"/>
              <w:spacing w:before="81" w:line="227" w:lineRule="auto"/>
              <w:rPr>
                <w:sz w:val="20"/>
                <w:szCs w:val="20"/>
              </w:rPr>
            </w:pPr>
            <w:r>
              <w:rPr>
                <w:sz w:val="20"/>
                <w:szCs w:val="20"/>
                <w:spacing w:val="1"/>
              </w:rPr>
              <w:t>阴极废水处理</w:t>
            </w:r>
            <w:r>
              <w:rPr>
                <w:sz w:val="20"/>
                <w:szCs w:val="20"/>
              </w:rPr>
              <w:t xml:space="preserve"> </w:t>
            </w:r>
            <w:r>
              <w:rPr>
                <w:sz w:val="20"/>
                <w:szCs w:val="20"/>
                <w:spacing w:val="7"/>
              </w:rPr>
              <w:t>系统出口</w:t>
            </w:r>
          </w:p>
        </w:tc>
        <w:tc>
          <w:tcPr>
            <w:tcW w:w="969" w:type="dxa"/>
            <w:vAlign w:val="top"/>
            <w:vMerge w:val="restart"/>
            <w:tcBorders>
              <w:bottom w:val="nil"/>
            </w:tcBorders>
          </w:tcPr>
          <w:p>
            <w:pPr>
              <w:pStyle w:val="TableText"/>
              <w:ind w:left="271"/>
              <w:spacing w:before="253" w:line="184" w:lineRule="auto"/>
              <w:rPr>
                <w:sz w:val="20"/>
                <w:szCs w:val="20"/>
              </w:rPr>
            </w:pPr>
            <w:r>
              <w:rPr>
                <w:sz w:val="20"/>
                <w:szCs w:val="20"/>
                <w:spacing w:val="-5"/>
              </w:rPr>
              <w:t>10.8</w:t>
            </w:r>
          </w:p>
        </w:tc>
        <w:tc>
          <w:tcPr>
            <w:tcW w:w="1279" w:type="dxa"/>
            <w:vAlign w:val="top"/>
            <w:vMerge w:val="restart"/>
            <w:tcBorders>
              <w:bottom w:val="nil"/>
            </w:tcBorders>
          </w:tcPr>
          <w:p>
            <w:pPr>
              <w:pStyle w:val="TableText"/>
              <w:ind w:left="432"/>
              <w:spacing w:before="254" w:line="183" w:lineRule="auto"/>
              <w:rPr>
                <w:sz w:val="20"/>
                <w:szCs w:val="20"/>
              </w:rPr>
            </w:pPr>
            <w:r>
              <w:rPr>
                <w:sz w:val="20"/>
                <w:szCs w:val="20"/>
                <w:spacing w:val="-3"/>
              </w:rPr>
              <w:t>3240</w:t>
            </w:r>
          </w:p>
        </w:tc>
        <w:tc>
          <w:tcPr>
            <w:tcW w:w="1079" w:type="dxa"/>
            <w:vAlign w:val="top"/>
          </w:tcPr>
          <w:p>
            <w:pPr>
              <w:pStyle w:val="TableText"/>
              <w:ind w:left="333"/>
              <w:spacing w:before="36" w:line="214" w:lineRule="auto"/>
              <w:rPr>
                <w:sz w:val="20"/>
                <w:szCs w:val="20"/>
              </w:rPr>
            </w:pPr>
            <w:r>
              <w:rPr>
                <w:sz w:val="20"/>
                <w:szCs w:val="20"/>
                <w:spacing w:val="-1"/>
              </w:rPr>
              <w:t>mg/L</w:t>
            </w:r>
          </w:p>
        </w:tc>
        <w:tc>
          <w:tcPr>
            <w:tcW w:w="1849" w:type="dxa"/>
            <w:vAlign w:val="top"/>
          </w:tcPr>
          <w:p>
            <w:pPr>
              <w:pStyle w:val="TableText"/>
              <w:ind w:left="864"/>
              <w:spacing w:before="49" w:line="203" w:lineRule="auto"/>
              <w:rPr>
                <w:sz w:val="20"/>
                <w:szCs w:val="20"/>
              </w:rPr>
            </w:pPr>
            <w:r>
              <w:rPr>
                <w:sz w:val="20"/>
                <w:szCs w:val="20"/>
              </w:rPr>
              <w:t>/</w:t>
            </w:r>
          </w:p>
        </w:tc>
        <w:tc>
          <w:tcPr>
            <w:tcW w:w="1449" w:type="dxa"/>
            <w:vAlign w:val="top"/>
          </w:tcPr>
          <w:p>
            <w:pPr>
              <w:pStyle w:val="TableText"/>
              <w:ind w:left="665"/>
              <w:spacing w:before="49" w:line="203" w:lineRule="auto"/>
              <w:rPr>
                <w:sz w:val="20"/>
                <w:szCs w:val="20"/>
              </w:rPr>
            </w:pPr>
            <w:r>
              <w:rPr>
                <w:sz w:val="20"/>
                <w:szCs w:val="20"/>
              </w:rPr>
              <w:t>/</w:t>
            </w:r>
          </w:p>
        </w:tc>
        <w:tc>
          <w:tcPr>
            <w:tcW w:w="1219" w:type="dxa"/>
            <w:vAlign w:val="top"/>
          </w:tcPr>
          <w:p>
            <w:pPr>
              <w:pStyle w:val="TableText"/>
              <w:ind w:left="556"/>
              <w:spacing w:before="49" w:line="203" w:lineRule="auto"/>
              <w:rPr>
                <w:sz w:val="20"/>
                <w:szCs w:val="20"/>
              </w:rPr>
            </w:pPr>
            <w:r>
              <w:rPr>
                <w:sz w:val="20"/>
                <w:szCs w:val="20"/>
              </w:rPr>
              <w:t>/</w:t>
            </w:r>
          </w:p>
        </w:tc>
        <w:tc>
          <w:tcPr>
            <w:tcW w:w="1419" w:type="dxa"/>
            <w:vAlign w:val="top"/>
          </w:tcPr>
          <w:p>
            <w:pPr>
              <w:pStyle w:val="TableText"/>
              <w:ind w:left="557"/>
              <w:spacing w:before="94" w:line="161" w:lineRule="auto"/>
              <w:rPr>
                <w:sz w:val="20"/>
                <w:szCs w:val="20"/>
              </w:rPr>
            </w:pPr>
            <w:r>
              <w:rPr>
                <w:sz w:val="20"/>
                <w:szCs w:val="20"/>
                <w:spacing w:val="-3"/>
              </w:rPr>
              <w:t>0.1</w:t>
            </w:r>
          </w:p>
        </w:tc>
        <w:tc>
          <w:tcPr>
            <w:tcW w:w="1339" w:type="dxa"/>
            <w:vAlign w:val="top"/>
          </w:tcPr>
          <w:p>
            <w:pPr>
              <w:pStyle w:val="TableText"/>
              <w:ind w:left="468"/>
              <w:spacing w:before="94" w:line="161" w:lineRule="auto"/>
              <w:rPr>
                <w:sz w:val="20"/>
                <w:szCs w:val="20"/>
              </w:rPr>
            </w:pPr>
            <w:r>
              <w:rPr>
                <w:sz w:val="20"/>
                <w:szCs w:val="20"/>
                <w:spacing w:val="-2"/>
              </w:rPr>
              <w:t>0.05</w:t>
            </w:r>
          </w:p>
        </w:tc>
        <w:tc>
          <w:tcPr>
            <w:tcW w:w="1334" w:type="dxa"/>
            <w:vAlign w:val="top"/>
          </w:tcPr>
          <w:p>
            <w:pPr>
              <w:pStyle w:val="TableText"/>
              <w:ind w:left="509"/>
              <w:spacing w:before="94" w:line="161" w:lineRule="auto"/>
              <w:rPr>
                <w:sz w:val="20"/>
                <w:szCs w:val="20"/>
              </w:rPr>
            </w:pPr>
            <w:r>
              <w:rPr>
                <w:sz w:val="20"/>
                <w:szCs w:val="20"/>
                <w:spacing w:val="-6"/>
              </w:rPr>
              <w:t>1.5</w:t>
            </w:r>
          </w:p>
        </w:tc>
      </w:tr>
      <w:tr>
        <w:trPr>
          <w:trHeight w:val="299" w:hRule="atLeast"/>
        </w:trPr>
        <w:tc>
          <w:tcPr>
            <w:tcW w:w="705" w:type="dxa"/>
            <w:vAlign w:val="top"/>
            <w:vMerge w:val="continue"/>
            <w:tcBorders>
              <w:top w:val="nil"/>
              <w:bottom w:val="nil"/>
            </w:tcBorders>
          </w:tcPr>
          <w:p>
            <w:pPr>
              <w:rPr>
                <w:rFonts w:ascii="Arial"/>
                <w:sz w:val="21"/>
              </w:rPr>
            </w:pPr>
            <w:r/>
          </w:p>
        </w:tc>
        <w:tc>
          <w:tcPr>
            <w:tcW w:w="1499" w:type="dxa"/>
            <w:vAlign w:val="top"/>
            <w:vMerge w:val="continue"/>
            <w:tcBorders>
              <w:top w:val="nil"/>
            </w:tcBorders>
          </w:tcPr>
          <w:p>
            <w:pPr>
              <w:rPr>
                <w:rFonts w:ascii="Arial"/>
                <w:sz w:val="21"/>
              </w:rPr>
            </w:pPr>
            <w:r/>
          </w:p>
        </w:tc>
        <w:tc>
          <w:tcPr>
            <w:tcW w:w="969" w:type="dxa"/>
            <w:vAlign w:val="top"/>
            <w:vMerge w:val="continue"/>
            <w:tcBorders>
              <w:top w:val="nil"/>
            </w:tcBorders>
          </w:tcPr>
          <w:p>
            <w:pPr>
              <w:rPr>
                <w:rFonts w:ascii="Arial"/>
                <w:sz w:val="21"/>
              </w:rPr>
            </w:pPr>
            <w:r/>
          </w:p>
        </w:tc>
        <w:tc>
          <w:tcPr>
            <w:tcW w:w="1279" w:type="dxa"/>
            <w:vAlign w:val="top"/>
            <w:vMerge w:val="continue"/>
            <w:tcBorders>
              <w:top w:val="nil"/>
            </w:tcBorders>
          </w:tcPr>
          <w:p>
            <w:pPr>
              <w:rPr>
                <w:rFonts w:ascii="Arial"/>
                <w:sz w:val="21"/>
              </w:rPr>
            </w:pPr>
            <w:r/>
          </w:p>
        </w:tc>
        <w:tc>
          <w:tcPr>
            <w:tcW w:w="1079" w:type="dxa"/>
            <w:vAlign w:val="top"/>
          </w:tcPr>
          <w:p>
            <w:pPr>
              <w:pStyle w:val="TableText"/>
              <w:ind w:left="383"/>
              <w:spacing w:before="59" w:line="212" w:lineRule="auto"/>
              <w:rPr>
                <w:sz w:val="20"/>
                <w:szCs w:val="20"/>
              </w:rPr>
            </w:pPr>
            <w:r>
              <w:rPr>
                <w:sz w:val="20"/>
                <w:szCs w:val="20"/>
                <w:spacing w:val="-3"/>
              </w:rPr>
              <w:t>t/a</w:t>
            </w:r>
          </w:p>
        </w:tc>
        <w:tc>
          <w:tcPr>
            <w:tcW w:w="1849" w:type="dxa"/>
            <w:vAlign w:val="top"/>
          </w:tcPr>
          <w:p>
            <w:pPr>
              <w:pStyle w:val="TableText"/>
              <w:ind w:left="864"/>
              <w:spacing w:before="59" w:line="212" w:lineRule="auto"/>
              <w:rPr>
                <w:sz w:val="20"/>
                <w:szCs w:val="20"/>
              </w:rPr>
            </w:pPr>
            <w:r>
              <w:rPr>
                <w:sz w:val="20"/>
                <w:szCs w:val="20"/>
              </w:rPr>
              <w:t>/</w:t>
            </w:r>
          </w:p>
        </w:tc>
        <w:tc>
          <w:tcPr>
            <w:tcW w:w="1449" w:type="dxa"/>
            <w:vAlign w:val="top"/>
          </w:tcPr>
          <w:p>
            <w:pPr>
              <w:pStyle w:val="TableText"/>
              <w:ind w:left="665"/>
              <w:spacing w:before="59" w:line="212" w:lineRule="auto"/>
              <w:rPr>
                <w:sz w:val="20"/>
                <w:szCs w:val="20"/>
              </w:rPr>
            </w:pPr>
            <w:r>
              <w:rPr>
                <w:sz w:val="20"/>
                <w:szCs w:val="20"/>
              </w:rPr>
              <w:t>/</w:t>
            </w:r>
          </w:p>
        </w:tc>
        <w:tc>
          <w:tcPr>
            <w:tcW w:w="1219" w:type="dxa"/>
            <w:vAlign w:val="top"/>
          </w:tcPr>
          <w:p>
            <w:pPr>
              <w:pStyle w:val="TableText"/>
              <w:ind w:left="556"/>
              <w:spacing w:before="59" w:line="212" w:lineRule="auto"/>
              <w:rPr>
                <w:sz w:val="20"/>
                <w:szCs w:val="20"/>
              </w:rPr>
            </w:pPr>
            <w:r>
              <w:rPr>
                <w:sz w:val="20"/>
                <w:szCs w:val="20"/>
              </w:rPr>
              <w:t>/</w:t>
            </w:r>
          </w:p>
        </w:tc>
        <w:tc>
          <w:tcPr>
            <w:tcW w:w="1419" w:type="dxa"/>
            <w:vAlign w:val="top"/>
          </w:tcPr>
          <w:p>
            <w:pPr>
              <w:pStyle w:val="TableText"/>
              <w:ind w:left="406"/>
              <w:spacing w:before="105" w:line="169" w:lineRule="auto"/>
              <w:rPr>
                <w:sz w:val="20"/>
                <w:szCs w:val="20"/>
              </w:rPr>
            </w:pPr>
            <w:r>
              <w:rPr>
                <w:sz w:val="20"/>
                <w:szCs w:val="20"/>
                <w:spacing w:val="-2"/>
              </w:rPr>
              <w:t>0.0003</w:t>
            </w:r>
          </w:p>
        </w:tc>
        <w:tc>
          <w:tcPr>
            <w:tcW w:w="1339" w:type="dxa"/>
            <w:vAlign w:val="top"/>
          </w:tcPr>
          <w:p>
            <w:pPr>
              <w:pStyle w:val="TableText"/>
              <w:ind w:left="428"/>
              <w:spacing w:before="113" w:line="183" w:lineRule="auto"/>
              <w:rPr>
                <w:sz w:val="16"/>
                <w:szCs w:val="16"/>
              </w:rPr>
            </w:pPr>
            <w:r>
              <w:rPr>
                <w:sz w:val="16"/>
                <w:szCs w:val="16"/>
                <w:spacing w:val="-2"/>
              </w:rPr>
              <w:t>0.0002</w:t>
            </w:r>
          </w:p>
        </w:tc>
        <w:tc>
          <w:tcPr>
            <w:tcW w:w="1334" w:type="dxa"/>
            <w:vAlign w:val="top"/>
          </w:tcPr>
          <w:p>
            <w:pPr>
              <w:pStyle w:val="TableText"/>
              <w:ind w:left="359"/>
              <w:spacing w:before="105" w:line="169" w:lineRule="auto"/>
              <w:rPr>
                <w:sz w:val="20"/>
                <w:szCs w:val="20"/>
              </w:rPr>
            </w:pPr>
            <w:r>
              <w:rPr>
                <w:sz w:val="20"/>
                <w:szCs w:val="20"/>
                <w:spacing w:val="-2"/>
              </w:rPr>
              <w:t>0.0049</w:t>
            </w:r>
          </w:p>
        </w:tc>
      </w:tr>
      <w:tr>
        <w:trPr>
          <w:trHeight w:val="270" w:hRule="atLeast"/>
        </w:trPr>
        <w:tc>
          <w:tcPr>
            <w:tcW w:w="705" w:type="dxa"/>
            <w:vAlign w:val="top"/>
            <w:vMerge w:val="continue"/>
            <w:tcBorders>
              <w:top w:val="nil"/>
              <w:bottom w:val="nil"/>
            </w:tcBorders>
          </w:tcPr>
          <w:p>
            <w:pPr>
              <w:rPr>
                <w:rFonts w:ascii="Arial"/>
                <w:sz w:val="21"/>
              </w:rPr>
            </w:pPr>
            <w:r/>
          </w:p>
        </w:tc>
        <w:tc>
          <w:tcPr>
            <w:tcW w:w="1499" w:type="dxa"/>
            <w:vAlign w:val="top"/>
            <w:vMerge w:val="restart"/>
            <w:tcBorders>
              <w:bottom w:val="nil"/>
            </w:tcBorders>
          </w:tcPr>
          <w:p>
            <w:pPr>
              <w:pStyle w:val="TableText"/>
              <w:ind w:left="439" w:right="158" w:hanging="299"/>
              <w:spacing w:before="55" w:line="228" w:lineRule="auto"/>
              <w:rPr>
                <w:sz w:val="20"/>
                <w:szCs w:val="20"/>
              </w:rPr>
            </w:pPr>
            <w:r>
              <w:rPr>
                <w:sz w:val="20"/>
                <w:szCs w:val="20"/>
                <w:spacing w:val="-2"/>
              </w:rPr>
              <w:t>生产废水处理</w:t>
            </w:r>
            <w:r>
              <w:rPr>
                <w:sz w:val="20"/>
                <w:szCs w:val="20"/>
                <w:spacing w:val="1"/>
              </w:rPr>
              <w:t xml:space="preserve"> </w:t>
            </w:r>
            <w:r>
              <w:rPr>
                <w:sz w:val="20"/>
                <w:szCs w:val="20"/>
                <w:spacing w:val="9"/>
              </w:rPr>
              <w:t>站出口</w:t>
            </w:r>
          </w:p>
        </w:tc>
        <w:tc>
          <w:tcPr>
            <w:tcW w:w="969" w:type="dxa"/>
            <w:vAlign w:val="top"/>
            <w:vMerge w:val="restart"/>
            <w:tcBorders>
              <w:bottom w:val="nil"/>
            </w:tcBorders>
          </w:tcPr>
          <w:p>
            <w:pPr>
              <w:pStyle w:val="TableText"/>
              <w:ind w:left="271"/>
              <w:spacing w:before="235" w:line="184" w:lineRule="auto"/>
              <w:rPr>
                <w:sz w:val="20"/>
                <w:szCs w:val="20"/>
              </w:rPr>
            </w:pPr>
            <w:r>
              <w:rPr>
                <w:sz w:val="20"/>
                <w:szCs w:val="20"/>
                <w:spacing w:val="-3"/>
              </w:rPr>
              <w:t>35.1</w:t>
            </w:r>
          </w:p>
        </w:tc>
        <w:tc>
          <w:tcPr>
            <w:tcW w:w="1279" w:type="dxa"/>
            <w:vAlign w:val="top"/>
            <w:vMerge w:val="restart"/>
            <w:tcBorders>
              <w:bottom w:val="nil"/>
            </w:tcBorders>
          </w:tcPr>
          <w:p>
            <w:pPr>
              <w:pStyle w:val="TableText"/>
              <w:ind w:left="382"/>
              <w:spacing w:before="235" w:line="184" w:lineRule="auto"/>
              <w:rPr>
                <w:sz w:val="20"/>
                <w:szCs w:val="20"/>
              </w:rPr>
            </w:pPr>
            <w:r>
              <w:rPr>
                <w:sz w:val="20"/>
                <w:szCs w:val="20"/>
                <w:spacing w:val="-4"/>
              </w:rPr>
              <w:t>10530</w:t>
            </w:r>
          </w:p>
        </w:tc>
        <w:tc>
          <w:tcPr>
            <w:tcW w:w="1079" w:type="dxa"/>
            <w:vAlign w:val="top"/>
          </w:tcPr>
          <w:p>
            <w:pPr>
              <w:pStyle w:val="TableText"/>
              <w:ind w:left="333"/>
              <w:spacing w:before="38" w:line="204" w:lineRule="auto"/>
              <w:rPr>
                <w:sz w:val="20"/>
                <w:szCs w:val="20"/>
              </w:rPr>
            </w:pPr>
            <w:r>
              <w:rPr>
                <w:sz w:val="20"/>
                <w:szCs w:val="20"/>
                <w:spacing w:val="-1"/>
              </w:rPr>
              <w:t>mg/L</w:t>
            </w:r>
          </w:p>
        </w:tc>
        <w:tc>
          <w:tcPr>
            <w:tcW w:w="1849" w:type="dxa"/>
            <w:vAlign w:val="top"/>
          </w:tcPr>
          <w:p>
            <w:pPr>
              <w:pStyle w:val="TableText"/>
              <w:ind w:left="764"/>
              <w:spacing w:before="96" w:line="163" w:lineRule="exact"/>
              <w:rPr>
                <w:sz w:val="20"/>
                <w:szCs w:val="20"/>
              </w:rPr>
            </w:pPr>
            <w:r>
              <w:rPr>
                <w:sz w:val="20"/>
                <w:szCs w:val="20"/>
                <w:spacing w:val="-6"/>
                <w:position w:val="-2"/>
              </w:rPr>
              <w:t>150</w:t>
            </w:r>
          </w:p>
        </w:tc>
        <w:tc>
          <w:tcPr>
            <w:tcW w:w="1449" w:type="dxa"/>
            <w:vAlign w:val="top"/>
          </w:tcPr>
          <w:p>
            <w:pPr>
              <w:pStyle w:val="TableText"/>
              <w:ind w:left="565"/>
              <w:spacing w:before="96" w:line="163" w:lineRule="exact"/>
              <w:rPr>
                <w:sz w:val="20"/>
                <w:szCs w:val="20"/>
              </w:rPr>
            </w:pPr>
            <w:r>
              <w:rPr>
                <w:sz w:val="20"/>
                <w:szCs w:val="20"/>
                <w:spacing w:val="-6"/>
                <w:position w:val="-2"/>
              </w:rPr>
              <w:t>140</w:t>
            </w:r>
          </w:p>
        </w:tc>
        <w:tc>
          <w:tcPr>
            <w:tcW w:w="1219" w:type="dxa"/>
            <w:vAlign w:val="top"/>
          </w:tcPr>
          <w:p>
            <w:pPr>
              <w:pStyle w:val="TableText"/>
              <w:ind w:left="506"/>
              <w:spacing w:before="96" w:line="163" w:lineRule="exact"/>
              <w:rPr>
                <w:sz w:val="20"/>
                <w:szCs w:val="20"/>
              </w:rPr>
            </w:pPr>
            <w:r>
              <w:rPr>
                <w:sz w:val="20"/>
                <w:szCs w:val="20"/>
                <w:spacing w:val="-3"/>
                <w:position w:val="-2"/>
              </w:rPr>
              <w:t>30</w:t>
            </w:r>
          </w:p>
        </w:tc>
        <w:tc>
          <w:tcPr>
            <w:tcW w:w="1419" w:type="dxa"/>
            <w:vAlign w:val="top"/>
          </w:tcPr>
          <w:p>
            <w:pPr>
              <w:pStyle w:val="TableText"/>
              <w:ind w:left="657"/>
              <w:spacing w:before="50" w:line="193" w:lineRule="auto"/>
              <w:rPr>
                <w:sz w:val="20"/>
                <w:szCs w:val="20"/>
              </w:rPr>
            </w:pPr>
            <w:r>
              <w:rPr>
                <w:sz w:val="20"/>
                <w:szCs w:val="20"/>
              </w:rPr>
              <w:t>/</w:t>
            </w:r>
          </w:p>
        </w:tc>
        <w:tc>
          <w:tcPr>
            <w:tcW w:w="1339" w:type="dxa"/>
            <w:vAlign w:val="top"/>
          </w:tcPr>
          <w:p>
            <w:pPr>
              <w:pStyle w:val="TableText"/>
              <w:ind w:left="618"/>
              <w:spacing w:before="50" w:line="193" w:lineRule="auto"/>
              <w:rPr>
                <w:sz w:val="20"/>
                <w:szCs w:val="20"/>
              </w:rPr>
            </w:pPr>
            <w:r>
              <w:rPr>
                <w:sz w:val="20"/>
                <w:szCs w:val="20"/>
              </w:rPr>
              <w:t>/</w:t>
            </w:r>
          </w:p>
        </w:tc>
        <w:tc>
          <w:tcPr>
            <w:tcW w:w="1334" w:type="dxa"/>
            <w:vAlign w:val="top"/>
          </w:tcPr>
          <w:p>
            <w:pPr>
              <w:pStyle w:val="TableText"/>
              <w:ind w:left="609"/>
              <w:spacing w:before="50" w:line="193" w:lineRule="auto"/>
              <w:rPr>
                <w:sz w:val="20"/>
                <w:szCs w:val="20"/>
              </w:rPr>
            </w:pPr>
            <w:r>
              <w:rPr>
                <w:sz w:val="20"/>
                <w:szCs w:val="20"/>
              </w:rPr>
              <w:t>/</w:t>
            </w:r>
          </w:p>
        </w:tc>
      </w:tr>
      <w:tr>
        <w:trPr>
          <w:trHeight w:val="279" w:hRule="atLeast"/>
        </w:trPr>
        <w:tc>
          <w:tcPr>
            <w:tcW w:w="705" w:type="dxa"/>
            <w:vAlign w:val="top"/>
            <w:vMerge w:val="continue"/>
            <w:tcBorders>
              <w:top w:val="nil"/>
              <w:bottom w:val="nil"/>
            </w:tcBorders>
          </w:tcPr>
          <w:p>
            <w:pPr>
              <w:rPr>
                <w:rFonts w:ascii="Arial"/>
                <w:sz w:val="21"/>
              </w:rPr>
            </w:pPr>
            <w:r/>
          </w:p>
        </w:tc>
        <w:tc>
          <w:tcPr>
            <w:tcW w:w="1499" w:type="dxa"/>
            <w:vAlign w:val="top"/>
            <w:vMerge w:val="continue"/>
            <w:tcBorders>
              <w:top w:val="nil"/>
            </w:tcBorders>
          </w:tcPr>
          <w:p>
            <w:pPr>
              <w:rPr>
                <w:rFonts w:ascii="Arial"/>
                <w:sz w:val="21"/>
              </w:rPr>
            </w:pPr>
            <w:r/>
          </w:p>
        </w:tc>
        <w:tc>
          <w:tcPr>
            <w:tcW w:w="969" w:type="dxa"/>
            <w:vAlign w:val="top"/>
            <w:vMerge w:val="continue"/>
            <w:tcBorders>
              <w:top w:val="nil"/>
            </w:tcBorders>
          </w:tcPr>
          <w:p>
            <w:pPr>
              <w:rPr>
                <w:rFonts w:ascii="Arial"/>
                <w:sz w:val="21"/>
              </w:rPr>
            </w:pPr>
            <w:r/>
          </w:p>
        </w:tc>
        <w:tc>
          <w:tcPr>
            <w:tcW w:w="1279" w:type="dxa"/>
            <w:vAlign w:val="top"/>
            <w:vMerge w:val="continue"/>
            <w:tcBorders>
              <w:top w:val="nil"/>
            </w:tcBorders>
          </w:tcPr>
          <w:p>
            <w:pPr>
              <w:rPr>
                <w:rFonts w:ascii="Arial"/>
                <w:sz w:val="21"/>
              </w:rPr>
            </w:pPr>
            <w:r/>
          </w:p>
        </w:tc>
        <w:tc>
          <w:tcPr>
            <w:tcW w:w="1079" w:type="dxa"/>
            <w:vAlign w:val="top"/>
          </w:tcPr>
          <w:p>
            <w:pPr>
              <w:pStyle w:val="TableText"/>
              <w:ind w:left="383"/>
              <w:spacing w:before="50" w:line="202" w:lineRule="auto"/>
              <w:rPr>
                <w:sz w:val="20"/>
                <w:szCs w:val="20"/>
              </w:rPr>
            </w:pPr>
            <w:r>
              <w:rPr>
                <w:sz w:val="20"/>
                <w:szCs w:val="20"/>
                <w:spacing w:val="-3"/>
              </w:rPr>
              <w:t>t/a</w:t>
            </w:r>
          </w:p>
        </w:tc>
        <w:tc>
          <w:tcPr>
            <w:tcW w:w="1849" w:type="dxa"/>
            <w:vAlign w:val="top"/>
          </w:tcPr>
          <w:p>
            <w:pPr>
              <w:pStyle w:val="TableText"/>
              <w:ind w:left="664"/>
              <w:spacing w:before="95" w:line="160" w:lineRule="auto"/>
              <w:rPr>
                <w:sz w:val="20"/>
                <w:szCs w:val="20"/>
              </w:rPr>
            </w:pPr>
            <w:r>
              <w:rPr>
                <w:sz w:val="20"/>
                <w:szCs w:val="20"/>
                <w:spacing w:val="-4"/>
              </w:rPr>
              <w:t>1.580</w:t>
            </w:r>
          </w:p>
        </w:tc>
        <w:tc>
          <w:tcPr>
            <w:tcW w:w="1449" w:type="dxa"/>
            <w:vAlign w:val="top"/>
          </w:tcPr>
          <w:p>
            <w:pPr>
              <w:pStyle w:val="TableText"/>
              <w:ind w:left="465"/>
              <w:spacing w:before="95" w:line="160" w:lineRule="auto"/>
              <w:rPr>
                <w:sz w:val="20"/>
                <w:szCs w:val="20"/>
              </w:rPr>
            </w:pPr>
            <w:r>
              <w:rPr>
                <w:sz w:val="20"/>
                <w:szCs w:val="20"/>
                <w:spacing w:val="-4"/>
              </w:rPr>
              <w:t>1.474</w:t>
            </w:r>
          </w:p>
        </w:tc>
        <w:tc>
          <w:tcPr>
            <w:tcW w:w="1219" w:type="dxa"/>
            <w:vAlign w:val="top"/>
          </w:tcPr>
          <w:p>
            <w:pPr>
              <w:pStyle w:val="TableText"/>
              <w:ind w:left="356"/>
              <w:spacing w:before="95" w:line="160" w:lineRule="auto"/>
              <w:rPr>
                <w:sz w:val="20"/>
                <w:szCs w:val="20"/>
              </w:rPr>
            </w:pPr>
            <w:r>
              <w:rPr>
                <w:sz w:val="20"/>
                <w:szCs w:val="20"/>
                <w:spacing w:val="-2"/>
              </w:rPr>
              <w:t>0.316</w:t>
            </w:r>
          </w:p>
        </w:tc>
        <w:tc>
          <w:tcPr>
            <w:tcW w:w="1419" w:type="dxa"/>
            <w:vAlign w:val="top"/>
          </w:tcPr>
          <w:p>
            <w:pPr>
              <w:pStyle w:val="TableText"/>
              <w:ind w:left="657"/>
              <w:spacing w:before="50" w:line="202" w:lineRule="auto"/>
              <w:rPr>
                <w:sz w:val="20"/>
                <w:szCs w:val="20"/>
              </w:rPr>
            </w:pPr>
            <w:r>
              <w:rPr>
                <w:sz w:val="20"/>
                <w:szCs w:val="20"/>
              </w:rPr>
              <w:t>/</w:t>
            </w:r>
          </w:p>
        </w:tc>
        <w:tc>
          <w:tcPr>
            <w:tcW w:w="1339" w:type="dxa"/>
            <w:vAlign w:val="top"/>
          </w:tcPr>
          <w:p>
            <w:pPr>
              <w:pStyle w:val="TableText"/>
              <w:ind w:left="618"/>
              <w:spacing w:before="50" w:line="202" w:lineRule="auto"/>
              <w:rPr>
                <w:sz w:val="20"/>
                <w:szCs w:val="20"/>
              </w:rPr>
            </w:pPr>
            <w:r>
              <w:rPr>
                <w:sz w:val="20"/>
                <w:szCs w:val="20"/>
              </w:rPr>
              <w:t>/</w:t>
            </w:r>
          </w:p>
        </w:tc>
        <w:tc>
          <w:tcPr>
            <w:tcW w:w="1334" w:type="dxa"/>
            <w:vAlign w:val="top"/>
          </w:tcPr>
          <w:p>
            <w:pPr>
              <w:pStyle w:val="TableText"/>
              <w:ind w:left="609"/>
              <w:spacing w:before="50" w:line="202" w:lineRule="auto"/>
              <w:rPr>
                <w:sz w:val="20"/>
                <w:szCs w:val="20"/>
              </w:rPr>
            </w:pPr>
            <w:r>
              <w:rPr>
                <w:sz w:val="20"/>
                <w:szCs w:val="20"/>
              </w:rPr>
              <w:t>/</w:t>
            </w:r>
          </w:p>
        </w:tc>
      </w:tr>
      <w:tr>
        <w:trPr>
          <w:trHeight w:val="299" w:hRule="atLeast"/>
        </w:trPr>
        <w:tc>
          <w:tcPr>
            <w:tcW w:w="705" w:type="dxa"/>
            <w:vAlign w:val="top"/>
            <w:vMerge w:val="continue"/>
            <w:tcBorders>
              <w:top w:val="nil"/>
              <w:bottom w:val="nil"/>
            </w:tcBorders>
          </w:tcPr>
          <w:p>
            <w:pPr>
              <w:rPr>
                <w:rFonts w:ascii="Arial"/>
                <w:sz w:val="21"/>
              </w:rPr>
            </w:pPr>
            <w:r/>
          </w:p>
        </w:tc>
        <w:tc>
          <w:tcPr>
            <w:tcW w:w="1499" w:type="dxa"/>
            <w:vAlign w:val="top"/>
            <w:vMerge w:val="restart"/>
            <w:tcBorders>
              <w:bottom w:val="nil"/>
            </w:tcBorders>
          </w:tcPr>
          <w:p>
            <w:pPr>
              <w:pStyle w:val="TableText"/>
              <w:ind w:left="240" w:right="140" w:hanging="100"/>
              <w:spacing w:before="75" w:line="228" w:lineRule="auto"/>
              <w:rPr>
                <w:sz w:val="20"/>
                <w:szCs w:val="20"/>
              </w:rPr>
            </w:pPr>
            <w:r>
              <w:rPr>
                <w:sz w:val="20"/>
                <w:szCs w:val="20"/>
                <w:spacing w:val="1"/>
              </w:rPr>
              <w:t>霞浦县污水处 </w:t>
            </w:r>
            <w:r>
              <w:rPr>
                <w:sz w:val="20"/>
                <w:szCs w:val="20"/>
                <w:spacing w:val="5"/>
              </w:rPr>
              <w:t>理厂排放口</w:t>
            </w:r>
          </w:p>
        </w:tc>
        <w:tc>
          <w:tcPr>
            <w:tcW w:w="969" w:type="dxa"/>
            <w:vAlign w:val="top"/>
            <w:vMerge w:val="restart"/>
            <w:tcBorders>
              <w:bottom w:val="nil"/>
            </w:tcBorders>
          </w:tcPr>
          <w:p>
            <w:pPr>
              <w:pStyle w:val="TableText"/>
              <w:ind w:left="271"/>
              <w:spacing w:before="246" w:line="184" w:lineRule="auto"/>
              <w:rPr>
                <w:sz w:val="20"/>
                <w:szCs w:val="20"/>
              </w:rPr>
            </w:pPr>
            <w:r>
              <w:rPr>
                <w:sz w:val="20"/>
                <w:szCs w:val="20"/>
                <w:spacing w:val="-3"/>
              </w:rPr>
              <w:t>35.1</w:t>
            </w:r>
          </w:p>
        </w:tc>
        <w:tc>
          <w:tcPr>
            <w:tcW w:w="1279" w:type="dxa"/>
            <w:vAlign w:val="top"/>
            <w:vMerge w:val="restart"/>
            <w:tcBorders>
              <w:bottom w:val="nil"/>
            </w:tcBorders>
          </w:tcPr>
          <w:p>
            <w:pPr>
              <w:pStyle w:val="TableText"/>
              <w:ind w:left="382"/>
              <w:spacing w:before="246" w:line="184" w:lineRule="auto"/>
              <w:rPr>
                <w:sz w:val="20"/>
                <w:szCs w:val="20"/>
              </w:rPr>
            </w:pPr>
            <w:r>
              <w:rPr>
                <w:sz w:val="20"/>
                <w:szCs w:val="20"/>
                <w:spacing w:val="-4"/>
              </w:rPr>
              <w:t>10530</w:t>
            </w:r>
          </w:p>
        </w:tc>
        <w:tc>
          <w:tcPr>
            <w:tcW w:w="1079" w:type="dxa"/>
            <w:vAlign w:val="top"/>
          </w:tcPr>
          <w:p>
            <w:pPr>
              <w:pStyle w:val="TableText"/>
              <w:ind w:left="333"/>
              <w:spacing w:before="49" w:line="214" w:lineRule="auto"/>
              <w:rPr>
                <w:sz w:val="20"/>
                <w:szCs w:val="20"/>
              </w:rPr>
            </w:pPr>
            <w:r>
              <w:rPr>
                <w:sz w:val="20"/>
                <w:szCs w:val="20"/>
                <w:spacing w:val="-1"/>
              </w:rPr>
              <w:t>mg/L</w:t>
            </w:r>
          </w:p>
        </w:tc>
        <w:tc>
          <w:tcPr>
            <w:tcW w:w="1849" w:type="dxa"/>
            <w:vAlign w:val="top"/>
          </w:tcPr>
          <w:p>
            <w:pPr>
              <w:pStyle w:val="TableText"/>
              <w:ind w:left="814"/>
              <w:spacing w:before="108" w:line="167" w:lineRule="auto"/>
              <w:rPr>
                <w:sz w:val="20"/>
                <w:szCs w:val="20"/>
              </w:rPr>
            </w:pPr>
            <w:r>
              <w:rPr>
                <w:sz w:val="20"/>
                <w:szCs w:val="20"/>
                <w:spacing w:val="-3"/>
              </w:rPr>
              <w:t>50</w:t>
            </w:r>
          </w:p>
        </w:tc>
        <w:tc>
          <w:tcPr>
            <w:tcW w:w="1449" w:type="dxa"/>
            <w:vAlign w:val="top"/>
          </w:tcPr>
          <w:p>
            <w:pPr>
              <w:pStyle w:val="TableText"/>
              <w:ind w:left="615"/>
              <w:spacing w:before="107" w:line="168" w:lineRule="auto"/>
              <w:rPr>
                <w:sz w:val="20"/>
                <w:szCs w:val="20"/>
              </w:rPr>
            </w:pPr>
            <w:r>
              <w:rPr>
                <w:sz w:val="20"/>
                <w:szCs w:val="20"/>
                <w:spacing w:val="-6"/>
              </w:rPr>
              <w:t>10</w:t>
            </w:r>
          </w:p>
        </w:tc>
        <w:tc>
          <w:tcPr>
            <w:tcW w:w="1219" w:type="dxa"/>
            <w:vAlign w:val="top"/>
          </w:tcPr>
          <w:p>
            <w:pPr>
              <w:pStyle w:val="TableText"/>
              <w:ind w:left="556"/>
              <w:spacing w:before="109" w:line="166" w:lineRule="auto"/>
              <w:rPr>
                <w:sz w:val="20"/>
                <w:szCs w:val="20"/>
              </w:rPr>
            </w:pPr>
            <w:r>
              <w:rPr>
                <w:sz w:val="20"/>
                <w:szCs w:val="20"/>
              </w:rPr>
              <w:t>5</w:t>
            </w:r>
          </w:p>
        </w:tc>
        <w:tc>
          <w:tcPr>
            <w:tcW w:w="1419" w:type="dxa"/>
            <w:vAlign w:val="top"/>
          </w:tcPr>
          <w:p>
            <w:pPr>
              <w:pStyle w:val="TableText"/>
              <w:ind w:left="657"/>
              <w:spacing w:before="61" w:line="210" w:lineRule="auto"/>
              <w:rPr>
                <w:sz w:val="20"/>
                <w:szCs w:val="20"/>
              </w:rPr>
            </w:pPr>
            <w:r>
              <w:rPr>
                <w:sz w:val="20"/>
                <w:szCs w:val="20"/>
              </w:rPr>
              <w:t>/</w:t>
            </w:r>
          </w:p>
        </w:tc>
        <w:tc>
          <w:tcPr>
            <w:tcW w:w="1339" w:type="dxa"/>
            <w:vAlign w:val="top"/>
          </w:tcPr>
          <w:p>
            <w:pPr>
              <w:pStyle w:val="TableText"/>
              <w:ind w:left="618"/>
              <w:spacing w:before="61" w:line="210" w:lineRule="auto"/>
              <w:rPr>
                <w:sz w:val="20"/>
                <w:szCs w:val="20"/>
              </w:rPr>
            </w:pPr>
            <w:r>
              <w:rPr>
                <w:sz w:val="20"/>
                <w:szCs w:val="20"/>
              </w:rPr>
              <w:t>/</w:t>
            </w:r>
          </w:p>
        </w:tc>
        <w:tc>
          <w:tcPr>
            <w:tcW w:w="1334" w:type="dxa"/>
            <w:vAlign w:val="top"/>
          </w:tcPr>
          <w:p>
            <w:pPr>
              <w:pStyle w:val="TableText"/>
              <w:ind w:left="609"/>
              <w:spacing w:before="61" w:line="210" w:lineRule="auto"/>
              <w:rPr>
                <w:sz w:val="20"/>
                <w:szCs w:val="20"/>
              </w:rPr>
            </w:pPr>
            <w:r>
              <w:rPr>
                <w:sz w:val="20"/>
                <w:szCs w:val="20"/>
              </w:rPr>
              <w:t>/</w:t>
            </w:r>
          </w:p>
        </w:tc>
      </w:tr>
      <w:tr>
        <w:trPr>
          <w:trHeight w:val="270" w:hRule="atLeast"/>
        </w:trPr>
        <w:tc>
          <w:tcPr>
            <w:tcW w:w="705" w:type="dxa"/>
            <w:vAlign w:val="top"/>
            <w:vMerge w:val="continue"/>
            <w:tcBorders>
              <w:top w:val="nil"/>
            </w:tcBorders>
          </w:tcPr>
          <w:p>
            <w:pPr>
              <w:rPr>
                <w:rFonts w:ascii="Arial"/>
                <w:sz w:val="21"/>
              </w:rPr>
            </w:pPr>
            <w:r/>
          </w:p>
        </w:tc>
        <w:tc>
          <w:tcPr>
            <w:tcW w:w="1499" w:type="dxa"/>
            <w:vAlign w:val="top"/>
            <w:vMerge w:val="continue"/>
            <w:tcBorders>
              <w:top w:val="nil"/>
            </w:tcBorders>
          </w:tcPr>
          <w:p>
            <w:pPr>
              <w:rPr>
                <w:rFonts w:ascii="Arial"/>
                <w:sz w:val="21"/>
              </w:rPr>
            </w:pPr>
            <w:r/>
          </w:p>
        </w:tc>
        <w:tc>
          <w:tcPr>
            <w:tcW w:w="969" w:type="dxa"/>
            <w:vAlign w:val="top"/>
            <w:vMerge w:val="continue"/>
            <w:tcBorders>
              <w:top w:val="nil"/>
            </w:tcBorders>
          </w:tcPr>
          <w:p>
            <w:pPr>
              <w:rPr>
                <w:rFonts w:ascii="Arial"/>
                <w:sz w:val="21"/>
              </w:rPr>
            </w:pPr>
            <w:r/>
          </w:p>
        </w:tc>
        <w:tc>
          <w:tcPr>
            <w:tcW w:w="1279" w:type="dxa"/>
            <w:vAlign w:val="top"/>
            <w:vMerge w:val="continue"/>
            <w:tcBorders>
              <w:top w:val="nil"/>
            </w:tcBorders>
          </w:tcPr>
          <w:p>
            <w:pPr>
              <w:rPr>
                <w:rFonts w:ascii="Arial"/>
                <w:sz w:val="21"/>
              </w:rPr>
            </w:pPr>
            <w:r/>
          </w:p>
        </w:tc>
        <w:tc>
          <w:tcPr>
            <w:tcW w:w="1079" w:type="dxa"/>
            <w:vAlign w:val="top"/>
          </w:tcPr>
          <w:p>
            <w:pPr>
              <w:pStyle w:val="TableText"/>
              <w:ind w:left="383"/>
              <w:spacing w:before="53" w:line="191" w:lineRule="auto"/>
              <w:rPr>
                <w:sz w:val="20"/>
                <w:szCs w:val="20"/>
              </w:rPr>
            </w:pPr>
            <w:r>
              <w:rPr>
                <w:sz w:val="20"/>
                <w:szCs w:val="20"/>
                <w:spacing w:val="-3"/>
              </w:rPr>
              <w:t>t/a</w:t>
            </w:r>
          </w:p>
        </w:tc>
        <w:tc>
          <w:tcPr>
            <w:tcW w:w="1849" w:type="dxa"/>
            <w:vAlign w:val="top"/>
          </w:tcPr>
          <w:p>
            <w:pPr>
              <w:pStyle w:val="TableText"/>
              <w:ind w:left="614"/>
              <w:spacing w:before="98" w:line="162" w:lineRule="exact"/>
              <w:rPr>
                <w:sz w:val="20"/>
                <w:szCs w:val="20"/>
              </w:rPr>
            </w:pPr>
            <w:r>
              <w:rPr>
                <w:sz w:val="20"/>
                <w:szCs w:val="20"/>
                <w:spacing w:val="-2"/>
                <w:position w:val="-2"/>
              </w:rPr>
              <w:t>0.5265</w:t>
            </w:r>
          </w:p>
        </w:tc>
        <w:tc>
          <w:tcPr>
            <w:tcW w:w="1449" w:type="dxa"/>
            <w:vAlign w:val="top"/>
          </w:tcPr>
          <w:p>
            <w:pPr>
              <w:pStyle w:val="TableText"/>
              <w:ind w:left="415"/>
              <w:spacing w:before="98" w:line="162" w:lineRule="exact"/>
              <w:rPr>
                <w:sz w:val="20"/>
                <w:szCs w:val="20"/>
              </w:rPr>
            </w:pPr>
            <w:r>
              <w:rPr>
                <w:sz w:val="20"/>
                <w:szCs w:val="20"/>
                <w:spacing w:val="-2"/>
                <w:position w:val="-2"/>
              </w:rPr>
              <w:t>0.1053</w:t>
            </w:r>
          </w:p>
        </w:tc>
        <w:tc>
          <w:tcPr>
            <w:tcW w:w="1219" w:type="dxa"/>
            <w:vAlign w:val="top"/>
          </w:tcPr>
          <w:p>
            <w:pPr>
              <w:pStyle w:val="TableText"/>
              <w:ind w:left="306"/>
              <w:spacing w:before="98" w:line="162" w:lineRule="exact"/>
              <w:rPr>
                <w:sz w:val="20"/>
                <w:szCs w:val="20"/>
              </w:rPr>
            </w:pPr>
            <w:r>
              <w:rPr>
                <w:sz w:val="20"/>
                <w:szCs w:val="20"/>
                <w:spacing w:val="-2"/>
                <w:position w:val="-2"/>
              </w:rPr>
              <w:t>0.0527</w:t>
            </w:r>
          </w:p>
        </w:tc>
        <w:tc>
          <w:tcPr>
            <w:tcW w:w="1419" w:type="dxa"/>
            <w:vAlign w:val="top"/>
          </w:tcPr>
          <w:p>
            <w:pPr>
              <w:pStyle w:val="TableText"/>
              <w:ind w:left="657"/>
              <w:spacing w:before="53" w:line="191" w:lineRule="auto"/>
              <w:rPr>
                <w:sz w:val="20"/>
                <w:szCs w:val="20"/>
              </w:rPr>
            </w:pPr>
            <w:r>
              <w:rPr>
                <w:sz w:val="20"/>
                <w:szCs w:val="20"/>
              </w:rPr>
              <w:t>/</w:t>
            </w:r>
          </w:p>
        </w:tc>
        <w:tc>
          <w:tcPr>
            <w:tcW w:w="1339" w:type="dxa"/>
            <w:vAlign w:val="top"/>
          </w:tcPr>
          <w:p>
            <w:pPr>
              <w:pStyle w:val="TableText"/>
              <w:ind w:left="618"/>
              <w:spacing w:before="53" w:line="191" w:lineRule="auto"/>
              <w:rPr>
                <w:sz w:val="20"/>
                <w:szCs w:val="20"/>
              </w:rPr>
            </w:pPr>
            <w:r>
              <w:rPr>
                <w:sz w:val="20"/>
                <w:szCs w:val="20"/>
              </w:rPr>
              <w:t>/</w:t>
            </w:r>
          </w:p>
        </w:tc>
        <w:tc>
          <w:tcPr>
            <w:tcW w:w="1334" w:type="dxa"/>
            <w:vAlign w:val="top"/>
          </w:tcPr>
          <w:p>
            <w:pPr>
              <w:pStyle w:val="TableText"/>
              <w:ind w:left="609"/>
              <w:spacing w:before="53" w:line="191" w:lineRule="auto"/>
              <w:rPr>
                <w:sz w:val="20"/>
                <w:szCs w:val="20"/>
              </w:rPr>
            </w:pPr>
            <w:r>
              <w:rPr>
                <w:sz w:val="20"/>
                <w:szCs w:val="20"/>
              </w:rPr>
              <w:t>/</w:t>
            </w:r>
          </w:p>
        </w:tc>
      </w:tr>
      <w:tr>
        <w:trPr>
          <w:trHeight w:val="554" w:hRule="atLeast"/>
        </w:trPr>
        <w:tc>
          <w:tcPr>
            <w:tcW w:w="14140" w:type="dxa"/>
            <w:vAlign w:val="top"/>
            <w:gridSpan w:val="11"/>
          </w:tcPr>
          <w:p>
            <w:pPr>
              <w:pStyle w:val="TableText"/>
              <w:ind w:left="135"/>
              <w:spacing w:before="77" w:line="219" w:lineRule="auto"/>
              <w:rPr>
                <w:sz w:val="20"/>
                <w:szCs w:val="20"/>
              </w:rPr>
            </w:pPr>
            <w:r>
              <w:rPr>
                <w:sz w:val="20"/>
                <w:szCs w:val="20"/>
                <w:spacing w:val="-6"/>
              </w:rPr>
              <w:t>注：   (1)工作制度以300天/年计；    (2)阴极、阳极生产废水含料罐清洗废水和地面拖洗废水；    (3)霞</w:t>
            </w:r>
            <w:r>
              <w:rPr>
                <w:sz w:val="20"/>
                <w:szCs w:val="20"/>
                <w:spacing w:val="-7"/>
              </w:rPr>
              <w:t>浦县污水处理厂尾水排放执行《城镇污水处理厂</w:t>
            </w:r>
          </w:p>
          <w:p>
            <w:pPr>
              <w:pStyle w:val="TableText"/>
              <w:ind w:left="135"/>
              <w:spacing w:before="12" w:line="200" w:lineRule="auto"/>
              <w:rPr>
                <w:sz w:val="20"/>
                <w:szCs w:val="20"/>
              </w:rPr>
            </w:pPr>
            <w:r>
              <w:rPr>
                <w:sz w:val="20"/>
                <w:szCs w:val="20"/>
              </w:rPr>
              <w:t>污染物排放标准》(GB18918-2002)表1一级A标准。</w:t>
            </w:r>
          </w:p>
        </w:tc>
      </w:tr>
    </w:tbl>
    <w:p>
      <w:pPr>
        <w:rPr>
          <w:rFonts w:ascii="Arial"/>
          <w:sz w:val="21"/>
        </w:rPr>
      </w:pPr>
      <w:r/>
    </w:p>
    <w:p>
      <w:pPr>
        <w:sectPr>
          <w:footerReference w:type="default" r:id="rId115"/>
          <w:pgSz w:w="16840" w:h="11900"/>
          <w:pgMar w:top="1011" w:right="1375" w:bottom="982" w:left="1314" w:header="0" w:footer="853" w:gutter="0"/>
        </w:sectPr>
        <w:rPr>
          <w:rFonts w:ascii="Arial" w:hAnsi="Arial" w:eastAsia="Arial" w:cs="Arial"/>
          <w:sz w:val="21"/>
          <w:szCs w:val="21"/>
        </w:rPr>
      </w:pPr>
    </w:p>
    <w:p>
      <w:pPr>
        <w:pStyle w:val="BodyText"/>
        <w:ind w:left="4458"/>
        <w:spacing w:before="212" w:line="219" w:lineRule="auto"/>
        <w:rPr>
          <w:sz w:val="24"/>
          <w:szCs w:val="24"/>
        </w:rPr>
      </w:pPr>
      <w:r>
        <w:rPr>
          <w:sz w:val="24"/>
          <w:szCs w:val="24"/>
          <w:b/>
          <w:bCs/>
          <w:spacing w:val="-6"/>
        </w:rPr>
        <w:t>表4.3-2</w:t>
      </w:r>
      <w:r>
        <w:rPr>
          <w:sz w:val="24"/>
          <w:szCs w:val="24"/>
          <w:spacing w:val="119"/>
        </w:rPr>
        <w:t xml:space="preserve"> </w:t>
      </w:r>
      <w:r>
        <w:rPr>
          <w:sz w:val="24"/>
          <w:szCs w:val="24"/>
          <w:b/>
          <w:bCs/>
          <w:spacing w:val="-6"/>
        </w:rPr>
        <w:t>项目生活污水管网污染物产排情况一览表</w:t>
      </w:r>
    </w:p>
    <w:p>
      <w:pPr>
        <w:spacing w:line="203" w:lineRule="exact"/>
        <w:rPr/>
      </w:pPr>
      <w:r/>
    </w:p>
    <w:tbl>
      <w:tblPr>
        <w:tblStyle w:val="TableNormal"/>
        <w:tblW w:w="1413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34"/>
        <w:gridCol w:w="540"/>
        <w:gridCol w:w="1549"/>
        <w:gridCol w:w="989"/>
        <w:gridCol w:w="1089"/>
        <w:gridCol w:w="1769"/>
        <w:gridCol w:w="1938"/>
        <w:gridCol w:w="1839"/>
        <w:gridCol w:w="1699"/>
        <w:gridCol w:w="1893"/>
      </w:tblGrid>
      <w:tr>
        <w:trPr>
          <w:trHeight w:val="304" w:hRule="atLeast"/>
        </w:trPr>
        <w:tc>
          <w:tcPr>
            <w:tcW w:w="2923" w:type="dxa"/>
            <w:vAlign w:val="top"/>
            <w:gridSpan w:val="3"/>
            <w:vMerge w:val="restart"/>
            <w:tcBorders>
              <w:bottom w:val="nil"/>
            </w:tcBorders>
          </w:tcPr>
          <w:p>
            <w:pPr>
              <w:pStyle w:val="TableText"/>
              <w:ind w:left="935"/>
              <w:spacing w:before="203" w:line="219" w:lineRule="auto"/>
              <w:rPr>
                <w:sz w:val="20"/>
                <w:szCs w:val="20"/>
              </w:rPr>
            </w:pPr>
            <w:r>
              <w:rPr>
                <w:sz w:val="20"/>
                <w:szCs w:val="20"/>
                <w:spacing w:val="-2"/>
              </w:rPr>
              <w:t>废水污染源</w:t>
            </w:r>
          </w:p>
        </w:tc>
        <w:tc>
          <w:tcPr>
            <w:tcW w:w="2078" w:type="dxa"/>
            <w:vAlign w:val="top"/>
            <w:gridSpan w:val="2"/>
          </w:tcPr>
          <w:p>
            <w:pPr>
              <w:pStyle w:val="TableText"/>
              <w:ind w:left="732"/>
              <w:spacing w:before="53" w:line="219" w:lineRule="auto"/>
              <w:rPr>
                <w:sz w:val="20"/>
                <w:szCs w:val="20"/>
              </w:rPr>
            </w:pPr>
            <w:r>
              <w:rPr>
                <w:sz w:val="20"/>
                <w:szCs w:val="20"/>
                <w:spacing w:val="-2"/>
              </w:rPr>
              <w:t>废水量</w:t>
            </w:r>
          </w:p>
        </w:tc>
        <w:tc>
          <w:tcPr>
            <w:tcW w:w="1769" w:type="dxa"/>
            <w:vAlign w:val="top"/>
            <w:vMerge w:val="restart"/>
            <w:tcBorders>
              <w:bottom w:val="nil"/>
            </w:tcBorders>
          </w:tcPr>
          <w:p>
            <w:pPr>
              <w:pStyle w:val="TableText"/>
              <w:ind w:left="674"/>
              <w:spacing w:before="203" w:line="220" w:lineRule="auto"/>
              <w:rPr>
                <w:sz w:val="20"/>
                <w:szCs w:val="20"/>
              </w:rPr>
            </w:pPr>
            <w:r>
              <w:rPr>
                <w:sz w:val="20"/>
                <w:szCs w:val="20"/>
                <w:spacing w:val="-3"/>
              </w:rPr>
              <w:t>单位</w:t>
            </w:r>
          </w:p>
        </w:tc>
        <w:tc>
          <w:tcPr>
            <w:tcW w:w="7369" w:type="dxa"/>
            <w:vAlign w:val="top"/>
            <w:gridSpan w:val="4"/>
          </w:tcPr>
          <w:p>
            <w:pPr>
              <w:pStyle w:val="TableText"/>
              <w:ind w:left="3395"/>
              <w:spacing w:before="53" w:line="220" w:lineRule="auto"/>
              <w:rPr>
                <w:sz w:val="20"/>
                <w:szCs w:val="20"/>
              </w:rPr>
            </w:pPr>
            <w:r>
              <w:rPr>
                <w:sz w:val="20"/>
                <w:szCs w:val="20"/>
                <w:spacing w:val="-3"/>
              </w:rPr>
              <w:t>污染物</w:t>
            </w:r>
          </w:p>
        </w:tc>
      </w:tr>
      <w:tr>
        <w:trPr>
          <w:trHeight w:val="290" w:hRule="atLeast"/>
        </w:trPr>
        <w:tc>
          <w:tcPr>
            <w:tcW w:w="2923" w:type="dxa"/>
            <w:vAlign w:val="top"/>
            <w:gridSpan w:val="3"/>
            <w:vMerge w:val="continue"/>
            <w:tcBorders>
              <w:top w:val="nil"/>
            </w:tcBorders>
          </w:tcPr>
          <w:p>
            <w:pPr>
              <w:rPr>
                <w:rFonts w:ascii="Arial"/>
                <w:sz w:val="21"/>
              </w:rPr>
            </w:pPr>
            <w:r/>
          </w:p>
        </w:tc>
        <w:tc>
          <w:tcPr>
            <w:tcW w:w="989" w:type="dxa"/>
            <w:vAlign w:val="top"/>
          </w:tcPr>
          <w:p>
            <w:pPr>
              <w:pStyle w:val="TableText"/>
              <w:ind w:left="332"/>
              <w:spacing w:before="54" w:line="208" w:lineRule="auto"/>
              <w:rPr>
                <w:sz w:val="20"/>
                <w:szCs w:val="20"/>
              </w:rPr>
            </w:pPr>
            <w:r>
              <w:rPr>
                <w:sz w:val="20"/>
                <w:szCs w:val="20"/>
                <w:spacing w:val="-3"/>
              </w:rPr>
              <w:t>t/d</w:t>
            </w:r>
          </w:p>
        </w:tc>
        <w:tc>
          <w:tcPr>
            <w:tcW w:w="1089" w:type="dxa"/>
            <w:vAlign w:val="top"/>
          </w:tcPr>
          <w:p>
            <w:pPr>
              <w:pStyle w:val="TableText"/>
              <w:ind w:left="383"/>
              <w:spacing w:before="54" w:line="208" w:lineRule="auto"/>
              <w:rPr>
                <w:sz w:val="20"/>
                <w:szCs w:val="20"/>
              </w:rPr>
            </w:pPr>
            <w:r>
              <w:rPr>
                <w:sz w:val="20"/>
                <w:szCs w:val="20"/>
                <w:spacing w:val="-3"/>
              </w:rPr>
              <w:t>t/a</w:t>
            </w:r>
          </w:p>
        </w:tc>
        <w:tc>
          <w:tcPr>
            <w:tcW w:w="1769" w:type="dxa"/>
            <w:vAlign w:val="top"/>
            <w:vMerge w:val="continue"/>
            <w:tcBorders>
              <w:top w:val="nil"/>
            </w:tcBorders>
          </w:tcPr>
          <w:p>
            <w:pPr>
              <w:rPr>
                <w:rFonts w:ascii="Arial"/>
                <w:sz w:val="21"/>
              </w:rPr>
            </w:pPr>
            <w:r/>
          </w:p>
        </w:tc>
        <w:tc>
          <w:tcPr>
            <w:tcW w:w="1938" w:type="dxa"/>
            <w:vAlign w:val="top"/>
          </w:tcPr>
          <w:p>
            <w:pPr>
              <w:pStyle w:val="TableText"/>
              <w:ind w:left="815"/>
              <w:spacing w:before="101" w:line="165" w:lineRule="auto"/>
              <w:rPr>
                <w:sz w:val="20"/>
                <w:szCs w:val="20"/>
              </w:rPr>
            </w:pPr>
            <w:r>
              <w:rPr>
                <w:sz w:val="20"/>
                <w:szCs w:val="20"/>
                <w:spacing w:val="-2"/>
              </w:rPr>
              <w:t>COD</w:t>
            </w:r>
          </w:p>
        </w:tc>
        <w:tc>
          <w:tcPr>
            <w:tcW w:w="1839" w:type="dxa"/>
            <w:vAlign w:val="top"/>
          </w:tcPr>
          <w:p>
            <w:pPr>
              <w:pStyle w:val="TableText"/>
              <w:ind w:left="817"/>
              <w:spacing w:before="101" w:line="165" w:lineRule="auto"/>
              <w:rPr>
                <w:sz w:val="20"/>
                <w:szCs w:val="20"/>
              </w:rPr>
            </w:pPr>
            <w:r>
              <w:rPr>
                <w:sz w:val="20"/>
                <w:szCs w:val="20"/>
                <w:spacing w:val="-5"/>
              </w:rPr>
              <w:t>SS</w:t>
            </w:r>
          </w:p>
        </w:tc>
        <w:tc>
          <w:tcPr>
            <w:tcW w:w="1699" w:type="dxa"/>
            <w:vAlign w:val="top"/>
          </w:tcPr>
          <w:p>
            <w:pPr>
              <w:pStyle w:val="TableText"/>
              <w:ind w:left="648"/>
              <w:spacing w:before="48" w:line="214" w:lineRule="auto"/>
              <w:rPr>
                <w:sz w:val="20"/>
                <w:szCs w:val="20"/>
              </w:rPr>
            </w:pPr>
            <w:r>
              <w:rPr>
                <w:sz w:val="20"/>
                <w:szCs w:val="20"/>
                <w:spacing w:val="-2"/>
              </w:rPr>
              <w:t>氨氮</w:t>
            </w:r>
          </w:p>
        </w:tc>
        <w:tc>
          <w:tcPr>
            <w:tcW w:w="1893" w:type="dxa"/>
            <w:vAlign w:val="top"/>
          </w:tcPr>
          <w:p>
            <w:pPr>
              <w:pStyle w:val="TableText"/>
              <w:ind w:left="739"/>
              <w:spacing w:before="101" w:line="165" w:lineRule="auto"/>
              <w:rPr>
                <w:sz w:val="20"/>
                <w:szCs w:val="20"/>
              </w:rPr>
            </w:pPr>
            <w:r>
              <w:rPr>
                <w:sz w:val="20"/>
                <w:szCs w:val="20"/>
                <w:spacing w:val="-1"/>
              </w:rPr>
              <w:t>BODs</w:t>
            </w:r>
          </w:p>
        </w:tc>
      </w:tr>
      <w:tr>
        <w:trPr>
          <w:trHeight w:val="290" w:hRule="atLeast"/>
        </w:trPr>
        <w:tc>
          <w:tcPr>
            <w:tcW w:w="834" w:type="dxa"/>
            <w:vAlign w:val="top"/>
            <w:vMerge w:val="restart"/>
            <w:tcBorders>
              <w:bottom w:val="nil"/>
            </w:tcBorders>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205"/>
              <w:spacing w:before="65" w:line="271" w:lineRule="exact"/>
              <w:rPr>
                <w:sz w:val="20"/>
                <w:szCs w:val="20"/>
              </w:rPr>
            </w:pPr>
            <w:r>
              <w:rPr>
                <w:sz w:val="20"/>
                <w:szCs w:val="20"/>
                <w:spacing w:val="-2"/>
                <w:position w:val="4"/>
              </w:rPr>
              <w:t>产生</w:t>
            </w:r>
          </w:p>
          <w:p>
            <w:pPr>
              <w:pStyle w:val="TableText"/>
              <w:ind w:left="205"/>
              <w:spacing w:line="220" w:lineRule="auto"/>
              <w:rPr>
                <w:sz w:val="20"/>
                <w:szCs w:val="20"/>
              </w:rPr>
            </w:pPr>
            <w:r>
              <w:rPr>
                <w:sz w:val="20"/>
                <w:szCs w:val="20"/>
                <w:spacing w:val="-3"/>
              </w:rPr>
              <w:t>情况</w:t>
            </w:r>
          </w:p>
        </w:tc>
        <w:tc>
          <w:tcPr>
            <w:tcW w:w="540" w:type="dxa"/>
            <w:vAlign w:val="top"/>
            <w:vMerge w:val="restart"/>
            <w:textDirection w:val="tbRlV"/>
            <w:tcBorders>
              <w:bottom w:val="nil"/>
            </w:tcBorders>
          </w:tcPr>
          <w:p>
            <w:pPr>
              <w:pStyle w:val="TableText"/>
              <w:ind w:left="331"/>
              <w:spacing w:before="168" w:line="216" w:lineRule="auto"/>
              <w:rPr>
                <w:sz w:val="20"/>
                <w:szCs w:val="20"/>
              </w:rPr>
            </w:pPr>
            <w:r>
              <w:rPr>
                <w:sz w:val="20"/>
                <w:szCs w:val="20"/>
              </w:rPr>
              <w:t>生</w:t>
            </w:r>
            <w:r>
              <w:rPr>
                <w:sz w:val="20"/>
                <w:szCs w:val="20"/>
                <w:spacing w:val="-16"/>
              </w:rPr>
              <w:t xml:space="preserve"> </w:t>
            </w:r>
            <w:r>
              <w:rPr>
                <w:sz w:val="20"/>
                <w:szCs w:val="20"/>
              </w:rPr>
              <w:t>活</w:t>
            </w:r>
            <w:r>
              <w:rPr>
                <w:sz w:val="20"/>
                <w:szCs w:val="20"/>
                <w:spacing w:val="-16"/>
              </w:rPr>
              <w:t xml:space="preserve"> </w:t>
            </w:r>
            <w:r>
              <w:rPr>
                <w:sz w:val="20"/>
                <w:szCs w:val="20"/>
              </w:rPr>
              <w:t>污</w:t>
            </w:r>
            <w:r>
              <w:rPr>
                <w:sz w:val="20"/>
                <w:szCs w:val="20"/>
                <w:spacing w:val="-16"/>
              </w:rPr>
              <w:t xml:space="preserve"> </w:t>
            </w:r>
            <w:r>
              <w:rPr>
                <w:sz w:val="20"/>
                <w:szCs w:val="20"/>
              </w:rPr>
              <w:t>水</w:t>
            </w:r>
          </w:p>
        </w:tc>
        <w:tc>
          <w:tcPr>
            <w:tcW w:w="1549" w:type="dxa"/>
            <w:vAlign w:val="top"/>
            <w:vMerge w:val="restart"/>
            <w:tcBorders>
              <w:bottom w:val="nil"/>
            </w:tcBorders>
          </w:tcPr>
          <w:p>
            <w:pPr>
              <w:pStyle w:val="TableText"/>
              <w:ind w:left="161"/>
              <w:spacing w:before="219" w:line="219" w:lineRule="auto"/>
              <w:rPr>
                <w:sz w:val="20"/>
                <w:szCs w:val="20"/>
              </w:rPr>
            </w:pPr>
            <w:r>
              <w:rPr>
                <w:sz w:val="20"/>
                <w:szCs w:val="20"/>
                <w:spacing w:val="-1"/>
              </w:rPr>
              <w:t>普通生活污水</w:t>
            </w:r>
          </w:p>
        </w:tc>
        <w:tc>
          <w:tcPr>
            <w:tcW w:w="989" w:type="dxa"/>
            <w:vAlign w:val="top"/>
            <w:vMerge w:val="restart"/>
            <w:tcBorders>
              <w:bottom w:val="nil"/>
            </w:tcBorders>
          </w:tcPr>
          <w:p>
            <w:pPr>
              <w:pStyle w:val="TableText"/>
              <w:ind w:left="382"/>
              <w:spacing w:before="270" w:line="183" w:lineRule="auto"/>
              <w:rPr>
                <w:sz w:val="20"/>
                <w:szCs w:val="20"/>
              </w:rPr>
            </w:pPr>
            <w:r>
              <w:rPr>
                <w:sz w:val="20"/>
                <w:szCs w:val="20"/>
                <w:spacing w:val="-3"/>
              </w:rPr>
              <w:t>24</w:t>
            </w:r>
          </w:p>
        </w:tc>
        <w:tc>
          <w:tcPr>
            <w:tcW w:w="1089" w:type="dxa"/>
            <w:vAlign w:val="top"/>
            <w:vMerge w:val="restart"/>
            <w:tcBorders>
              <w:bottom w:val="nil"/>
            </w:tcBorders>
          </w:tcPr>
          <w:p>
            <w:pPr>
              <w:pStyle w:val="TableText"/>
              <w:ind w:left="333"/>
              <w:spacing w:before="270" w:line="183" w:lineRule="auto"/>
              <w:rPr>
                <w:sz w:val="20"/>
                <w:szCs w:val="20"/>
              </w:rPr>
            </w:pPr>
            <w:r>
              <w:rPr>
                <w:sz w:val="20"/>
                <w:szCs w:val="20"/>
                <w:spacing w:val="-3"/>
              </w:rPr>
              <w:t>7200</w:t>
            </w:r>
          </w:p>
        </w:tc>
        <w:tc>
          <w:tcPr>
            <w:tcW w:w="1769" w:type="dxa"/>
            <w:vAlign w:val="top"/>
          </w:tcPr>
          <w:p>
            <w:pPr>
              <w:pStyle w:val="TableText"/>
              <w:ind w:left="674"/>
              <w:spacing w:before="42" w:line="214" w:lineRule="auto"/>
              <w:rPr>
                <w:sz w:val="20"/>
                <w:szCs w:val="20"/>
              </w:rPr>
            </w:pPr>
            <w:r>
              <w:rPr>
                <w:sz w:val="20"/>
                <w:szCs w:val="20"/>
                <w:spacing w:val="-1"/>
              </w:rPr>
              <w:t>mg/L</w:t>
            </w:r>
          </w:p>
        </w:tc>
        <w:tc>
          <w:tcPr>
            <w:tcW w:w="1938" w:type="dxa"/>
            <w:vAlign w:val="top"/>
          </w:tcPr>
          <w:p>
            <w:pPr>
              <w:pStyle w:val="TableText"/>
              <w:ind w:left="815"/>
              <w:spacing w:before="101" w:line="165" w:lineRule="auto"/>
              <w:rPr>
                <w:sz w:val="20"/>
                <w:szCs w:val="20"/>
              </w:rPr>
            </w:pPr>
            <w:r>
              <w:rPr>
                <w:sz w:val="20"/>
                <w:szCs w:val="20"/>
                <w:spacing w:val="-3"/>
              </w:rPr>
              <w:t>500</w:t>
            </w:r>
          </w:p>
        </w:tc>
        <w:tc>
          <w:tcPr>
            <w:tcW w:w="1839" w:type="dxa"/>
            <w:vAlign w:val="top"/>
          </w:tcPr>
          <w:p>
            <w:pPr>
              <w:pStyle w:val="TableText"/>
              <w:ind w:left="767"/>
              <w:spacing w:before="101" w:line="165" w:lineRule="auto"/>
              <w:rPr>
                <w:sz w:val="20"/>
                <w:szCs w:val="20"/>
              </w:rPr>
            </w:pPr>
            <w:r>
              <w:rPr>
                <w:sz w:val="20"/>
                <w:szCs w:val="20"/>
                <w:spacing w:val="-2"/>
              </w:rPr>
              <w:t>400</w:t>
            </w:r>
          </w:p>
        </w:tc>
        <w:tc>
          <w:tcPr>
            <w:tcW w:w="1699" w:type="dxa"/>
            <w:vAlign w:val="top"/>
          </w:tcPr>
          <w:p>
            <w:pPr>
              <w:pStyle w:val="TableText"/>
              <w:ind w:left="747"/>
              <w:spacing w:before="101" w:line="165" w:lineRule="auto"/>
              <w:rPr>
                <w:sz w:val="20"/>
                <w:szCs w:val="20"/>
              </w:rPr>
            </w:pPr>
            <w:r>
              <w:rPr>
                <w:sz w:val="20"/>
                <w:szCs w:val="20"/>
                <w:spacing w:val="-2"/>
              </w:rPr>
              <w:t>45</w:t>
            </w:r>
          </w:p>
        </w:tc>
        <w:tc>
          <w:tcPr>
            <w:tcW w:w="1893" w:type="dxa"/>
            <w:vAlign w:val="top"/>
          </w:tcPr>
          <w:p>
            <w:pPr>
              <w:pStyle w:val="TableText"/>
              <w:ind w:left="789"/>
              <w:spacing w:before="101" w:line="165" w:lineRule="auto"/>
              <w:rPr>
                <w:sz w:val="20"/>
                <w:szCs w:val="20"/>
              </w:rPr>
            </w:pPr>
            <w:r>
              <w:rPr>
                <w:sz w:val="20"/>
                <w:szCs w:val="20"/>
                <w:spacing w:val="-3"/>
              </w:rPr>
              <w:t>300</w:t>
            </w:r>
          </w:p>
        </w:tc>
      </w:tr>
      <w:tr>
        <w:trPr>
          <w:trHeight w:val="329" w:hRule="atLeast"/>
        </w:trPr>
        <w:tc>
          <w:tcPr>
            <w:tcW w:w="834" w:type="dxa"/>
            <w:vAlign w:val="top"/>
            <w:vMerge w:val="continue"/>
            <w:tcBorders>
              <w:top w:val="nil"/>
              <w:bottom w:val="nil"/>
            </w:tcBorders>
          </w:tcPr>
          <w:p>
            <w:pPr>
              <w:rPr>
                <w:rFonts w:ascii="Arial"/>
                <w:sz w:val="21"/>
              </w:rPr>
            </w:pPr>
            <w:r/>
          </w:p>
        </w:tc>
        <w:tc>
          <w:tcPr>
            <w:tcW w:w="540" w:type="dxa"/>
            <w:vAlign w:val="top"/>
            <w:vMerge w:val="continue"/>
            <w:textDirection w:val="tbRlV"/>
            <w:tcBorders>
              <w:top w:val="nil"/>
              <w:bottom w:val="nil"/>
            </w:tcBorders>
          </w:tcPr>
          <w:p>
            <w:pPr>
              <w:rPr>
                <w:rFonts w:ascii="Arial"/>
                <w:sz w:val="21"/>
              </w:rPr>
            </w:pPr>
            <w:r/>
          </w:p>
        </w:tc>
        <w:tc>
          <w:tcPr>
            <w:tcW w:w="1549" w:type="dxa"/>
            <w:vAlign w:val="top"/>
            <w:vMerge w:val="continue"/>
            <w:tcBorders>
              <w:top w:val="nil"/>
            </w:tcBorders>
          </w:tcPr>
          <w:p>
            <w:pPr>
              <w:rPr>
                <w:rFonts w:ascii="Arial"/>
                <w:sz w:val="21"/>
              </w:rPr>
            </w:pPr>
            <w:r/>
          </w:p>
        </w:tc>
        <w:tc>
          <w:tcPr>
            <w:tcW w:w="989" w:type="dxa"/>
            <w:vAlign w:val="top"/>
            <w:vMerge w:val="continue"/>
            <w:tcBorders>
              <w:top w:val="nil"/>
            </w:tcBorders>
          </w:tcPr>
          <w:p>
            <w:pPr>
              <w:rPr>
                <w:rFonts w:ascii="Arial"/>
                <w:sz w:val="21"/>
              </w:rPr>
            </w:pPr>
            <w:r/>
          </w:p>
        </w:tc>
        <w:tc>
          <w:tcPr>
            <w:tcW w:w="1089" w:type="dxa"/>
            <w:vAlign w:val="top"/>
            <w:vMerge w:val="continue"/>
            <w:tcBorders>
              <w:top w:val="nil"/>
            </w:tcBorders>
          </w:tcPr>
          <w:p>
            <w:pPr>
              <w:rPr>
                <w:rFonts w:ascii="Arial"/>
                <w:sz w:val="21"/>
              </w:rPr>
            </w:pPr>
            <w:r/>
          </w:p>
        </w:tc>
        <w:tc>
          <w:tcPr>
            <w:tcW w:w="1769" w:type="dxa"/>
            <w:vAlign w:val="top"/>
          </w:tcPr>
          <w:p>
            <w:pPr>
              <w:pStyle w:val="TableText"/>
              <w:ind w:left="724"/>
              <w:spacing w:before="74" w:line="224" w:lineRule="auto"/>
              <w:rPr>
                <w:sz w:val="20"/>
                <w:szCs w:val="20"/>
              </w:rPr>
            </w:pPr>
            <w:r>
              <w:rPr>
                <w:sz w:val="20"/>
                <w:szCs w:val="20"/>
                <w:spacing w:val="-3"/>
              </w:rPr>
              <w:t>t/a</w:t>
            </w:r>
          </w:p>
        </w:tc>
        <w:tc>
          <w:tcPr>
            <w:tcW w:w="1938" w:type="dxa"/>
            <w:vAlign w:val="top"/>
          </w:tcPr>
          <w:p>
            <w:pPr>
              <w:pStyle w:val="TableText"/>
              <w:ind w:left="715"/>
              <w:spacing w:before="120" w:line="183" w:lineRule="auto"/>
              <w:rPr>
                <w:sz w:val="20"/>
                <w:szCs w:val="20"/>
              </w:rPr>
            </w:pPr>
            <w:r>
              <w:rPr>
                <w:sz w:val="20"/>
                <w:szCs w:val="20"/>
                <w:spacing w:val="-2"/>
              </w:rPr>
              <w:t>3.600</w:t>
            </w:r>
          </w:p>
        </w:tc>
        <w:tc>
          <w:tcPr>
            <w:tcW w:w="1839" w:type="dxa"/>
            <w:vAlign w:val="top"/>
          </w:tcPr>
          <w:p>
            <w:pPr>
              <w:pStyle w:val="TableText"/>
              <w:ind w:left="667"/>
              <w:spacing w:before="120" w:line="183" w:lineRule="auto"/>
              <w:rPr>
                <w:sz w:val="20"/>
                <w:szCs w:val="20"/>
              </w:rPr>
            </w:pPr>
            <w:r>
              <w:rPr>
                <w:sz w:val="20"/>
                <w:szCs w:val="20"/>
                <w:spacing w:val="-2"/>
              </w:rPr>
              <w:t>2.880</w:t>
            </w:r>
          </w:p>
        </w:tc>
        <w:tc>
          <w:tcPr>
            <w:tcW w:w="1699" w:type="dxa"/>
            <w:vAlign w:val="top"/>
          </w:tcPr>
          <w:p>
            <w:pPr>
              <w:pStyle w:val="TableText"/>
              <w:ind w:left="598"/>
              <w:spacing w:before="120" w:line="183" w:lineRule="auto"/>
              <w:rPr>
                <w:sz w:val="20"/>
                <w:szCs w:val="20"/>
              </w:rPr>
            </w:pPr>
            <w:r>
              <w:rPr>
                <w:sz w:val="20"/>
                <w:szCs w:val="20"/>
                <w:spacing w:val="-2"/>
              </w:rPr>
              <w:t>0.324</w:t>
            </w:r>
          </w:p>
        </w:tc>
        <w:tc>
          <w:tcPr>
            <w:tcW w:w="1893" w:type="dxa"/>
            <w:vAlign w:val="top"/>
          </w:tcPr>
          <w:p>
            <w:pPr>
              <w:pStyle w:val="TableText"/>
              <w:ind w:left="689"/>
              <w:spacing w:before="119" w:line="184" w:lineRule="auto"/>
              <w:rPr>
                <w:sz w:val="20"/>
                <w:szCs w:val="20"/>
              </w:rPr>
            </w:pPr>
            <w:r>
              <w:rPr>
                <w:sz w:val="20"/>
                <w:szCs w:val="20"/>
                <w:spacing w:val="-2"/>
              </w:rPr>
              <w:t>2.160</w:t>
            </w:r>
          </w:p>
        </w:tc>
      </w:tr>
      <w:tr>
        <w:trPr>
          <w:trHeight w:val="399" w:hRule="atLeast"/>
        </w:trPr>
        <w:tc>
          <w:tcPr>
            <w:tcW w:w="834" w:type="dxa"/>
            <w:vAlign w:val="top"/>
            <w:vMerge w:val="continue"/>
            <w:tcBorders>
              <w:top w:val="nil"/>
              <w:bottom w:val="nil"/>
            </w:tcBorders>
          </w:tcPr>
          <w:p>
            <w:pPr>
              <w:rPr>
                <w:rFonts w:ascii="Arial"/>
                <w:sz w:val="21"/>
              </w:rPr>
            </w:pPr>
            <w:r/>
          </w:p>
        </w:tc>
        <w:tc>
          <w:tcPr>
            <w:tcW w:w="540" w:type="dxa"/>
            <w:vAlign w:val="top"/>
            <w:vMerge w:val="continue"/>
            <w:textDirection w:val="tbRlV"/>
            <w:tcBorders>
              <w:top w:val="nil"/>
              <w:bottom w:val="nil"/>
            </w:tcBorders>
          </w:tcPr>
          <w:p>
            <w:pPr>
              <w:rPr>
                <w:rFonts w:ascii="Arial"/>
                <w:sz w:val="21"/>
              </w:rPr>
            </w:pPr>
            <w:r/>
          </w:p>
        </w:tc>
        <w:tc>
          <w:tcPr>
            <w:tcW w:w="1549" w:type="dxa"/>
            <w:vAlign w:val="top"/>
            <w:vMerge w:val="restart"/>
            <w:tcBorders>
              <w:bottom w:val="nil"/>
            </w:tcBorders>
          </w:tcPr>
          <w:p>
            <w:pPr>
              <w:pStyle w:val="TableText"/>
              <w:ind w:left="161"/>
              <w:spacing w:before="280" w:line="219" w:lineRule="auto"/>
              <w:rPr>
                <w:sz w:val="20"/>
                <w:szCs w:val="20"/>
              </w:rPr>
            </w:pPr>
            <w:r>
              <w:rPr>
                <w:sz w:val="20"/>
                <w:szCs w:val="20"/>
                <w:spacing w:val="-2"/>
              </w:rPr>
              <w:t>食堂含油废水</w:t>
            </w:r>
          </w:p>
        </w:tc>
        <w:tc>
          <w:tcPr>
            <w:tcW w:w="989" w:type="dxa"/>
            <w:vAlign w:val="top"/>
            <w:vMerge w:val="restart"/>
            <w:tcBorders>
              <w:bottom w:val="nil"/>
            </w:tcBorders>
          </w:tcPr>
          <w:p>
            <w:pPr>
              <w:spacing w:line="265" w:lineRule="auto"/>
              <w:rPr>
                <w:rFonts w:ascii="Arial"/>
                <w:sz w:val="21"/>
              </w:rPr>
            </w:pPr>
            <w:r/>
          </w:p>
          <w:p>
            <w:pPr>
              <w:pStyle w:val="TableText"/>
              <w:ind w:left="332"/>
              <w:spacing w:before="65" w:line="183" w:lineRule="auto"/>
              <w:rPr>
                <w:sz w:val="20"/>
                <w:szCs w:val="20"/>
              </w:rPr>
            </w:pPr>
            <w:r>
              <w:rPr>
                <w:sz w:val="20"/>
                <w:szCs w:val="20"/>
                <w:spacing w:val="-3"/>
              </w:rPr>
              <w:t>7.2</w:t>
            </w:r>
          </w:p>
        </w:tc>
        <w:tc>
          <w:tcPr>
            <w:tcW w:w="1089" w:type="dxa"/>
            <w:vAlign w:val="top"/>
            <w:vMerge w:val="restart"/>
            <w:tcBorders>
              <w:bottom w:val="nil"/>
            </w:tcBorders>
          </w:tcPr>
          <w:p>
            <w:pPr>
              <w:spacing w:line="264" w:lineRule="auto"/>
              <w:rPr>
                <w:rFonts w:ascii="Arial"/>
                <w:sz w:val="21"/>
              </w:rPr>
            </w:pPr>
            <w:r/>
          </w:p>
          <w:p>
            <w:pPr>
              <w:pStyle w:val="TableText"/>
              <w:ind w:left="333"/>
              <w:spacing w:before="65" w:line="184" w:lineRule="auto"/>
              <w:rPr>
                <w:sz w:val="20"/>
                <w:szCs w:val="20"/>
              </w:rPr>
            </w:pPr>
            <w:r>
              <w:rPr>
                <w:sz w:val="20"/>
                <w:szCs w:val="20"/>
                <w:spacing w:val="-2"/>
              </w:rPr>
              <w:t>2160</w:t>
            </w:r>
          </w:p>
        </w:tc>
        <w:tc>
          <w:tcPr>
            <w:tcW w:w="1769" w:type="dxa"/>
            <w:vAlign w:val="top"/>
          </w:tcPr>
          <w:p>
            <w:pPr>
              <w:pStyle w:val="TableText"/>
              <w:ind w:left="674"/>
              <w:spacing w:before="93" w:line="214" w:lineRule="auto"/>
              <w:rPr>
                <w:sz w:val="20"/>
                <w:szCs w:val="20"/>
              </w:rPr>
            </w:pPr>
            <w:r>
              <w:rPr>
                <w:sz w:val="20"/>
                <w:szCs w:val="20"/>
                <w:spacing w:val="-1"/>
              </w:rPr>
              <w:t>mg/L</w:t>
            </w:r>
          </w:p>
        </w:tc>
        <w:tc>
          <w:tcPr>
            <w:tcW w:w="1938" w:type="dxa"/>
            <w:vAlign w:val="top"/>
          </w:tcPr>
          <w:p>
            <w:pPr>
              <w:pStyle w:val="TableText"/>
              <w:ind w:left="815"/>
              <w:spacing w:before="151" w:line="183" w:lineRule="auto"/>
              <w:rPr>
                <w:sz w:val="20"/>
                <w:szCs w:val="20"/>
              </w:rPr>
            </w:pPr>
            <w:r>
              <w:rPr>
                <w:sz w:val="20"/>
                <w:szCs w:val="20"/>
                <w:spacing w:val="-2"/>
              </w:rPr>
              <w:t>800</w:t>
            </w:r>
          </w:p>
        </w:tc>
        <w:tc>
          <w:tcPr>
            <w:tcW w:w="1839" w:type="dxa"/>
            <w:vAlign w:val="top"/>
          </w:tcPr>
          <w:p>
            <w:pPr>
              <w:pStyle w:val="TableText"/>
              <w:ind w:left="767"/>
              <w:spacing w:before="151" w:line="183" w:lineRule="auto"/>
              <w:rPr>
                <w:sz w:val="20"/>
                <w:szCs w:val="20"/>
              </w:rPr>
            </w:pPr>
            <w:r>
              <w:rPr>
                <w:sz w:val="20"/>
                <w:szCs w:val="20"/>
                <w:spacing w:val="-3"/>
              </w:rPr>
              <w:t>500</w:t>
            </w:r>
          </w:p>
        </w:tc>
        <w:tc>
          <w:tcPr>
            <w:tcW w:w="1699" w:type="dxa"/>
            <w:vAlign w:val="top"/>
          </w:tcPr>
          <w:p>
            <w:pPr>
              <w:pStyle w:val="TableText"/>
              <w:ind w:left="747"/>
              <w:spacing w:before="151" w:line="183" w:lineRule="auto"/>
              <w:rPr>
                <w:sz w:val="20"/>
                <w:szCs w:val="20"/>
              </w:rPr>
            </w:pPr>
            <w:r>
              <w:rPr>
                <w:sz w:val="20"/>
                <w:szCs w:val="20"/>
                <w:spacing w:val="-2"/>
              </w:rPr>
              <w:t>45</w:t>
            </w:r>
          </w:p>
        </w:tc>
        <w:tc>
          <w:tcPr>
            <w:tcW w:w="1893" w:type="dxa"/>
            <w:vAlign w:val="top"/>
          </w:tcPr>
          <w:p>
            <w:pPr>
              <w:pStyle w:val="TableText"/>
              <w:ind w:left="789"/>
              <w:spacing w:before="151" w:line="183" w:lineRule="auto"/>
              <w:rPr>
                <w:sz w:val="20"/>
                <w:szCs w:val="20"/>
              </w:rPr>
            </w:pPr>
            <w:r>
              <w:rPr>
                <w:sz w:val="20"/>
                <w:szCs w:val="20"/>
                <w:spacing w:val="-3"/>
              </w:rPr>
              <w:t>500</w:t>
            </w:r>
          </w:p>
        </w:tc>
      </w:tr>
      <w:tr>
        <w:trPr>
          <w:trHeight w:val="339" w:hRule="atLeast"/>
        </w:trPr>
        <w:tc>
          <w:tcPr>
            <w:tcW w:w="834" w:type="dxa"/>
            <w:vAlign w:val="top"/>
            <w:vMerge w:val="continue"/>
            <w:tcBorders>
              <w:top w:val="nil"/>
              <w:bottom w:val="nil"/>
            </w:tcBorders>
          </w:tcPr>
          <w:p>
            <w:pPr>
              <w:rPr>
                <w:rFonts w:ascii="Arial"/>
                <w:sz w:val="21"/>
              </w:rPr>
            </w:pPr>
            <w:r/>
          </w:p>
        </w:tc>
        <w:tc>
          <w:tcPr>
            <w:tcW w:w="540" w:type="dxa"/>
            <w:vAlign w:val="top"/>
            <w:vMerge w:val="continue"/>
            <w:textDirection w:val="tbRlV"/>
            <w:tcBorders>
              <w:top w:val="nil"/>
              <w:bottom w:val="nil"/>
            </w:tcBorders>
          </w:tcPr>
          <w:p>
            <w:pPr>
              <w:rPr>
                <w:rFonts w:ascii="Arial"/>
                <w:sz w:val="21"/>
              </w:rPr>
            </w:pPr>
            <w:r/>
          </w:p>
        </w:tc>
        <w:tc>
          <w:tcPr>
            <w:tcW w:w="1549" w:type="dxa"/>
            <w:vAlign w:val="top"/>
            <w:vMerge w:val="continue"/>
            <w:tcBorders>
              <w:top w:val="nil"/>
            </w:tcBorders>
          </w:tcPr>
          <w:p>
            <w:pPr>
              <w:rPr>
                <w:rFonts w:ascii="Arial"/>
                <w:sz w:val="21"/>
              </w:rPr>
            </w:pPr>
            <w:r/>
          </w:p>
        </w:tc>
        <w:tc>
          <w:tcPr>
            <w:tcW w:w="989" w:type="dxa"/>
            <w:vAlign w:val="top"/>
            <w:vMerge w:val="continue"/>
            <w:tcBorders>
              <w:top w:val="nil"/>
            </w:tcBorders>
          </w:tcPr>
          <w:p>
            <w:pPr>
              <w:rPr>
                <w:rFonts w:ascii="Arial"/>
                <w:sz w:val="21"/>
              </w:rPr>
            </w:pPr>
            <w:r/>
          </w:p>
        </w:tc>
        <w:tc>
          <w:tcPr>
            <w:tcW w:w="1089" w:type="dxa"/>
            <w:vAlign w:val="top"/>
            <w:vMerge w:val="continue"/>
            <w:tcBorders>
              <w:top w:val="nil"/>
            </w:tcBorders>
          </w:tcPr>
          <w:p>
            <w:pPr>
              <w:rPr>
                <w:rFonts w:ascii="Arial"/>
                <w:sz w:val="21"/>
              </w:rPr>
            </w:pPr>
            <w:r/>
          </w:p>
        </w:tc>
        <w:tc>
          <w:tcPr>
            <w:tcW w:w="1769" w:type="dxa"/>
            <w:vAlign w:val="top"/>
          </w:tcPr>
          <w:p>
            <w:pPr>
              <w:pStyle w:val="TableText"/>
              <w:ind w:left="724"/>
              <w:spacing w:before="76" w:line="224" w:lineRule="auto"/>
              <w:rPr>
                <w:sz w:val="20"/>
                <w:szCs w:val="20"/>
              </w:rPr>
            </w:pPr>
            <w:r>
              <w:rPr>
                <w:sz w:val="20"/>
                <w:szCs w:val="20"/>
                <w:spacing w:val="-3"/>
              </w:rPr>
              <w:t>t/a</w:t>
            </w:r>
          </w:p>
        </w:tc>
        <w:tc>
          <w:tcPr>
            <w:tcW w:w="1938" w:type="dxa"/>
            <w:vAlign w:val="top"/>
          </w:tcPr>
          <w:p>
            <w:pPr>
              <w:pStyle w:val="TableText"/>
              <w:ind w:left="715"/>
              <w:spacing w:before="121" w:line="184" w:lineRule="auto"/>
              <w:rPr>
                <w:sz w:val="20"/>
                <w:szCs w:val="20"/>
              </w:rPr>
            </w:pPr>
            <w:r>
              <w:rPr>
                <w:sz w:val="20"/>
                <w:szCs w:val="20"/>
                <w:spacing w:val="-4"/>
              </w:rPr>
              <w:t>1.728</w:t>
            </w:r>
          </w:p>
        </w:tc>
        <w:tc>
          <w:tcPr>
            <w:tcW w:w="1839" w:type="dxa"/>
            <w:vAlign w:val="top"/>
          </w:tcPr>
          <w:p>
            <w:pPr>
              <w:pStyle w:val="TableText"/>
              <w:ind w:left="667"/>
              <w:spacing w:before="121" w:line="184" w:lineRule="auto"/>
              <w:rPr>
                <w:sz w:val="20"/>
                <w:szCs w:val="20"/>
              </w:rPr>
            </w:pPr>
            <w:r>
              <w:rPr>
                <w:sz w:val="20"/>
                <w:szCs w:val="20"/>
                <w:spacing w:val="-4"/>
              </w:rPr>
              <w:t>1.080</w:t>
            </w:r>
          </w:p>
        </w:tc>
        <w:tc>
          <w:tcPr>
            <w:tcW w:w="1699" w:type="dxa"/>
            <w:vAlign w:val="top"/>
          </w:tcPr>
          <w:p>
            <w:pPr>
              <w:pStyle w:val="TableText"/>
              <w:ind w:left="598"/>
              <w:spacing w:before="122" w:line="183" w:lineRule="auto"/>
              <w:rPr>
                <w:sz w:val="20"/>
                <w:szCs w:val="20"/>
              </w:rPr>
            </w:pPr>
            <w:r>
              <w:rPr>
                <w:sz w:val="20"/>
                <w:szCs w:val="20"/>
                <w:spacing w:val="-2"/>
              </w:rPr>
              <w:t>0.097</w:t>
            </w:r>
          </w:p>
        </w:tc>
        <w:tc>
          <w:tcPr>
            <w:tcW w:w="1893" w:type="dxa"/>
            <w:vAlign w:val="top"/>
          </w:tcPr>
          <w:p>
            <w:pPr>
              <w:pStyle w:val="TableText"/>
              <w:ind w:left="689"/>
              <w:spacing w:before="121" w:line="184" w:lineRule="auto"/>
              <w:rPr>
                <w:sz w:val="20"/>
                <w:szCs w:val="20"/>
              </w:rPr>
            </w:pPr>
            <w:r>
              <w:rPr>
                <w:sz w:val="20"/>
                <w:szCs w:val="20"/>
                <w:spacing w:val="-4"/>
              </w:rPr>
              <w:t>1.080</w:t>
            </w:r>
          </w:p>
        </w:tc>
      </w:tr>
      <w:tr>
        <w:trPr>
          <w:trHeight w:val="339" w:hRule="atLeast"/>
        </w:trPr>
        <w:tc>
          <w:tcPr>
            <w:tcW w:w="834" w:type="dxa"/>
            <w:vAlign w:val="top"/>
            <w:vMerge w:val="continue"/>
            <w:tcBorders>
              <w:top w:val="nil"/>
              <w:bottom w:val="nil"/>
            </w:tcBorders>
          </w:tcPr>
          <w:p>
            <w:pPr>
              <w:rPr>
                <w:rFonts w:ascii="Arial"/>
                <w:sz w:val="21"/>
              </w:rPr>
            </w:pPr>
            <w:r/>
          </w:p>
        </w:tc>
        <w:tc>
          <w:tcPr>
            <w:tcW w:w="540" w:type="dxa"/>
            <w:vAlign w:val="top"/>
            <w:vMerge w:val="continue"/>
            <w:textDirection w:val="tbRlV"/>
            <w:tcBorders>
              <w:top w:val="nil"/>
            </w:tcBorders>
          </w:tcPr>
          <w:p>
            <w:pPr>
              <w:rPr>
                <w:rFonts w:ascii="Arial"/>
                <w:sz w:val="21"/>
              </w:rPr>
            </w:pPr>
            <w:r/>
          </w:p>
        </w:tc>
        <w:tc>
          <w:tcPr>
            <w:tcW w:w="1549" w:type="dxa"/>
            <w:vAlign w:val="top"/>
          </w:tcPr>
          <w:p>
            <w:pPr>
              <w:pStyle w:val="TableText"/>
              <w:ind w:left="561"/>
              <w:spacing w:before="73" w:line="221" w:lineRule="auto"/>
              <w:rPr>
                <w:sz w:val="20"/>
                <w:szCs w:val="20"/>
              </w:rPr>
            </w:pPr>
            <w:r>
              <w:rPr>
                <w:sz w:val="20"/>
                <w:szCs w:val="20"/>
                <w:spacing w:val="4"/>
              </w:rPr>
              <w:t>小计</w:t>
            </w:r>
          </w:p>
        </w:tc>
        <w:tc>
          <w:tcPr>
            <w:tcW w:w="989" w:type="dxa"/>
            <w:vAlign w:val="top"/>
          </w:tcPr>
          <w:p>
            <w:pPr>
              <w:pStyle w:val="TableText"/>
              <w:ind w:left="282"/>
              <w:spacing w:before="122" w:line="184" w:lineRule="auto"/>
              <w:rPr>
                <w:sz w:val="20"/>
                <w:szCs w:val="20"/>
              </w:rPr>
            </w:pPr>
            <w:r>
              <w:rPr>
                <w:sz w:val="20"/>
                <w:szCs w:val="20"/>
                <w:spacing w:val="-3"/>
              </w:rPr>
              <w:t>31.2</w:t>
            </w:r>
          </w:p>
        </w:tc>
        <w:tc>
          <w:tcPr>
            <w:tcW w:w="1089" w:type="dxa"/>
            <w:vAlign w:val="top"/>
          </w:tcPr>
          <w:p>
            <w:pPr>
              <w:pStyle w:val="TableText"/>
              <w:ind w:left="333"/>
              <w:spacing w:before="123" w:line="183" w:lineRule="auto"/>
              <w:rPr>
                <w:sz w:val="20"/>
                <w:szCs w:val="20"/>
              </w:rPr>
            </w:pPr>
            <w:r>
              <w:rPr>
                <w:sz w:val="20"/>
                <w:szCs w:val="20"/>
                <w:spacing w:val="-2"/>
              </w:rPr>
              <w:t>9360</w:t>
            </w:r>
          </w:p>
        </w:tc>
        <w:tc>
          <w:tcPr>
            <w:tcW w:w="1769" w:type="dxa"/>
            <w:vAlign w:val="top"/>
          </w:tcPr>
          <w:p>
            <w:pPr>
              <w:pStyle w:val="TableText"/>
              <w:ind w:left="724"/>
              <w:spacing w:before="77" w:line="224" w:lineRule="auto"/>
              <w:rPr>
                <w:sz w:val="20"/>
                <w:szCs w:val="20"/>
              </w:rPr>
            </w:pPr>
            <w:r>
              <w:rPr>
                <w:sz w:val="20"/>
                <w:szCs w:val="20"/>
                <w:spacing w:val="-3"/>
              </w:rPr>
              <w:t>t/a</w:t>
            </w:r>
          </w:p>
        </w:tc>
        <w:tc>
          <w:tcPr>
            <w:tcW w:w="1938" w:type="dxa"/>
            <w:vAlign w:val="top"/>
          </w:tcPr>
          <w:p>
            <w:pPr>
              <w:pStyle w:val="TableText"/>
              <w:ind w:left="715"/>
              <w:spacing w:before="123" w:line="183" w:lineRule="auto"/>
              <w:rPr>
                <w:sz w:val="20"/>
                <w:szCs w:val="20"/>
              </w:rPr>
            </w:pPr>
            <w:r>
              <w:rPr>
                <w:sz w:val="20"/>
                <w:szCs w:val="20"/>
                <w:spacing w:val="-2"/>
              </w:rPr>
              <w:t>5.328</w:t>
            </w:r>
          </w:p>
        </w:tc>
        <w:tc>
          <w:tcPr>
            <w:tcW w:w="1839" w:type="dxa"/>
            <w:vAlign w:val="top"/>
          </w:tcPr>
          <w:p>
            <w:pPr>
              <w:pStyle w:val="TableText"/>
              <w:ind w:left="667"/>
              <w:spacing w:before="123" w:line="183" w:lineRule="auto"/>
              <w:rPr>
                <w:sz w:val="20"/>
                <w:szCs w:val="20"/>
              </w:rPr>
            </w:pPr>
            <w:r>
              <w:rPr>
                <w:sz w:val="20"/>
                <w:szCs w:val="20"/>
                <w:spacing w:val="-2"/>
              </w:rPr>
              <w:t>3.960</w:t>
            </w:r>
          </w:p>
        </w:tc>
        <w:tc>
          <w:tcPr>
            <w:tcW w:w="1699" w:type="dxa"/>
            <w:vAlign w:val="top"/>
          </w:tcPr>
          <w:p>
            <w:pPr>
              <w:pStyle w:val="TableText"/>
              <w:ind w:left="598"/>
              <w:spacing w:before="122" w:line="184" w:lineRule="auto"/>
              <w:rPr>
                <w:sz w:val="20"/>
                <w:szCs w:val="20"/>
              </w:rPr>
            </w:pPr>
            <w:r>
              <w:rPr>
                <w:sz w:val="20"/>
                <w:szCs w:val="20"/>
                <w:spacing w:val="-2"/>
              </w:rPr>
              <w:t>0.421</w:t>
            </w:r>
          </w:p>
        </w:tc>
        <w:tc>
          <w:tcPr>
            <w:tcW w:w="1893" w:type="dxa"/>
            <w:vAlign w:val="top"/>
          </w:tcPr>
          <w:p>
            <w:pPr>
              <w:pStyle w:val="TableText"/>
              <w:ind w:left="689"/>
              <w:spacing w:before="123" w:line="183" w:lineRule="auto"/>
              <w:rPr>
                <w:sz w:val="20"/>
                <w:szCs w:val="20"/>
              </w:rPr>
            </w:pPr>
            <w:r>
              <w:rPr>
                <w:sz w:val="20"/>
                <w:szCs w:val="20"/>
                <w:spacing w:val="-2"/>
              </w:rPr>
              <w:t>3.240</w:t>
            </w:r>
          </w:p>
        </w:tc>
      </w:tr>
      <w:tr>
        <w:trPr>
          <w:trHeight w:val="290" w:hRule="atLeast"/>
        </w:trPr>
        <w:tc>
          <w:tcPr>
            <w:tcW w:w="834" w:type="dxa"/>
            <w:vAlign w:val="top"/>
            <w:vMerge w:val="continue"/>
            <w:tcBorders>
              <w:top w:val="nil"/>
              <w:bottom w:val="nil"/>
            </w:tcBorders>
          </w:tcPr>
          <w:p>
            <w:pPr>
              <w:rPr>
                <w:rFonts w:ascii="Arial"/>
                <w:sz w:val="21"/>
              </w:rPr>
            </w:pPr>
            <w:r/>
          </w:p>
        </w:tc>
        <w:tc>
          <w:tcPr>
            <w:tcW w:w="2089" w:type="dxa"/>
            <w:vAlign w:val="top"/>
            <w:gridSpan w:val="2"/>
            <w:vMerge w:val="restart"/>
            <w:tcBorders>
              <w:bottom w:val="nil"/>
            </w:tcBorders>
          </w:tcPr>
          <w:p>
            <w:pPr>
              <w:pStyle w:val="TableText"/>
              <w:ind w:left="430"/>
              <w:spacing w:before="203" w:line="219" w:lineRule="auto"/>
              <w:rPr>
                <w:sz w:val="20"/>
                <w:szCs w:val="20"/>
              </w:rPr>
            </w:pPr>
            <w:r>
              <w:rPr>
                <w:sz w:val="20"/>
                <w:szCs w:val="20"/>
                <w:spacing w:val="-2"/>
              </w:rPr>
              <w:t>锅炉软化浓水</w:t>
            </w:r>
          </w:p>
        </w:tc>
        <w:tc>
          <w:tcPr>
            <w:tcW w:w="989" w:type="dxa"/>
            <w:vAlign w:val="top"/>
            <w:vMerge w:val="restart"/>
            <w:tcBorders>
              <w:bottom w:val="nil"/>
            </w:tcBorders>
          </w:tcPr>
          <w:p>
            <w:pPr>
              <w:pStyle w:val="TableText"/>
              <w:ind w:left="282"/>
              <w:spacing w:before="253" w:line="184" w:lineRule="auto"/>
              <w:rPr>
                <w:sz w:val="20"/>
                <w:szCs w:val="20"/>
              </w:rPr>
            </w:pPr>
            <w:r>
              <w:rPr>
                <w:sz w:val="20"/>
                <w:szCs w:val="20"/>
                <w:spacing w:val="-2"/>
              </w:rPr>
              <w:t>23.1</w:t>
            </w:r>
          </w:p>
        </w:tc>
        <w:tc>
          <w:tcPr>
            <w:tcW w:w="1089" w:type="dxa"/>
            <w:vAlign w:val="top"/>
            <w:vMerge w:val="restart"/>
            <w:tcBorders>
              <w:bottom w:val="nil"/>
            </w:tcBorders>
          </w:tcPr>
          <w:p>
            <w:pPr>
              <w:pStyle w:val="TableText"/>
              <w:ind w:left="333"/>
              <w:spacing w:before="254" w:line="183" w:lineRule="auto"/>
              <w:rPr>
                <w:sz w:val="20"/>
                <w:szCs w:val="20"/>
              </w:rPr>
            </w:pPr>
            <w:r>
              <w:rPr>
                <w:sz w:val="20"/>
                <w:szCs w:val="20"/>
                <w:spacing w:val="-2"/>
              </w:rPr>
              <w:t>6930</w:t>
            </w:r>
          </w:p>
        </w:tc>
        <w:tc>
          <w:tcPr>
            <w:tcW w:w="1769" w:type="dxa"/>
            <w:vAlign w:val="top"/>
          </w:tcPr>
          <w:p>
            <w:pPr>
              <w:pStyle w:val="TableText"/>
              <w:ind w:left="674"/>
              <w:spacing w:before="46" w:line="214" w:lineRule="auto"/>
              <w:rPr>
                <w:sz w:val="20"/>
                <w:szCs w:val="20"/>
              </w:rPr>
            </w:pPr>
            <w:r>
              <w:rPr>
                <w:sz w:val="20"/>
                <w:szCs w:val="20"/>
                <w:spacing w:val="-1"/>
              </w:rPr>
              <w:t>mg/L</w:t>
            </w:r>
          </w:p>
        </w:tc>
        <w:tc>
          <w:tcPr>
            <w:tcW w:w="1938" w:type="dxa"/>
            <w:vAlign w:val="top"/>
          </w:tcPr>
          <w:p>
            <w:pPr>
              <w:rPr>
                <w:rFonts w:ascii="Arial"/>
                <w:sz w:val="21"/>
              </w:rPr>
            </w:pPr>
            <w:r/>
          </w:p>
        </w:tc>
        <w:tc>
          <w:tcPr>
            <w:tcW w:w="1839" w:type="dxa"/>
            <w:vAlign w:val="top"/>
          </w:tcPr>
          <w:p>
            <w:pPr>
              <w:rPr>
                <w:rFonts w:ascii="Arial"/>
                <w:sz w:val="21"/>
              </w:rPr>
            </w:pPr>
            <w:r/>
          </w:p>
        </w:tc>
        <w:tc>
          <w:tcPr>
            <w:tcW w:w="1699" w:type="dxa"/>
            <w:vAlign w:val="top"/>
          </w:tcPr>
          <w:p>
            <w:pPr>
              <w:rPr>
                <w:rFonts w:ascii="Arial"/>
                <w:sz w:val="21"/>
              </w:rPr>
            </w:pPr>
            <w:r/>
          </w:p>
        </w:tc>
        <w:tc>
          <w:tcPr>
            <w:tcW w:w="1893" w:type="dxa"/>
            <w:vAlign w:val="top"/>
          </w:tcPr>
          <w:p>
            <w:pPr>
              <w:rPr>
                <w:rFonts w:ascii="Arial"/>
                <w:sz w:val="21"/>
              </w:rPr>
            </w:pPr>
            <w:r/>
          </w:p>
        </w:tc>
      </w:tr>
      <w:tr>
        <w:trPr>
          <w:trHeight w:val="289" w:hRule="atLeast"/>
        </w:trPr>
        <w:tc>
          <w:tcPr>
            <w:tcW w:w="834" w:type="dxa"/>
            <w:vAlign w:val="top"/>
            <w:vMerge w:val="continue"/>
            <w:tcBorders>
              <w:top w:val="nil"/>
              <w:bottom w:val="nil"/>
            </w:tcBorders>
          </w:tcPr>
          <w:p>
            <w:pPr>
              <w:rPr>
                <w:rFonts w:ascii="Arial"/>
                <w:sz w:val="21"/>
              </w:rPr>
            </w:pPr>
            <w:r/>
          </w:p>
        </w:tc>
        <w:tc>
          <w:tcPr>
            <w:tcW w:w="2089" w:type="dxa"/>
            <w:vAlign w:val="top"/>
            <w:gridSpan w:val="2"/>
            <w:vMerge w:val="continue"/>
            <w:tcBorders>
              <w:top w:val="nil"/>
            </w:tcBorders>
          </w:tcPr>
          <w:p>
            <w:pPr>
              <w:rPr>
                <w:rFonts w:ascii="Arial"/>
                <w:sz w:val="21"/>
              </w:rPr>
            </w:pPr>
            <w:r/>
          </w:p>
        </w:tc>
        <w:tc>
          <w:tcPr>
            <w:tcW w:w="989" w:type="dxa"/>
            <w:vAlign w:val="top"/>
            <w:vMerge w:val="continue"/>
            <w:tcBorders>
              <w:top w:val="nil"/>
            </w:tcBorders>
          </w:tcPr>
          <w:p>
            <w:pPr>
              <w:rPr>
                <w:rFonts w:ascii="Arial"/>
                <w:sz w:val="21"/>
              </w:rPr>
            </w:pPr>
            <w:r/>
          </w:p>
        </w:tc>
        <w:tc>
          <w:tcPr>
            <w:tcW w:w="1089" w:type="dxa"/>
            <w:vAlign w:val="top"/>
            <w:vMerge w:val="continue"/>
            <w:tcBorders>
              <w:top w:val="nil"/>
            </w:tcBorders>
          </w:tcPr>
          <w:p>
            <w:pPr>
              <w:rPr>
                <w:rFonts w:ascii="Arial"/>
                <w:sz w:val="21"/>
              </w:rPr>
            </w:pPr>
            <w:r/>
          </w:p>
        </w:tc>
        <w:tc>
          <w:tcPr>
            <w:tcW w:w="1769" w:type="dxa"/>
            <w:vAlign w:val="top"/>
          </w:tcPr>
          <w:p>
            <w:pPr>
              <w:pStyle w:val="TableText"/>
              <w:ind w:left="724"/>
              <w:spacing w:before="59" w:line="203" w:lineRule="auto"/>
              <w:rPr>
                <w:sz w:val="20"/>
                <w:szCs w:val="20"/>
              </w:rPr>
            </w:pPr>
            <w:r>
              <w:rPr>
                <w:sz w:val="20"/>
                <w:szCs w:val="20"/>
                <w:spacing w:val="-3"/>
              </w:rPr>
              <w:t>t/a</w:t>
            </w:r>
          </w:p>
        </w:tc>
        <w:tc>
          <w:tcPr>
            <w:tcW w:w="1938" w:type="dxa"/>
            <w:vAlign w:val="top"/>
          </w:tcPr>
          <w:p>
            <w:pPr>
              <w:rPr>
                <w:rFonts w:ascii="Arial"/>
                <w:sz w:val="21"/>
              </w:rPr>
            </w:pPr>
            <w:r/>
          </w:p>
        </w:tc>
        <w:tc>
          <w:tcPr>
            <w:tcW w:w="1839" w:type="dxa"/>
            <w:vAlign w:val="top"/>
          </w:tcPr>
          <w:p>
            <w:pPr>
              <w:rPr>
                <w:rFonts w:ascii="Arial"/>
                <w:sz w:val="21"/>
              </w:rPr>
            </w:pPr>
            <w:r/>
          </w:p>
        </w:tc>
        <w:tc>
          <w:tcPr>
            <w:tcW w:w="1699" w:type="dxa"/>
            <w:vAlign w:val="top"/>
          </w:tcPr>
          <w:p>
            <w:pPr>
              <w:rPr>
                <w:rFonts w:ascii="Arial"/>
                <w:sz w:val="21"/>
              </w:rPr>
            </w:pPr>
            <w:r/>
          </w:p>
        </w:tc>
        <w:tc>
          <w:tcPr>
            <w:tcW w:w="1893" w:type="dxa"/>
            <w:vAlign w:val="top"/>
          </w:tcPr>
          <w:p>
            <w:pPr>
              <w:rPr>
                <w:rFonts w:ascii="Arial"/>
                <w:sz w:val="21"/>
              </w:rPr>
            </w:pPr>
            <w:r/>
          </w:p>
        </w:tc>
      </w:tr>
      <w:tr>
        <w:trPr>
          <w:trHeight w:val="280" w:hRule="atLeast"/>
        </w:trPr>
        <w:tc>
          <w:tcPr>
            <w:tcW w:w="834" w:type="dxa"/>
            <w:vAlign w:val="top"/>
            <w:vMerge w:val="continue"/>
            <w:tcBorders>
              <w:top w:val="nil"/>
              <w:bottom w:val="nil"/>
            </w:tcBorders>
          </w:tcPr>
          <w:p>
            <w:pPr>
              <w:rPr>
                <w:rFonts w:ascii="Arial"/>
                <w:sz w:val="21"/>
              </w:rPr>
            </w:pPr>
            <w:r/>
          </w:p>
        </w:tc>
        <w:tc>
          <w:tcPr>
            <w:tcW w:w="2089" w:type="dxa"/>
            <w:vAlign w:val="top"/>
            <w:gridSpan w:val="2"/>
            <w:vMerge w:val="restart"/>
            <w:tcBorders>
              <w:bottom w:val="nil"/>
            </w:tcBorders>
          </w:tcPr>
          <w:p>
            <w:pPr>
              <w:pStyle w:val="TableText"/>
              <w:ind w:left="531"/>
              <w:spacing w:before="184" w:line="219" w:lineRule="auto"/>
              <w:rPr>
                <w:sz w:val="20"/>
                <w:szCs w:val="20"/>
              </w:rPr>
            </w:pPr>
            <w:r>
              <w:rPr>
                <w:sz w:val="20"/>
                <w:szCs w:val="20"/>
                <w:spacing w:val="-2"/>
              </w:rPr>
              <w:t>锅炉排污水</w:t>
            </w:r>
          </w:p>
        </w:tc>
        <w:tc>
          <w:tcPr>
            <w:tcW w:w="989" w:type="dxa"/>
            <w:vAlign w:val="top"/>
            <w:vMerge w:val="restart"/>
            <w:tcBorders>
              <w:bottom w:val="nil"/>
            </w:tcBorders>
          </w:tcPr>
          <w:p>
            <w:pPr>
              <w:pStyle w:val="TableText"/>
              <w:ind w:left="282"/>
              <w:spacing w:before="235" w:line="183" w:lineRule="auto"/>
              <w:rPr>
                <w:sz w:val="20"/>
                <w:szCs w:val="20"/>
              </w:rPr>
            </w:pPr>
            <w:r>
              <w:rPr>
                <w:sz w:val="20"/>
                <w:szCs w:val="20"/>
                <w:spacing w:val="-3"/>
              </w:rPr>
              <w:t>38.5</w:t>
            </w:r>
          </w:p>
        </w:tc>
        <w:tc>
          <w:tcPr>
            <w:tcW w:w="1089" w:type="dxa"/>
            <w:vAlign w:val="top"/>
            <w:vMerge w:val="restart"/>
            <w:tcBorders>
              <w:bottom w:val="nil"/>
            </w:tcBorders>
          </w:tcPr>
          <w:p>
            <w:pPr>
              <w:pStyle w:val="TableText"/>
              <w:ind w:left="283"/>
              <w:spacing w:before="234" w:line="184" w:lineRule="auto"/>
              <w:rPr>
                <w:sz w:val="20"/>
                <w:szCs w:val="20"/>
              </w:rPr>
            </w:pPr>
            <w:r>
              <w:rPr>
                <w:sz w:val="20"/>
                <w:szCs w:val="20"/>
                <w:spacing w:val="-4"/>
              </w:rPr>
              <w:t>11550</w:t>
            </w:r>
          </w:p>
        </w:tc>
        <w:tc>
          <w:tcPr>
            <w:tcW w:w="1769" w:type="dxa"/>
            <w:vAlign w:val="top"/>
          </w:tcPr>
          <w:p>
            <w:pPr>
              <w:pStyle w:val="TableText"/>
              <w:ind w:left="674"/>
              <w:spacing w:before="37" w:line="214" w:lineRule="auto"/>
              <w:rPr>
                <w:sz w:val="20"/>
                <w:szCs w:val="20"/>
              </w:rPr>
            </w:pPr>
            <w:r>
              <w:rPr>
                <w:sz w:val="20"/>
                <w:szCs w:val="20"/>
                <w:spacing w:val="-1"/>
              </w:rPr>
              <w:t>mg/L</w:t>
            </w:r>
          </w:p>
        </w:tc>
        <w:tc>
          <w:tcPr>
            <w:tcW w:w="1938" w:type="dxa"/>
            <w:vAlign w:val="top"/>
          </w:tcPr>
          <w:p>
            <w:pPr>
              <w:rPr>
                <w:rFonts w:ascii="Arial"/>
                <w:sz w:val="21"/>
              </w:rPr>
            </w:pPr>
            <w:r/>
          </w:p>
        </w:tc>
        <w:tc>
          <w:tcPr>
            <w:tcW w:w="1839" w:type="dxa"/>
            <w:vAlign w:val="top"/>
          </w:tcPr>
          <w:p>
            <w:pPr>
              <w:rPr>
                <w:rFonts w:ascii="Arial"/>
                <w:sz w:val="21"/>
              </w:rPr>
            </w:pPr>
            <w:r/>
          </w:p>
        </w:tc>
        <w:tc>
          <w:tcPr>
            <w:tcW w:w="1699" w:type="dxa"/>
            <w:vAlign w:val="top"/>
          </w:tcPr>
          <w:p>
            <w:pPr>
              <w:rPr>
                <w:rFonts w:ascii="Arial"/>
                <w:sz w:val="21"/>
              </w:rPr>
            </w:pPr>
            <w:r/>
          </w:p>
        </w:tc>
        <w:tc>
          <w:tcPr>
            <w:tcW w:w="1893" w:type="dxa"/>
            <w:vAlign w:val="top"/>
          </w:tcPr>
          <w:p>
            <w:pPr>
              <w:rPr>
                <w:rFonts w:ascii="Arial"/>
                <w:sz w:val="21"/>
              </w:rPr>
            </w:pPr>
            <w:r/>
          </w:p>
        </w:tc>
      </w:tr>
      <w:tr>
        <w:trPr>
          <w:trHeight w:val="269" w:hRule="atLeast"/>
        </w:trPr>
        <w:tc>
          <w:tcPr>
            <w:tcW w:w="834" w:type="dxa"/>
            <w:vAlign w:val="top"/>
            <w:vMerge w:val="continue"/>
            <w:tcBorders>
              <w:top w:val="nil"/>
              <w:bottom w:val="nil"/>
            </w:tcBorders>
          </w:tcPr>
          <w:p>
            <w:pPr>
              <w:rPr>
                <w:rFonts w:ascii="Arial"/>
                <w:sz w:val="21"/>
              </w:rPr>
            </w:pPr>
            <w:r/>
          </w:p>
        </w:tc>
        <w:tc>
          <w:tcPr>
            <w:tcW w:w="2089" w:type="dxa"/>
            <w:vAlign w:val="top"/>
            <w:gridSpan w:val="2"/>
            <w:vMerge w:val="continue"/>
            <w:tcBorders>
              <w:top w:val="nil"/>
            </w:tcBorders>
          </w:tcPr>
          <w:p>
            <w:pPr>
              <w:rPr>
                <w:rFonts w:ascii="Arial"/>
                <w:sz w:val="21"/>
              </w:rPr>
            </w:pPr>
            <w:r/>
          </w:p>
        </w:tc>
        <w:tc>
          <w:tcPr>
            <w:tcW w:w="989" w:type="dxa"/>
            <w:vAlign w:val="top"/>
            <w:vMerge w:val="continue"/>
            <w:tcBorders>
              <w:top w:val="nil"/>
            </w:tcBorders>
          </w:tcPr>
          <w:p>
            <w:pPr>
              <w:rPr>
                <w:rFonts w:ascii="Arial"/>
                <w:sz w:val="21"/>
              </w:rPr>
            </w:pPr>
            <w:r/>
          </w:p>
        </w:tc>
        <w:tc>
          <w:tcPr>
            <w:tcW w:w="1089" w:type="dxa"/>
            <w:vAlign w:val="top"/>
            <w:vMerge w:val="continue"/>
            <w:tcBorders>
              <w:top w:val="nil"/>
            </w:tcBorders>
          </w:tcPr>
          <w:p>
            <w:pPr>
              <w:rPr>
                <w:rFonts w:ascii="Arial"/>
                <w:sz w:val="21"/>
              </w:rPr>
            </w:pPr>
            <w:r/>
          </w:p>
        </w:tc>
        <w:tc>
          <w:tcPr>
            <w:tcW w:w="1769" w:type="dxa"/>
            <w:vAlign w:val="top"/>
          </w:tcPr>
          <w:p>
            <w:pPr>
              <w:pStyle w:val="TableText"/>
              <w:ind w:left="724"/>
              <w:spacing w:before="49" w:line="193" w:lineRule="auto"/>
              <w:rPr>
                <w:sz w:val="20"/>
                <w:szCs w:val="20"/>
              </w:rPr>
            </w:pPr>
            <w:r>
              <w:rPr>
                <w:sz w:val="20"/>
                <w:szCs w:val="20"/>
                <w:spacing w:val="-3"/>
              </w:rPr>
              <w:t>t/a</w:t>
            </w:r>
          </w:p>
        </w:tc>
        <w:tc>
          <w:tcPr>
            <w:tcW w:w="1938" w:type="dxa"/>
            <w:vAlign w:val="top"/>
          </w:tcPr>
          <w:p>
            <w:pPr>
              <w:rPr>
                <w:rFonts w:ascii="Arial"/>
                <w:sz w:val="21"/>
              </w:rPr>
            </w:pPr>
            <w:r/>
          </w:p>
        </w:tc>
        <w:tc>
          <w:tcPr>
            <w:tcW w:w="1839" w:type="dxa"/>
            <w:vAlign w:val="top"/>
          </w:tcPr>
          <w:p>
            <w:pPr>
              <w:rPr>
                <w:rFonts w:ascii="Arial"/>
                <w:sz w:val="21"/>
              </w:rPr>
            </w:pPr>
            <w:r/>
          </w:p>
        </w:tc>
        <w:tc>
          <w:tcPr>
            <w:tcW w:w="1699" w:type="dxa"/>
            <w:vAlign w:val="top"/>
          </w:tcPr>
          <w:p>
            <w:pPr>
              <w:rPr>
                <w:rFonts w:ascii="Arial"/>
                <w:sz w:val="21"/>
              </w:rPr>
            </w:pPr>
            <w:r/>
          </w:p>
        </w:tc>
        <w:tc>
          <w:tcPr>
            <w:tcW w:w="1893" w:type="dxa"/>
            <w:vAlign w:val="top"/>
          </w:tcPr>
          <w:p>
            <w:pPr>
              <w:rPr>
                <w:rFonts w:ascii="Arial"/>
                <w:sz w:val="21"/>
              </w:rPr>
            </w:pPr>
            <w:r/>
          </w:p>
        </w:tc>
      </w:tr>
      <w:tr>
        <w:trPr>
          <w:trHeight w:val="270" w:hRule="atLeast"/>
        </w:trPr>
        <w:tc>
          <w:tcPr>
            <w:tcW w:w="834" w:type="dxa"/>
            <w:vAlign w:val="top"/>
            <w:vMerge w:val="continue"/>
            <w:tcBorders>
              <w:top w:val="nil"/>
              <w:bottom w:val="nil"/>
            </w:tcBorders>
          </w:tcPr>
          <w:p>
            <w:pPr>
              <w:rPr>
                <w:rFonts w:ascii="Arial"/>
                <w:sz w:val="21"/>
              </w:rPr>
            </w:pPr>
            <w:r/>
          </w:p>
        </w:tc>
        <w:tc>
          <w:tcPr>
            <w:tcW w:w="2089" w:type="dxa"/>
            <w:vAlign w:val="top"/>
            <w:gridSpan w:val="2"/>
            <w:vMerge w:val="restart"/>
            <w:tcBorders>
              <w:bottom w:val="nil"/>
            </w:tcBorders>
          </w:tcPr>
          <w:p>
            <w:pPr>
              <w:pStyle w:val="TableText"/>
              <w:ind w:left="430"/>
              <w:spacing w:before="185" w:line="219" w:lineRule="auto"/>
              <w:rPr>
                <w:sz w:val="20"/>
                <w:szCs w:val="20"/>
              </w:rPr>
            </w:pPr>
            <w:r>
              <w:rPr>
                <w:sz w:val="20"/>
                <w:szCs w:val="20"/>
                <w:spacing w:val="-2"/>
              </w:rPr>
              <w:t>纯水制备废水</w:t>
            </w:r>
          </w:p>
        </w:tc>
        <w:tc>
          <w:tcPr>
            <w:tcW w:w="989" w:type="dxa"/>
            <w:vAlign w:val="top"/>
            <w:vMerge w:val="restart"/>
            <w:tcBorders>
              <w:bottom w:val="nil"/>
            </w:tcBorders>
          </w:tcPr>
          <w:p>
            <w:pPr>
              <w:pStyle w:val="TableText"/>
              <w:ind w:left="282"/>
              <w:spacing w:before="236" w:line="183" w:lineRule="auto"/>
              <w:rPr>
                <w:sz w:val="20"/>
                <w:szCs w:val="20"/>
              </w:rPr>
            </w:pPr>
            <w:r>
              <w:rPr>
                <w:sz w:val="20"/>
                <w:szCs w:val="20"/>
                <w:spacing w:val="-3"/>
              </w:rPr>
              <w:t>58.7</w:t>
            </w:r>
          </w:p>
        </w:tc>
        <w:tc>
          <w:tcPr>
            <w:tcW w:w="1089" w:type="dxa"/>
            <w:vAlign w:val="top"/>
            <w:vMerge w:val="restart"/>
            <w:tcBorders>
              <w:bottom w:val="nil"/>
            </w:tcBorders>
          </w:tcPr>
          <w:p>
            <w:pPr>
              <w:pStyle w:val="TableText"/>
              <w:ind w:left="283"/>
              <w:spacing w:before="235" w:line="184" w:lineRule="auto"/>
              <w:rPr>
                <w:sz w:val="20"/>
                <w:szCs w:val="20"/>
              </w:rPr>
            </w:pPr>
            <w:r>
              <w:rPr>
                <w:sz w:val="20"/>
                <w:szCs w:val="20"/>
                <w:spacing w:val="-4"/>
              </w:rPr>
              <w:t>17610</w:t>
            </w:r>
          </w:p>
        </w:tc>
        <w:tc>
          <w:tcPr>
            <w:tcW w:w="1769" w:type="dxa"/>
            <w:vAlign w:val="top"/>
          </w:tcPr>
          <w:p>
            <w:pPr>
              <w:pStyle w:val="TableText"/>
              <w:ind w:left="674"/>
              <w:spacing w:before="38" w:line="204" w:lineRule="auto"/>
              <w:rPr>
                <w:sz w:val="20"/>
                <w:szCs w:val="20"/>
              </w:rPr>
            </w:pPr>
            <w:r>
              <w:rPr>
                <w:sz w:val="20"/>
                <w:szCs w:val="20"/>
                <w:spacing w:val="-1"/>
              </w:rPr>
              <w:t>mg/L</w:t>
            </w:r>
          </w:p>
        </w:tc>
        <w:tc>
          <w:tcPr>
            <w:tcW w:w="1938" w:type="dxa"/>
            <w:vAlign w:val="top"/>
          </w:tcPr>
          <w:p>
            <w:pPr>
              <w:rPr>
                <w:rFonts w:ascii="Arial"/>
                <w:sz w:val="21"/>
              </w:rPr>
            </w:pPr>
            <w:r/>
          </w:p>
        </w:tc>
        <w:tc>
          <w:tcPr>
            <w:tcW w:w="1839" w:type="dxa"/>
            <w:vAlign w:val="top"/>
          </w:tcPr>
          <w:p>
            <w:pPr>
              <w:rPr>
                <w:rFonts w:ascii="Arial"/>
                <w:sz w:val="21"/>
              </w:rPr>
            </w:pPr>
            <w:r/>
          </w:p>
        </w:tc>
        <w:tc>
          <w:tcPr>
            <w:tcW w:w="1699" w:type="dxa"/>
            <w:vAlign w:val="top"/>
          </w:tcPr>
          <w:p>
            <w:pPr>
              <w:rPr>
                <w:rFonts w:ascii="Arial"/>
                <w:sz w:val="21"/>
              </w:rPr>
            </w:pPr>
            <w:r/>
          </w:p>
        </w:tc>
        <w:tc>
          <w:tcPr>
            <w:tcW w:w="1893" w:type="dxa"/>
            <w:vAlign w:val="top"/>
          </w:tcPr>
          <w:p>
            <w:pPr>
              <w:pStyle w:val="TableText"/>
              <w:ind w:left="928"/>
              <w:spacing w:before="95" w:line="20" w:lineRule="exact"/>
              <w:rPr>
                <w:sz w:val="3"/>
                <w:szCs w:val="3"/>
              </w:rPr>
            </w:pPr>
            <w:r>
              <w:rPr>
                <w:sz w:val="3"/>
                <w:szCs w:val="3"/>
              </w:rPr>
              <w:t>—</w:t>
            </w:r>
          </w:p>
        </w:tc>
      </w:tr>
      <w:tr>
        <w:trPr>
          <w:trHeight w:val="270" w:hRule="atLeast"/>
        </w:trPr>
        <w:tc>
          <w:tcPr>
            <w:tcW w:w="834" w:type="dxa"/>
            <w:vAlign w:val="top"/>
            <w:vMerge w:val="continue"/>
            <w:tcBorders>
              <w:top w:val="nil"/>
              <w:bottom w:val="nil"/>
            </w:tcBorders>
          </w:tcPr>
          <w:p>
            <w:pPr>
              <w:rPr>
                <w:rFonts w:ascii="Arial"/>
                <w:sz w:val="21"/>
              </w:rPr>
            </w:pPr>
            <w:r/>
          </w:p>
        </w:tc>
        <w:tc>
          <w:tcPr>
            <w:tcW w:w="2089" w:type="dxa"/>
            <w:vAlign w:val="top"/>
            <w:gridSpan w:val="2"/>
            <w:vMerge w:val="continue"/>
            <w:tcBorders>
              <w:top w:val="nil"/>
            </w:tcBorders>
          </w:tcPr>
          <w:p>
            <w:pPr>
              <w:rPr>
                <w:rFonts w:ascii="Arial"/>
                <w:sz w:val="21"/>
              </w:rPr>
            </w:pPr>
            <w:r/>
          </w:p>
        </w:tc>
        <w:tc>
          <w:tcPr>
            <w:tcW w:w="989" w:type="dxa"/>
            <w:vAlign w:val="top"/>
            <w:vMerge w:val="continue"/>
            <w:tcBorders>
              <w:top w:val="nil"/>
            </w:tcBorders>
          </w:tcPr>
          <w:p>
            <w:pPr>
              <w:rPr>
                <w:rFonts w:ascii="Arial"/>
                <w:sz w:val="21"/>
              </w:rPr>
            </w:pPr>
            <w:r/>
          </w:p>
        </w:tc>
        <w:tc>
          <w:tcPr>
            <w:tcW w:w="1089" w:type="dxa"/>
            <w:vAlign w:val="top"/>
            <w:vMerge w:val="continue"/>
            <w:tcBorders>
              <w:top w:val="nil"/>
            </w:tcBorders>
          </w:tcPr>
          <w:p>
            <w:pPr>
              <w:rPr>
                <w:rFonts w:ascii="Arial"/>
                <w:sz w:val="21"/>
              </w:rPr>
            </w:pPr>
            <w:r/>
          </w:p>
        </w:tc>
        <w:tc>
          <w:tcPr>
            <w:tcW w:w="1769" w:type="dxa"/>
            <w:vAlign w:val="top"/>
          </w:tcPr>
          <w:p>
            <w:pPr>
              <w:pStyle w:val="TableText"/>
              <w:ind w:left="724"/>
              <w:spacing w:before="50" w:line="193" w:lineRule="auto"/>
              <w:rPr>
                <w:sz w:val="20"/>
                <w:szCs w:val="20"/>
              </w:rPr>
            </w:pPr>
            <w:r>
              <w:rPr>
                <w:sz w:val="20"/>
                <w:szCs w:val="20"/>
                <w:spacing w:val="-3"/>
              </w:rPr>
              <w:t>t/a</w:t>
            </w:r>
          </w:p>
        </w:tc>
        <w:tc>
          <w:tcPr>
            <w:tcW w:w="1938" w:type="dxa"/>
            <w:vAlign w:val="top"/>
          </w:tcPr>
          <w:p>
            <w:pPr>
              <w:rPr>
                <w:rFonts w:ascii="Arial"/>
                <w:sz w:val="21"/>
              </w:rPr>
            </w:pPr>
            <w:r/>
          </w:p>
        </w:tc>
        <w:tc>
          <w:tcPr>
            <w:tcW w:w="1839" w:type="dxa"/>
            <w:vAlign w:val="top"/>
          </w:tcPr>
          <w:p>
            <w:pPr>
              <w:rPr>
                <w:rFonts w:ascii="Arial"/>
                <w:sz w:val="21"/>
              </w:rPr>
            </w:pPr>
            <w:r/>
          </w:p>
        </w:tc>
        <w:tc>
          <w:tcPr>
            <w:tcW w:w="1699" w:type="dxa"/>
            <w:vAlign w:val="top"/>
          </w:tcPr>
          <w:p>
            <w:pPr>
              <w:rPr>
                <w:rFonts w:ascii="Arial"/>
                <w:sz w:val="21"/>
              </w:rPr>
            </w:pPr>
            <w:r/>
          </w:p>
        </w:tc>
        <w:tc>
          <w:tcPr>
            <w:tcW w:w="1893" w:type="dxa"/>
            <w:vAlign w:val="top"/>
          </w:tcPr>
          <w:p>
            <w:pPr>
              <w:rPr>
                <w:rFonts w:ascii="Arial"/>
                <w:sz w:val="21"/>
              </w:rPr>
            </w:pPr>
            <w:r/>
          </w:p>
        </w:tc>
      </w:tr>
      <w:tr>
        <w:trPr>
          <w:trHeight w:val="269" w:hRule="atLeast"/>
        </w:trPr>
        <w:tc>
          <w:tcPr>
            <w:tcW w:w="834" w:type="dxa"/>
            <w:vAlign w:val="top"/>
            <w:vMerge w:val="continue"/>
            <w:tcBorders>
              <w:top w:val="nil"/>
              <w:bottom w:val="nil"/>
            </w:tcBorders>
          </w:tcPr>
          <w:p>
            <w:pPr>
              <w:rPr>
                <w:rFonts w:ascii="Arial"/>
                <w:sz w:val="21"/>
              </w:rPr>
            </w:pPr>
            <w:r/>
          </w:p>
        </w:tc>
        <w:tc>
          <w:tcPr>
            <w:tcW w:w="2089" w:type="dxa"/>
            <w:vAlign w:val="top"/>
            <w:gridSpan w:val="2"/>
            <w:vMerge w:val="restart"/>
            <w:tcBorders>
              <w:bottom w:val="nil"/>
            </w:tcBorders>
          </w:tcPr>
          <w:p>
            <w:pPr>
              <w:pStyle w:val="TableText"/>
              <w:ind w:left="231"/>
              <w:spacing w:before="185" w:line="219" w:lineRule="auto"/>
              <w:rPr>
                <w:sz w:val="20"/>
                <w:szCs w:val="20"/>
              </w:rPr>
            </w:pPr>
            <w:r>
              <w:rPr>
                <w:sz w:val="20"/>
                <w:szCs w:val="20"/>
                <w:spacing w:val="-1"/>
              </w:rPr>
              <w:t>循环冷却系统废水</w:t>
            </w:r>
          </w:p>
        </w:tc>
        <w:tc>
          <w:tcPr>
            <w:tcW w:w="989" w:type="dxa"/>
            <w:vAlign w:val="top"/>
            <w:vMerge w:val="restart"/>
            <w:tcBorders>
              <w:bottom w:val="nil"/>
            </w:tcBorders>
          </w:tcPr>
          <w:p>
            <w:pPr>
              <w:pStyle w:val="TableText"/>
              <w:ind w:left="282"/>
              <w:spacing w:before="236" w:line="183" w:lineRule="auto"/>
              <w:rPr>
                <w:sz w:val="20"/>
                <w:szCs w:val="20"/>
              </w:rPr>
            </w:pPr>
            <w:r>
              <w:rPr>
                <w:sz w:val="20"/>
                <w:szCs w:val="20"/>
                <w:spacing w:val="-3"/>
              </w:rPr>
              <w:t>32.2</w:t>
            </w:r>
          </w:p>
        </w:tc>
        <w:tc>
          <w:tcPr>
            <w:tcW w:w="1089" w:type="dxa"/>
            <w:vAlign w:val="top"/>
            <w:vMerge w:val="restart"/>
            <w:tcBorders>
              <w:bottom w:val="nil"/>
            </w:tcBorders>
          </w:tcPr>
          <w:p>
            <w:pPr>
              <w:pStyle w:val="TableText"/>
              <w:ind w:left="333"/>
              <w:spacing w:before="236" w:line="183" w:lineRule="auto"/>
              <w:rPr>
                <w:sz w:val="20"/>
                <w:szCs w:val="20"/>
              </w:rPr>
            </w:pPr>
            <w:r>
              <w:rPr>
                <w:sz w:val="20"/>
                <w:szCs w:val="20"/>
                <w:spacing w:val="-2"/>
              </w:rPr>
              <w:t>9660</w:t>
            </w:r>
          </w:p>
        </w:tc>
        <w:tc>
          <w:tcPr>
            <w:tcW w:w="1769" w:type="dxa"/>
            <w:vAlign w:val="top"/>
          </w:tcPr>
          <w:p>
            <w:pPr>
              <w:pStyle w:val="TableText"/>
              <w:ind w:left="674"/>
              <w:spacing w:before="39" w:line="203" w:lineRule="auto"/>
              <w:rPr>
                <w:sz w:val="20"/>
                <w:szCs w:val="20"/>
              </w:rPr>
            </w:pPr>
            <w:r>
              <w:rPr>
                <w:sz w:val="20"/>
                <w:szCs w:val="20"/>
                <w:spacing w:val="-1"/>
              </w:rPr>
              <w:t>mg/L</w:t>
            </w:r>
          </w:p>
        </w:tc>
        <w:tc>
          <w:tcPr>
            <w:tcW w:w="1938" w:type="dxa"/>
            <w:vAlign w:val="top"/>
          </w:tcPr>
          <w:p>
            <w:pPr>
              <w:pStyle w:val="TableText"/>
              <w:ind w:left="945"/>
              <w:spacing w:before="95" w:line="20" w:lineRule="exact"/>
              <w:rPr>
                <w:sz w:val="3"/>
                <w:szCs w:val="3"/>
              </w:rPr>
            </w:pPr>
            <w:r>
              <w:rPr>
                <w:sz w:val="3"/>
                <w:szCs w:val="3"/>
              </w:rPr>
              <w:t>—</w:t>
            </w:r>
          </w:p>
        </w:tc>
        <w:tc>
          <w:tcPr>
            <w:tcW w:w="1839" w:type="dxa"/>
            <w:vAlign w:val="top"/>
          </w:tcPr>
          <w:p>
            <w:pPr>
              <w:rPr>
                <w:rFonts w:ascii="Arial"/>
                <w:sz w:val="21"/>
              </w:rPr>
            </w:pPr>
            <w:r>
              <w:pict>
                <v:shape id="_x0000_s38" style="position:absolute;margin-left:-47.5969pt;margin-top:-6.54654pt;mso-position-vertical-relative:top-margin-area;mso-position-horizontal-relative:right-margin-area;width:3.5pt;height:14.1pt;z-index:251823104;" filled="false" stroked="false" type="#_x0000_t202">
                  <v:fill on="false"/>
                  <v:stroke on="false"/>
                  <v:path/>
                  <v:imagedata o:title=""/>
                  <o:lock v:ext="edit" aspectratio="false"/>
                  <v:textbox inset="0mm,0mm,0mm,0mm">
                    <w:txbxContent>
                      <w:p>
                        <w:pPr>
                          <w:ind w:left="20"/>
                          <w:spacing w:before="20" w:line="241" w:lineRule="exact"/>
                          <w:tabs>
                            <w:tab w:val="left" w:pos="49"/>
                          </w:tabs>
                          <w:rPr>
                            <w:rFonts w:ascii="Arial"/>
                            <w:sz w:val="21"/>
                          </w:rPr>
                        </w:pPr>
                        <w:r>
                          <w:rPr>
                            <w:rFonts w:ascii="Arial" w:hAnsi="Arial" w:eastAsia="Arial" w:cs="Arial"/>
                            <w:sz w:val="21"/>
                            <w:szCs w:val="21"/>
                            <w:u w:val="single" w:color="auto"/>
                          </w:rPr>
                          <w:tab/>
                        </w:r>
                      </w:p>
                    </w:txbxContent>
                  </v:textbox>
                </v:shape>
              </w:pict>
            </w:r>
            <w:r/>
          </w:p>
        </w:tc>
        <w:tc>
          <w:tcPr>
            <w:tcW w:w="1699" w:type="dxa"/>
            <w:vAlign w:val="top"/>
          </w:tcPr>
          <w:p>
            <w:pPr>
              <w:rPr>
                <w:rFonts w:ascii="Arial"/>
                <w:sz w:val="21"/>
              </w:rPr>
            </w:pPr>
            <w:r/>
          </w:p>
        </w:tc>
        <w:tc>
          <w:tcPr>
            <w:tcW w:w="1893" w:type="dxa"/>
            <w:vAlign w:val="top"/>
          </w:tcPr>
          <w:p>
            <w:pPr>
              <w:rPr>
                <w:rFonts w:ascii="Arial"/>
                <w:sz w:val="21"/>
              </w:rPr>
            </w:pPr>
            <w:r>
              <w:pict>
                <v:shape id="_x0000_s40" style="position:absolute;margin-left:-48.7001pt;margin-top:-5.54642pt;mso-position-vertical-relative:top-margin-area;mso-position-horizontal-relative:right-margin-area;width:3.5pt;height:14.1pt;z-index:251822080;" filled="false" stroked="false" type="#_x0000_t202">
                  <v:fill on="false"/>
                  <v:stroke on="false"/>
                  <v:path/>
                  <v:imagedata o:title=""/>
                  <o:lock v:ext="edit" aspectratio="false"/>
                  <v:textbox inset="0mm,0mm,0mm,0mm">
                    <w:txbxContent>
                      <w:p>
                        <w:pPr>
                          <w:ind w:left="20"/>
                          <w:spacing w:before="20" w:line="241" w:lineRule="exact"/>
                          <w:tabs>
                            <w:tab w:val="left" w:pos="49"/>
                          </w:tabs>
                          <w:rPr>
                            <w:rFonts w:ascii="Arial"/>
                            <w:sz w:val="21"/>
                          </w:rPr>
                        </w:pPr>
                        <w:r>
                          <w:rPr>
                            <w:rFonts w:ascii="Arial" w:hAnsi="Arial" w:eastAsia="Arial" w:cs="Arial"/>
                            <w:sz w:val="21"/>
                            <w:szCs w:val="21"/>
                            <w:u w:val="single" w:color="auto"/>
                          </w:rPr>
                          <w:tab/>
                        </w:r>
                      </w:p>
                    </w:txbxContent>
                  </v:textbox>
                </v:shape>
              </w:pict>
            </w:r>
            <w:r/>
          </w:p>
        </w:tc>
      </w:tr>
      <w:tr>
        <w:trPr>
          <w:trHeight w:val="280" w:hRule="atLeast"/>
        </w:trPr>
        <w:tc>
          <w:tcPr>
            <w:tcW w:w="834" w:type="dxa"/>
            <w:vAlign w:val="top"/>
            <w:vMerge w:val="continue"/>
            <w:tcBorders>
              <w:top w:val="nil"/>
              <w:bottom w:val="nil"/>
            </w:tcBorders>
          </w:tcPr>
          <w:p>
            <w:pPr>
              <w:rPr>
                <w:rFonts w:ascii="Arial"/>
                <w:sz w:val="21"/>
              </w:rPr>
            </w:pPr>
            <w:r/>
          </w:p>
        </w:tc>
        <w:tc>
          <w:tcPr>
            <w:tcW w:w="2089" w:type="dxa"/>
            <w:vAlign w:val="top"/>
            <w:gridSpan w:val="2"/>
            <w:vMerge w:val="continue"/>
            <w:tcBorders>
              <w:top w:val="nil"/>
            </w:tcBorders>
          </w:tcPr>
          <w:p>
            <w:pPr>
              <w:rPr>
                <w:rFonts w:ascii="Arial"/>
                <w:sz w:val="21"/>
              </w:rPr>
            </w:pPr>
            <w:r/>
          </w:p>
        </w:tc>
        <w:tc>
          <w:tcPr>
            <w:tcW w:w="989" w:type="dxa"/>
            <w:vAlign w:val="top"/>
            <w:vMerge w:val="continue"/>
            <w:tcBorders>
              <w:top w:val="nil"/>
            </w:tcBorders>
          </w:tcPr>
          <w:p>
            <w:pPr>
              <w:rPr>
                <w:rFonts w:ascii="Arial"/>
                <w:sz w:val="21"/>
              </w:rPr>
            </w:pPr>
            <w:r/>
          </w:p>
        </w:tc>
        <w:tc>
          <w:tcPr>
            <w:tcW w:w="1089" w:type="dxa"/>
            <w:vAlign w:val="top"/>
            <w:vMerge w:val="continue"/>
            <w:tcBorders>
              <w:top w:val="nil"/>
            </w:tcBorders>
          </w:tcPr>
          <w:p>
            <w:pPr>
              <w:rPr>
                <w:rFonts w:ascii="Arial"/>
                <w:sz w:val="21"/>
              </w:rPr>
            </w:pPr>
            <w:r/>
          </w:p>
        </w:tc>
        <w:tc>
          <w:tcPr>
            <w:tcW w:w="1769" w:type="dxa"/>
            <w:vAlign w:val="top"/>
          </w:tcPr>
          <w:p>
            <w:pPr>
              <w:pStyle w:val="TableText"/>
              <w:ind w:left="724"/>
              <w:spacing w:before="51" w:line="202" w:lineRule="auto"/>
              <w:rPr>
                <w:sz w:val="20"/>
                <w:szCs w:val="20"/>
              </w:rPr>
            </w:pPr>
            <w:r>
              <w:rPr>
                <w:sz w:val="20"/>
                <w:szCs w:val="20"/>
                <w:spacing w:val="-3"/>
              </w:rPr>
              <w:t>t/a</w:t>
            </w:r>
          </w:p>
        </w:tc>
        <w:tc>
          <w:tcPr>
            <w:tcW w:w="1938" w:type="dxa"/>
            <w:vAlign w:val="top"/>
          </w:tcPr>
          <w:p>
            <w:pPr>
              <w:rPr>
                <w:rFonts w:ascii="Arial"/>
                <w:sz w:val="21"/>
              </w:rPr>
            </w:pPr>
            <w:r/>
          </w:p>
        </w:tc>
        <w:tc>
          <w:tcPr>
            <w:tcW w:w="1839" w:type="dxa"/>
            <w:vAlign w:val="top"/>
          </w:tcPr>
          <w:p>
            <w:pPr>
              <w:rPr>
                <w:rFonts w:ascii="Arial"/>
                <w:sz w:val="21"/>
              </w:rPr>
            </w:pPr>
            <w:r/>
          </w:p>
        </w:tc>
        <w:tc>
          <w:tcPr>
            <w:tcW w:w="1699" w:type="dxa"/>
            <w:vAlign w:val="top"/>
          </w:tcPr>
          <w:p>
            <w:pPr>
              <w:rPr>
                <w:rFonts w:ascii="Arial"/>
                <w:sz w:val="21"/>
              </w:rPr>
            </w:pPr>
            <w:r/>
          </w:p>
        </w:tc>
        <w:tc>
          <w:tcPr>
            <w:tcW w:w="1893" w:type="dxa"/>
            <w:vAlign w:val="top"/>
          </w:tcPr>
          <w:p>
            <w:pPr>
              <w:rPr>
                <w:rFonts w:ascii="Arial"/>
                <w:sz w:val="21"/>
              </w:rPr>
            </w:pPr>
            <w:r/>
          </w:p>
        </w:tc>
      </w:tr>
      <w:tr>
        <w:trPr>
          <w:trHeight w:val="300" w:hRule="atLeast"/>
        </w:trPr>
        <w:tc>
          <w:tcPr>
            <w:tcW w:w="834" w:type="dxa"/>
            <w:vAlign w:val="top"/>
            <w:vMerge w:val="continue"/>
            <w:tcBorders>
              <w:top w:val="nil"/>
            </w:tcBorders>
          </w:tcPr>
          <w:p>
            <w:pPr>
              <w:rPr>
                <w:rFonts w:ascii="Arial"/>
                <w:sz w:val="21"/>
              </w:rPr>
            </w:pPr>
            <w:r/>
          </w:p>
        </w:tc>
        <w:tc>
          <w:tcPr>
            <w:tcW w:w="2089" w:type="dxa"/>
            <w:vAlign w:val="top"/>
            <w:gridSpan w:val="2"/>
          </w:tcPr>
          <w:p>
            <w:pPr>
              <w:pStyle w:val="TableText"/>
              <w:ind w:left="831"/>
              <w:spacing w:before="57" w:line="215" w:lineRule="auto"/>
              <w:rPr>
                <w:sz w:val="20"/>
                <w:szCs w:val="20"/>
              </w:rPr>
            </w:pPr>
            <w:r>
              <w:rPr>
                <w:sz w:val="20"/>
                <w:szCs w:val="20"/>
                <w:spacing w:val="-3"/>
              </w:rPr>
              <w:t>合计</w:t>
            </w:r>
          </w:p>
        </w:tc>
        <w:tc>
          <w:tcPr>
            <w:tcW w:w="989" w:type="dxa"/>
            <w:vAlign w:val="top"/>
          </w:tcPr>
          <w:p>
            <w:pPr>
              <w:pStyle w:val="TableText"/>
              <w:ind w:left="231"/>
              <w:spacing w:before="106" w:line="169" w:lineRule="auto"/>
              <w:rPr>
                <w:sz w:val="20"/>
                <w:szCs w:val="20"/>
              </w:rPr>
            </w:pPr>
            <w:r>
              <w:rPr>
                <w:sz w:val="20"/>
                <w:szCs w:val="20"/>
                <w:spacing w:val="-4"/>
              </w:rPr>
              <w:t>183.7</w:t>
            </w:r>
          </w:p>
        </w:tc>
        <w:tc>
          <w:tcPr>
            <w:tcW w:w="1089" w:type="dxa"/>
            <w:vAlign w:val="top"/>
          </w:tcPr>
          <w:p>
            <w:pPr>
              <w:pStyle w:val="TableText"/>
              <w:ind w:left="283"/>
              <w:spacing w:before="106" w:line="169" w:lineRule="auto"/>
              <w:rPr>
                <w:sz w:val="20"/>
                <w:szCs w:val="20"/>
              </w:rPr>
            </w:pPr>
            <w:r>
              <w:rPr>
                <w:sz w:val="20"/>
                <w:szCs w:val="20"/>
                <w:spacing w:val="-2"/>
              </w:rPr>
              <w:t>55110</w:t>
            </w:r>
          </w:p>
        </w:tc>
        <w:tc>
          <w:tcPr>
            <w:tcW w:w="1769" w:type="dxa"/>
            <w:vAlign w:val="top"/>
          </w:tcPr>
          <w:p>
            <w:pPr>
              <w:pStyle w:val="TableText"/>
              <w:ind w:left="724"/>
              <w:spacing w:before="61" w:line="211" w:lineRule="auto"/>
              <w:rPr>
                <w:sz w:val="20"/>
                <w:szCs w:val="20"/>
              </w:rPr>
            </w:pPr>
            <w:r>
              <w:rPr>
                <w:sz w:val="20"/>
                <w:szCs w:val="20"/>
                <w:spacing w:val="-3"/>
              </w:rPr>
              <w:t>t/a</w:t>
            </w:r>
          </w:p>
        </w:tc>
        <w:tc>
          <w:tcPr>
            <w:tcW w:w="1938" w:type="dxa"/>
            <w:vAlign w:val="top"/>
          </w:tcPr>
          <w:p>
            <w:pPr>
              <w:pStyle w:val="TableText"/>
              <w:ind w:left="715"/>
              <w:spacing w:before="108" w:line="168" w:lineRule="auto"/>
              <w:rPr>
                <w:sz w:val="20"/>
                <w:szCs w:val="20"/>
              </w:rPr>
            </w:pPr>
            <w:r>
              <w:rPr>
                <w:sz w:val="20"/>
                <w:szCs w:val="20"/>
                <w:spacing w:val="-2"/>
              </w:rPr>
              <w:t>5.328</w:t>
            </w:r>
          </w:p>
        </w:tc>
        <w:tc>
          <w:tcPr>
            <w:tcW w:w="1839" w:type="dxa"/>
            <w:vAlign w:val="top"/>
          </w:tcPr>
          <w:p>
            <w:pPr>
              <w:pStyle w:val="TableText"/>
              <w:ind w:left="667"/>
              <w:spacing w:before="108" w:line="168" w:lineRule="auto"/>
              <w:rPr>
                <w:sz w:val="20"/>
                <w:szCs w:val="20"/>
              </w:rPr>
            </w:pPr>
            <w:r>
              <w:rPr>
                <w:sz w:val="20"/>
                <w:szCs w:val="20"/>
                <w:spacing w:val="-2"/>
              </w:rPr>
              <w:t>3.960</w:t>
            </w:r>
          </w:p>
        </w:tc>
        <w:tc>
          <w:tcPr>
            <w:tcW w:w="1699" w:type="dxa"/>
            <w:vAlign w:val="top"/>
          </w:tcPr>
          <w:p>
            <w:pPr>
              <w:pStyle w:val="TableText"/>
              <w:ind w:left="598"/>
              <w:spacing w:before="106" w:line="169" w:lineRule="auto"/>
              <w:rPr>
                <w:sz w:val="20"/>
                <w:szCs w:val="20"/>
              </w:rPr>
            </w:pPr>
            <w:r>
              <w:rPr>
                <w:sz w:val="20"/>
                <w:szCs w:val="20"/>
                <w:spacing w:val="-2"/>
              </w:rPr>
              <w:t>0.421</w:t>
            </w:r>
          </w:p>
        </w:tc>
        <w:tc>
          <w:tcPr>
            <w:tcW w:w="1893" w:type="dxa"/>
            <w:vAlign w:val="top"/>
          </w:tcPr>
          <w:p>
            <w:pPr>
              <w:pStyle w:val="TableText"/>
              <w:ind w:left="689"/>
              <w:spacing w:before="108" w:line="168" w:lineRule="auto"/>
              <w:rPr>
                <w:sz w:val="20"/>
                <w:szCs w:val="20"/>
              </w:rPr>
            </w:pPr>
            <w:r>
              <w:rPr>
                <w:sz w:val="20"/>
                <w:szCs w:val="20"/>
                <w:spacing w:val="-2"/>
              </w:rPr>
              <w:t>3.240</w:t>
            </w:r>
          </w:p>
        </w:tc>
      </w:tr>
      <w:tr>
        <w:trPr>
          <w:trHeight w:val="240" w:hRule="atLeast"/>
        </w:trPr>
        <w:tc>
          <w:tcPr>
            <w:tcW w:w="834" w:type="dxa"/>
            <w:vAlign w:val="top"/>
            <w:vMerge w:val="restart"/>
            <w:tcBorders>
              <w:bottom w:val="nil"/>
            </w:tcBorders>
          </w:tcPr>
          <w:p>
            <w:pPr>
              <w:spacing w:line="249" w:lineRule="auto"/>
              <w:rPr>
                <w:rFonts w:ascii="Arial"/>
                <w:sz w:val="21"/>
              </w:rPr>
            </w:pPr>
            <w:r/>
          </w:p>
          <w:p>
            <w:pPr>
              <w:pStyle w:val="TableText"/>
              <w:ind w:left="205"/>
              <w:spacing w:before="65" w:line="301" w:lineRule="exact"/>
              <w:rPr>
                <w:sz w:val="20"/>
                <w:szCs w:val="20"/>
              </w:rPr>
            </w:pPr>
            <w:r>
              <w:rPr>
                <w:sz w:val="20"/>
                <w:szCs w:val="20"/>
                <w:spacing w:val="-2"/>
                <w:position w:val="7"/>
              </w:rPr>
              <w:t>产生</w:t>
            </w:r>
          </w:p>
          <w:p>
            <w:pPr>
              <w:pStyle w:val="TableText"/>
              <w:ind w:left="205"/>
              <w:spacing w:line="220" w:lineRule="auto"/>
              <w:rPr>
                <w:sz w:val="20"/>
                <w:szCs w:val="20"/>
              </w:rPr>
            </w:pPr>
            <w:r>
              <w:rPr>
                <w:sz w:val="20"/>
                <w:szCs w:val="20"/>
                <w:spacing w:val="-3"/>
              </w:rPr>
              <w:t>情况</w:t>
            </w:r>
          </w:p>
        </w:tc>
        <w:tc>
          <w:tcPr>
            <w:tcW w:w="2089" w:type="dxa"/>
            <w:vAlign w:val="top"/>
            <w:gridSpan w:val="2"/>
            <w:vMerge w:val="restart"/>
            <w:tcBorders>
              <w:bottom w:val="nil"/>
            </w:tcBorders>
          </w:tcPr>
          <w:p>
            <w:pPr>
              <w:pStyle w:val="TableText"/>
              <w:ind w:left="930" w:right="157" w:hanging="800"/>
              <w:spacing w:before="46" w:line="223" w:lineRule="auto"/>
              <w:rPr>
                <w:sz w:val="20"/>
                <w:szCs w:val="20"/>
              </w:rPr>
            </w:pPr>
            <w:r>
              <w:rPr>
                <w:sz w:val="20"/>
                <w:szCs w:val="20"/>
                <w:spacing w:val="-2"/>
              </w:rPr>
              <w:t>生活污水管网总排放</w:t>
            </w:r>
            <w:r>
              <w:rPr>
                <w:sz w:val="20"/>
                <w:szCs w:val="20"/>
                <w:spacing w:val="7"/>
              </w:rPr>
              <w:t xml:space="preserve"> </w:t>
            </w:r>
            <w:r>
              <w:rPr>
                <w:sz w:val="20"/>
                <w:szCs w:val="20"/>
              </w:rPr>
              <w:t>量</w:t>
            </w:r>
          </w:p>
        </w:tc>
        <w:tc>
          <w:tcPr>
            <w:tcW w:w="989" w:type="dxa"/>
            <w:vAlign w:val="top"/>
            <w:vMerge w:val="restart"/>
            <w:tcBorders>
              <w:bottom w:val="nil"/>
            </w:tcBorders>
          </w:tcPr>
          <w:p>
            <w:pPr>
              <w:pStyle w:val="TableText"/>
              <w:ind w:left="231"/>
              <w:spacing w:before="226" w:line="184" w:lineRule="auto"/>
              <w:rPr>
                <w:sz w:val="20"/>
                <w:szCs w:val="20"/>
              </w:rPr>
            </w:pPr>
            <w:r>
              <w:rPr>
                <w:sz w:val="20"/>
                <w:szCs w:val="20"/>
                <w:spacing w:val="-4"/>
              </w:rPr>
              <w:t>183.7</w:t>
            </w:r>
          </w:p>
        </w:tc>
        <w:tc>
          <w:tcPr>
            <w:tcW w:w="1089" w:type="dxa"/>
            <w:vAlign w:val="top"/>
            <w:vMerge w:val="restart"/>
            <w:tcBorders>
              <w:bottom w:val="nil"/>
            </w:tcBorders>
          </w:tcPr>
          <w:p>
            <w:pPr>
              <w:pStyle w:val="TableText"/>
              <w:ind w:left="283"/>
              <w:spacing w:before="226" w:line="184" w:lineRule="auto"/>
              <w:rPr>
                <w:sz w:val="20"/>
                <w:szCs w:val="20"/>
              </w:rPr>
            </w:pPr>
            <w:r>
              <w:rPr>
                <w:sz w:val="20"/>
                <w:szCs w:val="20"/>
                <w:spacing w:val="-2"/>
              </w:rPr>
              <w:t>55110</w:t>
            </w:r>
          </w:p>
        </w:tc>
        <w:tc>
          <w:tcPr>
            <w:tcW w:w="1769" w:type="dxa"/>
            <w:vAlign w:val="top"/>
          </w:tcPr>
          <w:p>
            <w:pPr>
              <w:pStyle w:val="TableText"/>
              <w:ind w:left="674"/>
              <w:spacing w:before="19" w:line="194" w:lineRule="auto"/>
              <w:rPr>
                <w:sz w:val="20"/>
                <w:szCs w:val="20"/>
              </w:rPr>
            </w:pPr>
            <w:r>
              <w:rPr>
                <w:sz w:val="20"/>
                <w:szCs w:val="20"/>
                <w:spacing w:val="-1"/>
              </w:rPr>
              <w:t>mg/L</w:t>
            </w:r>
          </w:p>
        </w:tc>
        <w:tc>
          <w:tcPr>
            <w:tcW w:w="1938" w:type="dxa"/>
            <w:vAlign w:val="top"/>
          </w:tcPr>
          <w:p>
            <w:pPr>
              <w:pStyle w:val="TableText"/>
              <w:ind w:left="815"/>
              <w:spacing w:before="77" w:line="153" w:lineRule="exact"/>
              <w:rPr>
                <w:sz w:val="20"/>
                <w:szCs w:val="20"/>
              </w:rPr>
            </w:pPr>
            <w:r>
              <w:rPr>
                <w:sz w:val="20"/>
                <w:szCs w:val="20"/>
                <w:spacing w:val="-3"/>
                <w:position w:val="-2"/>
              </w:rPr>
              <w:t>500</w:t>
            </w:r>
          </w:p>
        </w:tc>
        <w:tc>
          <w:tcPr>
            <w:tcW w:w="1839" w:type="dxa"/>
            <w:vAlign w:val="top"/>
          </w:tcPr>
          <w:p>
            <w:pPr>
              <w:pStyle w:val="TableText"/>
              <w:ind w:left="767"/>
              <w:spacing w:before="77" w:line="153" w:lineRule="exact"/>
              <w:rPr>
                <w:sz w:val="20"/>
                <w:szCs w:val="20"/>
              </w:rPr>
            </w:pPr>
            <w:r>
              <w:rPr>
                <w:sz w:val="20"/>
                <w:szCs w:val="20"/>
                <w:spacing w:val="-2"/>
                <w:position w:val="-2"/>
              </w:rPr>
              <w:t>400</w:t>
            </w:r>
          </w:p>
        </w:tc>
        <w:tc>
          <w:tcPr>
            <w:tcW w:w="1699" w:type="dxa"/>
            <w:vAlign w:val="top"/>
          </w:tcPr>
          <w:p>
            <w:pPr>
              <w:pStyle w:val="TableText"/>
              <w:ind w:left="747"/>
              <w:spacing w:before="77" w:line="153" w:lineRule="exact"/>
              <w:rPr>
                <w:sz w:val="20"/>
                <w:szCs w:val="20"/>
              </w:rPr>
            </w:pPr>
            <w:r>
              <w:rPr>
                <w:sz w:val="20"/>
                <w:szCs w:val="20"/>
                <w:spacing w:val="-2"/>
                <w:position w:val="-2"/>
              </w:rPr>
              <w:t>45</w:t>
            </w:r>
          </w:p>
        </w:tc>
        <w:tc>
          <w:tcPr>
            <w:tcW w:w="1893" w:type="dxa"/>
            <w:vAlign w:val="top"/>
          </w:tcPr>
          <w:p>
            <w:pPr>
              <w:pStyle w:val="TableText"/>
              <w:ind w:left="789"/>
              <w:spacing w:before="77" w:line="153" w:lineRule="exact"/>
              <w:rPr>
                <w:sz w:val="20"/>
                <w:szCs w:val="20"/>
              </w:rPr>
            </w:pPr>
            <w:r>
              <w:rPr>
                <w:sz w:val="20"/>
                <w:szCs w:val="20"/>
                <w:spacing w:val="-3"/>
                <w:position w:val="-2"/>
              </w:rPr>
              <w:t>300</w:t>
            </w:r>
          </w:p>
        </w:tc>
      </w:tr>
      <w:tr>
        <w:trPr>
          <w:trHeight w:val="290" w:hRule="atLeast"/>
        </w:trPr>
        <w:tc>
          <w:tcPr>
            <w:tcW w:w="834" w:type="dxa"/>
            <w:vAlign w:val="top"/>
            <w:vMerge w:val="continue"/>
            <w:tcBorders>
              <w:top w:val="nil"/>
              <w:bottom w:val="nil"/>
            </w:tcBorders>
          </w:tcPr>
          <w:p>
            <w:pPr>
              <w:rPr>
                <w:rFonts w:ascii="Arial"/>
                <w:sz w:val="21"/>
              </w:rPr>
            </w:pPr>
            <w:r/>
          </w:p>
        </w:tc>
        <w:tc>
          <w:tcPr>
            <w:tcW w:w="2089" w:type="dxa"/>
            <w:vAlign w:val="top"/>
            <w:gridSpan w:val="2"/>
            <w:vMerge w:val="continue"/>
            <w:tcBorders>
              <w:top w:val="nil"/>
            </w:tcBorders>
          </w:tcPr>
          <w:p>
            <w:pPr>
              <w:rPr>
                <w:rFonts w:ascii="Arial"/>
                <w:sz w:val="21"/>
              </w:rPr>
            </w:pPr>
            <w:r/>
          </w:p>
        </w:tc>
        <w:tc>
          <w:tcPr>
            <w:tcW w:w="989" w:type="dxa"/>
            <w:vAlign w:val="top"/>
            <w:vMerge w:val="continue"/>
            <w:tcBorders>
              <w:top w:val="nil"/>
            </w:tcBorders>
          </w:tcPr>
          <w:p>
            <w:pPr>
              <w:rPr>
                <w:rFonts w:ascii="Arial"/>
                <w:sz w:val="21"/>
              </w:rPr>
            </w:pPr>
            <w:r/>
          </w:p>
        </w:tc>
        <w:tc>
          <w:tcPr>
            <w:tcW w:w="1089" w:type="dxa"/>
            <w:vAlign w:val="top"/>
            <w:vMerge w:val="continue"/>
            <w:tcBorders>
              <w:top w:val="nil"/>
            </w:tcBorders>
          </w:tcPr>
          <w:p>
            <w:pPr>
              <w:rPr>
                <w:rFonts w:ascii="Arial"/>
                <w:sz w:val="21"/>
              </w:rPr>
            </w:pPr>
            <w:r/>
          </w:p>
        </w:tc>
        <w:tc>
          <w:tcPr>
            <w:tcW w:w="1769" w:type="dxa"/>
            <w:vAlign w:val="top"/>
          </w:tcPr>
          <w:p>
            <w:pPr>
              <w:pStyle w:val="TableText"/>
              <w:ind w:left="724"/>
              <w:spacing w:before="61" w:line="202" w:lineRule="auto"/>
              <w:rPr>
                <w:sz w:val="20"/>
                <w:szCs w:val="20"/>
              </w:rPr>
            </w:pPr>
            <w:r>
              <w:rPr>
                <w:sz w:val="20"/>
                <w:szCs w:val="20"/>
                <w:spacing w:val="-3"/>
              </w:rPr>
              <w:t>t/a</w:t>
            </w:r>
          </w:p>
        </w:tc>
        <w:tc>
          <w:tcPr>
            <w:tcW w:w="1938" w:type="dxa"/>
            <w:vAlign w:val="top"/>
          </w:tcPr>
          <w:p>
            <w:pPr>
              <w:pStyle w:val="TableText"/>
              <w:ind w:left="715"/>
              <w:spacing w:before="107" w:line="159" w:lineRule="auto"/>
              <w:rPr>
                <w:sz w:val="20"/>
                <w:szCs w:val="20"/>
              </w:rPr>
            </w:pPr>
            <w:r>
              <w:rPr>
                <w:sz w:val="20"/>
                <w:szCs w:val="20"/>
                <w:spacing w:val="-2"/>
              </w:rPr>
              <w:t>4.680</w:t>
            </w:r>
          </w:p>
        </w:tc>
        <w:tc>
          <w:tcPr>
            <w:tcW w:w="1839" w:type="dxa"/>
            <w:vAlign w:val="top"/>
          </w:tcPr>
          <w:p>
            <w:pPr>
              <w:pStyle w:val="TableText"/>
              <w:ind w:left="667"/>
              <w:spacing w:before="107" w:line="159" w:lineRule="auto"/>
              <w:rPr>
                <w:sz w:val="20"/>
                <w:szCs w:val="20"/>
              </w:rPr>
            </w:pPr>
            <w:r>
              <w:rPr>
                <w:sz w:val="20"/>
                <w:szCs w:val="20"/>
                <w:spacing w:val="-2"/>
              </w:rPr>
              <w:t>3.744</w:t>
            </w:r>
          </w:p>
        </w:tc>
        <w:tc>
          <w:tcPr>
            <w:tcW w:w="1699" w:type="dxa"/>
            <w:vAlign w:val="top"/>
          </w:tcPr>
          <w:p>
            <w:pPr>
              <w:pStyle w:val="TableText"/>
              <w:ind w:left="598"/>
              <w:spacing w:before="106" w:line="160" w:lineRule="auto"/>
              <w:rPr>
                <w:sz w:val="20"/>
                <w:szCs w:val="20"/>
              </w:rPr>
            </w:pPr>
            <w:r>
              <w:rPr>
                <w:sz w:val="20"/>
                <w:szCs w:val="20"/>
                <w:spacing w:val="-2"/>
              </w:rPr>
              <w:t>0.421</w:t>
            </w:r>
          </w:p>
        </w:tc>
        <w:tc>
          <w:tcPr>
            <w:tcW w:w="1893" w:type="dxa"/>
            <w:vAlign w:val="top"/>
          </w:tcPr>
          <w:p>
            <w:pPr>
              <w:pStyle w:val="TableText"/>
              <w:ind w:left="689"/>
              <w:spacing w:before="107" w:line="159" w:lineRule="auto"/>
              <w:rPr>
                <w:sz w:val="20"/>
                <w:szCs w:val="20"/>
              </w:rPr>
            </w:pPr>
            <w:r>
              <w:rPr>
                <w:sz w:val="20"/>
                <w:szCs w:val="20"/>
                <w:spacing w:val="-2"/>
              </w:rPr>
              <w:t>2.808</w:t>
            </w:r>
          </w:p>
        </w:tc>
      </w:tr>
      <w:tr>
        <w:trPr>
          <w:trHeight w:val="240" w:hRule="atLeast"/>
        </w:trPr>
        <w:tc>
          <w:tcPr>
            <w:tcW w:w="834" w:type="dxa"/>
            <w:vAlign w:val="top"/>
            <w:vMerge w:val="continue"/>
            <w:tcBorders>
              <w:top w:val="nil"/>
              <w:bottom w:val="nil"/>
            </w:tcBorders>
          </w:tcPr>
          <w:p>
            <w:pPr>
              <w:rPr>
                <w:rFonts w:ascii="Arial"/>
                <w:sz w:val="21"/>
              </w:rPr>
            </w:pPr>
            <w:r/>
          </w:p>
        </w:tc>
        <w:tc>
          <w:tcPr>
            <w:tcW w:w="2089" w:type="dxa"/>
            <w:vAlign w:val="top"/>
            <w:gridSpan w:val="2"/>
            <w:vMerge w:val="restart"/>
            <w:tcBorders>
              <w:bottom w:val="nil"/>
            </w:tcBorders>
          </w:tcPr>
          <w:p>
            <w:pPr>
              <w:pStyle w:val="TableText"/>
              <w:ind w:left="830" w:right="140" w:hanging="700"/>
              <w:spacing w:before="45" w:line="223" w:lineRule="auto"/>
              <w:rPr>
                <w:sz w:val="20"/>
                <w:szCs w:val="20"/>
              </w:rPr>
            </w:pPr>
            <w:r>
              <w:rPr>
                <w:sz w:val="20"/>
                <w:szCs w:val="20"/>
              </w:rPr>
              <w:t>霞浦县污水处理厂排</w:t>
            </w:r>
            <w:r>
              <w:rPr>
                <w:sz w:val="20"/>
                <w:szCs w:val="20"/>
                <w:spacing w:val="6"/>
              </w:rPr>
              <w:t xml:space="preserve"> </w:t>
            </w:r>
            <w:r>
              <w:rPr>
                <w:sz w:val="20"/>
                <w:szCs w:val="20"/>
                <w:spacing w:val="14"/>
              </w:rPr>
              <w:t>放口</w:t>
            </w:r>
          </w:p>
        </w:tc>
        <w:tc>
          <w:tcPr>
            <w:tcW w:w="989" w:type="dxa"/>
            <w:vAlign w:val="top"/>
            <w:vMerge w:val="restart"/>
            <w:tcBorders>
              <w:bottom w:val="nil"/>
            </w:tcBorders>
          </w:tcPr>
          <w:p>
            <w:pPr>
              <w:pStyle w:val="TableText"/>
              <w:ind w:left="231"/>
              <w:spacing w:before="226" w:line="184" w:lineRule="auto"/>
              <w:rPr>
                <w:sz w:val="20"/>
                <w:szCs w:val="20"/>
              </w:rPr>
            </w:pPr>
            <w:r>
              <w:rPr>
                <w:sz w:val="20"/>
                <w:szCs w:val="20"/>
                <w:spacing w:val="-4"/>
              </w:rPr>
              <w:t>183.7</w:t>
            </w:r>
          </w:p>
        </w:tc>
        <w:tc>
          <w:tcPr>
            <w:tcW w:w="1089" w:type="dxa"/>
            <w:vAlign w:val="top"/>
            <w:vMerge w:val="restart"/>
            <w:tcBorders>
              <w:bottom w:val="nil"/>
            </w:tcBorders>
          </w:tcPr>
          <w:p>
            <w:pPr>
              <w:pStyle w:val="TableText"/>
              <w:ind w:left="283"/>
              <w:spacing w:before="226" w:line="184" w:lineRule="auto"/>
              <w:rPr>
                <w:sz w:val="20"/>
                <w:szCs w:val="20"/>
              </w:rPr>
            </w:pPr>
            <w:r>
              <w:rPr>
                <w:sz w:val="20"/>
                <w:szCs w:val="20"/>
                <w:spacing w:val="-2"/>
              </w:rPr>
              <w:t>55110</w:t>
            </w:r>
          </w:p>
        </w:tc>
        <w:tc>
          <w:tcPr>
            <w:tcW w:w="1769" w:type="dxa"/>
            <w:vAlign w:val="top"/>
          </w:tcPr>
          <w:p>
            <w:pPr>
              <w:pStyle w:val="TableText"/>
              <w:ind w:left="674"/>
              <w:spacing w:before="19" w:line="194" w:lineRule="auto"/>
              <w:rPr>
                <w:sz w:val="20"/>
                <w:szCs w:val="20"/>
              </w:rPr>
            </w:pPr>
            <w:r>
              <w:rPr>
                <w:sz w:val="20"/>
                <w:szCs w:val="20"/>
                <w:spacing w:val="-1"/>
              </w:rPr>
              <w:t>mg/L</w:t>
            </w:r>
          </w:p>
        </w:tc>
        <w:tc>
          <w:tcPr>
            <w:tcW w:w="1938" w:type="dxa"/>
            <w:vAlign w:val="top"/>
          </w:tcPr>
          <w:p>
            <w:pPr>
              <w:pStyle w:val="TableText"/>
              <w:ind w:left="865"/>
              <w:spacing w:before="77" w:line="153" w:lineRule="exact"/>
              <w:rPr>
                <w:sz w:val="20"/>
                <w:szCs w:val="20"/>
              </w:rPr>
            </w:pPr>
            <w:r>
              <w:rPr>
                <w:sz w:val="20"/>
                <w:szCs w:val="20"/>
                <w:spacing w:val="-3"/>
                <w:position w:val="-2"/>
              </w:rPr>
              <w:t>50</w:t>
            </w:r>
          </w:p>
        </w:tc>
        <w:tc>
          <w:tcPr>
            <w:tcW w:w="1839" w:type="dxa"/>
            <w:vAlign w:val="top"/>
          </w:tcPr>
          <w:p>
            <w:pPr>
              <w:pStyle w:val="TableText"/>
              <w:ind w:left="817"/>
              <w:spacing w:before="77" w:line="153" w:lineRule="exact"/>
              <w:rPr>
                <w:sz w:val="20"/>
                <w:szCs w:val="20"/>
              </w:rPr>
            </w:pPr>
            <w:r>
              <w:rPr>
                <w:sz w:val="20"/>
                <w:szCs w:val="20"/>
                <w:spacing w:val="-6"/>
                <w:position w:val="-2"/>
              </w:rPr>
              <w:t>10</w:t>
            </w:r>
          </w:p>
        </w:tc>
        <w:tc>
          <w:tcPr>
            <w:tcW w:w="1699" w:type="dxa"/>
            <w:vAlign w:val="top"/>
          </w:tcPr>
          <w:p>
            <w:pPr>
              <w:pStyle w:val="TableText"/>
              <w:ind w:left="798"/>
              <w:spacing w:before="79" w:line="151" w:lineRule="exact"/>
              <w:rPr>
                <w:sz w:val="20"/>
                <w:szCs w:val="20"/>
              </w:rPr>
            </w:pPr>
            <w:r>
              <w:rPr>
                <w:sz w:val="20"/>
                <w:szCs w:val="20"/>
                <w:position w:val="-2"/>
              </w:rPr>
              <w:t>5</w:t>
            </w:r>
          </w:p>
        </w:tc>
        <w:tc>
          <w:tcPr>
            <w:tcW w:w="1893" w:type="dxa"/>
            <w:vAlign w:val="top"/>
          </w:tcPr>
          <w:p>
            <w:pPr>
              <w:pStyle w:val="TableText"/>
              <w:ind w:left="839"/>
              <w:spacing w:before="77" w:line="153" w:lineRule="exact"/>
              <w:rPr>
                <w:sz w:val="20"/>
                <w:szCs w:val="20"/>
              </w:rPr>
            </w:pPr>
            <w:r>
              <w:rPr>
                <w:sz w:val="20"/>
                <w:szCs w:val="20"/>
                <w:spacing w:val="-6"/>
                <w:position w:val="-2"/>
              </w:rPr>
              <w:t>10</w:t>
            </w:r>
          </w:p>
        </w:tc>
      </w:tr>
      <w:tr>
        <w:trPr>
          <w:trHeight w:val="289" w:hRule="atLeast"/>
        </w:trPr>
        <w:tc>
          <w:tcPr>
            <w:tcW w:w="834" w:type="dxa"/>
            <w:vAlign w:val="top"/>
            <w:vMerge w:val="continue"/>
            <w:tcBorders>
              <w:top w:val="nil"/>
            </w:tcBorders>
          </w:tcPr>
          <w:p>
            <w:pPr>
              <w:rPr>
                <w:rFonts w:ascii="Arial"/>
                <w:sz w:val="21"/>
              </w:rPr>
            </w:pPr>
            <w:r/>
          </w:p>
        </w:tc>
        <w:tc>
          <w:tcPr>
            <w:tcW w:w="2089" w:type="dxa"/>
            <w:vAlign w:val="top"/>
            <w:gridSpan w:val="2"/>
            <w:vMerge w:val="continue"/>
            <w:tcBorders>
              <w:top w:val="nil"/>
            </w:tcBorders>
          </w:tcPr>
          <w:p>
            <w:pPr>
              <w:rPr>
                <w:rFonts w:ascii="Arial"/>
                <w:sz w:val="21"/>
              </w:rPr>
            </w:pPr>
            <w:r/>
          </w:p>
        </w:tc>
        <w:tc>
          <w:tcPr>
            <w:tcW w:w="989" w:type="dxa"/>
            <w:vAlign w:val="top"/>
            <w:vMerge w:val="continue"/>
            <w:tcBorders>
              <w:top w:val="nil"/>
            </w:tcBorders>
          </w:tcPr>
          <w:p>
            <w:pPr>
              <w:rPr>
                <w:rFonts w:ascii="Arial"/>
                <w:sz w:val="21"/>
              </w:rPr>
            </w:pPr>
            <w:r/>
          </w:p>
        </w:tc>
        <w:tc>
          <w:tcPr>
            <w:tcW w:w="1089" w:type="dxa"/>
            <w:vAlign w:val="top"/>
            <w:vMerge w:val="continue"/>
            <w:tcBorders>
              <w:top w:val="nil"/>
            </w:tcBorders>
          </w:tcPr>
          <w:p>
            <w:pPr>
              <w:rPr>
                <w:rFonts w:ascii="Arial"/>
                <w:sz w:val="21"/>
              </w:rPr>
            </w:pPr>
            <w:r/>
          </w:p>
        </w:tc>
        <w:tc>
          <w:tcPr>
            <w:tcW w:w="1769" w:type="dxa"/>
            <w:vAlign w:val="top"/>
          </w:tcPr>
          <w:p>
            <w:pPr>
              <w:pStyle w:val="TableText"/>
              <w:ind w:left="724"/>
              <w:spacing w:before="61" w:line="201" w:lineRule="auto"/>
              <w:rPr>
                <w:sz w:val="20"/>
                <w:szCs w:val="20"/>
              </w:rPr>
            </w:pPr>
            <w:r>
              <w:rPr>
                <w:sz w:val="20"/>
                <w:szCs w:val="20"/>
                <w:spacing w:val="-3"/>
              </w:rPr>
              <w:t>t/a</w:t>
            </w:r>
          </w:p>
        </w:tc>
        <w:tc>
          <w:tcPr>
            <w:tcW w:w="1938" w:type="dxa"/>
            <w:vAlign w:val="top"/>
          </w:tcPr>
          <w:p>
            <w:pPr>
              <w:pStyle w:val="TableText"/>
              <w:ind w:left="665"/>
              <w:spacing w:before="107" w:line="158" w:lineRule="auto"/>
              <w:rPr>
                <w:sz w:val="20"/>
                <w:szCs w:val="20"/>
              </w:rPr>
            </w:pPr>
            <w:r>
              <w:rPr>
                <w:sz w:val="20"/>
                <w:szCs w:val="20"/>
                <w:spacing w:val="-2"/>
              </w:rPr>
              <w:t>0.4680</w:t>
            </w:r>
          </w:p>
        </w:tc>
        <w:tc>
          <w:tcPr>
            <w:tcW w:w="1839" w:type="dxa"/>
            <w:vAlign w:val="top"/>
          </w:tcPr>
          <w:p>
            <w:pPr>
              <w:pStyle w:val="TableText"/>
              <w:ind w:left="617"/>
              <w:spacing w:before="107" w:line="158" w:lineRule="auto"/>
              <w:rPr>
                <w:sz w:val="20"/>
                <w:szCs w:val="20"/>
              </w:rPr>
            </w:pPr>
            <w:r>
              <w:rPr>
                <w:sz w:val="20"/>
                <w:szCs w:val="20"/>
                <w:spacing w:val="-2"/>
              </w:rPr>
              <w:t>0.0936</w:t>
            </w:r>
          </w:p>
        </w:tc>
        <w:tc>
          <w:tcPr>
            <w:tcW w:w="1699" w:type="dxa"/>
            <w:vAlign w:val="top"/>
          </w:tcPr>
          <w:p>
            <w:pPr>
              <w:pStyle w:val="TableText"/>
              <w:ind w:left="548"/>
              <w:spacing w:before="107" w:line="158" w:lineRule="auto"/>
              <w:rPr>
                <w:sz w:val="20"/>
                <w:szCs w:val="20"/>
              </w:rPr>
            </w:pPr>
            <w:r>
              <w:rPr>
                <w:sz w:val="20"/>
                <w:szCs w:val="20"/>
                <w:spacing w:val="-2"/>
              </w:rPr>
              <w:t>0.0468</w:t>
            </w:r>
          </w:p>
        </w:tc>
        <w:tc>
          <w:tcPr>
            <w:tcW w:w="1893" w:type="dxa"/>
            <w:vAlign w:val="top"/>
          </w:tcPr>
          <w:p>
            <w:pPr>
              <w:pStyle w:val="TableText"/>
              <w:ind w:left="638"/>
              <w:spacing w:before="107" w:line="158" w:lineRule="auto"/>
              <w:rPr>
                <w:sz w:val="20"/>
                <w:szCs w:val="20"/>
              </w:rPr>
            </w:pPr>
            <w:r>
              <w:rPr>
                <w:sz w:val="20"/>
                <w:szCs w:val="20"/>
                <w:spacing w:val="-2"/>
              </w:rPr>
              <w:t>0.0936</w:t>
            </w:r>
          </w:p>
        </w:tc>
      </w:tr>
      <w:tr>
        <w:trPr>
          <w:trHeight w:val="554" w:hRule="atLeast"/>
        </w:trPr>
        <w:tc>
          <w:tcPr>
            <w:tcW w:w="14139" w:type="dxa"/>
            <w:vAlign w:val="top"/>
            <w:gridSpan w:val="10"/>
          </w:tcPr>
          <w:p>
            <w:pPr>
              <w:pStyle w:val="TableText"/>
              <w:ind w:left="85" w:right="1531"/>
              <w:spacing w:before="47" w:line="229" w:lineRule="auto"/>
              <w:rPr>
                <w:sz w:val="20"/>
                <w:szCs w:val="20"/>
              </w:rPr>
            </w:pPr>
            <w:r>
              <w:rPr>
                <w:sz w:val="20"/>
                <w:szCs w:val="20"/>
              </w:rPr>
              <w:t>注：(1)工作制度以300天/年计；(2)霞浦县污水处理厂尾水排放执行《城镇污水处理厂污染物排放标准》(GB18918-2002)表1一级A标准；(3)锅</w:t>
            </w:r>
            <w:r>
              <w:rPr>
                <w:sz w:val="20"/>
                <w:szCs w:val="20"/>
                <w:spacing w:val="10"/>
              </w:rPr>
              <w:t xml:space="preserve"> </w:t>
            </w:r>
            <w:r>
              <w:rPr>
                <w:sz w:val="20"/>
                <w:szCs w:val="20"/>
              </w:rPr>
              <w:t>炉软化浓水及排污水，纯水制备废水，循环冷却系统废水不计算污染物排放量。</w:t>
            </w:r>
          </w:p>
        </w:tc>
      </w:tr>
    </w:tbl>
    <w:p>
      <w:pPr>
        <w:rPr>
          <w:rFonts w:ascii="Arial"/>
          <w:sz w:val="21"/>
        </w:rPr>
      </w:pPr>
      <w:r/>
    </w:p>
    <w:p>
      <w:pPr>
        <w:sectPr>
          <w:footerReference w:type="default" r:id="rId116"/>
          <w:pgSz w:w="16940" w:h="12050"/>
          <w:pgMar w:top="1024" w:right="1415" w:bottom="1059" w:left="1374" w:header="0" w:footer="890" w:gutter="0"/>
        </w:sectPr>
        <w:rPr>
          <w:rFonts w:ascii="Arial" w:hAnsi="Arial" w:eastAsia="Arial" w:cs="Arial"/>
          <w:sz w:val="21"/>
          <w:szCs w:val="21"/>
        </w:rPr>
      </w:pPr>
    </w:p>
    <w:tbl>
      <w:tblPr>
        <w:tblStyle w:val="TableNormal"/>
        <w:tblW w:w="9495" w:type="dxa"/>
        <w:tblInd w:w="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25"/>
        <w:gridCol w:w="125"/>
        <w:gridCol w:w="979"/>
        <w:gridCol w:w="1769"/>
        <w:gridCol w:w="1039"/>
        <w:gridCol w:w="869"/>
        <w:gridCol w:w="700"/>
        <w:gridCol w:w="630"/>
        <w:gridCol w:w="850"/>
        <w:gridCol w:w="720"/>
        <w:gridCol w:w="849"/>
        <w:gridCol w:w="140"/>
      </w:tblGrid>
      <w:tr>
        <w:trPr>
          <w:trHeight w:val="510" w:hRule="atLeast"/>
        </w:trPr>
        <w:tc>
          <w:tcPr>
            <w:tcW w:w="825" w:type="dxa"/>
            <w:vAlign w:val="top"/>
            <w:vMerge w:val="restart"/>
            <w:tcBorders>
              <w:left w:val="single" w:color="000000" w:sz="2" w:space="0"/>
              <w:right w:val="single" w:color="000000" w:sz="2" w:space="0"/>
              <w:top w:val="nil"/>
              <w:bottom w:val="nil"/>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215"/>
              <w:spacing w:before="71" w:line="227" w:lineRule="auto"/>
              <w:rPr>
                <w:sz w:val="22"/>
                <w:szCs w:val="22"/>
              </w:rPr>
            </w:pPr>
            <w:r>
              <w:rPr>
                <w:sz w:val="22"/>
                <w:szCs w:val="22"/>
                <w:spacing w:val="-3"/>
              </w:rPr>
              <w:t>运营</w:t>
            </w:r>
          </w:p>
          <w:p>
            <w:pPr>
              <w:pStyle w:val="TableText"/>
              <w:ind w:left="215"/>
              <w:spacing w:line="220" w:lineRule="auto"/>
              <w:rPr>
                <w:sz w:val="22"/>
                <w:szCs w:val="22"/>
              </w:rPr>
            </w:pPr>
            <w:r>
              <w:rPr>
                <w:sz w:val="22"/>
                <w:szCs w:val="22"/>
                <w:spacing w:val="-3"/>
              </w:rPr>
              <w:t>期环</w:t>
            </w:r>
          </w:p>
          <w:p>
            <w:pPr>
              <w:pStyle w:val="TableText"/>
              <w:ind w:left="215"/>
              <w:spacing w:before="7" w:line="220" w:lineRule="auto"/>
              <w:rPr>
                <w:sz w:val="22"/>
                <w:szCs w:val="22"/>
              </w:rPr>
            </w:pPr>
            <w:r>
              <w:rPr>
                <w:sz w:val="22"/>
                <w:szCs w:val="22"/>
                <w:spacing w:val="-3"/>
              </w:rPr>
              <w:t>境影</w:t>
            </w:r>
          </w:p>
          <w:p>
            <w:pPr>
              <w:pStyle w:val="TableText"/>
              <w:ind w:left="215"/>
              <w:spacing w:before="10" w:line="222" w:lineRule="auto"/>
              <w:rPr>
                <w:sz w:val="22"/>
                <w:szCs w:val="22"/>
              </w:rPr>
            </w:pPr>
            <w:r>
              <w:rPr>
                <w:sz w:val="22"/>
                <w:szCs w:val="22"/>
                <w:spacing w:val="-5"/>
              </w:rPr>
              <w:t>响和</w:t>
            </w:r>
          </w:p>
          <w:p>
            <w:pPr>
              <w:pStyle w:val="TableText"/>
              <w:ind w:left="215"/>
              <w:spacing w:before="2" w:line="220" w:lineRule="auto"/>
              <w:rPr>
                <w:sz w:val="22"/>
                <w:szCs w:val="22"/>
              </w:rPr>
            </w:pPr>
            <w:r>
              <w:rPr>
                <w:sz w:val="22"/>
                <w:szCs w:val="22"/>
                <w:spacing w:val="-3"/>
              </w:rPr>
              <w:t>保护</w:t>
            </w:r>
          </w:p>
          <w:p>
            <w:pPr>
              <w:pStyle w:val="TableText"/>
              <w:ind w:left="215"/>
              <w:spacing w:before="18" w:line="220" w:lineRule="auto"/>
              <w:rPr>
                <w:sz w:val="22"/>
                <w:szCs w:val="22"/>
              </w:rPr>
            </w:pPr>
            <w:r>
              <w:rPr>
                <w:sz w:val="22"/>
                <w:szCs w:val="22"/>
                <w:spacing w:val="-3"/>
              </w:rPr>
              <w:t>措施</w:t>
            </w:r>
          </w:p>
        </w:tc>
        <w:tc>
          <w:tcPr>
            <w:tcW w:w="8670" w:type="dxa"/>
            <w:vAlign w:val="top"/>
            <w:gridSpan w:val="11"/>
            <w:tcBorders>
              <w:left w:val="single" w:color="000000" w:sz="2" w:space="0"/>
              <w:right w:val="single" w:color="000000" w:sz="2" w:space="0"/>
              <w:top w:val="nil"/>
            </w:tcBorders>
          </w:tcPr>
          <w:p>
            <w:pPr>
              <w:pStyle w:val="TableText"/>
              <w:ind w:left="1903"/>
              <w:spacing w:before="77" w:line="219" w:lineRule="auto"/>
              <w:rPr>
                <w:sz w:val="25"/>
                <w:szCs w:val="25"/>
              </w:rPr>
            </w:pPr>
            <w:r>
              <w:rPr>
                <w:sz w:val="25"/>
                <w:szCs w:val="25"/>
                <w:b/>
                <w:bCs/>
                <w:spacing w:val="-3"/>
              </w:rPr>
              <w:t>表4.3-3项目废水污染物排放总量情况一</w:t>
            </w:r>
            <w:r>
              <w:rPr>
                <w:sz w:val="25"/>
                <w:szCs w:val="25"/>
                <w:b/>
                <w:bCs/>
                <w:spacing w:val="-4"/>
              </w:rPr>
              <w:t>览表</w:t>
            </w:r>
          </w:p>
        </w:tc>
      </w:tr>
      <w:tr>
        <w:trPr>
          <w:trHeight w:val="549" w:hRule="atLeast"/>
        </w:trPr>
        <w:tc>
          <w:tcPr>
            <w:tcW w:w="825" w:type="dxa"/>
            <w:vAlign w:val="top"/>
            <w:vMerge w:val="continue"/>
            <w:tcBorders>
              <w:left w:val="single" w:color="000000" w:sz="2" w:space="0"/>
              <w:right w:val="single" w:color="000000" w:sz="2" w:space="0"/>
              <w:top w:val="nil"/>
              <w:bottom w:val="nil"/>
            </w:tcBorders>
          </w:tcPr>
          <w:p>
            <w:pPr>
              <w:rPr>
                <w:rFonts w:ascii="Arial"/>
                <w:sz w:val="21"/>
              </w:rPr>
            </w:pPr>
            <w:r/>
          </w:p>
        </w:tc>
        <w:tc>
          <w:tcPr>
            <w:tcW w:w="125" w:type="dxa"/>
            <w:vAlign w:val="top"/>
            <w:vMerge w:val="restart"/>
            <w:tcBorders>
              <w:left w:val="single" w:color="000000" w:sz="2" w:space="0"/>
              <w:bottom w:val="nil"/>
              <w:top w:val="nil"/>
            </w:tcBorders>
          </w:tcPr>
          <w:p>
            <w:pPr>
              <w:rPr>
                <w:rFonts w:ascii="Arial"/>
                <w:sz w:val="21"/>
              </w:rPr>
            </w:pPr>
            <w:r/>
          </w:p>
        </w:tc>
        <w:tc>
          <w:tcPr>
            <w:tcW w:w="2748" w:type="dxa"/>
            <w:vAlign w:val="top"/>
            <w:gridSpan w:val="2"/>
          </w:tcPr>
          <w:p>
            <w:pPr>
              <w:pStyle w:val="TableText"/>
              <w:ind w:left="1152"/>
              <w:spacing w:before="178" w:line="219" w:lineRule="auto"/>
              <w:rPr>
                <w:sz w:val="20"/>
                <w:szCs w:val="20"/>
              </w:rPr>
            </w:pPr>
            <w:r>
              <w:rPr>
                <w:sz w:val="20"/>
                <w:szCs w:val="20"/>
                <w:spacing w:val="8"/>
              </w:rPr>
              <w:t>类别</w:t>
            </w:r>
          </w:p>
        </w:tc>
        <w:tc>
          <w:tcPr>
            <w:tcW w:w="1039" w:type="dxa"/>
            <w:vAlign w:val="top"/>
          </w:tcPr>
          <w:p>
            <w:pPr>
              <w:pStyle w:val="TableText"/>
              <w:ind w:left="314"/>
              <w:spacing w:before="178" w:line="220" w:lineRule="auto"/>
              <w:rPr>
                <w:sz w:val="20"/>
                <w:szCs w:val="20"/>
              </w:rPr>
            </w:pPr>
            <w:r>
              <w:rPr>
                <w:sz w:val="20"/>
                <w:szCs w:val="20"/>
                <w:spacing w:val="-6"/>
              </w:rPr>
              <w:t>项 目</w:t>
            </w:r>
          </w:p>
        </w:tc>
        <w:tc>
          <w:tcPr>
            <w:tcW w:w="869" w:type="dxa"/>
            <w:vAlign w:val="top"/>
          </w:tcPr>
          <w:p>
            <w:pPr>
              <w:pStyle w:val="TableText"/>
              <w:ind w:left="225"/>
              <w:spacing w:before="180" w:line="221" w:lineRule="auto"/>
              <w:rPr>
                <w:sz w:val="20"/>
                <w:szCs w:val="20"/>
              </w:rPr>
            </w:pPr>
            <w:r>
              <w:rPr>
                <w:sz w:val="20"/>
                <w:szCs w:val="20"/>
                <w:spacing w:val="4"/>
              </w:rPr>
              <w:t>总钴</w:t>
            </w:r>
          </w:p>
        </w:tc>
        <w:tc>
          <w:tcPr>
            <w:tcW w:w="700" w:type="dxa"/>
            <w:vAlign w:val="top"/>
          </w:tcPr>
          <w:p>
            <w:pPr>
              <w:pStyle w:val="TableText"/>
              <w:ind w:left="146"/>
              <w:spacing w:before="178" w:line="220" w:lineRule="auto"/>
              <w:rPr>
                <w:sz w:val="20"/>
                <w:szCs w:val="20"/>
              </w:rPr>
            </w:pPr>
            <w:r>
              <w:rPr>
                <w:sz w:val="20"/>
                <w:szCs w:val="20"/>
                <w:spacing w:val="3"/>
              </w:rPr>
              <w:t>总镍</w:t>
            </w:r>
          </w:p>
        </w:tc>
        <w:tc>
          <w:tcPr>
            <w:tcW w:w="630" w:type="dxa"/>
            <w:vAlign w:val="top"/>
          </w:tcPr>
          <w:p>
            <w:pPr>
              <w:pStyle w:val="TableText"/>
              <w:ind w:left="206"/>
              <w:spacing w:before="48" w:line="228" w:lineRule="auto"/>
              <w:rPr>
                <w:sz w:val="20"/>
                <w:szCs w:val="20"/>
              </w:rPr>
            </w:pPr>
            <w:r>
              <w:rPr>
                <w:sz w:val="20"/>
                <w:szCs w:val="20"/>
              </w:rPr>
              <w:t>总</w:t>
            </w:r>
          </w:p>
          <w:p>
            <w:pPr>
              <w:pStyle w:val="TableText"/>
              <w:ind w:left="206"/>
              <w:spacing w:before="1" w:line="224" w:lineRule="auto"/>
              <w:rPr>
                <w:sz w:val="20"/>
                <w:szCs w:val="20"/>
              </w:rPr>
            </w:pPr>
            <w:r>
              <w:rPr>
                <w:sz w:val="20"/>
                <w:szCs w:val="20"/>
              </w:rPr>
              <w:t>锰</w:t>
            </w:r>
          </w:p>
        </w:tc>
        <w:tc>
          <w:tcPr>
            <w:tcW w:w="850" w:type="dxa"/>
            <w:vAlign w:val="top"/>
          </w:tcPr>
          <w:p>
            <w:pPr>
              <w:pStyle w:val="TableText"/>
              <w:ind w:left="266"/>
              <w:spacing w:before="229" w:line="183" w:lineRule="auto"/>
              <w:rPr>
                <w:sz w:val="20"/>
                <w:szCs w:val="20"/>
              </w:rPr>
            </w:pPr>
            <w:r>
              <w:rPr>
                <w:sz w:val="20"/>
                <w:szCs w:val="20"/>
                <w:spacing w:val="-2"/>
              </w:rPr>
              <w:t>COD</w:t>
            </w:r>
          </w:p>
        </w:tc>
        <w:tc>
          <w:tcPr>
            <w:tcW w:w="720" w:type="dxa"/>
            <w:vAlign w:val="top"/>
          </w:tcPr>
          <w:p>
            <w:pPr>
              <w:pStyle w:val="TableText"/>
              <w:ind w:left="156"/>
              <w:spacing w:before="176" w:line="219" w:lineRule="auto"/>
              <w:rPr>
                <w:sz w:val="20"/>
                <w:szCs w:val="20"/>
              </w:rPr>
            </w:pPr>
            <w:r>
              <w:rPr>
                <w:sz w:val="20"/>
                <w:szCs w:val="20"/>
                <w:spacing w:val="-2"/>
              </w:rPr>
              <w:t>氨氮</w:t>
            </w:r>
          </w:p>
        </w:tc>
        <w:tc>
          <w:tcPr>
            <w:tcW w:w="849" w:type="dxa"/>
            <w:vAlign w:val="top"/>
          </w:tcPr>
          <w:p>
            <w:pPr>
              <w:pStyle w:val="TableText"/>
              <w:ind w:left="316"/>
              <w:spacing w:before="229" w:line="183" w:lineRule="auto"/>
              <w:rPr>
                <w:sz w:val="20"/>
                <w:szCs w:val="20"/>
              </w:rPr>
            </w:pPr>
            <w:r>
              <w:rPr>
                <w:sz w:val="20"/>
                <w:szCs w:val="20"/>
                <w:spacing w:val="-5"/>
              </w:rPr>
              <w:t>SS</w:t>
            </w:r>
          </w:p>
        </w:tc>
        <w:tc>
          <w:tcPr>
            <w:tcW w:w="140" w:type="dxa"/>
            <w:vAlign w:val="top"/>
            <w:tcBorders>
              <w:right w:val="single" w:color="000000" w:sz="2" w:space="0"/>
            </w:tcBorders>
          </w:tcPr>
          <w:p>
            <w:pPr>
              <w:rPr>
                <w:rFonts w:ascii="Arial"/>
                <w:sz w:val="21"/>
              </w:rPr>
            </w:pPr>
            <w:r/>
          </w:p>
        </w:tc>
      </w:tr>
      <w:tr>
        <w:trPr>
          <w:trHeight w:val="530" w:hRule="atLeast"/>
        </w:trPr>
        <w:tc>
          <w:tcPr>
            <w:tcW w:w="825" w:type="dxa"/>
            <w:vAlign w:val="top"/>
            <w:vMerge w:val="continue"/>
            <w:tcBorders>
              <w:left w:val="single" w:color="000000" w:sz="2" w:space="0"/>
              <w:right w:val="single" w:color="000000" w:sz="2" w:space="0"/>
              <w:top w:val="nil"/>
              <w:bottom w:val="nil"/>
            </w:tcBorders>
          </w:tcPr>
          <w:p>
            <w:pPr>
              <w:rPr>
                <w:rFonts w:ascii="Arial"/>
                <w:sz w:val="21"/>
              </w:rPr>
            </w:pPr>
            <w:r/>
          </w:p>
        </w:tc>
        <w:tc>
          <w:tcPr>
            <w:tcW w:w="125" w:type="dxa"/>
            <w:vAlign w:val="top"/>
            <w:vMerge w:val="continue"/>
            <w:tcBorders>
              <w:left w:val="single" w:color="000000" w:sz="2" w:space="0"/>
              <w:bottom w:val="nil"/>
              <w:top w:val="nil"/>
            </w:tcBorders>
          </w:tcPr>
          <w:p>
            <w:pPr>
              <w:rPr>
                <w:rFonts w:ascii="Arial"/>
                <w:sz w:val="21"/>
              </w:rPr>
            </w:pPr>
            <w:r/>
          </w:p>
        </w:tc>
        <w:tc>
          <w:tcPr>
            <w:tcW w:w="979" w:type="dxa"/>
            <w:vAlign w:val="top"/>
            <w:vMerge w:val="restart"/>
            <w:tcBorders>
              <w:bottom w:val="nil"/>
            </w:tcBorders>
          </w:tcPr>
          <w:p>
            <w:pPr>
              <w:spacing w:line="242" w:lineRule="auto"/>
              <w:rPr>
                <w:rFonts w:ascii="Arial"/>
                <w:sz w:val="21"/>
              </w:rPr>
            </w:pPr>
            <w:r/>
          </w:p>
          <w:p>
            <w:pPr>
              <w:pStyle w:val="TableText"/>
              <w:ind w:left="182"/>
              <w:spacing w:before="65"/>
              <w:rPr>
                <w:sz w:val="20"/>
                <w:szCs w:val="20"/>
              </w:rPr>
            </w:pPr>
            <w:r>
              <w:rPr>
                <w:sz w:val="20"/>
                <w:szCs w:val="20"/>
                <w:spacing w:val="-3"/>
              </w:rPr>
              <w:t>生产废</w:t>
            </w:r>
          </w:p>
          <w:p>
            <w:pPr>
              <w:pStyle w:val="TableText"/>
              <w:ind w:left="382"/>
              <w:spacing w:line="219" w:lineRule="auto"/>
              <w:rPr>
                <w:sz w:val="20"/>
                <w:szCs w:val="20"/>
              </w:rPr>
            </w:pPr>
            <w:r>
              <w:rPr>
                <w:sz w:val="20"/>
                <w:szCs w:val="20"/>
              </w:rPr>
              <w:t>水</w:t>
            </w:r>
          </w:p>
        </w:tc>
        <w:tc>
          <w:tcPr>
            <w:tcW w:w="1769" w:type="dxa"/>
            <w:vAlign w:val="top"/>
            <w:vMerge w:val="restart"/>
            <w:tcBorders>
              <w:bottom w:val="nil"/>
            </w:tcBorders>
          </w:tcPr>
          <w:p>
            <w:pPr>
              <w:spacing w:line="253" w:lineRule="auto"/>
              <w:rPr>
                <w:rFonts w:ascii="Arial"/>
                <w:sz w:val="21"/>
              </w:rPr>
            </w:pPr>
            <w:r/>
          </w:p>
          <w:p>
            <w:pPr>
              <w:pStyle w:val="TableText"/>
              <w:ind w:left="173"/>
              <w:spacing w:before="65" w:line="221" w:lineRule="auto"/>
              <w:rPr>
                <w:sz w:val="20"/>
                <w:szCs w:val="20"/>
              </w:rPr>
            </w:pPr>
            <w:r>
              <w:rPr>
                <w:sz w:val="20"/>
                <w:szCs w:val="20"/>
                <w:spacing w:val="-1"/>
              </w:rPr>
              <w:t>排放量(35.1t/d</w:t>
            </w:r>
          </w:p>
          <w:p>
            <w:pPr>
              <w:pStyle w:val="TableText"/>
              <w:ind w:left="423"/>
              <w:spacing w:before="42" w:line="222" w:lineRule="auto"/>
              <w:rPr>
                <w:sz w:val="20"/>
                <w:szCs w:val="20"/>
              </w:rPr>
            </w:pPr>
            <w:r>
              <w:rPr>
                <w:sz w:val="20"/>
                <w:szCs w:val="20"/>
                <w:spacing w:val="-3"/>
              </w:rPr>
              <w:t>10530t/a)</w:t>
            </w:r>
          </w:p>
        </w:tc>
        <w:tc>
          <w:tcPr>
            <w:tcW w:w="1039" w:type="dxa"/>
            <w:vAlign w:val="top"/>
          </w:tcPr>
          <w:p>
            <w:pPr>
              <w:pStyle w:val="TableText"/>
              <w:ind w:left="314"/>
              <w:spacing w:before="29" w:line="283" w:lineRule="exact"/>
              <w:rPr>
                <w:sz w:val="20"/>
                <w:szCs w:val="20"/>
              </w:rPr>
            </w:pPr>
            <w:r>
              <w:rPr>
                <w:sz w:val="20"/>
                <w:szCs w:val="20"/>
                <w:spacing w:val="-2"/>
                <w:position w:val="5"/>
              </w:rPr>
              <w:t>浓度</w:t>
            </w:r>
          </w:p>
          <w:p>
            <w:pPr>
              <w:pStyle w:val="TableText"/>
              <w:ind w:left="214"/>
              <w:spacing w:line="191" w:lineRule="auto"/>
              <w:rPr>
                <w:sz w:val="20"/>
                <w:szCs w:val="20"/>
              </w:rPr>
            </w:pPr>
            <w:r>
              <w:rPr>
                <w:sz w:val="20"/>
                <w:szCs w:val="20"/>
                <w:spacing w:val="-6"/>
              </w:rPr>
              <w:t>(mg/L)</w:t>
            </w:r>
          </w:p>
        </w:tc>
        <w:tc>
          <w:tcPr>
            <w:tcW w:w="869" w:type="dxa"/>
            <w:vAlign w:val="top"/>
          </w:tcPr>
          <w:p>
            <w:pPr>
              <w:pStyle w:val="TableText"/>
              <w:ind w:left="275"/>
              <w:spacing w:before="219" w:line="184" w:lineRule="auto"/>
              <w:rPr>
                <w:sz w:val="20"/>
                <w:szCs w:val="20"/>
              </w:rPr>
            </w:pPr>
            <w:r>
              <w:rPr>
                <w:sz w:val="20"/>
                <w:szCs w:val="20"/>
                <w:spacing w:val="-3"/>
              </w:rPr>
              <w:t>0.1</w:t>
            </w:r>
          </w:p>
        </w:tc>
        <w:tc>
          <w:tcPr>
            <w:tcW w:w="700" w:type="dxa"/>
            <w:vAlign w:val="top"/>
          </w:tcPr>
          <w:p>
            <w:pPr>
              <w:pStyle w:val="TableText"/>
              <w:ind w:left="146"/>
              <w:spacing w:before="220" w:line="183" w:lineRule="auto"/>
              <w:rPr>
                <w:sz w:val="20"/>
                <w:szCs w:val="20"/>
              </w:rPr>
            </w:pPr>
            <w:r>
              <w:rPr>
                <w:sz w:val="20"/>
                <w:szCs w:val="20"/>
                <w:spacing w:val="-2"/>
              </w:rPr>
              <w:t>0.05</w:t>
            </w:r>
          </w:p>
        </w:tc>
        <w:tc>
          <w:tcPr>
            <w:tcW w:w="630" w:type="dxa"/>
            <w:vAlign w:val="top"/>
          </w:tcPr>
          <w:p>
            <w:pPr>
              <w:pStyle w:val="TableText"/>
              <w:ind w:left="156"/>
              <w:spacing w:before="219" w:line="184" w:lineRule="auto"/>
              <w:rPr>
                <w:sz w:val="20"/>
                <w:szCs w:val="20"/>
              </w:rPr>
            </w:pPr>
            <w:r>
              <w:rPr>
                <w:sz w:val="20"/>
                <w:szCs w:val="20"/>
                <w:spacing w:val="-6"/>
              </w:rPr>
              <w:t>1.5</w:t>
            </w:r>
          </w:p>
        </w:tc>
        <w:tc>
          <w:tcPr>
            <w:tcW w:w="850" w:type="dxa"/>
            <w:vAlign w:val="top"/>
          </w:tcPr>
          <w:p>
            <w:pPr>
              <w:pStyle w:val="TableText"/>
              <w:ind w:left="316"/>
              <w:spacing w:before="220" w:line="183" w:lineRule="auto"/>
              <w:rPr>
                <w:sz w:val="20"/>
                <w:szCs w:val="20"/>
              </w:rPr>
            </w:pPr>
            <w:r>
              <w:rPr>
                <w:sz w:val="20"/>
                <w:szCs w:val="20"/>
                <w:spacing w:val="-3"/>
              </w:rPr>
              <w:t>50</w:t>
            </w:r>
          </w:p>
        </w:tc>
        <w:tc>
          <w:tcPr>
            <w:tcW w:w="720" w:type="dxa"/>
            <w:vAlign w:val="top"/>
          </w:tcPr>
          <w:p>
            <w:pPr>
              <w:pStyle w:val="TableText"/>
              <w:ind w:left="306"/>
              <w:spacing w:before="221" w:line="182" w:lineRule="auto"/>
              <w:rPr>
                <w:sz w:val="20"/>
                <w:szCs w:val="20"/>
              </w:rPr>
            </w:pPr>
            <w:r>
              <w:rPr>
                <w:sz w:val="20"/>
                <w:szCs w:val="20"/>
              </w:rPr>
              <w:t>5</w:t>
            </w:r>
          </w:p>
        </w:tc>
        <w:tc>
          <w:tcPr>
            <w:tcW w:w="849" w:type="dxa"/>
            <w:vAlign w:val="top"/>
          </w:tcPr>
          <w:p>
            <w:pPr>
              <w:pStyle w:val="TableText"/>
              <w:ind w:left="316"/>
              <w:spacing w:before="219" w:line="184" w:lineRule="auto"/>
              <w:rPr>
                <w:sz w:val="20"/>
                <w:szCs w:val="20"/>
              </w:rPr>
            </w:pPr>
            <w:r>
              <w:rPr>
                <w:sz w:val="20"/>
                <w:szCs w:val="20"/>
                <w:spacing w:val="-6"/>
              </w:rPr>
              <w:t>10</w:t>
            </w:r>
          </w:p>
        </w:tc>
        <w:tc>
          <w:tcPr>
            <w:tcW w:w="140" w:type="dxa"/>
            <w:vAlign w:val="top"/>
            <w:tcBorders>
              <w:right w:val="single" w:color="000000" w:sz="2" w:space="0"/>
            </w:tcBorders>
          </w:tcPr>
          <w:p>
            <w:pPr>
              <w:rPr>
                <w:rFonts w:ascii="Arial"/>
                <w:sz w:val="21"/>
              </w:rPr>
            </w:pPr>
            <w:r/>
          </w:p>
        </w:tc>
      </w:tr>
      <w:tr>
        <w:trPr>
          <w:trHeight w:val="559" w:hRule="atLeast"/>
        </w:trPr>
        <w:tc>
          <w:tcPr>
            <w:tcW w:w="825" w:type="dxa"/>
            <w:vAlign w:val="top"/>
            <w:vMerge w:val="continue"/>
            <w:tcBorders>
              <w:left w:val="single" w:color="000000" w:sz="2" w:space="0"/>
              <w:right w:val="single" w:color="000000" w:sz="2" w:space="0"/>
              <w:top w:val="nil"/>
              <w:bottom w:val="nil"/>
            </w:tcBorders>
          </w:tcPr>
          <w:p>
            <w:pPr>
              <w:rPr>
                <w:rFonts w:ascii="Arial"/>
                <w:sz w:val="21"/>
              </w:rPr>
            </w:pPr>
            <w:r/>
          </w:p>
        </w:tc>
        <w:tc>
          <w:tcPr>
            <w:tcW w:w="125" w:type="dxa"/>
            <w:vAlign w:val="top"/>
            <w:vMerge w:val="continue"/>
            <w:tcBorders>
              <w:left w:val="single" w:color="000000" w:sz="2" w:space="0"/>
              <w:bottom w:val="nil"/>
              <w:top w:val="nil"/>
            </w:tcBorders>
          </w:tcPr>
          <w:p>
            <w:pPr>
              <w:rPr>
                <w:rFonts w:ascii="Arial"/>
                <w:sz w:val="21"/>
              </w:rPr>
            </w:pPr>
            <w:r/>
          </w:p>
        </w:tc>
        <w:tc>
          <w:tcPr>
            <w:tcW w:w="979" w:type="dxa"/>
            <w:vAlign w:val="top"/>
            <w:vMerge w:val="continue"/>
            <w:tcBorders>
              <w:top w:val="nil"/>
            </w:tcBorders>
          </w:tcPr>
          <w:p>
            <w:pPr>
              <w:rPr>
                <w:rFonts w:ascii="Arial"/>
                <w:sz w:val="21"/>
              </w:rPr>
            </w:pPr>
            <w:r/>
          </w:p>
        </w:tc>
        <w:tc>
          <w:tcPr>
            <w:tcW w:w="1769" w:type="dxa"/>
            <w:vAlign w:val="top"/>
            <w:vMerge w:val="continue"/>
            <w:tcBorders>
              <w:top w:val="nil"/>
            </w:tcBorders>
          </w:tcPr>
          <w:p>
            <w:pPr>
              <w:rPr>
                <w:rFonts w:ascii="Arial"/>
                <w:sz w:val="21"/>
              </w:rPr>
            </w:pPr>
            <w:r/>
          </w:p>
        </w:tc>
        <w:tc>
          <w:tcPr>
            <w:tcW w:w="1039" w:type="dxa"/>
            <w:vAlign w:val="top"/>
          </w:tcPr>
          <w:p>
            <w:pPr>
              <w:pStyle w:val="TableText"/>
              <w:ind w:left="214"/>
              <w:spacing w:before="30" w:line="292" w:lineRule="exact"/>
              <w:rPr>
                <w:sz w:val="20"/>
                <w:szCs w:val="20"/>
              </w:rPr>
            </w:pPr>
            <w:r>
              <w:rPr>
                <w:sz w:val="20"/>
                <w:szCs w:val="20"/>
                <w:spacing w:val="-2"/>
                <w:position w:val="6"/>
              </w:rPr>
              <w:t>排放量</w:t>
            </w:r>
          </w:p>
          <w:p>
            <w:pPr>
              <w:pStyle w:val="TableText"/>
              <w:ind w:left="264"/>
              <w:spacing w:line="209" w:lineRule="auto"/>
              <w:rPr>
                <w:sz w:val="20"/>
                <w:szCs w:val="20"/>
              </w:rPr>
            </w:pPr>
            <w:r>
              <w:rPr>
                <w:sz w:val="20"/>
                <w:szCs w:val="20"/>
                <w:spacing w:val="-7"/>
              </w:rPr>
              <w:t>(t/a)</w:t>
            </w:r>
          </w:p>
        </w:tc>
        <w:tc>
          <w:tcPr>
            <w:tcW w:w="869" w:type="dxa"/>
            <w:vAlign w:val="top"/>
          </w:tcPr>
          <w:p>
            <w:pPr>
              <w:pStyle w:val="TableText"/>
              <w:ind w:left="125"/>
              <w:spacing w:before="231" w:line="183" w:lineRule="auto"/>
              <w:rPr>
                <w:sz w:val="20"/>
                <w:szCs w:val="20"/>
              </w:rPr>
            </w:pPr>
            <w:r>
              <w:rPr>
                <w:sz w:val="20"/>
                <w:szCs w:val="20"/>
                <w:spacing w:val="-2"/>
              </w:rPr>
              <w:t>0.0003</w:t>
            </w:r>
          </w:p>
        </w:tc>
        <w:tc>
          <w:tcPr>
            <w:tcW w:w="700" w:type="dxa"/>
            <w:vAlign w:val="top"/>
          </w:tcPr>
          <w:p>
            <w:pPr>
              <w:pStyle w:val="TableText"/>
              <w:ind w:left="295" w:right="102" w:hanging="199"/>
              <w:spacing w:before="120" w:line="198" w:lineRule="auto"/>
              <w:rPr>
                <w:sz w:val="20"/>
                <w:szCs w:val="20"/>
              </w:rPr>
            </w:pPr>
            <w:r>
              <w:rPr>
                <w:sz w:val="20"/>
                <w:szCs w:val="20"/>
                <w:spacing w:val="-2"/>
              </w:rPr>
              <w:t>0.000</w:t>
            </w:r>
            <w:r>
              <w:rPr>
                <w:sz w:val="20"/>
                <w:szCs w:val="20"/>
              </w:rPr>
              <w:t xml:space="preserve"> </w:t>
            </w:r>
            <w:r>
              <w:rPr>
                <w:sz w:val="20"/>
                <w:szCs w:val="20"/>
              </w:rPr>
              <w:t>2</w:t>
            </w:r>
          </w:p>
        </w:tc>
        <w:tc>
          <w:tcPr>
            <w:tcW w:w="630" w:type="dxa"/>
            <w:vAlign w:val="top"/>
          </w:tcPr>
          <w:p>
            <w:pPr>
              <w:pStyle w:val="TableText"/>
              <w:ind w:left="205" w:right="122" w:hanging="99"/>
              <w:spacing w:before="120" w:line="198" w:lineRule="auto"/>
              <w:rPr>
                <w:sz w:val="20"/>
                <w:szCs w:val="20"/>
              </w:rPr>
            </w:pPr>
            <w:r>
              <w:rPr>
                <w:sz w:val="20"/>
                <w:szCs w:val="20"/>
                <w:spacing w:val="-3"/>
              </w:rPr>
              <w:t>0.00</w:t>
            </w:r>
            <w:r>
              <w:rPr>
                <w:sz w:val="20"/>
                <w:szCs w:val="20"/>
                <w:spacing w:val="1"/>
              </w:rPr>
              <w:t xml:space="preserve"> </w:t>
            </w:r>
            <w:r>
              <w:rPr>
                <w:sz w:val="20"/>
                <w:szCs w:val="20"/>
                <w:spacing w:val="-2"/>
              </w:rPr>
              <w:t>49</w:t>
            </w:r>
          </w:p>
        </w:tc>
        <w:tc>
          <w:tcPr>
            <w:tcW w:w="850" w:type="dxa"/>
            <w:vAlign w:val="top"/>
          </w:tcPr>
          <w:p>
            <w:pPr>
              <w:pStyle w:val="TableText"/>
              <w:ind w:left="116"/>
              <w:spacing w:before="231" w:line="183" w:lineRule="auto"/>
              <w:rPr>
                <w:sz w:val="20"/>
                <w:szCs w:val="20"/>
              </w:rPr>
            </w:pPr>
            <w:r>
              <w:rPr>
                <w:sz w:val="20"/>
                <w:szCs w:val="20"/>
                <w:spacing w:val="-2"/>
              </w:rPr>
              <w:t>0.5265</w:t>
            </w:r>
          </w:p>
        </w:tc>
        <w:tc>
          <w:tcPr>
            <w:tcW w:w="720" w:type="dxa"/>
            <w:vAlign w:val="top"/>
          </w:tcPr>
          <w:p>
            <w:pPr>
              <w:pStyle w:val="TableText"/>
              <w:ind w:left="306" w:right="112" w:hanging="200"/>
              <w:spacing w:before="120" w:line="198" w:lineRule="auto"/>
              <w:rPr>
                <w:sz w:val="20"/>
                <w:szCs w:val="20"/>
              </w:rPr>
            </w:pPr>
            <w:r>
              <w:rPr>
                <w:sz w:val="20"/>
                <w:szCs w:val="20"/>
                <w:spacing w:val="-2"/>
              </w:rPr>
              <w:t>0.052</w:t>
            </w:r>
            <w:r>
              <w:rPr>
                <w:sz w:val="20"/>
                <w:szCs w:val="20"/>
              </w:rPr>
              <w:t xml:space="preserve"> </w:t>
            </w:r>
            <w:r>
              <w:rPr>
                <w:sz w:val="20"/>
                <w:szCs w:val="20"/>
              </w:rPr>
              <w:t>7</w:t>
            </w:r>
          </w:p>
        </w:tc>
        <w:tc>
          <w:tcPr>
            <w:tcW w:w="849" w:type="dxa"/>
            <w:vAlign w:val="top"/>
          </w:tcPr>
          <w:p>
            <w:pPr>
              <w:pStyle w:val="TableText"/>
              <w:ind w:left="116"/>
              <w:spacing w:before="229" w:line="184" w:lineRule="auto"/>
              <w:rPr>
                <w:sz w:val="20"/>
                <w:szCs w:val="20"/>
              </w:rPr>
            </w:pPr>
            <w:r>
              <w:rPr>
                <w:sz w:val="20"/>
                <w:szCs w:val="20"/>
                <w:spacing w:val="-2"/>
              </w:rPr>
              <w:t>0.1053</w:t>
            </w:r>
          </w:p>
        </w:tc>
        <w:tc>
          <w:tcPr>
            <w:tcW w:w="140" w:type="dxa"/>
            <w:vAlign w:val="top"/>
            <w:tcBorders>
              <w:right w:val="single" w:color="000000" w:sz="2" w:space="0"/>
            </w:tcBorders>
          </w:tcPr>
          <w:p>
            <w:pPr>
              <w:rPr>
                <w:rFonts w:ascii="Arial"/>
                <w:sz w:val="21"/>
              </w:rPr>
            </w:pPr>
            <w:r/>
          </w:p>
        </w:tc>
      </w:tr>
      <w:tr>
        <w:trPr>
          <w:trHeight w:val="529" w:hRule="atLeast"/>
        </w:trPr>
        <w:tc>
          <w:tcPr>
            <w:tcW w:w="825" w:type="dxa"/>
            <w:vAlign w:val="top"/>
            <w:vMerge w:val="continue"/>
            <w:tcBorders>
              <w:left w:val="single" w:color="000000" w:sz="2" w:space="0"/>
              <w:right w:val="single" w:color="000000" w:sz="2" w:space="0"/>
              <w:top w:val="nil"/>
              <w:bottom w:val="nil"/>
            </w:tcBorders>
          </w:tcPr>
          <w:p>
            <w:pPr>
              <w:rPr>
                <w:rFonts w:ascii="Arial"/>
                <w:sz w:val="21"/>
              </w:rPr>
            </w:pPr>
            <w:r/>
          </w:p>
        </w:tc>
        <w:tc>
          <w:tcPr>
            <w:tcW w:w="125" w:type="dxa"/>
            <w:vAlign w:val="top"/>
            <w:vMerge w:val="continue"/>
            <w:tcBorders>
              <w:left w:val="single" w:color="000000" w:sz="2" w:space="0"/>
              <w:bottom w:val="nil"/>
              <w:top w:val="nil"/>
            </w:tcBorders>
          </w:tcPr>
          <w:p>
            <w:pPr>
              <w:rPr>
                <w:rFonts w:ascii="Arial"/>
                <w:sz w:val="21"/>
              </w:rPr>
            </w:pPr>
            <w:r/>
          </w:p>
        </w:tc>
        <w:tc>
          <w:tcPr>
            <w:tcW w:w="979" w:type="dxa"/>
            <w:vAlign w:val="top"/>
            <w:vMerge w:val="restart"/>
            <w:tcBorders>
              <w:bottom w:val="nil"/>
            </w:tcBorders>
          </w:tcPr>
          <w:p>
            <w:pPr>
              <w:spacing w:line="254" w:lineRule="auto"/>
              <w:rPr>
                <w:rFonts w:ascii="Arial"/>
                <w:sz w:val="21"/>
              </w:rPr>
            </w:pPr>
            <w:r/>
          </w:p>
          <w:p>
            <w:pPr>
              <w:pStyle w:val="TableText"/>
              <w:ind w:left="182"/>
              <w:spacing w:before="65" w:line="221" w:lineRule="auto"/>
              <w:rPr>
                <w:sz w:val="20"/>
                <w:szCs w:val="20"/>
              </w:rPr>
            </w:pPr>
            <w:r>
              <w:rPr>
                <w:sz w:val="20"/>
                <w:szCs w:val="20"/>
                <w:spacing w:val="-3"/>
              </w:rPr>
              <w:t>生活污</w:t>
            </w:r>
          </w:p>
          <w:p>
            <w:pPr>
              <w:pStyle w:val="TableText"/>
              <w:ind w:left="382"/>
              <w:spacing w:line="219" w:lineRule="auto"/>
              <w:rPr>
                <w:sz w:val="20"/>
                <w:szCs w:val="20"/>
              </w:rPr>
            </w:pPr>
            <w:r>
              <w:rPr>
                <w:sz w:val="20"/>
                <w:szCs w:val="20"/>
              </w:rPr>
              <w:t>水</w:t>
            </w:r>
          </w:p>
        </w:tc>
        <w:tc>
          <w:tcPr>
            <w:tcW w:w="1769" w:type="dxa"/>
            <w:vAlign w:val="top"/>
            <w:vMerge w:val="restart"/>
            <w:tcBorders>
              <w:bottom w:val="nil"/>
            </w:tcBorders>
          </w:tcPr>
          <w:p>
            <w:pPr>
              <w:spacing w:line="251" w:lineRule="auto"/>
              <w:rPr>
                <w:rFonts w:ascii="Arial"/>
                <w:sz w:val="21"/>
              </w:rPr>
            </w:pPr>
            <w:r/>
          </w:p>
          <w:p>
            <w:pPr>
              <w:pStyle w:val="TableText"/>
              <w:ind w:left="73"/>
              <w:spacing w:before="65" w:line="216" w:lineRule="auto"/>
              <w:rPr>
                <w:sz w:val="20"/>
                <w:szCs w:val="20"/>
              </w:rPr>
            </w:pPr>
            <w:r>
              <w:rPr>
                <w:sz w:val="20"/>
                <w:szCs w:val="20"/>
                <w:spacing w:val="4"/>
              </w:rPr>
              <w:t>排放量(183.7t/d,</w:t>
            </w:r>
          </w:p>
          <w:p>
            <w:pPr>
              <w:pStyle w:val="TableText"/>
              <w:ind w:left="423"/>
              <w:spacing w:before="41" w:line="222" w:lineRule="auto"/>
              <w:rPr>
                <w:sz w:val="20"/>
                <w:szCs w:val="20"/>
              </w:rPr>
            </w:pPr>
            <w:r>
              <w:rPr>
                <w:sz w:val="20"/>
                <w:szCs w:val="20"/>
                <w:spacing w:val="-2"/>
              </w:rPr>
              <w:t>55110t/a)</w:t>
            </w:r>
          </w:p>
        </w:tc>
        <w:tc>
          <w:tcPr>
            <w:tcW w:w="1039" w:type="dxa"/>
            <w:vAlign w:val="top"/>
          </w:tcPr>
          <w:p>
            <w:pPr>
              <w:pStyle w:val="TableText"/>
              <w:ind w:left="314"/>
              <w:spacing w:before="10" w:line="283" w:lineRule="exact"/>
              <w:rPr>
                <w:sz w:val="20"/>
                <w:szCs w:val="20"/>
              </w:rPr>
            </w:pPr>
            <w:r>
              <w:rPr>
                <w:sz w:val="20"/>
                <w:szCs w:val="20"/>
                <w:spacing w:val="-2"/>
                <w:position w:val="5"/>
              </w:rPr>
              <w:t>浓度</w:t>
            </w:r>
          </w:p>
          <w:p>
            <w:pPr>
              <w:pStyle w:val="TableText"/>
              <w:ind w:left="214"/>
              <w:spacing w:line="207" w:lineRule="auto"/>
              <w:rPr>
                <w:sz w:val="20"/>
                <w:szCs w:val="20"/>
              </w:rPr>
            </w:pPr>
            <w:r>
              <w:rPr>
                <w:sz w:val="20"/>
                <w:szCs w:val="20"/>
                <w:spacing w:val="-6"/>
              </w:rPr>
              <w:t>(mg/L)</w:t>
            </w:r>
          </w:p>
        </w:tc>
        <w:tc>
          <w:tcPr>
            <w:tcW w:w="869" w:type="dxa"/>
            <w:vAlign w:val="top"/>
          </w:tcPr>
          <w:p>
            <w:pPr>
              <w:pStyle w:val="TableText"/>
              <w:ind w:left="375"/>
              <w:spacing w:before="176" w:line="224" w:lineRule="auto"/>
              <w:rPr>
                <w:sz w:val="20"/>
                <w:szCs w:val="20"/>
              </w:rPr>
            </w:pPr>
            <w:r>
              <w:rPr>
                <w:sz w:val="20"/>
                <w:szCs w:val="20"/>
              </w:rPr>
              <w:t>/</w:t>
            </w:r>
          </w:p>
        </w:tc>
        <w:tc>
          <w:tcPr>
            <w:tcW w:w="700" w:type="dxa"/>
            <w:vAlign w:val="top"/>
          </w:tcPr>
          <w:p>
            <w:pPr>
              <w:pStyle w:val="TableText"/>
              <w:ind w:left="296"/>
              <w:spacing w:before="176" w:line="224" w:lineRule="auto"/>
              <w:rPr>
                <w:sz w:val="20"/>
                <w:szCs w:val="20"/>
              </w:rPr>
            </w:pPr>
            <w:r>
              <w:rPr>
                <w:sz w:val="20"/>
                <w:szCs w:val="20"/>
              </w:rPr>
              <w:t>/</w:t>
            </w:r>
          </w:p>
        </w:tc>
        <w:tc>
          <w:tcPr>
            <w:tcW w:w="630" w:type="dxa"/>
            <w:vAlign w:val="top"/>
          </w:tcPr>
          <w:p>
            <w:pPr>
              <w:pStyle w:val="TableText"/>
              <w:ind w:left="256"/>
              <w:spacing w:before="176" w:line="224" w:lineRule="auto"/>
              <w:rPr>
                <w:sz w:val="20"/>
                <w:szCs w:val="20"/>
              </w:rPr>
            </w:pPr>
            <w:r>
              <w:rPr>
                <w:sz w:val="20"/>
                <w:szCs w:val="20"/>
              </w:rPr>
              <w:t>/</w:t>
            </w:r>
          </w:p>
        </w:tc>
        <w:tc>
          <w:tcPr>
            <w:tcW w:w="850" w:type="dxa"/>
            <w:vAlign w:val="top"/>
          </w:tcPr>
          <w:p>
            <w:pPr>
              <w:pStyle w:val="TableText"/>
              <w:ind w:left="316"/>
              <w:spacing w:before="221" w:line="183" w:lineRule="auto"/>
              <w:rPr>
                <w:sz w:val="20"/>
                <w:szCs w:val="20"/>
              </w:rPr>
            </w:pPr>
            <w:r>
              <w:rPr>
                <w:sz w:val="20"/>
                <w:szCs w:val="20"/>
                <w:spacing w:val="-3"/>
              </w:rPr>
              <w:t>50</w:t>
            </w:r>
          </w:p>
        </w:tc>
        <w:tc>
          <w:tcPr>
            <w:tcW w:w="720" w:type="dxa"/>
            <w:vAlign w:val="top"/>
          </w:tcPr>
          <w:p>
            <w:pPr>
              <w:pStyle w:val="TableText"/>
              <w:ind w:left="306"/>
              <w:spacing w:before="222" w:line="182" w:lineRule="auto"/>
              <w:rPr>
                <w:sz w:val="20"/>
                <w:szCs w:val="20"/>
              </w:rPr>
            </w:pPr>
            <w:r>
              <w:rPr>
                <w:sz w:val="20"/>
                <w:szCs w:val="20"/>
              </w:rPr>
              <w:t>5</w:t>
            </w:r>
          </w:p>
        </w:tc>
        <w:tc>
          <w:tcPr>
            <w:tcW w:w="849" w:type="dxa"/>
            <w:vAlign w:val="top"/>
          </w:tcPr>
          <w:p>
            <w:pPr>
              <w:pStyle w:val="TableText"/>
              <w:ind w:left="316"/>
              <w:spacing w:before="220" w:line="184" w:lineRule="auto"/>
              <w:rPr>
                <w:sz w:val="20"/>
                <w:szCs w:val="20"/>
              </w:rPr>
            </w:pPr>
            <w:r>
              <w:rPr>
                <w:sz w:val="20"/>
                <w:szCs w:val="20"/>
                <w:spacing w:val="-6"/>
              </w:rPr>
              <w:t>10</w:t>
            </w:r>
          </w:p>
        </w:tc>
        <w:tc>
          <w:tcPr>
            <w:tcW w:w="140" w:type="dxa"/>
            <w:vAlign w:val="top"/>
            <w:tcBorders>
              <w:right w:val="single" w:color="000000" w:sz="2" w:space="0"/>
            </w:tcBorders>
          </w:tcPr>
          <w:p>
            <w:pPr>
              <w:rPr>
                <w:rFonts w:ascii="Arial"/>
                <w:sz w:val="21"/>
              </w:rPr>
            </w:pPr>
            <w:r/>
          </w:p>
        </w:tc>
      </w:tr>
      <w:tr>
        <w:trPr>
          <w:trHeight w:val="550" w:hRule="atLeast"/>
        </w:trPr>
        <w:tc>
          <w:tcPr>
            <w:tcW w:w="825" w:type="dxa"/>
            <w:vAlign w:val="top"/>
            <w:vMerge w:val="continue"/>
            <w:tcBorders>
              <w:left w:val="single" w:color="000000" w:sz="2" w:space="0"/>
              <w:right w:val="single" w:color="000000" w:sz="2" w:space="0"/>
              <w:top w:val="nil"/>
              <w:bottom w:val="nil"/>
            </w:tcBorders>
          </w:tcPr>
          <w:p>
            <w:pPr>
              <w:rPr>
                <w:rFonts w:ascii="Arial"/>
                <w:sz w:val="21"/>
              </w:rPr>
            </w:pPr>
            <w:r/>
          </w:p>
        </w:tc>
        <w:tc>
          <w:tcPr>
            <w:tcW w:w="125" w:type="dxa"/>
            <w:vAlign w:val="top"/>
            <w:vMerge w:val="continue"/>
            <w:tcBorders>
              <w:left w:val="single" w:color="000000" w:sz="2" w:space="0"/>
              <w:bottom w:val="nil"/>
              <w:top w:val="nil"/>
            </w:tcBorders>
          </w:tcPr>
          <w:p>
            <w:pPr>
              <w:rPr>
                <w:rFonts w:ascii="Arial"/>
                <w:sz w:val="21"/>
              </w:rPr>
            </w:pPr>
            <w:r/>
          </w:p>
        </w:tc>
        <w:tc>
          <w:tcPr>
            <w:tcW w:w="979" w:type="dxa"/>
            <w:vAlign w:val="top"/>
            <w:vMerge w:val="continue"/>
            <w:tcBorders>
              <w:top w:val="nil"/>
            </w:tcBorders>
          </w:tcPr>
          <w:p>
            <w:pPr>
              <w:rPr>
                <w:rFonts w:ascii="Arial"/>
                <w:sz w:val="21"/>
              </w:rPr>
            </w:pPr>
            <w:r/>
          </w:p>
        </w:tc>
        <w:tc>
          <w:tcPr>
            <w:tcW w:w="1769" w:type="dxa"/>
            <w:vAlign w:val="top"/>
            <w:vMerge w:val="continue"/>
            <w:tcBorders>
              <w:top w:val="nil"/>
            </w:tcBorders>
          </w:tcPr>
          <w:p>
            <w:pPr>
              <w:rPr>
                <w:rFonts w:ascii="Arial"/>
                <w:sz w:val="21"/>
              </w:rPr>
            </w:pPr>
            <w:r/>
          </w:p>
        </w:tc>
        <w:tc>
          <w:tcPr>
            <w:tcW w:w="1039" w:type="dxa"/>
            <w:vAlign w:val="top"/>
          </w:tcPr>
          <w:p>
            <w:pPr>
              <w:pStyle w:val="TableText"/>
              <w:ind w:left="214"/>
              <w:spacing w:before="32" w:line="292" w:lineRule="exact"/>
              <w:rPr>
                <w:sz w:val="20"/>
                <w:szCs w:val="20"/>
              </w:rPr>
            </w:pPr>
            <w:r>
              <w:rPr>
                <w:sz w:val="20"/>
                <w:szCs w:val="20"/>
                <w:spacing w:val="-2"/>
                <w:position w:val="6"/>
              </w:rPr>
              <w:t>排放量</w:t>
            </w:r>
          </w:p>
          <w:p>
            <w:pPr>
              <w:pStyle w:val="TableText"/>
              <w:ind w:left="264"/>
              <w:spacing w:line="199" w:lineRule="auto"/>
              <w:rPr>
                <w:sz w:val="20"/>
                <w:szCs w:val="20"/>
              </w:rPr>
            </w:pPr>
            <w:r>
              <w:rPr>
                <w:sz w:val="20"/>
                <w:szCs w:val="20"/>
                <w:spacing w:val="-7"/>
              </w:rPr>
              <w:t>(t/a)</w:t>
            </w:r>
          </w:p>
        </w:tc>
        <w:tc>
          <w:tcPr>
            <w:tcW w:w="869" w:type="dxa"/>
            <w:vAlign w:val="top"/>
          </w:tcPr>
          <w:p>
            <w:pPr>
              <w:pStyle w:val="TableText"/>
              <w:ind w:left="375"/>
              <w:spacing w:before="187" w:line="224" w:lineRule="auto"/>
              <w:rPr>
                <w:sz w:val="20"/>
                <w:szCs w:val="20"/>
              </w:rPr>
            </w:pPr>
            <w:r>
              <w:rPr>
                <w:sz w:val="20"/>
                <w:szCs w:val="20"/>
              </w:rPr>
              <w:t>/</w:t>
            </w:r>
          </w:p>
        </w:tc>
        <w:tc>
          <w:tcPr>
            <w:tcW w:w="700" w:type="dxa"/>
            <w:vAlign w:val="top"/>
          </w:tcPr>
          <w:p>
            <w:pPr>
              <w:pStyle w:val="TableText"/>
              <w:ind w:left="296"/>
              <w:spacing w:before="187" w:line="224" w:lineRule="auto"/>
              <w:rPr>
                <w:sz w:val="20"/>
                <w:szCs w:val="20"/>
              </w:rPr>
            </w:pPr>
            <w:r>
              <w:rPr>
                <w:sz w:val="20"/>
                <w:szCs w:val="20"/>
              </w:rPr>
              <w:t>/</w:t>
            </w:r>
          </w:p>
        </w:tc>
        <w:tc>
          <w:tcPr>
            <w:tcW w:w="630" w:type="dxa"/>
            <w:vAlign w:val="top"/>
          </w:tcPr>
          <w:p>
            <w:pPr>
              <w:pStyle w:val="TableText"/>
              <w:ind w:left="256"/>
              <w:spacing w:before="187" w:line="224" w:lineRule="auto"/>
              <w:rPr>
                <w:sz w:val="20"/>
                <w:szCs w:val="20"/>
              </w:rPr>
            </w:pPr>
            <w:r>
              <w:rPr>
                <w:sz w:val="20"/>
                <w:szCs w:val="20"/>
              </w:rPr>
              <w:t>/</w:t>
            </w:r>
          </w:p>
        </w:tc>
        <w:tc>
          <w:tcPr>
            <w:tcW w:w="850" w:type="dxa"/>
            <w:vAlign w:val="top"/>
          </w:tcPr>
          <w:p>
            <w:pPr>
              <w:pStyle w:val="TableText"/>
              <w:ind w:left="116"/>
              <w:spacing w:before="232" w:line="183" w:lineRule="auto"/>
              <w:rPr>
                <w:sz w:val="20"/>
                <w:szCs w:val="20"/>
              </w:rPr>
            </w:pPr>
            <w:r>
              <w:rPr>
                <w:sz w:val="20"/>
                <w:szCs w:val="20"/>
                <w:spacing w:val="-2"/>
              </w:rPr>
              <w:t>0.4680</w:t>
            </w:r>
          </w:p>
        </w:tc>
        <w:tc>
          <w:tcPr>
            <w:tcW w:w="720" w:type="dxa"/>
            <w:vAlign w:val="top"/>
          </w:tcPr>
          <w:p>
            <w:pPr>
              <w:pStyle w:val="TableText"/>
              <w:ind w:left="306" w:right="112" w:hanging="200"/>
              <w:spacing w:before="121" w:line="193" w:lineRule="auto"/>
              <w:rPr>
                <w:sz w:val="20"/>
                <w:szCs w:val="20"/>
              </w:rPr>
            </w:pPr>
            <w:r>
              <w:rPr>
                <w:sz w:val="20"/>
                <w:szCs w:val="20"/>
                <w:spacing w:val="-2"/>
              </w:rPr>
              <w:t>0.046</w:t>
            </w:r>
            <w:r>
              <w:rPr>
                <w:sz w:val="20"/>
                <w:szCs w:val="20"/>
              </w:rPr>
              <w:t xml:space="preserve"> </w:t>
            </w:r>
            <w:r>
              <w:rPr>
                <w:sz w:val="20"/>
                <w:szCs w:val="20"/>
              </w:rPr>
              <w:t>8</w:t>
            </w:r>
          </w:p>
        </w:tc>
        <w:tc>
          <w:tcPr>
            <w:tcW w:w="849" w:type="dxa"/>
            <w:vAlign w:val="top"/>
          </w:tcPr>
          <w:p>
            <w:pPr>
              <w:pStyle w:val="TableText"/>
              <w:ind w:left="166"/>
              <w:spacing w:before="122" w:line="222" w:lineRule="auto"/>
              <w:rPr>
                <w:sz w:val="20"/>
                <w:szCs w:val="20"/>
              </w:rPr>
            </w:pPr>
            <w:r>
              <w:rPr>
                <w:sz w:val="20"/>
                <w:szCs w:val="20"/>
                <w:spacing w:val="-2"/>
              </w:rPr>
              <w:t>0.093</w:t>
            </w:r>
          </w:p>
          <w:p>
            <w:pPr>
              <w:pStyle w:val="TableText"/>
              <w:ind w:left="366"/>
              <w:spacing w:line="163" w:lineRule="auto"/>
              <w:rPr>
                <w:sz w:val="20"/>
                <w:szCs w:val="20"/>
              </w:rPr>
            </w:pPr>
            <w:r>
              <w:rPr>
                <w:sz w:val="20"/>
                <w:szCs w:val="20"/>
              </w:rPr>
              <w:t>6</w:t>
            </w:r>
          </w:p>
        </w:tc>
        <w:tc>
          <w:tcPr>
            <w:tcW w:w="140" w:type="dxa"/>
            <w:vAlign w:val="top"/>
            <w:tcBorders>
              <w:right w:val="single" w:color="000000" w:sz="2" w:space="0"/>
            </w:tcBorders>
          </w:tcPr>
          <w:p>
            <w:pPr>
              <w:rPr>
                <w:rFonts w:ascii="Arial"/>
                <w:sz w:val="21"/>
              </w:rPr>
            </w:pPr>
            <w:r/>
          </w:p>
        </w:tc>
      </w:tr>
      <w:tr>
        <w:trPr>
          <w:trHeight w:val="549" w:hRule="atLeast"/>
        </w:trPr>
        <w:tc>
          <w:tcPr>
            <w:tcW w:w="825" w:type="dxa"/>
            <w:vAlign w:val="top"/>
            <w:vMerge w:val="continue"/>
            <w:tcBorders>
              <w:left w:val="single" w:color="000000" w:sz="2" w:space="0"/>
              <w:right w:val="single" w:color="000000" w:sz="2" w:space="0"/>
              <w:top w:val="nil"/>
              <w:bottom w:val="nil"/>
            </w:tcBorders>
          </w:tcPr>
          <w:p>
            <w:pPr>
              <w:rPr>
                <w:rFonts w:ascii="Arial"/>
                <w:sz w:val="21"/>
              </w:rPr>
            </w:pPr>
            <w:r/>
          </w:p>
        </w:tc>
        <w:tc>
          <w:tcPr>
            <w:tcW w:w="125" w:type="dxa"/>
            <w:vAlign w:val="top"/>
            <w:vMerge w:val="continue"/>
            <w:tcBorders>
              <w:left w:val="single" w:color="000000" w:sz="2" w:space="0"/>
              <w:bottom w:val="nil"/>
              <w:top w:val="nil"/>
            </w:tcBorders>
          </w:tcPr>
          <w:p>
            <w:pPr>
              <w:rPr>
                <w:rFonts w:ascii="Arial"/>
                <w:sz w:val="21"/>
              </w:rPr>
            </w:pPr>
            <w:r/>
          </w:p>
        </w:tc>
        <w:tc>
          <w:tcPr>
            <w:tcW w:w="979" w:type="dxa"/>
            <w:vAlign w:val="top"/>
          </w:tcPr>
          <w:p>
            <w:pPr>
              <w:pStyle w:val="TableText"/>
              <w:ind w:left="282"/>
              <w:spacing w:before="182" w:line="221" w:lineRule="auto"/>
              <w:rPr>
                <w:sz w:val="20"/>
                <w:szCs w:val="20"/>
              </w:rPr>
            </w:pPr>
            <w:r>
              <w:rPr>
                <w:sz w:val="20"/>
                <w:szCs w:val="20"/>
                <w:spacing w:val="-3"/>
              </w:rPr>
              <w:t>合计</w:t>
            </w:r>
          </w:p>
        </w:tc>
        <w:tc>
          <w:tcPr>
            <w:tcW w:w="1769" w:type="dxa"/>
            <w:vAlign w:val="top"/>
          </w:tcPr>
          <w:p>
            <w:pPr>
              <w:pStyle w:val="TableText"/>
              <w:ind w:left="123"/>
              <w:spacing w:before="32" w:line="221" w:lineRule="auto"/>
              <w:rPr>
                <w:sz w:val="20"/>
                <w:szCs w:val="20"/>
              </w:rPr>
            </w:pPr>
            <w:r>
              <w:rPr>
                <w:sz w:val="20"/>
                <w:szCs w:val="20"/>
                <w:spacing w:val="-1"/>
              </w:rPr>
              <w:t>排放量(218.8t/d</w:t>
            </w:r>
          </w:p>
          <w:p>
            <w:pPr>
              <w:pStyle w:val="TableText"/>
              <w:ind w:left="423"/>
              <w:spacing w:before="62" w:line="189" w:lineRule="auto"/>
              <w:rPr>
                <w:sz w:val="20"/>
                <w:szCs w:val="20"/>
              </w:rPr>
            </w:pPr>
            <w:r>
              <w:rPr>
                <w:sz w:val="20"/>
                <w:szCs w:val="20"/>
                <w:spacing w:val="-1"/>
              </w:rPr>
              <w:t>65640t/a)</w:t>
            </w:r>
          </w:p>
        </w:tc>
        <w:tc>
          <w:tcPr>
            <w:tcW w:w="1039" w:type="dxa"/>
            <w:vAlign w:val="top"/>
          </w:tcPr>
          <w:p>
            <w:pPr>
              <w:pStyle w:val="TableText"/>
              <w:ind w:left="214"/>
              <w:spacing w:before="43" w:line="241" w:lineRule="auto"/>
              <w:rPr>
                <w:sz w:val="20"/>
                <w:szCs w:val="20"/>
              </w:rPr>
            </w:pPr>
            <w:r>
              <w:rPr>
                <w:sz w:val="20"/>
                <w:szCs w:val="20"/>
                <w:spacing w:val="-2"/>
              </w:rPr>
              <w:t>排放量</w:t>
            </w:r>
          </w:p>
          <w:p>
            <w:pPr>
              <w:pStyle w:val="TableText"/>
              <w:ind w:left="264"/>
              <w:spacing w:line="216" w:lineRule="auto"/>
              <w:rPr>
                <w:sz w:val="20"/>
                <w:szCs w:val="20"/>
              </w:rPr>
            </w:pPr>
            <w:r>
              <w:rPr>
                <w:sz w:val="20"/>
                <w:szCs w:val="20"/>
                <w:spacing w:val="-7"/>
              </w:rPr>
              <w:t>(t/a)</w:t>
            </w:r>
          </w:p>
        </w:tc>
        <w:tc>
          <w:tcPr>
            <w:tcW w:w="869" w:type="dxa"/>
            <w:vAlign w:val="top"/>
          </w:tcPr>
          <w:p>
            <w:pPr>
              <w:pStyle w:val="TableText"/>
              <w:ind w:left="125"/>
              <w:spacing w:before="232" w:line="183" w:lineRule="auto"/>
              <w:rPr>
                <w:sz w:val="20"/>
                <w:szCs w:val="20"/>
              </w:rPr>
            </w:pPr>
            <w:r>
              <w:rPr>
                <w:sz w:val="20"/>
                <w:szCs w:val="20"/>
                <w:spacing w:val="-2"/>
              </w:rPr>
              <w:t>0.0003</w:t>
            </w:r>
          </w:p>
        </w:tc>
        <w:tc>
          <w:tcPr>
            <w:tcW w:w="700" w:type="dxa"/>
            <w:vAlign w:val="top"/>
          </w:tcPr>
          <w:p>
            <w:pPr>
              <w:pStyle w:val="TableText"/>
              <w:ind w:left="295" w:right="102" w:hanging="199"/>
              <w:spacing w:before="133" w:line="187" w:lineRule="auto"/>
              <w:rPr>
                <w:sz w:val="20"/>
                <w:szCs w:val="20"/>
              </w:rPr>
            </w:pPr>
            <w:r>
              <w:rPr>
                <w:sz w:val="20"/>
                <w:szCs w:val="20"/>
                <w:spacing w:val="-2"/>
              </w:rPr>
              <w:t>0.000</w:t>
            </w:r>
            <w:r>
              <w:rPr>
                <w:sz w:val="20"/>
                <w:szCs w:val="20"/>
              </w:rPr>
              <w:t xml:space="preserve"> </w:t>
            </w:r>
            <w:r>
              <w:rPr>
                <w:sz w:val="20"/>
                <w:szCs w:val="20"/>
              </w:rPr>
              <w:t>2</w:t>
            </w:r>
          </w:p>
        </w:tc>
        <w:tc>
          <w:tcPr>
            <w:tcW w:w="630" w:type="dxa"/>
            <w:vAlign w:val="top"/>
          </w:tcPr>
          <w:p>
            <w:pPr>
              <w:pStyle w:val="TableText"/>
              <w:ind w:left="205" w:right="122" w:hanging="99"/>
              <w:spacing w:before="123" w:line="192" w:lineRule="auto"/>
              <w:rPr>
                <w:sz w:val="20"/>
                <w:szCs w:val="20"/>
              </w:rPr>
            </w:pPr>
            <w:r>
              <w:rPr>
                <w:sz w:val="20"/>
                <w:szCs w:val="20"/>
                <w:spacing w:val="-3"/>
              </w:rPr>
              <w:t>0.00</w:t>
            </w:r>
            <w:r>
              <w:rPr>
                <w:sz w:val="20"/>
                <w:szCs w:val="20"/>
                <w:spacing w:val="1"/>
              </w:rPr>
              <w:t xml:space="preserve"> </w:t>
            </w:r>
            <w:r>
              <w:rPr>
                <w:sz w:val="20"/>
                <w:szCs w:val="20"/>
                <w:spacing w:val="-2"/>
              </w:rPr>
              <w:t>49</w:t>
            </w:r>
          </w:p>
        </w:tc>
        <w:tc>
          <w:tcPr>
            <w:tcW w:w="850" w:type="dxa"/>
            <w:vAlign w:val="top"/>
          </w:tcPr>
          <w:p>
            <w:pPr>
              <w:pStyle w:val="TableText"/>
              <w:ind w:left="116"/>
              <w:spacing w:before="232" w:line="183" w:lineRule="auto"/>
              <w:rPr>
                <w:sz w:val="20"/>
                <w:szCs w:val="20"/>
              </w:rPr>
            </w:pPr>
            <w:r>
              <w:rPr>
                <w:sz w:val="20"/>
                <w:szCs w:val="20"/>
                <w:spacing w:val="-2"/>
              </w:rPr>
              <w:t>0.9945</w:t>
            </w:r>
          </w:p>
        </w:tc>
        <w:tc>
          <w:tcPr>
            <w:tcW w:w="720" w:type="dxa"/>
            <w:vAlign w:val="top"/>
          </w:tcPr>
          <w:p>
            <w:pPr>
              <w:pStyle w:val="TableText"/>
              <w:ind w:left="306" w:right="112" w:hanging="200"/>
              <w:spacing w:before="133" w:line="187" w:lineRule="auto"/>
              <w:rPr>
                <w:sz w:val="20"/>
                <w:szCs w:val="20"/>
              </w:rPr>
            </w:pPr>
            <w:r>
              <w:rPr>
                <w:sz w:val="20"/>
                <w:szCs w:val="20"/>
                <w:spacing w:val="-2"/>
              </w:rPr>
              <w:t>0.099</w:t>
            </w:r>
            <w:r>
              <w:rPr>
                <w:sz w:val="20"/>
                <w:szCs w:val="20"/>
              </w:rPr>
              <w:t xml:space="preserve"> </w:t>
            </w:r>
            <w:r>
              <w:rPr>
                <w:sz w:val="20"/>
                <w:szCs w:val="20"/>
              </w:rPr>
              <w:t>4</w:t>
            </w:r>
          </w:p>
        </w:tc>
        <w:tc>
          <w:tcPr>
            <w:tcW w:w="849" w:type="dxa"/>
            <w:vAlign w:val="top"/>
          </w:tcPr>
          <w:p>
            <w:pPr>
              <w:pStyle w:val="TableText"/>
              <w:ind w:left="116"/>
              <w:spacing w:before="231" w:line="184" w:lineRule="auto"/>
              <w:rPr>
                <w:sz w:val="20"/>
                <w:szCs w:val="20"/>
              </w:rPr>
            </w:pPr>
            <w:r>
              <w:rPr>
                <w:sz w:val="20"/>
                <w:szCs w:val="20"/>
                <w:spacing w:val="-2"/>
              </w:rPr>
              <w:t>0.1989</w:t>
            </w:r>
          </w:p>
        </w:tc>
        <w:tc>
          <w:tcPr>
            <w:tcW w:w="140" w:type="dxa"/>
            <w:vAlign w:val="top"/>
            <w:tcBorders>
              <w:right w:val="single" w:color="000000" w:sz="2" w:space="0"/>
            </w:tcBorders>
          </w:tcPr>
          <w:p>
            <w:pPr>
              <w:rPr>
                <w:rFonts w:ascii="Arial"/>
                <w:sz w:val="21"/>
              </w:rPr>
            </w:pPr>
            <w:r/>
          </w:p>
        </w:tc>
      </w:tr>
      <w:tr>
        <w:trPr>
          <w:trHeight w:val="539" w:hRule="atLeast"/>
        </w:trPr>
        <w:tc>
          <w:tcPr>
            <w:tcW w:w="825" w:type="dxa"/>
            <w:vAlign w:val="top"/>
            <w:vMerge w:val="continue"/>
            <w:tcBorders>
              <w:left w:val="single" w:color="000000" w:sz="2" w:space="0"/>
              <w:right w:val="single" w:color="000000" w:sz="2" w:space="0"/>
              <w:top w:val="nil"/>
              <w:bottom w:val="nil"/>
            </w:tcBorders>
          </w:tcPr>
          <w:p>
            <w:pPr>
              <w:rPr>
                <w:rFonts w:ascii="Arial"/>
                <w:sz w:val="21"/>
              </w:rPr>
            </w:pPr>
            <w:r/>
          </w:p>
        </w:tc>
        <w:tc>
          <w:tcPr>
            <w:tcW w:w="125" w:type="dxa"/>
            <w:vAlign w:val="top"/>
            <w:vMerge w:val="continue"/>
            <w:tcBorders>
              <w:left w:val="single" w:color="000000" w:sz="2" w:space="0"/>
              <w:bottom w:val="nil"/>
              <w:top w:val="nil"/>
            </w:tcBorders>
          </w:tcPr>
          <w:p>
            <w:pPr>
              <w:rPr>
                <w:rFonts w:ascii="Arial"/>
                <w:sz w:val="21"/>
              </w:rPr>
            </w:pPr>
            <w:r/>
          </w:p>
        </w:tc>
        <w:tc>
          <w:tcPr>
            <w:tcW w:w="8405" w:type="dxa"/>
            <w:vAlign w:val="top"/>
            <w:gridSpan w:val="9"/>
          </w:tcPr>
          <w:p>
            <w:pPr>
              <w:pStyle w:val="TableText"/>
              <w:ind w:left="131" w:right="482" w:hanging="9"/>
              <w:spacing w:before="28" w:line="231" w:lineRule="auto"/>
              <w:rPr>
                <w:sz w:val="20"/>
                <w:szCs w:val="20"/>
              </w:rPr>
            </w:pPr>
            <w:r>
              <w:rPr>
                <w:sz w:val="20"/>
                <w:szCs w:val="20"/>
              </w:rPr>
              <w:t>备注：生活污水含锅炉软化水23.1t/d,锅炉排污水38.5t/d,纯水制备废</w:t>
            </w:r>
            <w:r>
              <w:rPr>
                <w:sz w:val="20"/>
                <w:szCs w:val="20"/>
                <w:spacing w:val="-1"/>
              </w:rPr>
              <w:t>水58.7t/d,循环冷</w:t>
            </w:r>
            <w:r>
              <w:rPr>
                <w:sz w:val="20"/>
                <w:szCs w:val="20"/>
              </w:rPr>
              <w:t xml:space="preserve"> </w:t>
            </w:r>
            <w:r>
              <w:rPr>
                <w:sz w:val="20"/>
                <w:szCs w:val="20"/>
              </w:rPr>
              <w:t>却系统废水32.2t/d,不计污染物排放量。</w:t>
            </w:r>
          </w:p>
        </w:tc>
        <w:tc>
          <w:tcPr>
            <w:tcW w:w="140" w:type="dxa"/>
            <w:vAlign w:val="top"/>
            <w:tcBorders>
              <w:right w:val="single" w:color="000000" w:sz="2" w:space="0"/>
            </w:tcBorders>
          </w:tcPr>
          <w:p>
            <w:pPr>
              <w:rPr>
                <w:rFonts w:ascii="Arial"/>
                <w:sz w:val="21"/>
              </w:rPr>
            </w:pPr>
            <w:r/>
          </w:p>
        </w:tc>
      </w:tr>
      <w:tr>
        <w:trPr>
          <w:trHeight w:val="9330" w:hRule="atLeast"/>
        </w:trPr>
        <w:tc>
          <w:tcPr>
            <w:tcW w:w="825" w:type="dxa"/>
            <w:vAlign w:val="top"/>
            <w:vMerge w:val="continue"/>
            <w:tcBorders>
              <w:left w:val="single" w:color="000000" w:sz="2" w:space="0"/>
              <w:right w:val="single" w:color="000000" w:sz="2" w:space="0"/>
              <w:top w:val="nil"/>
              <w:bottom w:val="single" w:color="000000" w:sz="6" w:space="0"/>
            </w:tcBorders>
          </w:tcPr>
          <w:p>
            <w:pPr>
              <w:rPr>
                <w:rFonts w:ascii="Arial"/>
                <w:sz w:val="21"/>
              </w:rPr>
            </w:pPr>
            <w:r/>
          </w:p>
        </w:tc>
        <w:tc>
          <w:tcPr>
            <w:tcW w:w="8670" w:type="dxa"/>
            <w:vAlign w:val="top"/>
            <w:gridSpan w:val="11"/>
            <w:tcBorders>
              <w:left w:val="single" w:color="000000" w:sz="2" w:space="0"/>
              <w:right w:val="single" w:color="000000" w:sz="2" w:space="0"/>
              <w:bottom w:val="single" w:color="000000" w:sz="6" w:space="0"/>
            </w:tcBorders>
          </w:tcPr>
          <w:p>
            <w:pPr>
              <w:spacing w:line="396" w:lineRule="auto"/>
              <w:rPr>
                <w:rFonts w:ascii="Arial"/>
                <w:sz w:val="21"/>
              </w:rPr>
            </w:pPr>
            <w:r/>
          </w:p>
          <w:p>
            <w:pPr>
              <w:pStyle w:val="TableText"/>
              <w:ind w:left="113"/>
              <w:spacing w:before="72" w:line="470" w:lineRule="exact"/>
              <w:rPr>
                <w:sz w:val="22"/>
                <w:szCs w:val="22"/>
              </w:rPr>
            </w:pPr>
            <w:r>
              <w:rPr>
                <w:sz w:val="22"/>
                <w:szCs w:val="22"/>
                <w:b/>
                <w:bCs/>
                <w:spacing w:val="9"/>
                <w:position w:val="19"/>
              </w:rPr>
              <w:t>4.3.2废水处理措施可行性分析</w:t>
            </w:r>
          </w:p>
          <w:p>
            <w:pPr>
              <w:pStyle w:val="TableText"/>
              <w:ind w:left="603"/>
              <w:spacing w:line="219" w:lineRule="auto"/>
              <w:rPr>
                <w:sz w:val="22"/>
                <w:szCs w:val="22"/>
              </w:rPr>
            </w:pPr>
            <w:r>
              <w:rPr>
                <w:sz w:val="22"/>
                <w:szCs w:val="22"/>
                <w:b/>
                <w:bCs/>
                <w:spacing w:val="2"/>
              </w:rPr>
              <w:t>1、</w:t>
            </w:r>
            <w:r>
              <w:rPr>
                <w:sz w:val="22"/>
                <w:szCs w:val="22"/>
                <w:spacing w:val="-63"/>
              </w:rPr>
              <w:t xml:space="preserve"> </w:t>
            </w:r>
            <w:r>
              <w:rPr>
                <w:sz w:val="22"/>
                <w:szCs w:val="22"/>
                <w:b/>
                <w:bCs/>
                <w:spacing w:val="2"/>
              </w:rPr>
              <w:t>生产废水</w:t>
            </w:r>
          </w:p>
          <w:p>
            <w:pPr>
              <w:pStyle w:val="TableText"/>
              <w:ind w:left="110" w:right="54" w:firstLine="489"/>
              <w:spacing w:before="191" w:line="403" w:lineRule="auto"/>
              <w:jc w:val="both"/>
              <w:rPr>
                <w:sz w:val="22"/>
                <w:szCs w:val="22"/>
              </w:rPr>
            </w:pPr>
            <w:r>
              <w:rPr>
                <w:sz w:val="22"/>
                <w:szCs w:val="22"/>
                <w:spacing w:val="19"/>
              </w:rPr>
              <w:t>本项目对生产废水处理系统进行改扩建，将现有生化系统改造为阳极废水生 </w:t>
            </w:r>
            <w:r>
              <w:rPr>
                <w:sz w:val="22"/>
                <w:szCs w:val="22"/>
                <w:spacing w:val="16"/>
              </w:rPr>
              <w:t>化处理系统110</w:t>
            </w:r>
            <w:r>
              <w:rPr>
                <w:rFonts w:ascii="Times New Roman" w:hAnsi="Times New Roman" w:eastAsia="Times New Roman" w:cs="Times New Roman"/>
                <w:sz w:val="22"/>
                <w:szCs w:val="22"/>
                <w:spacing w:val="16"/>
              </w:rPr>
              <w:t>t/d,   </w:t>
            </w:r>
            <w:r>
              <w:rPr>
                <w:sz w:val="22"/>
                <w:szCs w:val="22"/>
                <w:spacing w:val="16"/>
              </w:rPr>
              <w:t>新建阴极生化处理系统100</w:t>
            </w:r>
            <w:r>
              <w:rPr>
                <w:rFonts w:ascii="Times New Roman" w:hAnsi="Times New Roman" w:eastAsia="Times New Roman" w:cs="Times New Roman"/>
                <w:sz w:val="22"/>
                <w:szCs w:val="22"/>
                <w:spacing w:val="16"/>
              </w:rPr>
              <w:t>t/d,   </w:t>
            </w:r>
            <w:r>
              <w:rPr>
                <w:sz w:val="22"/>
                <w:szCs w:val="22"/>
                <w:spacing w:val="16"/>
              </w:rPr>
              <w:t>使得厂区内的阴极生产废水、</w:t>
            </w:r>
          </w:p>
          <w:p>
            <w:pPr>
              <w:pStyle w:val="TableText"/>
              <w:ind w:left="110"/>
              <w:spacing w:line="219" w:lineRule="auto"/>
              <w:rPr>
                <w:sz w:val="22"/>
                <w:szCs w:val="22"/>
              </w:rPr>
            </w:pPr>
            <w:r>
              <w:rPr>
                <w:sz w:val="22"/>
                <w:szCs w:val="22"/>
                <w:spacing w:val="14"/>
              </w:rPr>
              <w:t>阳极生产废水可实现分质分流处理。</w:t>
            </w:r>
          </w:p>
          <w:p>
            <w:pPr>
              <w:pStyle w:val="TableText"/>
              <w:ind w:left="110" w:right="153" w:firstLine="489"/>
              <w:spacing w:before="163" w:line="407" w:lineRule="auto"/>
              <w:jc w:val="both"/>
              <w:rPr>
                <w:sz w:val="22"/>
                <w:szCs w:val="22"/>
              </w:rPr>
            </w:pPr>
            <w:r>
              <w:rPr>
                <w:sz w:val="22"/>
                <w:szCs w:val="22"/>
                <w:spacing w:val="16"/>
              </w:rPr>
              <w:t>本项目建成后全厂阴极生产废水总水量为6</w:t>
            </w:r>
            <w:r>
              <w:rPr>
                <w:sz w:val="22"/>
                <w:szCs w:val="22"/>
                <w:spacing w:val="15"/>
              </w:rPr>
              <w:t>8.3</w:t>
            </w:r>
            <w:r>
              <w:rPr>
                <w:rFonts w:ascii="Times New Roman" w:hAnsi="Times New Roman" w:eastAsia="Times New Roman" w:cs="Times New Roman"/>
                <w:sz w:val="22"/>
                <w:szCs w:val="22"/>
                <w:spacing w:val="15"/>
              </w:rPr>
              <w:t>t/d,   </w:t>
            </w:r>
            <w:r>
              <w:rPr>
                <w:sz w:val="22"/>
                <w:szCs w:val="22"/>
                <w:spacing w:val="15"/>
              </w:rPr>
              <w:t>在设计处理规模为100</w:t>
            </w:r>
            <w:r>
              <w:rPr>
                <w:rFonts w:ascii="Times New Roman" w:hAnsi="Times New Roman" w:eastAsia="Times New Roman" w:cs="Times New Roman"/>
                <w:sz w:val="22"/>
                <w:szCs w:val="22"/>
                <w:spacing w:val="15"/>
              </w:rPr>
              <w:t>t/d</w:t>
            </w:r>
            <w:r>
              <w:rPr>
                <w:rFonts w:ascii="Times New Roman" w:hAnsi="Times New Roman" w:eastAsia="Times New Roman" w:cs="Times New Roman"/>
                <w:sz w:val="22"/>
                <w:szCs w:val="22"/>
              </w:rPr>
              <w:t xml:space="preserve">  </w:t>
            </w:r>
            <w:r>
              <w:rPr>
                <w:sz w:val="22"/>
                <w:szCs w:val="22"/>
                <w:spacing w:val="20"/>
              </w:rPr>
              <w:t>范围内；阳极生产废水(含凹版生产废水)总水量为107.2t/d,在设计处理规模为</w:t>
            </w:r>
            <w:r>
              <w:rPr>
                <w:sz w:val="22"/>
                <w:szCs w:val="22"/>
                <w:spacing w:val="10"/>
              </w:rPr>
              <w:t xml:space="preserve"> </w:t>
            </w:r>
            <w:r>
              <w:rPr>
                <w:sz w:val="22"/>
                <w:szCs w:val="22"/>
                <w:spacing w:val="17"/>
              </w:rPr>
              <w:t>110t/d</w:t>
            </w:r>
            <w:r>
              <w:rPr>
                <w:sz w:val="22"/>
                <w:szCs w:val="22"/>
                <w:spacing w:val="-56"/>
              </w:rPr>
              <w:t xml:space="preserve"> </w:t>
            </w:r>
            <w:r>
              <w:rPr>
                <w:sz w:val="22"/>
                <w:szCs w:val="22"/>
                <w:spacing w:val="17"/>
              </w:rPr>
              <w:t>范围内，可见，生产废水处理站改扩建后可满足项目建成后全厂的生产废</w:t>
            </w:r>
          </w:p>
          <w:p>
            <w:pPr>
              <w:pStyle w:val="TableText"/>
              <w:ind w:left="110"/>
              <w:spacing w:line="219" w:lineRule="auto"/>
              <w:rPr>
                <w:sz w:val="22"/>
                <w:szCs w:val="22"/>
              </w:rPr>
            </w:pPr>
            <w:r>
              <w:rPr>
                <w:sz w:val="22"/>
                <w:szCs w:val="22"/>
                <w:spacing w:val="6"/>
              </w:rPr>
              <w:t>水处理需求。</w:t>
            </w:r>
          </w:p>
          <w:p>
            <w:pPr>
              <w:pStyle w:val="TableText"/>
              <w:ind w:left="743"/>
              <w:spacing w:before="196" w:line="219" w:lineRule="auto"/>
              <w:rPr>
                <w:sz w:val="22"/>
                <w:szCs w:val="22"/>
              </w:rPr>
            </w:pPr>
            <w:r>
              <w:rPr>
                <w:sz w:val="22"/>
                <w:szCs w:val="22"/>
                <w:b/>
                <w:bCs/>
                <w:spacing w:val="21"/>
              </w:rPr>
              <w:t>(1)阴极生产废水处理工艺</w:t>
            </w:r>
          </w:p>
          <w:p>
            <w:pPr>
              <w:pStyle w:val="TableText"/>
              <w:ind w:left="110" w:right="152" w:firstLine="489"/>
              <w:spacing w:before="160" w:line="399" w:lineRule="auto"/>
              <w:jc w:val="both"/>
              <w:rPr>
                <w:sz w:val="22"/>
                <w:szCs w:val="22"/>
              </w:rPr>
            </w:pPr>
            <w:r>
              <w:rPr>
                <w:sz w:val="22"/>
                <w:szCs w:val="22"/>
                <w:spacing w:val="4"/>
              </w:rPr>
              <w:t>阴极生产废水主要污染物为</w:t>
            </w:r>
            <w:r>
              <w:rPr>
                <w:sz w:val="22"/>
                <w:szCs w:val="22"/>
                <w:spacing w:val="-48"/>
              </w:rPr>
              <w:t xml:space="preserve"> </w:t>
            </w:r>
            <w:r>
              <w:rPr>
                <w:rFonts w:ascii="Times New Roman" w:hAnsi="Times New Roman" w:eastAsia="Times New Roman" w:cs="Times New Roman"/>
                <w:sz w:val="22"/>
                <w:szCs w:val="22"/>
              </w:rPr>
              <w:t>COD</w:t>
            </w:r>
            <w:r>
              <w:rPr>
                <w:rFonts w:ascii="Times New Roman" w:hAnsi="Times New Roman" w:eastAsia="Times New Roman" w:cs="Times New Roman"/>
                <w:sz w:val="22"/>
                <w:szCs w:val="22"/>
                <w:spacing w:val="-31"/>
              </w:rPr>
              <w:t xml:space="preserve"> </w:t>
            </w:r>
            <w:r>
              <w:rPr>
                <w:sz w:val="22"/>
                <w:szCs w:val="22"/>
                <w:spacing w:val="4"/>
              </w:rPr>
              <w:t>、</w:t>
            </w:r>
            <w:r>
              <w:rPr>
                <w:rFonts w:ascii="Times New Roman" w:hAnsi="Times New Roman" w:eastAsia="Times New Roman" w:cs="Times New Roman"/>
                <w:sz w:val="22"/>
                <w:szCs w:val="22"/>
              </w:rPr>
              <w:t>BODs</w:t>
            </w:r>
            <w:r>
              <w:rPr>
                <w:rFonts w:ascii="Times New Roman" w:hAnsi="Times New Roman" w:eastAsia="Times New Roman" w:cs="Times New Roman"/>
                <w:sz w:val="22"/>
                <w:szCs w:val="22"/>
                <w:spacing w:val="-31"/>
              </w:rPr>
              <w:t xml:space="preserve"> </w:t>
            </w:r>
            <w:r>
              <w:rPr>
                <w:sz w:val="22"/>
                <w:szCs w:val="22"/>
                <w:spacing w:val="4"/>
              </w:rPr>
              <w:t>、</w:t>
            </w:r>
            <w:r>
              <w:rPr>
                <w:rFonts w:ascii="Times New Roman" w:hAnsi="Times New Roman" w:eastAsia="Times New Roman" w:cs="Times New Roman"/>
                <w:sz w:val="22"/>
                <w:szCs w:val="22"/>
              </w:rPr>
              <w:t>NH</w:t>
            </w:r>
            <w:r>
              <w:rPr>
                <w:rFonts w:ascii="Times New Roman" w:hAnsi="Times New Roman" w:eastAsia="Times New Roman" w:cs="Times New Roman"/>
                <w:sz w:val="22"/>
                <w:szCs w:val="22"/>
                <w:spacing w:val="4"/>
              </w:rPr>
              <w:t>₃-N</w:t>
            </w:r>
            <w:r>
              <w:rPr>
                <w:rFonts w:ascii="Times New Roman" w:hAnsi="Times New Roman" w:eastAsia="Times New Roman" w:cs="Times New Roman"/>
                <w:sz w:val="22"/>
                <w:szCs w:val="22"/>
                <w:spacing w:val="-31"/>
              </w:rPr>
              <w:t xml:space="preserve"> </w:t>
            </w:r>
            <w:r>
              <w:rPr>
                <w:sz w:val="22"/>
                <w:szCs w:val="22"/>
                <w:spacing w:val="4"/>
              </w:rPr>
              <w:t>、</w:t>
            </w:r>
            <w:r>
              <w:rPr>
                <w:sz w:val="22"/>
                <w:szCs w:val="22"/>
                <w:spacing w:val="88"/>
              </w:rPr>
              <w:t xml:space="preserve"> </w:t>
            </w:r>
            <w:r>
              <w:rPr>
                <w:sz w:val="22"/>
                <w:szCs w:val="22"/>
                <w:spacing w:val="4"/>
              </w:rPr>
              <w:t>总磷、</w:t>
            </w:r>
            <w:r>
              <w:rPr>
                <w:rFonts w:ascii="Times New Roman" w:hAnsi="Times New Roman" w:eastAsia="Times New Roman" w:cs="Times New Roman"/>
                <w:sz w:val="22"/>
                <w:szCs w:val="22"/>
              </w:rPr>
              <w:t>Co</w:t>
            </w:r>
            <w:r>
              <w:rPr>
                <w:rFonts w:ascii="Times New Roman" w:hAnsi="Times New Roman" w:eastAsia="Times New Roman" w:cs="Times New Roman"/>
                <w:sz w:val="22"/>
                <w:szCs w:val="22"/>
                <w:spacing w:val="-31"/>
              </w:rPr>
              <w:t xml:space="preserve"> </w:t>
            </w:r>
            <w:r>
              <w:rPr>
                <w:sz w:val="22"/>
                <w:szCs w:val="22"/>
                <w:spacing w:val="4"/>
              </w:rPr>
              <w:t>、</w:t>
            </w:r>
            <w:r>
              <w:rPr>
                <w:rFonts w:ascii="Times New Roman" w:hAnsi="Times New Roman" w:eastAsia="Times New Roman" w:cs="Times New Roman"/>
                <w:sz w:val="22"/>
                <w:szCs w:val="22"/>
              </w:rPr>
              <w:t>Ni</w:t>
            </w:r>
            <w:r>
              <w:rPr>
                <w:rFonts w:ascii="Times New Roman" w:hAnsi="Times New Roman" w:eastAsia="Times New Roman" w:cs="Times New Roman"/>
                <w:sz w:val="22"/>
                <w:szCs w:val="22"/>
                <w:spacing w:val="-31"/>
              </w:rPr>
              <w:t xml:space="preserve"> </w:t>
            </w:r>
            <w:r>
              <w:rPr>
                <w:sz w:val="22"/>
                <w:szCs w:val="22"/>
                <w:spacing w:val="4"/>
              </w:rPr>
              <w:t>、</w:t>
            </w:r>
            <w:r>
              <w:rPr>
                <w:rFonts w:ascii="Times New Roman" w:hAnsi="Times New Roman" w:eastAsia="Times New Roman" w:cs="Times New Roman"/>
                <w:sz w:val="22"/>
                <w:szCs w:val="22"/>
              </w:rPr>
              <w:t>Mn</w:t>
            </w:r>
            <w:r>
              <w:rPr>
                <w:rFonts w:ascii="Times New Roman" w:hAnsi="Times New Roman" w:eastAsia="Times New Roman" w:cs="Times New Roman"/>
                <w:sz w:val="22"/>
                <w:szCs w:val="22"/>
                <w:spacing w:val="4"/>
              </w:rPr>
              <w:t>,     </w:t>
            </w:r>
            <w:r>
              <w:rPr>
                <w:sz w:val="22"/>
                <w:szCs w:val="22"/>
                <w:spacing w:val="4"/>
              </w:rPr>
              <w:t>阴</w:t>
            </w:r>
            <w:r>
              <w:rPr>
                <w:sz w:val="22"/>
                <w:szCs w:val="22"/>
              </w:rPr>
              <w:t xml:space="preserve"> </w:t>
            </w:r>
            <w:r>
              <w:rPr>
                <w:sz w:val="22"/>
                <w:szCs w:val="22"/>
                <w:spacing w:val="20"/>
              </w:rPr>
              <w:t>极废水经车间旁三级沉淀池沉淀后进入生产废水处理站阴极废水预处理系统</w:t>
            </w:r>
            <w:r>
              <w:rPr>
                <w:sz w:val="22"/>
                <w:szCs w:val="22"/>
                <w:spacing w:val="19"/>
              </w:rPr>
              <w:t>，预</w:t>
            </w:r>
            <w:r>
              <w:rPr>
                <w:sz w:val="22"/>
                <w:szCs w:val="22"/>
              </w:rPr>
              <w:t xml:space="preserve"> </w:t>
            </w:r>
            <w:r>
              <w:rPr>
                <w:sz w:val="22"/>
                <w:szCs w:val="22"/>
                <w:spacing w:val="19"/>
              </w:rPr>
              <w:t>处理工艺为“芬顿氧化+混凝沉淀”,经过预处理后的废水进入本次新建阴极生化</w:t>
            </w:r>
            <w:r>
              <w:rPr>
                <w:sz w:val="22"/>
                <w:szCs w:val="22"/>
                <w:spacing w:val="14"/>
              </w:rPr>
              <w:t xml:space="preserve"> </w:t>
            </w:r>
            <w:r>
              <w:rPr>
                <w:sz w:val="22"/>
                <w:szCs w:val="22"/>
                <w:spacing w:val="8"/>
              </w:rPr>
              <w:t>处理系统，处理工艺为</w:t>
            </w:r>
            <w:r>
              <w:rPr>
                <w:sz w:val="22"/>
                <w:szCs w:val="22"/>
                <w:spacing w:val="-17"/>
              </w:rPr>
              <w:t xml:space="preserve"> </w:t>
            </w:r>
            <w:r>
              <w:rPr>
                <w:rFonts w:ascii="Times New Roman" w:hAnsi="Times New Roman" w:eastAsia="Times New Roman" w:cs="Times New Roman"/>
                <w:sz w:val="22"/>
                <w:szCs w:val="22"/>
                <w:spacing w:val="8"/>
              </w:rPr>
              <w:t>“</w:t>
            </w:r>
            <w:r>
              <w:rPr>
                <w:rFonts w:ascii="Times New Roman" w:hAnsi="Times New Roman" w:eastAsia="Times New Roman" w:cs="Times New Roman"/>
                <w:sz w:val="22"/>
                <w:szCs w:val="22"/>
              </w:rPr>
              <w:t>ABR</w:t>
            </w:r>
            <w:r>
              <w:rPr>
                <w:rFonts w:ascii="Times New Roman" w:hAnsi="Times New Roman" w:eastAsia="Times New Roman" w:cs="Times New Roman"/>
                <w:sz w:val="22"/>
                <w:szCs w:val="22"/>
                <w:spacing w:val="8"/>
              </w:rPr>
              <w:t>+  </w:t>
            </w:r>
            <w:r>
              <w:rPr>
                <w:sz w:val="22"/>
                <w:szCs w:val="22"/>
                <w:spacing w:val="8"/>
              </w:rPr>
              <w:t>两</w:t>
            </w:r>
            <w:r>
              <w:rPr>
                <w:sz w:val="22"/>
                <w:szCs w:val="22"/>
                <w:spacing w:val="-45"/>
              </w:rPr>
              <w:t xml:space="preserve"> </w:t>
            </w:r>
            <w:r>
              <w:rPr>
                <w:sz w:val="22"/>
                <w:szCs w:val="22"/>
                <w:spacing w:val="8"/>
              </w:rPr>
              <w:t>级</w:t>
            </w:r>
            <w:r>
              <w:rPr>
                <w:rFonts w:ascii="Times New Roman" w:hAnsi="Times New Roman" w:eastAsia="Times New Roman" w:cs="Times New Roman"/>
                <w:sz w:val="22"/>
                <w:szCs w:val="22"/>
              </w:rPr>
              <w:t>AO</w:t>
            </w:r>
            <w:r>
              <w:rPr>
                <w:rFonts w:ascii="Times New Roman" w:hAnsi="Times New Roman" w:eastAsia="Times New Roman" w:cs="Times New Roman"/>
                <w:sz w:val="22"/>
                <w:szCs w:val="22"/>
                <w:spacing w:val="8"/>
              </w:rPr>
              <w:t>(</w:t>
            </w:r>
            <w:r>
              <w:rPr>
                <w:rFonts w:ascii="Times New Roman" w:hAnsi="Times New Roman" w:eastAsia="Times New Roman" w:cs="Times New Roman"/>
                <w:sz w:val="22"/>
                <w:szCs w:val="22"/>
              </w:rPr>
              <w:t>MBR</w:t>
            </w:r>
            <w:r>
              <w:rPr>
                <w:rFonts w:ascii="Times New Roman" w:hAnsi="Times New Roman" w:eastAsia="Times New Roman" w:cs="Times New Roman"/>
                <w:sz w:val="22"/>
                <w:szCs w:val="22"/>
                <w:spacing w:val="8"/>
              </w:rPr>
              <w:t xml:space="preserve">     </w:t>
            </w:r>
            <w:r>
              <w:rPr>
                <w:sz w:val="22"/>
                <w:szCs w:val="22"/>
                <w:spacing w:val="8"/>
              </w:rPr>
              <w:t>作为二级</w:t>
            </w:r>
            <w:r>
              <w:rPr>
                <w:rFonts w:ascii="Times New Roman" w:hAnsi="Times New Roman" w:eastAsia="Times New Roman" w:cs="Times New Roman"/>
                <w:sz w:val="22"/>
                <w:szCs w:val="22"/>
                <w:spacing w:val="8"/>
              </w:rPr>
              <w:t>O</w:t>
            </w:r>
            <w:r>
              <w:rPr>
                <w:rFonts w:ascii="Times New Roman" w:hAnsi="Times New Roman" w:eastAsia="Times New Roman" w:cs="Times New Roman"/>
                <w:sz w:val="22"/>
                <w:szCs w:val="22"/>
                <w:spacing w:val="24"/>
              </w:rPr>
              <w:t xml:space="preserve"> </w:t>
            </w:r>
            <w:r>
              <w:rPr>
                <w:sz w:val="22"/>
                <w:szCs w:val="22"/>
                <w:spacing w:val="8"/>
              </w:rPr>
              <w:t>池</w:t>
            </w:r>
            <w:r>
              <w:rPr>
                <w:sz w:val="22"/>
                <w:szCs w:val="22"/>
                <w:spacing w:val="-48"/>
              </w:rPr>
              <w:t xml:space="preserve"> </w:t>
            </w:r>
            <w:r>
              <w:rPr>
                <w:sz w:val="22"/>
                <w:szCs w:val="22"/>
                <w:spacing w:val="8"/>
              </w:rPr>
              <w:t>使</w:t>
            </w:r>
            <w:r>
              <w:rPr>
                <w:sz w:val="22"/>
                <w:szCs w:val="22"/>
                <w:spacing w:val="-47"/>
              </w:rPr>
              <w:t xml:space="preserve"> </w:t>
            </w:r>
            <w:r>
              <w:rPr>
                <w:sz w:val="22"/>
                <w:szCs w:val="22"/>
                <w:spacing w:val="8"/>
              </w:rPr>
              <w:t>用</w:t>
            </w:r>
            <w:r>
              <w:rPr>
                <w:sz w:val="22"/>
                <w:szCs w:val="22"/>
                <w:spacing w:val="-48"/>
              </w:rPr>
              <w:t xml:space="preserve"> </w:t>
            </w:r>
            <w:r>
              <w:rPr>
                <w:sz w:val="22"/>
                <w:szCs w:val="22"/>
                <w:spacing w:val="8"/>
              </w:rPr>
              <w:t>)</w:t>
            </w:r>
            <w:r>
              <w:rPr>
                <w:sz w:val="22"/>
                <w:szCs w:val="22"/>
                <w:spacing w:val="-28"/>
              </w:rPr>
              <w:t xml:space="preserve"> </w:t>
            </w:r>
            <w:r>
              <w:rPr>
                <w:sz w:val="22"/>
                <w:szCs w:val="22"/>
                <w:spacing w:val="8"/>
              </w:rPr>
              <w:t>”</w:t>
            </w:r>
            <w:r>
              <w:rPr>
                <w:sz w:val="22"/>
                <w:szCs w:val="22"/>
                <w:spacing w:val="-75"/>
              </w:rPr>
              <w:t xml:space="preserve"> </w:t>
            </w:r>
            <w:r>
              <w:rPr>
                <w:sz w:val="22"/>
                <w:szCs w:val="22"/>
                <w:spacing w:val="8"/>
              </w:rPr>
              <w:t>,</w:t>
            </w:r>
            <w:r>
              <w:rPr>
                <w:sz w:val="22"/>
                <w:szCs w:val="22"/>
                <w:spacing w:val="-44"/>
              </w:rPr>
              <w:t xml:space="preserve"> </w:t>
            </w:r>
            <w:r>
              <w:rPr>
                <w:sz w:val="22"/>
                <w:szCs w:val="22"/>
                <w:spacing w:val="8"/>
              </w:rPr>
              <w:t>处</w:t>
            </w:r>
            <w:r>
              <w:rPr>
                <w:sz w:val="22"/>
                <w:szCs w:val="22"/>
                <w:spacing w:val="-46"/>
              </w:rPr>
              <w:t xml:space="preserve"> </w:t>
            </w:r>
            <w:r>
              <w:rPr>
                <w:sz w:val="22"/>
                <w:szCs w:val="22"/>
                <w:spacing w:val="8"/>
              </w:rPr>
              <w:t>理</w:t>
            </w:r>
            <w:r>
              <w:rPr>
                <w:sz w:val="22"/>
                <w:szCs w:val="22"/>
                <w:spacing w:val="-46"/>
              </w:rPr>
              <w:t xml:space="preserve"> </w:t>
            </w:r>
            <w:r>
              <w:rPr>
                <w:sz w:val="22"/>
                <w:szCs w:val="22"/>
                <w:spacing w:val="8"/>
              </w:rPr>
              <w:t>工</w:t>
            </w:r>
          </w:p>
          <w:p>
            <w:pPr>
              <w:pStyle w:val="TableText"/>
              <w:ind w:left="110"/>
              <w:spacing w:line="219" w:lineRule="auto"/>
              <w:rPr>
                <w:sz w:val="22"/>
                <w:szCs w:val="22"/>
              </w:rPr>
            </w:pPr>
            <w:r>
              <w:rPr>
                <w:sz w:val="22"/>
                <w:szCs w:val="22"/>
                <w:spacing w:val="2"/>
              </w:rPr>
              <w:t>艺见图4.3-1。</w:t>
            </w:r>
          </w:p>
          <w:p>
            <w:pPr>
              <w:pStyle w:val="TableText"/>
              <w:ind w:left="603"/>
              <w:spacing w:before="216" w:line="219" w:lineRule="auto"/>
              <w:rPr>
                <w:sz w:val="22"/>
                <w:szCs w:val="22"/>
              </w:rPr>
            </w:pPr>
            <w:r>
              <w:rPr>
                <w:sz w:val="22"/>
                <w:szCs w:val="22"/>
                <w:b/>
                <w:bCs/>
                <w:spacing w:val="9"/>
              </w:rPr>
              <w:t>阴极生产废水处理工艺说明：</w:t>
            </w:r>
          </w:p>
          <w:p>
            <w:pPr>
              <w:pStyle w:val="TableText"/>
              <w:ind w:left="600"/>
              <w:spacing w:before="192" w:line="480" w:lineRule="exact"/>
              <w:rPr>
                <w:sz w:val="22"/>
                <w:szCs w:val="22"/>
              </w:rPr>
            </w:pPr>
            <w:r>
              <w:rPr>
                <w:rFonts w:ascii="Times New Roman" w:hAnsi="Times New Roman" w:eastAsia="Times New Roman" w:cs="Times New Roman"/>
                <w:sz w:val="22"/>
                <w:szCs w:val="22"/>
                <w:spacing w:val="21"/>
                <w:position w:val="19"/>
              </w:rPr>
              <w:t>A</w:t>
            </w:r>
            <w:r>
              <w:rPr>
                <w:rFonts w:ascii="Times New Roman" w:hAnsi="Times New Roman" w:eastAsia="Times New Roman" w:cs="Times New Roman"/>
                <w:sz w:val="22"/>
                <w:szCs w:val="22"/>
                <w:spacing w:val="-19"/>
                <w:position w:val="19"/>
              </w:rPr>
              <w:t xml:space="preserve"> </w:t>
            </w:r>
            <w:r>
              <w:rPr>
                <w:sz w:val="22"/>
                <w:szCs w:val="22"/>
                <w:spacing w:val="21"/>
                <w:position w:val="19"/>
              </w:rPr>
              <w:t>、阴极废水经车间旁的三级沉淀池将废水中所含的生产原料沉淀分离后再</w:t>
            </w:r>
          </w:p>
          <w:p>
            <w:pPr>
              <w:pStyle w:val="TableText"/>
              <w:ind w:left="110"/>
              <w:spacing w:line="219" w:lineRule="auto"/>
              <w:rPr>
                <w:sz w:val="22"/>
                <w:szCs w:val="22"/>
              </w:rPr>
            </w:pPr>
            <w:r>
              <w:rPr>
                <w:sz w:val="22"/>
                <w:szCs w:val="22"/>
                <w:spacing w:val="15"/>
              </w:rPr>
              <w:t>分别经厂内生产废水管网泵入污水处理站的阴极调节池中</w:t>
            </w:r>
            <w:r>
              <w:rPr>
                <w:sz w:val="22"/>
                <w:szCs w:val="22"/>
                <w:spacing w:val="14"/>
              </w:rPr>
              <w:t>进行水质、水量的均化；</w:t>
            </w:r>
          </w:p>
          <w:p>
            <w:pPr>
              <w:pStyle w:val="TableText"/>
              <w:ind w:left="600"/>
              <w:spacing w:before="204" w:line="212" w:lineRule="auto"/>
              <w:rPr>
                <w:sz w:val="22"/>
                <w:szCs w:val="22"/>
              </w:rPr>
            </w:pPr>
            <w:r>
              <w:rPr>
                <w:rFonts w:ascii="Times New Roman" w:hAnsi="Times New Roman" w:eastAsia="Times New Roman" w:cs="Times New Roman"/>
                <w:sz w:val="22"/>
                <w:szCs w:val="22"/>
                <w:spacing w:val="15"/>
              </w:rPr>
              <w:t>B</w:t>
            </w:r>
            <w:r>
              <w:rPr>
                <w:sz w:val="22"/>
                <w:szCs w:val="22"/>
                <w:spacing w:val="15"/>
              </w:rPr>
              <w:t>、阴极调节池中的废水由提升泵提升进入芬顿反应池中，调节废水</w:t>
            </w:r>
            <w:r>
              <w:rPr>
                <w:sz w:val="22"/>
                <w:szCs w:val="22"/>
                <w:spacing w:val="-36"/>
              </w:rPr>
              <w:t xml:space="preserve"> </w:t>
            </w:r>
            <w:r>
              <w:rPr>
                <w:rFonts w:ascii="Times New Roman" w:hAnsi="Times New Roman" w:eastAsia="Times New Roman" w:cs="Times New Roman"/>
                <w:sz w:val="22"/>
                <w:szCs w:val="22"/>
              </w:rPr>
              <w:t>pH</w:t>
            </w:r>
            <w:r>
              <w:rPr>
                <w:rFonts w:ascii="Times New Roman" w:hAnsi="Times New Roman" w:eastAsia="Times New Roman" w:cs="Times New Roman"/>
                <w:sz w:val="22"/>
                <w:szCs w:val="22"/>
                <w:spacing w:val="15"/>
              </w:rPr>
              <w:t xml:space="preserve"> </w:t>
            </w:r>
            <w:r>
              <w:rPr>
                <w:sz w:val="22"/>
                <w:szCs w:val="22"/>
                <w:spacing w:val="15"/>
              </w:rPr>
              <w:t>值</w:t>
            </w:r>
            <w:r>
              <w:rPr>
                <w:sz w:val="22"/>
                <w:szCs w:val="22"/>
                <w:spacing w:val="-51"/>
              </w:rPr>
              <w:t xml:space="preserve"> </w:t>
            </w:r>
            <w:r>
              <w:rPr>
                <w:sz w:val="22"/>
                <w:szCs w:val="22"/>
                <w:spacing w:val="15"/>
              </w:rPr>
              <w:t>在</w:t>
            </w:r>
          </w:p>
        </w:tc>
      </w:tr>
    </w:tbl>
    <w:p>
      <w:pPr>
        <w:rPr>
          <w:rFonts w:ascii="Arial"/>
          <w:sz w:val="21"/>
        </w:rPr>
      </w:pPr>
      <w:r/>
    </w:p>
    <w:p>
      <w:pPr>
        <w:sectPr>
          <w:footerReference w:type="default" r:id="rId117"/>
          <w:pgSz w:w="11900" w:h="16840"/>
          <w:pgMar w:top="1239" w:right="1400" w:bottom="988" w:left="999" w:header="0" w:footer="849" w:gutter="0"/>
        </w:sectPr>
        <w:rPr>
          <w:rFonts w:ascii="Arial" w:hAnsi="Arial" w:eastAsia="Arial" w:cs="Arial"/>
          <w:sz w:val="21"/>
          <w:szCs w:val="21"/>
        </w:rPr>
      </w:pPr>
    </w:p>
    <w:tbl>
      <w:tblPr>
        <w:tblStyle w:val="TableNormal"/>
        <w:tblW w:w="94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14"/>
        <w:gridCol w:w="8626"/>
      </w:tblGrid>
      <w:tr>
        <w:trPr>
          <w:trHeight w:val="13999" w:hRule="atLeast"/>
        </w:trPr>
        <w:tc>
          <w:tcPr>
            <w:tcW w:w="814" w:type="dxa"/>
            <w:vAlign w:val="top"/>
          </w:tcPr>
          <w:p>
            <w:pPr>
              <w:rPr>
                <w:rFonts w:ascii="Arial"/>
                <w:sz w:val="21"/>
              </w:rPr>
            </w:pPr>
            <w:r/>
          </w:p>
        </w:tc>
        <w:tc>
          <w:tcPr>
            <w:tcW w:w="8626" w:type="dxa"/>
            <w:vAlign w:val="top"/>
          </w:tcPr>
          <w:p>
            <w:pPr>
              <w:pStyle w:val="TableText"/>
              <w:ind w:left="121" w:right="94"/>
              <w:spacing w:before="34" w:line="359" w:lineRule="auto"/>
              <w:jc w:val="both"/>
              <w:rPr>
                <w:sz w:val="24"/>
                <w:szCs w:val="24"/>
              </w:rPr>
            </w:pPr>
            <w:r>
              <w:rPr>
                <w:sz w:val="24"/>
                <w:szCs w:val="24"/>
              </w:rPr>
              <w:t>3~4左右，在双氧水、空气及硫酸亚铁的作用下，将废水中部分难生化降解的有</w:t>
            </w:r>
            <w:r>
              <w:rPr>
                <w:sz w:val="24"/>
                <w:szCs w:val="24"/>
                <w:spacing w:val="5"/>
              </w:rPr>
              <w:t xml:space="preserve">  </w:t>
            </w:r>
            <w:r>
              <w:rPr>
                <w:sz w:val="24"/>
                <w:szCs w:val="24"/>
              </w:rPr>
              <w:t>机物、色度去除，提高废水的可生化性，芬顿反应池出水自流入混凝沉淀池</w:t>
            </w:r>
            <w:r>
              <w:rPr>
                <w:sz w:val="24"/>
                <w:szCs w:val="24"/>
                <w:spacing w:val="-1"/>
              </w:rPr>
              <w:t>中，</w:t>
            </w:r>
          </w:p>
          <w:p>
            <w:pPr>
              <w:pStyle w:val="TableText"/>
              <w:ind w:left="121"/>
              <w:spacing w:line="214" w:lineRule="auto"/>
              <w:rPr>
                <w:sz w:val="24"/>
                <w:szCs w:val="24"/>
              </w:rPr>
            </w:pPr>
            <w:r>
              <w:rPr>
                <w:sz w:val="24"/>
                <w:szCs w:val="24"/>
              </w:rPr>
              <w:t>投加NaOH调整pH值至10左右，再投加PAC、PAM去除水中的悬浮物、重金</w:t>
            </w:r>
          </w:p>
          <w:p>
            <w:pPr>
              <w:pStyle w:val="TableText"/>
              <w:ind w:left="121" w:right="82"/>
              <w:spacing w:before="187" w:line="362" w:lineRule="auto"/>
              <w:jc w:val="both"/>
              <w:rPr>
                <w:sz w:val="24"/>
                <w:szCs w:val="24"/>
              </w:rPr>
            </w:pPr>
            <w:r>
              <w:rPr>
                <w:sz w:val="24"/>
                <w:szCs w:val="24"/>
              </w:rPr>
              <w:t>属离子及部分难降解物质后，上清液自流入重金属排放口，经总钴、总镍在线检</w:t>
            </w:r>
            <w:r>
              <w:rPr>
                <w:sz w:val="24"/>
                <w:szCs w:val="24"/>
                <w:spacing w:val="9"/>
              </w:rPr>
              <w:t xml:space="preserve"> </w:t>
            </w:r>
            <w:r>
              <w:rPr>
                <w:sz w:val="24"/>
                <w:szCs w:val="24"/>
              </w:rPr>
              <w:t>测后，达标废水流至阴极中间水池，进入预酸化调节池；重金属若不达标，则泵</w:t>
            </w:r>
          </w:p>
          <w:p>
            <w:pPr>
              <w:pStyle w:val="TableText"/>
              <w:ind w:left="121"/>
              <w:spacing w:line="220" w:lineRule="auto"/>
              <w:rPr>
                <w:sz w:val="24"/>
                <w:szCs w:val="24"/>
              </w:rPr>
            </w:pPr>
            <w:r>
              <w:rPr>
                <w:sz w:val="24"/>
                <w:szCs w:val="24"/>
              </w:rPr>
              <w:t>回阴极调节池。</w:t>
            </w:r>
          </w:p>
          <w:p>
            <w:pPr>
              <w:pStyle w:val="TableText"/>
              <w:ind w:left="601"/>
              <w:spacing w:before="181" w:line="219" w:lineRule="auto"/>
              <w:rPr>
                <w:sz w:val="24"/>
                <w:szCs w:val="24"/>
              </w:rPr>
            </w:pPr>
            <w:r>
              <w:rPr>
                <w:sz w:val="24"/>
                <w:szCs w:val="24"/>
              </w:rPr>
              <w:t>C、预酸化调节池均化后的废水经泵提升至ABR厌氧池，在ABR厌氧池中，</w:t>
            </w:r>
          </w:p>
          <w:p>
            <w:pPr>
              <w:pStyle w:val="TableText"/>
              <w:ind w:left="121"/>
              <w:spacing w:before="176" w:line="480" w:lineRule="exact"/>
              <w:rPr>
                <w:sz w:val="24"/>
                <w:szCs w:val="24"/>
              </w:rPr>
            </w:pPr>
            <w:r>
              <w:rPr>
                <w:sz w:val="24"/>
                <w:szCs w:val="24"/>
                <w:position w:val="18"/>
              </w:rPr>
              <w:t>利用厌氧菌的作用，使有机物发生水解、酸化和甲烷化，去除废水中的有机物，</w:t>
            </w:r>
          </w:p>
          <w:p>
            <w:pPr>
              <w:pStyle w:val="TableText"/>
              <w:ind w:left="131"/>
              <w:spacing w:before="1" w:line="218" w:lineRule="auto"/>
              <w:rPr>
                <w:sz w:val="24"/>
                <w:szCs w:val="24"/>
              </w:rPr>
            </w:pPr>
            <w:r>
              <w:rPr>
                <w:sz w:val="24"/>
                <w:szCs w:val="24"/>
              </w:rPr>
              <w:t>并提高污水的可生化性，有利于后续的好氧处理。</w:t>
            </w:r>
          </w:p>
          <w:p>
            <w:pPr>
              <w:pStyle w:val="TableText"/>
              <w:ind w:left="601"/>
              <w:spacing w:before="168" w:line="214" w:lineRule="auto"/>
              <w:rPr>
                <w:sz w:val="24"/>
                <w:szCs w:val="24"/>
              </w:rPr>
            </w:pPr>
            <w:r>
              <w:rPr>
                <w:sz w:val="24"/>
                <w:szCs w:val="24"/>
                <w:spacing w:val="1"/>
              </w:rPr>
              <w:t>D、</w:t>
            </w:r>
            <w:r>
              <w:rPr>
                <w:sz w:val="24"/>
                <w:szCs w:val="24"/>
              </w:rPr>
              <w:t>ABR</w:t>
            </w:r>
            <w:r>
              <w:rPr>
                <w:sz w:val="24"/>
                <w:szCs w:val="24"/>
                <w:spacing w:val="1"/>
              </w:rPr>
              <w:t>厌氧出水自流到一级A池(厌氧池)(</w:t>
            </w:r>
            <w:r>
              <w:rPr>
                <w:sz w:val="24"/>
                <w:szCs w:val="24"/>
              </w:rPr>
              <w:t>DO</w:t>
            </w:r>
            <w:r>
              <w:rPr>
                <w:sz w:val="24"/>
                <w:szCs w:val="24"/>
                <w:spacing w:val="1"/>
              </w:rPr>
              <w:t>≤0.</w:t>
            </w:r>
            <w:r>
              <w:rPr>
                <w:sz w:val="24"/>
                <w:szCs w:val="24"/>
              </w:rPr>
              <w:t>5mg/L)与回流的消</w:t>
            </w:r>
          </w:p>
          <w:p>
            <w:pPr>
              <w:pStyle w:val="TableText"/>
              <w:ind w:left="121"/>
              <w:spacing w:before="189" w:line="481" w:lineRule="exact"/>
              <w:rPr>
                <w:sz w:val="24"/>
                <w:szCs w:val="24"/>
              </w:rPr>
            </w:pPr>
            <w:r>
              <w:rPr>
                <w:sz w:val="24"/>
                <w:szCs w:val="24"/>
                <w:position w:val="18"/>
              </w:rPr>
              <w:t>化液完全混合，池中的反硝化细菌以污水中未分解的含碳有机物为碳源，将好氧</w:t>
            </w:r>
          </w:p>
          <w:p>
            <w:pPr>
              <w:pStyle w:val="TableText"/>
              <w:ind w:left="121"/>
              <w:spacing w:line="219" w:lineRule="auto"/>
              <w:rPr>
                <w:sz w:val="24"/>
                <w:szCs w:val="24"/>
              </w:rPr>
            </w:pPr>
            <w:r>
              <w:rPr>
                <w:sz w:val="24"/>
                <w:szCs w:val="24"/>
                <w:spacing w:val="6"/>
              </w:rPr>
              <w:t>池内通过内循环回流进来的硝酸根还原为N</w:t>
            </w:r>
            <w:r>
              <w:rPr>
                <w:rFonts w:ascii="Calibri" w:hAnsi="Calibri" w:eastAsia="Calibri" w:cs="Calibri"/>
                <w:sz w:val="24"/>
                <w:szCs w:val="24"/>
                <w:spacing w:val="6"/>
              </w:rPr>
              <w:t>₂</w:t>
            </w:r>
            <w:r>
              <w:rPr>
                <w:sz w:val="24"/>
                <w:szCs w:val="24"/>
                <w:spacing w:val="6"/>
              </w:rPr>
              <w:t>而释</w:t>
            </w:r>
            <w:r>
              <w:rPr>
                <w:sz w:val="24"/>
                <w:szCs w:val="24"/>
                <w:spacing w:val="5"/>
              </w:rPr>
              <w:t>放。</w:t>
            </w:r>
          </w:p>
          <w:p>
            <w:pPr>
              <w:pStyle w:val="TableText"/>
              <w:ind w:left="601"/>
              <w:spacing w:before="174" w:line="219" w:lineRule="auto"/>
              <w:rPr>
                <w:sz w:val="24"/>
                <w:szCs w:val="24"/>
              </w:rPr>
            </w:pPr>
            <w:r>
              <w:rPr>
                <w:sz w:val="24"/>
                <w:szCs w:val="24"/>
                <w:spacing w:val="-1"/>
              </w:rPr>
              <w:t>E、</w:t>
            </w:r>
            <w:r>
              <w:rPr>
                <w:sz w:val="24"/>
                <w:szCs w:val="24"/>
                <w:spacing w:val="-58"/>
              </w:rPr>
              <w:t xml:space="preserve"> </w:t>
            </w:r>
            <w:r>
              <w:rPr>
                <w:sz w:val="24"/>
                <w:szCs w:val="24"/>
                <w:spacing w:val="-1"/>
              </w:rPr>
              <w:t>一级A池出水自流到一级O池中，在鼓风机</w:t>
            </w:r>
            <w:r>
              <w:rPr>
                <w:sz w:val="24"/>
                <w:szCs w:val="24"/>
                <w:spacing w:val="-2"/>
              </w:rPr>
              <w:t>和曝气器的充氧下，池中的</w:t>
            </w:r>
          </w:p>
          <w:p>
            <w:pPr>
              <w:pStyle w:val="TableText"/>
              <w:ind w:left="121"/>
              <w:spacing w:before="186" w:line="460" w:lineRule="exact"/>
              <w:rPr>
                <w:sz w:val="24"/>
                <w:szCs w:val="24"/>
              </w:rPr>
            </w:pPr>
            <w:r>
              <w:rPr>
                <w:sz w:val="24"/>
                <w:szCs w:val="24"/>
                <w:spacing w:val="8"/>
                <w:position w:val="16"/>
              </w:rPr>
              <w:t>好氧微生物将剩余有机物进一步分解为</w:t>
            </w:r>
            <w:r>
              <w:rPr>
                <w:sz w:val="24"/>
                <w:szCs w:val="24"/>
                <w:position w:val="16"/>
              </w:rPr>
              <w:t>CO</w:t>
            </w:r>
            <w:r>
              <w:rPr>
                <w:rFonts w:ascii="Calibri" w:hAnsi="Calibri" w:eastAsia="Calibri" w:cs="Calibri"/>
                <w:sz w:val="24"/>
                <w:szCs w:val="24"/>
                <w:spacing w:val="8"/>
                <w:position w:val="16"/>
              </w:rPr>
              <w:t>₂</w:t>
            </w:r>
            <w:r>
              <w:rPr>
                <w:rFonts w:ascii="Calibri" w:hAnsi="Calibri" w:eastAsia="Calibri" w:cs="Calibri"/>
                <w:sz w:val="24"/>
                <w:szCs w:val="24"/>
                <w:spacing w:val="-28"/>
                <w:position w:val="16"/>
              </w:rPr>
              <w:t xml:space="preserve"> </w:t>
            </w:r>
            <w:r>
              <w:rPr>
                <w:sz w:val="24"/>
                <w:szCs w:val="24"/>
                <w:spacing w:val="8"/>
                <w:position w:val="16"/>
              </w:rPr>
              <w:t>、H</w:t>
            </w:r>
            <w:r>
              <w:rPr>
                <w:rFonts w:ascii="Calibri" w:hAnsi="Calibri" w:eastAsia="Calibri" w:cs="Calibri"/>
                <w:sz w:val="24"/>
                <w:szCs w:val="24"/>
                <w:spacing w:val="8"/>
                <w:position w:val="16"/>
              </w:rPr>
              <w:t>₂</w:t>
            </w:r>
            <w:r>
              <w:rPr>
                <w:sz w:val="24"/>
                <w:szCs w:val="24"/>
                <w:spacing w:val="7"/>
                <w:position w:val="16"/>
              </w:rPr>
              <w:t>O等，同时硝化菌把污水中的氨</w:t>
            </w:r>
          </w:p>
          <w:p>
            <w:pPr>
              <w:pStyle w:val="TableText"/>
              <w:ind w:left="121"/>
              <w:spacing w:before="1" w:line="218" w:lineRule="auto"/>
              <w:rPr>
                <w:sz w:val="24"/>
                <w:szCs w:val="24"/>
              </w:rPr>
            </w:pPr>
            <w:r>
              <w:rPr>
                <w:sz w:val="24"/>
                <w:szCs w:val="24"/>
              </w:rPr>
              <w:t>氮氧化成硝酸盐；再向缺氧池回流，为脱氮做好必要的准</w:t>
            </w:r>
            <w:r>
              <w:rPr>
                <w:sz w:val="24"/>
                <w:szCs w:val="24"/>
                <w:spacing w:val="-1"/>
              </w:rPr>
              <w:t>备。</w:t>
            </w:r>
          </w:p>
          <w:p>
            <w:pPr>
              <w:pStyle w:val="TableText"/>
              <w:ind w:left="601"/>
              <w:spacing w:before="206" w:line="456" w:lineRule="exact"/>
              <w:rPr>
                <w:sz w:val="24"/>
                <w:szCs w:val="24"/>
              </w:rPr>
            </w:pPr>
            <w:r>
              <w:rPr>
                <w:sz w:val="24"/>
                <w:szCs w:val="24"/>
                <w:position w:val="16"/>
              </w:rPr>
              <w:t>F、两级A/O处理构筑物出水经MBR进行泥水分离后，上清</w:t>
            </w:r>
            <w:r>
              <w:rPr>
                <w:sz w:val="24"/>
                <w:szCs w:val="24"/>
                <w:spacing w:val="-1"/>
                <w:position w:val="16"/>
              </w:rPr>
              <w:t>液出水进入阴极</w:t>
            </w:r>
          </w:p>
          <w:p>
            <w:pPr>
              <w:pStyle w:val="TableText"/>
              <w:ind w:left="121"/>
              <w:spacing w:before="1" w:line="216" w:lineRule="auto"/>
              <w:rPr>
                <w:sz w:val="24"/>
                <w:szCs w:val="24"/>
              </w:rPr>
            </w:pPr>
            <w:r>
              <w:rPr>
                <w:sz w:val="24"/>
                <w:szCs w:val="24"/>
              </w:rPr>
              <w:t>废水系统排放口(DW001),在经废水站规范化排污口(DW003)达标向外排</w:t>
            </w:r>
            <w:r>
              <w:rPr>
                <w:sz w:val="24"/>
                <w:szCs w:val="24"/>
                <w:spacing w:val="-1"/>
              </w:rPr>
              <w:t>放。</w:t>
            </w:r>
          </w:p>
          <w:p>
            <w:pPr>
              <w:pStyle w:val="TableText"/>
              <w:ind w:left="121" w:right="56" w:firstLine="499"/>
              <w:spacing w:before="181" w:line="366" w:lineRule="auto"/>
              <w:rPr>
                <w:sz w:val="24"/>
                <w:szCs w:val="24"/>
              </w:rPr>
            </w:pPr>
            <w:r>
              <w:rPr>
                <w:sz w:val="24"/>
                <w:szCs w:val="24"/>
              </w:rPr>
              <w:t>阴极废水混凝沉淀池中的沉淀物排入阴极浓缩池中进行污泥浓缩，浓缩后的</w:t>
            </w:r>
            <w:r>
              <w:rPr>
                <w:sz w:val="24"/>
                <w:szCs w:val="24"/>
                <w:spacing w:val="17"/>
              </w:rPr>
              <w:t xml:space="preserve"> </w:t>
            </w:r>
            <w:r>
              <w:rPr>
                <w:sz w:val="24"/>
                <w:szCs w:val="24"/>
              </w:rPr>
              <w:t>污泥再泵入厢式压滤机脱水干化。浓缩池上清液、厢式压滤机滤液排入阴极生产</w:t>
            </w:r>
          </w:p>
          <w:p>
            <w:pPr>
              <w:pStyle w:val="TableText"/>
              <w:ind w:left="121"/>
              <w:spacing w:line="219" w:lineRule="auto"/>
              <w:rPr>
                <w:sz w:val="24"/>
                <w:szCs w:val="24"/>
              </w:rPr>
            </w:pPr>
            <w:r>
              <w:rPr>
                <w:sz w:val="24"/>
                <w:szCs w:val="24"/>
              </w:rPr>
              <w:t>废水调节池中继续处理。</w:t>
            </w:r>
          </w:p>
          <w:p>
            <w:pPr>
              <w:pStyle w:val="TableText"/>
              <w:ind w:left="141" w:right="59" w:firstLine="479"/>
              <w:spacing w:before="173" w:line="362" w:lineRule="auto"/>
              <w:rPr>
                <w:sz w:val="24"/>
                <w:szCs w:val="24"/>
              </w:rPr>
            </w:pPr>
            <w:r>
              <w:rPr>
                <w:sz w:val="24"/>
                <w:szCs w:val="24"/>
              </w:rPr>
              <w:t>二沉池、生化池剩余污泥定期排入生化污泥浓缩池浓缩，浓缩后的污泥打入</w:t>
            </w:r>
            <w:r>
              <w:rPr>
                <w:sz w:val="24"/>
                <w:szCs w:val="24"/>
                <w:spacing w:val="9"/>
              </w:rPr>
              <w:t xml:space="preserve"> </w:t>
            </w:r>
            <w:r>
              <w:rPr>
                <w:sz w:val="24"/>
                <w:szCs w:val="24"/>
              </w:rPr>
              <w:t>叠螺脱水机脱水干化，脱水后的干污泥定期外运堆肥。污泥浓缩池上清液、叠螺</w:t>
            </w:r>
          </w:p>
          <w:p>
            <w:pPr>
              <w:pStyle w:val="TableText"/>
              <w:ind w:left="121"/>
              <w:spacing w:before="1" w:line="218" w:lineRule="auto"/>
              <w:rPr>
                <w:sz w:val="24"/>
                <w:szCs w:val="24"/>
              </w:rPr>
            </w:pPr>
            <w:r>
              <w:rPr>
                <w:sz w:val="24"/>
                <w:szCs w:val="24"/>
              </w:rPr>
              <w:t>脱水机滤液自流进入预酸化调节池中继续处理。</w:t>
            </w:r>
          </w:p>
          <w:p>
            <w:pPr>
              <w:pStyle w:val="TableText"/>
              <w:ind w:left="604"/>
              <w:spacing w:before="174" w:line="220" w:lineRule="auto"/>
              <w:rPr>
                <w:sz w:val="24"/>
                <w:szCs w:val="24"/>
              </w:rPr>
            </w:pPr>
            <w:r>
              <w:rPr>
                <w:sz w:val="24"/>
                <w:szCs w:val="24"/>
                <w:b/>
                <w:bCs/>
                <w:spacing w:val="-4"/>
              </w:rPr>
              <w:t>可行性分析：</w:t>
            </w:r>
          </w:p>
          <w:p>
            <w:pPr>
              <w:pStyle w:val="TableText"/>
              <w:ind w:left="611"/>
              <w:spacing w:before="174" w:line="483" w:lineRule="exact"/>
              <w:rPr>
                <w:sz w:val="24"/>
                <w:szCs w:val="24"/>
              </w:rPr>
            </w:pPr>
            <w:r>
              <w:rPr>
                <w:sz w:val="24"/>
                <w:szCs w:val="24"/>
                <w:position w:val="18"/>
              </w:rPr>
              <w:t>①芬顿氧化法可作为废水生化处理前的预处理工艺，</w:t>
            </w:r>
            <w:r>
              <w:rPr>
                <w:sz w:val="24"/>
                <w:szCs w:val="24"/>
                <w:spacing w:val="-1"/>
                <w:position w:val="18"/>
              </w:rPr>
              <w:t>也可以作为废水生化处</w:t>
            </w:r>
          </w:p>
          <w:p>
            <w:pPr>
              <w:pStyle w:val="TableText"/>
              <w:ind w:left="131"/>
              <w:spacing w:line="220" w:lineRule="auto"/>
              <w:rPr>
                <w:sz w:val="24"/>
                <w:szCs w:val="24"/>
              </w:rPr>
            </w:pPr>
            <w:r>
              <w:rPr>
                <w:sz w:val="24"/>
                <w:szCs w:val="24"/>
                <w:spacing w:val="-1"/>
              </w:rPr>
              <w:t>理后的深度处理工艺。</w:t>
            </w:r>
          </w:p>
          <w:p>
            <w:pPr>
              <w:pStyle w:val="TableText"/>
              <w:ind w:left="121" w:right="115" w:firstLine="497"/>
              <w:spacing w:before="171" w:line="362" w:lineRule="auto"/>
              <w:rPr>
                <w:sz w:val="24"/>
                <w:szCs w:val="24"/>
              </w:rPr>
            </w:pPr>
            <w:r>
              <w:rPr>
                <w:sz w:val="24"/>
                <w:szCs w:val="24"/>
                <w:spacing w:val="-2"/>
              </w:rPr>
              <w:t>对阴极废水进行芬顿氧化的目的：利用强氧化剂将废水中的大分子有机污染</w:t>
            </w:r>
            <w:r>
              <w:rPr>
                <w:sz w:val="24"/>
                <w:szCs w:val="24"/>
                <w:spacing w:val="18"/>
              </w:rPr>
              <w:t xml:space="preserve"> </w:t>
            </w:r>
            <w:r>
              <w:rPr>
                <w:sz w:val="24"/>
                <w:szCs w:val="24"/>
                <w:spacing w:val="-1"/>
              </w:rPr>
              <w:t>物氧化成小分子有机污染物，提高废水的可</w:t>
            </w:r>
            <w:r>
              <w:rPr>
                <w:sz w:val="24"/>
                <w:szCs w:val="24"/>
                <w:spacing w:val="-2"/>
              </w:rPr>
              <w:t>生化性，便于后续生化处理。在芬顿</w:t>
            </w:r>
            <w:r>
              <w:rPr>
                <w:sz w:val="24"/>
                <w:szCs w:val="24"/>
              </w:rPr>
              <w:t xml:space="preserve"> </w:t>
            </w:r>
            <w:r>
              <w:rPr>
                <w:sz w:val="24"/>
                <w:szCs w:val="24"/>
                <w:spacing w:val="-1"/>
              </w:rPr>
              <w:t>反应池内，阴极废水和硫酸、硫酸亚铁、双氧水、空气在氧化装置中进行反应，</w:t>
            </w:r>
          </w:p>
          <w:p>
            <w:pPr>
              <w:pStyle w:val="TableText"/>
              <w:spacing w:before="1" w:line="218" w:lineRule="auto"/>
              <w:jc w:val="right"/>
              <w:rPr>
                <w:sz w:val="24"/>
                <w:szCs w:val="24"/>
              </w:rPr>
            </w:pPr>
            <w:r>
              <w:rPr>
                <w:sz w:val="24"/>
                <w:szCs w:val="24"/>
                <w:spacing w:val="6"/>
              </w:rPr>
              <w:t>氧化装置产生的活性基团(-</w:t>
            </w:r>
            <w:r>
              <w:rPr>
                <w:sz w:val="24"/>
                <w:szCs w:val="24"/>
              </w:rPr>
              <w:t>OH</w:t>
            </w:r>
            <w:r>
              <w:rPr>
                <w:sz w:val="24"/>
                <w:szCs w:val="24"/>
                <w:spacing w:val="6"/>
              </w:rPr>
              <w:t>自由基)能激</w:t>
            </w:r>
            <w:r>
              <w:rPr>
                <w:sz w:val="24"/>
                <w:szCs w:val="24"/>
                <w:spacing w:val="5"/>
              </w:rPr>
              <w:t>发有机分子中的活泼氢生成“R-</w:t>
            </w:r>
            <w:r>
              <w:rPr>
                <w:sz w:val="24"/>
                <w:szCs w:val="24"/>
              </w:rPr>
              <w:t>OH</w:t>
            </w:r>
            <w:r>
              <w:rPr>
                <w:sz w:val="24"/>
                <w:szCs w:val="24"/>
                <w:spacing w:val="5"/>
              </w:rPr>
              <w:t>”</w:t>
            </w:r>
          </w:p>
        </w:tc>
      </w:tr>
    </w:tbl>
    <w:p>
      <w:pPr>
        <w:rPr>
          <w:rFonts w:ascii="Arial"/>
          <w:sz w:val="21"/>
        </w:rPr>
      </w:pPr>
      <w:r/>
    </w:p>
    <w:p>
      <w:pPr>
        <w:sectPr>
          <w:footerReference w:type="default" r:id="rId118"/>
          <w:pgSz w:w="11900" w:h="16840"/>
          <w:pgMar w:top="1265" w:right="1435" w:bottom="988" w:left="1014" w:header="0" w:footer="849" w:gutter="0"/>
        </w:sectPr>
        <w:rPr>
          <w:rFonts w:ascii="Arial" w:hAnsi="Arial" w:eastAsia="Arial" w:cs="Arial"/>
          <w:sz w:val="21"/>
          <w:szCs w:val="21"/>
        </w:rPr>
      </w:pPr>
    </w:p>
    <w:tbl>
      <w:tblPr>
        <w:tblStyle w:val="TableNormal"/>
        <w:tblW w:w="94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14"/>
        <w:gridCol w:w="8646"/>
      </w:tblGrid>
      <w:tr>
        <w:trPr>
          <w:trHeight w:val="13999" w:hRule="atLeast"/>
        </w:trPr>
        <w:tc>
          <w:tcPr>
            <w:tcW w:w="814" w:type="dxa"/>
            <w:vAlign w:val="top"/>
          </w:tcPr>
          <w:p>
            <w:pPr>
              <w:rPr>
                <w:rFonts w:ascii="Arial"/>
                <w:sz w:val="21"/>
              </w:rPr>
            </w:pPr>
            <w:r/>
          </w:p>
        </w:tc>
        <w:tc>
          <w:tcPr>
            <w:tcW w:w="8646" w:type="dxa"/>
            <w:vAlign w:val="top"/>
          </w:tcPr>
          <w:p>
            <w:pPr>
              <w:pStyle w:val="TableText"/>
              <w:ind w:left="51"/>
              <w:spacing w:before="33" w:line="359" w:lineRule="auto"/>
              <w:jc w:val="both"/>
              <w:rPr>
                <w:sz w:val="24"/>
                <w:szCs w:val="24"/>
              </w:rPr>
            </w:pPr>
            <w:r>
              <w:rPr>
                <w:sz w:val="24"/>
                <w:szCs w:val="24"/>
                <w:spacing w:val="-2"/>
              </w:rPr>
              <w:t>或羟基取代中间体，成为进一步氧化剂，使中间体开环裂解，大分子变成小分子，</w:t>
            </w:r>
            <w:r>
              <w:rPr>
                <w:sz w:val="24"/>
                <w:szCs w:val="24"/>
                <w:spacing w:val="15"/>
              </w:rPr>
              <w:t xml:space="preserve"> </w:t>
            </w:r>
            <w:r>
              <w:rPr>
                <w:sz w:val="24"/>
                <w:szCs w:val="24"/>
                <w:spacing w:val="7"/>
              </w:rPr>
              <w:t>小分子进一步氧化成</w:t>
            </w:r>
            <w:r>
              <w:rPr>
                <w:sz w:val="24"/>
                <w:szCs w:val="24"/>
              </w:rPr>
              <w:t>CO</w:t>
            </w:r>
            <w:r>
              <w:rPr>
                <w:rFonts w:ascii="Calibri" w:hAnsi="Calibri" w:eastAsia="Calibri" w:cs="Calibri"/>
                <w:sz w:val="24"/>
                <w:szCs w:val="24"/>
                <w:spacing w:val="7"/>
              </w:rPr>
              <w:t>₂</w:t>
            </w:r>
            <w:r>
              <w:rPr>
                <w:sz w:val="24"/>
                <w:szCs w:val="24"/>
                <w:spacing w:val="7"/>
              </w:rPr>
              <w:t>和H</w:t>
            </w:r>
            <w:r>
              <w:rPr>
                <w:rFonts w:ascii="Calibri" w:hAnsi="Calibri" w:eastAsia="Calibri" w:cs="Calibri"/>
                <w:sz w:val="24"/>
                <w:szCs w:val="24"/>
                <w:spacing w:val="7"/>
              </w:rPr>
              <w:t>₂</w:t>
            </w:r>
            <w:r>
              <w:rPr>
                <w:sz w:val="24"/>
                <w:szCs w:val="24"/>
                <w:spacing w:val="7"/>
              </w:rPr>
              <w:t>O,从而达到降解</w:t>
            </w:r>
            <w:r>
              <w:rPr>
                <w:sz w:val="24"/>
                <w:szCs w:val="24"/>
                <w:spacing w:val="6"/>
              </w:rPr>
              <w:t>废水中有机污染物，提高废水可生</w:t>
            </w:r>
            <w:r>
              <w:rPr>
                <w:sz w:val="24"/>
                <w:szCs w:val="24"/>
              </w:rPr>
              <w:t xml:space="preserve">  </w:t>
            </w:r>
            <w:r>
              <w:rPr>
                <w:sz w:val="24"/>
                <w:szCs w:val="24"/>
              </w:rPr>
              <w:t>化性的目的。同时，空气中的氧气参与反应将产生更多的活性基团，可大大提高</w:t>
            </w:r>
          </w:p>
          <w:p>
            <w:pPr>
              <w:pStyle w:val="TableText"/>
              <w:ind w:left="120"/>
              <w:spacing w:line="218" w:lineRule="auto"/>
              <w:rPr>
                <w:sz w:val="24"/>
                <w:szCs w:val="24"/>
              </w:rPr>
            </w:pPr>
            <w:r>
              <w:rPr>
                <w:sz w:val="24"/>
                <w:szCs w:val="24"/>
                <w:spacing w:val="-2"/>
              </w:rPr>
              <w:t>氧化效率、降低氧化剂的用量，从而降低工程运行成本。</w:t>
            </w:r>
          </w:p>
          <w:p>
            <w:pPr>
              <w:pStyle w:val="TableText"/>
              <w:spacing w:before="195" w:line="461" w:lineRule="exact"/>
              <w:jc w:val="right"/>
              <w:rPr>
                <w:sz w:val="24"/>
                <w:szCs w:val="24"/>
              </w:rPr>
            </w:pPr>
            <w:r>
              <w:rPr>
                <w:sz w:val="24"/>
                <w:szCs w:val="24"/>
                <w:spacing w:val="3"/>
                <w:position w:val="16"/>
              </w:rPr>
              <w:t>阴极废水经过芬顿氧化处理后进入混凝沉淀池。由于本项目废水的</w:t>
            </w:r>
            <w:r>
              <w:rPr>
                <w:sz w:val="24"/>
                <w:szCs w:val="24"/>
                <w:spacing w:val="2"/>
                <w:position w:val="16"/>
              </w:rPr>
              <w:t>钴、镍、</w:t>
            </w:r>
          </w:p>
          <w:p>
            <w:pPr>
              <w:pStyle w:val="TableText"/>
              <w:ind w:left="141"/>
              <w:spacing w:line="219" w:lineRule="auto"/>
              <w:rPr>
                <w:sz w:val="24"/>
                <w:szCs w:val="24"/>
              </w:rPr>
            </w:pPr>
            <w:r>
              <w:rPr>
                <w:sz w:val="24"/>
                <w:szCs w:val="24"/>
              </w:rPr>
              <w:t>锰离子浓度低，但均是重金属污染物，且可与OH</w:t>
            </w:r>
            <w:r>
              <w:rPr>
                <w:sz w:val="24"/>
                <w:szCs w:val="24"/>
                <w:spacing w:val="-1"/>
              </w:rPr>
              <w:t>-反应生成不溶于水的沉淀物</w:t>
            </w:r>
          </w:p>
          <w:p>
            <w:pPr>
              <w:pStyle w:val="TableText"/>
              <w:ind w:left="121"/>
              <w:spacing w:before="182" w:line="216" w:lineRule="auto"/>
              <w:rPr>
                <w:sz w:val="24"/>
                <w:szCs w:val="24"/>
              </w:rPr>
            </w:pPr>
            <w:r>
              <w:rPr>
                <w:sz w:val="24"/>
                <w:szCs w:val="24"/>
              </w:rPr>
              <w:t>根据《重金属污水化学法处理设计规范》(CECS92:97</w:t>
            </w:r>
            <w:r>
              <w:rPr>
                <w:sz w:val="24"/>
                <w:szCs w:val="24"/>
                <w:spacing w:val="-1"/>
              </w:rPr>
              <w:t>),以上重金属废水氢氧</w:t>
            </w:r>
          </w:p>
          <w:p>
            <w:pPr>
              <w:pStyle w:val="TableText"/>
              <w:ind w:left="111" w:right="113"/>
              <w:spacing w:before="176" w:line="356" w:lineRule="auto"/>
              <w:jc w:val="both"/>
              <w:rPr>
                <w:sz w:val="24"/>
                <w:szCs w:val="24"/>
              </w:rPr>
            </w:pPr>
            <w:r>
              <w:rPr>
                <w:sz w:val="24"/>
                <w:szCs w:val="24"/>
              </w:rPr>
              <w:t>化物沉淀分离的最佳pH为9-12。根据以上化学特性，针对阴极废水采用氢氧化物</w:t>
            </w:r>
            <w:r>
              <w:rPr>
                <w:sz w:val="24"/>
                <w:szCs w:val="24"/>
                <w:spacing w:val="10"/>
              </w:rPr>
              <w:t xml:space="preserve"> </w:t>
            </w:r>
            <w:r>
              <w:rPr>
                <w:sz w:val="24"/>
                <w:szCs w:val="24"/>
              </w:rPr>
              <w:t>化学沉淀分离的方法，控制阴极废水pH至10左右，通过混凝沉淀将钴、镍、锰等</w:t>
            </w:r>
          </w:p>
          <w:p>
            <w:pPr>
              <w:pStyle w:val="TableText"/>
              <w:ind w:left="101"/>
              <w:spacing w:before="1" w:line="219" w:lineRule="auto"/>
              <w:rPr>
                <w:sz w:val="24"/>
                <w:szCs w:val="24"/>
              </w:rPr>
            </w:pPr>
            <w:r>
              <w:rPr>
                <w:sz w:val="24"/>
                <w:szCs w:val="24"/>
                <w:spacing w:val="-1"/>
              </w:rPr>
              <w:t>重金属离子去除。</w:t>
            </w:r>
          </w:p>
          <w:p>
            <w:pPr>
              <w:pStyle w:val="TableText"/>
              <w:ind w:left="621"/>
              <w:spacing w:before="194" w:line="481" w:lineRule="exact"/>
              <w:rPr>
                <w:sz w:val="24"/>
                <w:szCs w:val="24"/>
              </w:rPr>
            </w:pPr>
            <w:r>
              <w:rPr>
                <w:sz w:val="24"/>
                <w:szCs w:val="24"/>
                <w:position w:val="18"/>
              </w:rPr>
              <w:t>阴极极片生产废水经“芬顿氧化+混凝沉淀”预处理后，COD去除率可达40%</w:t>
            </w:r>
          </w:p>
          <w:p>
            <w:pPr>
              <w:pStyle w:val="TableText"/>
              <w:ind w:left="121"/>
              <w:spacing w:line="219" w:lineRule="auto"/>
              <w:rPr>
                <w:sz w:val="24"/>
                <w:szCs w:val="24"/>
              </w:rPr>
            </w:pPr>
            <w:r>
              <w:rPr>
                <w:sz w:val="24"/>
                <w:szCs w:val="24"/>
              </w:rPr>
              <w:t>左右，SS去除率达80%左右，可生化性有所提</w:t>
            </w:r>
            <w:r>
              <w:rPr>
                <w:sz w:val="24"/>
                <w:szCs w:val="24"/>
                <w:spacing w:val="-1"/>
              </w:rPr>
              <w:t>高。</w:t>
            </w:r>
          </w:p>
          <w:p>
            <w:pPr>
              <w:pStyle w:val="TableText"/>
              <w:ind w:left="531"/>
              <w:spacing w:before="172" w:line="216" w:lineRule="auto"/>
              <w:rPr>
                <w:sz w:val="24"/>
                <w:szCs w:val="24"/>
              </w:rPr>
            </w:pPr>
            <w:r>
              <w:rPr>
                <w:sz w:val="24"/>
                <w:szCs w:val="24"/>
              </w:rPr>
              <w:t>②经过预处理后生产废水的BOD与COD比值大于0.35,</w:t>
            </w:r>
            <w:r>
              <w:rPr>
                <w:sz w:val="24"/>
                <w:szCs w:val="24"/>
                <w:spacing w:val="-1"/>
              </w:rPr>
              <w:t>可用于生物处理，然</w:t>
            </w:r>
          </w:p>
          <w:p>
            <w:pPr>
              <w:pStyle w:val="TableText"/>
              <w:ind w:left="111" w:right="115"/>
              <w:spacing w:before="191" w:line="362" w:lineRule="auto"/>
              <w:rPr>
                <w:sz w:val="24"/>
                <w:szCs w:val="24"/>
              </w:rPr>
            </w:pPr>
            <w:r>
              <w:rPr>
                <w:sz w:val="24"/>
                <w:szCs w:val="24"/>
              </w:rPr>
              <w:t>而废水中的有机污染物浓度高，直接用好氧生化处理</w:t>
            </w:r>
            <w:r>
              <w:rPr>
                <w:sz w:val="24"/>
                <w:szCs w:val="24"/>
                <w:spacing w:val="-1"/>
              </w:rPr>
              <w:t>会因为有机负荷过高而处理</w:t>
            </w:r>
            <w:r>
              <w:rPr>
                <w:sz w:val="24"/>
                <w:szCs w:val="24"/>
              </w:rPr>
              <w:t xml:space="preserve"> </w:t>
            </w:r>
            <w:r>
              <w:rPr>
                <w:sz w:val="24"/>
                <w:szCs w:val="24"/>
              </w:rPr>
              <w:t>效率低、能耗大；同时考虑到本项目出水水质必须达到《电池工业污染物排放标</w:t>
            </w:r>
          </w:p>
          <w:p>
            <w:pPr>
              <w:pStyle w:val="TableText"/>
              <w:ind w:left="121"/>
              <w:spacing w:line="219" w:lineRule="auto"/>
              <w:rPr>
                <w:sz w:val="24"/>
                <w:szCs w:val="24"/>
              </w:rPr>
            </w:pPr>
            <w:r>
              <w:rPr>
                <w:sz w:val="24"/>
                <w:szCs w:val="24"/>
              </w:rPr>
              <w:t>准》(GB30484-2013)“表2新建企业水污染物排放限值”中的间接排放限值，</w:t>
            </w:r>
          </w:p>
          <w:p>
            <w:pPr>
              <w:pStyle w:val="TableText"/>
              <w:ind w:left="171" w:right="192" w:firstLine="59"/>
              <w:spacing w:before="179" w:line="361" w:lineRule="auto"/>
              <w:jc w:val="both"/>
              <w:rPr>
                <w:sz w:val="24"/>
                <w:szCs w:val="24"/>
              </w:rPr>
            </w:pPr>
            <w:r>
              <w:rPr>
                <w:sz w:val="24"/>
                <w:szCs w:val="24"/>
              </w:rPr>
              <w:t>出水氨氮要求必须&lt;30mg/L,总氮要求必须&lt;40mg/L,因此必须在厌氧生化处理后</w:t>
            </w:r>
            <w:r>
              <w:rPr>
                <w:sz w:val="24"/>
                <w:szCs w:val="24"/>
                <w:spacing w:val="16"/>
              </w:rPr>
              <w:t xml:space="preserve"> </w:t>
            </w:r>
            <w:r>
              <w:rPr>
                <w:sz w:val="24"/>
                <w:szCs w:val="24"/>
              </w:rPr>
              <w:t>进一步通过好氧生化处理，且好氧处理工艺在去除COD的同</w:t>
            </w:r>
            <w:r>
              <w:rPr>
                <w:sz w:val="24"/>
                <w:szCs w:val="24"/>
                <w:spacing w:val="-1"/>
              </w:rPr>
              <w:t>时必须具有硝化及反</w:t>
            </w:r>
          </w:p>
          <w:p>
            <w:pPr>
              <w:pStyle w:val="TableText"/>
              <w:ind w:left="121"/>
              <w:spacing w:before="1" w:line="220" w:lineRule="auto"/>
              <w:rPr>
                <w:sz w:val="24"/>
                <w:szCs w:val="24"/>
              </w:rPr>
            </w:pPr>
            <w:r>
              <w:rPr>
                <w:sz w:val="24"/>
                <w:szCs w:val="24"/>
                <w:spacing w:val="-1"/>
              </w:rPr>
              <w:t>硝化功能。</w:t>
            </w:r>
          </w:p>
          <w:p>
            <w:pPr>
              <w:pStyle w:val="TableText"/>
              <w:ind w:left="51" w:firstLine="566"/>
              <w:spacing w:before="190" w:line="359" w:lineRule="auto"/>
              <w:rPr>
                <w:sz w:val="24"/>
                <w:szCs w:val="24"/>
              </w:rPr>
            </w:pPr>
            <w:r>
              <w:rPr>
                <w:sz w:val="24"/>
                <w:szCs w:val="24"/>
                <w:spacing w:val="-6"/>
              </w:rPr>
              <w:t>A、厌氧处理工艺选用厌氧折流板反应器(Anaerobic Baffled Reactor简称ABR)</w:t>
            </w:r>
            <w:r>
              <w:rPr>
                <w:sz w:val="24"/>
                <w:szCs w:val="24"/>
                <w:spacing w:val="18"/>
              </w:rPr>
              <w:t xml:space="preserve"> </w:t>
            </w:r>
            <w:r>
              <w:rPr>
                <w:sz w:val="24"/>
                <w:szCs w:val="24"/>
                <w:spacing w:val="2"/>
              </w:rPr>
              <w:t>工艺。即</w:t>
            </w:r>
            <w:r>
              <w:rPr>
                <w:sz w:val="24"/>
                <w:szCs w:val="24"/>
              </w:rPr>
              <w:t>ABR</w:t>
            </w:r>
            <w:r>
              <w:rPr>
                <w:sz w:val="24"/>
                <w:szCs w:val="24"/>
                <w:spacing w:val="2"/>
              </w:rPr>
              <w:t>反应器中使用一系列垂直安装的折流板使被处理的废水在反应器内  </w:t>
            </w:r>
            <w:r>
              <w:rPr>
                <w:sz w:val="24"/>
                <w:szCs w:val="24"/>
                <w:spacing w:val="1"/>
              </w:rPr>
              <w:t>沿折流板作上下流动，借助于处理过程中反应器内产生的沼气应器</w:t>
            </w:r>
            <w:r>
              <w:rPr>
                <w:sz w:val="24"/>
                <w:szCs w:val="24"/>
              </w:rPr>
              <w:t>内的微生物固  </w:t>
            </w:r>
            <w:r>
              <w:rPr>
                <w:sz w:val="24"/>
                <w:szCs w:val="24"/>
                <w:spacing w:val="-1"/>
              </w:rPr>
              <w:t>体在折流板所形成的各个隔室内作上下膨胀和沉淀运动，而整个反应器内的水流  </w:t>
            </w:r>
            <w:r>
              <w:rPr>
                <w:sz w:val="24"/>
                <w:szCs w:val="24"/>
              </w:rPr>
              <w:t>则以较慢的速度作水平流动。由于污水在折流板的作用下，水流绕折流板流动而</w:t>
            </w:r>
            <w:r>
              <w:rPr>
                <w:sz w:val="24"/>
                <w:szCs w:val="24"/>
                <w:spacing w:val="8"/>
              </w:rPr>
              <w:t xml:space="preserve">  </w:t>
            </w:r>
            <w:r>
              <w:rPr>
                <w:sz w:val="24"/>
                <w:szCs w:val="24"/>
                <w:spacing w:val="-2"/>
              </w:rPr>
              <w:t>使水流在反应器内的流径的总长度增加，再加之折流板的阻挡及污泥的沉降作用，</w:t>
            </w:r>
          </w:p>
          <w:p>
            <w:pPr>
              <w:pStyle w:val="TableText"/>
              <w:ind w:left="130"/>
              <w:spacing w:before="1" w:line="219" w:lineRule="auto"/>
              <w:rPr>
                <w:sz w:val="24"/>
                <w:szCs w:val="24"/>
              </w:rPr>
            </w:pPr>
            <w:r>
              <w:rPr>
                <w:sz w:val="24"/>
                <w:szCs w:val="24"/>
                <w:spacing w:val="-2"/>
              </w:rPr>
              <w:t>生物固体被有效地截留在反应器内。</w:t>
            </w:r>
          </w:p>
          <w:p>
            <w:pPr>
              <w:pStyle w:val="TableText"/>
              <w:ind w:left="111" w:right="92" w:firstLine="489"/>
              <w:spacing w:before="176" w:line="356" w:lineRule="auto"/>
              <w:rPr>
                <w:sz w:val="24"/>
                <w:szCs w:val="24"/>
              </w:rPr>
            </w:pPr>
            <w:r>
              <w:rPr>
                <w:sz w:val="24"/>
                <w:szCs w:val="24"/>
              </w:rPr>
              <w:t>ABR是一种新型高效的厌氧处理工艺，主要优点是反应器具有良好的</w:t>
            </w:r>
            <w:r>
              <w:rPr>
                <w:sz w:val="24"/>
                <w:szCs w:val="24"/>
                <w:spacing w:val="-1"/>
              </w:rPr>
              <w:t>水力流</w:t>
            </w:r>
            <w:r>
              <w:rPr>
                <w:sz w:val="24"/>
                <w:szCs w:val="24"/>
              </w:rPr>
              <w:t xml:space="preserve">  </w:t>
            </w:r>
            <w:r>
              <w:rPr>
                <w:sz w:val="24"/>
                <w:szCs w:val="24"/>
                <w:spacing w:val="1"/>
              </w:rPr>
              <w:t>态，具有良好的生物固体的截留能力，并使一个反应器内微生物在不同</w:t>
            </w:r>
            <w:r>
              <w:rPr>
                <w:sz w:val="24"/>
                <w:szCs w:val="24"/>
              </w:rPr>
              <w:t>的区域内 </w:t>
            </w:r>
            <w:r>
              <w:rPr>
                <w:sz w:val="24"/>
                <w:szCs w:val="24"/>
              </w:rPr>
              <w:t>生长，与不同阶段的进水相接触，在一定程度上实现生物相的分离，从而可稳定</w:t>
            </w:r>
          </w:p>
          <w:p>
            <w:pPr>
              <w:pStyle w:val="TableText"/>
              <w:ind w:left="121"/>
              <w:spacing w:line="218" w:lineRule="auto"/>
              <w:rPr>
                <w:sz w:val="24"/>
                <w:szCs w:val="24"/>
              </w:rPr>
            </w:pPr>
            <w:r>
              <w:rPr>
                <w:sz w:val="24"/>
                <w:szCs w:val="24"/>
              </w:rPr>
              <w:t>和提高设施的处理效果，适用于中、高浓有机</w:t>
            </w:r>
            <w:r>
              <w:rPr>
                <w:sz w:val="24"/>
                <w:szCs w:val="24"/>
                <w:spacing w:val="-1"/>
              </w:rPr>
              <w:t>废水的处理，容积负荷达</w:t>
            </w:r>
          </w:p>
        </w:tc>
      </w:tr>
    </w:tbl>
    <w:p>
      <w:pPr>
        <w:rPr>
          <w:rFonts w:ascii="Arial"/>
          <w:sz w:val="21"/>
        </w:rPr>
      </w:pPr>
      <w:r/>
    </w:p>
    <w:p>
      <w:pPr>
        <w:sectPr>
          <w:footerReference w:type="default" r:id="rId119"/>
          <w:pgSz w:w="11900" w:h="16840"/>
          <w:pgMar w:top="1265" w:right="1415" w:bottom="988" w:left="1014" w:header="0" w:footer="849" w:gutter="0"/>
        </w:sectPr>
        <w:rPr>
          <w:rFonts w:ascii="Arial" w:hAnsi="Arial" w:eastAsia="Arial" w:cs="Arial"/>
          <w:sz w:val="21"/>
          <w:szCs w:val="21"/>
        </w:rPr>
      </w:pPr>
    </w:p>
    <w:tbl>
      <w:tblPr>
        <w:tblStyle w:val="TableNormal"/>
        <w:tblW w:w="9454"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04"/>
        <w:gridCol w:w="8650"/>
      </w:tblGrid>
      <w:tr>
        <w:trPr>
          <w:trHeight w:val="13900" w:hRule="atLeast"/>
        </w:trPr>
        <w:tc>
          <w:tcPr>
            <w:tcW w:w="804" w:type="dxa"/>
            <w:vAlign w:val="top"/>
          </w:tcPr>
          <w:p>
            <w:pPr>
              <w:rPr>
                <w:rFonts w:ascii="Arial"/>
                <w:sz w:val="21"/>
              </w:rPr>
            </w:pPr>
            <w:r/>
          </w:p>
        </w:tc>
        <w:tc>
          <w:tcPr>
            <w:tcW w:w="8650" w:type="dxa"/>
            <w:vAlign w:val="top"/>
          </w:tcPr>
          <w:p>
            <w:pPr>
              <w:pStyle w:val="TableText"/>
              <w:ind w:left="131"/>
              <w:spacing w:before="16" w:line="214" w:lineRule="auto"/>
              <w:rPr>
                <w:sz w:val="24"/>
                <w:szCs w:val="24"/>
              </w:rPr>
            </w:pPr>
            <w:r>
              <w:rPr>
                <w:sz w:val="24"/>
                <w:szCs w:val="24"/>
                <w:spacing w:val="5"/>
              </w:rPr>
              <w:t>10-30</w:t>
            </w:r>
            <w:r>
              <w:rPr>
                <w:sz w:val="24"/>
                <w:szCs w:val="24"/>
              </w:rPr>
              <w:t>kgCOD</w:t>
            </w:r>
            <w:r>
              <w:rPr>
                <w:sz w:val="24"/>
                <w:szCs w:val="24"/>
                <w:spacing w:val="5"/>
              </w:rPr>
              <w:t>/m³-d时，其</w:t>
            </w:r>
            <w:r>
              <w:rPr>
                <w:sz w:val="24"/>
                <w:szCs w:val="24"/>
              </w:rPr>
              <w:t>COD</w:t>
            </w:r>
            <w:r>
              <w:rPr>
                <w:sz w:val="24"/>
                <w:szCs w:val="24"/>
                <w:spacing w:val="5"/>
              </w:rPr>
              <w:t>去除率可达75</w:t>
            </w:r>
            <w:r>
              <w:rPr>
                <w:sz w:val="24"/>
                <w:szCs w:val="24"/>
                <w:spacing w:val="4"/>
              </w:rPr>
              <w:t>%-90%。</w:t>
            </w:r>
          </w:p>
          <w:p>
            <w:pPr>
              <w:pStyle w:val="TableText"/>
              <w:ind w:left="51" w:firstLine="554"/>
              <w:spacing w:before="216" w:line="358" w:lineRule="auto"/>
              <w:rPr>
                <w:sz w:val="24"/>
                <w:szCs w:val="24"/>
              </w:rPr>
            </w:pPr>
            <w:r>
              <w:rPr>
                <w:sz w:val="24"/>
                <w:szCs w:val="24"/>
                <w:spacing w:val="-3"/>
              </w:rPr>
              <w:t>B、好氧处理工艺选用国内广泛应用的A/O工艺(Anoxic Oxic,厌氧好氧工艺)。</w:t>
            </w:r>
            <w:r>
              <w:rPr>
                <w:sz w:val="24"/>
                <w:szCs w:val="24"/>
                <w:spacing w:val="2"/>
              </w:rPr>
              <w:t xml:space="preserve"> </w:t>
            </w:r>
            <w:r>
              <w:rPr>
                <w:sz w:val="24"/>
                <w:szCs w:val="24"/>
                <w:spacing w:val="-1"/>
              </w:rPr>
              <w:t>A/O工艺的生物反应器池分为缺氧段、好氧段，A/O脱氮工艺是通过缺氧和好氧交</w:t>
            </w:r>
            <w:r>
              <w:rPr>
                <w:sz w:val="24"/>
                <w:szCs w:val="24"/>
                <w:spacing w:val="1"/>
              </w:rPr>
              <w:t xml:space="preserve">   </w:t>
            </w:r>
            <w:r>
              <w:rPr>
                <w:sz w:val="24"/>
                <w:szCs w:val="24"/>
                <w:spacing w:val="-1"/>
              </w:rPr>
              <w:t>替变化的生物环境完成脱氮反应的。在缺氧条件下，反硝化菌利用污水中的有机  </w:t>
            </w:r>
            <w:r>
              <w:rPr>
                <w:sz w:val="24"/>
                <w:szCs w:val="24"/>
                <w:spacing w:val="-2"/>
              </w:rPr>
              <w:t>碳作为电子供体，以硝酸盐作为电子受体“无氧呼吸”,将回</w:t>
            </w:r>
            <w:r>
              <w:rPr>
                <w:sz w:val="24"/>
                <w:szCs w:val="24"/>
                <w:spacing w:val="-3"/>
              </w:rPr>
              <w:t>流液中硝态氮还原成</w:t>
            </w:r>
            <w:r>
              <w:rPr>
                <w:sz w:val="24"/>
                <w:szCs w:val="24"/>
              </w:rPr>
              <w:t xml:space="preserve">  </w:t>
            </w:r>
            <w:r>
              <w:rPr>
                <w:sz w:val="24"/>
                <w:szCs w:val="24"/>
                <w:spacing w:val="-1"/>
              </w:rPr>
              <w:t>氮气释放出来，完成反硝化过程；而在好氧条件下，硝化菌把污水中的</w:t>
            </w:r>
            <w:r>
              <w:rPr>
                <w:sz w:val="24"/>
                <w:szCs w:val="24"/>
                <w:spacing w:val="-2"/>
              </w:rPr>
              <w:t>氨氮氧化</w:t>
            </w:r>
            <w:r>
              <w:rPr>
                <w:sz w:val="24"/>
                <w:szCs w:val="24"/>
              </w:rPr>
              <w:t xml:space="preserve">   </w:t>
            </w:r>
            <w:r>
              <w:rPr>
                <w:sz w:val="24"/>
                <w:szCs w:val="24"/>
                <w:spacing w:val="1"/>
              </w:rPr>
              <w:t>成硝酸盐；再向缺氧池回流，为脱氮做好必要的准备。A/O工艺具有同时去除有</w:t>
            </w:r>
          </w:p>
          <w:p>
            <w:pPr>
              <w:pStyle w:val="TableText"/>
              <w:ind w:left="130"/>
              <w:spacing w:line="218" w:lineRule="auto"/>
              <w:rPr>
                <w:sz w:val="24"/>
                <w:szCs w:val="24"/>
              </w:rPr>
            </w:pPr>
            <w:r>
              <w:rPr>
                <w:sz w:val="24"/>
                <w:szCs w:val="24"/>
                <w:spacing w:val="-3"/>
              </w:rPr>
              <w:t>机物及脱氮的功能，工艺简单、水力停留时间短、不易发生污泥膨胀等优点。</w:t>
            </w:r>
          </w:p>
          <w:p>
            <w:pPr>
              <w:pStyle w:val="TableText"/>
              <w:ind w:left="531"/>
              <w:spacing w:before="193" w:line="484" w:lineRule="exact"/>
              <w:rPr>
                <w:sz w:val="24"/>
                <w:szCs w:val="24"/>
              </w:rPr>
            </w:pPr>
            <w:r>
              <w:rPr>
                <w:sz w:val="24"/>
                <w:szCs w:val="24"/>
                <w:position w:val="18"/>
              </w:rPr>
              <w:t>③阴极废水经生化处理后出水经MBR固液分离，上清</w:t>
            </w:r>
            <w:r>
              <w:rPr>
                <w:sz w:val="24"/>
                <w:szCs w:val="24"/>
                <w:spacing w:val="-1"/>
                <w:position w:val="18"/>
              </w:rPr>
              <w:t>液出水经规范化排污</w:t>
            </w:r>
          </w:p>
          <w:p>
            <w:pPr>
              <w:pStyle w:val="TableText"/>
              <w:ind w:left="161"/>
              <w:spacing w:line="220" w:lineRule="auto"/>
              <w:rPr>
                <w:sz w:val="24"/>
                <w:szCs w:val="24"/>
              </w:rPr>
            </w:pPr>
            <w:r>
              <w:rPr>
                <w:sz w:val="24"/>
                <w:szCs w:val="24"/>
                <w:spacing w:val="-1"/>
              </w:rPr>
              <w:t>口达标向外排放。</w:t>
            </w:r>
          </w:p>
          <w:p>
            <w:pPr>
              <w:pStyle w:val="TableText"/>
              <w:ind w:left="471"/>
              <w:spacing w:before="142" w:line="219" w:lineRule="auto"/>
              <w:rPr>
                <w:sz w:val="24"/>
                <w:szCs w:val="24"/>
              </w:rPr>
            </w:pPr>
            <w:r>
              <w:rPr>
                <w:sz w:val="24"/>
                <w:szCs w:val="24"/>
              </w:rPr>
              <w:t>MBR:又称膜生物反应器，是一种将高效膜分离技术与传统活性污泥</w:t>
            </w:r>
            <w:r>
              <w:rPr>
                <w:sz w:val="24"/>
                <w:szCs w:val="24"/>
                <w:spacing w:val="-1"/>
              </w:rPr>
              <w:t>法相结</w:t>
            </w:r>
          </w:p>
          <w:p>
            <w:pPr>
              <w:pStyle w:val="TableText"/>
              <w:ind w:left="141"/>
              <w:spacing w:before="207" w:line="219" w:lineRule="auto"/>
              <w:rPr>
                <w:sz w:val="24"/>
                <w:szCs w:val="24"/>
              </w:rPr>
            </w:pPr>
            <w:r>
              <w:rPr>
                <w:sz w:val="24"/>
                <w:szCs w:val="24"/>
              </w:rPr>
              <w:t>合的一种新型高效污水处理工艺，独特的MBR平片膜组件被放置于曝气池中，</w:t>
            </w:r>
          </w:p>
          <w:p>
            <w:pPr>
              <w:pStyle w:val="TableText"/>
              <w:ind w:left="111" w:right="117"/>
              <w:spacing w:before="174" w:line="358" w:lineRule="auto"/>
              <w:rPr>
                <w:sz w:val="24"/>
                <w:szCs w:val="24"/>
              </w:rPr>
            </w:pPr>
            <w:r>
              <w:rPr>
                <w:sz w:val="24"/>
                <w:szCs w:val="24"/>
              </w:rPr>
              <w:t>通过好氧曝气和生物处理后的水，再由泵通过滤膜过滤之后抽出，利用膜分离设</w:t>
            </w:r>
            <w:r>
              <w:rPr>
                <w:sz w:val="24"/>
                <w:szCs w:val="24"/>
                <w:spacing w:val="10"/>
              </w:rPr>
              <w:t xml:space="preserve"> </w:t>
            </w:r>
            <w:r>
              <w:rPr>
                <w:sz w:val="24"/>
                <w:szCs w:val="24"/>
              </w:rPr>
              <w:t>备把生化反应池中的活性污泥和大分子有机物截留，省去了二沉池，活性污泥浓</w:t>
            </w:r>
          </w:p>
          <w:p>
            <w:pPr>
              <w:pStyle w:val="TableText"/>
              <w:ind w:left="141"/>
              <w:spacing w:line="219" w:lineRule="auto"/>
              <w:rPr>
                <w:sz w:val="24"/>
                <w:szCs w:val="24"/>
              </w:rPr>
            </w:pPr>
            <w:r>
              <w:rPr>
                <w:sz w:val="24"/>
                <w:szCs w:val="24"/>
                <w:spacing w:val="1"/>
              </w:rPr>
              <w:t>度大大提高。</w:t>
            </w:r>
            <w:r>
              <w:rPr>
                <w:sz w:val="24"/>
                <w:szCs w:val="24"/>
              </w:rPr>
              <w:t>MBR</w:t>
            </w:r>
            <w:r>
              <w:rPr>
                <w:sz w:val="24"/>
                <w:szCs w:val="24"/>
                <w:spacing w:val="1"/>
              </w:rPr>
              <w:t>是利用膜组件进行固液分离特点，可</w:t>
            </w:r>
            <w:r>
              <w:rPr>
                <w:sz w:val="24"/>
                <w:szCs w:val="24"/>
              </w:rPr>
              <w:t>分别控制污泥停留时间</w:t>
            </w:r>
          </w:p>
          <w:p>
            <w:pPr>
              <w:pStyle w:val="TableText"/>
              <w:ind w:left="171" w:right="174"/>
              <w:spacing w:before="173" w:line="367" w:lineRule="auto"/>
              <w:rPr>
                <w:sz w:val="24"/>
                <w:szCs w:val="24"/>
              </w:rPr>
            </w:pPr>
            <w:r>
              <w:rPr>
                <w:sz w:val="24"/>
                <w:szCs w:val="24"/>
              </w:rPr>
              <w:t>(SRT)和水力停留时间(HRT),从而对于那些难以降解的物质在反应器中不断的降</w:t>
            </w:r>
            <w:r>
              <w:rPr>
                <w:sz w:val="24"/>
                <w:szCs w:val="24"/>
                <w:spacing w:val="11"/>
              </w:rPr>
              <w:t xml:space="preserve"> </w:t>
            </w:r>
            <w:r>
              <w:rPr>
                <w:sz w:val="24"/>
                <w:szCs w:val="24"/>
              </w:rPr>
              <w:t>解和反应，实现良好的处理效果。MBR工艺系统结合了生物学处理工程和膜分离</w:t>
            </w:r>
            <w:r>
              <w:rPr>
                <w:sz w:val="24"/>
                <w:szCs w:val="24"/>
                <w:spacing w:val="13"/>
              </w:rPr>
              <w:t xml:space="preserve"> </w:t>
            </w:r>
            <w:r>
              <w:rPr>
                <w:sz w:val="24"/>
                <w:szCs w:val="24"/>
              </w:rPr>
              <w:t>工程的各自优势。MBR工艺中最主要的组成部分是膜组件，它是通过不同形式组</w:t>
            </w:r>
          </w:p>
          <w:p>
            <w:pPr>
              <w:pStyle w:val="TableText"/>
              <w:ind w:left="111"/>
              <w:spacing w:before="1" w:line="218" w:lineRule="auto"/>
              <w:rPr>
                <w:sz w:val="24"/>
                <w:szCs w:val="24"/>
              </w:rPr>
            </w:pPr>
            <w:r>
              <w:rPr>
                <w:sz w:val="24"/>
                <w:szCs w:val="24"/>
              </w:rPr>
              <w:t>装而成的基本单元，相当于传统生物处理系统中的二沉</w:t>
            </w:r>
            <w:r>
              <w:rPr>
                <w:sz w:val="24"/>
                <w:szCs w:val="24"/>
                <w:spacing w:val="-1"/>
              </w:rPr>
              <w:t>池，膜组件具有较高的过</w:t>
            </w:r>
          </w:p>
          <w:p>
            <w:pPr>
              <w:pStyle w:val="TableText"/>
              <w:ind w:left="51" w:firstLine="59"/>
              <w:spacing w:before="175" w:line="366" w:lineRule="auto"/>
              <w:jc w:val="both"/>
              <w:rPr>
                <w:sz w:val="24"/>
                <w:szCs w:val="24"/>
              </w:rPr>
            </w:pPr>
            <w:r>
              <w:rPr>
                <w:sz w:val="24"/>
                <w:szCs w:val="24"/>
                <w:spacing w:val="-1"/>
              </w:rPr>
              <w:t>滤精度，当污水经过膜组件的生物降解后，生物反应器内的混合液在</w:t>
            </w:r>
            <w:r>
              <w:rPr>
                <w:sz w:val="24"/>
                <w:szCs w:val="24"/>
                <w:spacing w:val="-2"/>
              </w:rPr>
              <w:t>膜的两侧压</w:t>
            </w:r>
            <w:r>
              <w:rPr>
                <w:sz w:val="24"/>
                <w:szCs w:val="24"/>
              </w:rPr>
              <w:t xml:space="preserve">  </w:t>
            </w:r>
            <w:r>
              <w:rPr>
                <w:sz w:val="24"/>
                <w:szCs w:val="24"/>
                <w:spacing w:val="-1"/>
              </w:rPr>
              <w:t>力差的作用下，对于不易被微生物降解的有</w:t>
            </w:r>
            <w:r>
              <w:rPr>
                <w:sz w:val="24"/>
                <w:szCs w:val="24"/>
                <w:spacing w:val="-2"/>
              </w:rPr>
              <w:t>机物和大分子溶质就会被生物膜截留，</w:t>
            </w:r>
          </w:p>
          <w:p>
            <w:pPr>
              <w:pStyle w:val="TableText"/>
              <w:ind w:left="150"/>
              <w:spacing w:line="219" w:lineRule="auto"/>
              <w:rPr>
                <w:sz w:val="24"/>
                <w:szCs w:val="24"/>
              </w:rPr>
            </w:pPr>
            <w:r>
              <w:rPr>
                <w:sz w:val="24"/>
                <w:szCs w:val="24"/>
                <w:spacing w:val="-2"/>
              </w:rPr>
              <w:t>完成了大分子溶质与处理出水的分离。</w:t>
            </w:r>
          </w:p>
          <w:p>
            <w:pPr>
              <w:pStyle w:val="TableText"/>
              <w:spacing w:before="174" w:line="219" w:lineRule="auto"/>
              <w:jc w:val="right"/>
              <w:rPr>
                <w:sz w:val="24"/>
                <w:szCs w:val="24"/>
              </w:rPr>
            </w:pPr>
            <w:r>
              <w:rPr>
                <w:sz w:val="24"/>
                <w:szCs w:val="24"/>
                <w:spacing w:val="-1"/>
              </w:rPr>
              <w:t>本项目阴极生产废水处理系统在现有“Fenton氧化+混凝沉淀”基础上，增加</w:t>
            </w:r>
          </w:p>
          <w:p>
            <w:pPr>
              <w:pStyle w:val="TableText"/>
              <w:ind w:left="151"/>
              <w:spacing w:before="173" w:line="483" w:lineRule="exact"/>
              <w:rPr>
                <w:sz w:val="24"/>
                <w:szCs w:val="24"/>
              </w:rPr>
            </w:pPr>
            <w:r>
              <w:rPr>
                <w:sz w:val="24"/>
                <w:szCs w:val="24"/>
                <w:position w:val="18"/>
              </w:rPr>
              <w:t>了“ABR+两级AO(MBR作为二级O池使用)”,对废水中的各类污染物处理</w:t>
            </w:r>
          </w:p>
          <w:p>
            <w:pPr>
              <w:pStyle w:val="TableText"/>
              <w:ind w:left="131"/>
              <w:spacing w:before="1" w:line="219" w:lineRule="auto"/>
              <w:rPr>
                <w:sz w:val="24"/>
                <w:szCs w:val="24"/>
              </w:rPr>
            </w:pPr>
            <w:r>
              <w:rPr>
                <w:sz w:val="24"/>
                <w:szCs w:val="24"/>
                <w:spacing w:val="-1"/>
              </w:rPr>
              <w:t>效果更好。</w:t>
            </w:r>
          </w:p>
          <w:p>
            <w:pPr>
              <w:pStyle w:val="TableText"/>
              <w:ind w:left="621"/>
              <w:spacing w:before="173" w:line="458" w:lineRule="exact"/>
              <w:rPr>
                <w:sz w:val="24"/>
                <w:szCs w:val="24"/>
              </w:rPr>
            </w:pPr>
            <w:r>
              <w:rPr>
                <w:sz w:val="24"/>
                <w:szCs w:val="24"/>
                <w:position w:val="16"/>
              </w:rPr>
              <w:t>根据建设单位提供的2023年4个季度的常规自行检</w:t>
            </w:r>
            <w:r>
              <w:rPr>
                <w:sz w:val="24"/>
                <w:szCs w:val="24"/>
                <w:spacing w:val="-1"/>
                <w:position w:val="16"/>
              </w:rPr>
              <w:t>测报告和宁德市霞浦环境</w:t>
            </w:r>
          </w:p>
          <w:p>
            <w:pPr>
              <w:pStyle w:val="TableText"/>
              <w:ind w:left="141"/>
              <w:spacing w:before="1" w:line="216" w:lineRule="auto"/>
              <w:rPr>
                <w:sz w:val="24"/>
                <w:szCs w:val="24"/>
              </w:rPr>
            </w:pPr>
            <w:r>
              <w:rPr>
                <w:sz w:val="24"/>
                <w:szCs w:val="24"/>
              </w:rPr>
              <w:t>监测站2024年1月的执法监测报告(霞环站〔2024〕8号),现有工程废水各污</w:t>
            </w:r>
          </w:p>
          <w:p>
            <w:pPr>
              <w:pStyle w:val="TableText"/>
              <w:ind w:left="131"/>
              <w:spacing w:before="194" w:line="214" w:lineRule="auto"/>
              <w:rPr>
                <w:sz w:val="24"/>
                <w:szCs w:val="24"/>
              </w:rPr>
            </w:pPr>
            <w:r>
              <w:rPr>
                <w:sz w:val="24"/>
                <w:szCs w:val="24"/>
              </w:rPr>
              <w:t>染物可达标排放，其中总钴≤0.02mg/L,总镍≤0.05mg/L。具体见下表。</w:t>
            </w:r>
          </w:p>
        </w:tc>
      </w:tr>
    </w:tbl>
    <w:p>
      <w:pPr>
        <w:rPr>
          <w:rFonts w:ascii="Arial"/>
          <w:sz w:val="21"/>
        </w:rPr>
      </w:pPr>
      <w:r/>
    </w:p>
    <w:p>
      <w:pPr>
        <w:sectPr>
          <w:footerReference w:type="default" r:id="rId120"/>
          <w:pgSz w:w="11900" w:h="16840"/>
          <w:pgMar w:top="1265" w:right="1420" w:bottom="988" w:left="1014" w:header="0" w:footer="849" w:gutter="0"/>
        </w:sectPr>
        <w:rPr>
          <w:rFonts w:ascii="Arial" w:hAnsi="Arial" w:eastAsia="Arial" w:cs="Arial"/>
          <w:sz w:val="21"/>
          <w:szCs w:val="21"/>
        </w:rPr>
      </w:pPr>
    </w:p>
    <w:p>
      <w:pPr>
        <w:pStyle w:val="BodyText"/>
        <w:ind w:left="1912"/>
        <w:spacing w:before="40" w:line="226" w:lineRule="auto"/>
        <w:rPr>
          <w:sz w:val="19"/>
          <w:szCs w:val="19"/>
        </w:rPr>
      </w:pPr>
      <w:r>
        <w:rPr>
          <w:sz w:val="19"/>
          <w:szCs w:val="19"/>
          <w:b/>
          <w:bCs/>
          <w:spacing w:val="-1"/>
        </w:rPr>
        <w:t>表4.3-5现有工程废水污染物监测情况一览表</w:t>
      </w:r>
      <w:r>
        <w:rPr>
          <w:sz w:val="19"/>
          <w:szCs w:val="19"/>
          <w:spacing w:val="-1"/>
        </w:rPr>
        <w:t xml:space="preserve">       </w:t>
      </w:r>
      <w:r>
        <w:rPr>
          <w:sz w:val="19"/>
          <w:szCs w:val="19"/>
          <w:spacing w:val="-2"/>
        </w:rPr>
        <w:t xml:space="preserve">         单位：mg/L</w:t>
      </w:r>
    </w:p>
    <w:p>
      <w:pPr>
        <w:spacing w:line="210" w:lineRule="exact"/>
        <w:rPr/>
      </w:pPr>
      <w:r/>
    </w:p>
    <w:tbl>
      <w:tblPr>
        <w:tblStyle w:val="TableNormal"/>
        <w:tblW w:w="8389" w:type="dxa"/>
        <w:tblInd w:w="97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63"/>
        <w:gridCol w:w="779"/>
        <w:gridCol w:w="1139"/>
        <w:gridCol w:w="1338"/>
        <w:gridCol w:w="1148"/>
        <w:gridCol w:w="1079"/>
        <w:gridCol w:w="939"/>
        <w:gridCol w:w="804"/>
      </w:tblGrid>
      <w:tr>
        <w:trPr>
          <w:trHeight w:val="275" w:hRule="atLeast"/>
        </w:trPr>
        <w:tc>
          <w:tcPr>
            <w:tcW w:w="1163" w:type="dxa"/>
            <w:vAlign w:val="top"/>
            <w:vMerge w:val="restart"/>
            <w:tcBorders>
              <w:bottom w:val="nil"/>
            </w:tcBorders>
          </w:tcPr>
          <w:p>
            <w:pPr>
              <w:pStyle w:val="TableText"/>
              <w:ind w:left="174"/>
              <w:spacing w:before="281" w:line="219" w:lineRule="auto"/>
              <w:rPr>
                <w:sz w:val="20"/>
                <w:szCs w:val="20"/>
              </w:rPr>
            </w:pPr>
            <w:r>
              <w:rPr>
                <w:sz w:val="20"/>
                <w:szCs w:val="20"/>
                <w:spacing w:val="-2"/>
              </w:rPr>
              <w:t>采样位置</w:t>
            </w:r>
          </w:p>
        </w:tc>
        <w:tc>
          <w:tcPr>
            <w:tcW w:w="779" w:type="dxa"/>
            <w:vAlign w:val="top"/>
            <w:vMerge w:val="restart"/>
            <w:tcBorders>
              <w:bottom w:val="nil"/>
            </w:tcBorders>
          </w:tcPr>
          <w:p>
            <w:pPr>
              <w:pStyle w:val="TableText"/>
              <w:ind w:left="181" w:right="148"/>
              <w:spacing w:before="145" w:line="234" w:lineRule="auto"/>
              <w:rPr>
                <w:sz w:val="20"/>
                <w:szCs w:val="20"/>
              </w:rPr>
            </w:pPr>
            <w:r>
              <w:rPr>
                <w:sz w:val="20"/>
                <w:szCs w:val="20"/>
                <w:spacing w:val="8"/>
              </w:rPr>
              <w:t>监测</w:t>
            </w:r>
            <w:r>
              <w:rPr>
                <w:sz w:val="20"/>
                <w:szCs w:val="20"/>
              </w:rPr>
              <w:t xml:space="preserve"> </w:t>
            </w:r>
            <w:r>
              <w:rPr>
                <w:sz w:val="20"/>
                <w:szCs w:val="20"/>
                <w:spacing w:val="-29"/>
              </w:rPr>
              <w:t>项</w:t>
            </w:r>
            <w:r>
              <w:rPr>
                <w:sz w:val="20"/>
                <w:szCs w:val="20"/>
                <w:spacing w:val="-5"/>
              </w:rPr>
              <w:t xml:space="preserve"> </w:t>
            </w:r>
            <w:r>
              <w:rPr>
                <w:sz w:val="20"/>
                <w:szCs w:val="20"/>
                <w:spacing w:val="-29"/>
              </w:rPr>
              <w:t>目</w:t>
            </w:r>
          </w:p>
        </w:tc>
        <w:tc>
          <w:tcPr>
            <w:tcW w:w="5643" w:type="dxa"/>
            <w:vAlign w:val="top"/>
            <w:gridSpan w:val="5"/>
          </w:tcPr>
          <w:p>
            <w:pPr>
              <w:pStyle w:val="TableText"/>
              <w:ind w:left="2412"/>
              <w:spacing w:before="41" w:line="206" w:lineRule="auto"/>
              <w:rPr>
                <w:sz w:val="20"/>
                <w:szCs w:val="20"/>
              </w:rPr>
            </w:pPr>
            <w:r>
              <w:rPr>
                <w:sz w:val="20"/>
                <w:szCs w:val="20"/>
                <w:spacing w:val="3"/>
              </w:rPr>
              <w:t>采样日期</w:t>
            </w:r>
          </w:p>
        </w:tc>
        <w:tc>
          <w:tcPr>
            <w:tcW w:w="804" w:type="dxa"/>
            <w:vAlign w:val="top"/>
            <w:vMerge w:val="restart"/>
            <w:tcBorders>
              <w:bottom w:val="nil"/>
            </w:tcBorders>
          </w:tcPr>
          <w:p>
            <w:pPr>
              <w:pStyle w:val="TableText"/>
              <w:ind w:left="199"/>
              <w:spacing w:before="143" w:line="269" w:lineRule="exact"/>
              <w:rPr>
                <w:sz w:val="20"/>
                <w:szCs w:val="20"/>
              </w:rPr>
            </w:pPr>
            <w:r>
              <w:rPr>
                <w:sz w:val="20"/>
                <w:szCs w:val="20"/>
                <w:spacing w:val="-3"/>
                <w:position w:val="4"/>
              </w:rPr>
              <w:t>标准</w:t>
            </w:r>
          </w:p>
          <w:p>
            <w:pPr>
              <w:pStyle w:val="TableText"/>
              <w:ind w:left="199"/>
              <w:spacing w:line="219" w:lineRule="auto"/>
              <w:rPr>
                <w:sz w:val="20"/>
                <w:szCs w:val="20"/>
              </w:rPr>
            </w:pPr>
            <w:r>
              <w:rPr>
                <w:sz w:val="20"/>
                <w:szCs w:val="20"/>
                <w:spacing w:val="3"/>
              </w:rPr>
              <w:t>限值</w:t>
            </w:r>
          </w:p>
        </w:tc>
      </w:tr>
      <w:tr>
        <w:trPr>
          <w:trHeight w:val="479" w:hRule="atLeast"/>
        </w:trPr>
        <w:tc>
          <w:tcPr>
            <w:tcW w:w="1163" w:type="dxa"/>
            <w:vAlign w:val="top"/>
            <w:vMerge w:val="continue"/>
            <w:tcBorders>
              <w:top w:val="nil"/>
            </w:tcBorders>
          </w:tcPr>
          <w:p>
            <w:pPr>
              <w:rPr>
                <w:rFonts w:ascii="Arial"/>
                <w:sz w:val="21"/>
              </w:rPr>
            </w:pPr>
            <w:r/>
          </w:p>
        </w:tc>
        <w:tc>
          <w:tcPr>
            <w:tcW w:w="779" w:type="dxa"/>
            <w:vAlign w:val="top"/>
            <w:vMerge w:val="continue"/>
            <w:tcBorders>
              <w:top w:val="nil"/>
            </w:tcBorders>
          </w:tcPr>
          <w:p>
            <w:pPr>
              <w:rPr>
                <w:rFonts w:ascii="Arial"/>
                <w:sz w:val="21"/>
              </w:rPr>
            </w:pPr>
            <w:r/>
          </w:p>
        </w:tc>
        <w:tc>
          <w:tcPr>
            <w:tcW w:w="1139" w:type="dxa"/>
            <w:vAlign w:val="top"/>
          </w:tcPr>
          <w:p>
            <w:pPr>
              <w:pStyle w:val="TableText"/>
              <w:ind w:left="361" w:right="76" w:hanging="299"/>
              <w:spacing w:before="89" w:line="175" w:lineRule="auto"/>
              <w:rPr>
                <w:sz w:val="20"/>
                <w:szCs w:val="20"/>
              </w:rPr>
            </w:pPr>
            <w:r>
              <w:rPr>
                <w:sz w:val="20"/>
                <w:szCs w:val="20"/>
                <w:spacing w:val="-2"/>
              </w:rPr>
              <w:t>2023.3.29-</w:t>
            </w:r>
            <w:r>
              <w:rPr>
                <w:sz w:val="20"/>
                <w:szCs w:val="20"/>
                <w:spacing w:val="8"/>
              </w:rPr>
              <w:t xml:space="preserve"> </w:t>
            </w:r>
            <w:r>
              <w:rPr>
                <w:sz w:val="20"/>
                <w:szCs w:val="20"/>
                <w:spacing w:val="-3"/>
              </w:rPr>
              <w:t>3.30</w:t>
            </w:r>
          </w:p>
        </w:tc>
        <w:tc>
          <w:tcPr>
            <w:tcW w:w="1338" w:type="dxa"/>
            <w:vAlign w:val="top"/>
          </w:tcPr>
          <w:p>
            <w:pPr>
              <w:pStyle w:val="TableText"/>
              <w:ind w:left="563" w:right="74" w:hanging="500"/>
              <w:spacing w:before="89" w:line="175" w:lineRule="auto"/>
              <w:rPr>
                <w:sz w:val="20"/>
                <w:szCs w:val="20"/>
              </w:rPr>
            </w:pPr>
            <w:r>
              <w:rPr>
                <w:sz w:val="20"/>
                <w:szCs w:val="20"/>
                <w:spacing w:val="-1"/>
              </w:rPr>
              <w:t>2023.6.18-6.</w:t>
            </w:r>
            <w:r>
              <w:rPr>
                <w:sz w:val="20"/>
                <w:szCs w:val="20"/>
              </w:rPr>
              <w:t xml:space="preserve"> </w:t>
            </w:r>
            <w:r>
              <w:rPr>
                <w:sz w:val="20"/>
                <w:szCs w:val="20"/>
                <w:spacing w:val="-3"/>
              </w:rPr>
              <w:t>20</w:t>
            </w:r>
          </w:p>
        </w:tc>
        <w:tc>
          <w:tcPr>
            <w:tcW w:w="1148" w:type="dxa"/>
            <w:vAlign w:val="top"/>
          </w:tcPr>
          <w:p>
            <w:pPr>
              <w:pStyle w:val="TableText"/>
              <w:ind w:left="464" w:right="82" w:hanging="399"/>
              <w:spacing w:before="79" w:line="180" w:lineRule="auto"/>
              <w:rPr>
                <w:sz w:val="20"/>
                <w:szCs w:val="20"/>
              </w:rPr>
            </w:pPr>
            <w:r>
              <w:rPr>
                <w:sz w:val="20"/>
                <w:szCs w:val="20"/>
                <w:spacing w:val="-2"/>
              </w:rPr>
              <w:t>2023.9.4-9</w:t>
            </w:r>
            <w:r>
              <w:rPr>
                <w:sz w:val="20"/>
                <w:szCs w:val="20"/>
                <w:spacing w:val="8"/>
              </w:rPr>
              <w:t xml:space="preserve"> </w:t>
            </w:r>
            <w:r>
              <w:rPr>
                <w:sz w:val="20"/>
                <w:szCs w:val="20"/>
                <w:spacing w:val="-4"/>
              </w:rPr>
              <w:t>.6</w:t>
            </w:r>
          </w:p>
        </w:tc>
        <w:tc>
          <w:tcPr>
            <w:tcW w:w="1079" w:type="dxa"/>
            <w:vAlign w:val="top"/>
          </w:tcPr>
          <w:p>
            <w:pPr>
              <w:pStyle w:val="TableText"/>
              <w:ind w:left="286" w:right="91" w:hanging="199"/>
              <w:spacing w:before="89" w:line="175" w:lineRule="auto"/>
              <w:rPr>
                <w:sz w:val="20"/>
                <w:szCs w:val="20"/>
              </w:rPr>
            </w:pPr>
            <w:r>
              <w:rPr>
                <w:sz w:val="20"/>
                <w:szCs w:val="20"/>
                <w:spacing w:val="-2"/>
              </w:rPr>
              <w:t>2023.11.6</w:t>
            </w:r>
            <w:r>
              <w:rPr>
                <w:sz w:val="20"/>
                <w:szCs w:val="20"/>
                <w:spacing w:val="6"/>
              </w:rPr>
              <w:t xml:space="preserve"> </w:t>
            </w:r>
            <w:r>
              <w:rPr>
                <w:sz w:val="20"/>
                <w:szCs w:val="20"/>
                <w:spacing w:val="-1"/>
              </w:rPr>
              <w:t>-11.8</w:t>
            </w:r>
          </w:p>
        </w:tc>
        <w:tc>
          <w:tcPr>
            <w:tcW w:w="939" w:type="dxa"/>
            <w:vAlign w:val="top"/>
          </w:tcPr>
          <w:p>
            <w:pPr>
              <w:pStyle w:val="TableText"/>
              <w:ind w:left="368" w:right="120" w:hanging="250"/>
              <w:spacing w:before="89" w:line="175" w:lineRule="auto"/>
              <w:rPr>
                <w:sz w:val="20"/>
                <w:szCs w:val="20"/>
              </w:rPr>
            </w:pPr>
            <w:r>
              <w:rPr>
                <w:sz w:val="20"/>
                <w:szCs w:val="20"/>
                <w:spacing w:val="-2"/>
              </w:rPr>
              <w:t>2024.1.</w:t>
            </w:r>
            <w:r>
              <w:rPr>
                <w:sz w:val="20"/>
                <w:szCs w:val="20"/>
                <w:spacing w:val="2"/>
              </w:rPr>
              <w:t xml:space="preserve"> </w:t>
            </w:r>
            <w:r>
              <w:rPr>
                <w:sz w:val="20"/>
                <w:szCs w:val="20"/>
                <w:spacing w:val="-6"/>
              </w:rPr>
              <w:t>18</w:t>
            </w:r>
          </w:p>
        </w:tc>
        <w:tc>
          <w:tcPr>
            <w:tcW w:w="804" w:type="dxa"/>
            <w:vAlign w:val="top"/>
            <w:vMerge w:val="continue"/>
            <w:tcBorders>
              <w:top w:val="nil"/>
            </w:tcBorders>
          </w:tcPr>
          <w:p>
            <w:pPr>
              <w:rPr>
                <w:rFonts w:ascii="Arial"/>
                <w:sz w:val="21"/>
              </w:rPr>
            </w:pPr>
            <w:r/>
          </w:p>
        </w:tc>
      </w:tr>
      <w:tr>
        <w:trPr>
          <w:trHeight w:val="279" w:hRule="atLeast"/>
        </w:trPr>
        <w:tc>
          <w:tcPr>
            <w:tcW w:w="1163" w:type="dxa"/>
            <w:vAlign w:val="top"/>
            <w:vMerge w:val="restart"/>
            <w:tcBorders>
              <w:bottom w:val="nil"/>
            </w:tcBorders>
          </w:tcPr>
          <w:p>
            <w:pPr>
              <w:pStyle w:val="TableText"/>
              <w:ind w:left="174"/>
              <w:spacing w:before="39" w:line="219" w:lineRule="auto"/>
              <w:rPr>
                <w:sz w:val="20"/>
                <w:szCs w:val="20"/>
              </w:rPr>
            </w:pPr>
            <w:r>
              <w:rPr>
                <w:sz w:val="20"/>
                <w:szCs w:val="20"/>
                <w:spacing w:val="2"/>
              </w:rPr>
              <w:t>阴极废水</w:t>
            </w:r>
          </w:p>
          <w:p>
            <w:pPr>
              <w:pStyle w:val="TableText"/>
              <w:ind w:left="174"/>
              <w:spacing w:before="33" w:line="220" w:lineRule="auto"/>
              <w:rPr>
                <w:sz w:val="20"/>
                <w:szCs w:val="20"/>
              </w:rPr>
            </w:pPr>
            <w:r>
              <w:rPr>
                <w:sz w:val="20"/>
                <w:szCs w:val="20"/>
                <w:spacing w:val="4"/>
              </w:rPr>
              <w:t>预处理系</w:t>
            </w:r>
          </w:p>
          <w:p>
            <w:pPr>
              <w:pStyle w:val="TableText"/>
              <w:ind w:left="174"/>
              <w:spacing w:before="32" w:line="221" w:lineRule="auto"/>
              <w:rPr>
                <w:sz w:val="20"/>
                <w:szCs w:val="20"/>
              </w:rPr>
            </w:pPr>
            <w:r>
              <w:rPr>
                <w:sz w:val="20"/>
                <w:szCs w:val="20"/>
                <w:spacing w:val="7"/>
              </w:rPr>
              <w:t>统排放口</w:t>
            </w:r>
          </w:p>
          <w:p>
            <w:pPr>
              <w:pStyle w:val="TableText"/>
              <w:ind w:left="275"/>
              <w:spacing w:before="52" w:line="222" w:lineRule="auto"/>
              <w:rPr>
                <w:sz w:val="20"/>
                <w:szCs w:val="20"/>
              </w:rPr>
            </w:pPr>
            <w:r>
              <w:rPr>
                <w:sz w:val="20"/>
                <w:szCs w:val="20"/>
                <w:spacing w:val="-6"/>
              </w:rPr>
              <w:t>(DW001</w:t>
            </w:r>
          </w:p>
          <w:p>
            <w:pPr>
              <w:pStyle w:val="TableText"/>
              <w:ind w:left="524"/>
              <w:spacing w:before="19" w:line="198" w:lineRule="auto"/>
              <w:rPr>
                <w:sz w:val="20"/>
                <w:szCs w:val="20"/>
              </w:rPr>
            </w:pPr>
            <w:r>
              <w:rPr>
                <w:sz w:val="20"/>
                <w:szCs w:val="20"/>
              </w:rPr>
              <w:t>)</w:t>
            </w:r>
          </w:p>
        </w:tc>
        <w:tc>
          <w:tcPr>
            <w:tcW w:w="779" w:type="dxa"/>
            <w:vAlign w:val="top"/>
          </w:tcPr>
          <w:p>
            <w:pPr>
              <w:pStyle w:val="TableText"/>
              <w:ind w:left="181"/>
              <w:spacing w:before="41" w:line="210" w:lineRule="auto"/>
              <w:rPr>
                <w:sz w:val="20"/>
                <w:szCs w:val="20"/>
              </w:rPr>
            </w:pPr>
            <w:r>
              <w:rPr>
                <w:sz w:val="20"/>
                <w:szCs w:val="20"/>
                <w:spacing w:val="4"/>
              </w:rPr>
              <w:t>总钴</w:t>
            </w:r>
          </w:p>
        </w:tc>
        <w:tc>
          <w:tcPr>
            <w:tcW w:w="5643" w:type="dxa"/>
            <w:vAlign w:val="top"/>
            <w:gridSpan w:val="5"/>
            <w:vMerge w:val="restart"/>
            <w:tcBorders>
              <w:bottom w:val="nil"/>
            </w:tcBorders>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pStyle w:val="TableText"/>
              <w:ind w:left="2213"/>
              <w:spacing w:before="65" w:line="221" w:lineRule="auto"/>
              <w:rPr>
                <w:sz w:val="20"/>
                <w:szCs w:val="20"/>
              </w:rPr>
            </w:pPr>
            <w:r>
              <w:rPr>
                <w:sz w:val="20"/>
                <w:szCs w:val="20"/>
                <w:spacing w:val="-2"/>
              </w:rPr>
              <w:t>涉密，不公开</w:t>
            </w:r>
          </w:p>
        </w:tc>
        <w:tc>
          <w:tcPr>
            <w:tcW w:w="804" w:type="dxa"/>
            <w:vAlign w:val="top"/>
          </w:tcPr>
          <w:p>
            <w:pPr>
              <w:pStyle w:val="TableText"/>
              <w:ind w:left="249"/>
              <w:spacing w:before="90" w:line="165" w:lineRule="auto"/>
              <w:rPr>
                <w:sz w:val="20"/>
                <w:szCs w:val="20"/>
              </w:rPr>
            </w:pPr>
            <w:r>
              <w:rPr>
                <w:sz w:val="20"/>
                <w:szCs w:val="20"/>
                <w:spacing w:val="-3"/>
              </w:rPr>
              <w:t>0.1</w:t>
            </w:r>
          </w:p>
        </w:tc>
      </w:tr>
      <w:tr>
        <w:trPr>
          <w:trHeight w:val="1068" w:hRule="atLeast"/>
        </w:trPr>
        <w:tc>
          <w:tcPr>
            <w:tcW w:w="1163" w:type="dxa"/>
            <w:vAlign w:val="top"/>
            <w:vMerge w:val="continue"/>
            <w:tcBorders>
              <w:top w:val="nil"/>
            </w:tcBorders>
          </w:tcPr>
          <w:p>
            <w:pPr>
              <w:rPr>
                <w:rFonts w:ascii="Arial"/>
                <w:sz w:val="21"/>
              </w:rPr>
            </w:pPr>
            <w:r/>
          </w:p>
        </w:tc>
        <w:tc>
          <w:tcPr>
            <w:tcW w:w="779" w:type="dxa"/>
            <w:vAlign w:val="top"/>
          </w:tcPr>
          <w:p>
            <w:pPr>
              <w:spacing w:line="373" w:lineRule="auto"/>
              <w:rPr>
                <w:rFonts w:ascii="Arial"/>
                <w:sz w:val="21"/>
              </w:rPr>
            </w:pPr>
            <w:r/>
          </w:p>
          <w:p>
            <w:pPr>
              <w:pStyle w:val="TableText"/>
              <w:ind w:left="181"/>
              <w:spacing w:before="65" w:line="220" w:lineRule="auto"/>
              <w:rPr>
                <w:sz w:val="20"/>
                <w:szCs w:val="20"/>
              </w:rPr>
            </w:pPr>
            <w:r>
              <w:rPr>
                <w:sz w:val="20"/>
                <w:szCs w:val="20"/>
                <w:spacing w:val="3"/>
              </w:rPr>
              <w:t>总镍</w:t>
            </w:r>
          </w:p>
        </w:tc>
        <w:tc>
          <w:tcPr>
            <w:tcW w:w="5643" w:type="dxa"/>
            <w:vAlign w:val="top"/>
            <w:gridSpan w:val="5"/>
            <w:vMerge w:val="continue"/>
            <w:tcBorders>
              <w:top w:val="nil"/>
              <w:bottom w:val="nil"/>
            </w:tcBorders>
          </w:tcPr>
          <w:p>
            <w:pPr>
              <w:rPr>
                <w:rFonts w:ascii="Arial"/>
                <w:sz w:val="21"/>
              </w:rPr>
            </w:pPr>
            <w:r/>
          </w:p>
        </w:tc>
        <w:tc>
          <w:tcPr>
            <w:tcW w:w="804" w:type="dxa"/>
            <w:vAlign w:val="top"/>
          </w:tcPr>
          <w:p>
            <w:pPr>
              <w:spacing w:line="424" w:lineRule="auto"/>
              <w:rPr>
                <w:rFonts w:ascii="Arial"/>
                <w:sz w:val="21"/>
              </w:rPr>
            </w:pPr>
            <w:r/>
          </w:p>
          <w:p>
            <w:pPr>
              <w:pStyle w:val="TableText"/>
              <w:ind w:left="199"/>
              <w:spacing w:before="65" w:line="183" w:lineRule="auto"/>
              <w:rPr>
                <w:sz w:val="20"/>
                <w:szCs w:val="20"/>
              </w:rPr>
            </w:pPr>
            <w:r>
              <w:rPr>
                <w:sz w:val="20"/>
                <w:szCs w:val="20"/>
                <w:spacing w:val="-2"/>
              </w:rPr>
              <w:t>0.05</w:t>
            </w:r>
          </w:p>
        </w:tc>
      </w:tr>
      <w:tr>
        <w:trPr>
          <w:trHeight w:val="289" w:hRule="atLeast"/>
        </w:trPr>
        <w:tc>
          <w:tcPr>
            <w:tcW w:w="1163" w:type="dxa"/>
            <w:vAlign w:val="top"/>
            <w:vMerge w:val="restart"/>
            <w:tcBorders>
              <w:bottom w:val="nil"/>
            </w:tcBorders>
          </w:tcPr>
          <w:p>
            <w:pPr>
              <w:spacing w:line="296" w:lineRule="auto"/>
              <w:rPr>
                <w:rFonts w:ascii="Arial"/>
                <w:sz w:val="21"/>
              </w:rPr>
            </w:pPr>
            <w:r/>
          </w:p>
          <w:p>
            <w:pPr>
              <w:spacing w:line="297" w:lineRule="auto"/>
              <w:rPr>
                <w:rFonts w:ascii="Arial"/>
                <w:sz w:val="21"/>
              </w:rPr>
            </w:pPr>
            <w:r/>
          </w:p>
          <w:p>
            <w:pPr>
              <w:pStyle w:val="TableText"/>
              <w:ind w:left="174"/>
              <w:spacing w:before="65" w:line="219" w:lineRule="auto"/>
              <w:rPr>
                <w:sz w:val="20"/>
                <w:szCs w:val="20"/>
              </w:rPr>
            </w:pPr>
            <w:r>
              <w:rPr>
                <w:sz w:val="20"/>
                <w:szCs w:val="20"/>
                <w:spacing w:val="-2"/>
              </w:rPr>
              <w:t>工业废水</w:t>
            </w:r>
          </w:p>
          <w:p>
            <w:pPr>
              <w:pStyle w:val="TableText"/>
              <w:ind w:left="275"/>
              <w:spacing w:before="33" w:line="221" w:lineRule="auto"/>
              <w:rPr>
                <w:sz w:val="20"/>
                <w:szCs w:val="20"/>
              </w:rPr>
            </w:pPr>
            <w:r>
              <w:rPr>
                <w:sz w:val="20"/>
                <w:szCs w:val="20"/>
                <w:spacing w:val="9"/>
              </w:rPr>
              <w:t>排放口</w:t>
            </w:r>
          </w:p>
          <w:p>
            <w:pPr>
              <w:pStyle w:val="TableText"/>
              <w:ind w:left="275"/>
              <w:spacing w:before="42" w:line="222" w:lineRule="auto"/>
              <w:rPr>
                <w:sz w:val="20"/>
                <w:szCs w:val="20"/>
              </w:rPr>
            </w:pPr>
            <w:r>
              <w:rPr>
                <w:sz w:val="20"/>
                <w:szCs w:val="20"/>
                <w:spacing w:val="-6"/>
              </w:rPr>
              <w:t>(DW003</w:t>
            </w:r>
          </w:p>
          <w:p>
            <w:pPr>
              <w:pStyle w:val="TableText"/>
              <w:ind w:left="524"/>
              <w:spacing w:before="29" w:line="222" w:lineRule="auto"/>
              <w:rPr>
                <w:sz w:val="20"/>
                <w:szCs w:val="20"/>
              </w:rPr>
            </w:pPr>
            <w:r>
              <w:rPr>
                <w:sz w:val="20"/>
                <w:szCs w:val="20"/>
              </w:rPr>
              <w:t>)</w:t>
            </w:r>
          </w:p>
        </w:tc>
        <w:tc>
          <w:tcPr>
            <w:tcW w:w="779" w:type="dxa"/>
            <w:vAlign w:val="top"/>
          </w:tcPr>
          <w:p>
            <w:pPr>
              <w:pStyle w:val="TableText"/>
              <w:ind w:left="181"/>
              <w:spacing w:before="54" w:line="207" w:lineRule="auto"/>
              <w:rPr>
                <w:sz w:val="20"/>
                <w:szCs w:val="20"/>
              </w:rPr>
            </w:pPr>
            <w:r>
              <w:rPr>
                <w:sz w:val="20"/>
                <w:szCs w:val="20"/>
                <w:spacing w:val="4"/>
              </w:rPr>
              <w:t>总钴</w:t>
            </w:r>
          </w:p>
        </w:tc>
        <w:tc>
          <w:tcPr>
            <w:tcW w:w="5643" w:type="dxa"/>
            <w:vAlign w:val="top"/>
            <w:gridSpan w:val="5"/>
            <w:vMerge w:val="continue"/>
            <w:tcBorders>
              <w:top w:val="nil"/>
              <w:bottom w:val="nil"/>
            </w:tcBorders>
          </w:tcPr>
          <w:p>
            <w:pPr>
              <w:rPr>
                <w:rFonts w:ascii="Arial"/>
                <w:sz w:val="21"/>
              </w:rPr>
            </w:pPr>
            <w:r/>
          </w:p>
        </w:tc>
        <w:tc>
          <w:tcPr>
            <w:tcW w:w="804" w:type="dxa"/>
            <w:vAlign w:val="top"/>
          </w:tcPr>
          <w:p>
            <w:pPr>
              <w:pStyle w:val="TableText"/>
              <w:ind w:left="249"/>
              <w:spacing w:before="102" w:line="163" w:lineRule="auto"/>
              <w:rPr>
                <w:sz w:val="20"/>
                <w:szCs w:val="20"/>
              </w:rPr>
            </w:pPr>
            <w:r>
              <w:rPr>
                <w:sz w:val="20"/>
                <w:szCs w:val="20"/>
                <w:spacing w:val="-3"/>
              </w:rPr>
              <w:t>0.1</w:t>
            </w:r>
          </w:p>
        </w:tc>
      </w:tr>
      <w:tr>
        <w:trPr>
          <w:trHeight w:val="279" w:hRule="atLeast"/>
        </w:trPr>
        <w:tc>
          <w:tcPr>
            <w:tcW w:w="1163" w:type="dxa"/>
            <w:vAlign w:val="top"/>
            <w:vMerge w:val="continue"/>
            <w:tcBorders>
              <w:top w:val="nil"/>
              <w:bottom w:val="nil"/>
            </w:tcBorders>
          </w:tcPr>
          <w:p>
            <w:pPr>
              <w:rPr>
                <w:rFonts w:ascii="Arial"/>
                <w:sz w:val="21"/>
              </w:rPr>
            </w:pPr>
            <w:r/>
          </w:p>
        </w:tc>
        <w:tc>
          <w:tcPr>
            <w:tcW w:w="779" w:type="dxa"/>
            <w:vAlign w:val="top"/>
          </w:tcPr>
          <w:p>
            <w:pPr>
              <w:pStyle w:val="TableText"/>
              <w:ind w:left="181"/>
              <w:spacing w:before="43" w:line="208" w:lineRule="auto"/>
              <w:rPr>
                <w:sz w:val="20"/>
                <w:szCs w:val="20"/>
              </w:rPr>
            </w:pPr>
            <w:r>
              <w:rPr>
                <w:sz w:val="20"/>
                <w:szCs w:val="20"/>
                <w:spacing w:val="3"/>
              </w:rPr>
              <w:t>总镍</w:t>
            </w:r>
          </w:p>
        </w:tc>
        <w:tc>
          <w:tcPr>
            <w:tcW w:w="5643" w:type="dxa"/>
            <w:vAlign w:val="top"/>
            <w:gridSpan w:val="5"/>
            <w:vMerge w:val="continue"/>
            <w:tcBorders>
              <w:top w:val="nil"/>
              <w:bottom w:val="nil"/>
            </w:tcBorders>
          </w:tcPr>
          <w:p>
            <w:pPr>
              <w:rPr>
                <w:rFonts w:ascii="Arial"/>
                <w:sz w:val="21"/>
              </w:rPr>
            </w:pPr>
            <w:r/>
          </w:p>
        </w:tc>
        <w:tc>
          <w:tcPr>
            <w:tcW w:w="804" w:type="dxa"/>
            <w:vAlign w:val="top"/>
          </w:tcPr>
          <w:p>
            <w:pPr>
              <w:pStyle w:val="TableText"/>
              <w:ind w:left="199"/>
              <w:spacing w:before="94" w:line="161" w:lineRule="auto"/>
              <w:rPr>
                <w:sz w:val="20"/>
                <w:szCs w:val="20"/>
              </w:rPr>
            </w:pPr>
            <w:r>
              <w:rPr>
                <w:sz w:val="20"/>
                <w:szCs w:val="20"/>
                <w:spacing w:val="-2"/>
              </w:rPr>
              <w:t>0.05</w:t>
            </w:r>
          </w:p>
        </w:tc>
      </w:tr>
      <w:tr>
        <w:trPr>
          <w:trHeight w:val="279" w:hRule="atLeast"/>
        </w:trPr>
        <w:tc>
          <w:tcPr>
            <w:tcW w:w="1163" w:type="dxa"/>
            <w:vAlign w:val="top"/>
            <w:vMerge w:val="continue"/>
            <w:tcBorders>
              <w:top w:val="nil"/>
              <w:bottom w:val="nil"/>
            </w:tcBorders>
          </w:tcPr>
          <w:p>
            <w:pPr>
              <w:rPr>
                <w:rFonts w:ascii="Arial"/>
                <w:sz w:val="21"/>
              </w:rPr>
            </w:pPr>
            <w:r/>
          </w:p>
        </w:tc>
        <w:tc>
          <w:tcPr>
            <w:tcW w:w="779" w:type="dxa"/>
            <w:vAlign w:val="top"/>
          </w:tcPr>
          <w:p>
            <w:pPr>
              <w:pStyle w:val="TableText"/>
              <w:ind w:left="181"/>
              <w:spacing w:before="51" w:line="201" w:lineRule="auto"/>
              <w:rPr>
                <w:sz w:val="20"/>
                <w:szCs w:val="20"/>
              </w:rPr>
            </w:pPr>
            <w:r>
              <w:rPr>
                <w:sz w:val="20"/>
                <w:szCs w:val="20"/>
                <w:spacing w:val="3"/>
              </w:rPr>
              <w:t>总锰</w:t>
            </w:r>
          </w:p>
        </w:tc>
        <w:tc>
          <w:tcPr>
            <w:tcW w:w="5643" w:type="dxa"/>
            <w:vAlign w:val="top"/>
            <w:gridSpan w:val="5"/>
            <w:vMerge w:val="continue"/>
            <w:tcBorders>
              <w:top w:val="nil"/>
              <w:bottom w:val="nil"/>
            </w:tcBorders>
          </w:tcPr>
          <w:p>
            <w:pPr>
              <w:rPr>
                <w:rFonts w:ascii="Arial"/>
                <w:sz w:val="21"/>
              </w:rPr>
            </w:pPr>
            <w:r/>
          </w:p>
        </w:tc>
        <w:tc>
          <w:tcPr>
            <w:tcW w:w="804" w:type="dxa"/>
            <w:vAlign w:val="top"/>
          </w:tcPr>
          <w:p>
            <w:pPr>
              <w:pStyle w:val="TableText"/>
              <w:ind w:left="249"/>
              <w:spacing w:before="94" w:line="161" w:lineRule="auto"/>
              <w:rPr>
                <w:sz w:val="20"/>
                <w:szCs w:val="20"/>
              </w:rPr>
            </w:pPr>
            <w:r>
              <w:rPr>
                <w:sz w:val="20"/>
                <w:szCs w:val="20"/>
                <w:spacing w:val="-6"/>
              </w:rPr>
              <w:t>1.5</w:t>
            </w:r>
          </w:p>
        </w:tc>
      </w:tr>
      <w:tr>
        <w:trPr>
          <w:trHeight w:val="280" w:hRule="atLeast"/>
        </w:trPr>
        <w:tc>
          <w:tcPr>
            <w:tcW w:w="1163" w:type="dxa"/>
            <w:vAlign w:val="top"/>
            <w:vMerge w:val="continue"/>
            <w:tcBorders>
              <w:top w:val="nil"/>
              <w:bottom w:val="nil"/>
            </w:tcBorders>
          </w:tcPr>
          <w:p>
            <w:pPr>
              <w:rPr>
                <w:rFonts w:ascii="Arial"/>
                <w:sz w:val="21"/>
              </w:rPr>
            </w:pPr>
            <w:r/>
          </w:p>
        </w:tc>
        <w:tc>
          <w:tcPr>
            <w:tcW w:w="779" w:type="dxa"/>
            <w:vAlign w:val="top"/>
          </w:tcPr>
          <w:p>
            <w:pPr>
              <w:pStyle w:val="TableText"/>
              <w:ind w:left="281"/>
              <w:spacing w:before="96" w:line="160" w:lineRule="auto"/>
              <w:rPr>
                <w:sz w:val="20"/>
                <w:szCs w:val="20"/>
              </w:rPr>
            </w:pPr>
            <w:r>
              <w:rPr>
                <w:sz w:val="20"/>
                <w:szCs w:val="20"/>
                <w:spacing w:val="-5"/>
              </w:rPr>
              <w:t>SS</w:t>
            </w:r>
          </w:p>
        </w:tc>
        <w:tc>
          <w:tcPr>
            <w:tcW w:w="5643" w:type="dxa"/>
            <w:vAlign w:val="top"/>
            <w:gridSpan w:val="5"/>
            <w:vMerge w:val="continue"/>
            <w:tcBorders>
              <w:top w:val="nil"/>
              <w:bottom w:val="nil"/>
            </w:tcBorders>
          </w:tcPr>
          <w:p>
            <w:pPr>
              <w:rPr>
                <w:rFonts w:ascii="Arial"/>
                <w:sz w:val="21"/>
              </w:rPr>
            </w:pPr>
            <w:r/>
          </w:p>
        </w:tc>
        <w:tc>
          <w:tcPr>
            <w:tcW w:w="804" w:type="dxa"/>
            <w:vAlign w:val="top"/>
          </w:tcPr>
          <w:p>
            <w:pPr>
              <w:pStyle w:val="TableText"/>
              <w:ind w:left="249"/>
              <w:spacing w:before="95" w:line="161" w:lineRule="auto"/>
              <w:rPr>
                <w:sz w:val="20"/>
                <w:szCs w:val="20"/>
              </w:rPr>
            </w:pPr>
            <w:r>
              <w:rPr>
                <w:sz w:val="20"/>
                <w:szCs w:val="20"/>
                <w:spacing w:val="-6"/>
              </w:rPr>
              <w:t>140</w:t>
            </w:r>
          </w:p>
        </w:tc>
      </w:tr>
      <w:tr>
        <w:trPr>
          <w:trHeight w:val="269" w:hRule="atLeast"/>
        </w:trPr>
        <w:tc>
          <w:tcPr>
            <w:tcW w:w="1163" w:type="dxa"/>
            <w:vAlign w:val="top"/>
            <w:vMerge w:val="continue"/>
            <w:tcBorders>
              <w:top w:val="nil"/>
              <w:bottom w:val="nil"/>
            </w:tcBorders>
          </w:tcPr>
          <w:p>
            <w:pPr>
              <w:rPr>
                <w:rFonts w:ascii="Arial"/>
                <w:sz w:val="21"/>
              </w:rPr>
            </w:pPr>
            <w:r/>
          </w:p>
        </w:tc>
        <w:tc>
          <w:tcPr>
            <w:tcW w:w="779" w:type="dxa"/>
            <w:vAlign w:val="top"/>
          </w:tcPr>
          <w:p>
            <w:pPr>
              <w:pStyle w:val="TableText"/>
              <w:ind w:left="231"/>
              <w:spacing w:before="96" w:line="163" w:lineRule="exact"/>
              <w:rPr>
                <w:sz w:val="20"/>
                <w:szCs w:val="20"/>
              </w:rPr>
            </w:pPr>
            <w:r>
              <w:rPr>
                <w:sz w:val="20"/>
                <w:szCs w:val="20"/>
                <w:spacing w:val="-2"/>
                <w:position w:val="-2"/>
              </w:rPr>
              <w:t>COD</w:t>
            </w:r>
          </w:p>
        </w:tc>
        <w:tc>
          <w:tcPr>
            <w:tcW w:w="5643" w:type="dxa"/>
            <w:vAlign w:val="top"/>
            <w:gridSpan w:val="5"/>
            <w:vMerge w:val="continue"/>
            <w:tcBorders>
              <w:top w:val="nil"/>
              <w:bottom w:val="nil"/>
            </w:tcBorders>
          </w:tcPr>
          <w:p>
            <w:pPr>
              <w:rPr>
                <w:rFonts w:ascii="Arial"/>
                <w:sz w:val="21"/>
              </w:rPr>
            </w:pPr>
            <w:r/>
          </w:p>
        </w:tc>
        <w:tc>
          <w:tcPr>
            <w:tcW w:w="804" w:type="dxa"/>
            <w:vAlign w:val="top"/>
          </w:tcPr>
          <w:p>
            <w:pPr>
              <w:pStyle w:val="TableText"/>
              <w:ind w:left="249"/>
              <w:spacing w:before="96" w:line="163" w:lineRule="exact"/>
              <w:rPr>
                <w:sz w:val="20"/>
                <w:szCs w:val="20"/>
              </w:rPr>
            </w:pPr>
            <w:r>
              <w:rPr>
                <w:sz w:val="20"/>
                <w:szCs w:val="20"/>
                <w:spacing w:val="-6"/>
                <w:position w:val="-2"/>
              </w:rPr>
              <w:t>150</w:t>
            </w:r>
          </w:p>
        </w:tc>
      </w:tr>
      <w:tr>
        <w:trPr>
          <w:trHeight w:val="279" w:hRule="atLeast"/>
        </w:trPr>
        <w:tc>
          <w:tcPr>
            <w:tcW w:w="1163" w:type="dxa"/>
            <w:vAlign w:val="top"/>
            <w:vMerge w:val="continue"/>
            <w:tcBorders>
              <w:top w:val="nil"/>
              <w:bottom w:val="nil"/>
            </w:tcBorders>
          </w:tcPr>
          <w:p>
            <w:pPr>
              <w:rPr>
                <w:rFonts w:ascii="Arial"/>
                <w:sz w:val="21"/>
              </w:rPr>
            </w:pPr>
            <w:r/>
          </w:p>
        </w:tc>
        <w:tc>
          <w:tcPr>
            <w:tcW w:w="779" w:type="dxa"/>
            <w:vAlign w:val="top"/>
          </w:tcPr>
          <w:p>
            <w:pPr>
              <w:pStyle w:val="TableText"/>
              <w:ind w:left="181"/>
              <w:spacing w:before="45" w:line="206" w:lineRule="auto"/>
              <w:rPr>
                <w:sz w:val="20"/>
                <w:szCs w:val="20"/>
              </w:rPr>
            </w:pPr>
            <w:r>
              <w:rPr>
                <w:sz w:val="20"/>
                <w:szCs w:val="20"/>
                <w:spacing w:val="-2"/>
              </w:rPr>
              <w:t>氨氮</w:t>
            </w:r>
          </w:p>
        </w:tc>
        <w:tc>
          <w:tcPr>
            <w:tcW w:w="5643" w:type="dxa"/>
            <w:vAlign w:val="top"/>
            <w:gridSpan w:val="5"/>
            <w:vMerge w:val="continue"/>
            <w:tcBorders>
              <w:top w:val="nil"/>
              <w:bottom w:val="nil"/>
            </w:tcBorders>
          </w:tcPr>
          <w:p>
            <w:pPr>
              <w:rPr>
                <w:rFonts w:ascii="Arial"/>
                <w:sz w:val="21"/>
              </w:rPr>
            </w:pPr>
            <w:r/>
          </w:p>
        </w:tc>
        <w:tc>
          <w:tcPr>
            <w:tcW w:w="804" w:type="dxa"/>
            <w:vAlign w:val="top"/>
          </w:tcPr>
          <w:p>
            <w:pPr>
              <w:pStyle w:val="TableText"/>
              <w:ind w:left="299"/>
              <w:spacing w:before="97" w:line="158" w:lineRule="auto"/>
              <w:rPr>
                <w:sz w:val="20"/>
                <w:szCs w:val="20"/>
              </w:rPr>
            </w:pPr>
            <w:r>
              <w:rPr>
                <w:sz w:val="20"/>
                <w:szCs w:val="20"/>
                <w:spacing w:val="-3"/>
              </w:rPr>
              <w:t>30</w:t>
            </w:r>
          </w:p>
        </w:tc>
      </w:tr>
      <w:tr>
        <w:trPr>
          <w:trHeight w:val="280" w:hRule="atLeast"/>
        </w:trPr>
        <w:tc>
          <w:tcPr>
            <w:tcW w:w="1163" w:type="dxa"/>
            <w:vAlign w:val="top"/>
            <w:vMerge w:val="continue"/>
            <w:tcBorders>
              <w:top w:val="nil"/>
              <w:bottom w:val="nil"/>
            </w:tcBorders>
          </w:tcPr>
          <w:p>
            <w:pPr>
              <w:rPr>
                <w:rFonts w:ascii="Arial"/>
                <w:sz w:val="21"/>
              </w:rPr>
            </w:pPr>
            <w:r/>
          </w:p>
        </w:tc>
        <w:tc>
          <w:tcPr>
            <w:tcW w:w="779" w:type="dxa"/>
            <w:vAlign w:val="top"/>
          </w:tcPr>
          <w:p>
            <w:pPr>
              <w:pStyle w:val="TableText"/>
              <w:ind w:left="181"/>
              <w:spacing w:before="46" w:line="206" w:lineRule="auto"/>
              <w:rPr>
                <w:sz w:val="20"/>
                <w:szCs w:val="20"/>
              </w:rPr>
            </w:pPr>
            <w:r>
              <w:rPr>
                <w:sz w:val="20"/>
                <w:szCs w:val="20"/>
                <w:spacing w:val="4"/>
              </w:rPr>
              <w:t>总磷</w:t>
            </w:r>
          </w:p>
        </w:tc>
        <w:tc>
          <w:tcPr>
            <w:tcW w:w="5643" w:type="dxa"/>
            <w:vAlign w:val="top"/>
            <w:gridSpan w:val="5"/>
            <w:vMerge w:val="continue"/>
            <w:tcBorders>
              <w:top w:val="nil"/>
              <w:bottom w:val="nil"/>
            </w:tcBorders>
          </w:tcPr>
          <w:p>
            <w:pPr>
              <w:rPr>
                <w:rFonts w:ascii="Arial"/>
                <w:sz w:val="21"/>
              </w:rPr>
            </w:pPr>
            <w:r/>
          </w:p>
        </w:tc>
        <w:tc>
          <w:tcPr>
            <w:tcW w:w="804" w:type="dxa"/>
            <w:vAlign w:val="top"/>
          </w:tcPr>
          <w:p>
            <w:pPr>
              <w:pStyle w:val="TableText"/>
              <w:ind w:left="249"/>
              <w:spacing w:before="98" w:line="158" w:lineRule="auto"/>
              <w:rPr>
                <w:sz w:val="20"/>
                <w:szCs w:val="20"/>
              </w:rPr>
            </w:pPr>
            <w:r>
              <w:rPr>
                <w:sz w:val="20"/>
                <w:szCs w:val="20"/>
                <w:spacing w:val="-3"/>
              </w:rPr>
              <w:t>2.0</w:t>
            </w:r>
          </w:p>
        </w:tc>
      </w:tr>
      <w:tr>
        <w:trPr>
          <w:trHeight w:val="279" w:hRule="atLeast"/>
        </w:trPr>
        <w:tc>
          <w:tcPr>
            <w:tcW w:w="1163" w:type="dxa"/>
            <w:vAlign w:val="top"/>
            <w:vMerge w:val="continue"/>
            <w:tcBorders>
              <w:top w:val="nil"/>
            </w:tcBorders>
          </w:tcPr>
          <w:p>
            <w:pPr>
              <w:rPr>
                <w:rFonts w:ascii="Arial"/>
                <w:sz w:val="21"/>
              </w:rPr>
            </w:pPr>
            <w:r/>
          </w:p>
        </w:tc>
        <w:tc>
          <w:tcPr>
            <w:tcW w:w="779" w:type="dxa"/>
            <w:vAlign w:val="top"/>
          </w:tcPr>
          <w:p>
            <w:pPr>
              <w:pStyle w:val="TableText"/>
              <w:ind w:left="181"/>
              <w:spacing w:before="46" w:line="205" w:lineRule="auto"/>
              <w:rPr>
                <w:sz w:val="20"/>
                <w:szCs w:val="20"/>
              </w:rPr>
            </w:pPr>
            <w:r>
              <w:rPr>
                <w:sz w:val="20"/>
                <w:szCs w:val="20"/>
                <w:spacing w:val="4"/>
              </w:rPr>
              <w:t>总氮</w:t>
            </w:r>
          </w:p>
        </w:tc>
        <w:tc>
          <w:tcPr>
            <w:tcW w:w="5643" w:type="dxa"/>
            <w:vAlign w:val="top"/>
            <w:gridSpan w:val="5"/>
            <w:vMerge w:val="continue"/>
            <w:tcBorders>
              <w:top w:val="nil"/>
            </w:tcBorders>
          </w:tcPr>
          <w:p>
            <w:pPr>
              <w:rPr>
                <w:rFonts w:ascii="Arial"/>
                <w:sz w:val="21"/>
              </w:rPr>
            </w:pPr>
            <w:r/>
          </w:p>
        </w:tc>
        <w:tc>
          <w:tcPr>
            <w:tcW w:w="804" w:type="dxa"/>
            <w:vAlign w:val="top"/>
          </w:tcPr>
          <w:p>
            <w:pPr>
              <w:pStyle w:val="TableText"/>
              <w:ind w:left="299"/>
              <w:spacing w:before="98" w:line="157" w:lineRule="auto"/>
              <w:rPr>
                <w:sz w:val="20"/>
                <w:szCs w:val="20"/>
              </w:rPr>
            </w:pPr>
            <w:r>
              <w:rPr>
                <w:sz w:val="20"/>
                <w:szCs w:val="20"/>
                <w:spacing w:val="-2"/>
              </w:rPr>
              <w:t>40</w:t>
            </w:r>
          </w:p>
        </w:tc>
      </w:tr>
      <w:tr>
        <w:trPr>
          <w:trHeight w:val="285" w:hRule="atLeast"/>
        </w:trPr>
        <w:tc>
          <w:tcPr>
            <w:tcW w:w="8389" w:type="dxa"/>
            <w:vAlign w:val="top"/>
            <w:gridSpan w:val="8"/>
          </w:tcPr>
          <w:p>
            <w:pPr>
              <w:pStyle w:val="TableText"/>
              <w:ind w:left="124"/>
              <w:spacing w:before="48" w:line="209" w:lineRule="auto"/>
              <w:rPr>
                <w:sz w:val="20"/>
                <w:szCs w:val="20"/>
              </w:rPr>
            </w:pPr>
            <w:r>
              <w:rPr>
                <w:sz w:val="20"/>
                <w:szCs w:val="20"/>
                <w:spacing w:val="-1"/>
              </w:rPr>
              <w:t>备注：表中为最大监测值。</w:t>
            </w:r>
          </w:p>
        </w:tc>
      </w:tr>
    </w:tbl>
    <w:p>
      <w:pPr>
        <w:spacing w:line="384" w:lineRule="auto"/>
        <w:rPr>
          <w:rFonts w:ascii="Arial"/>
          <w:sz w:val="21"/>
        </w:rPr>
      </w:pPr>
      <w:r/>
    </w:p>
    <w:p>
      <w:pPr>
        <w:pStyle w:val="BodyText"/>
        <w:ind w:left="950" w:right="122" w:firstLine="489"/>
        <w:spacing w:before="78" w:line="354" w:lineRule="auto"/>
        <w:jc w:val="both"/>
        <w:rPr>
          <w:sz w:val="24"/>
          <w:szCs w:val="24"/>
        </w:rPr>
      </w:pPr>
      <w:r>
        <w:rPr>
          <w:sz w:val="24"/>
          <w:szCs w:val="24"/>
          <w:spacing w:val="-10"/>
        </w:rPr>
        <w:t>本项目拟增的阴极废水水质与现有工程一致，先经“</w:t>
      </w:r>
      <w:r>
        <w:rPr>
          <w:sz w:val="24"/>
          <w:szCs w:val="24"/>
          <w:spacing w:val="-11"/>
        </w:rPr>
        <w:t>芬顿氧化+混凝沉淀”预处</w:t>
      </w:r>
      <w:r>
        <w:rPr>
          <w:sz w:val="24"/>
          <w:szCs w:val="24"/>
        </w:rPr>
        <w:t xml:space="preserve"> </w:t>
      </w:r>
      <w:r>
        <w:rPr>
          <w:sz w:val="24"/>
          <w:szCs w:val="24"/>
        </w:rPr>
        <w:t>理，经预处理系统后的总钴、总镍在线监测系统监测后，若达标，废水进入后段</w:t>
      </w:r>
      <w:r>
        <w:rPr>
          <w:sz w:val="24"/>
          <w:szCs w:val="24"/>
          <w:spacing w:val="8"/>
        </w:rPr>
        <w:t xml:space="preserve"> </w:t>
      </w:r>
      <w:r>
        <w:rPr>
          <w:sz w:val="24"/>
          <w:szCs w:val="24"/>
          <w:spacing w:val="3"/>
        </w:rPr>
        <w:t>的</w:t>
      </w:r>
      <w:r>
        <w:rPr>
          <w:rFonts w:ascii="Times New Roman" w:hAnsi="Times New Roman" w:eastAsia="Times New Roman" w:cs="Times New Roman"/>
          <w:sz w:val="24"/>
          <w:szCs w:val="24"/>
          <w:spacing w:val="3"/>
        </w:rPr>
        <w:t>“</w:t>
      </w:r>
      <w:r>
        <w:rPr>
          <w:rFonts w:ascii="Times New Roman" w:hAnsi="Times New Roman" w:eastAsia="Times New Roman" w:cs="Times New Roman"/>
          <w:sz w:val="24"/>
          <w:szCs w:val="24"/>
        </w:rPr>
        <w:t>ABR</w:t>
      </w:r>
      <w:r>
        <w:rPr>
          <w:rFonts w:ascii="Times New Roman" w:hAnsi="Times New Roman" w:eastAsia="Times New Roman" w:cs="Times New Roman"/>
          <w:sz w:val="24"/>
          <w:szCs w:val="24"/>
          <w:spacing w:val="3"/>
        </w:rPr>
        <w:t>+</w:t>
      </w:r>
      <w:r>
        <w:rPr>
          <w:sz w:val="24"/>
          <w:szCs w:val="24"/>
          <w:spacing w:val="3"/>
        </w:rPr>
        <w:t>两级</w:t>
      </w:r>
      <w:r>
        <w:rPr>
          <w:sz w:val="24"/>
          <w:szCs w:val="24"/>
          <w:spacing w:val="-47"/>
        </w:rPr>
        <w:t xml:space="preserve"> </w:t>
      </w:r>
      <w:r>
        <w:rPr>
          <w:rFonts w:ascii="Times New Roman" w:hAnsi="Times New Roman" w:eastAsia="Times New Roman" w:cs="Times New Roman"/>
          <w:sz w:val="24"/>
          <w:szCs w:val="24"/>
        </w:rPr>
        <w:t>AO</w:t>
      </w:r>
      <w:r>
        <w:rPr>
          <w:rFonts w:ascii="Times New Roman" w:hAnsi="Times New Roman" w:eastAsia="Times New Roman" w:cs="Times New Roman"/>
          <w:sz w:val="24"/>
          <w:szCs w:val="24"/>
          <w:spacing w:val="3"/>
        </w:rPr>
        <w:t>(</w:t>
      </w:r>
      <w:r>
        <w:rPr>
          <w:rFonts w:ascii="Times New Roman" w:hAnsi="Times New Roman" w:eastAsia="Times New Roman" w:cs="Times New Roman"/>
          <w:sz w:val="24"/>
          <w:szCs w:val="24"/>
        </w:rPr>
        <w:t>MBR</w:t>
      </w:r>
      <w:r>
        <w:rPr>
          <w:rFonts w:ascii="Times New Roman" w:hAnsi="Times New Roman" w:eastAsia="Times New Roman" w:cs="Times New Roman"/>
          <w:sz w:val="24"/>
          <w:szCs w:val="24"/>
          <w:spacing w:val="3"/>
        </w:rPr>
        <w:t xml:space="preserve">   </w:t>
      </w:r>
      <w:r>
        <w:rPr>
          <w:sz w:val="24"/>
          <w:szCs w:val="24"/>
          <w:spacing w:val="3"/>
        </w:rPr>
        <w:t>作为二级</w:t>
      </w:r>
      <w:r>
        <w:rPr>
          <w:rFonts w:ascii="Times New Roman" w:hAnsi="Times New Roman" w:eastAsia="Times New Roman" w:cs="Times New Roman"/>
          <w:sz w:val="24"/>
          <w:szCs w:val="24"/>
          <w:spacing w:val="3"/>
        </w:rPr>
        <w:t>O</w:t>
      </w:r>
      <w:r>
        <w:rPr>
          <w:rFonts w:ascii="Times New Roman" w:hAnsi="Times New Roman" w:eastAsia="Times New Roman" w:cs="Times New Roman"/>
          <w:sz w:val="24"/>
          <w:szCs w:val="24"/>
          <w:spacing w:val="25"/>
        </w:rPr>
        <w:t xml:space="preserve"> </w:t>
      </w:r>
      <w:r>
        <w:rPr>
          <w:sz w:val="24"/>
          <w:szCs w:val="24"/>
          <w:spacing w:val="3"/>
        </w:rPr>
        <w:t>池使用)”工艺处理；若不达标，则泵回阴</w:t>
      </w:r>
    </w:p>
    <w:p>
      <w:pPr>
        <w:pStyle w:val="BodyText"/>
        <w:ind w:left="950"/>
        <w:spacing w:line="220" w:lineRule="auto"/>
        <w:rPr>
          <w:sz w:val="24"/>
          <w:szCs w:val="24"/>
        </w:rPr>
      </w:pPr>
      <w:r>
        <w:rPr>
          <w:sz w:val="24"/>
          <w:szCs w:val="24"/>
          <w:spacing w:val="-1"/>
        </w:rPr>
        <w:t>极调节池重新处理，确保重金属总钴、总镍在预</w:t>
      </w:r>
      <w:r>
        <w:rPr>
          <w:sz w:val="24"/>
          <w:szCs w:val="24"/>
          <w:spacing w:val="-2"/>
        </w:rPr>
        <w:t>处理后可达到标准排放要求。</w:t>
      </w:r>
    </w:p>
    <w:p>
      <w:pPr>
        <w:pStyle w:val="BodyText"/>
        <w:ind w:left="950" w:right="139" w:firstLine="489"/>
        <w:spacing w:before="198" w:line="357" w:lineRule="auto"/>
        <w:jc w:val="both"/>
        <w:rPr>
          <w:sz w:val="24"/>
          <w:szCs w:val="24"/>
        </w:rPr>
      </w:pPr>
      <w:r>
        <w:rPr>
          <w:sz w:val="24"/>
          <w:szCs w:val="24"/>
          <w:spacing w:val="-5"/>
        </w:rPr>
        <w:t>同时对照《排污许可证申请与核发技术规范电池工业》</w:t>
      </w:r>
      <w:r>
        <w:rPr>
          <w:sz w:val="24"/>
          <w:szCs w:val="24"/>
          <w:spacing w:val="110"/>
        </w:rPr>
        <w:t xml:space="preserve"> </w:t>
      </w:r>
      <w:r>
        <w:rPr>
          <w:sz w:val="24"/>
          <w:szCs w:val="24"/>
          <w:spacing w:val="-5"/>
        </w:rPr>
        <w:t>(HJ</w:t>
      </w:r>
      <w:r>
        <w:rPr>
          <w:sz w:val="24"/>
          <w:szCs w:val="24"/>
          <w:spacing w:val="-6"/>
        </w:rPr>
        <w:t>967-2018),</w:t>
      </w:r>
      <w:r>
        <w:rPr>
          <w:sz w:val="24"/>
          <w:szCs w:val="24"/>
          <w:spacing w:val="30"/>
        </w:rPr>
        <w:t xml:space="preserve">  </w:t>
      </w:r>
      <w:r>
        <w:rPr>
          <w:sz w:val="24"/>
          <w:szCs w:val="24"/>
          <w:spacing w:val="-6"/>
        </w:rPr>
        <w:t>阴</w:t>
      </w:r>
      <w:r>
        <w:rPr>
          <w:sz w:val="24"/>
          <w:szCs w:val="24"/>
          <w:spacing w:val="1"/>
        </w:rPr>
        <w:t xml:space="preserve"> </w:t>
      </w:r>
      <w:r>
        <w:rPr>
          <w:sz w:val="24"/>
          <w:szCs w:val="24"/>
          <w:spacing w:val="-7"/>
        </w:rPr>
        <w:t>极极片生产废水处理技术属于其“表20电池工业废水污染防治可行技术”中的“厌</w:t>
      </w:r>
      <w:r>
        <w:rPr>
          <w:sz w:val="24"/>
          <w:szCs w:val="24"/>
          <w:spacing w:val="9"/>
        </w:rPr>
        <w:t xml:space="preserve"> </w:t>
      </w:r>
      <w:r>
        <w:rPr>
          <w:sz w:val="24"/>
          <w:szCs w:val="24"/>
          <w:spacing w:val="2"/>
        </w:rPr>
        <w:t>氧反应器+缺氧/好氧活性污泥法</w:t>
      </w:r>
      <w:r>
        <w:rPr>
          <w:sz w:val="24"/>
          <w:szCs w:val="24"/>
          <w:spacing w:val="-30"/>
        </w:rPr>
        <w:t xml:space="preserve"> </w:t>
      </w:r>
      <w:r>
        <w:rPr>
          <w:rFonts w:ascii="Times New Roman" w:hAnsi="Times New Roman" w:eastAsia="Times New Roman" w:cs="Times New Roman"/>
          <w:sz w:val="24"/>
          <w:szCs w:val="24"/>
          <w:spacing w:val="2"/>
        </w:rPr>
        <w:t>(A/O);      </w:t>
      </w:r>
      <w:r>
        <w:rPr>
          <w:sz w:val="24"/>
          <w:szCs w:val="24"/>
          <w:spacing w:val="2"/>
        </w:rPr>
        <w:t>膜生物反</w:t>
      </w:r>
      <w:r>
        <w:rPr>
          <w:sz w:val="24"/>
          <w:szCs w:val="24"/>
          <w:spacing w:val="1"/>
        </w:rPr>
        <w:t>应器法 </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rPr>
        <w:t>MBR</w:t>
      </w:r>
      <w:r>
        <w:rPr>
          <w:rFonts w:ascii="Times New Roman" w:hAnsi="Times New Roman" w:eastAsia="Times New Roman" w:cs="Times New Roman"/>
          <w:sz w:val="24"/>
          <w:szCs w:val="24"/>
          <w:spacing w:val="1"/>
        </w:rPr>
        <w:t>);      </w:t>
      </w:r>
      <w:r>
        <w:rPr>
          <w:sz w:val="24"/>
          <w:szCs w:val="24"/>
          <w:spacing w:val="1"/>
        </w:rPr>
        <w:t>离子交换</w:t>
      </w:r>
    </w:p>
    <w:p>
      <w:pPr>
        <w:pStyle w:val="BodyText"/>
        <w:ind w:left="950"/>
        <w:spacing w:line="225" w:lineRule="auto"/>
        <w:rPr>
          <w:sz w:val="24"/>
          <w:szCs w:val="24"/>
        </w:rPr>
      </w:pPr>
      <w:r>
        <w:rPr>
          <w:sz w:val="24"/>
          <w:szCs w:val="24"/>
          <w:spacing w:val="-38"/>
        </w:rPr>
        <w:t>法”。</w:t>
      </w:r>
    </w:p>
    <w:p>
      <w:pPr>
        <w:pStyle w:val="BodyText"/>
        <w:ind w:left="950" w:right="118" w:firstLine="489"/>
        <w:spacing w:before="190" w:line="358" w:lineRule="auto"/>
        <w:tabs>
          <w:tab w:val="left" w:pos="1090"/>
        </w:tabs>
        <w:rPr>
          <w:sz w:val="24"/>
          <w:szCs w:val="24"/>
        </w:rPr>
      </w:pPr>
      <w:r>
        <w:rPr>
          <w:sz w:val="24"/>
          <w:szCs w:val="24"/>
          <w:spacing w:val="-10"/>
        </w:rPr>
        <w:t>综上所述，项目阴极废水先经“芬顿氧化+混凝沉淀</w:t>
      </w:r>
      <w:r>
        <w:rPr>
          <w:sz w:val="24"/>
          <w:szCs w:val="24"/>
          <w:spacing w:val="-11"/>
        </w:rPr>
        <w:t>”预处理，确保总钴、总镍</w:t>
      </w:r>
      <w:r>
        <w:rPr>
          <w:sz w:val="24"/>
          <w:szCs w:val="24"/>
        </w:rPr>
        <w:t xml:space="preserve"> </w:t>
      </w:r>
      <w:r>
        <w:rPr>
          <w:sz w:val="24"/>
          <w:szCs w:val="24"/>
          <w:spacing w:val="3"/>
        </w:rPr>
        <w:t>达标后，再经</w:t>
      </w:r>
      <w:r>
        <w:rPr>
          <w:rFonts w:ascii="Times New Roman" w:hAnsi="Times New Roman" w:eastAsia="Times New Roman" w:cs="Times New Roman"/>
          <w:sz w:val="24"/>
          <w:szCs w:val="24"/>
          <w:spacing w:val="3"/>
        </w:rPr>
        <w:t>“</w:t>
      </w:r>
      <w:r>
        <w:rPr>
          <w:rFonts w:ascii="Times New Roman" w:hAnsi="Times New Roman" w:eastAsia="Times New Roman" w:cs="Times New Roman"/>
          <w:sz w:val="24"/>
          <w:szCs w:val="24"/>
        </w:rPr>
        <w:t>ABR</w:t>
      </w:r>
      <w:r>
        <w:rPr>
          <w:rFonts w:ascii="Times New Roman" w:hAnsi="Times New Roman" w:eastAsia="Times New Roman" w:cs="Times New Roman"/>
          <w:sz w:val="24"/>
          <w:szCs w:val="24"/>
          <w:spacing w:val="3"/>
        </w:rPr>
        <w:t>+</w:t>
      </w:r>
      <w:r>
        <w:rPr>
          <w:rFonts w:ascii="Times New Roman" w:hAnsi="Times New Roman" w:eastAsia="Times New Roman" w:cs="Times New Roman"/>
          <w:sz w:val="24"/>
          <w:szCs w:val="24"/>
          <w:spacing w:val="-16"/>
        </w:rPr>
        <w:t xml:space="preserve"> </w:t>
      </w:r>
      <w:r>
        <w:rPr>
          <w:sz w:val="24"/>
          <w:szCs w:val="24"/>
          <w:spacing w:val="3"/>
        </w:rPr>
        <w:t>两级</w:t>
      </w:r>
      <w:r>
        <w:rPr>
          <w:rFonts w:ascii="Times New Roman" w:hAnsi="Times New Roman" w:eastAsia="Times New Roman" w:cs="Times New Roman"/>
          <w:sz w:val="24"/>
          <w:szCs w:val="24"/>
        </w:rPr>
        <w:t>AO</w:t>
      </w:r>
      <w:r>
        <w:rPr>
          <w:rFonts w:ascii="Times New Roman" w:hAnsi="Times New Roman" w:eastAsia="Times New Roman" w:cs="Times New Roman"/>
          <w:sz w:val="24"/>
          <w:szCs w:val="24"/>
          <w:spacing w:val="3"/>
        </w:rPr>
        <w:t>(</w:t>
      </w:r>
      <w:r>
        <w:rPr>
          <w:rFonts w:ascii="Times New Roman" w:hAnsi="Times New Roman" w:eastAsia="Times New Roman" w:cs="Times New Roman"/>
          <w:sz w:val="24"/>
          <w:szCs w:val="24"/>
        </w:rPr>
        <w:t>MBR</w:t>
      </w:r>
      <w:r>
        <w:rPr>
          <w:rFonts w:ascii="Times New Roman" w:hAnsi="Times New Roman" w:eastAsia="Times New Roman" w:cs="Times New Roman"/>
          <w:sz w:val="24"/>
          <w:szCs w:val="24"/>
          <w:spacing w:val="20"/>
        </w:rPr>
        <w:t xml:space="preserve">   </w:t>
      </w:r>
      <w:r>
        <w:rPr>
          <w:sz w:val="24"/>
          <w:szCs w:val="24"/>
          <w:spacing w:val="3"/>
        </w:rPr>
        <w:t>作为二级</w:t>
      </w:r>
      <w:r>
        <w:rPr>
          <w:rFonts w:ascii="Times New Roman" w:hAnsi="Times New Roman" w:eastAsia="Times New Roman" w:cs="Times New Roman"/>
          <w:sz w:val="24"/>
          <w:szCs w:val="24"/>
          <w:spacing w:val="3"/>
        </w:rPr>
        <w:t>O </w:t>
      </w:r>
      <w:r>
        <w:rPr>
          <w:sz w:val="24"/>
          <w:szCs w:val="24"/>
          <w:spacing w:val="3"/>
        </w:rPr>
        <w:t>池使用)”工艺处理，出水水质</w:t>
      </w:r>
      <w:r>
        <w:rPr>
          <w:sz w:val="24"/>
          <w:szCs w:val="24"/>
        </w:rPr>
        <w:t xml:space="preserve"> </w:t>
      </w:r>
      <w:r>
        <w:rPr>
          <w:sz w:val="24"/>
          <w:szCs w:val="24"/>
          <w:spacing w:val="1"/>
        </w:rPr>
        <w:t>可符合《电池工业污染物排放标准》</w:t>
      </w:r>
      <w:r>
        <w:rPr>
          <w:sz w:val="24"/>
          <w:szCs w:val="24"/>
          <w:spacing w:val="120"/>
        </w:rPr>
        <w:t xml:space="preserve"> </w:t>
      </w:r>
      <w:r>
        <w:rPr>
          <w:sz w:val="24"/>
          <w:szCs w:val="24"/>
          <w:spacing w:val="1"/>
        </w:rPr>
        <w:t>(</w:t>
      </w:r>
      <w:r>
        <w:rPr>
          <w:sz w:val="24"/>
          <w:szCs w:val="24"/>
        </w:rPr>
        <w:t>GB</w:t>
      </w:r>
      <w:r>
        <w:rPr>
          <w:sz w:val="24"/>
          <w:szCs w:val="24"/>
          <w:spacing w:val="1"/>
        </w:rPr>
        <w:t>30484-2013)</w:t>
      </w:r>
      <w:r>
        <w:rPr>
          <w:sz w:val="24"/>
          <w:szCs w:val="24"/>
          <w:spacing w:val="102"/>
        </w:rPr>
        <w:t xml:space="preserve"> </w:t>
      </w:r>
      <w:r>
        <w:rPr>
          <w:sz w:val="24"/>
          <w:szCs w:val="24"/>
          <w:spacing w:val="1"/>
        </w:rPr>
        <w:t>表</w:t>
      </w:r>
      <w:r>
        <w:rPr>
          <w:sz w:val="24"/>
          <w:szCs w:val="24"/>
        </w:rPr>
        <w:t>2、表3中新建企业污 </w:t>
      </w:r>
      <w:r>
        <w:rPr>
          <w:sz w:val="24"/>
          <w:szCs w:val="24"/>
          <w:spacing w:val="26"/>
        </w:rPr>
        <w:t>染物排放标准要求(其中总钴、总镍可符合《电池工业污染物排放标准》</w:t>
      </w:r>
      <w:r>
        <w:rPr>
          <w:sz w:val="24"/>
          <w:szCs w:val="24"/>
          <w:spacing w:val="6"/>
        </w:rPr>
        <w:t xml:space="preserve"> </w:t>
      </w:r>
      <w:r>
        <w:rPr>
          <w:sz w:val="24"/>
          <w:szCs w:val="24"/>
        </w:rPr>
        <w:tab/>
      </w:r>
      <w:r>
        <w:rPr>
          <w:sz w:val="24"/>
          <w:szCs w:val="24"/>
          <w:spacing w:val="7"/>
        </w:rPr>
        <w:t>(</w:t>
      </w:r>
      <w:r>
        <w:rPr>
          <w:sz w:val="24"/>
          <w:szCs w:val="24"/>
        </w:rPr>
        <w:t>GB</w:t>
      </w:r>
      <w:r>
        <w:rPr>
          <w:sz w:val="24"/>
          <w:szCs w:val="24"/>
          <w:spacing w:val="7"/>
        </w:rPr>
        <w:t>30484-2013)</w:t>
      </w:r>
      <w:r>
        <w:rPr>
          <w:sz w:val="24"/>
          <w:szCs w:val="24"/>
          <w:spacing w:val="62"/>
        </w:rPr>
        <w:t xml:space="preserve"> </w:t>
      </w:r>
      <w:r>
        <w:rPr>
          <w:sz w:val="24"/>
          <w:szCs w:val="24"/>
          <w:spacing w:val="7"/>
        </w:rPr>
        <w:t>表3中新建企业污染物直接排放标准要求):</w:t>
      </w:r>
      <w:r>
        <w:rPr>
          <w:rFonts w:ascii="Times New Roman" w:hAnsi="Times New Roman" w:eastAsia="Times New Roman" w:cs="Times New Roman"/>
          <w:sz w:val="24"/>
          <w:szCs w:val="24"/>
        </w:rPr>
        <w:t>pH</w:t>
      </w:r>
      <w:r>
        <w:rPr>
          <w:rFonts w:ascii="Times New Roman" w:hAnsi="Times New Roman" w:eastAsia="Times New Roman" w:cs="Times New Roman"/>
          <w:sz w:val="24"/>
          <w:szCs w:val="24"/>
          <w:spacing w:val="7"/>
        </w:rPr>
        <w:t>:6</w:t>
      </w:r>
      <w:r>
        <w:rPr>
          <w:sz w:val="24"/>
          <w:szCs w:val="24"/>
          <w:spacing w:val="7"/>
        </w:rPr>
        <w:t>～</w:t>
      </w:r>
      <w:r>
        <w:rPr>
          <w:rFonts w:ascii="Times New Roman" w:hAnsi="Times New Roman" w:eastAsia="Times New Roman" w:cs="Times New Roman"/>
          <w:sz w:val="24"/>
          <w:szCs w:val="24"/>
          <w:spacing w:val="7"/>
        </w:rPr>
        <w:t>9,     </w:t>
      </w:r>
      <w:r>
        <w:rPr>
          <w:sz w:val="24"/>
          <w:szCs w:val="24"/>
          <w:spacing w:val="7"/>
        </w:rPr>
        <w:t>悬浮</w:t>
      </w:r>
      <w:r>
        <w:rPr>
          <w:sz w:val="24"/>
          <w:szCs w:val="24"/>
        </w:rPr>
        <w:t xml:space="preserve"> </w:t>
      </w:r>
      <w:r>
        <w:rPr>
          <w:sz w:val="24"/>
          <w:szCs w:val="24"/>
          <w:spacing w:val="-7"/>
        </w:rPr>
        <w:t>物≤140</w:t>
      </w:r>
      <w:r>
        <w:rPr>
          <w:rFonts w:ascii="Times New Roman" w:hAnsi="Times New Roman" w:eastAsia="Times New Roman" w:cs="Times New Roman"/>
          <w:sz w:val="24"/>
          <w:szCs w:val="24"/>
          <w:spacing w:val="-7"/>
        </w:rPr>
        <w:t>mg/L,</w:t>
      </w:r>
      <w:r>
        <w:rPr>
          <w:rFonts w:ascii="Times New Roman" w:hAnsi="Times New Roman" w:eastAsia="Times New Roman" w:cs="Times New Roman"/>
          <w:sz w:val="24"/>
          <w:szCs w:val="24"/>
          <w:spacing w:val="52"/>
          <w:w w:val="101"/>
        </w:rPr>
        <w:t xml:space="preserve"> </w:t>
      </w:r>
      <w:r>
        <w:rPr>
          <w:sz w:val="24"/>
          <w:szCs w:val="24"/>
          <w:spacing w:val="-7"/>
        </w:rPr>
        <w:t>氨氮≤30</w:t>
      </w:r>
      <w:r>
        <w:rPr>
          <w:rFonts w:ascii="Times New Roman" w:hAnsi="Times New Roman" w:eastAsia="Times New Roman" w:cs="Times New Roman"/>
          <w:sz w:val="24"/>
          <w:szCs w:val="24"/>
          <w:spacing w:val="-7"/>
        </w:rPr>
        <w:t>mg/L,COD≤150mg/L,     </w:t>
      </w:r>
      <w:r>
        <w:rPr>
          <w:sz w:val="24"/>
          <w:szCs w:val="24"/>
          <w:spacing w:val="-7"/>
        </w:rPr>
        <w:t>总锰≤1.5</w:t>
      </w:r>
      <w:r>
        <w:rPr>
          <w:rFonts w:ascii="Times New Roman" w:hAnsi="Times New Roman" w:eastAsia="Times New Roman" w:cs="Times New Roman"/>
          <w:sz w:val="24"/>
          <w:szCs w:val="24"/>
          <w:spacing w:val="-7"/>
        </w:rPr>
        <w:t>mg/</w:t>
      </w:r>
      <w:r>
        <w:rPr>
          <w:rFonts w:ascii="Times New Roman" w:hAnsi="Times New Roman" w:eastAsia="Times New Roman" w:cs="Times New Roman"/>
          <w:sz w:val="24"/>
          <w:szCs w:val="24"/>
          <w:spacing w:val="-8"/>
        </w:rPr>
        <w:t>L,   </w:t>
      </w:r>
      <w:r>
        <w:rPr>
          <w:sz w:val="24"/>
          <w:szCs w:val="24"/>
          <w:spacing w:val="-8"/>
        </w:rPr>
        <w:t>总钴≤0.1</w:t>
      </w:r>
      <w:r>
        <w:rPr>
          <w:rFonts w:ascii="Times New Roman" w:hAnsi="Times New Roman" w:eastAsia="Times New Roman" w:cs="Times New Roman"/>
          <w:sz w:val="24"/>
          <w:szCs w:val="24"/>
          <w:spacing w:val="-8"/>
        </w:rPr>
        <w:t>mg/L,   </w:t>
      </w:r>
      <w:r>
        <w:rPr>
          <w:sz w:val="24"/>
          <w:szCs w:val="24"/>
          <w:spacing w:val="-8"/>
        </w:rPr>
        <w:t>总</w:t>
      </w:r>
    </w:p>
    <w:p>
      <w:pPr>
        <w:pStyle w:val="BodyText"/>
        <w:ind w:left="950"/>
        <w:spacing w:line="212" w:lineRule="auto"/>
        <w:rPr>
          <w:sz w:val="24"/>
          <w:szCs w:val="24"/>
        </w:rPr>
      </w:pPr>
      <w:r>
        <w:rPr>
          <w:sz w:val="24"/>
          <w:szCs w:val="24"/>
          <w:spacing w:val="-10"/>
        </w:rPr>
        <w:t>镍≤0.05</w:t>
      </w:r>
      <w:r>
        <w:rPr>
          <w:rFonts w:ascii="Times New Roman" w:hAnsi="Times New Roman" w:eastAsia="Times New Roman" w:cs="Times New Roman"/>
          <w:sz w:val="24"/>
          <w:szCs w:val="24"/>
          <w:spacing w:val="-10"/>
        </w:rPr>
        <w:t>mg/L </w:t>
      </w:r>
      <w:r>
        <w:rPr>
          <w:sz w:val="24"/>
          <w:szCs w:val="24"/>
          <w:spacing w:val="-10"/>
        </w:rPr>
        <w:t>。阴极极片生产废水处理措施可行。</w:t>
      </w:r>
    </w:p>
    <w:p>
      <w:pPr>
        <w:pStyle w:val="BodyText"/>
        <w:ind w:left="1563"/>
        <w:spacing w:before="189" w:line="219" w:lineRule="auto"/>
        <w:rPr>
          <w:sz w:val="24"/>
          <w:szCs w:val="24"/>
        </w:rPr>
      </w:pPr>
      <w:r>
        <w:rPr>
          <w:sz w:val="24"/>
          <w:szCs w:val="24"/>
          <w:b/>
          <w:bCs/>
          <w:spacing w:val="3"/>
        </w:rPr>
        <w:t>(2)阳极生产废水、凹版生产废水处理工艺</w:t>
      </w:r>
    </w:p>
    <w:p>
      <w:pPr>
        <w:pStyle w:val="BodyText"/>
        <w:ind w:right="28"/>
        <w:spacing w:before="208" w:line="439" w:lineRule="exact"/>
        <w:jc w:val="right"/>
        <w:rPr>
          <w:sz w:val="24"/>
          <w:szCs w:val="24"/>
        </w:rPr>
      </w:pPr>
      <w:r>
        <w:rPr>
          <w:sz w:val="24"/>
          <w:szCs w:val="24"/>
          <w:spacing w:val="-1"/>
          <w:position w:val="14"/>
        </w:rPr>
        <w:t>项目阳极生产废水、凹版生产废水处理工艺为“混凝沉淀+</w:t>
      </w:r>
      <w:r>
        <w:rPr>
          <w:rFonts w:ascii="Times New Roman" w:hAnsi="Times New Roman" w:eastAsia="Times New Roman" w:cs="Times New Roman"/>
          <w:sz w:val="24"/>
          <w:szCs w:val="24"/>
          <w:spacing w:val="-1"/>
          <w:position w:val="14"/>
        </w:rPr>
        <w:t>A2</w:t>
      </w:r>
      <w:r>
        <w:rPr>
          <w:rFonts w:ascii="Times New Roman" w:hAnsi="Times New Roman" w:eastAsia="Times New Roman" w:cs="Times New Roman"/>
          <w:sz w:val="24"/>
          <w:szCs w:val="24"/>
          <w:spacing w:val="-2"/>
          <w:position w:val="14"/>
        </w:rPr>
        <w:t>O</w:t>
      </w:r>
      <w:r>
        <w:rPr>
          <w:rFonts w:ascii="Times New Roman" w:hAnsi="Times New Roman" w:eastAsia="Times New Roman" w:cs="Times New Roman"/>
          <w:sz w:val="24"/>
          <w:szCs w:val="24"/>
          <w:spacing w:val="-14"/>
          <w:position w:val="14"/>
        </w:rPr>
        <w:t xml:space="preserve"> </w:t>
      </w:r>
      <w:r>
        <w:rPr>
          <w:sz w:val="24"/>
          <w:szCs w:val="24"/>
          <w:spacing w:val="-2"/>
          <w:position w:val="14"/>
        </w:rPr>
        <w:t>生化”处理。</w:t>
      </w:r>
    </w:p>
    <w:p>
      <w:pPr>
        <w:pStyle w:val="BodyText"/>
        <w:ind w:left="950"/>
        <w:spacing w:before="1" w:line="218" w:lineRule="auto"/>
        <w:rPr>
          <w:sz w:val="24"/>
          <w:szCs w:val="24"/>
        </w:rPr>
      </w:pPr>
      <w:r>
        <w:rPr>
          <w:sz w:val="24"/>
          <w:szCs w:val="24"/>
          <w:spacing w:val="1"/>
        </w:rPr>
        <w:t>本次新增1套混凝沉淀池，将现有的生化处理系统作为阳极废水</w:t>
      </w:r>
      <w:r>
        <w:rPr>
          <w:sz w:val="24"/>
          <w:szCs w:val="24"/>
          <w:spacing w:val="-57"/>
        </w:rPr>
        <w:t xml:space="preserve"> </w:t>
      </w:r>
      <w:r>
        <w:rPr>
          <w:sz w:val="24"/>
          <w:szCs w:val="24"/>
          <w:spacing w:val="1"/>
        </w:rPr>
        <w:t>A20</w:t>
      </w:r>
      <w:r>
        <w:rPr>
          <w:sz w:val="24"/>
          <w:szCs w:val="24"/>
          <w:spacing w:val="42"/>
        </w:rPr>
        <w:t xml:space="preserve"> </w:t>
      </w:r>
      <w:r>
        <w:rPr>
          <w:sz w:val="24"/>
          <w:szCs w:val="24"/>
          <w:spacing w:val="1"/>
        </w:rPr>
        <w:t>生化处理系</w:t>
      </w:r>
    </w:p>
    <w:p>
      <w:pPr>
        <w:spacing w:before="167" w:line="20" w:lineRule="exact"/>
        <w:rPr/>
      </w:pPr>
      <w:r>
        <w:rPr/>
        <w:drawing>
          <wp:inline distT="0" distB="0" distL="0" distR="0">
            <wp:extent cx="6032504" cy="12725"/>
            <wp:effectExtent l="0" t="0" r="0" b="0"/>
            <wp:docPr id="12" name="IM 12"/>
            <wp:cNvGraphicFramePr/>
            <a:graphic>
              <a:graphicData uri="http://schemas.openxmlformats.org/drawingml/2006/picture">
                <pic:pic>
                  <pic:nvPicPr>
                    <pic:cNvPr id="12" name="IM 12"/>
                    <pic:cNvPicPr/>
                  </pic:nvPicPr>
                  <pic:blipFill>
                    <a:blip r:embed="rId122"/>
                    <a:stretch>
                      <a:fillRect/>
                    </a:stretch>
                  </pic:blipFill>
                  <pic:spPr>
                    <a:xfrm rot="0">
                      <a:off x="0" y="0"/>
                      <a:ext cx="6032504" cy="12725"/>
                    </a:xfrm>
                    <a:prstGeom prst="rect">
                      <a:avLst/>
                    </a:prstGeom>
                  </pic:spPr>
                </pic:pic>
              </a:graphicData>
            </a:graphic>
          </wp:inline>
        </w:drawing>
      </w:r>
    </w:p>
    <w:p>
      <w:pPr>
        <w:spacing w:line="20" w:lineRule="exact"/>
        <w:sectPr>
          <w:footerReference w:type="default" r:id="rId121"/>
          <w:pgSz w:w="11900" w:h="16840"/>
          <w:pgMar w:top="1261" w:right="1400" w:bottom="988" w:left="999" w:header="0" w:footer="849" w:gutter="0"/>
        </w:sectPr>
        <w:rPr/>
      </w:pPr>
    </w:p>
    <w:tbl>
      <w:tblPr>
        <w:tblStyle w:val="TableNormal"/>
        <w:tblW w:w="945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14"/>
        <w:gridCol w:w="8636"/>
      </w:tblGrid>
      <w:tr>
        <w:trPr>
          <w:trHeight w:val="14009" w:hRule="atLeast"/>
        </w:trPr>
        <w:tc>
          <w:tcPr>
            <w:tcW w:w="814" w:type="dxa"/>
            <w:vAlign w:val="top"/>
          </w:tcPr>
          <w:p>
            <w:pPr>
              <w:rPr>
                <w:rFonts w:ascii="Arial"/>
                <w:sz w:val="21"/>
              </w:rPr>
            </w:pPr>
            <w:r/>
          </w:p>
        </w:tc>
        <w:tc>
          <w:tcPr>
            <w:tcW w:w="8636" w:type="dxa"/>
            <w:vAlign w:val="top"/>
          </w:tcPr>
          <w:p>
            <w:pPr>
              <w:pStyle w:val="TableText"/>
              <w:ind w:left="131"/>
              <w:spacing w:before="65" w:line="219" w:lineRule="auto"/>
              <w:rPr>
                <w:sz w:val="24"/>
                <w:szCs w:val="24"/>
              </w:rPr>
            </w:pPr>
            <w:r>
              <w:rPr>
                <w:sz w:val="24"/>
                <w:szCs w:val="24"/>
                <w:spacing w:val="1"/>
              </w:rPr>
              <w:t>统。工艺流程图见图4.3-1。</w:t>
            </w:r>
          </w:p>
          <w:p>
            <w:pPr>
              <w:pStyle w:val="TableText"/>
              <w:ind w:left="614"/>
              <w:spacing w:before="191" w:line="219" w:lineRule="auto"/>
              <w:rPr>
                <w:sz w:val="24"/>
                <w:szCs w:val="24"/>
              </w:rPr>
            </w:pPr>
            <w:r>
              <w:rPr>
                <w:sz w:val="24"/>
                <w:szCs w:val="24"/>
                <w:b/>
                <w:bCs/>
                <w:spacing w:val="-4"/>
              </w:rPr>
              <w:t>阳极生产废水处理工艺说明：</w:t>
            </w:r>
          </w:p>
          <w:p>
            <w:pPr>
              <w:pStyle w:val="TableText"/>
              <w:ind w:left="121" w:right="78" w:firstLine="479"/>
              <w:spacing w:before="157" w:line="362" w:lineRule="auto"/>
              <w:rPr>
                <w:sz w:val="24"/>
                <w:szCs w:val="24"/>
              </w:rPr>
            </w:pPr>
            <w:r>
              <w:rPr>
                <w:sz w:val="24"/>
                <w:szCs w:val="24"/>
              </w:rPr>
              <w:t>A、废水经车间旁的三级沉淀池将废水中所含的生产原料沉淀分离后再分别</w:t>
            </w:r>
            <w:r>
              <w:rPr>
                <w:sz w:val="24"/>
                <w:szCs w:val="24"/>
                <w:spacing w:val="9"/>
              </w:rPr>
              <w:t xml:space="preserve">  </w:t>
            </w:r>
            <w:r>
              <w:rPr>
                <w:sz w:val="24"/>
                <w:szCs w:val="24"/>
                <w:spacing w:val="1"/>
              </w:rPr>
              <w:t>经厂内生产废水管网泵入污水处理站的阳极调节池中进行</w:t>
            </w:r>
            <w:r>
              <w:rPr>
                <w:sz w:val="24"/>
                <w:szCs w:val="24"/>
              </w:rPr>
              <w:t>水质、水量的均化；阳</w:t>
            </w:r>
          </w:p>
          <w:p>
            <w:pPr>
              <w:pStyle w:val="TableText"/>
              <w:ind w:left="131"/>
              <w:spacing w:line="219" w:lineRule="auto"/>
              <w:rPr>
                <w:sz w:val="24"/>
                <w:szCs w:val="24"/>
              </w:rPr>
            </w:pPr>
            <w:r>
              <w:rPr>
                <w:sz w:val="24"/>
                <w:szCs w:val="24"/>
              </w:rPr>
              <w:t>极调节池中的废水再由提升泵提升入混凝沉淀池中，在PAC及PAM的作用下进</w:t>
            </w:r>
          </w:p>
          <w:p>
            <w:pPr>
              <w:pStyle w:val="TableText"/>
              <w:ind w:left="131"/>
              <w:spacing w:before="175" w:line="220" w:lineRule="auto"/>
              <w:rPr>
                <w:sz w:val="24"/>
                <w:szCs w:val="24"/>
              </w:rPr>
            </w:pPr>
            <w:r>
              <w:rPr>
                <w:sz w:val="24"/>
                <w:szCs w:val="24"/>
                <w:spacing w:val="5"/>
              </w:rPr>
              <w:t>行混凝沉淀，沉淀后的上清液自流入A²O</w:t>
            </w:r>
            <w:r>
              <w:rPr>
                <w:sz w:val="24"/>
                <w:szCs w:val="24"/>
                <w:spacing w:val="4"/>
              </w:rPr>
              <w:t>生化系统中。</w:t>
            </w:r>
          </w:p>
          <w:p>
            <w:pPr>
              <w:pStyle w:val="TableText"/>
              <w:ind w:left="571"/>
              <w:spacing w:before="145" w:line="214" w:lineRule="auto"/>
              <w:rPr>
                <w:sz w:val="24"/>
                <w:szCs w:val="24"/>
              </w:rPr>
            </w:pPr>
            <w:r>
              <w:rPr>
                <w:sz w:val="24"/>
                <w:szCs w:val="24"/>
              </w:rPr>
              <w:t>B、污水首先进入A1池(厌氧池)  (DO&lt;0.2mg/L),与污泥完</w:t>
            </w:r>
            <w:r>
              <w:rPr>
                <w:sz w:val="24"/>
                <w:szCs w:val="24"/>
                <w:spacing w:val="-1"/>
              </w:rPr>
              <w:t>全混合，经</w:t>
            </w:r>
          </w:p>
          <w:p>
            <w:pPr>
              <w:pStyle w:val="TableText"/>
              <w:ind w:left="131"/>
              <w:spacing w:before="216" w:line="504" w:lineRule="exact"/>
              <w:rPr>
                <w:sz w:val="24"/>
                <w:szCs w:val="24"/>
              </w:rPr>
            </w:pPr>
            <w:r>
              <w:rPr>
                <w:sz w:val="24"/>
                <w:szCs w:val="24"/>
                <w:position w:val="20"/>
              </w:rPr>
              <w:t>一定时间的厌氧分解，去除部分BOD,回流污泥中的聚磷微生物(聚磷菌等)释</w:t>
            </w:r>
          </w:p>
          <w:p>
            <w:pPr>
              <w:pStyle w:val="TableText"/>
              <w:ind w:left="121"/>
              <w:spacing w:line="219" w:lineRule="auto"/>
              <w:rPr>
                <w:sz w:val="24"/>
                <w:szCs w:val="24"/>
              </w:rPr>
            </w:pPr>
            <w:r>
              <w:rPr>
                <w:sz w:val="24"/>
                <w:szCs w:val="24"/>
                <w:spacing w:val="-1"/>
              </w:rPr>
              <w:t>放出磷，满足细菌对磷的需求。</w:t>
            </w:r>
          </w:p>
          <w:p>
            <w:pPr>
              <w:pStyle w:val="TableText"/>
              <w:ind w:left="601"/>
              <w:spacing w:before="147" w:line="214" w:lineRule="auto"/>
              <w:rPr>
                <w:sz w:val="24"/>
                <w:szCs w:val="24"/>
              </w:rPr>
            </w:pPr>
            <w:r>
              <w:rPr>
                <w:sz w:val="24"/>
                <w:szCs w:val="24"/>
              </w:rPr>
              <w:t>C、污水进入A2池(厌氧池)(DO≤0.5mg/L)与回流的</w:t>
            </w:r>
            <w:r>
              <w:rPr>
                <w:sz w:val="24"/>
                <w:szCs w:val="24"/>
                <w:spacing w:val="-1"/>
              </w:rPr>
              <w:t>消化液完全混合，池</w:t>
            </w:r>
          </w:p>
          <w:p>
            <w:pPr>
              <w:pStyle w:val="TableText"/>
              <w:ind w:left="121"/>
              <w:spacing w:before="189" w:line="501" w:lineRule="exact"/>
              <w:rPr>
                <w:sz w:val="24"/>
                <w:szCs w:val="24"/>
              </w:rPr>
            </w:pPr>
            <w:r>
              <w:rPr>
                <w:sz w:val="24"/>
                <w:szCs w:val="24"/>
                <w:spacing w:val="1"/>
                <w:position w:val="19"/>
              </w:rPr>
              <w:t>中的反硝化细菌以污水中未分解的含碳有机物为碳源，</w:t>
            </w:r>
            <w:r>
              <w:rPr>
                <w:sz w:val="24"/>
                <w:szCs w:val="24"/>
                <w:position w:val="19"/>
              </w:rPr>
              <w:t>将好氧池内通过内循环回</w:t>
            </w:r>
          </w:p>
          <w:p>
            <w:pPr>
              <w:pStyle w:val="TableText"/>
              <w:ind w:left="131"/>
              <w:spacing w:line="219" w:lineRule="auto"/>
              <w:rPr>
                <w:sz w:val="24"/>
                <w:szCs w:val="24"/>
              </w:rPr>
            </w:pPr>
            <w:r>
              <w:rPr>
                <w:sz w:val="24"/>
                <w:szCs w:val="24"/>
                <w:spacing w:val="8"/>
              </w:rPr>
              <w:t>流进来的硝酸根还原为N</w:t>
            </w:r>
            <w:r>
              <w:rPr>
                <w:rFonts w:ascii="Calibri" w:hAnsi="Calibri" w:eastAsia="Calibri" w:cs="Calibri"/>
                <w:sz w:val="24"/>
                <w:szCs w:val="24"/>
                <w:spacing w:val="8"/>
              </w:rPr>
              <w:t>₂</w:t>
            </w:r>
            <w:r>
              <w:rPr>
                <w:sz w:val="24"/>
                <w:szCs w:val="24"/>
                <w:spacing w:val="8"/>
              </w:rPr>
              <w:t>而释放。</w:t>
            </w:r>
          </w:p>
          <w:p>
            <w:pPr>
              <w:pStyle w:val="TableText"/>
              <w:ind w:left="111" w:firstLine="485"/>
              <w:spacing w:before="153" w:line="358" w:lineRule="auto"/>
              <w:rPr>
                <w:sz w:val="24"/>
                <w:szCs w:val="24"/>
              </w:rPr>
            </w:pPr>
            <w:r>
              <w:rPr>
                <w:sz w:val="24"/>
                <w:szCs w:val="24"/>
                <w:spacing w:val="-3"/>
              </w:rPr>
              <w:t>D、在鼓风机和曝气器的充氧下，池中的好氧微生物将剩余有机物进一步</w:t>
            </w:r>
            <w:r>
              <w:rPr>
                <w:sz w:val="24"/>
                <w:szCs w:val="24"/>
                <w:spacing w:val="-4"/>
              </w:rPr>
              <w:t>分   </w:t>
            </w:r>
            <w:r>
              <w:rPr>
                <w:sz w:val="24"/>
                <w:szCs w:val="24"/>
                <w:spacing w:val="5"/>
              </w:rPr>
              <w:t>解为</w:t>
            </w:r>
            <w:r>
              <w:rPr>
                <w:sz w:val="24"/>
                <w:szCs w:val="24"/>
              </w:rPr>
              <w:t>CO</w:t>
            </w:r>
            <w:r>
              <w:rPr>
                <w:rFonts w:ascii="Calibri" w:hAnsi="Calibri" w:eastAsia="Calibri" w:cs="Calibri"/>
                <w:sz w:val="24"/>
                <w:szCs w:val="24"/>
                <w:spacing w:val="5"/>
              </w:rPr>
              <w:t>₂</w:t>
            </w:r>
            <w:r>
              <w:rPr>
                <w:rFonts w:ascii="Calibri" w:hAnsi="Calibri" w:eastAsia="Calibri" w:cs="Calibri"/>
                <w:sz w:val="24"/>
                <w:szCs w:val="24"/>
                <w:spacing w:val="-28"/>
              </w:rPr>
              <w:t xml:space="preserve"> </w:t>
            </w:r>
            <w:r>
              <w:rPr>
                <w:sz w:val="24"/>
                <w:szCs w:val="24"/>
                <w:spacing w:val="5"/>
              </w:rPr>
              <w:t>、H</w:t>
            </w:r>
            <w:r>
              <w:rPr>
                <w:rFonts w:ascii="Calibri" w:hAnsi="Calibri" w:eastAsia="Calibri" w:cs="Calibri"/>
                <w:sz w:val="24"/>
                <w:szCs w:val="24"/>
                <w:spacing w:val="5"/>
              </w:rPr>
              <w:t>₂</w:t>
            </w:r>
            <w:r>
              <w:rPr>
                <w:sz w:val="24"/>
                <w:szCs w:val="24"/>
                <w:spacing w:val="5"/>
              </w:rPr>
              <w:t>O等，同时硝化菌把污水中的氨氮氧</w:t>
            </w:r>
            <w:r>
              <w:rPr>
                <w:sz w:val="24"/>
                <w:szCs w:val="24"/>
                <w:spacing w:val="4"/>
              </w:rPr>
              <w:t>化成硝酸盐；再向缺氧池回流，</w:t>
            </w:r>
            <w:r>
              <w:rPr>
                <w:sz w:val="24"/>
                <w:szCs w:val="24"/>
              </w:rPr>
              <w:t xml:space="preserve"> </w:t>
            </w:r>
            <w:r>
              <w:rPr>
                <w:sz w:val="24"/>
                <w:szCs w:val="24"/>
                <w:spacing w:val="-1"/>
              </w:rPr>
              <w:t>为脱氮做好必要的准备。另外，污泥中的聚</w:t>
            </w:r>
            <w:r>
              <w:rPr>
                <w:sz w:val="24"/>
                <w:szCs w:val="24"/>
                <w:spacing w:val="-2"/>
              </w:rPr>
              <w:t>磷菌吸收污水中的磷，从而达到除磷</w:t>
            </w:r>
          </w:p>
          <w:p>
            <w:pPr>
              <w:pStyle w:val="TableText"/>
              <w:ind w:left="101"/>
              <w:spacing w:line="222" w:lineRule="auto"/>
              <w:rPr>
                <w:sz w:val="24"/>
                <w:szCs w:val="24"/>
              </w:rPr>
            </w:pPr>
            <w:r>
              <w:rPr>
                <w:sz w:val="24"/>
                <w:szCs w:val="24"/>
                <w:spacing w:val="-2"/>
              </w:rPr>
              <w:t>的目的。</w:t>
            </w:r>
          </w:p>
          <w:p>
            <w:pPr>
              <w:pStyle w:val="TableText"/>
              <w:ind w:left="601"/>
              <w:spacing w:before="197" w:line="467" w:lineRule="exact"/>
              <w:rPr>
                <w:sz w:val="24"/>
                <w:szCs w:val="24"/>
              </w:rPr>
            </w:pPr>
            <w:r>
              <w:rPr>
                <w:sz w:val="24"/>
                <w:szCs w:val="24"/>
                <w:position w:val="17"/>
              </w:rPr>
              <w:t>E、A/A/O处理构筑物出水经二沉池固液分离，上清液出水</w:t>
            </w:r>
            <w:r>
              <w:rPr>
                <w:sz w:val="24"/>
                <w:szCs w:val="24"/>
                <w:spacing w:val="-1"/>
                <w:position w:val="17"/>
              </w:rPr>
              <w:t>进入阳极废水系统</w:t>
            </w:r>
          </w:p>
          <w:p>
            <w:pPr>
              <w:pStyle w:val="TableText"/>
              <w:ind w:left="111"/>
              <w:spacing w:line="216" w:lineRule="auto"/>
              <w:rPr>
                <w:sz w:val="24"/>
                <w:szCs w:val="24"/>
              </w:rPr>
            </w:pPr>
            <w:r>
              <w:rPr>
                <w:sz w:val="24"/>
                <w:szCs w:val="24"/>
              </w:rPr>
              <w:t>排放口(DW002),再经废水站规范化排污口(DW003)达标向外排</w:t>
            </w:r>
            <w:r>
              <w:rPr>
                <w:sz w:val="24"/>
                <w:szCs w:val="24"/>
                <w:spacing w:val="-1"/>
              </w:rPr>
              <w:t>放。</w:t>
            </w:r>
          </w:p>
          <w:p>
            <w:pPr>
              <w:pStyle w:val="TableText"/>
              <w:ind w:left="121" w:firstLine="479"/>
              <w:spacing w:before="191" w:line="358" w:lineRule="auto"/>
              <w:rPr>
                <w:sz w:val="24"/>
                <w:szCs w:val="24"/>
              </w:rPr>
            </w:pPr>
            <w:r>
              <w:rPr>
                <w:sz w:val="24"/>
                <w:szCs w:val="24"/>
                <w:spacing w:val="-1"/>
              </w:rPr>
              <w:t>F、阳极污泥处理：阳极废水混凝沉淀池中的沉淀物排入阳极污泥浓缩池中进</w:t>
            </w:r>
            <w:r>
              <w:rPr>
                <w:sz w:val="24"/>
                <w:szCs w:val="24"/>
                <w:spacing w:val="18"/>
              </w:rPr>
              <w:t xml:space="preserve"> </w:t>
            </w:r>
            <w:r>
              <w:rPr>
                <w:sz w:val="24"/>
                <w:szCs w:val="24"/>
              </w:rPr>
              <w:t>行原料浓缩，浓缩后的污泥再泵入厢式压滤机脱水干化。浓缩池上清液、厢式压</w:t>
            </w:r>
          </w:p>
          <w:p>
            <w:pPr>
              <w:pStyle w:val="TableText"/>
              <w:ind w:left="121"/>
              <w:spacing w:before="1" w:line="218" w:lineRule="auto"/>
              <w:rPr>
                <w:sz w:val="24"/>
                <w:szCs w:val="24"/>
              </w:rPr>
            </w:pPr>
            <w:r>
              <w:rPr>
                <w:sz w:val="24"/>
                <w:szCs w:val="24"/>
                <w:spacing w:val="-1"/>
              </w:rPr>
              <w:t>滤机滤液排入阳极废水调节池中继续处理。</w:t>
            </w:r>
          </w:p>
          <w:p>
            <w:pPr>
              <w:pStyle w:val="TableText"/>
              <w:ind w:left="121" w:right="87" w:firstLine="489"/>
              <w:spacing w:before="177" w:line="361" w:lineRule="auto"/>
              <w:rPr>
                <w:sz w:val="24"/>
                <w:szCs w:val="24"/>
              </w:rPr>
            </w:pPr>
            <w:r>
              <w:rPr>
                <w:sz w:val="24"/>
                <w:szCs w:val="24"/>
              </w:rPr>
              <w:t>阳极生产废水、凹版生产废水单独收集处理，污染物浓度较阴极低，且不含</w:t>
            </w:r>
            <w:r>
              <w:rPr>
                <w:sz w:val="24"/>
                <w:szCs w:val="24"/>
                <w:spacing w:val="6"/>
              </w:rPr>
              <w:t xml:space="preserve"> </w:t>
            </w:r>
            <w:r>
              <w:rPr>
                <w:sz w:val="24"/>
                <w:szCs w:val="24"/>
              </w:rPr>
              <w:t>有特征污染物，采取“混凝沉淀”物化预处理工艺后自流入生化处理系统，生化</w:t>
            </w:r>
          </w:p>
          <w:p>
            <w:pPr>
              <w:pStyle w:val="TableText"/>
              <w:spacing w:before="1" w:line="218" w:lineRule="auto"/>
              <w:jc w:val="right"/>
              <w:rPr>
                <w:sz w:val="24"/>
                <w:szCs w:val="24"/>
              </w:rPr>
            </w:pPr>
            <w:r>
              <w:rPr>
                <w:sz w:val="24"/>
                <w:szCs w:val="24"/>
                <w:spacing w:val="3"/>
              </w:rPr>
              <w:t>处理采用“A²O+二沉池”处理工艺。废水经物化预处理既减少</w:t>
            </w:r>
            <w:r>
              <w:rPr>
                <w:sz w:val="24"/>
                <w:szCs w:val="24"/>
                <w:spacing w:val="2"/>
              </w:rPr>
              <w:t>了进入生化系统的</w:t>
            </w:r>
          </w:p>
          <w:p>
            <w:pPr>
              <w:pStyle w:val="TableText"/>
              <w:ind w:left="121" w:right="472"/>
              <w:spacing w:before="176" w:line="351" w:lineRule="auto"/>
              <w:jc w:val="both"/>
              <w:rPr>
                <w:sz w:val="24"/>
                <w:szCs w:val="24"/>
              </w:rPr>
            </w:pPr>
            <w:r>
              <w:rPr>
                <w:sz w:val="24"/>
                <w:szCs w:val="24"/>
              </w:rPr>
              <w:t>COD、SS浓度，又可提高废水的可生化性，后续生化处理进一步降解COD、氨 </w:t>
            </w:r>
            <w:r>
              <w:rPr>
                <w:sz w:val="24"/>
                <w:szCs w:val="24"/>
              </w:rPr>
              <w:t>氮等指标符合《电池工业污染物排放标准》(GB30484-2013</w:t>
            </w:r>
            <w:r>
              <w:rPr>
                <w:sz w:val="24"/>
                <w:szCs w:val="24"/>
                <w:spacing w:val="-1"/>
              </w:rPr>
              <w:t>)表2间接排放标准</w:t>
            </w:r>
          </w:p>
          <w:p>
            <w:pPr>
              <w:pStyle w:val="TableText"/>
              <w:ind w:left="70"/>
              <w:spacing w:before="1" w:line="220" w:lineRule="auto"/>
              <w:rPr>
                <w:sz w:val="24"/>
                <w:szCs w:val="24"/>
              </w:rPr>
            </w:pPr>
            <w:r>
              <w:rPr>
                <w:sz w:val="24"/>
                <w:szCs w:val="24"/>
              </w:rPr>
              <w:t>要求。</w:t>
            </w:r>
          </w:p>
          <w:p>
            <w:pPr>
              <w:pStyle w:val="TableText"/>
              <w:ind w:left="131" w:right="322" w:firstLine="469"/>
              <w:spacing w:before="209" w:line="358" w:lineRule="auto"/>
              <w:rPr>
                <w:sz w:val="24"/>
                <w:szCs w:val="24"/>
              </w:rPr>
            </w:pPr>
            <w:r>
              <w:rPr>
                <w:sz w:val="24"/>
                <w:szCs w:val="24"/>
                <w:spacing w:val="5"/>
              </w:rPr>
              <w:t>A²O法又称</w:t>
            </w:r>
            <w:r>
              <w:rPr>
                <w:sz w:val="24"/>
                <w:szCs w:val="24"/>
              </w:rPr>
              <w:t>AAO</w:t>
            </w:r>
            <w:r>
              <w:rPr>
                <w:sz w:val="24"/>
                <w:szCs w:val="24"/>
                <w:spacing w:val="5"/>
              </w:rPr>
              <w:t>法，是英文</w:t>
            </w:r>
            <w:r>
              <w:rPr>
                <w:sz w:val="24"/>
                <w:szCs w:val="24"/>
              </w:rPr>
              <w:t>Anaerobic</w:t>
            </w:r>
            <w:r>
              <w:rPr>
                <w:sz w:val="24"/>
                <w:szCs w:val="24"/>
                <w:spacing w:val="5"/>
              </w:rPr>
              <w:t>-</w:t>
            </w:r>
            <w:r>
              <w:rPr>
                <w:sz w:val="24"/>
                <w:szCs w:val="24"/>
              </w:rPr>
              <w:t>Anoxic</w:t>
            </w:r>
            <w:r>
              <w:rPr>
                <w:sz w:val="24"/>
                <w:szCs w:val="24"/>
                <w:spacing w:val="5"/>
              </w:rPr>
              <w:t>-</w:t>
            </w:r>
            <w:r>
              <w:rPr>
                <w:sz w:val="24"/>
                <w:szCs w:val="24"/>
              </w:rPr>
              <w:t>Oxic</w:t>
            </w:r>
            <w:r>
              <w:rPr>
                <w:sz w:val="24"/>
                <w:szCs w:val="24"/>
                <w:spacing w:val="5"/>
              </w:rPr>
              <w:t>第一个字母的简称(厌</w:t>
            </w:r>
            <w:r>
              <w:rPr>
                <w:sz w:val="24"/>
                <w:szCs w:val="24"/>
                <w:spacing w:val="8"/>
              </w:rPr>
              <w:t xml:space="preserve">  </w:t>
            </w:r>
            <w:r>
              <w:rPr>
                <w:sz w:val="24"/>
                <w:szCs w:val="24"/>
              </w:rPr>
              <w:t>氧-缺氧-好氧法),是一种常用的污水处理工艺，可用于二级污水处理或三级污</w:t>
            </w:r>
          </w:p>
          <w:p>
            <w:pPr>
              <w:pStyle w:val="TableText"/>
              <w:ind w:left="121"/>
              <w:spacing w:before="1" w:line="218" w:lineRule="auto"/>
              <w:rPr>
                <w:sz w:val="24"/>
                <w:szCs w:val="24"/>
              </w:rPr>
            </w:pPr>
            <w:r>
              <w:rPr>
                <w:sz w:val="24"/>
                <w:szCs w:val="24"/>
              </w:rPr>
              <w:t>水处理，以及中水回用，具有良好的脱氮除磷效果。</w:t>
            </w:r>
          </w:p>
        </w:tc>
      </w:tr>
    </w:tbl>
    <w:p>
      <w:pPr>
        <w:rPr>
          <w:rFonts w:ascii="Arial"/>
          <w:sz w:val="21"/>
        </w:rPr>
      </w:pPr>
      <w:r/>
    </w:p>
    <w:p>
      <w:pPr>
        <w:sectPr>
          <w:footerReference w:type="default" r:id="rId123"/>
          <w:pgSz w:w="11900" w:h="16840"/>
          <w:pgMar w:top="1254" w:right="1425" w:bottom="988" w:left="1014" w:header="0" w:footer="849" w:gutter="0"/>
        </w:sectPr>
        <w:rPr>
          <w:rFonts w:ascii="Arial" w:hAnsi="Arial" w:eastAsia="Arial" w:cs="Arial"/>
          <w:sz w:val="21"/>
          <w:szCs w:val="21"/>
        </w:rPr>
      </w:pPr>
    </w:p>
    <w:tbl>
      <w:tblPr>
        <w:tblStyle w:val="TableNormal"/>
        <w:tblW w:w="945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14"/>
        <w:gridCol w:w="8636"/>
      </w:tblGrid>
      <w:tr>
        <w:trPr>
          <w:trHeight w:val="13989" w:hRule="atLeast"/>
        </w:trPr>
        <w:tc>
          <w:tcPr>
            <w:tcW w:w="814" w:type="dxa"/>
            <w:vAlign w:val="top"/>
          </w:tcPr>
          <w:p>
            <w:pPr>
              <w:rPr>
                <w:rFonts w:ascii="Arial"/>
                <w:sz w:val="21"/>
              </w:rPr>
            </w:pPr>
            <w:r/>
          </w:p>
        </w:tc>
        <w:tc>
          <w:tcPr>
            <w:tcW w:w="8636" w:type="dxa"/>
            <w:vAlign w:val="top"/>
          </w:tcPr>
          <w:p>
            <w:pPr>
              <w:pStyle w:val="TableText"/>
              <w:ind w:left="131" w:right="72" w:firstLine="489"/>
              <w:spacing w:before="32" w:line="362" w:lineRule="auto"/>
              <w:rPr>
                <w:sz w:val="24"/>
                <w:szCs w:val="24"/>
              </w:rPr>
            </w:pPr>
            <w:r>
              <w:rPr>
                <w:sz w:val="24"/>
                <w:szCs w:val="24"/>
              </w:rPr>
              <w:t>首段厌氧池，流入原污水及同步进入的从二沉池回流的含磷污泥，本池主要</w:t>
            </w:r>
            <w:r>
              <w:rPr>
                <w:sz w:val="24"/>
                <w:szCs w:val="24"/>
                <w:spacing w:val="11"/>
              </w:rPr>
              <w:t xml:space="preserve"> </w:t>
            </w:r>
            <w:r>
              <w:rPr>
                <w:sz w:val="24"/>
                <w:szCs w:val="24"/>
              </w:rPr>
              <w:t>功能为释放磷，使污水中P的浓度升高，溶解性有机物被微生物细胞吸收而使污</w:t>
            </w:r>
          </w:p>
          <w:p>
            <w:pPr>
              <w:pStyle w:val="TableText"/>
              <w:ind w:left="131"/>
              <w:spacing w:line="218" w:lineRule="auto"/>
              <w:rPr>
                <w:sz w:val="24"/>
                <w:szCs w:val="24"/>
              </w:rPr>
            </w:pPr>
            <w:r>
              <w:rPr>
                <w:sz w:val="24"/>
                <w:szCs w:val="24"/>
                <w:spacing w:val="5"/>
              </w:rPr>
              <w:t>水中的</w:t>
            </w:r>
            <w:r>
              <w:rPr>
                <w:sz w:val="24"/>
                <w:szCs w:val="24"/>
              </w:rPr>
              <w:t>BODs</w:t>
            </w:r>
            <w:r>
              <w:rPr>
                <w:sz w:val="24"/>
                <w:szCs w:val="24"/>
                <w:spacing w:val="5"/>
              </w:rPr>
              <w:t>浓度下降；另外，</w:t>
            </w:r>
            <w:r>
              <w:rPr>
                <w:sz w:val="24"/>
                <w:szCs w:val="24"/>
              </w:rPr>
              <w:t>NH</w:t>
            </w:r>
            <w:r>
              <w:rPr>
                <w:rFonts w:ascii="Calibri" w:hAnsi="Calibri" w:eastAsia="Calibri" w:cs="Calibri"/>
                <w:sz w:val="24"/>
                <w:szCs w:val="24"/>
                <w:spacing w:val="5"/>
              </w:rPr>
              <w:t>₃</w:t>
            </w:r>
            <w:r>
              <w:rPr>
                <w:sz w:val="24"/>
                <w:szCs w:val="24"/>
                <w:spacing w:val="5"/>
              </w:rPr>
              <w:t>-N因细胞的合成而被去除一部分，使污水中</w:t>
            </w:r>
          </w:p>
          <w:p>
            <w:pPr>
              <w:pStyle w:val="TableText"/>
              <w:ind w:left="131"/>
              <w:spacing w:before="175" w:line="219" w:lineRule="auto"/>
              <w:rPr>
                <w:sz w:val="24"/>
                <w:szCs w:val="24"/>
              </w:rPr>
            </w:pPr>
            <w:r>
              <w:rPr>
                <w:sz w:val="24"/>
                <w:szCs w:val="24"/>
                <w:spacing w:val="12"/>
              </w:rPr>
              <w:t>的</w:t>
            </w:r>
            <w:r>
              <w:rPr>
                <w:sz w:val="24"/>
                <w:szCs w:val="24"/>
              </w:rPr>
              <w:t>NH</w:t>
            </w:r>
            <w:r>
              <w:rPr>
                <w:rFonts w:ascii="Calibri" w:hAnsi="Calibri" w:eastAsia="Calibri" w:cs="Calibri"/>
                <w:sz w:val="24"/>
                <w:szCs w:val="24"/>
                <w:spacing w:val="12"/>
              </w:rPr>
              <w:t>₃</w:t>
            </w:r>
            <w:r>
              <w:rPr>
                <w:sz w:val="24"/>
                <w:szCs w:val="24"/>
                <w:spacing w:val="12"/>
              </w:rPr>
              <w:t>-N浓度下降，但</w:t>
            </w:r>
            <w:r>
              <w:rPr>
                <w:sz w:val="24"/>
                <w:szCs w:val="24"/>
              </w:rPr>
              <w:t>NO</w:t>
            </w:r>
            <w:r>
              <w:rPr>
                <w:rFonts w:ascii="Calibri" w:hAnsi="Calibri" w:eastAsia="Calibri" w:cs="Calibri"/>
                <w:sz w:val="24"/>
                <w:szCs w:val="24"/>
                <w:spacing w:val="12"/>
              </w:rPr>
              <w:t>₃</w:t>
            </w:r>
            <w:r>
              <w:rPr>
                <w:sz w:val="24"/>
                <w:szCs w:val="24"/>
                <w:spacing w:val="12"/>
              </w:rPr>
              <w:t>-N含量没有变化。</w:t>
            </w:r>
          </w:p>
          <w:p>
            <w:pPr>
              <w:pStyle w:val="TableText"/>
              <w:ind w:left="621"/>
              <w:spacing w:before="195" w:line="219" w:lineRule="auto"/>
              <w:rPr>
                <w:sz w:val="24"/>
                <w:szCs w:val="24"/>
              </w:rPr>
            </w:pPr>
            <w:r>
              <w:rPr>
                <w:sz w:val="24"/>
                <w:szCs w:val="24"/>
              </w:rPr>
              <w:t>在缺氧池中，反硝化菌利用污水中的有机物作碳源，</w:t>
            </w:r>
            <w:r>
              <w:rPr>
                <w:sz w:val="24"/>
                <w:szCs w:val="24"/>
                <w:spacing w:val="-1"/>
              </w:rPr>
              <w:t>将回流混合液中带入大</w:t>
            </w:r>
          </w:p>
          <w:p>
            <w:pPr>
              <w:pStyle w:val="TableText"/>
              <w:ind w:left="121"/>
              <w:spacing w:before="175" w:line="479" w:lineRule="exact"/>
              <w:rPr>
                <w:sz w:val="24"/>
                <w:szCs w:val="24"/>
              </w:rPr>
            </w:pPr>
            <w:r>
              <w:rPr>
                <w:sz w:val="24"/>
                <w:szCs w:val="24"/>
                <w:spacing w:val="16"/>
                <w:position w:val="18"/>
              </w:rPr>
              <w:t>量</w:t>
            </w:r>
            <w:r>
              <w:rPr>
                <w:sz w:val="24"/>
                <w:szCs w:val="24"/>
                <w:position w:val="18"/>
              </w:rPr>
              <w:t>NO</w:t>
            </w:r>
            <w:r>
              <w:rPr>
                <w:rFonts w:ascii="Calibri" w:hAnsi="Calibri" w:eastAsia="Calibri" w:cs="Calibri"/>
                <w:sz w:val="24"/>
                <w:szCs w:val="24"/>
                <w:spacing w:val="16"/>
                <w:position w:val="18"/>
              </w:rPr>
              <w:t>₃</w:t>
            </w:r>
            <w:r>
              <w:rPr>
                <w:sz w:val="24"/>
                <w:szCs w:val="24"/>
                <w:spacing w:val="16"/>
                <w:position w:val="18"/>
              </w:rPr>
              <w:t>-N和</w:t>
            </w:r>
            <w:r>
              <w:rPr>
                <w:sz w:val="24"/>
                <w:szCs w:val="24"/>
                <w:position w:val="18"/>
              </w:rPr>
              <w:t>NO</w:t>
            </w:r>
            <w:r>
              <w:rPr>
                <w:rFonts w:ascii="Calibri" w:hAnsi="Calibri" w:eastAsia="Calibri" w:cs="Calibri"/>
                <w:sz w:val="24"/>
                <w:szCs w:val="24"/>
                <w:spacing w:val="16"/>
                <w:position w:val="18"/>
              </w:rPr>
              <w:t>₂</w:t>
            </w:r>
            <w:r>
              <w:rPr>
                <w:sz w:val="24"/>
                <w:szCs w:val="24"/>
                <w:spacing w:val="16"/>
                <w:position w:val="18"/>
              </w:rPr>
              <w:t>-N还原为N</w:t>
            </w:r>
            <w:r>
              <w:rPr>
                <w:rFonts w:ascii="Calibri" w:hAnsi="Calibri" w:eastAsia="Calibri" w:cs="Calibri"/>
                <w:sz w:val="24"/>
                <w:szCs w:val="24"/>
                <w:spacing w:val="16"/>
                <w:position w:val="18"/>
              </w:rPr>
              <w:t>₂</w:t>
            </w:r>
            <w:r>
              <w:rPr>
                <w:sz w:val="24"/>
                <w:szCs w:val="24"/>
                <w:spacing w:val="16"/>
                <w:position w:val="18"/>
              </w:rPr>
              <w:t>释放至空气，因此</w:t>
            </w:r>
            <w:r>
              <w:rPr>
                <w:sz w:val="24"/>
                <w:szCs w:val="24"/>
                <w:position w:val="18"/>
              </w:rPr>
              <w:t>BODs</w:t>
            </w:r>
            <w:r>
              <w:rPr>
                <w:sz w:val="24"/>
                <w:szCs w:val="24"/>
                <w:spacing w:val="16"/>
                <w:position w:val="18"/>
              </w:rPr>
              <w:t>浓度下降，</w:t>
            </w:r>
            <w:r>
              <w:rPr>
                <w:sz w:val="24"/>
                <w:szCs w:val="24"/>
                <w:position w:val="18"/>
              </w:rPr>
              <w:t>NO</w:t>
            </w:r>
            <w:r>
              <w:rPr>
                <w:rFonts w:ascii="Calibri" w:hAnsi="Calibri" w:eastAsia="Calibri" w:cs="Calibri"/>
                <w:sz w:val="24"/>
                <w:szCs w:val="24"/>
                <w:spacing w:val="16"/>
                <w:position w:val="18"/>
              </w:rPr>
              <w:t>₃</w:t>
            </w:r>
            <w:r>
              <w:rPr>
                <w:sz w:val="24"/>
                <w:szCs w:val="24"/>
                <w:spacing w:val="16"/>
                <w:position w:val="18"/>
              </w:rPr>
              <w:t>-N浓度大</w:t>
            </w:r>
          </w:p>
          <w:p>
            <w:pPr>
              <w:pStyle w:val="TableText"/>
              <w:ind w:left="141"/>
              <w:spacing w:before="2" w:line="217" w:lineRule="auto"/>
              <w:rPr>
                <w:sz w:val="24"/>
                <w:szCs w:val="24"/>
              </w:rPr>
            </w:pPr>
            <w:r>
              <w:rPr>
                <w:sz w:val="24"/>
                <w:szCs w:val="24"/>
              </w:rPr>
              <w:t>幅度下降，而磷的变化很小。</w:t>
            </w:r>
          </w:p>
          <w:p>
            <w:pPr>
              <w:pStyle w:val="TableText"/>
              <w:ind w:left="141" w:right="103" w:firstLine="469"/>
              <w:spacing w:before="167" w:line="362" w:lineRule="auto"/>
              <w:rPr>
                <w:sz w:val="24"/>
                <w:szCs w:val="24"/>
              </w:rPr>
            </w:pPr>
            <w:r>
              <w:rPr>
                <w:sz w:val="24"/>
                <w:szCs w:val="24"/>
              </w:rPr>
              <w:t>在好氧池中，有机物被微生物生化降解，而继续下降</w:t>
            </w:r>
            <w:r>
              <w:rPr>
                <w:sz w:val="24"/>
                <w:szCs w:val="24"/>
                <w:spacing w:val="-1"/>
              </w:rPr>
              <w:t>；有机氮被氨化继而被</w:t>
            </w:r>
            <w:r>
              <w:rPr>
                <w:sz w:val="24"/>
                <w:szCs w:val="24"/>
              </w:rPr>
              <w:t xml:space="preserve"> </w:t>
            </w:r>
            <w:r>
              <w:rPr>
                <w:sz w:val="24"/>
                <w:szCs w:val="24"/>
                <w:spacing w:val="8"/>
              </w:rPr>
              <w:t>硝化，使</w:t>
            </w:r>
            <w:r>
              <w:rPr>
                <w:sz w:val="24"/>
                <w:szCs w:val="24"/>
              </w:rPr>
              <w:t>NH</w:t>
            </w:r>
            <w:r>
              <w:rPr>
                <w:rFonts w:ascii="Calibri" w:hAnsi="Calibri" w:eastAsia="Calibri" w:cs="Calibri"/>
                <w:sz w:val="24"/>
                <w:szCs w:val="24"/>
                <w:spacing w:val="8"/>
              </w:rPr>
              <w:t>₃</w:t>
            </w:r>
            <w:r>
              <w:rPr>
                <w:sz w:val="24"/>
                <w:szCs w:val="24"/>
                <w:spacing w:val="8"/>
              </w:rPr>
              <w:t>-N浓度显著下降，但随着硝化过程使</w:t>
            </w:r>
            <w:r>
              <w:rPr>
                <w:sz w:val="24"/>
                <w:szCs w:val="24"/>
              </w:rPr>
              <w:t>NO</w:t>
            </w:r>
            <w:r>
              <w:rPr>
                <w:rFonts w:ascii="Calibri" w:hAnsi="Calibri" w:eastAsia="Calibri" w:cs="Calibri"/>
                <w:sz w:val="24"/>
                <w:szCs w:val="24"/>
                <w:spacing w:val="8"/>
              </w:rPr>
              <w:t>₃</w:t>
            </w:r>
            <w:r>
              <w:rPr>
                <w:sz w:val="24"/>
                <w:szCs w:val="24"/>
                <w:spacing w:val="8"/>
              </w:rPr>
              <w:t>-N的浓度增加，P随着聚</w:t>
            </w:r>
          </w:p>
          <w:p>
            <w:pPr>
              <w:pStyle w:val="TableText"/>
              <w:ind w:left="131"/>
              <w:spacing w:line="219" w:lineRule="auto"/>
              <w:rPr>
                <w:sz w:val="24"/>
                <w:szCs w:val="24"/>
              </w:rPr>
            </w:pPr>
            <w:r>
              <w:rPr>
                <w:sz w:val="24"/>
                <w:szCs w:val="24"/>
              </w:rPr>
              <w:t>磷菌的过量摄取，也以较快的速度下降。</w:t>
            </w:r>
          </w:p>
          <w:p>
            <w:pPr>
              <w:pStyle w:val="TableText"/>
              <w:ind w:left="131" w:right="82" w:firstLine="479"/>
              <w:spacing w:before="173" w:line="362" w:lineRule="auto"/>
              <w:rPr>
                <w:sz w:val="24"/>
                <w:szCs w:val="24"/>
              </w:rPr>
            </w:pPr>
            <w:r>
              <w:rPr>
                <w:sz w:val="24"/>
                <w:szCs w:val="24"/>
                <w:spacing w:val="4"/>
              </w:rPr>
              <w:t>A²O工艺它可以同时完成有机物的去除、硝化脱氮、磷的过量摄</w:t>
            </w:r>
            <w:r>
              <w:rPr>
                <w:sz w:val="24"/>
                <w:szCs w:val="24"/>
                <w:spacing w:val="3"/>
              </w:rPr>
              <w:t>取而被去除</w:t>
            </w:r>
            <w:r>
              <w:rPr>
                <w:sz w:val="24"/>
                <w:szCs w:val="24"/>
              </w:rPr>
              <w:t xml:space="preserve"> </w:t>
            </w:r>
            <w:r>
              <w:rPr>
                <w:sz w:val="24"/>
                <w:szCs w:val="24"/>
                <w:spacing w:val="5"/>
              </w:rPr>
              <w:t>等功能，脱氮的前提是</w:t>
            </w:r>
            <w:r>
              <w:rPr>
                <w:sz w:val="24"/>
                <w:szCs w:val="24"/>
              </w:rPr>
              <w:t>NO</w:t>
            </w:r>
            <w:r>
              <w:rPr>
                <w:rFonts w:ascii="Calibri" w:hAnsi="Calibri" w:eastAsia="Calibri" w:cs="Calibri"/>
                <w:sz w:val="24"/>
                <w:szCs w:val="24"/>
                <w:spacing w:val="5"/>
              </w:rPr>
              <w:t>₃</w:t>
            </w:r>
            <w:r>
              <w:rPr>
                <w:sz w:val="24"/>
                <w:szCs w:val="24"/>
                <w:spacing w:val="5"/>
              </w:rPr>
              <w:t>-N应完全硝化，好</w:t>
            </w:r>
            <w:r>
              <w:rPr>
                <w:sz w:val="24"/>
                <w:szCs w:val="24"/>
                <w:spacing w:val="4"/>
              </w:rPr>
              <w:t>氧池能完成这一功能，缺氧池则完</w:t>
            </w:r>
          </w:p>
          <w:p>
            <w:pPr>
              <w:pStyle w:val="TableText"/>
              <w:ind w:left="121"/>
              <w:spacing w:before="1" w:line="218" w:lineRule="auto"/>
              <w:rPr>
                <w:sz w:val="24"/>
                <w:szCs w:val="24"/>
              </w:rPr>
            </w:pPr>
            <w:r>
              <w:rPr>
                <w:sz w:val="24"/>
                <w:szCs w:val="24"/>
              </w:rPr>
              <w:t>成脱氮功能。厌氧池和好氧池联合完成除磷功能。</w:t>
            </w:r>
          </w:p>
          <w:p>
            <w:pPr>
              <w:pStyle w:val="TableText"/>
              <w:ind w:left="604"/>
              <w:spacing w:before="174" w:line="220" w:lineRule="auto"/>
              <w:rPr>
                <w:sz w:val="24"/>
                <w:szCs w:val="24"/>
              </w:rPr>
            </w:pPr>
            <w:r>
              <w:rPr>
                <w:sz w:val="24"/>
                <w:szCs w:val="24"/>
                <w:b/>
                <w:bCs/>
                <w:spacing w:val="-4"/>
              </w:rPr>
              <w:t>可行性分析：</w:t>
            </w:r>
          </w:p>
          <w:p>
            <w:pPr>
              <w:pStyle w:val="TableText"/>
              <w:ind w:left="611"/>
              <w:spacing w:before="185" w:line="454" w:lineRule="exact"/>
              <w:rPr>
                <w:sz w:val="24"/>
                <w:szCs w:val="24"/>
              </w:rPr>
            </w:pPr>
            <w:r>
              <w:rPr>
                <w:sz w:val="24"/>
                <w:szCs w:val="24"/>
                <w:spacing w:val="-1"/>
                <w:position w:val="16"/>
              </w:rPr>
              <w:t>根据《时代一汽动力电池项目(年产10GWh)竣工环境保护验收监测报告表》</w:t>
            </w:r>
          </w:p>
          <w:p>
            <w:pPr>
              <w:pStyle w:val="TableText"/>
              <w:ind w:left="121"/>
              <w:spacing w:before="1" w:line="213" w:lineRule="auto"/>
              <w:rPr>
                <w:sz w:val="24"/>
                <w:szCs w:val="24"/>
              </w:rPr>
            </w:pPr>
            <w:r>
              <w:rPr>
                <w:sz w:val="24"/>
                <w:szCs w:val="24"/>
                <w:spacing w:val="2"/>
              </w:rPr>
              <w:t>可知：生产废水排放口废水中污染物浓度</w:t>
            </w:r>
            <w:r>
              <w:rPr>
                <w:sz w:val="24"/>
                <w:szCs w:val="24"/>
              </w:rPr>
              <w:t>pH</w:t>
            </w:r>
            <w:r>
              <w:rPr>
                <w:sz w:val="24"/>
                <w:szCs w:val="24"/>
                <w:spacing w:val="2"/>
              </w:rPr>
              <w:t>6.9～7.2,</w:t>
            </w:r>
            <w:r>
              <w:rPr>
                <w:sz w:val="24"/>
                <w:szCs w:val="24"/>
              </w:rPr>
              <w:t>SS</w:t>
            </w:r>
            <w:r>
              <w:rPr>
                <w:sz w:val="24"/>
                <w:szCs w:val="24"/>
                <w:spacing w:val="2"/>
              </w:rPr>
              <w:t>:11~12</w:t>
            </w:r>
            <w:r>
              <w:rPr>
                <w:sz w:val="24"/>
                <w:szCs w:val="24"/>
              </w:rPr>
              <w:t>mg</w:t>
            </w:r>
            <w:r>
              <w:rPr>
                <w:sz w:val="24"/>
                <w:szCs w:val="24"/>
                <w:spacing w:val="2"/>
              </w:rPr>
              <w:t>/L,</w:t>
            </w:r>
          </w:p>
          <w:p>
            <w:pPr>
              <w:pStyle w:val="TableText"/>
              <w:ind w:left="131"/>
              <w:spacing w:before="212" w:line="214" w:lineRule="auto"/>
              <w:rPr>
                <w:sz w:val="24"/>
                <w:szCs w:val="24"/>
              </w:rPr>
            </w:pPr>
            <w:r>
              <w:rPr>
                <w:sz w:val="24"/>
                <w:szCs w:val="24"/>
              </w:rPr>
              <w:t>COD17~20mg/L,总磷0.06mg/L,氨氮1.28~1.30mg/L,总氮10.</w:t>
            </w:r>
            <w:r>
              <w:rPr>
                <w:sz w:val="24"/>
                <w:szCs w:val="24"/>
                <w:spacing w:val="-1"/>
              </w:rPr>
              <w:t>7mg/L,生产废</w:t>
            </w:r>
          </w:p>
          <w:p>
            <w:pPr>
              <w:pStyle w:val="TableText"/>
              <w:ind w:left="131" w:right="440"/>
              <w:spacing w:before="183" w:line="360" w:lineRule="auto"/>
              <w:jc w:val="both"/>
              <w:rPr>
                <w:sz w:val="24"/>
                <w:szCs w:val="24"/>
              </w:rPr>
            </w:pPr>
            <w:r>
              <w:rPr>
                <w:sz w:val="24"/>
                <w:szCs w:val="24"/>
              </w:rPr>
              <w:t>水生化系统出口pH值、COD、氨氮、总氮、总磷、排放浓度均符合《电池工业</w:t>
            </w:r>
            <w:r>
              <w:rPr>
                <w:sz w:val="24"/>
                <w:szCs w:val="24"/>
                <w:spacing w:val="7"/>
              </w:rPr>
              <w:t xml:space="preserve"> </w:t>
            </w:r>
            <w:r>
              <w:rPr>
                <w:sz w:val="24"/>
                <w:szCs w:val="24"/>
              </w:rPr>
              <w:t>污染物排放标准》(GB30484-2013)表2中污染物间接排放标准限值要求。根据</w:t>
            </w:r>
          </w:p>
          <w:p>
            <w:pPr>
              <w:pStyle w:val="TableText"/>
              <w:ind w:left="131"/>
              <w:spacing w:before="1" w:line="219" w:lineRule="auto"/>
              <w:rPr>
                <w:sz w:val="24"/>
                <w:szCs w:val="24"/>
              </w:rPr>
            </w:pPr>
            <w:r>
              <w:rPr>
                <w:sz w:val="24"/>
                <w:szCs w:val="24"/>
              </w:rPr>
              <w:t>上述分析，其阳极生产废水、凹版工程生产废水处理工艺是可行</w:t>
            </w:r>
            <w:r>
              <w:rPr>
                <w:sz w:val="24"/>
                <w:szCs w:val="24"/>
                <w:spacing w:val="-1"/>
              </w:rPr>
              <w:t>的。</w:t>
            </w:r>
          </w:p>
          <w:p>
            <w:pPr>
              <w:pStyle w:val="TableText"/>
              <w:ind w:left="611"/>
              <w:spacing w:before="185" w:line="219" w:lineRule="auto"/>
              <w:rPr>
                <w:sz w:val="24"/>
                <w:szCs w:val="24"/>
              </w:rPr>
            </w:pPr>
            <w:r>
              <w:rPr>
                <w:sz w:val="24"/>
                <w:szCs w:val="24"/>
              </w:rPr>
              <w:t>综上所述，经改扩建后，厂区生产废水污染防治措施是可行</w:t>
            </w:r>
            <w:r>
              <w:rPr>
                <w:sz w:val="24"/>
                <w:szCs w:val="24"/>
                <w:spacing w:val="-1"/>
              </w:rPr>
              <w:t>的。</w:t>
            </w:r>
          </w:p>
          <w:p>
            <w:pPr>
              <w:pStyle w:val="TableText"/>
              <w:ind w:left="624"/>
              <w:spacing w:before="202" w:line="219" w:lineRule="auto"/>
              <w:rPr>
                <w:sz w:val="24"/>
                <w:szCs w:val="24"/>
              </w:rPr>
            </w:pPr>
            <w:r>
              <w:rPr>
                <w:sz w:val="24"/>
                <w:szCs w:val="24"/>
                <w:b/>
                <w:bCs/>
                <w:spacing w:val="-4"/>
              </w:rPr>
              <w:t>2、生活污水处理工艺可行性分析</w:t>
            </w:r>
          </w:p>
          <w:p>
            <w:pPr>
              <w:pStyle w:val="TableText"/>
              <w:ind w:left="611"/>
              <w:spacing w:before="168" w:line="460" w:lineRule="exact"/>
              <w:rPr>
                <w:sz w:val="24"/>
                <w:szCs w:val="24"/>
              </w:rPr>
            </w:pPr>
            <w:r>
              <w:rPr>
                <w:sz w:val="24"/>
                <w:szCs w:val="24"/>
                <w:position w:val="16"/>
              </w:rPr>
              <w:t>项目食堂废水经隔油池处理与其他生活污水一起经化粪池处理达《污水综合</w:t>
            </w:r>
          </w:p>
          <w:p>
            <w:pPr>
              <w:pStyle w:val="TableText"/>
              <w:ind w:left="131"/>
              <w:spacing w:before="1" w:line="219" w:lineRule="auto"/>
              <w:rPr>
                <w:sz w:val="24"/>
                <w:szCs w:val="24"/>
              </w:rPr>
            </w:pPr>
            <w:r>
              <w:rPr>
                <w:sz w:val="24"/>
                <w:szCs w:val="24"/>
                <w:spacing w:val="-2"/>
              </w:rPr>
              <w:t>排放标准》   (GB8978-199</w:t>
            </w:r>
            <w:r>
              <w:rPr>
                <w:sz w:val="24"/>
                <w:szCs w:val="24"/>
                <w:spacing w:val="-3"/>
              </w:rPr>
              <w:t>6)表4中三级标准，接入市政污水管网，纳入霞浦县</w:t>
            </w:r>
          </w:p>
          <w:p>
            <w:pPr>
              <w:pStyle w:val="TableText"/>
              <w:ind w:left="141"/>
              <w:spacing w:before="195" w:line="219" w:lineRule="auto"/>
              <w:rPr>
                <w:sz w:val="24"/>
                <w:szCs w:val="24"/>
              </w:rPr>
            </w:pPr>
            <w:r>
              <w:rPr>
                <w:sz w:val="24"/>
                <w:szCs w:val="24"/>
              </w:rPr>
              <w:t>污水处理厂进一步处理。</w:t>
            </w:r>
          </w:p>
          <w:p>
            <w:pPr>
              <w:pStyle w:val="TableText"/>
              <w:ind w:left="121" w:right="214" w:firstLine="499"/>
              <w:spacing w:before="173" w:line="360" w:lineRule="auto"/>
              <w:rPr>
                <w:sz w:val="24"/>
                <w:szCs w:val="24"/>
              </w:rPr>
            </w:pPr>
            <w:r>
              <w:rPr>
                <w:sz w:val="24"/>
                <w:szCs w:val="24"/>
                <w:spacing w:val="-1"/>
              </w:rPr>
              <w:t>根据《时代一汽动力电池项目(年产10GWh)竣工环境保护验收监测报告表》</w:t>
            </w:r>
            <w:r>
              <w:rPr>
                <w:sz w:val="24"/>
                <w:szCs w:val="24"/>
                <w:spacing w:val="16"/>
              </w:rPr>
              <w:t xml:space="preserve"> </w:t>
            </w:r>
            <w:r>
              <w:rPr>
                <w:sz w:val="24"/>
                <w:szCs w:val="24"/>
                <w:spacing w:val="1"/>
              </w:rPr>
              <w:t>可知：生活区生活污水总排口(北侧厂界附近)废水中污染物浓度</w:t>
            </w:r>
            <w:r>
              <w:rPr>
                <w:sz w:val="24"/>
                <w:szCs w:val="24"/>
              </w:rPr>
              <w:t>pH7.0～7.3   </w:t>
            </w:r>
            <w:r>
              <w:rPr>
                <w:sz w:val="24"/>
                <w:szCs w:val="24"/>
              </w:rPr>
              <w:t>SS</w:t>
            </w:r>
            <w:r>
              <w:rPr>
                <w:sz w:val="24"/>
                <w:szCs w:val="24"/>
                <w:spacing w:val="1"/>
              </w:rPr>
              <w:t>32～33</w:t>
            </w:r>
            <w:r>
              <w:rPr>
                <w:sz w:val="24"/>
                <w:szCs w:val="24"/>
              </w:rPr>
              <w:t>mg</w:t>
            </w:r>
            <w:r>
              <w:rPr>
                <w:sz w:val="24"/>
                <w:szCs w:val="24"/>
                <w:spacing w:val="1"/>
              </w:rPr>
              <w:t>/L,</w:t>
            </w:r>
            <w:r>
              <w:rPr>
                <w:sz w:val="24"/>
                <w:szCs w:val="24"/>
              </w:rPr>
              <w:t>COD</w:t>
            </w:r>
            <w:r>
              <w:rPr>
                <w:sz w:val="24"/>
                <w:szCs w:val="24"/>
                <w:spacing w:val="1"/>
              </w:rPr>
              <w:t>97～108</w:t>
            </w:r>
            <w:r>
              <w:rPr>
                <w:sz w:val="24"/>
                <w:szCs w:val="24"/>
              </w:rPr>
              <w:t>mg</w:t>
            </w:r>
            <w:r>
              <w:rPr>
                <w:sz w:val="24"/>
                <w:szCs w:val="24"/>
                <w:spacing w:val="1"/>
              </w:rPr>
              <w:t>/L,</w:t>
            </w:r>
            <w:r>
              <w:rPr>
                <w:sz w:val="24"/>
                <w:szCs w:val="24"/>
              </w:rPr>
              <w:t>BODs</w:t>
            </w:r>
            <w:r>
              <w:rPr>
                <w:sz w:val="24"/>
                <w:szCs w:val="24"/>
                <w:spacing w:val="1"/>
              </w:rPr>
              <w:t>35.1～38.3</w:t>
            </w:r>
            <w:r>
              <w:rPr>
                <w:sz w:val="24"/>
                <w:szCs w:val="24"/>
              </w:rPr>
              <w:t>mg</w:t>
            </w:r>
            <w:r>
              <w:rPr>
                <w:sz w:val="24"/>
                <w:szCs w:val="24"/>
                <w:spacing w:val="1"/>
              </w:rPr>
              <w:t>/L,</w:t>
            </w:r>
            <w:r>
              <w:rPr>
                <w:sz w:val="24"/>
                <w:szCs w:val="24"/>
              </w:rPr>
              <w:t>氨氮28.2～35.1mg/L,   </w:t>
            </w:r>
            <w:r>
              <w:rPr>
                <w:sz w:val="24"/>
                <w:szCs w:val="24"/>
                <w:spacing w:val="3"/>
              </w:rPr>
              <w:t>总磷0.76</w:t>
            </w:r>
            <w:r>
              <w:rPr>
                <w:sz w:val="24"/>
                <w:szCs w:val="24"/>
              </w:rPr>
              <w:t>mg</w:t>
            </w:r>
            <w:r>
              <w:rPr>
                <w:sz w:val="24"/>
                <w:szCs w:val="24"/>
                <w:spacing w:val="3"/>
              </w:rPr>
              <w:t>/L,总氮49.8～50.2</w:t>
            </w:r>
            <w:r>
              <w:rPr>
                <w:sz w:val="24"/>
                <w:szCs w:val="24"/>
              </w:rPr>
              <w:t>mg</w:t>
            </w:r>
            <w:r>
              <w:rPr>
                <w:sz w:val="24"/>
                <w:szCs w:val="24"/>
                <w:spacing w:val="3"/>
              </w:rPr>
              <w:t>/L,可见，厂区生活区生活污水总排口</w:t>
            </w:r>
            <w:r>
              <w:rPr>
                <w:sz w:val="24"/>
                <w:szCs w:val="24"/>
              </w:rPr>
              <w:t>pH</w:t>
            </w:r>
            <w:r>
              <w:rPr>
                <w:sz w:val="24"/>
                <w:szCs w:val="24"/>
                <w:spacing w:val="3"/>
              </w:rPr>
              <w:t>值、</w:t>
            </w:r>
          </w:p>
          <w:p>
            <w:pPr>
              <w:pStyle w:val="TableText"/>
              <w:ind w:left="131"/>
              <w:spacing w:line="219" w:lineRule="auto"/>
              <w:rPr>
                <w:sz w:val="24"/>
                <w:szCs w:val="24"/>
              </w:rPr>
            </w:pPr>
            <w:r>
              <w:rPr>
                <w:sz w:val="24"/>
                <w:szCs w:val="24"/>
              </w:rPr>
              <w:t>COD、BODs、SS排放浓度均符合《污水综合排放标准》(GB8978-1996)中的</w:t>
            </w:r>
          </w:p>
        </w:tc>
      </w:tr>
    </w:tbl>
    <w:p>
      <w:pPr>
        <w:rPr>
          <w:rFonts w:ascii="Arial"/>
          <w:sz w:val="21"/>
        </w:rPr>
      </w:pPr>
      <w:r/>
    </w:p>
    <w:p>
      <w:pPr>
        <w:sectPr>
          <w:footerReference w:type="default" r:id="rId124"/>
          <w:pgSz w:w="11900" w:h="16840"/>
          <w:pgMar w:top="1275" w:right="1425" w:bottom="988" w:left="1014" w:header="0" w:footer="849" w:gutter="0"/>
        </w:sectPr>
        <w:rPr>
          <w:rFonts w:ascii="Arial" w:hAnsi="Arial" w:eastAsia="Arial" w:cs="Arial"/>
          <w:sz w:val="21"/>
          <w:szCs w:val="21"/>
        </w:rPr>
      </w:pPr>
    </w:p>
    <w:tbl>
      <w:tblPr>
        <w:tblStyle w:val="TableNormal"/>
        <w:tblW w:w="94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24"/>
        <w:gridCol w:w="8646"/>
      </w:tblGrid>
      <w:tr>
        <w:trPr>
          <w:trHeight w:val="5859" w:hRule="atLeast"/>
        </w:trPr>
        <w:tc>
          <w:tcPr>
            <w:tcW w:w="824" w:type="dxa"/>
            <w:vAlign w:val="top"/>
          </w:tcPr>
          <w:p>
            <w:pPr>
              <w:rPr>
                <w:rFonts w:ascii="Arial"/>
                <w:sz w:val="21"/>
              </w:rPr>
            </w:pPr>
            <w:r/>
          </w:p>
        </w:tc>
        <w:tc>
          <w:tcPr>
            <w:tcW w:w="8646" w:type="dxa"/>
            <w:vAlign w:val="top"/>
          </w:tcPr>
          <w:p>
            <w:pPr>
              <w:pStyle w:val="TableText"/>
              <w:ind w:left="111"/>
              <w:spacing w:before="33" w:line="481" w:lineRule="exact"/>
              <w:rPr>
                <w:sz w:val="24"/>
                <w:szCs w:val="24"/>
              </w:rPr>
            </w:pPr>
            <w:r>
              <w:rPr>
                <w:sz w:val="24"/>
                <w:szCs w:val="24"/>
                <w:position w:val="18"/>
              </w:rPr>
              <w:t>三级排放标准限值要求，氨氮、总磷、总氮排放浓度均符合《污水排入城镇下水</w:t>
            </w:r>
          </w:p>
          <w:p>
            <w:pPr>
              <w:pStyle w:val="TableText"/>
              <w:ind w:left="121"/>
              <w:spacing w:line="219" w:lineRule="auto"/>
              <w:rPr>
                <w:sz w:val="24"/>
                <w:szCs w:val="24"/>
              </w:rPr>
            </w:pPr>
            <w:r>
              <w:rPr>
                <w:sz w:val="24"/>
                <w:szCs w:val="24"/>
              </w:rPr>
              <w:t>道水质标准》(GB/T31962-2015)中排入城市下水道系统的限值要求。</w:t>
            </w:r>
          </w:p>
          <w:p>
            <w:pPr>
              <w:pStyle w:val="TableText"/>
              <w:ind w:left="101" w:right="330" w:firstLine="509"/>
              <w:spacing w:before="174" w:line="351" w:lineRule="auto"/>
              <w:rPr>
                <w:sz w:val="24"/>
                <w:szCs w:val="24"/>
              </w:rPr>
            </w:pPr>
            <w:r>
              <w:rPr>
                <w:sz w:val="24"/>
                <w:szCs w:val="24"/>
              </w:rPr>
              <w:t>生产区废水总排口废水(含生活污水、食堂废水、工业废水)中污染物浓度</w:t>
            </w:r>
            <w:r>
              <w:rPr>
                <w:sz w:val="24"/>
                <w:szCs w:val="24"/>
                <w:spacing w:val="13"/>
              </w:rPr>
              <w:t xml:space="preserve"> </w:t>
            </w:r>
            <w:r>
              <w:rPr>
                <w:sz w:val="24"/>
                <w:szCs w:val="24"/>
              </w:rPr>
              <w:t>pH</w:t>
            </w:r>
            <w:r>
              <w:rPr>
                <w:sz w:val="24"/>
                <w:szCs w:val="24"/>
                <w:spacing w:val="3"/>
              </w:rPr>
              <w:t>6.4～6.7,</w:t>
            </w:r>
            <w:r>
              <w:rPr>
                <w:sz w:val="24"/>
                <w:szCs w:val="24"/>
              </w:rPr>
              <w:t>SS</w:t>
            </w:r>
            <w:r>
              <w:rPr>
                <w:sz w:val="24"/>
                <w:szCs w:val="24"/>
                <w:spacing w:val="3"/>
              </w:rPr>
              <w:t>34～35</w:t>
            </w:r>
            <w:r>
              <w:rPr>
                <w:sz w:val="24"/>
                <w:szCs w:val="24"/>
              </w:rPr>
              <w:t>mg</w:t>
            </w:r>
            <w:r>
              <w:rPr>
                <w:sz w:val="24"/>
                <w:szCs w:val="24"/>
                <w:spacing w:val="3"/>
              </w:rPr>
              <w:t>/L,</w:t>
            </w:r>
            <w:r>
              <w:rPr>
                <w:sz w:val="24"/>
                <w:szCs w:val="24"/>
              </w:rPr>
              <w:t>COD</w:t>
            </w:r>
            <w:r>
              <w:rPr>
                <w:sz w:val="24"/>
                <w:szCs w:val="24"/>
                <w:spacing w:val="3"/>
              </w:rPr>
              <w:t>351～379</w:t>
            </w:r>
            <w:r>
              <w:rPr>
                <w:sz w:val="24"/>
                <w:szCs w:val="24"/>
              </w:rPr>
              <w:t>mg</w:t>
            </w:r>
            <w:r>
              <w:rPr>
                <w:sz w:val="24"/>
                <w:szCs w:val="24"/>
                <w:spacing w:val="3"/>
              </w:rPr>
              <w:t>/L,</w:t>
            </w:r>
            <w:r>
              <w:rPr>
                <w:sz w:val="24"/>
                <w:szCs w:val="24"/>
              </w:rPr>
              <w:t>BODs</w:t>
            </w:r>
            <w:r>
              <w:rPr>
                <w:sz w:val="24"/>
                <w:szCs w:val="24"/>
                <w:spacing w:val="3"/>
              </w:rPr>
              <w:t>132～14</w:t>
            </w:r>
            <w:r>
              <w:rPr>
                <w:sz w:val="24"/>
                <w:szCs w:val="24"/>
                <w:spacing w:val="2"/>
              </w:rPr>
              <w:t>4</w:t>
            </w:r>
            <w:r>
              <w:rPr>
                <w:sz w:val="24"/>
                <w:szCs w:val="24"/>
              </w:rPr>
              <w:t>mg</w:t>
            </w:r>
            <w:r>
              <w:rPr>
                <w:sz w:val="24"/>
                <w:szCs w:val="24"/>
                <w:spacing w:val="2"/>
              </w:rPr>
              <w:t>/L,氨氮36.7~</w:t>
            </w:r>
          </w:p>
          <w:p>
            <w:pPr>
              <w:pStyle w:val="TableText"/>
              <w:ind w:left="121"/>
              <w:spacing w:line="213" w:lineRule="auto"/>
              <w:rPr>
                <w:sz w:val="24"/>
                <w:szCs w:val="24"/>
              </w:rPr>
            </w:pPr>
            <w:r>
              <w:rPr>
                <w:sz w:val="24"/>
                <w:szCs w:val="24"/>
                <w:spacing w:val="3"/>
              </w:rPr>
              <w:t>38.0</w:t>
            </w:r>
            <w:r>
              <w:rPr>
                <w:sz w:val="24"/>
                <w:szCs w:val="24"/>
              </w:rPr>
              <w:t>mg</w:t>
            </w:r>
            <w:r>
              <w:rPr>
                <w:sz w:val="24"/>
                <w:szCs w:val="24"/>
                <w:spacing w:val="3"/>
              </w:rPr>
              <w:t>/L,总磷1.22～1.25</w:t>
            </w:r>
            <w:r>
              <w:rPr>
                <w:sz w:val="24"/>
                <w:szCs w:val="24"/>
              </w:rPr>
              <w:t>mg</w:t>
            </w:r>
            <w:r>
              <w:rPr>
                <w:sz w:val="24"/>
                <w:szCs w:val="24"/>
                <w:spacing w:val="3"/>
              </w:rPr>
              <w:t>/L,总氮58.2～5</w:t>
            </w:r>
            <w:r>
              <w:rPr>
                <w:sz w:val="24"/>
                <w:szCs w:val="24"/>
                <w:spacing w:val="2"/>
              </w:rPr>
              <w:t>8.5</w:t>
            </w:r>
            <w:r>
              <w:rPr>
                <w:sz w:val="24"/>
                <w:szCs w:val="24"/>
              </w:rPr>
              <w:t>mg</w:t>
            </w:r>
            <w:r>
              <w:rPr>
                <w:sz w:val="24"/>
                <w:szCs w:val="24"/>
                <w:spacing w:val="2"/>
              </w:rPr>
              <w:t>/L,动植物油类3.86~</w:t>
            </w:r>
          </w:p>
          <w:p>
            <w:pPr>
              <w:pStyle w:val="TableText"/>
              <w:ind w:left="101"/>
              <w:spacing w:before="182" w:line="214" w:lineRule="auto"/>
              <w:rPr>
                <w:sz w:val="24"/>
                <w:szCs w:val="24"/>
              </w:rPr>
            </w:pPr>
            <w:r>
              <w:rPr>
                <w:sz w:val="24"/>
                <w:szCs w:val="24"/>
              </w:rPr>
              <w:t>3.91mg/L,厂区废水总排口pH值、COD、BODs、SS、动植物油类排放浓度均符</w:t>
            </w:r>
          </w:p>
          <w:p>
            <w:pPr>
              <w:pStyle w:val="TableText"/>
              <w:ind w:left="131"/>
              <w:spacing w:before="219" w:line="219" w:lineRule="auto"/>
              <w:rPr>
                <w:sz w:val="24"/>
                <w:szCs w:val="24"/>
              </w:rPr>
            </w:pPr>
            <w:r>
              <w:rPr>
                <w:sz w:val="24"/>
                <w:szCs w:val="24"/>
                <w:spacing w:val="3"/>
              </w:rPr>
              <w:t>合《污水综合排放标准》(</w:t>
            </w:r>
            <w:r>
              <w:rPr>
                <w:sz w:val="24"/>
                <w:szCs w:val="24"/>
              </w:rPr>
              <w:t>GB</w:t>
            </w:r>
            <w:r>
              <w:rPr>
                <w:sz w:val="24"/>
                <w:szCs w:val="24"/>
                <w:spacing w:val="3"/>
              </w:rPr>
              <w:t>8978-1996)中的三级排放标准限值要求，氨氮、</w:t>
            </w:r>
          </w:p>
          <w:p>
            <w:pPr>
              <w:pStyle w:val="TableText"/>
              <w:ind w:left="111"/>
              <w:spacing w:before="185" w:line="491" w:lineRule="exact"/>
              <w:rPr>
                <w:sz w:val="24"/>
                <w:szCs w:val="24"/>
              </w:rPr>
            </w:pPr>
            <w:r>
              <w:rPr>
                <w:sz w:val="24"/>
                <w:szCs w:val="24"/>
                <w:spacing w:val="1"/>
                <w:position w:val="19"/>
              </w:rPr>
              <w:t>总磷、总氮排放浓度均符合《污水排入城镇下水道水质标准》(</w:t>
            </w:r>
            <w:r>
              <w:rPr>
                <w:sz w:val="24"/>
                <w:szCs w:val="24"/>
                <w:position w:val="19"/>
              </w:rPr>
              <w:t>GB</w:t>
            </w:r>
            <w:r>
              <w:rPr>
                <w:sz w:val="24"/>
                <w:szCs w:val="24"/>
                <w:spacing w:val="1"/>
                <w:position w:val="19"/>
              </w:rPr>
              <w:t>/T31962-2015)</w:t>
            </w:r>
          </w:p>
          <w:p>
            <w:pPr>
              <w:pStyle w:val="TableText"/>
              <w:ind w:left="151"/>
              <w:spacing w:line="219" w:lineRule="auto"/>
              <w:rPr>
                <w:sz w:val="24"/>
                <w:szCs w:val="24"/>
              </w:rPr>
            </w:pPr>
            <w:r>
              <w:rPr>
                <w:sz w:val="24"/>
                <w:szCs w:val="24"/>
                <w:spacing w:val="-1"/>
              </w:rPr>
              <w:t>中排入城市下水道系统的限值要求。</w:t>
            </w:r>
          </w:p>
          <w:p>
            <w:pPr>
              <w:pStyle w:val="TableText"/>
              <w:ind w:left="651"/>
              <w:spacing w:before="154" w:line="219" w:lineRule="auto"/>
              <w:rPr>
                <w:sz w:val="24"/>
                <w:szCs w:val="24"/>
              </w:rPr>
            </w:pPr>
            <w:r>
              <w:rPr>
                <w:sz w:val="24"/>
                <w:szCs w:val="24"/>
              </w:rPr>
              <w:t>综上所述，本项目生活污水经处理后可稳定达标要求，处理工艺可</w:t>
            </w:r>
            <w:r>
              <w:rPr>
                <w:sz w:val="24"/>
                <w:szCs w:val="24"/>
                <w:spacing w:val="-1"/>
              </w:rPr>
              <w:t>行。</w:t>
            </w:r>
          </w:p>
        </w:tc>
      </w:tr>
    </w:tbl>
    <w:p>
      <w:pPr>
        <w:rPr>
          <w:rFonts w:ascii="Arial"/>
          <w:sz w:val="21"/>
        </w:rPr>
      </w:pPr>
      <w:r/>
    </w:p>
    <w:p>
      <w:pPr>
        <w:sectPr>
          <w:footerReference w:type="default" r:id="rId125"/>
          <w:pgSz w:w="11900" w:h="16840"/>
          <w:pgMar w:top="1275" w:right="1415" w:bottom="988" w:left="1004" w:header="0" w:footer="849" w:gutter="0"/>
        </w:sectPr>
        <w:rPr>
          <w:rFonts w:ascii="Arial" w:hAnsi="Arial" w:eastAsia="Arial" w:cs="Arial"/>
          <w:sz w:val="21"/>
          <w:szCs w:val="21"/>
        </w:rPr>
      </w:pPr>
    </w:p>
    <w:p>
      <w:pPr>
        <w:spacing w:line="327" w:lineRule="auto"/>
        <w:rPr>
          <w:rFonts w:ascii="Arial"/>
          <w:sz w:val="21"/>
        </w:rPr>
      </w:pPr>
      <w:r/>
    </w:p>
    <w:p>
      <w:pPr>
        <w:spacing w:line="327" w:lineRule="auto"/>
        <w:rPr>
          <w:rFonts w:ascii="Arial"/>
          <w:sz w:val="21"/>
        </w:rPr>
      </w:pPr>
      <w:r/>
    </w:p>
    <w:p>
      <w:pPr>
        <w:pStyle w:val="BodyText"/>
        <w:ind w:left="5127"/>
        <w:spacing w:before="78" w:line="221" w:lineRule="auto"/>
        <w:rPr>
          <w:sz w:val="24"/>
          <w:szCs w:val="24"/>
        </w:rPr>
      </w:pPr>
      <w:r>
        <w:rPr>
          <w:sz w:val="24"/>
          <w:szCs w:val="24"/>
          <w:b/>
          <w:bCs/>
          <w:spacing w:val="-4"/>
        </w:rPr>
        <w:t>涉密，不予公开</w:t>
      </w:r>
    </w:p>
    <w:p>
      <w:pPr>
        <w:spacing w:line="410" w:lineRule="auto"/>
        <w:rPr>
          <w:rFonts w:ascii="Arial"/>
          <w:sz w:val="21"/>
        </w:rPr>
      </w:pPr>
      <w:r/>
    </w:p>
    <w:p>
      <w:pPr>
        <w:pStyle w:val="BodyText"/>
        <w:ind w:left="3487"/>
        <w:spacing w:before="78" w:line="219" w:lineRule="auto"/>
        <w:rPr>
          <w:sz w:val="24"/>
          <w:szCs w:val="24"/>
        </w:rPr>
      </w:pPr>
      <w:r>
        <w:rPr>
          <w:sz w:val="24"/>
          <w:szCs w:val="24"/>
          <w:b/>
          <w:bCs/>
          <w:spacing w:val="-6"/>
        </w:rPr>
        <w:t>图4.3-1</w:t>
      </w:r>
      <w:r>
        <w:rPr>
          <w:sz w:val="24"/>
          <w:szCs w:val="24"/>
          <w:spacing w:val="-6"/>
        </w:rPr>
        <w:t xml:space="preserve"> </w:t>
      </w:r>
      <w:r>
        <w:rPr>
          <w:sz w:val="24"/>
          <w:szCs w:val="24"/>
          <w:b/>
          <w:bCs/>
          <w:spacing w:val="-6"/>
        </w:rPr>
        <w:t>项目阴、阳极生产废水处理工艺流程图</w:t>
      </w:r>
    </w:p>
    <w:p>
      <w:pPr>
        <w:spacing w:line="219" w:lineRule="auto"/>
        <w:sectPr>
          <w:footerReference w:type="default" r:id="rId126"/>
          <w:pgSz w:w="16840" w:h="11900"/>
          <w:pgMar w:top="1011" w:right="2526" w:bottom="978" w:left="2526" w:header="0" w:footer="839" w:gutter="0"/>
        </w:sectPr>
        <w:rPr>
          <w:sz w:val="24"/>
          <w:szCs w:val="24"/>
        </w:rPr>
      </w:pPr>
    </w:p>
    <w:p>
      <w:pPr>
        <w:spacing w:line="141" w:lineRule="auto"/>
        <w:rPr>
          <w:rFonts w:ascii="Arial"/>
          <w:sz w:val="2"/>
        </w:rPr>
      </w:pPr>
      <w:r>
        <w:rPr>
          <w:rFonts w:ascii="Arial"/>
          <w:sz w:val="2"/>
        </w:rPr>
      </w:r>
    </w:p>
    <w:tbl>
      <w:tblPr>
        <w:tblStyle w:val="TableNormal"/>
        <w:tblW w:w="88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14"/>
        <w:gridCol w:w="2197"/>
        <w:gridCol w:w="999"/>
        <w:gridCol w:w="969"/>
        <w:gridCol w:w="979"/>
        <w:gridCol w:w="769"/>
        <w:gridCol w:w="1199"/>
        <w:gridCol w:w="1084"/>
      </w:tblGrid>
      <w:tr>
        <w:trPr>
          <w:trHeight w:val="10757" w:hRule="atLeast"/>
        </w:trPr>
        <w:tc>
          <w:tcPr>
            <w:tcW w:w="614"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65" w:right="60"/>
              <w:spacing w:before="75" w:line="221" w:lineRule="auto"/>
              <w:jc w:val="both"/>
              <w:rPr/>
            </w:pPr>
            <w:r>
              <w:rPr>
                <w:spacing w:val="7"/>
              </w:rPr>
              <w:t>运营</w:t>
            </w:r>
            <w:r>
              <w:rPr/>
              <w:t xml:space="preserve"> </w:t>
            </w:r>
            <w:r>
              <w:rPr>
                <w:spacing w:val="5"/>
              </w:rPr>
              <w:t>期环</w:t>
            </w:r>
            <w:r>
              <w:rPr/>
              <w:t xml:space="preserve"> </w:t>
            </w:r>
            <w:r>
              <w:rPr>
                <w:spacing w:val="-5"/>
              </w:rPr>
              <w:t>境影</w:t>
            </w:r>
            <w:r>
              <w:rPr/>
              <w:t xml:space="preserve"> </w:t>
            </w:r>
            <w:r>
              <w:rPr>
                <w:spacing w:val="9"/>
              </w:rPr>
              <w:t>响和</w:t>
            </w:r>
            <w:r>
              <w:rPr/>
              <w:t xml:space="preserve"> </w:t>
            </w:r>
            <w:r>
              <w:rPr>
                <w:spacing w:val="8"/>
              </w:rPr>
              <w:t>保护</w:t>
            </w:r>
            <w:r>
              <w:rPr/>
              <w:t xml:space="preserve"> </w:t>
            </w:r>
            <w:r>
              <w:rPr>
                <w:spacing w:val="-3"/>
              </w:rPr>
              <w:t>措施</w:t>
            </w:r>
          </w:p>
        </w:tc>
        <w:tc>
          <w:tcPr>
            <w:tcW w:w="8196" w:type="dxa"/>
            <w:vAlign w:val="top"/>
            <w:gridSpan w:val="7"/>
          </w:tcPr>
          <w:p>
            <w:pPr>
              <w:pStyle w:val="TableText"/>
              <w:ind w:left="124"/>
              <w:spacing w:before="71" w:line="219" w:lineRule="auto"/>
              <w:rPr/>
            </w:pPr>
            <w:r>
              <w:rPr>
                <w:b/>
                <w:bCs/>
                <w:spacing w:val="-4"/>
              </w:rPr>
              <w:t>4.3.3水环境影响分析</w:t>
            </w:r>
          </w:p>
          <w:p>
            <w:pPr>
              <w:pStyle w:val="TableText"/>
              <w:ind w:left="604"/>
              <w:spacing w:before="187" w:line="219" w:lineRule="auto"/>
              <w:rPr/>
            </w:pPr>
            <w:r>
              <w:rPr>
                <w:b/>
                <w:bCs/>
                <w:spacing w:val="-3"/>
              </w:rPr>
              <w:t>1、霞浦县污水处理厂概况</w:t>
            </w:r>
          </w:p>
          <w:p>
            <w:pPr>
              <w:pStyle w:val="TableText"/>
              <w:ind w:left="611"/>
              <w:spacing w:before="188" w:line="219" w:lineRule="auto"/>
              <w:rPr/>
            </w:pPr>
            <w:r>
              <w:rPr/>
              <w:t>霞浦县污水处理厂位于福建省宁德市霞浦县松港街道利埕村，</w:t>
            </w:r>
            <w:r>
              <w:rPr>
                <w:spacing w:val="-1"/>
              </w:rPr>
              <w:t>占地60亩。</w:t>
            </w:r>
          </w:p>
          <w:p>
            <w:pPr>
              <w:pStyle w:val="TableText"/>
              <w:ind w:left="121" w:right="464" w:firstLine="19"/>
              <w:spacing w:before="208" w:line="372" w:lineRule="auto"/>
              <w:rPr/>
            </w:pPr>
            <w:r>
              <w:rPr/>
              <w:t>霞浦县污水处理厂一期工程处理污水2万吨/天，二期工程日处理污水2万吨</w:t>
            </w:r>
            <w:r>
              <w:rPr>
                <w:spacing w:val="2"/>
              </w:rPr>
              <w:t xml:space="preserve">  </w:t>
            </w:r>
            <w:r>
              <w:rPr/>
              <w:t>/天，现共处理能力为4万吨/天，同时配套建设污水管网3</w:t>
            </w:r>
            <w:r>
              <w:rPr>
                <w:spacing w:val="-1"/>
              </w:rPr>
              <w:t>0.755公里和污水</w:t>
            </w:r>
            <w:r>
              <w:rPr/>
              <w:t xml:space="preserve">  </w:t>
            </w:r>
            <w:r>
              <w:rPr/>
              <w:t>提升泵站一座。2017年，污水厂经提标改造，尾水排放执行《城镇污水处理</w:t>
            </w:r>
          </w:p>
          <w:p>
            <w:pPr>
              <w:pStyle w:val="TableText"/>
              <w:ind w:left="141"/>
              <w:spacing w:line="219" w:lineRule="auto"/>
              <w:rPr/>
            </w:pPr>
            <w:r>
              <w:rPr/>
              <w:t>厂污染物排放标准》(GB18918-2002)一级A</w:t>
            </w:r>
            <w:r>
              <w:rPr>
                <w:spacing w:val="-1"/>
              </w:rPr>
              <w:t>标准。污水厂三期工程新增处</w:t>
            </w:r>
          </w:p>
          <w:p>
            <w:pPr>
              <w:pStyle w:val="TableText"/>
              <w:ind w:left="131" w:right="454"/>
              <w:spacing w:before="195" w:line="372" w:lineRule="auto"/>
              <w:rPr/>
            </w:pPr>
            <w:r>
              <w:rPr/>
              <w:t>理规模4万吨/天，扩建后总处理规模为8万吨/天，目前三期工程正在筹建阶</w:t>
            </w:r>
            <w:r>
              <w:rPr>
                <w:spacing w:val="9"/>
              </w:rPr>
              <w:t xml:space="preserve"> </w:t>
            </w:r>
            <w:r>
              <w:rPr/>
              <w:t>段。污水厂现服务范围：霞浦县中心城区，包括站</w:t>
            </w:r>
            <w:r>
              <w:rPr>
                <w:spacing w:val="-1"/>
              </w:rPr>
              <w:t>前区、新城区(含桃园组</w:t>
            </w:r>
          </w:p>
          <w:p>
            <w:pPr>
              <w:pStyle w:val="TableText"/>
              <w:ind w:left="141"/>
              <w:spacing w:before="1" w:line="218" w:lineRule="auto"/>
              <w:rPr/>
            </w:pPr>
            <w:r>
              <w:rPr>
                <w:spacing w:val="-2"/>
              </w:rPr>
              <w:t>团)、松城区、滨海区、</w:t>
            </w:r>
            <w:r>
              <w:rPr>
                <w:b/>
                <w:bCs/>
                <w:spacing w:val="-2"/>
              </w:rPr>
              <w:t>霞浦经济开发区(本项目所在工业区)。</w:t>
            </w:r>
          </w:p>
          <w:p>
            <w:pPr>
              <w:pStyle w:val="TableText"/>
              <w:ind w:left="731"/>
              <w:spacing w:before="226" w:line="222" w:lineRule="auto"/>
              <w:rPr/>
            </w:pPr>
            <w:r>
              <w:rPr>
                <w:spacing w:val="1"/>
              </w:rPr>
              <w:t>(1)处理工艺</w:t>
            </w:r>
          </w:p>
          <w:p>
            <w:pPr>
              <w:pStyle w:val="TableText"/>
              <w:ind w:left="611"/>
              <w:spacing w:before="168" w:line="219" w:lineRule="auto"/>
              <w:rPr/>
            </w:pPr>
            <w:r>
              <w:rPr>
                <w:spacing w:val="-5"/>
              </w:rPr>
              <w:t>霞浦县污水处理厂一期采用CAST二级生化</w:t>
            </w:r>
            <w:r>
              <w:rPr>
                <w:spacing w:val="-6"/>
              </w:rPr>
              <w:t>处理工艺，</w:t>
            </w:r>
            <w:r>
              <w:rPr>
                <w:spacing w:val="65"/>
              </w:rPr>
              <w:t xml:space="preserve"> </w:t>
            </w:r>
            <w:r>
              <w:rPr>
                <w:spacing w:val="-6"/>
              </w:rPr>
              <w:t>一期项目污泥采</w:t>
            </w:r>
          </w:p>
          <w:p>
            <w:pPr>
              <w:pStyle w:val="TableText"/>
              <w:ind w:left="131"/>
              <w:spacing w:before="197" w:line="481" w:lineRule="exact"/>
              <w:rPr/>
            </w:pPr>
            <w:r>
              <w:rPr>
                <w:position w:val="19"/>
              </w:rPr>
              <w:t>用带式浓缩脱水一体化机处理，处理后的污水经紫外线杀菌消毒后外排。二</w:t>
            </w:r>
          </w:p>
          <w:p>
            <w:pPr>
              <w:pStyle w:val="TableText"/>
              <w:ind w:left="141"/>
              <w:spacing w:before="1" w:line="219" w:lineRule="auto"/>
              <w:rPr/>
            </w:pPr>
            <w:r>
              <w:rPr/>
              <w:t>期污水处理工艺、出水消毒工艺与一期相同。</w:t>
            </w:r>
          </w:p>
          <w:p>
            <w:pPr>
              <w:pStyle w:val="TableText"/>
              <w:ind w:left="621"/>
              <w:spacing w:before="195" w:line="219" w:lineRule="auto"/>
              <w:rPr/>
            </w:pPr>
            <w:r>
              <w:rPr/>
              <w:t>三期扩建工程二级生物处理采用AAO工艺，深度</w:t>
            </w:r>
            <w:r>
              <w:rPr>
                <w:spacing w:val="-1"/>
              </w:rPr>
              <w:t>处理采用高效沉淀池+</w:t>
            </w:r>
          </w:p>
          <w:p>
            <w:pPr>
              <w:pStyle w:val="TableText"/>
              <w:ind w:left="141"/>
              <w:spacing w:before="197" w:line="219" w:lineRule="auto"/>
              <w:rPr/>
            </w:pPr>
            <w:r>
              <w:rPr/>
              <w:t>微过滤工艺。化学除磷采用聚合氯化铝(PAC)作为混</w:t>
            </w:r>
            <w:r>
              <w:rPr>
                <w:spacing w:val="-1"/>
              </w:rPr>
              <w:t>凝剂，PAM作为助凝</w:t>
            </w:r>
          </w:p>
          <w:p>
            <w:pPr>
              <w:pStyle w:val="TableText"/>
              <w:ind w:left="131"/>
              <w:spacing w:before="198" w:line="470" w:lineRule="exact"/>
              <w:rPr/>
            </w:pPr>
            <w:r>
              <w:rPr>
                <w:position w:val="18"/>
              </w:rPr>
              <w:t>剂；外加碳源为乙酸钠；尾水消毒采用紫外线消毒工艺；污泥处理采用叠螺</w:t>
            </w:r>
          </w:p>
          <w:p>
            <w:pPr>
              <w:pStyle w:val="TableText"/>
              <w:ind w:left="131"/>
              <w:spacing w:before="1" w:line="218" w:lineRule="auto"/>
              <w:rPr/>
            </w:pPr>
            <w:r>
              <w:rPr>
                <w:spacing w:val="-1"/>
              </w:rPr>
              <w:t>式污泥浓缩机+污泥调理+板框压滤机处理工艺。</w:t>
            </w:r>
          </w:p>
          <w:p>
            <w:pPr>
              <w:pStyle w:val="TableText"/>
              <w:ind w:left="611"/>
              <w:spacing w:before="208" w:line="471" w:lineRule="exact"/>
              <w:rPr/>
            </w:pPr>
            <w:r>
              <w:rPr>
                <w:spacing w:val="1"/>
                <w:position w:val="18"/>
              </w:rPr>
              <w:t>污水排放执行《城镇污水处理厂污染物排放标准》(</w:t>
            </w:r>
            <w:r>
              <w:rPr>
                <w:position w:val="18"/>
              </w:rPr>
              <w:t>GB</w:t>
            </w:r>
            <w:r>
              <w:rPr>
                <w:spacing w:val="1"/>
                <w:position w:val="18"/>
              </w:rPr>
              <w:t>1</w:t>
            </w:r>
            <w:r>
              <w:rPr>
                <w:position w:val="18"/>
              </w:rPr>
              <w:t>8918-2002)中</w:t>
            </w:r>
          </w:p>
          <w:p>
            <w:pPr>
              <w:pStyle w:val="TableText"/>
              <w:ind w:left="141"/>
              <w:spacing w:line="220" w:lineRule="auto"/>
              <w:rPr/>
            </w:pPr>
            <w:r>
              <w:rPr>
                <w:spacing w:val="-1"/>
              </w:rPr>
              <w:t>的一级A排放标准。</w:t>
            </w:r>
          </w:p>
          <w:p>
            <w:pPr>
              <w:pStyle w:val="TableText"/>
              <w:ind w:left="741"/>
              <w:spacing w:before="195" w:line="219" w:lineRule="auto"/>
              <w:rPr/>
            </w:pPr>
            <w:r>
              <w:rPr>
                <w:spacing w:val="2"/>
              </w:rPr>
              <w:t>(2)进出水水质</w:t>
            </w:r>
          </w:p>
          <w:p>
            <w:pPr>
              <w:pStyle w:val="TableText"/>
              <w:ind w:left="611"/>
              <w:spacing w:before="178" w:line="219" w:lineRule="auto"/>
              <w:rPr/>
            </w:pPr>
            <w:r>
              <w:rPr/>
              <w:t>霞浦县污水处理厂设计进出水水质指标如表4.3-4。</w:t>
            </w:r>
          </w:p>
          <w:p>
            <w:pPr>
              <w:pStyle w:val="TableText"/>
              <w:ind w:left="1864"/>
              <w:spacing w:before="193" w:line="219" w:lineRule="auto"/>
              <w:rPr/>
            </w:pPr>
            <w:r>
              <w:rPr>
                <w:b/>
                <w:bCs/>
                <w:spacing w:val="-2"/>
              </w:rPr>
              <w:t>表4.3-4</w:t>
            </w:r>
            <w:r>
              <w:rPr>
                <w:spacing w:val="-2"/>
              </w:rPr>
              <w:t xml:space="preserve">   </w:t>
            </w:r>
            <w:r>
              <w:rPr>
                <w:b/>
                <w:bCs/>
                <w:spacing w:val="-2"/>
              </w:rPr>
              <w:t>霞浦县污水处理厂设计进水水质</w:t>
            </w:r>
          </w:p>
        </w:tc>
      </w:tr>
      <w:tr>
        <w:trPr>
          <w:trHeight w:val="340" w:hRule="atLeast"/>
        </w:trPr>
        <w:tc>
          <w:tcPr>
            <w:tcW w:w="614" w:type="dxa"/>
            <w:vAlign w:val="top"/>
            <w:vMerge w:val="continue"/>
            <w:tcBorders>
              <w:top w:val="nil"/>
              <w:bottom w:val="nil"/>
            </w:tcBorders>
          </w:tcPr>
          <w:p>
            <w:pPr>
              <w:rPr>
                <w:rFonts w:ascii="Arial"/>
                <w:sz w:val="21"/>
              </w:rPr>
            </w:pPr>
            <w:r/>
          </w:p>
        </w:tc>
        <w:tc>
          <w:tcPr>
            <w:tcW w:w="2197" w:type="dxa"/>
            <w:vAlign w:val="top"/>
          </w:tcPr>
          <w:p>
            <w:pPr>
              <w:pStyle w:val="TableText"/>
              <w:ind w:left="741"/>
              <w:spacing w:before="68" w:line="210" w:lineRule="auto"/>
              <w:rPr/>
            </w:pPr>
            <w:r>
              <w:rPr>
                <w:spacing w:val="-7"/>
              </w:rPr>
              <w:t>项</w:t>
            </w:r>
            <w:r>
              <w:rPr>
                <w:spacing w:val="27"/>
              </w:rPr>
              <w:t xml:space="preserve">    </w:t>
            </w:r>
            <w:r>
              <w:rPr>
                <w:spacing w:val="-7"/>
              </w:rPr>
              <w:t>目</w:t>
            </w:r>
          </w:p>
        </w:tc>
        <w:tc>
          <w:tcPr>
            <w:tcW w:w="999" w:type="dxa"/>
            <w:vAlign w:val="top"/>
          </w:tcPr>
          <w:p>
            <w:pPr>
              <w:pStyle w:val="TableText"/>
              <w:ind w:left="264"/>
              <w:spacing w:before="126" w:line="163" w:lineRule="auto"/>
              <w:rPr/>
            </w:pPr>
            <w:r>
              <w:rPr>
                <w:spacing w:val="-1"/>
              </w:rPr>
              <w:t>BODs</w:t>
            </w:r>
          </w:p>
        </w:tc>
        <w:tc>
          <w:tcPr>
            <w:tcW w:w="969" w:type="dxa"/>
            <w:vAlign w:val="top"/>
          </w:tcPr>
          <w:p>
            <w:pPr>
              <w:pStyle w:val="TableText"/>
              <w:ind w:left="305"/>
              <w:spacing w:before="126" w:line="163" w:lineRule="auto"/>
              <w:rPr/>
            </w:pPr>
            <w:r>
              <w:rPr>
                <w:spacing w:val="-2"/>
              </w:rPr>
              <w:t>COD</w:t>
            </w:r>
          </w:p>
        </w:tc>
        <w:tc>
          <w:tcPr>
            <w:tcW w:w="979" w:type="dxa"/>
            <w:vAlign w:val="top"/>
          </w:tcPr>
          <w:p>
            <w:pPr>
              <w:pStyle w:val="TableText"/>
              <w:ind w:left="366"/>
              <w:spacing w:before="126" w:line="163" w:lineRule="auto"/>
              <w:rPr/>
            </w:pPr>
            <w:r>
              <w:rPr>
                <w:spacing w:val="-5"/>
              </w:rPr>
              <w:t>SS</w:t>
            </w:r>
          </w:p>
        </w:tc>
        <w:tc>
          <w:tcPr>
            <w:tcW w:w="769" w:type="dxa"/>
            <w:vAlign w:val="top"/>
          </w:tcPr>
          <w:p>
            <w:pPr>
              <w:pStyle w:val="TableText"/>
              <w:ind w:left="267"/>
              <w:spacing w:before="128" w:line="162" w:lineRule="auto"/>
              <w:rPr/>
            </w:pPr>
            <w:r>
              <w:rPr>
                <w:spacing w:val="-2"/>
              </w:rPr>
              <w:t>TN</w:t>
            </w:r>
          </w:p>
        </w:tc>
        <w:tc>
          <w:tcPr>
            <w:tcW w:w="1199" w:type="dxa"/>
            <w:vAlign w:val="top"/>
          </w:tcPr>
          <w:p>
            <w:pPr>
              <w:pStyle w:val="TableText"/>
              <w:ind w:left="248"/>
              <w:spacing w:before="104" w:line="181" w:lineRule="auto"/>
              <w:rPr/>
            </w:pPr>
            <w:r>
              <w:rPr>
                <w:spacing w:val="-1"/>
              </w:rPr>
              <w:t>NH</w:t>
            </w:r>
            <w:r>
              <w:rPr>
                <w:rFonts w:ascii="Calibri" w:hAnsi="Calibri" w:eastAsia="Calibri" w:cs="Calibri"/>
                <w:spacing w:val="-1"/>
              </w:rPr>
              <w:t>₃</w:t>
            </w:r>
            <w:r>
              <w:rPr>
                <w:spacing w:val="-1"/>
              </w:rPr>
              <w:t>-N</w:t>
            </w:r>
          </w:p>
        </w:tc>
        <w:tc>
          <w:tcPr>
            <w:tcW w:w="1084" w:type="dxa"/>
            <w:vAlign w:val="top"/>
          </w:tcPr>
          <w:p>
            <w:pPr>
              <w:pStyle w:val="TableText"/>
              <w:ind w:left="419"/>
              <w:spacing w:before="128" w:line="162" w:lineRule="auto"/>
              <w:rPr/>
            </w:pPr>
            <w:r>
              <w:rPr>
                <w:spacing w:val="-2"/>
              </w:rPr>
              <w:t>TP</w:t>
            </w:r>
          </w:p>
        </w:tc>
      </w:tr>
      <w:tr>
        <w:trPr>
          <w:trHeight w:val="319" w:hRule="atLeast"/>
        </w:trPr>
        <w:tc>
          <w:tcPr>
            <w:tcW w:w="614" w:type="dxa"/>
            <w:vAlign w:val="top"/>
            <w:vMerge w:val="continue"/>
            <w:tcBorders>
              <w:top w:val="nil"/>
              <w:bottom w:val="nil"/>
            </w:tcBorders>
          </w:tcPr>
          <w:p>
            <w:pPr>
              <w:rPr>
                <w:rFonts w:ascii="Arial"/>
                <w:sz w:val="21"/>
              </w:rPr>
            </w:pPr>
            <w:r/>
          </w:p>
        </w:tc>
        <w:tc>
          <w:tcPr>
            <w:tcW w:w="2197" w:type="dxa"/>
            <w:vAlign w:val="top"/>
          </w:tcPr>
          <w:p>
            <w:pPr>
              <w:pStyle w:val="TableText"/>
              <w:ind w:left="11"/>
              <w:spacing w:before="49" w:line="208" w:lineRule="auto"/>
              <w:rPr/>
            </w:pPr>
            <w:r>
              <w:rPr>
                <w:spacing w:val="5"/>
              </w:rPr>
              <w:t>设计进水水质(</w:t>
            </w:r>
            <w:r>
              <w:rPr/>
              <w:t>mg</w:t>
            </w:r>
            <w:r>
              <w:rPr>
                <w:spacing w:val="5"/>
              </w:rPr>
              <w:t>/L)</w:t>
            </w:r>
          </w:p>
        </w:tc>
        <w:tc>
          <w:tcPr>
            <w:tcW w:w="999" w:type="dxa"/>
            <w:vAlign w:val="top"/>
          </w:tcPr>
          <w:p>
            <w:pPr>
              <w:pStyle w:val="TableText"/>
              <w:ind w:left="314"/>
              <w:spacing w:before="115" w:line="193" w:lineRule="exact"/>
              <w:rPr/>
            </w:pPr>
            <w:r>
              <w:rPr>
                <w:spacing w:val="-6"/>
                <w:position w:val="-2"/>
              </w:rPr>
              <w:t>150</w:t>
            </w:r>
          </w:p>
        </w:tc>
        <w:tc>
          <w:tcPr>
            <w:tcW w:w="969" w:type="dxa"/>
            <w:vAlign w:val="top"/>
          </w:tcPr>
          <w:p>
            <w:pPr>
              <w:pStyle w:val="TableText"/>
              <w:ind w:left="305"/>
              <w:spacing w:before="116" w:line="192" w:lineRule="exact"/>
              <w:rPr/>
            </w:pPr>
            <w:r>
              <w:rPr>
                <w:spacing w:val="-4"/>
                <w:position w:val="-2"/>
              </w:rPr>
              <w:t>300</w:t>
            </w:r>
          </w:p>
        </w:tc>
        <w:tc>
          <w:tcPr>
            <w:tcW w:w="979" w:type="dxa"/>
            <w:vAlign w:val="top"/>
          </w:tcPr>
          <w:p>
            <w:pPr>
              <w:pStyle w:val="TableText"/>
              <w:ind w:left="306"/>
              <w:spacing w:before="116" w:line="192" w:lineRule="exact"/>
              <w:rPr/>
            </w:pPr>
            <w:r>
              <w:rPr>
                <w:spacing w:val="-3"/>
                <w:position w:val="-2"/>
              </w:rPr>
              <w:t>250</w:t>
            </w:r>
          </w:p>
        </w:tc>
        <w:tc>
          <w:tcPr>
            <w:tcW w:w="769" w:type="dxa"/>
            <w:vAlign w:val="top"/>
          </w:tcPr>
          <w:p>
            <w:pPr>
              <w:pStyle w:val="TableText"/>
              <w:ind w:left="267"/>
              <w:spacing w:before="116" w:line="192" w:lineRule="exact"/>
              <w:rPr/>
            </w:pPr>
            <w:r>
              <w:rPr>
                <w:spacing w:val="-3"/>
                <w:position w:val="-2"/>
              </w:rPr>
              <w:t>45</w:t>
            </w:r>
          </w:p>
        </w:tc>
        <w:tc>
          <w:tcPr>
            <w:tcW w:w="1199" w:type="dxa"/>
            <w:vAlign w:val="top"/>
          </w:tcPr>
          <w:p>
            <w:pPr>
              <w:pStyle w:val="TableText"/>
              <w:ind w:left="478"/>
              <w:spacing w:before="116" w:line="192" w:lineRule="exact"/>
              <w:rPr/>
            </w:pPr>
            <w:r>
              <w:rPr>
                <w:spacing w:val="-3"/>
                <w:position w:val="-2"/>
              </w:rPr>
              <w:t>40</w:t>
            </w:r>
          </w:p>
        </w:tc>
        <w:tc>
          <w:tcPr>
            <w:tcW w:w="1084" w:type="dxa"/>
            <w:vAlign w:val="top"/>
          </w:tcPr>
          <w:p>
            <w:pPr>
              <w:pStyle w:val="TableText"/>
              <w:ind w:left="479"/>
              <w:spacing w:before="116" w:line="192" w:lineRule="exact"/>
              <w:rPr/>
            </w:pPr>
            <w:r>
              <w:rPr>
                <w:position w:val="-2"/>
              </w:rPr>
              <w:t>6</w:t>
            </w:r>
          </w:p>
        </w:tc>
      </w:tr>
      <w:tr>
        <w:trPr>
          <w:trHeight w:val="330" w:hRule="atLeast"/>
        </w:trPr>
        <w:tc>
          <w:tcPr>
            <w:tcW w:w="614" w:type="dxa"/>
            <w:vAlign w:val="top"/>
            <w:vMerge w:val="continue"/>
            <w:tcBorders>
              <w:top w:val="nil"/>
              <w:bottom w:val="nil"/>
            </w:tcBorders>
          </w:tcPr>
          <w:p>
            <w:pPr>
              <w:rPr>
                <w:rFonts w:ascii="Arial"/>
                <w:sz w:val="21"/>
              </w:rPr>
            </w:pPr>
            <w:r/>
          </w:p>
        </w:tc>
        <w:tc>
          <w:tcPr>
            <w:tcW w:w="2197" w:type="dxa"/>
            <w:vAlign w:val="top"/>
          </w:tcPr>
          <w:p>
            <w:pPr>
              <w:pStyle w:val="TableText"/>
              <w:ind w:left="11"/>
              <w:spacing w:before="50" w:line="214" w:lineRule="auto"/>
              <w:rPr/>
            </w:pPr>
            <w:r>
              <w:rPr>
                <w:spacing w:val="5"/>
              </w:rPr>
              <w:t>设计出水水质(</w:t>
            </w:r>
            <w:r>
              <w:rPr/>
              <w:t>mg</w:t>
            </w:r>
            <w:r>
              <w:rPr>
                <w:spacing w:val="5"/>
              </w:rPr>
              <w:t>/L)</w:t>
            </w:r>
          </w:p>
        </w:tc>
        <w:tc>
          <w:tcPr>
            <w:tcW w:w="999" w:type="dxa"/>
            <w:vAlign w:val="top"/>
          </w:tcPr>
          <w:p>
            <w:pPr>
              <w:pStyle w:val="TableText"/>
              <w:ind w:left="264"/>
              <w:spacing w:before="79" w:line="193" w:lineRule="auto"/>
              <w:rPr/>
            </w:pPr>
            <w:r>
              <w:rPr>
                <w:spacing w:val="-7"/>
              </w:rPr>
              <w:t>≤10</w:t>
            </w:r>
          </w:p>
        </w:tc>
        <w:tc>
          <w:tcPr>
            <w:tcW w:w="969" w:type="dxa"/>
            <w:vAlign w:val="top"/>
          </w:tcPr>
          <w:p>
            <w:pPr>
              <w:pStyle w:val="TableText"/>
              <w:ind w:left="245"/>
              <w:spacing w:before="79" w:line="193" w:lineRule="auto"/>
              <w:rPr/>
            </w:pPr>
            <w:r>
              <w:rPr>
                <w:spacing w:val="-7"/>
              </w:rPr>
              <w:t>≤50</w:t>
            </w:r>
          </w:p>
        </w:tc>
        <w:tc>
          <w:tcPr>
            <w:tcW w:w="979" w:type="dxa"/>
            <w:vAlign w:val="top"/>
          </w:tcPr>
          <w:p>
            <w:pPr>
              <w:pStyle w:val="TableText"/>
              <w:ind w:left="256"/>
              <w:spacing w:before="79" w:line="193" w:lineRule="auto"/>
              <w:rPr/>
            </w:pPr>
            <w:r>
              <w:rPr>
                <w:spacing w:val="-7"/>
              </w:rPr>
              <w:t>≤10</w:t>
            </w:r>
          </w:p>
        </w:tc>
        <w:tc>
          <w:tcPr>
            <w:tcW w:w="769" w:type="dxa"/>
            <w:vAlign w:val="top"/>
          </w:tcPr>
          <w:p>
            <w:pPr>
              <w:pStyle w:val="TableText"/>
              <w:ind w:left="147"/>
              <w:spacing w:before="79" w:line="193" w:lineRule="auto"/>
              <w:rPr/>
            </w:pPr>
            <w:r>
              <w:rPr>
                <w:spacing w:val="-7"/>
              </w:rPr>
              <w:t>≤15</w:t>
            </w:r>
          </w:p>
        </w:tc>
        <w:tc>
          <w:tcPr>
            <w:tcW w:w="1199" w:type="dxa"/>
            <w:vAlign w:val="top"/>
          </w:tcPr>
          <w:p>
            <w:pPr>
              <w:pStyle w:val="TableText"/>
              <w:ind w:left="248"/>
              <w:spacing w:before="62" w:line="207" w:lineRule="auto"/>
              <w:rPr/>
            </w:pPr>
            <w:r>
              <w:rPr>
                <w:spacing w:val="-5"/>
              </w:rPr>
              <w:t>≤5(8)</w:t>
            </w:r>
          </w:p>
        </w:tc>
        <w:tc>
          <w:tcPr>
            <w:tcW w:w="1084" w:type="dxa"/>
            <w:vAlign w:val="top"/>
          </w:tcPr>
          <w:p>
            <w:pPr>
              <w:pStyle w:val="TableText"/>
              <w:ind w:left="308"/>
              <w:spacing w:before="82" w:line="191" w:lineRule="auto"/>
              <w:rPr/>
            </w:pPr>
            <w:r>
              <w:rPr>
                <w:spacing w:val="-4"/>
              </w:rPr>
              <w:t>&lt;0.5</w:t>
            </w:r>
          </w:p>
        </w:tc>
      </w:tr>
      <w:tr>
        <w:trPr>
          <w:trHeight w:val="320" w:hRule="atLeast"/>
        </w:trPr>
        <w:tc>
          <w:tcPr>
            <w:tcW w:w="614" w:type="dxa"/>
            <w:vAlign w:val="top"/>
            <w:vMerge w:val="continue"/>
            <w:tcBorders>
              <w:top w:val="nil"/>
              <w:bottom w:val="nil"/>
            </w:tcBorders>
          </w:tcPr>
          <w:p>
            <w:pPr>
              <w:rPr>
                <w:rFonts w:ascii="Arial"/>
                <w:sz w:val="21"/>
              </w:rPr>
            </w:pPr>
            <w:r/>
          </w:p>
        </w:tc>
        <w:tc>
          <w:tcPr>
            <w:tcW w:w="2197" w:type="dxa"/>
            <w:vAlign w:val="top"/>
          </w:tcPr>
          <w:p>
            <w:pPr>
              <w:pStyle w:val="TableText"/>
              <w:ind w:left="611"/>
              <w:spacing w:before="68" w:line="194" w:lineRule="auto"/>
              <w:rPr/>
            </w:pPr>
            <w:r>
              <w:rPr>
                <w:spacing w:val="6"/>
              </w:rPr>
              <w:t>处理效率(%)</w:t>
            </w:r>
          </w:p>
        </w:tc>
        <w:tc>
          <w:tcPr>
            <w:tcW w:w="999" w:type="dxa"/>
            <w:vAlign w:val="top"/>
          </w:tcPr>
          <w:p>
            <w:pPr>
              <w:pStyle w:val="TableText"/>
              <w:ind w:left="264"/>
              <w:spacing w:before="127" w:line="182" w:lineRule="exact"/>
              <w:rPr/>
            </w:pPr>
            <w:r>
              <w:rPr>
                <w:spacing w:val="-2"/>
                <w:position w:val="-3"/>
              </w:rPr>
              <w:t>93.3</w:t>
            </w:r>
          </w:p>
        </w:tc>
        <w:tc>
          <w:tcPr>
            <w:tcW w:w="969" w:type="dxa"/>
            <w:vAlign w:val="top"/>
          </w:tcPr>
          <w:p>
            <w:pPr>
              <w:pStyle w:val="TableText"/>
              <w:ind w:left="245"/>
              <w:spacing w:before="127" w:line="182" w:lineRule="exact"/>
              <w:rPr/>
            </w:pPr>
            <w:r>
              <w:rPr>
                <w:spacing w:val="-2"/>
                <w:position w:val="-3"/>
              </w:rPr>
              <w:t>83.3</w:t>
            </w:r>
          </w:p>
        </w:tc>
        <w:tc>
          <w:tcPr>
            <w:tcW w:w="979" w:type="dxa"/>
            <w:vAlign w:val="top"/>
          </w:tcPr>
          <w:p>
            <w:pPr>
              <w:pStyle w:val="TableText"/>
              <w:ind w:left="256"/>
              <w:spacing w:before="127" w:line="182" w:lineRule="exact"/>
              <w:rPr/>
            </w:pPr>
            <w:r>
              <w:rPr>
                <w:spacing w:val="-2"/>
                <w:position w:val="-3"/>
              </w:rPr>
              <w:t>96.0</w:t>
            </w:r>
          </w:p>
        </w:tc>
        <w:tc>
          <w:tcPr>
            <w:tcW w:w="769" w:type="dxa"/>
            <w:vAlign w:val="top"/>
          </w:tcPr>
          <w:p>
            <w:pPr>
              <w:pStyle w:val="TableText"/>
              <w:ind w:left="147"/>
              <w:spacing w:before="127" w:line="182" w:lineRule="exact"/>
              <w:rPr/>
            </w:pPr>
            <w:r>
              <w:rPr>
                <w:spacing w:val="-3"/>
                <w:position w:val="-3"/>
              </w:rPr>
              <w:t>66.7</w:t>
            </w:r>
          </w:p>
        </w:tc>
        <w:tc>
          <w:tcPr>
            <w:tcW w:w="1199" w:type="dxa"/>
            <w:vAlign w:val="top"/>
          </w:tcPr>
          <w:p>
            <w:pPr>
              <w:pStyle w:val="TableText"/>
              <w:ind w:left="138"/>
              <w:spacing w:before="72" w:line="191" w:lineRule="auto"/>
              <w:rPr/>
            </w:pPr>
            <w:r>
              <w:rPr>
                <w:spacing w:val="-2"/>
              </w:rPr>
              <w:t>85.7(80)</w:t>
            </w:r>
          </w:p>
        </w:tc>
        <w:tc>
          <w:tcPr>
            <w:tcW w:w="1084" w:type="dxa"/>
            <w:vAlign w:val="top"/>
          </w:tcPr>
          <w:p>
            <w:pPr>
              <w:pStyle w:val="TableText"/>
              <w:ind w:left="308"/>
              <w:spacing w:before="126" w:line="183" w:lineRule="exact"/>
              <w:rPr/>
            </w:pPr>
            <w:r>
              <w:rPr>
                <w:spacing w:val="-2"/>
                <w:position w:val="-3"/>
              </w:rPr>
              <w:t>91.7</w:t>
            </w:r>
          </w:p>
        </w:tc>
      </w:tr>
      <w:tr>
        <w:trPr>
          <w:trHeight w:val="350" w:hRule="atLeast"/>
        </w:trPr>
        <w:tc>
          <w:tcPr>
            <w:tcW w:w="614" w:type="dxa"/>
            <w:vAlign w:val="top"/>
            <w:vMerge w:val="continue"/>
            <w:tcBorders>
              <w:top w:val="nil"/>
              <w:bottom w:val="nil"/>
            </w:tcBorders>
          </w:tcPr>
          <w:p>
            <w:pPr>
              <w:rPr>
                <w:rFonts w:ascii="Arial"/>
                <w:sz w:val="21"/>
              </w:rPr>
            </w:pPr>
            <w:r/>
          </w:p>
        </w:tc>
        <w:tc>
          <w:tcPr>
            <w:tcW w:w="8196" w:type="dxa"/>
            <w:vAlign w:val="top"/>
            <w:gridSpan w:val="7"/>
          </w:tcPr>
          <w:p>
            <w:pPr>
              <w:pStyle w:val="TableText"/>
              <w:spacing w:before="68" w:line="218" w:lineRule="auto"/>
              <w:jc w:val="right"/>
              <w:rPr/>
            </w:pPr>
            <w:r>
              <w:rPr>
                <w:spacing w:val="-19"/>
              </w:rPr>
              <w:t>注：括号外数值为水温&gt;120℃时的控制指标，括号内数值为水温≤12</w:t>
            </w:r>
            <w:r>
              <w:rPr>
                <w:spacing w:val="-20"/>
              </w:rPr>
              <w:t>℃时的控制指标。</w:t>
            </w:r>
          </w:p>
        </w:tc>
      </w:tr>
      <w:tr>
        <w:trPr>
          <w:trHeight w:val="1384" w:hRule="atLeast"/>
        </w:trPr>
        <w:tc>
          <w:tcPr>
            <w:tcW w:w="614" w:type="dxa"/>
            <w:vAlign w:val="top"/>
            <w:vMerge w:val="continue"/>
            <w:tcBorders>
              <w:top w:val="nil"/>
            </w:tcBorders>
          </w:tcPr>
          <w:p>
            <w:pPr>
              <w:rPr>
                <w:rFonts w:ascii="Arial"/>
                <w:sz w:val="21"/>
              </w:rPr>
            </w:pPr>
            <w:r/>
          </w:p>
        </w:tc>
        <w:tc>
          <w:tcPr>
            <w:tcW w:w="8196" w:type="dxa"/>
            <w:vAlign w:val="top"/>
            <w:gridSpan w:val="7"/>
          </w:tcPr>
          <w:p>
            <w:pPr>
              <w:spacing w:line="431" w:lineRule="auto"/>
              <w:rPr>
                <w:rFonts w:ascii="Arial"/>
                <w:sz w:val="21"/>
              </w:rPr>
            </w:pPr>
            <w:r/>
          </w:p>
          <w:p>
            <w:pPr>
              <w:pStyle w:val="TableText"/>
              <w:ind w:left="741"/>
              <w:spacing w:before="75" w:line="219" w:lineRule="auto"/>
              <w:rPr/>
            </w:pPr>
            <w:r>
              <w:rPr/>
              <w:t>(3)尾水排放</w:t>
            </w:r>
          </w:p>
          <w:p>
            <w:pPr>
              <w:pStyle w:val="TableText"/>
              <w:ind w:left="611"/>
              <w:spacing w:before="174" w:line="218" w:lineRule="auto"/>
              <w:rPr/>
            </w:pPr>
            <w:r>
              <w:rPr>
                <w:spacing w:val="1"/>
              </w:rPr>
              <w:t>根据《霞浦县污水厂三期及配套设施建设项目环境影响报告表》(2022.6)</w:t>
            </w:r>
          </w:p>
        </w:tc>
      </w:tr>
    </w:tbl>
    <w:p>
      <w:pPr>
        <w:rPr>
          <w:rFonts w:ascii="Arial"/>
          <w:sz w:val="21"/>
        </w:rPr>
      </w:pPr>
      <w:r/>
    </w:p>
    <w:p>
      <w:pPr>
        <w:sectPr>
          <w:footerReference w:type="default" r:id="rId127"/>
          <w:pgSz w:w="11900" w:h="16840"/>
          <w:pgMar w:top="1431" w:right="1475" w:bottom="988" w:left="1604" w:header="0" w:footer="849" w:gutter="0"/>
        </w:sectPr>
        <w:rPr>
          <w:rFonts w:ascii="Arial" w:hAnsi="Arial" w:eastAsia="Arial" w:cs="Arial"/>
          <w:sz w:val="21"/>
          <w:szCs w:val="21"/>
        </w:rPr>
      </w:pPr>
    </w:p>
    <w:p>
      <w:pPr>
        <w:spacing w:line="141" w:lineRule="auto"/>
        <w:rPr>
          <w:rFonts w:ascii="Arial"/>
          <w:sz w:val="2"/>
        </w:rPr>
      </w:pPr>
      <w:r>
        <w:rPr>
          <w:rFonts w:ascii="Arial"/>
          <w:sz w:val="2"/>
        </w:rPr>
      </w:r>
    </w:p>
    <w:tbl>
      <w:tblPr>
        <w:tblStyle w:val="TableNormal"/>
        <w:tblW w:w="8827"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04"/>
        <w:gridCol w:w="8223"/>
      </w:tblGrid>
      <w:tr>
        <w:trPr>
          <w:trHeight w:val="13580" w:hRule="atLeast"/>
        </w:trPr>
        <w:tc>
          <w:tcPr>
            <w:tcW w:w="604" w:type="dxa"/>
            <w:vAlign w:val="top"/>
          </w:tcPr>
          <w:p>
            <w:pPr>
              <w:rPr>
                <w:rFonts w:ascii="Arial"/>
                <w:sz w:val="21"/>
              </w:rPr>
            </w:pPr>
            <w:r/>
          </w:p>
        </w:tc>
        <w:tc>
          <w:tcPr>
            <w:tcW w:w="8223" w:type="dxa"/>
            <w:vAlign w:val="top"/>
          </w:tcPr>
          <w:p>
            <w:pPr>
              <w:pStyle w:val="TableText"/>
              <w:ind w:left="121"/>
              <w:spacing w:before="64" w:line="467" w:lineRule="exact"/>
              <w:rPr>
                <w:sz w:val="24"/>
                <w:szCs w:val="24"/>
              </w:rPr>
            </w:pPr>
            <w:r>
              <w:rPr>
                <w:sz w:val="24"/>
                <w:szCs w:val="24"/>
                <w:position w:val="17"/>
              </w:rPr>
              <w:t>分析，霞浦县污水处理厂现有一期及二期工程排放口位于海洋功能区划划定</w:t>
            </w:r>
          </w:p>
          <w:p>
            <w:pPr>
              <w:pStyle w:val="TableText"/>
              <w:ind w:left="141"/>
              <w:spacing w:line="216" w:lineRule="auto"/>
              <w:rPr>
                <w:sz w:val="24"/>
                <w:szCs w:val="24"/>
              </w:rPr>
            </w:pPr>
            <w:r>
              <w:rPr>
                <w:sz w:val="24"/>
                <w:szCs w:val="24"/>
              </w:rPr>
              <w:t>的“A3-07三沙工业与城镇用海区”,根据《福建省近岸海域环境功能区划</w:t>
            </w:r>
          </w:p>
          <w:p>
            <w:pPr>
              <w:pStyle w:val="TableText"/>
              <w:ind w:left="261"/>
              <w:spacing w:before="189" w:line="216" w:lineRule="auto"/>
              <w:rPr>
                <w:sz w:val="24"/>
                <w:szCs w:val="24"/>
              </w:rPr>
            </w:pPr>
            <w:r>
              <w:rPr>
                <w:sz w:val="24"/>
                <w:szCs w:val="24"/>
              </w:rPr>
              <w:t>(2011～2020年)》,现有工程(一、二期)排放口位于“霞浦东部海域三</w:t>
            </w:r>
          </w:p>
          <w:p>
            <w:pPr>
              <w:pStyle w:val="TableText"/>
              <w:ind w:left="131"/>
              <w:spacing w:before="188" w:line="464" w:lineRule="exact"/>
              <w:rPr>
                <w:sz w:val="24"/>
                <w:szCs w:val="24"/>
              </w:rPr>
            </w:pPr>
            <w:r>
              <w:rPr>
                <w:sz w:val="24"/>
                <w:szCs w:val="24"/>
                <w:position w:val="17"/>
              </w:rPr>
              <w:t>类区(FJ010-C-Ⅱ)”,主导功能为港口纳污，辅助功能为养殖、旅游，海水</w:t>
            </w:r>
          </w:p>
          <w:p>
            <w:pPr>
              <w:pStyle w:val="TableText"/>
              <w:ind w:left="131"/>
              <w:spacing w:line="219" w:lineRule="auto"/>
              <w:rPr>
                <w:sz w:val="24"/>
                <w:szCs w:val="24"/>
              </w:rPr>
            </w:pPr>
            <w:r>
              <w:rPr>
                <w:sz w:val="24"/>
                <w:szCs w:val="24"/>
              </w:rPr>
              <w:t>水质类别规划为二类。</w:t>
            </w:r>
          </w:p>
          <w:p>
            <w:pPr>
              <w:pStyle w:val="TableText"/>
              <w:ind w:left="121" w:firstLine="489"/>
              <w:spacing w:before="171" w:line="366" w:lineRule="auto"/>
              <w:rPr>
                <w:sz w:val="24"/>
                <w:szCs w:val="24"/>
              </w:rPr>
            </w:pPr>
            <w:r>
              <w:rPr>
                <w:sz w:val="24"/>
                <w:szCs w:val="24"/>
                <w:spacing w:val="-2"/>
              </w:rPr>
              <w:t>根据《霞浦县污水厂三期及配套设施建设项目环境影响报告表》(</w:t>
            </w:r>
            <w:r>
              <w:rPr>
                <w:sz w:val="24"/>
                <w:szCs w:val="24"/>
                <w:spacing w:val="-3"/>
              </w:rPr>
              <w:t>2022.6)</w:t>
            </w:r>
            <w:r>
              <w:rPr>
                <w:sz w:val="24"/>
                <w:szCs w:val="24"/>
              </w:rPr>
              <w:t xml:space="preserve"> </w:t>
            </w:r>
            <w:r>
              <w:rPr>
                <w:sz w:val="24"/>
                <w:szCs w:val="24"/>
              </w:rPr>
              <w:t>分析，霞浦县污水厂三期工程南侧拟建霞浦县尾水回用工程，该工程尾水回</w:t>
            </w:r>
            <w:r>
              <w:rPr>
                <w:sz w:val="24"/>
                <w:szCs w:val="24"/>
                <w:spacing w:val="7"/>
              </w:rPr>
              <w:t xml:space="preserve">  </w:t>
            </w:r>
            <w:r>
              <w:rPr>
                <w:sz w:val="24"/>
                <w:szCs w:val="24"/>
                <w:spacing w:val="3"/>
              </w:rPr>
              <w:t>用量为8万m³/d,主要回用于城区护城河补水和城市景观绿化、道路清扫等。</w:t>
            </w:r>
            <w:r>
              <w:rPr>
                <w:sz w:val="24"/>
                <w:szCs w:val="24"/>
                <w:spacing w:val="10"/>
              </w:rPr>
              <w:t xml:space="preserve"> </w:t>
            </w:r>
            <w:r>
              <w:rPr>
                <w:sz w:val="24"/>
                <w:szCs w:val="24"/>
              </w:rPr>
              <w:t>待该工程建成投入使用后，霞浦县污水处理厂一、</w:t>
            </w:r>
            <w:r>
              <w:rPr>
                <w:sz w:val="24"/>
                <w:szCs w:val="24"/>
                <w:spacing w:val="-1"/>
              </w:rPr>
              <w:t>二、三期工程的尾水均进</w:t>
            </w:r>
          </w:p>
          <w:p>
            <w:pPr>
              <w:pStyle w:val="TableText"/>
              <w:ind w:left="141"/>
              <w:spacing w:line="219" w:lineRule="auto"/>
              <w:rPr>
                <w:sz w:val="24"/>
                <w:szCs w:val="24"/>
              </w:rPr>
            </w:pPr>
            <w:r>
              <w:rPr>
                <w:sz w:val="24"/>
                <w:szCs w:val="24"/>
                <w:spacing w:val="-1"/>
              </w:rPr>
              <w:t>入尾水回用工程处理。</w:t>
            </w:r>
          </w:p>
          <w:p>
            <w:pPr>
              <w:pStyle w:val="TableText"/>
              <w:ind w:left="594"/>
              <w:spacing w:before="162" w:line="219" w:lineRule="auto"/>
              <w:rPr>
                <w:sz w:val="24"/>
                <w:szCs w:val="24"/>
              </w:rPr>
            </w:pPr>
            <w:r>
              <w:rPr>
                <w:sz w:val="24"/>
                <w:szCs w:val="24"/>
                <w:b/>
                <w:bCs/>
                <w:spacing w:val="-4"/>
              </w:rPr>
              <w:t>2、项目废水纳入霞浦县污水处理厂可行性分析</w:t>
            </w:r>
          </w:p>
          <w:p>
            <w:pPr>
              <w:pStyle w:val="TableText"/>
              <w:ind w:left="741"/>
              <w:spacing w:before="199" w:line="219" w:lineRule="auto"/>
              <w:rPr>
                <w:sz w:val="24"/>
                <w:szCs w:val="24"/>
              </w:rPr>
            </w:pPr>
            <w:r>
              <w:rPr>
                <w:sz w:val="24"/>
                <w:szCs w:val="24"/>
              </w:rPr>
              <w:t>(1)污水管网建设及污水排放情况</w:t>
            </w:r>
          </w:p>
          <w:p>
            <w:pPr>
              <w:pStyle w:val="TableText"/>
              <w:ind w:left="121" w:right="128" w:firstLine="490"/>
              <w:spacing w:before="155" w:line="363" w:lineRule="auto"/>
              <w:rPr>
                <w:sz w:val="24"/>
                <w:szCs w:val="24"/>
              </w:rPr>
            </w:pPr>
            <w:r>
              <w:rPr>
                <w:sz w:val="24"/>
                <w:szCs w:val="24"/>
              </w:rPr>
              <w:t>项目所在的霞浦经济开发区污水接入工程的污水干管起点为大沙片区的</w:t>
            </w:r>
            <w:r>
              <w:rPr>
                <w:sz w:val="24"/>
                <w:szCs w:val="24"/>
                <w:spacing w:val="17"/>
              </w:rPr>
              <w:t xml:space="preserve"> </w:t>
            </w:r>
            <w:r>
              <w:rPr>
                <w:sz w:val="24"/>
                <w:szCs w:val="24"/>
                <w:spacing w:val="1"/>
              </w:rPr>
              <w:t>金属制品污水处理站，向北沿现状海堤内侧敷设至尾岭山，再沿尾岭山东侧</w:t>
            </w:r>
            <w:r>
              <w:rPr>
                <w:sz w:val="24"/>
                <w:szCs w:val="24"/>
                <w:spacing w:val="2"/>
              </w:rPr>
              <w:t xml:space="preserve"> </w:t>
            </w:r>
            <w:r>
              <w:rPr>
                <w:sz w:val="24"/>
                <w:szCs w:val="24"/>
                <w:spacing w:val="1"/>
              </w:rPr>
              <w:t>山脚向北敷设至赤岸大道，再沿赤岸大道向北敷设至三河提升泵站</w:t>
            </w:r>
            <w:r>
              <w:rPr>
                <w:sz w:val="24"/>
                <w:szCs w:val="24"/>
              </w:rPr>
              <w:t>，污水经 </w:t>
            </w:r>
            <w:r>
              <w:rPr>
                <w:sz w:val="24"/>
                <w:szCs w:val="24"/>
              </w:rPr>
              <w:t>泵站提升后通过三河污水干管，再连接空海大道污水干管并最终接入污水处</w:t>
            </w:r>
            <w:r>
              <w:rPr>
                <w:sz w:val="24"/>
                <w:szCs w:val="24"/>
                <w:spacing w:val="9"/>
              </w:rPr>
              <w:t xml:space="preserve"> </w:t>
            </w:r>
            <w:r>
              <w:rPr>
                <w:sz w:val="24"/>
                <w:szCs w:val="24"/>
                <w:spacing w:val="1"/>
              </w:rPr>
              <w:t>理厂。目前霞浦经济开发区大沙片区管网已与霞浦县污水处理厂连接，区内</w:t>
            </w:r>
          </w:p>
          <w:p>
            <w:pPr>
              <w:pStyle w:val="TableText"/>
              <w:ind w:left="121"/>
              <w:spacing w:line="219" w:lineRule="auto"/>
              <w:rPr>
                <w:sz w:val="24"/>
                <w:szCs w:val="24"/>
              </w:rPr>
            </w:pPr>
            <w:r>
              <w:rPr>
                <w:sz w:val="24"/>
                <w:szCs w:val="24"/>
              </w:rPr>
              <w:t>污水可以纳入霞浦县污水处理厂集中处置。</w:t>
            </w:r>
          </w:p>
          <w:p>
            <w:pPr>
              <w:pStyle w:val="TableText"/>
              <w:ind w:left="611"/>
              <w:spacing w:before="166" w:line="219" w:lineRule="auto"/>
              <w:rPr>
                <w:sz w:val="24"/>
                <w:szCs w:val="24"/>
              </w:rPr>
            </w:pPr>
            <w:r>
              <w:rPr>
                <w:sz w:val="24"/>
                <w:szCs w:val="24"/>
              </w:rPr>
              <w:t>现有工程已于2021年11月6日完成时代一汽动力电池有限公司(年产</w:t>
            </w:r>
          </w:p>
          <w:p>
            <w:pPr>
              <w:pStyle w:val="TableText"/>
              <w:ind w:left="141"/>
              <w:spacing w:before="173" w:line="219" w:lineRule="auto"/>
              <w:rPr>
                <w:sz w:val="24"/>
                <w:szCs w:val="24"/>
              </w:rPr>
            </w:pPr>
            <w:r>
              <w:rPr>
                <w:sz w:val="24"/>
                <w:szCs w:val="24"/>
              </w:rPr>
              <w:t>10GWh)  (阶段性6.7GWh)竣工环境验收。根据建设单位提供的城镇污水</w:t>
            </w:r>
          </w:p>
          <w:p>
            <w:pPr>
              <w:pStyle w:val="TableText"/>
              <w:ind w:left="131"/>
              <w:spacing w:before="197" w:line="219" w:lineRule="auto"/>
              <w:rPr>
                <w:sz w:val="24"/>
                <w:szCs w:val="24"/>
              </w:rPr>
            </w:pPr>
            <w:r>
              <w:rPr>
                <w:sz w:val="24"/>
                <w:szCs w:val="24"/>
              </w:rPr>
              <w:t>排入排水管网许可证(编号；霞排准字第2021006号)可知，项目生产废</w:t>
            </w:r>
            <w:r>
              <w:rPr>
                <w:sz w:val="24"/>
                <w:szCs w:val="24"/>
                <w:spacing w:val="-1"/>
              </w:rPr>
              <w:t>水，</w:t>
            </w:r>
          </w:p>
          <w:p>
            <w:pPr>
              <w:pStyle w:val="TableText"/>
              <w:ind w:left="141"/>
              <w:spacing w:before="185" w:line="481" w:lineRule="exact"/>
              <w:rPr>
                <w:sz w:val="24"/>
                <w:szCs w:val="24"/>
              </w:rPr>
            </w:pPr>
            <w:r>
              <w:rPr>
                <w:sz w:val="24"/>
                <w:szCs w:val="24"/>
                <w:position w:val="18"/>
              </w:rPr>
              <w:t>部分生活污水、食堂废水经东侧长富路的市政污水管网，纳入霞浦县污水处</w:t>
            </w:r>
          </w:p>
          <w:p>
            <w:pPr>
              <w:pStyle w:val="TableText"/>
              <w:ind w:left="121"/>
              <w:spacing w:line="220" w:lineRule="auto"/>
              <w:rPr>
                <w:sz w:val="24"/>
                <w:szCs w:val="24"/>
              </w:rPr>
            </w:pPr>
            <w:r>
              <w:rPr>
                <w:sz w:val="24"/>
                <w:szCs w:val="24"/>
                <w:spacing w:val="-1"/>
              </w:rPr>
              <w:t>理厂。</w:t>
            </w:r>
          </w:p>
          <w:p>
            <w:pPr>
              <w:pStyle w:val="TableText"/>
              <w:ind w:left="601"/>
              <w:spacing w:before="173" w:line="460" w:lineRule="exact"/>
              <w:rPr>
                <w:sz w:val="24"/>
                <w:szCs w:val="24"/>
              </w:rPr>
            </w:pPr>
            <w:r>
              <w:rPr>
                <w:sz w:val="24"/>
                <w:szCs w:val="24"/>
                <w:position w:val="16"/>
              </w:rPr>
              <w:t>部分生活污水、食堂废水经北侧南一路的市政污水管网，纳入霞浦县污</w:t>
            </w:r>
          </w:p>
          <w:p>
            <w:pPr>
              <w:pStyle w:val="TableText"/>
              <w:ind w:left="121"/>
              <w:spacing w:before="1" w:line="219" w:lineRule="auto"/>
              <w:rPr>
                <w:sz w:val="24"/>
                <w:szCs w:val="24"/>
              </w:rPr>
            </w:pPr>
            <w:r>
              <w:rPr>
                <w:sz w:val="24"/>
                <w:szCs w:val="24"/>
              </w:rPr>
              <w:t>水处理厂。</w:t>
            </w:r>
          </w:p>
          <w:p>
            <w:pPr>
              <w:pStyle w:val="TableText"/>
              <w:ind w:left="611"/>
              <w:spacing w:before="174" w:line="471" w:lineRule="exact"/>
              <w:rPr>
                <w:sz w:val="24"/>
                <w:szCs w:val="24"/>
              </w:rPr>
            </w:pPr>
            <w:r>
              <w:rPr>
                <w:sz w:val="24"/>
                <w:szCs w:val="24"/>
                <w:position w:val="17"/>
              </w:rPr>
              <w:t>本项目为改扩建项目，项目外排废水与现有工程废水一起通过园区已敷</w:t>
            </w:r>
          </w:p>
          <w:p>
            <w:pPr>
              <w:pStyle w:val="TableText"/>
              <w:ind w:left="141"/>
              <w:spacing w:line="219" w:lineRule="auto"/>
              <w:rPr>
                <w:sz w:val="24"/>
                <w:szCs w:val="24"/>
              </w:rPr>
            </w:pPr>
            <w:r>
              <w:rPr>
                <w:sz w:val="24"/>
                <w:szCs w:val="24"/>
              </w:rPr>
              <w:t>设的污水管道由污水提升泵站汇入霞浦县污水处理</w:t>
            </w:r>
            <w:r>
              <w:rPr>
                <w:sz w:val="24"/>
                <w:szCs w:val="24"/>
                <w:spacing w:val="-1"/>
              </w:rPr>
              <w:t>厂。</w:t>
            </w:r>
          </w:p>
          <w:p>
            <w:pPr>
              <w:pStyle w:val="TableText"/>
              <w:ind w:left="741"/>
              <w:spacing w:before="205" w:line="219" w:lineRule="auto"/>
              <w:rPr>
                <w:sz w:val="24"/>
                <w:szCs w:val="24"/>
              </w:rPr>
            </w:pPr>
            <w:r>
              <w:rPr>
                <w:sz w:val="24"/>
                <w:szCs w:val="24"/>
              </w:rPr>
              <w:t>(2)水质接纳可行性分析</w:t>
            </w:r>
          </w:p>
          <w:p>
            <w:pPr>
              <w:pStyle w:val="TableText"/>
              <w:ind w:left="611"/>
              <w:spacing w:before="162" w:line="216" w:lineRule="auto"/>
              <w:rPr>
                <w:sz w:val="24"/>
                <w:szCs w:val="24"/>
              </w:rPr>
            </w:pPr>
            <w:r>
              <w:rPr>
                <w:sz w:val="24"/>
                <w:szCs w:val="24"/>
                <w:spacing w:val="6"/>
              </w:rPr>
              <w:t>根据工程分析，生活污水主要污染物是</w:t>
            </w:r>
            <w:r>
              <w:rPr>
                <w:sz w:val="24"/>
                <w:szCs w:val="24"/>
              </w:rPr>
              <w:t>COD</w:t>
            </w:r>
            <w:r>
              <w:rPr>
                <w:sz w:val="24"/>
                <w:szCs w:val="24"/>
                <w:spacing w:val="6"/>
              </w:rPr>
              <w:t>、</w:t>
            </w:r>
            <w:r>
              <w:rPr>
                <w:sz w:val="24"/>
                <w:szCs w:val="24"/>
              </w:rPr>
              <w:t>BODs</w:t>
            </w:r>
            <w:r>
              <w:rPr>
                <w:sz w:val="24"/>
                <w:szCs w:val="24"/>
                <w:spacing w:val="6"/>
              </w:rPr>
              <w:t>、</w:t>
            </w:r>
            <w:r>
              <w:rPr>
                <w:sz w:val="24"/>
                <w:szCs w:val="24"/>
              </w:rPr>
              <w:t>SS</w:t>
            </w:r>
            <w:r>
              <w:rPr>
                <w:sz w:val="24"/>
                <w:szCs w:val="24"/>
                <w:spacing w:val="6"/>
              </w:rPr>
              <w:t>、</w:t>
            </w:r>
            <w:r>
              <w:rPr>
                <w:sz w:val="24"/>
                <w:szCs w:val="24"/>
              </w:rPr>
              <w:t>NH</w:t>
            </w:r>
            <w:r>
              <w:rPr>
                <w:rFonts w:ascii="Calibri" w:hAnsi="Calibri" w:eastAsia="Calibri" w:cs="Calibri"/>
                <w:sz w:val="24"/>
                <w:szCs w:val="24"/>
                <w:spacing w:val="6"/>
              </w:rPr>
              <w:t>₃</w:t>
            </w:r>
            <w:r>
              <w:rPr>
                <w:sz w:val="24"/>
                <w:szCs w:val="24"/>
                <w:spacing w:val="6"/>
              </w:rPr>
              <w:t>-N,水质</w:t>
            </w:r>
          </w:p>
        </w:tc>
      </w:tr>
    </w:tbl>
    <w:p>
      <w:pPr>
        <w:rPr>
          <w:rFonts w:ascii="Arial"/>
          <w:sz w:val="21"/>
        </w:rPr>
      </w:pPr>
      <w:r/>
    </w:p>
    <w:p>
      <w:pPr>
        <w:sectPr>
          <w:footerReference w:type="default" r:id="rId128"/>
          <w:pgSz w:w="11900" w:h="16840"/>
          <w:pgMar w:top="1431" w:right="1437" w:bottom="988" w:left="1624" w:header="0" w:footer="849" w:gutter="0"/>
        </w:sectPr>
        <w:rPr>
          <w:rFonts w:ascii="Arial" w:hAnsi="Arial" w:eastAsia="Arial" w:cs="Arial"/>
          <w:sz w:val="21"/>
          <w:szCs w:val="21"/>
        </w:rPr>
      </w:pPr>
    </w:p>
    <w:p>
      <w:pPr>
        <w:spacing w:line="37" w:lineRule="auto"/>
        <w:rPr>
          <w:rFonts w:ascii="Arial"/>
          <w:sz w:val="2"/>
        </w:rPr>
      </w:pPr>
      <w:r>
        <w:rPr>
          <w:rFonts w:ascii="Arial"/>
          <w:sz w:val="2"/>
        </w:rPr>
      </w:r>
    </w:p>
    <w:tbl>
      <w:tblPr>
        <w:tblStyle w:val="TableNormal"/>
        <w:tblW w:w="88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04"/>
        <w:gridCol w:w="8245"/>
      </w:tblGrid>
      <w:tr>
        <w:trPr>
          <w:trHeight w:val="9719" w:hRule="atLeast"/>
        </w:trPr>
        <w:tc>
          <w:tcPr>
            <w:tcW w:w="604" w:type="dxa"/>
            <w:vAlign w:val="top"/>
          </w:tcPr>
          <w:p>
            <w:pPr>
              <w:rPr>
                <w:rFonts w:ascii="Arial"/>
                <w:sz w:val="21"/>
              </w:rPr>
            </w:pPr>
            <w:r/>
          </w:p>
        </w:tc>
        <w:tc>
          <w:tcPr>
            <w:tcW w:w="8245" w:type="dxa"/>
            <w:vAlign w:val="top"/>
          </w:tcPr>
          <w:p>
            <w:pPr>
              <w:pStyle w:val="TableText"/>
              <w:ind w:left="131"/>
              <w:spacing w:before="53" w:line="481" w:lineRule="exact"/>
              <w:rPr>
                <w:sz w:val="24"/>
                <w:szCs w:val="24"/>
              </w:rPr>
            </w:pPr>
            <w:r>
              <w:rPr>
                <w:sz w:val="24"/>
                <w:szCs w:val="24"/>
                <w:position w:val="18"/>
              </w:rPr>
              <w:t>较为简单，经隔油池、化粪池预处理后排放不会对霞浦县污水处理厂负荷和</w:t>
            </w:r>
          </w:p>
          <w:p>
            <w:pPr>
              <w:pStyle w:val="TableText"/>
              <w:ind w:left="141"/>
              <w:spacing w:line="219" w:lineRule="auto"/>
              <w:rPr>
                <w:sz w:val="24"/>
                <w:szCs w:val="24"/>
              </w:rPr>
            </w:pPr>
            <w:r>
              <w:rPr>
                <w:sz w:val="24"/>
                <w:szCs w:val="24"/>
              </w:rPr>
              <w:t>处理工艺产生影响。</w:t>
            </w:r>
          </w:p>
          <w:p>
            <w:pPr>
              <w:pStyle w:val="TableText"/>
              <w:ind w:left="611"/>
              <w:spacing w:before="174" w:line="471" w:lineRule="exact"/>
              <w:rPr>
                <w:sz w:val="24"/>
                <w:szCs w:val="24"/>
              </w:rPr>
            </w:pPr>
            <w:r>
              <w:rPr>
                <w:sz w:val="24"/>
                <w:szCs w:val="24"/>
                <w:position w:val="17"/>
              </w:rPr>
              <w:t>根据前文分析，本项目建成后，厂区内外排的</w:t>
            </w:r>
            <w:r>
              <w:rPr>
                <w:sz w:val="24"/>
                <w:szCs w:val="24"/>
                <w:spacing w:val="-1"/>
                <w:position w:val="17"/>
              </w:rPr>
              <w:t>生产废水经厂内废水处理</w:t>
            </w:r>
          </w:p>
          <w:p>
            <w:pPr>
              <w:pStyle w:val="TableText"/>
              <w:ind w:left="141"/>
              <w:spacing w:line="220" w:lineRule="auto"/>
              <w:rPr>
                <w:sz w:val="24"/>
                <w:szCs w:val="24"/>
              </w:rPr>
            </w:pPr>
            <w:r>
              <w:rPr>
                <w:sz w:val="24"/>
                <w:szCs w:val="24"/>
                <w:spacing w:val="1"/>
              </w:rPr>
              <w:t>系统处理后，可达到《电池工业污染物排放标准》</w:t>
            </w:r>
            <w:r>
              <w:rPr>
                <w:sz w:val="24"/>
                <w:szCs w:val="24"/>
              </w:rPr>
              <w:t>(GB30484-2013)表2间</w:t>
            </w:r>
          </w:p>
          <w:p>
            <w:pPr>
              <w:pStyle w:val="TableText"/>
              <w:ind w:left="131"/>
              <w:spacing w:before="163" w:line="219" w:lineRule="auto"/>
              <w:rPr>
                <w:sz w:val="24"/>
                <w:szCs w:val="24"/>
              </w:rPr>
            </w:pPr>
            <w:r>
              <w:rPr>
                <w:sz w:val="24"/>
                <w:szCs w:val="24"/>
                <w:spacing w:val="1"/>
              </w:rPr>
              <w:t>接排放标准，其中阴极废水经阴极废水处理</w:t>
            </w:r>
            <w:r>
              <w:rPr>
                <w:sz w:val="24"/>
                <w:szCs w:val="24"/>
              </w:rPr>
              <w:t>系统处理后，废水中的总镍、总</w:t>
            </w:r>
          </w:p>
          <w:p>
            <w:pPr>
              <w:pStyle w:val="TableText"/>
              <w:ind w:left="251"/>
              <w:spacing w:before="206" w:line="220" w:lineRule="auto"/>
              <w:rPr>
                <w:sz w:val="24"/>
                <w:szCs w:val="24"/>
              </w:rPr>
            </w:pPr>
            <w:r>
              <w:rPr>
                <w:sz w:val="24"/>
                <w:szCs w:val="24"/>
              </w:rPr>
              <w:t>钴可达到《电池工业污染物排放标准》(GB30484-2013)表3直接排放标准。</w:t>
            </w:r>
          </w:p>
          <w:p>
            <w:pPr>
              <w:pStyle w:val="TableText"/>
              <w:ind w:left="131"/>
              <w:spacing w:before="160" w:line="216" w:lineRule="auto"/>
              <w:rPr>
                <w:sz w:val="24"/>
                <w:szCs w:val="24"/>
              </w:rPr>
            </w:pPr>
            <w:r>
              <w:rPr>
                <w:sz w:val="24"/>
                <w:szCs w:val="24"/>
                <w:spacing w:val="1"/>
              </w:rPr>
              <w:t>根据废水污染源强分析可知，本项目阴极废水日排放量约10.8t/d</w:t>
            </w:r>
            <w:r>
              <w:rPr>
                <w:sz w:val="24"/>
                <w:szCs w:val="24"/>
              </w:rPr>
              <w:t>,经厂区内</w:t>
            </w:r>
          </w:p>
          <w:p>
            <w:pPr>
              <w:pStyle w:val="TableText"/>
              <w:ind w:right="1"/>
              <w:spacing w:before="164" w:line="214" w:lineRule="auto"/>
              <w:jc w:val="right"/>
              <w:rPr>
                <w:sz w:val="24"/>
                <w:szCs w:val="24"/>
              </w:rPr>
            </w:pPr>
            <w:r>
              <w:rPr>
                <w:sz w:val="24"/>
                <w:szCs w:val="24"/>
                <w:spacing w:val="3"/>
              </w:rPr>
              <w:t>废水站阴极废水处理系统处理后，达标排放的重金属排放量为</w:t>
            </w:r>
            <w:r>
              <w:rPr>
                <w:sz w:val="24"/>
                <w:szCs w:val="24"/>
              </w:rPr>
              <w:t>Co</w:t>
            </w:r>
            <w:r>
              <w:rPr>
                <w:sz w:val="24"/>
                <w:szCs w:val="24"/>
                <w:spacing w:val="3"/>
              </w:rPr>
              <w:t>约1.08g/d、</w:t>
            </w:r>
          </w:p>
          <w:p>
            <w:pPr>
              <w:pStyle w:val="TableText"/>
              <w:ind w:left="191"/>
              <w:spacing w:before="222" w:line="214" w:lineRule="auto"/>
              <w:rPr>
                <w:sz w:val="24"/>
                <w:szCs w:val="24"/>
              </w:rPr>
            </w:pPr>
            <w:r>
              <w:rPr>
                <w:sz w:val="24"/>
                <w:szCs w:val="24"/>
              </w:rPr>
              <w:t>Ni约0.54g/d、Mn约16.2g/d,可见，项目废水中重金属排放量较小。</w:t>
            </w:r>
            <w:r>
              <w:rPr>
                <w:sz w:val="24"/>
                <w:szCs w:val="24"/>
                <w:spacing w:val="-1"/>
              </w:rPr>
              <w:t>不会对</w:t>
            </w:r>
          </w:p>
          <w:p>
            <w:pPr>
              <w:pStyle w:val="TableText"/>
              <w:ind w:left="131"/>
              <w:spacing w:before="189" w:line="481" w:lineRule="exact"/>
              <w:rPr>
                <w:sz w:val="24"/>
                <w:szCs w:val="24"/>
              </w:rPr>
            </w:pPr>
            <w:r>
              <w:rPr>
                <w:sz w:val="24"/>
                <w:szCs w:val="24"/>
                <w:position w:val="18"/>
              </w:rPr>
              <w:t>霞浦县污水厂的进水水质和日常运行产生不良影</w:t>
            </w:r>
            <w:r>
              <w:rPr>
                <w:sz w:val="24"/>
                <w:szCs w:val="24"/>
                <w:spacing w:val="-1"/>
                <w:position w:val="18"/>
              </w:rPr>
              <w:t>响。</w:t>
            </w:r>
          </w:p>
          <w:p>
            <w:pPr>
              <w:pStyle w:val="TableText"/>
              <w:ind w:left="751"/>
              <w:spacing w:line="219" w:lineRule="auto"/>
              <w:rPr>
                <w:sz w:val="24"/>
                <w:szCs w:val="24"/>
              </w:rPr>
            </w:pPr>
            <w:r>
              <w:rPr>
                <w:sz w:val="24"/>
                <w:szCs w:val="24"/>
              </w:rPr>
              <w:t>(3)霞浦县污水处理厂纳污能力分析</w:t>
            </w:r>
          </w:p>
          <w:p>
            <w:pPr>
              <w:pStyle w:val="TableText"/>
              <w:ind w:left="131" w:right="171" w:firstLine="470"/>
              <w:spacing w:before="163" w:line="361" w:lineRule="auto"/>
              <w:jc w:val="both"/>
              <w:rPr>
                <w:sz w:val="24"/>
                <w:szCs w:val="24"/>
              </w:rPr>
            </w:pPr>
            <w:r>
              <w:rPr>
                <w:sz w:val="24"/>
                <w:szCs w:val="24"/>
              </w:rPr>
              <w:t>霞浦县污水处理厂现状处理规模为4万t/d。从相关部门了解到，霞浦县</w:t>
            </w:r>
            <w:r>
              <w:rPr>
                <w:sz w:val="24"/>
                <w:szCs w:val="24"/>
                <w:spacing w:val="10"/>
              </w:rPr>
              <w:t xml:space="preserve"> </w:t>
            </w:r>
            <w:r>
              <w:rPr>
                <w:sz w:val="24"/>
                <w:szCs w:val="24"/>
                <w:spacing w:val="2"/>
              </w:rPr>
              <w:t>建设有应急污水处理工程，设计处理规模2万t/d,用于解决霞浦县污</w:t>
            </w:r>
            <w:r>
              <w:rPr>
                <w:sz w:val="24"/>
                <w:szCs w:val="24"/>
                <w:spacing w:val="1"/>
              </w:rPr>
              <w:t>水处理</w:t>
            </w:r>
            <w:r>
              <w:rPr>
                <w:sz w:val="24"/>
                <w:szCs w:val="24"/>
              </w:rPr>
              <w:t xml:space="preserve"> </w:t>
            </w:r>
            <w:r>
              <w:rPr>
                <w:sz w:val="24"/>
                <w:szCs w:val="24"/>
              </w:rPr>
              <w:t>厂三期未建成期间污水处理能力不足的问题，目前该工程已投入使用。从霞</w:t>
            </w:r>
          </w:p>
          <w:p>
            <w:pPr>
              <w:pStyle w:val="TableText"/>
              <w:ind w:left="121"/>
              <w:spacing w:before="1" w:line="216" w:lineRule="auto"/>
              <w:rPr>
                <w:sz w:val="24"/>
                <w:szCs w:val="24"/>
              </w:rPr>
            </w:pPr>
            <w:r>
              <w:rPr>
                <w:sz w:val="24"/>
                <w:szCs w:val="24"/>
              </w:rPr>
              <w:t>浦县污水处理厂了解到，目前霞浦县污水处理厂处理量约3万t/d,尚有1万</w:t>
            </w:r>
          </w:p>
          <w:p>
            <w:pPr>
              <w:pStyle w:val="TableText"/>
              <w:spacing w:before="189" w:line="216" w:lineRule="auto"/>
              <w:jc w:val="right"/>
              <w:rPr>
                <w:sz w:val="24"/>
                <w:szCs w:val="24"/>
              </w:rPr>
            </w:pPr>
            <w:r>
              <w:rPr>
                <w:sz w:val="24"/>
                <w:szCs w:val="24"/>
                <w:spacing w:val="1"/>
              </w:rPr>
              <w:t>t/d的处理余量，本项目新增污水最大日排放量为218.8t/d(生产废水35.1t/d,</w:t>
            </w:r>
          </w:p>
          <w:p>
            <w:pPr>
              <w:pStyle w:val="TableText"/>
              <w:ind w:left="131"/>
              <w:spacing w:before="189" w:line="473" w:lineRule="exact"/>
              <w:rPr>
                <w:sz w:val="24"/>
                <w:szCs w:val="24"/>
              </w:rPr>
            </w:pPr>
            <w:r>
              <w:rPr>
                <w:sz w:val="24"/>
                <w:szCs w:val="24"/>
                <w:position w:val="17"/>
              </w:rPr>
              <w:t>生活污水183.7t/d),占处理余量1万t/d的2.19%,可见，从水量上分析</w:t>
            </w:r>
          </w:p>
          <w:p>
            <w:pPr>
              <w:pStyle w:val="TableText"/>
              <w:ind w:left="131"/>
              <w:spacing w:line="218" w:lineRule="auto"/>
              <w:rPr>
                <w:sz w:val="24"/>
                <w:szCs w:val="24"/>
              </w:rPr>
            </w:pPr>
            <w:r>
              <w:rPr>
                <w:sz w:val="24"/>
                <w:szCs w:val="24"/>
              </w:rPr>
              <w:t>本项目污水纳入霞浦县污水处理厂处理是可性</w:t>
            </w:r>
            <w:r>
              <w:rPr>
                <w:sz w:val="24"/>
                <w:szCs w:val="24"/>
                <w:spacing w:val="-1"/>
              </w:rPr>
              <w:t>的。</w:t>
            </w:r>
          </w:p>
          <w:p>
            <w:pPr>
              <w:pStyle w:val="TableText"/>
              <w:ind w:left="534"/>
              <w:spacing w:before="174" w:line="219" w:lineRule="auto"/>
              <w:rPr>
                <w:sz w:val="24"/>
                <w:szCs w:val="24"/>
              </w:rPr>
            </w:pPr>
            <w:r>
              <w:rPr>
                <w:sz w:val="24"/>
                <w:szCs w:val="24"/>
                <w:b/>
                <w:bCs/>
                <w:spacing w:val="-4"/>
              </w:rPr>
              <w:t>3、项目废水污染物排放信息表</w:t>
            </w:r>
          </w:p>
        </w:tc>
      </w:tr>
    </w:tbl>
    <w:p>
      <w:pPr>
        <w:rPr>
          <w:rFonts w:ascii="Arial"/>
          <w:sz w:val="21"/>
        </w:rPr>
      </w:pPr>
      <w:r/>
    </w:p>
    <w:p>
      <w:pPr>
        <w:sectPr>
          <w:footerReference w:type="default" r:id="rId129"/>
          <w:pgSz w:w="11900" w:h="16840"/>
          <w:pgMar w:top="1431" w:right="1415" w:bottom="988" w:left="1624" w:header="0" w:footer="849" w:gutter="0"/>
        </w:sectPr>
        <w:rPr>
          <w:rFonts w:ascii="Arial" w:hAnsi="Arial" w:eastAsia="Arial" w:cs="Arial"/>
          <w:sz w:val="21"/>
          <w:szCs w:val="21"/>
        </w:rPr>
      </w:pPr>
    </w:p>
    <w:p>
      <w:pPr>
        <w:spacing w:line="341" w:lineRule="auto"/>
        <w:rPr>
          <w:rFonts w:ascii="Arial"/>
          <w:sz w:val="21"/>
        </w:rPr>
      </w:pPr>
      <w:r/>
    </w:p>
    <w:p>
      <w:pPr>
        <w:pStyle w:val="BodyText"/>
        <w:ind w:left="3984"/>
        <w:spacing w:before="59" w:line="236" w:lineRule="auto"/>
        <w:rPr>
          <w:sz w:val="18"/>
          <w:szCs w:val="18"/>
        </w:rPr>
      </w:pPr>
      <w:r>
        <w:rPr>
          <w:sz w:val="18"/>
          <w:szCs w:val="18"/>
          <w:spacing w:val="-2"/>
          <w:position w:val="-3"/>
        </w:rPr>
        <w:t>表4.3-5</w:t>
      </w:r>
      <w:r>
        <w:rPr>
          <w:sz w:val="18"/>
          <w:szCs w:val="18"/>
          <w:spacing w:val="26"/>
          <w:position w:val="-3"/>
        </w:rPr>
        <w:t xml:space="preserve">   </w:t>
      </w:r>
      <w:r>
        <w:rPr>
          <w:sz w:val="18"/>
          <w:szCs w:val="18"/>
          <w:b/>
          <w:bCs/>
          <w:spacing w:val="-2"/>
        </w:rPr>
        <w:t>本项目废水类别、污染物及污染治理设施信息表</w:t>
      </w:r>
    </w:p>
    <w:p>
      <w:pPr>
        <w:spacing w:line="31" w:lineRule="exact"/>
        <w:rPr/>
      </w:pPr>
      <w:r/>
    </w:p>
    <w:tbl>
      <w:tblPr>
        <w:tblStyle w:val="TableNormal"/>
        <w:tblW w:w="139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75"/>
        <w:gridCol w:w="1089"/>
        <w:gridCol w:w="1569"/>
        <w:gridCol w:w="840"/>
        <w:gridCol w:w="849"/>
        <w:gridCol w:w="1119"/>
        <w:gridCol w:w="1289"/>
        <w:gridCol w:w="2548"/>
        <w:gridCol w:w="1099"/>
        <w:gridCol w:w="1179"/>
        <w:gridCol w:w="1924"/>
      </w:tblGrid>
      <w:tr>
        <w:trPr>
          <w:trHeight w:val="325" w:hRule="atLeast"/>
        </w:trPr>
        <w:tc>
          <w:tcPr>
            <w:tcW w:w="475" w:type="dxa"/>
            <w:vAlign w:val="top"/>
            <w:vMerge w:val="restart"/>
            <w:tcBorders>
              <w:bottom w:val="nil"/>
            </w:tcBorders>
          </w:tcPr>
          <w:p>
            <w:pPr>
              <w:spacing w:line="307" w:lineRule="auto"/>
              <w:rPr>
                <w:rFonts w:ascii="Arial"/>
                <w:sz w:val="21"/>
              </w:rPr>
            </w:pPr>
            <w:r/>
          </w:p>
          <w:p>
            <w:pPr>
              <w:pStyle w:val="TableText"/>
              <w:ind w:left="24"/>
              <w:spacing w:before="65" w:line="221" w:lineRule="auto"/>
              <w:rPr>
                <w:sz w:val="20"/>
                <w:szCs w:val="20"/>
              </w:rPr>
            </w:pPr>
            <w:r>
              <w:rPr>
                <w:sz w:val="20"/>
                <w:szCs w:val="20"/>
                <w:spacing w:val="-2"/>
              </w:rPr>
              <w:t>序号</w:t>
            </w:r>
          </w:p>
        </w:tc>
        <w:tc>
          <w:tcPr>
            <w:tcW w:w="1089" w:type="dxa"/>
            <w:vAlign w:val="top"/>
            <w:vMerge w:val="restart"/>
            <w:tcBorders>
              <w:bottom w:val="nil"/>
            </w:tcBorders>
          </w:tcPr>
          <w:p>
            <w:pPr>
              <w:spacing w:line="306" w:lineRule="auto"/>
              <w:rPr>
                <w:rFonts w:ascii="Arial"/>
                <w:sz w:val="21"/>
              </w:rPr>
            </w:pPr>
            <w:r/>
          </w:p>
          <w:p>
            <w:pPr>
              <w:pStyle w:val="TableText"/>
              <w:ind w:left="129"/>
              <w:spacing w:before="65" w:line="219" w:lineRule="auto"/>
              <w:rPr>
                <w:sz w:val="20"/>
                <w:szCs w:val="20"/>
              </w:rPr>
            </w:pPr>
            <w:r>
              <w:rPr>
                <w:sz w:val="20"/>
                <w:szCs w:val="20"/>
                <w:spacing w:val="4"/>
              </w:rPr>
              <w:t>废水类别</w:t>
            </w:r>
          </w:p>
        </w:tc>
        <w:tc>
          <w:tcPr>
            <w:tcW w:w="1569" w:type="dxa"/>
            <w:vAlign w:val="top"/>
            <w:vMerge w:val="restart"/>
            <w:tcBorders>
              <w:bottom w:val="nil"/>
            </w:tcBorders>
          </w:tcPr>
          <w:p>
            <w:pPr>
              <w:spacing w:line="306" w:lineRule="auto"/>
              <w:rPr>
                <w:rFonts w:ascii="Arial"/>
                <w:sz w:val="21"/>
              </w:rPr>
            </w:pPr>
            <w:r/>
          </w:p>
          <w:p>
            <w:pPr>
              <w:pStyle w:val="TableText"/>
              <w:ind w:left="270"/>
              <w:spacing w:before="65" w:line="219" w:lineRule="auto"/>
              <w:rPr>
                <w:sz w:val="20"/>
                <w:szCs w:val="20"/>
              </w:rPr>
            </w:pPr>
            <w:r>
              <w:rPr>
                <w:sz w:val="20"/>
                <w:szCs w:val="20"/>
                <w:spacing w:val="-2"/>
              </w:rPr>
              <w:t>污染物种类</w:t>
            </w:r>
          </w:p>
        </w:tc>
        <w:tc>
          <w:tcPr>
            <w:tcW w:w="840" w:type="dxa"/>
            <w:vAlign w:val="top"/>
            <w:vMerge w:val="restart"/>
            <w:tcBorders>
              <w:bottom w:val="nil"/>
            </w:tcBorders>
          </w:tcPr>
          <w:p>
            <w:pPr>
              <w:pStyle w:val="TableText"/>
              <w:ind w:left="311" w:right="105" w:hanging="200"/>
              <w:spacing w:before="245" w:line="230" w:lineRule="auto"/>
              <w:rPr>
                <w:sz w:val="20"/>
                <w:szCs w:val="20"/>
              </w:rPr>
            </w:pPr>
            <w:r>
              <w:rPr>
                <w:sz w:val="20"/>
                <w:szCs w:val="20"/>
                <w:spacing w:val="4"/>
              </w:rPr>
              <w:t>排放去</w:t>
            </w:r>
            <w:r>
              <w:rPr>
                <w:sz w:val="20"/>
                <w:szCs w:val="20"/>
              </w:rPr>
              <w:t xml:space="preserve"> </w:t>
            </w:r>
            <w:r>
              <w:rPr>
                <w:sz w:val="20"/>
                <w:szCs w:val="20"/>
              </w:rPr>
              <w:t>向</w:t>
            </w:r>
          </w:p>
        </w:tc>
        <w:tc>
          <w:tcPr>
            <w:tcW w:w="849" w:type="dxa"/>
            <w:vAlign w:val="top"/>
            <w:vMerge w:val="restart"/>
            <w:tcBorders>
              <w:bottom w:val="nil"/>
            </w:tcBorders>
          </w:tcPr>
          <w:p>
            <w:pPr>
              <w:pStyle w:val="TableText"/>
              <w:ind w:left="311" w:right="134" w:hanging="200"/>
              <w:spacing w:before="244" w:line="229" w:lineRule="auto"/>
              <w:rPr>
                <w:sz w:val="20"/>
                <w:szCs w:val="20"/>
              </w:rPr>
            </w:pPr>
            <w:r>
              <w:rPr>
                <w:sz w:val="20"/>
                <w:szCs w:val="20"/>
                <w:spacing w:val="-3"/>
              </w:rPr>
              <w:t>排放规</w:t>
            </w:r>
            <w:r>
              <w:rPr>
                <w:sz w:val="20"/>
                <w:szCs w:val="20"/>
              </w:rPr>
              <w:t xml:space="preserve"> </w:t>
            </w:r>
            <w:r>
              <w:rPr>
                <w:sz w:val="20"/>
                <w:szCs w:val="20"/>
              </w:rPr>
              <w:t>律</w:t>
            </w:r>
          </w:p>
        </w:tc>
        <w:tc>
          <w:tcPr>
            <w:tcW w:w="4956" w:type="dxa"/>
            <w:vAlign w:val="top"/>
            <w:gridSpan w:val="3"/>
          </w:tcPr>
          <w:p>
            <w:pPr>
              <w:pStyle w:val="TableText"/>
              <w:ind w:left="1883"/>
              <w:spacing w:before="63" w:line="220" w:lineRule="auto"/>
              <w:rPr>
                <w:sz w:val="20"/>
                <w:szCs w:val="20"/>
              </w:rPr>
            </w:pPr>
            <w:r>
              <w:rPr>
                <w:sz w:val="20"/>
                <w:szCs w:val="20"/>
                <w:spacing w:val="-2"/>
              </w:rPr>
              <w:t>污染防治设施</w:t>
            </w:r>
          </w:p>
        </w:tc>
        <w:tc>
          <w:tcPr>
            <w:tcW w:w="1099" w:type="dxa"/>
            <w:vAlign w:val="top"/>
            <w:vMerge w:val="restart"/>
            <w:tcBorders>
              <w:bottom w:val="nil"/>
            </w:tcBorders>
          </w:tcPr>
          <w:p>
            <w:pPr>
              <w:pStyle w:val="TableText"/>
              <w:ind w:left="346" w:right="212" w:hanging="100"/>
              <w:spacing w:before="235" w:line="247" w:lineRule="auto"/>
              <w:rPr>
                <w:sz w:val="20"/>
                <w:szCs w:val="20"/>
              </w:rPr>
            </w:pPr>
            <w:r>
              <w:rPr>
                <w:sz w:val="20"/>
                <w:szCs w:val="20"/>
                <w:spacing w:val="9"/>
              </w:rPr>
              <w:t>排放口</w:t>
            </w:r>
            <w:r>
              <w:rPr>
                <w:sz w:val="20"/>
                <w:szCs w:val="20"/>
                <w:spacing w:val="1"/>
              </w:rPr>
              <w:t xml:space="preserve"> </w:t>
            </w:r>
            <w:r>
              <w:rPr>
                <w:sz w:val="20"/>
                <w:szCs w:val="20"/>
                <w:spacing w:val="6"/>
              </w:rPr>
              <w:t>编号</w:t>
            </w:r>
          </w:p>
        </w:tc>
        <w:tc>
          <w:tcPr>
            <w:tcW w:w="1179" w:type="dxa"/>
            <w:vAlign w:val="top"/>
            <w:vMerge w:val="restart"/>
            <w:tcBorders>
              <w:bottom w:val="nil"/>
            </w:tcBorders>
          </w:tcPr>
          <w:p>
            <w:pPr>
              <w:pStyle w:val="TableText"/>
              <w:ind w:left="87"/>
              <w:spacing w:before="104" w:line="221" w:lineRule="auto"/>
              <w:rPr>
                <w:sz w:val="20"/>
                <w:szCs w:val="20"/>
              </w:rPr>
            </w:pPr>
            <w:r>
              <w:rPr>
                <w:sz w:val="20"/>
                <w:szCs w:val="20"/>
                <w:spacing w:val="-2"/>
              </w:rPr>
              <w:t>排放口设置</w:t>
            </w:r>
          </w:p>
          <w:p>
            <w:pPr>
              <w:pStyle w:val="TableText"/>
              <w:ind w:left="87"/>
              <w:spacing w:before="29" w:line="219" w:lineRule="auto"/>
              <w:rPr>
                <w:sz w:val="20"/>
                <w:szCs w:val="20"/>
              </w:rPr>
            </w:pPr>
            <w:r>
              <w:rPr>
                <w:sz w:val="20"/>
                <w:szCs w:val="20"/>
                <w:spacing w:val="2"/>
              </w:rPr>
              <w:t>是否符合要</w:t>
            </w:r>
          </w:p>
          <w:p>
            <w:pPr>
              <w:pStyle w:val="TableText"/>
              <w:ind w:left="488"/>
              <w:spacing w:before="13" w:line="221" w:lineRule="auto"/>
              <w:rPr>
                <w:sz w:val="20"/>
                <w:szCs w:val="20"/>
              </w:rPr>
            </w:pPr>
            <w:r>
              <w:rPr>
                <w:sz w:val="20"/>
                <w:szCs w:val="20"/>
              </w:rPr>
              <w:t>求</w:t>
            </w:r>
          </w:p>
        </w:tc>
        <w:tc>
          <w:tcPr>
            <w:tcW w:w="1924" w:type="dxa"/>
            <w:vAlign w:val="top"/>
            <w:vMerge w:val="restart"/>
            <w:tcBorders>
              <w:bottom w:val="nil"/>
            </w:tcBorders>
          </w:tcPr>
          <w:p>
            <w:pPr>
              <w:spacing w:line="306" w:lineRule="auto"/>
              <w:rPr>
                <w:rFonts w:ascii="Arial"/>
                <w:sz w:val="21"/>
              </w:rPr>
            </w:pPr>
            <w:r/>
          </w:p>
          <w:p>
            <w:pPr>
              <w:pStyle w:val="TableText"/>
              <w:ind w:left="459"/>
              <w:spacing w:before="65" w:line="219" w:lineRule="auto"/>
              <w:rPr>
                <w:sz w:val="20"/>
                <w:szCs w:val="20"/>
              </w:rPr>
            </w:pPr>
            <w:r>
              <w:rPr>
                <w:sz w:val="20"/>
                <w:szCs w:val="20"/>
                <w:spacing w:val="2"/>
              </w:rPr>
              <w:t>排放口类型</w:t>
            </w:r>
          </w:p>
        </w:tc>
      </w:tr>
      <w:tr>
        <w:trPr>
          <w:trHeight w:val="599" w:hRule="atLeast"/>
        </w:trPr>
        <w:tc>
          <w:tcPr>
            <w:tcW w:w="475" w:type="dxa"/>
            <w:vAlign w:val="top"/>
            <w:vMerge w:val="continue"/>
            <w:tcBorders>
              <w:top w:val="nil"/>
            </w:tcBorders>
          </w:tcPr>
          <w:p>
            <w:pPr>
              <w:rPr>
                <w:rFonts w:ascii="Arial"/>
                <w:sz w:val="21"/>
              </w:rPr>
            </w:pPr>
            <w:r/>
          </w:p>
        </w:tc>
        <w:tc>
          <w:tcPr>
            <w:tcW w:w="1089" w:type="dxa"/>
            <w:vAlign w:val="top"/>
            <w:vMerge w:val="continue"/>
            <w:tcBorders>
              <w:top w:val="nil"/>
            </w:tcBorders>
          </w:tcPr>
          <w:p>
            <w:pPr>
              <w:rPr>
                <w:rFonts w:ascii="Arial"/>
                <w:sz w:val="21"/>
              </w:rPr>
            </w:pPr>
            <w:r/>
          </w:p>
        </w:tc>
        <w:tc>
          <w:tcPr>
            <w:tcW w:w="1569" w:type="dxa"/>
            <w:vAlign w:val="top"/>
            <w:vMerge w:val="continue"/>
            <w:tcBorders>
              <w:top w:val="nil"/>
            </w:tcBorders>
          </w:tcPr>
          <w:p>
            <w:pPr>
              <w:rPr>
                <w:rFonts w:ascii="Arial"/>
                <w:sz w:val="21"/>
              </w:rPr>
            </w:pPr>
            <w:r/>
          </w:p>
        </w:tc>
        <w:tc>
          <w:tcPr>
            <w:tcW w:w="840" w:type="dxa"/>
            <w:vAlign w:val="top"/>
            <w:vMerge w:val="continue"/>
            <w:tcBorders>
              <w:top w:val="nil"/>
            </w:tcBorders>
          </w:tcPr>
          <w:p>
            <w:pPr>
              <w:rPr>
                <w:rFonts w:ascii="Arial"/>
                <w:sz w:val="21"/>
              </w:rPr>
            </w:pPr>
            <w:r/>
          </w:p>
        </w:tc>
        <w:tc>
          <w:tcPr>
            <w:tcW w:w="849" w:type="dxa"/>
            <w:vAlign w:val="top"/>
            <w:vMerge w:val="continue"/>
            <w:tcBorders>
              <w:top w:val="nil"/>
            </w:tcBorders>
          </w:tcPr>
          <w:p>
            <w:pPr>
              <w:rPr>
                <w:rFonts w:ascii="Arial"/>
                <w:sz w:val="21"/>
              </w:rPr>
            </w:pPr>
            <w:r/>
          </w:p>
        </w:tc>
        <w:tc>
          <w:tcPr>
            <w:tcW w:w="1119" w:type="dxa"/>
            <w:vAlign w:val="top"/>
          </w:tcPr>
          <w:p>
            <w:pPr>
              <w:pStyle w:val="TableText"/>
              <w:ind w:left="352" w:right="65" w:hanging="299"/>
              <w:spacing w:before="69" w:line="229" w:lineRule="auto"/>
              <w:rPr>
                <w:sz w:val="20"/>
                <w:szCs w:val="20"/>
              </w:rPr>
            </w:pPr>
            <w:r>
              <w:rPr>
                <w:sz w:val="20"/>
                <w:szCs w:val="20"/>
                <w:spacing w:val="-2"/>
              </w:rPr>
              <w:t>污染设施施</w:t>
            </w:r>
            <w:r>
              <w:rPr>
                <w:sz w:val="20"/>
                <w:szCs w:val="20"/>
              </w:rPr>
              <w:t xml:space="preserve"> </w:t>
            </w:r>
            <w:r>
              <w:rPr>
                <w:sz w:val="20"/>
                <w:szCs w:val="20"/>
                <w:spacing w:val="6"/>
              </w:rPr>
              <w:t>编号</w:t>
            </w:r>
          </w:p>
        </w:tc>
        <w:tc>
          <w:tcPr>
            <w:tcW w:w="1289" w:type="dxa"/>
            <w:vAlign w:val="top"/>
          </w:tcPr>
          <w:p>
            <w:pPr>
              <w:pStyle w:val="TableText"/>
              <w:ind w:left="333" w:right="154" w:hanging="200"/>
              <w:spacing w:before="69" w:line="231" w:lineRule="auto"/>
              <w:rPr>
                <w:sz w:val="20"/>
                <w:szCs w:val="20"/>
              </w:rPr>
            </w:pPr>
            <w:r>
              <w:rPr>
                <w:sz w:val="20"/>
                <w:szCs w:val="20"/>
                <w:spacing w:val="-2"/>
              </w:rPr>
              <w:t>污染治理设</w:t>
            </w:r>
            <w:r>
              <w:rPr>
                <w:sz w:val="20"/>
                <w:szCs w:val="20"/>
              </w:rPr>
              <w:t xml:space="preserve"> </w:t>
            </w:r>
            <w:r>
              <w:rPr>
                <w:sz w:val="20"/>
                <w:szCs w:val="20"/>
                <w:spacing w:val="-2"/>
              </w:rPr>
              <w:t>施名称</w:t>
            </w:r>
          </w:p>
        </w:tc>
        <w:tc>
          <w:tcPr>
            <w:tcW w:w="2548" w:type="dxa"/>
            <w:vAlign w:val="top"/>
          </w:tcPr>
          <w:p>
            <w:pPr>
              <w:pStyle w:val="TableText"/>
              <w:ind w:left="464"/>
              <w:spacing w:before="198" w:line="220" w:lineRule="auto"/>
              <w:rPr>
                <w:sz w:val="20"/>
                <w:szCs w:val="20"/>
              </w:rPr>
            </w:pPr>
            <w:r>
              <w:rPr>
                <w:sz w:val="20"/>
                <w:szCs w:val="20"/>
                <w:spacing w:val="1"/>
              </w:rPr>
              <w:t>污染治理设施工艺</w:t>
            </w:r>
          </w:p>
        </w:tc>
        <w:tc>
          <w:tcPr>
            <w:tcW w:w="1099" w:type="dxa"/>
            <w:vAlign w:val="top"/>
            <w:vMerge w:val="continue"/>
            <w:tcBorders>
              <w:top w:val="nil"/>
            </w:tcBorders>
          </w:tcPr>
          <w:p>
            <w:pPr>
              <w:rPr>
                <w:rFonts w:ascii="Arial"/>
                <w:sz w:val="21"/>
              </w:rPr>
            </w:pPr>
            <w:r/>
          </w:p>
        </w:tc>
        <w:tc>
          <w:tcPr>
            <w:tcW w:w="1179" w:type="dxa"/>
            <w:vAlign w:val="top"/>
            <w:vMerge w:val="continue"/>
            <w:tcBorders>
              <w:top w:val="nil"/>
            </w:tcBorders>
          </w:tcPr>
          <w:p>
            <w:pPr>
              <w:rPr>
                <w:rFonts w:ascii="Arial"/>
                <w:sz w:val="21"/>
              </w:rPr>
            </w:pPr>
            <w:r/>
          </w:p>
        </w:tc>
        <w:tc>
          <w:tcPr>
            <w:tcW w:w="1924" w:type="dxa"/>
            <w:vAlign w:val="top"/>
            <w:vMerge w:val="continue"/>
            <w:tcBorders>
              <w:top w:val="nil"/>
            </w:tcBorders>
          </w:tcPr>
          <w:p>
            <w:pPr>
              <w:rPr>
                <w:rFonts w:ascii="Arial"/>
                <w:sz w:val="21"/>
              </w:rPr>
            </w:pPr>
            <w:r/>
          </w:p>
        </w:tc>
      </w:tr>
      <w:tr>
        <w:trPr>
          <w:trHeight w:val="1767" w:hRule="atLeast"/>
        </w:trPr>
        <w:tc>
          <w:tcPr>
            <w:tcW w:w="475" w:type="dxa"/>
            <w:vAlign w:val="top"/>
          </w:tcPr>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pStyle w:val="TableText"/>
              <w:ind w:left="175"/>
              <w:spacing w:before="65" w:line="184" w:lineRule="auto"/>
              <w:rPr>
                <w:sz w:val="20"/>
                <w:szCs w:val="20"/>
              </w:rPr>
            </w:pPr>
            <w:r>
              <w:rPr>
                <w:sz w:val="20"/>
                <w:szCs w:val="20"/>
              </w:rPr>
              <w:t>1</w:t>
            </w:r>
          </w:p>
        </w:tc>
        <w:tc>
          <w:tcPr>
            <w:tcW w:w="1089" w:type="dxa"/>
            <w:vAlign w:val="top"/>
          </w:tcPr>
          <w:p>
            <w:pPr>
              <w:spacing w:line="280" w:lineRule="auto"/>
              <w:rPr>
                <w:rFonts w:ascii="Arial"/>
                <w:sz w:val="21"/>
              </w:rPr>
            </w:pPr>
            <w:r/>
          </w:p>
          <w:p>
            <w:pPr>
              <w:spacing w:line="280" w:lineRule="auto"/>
              <w:rPr>
                <w:rFonts w:ascii="Arial"/>
                <w:sz w:val="21"/>
              </w:rPr>
            </w:pPr>
            <w:r/>
          </w:p>
          <w:p>
            <w:pPr>
              <w:pStyle w:val="TableText"/>
              <w:ind w:left="329" w:right="136" w:hanging="200"/>
              <w:spacing w:before="65" w:line="248" w:lineRule="auto"/>
              <w:rPr>
                <w:sz w:val="20"/>
                <w:szCs w:val="20"/>
              </w:rPr>
            </w:pPr>
            <w:r>
              <w:rPr>
                <w:sz w:val="20"/>
                <w:szCs w:val="20"/>
                <w:spacing w:val="3"/>
              </w:rPr>
              <w:t>阴极生产</w:t>
            </w:r>
            <w:r>
              <w:rPr>
                <w:sz w:val="20"/>
                <w:szCs w:val="20"/>
              </w:rPr>
              <w:t xml:space="preserve"> </w:t>
            </w:r>
            <w:r>
              <w:rPr>
                <w:sz w:val="20"/>
                <w:szCs w:val="20"/>
                <w:spacing w:val="-2"/>
              </w:rPr>
              <w:t>废水</w:t>
            </w:r>
          </w:p>
        </w:tc>
        <w:tc>
          <w:tcPr>
            <w:tcW w:w="1569" w:type="dxa"/>
            <w:vAlign w:val="top"/>
          </w:tcPr>
          <w:p>
            <w:pPr>
              <w:rPr>
                <w:rFonts w:ascii="Arial"/>
                <w:sz w:val="21"/>
              </w:rPr>
            </w:pPr>
            <w:r/>
          </w:p>
          <w:p>
            <w:pPr>
              <w:rPr>
                <w:rFonts w:ascii="Arial"/>
                <w:sz w:val="21"/>
              </w:rPr>
            </w:pPr>
            <w:r/>
          </w:p>
          <w:p>
            <w:pPr>
              <w:rPr>
                <w:rFonts w:ascii="Arial"/>
                <w:sz w:val="21"/>
              </w:rPr>
            </w:pPr>
            <w:r/>
          </w:p>
          <w:p>
            <w:pPr>
              <w:pStyle w:val="TableText"/>
              <w:ind w:left="470"/>
              <w:spacing w:before="65" w:line="220" w:lineRule="auto"/>
              <w:rPr>
                <w:sz w:val="20"/>
                <w:szCs w:val="20"/>
              </w:rPr>
            </w:pPr>
            <w:r>
              <w:rPr>
                <w:sz w:val="20"/>
                <w:szCs w:val="20"/>
                <w:spacing w:val="-2"/>
              </w:rPr>
              <w:t>镍、钴</w:t>
            </w:r>
          </w:p>
        </w:tc>
        <w:tc>
          <w:tcPr>
            <w:tcW w:w="840" w:type="dxa"/>
            <w:vAlign w:val="top"/>
            <w:vMerge w:val="restart"/>
            <w:tcBorders>
              <w:bottom w:val="nil"/>
            </w:tcBorders>
          </w:tcPr>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111" w:right="124"/>
              <w:spacing w:before="65" w:line="242" w:lineRule="auto"/>
              <w:jc w:val="both"/>
              <w:rPr>
                <w:sz w:val="20"/>
                <w:szCs w:val="20"/>
              </w:rPr>
            </w:pPr>
            <w:r>
              <w:rPr>
                <w:sz w:val="20"/>
                <w:szCs w:val="20"/>
                <w:spacing w:val="-3"/>
              </w:rPr>
              <w:t>进入霞</w:t>
            </w:r>
            <w:r>
              <w:rPr>
                <w:sz w:val="20"/>
                <w:szCs w:val="20"/>
                <w:spacing w:val="1"/>
              </w:rPr>
              <w:t xml:space="preserve"> </w:t>
            </w:r>
            <w:r>
              <w:rPr>
                <w:sz w:val="20"/>
                <w:szCs w:val="20"/>
                <w:spacing w:val="-3"/>
              </w:rPr>
              <w:t>浦县污</w:t>
            </w:r>
            <w:r>
              <w:rPr>
                <w:sz w:val="20"/>
                <w:szCs w:val="20"/>
              </w:rPr>
              <w:t xml:space="preserve"> </w:t>
            </w:r>
            <w:r>
              <w:rPr>
                <w:sz w:val="20"/>
                <w:szCs w:val="20"/>
                <w:spacing w:val="-4"/>
              </w:rPr>
              <w:t>水处理</w:t>
            </w:r>
            <w:r>
              <w:rPr>
                <w:sz w:val="20"/>
                <w:szCs w:val="20"/>
              </w:rPr>
              <w:t xml:space="preserve"> </w:t>
            </w:r>
            <w:r>
              <w:rPr>
                <w:sz w:val="20"/>
                <w:szCs w:val="20"/>
                <w:spacing w:val="-3"/>
              </w:rPr>
              <w:t>厂处理</w:t>
            </w:r>
          </w:p>
        </w:tc>
        <w:tc>
          <w:tcPr>
            <w:tcW w:w="849"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311" w:right="119" w:hanging="200"/>
              <w:spacing w:before="65" w:line="230" w:lineRule="auto"/>
              <w:rPr>
                <w:sz w:val="20"/>
                <w:szCs w:val="20"/>
              </w:rPr>
            </w:pPr>
            <w:r>
              <w:rPr>
                <w:sz w:val="20"/>
                <w:szCs w:val="20"/>
                <w:spacing w:val="2"/>
              </w:rPr>
              <w:t>间接排</w:t>
            </w:r>
            <w:r>
              <w:rPr>
                <w:sz w:val="20"/>
                <w:szCs w:val="20"/>
              </w:rPr>
              <w:t xml:space="preserve"> </w:t>
            </w:r>
            <w:r>
              <w:rPr>
                <w:sz w:val="20"/>
                <w:szCs w:val="20"/>
              </w:rPr>
              <w:t>放</w:t>
            </w:r>
          </w:p>
        </w:tc>
        <w:tc>
          <w:tcPr>
            <w:tcW w:w="1119" w:type="dxa"/>
            <w:vAlign w:val="top"/>
          </w:tcPr>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503"/>
              <w:spacing w:before="65" w:line="224" w:lineRule="auto"/>
              <w:rPr>
                <w:sz w:val="20"/>
                <w:szCs w:val="20"/>
              </w:rPr>
            </w:pPr>
            <w:r>
              <w:rPr>
                <w:sz w:val="20"/>
                <w:szCs w:val="20"/>
              </w:rPr>
              <w:t>/</w:t>
            </w:r>
          </w:p>
        </w:tc>
        <w:tc>
          <w:tcPr>
            <w:tcW w:w="1289" w:type="dxa"/>
            <w:vAlign w:val="top"/>
          </w:tcPr>
          <w:p>
            <w:pPr>
              <w:spacing w:line="294" w:lineRule="auto"/>
              <w:rPr>
                <w:rFonts w:ascii="Arial"/>
                <w:sz w:val="21"/>
              </w:rPr>
            </w:pPr>
            <w:r/>
          </w:p>
          <w:p>
            <w:pPr>
              <w:spacing w:line="295" w:lineRule="auto"/>
              <w:rPr>
                <w:rFonts w:ascii="Arial"/>
                <w:sz w:val="21"/>
              </w:rPr>
            </w:pPr>
            <w:r/>
          </w:p>
          <w:p>
            <w:pPr>
              <w:pStyle w:val="TableText"/>
              <w:ind w:left="333" w:right="136" w:hanging="200"/>
              <w:spacing w:before="65" w:line="236" w:lineRule="auto"/>
              <w:rPr>
                <w:sz w:val="20"/>
                <w:szCs w:val="20"/>
              </w:rPr>
            </w:pPr>
            <w:r>
              <w:rPr>
                <w:sz w:val="20"/>
                <w:szCs w:val="20"/>
                <w:spacing w:val="1"/>
              </w:rPr>
              <w:t>阴极废水处</w:t>
            </w:r>
            <w:r>
              <w:rPr>
                <w:sz w:val="20"/>
                <w:szCs w:val="20"/>
                <w:spacing w:val="2"/>
              </w:rPr>
              <w:t xml:space="preserve"> </w:t>
            </w:r>
            <w:r>
              <w:rPr>
                <w:sz w:val="20"/>
                <w:szCs w:val="20"/>
                <w:spacing w:val="-3"/>
              </w:rPr>
              <w:t>理系统</w:t>
            </w:r>
          </w:p>
        </w:tc>
        <w:tc>
          <w:tcPr>
            <w:tcW w:w="2548" w:type="dxa"/>
            <w:vAlign w:val="top"/>
          </w:tcPr>
          <w:p>
            <w:pPr>
              <w:spacing w:line="450" w:lineRule="auto"/>
              <w:rPr>
                <w:rFonts w:ascii="Arial"/>
                <w:sz w:val="21"/>
              </w:rPr>
            </w:pPr>
            <w:r/>
          </w:p>
          <w:p>
            <w:pPr>
              <w:pStyle w:val="TableText"/>
              <w:ind w:left="165"/>
              <w:spacing w:before="65" w:line="219" w:lineRule="auto"/>
              <w:rPr>
                <w:sz w:val="20"/>
                <w:szCs w:val="20"/>
              </w:rPr>
            </w:pPr>
            <w:r>
              <w:rPr>
                <w:sz w:val="20"/>
                <w:szCs w:val="20"/>
                <w:spacing w:val="-1"/>
              </w:rPr>
              <w:t>三级沉淀+芬顿氧化+混凝</w:t>
            </w:r>
          </w:p>
          <w:p>
            <w:pPr>
              <w:pStyle w:val="TableText"/>
              <w:ind w:left="25"/>
              <w:spacing w:before="44" w:line="220" w:lineRule="auto"/>
              <w:rPr>
                <w:sz w:val="20"/>
                <w:szCs w:val="20"/>
              </w:rPr>
            </w:pPr>
            <w:r>
              <w:rPr>
                <w:sz w:val="20"/>
                <w:szCs w:val="20"/>
                <w:spacing w:val="12"/>
                <w:w w:val="121"/>
              </w:rPr>
              <w:t>沉淀+ABR+两级AO(MBR</w:t>
            </w:r>
          </w:p>
          <w:p>
            <w:pPr>
              <w:pStyle w:val="TableText"/>
              <w:ind w:left="464"/>
              <w:spacing w:before="31" w:line="219" w:lineRule="auto"/>
              <w:rPr>
                <w:sz w:val="20"/>
                <w:szCs w:val="20"/>
              </w:rPr>
            </w:pPr>
            <w:r>
              <w:rPr>
                <w:sz w:val="20"/>
                <w:szCs w:val="20"/>
                <w:spacing w:val="4"/>
              </w:rPr>
              <w:t>作为二级O池使用)</w:t>
            </w:r>
          </w:p>
        </w:tc>
        <w:tc>
          <w:tcPr>
            <w:tcW w:w="1099" w:type="dxa"/>
            <w:vAlign w:val="top"/>
          </w:tcPr>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pStyle w:val="TableText"/>
              <w:ind w:left="296"/>
              <w:spacing w:before="65" w:line="184" w:lineRule="auto"/>
              <w:rPr>
                <w:sz w:val="20"/>
                <w:szCs w:val="20"/>
              </w:rPr>
            </w:pPr>
            <w:r>
              <w:rPr>
                <w:sz w:val="20"/>
                <w:szCs w:val="20"/>
                <w:spacing w:val="-1"/>
              </w:rPr>
              <w:t>DW001</w:t>
            </w:r>
          </w:p>
        </w:tc>
        <w:tc>
          <w:tcPr>
            <w:tcW w:w="1179" w:type="dxa"/>
            <w:vAlign w:val="top"/>
            <w:vMerge w:val="restart"/>
            <w:tcBorders>
              <w:bottom w:val="nil"/>
            </w:tcBorders>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438"/>
              <w:spacing w:before="65" w:line="287" w:lineRule="exact"/>
              <w:rPr>
                <w:sz w:val="20"/>
                <w:szCs w:val="20"/>
              </w:rPr>
            </w:pPr>
            <w:r>
              <w:rPr>
                <w:sz w:val="20"/>
                <w:szCs w:val="20"/>
                <w:spacing w:val="-1"/>
                <w:position w:val="6"/>
              </w:rPr>
              <w:t>V是</w:t>
            </w:r>
          </w:p>
          <w:p>
            <w:pPr>
              <w:pStyle w:val="TableText"/>
              <w:ind w:left="387"/>
              <w:spacing w:line="220" w:lineRule="auto"/>
              <w:rPr>
                <w:sz w:val="20"/>
                <w:szCs w:val="20"/>
              </w:rPr>
            </w:pPr>
            <w:r>
              <w:rPr>
                <w:sz w:val="20"/>
                <w:szCs w:val="20"/>
                <w:spacing w:val="7"/>
              </w:rPr>
              <w:t>□否</w:t>
            </w:r>
          </w:p>
        </w:tc>
        <w:tc>
          <w:tcPr>
            <w:tcW w:w="1924" w:type="dxa"/>
            <w:vAlign w:val="top"/>
          </w:tcPr>
          <w:p>
            <w:pPr>
              <w:pStyle w:val="TableText"/>
              <w:ind w:left="58"/>
              <w:spacing w:before="61" w:line="287" w:lineRule="exact"/>
              <w:rPr>
                <w:sz w:val="20"/>
                <w:szCs w:val="20"/>
              </w:rPr>
            </w:pPr>
            <w:r>
              <w:rPr>
                <w:sz w:val="20"/>
                <w:szCs w:val="20"/>
                <w:spacing w:val="5"/>
                <w:position w:val="6"/>
              </w:rPr>
              <w:t>口企业排口</w:t>
            </w:r>
          </w:p>
          <w:p>
            <w:pPr>
              <w:pStyle w:val="TableText"/>
              <w:ind w:left="58"/>
              <w:spacing w:line="219" w:lineRule="auto"/>
              <w:rPr>
                <w:sz w:val="20"/>
                <w:szCs w:val="20"/>
              </w:rPr>
            </w:pPr>
            <w:r>
              <w:rPr>
                <w:sz w:val="20"/>
                <w:szCs w:val="20"/>
                <w:spacing w:val="1"/>
              </w:rPr>
              <w:t>□雨水排放</w:t>
            </w:r>
          </w:p>
          <w:p>
            <w:pPr>
              <w:pStyle w:val="TableText"/>
              <w:ind w:left="58"/>
              <w:spacing w:before="82" w:line="280" w:lineRule="exact"/>
              <w:rPr>
                <w:sz w:val="20"/>
                <w:szCs w:val="20"/>
              </w:rPr>
            </w:pPr>
            <w:r>
              <w:rPr>
                <w:sz w:val="20"/>
                <w:szCs w:val="20"/>
                <w:spacing w:val="1"/>
                <w:position w:val="5"/>
              </w:rPr>
              <w:t>口清净下水排放</w:t>
            </w:r>
          </w:p>
          <w:p>
            <w:pPr>
              <w:pStyle w:val="TableText"/>
              <w:ind w:left="58"/>
              <w:spacing w:line="219" w:lineRule="auto"/>
              <w:rPr>
                <w:sz w:val="20"/>
                <w:szCs w:val="20"/>
              </w:rPr>
            </w:pPr>
            <w:r>
              <w:rPr>
                <w:sz w:val="20"/>
                <w:szCs w:val="20"/>
                <w:spacing w:val="1"/>
              </w:rPr>
              <w:t>口温排水排放</w:t>
            </w:r>
          </w:p>
          <w:p>
            <w:pPr>
              <w:pStyle w:val="TableText"/>
              <w:ind w:left="58" w:right="148" w:firstLine="10"/>
              <w:spacing w:before="52" w:line="239" w:lineRule="auto"/>
              <w:rPr>
                <w:sz w:val="20"/>
                <w:szCs w:val="20"/>
              </w:rPr>
            </w:pPr>
            <w:r>
              <w:rPr>
                <w:sz w:val="20"/>
                <w:szCs w:val="20"/>
                <w:spacing w:val="-1"/>
              </w:rPr>
              <w:t>V车间或车间处理设</w:t>
            </w:r>
            <w:r>
              <w:rPr>
                <w:sz w:val="20"/>
                <w:szCs w:val="20"/>
                <w:spacing w:val="4"/>
              </w:rPr>
              <w:t xml:space="preserve"> </w:t>
            </w:r>
            <w:r>
              <w:rPr>
                <w:sz w:val="20"/>
                <w:szCs w:val="20"/>
                <w:spacing w:val="7"/>
              </w:rPr>
              <w:t>施排放口</w:t>
            </w:r>
          </w:p>
        </w:tc>
      </w:tr>
      <w:tr>
        <w:trPr>
          <w:trHeight w:val="1977" w:hRule="atLeast"/>
        </w:trPr>
        <w:tc>
          <w:tcPr>
            <w:tcW w:w="475" w:type="dxa"/>
            <w:vAlign w:val="top"/>
          </w:tcPr>
          <w:p>
            <w:pPr>
              <w:spacing w:line="291" w:lineRule="auto"/>
              <w:rPr>
                <w:rFonts w:ascii="Arial"/>
                <w:sz w:val="21"/>
              </w:rPr>
            </w:pPr>
            <w:r/>
          </w:p>
          <w:p>
            <w:pPr>
              <w:spacing w:line="291" w:lineRule="auto"/>
              <w:rPr>
                <w:rFonts w:ascii="Arial"/>
                <w:sz w:val="21"/>
              </w:rPr>
            </w:pPr>
            <w:r/>
          </w:p>
          <w:p>
            <w:pPr>
              <w:spacing w:line="291" w:lineRule="auto"/>
              <w:rPr>
                <w:rFonts w:ascii="Arial"/>
                <w:sz w:val="21"/>
              </w:rPr>
            </w:pPr>
            <w:r/>
          </w:p>
          <w:p>
            <w:pPr>
              <w:pStyle w:val="TableText"/>
              <w:ind w:left="175"/>
              <w:spacing w:before="65" w:line="183" w:lineRule="auto"/>
              <w:rPr>
                <w:sz w:val="20"/>
                <w:szCs w:val="20"/>
              </w:rPr>
            </w:pPr>
            <w:r>
              <w:rPr>
                <w:sz w:val="20"/>
                <w:szCs w:val="20"/>
              </w:rPr>
              <w:t>2</w:t>
            </w:r>
          </w:p>
        </w:tc>
        <w:tc>
          <w:tcPr>
            <w:tcW w:w="1089" w:type="dxa"/>
            <w:vAlign w:val="top"/>
          </w:tcPr>
          <w:p>
            <w:pPr>
              <w:spacing w:line="281" w:lineRule="auto"/>
              <w:rPr>
                <w:rFonts w:ascii="Arial"/>
                <w:sz w:val="21"/>
              </w:rPr>
            </w:pPr>
            <w:r/>
          </w:p>
          <w:p>
            <w:pPr>
              <w:spacing w:line="282" w:lineRule="auto"/>
              <w:rPr>
                <w:rFonts w:ascii="Arial"/>
                <w:sz w:val="21"/>
              </w:rPr>
            </w:pPr>
            <w:r/>
          </w:p>
          <w:p>
            <w:pPr>
              <w:pStyle w:val="TableText"/>
              <w:ind w:left="129"/>
              <w:spacing w:before="65" w:line="219" w:lineRule="auto"/>
              <w:rPr>
                <w:sz w:val="20"/>
                <w:szCs w:val="20"/>
              </w:rPr>
            </w:pPr>
            <w:r>
              <w:rPr>
                <w:sz w:val="20"/>
                <w:szCs w:val="20"/>
                <w:spacing w:val="3"/>
              </w:rPr>
              <w:t>阴极生产</w:t>
            </w:r>
          </w:p>
          <w:p>
            <w:pPr>
              <w:pStyle w:val="TableText"/>
              <w:ind w:left="29"/>
              <w:spacing w:before="22" w:line="219" w:lineRule="auto"/>
              <w:rPr>
                <w:sz w:val="20"/>
                <w:szCs w:val="20"/>
              </w:rPr>
            </w:pPr>
            <w:r>
              <w:rPr>
                <w:sz w:val="20"/>
                <w:szCs w:val="20"/>
                <w:spacing w:val="-2"/>
              </w:rPr>
              <w:t>废水、阳极</w:t>
            </w:r>
          </w:p>
          <w:p>
            <w:pPr>
              <w:pStyle w:val="TableText"/>
              <w:ind w:left="129"/>
              <w:spacing w:before="32" w:line="219" w:lineRule="auto"/>
              <w:rPr>
                <w:sz w:val="20"/>
                <w:szCs w:val="20"/>
              </w:rPr>
            </w:pPr>
            <w:r>
              <w:rPr>
                <w:sz w:val="20"/>
                <w:szCs w:val="20"/>
                <w:spacing w:val="-2"/>
              </w:rPr>
              <w:t>生产废水</w:t>
            </w:r>
          </w:p>
        </w:tc>
        <w:tc>
          <w:tcPr>
            <w:tcW w:w="1569" w:type="dxa"/>
            <w:vAlign w:val="top"/>
          </w:tcPr>
          <w:p>
            <w:pPr>
              <w:spacing w:line="341" w:lineRule="auto"/>
              <w:rPr>
                <w:rFonts w:ascii="Arial"/>
                <w:sz w:val="21"/>
              </w:rPr>
            </w:pPr>
            <w:r/>
          </w:p>
          <w:p>
            <w:pPr>
              <w:spacing w:line="341" w:lineRule="auto"/>
              <w:rPr>
                <w:rFonts w:ascii="Arial"/>
                <w:sz w:val="21"/>
              </w:rPr>
            </w:pPr>
            <w:r/>
          </w:p>
          <w:p>
            <w:pPr>
              <w:pStyle w:val="TableText"/>
              <w:ind w:left="165" w:hanging="144"/>
              <w:spacing w:before="65" w:line="239" w:lineRule="auto"/>
              <w:rPr>
                <w:sz w:val="20"/>
                <w:szCs w:val="20"/>
              </w:rPr>
            </w:pPr>
            <w:r>
              <w:rPr>
                <w:sz w:val="20"/>
                <w:szCs w:val="20"/>
              </w:rPr>
              <w:t>COD</w:t>
            </w:r>
            <w:r>
              <w:rPr>
                <w:sz w:val="20"/>
                <w:szCs w:val="20"/>
                <w:spacing w:val="7"/>
              </w:rPr>
              <w:t>、氨氮、</w:t>
            </w:r>
            <w:r>
              <w:rPr>
                <w:sz w:val="20"/>
                <w:szCs w:val="20"/>
              </w:rPr>
              <w:t>SS</w:t>
            </w:r>
            <w:r>
              <w:rPr>
                <w:sz w:val="20"/>
                <w:szCs w:val="20"/>
                <w:spacing w:val="7"/>
              </w:rPr>
              <w:t>、</w:t>
            </w:r>
            <w:r>
              <w:rPr>
                <w:sz w:val="20"/>
                <w:szCs w:val="20"/>
                <w:spacing w:val="1"/>
              </w:rPr>
              <w:t xml:space="preserve"> </w:t>
            </w:r>
            <w:r>
              <w:rPr>
                <w:sz w:val="20"/>
                <w:szCs w:val="20"/>
                <w:spacing w:val="-8"/>
              </w:rPr>
              <w:t>镍、钴、锰等</w:t>
            </w:r>
          </w:p>
        </w:tc>
        <w:tc>
          <w:tcPr>
            <w:tcW w:w="840" w:type="dxa"/>
            <w:vAlign w:val="top"/>
            <w:vMerge w:val="continue"/>
            <w:tcBorders>
              <w:top w:val="nil"/>
              <w:bottom w:val="nil"/>
            </w:tcBorders>
          </w:tcPr>
          <w:p>
            <w:pPr>
              <w:rPr>
                <w:rFonts w:ascii="Arial"/>
                <w:sz w:val="21"/>
              </w:rPr>
            </w:pPr>
            <w:r/>
          </w:p>
        </w:tc>
        <w:tc>
          <w:tcPr>
            <w:tcW w:w="849" w:type="dxa"/>
            <w:vAlign w:val="top"/>
            <w:vMerge w:val="continue"/>
            <w:tcBorders>
              <w:top w:val="nil"/>
              <w:bottom w:val="nil"/>
            </w:tcBorders>
          </w:tcPr>
          <w:p>
            <w:pPr>
              <w:rPr>
                <w:rFonts w:ascii="Arial"/>
                <w:sz w:val="21"/>
              </w:rPr>
            </w:pPr>
            <w:r/>
          </w:p>
        </w:tc>
        <w:tc>
          <w:tcPr>
            <w:tcW w:w="1119" w:type="dxa"/>
            <w:vAlign w:val="top"/>
          </w:tcPr>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pStyle w:val="TableText"/>
              <w:ind w:left="503"/>
              <w:spacing w:before="65" w:line="224" w:lineRule="auto"/>
              <w:rPr>
                <w:sz w:val="20"/>
                <w:szCs w:val="20"/>
              </w:rPr>
            </w:pPr>
            <w:r>
              <w:rPr>
                <w:sz w:val="20"/>
                <w:szCs w:val="20"/>
              </w:rPr>
              <w:t>/</w:t>
            </w:r>
          </w:p>
        </w:tc>
        <w:tc>
          <w:tcPr>
            <w:tcW w:w="1289" w:type="dxa"/>
            <w:vAlign w:val="top"/>
          </w:tcPr>
          <w:p>
            <w:pPr>
              <w:spacing w:line="346" w:lineRule="auto"/>
              <w:rPr>
                <w:rFonts w:ascii="Arial"/>
                <w:sz w:val="21"/>
              </w:rPr>
            </w:pPr>
            <w:r/>
          </w:p>
          <w:p>
            <w:pPr>
              <w:spacing w:line="347" w:lineRule="auto"/>
              <w:rPr>
                <w:rFonts w:ascii="Arial"/>
                <w:sz w:val="21"/>
              </w:rPr>
            </w:pPr>
            <w:r/>
          </w:p>
          <w:p>
            <w:pPr>
              <w:pStyle w:val="TableText"/>
              <w:ind w:left="433" w:right="154" w:hanging="300"/>
              <w:spacing w:before="65" w:line="237" w:lineRule="auto"/>
              <w:rPr>
                <w:sz w:val="20"/>
                <w:szCs w:val="20"/>
              </w:rPr>
            </w:pPr>
            <w:r>
              <w:rPr>
                <w:sz w:val="20"/>
                <w:szCs w:val="20"/>
                <w:spacing w:val="-2"/>
              </w:rPr>
              <w:t>生产废水处</w:t>
            </w:r>
            <w:r>
              <w:rPr>
                <w:sz w:val="20"/>
                <w:szCs w:val="20"/>
              </w:rPr>
              <w:t xml:space="preserve"> </w:t>
            </w:r>
            <w:r>
              <w:rPr>
                <w:sz w:val="20"/>
                <w:szCs w:val="20"/>
                <w:spacing w:val="5"/>
              </w:rPr>
              <w:t>理站</w:t>
            </w:r>
          </w:p>
        </w:tc>
        <w:tc>
          <w:tcPr>
            <w:tcW w:w="2548" w:type="dxa"/>
            <w:vAlign w:val="top"/>
          </w:tcPr>
          <w:p>
            <w:pPr>
              <w:pStyle w:val="TableText"/>
              <w:ind w:left="64"/>
              <w:spacing w:before="72" w:line="219" w:lineRule="auto"/>
              <w:rPr>
                <w:sz w:val="20"/>
                <w:szCs w:val="20"/>
              </w:rPr>
            </w:pPr>
            <w:r>
              <w:rPr>
                <w:sz w:val="20"/>
                <w:szCs w:val="20"/>
              </w:rPr>
              <w:t>阴极生产废水：“三级沉淀</w:t>
            </w:r>
          </w:p>
          <w:p>
            <w:pPr>
              <w:pStyle w:val="TableText"/>
              <w:ind w:left="264" w:right="131" w:hanging="150"/>
              <w:spacing w:before="41"/>
              <w:rPr>
                <w:sz w:val="20"/>
                <w:szCs w:val="20"/>
              </w:rPr>
            </w:pPr>
            <w:r>
              <w:rPr>
                <w:sz w:val="20"/>
                <w:szCs w:val="20"/>
                <w:spacing w:val="-1"/>
              </w:rPr>
              <w:t>+芬顿氧化+混凝沉淀+预酸</w:t>
            </w:r>
            <w:r>
              <w:rPr>
                <w:sz w:val="20"/>
                <w:szCs w:val="20"/>
                <w:spacing w:val="3"/>
              </w:rPr>
              <w:t xml:space="preserve"> </w:t>
            </w:r>
            <w:r>
              <w:rPr>
                <w:sz w:val="20"/>
                <w:szCs w:val="20"/>
                <w:spacing w:val="11"/>
              </w:rPr>
              <w:t>化+A²O+二沉池)”;</w:t>
            </w:r>
          </w:p>
          <w:p>
            <w:pPr>
              <w:spacing w:line="244" w:lineRule="auto"/>
              <w:rPr>
                <w:rFonts w:ascii="Arial"/>
                <w:sz w:val="21"/>
              </w:rPr>
            </w:pPr>
            <w:r/>
          </w:p>
          <w:p>
            <w:pPr>
              <w:pStyle w:val="TableText"/>
              <w:ind w:left="64"/>
              <w:spacing w:before="65" w:line="219" w:lineRule="auto"/>
              <w:rPr>
                <w:sz w:val="20"/>
                <w:szCs w:val="20"/>
              </w:rPr>
            </w:pPr>
            <w:r>
              <w:rPr>
                <w:sz w:val="20"/>
                <w:szCs w:val="20"/>
              </w:rPr>
              <w:t>阳极生产废水：“三级沉淀</w:t>
            </w:r>
          </w:p>
          <w:p>
            <w:pPr>
              <w:pStyle w:val="TableText"/>
              <w:ind w:left="165"/>
              <w:spacing w:before="33" w:line="220" w:lineRule="auto"/>
              <w:rPr>
                <w:sz w:val="20"/>
                <w:szCs w:val="20"/>
              </w:rPr>
            </w:pPr>
            <w:r>
              <w:rPr>
                <w:sz w:val="20"/>
                <w:szCs w:val="20"/>
                <w:spacing w:val="7"/>
              </w:rPr>
              <w:t>+混凝沉淀+预酸化+A²O+</w:t>
            </w:r>
          </w:p>
          <w:p>
            <w:pPr>
              <w:pStyle w:val="TableText"/>
              <w:ind w:left="865"/>
              <w:spacing w:before="31" w:line="220" w:lineRule="auto"/>
              <w:rPr>
                <w:sz w:val="20"/>
                <w:szCs w:val="20"/>
              </w:rPr>
            </w:pPr>
            <w:r>
              <w:rPr>
                <w:sz w:val="20"/>
                <w:szCs w:val="20"/>
                <w:spacing w:val="49"/>
              </w:rPr>
              <w:t>二沉池”</w:t>
            </w:r>
          </w:p>
        </w:tc>
        <w:tc>
          <w:tcPr>
            <w:tcW w:w="1099" w:type="dxa"/>
            <w:vAlign w:val="top"/>
          </w:tcPr>
          <w:p>
            <w:pPr>
              <w:spacing w:line="291" w:lineRule="auto"/>
              <w:rPr>
                <w:rFonts w:ascii="Arial"/>
                <w:sz w:val="21"/>
              </w:rPr>
            </w:pPr>
            <w:r/>
          </w:p>
          <w:p>
            <w:pPr>
              <w:spacing w:line="291" w:lineRule="auto"/>
              <w:rPr>
                <w:rFonts w:ascii="Arial"/>
                <w:sz w:val="21"/>
              </w:rPr>
            </w:pPr>
            <w:r/>
          </w:p>
          <w:p>
            <w:pPr>
              <w:spacing w:line="291" w:lineRule="auto"/>
              <w:rPr>
                <w:rFonts w:ascii="Arial"/>
                <w:sz w:val="21"/>
              </w:rPr>
            </w:pPr>
            <w:r/>
          </w:p>
          <w:p>
            <w:pPr>
              <w:pStyle w:val="TableText"/>
              <w:ind w:left="296"/>
              <w:spacing w:before="65" w:line="183" w:lineRule="auto"/>
              <w:rPr>
                <w:sz w:val="20"/>
                <w:szCs w:val="20"/>
              </w:rPr>
            </w:pPr>
            <w:r>
              <w:rPr>
                <w:sz w:val="20"/>
                <w:szCs w:val="20"/>
                <w:spacing w:val="-1"/>
              </w:rPr>
              <w:t>DW003</w:t>
            </w:r>
          </w:p>
        </w:tc>
        <w:tc>
          <w:tcPr>
            <w:tcW w:w="1179" w:type="dxa"/>
            <w:vAlign w:val="top"/>
            <w:vMerge w:val="continue"/>
            <w:tcBorders>
              <w:top w:val="nil"/>
              <w:bottom w:val="nil"/>
            </w:tcBorders>
          </w:tcPr>
          <w:p>
            <w:pPr>
              <w:rPr>
                <w:rFonts w:ascii="Arial"/>
                <w:sz w:val="21"/>
              </w:rPr>
            </w:pPr>
            <w:r/>
          </w:p>
        </w:tc>
        <w:tc>
          <w:tcPr>
            <w:tcW w:w="1924" w:type="dxa"/>
            <w:vAlign w:val="top"/>
            <w:vMerge w:val="restart"/>
            <w:tcBorders>
              <w:bottom w:val="nil"/>
            </w:tcBorders>
          </w:tcPr>
          <w:p>
            <w:pPr>
              <w:spacing w:line="352" w:lineRule="auto"/>
              <w:rPr>
                <w:rFonts w:ascii="Arial"/>
                <w:sz w:val="21"/>
              </w:rPr>
            </w:pPr>
            <w:r/>
          </w:p>
          <w:p>
            <w:pPr>
              <w:spacing w:line="353" w:lineRule="auto"/>
              <w:rPr>
                <w:rFonts w:ascii="Arial"/>
                <w:sz w:val="21"/>
              </w:rPr>
            </w:pPr>
            <w:r/>
          </w:p>
          <w:p>
            <w:pPr>
              <w:pStyle w:val="TableText"/>
              <w:ind w:left="58"/>
              <w:spacing w:before="65" w:line="277" w:lineRule="exact"/>
              <w:rPr>
                <w:sz w:val="20"/>
                <w:szCs w:val="20"/>
              </w:rPr>
            </w:pPr>
            <w:r>
              <w:rPr>
                <w:sz w:val="20"/>
                <w:szCs w:val="20"/>
                <w:spacing w:val="5"/>
                <w:position w:val="5"/>
              </w:rPr>
              <w:t>V企业排口</w:t>
            </w:r>
          </w:p>
          <w:p>
            <w:pPr>
              <w:pStyle w:val="TableText"/>
              <w:ind w:left="58"/>
              <w:spacing w:line="219" w:lineRule="auto"/>
              <w:rPr>
                <w:sz w:val="20"/>
                <w:szCs w:val="20"/>
              </w:rPr>
            </w:pPr>
            <w:r>
              <w:rPr>
                <w:sz w:val="20"/>
                <w:szCs w:val="20"/>
                <w:spacing w:val="1"/>
              </w:rPr>
              <w:t>口雨水排放</w:t>
            </w:r>
          </w:p>
          <w:p>
            <w:pPr>
              <w:pStyle w:val="TableText"/>
              <w:ind w:left="58" w:right="447"/>
              <w:spacing w:before="63" w:line="257" w:lineRule="auto"/>
              <w:rPr>
                <w:sz w:val="20"/>
                <w:szCs w:val="20"/>
              </w:rPr>
            </w:pPr>
            <w:r>
              <w:rPr>
                <w:sz w:val="20"/>
                <w:szCs w:val="20"/>
                <w:spacing w:val="1"/>
              </w:rPr>
              <w:t>□清净下水排放</w:t>
            </w:r>
            <w:r>
              <w:rPr>
                <w:sz w:val="20"/>
                <w:szCs w:val="20"/>
              </w:rPr>
              <w:t xml:space="preserve"> </w:t>
            </w:r>
            <w:r>
              <w:rPr>
                <w:sz w:val="20"/>
                <w:szCs w:val="20"/>
                <w:spacing w:val="1"/>
              </w:rPr>
              <w:t>口温排水排放</w:t>
            </w:r>
          </w:p>
          <w:p>
            <w:pPr>
              <w:pStyle w:val="TableText"/>
              <w:ind w:left="58" w:right="45"/>
              <w:spacing w:before="61" w:line="236" w:lineRule="auto"/>
              <w:rPr>
                <w:sz w:val="20"/>
                <w:szCs w:val="20"/>
              </w:rPr>
            </w:pPr>
            <w:r>
              <w:rPr>
                <w:sz w:val="20"/>
                <w:szCs w:val="20"/>
                <w:spacing w:val="1"/>
              </w:rPr>
              <w:t>□车间或车间处理设</w:t>
            </w:r>
            <w:r>
              <w:rPr>
                <w:sz w:val="20"/>
                <w:szCs w:val="20"/>
              </w:rPr>
              <w:t xml:space="preserve"> </w:t>
            </w:r>
            <w:r>
              <w:rPr>
                <w:sz w:val="20"/>
                <w:szCs w:val="20"/>
                <w:spacing w:val="7"/>
              </w:rPr>
              <w:t>施排放口</w:t>
            </w:r>
          </w:p>
        </w:tc>
      </w:tr>
      <w:tr>
        <w:trPr>
          <w:trHeight w:val="589" w:hRule="atLeast"/>
        </w:trPr>
        <w:tc>
          <w:tcPr>
            <w:tcW w:w="475" w:type="dxa"/>
            <w:vAlign w:val="top"/>
          </w:tcPr>
          <w:p>
            <w:pPr>
              <w:pStyle w:val="TableText"/>
              <w:ind w:left="175"/>
              <w:spacing w:before="256" w:line="183" w:lineRule="auto"/>
              <w:rPr>
                <w:sz w:val="20"/>
                <w:szCs w:val="20"/>
              </w:rPr>
            </w:pPr>
            <w:r>
              <w:rPr>
                <w:sz w:val="20"/>
                <w:szCs w:val="20"/>
              </w:rPr>
              <w:t>3</w:t>
            </w:r>
          </w:p>
        </w:tc>
        <w:tc>
          <w:tcPr>
            <w:tcW w:w="1089" w:type="dxa"/>
            <w:vAlign w:val="top"/>
          </w:tcPr>
          <w:p>
            <w:pPr>
              <w:pStyle w:val="TableText"/>
              <w:ind w:left="329" w:right="157" w:hanging="200"/>
              <w:spacing w:before="65" w:line="234" w:lineRule="auto"/>
              <w:rPr>
                <w:sz w:val="20"/>
                <w:szCs w:val="20"/>
              </w:rPr>
            </w:pPr>
            <w:r>
              <w:rPr>
                <w:sz w:val="20"/>
                <w:szCs w:val="20"/>
                <w:spacing w:val="-3"/>
              </w:rPr>
              <w:t>其他生活</w:t>
            </w:r>
            <w:r>
              <w:rPr>
                <w:sz w:val="20"/>
                <w:szCs w:val="20"/>
                <w:spacing w:val="2"/>
              </w:rPr>
              <w:t xml:space="preserve"> </w:t>
            </w:r>
            <w:r>
              <w:rPr>
                <w:sz w:val="20"/>
                <w:szCs w:val="20"/>
                <w:spacing w:val="-3"/>
              </w:rPr>
              <w:t>污水</w:t>
            </w:r>
          </w:p>
        </w:tc>
        <w:tc>
          <w:tcPr>
            <w:tcW w:w="1569" w:type="dxa"/>
            <w:vAlign w:val="top"/>
          </w:tcPr>
          <w:p>
            <w:pPr>
              <w:pStyle w:val="TableText"/>
              <w:ind w:left="220"/>
              <w:spacing w:before="203" w:line="219" w:lineRule="auto"/>
              <w:rPr>
                <w:sz w:val="20"/>
                <w:szCs w:val="20"/>
              </w:rPr>
            </w:pPr>
            <w:r>
              <w:rPr>
                <w:sz w:val="20"/>
                <w:szCs w:val="20"/>
                <w:spacing w:val="-1"/>
              </w:rPr>
              <w:t>COD、氨氮等</w:t>
            </w:r>
          </w:p>
        </w:tc>
        <w:tc>
          <w:tcPr>
            <w:tcW w:w="840" w:type="dxa"/>
            <w:vAlign w:val="top"/>
            <w:vMerge w:val="continue"/>
            <w:tcBorders>
              <w:top w:val="nil"/>
              <w:bottom w:val="nil"/>
            </w:tcBorders>
          </w:tcPr>
          <w:p>
            <w:pPr>
              <w:rPr>
                <w:rFonts w:ascii="Arial"/>
                <w:sz w:val="21"/>
              </w:rPr>
            </w:pPr>
            <w:r/>
          </w:p>
        </w:tc>
        <w:tc>
          <w:tcPr>
            <w:tcW w:w="849" w:type="dxa"/>
            <w:vAlign w:val="top"/>
            <w:vMerge w:val="continue"/>
            <w:tcBorders>
              <w:top w:val="nil"/>
              <w:bottom w:val="nil"/>
            </w:tcBorders>
          </w:tcPr>
          <w:p>
            <w:pPr>
              <w:rPr>
                <w:rFonts w:ascii="Arial"/>
                <w:sz w:val="21"/>
              </w:rPr>
            </w:pPr>
            <w:r/>
          </w:p>
        </w:tc>
        <w:tc>
          <w:tcPr>
            <w:tcW w:w="1119" w:type="dxa"/>
            <w:vAlign w:val="top"/>
          </w:tcPr>
          <w:p>
            <w:pPr>
              <w:pStyle w:val="TableText"/>
              <w:ind w:left="503"/>
              <w:spacing w:before="210" w:line="224" w:lineRule="auto"/>
              <w:rPr>
                <w:sz w:val="20"/>
                <w:szCs w:val="20"/>
              </w:rPr>
            </w:pPr>
            <w:r>
              <w:rPr>
                <w:sz w:val="20"/>
                <w:szCs w:val="20"/>
              </w:rPr>
              <w:t>/</w:t>
            </w:r>
          </w:p>
        </w:tc>
        <w:tc>
          <w:tcPr>
            <w:tcW w:w="1289" w:type="dxa"/>
            <w:vAlign w:val="top"/>
          </w:tcPr>
          <w:p>
            <w:pPr>
              <w:pStyle w:val="TableText"/>
              <w:ind w:left="333"/>
              <w:spacing w:before="205" w:line="219" w:lineRule="auto"/>
              <w:rPr>
                <w:sz w:val="20"/>
                <w:szCs w:val="20"/>
              </w:rPr>
            </w:pPr>
            <w:r>
              <w:rPr>
                <w:sz w:val="20"/>
                <w:szCs w:val="20"/>
                <w:spacing w:val="-2"/>
              </w:rPr>
              <w:t>化粪池</w:t>
            </w:r>
          </w:p>
        </w:tc>
        <w:tc>
          <w:tcPr>
            <w:tcW w:w="2548" w:type="dxa"/>
            <w:vAlign w:val="top"/>
          </w:tcPr>
          <w:p>
            <w:pPr>
              <w:pStyle w:val="TableText"/>
              <w:ind w:left="965"/>
              <w:spacing w:before="205" w:line="219" w:lineRule="auto"/>
              <w:rPr>
                <w:sz w:val="20"/>
                <w:szCs w:val="20"/>
              </w:rPr>
            </w:pPr>
            <w:r>
              <w:rPr>
                <w:sz w:val="20"/>
                <w:szCs w:val="20"/>
                <w:spacing w:val="-2"/>
              </w:rPr>
              <w:t>化粪池</w:t>
            </w:r>
          </w:p>
        </w:tc>
        <w:tc>
          <w:tcPr>
            <w:tcW w:w="1099" w:type="dxa"/>
            <w:vAlign w:val="top"/>
            <w:vMerge w:val="restart"/>
            <w:tcBorders>
              <w:bottom w:val="nil"/>
            </w:tcBorders>
          </w:tcPr>
          <w:p>
            <w:pPr>
              <w:spacing w:line="405" w:lineRule="auto"/>
              <w:rPr>
                <w:rFonts w:ascii="Arial"/>
                <w:sz w:val="21"/>
              </w:rPr>
            </w:pPr>
            <w:r/>
          </w:p>
          <w:p>
            <w:pPr>
              <w:pStyle w:val="TableText"/>
              <w:ind w:left="197"/>
              <w:spacing w:before="65" w:line="234" w:lineRule="auto"/>
              <w:rPr>
                <w:sz w:val="20"/>
                <w:szCs w:val="20"/>
              </w:rPr>
            </w:pPr>
            <w:r>
              <w:rPr>
                <w:sz w:val="20"/>
                <w:szCs w:val="20"/>
                <w:spacing w:val="-4"/>
              </w:rPr>
              <w:t>DW010、</w:t>
            </w:r>
          </w:p>
          <w:p>
            <w:pPr>
              <w:pStyle w:val="TableText"/>
              <w:ind w:left="296"/>
              <w:spacing w:line="183" w:lineRule="auto"/>
              <w:rPr>
                <w:sz w:val="20"/>
                <w:szCs w:val="20"/>
              </w:rPr>
            </w:pPr>
            <w:r>
              <w:rPr>
                <w:sz w:val="20"/>
                <w:szCs w:val="20"/>
                <w:spacing w:val="-1"/>
              </w:rPr>
              <w:t>DW011</w:t>
            </w:r>
          </w:p>
        </w:tc>
        <w:tc>
          <w:tcPr>
            <w:tcW w:w="1179" w:type="dxa"/>
            <w:vAlign w:val="top"/>
            <w:vMerge w:val="continue"/>
            <w:tcBorders>
              <w:top w:val="nil"/>
              <w:bottom w:val="nil"/>
            </w:tcBorders>
          </w:tcPr>
          <w:p>
            <w:pPr>
              <w:rPr>
                <w:rFonts w:ascii="Arial"/>
                <w:sz w:val="21"/>
              </w:rPr>
            </w:pPr>
            <w:r/>
          </w:p>
        </w:tc>
        <w:tc>
          <w:tcPr>
            <w:tcW w:w="1924" w:type="dxa"/>
            <w:vAlign w:val="top"/>
            <w:vMerge w:val="continue"/>
            <w:tcBorders>
              <w:top w:val="nil"/>
              <w:bottom w:val="nil"/>
            </w:tcBorders>
          </w:tcPr>
          <w:p>
            <w:pPr>
              <w:rPr>
                <w:rFonts w:ascii="Arial"/>
                <w:sz w:val="21"/>
              </w:rPr>
            </w:pPr>
            <w:r/>
          </w:p>
        </w:tc>
      </w:tr>
      <w:tr>
        <w:trPr>
          <w:trHeight w:val="579" w:hRule="atLeast"/>
        </w:trPr>
        <w:tc>
          <w:tcPr>
            <w:tcW w:w="475" w:type="dxa"/>
            <w:vAlign w:val="top"/>
          </w:tcPr>
          <w:p>
            <w:pPr>
              <w:pStyle w:val="TableText"/>
              <w:ind w:left="175"/>
              <w:spacing w:before="247" w:line="183" w:lineRule="auto"/>
              <w:rPr>
                <w:sz w:val="20"/>
                <w:szCs w:val="20"/>
              </w:rPr>
            </w:pPr>
            <w:r>
              <w:rPr>
                <w:sz w:val="20"/>
                <w:szCs w:val="20"/>
              </w:rPr>
              <w:t>4</w:t>
            </w:r>
          </w:p>
        </w:tc>
        <w:tc>
          <w:tcPr>
            <w:tcW w:w="1089" w:type="dxa"/>
            <w:vAlign w:val="top"/>
          </w:tcPr>
          <w:p>
            <w:pPr>
              <w:pStyle w:val="TableText"/>
              <w:ind w:left="329" w:right="127" w:hanging="200"/>
              <w:spacing w:before="74" w:line="228" w:lineRule="auto"/>
              <w:rPr>
                <w:sz w:val="20"/>
                <w:szCs w:val="20"/>
              </w:rPr>
            </w:pPr>
            <w:r>
              <w:rPr>
                <w:sz w:val="20"/>
                <w:szCs w:val="20"/>
                <w:spacing w:val="5"/>
              </w:rPr>
              <w:t>食堂含油</w:t>
            </w:r>
            <w:r>
              <w:rPr>
                <w:sz w:val="20"/>
                <w:szCs w:val="20"/>
              </w:rPr>
              <w:t xml:space="preserve"> </w:t>
            </w:r>
            <w:r>
              <w:rPr>
                <w:sz w:val="20"/>
                <w:szCs w:val="20"/>
                <w:spacing w:val="-3"/>
              </w:rPr>
              <w:t>污水</w:t>
            </w:r>
          </w:p>
        </w:tc>
        <w:tc>
          <w:tcPr>
            <w:tcW w:w="1569" w:type="dxa"/>
            <w:vAlign w:val="top"/>
          </w:tcPr>
          <w:p>
            <w:pPr>
              <w:pStyle w:val="TableText"/>
              <w:ind w:left="220"/>
              <w:spacing w:before="194" w:line="219" w:lineRule="auto"/>
              <w:rPr>
                <w:sz w:val="20"/>
                <w:szCs w:val="20"/>
              </w:rPr>
            </w:pPr>
            <w:r>
              <w:rPr>
                <w:sz w:val="20"/>
                <w:szCs w:val="20"/>
                <w:spacing w:val="-1"/>
              </w:rPr>
              <w:t>COD、氨氮等</w:t>
            </w:r>
          </w:p>
        </w:tc>
        <w:tc>
          <w:tcPr>
            <w:tcW w:w="840" w:type="dxa"/>
            <w:vAlign w:val="top"/>
            <w:vMerge w:val="continue"/>
            <w:tcBorders>
              <w:top w:val="nil"/>
            </w:tcBorders>
          </w:tcPr>
          <w:p>
            <w:pPr>
              <w:rPr>
                <w:rFonts w:ascii="Arial"/>
                <w:sz w:val="21"/>
              </w:rPr>
            </w:pPr>
            <w:r/>
          </w:p>
        </w:tc>
        <w:tc>
          <w:tcPr>
            <w:tcW w:w="849" w:type="dxa"/>
            <w:vAlign w:val="top"/>
            <w:vMerge w:val="continue"/>
            <w:tcBorders>
              <w:top w:val="nil"/>
            </w:tcBorders>
          </w:tcPr>
          <w:p>
            <w:pPr>
              <w:rPr>
                <w:rFonts w:ascii="Arial"/>
                <w:sz w:val="21"/>
              </w:rPr>
            </w:pPr>
            <w:r/>
          </w:p>
        </w:tc>
        <w:tc>
          <w:tcPr>
            <w:tcW w:w="1119" w:type="dxa"/>
            <w:vAlign w:val="top"/>
          </w:tcPr>
          <w:p>
            <w:pPr>
              <w:pStyle w:val="TableText"/>
              <w:ind w:left="503"/>
              <w:spacing w:before="201" w:line="224" w:lineRule="auto"/>
              <w:rPr>
                <w:sz w:val="20"/>
                <w:szCs w:val="20"/>
              </w:rPr>
            </w:pPr>
            <w:r>
              <w:rPr>
                <w:sz w:val="20"/>
                <w:szCs w:val="20"/>
              </w:rPr>
              <w:t>/</w:t>
            </w:r>
          </w:p>
        </w:tc>
        <w:tc>
          <w:tcPr>
            <w:tcW w:w="1289" w:type="dxa"/>
            <w:vAlign w:val="top"/>
          </w:tcPr>
          <w:p>
            <w:pPr>
              <w:pStyle w:val="TableText"/>
              <w:ind w:left="533" w:right="37" w:hanging="499"/>
              <w:spacing w:before="74" w:line="228" w:lineRule="auto"/>
              <w:rPr>
                <w:sz w:val="20"/>
                <w:szCs w:val="20"/>
              </w:rPr>
            </w:pPr>
            <w:r>
              <w:rPr>
                <w:sz w:val="20"/>
                <w:szCs w:val="20"/>
                <w:spacing w:val="1"/>
              </w:rPr>
              <w:t>隔油池、化粪</w:t>
            </w:r>
            <w:r>
              <w:rPr>
                <w:sz w:val="20"/>
                <w:szCs w:val="20"/>
              </w:rPr>
              <w:t xml:space="preserve"> </w:t>
            </w:r>
            <w:r>
              <w:rPr>
                <w:sz w:val="20"/>
                <w:szCs w:val="20"/>
              </w:rPr>
              <w:t>池</w:t>
            </w:r>
          </w:p>
        </w:tc>
        <w:tc>
          <w:tcPr>
            <w:tcW w:w="2548" w:type="dxa"/>
            <w:vAlign w:val="top"/>
          </w:tcPr>
          <w:p>
            <w:pPr>
              <w:pStyle w:val="TableText"/>
              <w:ind w:left="714"/>
              <w:spacing w:before="196" w:line="219" w:lineRule="auto"/>
              <w:rPr>
                <w:sz w:val="20"/>
                <w:szCs w:val="20"/>
              </w:rPr>
            </w:pPr>
            <w:r>
              <w:rPr>
                <w:sz w:val="20"/>
                <w:szCs w:val="20"/>
                <w:spacing w:val="1"/>
              </w:rPr>
              <w:t>隔油+化粪池</w:t>
            </w:r>
          </w:p>
        </w:tc>
        <w:tc>
          <w:tcPr>
            <w:tcW w:w="1099" w:type="dxa"/>
            <w:vAlign w:val="top"/>
            <w:vMerge w:val="continue"/>
            <w:tcBorders>
              <w:top w:val="nil"/>
            </w:tcBorders>
          </w:tcPr>
          <w:p>
            <w:pPr>
              <w:rPr>
                <w:rFonts w:ascii="Arial"/>
                <w:sz w:val="21"/>
              </w:rPr>
            </w:pPr>
            <w:r/>
          </w:p>
        </w:tc>
        <w:tc>
          <w:tcPr>
            <w:tcW w:w="1179" w:type="dxa"/>
            <w:vAlign w:val="top"/>
            <w:vMerge w:val="continue"/>
            <w:tcBorders>
              <w:top w:val="nil"/>
            </w:tcBorders>
          </w:tcPr>
          <w:p>
            <w:pPr>
              <w:rPr>
                <w:rFonts w:ascii="Arial"/>
                <w:sz w:val="21"/>
              </w:rPr>
            </w:pPr>
            <w:r/>
          </w:p>
        </w:tc>
        <w:tc>
          <w:tcPr>
            <w:tcW w:w="1924" w:type="dxa"/>
            <w:vAlign w:val="top"/>
            <w:vMerge w:val="continue"/>
            <w:tcBorders>
              <w:top w:val="nil"/>
            </w:tcBorders>
          </w:tcPr>
          <w:p>
            <w:pPr>
              <w:rPr>
                <w:rFonts w:ascii="Arial"/>
                <w:sz w:val="21"/>
              </w:rPr>
            </w:pPr>
            <w:r/>
          </w:p>
        </w:tc>
      </w:tr>
      <w:tr>
        <w:trPr>
          <w:trHeight w:val="324" w:hRule="atLeast"/>
        </w:trPr>
        <w:tc>
          <w:tcPr>
            <w:tcW w:w="13980" w:type="dxa"/>
            <w:vAlign w:val="top"/>
            <w:gridSpan w:val="11"/>
          </w:tcPr>
          <w:p>
            <w:pPr>
              <w:pStyle w:val="TableText"/>
              <w:ind w:left="45"/>
              <w:spacing w:before="65" w:line="219" w:lineRule="auto"/>
              <w:rPr>
                <w:sz w:val="20"/>
                <w:szCs w:val="20"/>
              </w:rPr>
            </w:pPr>
            <w:r>
              <w:rPr>
                <w:sz w:val="20"/>
                <w:szCs w:val="20"/>
              </w:rPr>
              <w:t>备注：本项目无新增废水排放口。</w:t>
            </w:r>
          </w:p>
        </w:tc>
      </w:tr>
    </w:tbl>
    <w:p>
      <w:pPr>
        <w:rPr>
          <w:rFonts w:ascii="Arial"/>
          <w:sz w:val="21"/>
        </w:rPr>
      </w:pPr>
      <w:r/>
    </w:p>
    <w:p>
      <w:pPr>
        <w:sectPr>
          <w:footerReference w:type="default" r:id="rId130"/>
          <w:pgSz w:w="16840" w:h="11900"/>
          <w:pgMar w:top="1011" w:right="1444" w:bottom="979" w:left="1405" w:header="0" w:footer="840" w:gutter="0"/>
        </w:sectPr>
        <w:rPr>
          <w:rFonts w:ascii="Arial" w:hAnsi="Arial" w:eastAsia="Arial" w:cs="Arial"/>
          <w:sz w:val="21"/>
          <w:szCs w:val="21"/>
        </w:rPr>
      </w:pPr>
    </w:p>
    <w:p>
      <w:pPr>
        <w:spacing w:line="353" w:lineRule="auto"/>
        <w:rPr>
          <w:rFonts w:ascii="Arial"/>
          <w:sz w:val="21"/>
        </w:rPr>
      </w:pPr>
      <w:r/>
    </w:p>
    <w:p>
      <w:pPr>
        <w:pStyle w:val="BodyText"/>
        <w:ind w:left="5068"/>
        <w:spacing w:before="78" w:line="219" w:lineRule="auto"/>
        <w:rPr>
          <w:sz w:val="24"/>
          <w:szCs w:val="24"/>
        </w:rPr>
      </w:pPr>
      <w:r>
        <w:rPr>
          <w:sz w:val="24"/>
          <w:szCs w:val="24"/>
          <w:b/>
          <w:bCs/>
          <w:spacing w:val="-7"/>
        </w:rPr>
        <w:t>表4.3-6</w:t>
      </w:r>
      <w:r>
        <w:rPr>
          <w:sz w:val="24"/>
          <w:szCs w:val="24"/>
          <w:spacing w:val="112"/>
        </w:rPr>
        <w:t xml:space="preserve"> </w:t>
      </w:r>
      <w:r>
        <w:rPr>
          <w:sz w:val="24"/>
          <w:szCs w:val="24"/>
          <w:b/>
          <w:bCs/>
          <w:spacing w:val="-7"/>
        </w:rPr>
        <w:t>废水间接排放口基本情况表</w:t>
      </w:r>
    </w:p>
    <w:p>
      <w:pPr>
        <w:spacing w:line="145" w:lineRule="exact"/>
        <w:rPr/>
      </w:pPr>
      <w:r/>
    </w:p>
    <w:tbl>
      <w:tblPr>
        <w:tblStyle w:val="TableNormal"/>
        <w:tblW w:w="1396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05"/>
        <w:gridCol w:w="1069"/>
        <w:gridCol w:w="1709"/>
        <w:gridCol w:w="2049"/>
        <w:gridCol w:w="859"/>
        <w:gridCol w:w="1069"/>
        <w:gridCol w:w="789"/>
        <w:gridCol w:w="779"/>
        <w:gridCol w:w="1399"/>
        <w:gridCol w:w="1429"/>
        <w:gridCol w:w="2213"/>
      </w:tblGrid>
      <w:tr>
        <w:trPr>
          <w:trHeight w:val="754" w:hRule="atLeast"/>
        </w:trPr>
        <w:tc>
          <w:tcPr>
            <w:tcW w:w="605" w:type="dxa"/>
            <w:vAlign w:val="top"/>
            <w:vMerge w:val="restart"/>
            <w:tcBorders>
              <w:bottom w:val="nil"/>
            </w:tcBorders>
          </w:tcPr>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84"/>
              <w:spacing w:before="68" w:line="221" w:lineRule="auto"/>
              <w:rPr>
                <w:sz w:val="21"/>
                <w:szCs w:val="21"/>
              </w:rPr>
            </w:pPr>
            <w:r>
              <w:rPr>
                <w:sz w:val="21"/>
                <w:szCs w:val="21"/>
                <w:spacing w:val="6"/>
              </w:rPr>
              <w:t>序号</w:t>
            </w:r>
          </w:p>
        </w:tc>
        <w:tc>
          <w:tcPr>
            <w:tcW w:w="1069" w:type="dxa"/>
            <w:vAlign w:val="top"/>
            <w:vMerge w:val="restart"/>
            <w:tcBorders>
              <w:bottom w:val="nil"/>
            </w:tcBorders>
          </w:tcPr>
          <w:p>
            <w:pPr>
              <w:spacing w:line="326" w:lineRule="auto"/>
              <w:rPr>
                <w:rFonts w:ascii="Arial"/>
                <w:sz w:val="21"/>
              </w:rPr>
            </w:pPr>
            <w:r/>
          </w:p>
          <w:p>
            <w:pPr>
              <w:spacing w:line="326" w:lineRule="auto"/>
              <w:rPr>
                <w:rFonts w:ascii="Arial"/>
                <w:sz w:val="21"/>
              </w:rPr>
            </w:pPr>
            <w:r/>
          </w:p>
          <w:p>
            <w:pPr>
              <w:pStyle w:val="TableText"/>
              <w:ind w:left="309" w:right="188" w:hanging="100"/>
              <w:spacing w:before="69" w:line="232" w:lineRule="auto"/>
              <w:rPr>
                <w:sz w:val="21"/>
                <w:szCs w:val="21"/>
              </w:rPr>
            </w:pPr>
            <w:r>
              <w:rPr>
                <w:sz w:val="21"/>
                <w:szCs w:val="21"/>
                <w:spacing w:val="10"/>
              </w:rPr>
              <w:t>排放口</w:t>
            </w:r>
            <w:r>
              <w:rPr>
                <w:sz w:val="21"/>
                <w:szCs w:val="21"/>
              </w:rPr>
              <w:t xml:space="preserve"> </w:t>
            </w:r>
            <w:r>
              <w:rPr>
                <w:sz w:val="21"/>
                <w:szCs w:val="21"/>
                <w:spacing w:val="6"/>
              </w:rPr>
              <w:t>编号</w:t>
            </w:r>
          </w:p>
        </w:tc>
        <w:tc>
          <w:tcPr>
            <w:tcW w:w="3758" w:type="dxa"/>
            <w:vAlign w:val="top"/>
            <w:gridSpan w:val="2"/>
          </w:tcPr>
          <w:p>
            <w:pPr>
              <w:pStyle w:val="TableText"/>
              <w:ind w:left="1161"/>
              <w:spacing w:before="274" w:line="220" w:lineRule="auto"/>
              <w:rPr>
                <w:sz w:val="21"/>
                <w:szCs w:val="21"/>
              </w:rPr>
            </w:pPr>
            <w:r>
              <w:rPr>
                <w:sz w:val="21"/>
                <w:szCs w:val="21"/>
                <w:spacing w:val="-2"/>
              </w:rPr>
              <w:t>排放口地理坐标</w:t>
            </w:r>
          </w:p>
        </w:tc>
        <w:tc>
          <w:tcPr>
            <w:tcW w:w="859" w:type="dxa"/>
            <w:vAlign w:val="top"/>
            <w:vMerge w:val="restart"/>
            <w:tcBorders>
              <w:bottom w:val="nil"/>
            </w:tcBorders>
          </w:tcPr>
          <w:p>
            <w:pPr>
              <w:rPr>
                <w:rFonts w:ascii="Arial"/>
                <w:sz w:val="21"/>
              </w:rPr>
            </w:pPr>
            <w:r/>
          </w:p>
          <w:p>
            <w:pPr>
              <w:spacing w:line="241" w:lineRule="auto"/>
              <w:rPr>
                <w:rFonts w:ascii="Arial"/>
                <w:sz w:val="21"/>
              </w:rPr>
            </w:pPr>
            <w:r/>
          </w:p>
          <w:p>
            <w:pPr>
              <w:pStyle w:val="TableText"/>
              <w:ind w:left="103" w:right="124" w:firstLine="109"/>
              <w:spacing w:before="68" w:line="254" w:lineRule="auto"/>
              <w:jc w:val="both"/>
              <w:rPr>
                <w:sz w:val="21"/>
                <w:szCs w:val="21"/>
              </w:rPr>
            </w:pPr>
            <w:r>
              <w:rPr>
                <w:sz w:val="21"/>
                <w:szCs w:val="21"/>
                <w:spacing w:val="-4"/>
              </w:rPr>
              <w:t>废水</w:t>
            </w:r>
            <w:r>
              <w:rPr>
                <w:sz w:val="21"/>
                <w:szCs w:val="21"/>
              </w:rPr>
              <w:t xml:space="preserve">  </w:t>
            </w:r>
            <w:r>
              <w:rPr>
                <w:sz w:val="21"/>
                <w:szCs w:val="21"/>
                <w:spacing w:val="-3"/>
              </w:rPr>
              <w:t>排放量</w:t>
            </w:r>
            <w:r>
              <w:rPr>
                <w:sz w:val="21"/>
                <w:szCs w:val="21"/>
              </w:rPr>
              <w:t xml:space="preserve"> </w:t>
            </w:r>
            <w:r>
              <w:rPr>
                <w:sz w:val="21"/>
                <w:szCs w:val="21"/>
              </w:rPr>
              <w:t>(t/a)</w:t>
            </w:r>
          </w:p>
        </w:tc>
        <w:tc>
          <w:tcPr>
            <w:tcW w:w="1069" w:type="dxa"/>
            <w:vAlign w:val="top"/>
            <w:vMerge w:val="restart"/>
            <w:tcBorders>
              <w:bottom w:val="nil"/>
            </w:tcBorders>
          </w:tcPr>
          <w:p>
            <w:pPr>
              <w:spacing w:line="311" w:lineRule="auto"/>
              <w:rPr>
                <w:rFonts w:ascii="Arial"/>
                <w:sz w:val="21"/>
              </w:rPr>
            </w:pPr>
            <w:r/>
          </w:p>
          <w:p>
            <w:pPr>
              <w:spacing w:line="311" w:lineRule="auto"/>
              <w:rPr>
                <w:rFonts w:ascii="Arial"/>
                <w:sz w:val="21"/>
              </w:rPr>
            </w:pPr>
            <w:r/>
          </w:p>
          <w:p>
            <w:pPr>
              <w:pStyle w:val="TableText"/>
              <w:ind w:left="314"/>
              <w:spacing w:before="69" w:line="310" w:lineRule="exact"/>
              <w:rPr>
                <w:sz w:val="21"/>
                <w:szCs w:val="21"/>
              </w:rPr>
            </w:pPr>
            <w:r>
              <w:rPr>
                <w:sz w:val="21"/>
                <w:szCs w:val="21"/>
                <w:spacing w:val="-3"/>
                <w:position w:val="7"/>
              </w:rPr>
              <w:t>排放</w:t>
            </w:r>
          </w:p>
          <w:p>
            <w:pPr>
              <w:pStyle w:val="TableText"/>
              <w:ind w:left="314"/>
              <w:spacing w:line="220" w:lineRule="auto"/>
              <w:rPr>
                <w:sz w:val="21"/>
                <w:szCs w:val="21"/>
              </w:rPr>
            </w:pPr>
            <w:r>
              <w:rPr>
                <w:sz w:val="21"/>
                <w:szCs w:val="21"/>
                <w:spacing w:val="11"/>
              </w:rPr>
              <w:t>去向</w:t>
            </w:r>
          </w:p>
        </w:tc>
        <w:tc>
          <w:tcPr>
            <w:tcW w:w="789" w:type="dxa"/>
            <w:vAlign w:val="top"/>
            <w:vMerge w:val="restart"/>
            <w:tcBorders>
              <w:bottom w:val="nil"/>
            </w:tcBorders>
          </w:tcPr>
          <w:p>
            <w:pPr>
              <w:spacing w:line="311" w:lineRule="auto"/>
              <w:rPr>
                <w:rFonts w:ascii="Arial"/>
                <w:sz w:val="21"/>
              </w:rPr>
            </w:pPr>
            <w:r/>
          </w:p>
          <w:p>
            <w:pPr>
              <w:spacing w:line="311" w:lineRule="auto"/>
              <w:rPr>
                <w:rFonts w:ascii="Arial"/>
                <w:sz w:val="21"/>
              </w:rPr>
            </w:pPr>
            <w:r/>
          </w:p>
          <w:p>
            <w:pPr>
              <w:pStyle w:val="TableText"/>
              <w:ind w:left="174"/>
              <w:spacing w:before="69" w:line="308" w:lineRule="exact"/>
              <w:rPr>
                <w:sz w:val="21"/>
                <w:szCs w:val="21"/>
              </w:rPr>
            </w:pPr>
            <w:r>
              <w:rPr>
                <w:sz w:val="21"/>
                <w:szCs w:val="21"/>
                <w:spacing w:val="-3"/>
                <w:position w:val="7"/>
              </w:rPr>
              <w:t>排放</w:t>
            </w:r>
          </w:p>
          <w:p>
            <w:pPr>
              <w:pStyle w:val="TableText"/>
              <w:ind w:left="174"/>
              <w:spacing w:line="219" w:lineRule="auto"/>
              <w:rPr>
                <w:sz w:val="21"/>
                <w:szCs w:val="21"/>
              </w:rPr>
            </w:pPr>
            <w:r>
              <w:rPr>
                <w:sz w:val="21"/>
                <w:szCs w:val="21"/>
                <w:spacing w:val="-3"/>
              </w:rPr>
              <w:t>规律</w:t>
            </w:r>
          </w:p>
        </w:tc>
        <w:tc>
          <w:tcPr>
            <w:tcW w:w="779"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pStyle w:val="TableText"/>
              <w:ind w:left="175"/>
              <w:spacing w:before="68" w:line="292" w:lineRule="exact"/>
              <w:rPr>
                <w:sz w:val="21"/>
                <w:szCs w:val="21"/>
              </w:rPr>
            </w:pPr>
            <w:r>
              <w:rPr>
                <w:sz w:val="21"/>
                <w:szCs w:val="21"/>
                <w:spacing w:val="4"/>
                <w:position w:val="5"/>
              </w:rPr>
              <w:t>间歇</w:t>
            </w:r>
          </w:p>
          <w:p>
            <w:pPr>
              <w:pStyle w:val="TableText"/>
              <w:ind w:left="175"/>
              <w:spacing w:line="220" w:lineRule="auto"/>
              <w:rPr>
                <w:sz w:val="21"/>
                <w:szCs w:val="21"/>
              </w:rPr>
            </w:pPr>
            <w:r>
              <w:rPr>
                <w:sz w:val="21"/>
                <w:szCs w:val="21"/>
                <w:spacing w:val="-3"/>
              </w:rPr>
              <w:t>排放</w:t>
            </w:r>
          </w:p>
          <w:p>
            <w:pPr>
              <w:pStyle w:val="TableText"/>
              <w:ind w:left="175"/>
              <w:spacing w:before="58" w:line="221" w:lineRule="auto"/>
              <w:rPr>
                <w:sz w:val="21"/>
                <w:szCs w:val="21"/>
              </w:rPr>
            </w:pPr>
            <w:r>
              <w:rPr>
                <w:sz w:val="21"/>
                <w:szCs w:val="21"/>
                <w:spacing w:val="4"/>
              </w:rPr>
              <w:t>时段</w:t>
            </w:r>
          </w:p>
        </w:tc>
        <w:tc>
          <w:tcPr>
            <w:tcW w:w="5041" w:type="dxa"/>
            <w:vAlign w:val="top"/>
            <w:gridSpan w:val="3"/>
            <w:vMerge w:val="restart"/>
            <w:tcBorders>
              <w:bottom w:val="nil"/>
            </w:tcBorders>
          </w:tcPr>
          <w:p>
            <w:pPr>
              <w:spacing w:line="393" w:lineRule="auto"/>
              <w:rPr>
                <w:rFonts w:ascii="Arial"/>
                <w:sz w:val="21"/>
              </w:rPr>
            </w:pPr>
            <w:r/>
          </w:p>
          <w:p>
            <w:pPr>
              <w:pStyle w:val="TableText"/>
              <w:ind w:left="1616"/>
              <w:spacing w:before="68" w:line="219" w:lineRule="auto"/>
              <w:rPr>
                <w:sz w:val="21"/>
                <w:szCs w:val="21"/>
              </w:rPr>
            </w:pPr>
            <w:r>
              <w:rPr>
                <w:sz w:val="21"/>
                <w:szCs w:val="21"/>
                <w:spacing w:val="1"/>
              </w:rPr>
              <w:t>受纳污水处理厂信息</w:t>
            </w:r>
          </w:p>
        </w:tc>
      </w:tr>
      <w:tr>
        <w:trPr>
          <w:trHeight w:val="359" w:hRule="atLeast"/>
        </w:trPr>
        <w:tc>
          <w:tcPr>
            <w:tcW w:w="605" w:type="dxa"/>
            <w:vAlign w:val="top"/>
            <w:vMerge w:val="continue"/>
            <w:tcBorders>
              <w:top w:val="nil"/>
              <w:bottom w:val="nil"/>
            </w:tcBorders>
          </w:tcPr>
          <w:p>
            <w:pPr>
              <w:rPr>
                <w:rFonts w:ascii="Arial"/>
                <w:sz w:val="21"/>
              </w:rPr>
            </w:pPr>
            <w:r/>
          </w:p>
        </w:tc>
        <w:tc>
          <w:tcPr>
            <w:tcW w:w="1069" w:type="dxa"/>
            <w:vAlign w:val="top"/>
            <w:vMerge w:val="continue"/>
            <w:tcBorders>
              <w:top w:val="nil"/>
              <w:bottom w:val="nil"/>
            </w:tcBorders>
          </w:tcPr>
          <w:p>
            <w:pPr>
              <w:rPr>
                <w:rFonts w:ascii="Arial"/>
                <w:sz w:val="21"/>
              </w:rPr>
            </w:pPr>
            <w:r/>
          </w:p>
        </w:tc>
        <w:tc>
          <w:tcPr>
            <w:tcW w:w="1709" w:type="dxa"/>
            <w:vAlign w:val="top"/>
            <w:vMerge w:val="restart"/>
            <w:tcBorders>
              <w:bottom w:val="nil"/>
            </w:tcBorders>
          </w:tcPr>
          <w:p>
            <w:pPr>
              <w:spacing w:line="409" w:lineRule="auto"/>
              <w:rPr>
                <w:rFonts w:ascii="Arial"/>
                <w:sz w:val="21"/>
              </w:rPr>
            </w:pPr>
            <w:r/>
          </w:p>
          <w:p>
            <w:pPr>
              <w:pStyle w:val="TableText"/>
              <w:ind w:left="411"/>
              <w:spacing w:before="68" w:line="220" w:lineRule="auto"/>
              <w:rPr>
                <w:sz w:val="21"/>
                <w:szCs w:val="21"/>
              </w:rPr>
            </w:pPr>
            <w:r>
              <w:rPr>
                <w:sz w:val="21"/>
                <w:szCs w:val="21"/>
                <w:spacing w:val="9"/>
              </w:rPr>
              <w:t>经度(°)</w:t>
            </w:r>
          </w:p>
        </w:tc>
        <w:tc>
          <w:tcPr>
            <w:tcW w:w="2049" w:type="dxa"/>
            <w:vAlign w:val="top"/>
            <w:vMerge w:val="restart"/>
            <w:tcBorders>
              <w:bottom w:val="nil"/>
            </w:tcBorders>
          </w:tcPr>
          <w:p>
            <w:pPr>
              <w:spacing w:line="409" w:lineRule="auto"/>
              <w:rPr>
                <w:rFonts w:ascii="Arial"/>
                <w:sz w:val="21"/>
              </w:rPr>
            </w:pPr>
            <w:r/>
          </w:p>
          <w:p>
            <w:pPr>
              <w:pStyle w:val="TableText"/>
              <w:ind w:left="641"/>
              <w:spacing w:before="68" w:line="220" w:lineRule="auto"/>
              <w:rPr>
                <w:sz w:val="21"/>
                <w:szCs w:val="21"/>
              </w:rPr>
            </w:pPr>
            <w:r>
              <w:rPr>
                <w:sz w:val="21"/>
                <w:szCs w:val="21"/>
                <w:spacing w:val="10"/>
              </w:rPr>
              <w:t>纬度(0)</w:t>
            </w:r>
          </w:p>
        </w:tc>
        <w:tc>
          <w:tcPr>
            <w:tcW w:w="859" w:type="dxa"/>
            <w:vAlign w:val="top"/>
            <w:vMerge w:val="continue"/>
            <w:tcBorders>
              <w:top w:val="nil"/>
              <w:bottom w:val="nil"/>
            </w:tcBorders>
          </w:tcPr>
          <w:p>
            <w:pPr>
              <w:rPr>
                <w:rFonts w:ascii="Arial"/>
                <w:sz w:val="21"/>
              </w:rPr>
            </w:pPr>
            <w:r/>
          </w:p>
        </w:tc>
        <w:tc>
          <w:tcPr>
            <w:tcW w:w="1069" w:type="dxa"/>
            <w:vAlign w:val="top"/>
            <w:vMerge w:val="continue"/>
            <w:tcBorders>
              <w:top w:val="nil"/>
              <w:bottom w:val="nil"/>
            </w:tcBorders>
          </w:tcPr>
          <w:p>
            <w:pPr>
              <w:rPr>
                <w:rFonts w:ascii="Arial"/>
                <w:sz w:val="21"/>
              </w:rPr>
            </w:pPr>
            <w:r/>
          </w:p>
        </w:tc>
        <w:tc>
          <w:tcPr>
            <w:tcW w:w="789" w:type="dxa"/>
            <w:vAlign w:val="top"/>
            <w:vMerge w:val="continue"/>
            <w:tcBorders>
              <w:top w:val="nil"/>
              <w:bottom w:val="nil"/>
            </w:tcBorders>
          </w:tcPr>
          <w:p>
            <w:pPr>
              <w:rPr>
                <w:rFonts w:ascii="Arial"/>
                <w:sz w:val="21"/>
              </w:rPr>
            </w:pPr>
            <w:r/>
          </w:p>
        </w:tc>
        <w:tc>
          <w:tcPr>
            <w:tcW w:w="779" w:type="dxa"/>
            <w:vAlign w:val="top"/>
            <w:vMerge w:val="continue"/>
            <w:tcBorders>
              <w:top w:val="nil"/>
              <w:bottom w:val="nil"/>
            </w:tcBorders>
          </w:tcPr>
          <w:p>
            <w:pPr>
              <w:rPr>
                <w:rFonts w:ascii="Arial"/>
                <w:sz w:val="21"/>
              </w:rPr>
            </w:pPr>
            <w:r/>
          </w:p>
        </w:tc>
        <w:tc>
          <w:tcPr>
            <w:tcW w:w="5041" w:type="dxa"/>
            <w:vAlign w:val="top"/>
            <w:gridSpan w:val="3"/>
            <w:vMerge w:val="continue"/>
            <w:tcBorders>
              <w:top w:val="nil"/>
            </w:tcBorders>
          </w:tcPr>
          <w:p>
            <w:pPr>
              <w:rPr>
                <w:rFonts w:ascii="Arial"/>
                <w:sz w:val="21"/>
              </w:rPr>
            </w:pPr>
            <w:r/>
          </w:p>
        </w:tc>
      </w:tr>
      <w:tr>
        <w:trPr>
          <w:trHeight w:val="799" w:hRule="atLeast"/>
        </w:trPr>
        <w:tc>
          <w:tcPr>
            <w:tcW w:w="605" w:type="dxa"/>
            <w:vAlign w:val="top"/>
            <w:vMerge w:val="continue"/>
            <w:tcBorders>
              <w:top w:val="nil"/>
            </w:tcBorders>
          </w:tcPr>
          <w:p>
            <w:pPr>
              <w:rPr>
                <w:rFonts w:ascii="Arial"/>
                <w:sz w:val="21"/>
              </w:rPr>
            </w:pPr>
            <w:r/>
          </w:p>
        </w:tc>
        <w:tc>
          <w:tcPr>
            <w:tcW w:w="1069" w:type="dxa"/>
            <w:vAlign w:val="top"/>
            <w:vMerge w:val="continue"/>
            <w:tcBorders>
              <w:top w:val="nil"/>
            </w:tcBorders>
          </w:tcPr>
          <w:p>
            <w:pPr>
              <w:rPr>
                <w:rFonts w:ascii="Arial"/>
                <w:sz w:val="21"/>
              </w:rPr>
            </w:pPr>
            <w:r/>
          </w:p>
        </w:tc>
        <w:tc>
          <w:tcPr>
            <w:tcW w:w="1709" w:type="dxa"/>
            <w:vAlign w:val="top"/>
            <w:vMerge w:val="continue"/>
            <w:tcBorders>
              <w:top w:val="nil"/>
            </w:tcBorders>
          </w:tcPr>
          <w:p>
            <w:pPr>
              <w:rPr>
                <w:rFonts w:ascii="Arial"/>
                <w:sz w:val="21"/>
              </w:rPr>
            </w:pPr>
            <w:r/>
          </w:p>
        </w:tc>
        <w:tc>
          <w:tcPr>
            <w:tcW w:w="2049" w:type="dxa"/>
            <w:vAlign w:val="top"/>
            <w:vMerge w:val="continue"/>
            <w:tcBorders>
              <w:top w:val="nil"/>
            </w:tcBorders>
          </w:tcPr>
          <w:p>
            <w:pPr>
              <w:rPr>
                <w:rFonts w:ascii="Arial"/>
                <w:sz w:val="21"/>
              </w:rPr>
            </w:pPr>
            <w:r/>
          </w:p>
        </w:tc>
        <w:tc>
          <w:tcPr>
            <w:tcW w:w="859" w:type="dxa"/>
            <w:vAlign w:val="top"/>
            <w:vMerge w:val="continue"/>
            <w:tcBorders>
              <w:top w:val="nil"/>
            </w:tcBorders>
          </w:tcPr>
          <w:p>
            <w:pPr>
              <w:rPr>
                <w:rFonts w:ascii="Arial"/>
                <w:sz w:val="21"/>
              </w:rPr>
            </w:pPr>
            <w:r/>
          </w:p>
        </w:tc>
        <w:tc>
          <w:tcPr>
            <w:tcW w:w="1069" w:type="dxa"/>
            <w:vAlign w:val="top"/>
            <w:vMerge w:val="continue"/>
            <w:tcBorders>
              <w:top w:val="nil"/>
            </w:tcBorders>
          </w:tcPr>
          <w:p>
            <w:pPr>
              <w:rPr>
                <w:rFonts w:ascii="Arial"/>
                <w:sz w:val="21"/>
              </w:rPr>
            </w:pPr>
            <w:r/>
          </w:p>
        </w:tc>
        <w:tc>
          <w:tcPr>
            <w:tcW w:w="789" w:type="dxa"/>
            <w:vAlign w:val="top"/>
            <w:vMerge w:val="continue"/>
            <w:tcBorders>
              <w:top w:val="nil"/>
            </w:tcBorders>
          </w:tcPr>
          <w:p>
            <w:pPr>
              <w:rPr>
                <w:rFonts w:ascii="Arial"/>
                <w:sz w:val="21"/>
              </w:rPr>
            </w:pPr>
            <w:r/>
          </w:p>
        </w:tc>
        <w:tc>
          <w:tcPr>
            <w:tcW w:w="779" w:type="dxa"/>
            <w:vAlign w:val="top"/>
            <w:vMerge w:val="continue"/>
            <w:tcBorders>
              <w:top w:val="nil"/>
            </w:tcBorders>
          </w:tcPr>
          <w:p>
            <w:pPr>
              <w:rPr>
                <w:rFonts w:ascii="Arial"/>
                <w:sz w:val="21"/>
              </w:rPr>
            </w:pPr>
            <w:r/>
          </w:p>
        </w:tc>
        <w:tc>
          <w:tcPr>
            <w:tcW w:w="1399" w:type="dxa"/>
            <w:vAlign w:val="top"/>
          </w:tcPr>
          <w:p>
            <w:pPr>
              <w:pStyle w:val="TableText"/>
              <w:ind w:left="486"/>
              <w:spacing w:before="303" w:line="221" w:lineRule="auto"/>
              <w:rPr>
                <w:sz w:val="21"/>
                <w:szCs w:val="21"/>
              </w:rPr>
            </w:pPr>
            <w:r>
              <w:rPr>
                <w:sz w:val="21"/>
                <w:szCs w:val="21"/>
                <w:spacing w:val="5"/>
              </w:rPr>
              <w:t>名称</w:t>
            </w:r>
          </w:p>
        </w:tc>
        <w:tc>
          <w:tcPr>
            <w:tcW w:w="1429" w:type="dxa"/>
            <w:vAlign w:val="top"/>
          </w:tcPr>
          <w:p>
            <w:pPr>
              <w:pStyle w:val="TableText"/>
              <w:ind w:left="187"/>
              <w:spacing w:before="300" w:line="219" w:lineRule="auto"/>
              <w:rPr>
                <w:sz w:val="21"/>
                <w:szCs w:val="21"/>
              </w:rPr>
            </w:pPr>
            <w:r>
              <w:rPr>
                <w:sz w:val="21"/>
                <w:szCs w:val="21"/>
                <w:spacing w:val="-2"/>
              </w:rPr>
              <w:t>污染物种类</w:t>
            </w:r>
          </w:p>
        </w:tc>
        <w:tc>
          <w:tcPr>
            <w:tcW w:w="2213" w:type="dxa"/>
            <w:vAlign w:val="top"/>
          </w:tcPr>
          <w:p>
            <w:pPr>
              <w:pStyle w:val="TableText"/>
              <w:ind w:left="49"/>
              <w:spacing w:before="181" w:line="220" w:lineRule="auto"/>
              <w:rPr>
                <w:sz w:val="21"/>
                <w:szCs w:val="21"/>
              </w:rPr>
            </w:pPr>
            <w:r>
              <w:rPr>
                <w:sz w:val="21"/>
                <w:szCs w:val="21"/>
              </w:rPr>
              <w:t>国家或地方污染物排放</w:t>
            </w:r>
          </w:p>
          <w:p>
            <w:pPr>
              <w:pStyle w:val="TableText"/>
              <w:ind w:left="159"/>
              <w:spacing w:before="1" w:line="214" w:lineRule="auto"/>
              <w:rPr>
                <w:sz w:val="21"/>
                <w:szCs w:val="21"/>
              </w:rPr>
            </w:pPr>
            <w:r>
              <w:rPr>
                <w:sz w:val="21"/>
                <w:szCs w:val="21"/>
                <w:spacing w:val="4"/>
              </w:rPr>
              <w:t>标准浓度限值(</w:t>
            </w:r>
            <w:r>
              <w:rPr>
                <w:sz w:val="21"/>
                <w:szCs w:val="21"/>
              </w:rPr>
              <w:t>mg</w:t>
            </w:r>
            <w:r>
              <w:rPr>
                <w:sz w:val="21"/>
                <w:szCs w:val="21"/>
                <w:spacing w:val="4"/>
              </w:rPr>
              <w:t>/L)</w:t>
            </w:r>
          </w:p>
        </w:tc>
      </w:tr>
      <w:tr>
        <w:trPr>
          <w:trHeight w:val="299" w:hRule="atLeast"/>
        </w:trPr>
        <w:tc>
          <w:tcPr>
            <w:tcW w:w="605" w:type="dxa"/>
            <w:vAlign w:val="top"/>
          </w:tcPr>
          <w:p>
            <w:pPr>
              <w:pStyle w:val="TableText"/>
              <w:ind w:left="234"/>
              <w:spacing w:before="104" w:line="162" w:lineRule="auto"/>
              <w:rPr>
                <w:sz w:val="21"/>
                <w:szCs w:val="21"/>
              </w:rPr>
            </w:pPr>
            <w:r>
              <w:rPr>
                <w:sz w:val="21"/>
                <w:szCs w:val="21"/>
              </w:rPr>
              <w:t>1</w:t>
            </w:r>
          </w:p>
        </w:tc>
        <w:tc>
          <w:tcPr>
            <w:tcW w:w="1069" w:type="dxa"/>
            <w:vAlign w:val="top"/>
          </w:tcPr>
          <w:p>
            <w:pPr>
              <w:pStyle w:val="TableText"/>
              <w:ind w:left="259"/>
              <w:spacing w:before="104" w:line="162" w:lineRule="auto"/>
              <w:rPr>
                <w:sz w:val="21"/>
                <w:szCs w:val="21"/>
              </w:rPr>
            </w:pPr>
            <w:r>
              <w:rPr>
                <w:sz w:val="21"/>
                <w:szCs w:val="21"/>
                <w:spacing w:val="-1"/>
              </w:rPr>
              <w:t>DW001</w:t>
            </w:r>
          </w:p>
        </w:tc>
        <w:tc>
          <w:tcPr>
            <w:tcW w:w="1709" w:type="dxa"/>
            <w:vAlign w:val="top"/>
          </w:tcPr>
          <w:p>
            <w:pPr>
              <w:pStyle w:val="TableText"/>
              <w:ind w:left="50"/>
              <w:spacing w:before="72" w:line="190" w:lineRule="auto"/>
              <w:rPr>
                <w:sz w:val="21"/>
                <w:szCs w:val="21"/>
              </w:rPr>
            </w:pPr>
            <w:r>
              <w:rPr>
                <w:sz w:val="21"/>
                <w:szCs w:val="21"/>
                <w:spacing w:val="-2"/>
              </w:rPr>
              <w:t>120°1'11.100"E</w:t>
            </w:r>
          </w:p>
        </w:tc>
        <w:tc>
          <w:tcPr>
            <w:tcW w:w="2049" w:type="dxa"/>
            <w:vAlign w:val="top"/>
          </w:tcPr>
          <w:p>
            <w:pPr>
              <w:pStyle w:val="TableText"/>
              <w:ind w:left="221"/>
              <w:spacing w:before="72" w:line="190" w:lineRule="auto"/>
              <w:rPr>
                <w:sz w:val="21"/>
                <w:szCs w:val="21"/>
              </w:rPr>
            </w:pPr>
            <w:r>
              <w:rPr>
                <w:sz w:val="21"/>
                <w:szCs w:val="21"/>
                <w:spacing w:val="-1"/>
              </w:rPr>
              <w:t>26°50'58.897"N</w:t>
            </w:r>
          </w:p>
        </w:tc>
        <w:tc>
          <w:tcPr>
            <w:tcW w:w="859" w:type="dxa"/>
            <w:vAlign w:val="top"/>
          </w:tcPr>
          <w:p>
            <w:pPr>
              <w:pStyle w:val="TableText"/>
              <w:ind w:left="153"/>
              <w:spacing w:before="105" w:line="161" w:lineRule="auto"/>
              <w:rPr>
                <w:sz w:val="21"/>
                <w:szCs w:val="21"/>
              </w:rPr>
            </w:pPr>
            <w:r>
              <w:rPr>
                <w:sz w:val="21"/>
                <w:szCs w:val="21"/>
                <w:spacing w:val="-2"/>
              </w:rPr>
              <w:t>20490</w:t>
            </w:r>
          </w:p>
        </w:tc>
        <w:tc>
          <w:tcPr>
            <w:tcW w:w="1069" w:type="dxa"/>
            <w:vAlign w:val="top"/>
            <w:vMerge w:val="restart"/>
            <w:tcBorders>
              <w:bottom w:val="nil"/>
            </w:tcBorders>
          </w:tcPr>
          <w:p>
            <w:pPr>
              <w:pStyle w:val="TableText"/>
              <w:ind w:left="104" w:right="121"/>
              <w:spacing w:before="280" w:line="235" w:lineRule="auto"/>
              <w:jc w:val="both"/>
              <w:rPr>
                <w:sz w:val="21"/>
                <w:szCs w:val="21"/>
              </w:rPr>
            </w:pPr>
            <w:r>
              <w:rPr>
                <w:sz w:val="21"/>
                <w:szCs w:val="21"/>
                <w:spacing w:val="-2"/>
              </w:rPr>
              <w:t>进入霞浦</w:t>
            </w:r>
            <w:r>
              <w:rPr>
                <w:sz w:val="21"/>
                <w:szCs w:val="21"/>
              </w:rPr>
              <w:t xml:space="preserve"> </w:t>
            </w:r>
            <w:r>
              <w:rPr>
                <w:sz w:val="21"/>
                <w:szCs w:val="21"/>
                <w:spacing w:val="-3"/>
              </w:rPr>
              <w:t>县污水处</w:t>
            </w:r>
            <w:r>
              <w:rPr>
                <w:sz w:val="21"/>
                <w:szCs w:val="21"/>
                <w:spacing w:val="1"/>
              </w:rPr>
              <w:t xml:space="preserve"> </w:t>
            </w:r>
            <w:r>
              <w:rPr>
                <w:sz w:val="21"/>
                <w:szCs w:val="21"/>
                <w:spacing w:val="-3"/>
              </w:rPr>
              <w:t>理厂处理</w:t>
            </w:r>
          </w:p>
        </w:tc>
        <w:tc>
          <w:tcPr>
            <w:tcW w:w="789" w:type="dxa"/>
            <w:vAlign w:val="top"/>
            <w:vMerge w:val="restart"/>
            <w:tcBorders>
              <w:bottom w:val="nil"/>
            </w:tcBorders>
          </w:tcPr>
          <w:p>
            <w:pPr>
              <w:spacing w:line="362" w:lineRule="auto"/>
              <w:rPr>
                <w:rFonts w:ascii="Arial"/>
                <w:sz w:val="21"/>
              </w:rPr>
            </w:pPr>
            <w:r/>
          </w:p>
          <w:p>
            <w:pPr>
              <w:pStyle w:val="TableText"/>
              <w:ind w:left="283" w:right="65" w:hanging="209"/>
              <w:spacing w:before="68" w:line="216" w:lineRule="auto"/>
              <w:rPr>
                <w:sz w:val="21"/>
                <w:szCs w:val="21"/>
              </w:rPr>
            </w:pPr>
            <w:r>
              <w:rPr>
                <w:sz w:val="21"/>
                <w:szCs w:val="21"/>
                <w:spacing w:val="2"/>
              </w:rPr>
              <w:t>间接排</w:t>
            </w:r>
            <w:r>
              <w:rPr>
                <w:sz w:val="21"/>
                <w:szCs w:val="21"/>
                <w:spacing w:val="1"/>
              </w:rPr>
              <w:t xml:space="preserve"> </w:t>
            </w:r>
            <w:r>
              <w:rPr>
                <w:sz w:val="21"/>
                <w:szCs w:val="21"/>
              </w:rPr>
              <w:t>放</w:t>
            </w:r>
          </w:p>
        </w:tc>
        <w:tc>
          <w:tcPr>
            <w:tcW w:w="779"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pStyle w:val="TableText"/>
              <w:ind w:left="325"/>
              <w:spacing w:before="68" w:line="224" w:lineRule="auto"/>
              <w:rPr>
                <w:sz w:val="21"/>
                <w:szCs w:val="21"/>
              </w:rPr>
            </w:pPr>
            <w:r>
              <w:rPr>
                <w:sz w:val="21"/>
                <w:szCs w:val="21"/>
              </w:rPr>
              <w:t>/</w:t>
            </w:r>
          </w:p>
        </w:tc>
        <w:tc>
          <w:tcPr>
            <w:tcW w:w="1399" w:type="dxa"/>
            <w:vAlign w:val="top"/>
            <w:vMerge w:val="restart"/>
            <w:tcBorders>
              <w:bottom w:val="nil"/>
            </w:tcBorders>
          </w:tcPr>
          <w:p>
            <w:pPr>
              <w:spacing w:line="352" w:lineRule="auto"/>
              <w:rPr>
                <w:rFonts w:ascii="Arial"/>
                <w:sz w:val="21"/>
              </w:rPr>
            </w:pPr>
            <w:r/>
          </w:p>
          <w:p>
            <w:pPr>
              <w:pStyle w:val="TableText"/>
              <w:ind w:left="485" w:right="53" w:hanging="419"/>
              <w:spacing w:before="68" w:line="233" w:lineRule="auto"/>
              <w:rPr>
                <w:sz w:val="21"/>
                <w:szCs w:val="21"/>
              </w:rPr>
            </w:pPr>
            <w:r>
              <w:rPr>
                <w:sz w:val="21"/>
                <w:szCs w:val="21"/>
                <w:spacing w:val="1"/>
              </w:rPr>
              <w:t>霞浦县污水处 </w:t>
            </w:r>
            <w:r>
              <w:rPr>
                <w:sz w:val="21"/>
                <w:szCs w:val="21"/>
                <w:spacing w:val="6"/>
              </w:rPr>
              <w:t>理厂</w:t>
            </w:r>
          </w:p>
        </w:tc>
        <w:tc>
          <w:tcPr>
            <w:tcW w:w="1429" w:type="dxa"/>
            <w:vAlign w:val="top"/>
          </w:tcPr>
          <w:p>
            <w:pPr>
              <w:pStyle w:val="TableText"/>
              <w:ind w:left="447"/>
              <w:spacing w:before="105" w:line="161" w:lineRule="auto"/>
              <w:rPr>
                <w:sz w:val="21"/>
                <w:szCs w:val="21"/>
              </w:rPr>
            </w:pPr>
            <w:r>
              <w:rPr>
                <w:sz w:val="21"/>
                <w:szCs w:val="21"/>
                <w:spacing w:val="-2"/>
              </w:rPr>
              <w:t>CODcr</w:t>
            </w:r>
          </w:p>
        </w:tc>
        <w:tc>
          <w:tcPr>
            <w:tcW w:w="2213" w:type="dxa"/>
            <w:vAlign w:val="top"/>
          </w:tcPr>
          <w:p>
            <w:pPr>
              <w:pStyle w:val="TableText"/>
              <w:ind w:left="999"/>
              <w:spacing w:before="105" w:line="161" w:lineRule="auto"/>
              <w:rPr>
                <w:sz w:val="21"/>
                <w:szCs w:val="21"/>
              </w:rPr>
            </w:pPr>
            <w:r>
              <w:rPr>
                <w:sz w:val="21"/>
                <w:szCs w:val="21"/>
                <w:spacing w:val="-4"/>
              </w:rPr>
              <w:t>50</w:t>
            </w:r>
          </w:p>
        </w:tc>
      </w:tr>
      <w:tr>
        <w:trPr>
          <w:trHeight w:val="329" w:hRule="atLeast"/>
        </w:trPr>
        <w:tc>
          <w:tcPr>
            <w:tcW w:w="605" w:type="dxa"/>
            <w:vAlign w:val="top"/>
          </w:tcPr>
          <w:p>
            <w:pPr>
              <w:pStyle w:val="TableText"/>
              <w:ind w:left="234"/>
              <w:spacing w:before="116" w:line="178" w:lineRule="auto"/>
              <w:rPr>
                <w:sz w:val="21"/>
                <w:szCs w:val="21"/>
              </w:rPr>
            </w:pPr>
            <w:r>
              <w:rPr>
                <w:sz w:val="21"/>
                <w:szCs w:val="21"/>
              </w:rPr>
              <w:t>2</w:t>
            </w:r>
          </w:p>
        </w:tc>
        <w:tc>
          <w:tcPr>
            <w:tcW w:w="1069" w:type="dxa"/>
            <w:vAlign w:val="top"/>
          </w:tcPr>
          <w:p>
            <w:pPr>
              <w:pStyle w:val="TableText"/>
              <w:ind w:left="259"/>
              <w:spacing w:before="116" w:line="178" w:lineRule="auto"/>
              <w:rPr>
                <w:sz w:val="21"/>
                <w:szCs w:val="21"/>
              </w:rPr>
            </w:pPr>
            <w:r>
              <w:rPr>
                <w:sz w:val="21"/>
                <w:szCs w:val="21"/>
                <w:spacing w:val="-1"/>
              </w:rPr>
              <w:t>DW003</w:t>
            </w:r>
          </w:p>
        </w:tc>
        <w:tc>
          <w:tcPr>
            <w:tcW w:w="1709" w:type="dxa"/>
            <w:vAlign w:val="top"/>
          </w:tcPr>
          <w:p>
            <w:pPr>
              <w:pStyle w:val="TableText"/>
              <w:ind w:left="50"/>
              <w:spacing w:before="83" w:line="207" w:lineRule="auto"/>
              <w:rPr>
                <w:sz w:val="21"/>
                <w:szCs w:val="21"/>
              </w:rPr>
            </w:pPr>
            <w:r>
              <w:rPr>
                <w:sz w:val="21"/>
                <w:szCs w:val="21"/>
                <w:spacing w:val="-2"/>
              </w:rPr>
              <w:t>120°1'11.400"E</w:t>
            </w:r>
          </w:p>
        </w:tc>
        <w:tc>
          <w:tcPr>
            <w:tcW w:w="2049" w:type="dxa"/>
            <w:vAlign w:val="top"/>
          </w:tcPr>
          <w:p>
            <w:pPr>
              <w:pStyle w:val="TableText"/>
              <w:ind w:left="221"/>
              <w:spacing w:before="83" w:line="207" w:lineRule="auto"/>
              <w:rPr>
                <w:sz w:val="21"/>
                <w:szCs w:val="21"/>
              </w:rPr>
            </w:pPr>
            <w:r>
              <w:rPr>
                <w:sz w:val="21"/>
                <w:szCs w:val="21"/>
                <w:spacing w:val="-1"/>
              </w:rPr>
              <w:t>26°50'59.496"N</w:t>
            </w:r>
          </w:p>
        </w:tc>
        <w:tc>
          <w:tcPr>
            <w:tcW w:w="859" w:type="dxa"/>
            <w:vAlign w:val="top"/>
          </w:tcPr>
          <w:p>
            <w:pPr>
              <w:pStyle w:val="TableText"/>
              <w:ind w:left="153"/>
              <w:spacing w:before="116" w:line="178" w:lineRule="auto"/>
              <w:rPr>
                <w:sz w:val="21"/>
                <w:szCs w:val="21"/>
              </w:rPr>
            </w:pPr>
            <w:r>
              <w:rPr>
                <w:sz w:val="21"/>
                <w:szCs w:val="21"/>
                <w:spacing w:val="-2"/>
              </w:rPr>
              <w:t>52650</w:t>
            </w:r>
          </w:p>
        </w:tc>
        <w:tc>
          <w:tcPr>
            <w:tcW w:w="1069" w:type="dxa"/>
            <w:vAlign w:val="top"/>
            <w:vMerge w:val="continue"/>
            <w:tcBorders>
              <w:top w:val="nil"/>
              <w:bottom w:val="nil"/>
            </w:tcBorders>
          </w:tcPr>
          <w:p>
            <w:pPr>
              <w:rPr>
                <w:rFonts w:ascii="Arial"/>
                <w:sz w:val="21"/>
              </w:rPr>
            </w:pPr>
            <w:r/>
          </w:p>
        </w:tc>
        <w:tc>
          <w:tcPr>
            <w:tcW w:w="789" w:type="dxa"/>
            <w:vAlign w:val="top"/>
            <w:vMerge w:val="continue"/>
            <w:tcBorders>
              <w:top w:val="nil"/>
              <w:bottom w:val="nil"/>
            </w:tcBorders>
          </w:tcPr>
          <w:p>
            <w:pPr>
              <w:rPr>
                <w:rFonts w:ascii="Arial"/>
                <w:sz w:val="21"/>
              </w:rPr>
            </w:pPr>
            <w:r/>
          </w:p>
        </w:tc>
        <w:tc>
          <w:tcPr>
            <w:tcW w:w="779" w:type="dxa"/>
            <w:vAlign w:val="top"/>
            <w:vMerge w:val="continue"/>
            <w:tcBorders>
              <w:top w:val="nil"/>
              <w:bottom w:val="nil"/>
            </w:tcBorders>
          </w:tcPr>
          <w:p>
            <w:pPr>
              <w:rPr>
                <w:rFonts w:ascii="Arial"/>
                <w:sz w:val="21"/>
              </w:rPr>
            </w:pPr>
            <w:r/>
          </w:p>
        </w:tc>
        <w:tc>
          <w:tcPr>
            <w:tcW w:w="1399" w:type="dxa"/>
            <w:vAlign w:val="top"/>
            <w:vMerge w:val="continue"/>
            <w:tcBorders>
              <w:top w:val="nil"/>
              <w:bottom w:val="nil"/>
            </w:tcBorders>
          </w:tcPr>
          <w:p>
            <w:pPr>
              <w:rPr>
                <w:rFonts w:ascii="Arial"/>
                <w:sz w:val="21"/>
              </w:rPr>
            </w:pPr>
            <w:r/>
          </w:p>
        </w:tc>
        <w:tc>
          <w:tcPr>
            <w:tcW w:w="1429" w:type="dxa"/>
            <w:vAlign w:val="top"/>
          </w:tcPr>
          <w:p>
            <w:pPr>
              <w:pStyle w:val="TableText"/>
              <w:ind w:left="397"/>
              <w:spacing w:before="96" w:line="182" w:lineRule="auto"/>
              <w:rPr>
                <w:sz w:val="21"/>
                <w:szCs w:val="21"/>
              </w:rPr>
            </w:pPr>
            <w:r>
              <w:rPr>
                <w:sz w:val="21"/>
                <w:szCs w:val="21"/>
                <w:spacing w:val="-1"/>
              </w:rPr>
              <w:t>NH</w:t>
            </w:r>
            <w:r>
              <w:rPr>
                <w:rFonts w:ascii="Calibri" w:hAnsi="Calibri" w:eastAsia="Calibri" w:cs="Calibri"/>
                <w:sz w:val="21"/>
                <w:szCs w:val="21"/>
                <w:spacing w:val="-1"/>
              </w:rPr>
              <w:t>₃</w:t>
            </w:r>
            <w:r>
              <w:rPr>
                <w:sz w:val="21"/>
                <w:szCs w:val="21"/>
                <w:spacing w:val="-1"/>
              </w:rPr>
              <w:t>-N</w:t>
            </w:r>
          </w:p>
        </w:tc>
        <w:tc>
          <w:tcPr>
            <w:tcW w:w="2213" w:type="dxa"/>
            <w:vAlign w:val="top"/>
          </w:tcPr>
          <w:p>
            <w:pPr>
              <w:pStyle w:val="TableText"/>
              <w:ind w:left="1049"/>
              <w:spacing w:before="118" w:line="176" w:lineRule="auto"/>
              <w:rPr>
                <w:sz w:val="21"/>
                <w:szCs w:val="21"/>
              </w:rPr>
            </w:pPr>
            <w:r>
              <w:rPr>
                <w:sz w:val="21"/>
                <w:szCs w:val="21"/>
              </w:rPr>
              <w:t>5</w:t>
            </w:r>
          </w:p>
        </w:tc>
      </w:tr>
      <w:tr>
        <w:trPr>
          <w:trHeight w:val="319" w:hRule="atLeast"/>
        </w:trPr>
        <w:tc>
          <w:tcPr>
            <w:tcW w:w="605" w:type="dxa"/>
            <w:vAlign w:val="top"/>
          </w:tcPr>
          <w:p>
            <w:pPr>
              <w:pStyle w:val="TableText"/>
              <w:ind w:left="234"/>
              <w:spacing w:before="117" w:line="168" w:lineRule="auto"/>
              <w:rPr>
                <w:sz w:val="21"/>
                <w:szCs w:val="21"/>
              </w:rPr>
            </w:pPr>
            <w:r>
              <w:rPr>
                <w:sz w:val="21"/>
                <w:szCs w:val="21"/>
              </w:rPr>
              <w:t>3</w:t>
            </w:r>
          </w:p>
        </w:tc>
        <w:tc>
          <w:tcPr>
            <w:tcW w:w="1069" w:type="dxa"/>
            <w:vAlign w:val="top"/>
          </w:tcPr>
          <w:p>
            <w:pPr>
              <w:pStyle w:val="TableText"/>
              <w:ind w:left="259"/>
              <w:spacing w:before="116" w:line="169" w:lineRule="auto"/>
              <w:rPr>
                <w:sz w:val="21"/>
                <w:szCs w:val="21"/>
              </w:rPr>
            </w:pPr>
            <w:r>
              <w:rPr>
                <w:sz w:val="21"/>
                <w:szCs w:val="21"/>
                <w:spacing w:val="-1"/>
              </w:rPr>
              <w:t>DW010</w:t>
            </w:r>
          </w:p>
        </w:tc>
        <w:tc>
          <w:tcPr>
            <w:tcW w:w="1709" w:type="dxa"/>
            <w:vAlign w:val="top"/>
          </w:tcPr>
          <w:p>
            <w:pPr>
              <w:pStyle w:val="TableText"/>
              <w:ind w:left="50"/>
              <w:spacing w:before="84" w:line="197" w:lineRule="auto"/>
              <w:rPr>
                <w:sz w:val="21"/>
                <w:szCs w:val="21"/>
              </w:rPr>
            </w:pPr>
            <w:r>
              <w:rPr>
                <w:sz w:val="21"/>
                <w:szCs w:val="21"/>
                <w:spacing w:val="-2"/>
              </w:rPr>
              <w:t>120°1'19.230"F</w:t>
            </w:r>
          </w:p>
        </w:tc>
        <w:tc>
          <w:tcPr>
            <w:tcW w:w="2049" w:type="dxa"/>
            <w:vAlign w:val="top"/>
          </w:tcPr>
          <w:p>
            <w:pPr>
              <w:pStyle w:val="TableText"/>
              <w:ind w:left="221"/>
              <w:spacing w:before="84" w:line="197" w:lineRule="auto"/>
              <w:rPr>
                <w:sz w:val="21"/>
                <w:szCs w:val="21"/>
              </w:rPr>
            </w:pPr>
            <w:r>
              <w:rPr>
                <w:sz w:val="21"/>
                <w:szCs w:val="21"/>
                <w:spacing w:val="-1"/>
              </w:rPr>
              <w:t>26°50'57.862"N</w:t>
            </w:r>
          </w:p>
        </w:tc>
        <w:tc>
          <w:tcPr>
            <w:tcW w:w="859" w:type="dxa"/>
            <w:vAlign w:val="top"/>
          </w:tcPr>
          <w:p>
            <w:pPr>
              <w:pStyle w:val="TableText"/>
              <w:ind w:left="103"/>
              <w:spacing w:before="117" w:line="168" w:lineRule="auto"/>
              <w:rPr>
                <w:sz w:val="21"/>
                <w:szCs w:val="21"/>
              </w:rPr>
            </w:pPr>
            <w:r>
              <w:rPr>
                <w:sz w:val="21"/>
                <w:szCs w:val="21"/>
                <w:spacing w:val="-2"/>
              </w:rPr>
              <w:t>258045</w:t>
            </w:r>
          </w:p>
        </w:tc>
        <w:tc>
          <w:tcPr>
            <w:tcW w:w="1069" w:type="dxa"/>
            <w:vAlign w:val="top"/>
            <w:vMerge w:val="continue"/>
            <w:tcBorders>
              <w:top w:val="nil"/>
              <w:bottom w:val="nil"/>
            </w:tcBorders>
          </w:tcPr>
          <w:p>
            <w:pPr>
              <w:rPr>
                <w:rFonts w:ascii="Arial"/>
                <w:sz w:val="21"/>
              </w:rPr>
            </w:pPr>
            <w:r/>
          </w:p>
        </w:tc>
        <w:tc>
          <w:tcPr>
            <w:tcW w:w="789" w:type="dxa"/>
            <w:vAlign w:val="top"/>
            <w:vMerge w:val="continue"/>
            <w:tcBorders>
              <w:top w:val="nil"/>
              <w:bottom w:val="nil"/>
            </w:tcBorders>
          </w:tcPr>
          <w:p>
            <w:pPr>
              <w:rPr>
                <w:rFonts w:ascii="Arial"/>
                <w:sz w:val="21"/>
              </w:rPr>
            </w:pPr>
            <w:r/>
          </w:p>
        </w:tc>
        <w:tc>
          <w:tcPr>
            <w:tcW w:w="779" w:type="dxa"/>
            <w:vAlign w:val="top"/>
            <w:vMerge w:val="continue"/>
            <w:tcBorders>
              <w:top w:val="nil"/>
              <w:bottom w:val="nil"/>
            </w:tcBorders>
          </w:tcPr>
          <w:p>
            <w:pPr>
              <w:rPr>
                <w:rFonts w:ascii="Arial"/>
                <w:sz w:val="21"/>
              </w:rPr>
            </w:pPr>
            <w:r/>
          </w:p>
        </w:tc>
        <w:tc>
          <w:tcPr>
            <w:tcW w:w="1399" w:type="dxa"/>
            <w:vAlign w:val="top"/>
            <w:vMerge w:val="continue"/>
            <w:tcBorders>
              <w:top w:val="nil"/>
              <w:bottom w:val="nil"/>
            </w:tcBorders>
          </w:tcPr>
          <w:p>
            <w:pPr>
              <w:rPr>
                <w:rFonts w:ascii="Arial"/>
                <w:sz w:val="21"/>
              </w:rPr>
            </w:pPr>
            <w:r/>
          </w:p>
        </w:tc>
        <w:tc>
          <w:tcPr>
            <w:tcW w:w="1429" w:type="dxa"/>
            <w:vAlign w:val="top"/>
          </w:tcPr>
          <w:p>
            <w:pPr>
              <w:pStyle w:val="TableText"/>
              <w:ind w:left="607"/>
              <w:spacing w:before="64" w:line="215" w:lineRule="auto"/>
              <w:rPr>
                <w:sz w:val="21"/>
                <w:szCs w:val="21"/>
              </w:rPr>
            </w:pPr>
            <w:r>
              <w:rPr>
                <w:sz w:val="21"/>
                <w:szCs w:val="21"/>
              </w:rPr>
              <w:t>镍</w:t>
            </w:r>
          </w:p>
        </w:tc>
        <w:tc>
          <w:tcPr>
            <w:tcW w:w="2213" w:type="dxa"/>
            <w:vAlign w:val="top"/>
          </w:tcPr>
          <w:p>
            <w:pPr>
              <w:pStyle w:val="TableText"/>
              <w:ind w:left="889"/>
              <w:spacing w:before="117" w:line="168" w:lineRule="auto"/>
              <w:rPr>
                <w:sz w:val="21"/>
                <w:szCs w:val="21"/>
              </w:rPr>
            </w:pPr>
            <w:r>
              <w:rPr>
                <w:sz w:val="21"/>
                <w:szCs w:val="21"/>
                <w:spacing w:val="-2"/>
              </w:rPr>
              <w:t>0.05</w:t>
            </w:r>
          </w:p>
        </w:tc>
      </w:tr>
      <w:tr>
        <w:trPr>
          <w:trHeight w:val="329" w:hRule="atLeast"/>
        </w:trPr>
        <w:tc>
          <w:tcPr>
            <w:tcW w:w="605" w:type="dxa"/>
            <w:vAlign w:val="top"/>
          </w:tcPr>
          <w:p>
            <w:pPr>
              <w:pStyle w:val="TableText"/>
              <w:ind w:left="234"/>
              <w:spacing w:before="118" w:line="176" w:lineRule="auto"/>
              <w:rPr>
                <w:sz w:val="21"/>
                <w:szCs w:val="21"/>
              </w:rPr>
            </w:pPr>
            <w:r>
              <w:rPr>
                <w:sz w:val="21"/>
                <w:szCs w:val="21"/>
              </w:rPr>
              <w:t>4</w:t>
            </w:r>
          </w:p>
        </w:tc>
        <w:tc>
          <w:tcPr>
            <w:tcW w:w="1069" w:type="dxa"/>
            <w:vAlign w:val="top"/>
          </w:tcPr>
          <w:p>
            <w:pPr>
              <w:pStyle w:val="TableText"/>
              <w:ind w:left="259"/>
              <w:spacing w:before="117" w:line="177" w:lineRule="auto"/>
              <w:rPr>
                <w:sz w:val="21"/>
                <w:szCs w:val="21"/>
              </w:rPr>
            </w:pPr>
            <w:r>
              <w:rPr>
                <w:sz w:val="21"/>
                <w:szCs w:val="21"/>
                <w:spacing w:val="-1"/>
              </w:rPr>
              <w:t>DW011</w:t>
            </w:r>
          </w:p>
        </w:tc>
        <w:tc>
          <w:tcPr>
            <w:tcW w:w="1709" w:type="dxa"/>
            <w:vAlign w:val="top"/>
          </w:tcPr>
          <w:p>
            <w:pPr>
              <w:pStyle w:val="TableText"/>
              <w:spacing w:before="85" w:line="205" w:lineRule="auto"/>
              <w:jc w:val="right"/>
              <w:rPr>
                <w:sz w:val="21"/>
                <w:szCs w:val="21"/>
              </w:rPr>
            </w:pPr>
            <w:r>
              <w:rPr>
                <w:sz w:val="21"/>
                <w:szCs w:val="21"/>
                <w:spacing w:val="-4"/>
              </w:rPr>
              <w:t>120°0'53.410"E</w:t>
            </w:r>
          </w:p>
        </w:tc>
        <w:tc>
          <w:tcPr>
            <w:tcW w:w="2049" w:type="dxa"/>
            <w:vAlign w:val="top"/>
          </w:tcPr>
          <w:p>
            <w:pPr>
              <w:pStyle w:val="TableText"/>
              <w:ind w:left="281"/>
              <w:spacing w:before="85" w:line="205" w:lineRule="auto"/>
              <w:rPr>
                <w:sz w:val="21"/>
                <w:szCs w:val="21"/>
              </w:rPr>
            </w:pPr>
            <w:r>
              <w:rPr>
                <w:sz w:val="21"/>
                <w:szCs w:val="21"/>
                <w:spacing w:val="-1"/>
              </w:rPr>
              <w:t>26°51'8.304"N</w:t>
            </w:r>
          </w:p>
        </w:tc>
        <w:tc>
          <w:tcPr>
            <w:tcW w:w="859" w:type="dxa"/>
            <w:vAlign w:val="top"/>
          </w:tcPr>
          <w:p>
            <w:pPr>
              <w:pStyle w:val="TableText"/>
              <w:ind w:left="103"/>
              <w:spacing w:before="117" w:line="177" w:lineRule="auto"/>
              <w:rPr>
                <w:sz w:val="21"/>
                <w:szCs w:val="21"/>
              </w:rPr>
            </w:pPr>
            <w:r>
              <w:rPr>
                <w:sz w:val="21"/>
                <w:szCs w:val="21"/>
                <w:spacing w:val="-4"/>
              </w:rPr>
              <w:t>172935</w:t>
            </w:r>
          </w:p>
        </w:tc>
        <w:tc>
          <w:tcPr>
            <w:tcW w:w="1069" w:type="dxa"/>
            <w:vAlign w:val="top"/>
            <w:vMerge w:val="continue"/>
            <w:tcBorders>
              <w:top w:val="nil"/>
            </w:tcBorders>
          </w:tcPr>
          <w:p>
            <w:pPr>
              <w:rPr>
                <w:rFonts w:ascii="Arial"/>
                <w:sz w:val="21"/>
              </w:rPr>
            </w:pPr>
            <w:r/>
          </w:p>
        </w:tc>
        <w:tc>
          <w:tcPr>
            <w:tcW w:w="789" w:type="dxa"/>
            <w:vAlign w:val="top"/>
            <w:vMerge w:val="continue"/>
            <w:tcBorders>
              <w:top w:val="nil"/>
            </w:tcBorders>
          </w:tcPr>
          <w:p>
            <w:pPr>
              <w:rPr>
                <w:rFonts w:ascii="Arial"/>
                <w:sz w:val="21"/>
              </w:rPr>
            </w:pPr>
            <w:r/>
          </w:p>
        </w:tc>
        <w:tc>
          <w:tcPr>
            <w:tcW w:w="779" w:type="dxa"/>
            <w:vAlign w:val="top"/>
            <w:vMerge w:val="continue"/>
            <w:tcBorders>
              <w:top w:val="nil"/>
            </w:tcBorders>
          </w:tcPr>
          <w:p>
            <w:pPr>
              <w:rPr>
                <w:rFonts w:ascii="Arial"/>
                <w:sz w:val="21"/>
              </w:rPr>
            </w:pPr>
            <w:r/>
          </w:p>
        </w:tc>
        <w:tc>
          <w:tcPr>
            <w:tcW w:w="1399" w:type="dxa"/>
            <w:vAlign w:val="top"/>
            <w:vMerge w:val="continue"/>
            <w:tcBorders>
              <w:top w:val="nil"/>
            </w:tcBorders>
          </w:tcPr>
          <w:p>
            <w:pPr>
              <w:rPr>
                <w:rFonts w:ascii="Arial"/>
                <w:sz w:val="21"/>
              </w:rPr>
            </w:pPr>
            <w:r/>
          </w:p>
        </w:tc>
        <w:tc>
          <w:tcPr>
            <w:tcW w:w="1429" w:type="dxa"/>
            <w:vAlign w:val="top"/>
          </w:tcPr>
          <w:p>
            <w:pPr>
              <w:pStyle w:val="TableText"/>
              <w:ind w:left="607"/>
              <w:spacing w:before="67" w:line="221" w:lineRule="auto"/>
              <w:rPr>
                <w:sz w:val="21"/>
                <w:szCs w:val="21"/>
              </w:rPr>
            </w:pPr>
            <w:r>
              <w:rPr>
                <w:sz w:val="21"/>
                <w:szCs w:val="21"/>
              </w:rPr>
              <w:t>钴</w:t>
            </w:r>
          </w:p>
        </w:tc>
        <w:tc>
          <w:tcPr>
            <w:tcW w:w="2213" w:type="dxa"/>
            <w:vAlign w:val="top"/>
          </w:tcPr>
          <w:p>
            <w:pPr>
              <w:pStyle w:val="TableText"/>
              <w:ind w:left="1049"/>
              <w:spacing w:before="69" w:line="219" w:lineRule="auto"/>
              <w:rPr>
                <w:sz w:val="21"/>
                <w:szCs w:val="21"/>
              </w:rPr>
            </w:pPr>
            <w:r>
              <w:rPr>
                <w:sz w:val="21"/>
                <w:szCs w:val="21"/>
              </w:rPr>
              <w:t>/</w:t>
            </w:r>
          </w:p>
        </w:tc>
      </w:tr>
      <w:tr>
        <w:trPr>
          <w:trHeight w:val="1732" w:hRule="atLeast"/>
        </w:trPr>
        <w:tc>
          <w:tcPr>
            <w:tcW w:w="13969" w:type="dxa"/>
            <w:vAlign w:val="top"/>
            <w:gridSpan w:val="11"/>
          </w:tcPr>
          <w:p>
            <w:pPr>
              <w:pStyle w:val="TableText"/>
              <w:ind w:left="54"/>
              <w:spacing w:before="52" w:line="310" w:lineRule="exact"/>
              <w:rPr>
                <w:sz w:val="21"/>
                <w:szCs w:val="21"/>
              </w:rPr>
            </w:pPr>
            <w:r>
              <w:rPr>
                <w:sz w:val="21"/>
                <w:szCs w:val="21"/>
                <w:spacing w:val="1"/>
                <w:position w:val="7"/>
              </w:rPr>
              <w:t>备注：</w:t>
            </w:r>
            <w:r>
              <w:rPr>
                <w:sz w:val="21"/>
                <w:szCs w:val="21"/>
                <w:position w:val="7"/>
              </w:rPr>
              <w:t>DW</w:t>
            </w:r>
            <w:r>
              <w:rPr>
                <w:sz w:val="21"/>
                <w:szCs w:val="21"/>
                <w:spacing w:val="1"/>
                <w:position w:val="7"/>
              </w:rPr>
              <w:t>001含现有工程生产废水17250t/a,本项目生产废水3240t/a;</w:t>
            </w:r>
          </w:p>
          <w:p>
            <w:pPr>
              <w:pStyle w:val="TableText"/>
              <w:ind w:left="674"/>
              <w:spacing w:line="216" w:lineRule="auto"/>
              <w:rPr>
                <w:sz w:val="21"/>
                <w:szCs w:val="21"/>
              </w:rPr>
            </w:pPr>
            <w:r>
              <w:rPr>
                <w:sz w:val="21"/>
                <w:szCs w:val="21"/>
              </w:rPr>
              <w:t>DW</w:t>
            </w:r>
            <w:r>
              <w:rPr>
                <w:sz w:val="21"/>
                <w:szCs w:val="21"/>
                <w:spacing w:val="1"/>
              </w:rPr>
              <w:t>003含现有工程生产废水42120t/a,本项目生产废水10530t/a;</w:t>
            </w:r>
          </w:p>
          <w:p>
            <w:pPr>
              <w:pStyle w:val="TableText"/>
              <w:ind w:left="54" w:right="464" w:firstLine="610"/>
              <w:spacing w:before="63" w:line="227" w:lineRule="auto"/>
              <w:rPr>
                <w:sz w:val="21"/>
                <w:szCs w:val="21"/>
              </w:rPr>
            </w:pPr>
            <w:r>
              <w:rPr>
                <w:sz w:val="21"/>
                <w:szCs w:val="21"/>
              </w:rPr>
              <w:t>DW010含现有工程生活污水6825t/a,生产废水42120t/a,食堂废水101970t/a,锅炉软化水、排污水39600t/a,纯水制备废水23400t/a,循环冷却</w:t>
            </w:r>
            <w:r>
              <w:rPr>
                <w:sz w:val="21"/>
                <w:szCs w:val="21"/>
                <w:spacing w:val="18"/>
              </w:rPr>
              <w:t xml:space="preserve"> </w:t>
            </w:r>
            <w:r>
              <w:rPr>
                <w:sz w:val="21"/>
                <w:szCs w:val="21"/>
                <w:spacing w:val="-1"/>
              </w:rPr>
              <w:t>系统废水33600t/a,本项目生产废水10530t/a</w:t>
            </w:r>
          </w:p>
          <w:p>
            <w:pPr>
              <w:pStyle w:val="TableText"/>
              <w:ind w:left="54" w:right="393" w:firstLine="600"/>
              <w:spacing w:before="44" w:line="215" w:lineRule="auto"/>
              <w:rPr>
                <w:sz w:val="21"/>
                <w:szCs w:val="21"/>
              </w:rPr>
            </w:pPr>
            <w:r>
              <w:rPr>
                <w:sz w:val="21"/>
                <w:szCs w:val="21"/>
              </w:rPr>
              <w:t>DW011含现有工程生活污水104295t/a,食堂废水13530t/a;本项目生活污水7200t/a,食堂废水2160t/a,锅炉软化水、排污水18480t/</w:t>
            </w:r>
            <w:r>
              <w:rPr>
                <w:sz w:val="21"/>
                <w:szCs w:val="21"/>
                <w:spacing w:val="-1"/>
              </w:rPr>
              <w:t>a,纯水制备</w:t>
            </w:r>
            <w:r>
              <w:rPr>
                <w:sz w:val="21"/>
                <w:szCs w:val="21"/>
              </w:rPr>
              <w:t xml:space="preserve"> </w:t>
            </w:r>
            <w:r>
              <w:rPr>
                <w:sz w:val="21"/>
                <w:szCs w:val="21"/>
              </w:rPr>
              <w:t>废水17610t/a,循环冷却系统废水96</w:t>
            </w:r>
            <w:r>
              <w:rPr>
                <w:sz w:val="21"/>
                <w:szCs w:val="21"/>
                <w:spacing w:val="-1"/>
              </w:rPr>
              <w:t>60t/a。</w:t>
            </w:r>
          </w:p>
        </w:tc>
      </w:tr>
    </w:tbl>
    <w:p>
      <w:pPr>
        <w:rPr>
          <w:rFonts w:ascii="Arial"/>
          <w:sz w:val="21"/>
        </w:rPr>
      </w:pPr>
      <w:r/>
    </w:p>
    <w:p>
      <w:pPr>
        <w:sectPr>
          <w:footerReference w:type="default" r:id="rId131"/>
          <w:pgSz w:w="16840" w:h="11900"/>
          <w:pgMar w:top="1011" w:right="1455" w:bottom="979" w:left="1405" w:header="0" w:footer="840" w:gutter="0"/>
        </w:sectPr>
        <w:rPr>
          <w:rFonts w:ascii="Arial" w:hAnsi="Arial" w:eastAsia="Arial" w:cs="Arial"/>
          <w:sz w:val="21"/>
          <w:szCs w:val="21"/>
        </w:rPr>
      </w:pPr>
    </w:p>
    <w:p>
      <w:pPr>
        <w:spacing w:line="141" w:lineRule="auto"/>
        <w:rPr>
          <w:rFonts w:ascii="Arial"/>
          <w:sz w:val="2"/>
        </w:rPr>
      </w:pPr>
      <w:r>
        <w:rPr>
          <w:rFonts w:ascii="Arial"/>
          <w:sz w:val="2"/>
        </w:rPr>
      </w:r>
    </w:p>
    <w:tbl>
      <w:tblPr>
        <w:tblStyle w:val="TableNormal"/>
        <w:tblW w:w="8810" w:type="dxa"/>
        <w:tblInd w:w="15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34"/>
        <w:gridCol w:w="609"/>
        <w:gridCol w:w="1279"/>
        <w:gridCol w:w="1239"/>
        <w:gridCol w:w="2757"/>
        <w:gridCol w:w="2392"/>
      </w:tblGrid>
      <w:tr>
        <w:trPr>
          <w:trHeight w:val="953" w:hRule="atLeast"/>
        </w:trPr>
        <w:tc>
          <w:tcPr>
            <w:tcW w:w="534" w:type="dxa"/>
            <w:vAlign w:val="top"/>
            <w:vMerge w:val="restart"/>
            <w:tcBorders>
              <w:bottom w:val="nil"/>
            </w:tcBorders>
          </w:tcPr>
          <w:p>
            <w:pPr>
              <w:rPr>
                <w:rFonts w:ascii="Arial"/>
                <w:sz w:val="21"/>
              </w:rPr>
            </w:pPr>
            <w:r/>
          </w:p>
        </w:tc>
        <w:tc>
          <w:tcPr>
            <w:tcW w:w="8276" w:type="dxa"/>
            <w:vAlign w:val="top"/>
            <w:gridSpan w:val="5"/>
          </w:tcPr>
          <w:p>
            <w:pPr>
              <w:pStyle w:val="TableText"/>
              <w:ind w:left="624"/>
              <w:spacing w:before="71" w:line="219" w:lineRule="auto"/>
              <w:rPr>
                <w:sz w:val="22"/>
                <w:szCs w:val="22"/>
              </w:rPr>
            </w:pPr>
            <w:r>
              <w:rPr>
                <w:sz w:val="22"/>
                <w:szCs w:val="22"/>
                <w:b/>
                <w:bCs/>
                <w:spacing w:val="-3"/>
              </w:rPr>
              <w:t>4、废水污染物排放执行标准</w:t>
            </w:r>
          </w:p>
          <w:p>
            <w:pPr>
              <w:pStyle w:val="TableText"/>
              <w:ind w:left="2214"/>
              <w:spacing w:before="218" w:line="219" w:lineRule="auto"/>
              <w:rPr>
                <w:sz w:val="22"/>
                <w:szCs w:val="22"/>
              </w:rPr>
            </w:pPr>
            <w:r>
              <w:rPr>
                <w:sz w:val="22"/>
                <w:szCs w:val="22"/>
                <w:b/>
                <w:bCs/>
                <w:spacing w:val="-3"/>
              </w:rPr>
              <w:t>表4.3-7废水污染物排放执行标准表</w:t>
            </w:r>
          </w:p>
        </w:tc>
      </w:tr>
      <w:tr>
        <w:trPr>
          <w:trHeight w:val="659" w:hRule="atLeast"/>
        </w:trPr>
        <w:tc>
          <w:tcPr>
            <w:tcW w:w="534" w:type="dxa"/>
            <w:vAlign w:val="top"/>
            <w:vMerge w:val="continue"/>
            <w:tcBorders>
              <w:top w:val="nil"/>
              <w:bottom w:val="nil"/>
            </w:tcBorders>
          </w:tcPr>
          <w:p>
            <w:pPr>
              <w:rPr>
                <w:rFonts w:ascii="Arial"/>
                <w:sz w:val="21"/>
              </w:rPr>
            </w:pPr>
            <w:r/>
          </w:p>
        </w:tc>
        <w:tc>
          <w:tcPr>
            <w:tcW w:w="609" w:type="dxa"/>
            <w:vAlign w:val="top"/>
            <w:vMerge w:val="restart"/>
            <w:tcBorders>
              <w:bottom w:val="nil"/>
            </w:tcBorders>
          </w:tcPr>
          <w:p>
            <w:pPr>
              <w:spacing w:line="308" w:lineRule="auto"/>
              <w:rPr>
                <w:rFonts w:ascii="Arial"/>
                <w:sz w:val="21"/>
              </w:rPr>
            </w:pPr>
            <w:r/>
          </w:p>
          <w:p>
            <w:pPr>
              <w:pStyle w:val="TableText"/>
              <w:spacing w:before="72" w:line="221" w:lineRule="auto"/>
              <w:jc w:val="right"/>
              <w:rPr>
                <w:sz w:val="22"/>
                <w:szCs w:val="22"/>
              </w:rPr>
            </w:pPr>
            <w:r>
              <w:rPr>
                <w:sz w:val="22"/>
                <w:szCs w:val="22"/>
                <w:spacing w:val="3"/>
              </w:rPr>
              <w:t>序号</w:t>
            </w:r>
          </w:p>
        </w:tc>
        <w:tc>
          <w:tcPr>
            <w:tcW w:w="1279" w:type="dxa"/>
            <w:vAlign w:val="top"/>
            <w:vMerge w:val="restart"/>
            <w:tcBorders>
              <w:bottom w:val="nil"/>
            </w:tcBorders>
          </w:tcPr>
          <w:p>
            <w:pPr>
              <w:pStyle w:val="TableText"/>
              <w:ind w:left="302"/>
              <w:spacing w:before="252" w:line="221" w:lineRule="auto"/>
              <w:rPr>
                <w:sz w:val="22"/>
                <w:szCs w:val="22"/>
              </w:rPr>
            </w:pPr>
            <w:r>
              <w:rPr>
                <w:sz w:val="22"/>
                <w:szCs w:val="22"/>
                <w:spacing w:val="10"/>
              </w:rPr>
              <w:t>排放口</w:t>
            </w:r>
          </w:p>
          <w:p>
            <w:pPr>
              <w:pStyle w:val="TableText"/>
              <w:ind w:left="412"/>
              <w:spacing w:before="35" w:line="219" w:lineRule="auto"/>
              <w:rPr>
                <w:sz w:val="22"/>
                <w:szCs w:val="22"/>
              </w:rPr>
            </w:pPr>
            <w:r>
              <w:rPr>
                <w:sz w:val="22"/>
                <w:szCs w:val="22"/>
                <w:spacing w:val="6"/>
              </w:rPr>
              <w:t>编号</w:t>
            </w:r>
          </w:p>
        </w:tc>
        <w:tc>
          <w:tcPr>
            <w:tcW w:w="1239" w:type="dxa"/>
            <w:vAlign w:val="top"/>
            <w:vMerge w:val="restart"/>
            <w:tcBorders>
              <w:bottom w:val="nil"/>
            </w:tcBorders>
          </w:tcPr>
          <w:p>
            <w:pPr>
              <w:spacing w:line="307" w:lineRule="auto"/>
              <w:rPr>
                <w:rFonts w:ascii="Arial"/>
                <w:sz w:val="21"/>
              </w:rPr>
            </w:pPr>
            <w:r/>
          </w:p>
          <w:p>
            <w:pPr>
              <w:pStyle w:val="TableText"/>
              <w:ind w:left="63"/>
              <w:spacing w:before="72" w:line="219" w:lineRule="auto"/>
              <w:rPr>
                <w:sz w:val="22"/>
                <w:szCs w:val="22"/>
              </w:rPr>
            </w:pPr>
            <w:r>
              <w:rPr>
                <w:sz w:val="22"/>
                <w:szCs w:val="22"/>
                <w:spacing w:val="-2"/>
              </w:rPr>
              <w:t>污染物种类</w:t>
            </w:r>
          </w:p>
        </w:tc>
        <w:tc>
          <w:tcPr>
            <w:tcW w:w="5149" w:type="dxa"/>
            <w:vAlign w:val="top"/>
            <w:gridSpan w:val="2"/>
          </w:tcPr>
          <w:p>
            <w:pPr>
              <w:pStyle w:val="TableText"/>
              <w:ind w:left="2344" w:right="36" w:hanging="2310"/>
              <w:spacing w:before="100" w:line="224" w:lineRule="auto"/>
              <w:rPr>
                <w:sz w:val="22"/>
                <w:szCs w:val="22"/>
              </w:rPr>
            </w:pPr>
            <w:r>
              <w:rPr>
                <w:sz w:val="22"/>
                <w:szCs w:val="22"/>
              </w:rPr>
              <w:t>国家或地方污染物排放标准及其他按规定商定的排放</w:t>
            </w:r>
            <w:r>
              <w:rPr>
                <w:sz w:val="22"/>
                <w:szCs w:val="22"/>
                <w:spacing w:val="7"/>
              </w:rPr>
              <w:t xml:space="preserve"> </w:t>
            </w:r>
            <w:r>
              <w:rPr>
                <w:sz w:val="22"/>
                <w:szCs w:val="22"/>
                <w:spacing w:val="-3"/>
              </w:rPr>
              <w:t>协议</w:t>
            </w:r>
          </w:p>
        </w:tc>
      </w:tr>
      <w:tr>
        <w:trPr>
          <w:trHeight w:val="309" w:hRule="atLeast"/>
        </w:trPr>
        <w:tc>
          <w:tcPr>
            <w:tcW w:w="534" w:type="dxa"/>
            <w:vAlign w:val="top"/>
            <w:vMerge w:val="continue"/>
            <w:tcBorders>
              <w:top w:val="nil"/>
              <w:bottom w:val="nil"/>
            </w:tcBorders>
          </w:tcPr>
          <w:p>
            <w:pPr>
              <w:rPr>
                <w:rFonts w:ascii="Arial"/>
                <w:sz w:val="21"/>
              </w:rPr>
            </w:pPr>
            <w:r/>
          </w:p>
        </w:tc>
        <w:tc>
          <w:tcPr>
            <w:tcW w:w="609" w:type="dxa"/>
            <w:vAlign w:val="top"/>
            <w:vMerge w:val="continue"/>
            <w:tcBorders>
              <w:top w:val="nil"/>
            </w:tcBorders>
          </w:tcPr>
          <w:p>
            <w:pPr>
              <w:rPr>
                <w:rFonts w:ascii="Arial"/>
                <w:sz w:val="21"/>
              </w:rPr>
            </w:pPr>
            <w:r/>
          </w:p>
        </w:tc>
        <w:tc>
          <w:tcPr>
            <w:tcW w:w="1279" w:type="dxa"/>
            <w:vAlign w:val="top"/>
            <w:vMerge w:val="continue"/>
            <w:tcBorders>
              <w:top w:val="nil"/>
            </w:tcBorders>
          </w:tcPr>
          <w:p>
            <w:pPr>
              <w:rPr>
                <w:rFonts w:ascii="Arial"/>
                <w:sz w:val="21"/>
              </w:rPr>
            </w:pPr>
            <w:r/>
          </w:p>
        </w:tc>
        <w:tc>
          <w:tcPr>
            <w:tcW w:w="1239" w:type="dxa"/>
            <w:vAlign w:val="top"/>
            <w:vMerge w:val="continue"/>
            <w:tcBorders>
              <w:top w:val="nil"/>
            </w:tcBorders>
          </w:tcPr>
          <w:p>
            <w:pPr>
              <w:rPr>
                <w:rFonts w:ascii="Arial"/>
                <w:sz w:val="21"/>
              </w:rPr>
            </w:pPr>
            <w:r/>
          </w:p>
        </w:tc>
        <w:tc>
          <w:tcPr>
            <w:tcW w:w="2757" w:type="dxa"/>
            <w:vAlign w:val="top"/>
          </w:tcPr>
          <w:p>
            <w:pPr>
              <w:pStyle w:val="TableText"/>
              <w:ind w:left="1154"/>
              <w:spacing w:before="54" w:line="205" w:lineRule="auto"/>
              <w:rPr>
                <w:sz w:val="22"/>
                <w:szCs w:val="22"/>
              </w:rPr>
            </w:pPr>
            <w:r>
              <w:rPr>
                <w:sz w:val="22"/>
                <w:szCs w:val="22"/>
                <w:spacing w:val="5"/>
              </w:rPr>
              <w:t>名称</w:t>
            </w:r>
          </w:p>
        </w:tc>
        <w:tc>
          <w:tcPr>
            <w:tcW w:w="2392" w:type="dxa"/>
            <w:vAlign w:val="top"/>
          </w:tcPr>
          <w:p>
            <w:pPr>
              <w:pStyle w:val="TableText"/>
              <w:ind w:left="67"/>
              <w:spacing w:before="45" w:line="213" w:lineRule="auto"/>
              <w:rPr>
                <w:sz w:val="22"/>
                <w:szCs w:val="22"/>
              </w:rPr>
            </w:pPr>
            <w:r>
              <w:rPr>
                <w:sz w:val="22"/>
                <w:szCs w:val="22"/>
                <w:spacing w:val="4"/>
              </w:rPr>
              <w:t>标准浓度限值(</w:t>
            </w:r>
            <w:r>
              <w:rPr>
                <w:sz w:val="22"/>
                <w:szCs w:val="22"/>
              </w:rPr>
              <w:t>mg</w:t>
            </w:r>
            <w:r>
              <w:rPr>
                <w:sz w:val="22"/>
                <w:szCs w:val="22"/>
                <w:spacing w:val="4"/>
              </w:rPr>
              <w:t>/L)</w:t>
            </w:r>
          </w:p>
        </w:tc>
      </w:tr>
      <w:tr>
        <w:trPr>
          <w:trHeight w:val="419" w:hRule="atLeast"/>
        </w:trPr>
        <w:tc>
          <w:tcPr>
            <w:tcW w:w="534" w:type="dxa"/>
            <w:vAlign w:val="top"/>
            <w:vMerge w:val="continue"/>
            <w:tcBorders>
              <w:top w:val="nil"/>
              <w:bottom w:val="nil"/>
            </w:tcBorders>
          </w:tcPr>
          <w:p>
            <w:pPr>
              <w:rPr>
                <w:rFonts w:ascii="Arial"/>
                <w:sz w:val="21"/>
              </w:rPr>
            </w:pPr>
            <w:r/>
          </w:p>
        </w:tc>
        <w:tc>
          <w:tcPr>
            <w:tcW w:w="609" w:type="dxa"/>
            <w:vAlign w:val="top"/>
            <w:vMerge w:val="restart"/>
            <w:tcBorders>
              <w:bottom w:val="nil"/>
            </w:tcBorders>
          </w:tcPr>
          <w:p>
            <w:pPr>
              <w:spacing w:line="295" w:lineRule="auto"/>
              <w:rPr>
                <w:rFonts w:ascii="Arial"/>
                <w:sz w:val="21"/>
              </w:rPr>
            </w:pPr>
            <w:r/>
          </w:p>
          <w:p>
            <w:pPr>
              <w:pStyle w:val="TableText"/>
              <w:ind w:left="241"/>
              <w:spacing w:before="71" w:line="184" w:lineRule="auto"/>
              <w:rPr>
                <w:sz w:val="22"/>
                <w:szCs w:val="22"/>
              </w:rPr>
            </w:pPr>
            <w:r>
              <w:rPr>
                <w:sz w:val="22"/>
                <w:szCs w:val="22"/>
              </w:rPr>
              <w:t>1</w:t>
            </w:r>
          </w:p>
        </w:tc>
        <w:tc>
          <w:tcPr>
            <w:tcW w:w="1279" w:type="dxa"/>
            <w:vAlign w:val="top"/>
            <w:vMerge w:val="restart"/>
            <w:tcBorders>
              <w:bottom w:val="nil"/>
            </w:tcBorders>
          </w:tcPr>
          <w:p>
            <w:pPr>
              <w:spacing w:line="295" w:lineRule="auto"/>
              <w:rPr>
                <w:rFonts w:ascii="Arial"/>
                <w:sz w:val="21"/>
              </w:rPr>
            </w:pPr>
            <w:r/>
          </w:p>
          <w:p>
            <w:pPr>
              <w:pStyle w:val="TableText"/>
              <w:ind w:left="351"/>
              <w:spacing w:before="71" w:line="184" w:lineRule="auto"/>
              <w:rPr>
                <w:sz w:val="22"/>
                <w:szCs w:val="22"/>
              </w:rPr>
            </w:pPr>
            <w:r>
              <w:rPr>
                <w:sz w:val="22"/>
                <w:szCs w:val="22"/>
                <w:spacing w:val="-1"/>
              </w:rPr>
              <w:t>DW001</w:t>
            </w:r>
          </w:p>
        </w:tc>
        <w:tc>
          <w:tcPr>
            <w:tcW w:w="1239" w:type="dxa"/>
            <w:vAlign w:val="top"/>
          </w:tcPr>
          <w:p>
            <w:pPr>
              <w:pStyle w:val="TableText"/>
              <w:ind w:left="503"/>
              <w:spacing w:before="103" w:line="220" w:lineRule="auto"/>
              <w:rPr>
                <w:sz w:val="22"/>
                <w:szCs w:val="22"/>
              </w:rPr>
            </w:pPr>
            <w:r>
              <w:rPr>
                <w:sz w:val="22"/>
                <w:szCs w:val="22"/>
              </w:rPr>
              <w:t>镍</w:t>
            </w:r>
          </w:p>
        </w:tc>
        <w:tc>
          <w:tcPr>
            <w:tcW w:w="2757" w:type="dxa"/>
            <w:vAlign w:val="top"/>
            <w:vMerge w:val="restart"/>
            <w:tcBorders>
              <w:bottom w:val="nil"/>
            </w:tcBorders>
          </w:tcPr>
          <w:p>
            <w:pPr>
              <w:pStyle w:val="TableText"/>
              <w:ind w:left="106" w:hanging="106"/>
              <w:spacing w:before="52" w:line="214" w:lineRule="auto"/>
              <w:jc w:val="both"/>
              <w:rPr>
                <w:sz w:val="22"/>
                <w:szCs w:val="22"/>
              </w:rPr>
            </w:pPr>
            <w:r>
              <w:rPr>
                <w:sz w:val="22"/>
                <w:szCs w:val="22"/>
                <w:spacing w:val="-9"/>
              </w:rPr>
              <w:t>《电池工业污染物排放标准》</w:t>
            </w:r>
            <w:r>
              <w:rPr>
                <w:sz w:val="22"/>
                <w:szCs w:val="22"/>
                <w:spacing w:val="3"/>
              </w:rPr>
              <w:t xml:space="preserve"> </w:t>
            </w:r>
            <w:r>
              <w:rPr>
                <w:sz w:val="22"/>
                <w:szCs w:val="22"/>
                <w:spacing w:val="-2"/>
              </w:rPr>
              <w:t>(GB30484-2013)表3中的新</w:t>
            </w:r>
            <w:r>
              <w:rPr>
                <w:sz w:val="22"/>
                <w:szCs w:val="22"/>
                <w:spacing w:val="5"/>
              </w:rPr>
              <w:t xml:space="preserve">  </w:t>
            </w:r>
            <w:r>
              <w:rPr>
                <w:sz w:val="22"/>
                <w:szCs w:val="22"/>
                <w:spacing w:val="-6"/>
              </w:rPr>
              <w:t>建企业污染物直接排放标准</w:t>
            </w:r>
          </w:p>
        </w:tc>
        <w:tc>
          <w:tcPr>
            <w:tcW w:w="2392" w:type="dxa"/>
            <w:vAlign w:val="top"/>
          </w:tcPr>
          <w:p>
            <w:pPr>
              <w:pStyle w:val="TableText"/>
              <w:ind w:left="967"/>
              <w:spacing w:before="159" w:line="183" w:lineRule="auto"/>
              <w:rPr>
                <w:sz w:val="22"/>
                <w:szCs w:val="22"/>
              </w:rPr>
            </w:pPr>
            <w:r>
              <w:rPr>
                <w:sz w:val="22"/>
                <w:szCs w:val="22"/>
                <w:spacing w:val="-2"/>
              </w:rPr>
              <w:t>0.05</w:t>
            </w:r>
          </w:p>
        </w:tc>
      </w:tr>
      <w:tr>
        <w:trPr>
          <w:trHeight w:val="399" w:hRule="atLeast"/>
        </w:trPr>
        <w:tc>
          <w:tcPr>
            <w:tcW w:w="534" w:type="dxa"/>
            <w:vAlign w:val="top"/>
            <w:vMerge w:val="continue"/>
            <w:tcBorders>
              <w:top w:val="nil"/>
              <w:bottom w:val="nil"/>
            </w:tcBorders>
          </w:tcPr>
          <w:p>
            <w:pPr>
              <w:rPr>
                <w:rFonts w:ascii="Arial"/>
                <w:sz w:val="21"/>
              </w:rPr>
            </w:pPr>
            <w:r/>
          </w:p>
        </w:tc>
        <w:tc>
          <w:tcPr>
            <w:tcW w:w="609" w:type="dxa"/>
            <w:vAlign w:val="top"/>
            <w:vMerge w:val="continue"/>
            <w:tcBorders>
              <w:top w:val="nil"/>
            </w:tcBorders>
          </w:tcPr>
          <w:p>
            <w:pPr>
              <w:rPr>
                <w:rFonts w:ascii="Arial"/>
                <w:sz w:val="21"/>
              </w:rPr>
            </w:pPr>
            <w:r/>
          </w:p>
        </w:tc>
        <w:tc>
          <w:tcPr>
            <w:tcW w:w="1279" w:type="dxa"/>
            <w:vAlign w:val="top"/>
            <w:vMerge w:val="continue"/>
            <w:tcBorders>
              <w:top w:val="nil"/>
            </w:tcBorders>
          </w:tcPr>
          <w:p>
            <w:pPr>
              <w:rPr>
                <w:rFonts w:ascii="Arial"/>
                <w:sz w:val="21"/>
              </w:rPr>
            </w:pPr>
            <w:r/>
          </w:p>
        </w:tc>
        <w:tc>
          <w:tcPr>
            <w:tcW w:w="1239" w:type="dxa"/>
            <w:vAlign w:val="top"/>
          </w:tcPr>
          <w:p>
            <w:pPr>
              <w:pStyle w:val="TableText"/>
              <w:ind w:left="503"/>
              <w:spacing w:before="97" w:line="221" w:lineRule="auto"/>
              <w:rPr>
                <w:sz w:val="22"/>
                <w:szCs w:val="22"/>
              </w:rPr>
            </w:pPr>
            <w:r>
              <w:rPr>
                <w:sz w:val="22"/>
                <w:szCs w:val="22"/>
              </w:rPr>
              <w:t>钴</w:t>
            </w:r>
          </w:p>
        </w:tc>
        <w:tc>
          <w:tcPr>
            <w:tcW w:w="2757" w:type="dxa"/>
            <w:vAlign w:val="top"/>
            <w:vMerge w:val="continue"/>
            <w:tcBorders>
              <w:top w:val="nil"/>
            </w:tcBorders>
          </w:tcPr>
          <w:p>
            <w:pPr>
              <w:rPr>
                <w:rFonts w:ascii="Arial"/>
                <w:sz w:val="21"/>
              </w:rPr>
            </w:pPr>
            <w:r/>
          </w:p>
        </w:tc>
        <w:tc>
          <w:tcPr>
            <w:tcW w:w="2392" w:type="dxa"/>
            <w:vAlign w:val="top"/>
          </w:tcPr>
          <w:p>
            <w:pPr>
              <w:pStyle w:val="TableText"/>
              <w:ind w:left="1026"/>
              <w:spacing w:before="149" w:line="184" w:lineRule="auto"/>
              <w:rPr>
                <w:sz w:val="22"/>
                <w:szCs w:val="22"/>
              </w:rPr>
            </w:pPr>
            <w:r>
              <w:rPr>
                <w:sz w:val="22"/>
                <w:szCs w:val="22"/>
                <w:spacing w:val="-3"/>
              </w:rPr>
              <w:t>0.1</w:t>
            </w:r>
          </w:p>
        </w:tc>
      </w:tr>
      <w:tr>
        <w:trPr>
          <w:trHeight w:val="280" w:hRule="atLeast"/>
        </w:trPr>
        <w:tc>
          <w:tcPr>
            <w:tcW w:w="534" w:type="dxa"/>
            <w:vAlign w:val="top"/>
            <w:vMerge w:val="continue"/>
            <w:tcBorders>
              <w:top w:val="nil"/>
              <w:bottom w:val="nil"/>
            </w:tcBorders>
          </w:tcPr>
          <w:p>
            <w:pPr>
              <w:rPr>
                <w:rFonts w:ascii="Arial"/>
                <w:sz w:val="21"/>
              </w:rPr>
            </w:pPr>
            <w:r/>
          </w:p>
        </w:tc>
        <w:tc>
          <w:tcPr>
            <w:tcW w:w="609" w:type="dxa"/>
            <w:vAlign w:val="top"/>
            <w:vMerge w:val="restart"/>
            <w:tcBorders>
              <w:bottom w:val="nil"/>
            </w:tcBorders>
          </w:tcPr>
          <w:p>
            <w:pPr>
              <w:spacing w:line="258" w:lineRule="auto"/>
              <w:rPr>
                <w:rFonts w:ascii="Arial"/>
                <w:sz w:val="21"/>
              </w:rPr>
            </w:pPr>
            <w:r/>
          </w:p>
          <w:p>
            <w:pPr>
              <w:spacing w:line="259" w:lineRule="auto"/>
              <w:rPr>
                <w:rFonts w:ascii="Arial"/>
                <w:sz w:val="21"/>
              </w:rPr>
            </w:pPr>
            <w:r/>
          </w:p>
          <w:p>
            <w:pPr>
              <w:pStyle w:val="TableText"/>
              <w:ind w:left="241"/>
              <w:spacing w:before="71" w:line="183" w:lineRule="auto"/>
              <w:rPr>
                <w:sz w:val="22"/>
                <w:szCs w:val="22"/>
              </w:rPr>
            </w:pPr>
            <w:r>
              <w:rPr>
                <w:sz w:val="22"/>
                <w:szCs w:val="22"/>
              </w:rPr>
              <w:t>2</w:t>
            </w:r>
          </w:p>
        </w:tc>
        <w:tc>
          <w:tcPr>
            <w:tcW w:w="1279" w:type="dxa"/>
            <w:vAlign w:val="top"/>
            <w:vMerge w:val="restart"/>
            <w:tcBorders>
              <w:bottom w:val="nil"/>
            </w:tcBorders>
          </w:tcPr>
          <w:p>
            <w:pPr>
              <w:spacing w:line="426" w:lineRule="auto"/>
              <w:rPr>
                <w:rFonts w:ascii="Arial"/>
                <w:sz w:val="21"/>
              </w:rPr>
            </w:pPr>
            <w:r/>
          </w:p>
          <w:p>
            <w:pPr>
              <w:pStyle w:val="TableText"/>
              <w:ind w:left="351"/>
              <w:spacing w:before="52" w:line="270" w:lineRule="exact"/>
              <w:rPr>
                <w:sz w:val="16"/>
                <w:szCs w:val="16"/>
              </w:rPr>
            </w:pPr>
            <w:r>
              <w:rPr>
                <w:sz w:val="16"/>
                <w:szCs w:val="16"/>
                <w:spacing w:val="-4"/>
                <w:position w:val="10"/>
              </w:rPr>
              <w:t>DW003、</w:t>
            </w:r>
          </w:p>
          <w:p>
            <w:pPr>
              <w:pStyle w:val="TableText"/>
              <w:ind w:left="351"/>
              <w:spacing w:line="183" w:lineRule="auto"/>
              <w:rPr>
                <w:sz w:val="22"/>
                <w:szCs w:val="22"/>
              </w:rPr>
            </w:pPr>
            <w:r>
              <w:rPr>
                <w:sz w:val="22"/>
                <w:szCs w:val="22"/>
                <w:spacing w:val="-1"/>
              </w:rPr>
              <w:t>DW010</w:t>
            </w:r>
          </w:p>
        </w:tc>
        <w:tc>
          <w:tcPr>
            <w:tcW w:w="1239" w:type="dxa"/>
            <w:vAlign w:val="top"/>
          </w:tcPr>
          <w:p>
            <w:pPr>
              <w:pStyle w:val="TableText"/>
              <w:ind w:left="333"/>
              <w:spacing w:before="91" w:line="178" w:lineRule="exact"/>
              <w:rPr>
                <w:sz w:val="22"/>
                <w:szCs w:val="22"/>
              </w:rPr>
            </w:pPr>
            <w:r>
              <w:rPr>
                <w:sz w:val="22"/>
                <w:szCs w:val="22"/>
                <w:spacing w:val="-2"/>
                <w:position w:val="-2"/>
              </w:rPr>
              <w:t>CODcr</w:t>
            </w:r>
          </w:p>
        </w:tc>
        <w:tc>
          <w:tcPr>
            <w:tcW w:w="2757" w:type="dxa"/>
            <w:vAlign w:val="top"/>
            <w:vMerge w:val="restart"/>
            <w:tcBorders>
              <w:bottom w:val="nil"/>
            </w:tcBorders>
          </w:tcPr>
          <w:p>
            <w:pPr>
              <w:pStyle w:val="TableText"/>
              <w:ind w:left="106" w:hanging="106"/>
              <w:spacing w:before="284" w:line="222" w:lineRule="auto"/>
              <w:jc w:val="both"/>
              <w:rPr>
                <w:sz w:val="22"/>
                <w:szCs w:val="22"/>
              </w:rPr>
            </w:pPr>
            <w:r>
              <w:rPr>
                <w:sz w:val="22"/>
                <w:szCs w:val="22"/>
                <w:spacing w:val="-9"/>
              </w:rPr>
              <w:t>《电池工业污染物排放标准》</w:t>
            </w:r>
            <w:r>
              <w:rPr>
                <w:sz w:val="22"/>
                <w:szCs w:val="22"/>
                <w:spacing w:val="3"/>
              </w:rPr>
              <w:t xml:space="preserve"> </w:t>
            </w:r>
            <w:r>
              <w:rPr>
                <w:sz w:val="22"/>
                <w:szCs w:val="22"/>
                <w:spacing w:val="-2"/>
              </w:rPr>
              <w:t>(GB30484-2013)表2中的新</w:t>
            </w:r>
            <w:r>
              <w:rPr>
                <w:sz w:val="22"/>
                <w:szCs w:val="22"/>
                <w:spacing w:val="5"/>
              </w:rPr>
              <w:t xml:space="preserve">  </w:t>
            </w:r>
            <w:r>
              <w:rPr>
                <w:sz w:val="22"/>
                <w:szCs w:val="22"/>
                <w:spacing w:val="-6"/>
              </w:rPr>
              <w:t>建企业污染物间接排放标准</w:t>
            </w:r>
          </w:p>
        </w:tc>
        <w:tc>
          <w:tcPr>
            <w:tcW w:w="2392" w:type="dxa"/>
            <w:vAlign w:val="top"/>
          </w:tcPr>
          <w:p>
            <w:pPr>
              <w:pStyle w:val="TableText"/>
              <w:ind w:left="1026"/>
              <w:spacing w:before="91" w:line="178" w:lineRule="exact"/>
              <w:rPr>
                <w:sz w:val="22"/>
                <w:szCs w:val="22"/>
              </w:rPr>
            </w:pPr>
            <w:r>
              <w:rPr>
                <w:sz w:val="22"/>
                <w:szCs w:val="22"/>
                <w:spacing w:val="-6"/>
                <w:position w:val="-2"/>
              </w:rPr>
              <w:t>150</w:t>
            </w:r>
          </w:p>
        </w:tc>
      </w:tr>
      <w:tr>
        <w:trPr>
          <w:trHeight w:val="329" w:hRule="atLeast"/>
        </w:trPr>
        <w:tc>
          <w:tcPr>
            <w:tcW w:w="534" w:type="dxa"/>
            <w:vAlign w:val="top"/>
            <w:vMerge w:val="continue"/>
            <w:tcBorders>
              <w:top w:val="nil"/>
              <w:bottom w:val="nil"/>
            </w:tcBorders>
          </w:tcPr>
          <w:p>
            <w:pPr>
              <w:rPr>
                <w:rFonts w:ascii="Arial"/>
                <w:sz w:val="21"/>
              </w:rPr>
            </w:pPr>
            <w:r/>
          </w:p>
        </w:tc>
        <w:tc>
          <w:tcPr>
            <w:tcW w:w="609" w:type="dxa"/>
            <w:vAlign w:val="top"/>
            <w:vMerge w:val="continue"/>
            <w:tcBorders>
              <w:top w:val="nil"/>
              <w:bottom w:val="nil"/>
            </w:tcBorders>
          </w:tcPr>
          <w:p>
            <w:pPr>
              <w:rPr>
                <w:rFonts w:ascii="Arial"/>
                <w:sz w:val="21"/>
              </w:rPr>
            </w:pPr>
            <w:r/>
          </w:p>
        </w:tc>
        <w:tc>
          <w:tcPr>
            <w:tcW w:w="1279" w:type="dxa"/>
            <w:vAlign w:val="top"/>
            <w:vMerge w:val="continue"/>
            <w:tcBorders>
              <w:top w:val="nil"/>
              <w:bottom w:val="nil"/>
            </w:tcBorders>
          </w:tcPr>
          <w:p>
            <w:pPr>
              <w:rPr>
                <w:rFonts w:ascii="Arial"/>
                <w:sz w:val="21"/>
              </w:rPr>
            </w:pPr>
            <w:r/>
          </w:p>
        </w:tc>
        <w:tc>
          <w:tcPr>
            <w:tcW w:w="1239" w:type="dxa"/>
            <w:vAlign w:val="top"/>
          </w:tcPr>
          <w:p>
            <w:pPr>
              <w:pStyle w:val="TableText"/>
              <w:ind w:left="393"/>
              <w:spacing w:before="63" w:line="214" w:lineRule="auto"/>
              <w:rPr>
                <w:sz w:val="22"/>
                <w:szCs w:val="22"/>
              </w:rPr>
            </w:pPr>
            <w:r>
              <w:rPr>
                <w:sz w:val="22"/>
                <w:szCs w:val="22"/>
                <w:spacing w:val="-3"/>
              </w:rPr>
              <w:t>氨氮</w:t>
            </w:r>
          </w:p>
        </w:tc>
        <w:tc>
          <w:tcPr>
            <w:tcW w:w="2757" w:type="dxa"/>
            <w:vAlign w:val="top"/>
            <w:vMerge w:val="continue"/>
            <w:tcBorders>
              <w:top w:val="nil"/>
              <w:bottom w:val="nil"/>
            </w:tcBorders>
          </w:tcPr>
          <w:p>
            <w:pPr>
              <w:rPr>
                <w:rFonts w:ascii="Arial"/>
                <w:sz w:val="21"/>
              </w:rPr>
            </w:pPr>
            <w:r/>
          </w:p>
        </w:tc>
        <w:tc>
          <w:tcPr>
            <w:tcW w:w="2392" w:type="dxa"/>
            <w:vAlign w:val="top"/>
          </w:tcPr>
          <w:p>
            <w:pPr>
              <w:pStyle w:val="TableText"/>
              <w:ind w:left="1077"/>
              <w:spacing w:before="122" w:line="165" w:lineRule="auto"/>
              <w:rPr>
                <w:sz w:val="22"/>
                <w:szCs w:val="22"/>
              </w:rPr>
            </w:pPr>
            <w:r>
              <w:rPr>
                <w:sz w:val="22"/>
                <w:szCs w:val="22"/>
                <w:spacing w:val="-4"/>
              </w:rPr>
              <w:t>30</w:t>
            </w:r>
          </w:p>
        </w:tc>
      </w:tr>
      <w:tr>
        <w:trPr>
          <w:trHeight w:val="309" w:hRule="atLeast"/>
        </w:trPr>
        <w:tc>
          <w:tcPr>
            <w:tcW w:w="534" w:type="dxa"/>
            <w:vAlign w:val="top"/>
            <w:vMerge w:val="continue"/>
            <w:tcBorders>
              <w:top w:val="nil"/>
              <w:bottom w:val="nil"/>
            </w:tcBorders>
          </w:tcPr>
          <w:p>
            <w:pPr>
              <w:rPr>
                <w:rFonts w:ascii="Arial"/>
                <w:sz w:val="21"/>
              </w:rPr>
            </w:pPr>
            <w:r/>
          </w:p>
        </w:tc>
        <w:tc>
          <w:tcPr>
            <w:tcW w:w="609" w:type="dxa"/>
            <w:vAlign w:val="top"/>
            <w:vMerge w:val="continue"/>
            <w:tcBorders>
              <w:top w:val="nil"/>
              <w:bottom w:val="nil"/>
            </w:tcBorders>
          </w:tcPr>
          <w:p>
            <w:pPr>
              <w:rPr>
                <w:rFonts w:ascii="Arial"/>
                <w:sz w:val="21"/>
              </w:rPr>
            </w:pPr>
            <w:r/>
          </w:p>
        </w:tc>
        <w:tc>
          <w:tcPr>
            <w:tcW w:w="1279" w:type="dxa"/>
            <w:vAlign w:val="top"/>
            <w:vMerge w:val="continue"/>
            <w:tcBorders>
              <w:top w:val="nil"/>
              <w:bottom w:val="nil"/>
            </w:tcBorders>
          </w:tcPr>
          <w:p>
            <w:pPr>
              <w:rPr>
                <w:rFonts w:ascii="Arial"/>
                <w:sz w:val="21"/>
              </w:rPr>
            </w:pPr>
            <w:r/>
          </w:p>
        </w:tc>
        <w:tc>
          <w:tcPr>
            <w:tcW w:w="1239" w:type="dxa"/>
            <w:vAlign w:val="top"/>
          </w:tcPr>
          <w:p>
            <w:pPr>
              <w:pStyle w:val="TableText"/>
              <w:ind w:left="393"/>
              <w:spacing w:before="54" w:line="205" w:lineRule="auto"/>
              <w:rPr>
                <w:sz w:val="22"/>
                <w:szCs w:val="22"/>
              </w:rPr>
            </w:pPr>
            <w:r>
              <w:rPr>
                <w:sz w:val="22"/>
                <w:szCs w:val="22"/>
                <w:spacing w:val="4"/>
              </w:rPr>
              <w:t>总氮</w:t>
            </w:r>
          </w:p>
        </w:tc>
        <w:tc>
          <w:tcPr>
            <w:tcW w:w="2757" w:type="dxa"/>
            <w:vAlign w:val="top"/>
            <w:vMerge w:val="continue"/>
            <w:tcBorders>
              <w:top w:val="nil"/>
              <w:bottom w:val="nil"/>
            </w:tcBorders>
          </w:tcPr>
          <w:p>
            <w:pPr>
              <w:rPr>
                <w:rFonts w:ascii="Arial"/>
                <w:sz w:val="21"/>
              </w:rPr>
            </w:pPr>
            <w:r/>
          </w:p>
        </w:tc>
        <w:tc>
          <w:tcPr>
            <w:tcW w:w="2392" w:type="dxa"/>
            <w:vAlign w:val="top"/>
          </w:tcPr>
          <w:p>
            <w:pPr>
              <w:pStyle w:val="TableText"/>
              <w:ind w:left="1077"/>
              <w:spacing w:before="112" w:line="187" w:lineRule="exact"/>
              <w:rPr>
                <w:sz w:val="22"/>
                <w:szCs w:val="22"/>
              </w:rPr>
            </w:pPr>
            <w:r>
              <w:rPr>
                <w:sz w:val="22"/>
                <w:szCs w:val="22"/>
                <w:spacing w:val="-2"/>
                <w:position w:val="-2"/>
              </w:rPr>
              <w:t>40</w:t>
            </w:r>
          </w:p>
        </w:tc>
      </w:tr>
      <w:tr>
        <w:trPr>
          <w:trHeight w:val="320" w:hRule="atLeast"/>
        </w:trPr>
        <w:tc>
          <w:tcPr>
            <w:tcW w:w="534" w:type="dxa"/>
            <w:vAlign w:val="top"/>
            <w:vMerge w:val="continue"/>
            <w:tcBorders>
              <w:top w:val="nil"/>
              <w:bottom w:val="nil"/>
            </w:tcBorders>
          </w:tcPr>
          <w:p>
            <w:pPr>
              <w:rPr>
                <w:rFonts w:ascii="Arial"/>
                <w:sz w:val="21"/>
              </w:rPr>
            </w:pPr>
            <w:r/>
          </w:p>
        </w:tc>
        <w:tc>
          <w:tcPr>
            <w:tcW w:w="609" w:type="dxa"/>
            <w:vAlign w:val="top"/>
            <w:vMerge w:val="continue"/>
            <w:tcBorders>
              <w:top w:val="nil"/>
            </w:tcBorders>
          </w:tcPr>
          <w:p>
            <w:pPr>
              <w:rPr>
                <w:rFonts w:ascii="Arial"/>
                <w:sz w:val="21"/>
              </w:rPr>
            </w:pPr>
            <w:r/>
          </w:p>
        </w:tc>
        <w:tc>
          <w:tcPr>
            <w:tcW w:w="1279" w:type="dxa"/>
            <w:vAlign w:val="top"/>
            <w:vMerge w:val="continue"/>
            <w:tcBorders>
              <w:top w:val="nil"/>
            </w:tcBorders>
          </w:tcPr>
          <w:p>
            <w:pPr>
              <w:rPr>
                <w:rFonts w:ascii="Arial"/>
                <w:sz w:val="21"/>
              </w:rPr>
            </w:pPr>
            <w:r/>
          </w:p>
        </w:tc>
        <w:tc>
          <w:tcPr>
            <w:tcW w:w="1239" w:type="dxa"/>
            <w:vAlign w:val="top"/>
          </w:tcPr>
          <w:p>
            <w:pPr>
              <w:pStyle w:val="TableText"/>
              <w:ind w:left="503"/>
              <w:spacing w:before="64" w:line="206" w:lineRule="auto"/>
              <w:rPr>
                <w:sz w:val="22"/>
                <w:szCs w:val="22"/>
              </w:rPr>
            </w:pPr>
            <w:r>
              <w:rPr>
                <w:sz w:val="22"/>
                <w:szCs w:val="22"/>
              </w:rPr>
              <w:t>锰</w:t>
            </w:r>
          </w:p>
        </w:tc>
        <w:tc>
          <w:tcPr>
            <w:tcW w:w="2757" w:type="dxa"/>
            <w:vAlign w:val="top"/>
            <w:vMerge w:val="continue"/>
            <w:tcBorders>
              <w:top w:val="nil"/>
            </w:tcBorders>
          </w:tcPr>
          <w:p>
            <w:pPr>
              <w:rPr>
                <w:rFonts w:ascii="Arial"/>
                <w:sz w:val="21"/>
              </w:rPr>
            </w:pPr>
            <w:r/>
          </w:p>
        </w:tc>
        <w:tc>
          <w:tcPr>
            <w:tcW w:w="2392" w:type="dxa"/>
            <w:vAlign w:val="top"/>
          </w:tcPr>
          <w:p>
            <w:pPr>
              <w:pStyle w:val="TableText"/>
              <w:ind w:left="1026"/>
              <w:spacing w:before="113" w:line="165" w:lineRule="auto"/>
              <w:rPr>
                <w:sz w:val="22"/>
                <w:szCs w:val="22"/>
              </w:rPr>
            </w:pPr>
            <w:r>
              <w:rPr>
                <w:sz w:val="22"/>
                <w:szCs w:val="22"/>
                <w:spacing w:val="-6"/>
              </w:rPr>
              <w:t>1.5</w:t>
            </w:r>
          </w:p>
        </w:tc>
      </w:tr>
      <w:tr>
        <w:trPr>
          <w:trHeight w:val="300" w:hRule="atLeast"/>
        </w:trPr>
        <w:tc>
          <w:tcPr>
            <w:tcW w:w="534" w:type="dxa"/>
            <w:vAlign w:val="top"/>
            <w:vMerge w:val="continue"/>
            <w:tcBorders>
              <w:top w:val="nil"/>
              <w:bottom w:val="nil"/>
            </w:tcBorders>
          </w:tcPr>
          <w:p>
            <w:pPr>
              <w:rPr>
                <w:rFonts w:ascii="Arial"/>
                <w:sz w:val="21"/>
              </w:rPr>
            </w:pPr>
            <w:r/>
          </w:p>
        </w:tc>
        <w:tc>
          <w:tcPr>
            <w:tcW w:w="609" w:type="dxa"/>
            <w:vAlign w:val="top"/>
            <w:vMerge w:val="restart"/>
            <w:tcBorders>
              <w:bottom w:val="nil"/>
            </w:tcBorders>
          </w:tcPr>
          <w:p>
            <w:pPr>
              <w:spacing w:line="329" w:lineRule="auto"/>
              <w:rPr>
                <w:rFonts w:ascii="Arial"/>
                <w:sz w:val="21"/>
              </w:rPr>
            </w:pPr>
            <w:r/>
          </w:p>
          <w:p>
            <w:pPr>
              <w:spacing w:line="329" w:lineRule="auto"/>
              <w:rPr>
                <w:rFonts w:ascii="Arial"/>
                <w:sz w:val="21"/>
              </w:rPr>
            </w:pPr>
            <w:r/>
          </w:p>
          <w:p>
            <w:pPr>
              <w:pStyle w:val="TableText"/>
              <w:ind w:left="241"/>
              <w:spacing w:before="71" w:line="183" w:lineRule="auto"/>
              <w:rPr>
                <w:sz w:val="22"/>
                <w:szCs w:val="22"/>
              </w:rPr>
            </w:pPr>
            <w:r>
              <w:rPr>
                <w:sz w:val="22"/>
                <w:szCs w:val="22"/>
              </w:rPr>
              <w:t>3</w:t>
            </w:r>
          </w:p>
        </w:tc>
        <w:tc>
          <w:tcPr>
            <w:tcW w:w="1279" w:type="dxa"/>
            <w:vAlign w:val="top"/>
            <w:vMerge w:val="restart"/>
            <w:tcBorders>
              <w:bottom w:val="nil"/>
            </w:tcBorders>
          </w:tcPr>
          <w:p>
            <w:pPr>
              <w:spacing w:line="328" w:lineRule="auto"/>
              <w:rPr>
                <w:rFonts w:ascii="Arial"/>
                <w:sz w:val="21"/>
              </w:rPr>
            </w:pPr>
            <w:r/>
          </w:p>
          <w:p>
            <w:pPr>
              <w:spacing w:line="329" w:lineRule="auto"/>
              <w:rPr>
                <w:rFonts w:ascii="Arial"/>
                <w:sz w:val="21"/>
              </w:rPr>
            </w:pPr>
            <w:r/>
          </w:p>
          <w:p>
            <w:pPr>
              <w:pStyle w:val="TableText"/>
              <w:ind w:left="351"/>
              <w:spacing w:before="71" w:line="184" w:lineRule="auto"/>
              <w:rPr>
                <w:sz w:val="22"/>
                <w:szCs w:val="22"/>
              </w:rPr>
            </w:pPr>
            <w:r>
              <w:rPr>
                <w:sz w:val="22"/>
                <w:szCs w:val="22"/>
                <w:spacing w:val="-1"/>
              </w:rPr>
              <w:t>DW011</w:t>
            </w:r>
          </w:p>
        </w:tc>
        <w:tc>
          <w:tcPr>
            <w:tcW w:w="1239" w:type="dxa"/>
            <w:vAlign w:val="top"/>
          </w:tcPr>
          <w:p>
            <w:pPr>
              <w:pStyle w:val="TableText"/>
              <w:ind w:left="393"/>
              <w:spacing w:before="74" w:line="181" w:lineRule="auto"/>
              <w:rPr>
                <w:sz w:val="22"/>
                <w:szCs w:val="22"/>
              </w:rPr>
            </w:pPr>
            <w:r>
              <w:rPr>
                <w:sz w:val="22"/>
                <w:szCs w:val="22"/>
                <w:spacing w:val="-2"/>
              </w:rPr>
              <w:t>CODg</w:t>
            </w:r>
          </w:p>
        </w:tc>
        <w:tc>
          <w:tcPr>
            <w:tcW w:w="2757" w:type="dxa"/>
            <w:vAlign w:val="top"/>
            <w:vMerge w:val="restart"/>
            <w:tcBorders>
              <w:bottom w:val="nil"/>
            </w:tcBorders>
          </w:tcPr>
          <w:p>
            <w:pPr>
              <w:pStyle w:val="TableText"/>
              <w:ind w:left="274"/>
              <w:spacing w:before="157" w:line="219" w:lineRule="auto"/>
              <w:rPr>
                <w:sz w:val="22"/>
                <w:szCs w:val="22"/>
              </w:rPr>
            </w:pPr>
            <w:r>
              <w:rPr>
                <w:sz w:val="22"/>
                <w:szCs w:val="22"/>
                <w:spacing w:val="-2"/>
              </w:rPr>
              <w:t>《污水综合排放标准》</w:t>
            </w:r>
          </w:p>
          <w:p>
            <w:pPr>
              <w:pStyle w:val="TableText"/>
              <w:ind w:left="54"/>
              <w:spacing w:before="10" w:line="221" w:lineRule="auto"/>
              <w:rPr>
                <w:sz w:val="22"/>
                <w:szCs w:val="22"/>
              </w:rPr>
            </w:pPr>
            <w:r>
              <w:rPr>
                <w:sz w:val="22"/>
                <w:szCs w:val="22"/>
              </w:rPr>
              <w:t>(GB8978-1996)表4的三级排</w:t>
            </w:r>
          </w:p>
          <w:p>
            <w:pPr>
              <w:pStyle w:val="TableText"/>
              <w:spacing w:before="3" w:line="219" w:lineRule="auto"/>
              <w:jc w:val="right"/>
              <w:rPr>
                <w:sz w:val="22"/>
                <w:szCs w:val="22"/>
              </w:rPr>
            </w:pPr>
            <w:r>
              <w:rPr>
                <w:sz w:val="22"/>
                <w:szCs w:val="22"/>
                <w:spacing w:val="-10"/>
              </w:rPr>
              <w:t>放标准。其中氨氮参照《污水</w:t>
            </w:r>
          </w:p>
          <w:p>
            <w:pPr>
              <w:pStyle w:val="TableText"/>
              <w:ind w:left="104"/>
              <w:spacing w:before="10" w:line="219" w:lineRule="auto"/>
              <w:rPr>
                <w:sz w:val="22"/>
                <w:szCs w:val="22"/>
              </w:rPr>
            </w:pPr>
            <w:r>
              <w:rPr>
                <w:sz w:val="22"/>
                <w:szCs w:val="22"/>
                <w:spacing w:val="-2"/>
              </w:rPr>
              <w:t>排入城市下水道水质标准》</w:t>
            </w:r>
          </w:p>
          <w:p>
            <w:pPr>
              <w:pStyle w:val="TableText"/>
              <w:ind w:left="324"/>
              <w:spacing w:before="21" w:line="221" w:lineRule="auto"/>
              <w:rPr>
                <w:sz w:val="22"/>
                <w:szCs w:val="22"/>
              </w:rPr>
            </w:pPr>
            <w:r>
              <w:rPr>
                <w:sz w:val="22"/>
                <w:szCs w:val="22"/>
              </w:rPr>
              <w:t>(GB/T31962-2015)B级</w:t>
            </w:r>
          </w:p>
        </w:tc>
        <w:tc>
          <w:tcPr>
            <w:tcW w:w="2392" w:type="dxa"/>
            <w:vAlign w:val="top"/>
          </w:tcPr>
          <w:p>
            <w:pPr>
              <w:pStyle w:val="TableText"/>
              <w:ind w:left="1026"/>
              <w:spacing w:before="103" w:line="187" w:lineRule="exact"/>
              <w:rPr>
                <w:sz w:val="22"/>
                <w:szCs w:val="22"/>
              </w:rPr>
            </w:pPr>
            <w:r>
              <w:rPr>
                <w:sz w:val="22"/>
                <w:szCs w:val="22"/>
                <w:spacing w:val="-3"/>
                <w:position w:val="-2"/>
              </w:rPr>
              <w:t>500</w:t>
            </w:r>
          </w:p>
        </w:tc>
      </w:tr>
      <w:tr>
        <w:trPr>
          <w:trHeight w:val="289" w:hRule="atLeast"/>
        </w:trPr>
        <w:tc>
          <w:tcPr>
            <w:tcW w:w="534" w:type="dxa"/>
            <w:vAlign w:val="top"/>
            <w:vMerge w:val="continue"/>
            <w:tcBorders>
              <w:top w:val="nil"/>
              <w:bottom w:val="nil"/>
            </w:tcBorders>
          </w:tcPr>
          <w:p>
            <w:pPr>
              <w:rPr>
                <w:rFonts w:ascii="Arial"/>
                <w:sz w:val="21"/>
              </w:rPr>
            </w:pPr>
            <w:r/>
          </w:p>
        </w:tc>
        <w:tc>
          <w:tcPr>
            <w:tcW w:w="609" w:type="dxa"/>
            <w:vAlign w:val="top"/>
            <w:vMerge w:val="continue"/>
            <w:tcBorders>
              <w:top w:val="nil"/>
              <w:bottom w:val="nil"/>
            </w:tcBorders>
          </w:tcPr>
          <w:p>
            <w:pPr>
              <w:rPr>
                <w:rFonts w:ascii="Arial"/>
                <w:sz w:val="21"/>
              </w:rPr>
            </w:pPr>
            <w:r/>
          </w:p>
        </w:tc>
        <w:tc>
          <w:tcPr>
            <w:tcW w:w="1279" w:type="dxa"/>
            <w:vAlign w:val="top"/>
            <w:vMerge w:val="continue"/>
            <w:tcBorders>
              <w:top w:val="nil"/>
              <w:bottom w:val="nil"/>
            </w:tcBorders>
          </w:tcPr>
          <w:p>
            <w:pPr>
              <w:rPr>
                <w:rFonts w:ascii="Arial"/>
                <w:sz w:val="21"/>
              </w:rPr>
            </w:pPr>
            <w:r/>
          </w:p>
        </w:tc>
        <w:tc>
          <w:tcPr>
            <w:tcW w:w="1239" w:type="dxa"/>
            <w:vAlign w:val="top"/>
          </w:tcPr>
          <w:p>
            <w:pPr>
              <w:pStyle w:val="TableText"/>
              <w:ind w:left="393"/>
              <w:spacing w:before="103" w:line="176" w:lineRule="exact"/>
              <w:rPr>
                <w:sz w:val="22"/>
                <w:szCs w:val="22"/>
              </w:rPr>
            </w:pPr>
            <w:r>
              <w:rPr>
                <w:sz w:val="22"/>
                <w:szCs w:val="22"/>
                <w:spacing w:val="-1"/>
                <w:position w:val="-2"/>
              </w:rPr>
              <w:t>BODs</w:t>
            </w:r>
          </w:p>
        </w:tc>
        <w:tc>
          <w:tcPr>
            <w:tcW w:w="2757" w:type="dxa"/>
            <w:vAlign w:val="top"/>
            <w:vMerge w:val="continue"/>
            <w:tcBorders>
              <w:top w:val="nil"/>
              <w:bottom w:val="nil"/>
            </w:tcBorders>
          </w:tcPr>
          <w:p>
            <w:pPr>
              <w:rPr>
                <w:rFonts w:ascii="Arial"/>
                <w:sz w:val="21"/>
              </w:rPr>
            </w:pPr>
            <w:r/>
          </w:p>
        </w:tc>
        <w:tc>
          <w:tcPr>
            <w:tcW w:w="2392" w:type="dxa"/>
            <w:vAlign w:val="top"/>
          </w:tcPr>
          <w:p>
            <w:pPr>
              <w:pStyle w:val="TableText"/>
              <w:ind w:left="1026"/>
              <w:spacing w:before="103" w:line="176" w:lineRule="exact"/>
              <w:rPr>
                <w:sz w:val="22"/>
                <w:szCs w:val="22"/>
              </w:rPr>
            </w:pPr>
            <w:r>
              <w:rPr>
                <w:sz w:val="22"/>
                <w:szCs w:val="22"/>
                <w:spacing w:val="-3"/>
                <w:position w:val="-2"/>
              </w:rPr>
              <w:t>300</w:t>
            </w:r>
          </w:p>
        </w:tc>
      </w:tr>
      <w:tr>
        <w:trPr>
          <w:trHeight w:val="310" w:hRule="atLeast"/>
        </w:trPr>
        <w:tc>
          <w:tcPr>
            <w:tcW w:w="534" w:type="dxa"/>
            <w:vAlign w:val="top"/>
            <w:vMerge w:val="continue"/>
            <w:tcBorders>
              <w:top w:val="nil"/>
              <w:bottom w:val="nil"/>
            </w:tcBorders>
          </w:tcPr>
          <w:p>
            <w:pPr>
              <w:rPr>
                <w:rFonts w:ascii="Arial"/>
                <w:sz w:val="21"/>
              </w:rPr>
            </w:pPr>
            <w:r/>
          </w:p>
        </w:tc>
        <w:tc>
          <w:tcPr>
            <w:tcW w:w="609" w:type="dxa"/>
            <w:vAlign w:val="top"/>
            <w:vMerge w:val="continue"/>
            <w:tcBorders>
              <w:top w:val="nil"/>
              <w:bottom w:val="nil"/>
            </w:tcBorders>
          </w:tcPr>
          <w:p>
            <w:pPr>
              <w:rPr>
                <w:rFonts w:ascii="Arial"/>
                <w:sz w:val="21"/>
              </w:rPr>
            </w:pPr>
            <w:r/>
          </w:p>
        </w:tc>
        <w:tc>
          <w:tcPr>
            <w:tcW w:w="1279" w:type="dxa"/>
            <w:vAlign w:val="top"/>
            <w:vMerge w:val="continue"/>
            <w:tcBorders>
              <w:top w:val="nil"/>
              <w:bottom w:val="nil"/>
            </w:tcBorders>
          </w:tcPr>
          <w:p>
            <w:pPr>
              <w:rPr>
                <w:rFonts w:ascii="Arial"/>
                <w:sz w:val="21"/>
              </w:rPr>
            </w:pPr>
            <w:r/>
          </w:p>
        </w:tc>
        <w:tc>
          <w:tcPr>
            <w:tcW w:w="1239" w:type="dxa"/>
            <w:vAlign w:val="top"/>
          </w:tcPr>
          <w:p>
            <w:pPr>
              <w:pStyle w:val="TableText"/>
              <w:ind w:left="393"/>
              <w:spacing w:before="56" w:line="204" w:lineRule="auto"/>
              <w:rPr>
                <w:sz w:val="22"/>
                <w:szCs w:val="22"/>
              </w:rPr>
            </w:pPr>
            <w:r>
              <w:rPr>
                <w:sz w:val="22"/>
                <w:szCs w:val="22"/>
                <w:spacing w:val="-3"/>
              </w:rPr>
              <w:t>氨氮</w:t>
            </w:r>
          </w:p>
        </w:tc>
        <w:tc>
          <w:tcPr>
            <w:tcW w:w="2757" w:type="dxa"/>
            <w:vAlign w:val="top"/>
            <w:vMerge w:val="continue"/>
            <w:tcBorders>
              <w:top w:val="nil"/>
              <w:bottom w:val="nil"/>
            </w:tcBorders>
          </w:tcPr>
          <w:p>
            <w:pPr>
              <w:rPr>
                <w:rFonts w:ascii="Arial"/>
                <w:sz w:val="21"/>
              </w:rPr>
            </w:pPr>
            <w:r/>
          </w:p>
        </w:tc>
        <w:tc>
          <w:tcPr>
            <w:tcW w:w="2392" w:type="dxa"/>
            <w:vAlign w:val="top"/>
          </w:tcPr>
          <w:p>
            <w:pPr>
              <w:pStyle w:val="TableText"/>
              <w:ind w:left="1077"/>
              <w:spacing w:before="114" w:line="186" w:lineRule="exact"/>
              <w:rPr>
                <w:sz w:val="22"/>
                <w:szCs w:val="22"/>
              </w:rPr>
            </w:pPr>
            <w:r>
              <w:rPr>
                <w:sz w:val="22"/>
                <w:szCs w:val="22"/>
                <w:spacing w:val="-2"/>
                <w:position w:val="-2"/>
              </w:rPr>
              <w:t>45</w:t>
            </w:r>
          </w:p>
        </w:tc>
      </w:tr>
      <w:tr>
        <w:trPr>
          <w:trHeight w:val="329" w:hRule="atLeast"/>
        </w:trPr>
        <w:tc>
          <w:tcPr>
            <w:tcW w:w="534" w:type="dxa"/>
            <w:vAlign w:val="top"/>
            <w:vMerge w:val="continue"/>
            <w:tcBorders>
              <w:top w:val="nil"/>
              <w:bottom w:val="nil"/>
            </w:tcBorders>
          </w:tcPr>
          <w:p>
            <w:pPr>
              <w:rPr>
                <w:rFonts w:ascii="Arial"/>
                <w:sz w:val="21"/>
              </w:rPr>
            </w:pPr>
            <w:r/>
          </w:p>
        </w:tc>
        <w:tc>
          <w:tcPr>
            <w:tcW w:w="609" w:type="dxa"/>
            <w:vAlign w:val="top"/>
            <w:vMerge w:val="continue"/>
            <w:tcBorders>
              <w:top w:val="nil"/>
              <w:bottom w:val="nil"/>
            </w:tcBorders>
          </w:tcPr>
          <w:p>
            <w:pPr>
              <w:rPr>
                <w:rFonts w:ascii="Arial"/>
                <w:sz w:val="21"/>
              </w:rPr>
            </w:pPr>
            <w:r/>
          </w:p>
        </w:tc>
        <w:tc>
          <w:tcPr>
            <w:tcW w:w="1279" w:type="dxa"/>
            <w:vAlign w:val="top"/>
            <w:vMerge w:val="continue"/>
            <w:tcBorders>
              <w:top w:val="nil"/>
              <w:bottom w:val="nil"/>
            </w:tcBorders>
          </w:tcPr>
          <w:p>
            <w:pPr>
              <w:rPr>
                <w:rFonts w:ascii="Arial"/>
                <w:sz w:val="21"/>
              </w:rPr>
            </w:pPr>
            <w:r/>
          </w:p>
        </w:tc>
        <w:tc>
          <w:tcPr>
            <w:tcW w:w="1239" w:type="dxa"/>
            <w:vAlign w:val="top"/>
          </w:tcPr>
          <w:p>
            <w:pPr>
              <w:pStyle w:val="TableText"/>
              <w:ind w:left="393"/>
              <w:spacing w:before="67" w:line="211" w:lineRule="auto"/>
              <w:rPr>
                <w:sz w:val="22"/>
                <w:szCs w:val="22"/>
              </w:rPr>
            </w:pPr>
            <w:r>
              <w:rPr>
                <w:sz w:val="22"/>
                <w:szCs w:val="22"/>
                <w:spacing w:val="4"/>
              </w:rPr>
              <w:t>总氮</w:t>
            </w:r>
          </w:p>
        </w:tc>
        <w:tc>
          <w:tcPr>
            <w:tcW w:w="2757" w:type="dxa"/>
            <w:vAlign w:val="top"/>
            <w:vMerge w:val="continue"/>
            <w:tcBorders>
              <w:top w:val="nil"/>
              <w:bottom w:val="nil"/>
            </w:tcBorders>
          </w:tcPr>
          <w:p>
            <w:pPr>
              <w:rPr>
                <w:rFonts w:ascii="Arial"/>
                <w:sz w:val="21"/>
              </w:rPr>
            </w:pPr>
            <w:r/>
          </w:p>
        </w:tc>
        <w:tc>
          <w:tcPr>
            <w:tcW w:w="2392" w:type="dxa"/>
            <w:vAlign w:val="top"/>
          </w:tcPr>
          <w:p>
            <w:pPr>
              <w:pStyle w:val="TableText"/>
              <w:ind w:left="1077"/>
              <w:spacing w:before="124" w:line="163" w:lineRule="auto"/>
              <w:rPr>
                <w:sz w:val="22"/>
                <w:szCs w:val="22"/>
              </w:rPr>
            </w:pPr>
            <w:r>
              <w:rPr>
                <w:sz w:val="22"/>
                <w:szCs w:val="22"/>
                <w:spacing w:val="-4"/>
              </w:rPr>
              <w:t>70</w:t>
            </w:r>
          </w:p>
        </w:tc>
      </w:tr>
      <w:tr>
        <w:trPr>
          <w:trHeight w:val="289" w:hRule="atLeast"/>
        </w:trPr>
        <w:tc>
          <w:tcPr>
            <w:tcW w:w="534" w:type="dxa"/>
            <w:vAlign w:val="top"/>
            <w:vMerge w:val="continue"/>
            <w:tcBorders>
              <w:top w:val="nil"/>
              <w:bottom w:val="nil"/>
            </w:tcBorders>
          </w:tcPr>
          <w:p>
            <w:pPr>
              <w:rPr>
                <w:rFonts w:ascii="Arial"/>
                <w:sz w:val="21"/>
              </w:rPr>
            </w:pPr>
            <w:r/>
          </w:p>
        </w:tc>
        <w:tc>
          <w:tcPr>
            <w:tcW w:w="609" w:type="dxa"/>
            <w:vAlign w:val="top"/>
            <w:vMerge w:val="continue"/>
            <w:tcBorders>
              <w:top w:val="nil"/>
            </w:tcBorders>
          </w:tcPr>
          <w:p>
            <w:pPr>
              <w:rPr>
                <w:rFonts w:ascii="Arial"/>
                <w:sz w:val="21"/>
              </w:rPr>
            </w:pPr>
            <w:r/>
          </w:p>
        </w:tc>
        <w:tc>
          <w:tcPr>
            <w:tcW w:w="1279" w:type="dxa"/>
            <w:vAlign w:val="top"/>
            <w:vMerge w:val="continue"/>
            <w:tcBorders>
              <w:top w:val="nil"/>
            </w:tcBorders>
          </w:tcPr>
          <w:p>
            <w:pPr>
              <w:rPr>
                <w:rFonts w:ascii="Arial"/>
                <w:sz w:val="21"/>
              </w:rPr>
            </w:pPr>
            <w:r/>
          </w:p>
        </w:tc>
        <w:tc>
          <w:tcPr>
            <w:tcW w:w="1239" w:type="dxa"/>
            <w:vAlign w:val="top"/>
          </w:tcPr>
          <w:p>
            <w:pPr>
              <w:pStyle w:val="TableText"/>
              <w:ind w:left="503"/>
              <w:spacing w:before="105" w:line="174" w:lineRule="exact"/>
              <w:rPr>
                <w:sz w:val="22"/>
                <w:szCs w:val="22"/>
              </w:rPr>
            </w:pPr>
            <w:r>
              <w:rPr>
                <w:sz w:val="22"/>
                <w:szCs w:val="22"/>
                <w:spacing w:val="-5"/>
                <w:position w:val="-2"/>
              </w:rPr>
              <w:t>SS</w:t>
            </w:r>
          </w:p>
        </w:tc>
        <w:tc>
          <w:tcPr>
            <w:tcW w:w="2757" w:type="dxa"/>
            <w:vAlign w:val="top"/>
            <w:vMerge w:val="continue"/>
            <w:tcBorders>
              <w:top w:val="nil"/>
            </w:tcBorders>
          </w:tcPr>
          <w:p>
            <w:pPr>
              <w:rPr>
                <w:rFonts w:ascii="Arial"/>
                <w:sz w:val="21"/>
              </w:rPr>
            </w:pPr>
            <w:r/>
          </w:p>
        </w:tc>
        <w:tc>
          <w:tcPr>
            <w:tcW w:w="2392" w:type="dxa"/>
            <w:vAlign w:val="top"/>
          </w:tcPr>
          <w:p>
            <w:pPr>
              <w:pStyle w:val="TableText"/>
              <w:ind w:left="1026"/>
              <w:spacing w:before="105" w:line="174" w:lineRule="exact"/>
              <w:rPr>
                <w:sz w:val="22"/>
                <w:szCs w:val="22"/>
              </w:rPr>
            </w:pPr>
            <w:r>
              <w:rPr>
                <w:sz w:val="22"/>
                <w:szCs w:val="22"/>
                <w:spacing w:val="-2"/>
                <w:position w:val="-2"/>
              </w:rPr>
              <w:t>400</w:t>
            </w:r>
          </w:p>
        </w:tc>
      </w:tr>
      <w:tr>
        <w:trPr>
          <w:trHeight w:val="265" w:hRule="atLeast"/>
        </w:trPr>
        <w:tc>
          <w:tcPr>
            <w:tcW w:w="534" w:type="dxa"/>
            <w:vAlign w:val="top"/>
            <w:vMerge w:val="continue"/>
            <w:tcBorders>
              <w:top w:val="nil"/>
            </w:tcBorders>
          </w:tcPr>
          <w:p>
            <w:pPr>
              <w:rPr>
                <w:rFonts w:ascii="Arial"/>
                <w:sz w:val="21"/>
              </w:rPr>
            </w:pPr>
            <w:r/>
          </w:p>
        </w:tc>
        <w:tc>
          <w:tcPr>
            <w:tcW w:w="8276" w:type="dxa"/>
            <w:vAlign w:val="top"/>
            <w:gridSpan w:val="5"/>
          </w:tcPr>
          <w:p>
            <w:pPr>
              <w:pStyle w:val="TableText"/>
              <w:ind w:left="124"/>
              <w:spacing w:before="26" w:line="192" w:lineRule="auto"/>
              <w:rPr>
                <w:sz w:val="22"/>
                <w:szCs w:val="22"/>
              </w:rPr>
            </w:pPr>
            <w:r>
              <w:rPr>
                <w:sz w:val="22"/>
                <w:szCs w:val="22"/>
                <w:b/>
                <w:bCs/>
                <w:spacing w:val="-4"/>
              </w:rPr>
              <w:t>4.3.4废水监测计划</w:t>
            </w:r>
          </w:p>
        </w:tc>
      </w:tr>
    </w:tbl>
    <w:p>
      <w:pPr>
        <w:spacing w:line="99" w:lineRule="exact"/>
        <w:rPr>
          <w:rFonts w:ascii="Arial"/>
          <w:sz w:val="8"/>
        </w:rPr>
      </w:pPr>
      <w:r/>
    </w:p>
    <w:p>
      <w:pPr>
        <w:spacing w:line="99" w:lineRule="exact"/>
        <w:sectPr>
          <w:footerReference w:type="default" r:id="rId132"/>
          <w:pgSz w:w="11900" w:h="16840"/>
          <w:pgMar w:top="1431" w:right="1455" w:bottom="989" w:left="1461" w:header="0" w:footer="820" w:gutter="0"/>
          <w:cols w:equalWidth="0" w:num="1">
            <w:col w:w="8984" w:space="0"/>
          </w:cols>
        </w:sectPr>
        <w:rPr>
          <w:rFonts w:ascii="Arial" w:hAnsi="Arial" w:eastAsia="Arial" w:cs="Arial"/>
          <w:sz w:val="8"/>
          <w:szCs w:val="8"/>
        </w:rPr>
      </w:pPr>
    </w:p>
    <w:p>
      <w:pPr>
        <w:pStyle w:val="BodyText"/>
        <w:ind w:left="178" w:right="8"/>
        <w:spacing w:before="48" w:line="213" w:lineRule="auto"/>
        <w:jc w:val="both"/>
        <w:rPr>
          <w:sz w:val="23"/>
          <w:szCs w:val="23"/>
        </w:rPr>
      </w:pPr>
      <w:r>
        <w:rPr>
          <w:sz w:val="23"/>
          <w:szCs w:val="23"/>
          <w:spacing w:val="17"/>
        </w:rPr>
        <w:t>运营</w:t>
      </w:r>
      <w:r>
        <w:rPr>
          <w:sz w:val="23"/>
          <w:szCs w:val="23"/>
        </w:rPr>
        <w:t xml:space="preserve"> </w:t>
      </w:r>
      <w:r>
        <w:rPr>
          <w:sz w:val="23"/>
          <w:szCs w:val="23"/>
          <w:spacing w:val="-11"/>
        </w:rPr>
        <w:t>期</w:t>
      </w:r>
      <w:r>
        <w:rPr>
          <w:sz w:val="23"/>
          <w:szCs w:val="23"/>
          <w:spacing w:val="-13"/>
        </w:rPr>
        <w:t xml:space="preserve"> </w:t>
      </w:r>
      <w:r>
        <w:rPr>
          <w:sz w:val="23"/>
          <w:szCs w:val="23"/>
          <w:spacing w:val="-11"/>
        </w:rPr>
        <w:t>环</w:t>
      </w:r>
      <w:r>
        <w:rPr>
          <w:sz w:val="23"/>
          <w:szCs w:val="23"/>
        </w:rPr>
        <w:t xml:space="preserve"> </w:t>
      </w:r>
      <w:r>
        <w:rPr>
          <w:sz w:val="23"/>
          <w:szCs w:val="23"/>
          <w:spacing w:val="14"/>
        </w:rPr>
        <w:t>境影</w:t>
      </w:r>
      <w:r>
        <w:rPr>
          <w:sz w:val="23"/>
          <w:szCs w:val="23"/>
        </w:rPr>
        <w:t xml:space="preserve"> </w:t>
      </w:r>
      <w:r>
        <w:rPr>
          <w:sz w:val="23"/>
          <w:szCs w:val="23"/>
          <w:spacing w:val="-16"/>
        </w:rPr>
        <w:t>响</w:t>
      </w:r>
      <w:r>
        <w:rPr>
          <w:sz w:val="23"/>
          <w:szCs w:val="23"/>
          <w:spacing w:val="-26"/>
        </w:rPr>
        <w:t xml:space="preserve"> </w:t>
      </w:r>
      <w:r>
        <w:rPr>
          <w:sz w:val="23"/>
          <w:szCs w:val="23"/>
          <w:spacing w:val="-16"/>
        </w:rPr>
        <w:t>和</w:t>
      </w:r>
      <w:r>
        <w:rPr>
          <w:sz w:val="23"/>
          <w:szCs w:val="23"/>
        </w:rPr>
        <w:t xml:space="preserve"> </w:t>
      </w:r>
      <w:r>
        <w:rPr>
          <w:sz w:val="23"/>
          <w:szCs w:val="23"/>
          <w:spacing w:val="18"/>
        </w:rPr>
        <w:t>保护</w:t>
      </w:r>
    </w:p>
    <w:p>
      <w:pPr>
        <w:spacing w:line="14" w:lineRule="auto"/>
        <w:rPr>
          <w:rFonts w:ascii="Arial"/>
          <w:sz w:val="2"/>
        </w:rPr>
      </w:pPr>
      <w:r>
        <w:rPr>
          <w:rFonts w:ascii="Arial" w:hAnsi="Arial" w:eastAsia="Arial" w:cs="Arial"/>
          <w:sz w:val="2"/>
          <w:szCs w:val="2"/>
        </w:rPr>
        <w:br w:type="column"/>
      </w:r>
    </w:p>
    <w:p>
      <w:pPr>
        <w:pStyle w:val="BodyText"/>
        <w:ind w:left="489"/>
        <w:spacing w:before="130" w:line="473" w:lineRule="exact"/>
        <w:rPr>
          <w:sz w:val="23"/>
          <w:szCs w:val="23"/>
        </w:rPr>
      </w:pPr>
      <w:r>
        <w:rPr>
          <w:sz w:val="23"/>
          <w:szCs w:val="23"/>
          <w:spacing w:val="3"/>
          <w:position w:val="18"/>
        </w:rPr>
        <w:t>根据《排污单位自行监测技术指南电池工业》</w:t>
      </w:r>
      <w:r>
        <w:rPr>
          <w:sz w:val="23"/>
          <w:szCs w:val="23"/>
          <w:spacing w:val="88"/>
          <w:position w:val="18"/>
        </w:rPr>
        <w:t xml:space="preserve"> </w:t>
      </w:r>
      <w:r>
        <w:rPr>
          <w:sz w:val="23"/>
          <w:szCs w:val="23"/>
          <w:spacing w:val="3"/>
          <w:position w:val="18"/>
        </w:rPr>
        <w:t>(</w:t>
      </w:r>
      <w:r>
        <w:rPr>
          <w:sz w:val="23"/>
          <w:szCs w:val="23"/>
          <w:position w:val="18"/>
        </w:rPr>
        <w:t>HJ</w:t>
      </w:r>
      <w:r>
        <w:rPr>
          <w:sz w:val="23"/>
          <w:szCs w:val="23"/>
          <w:spacing w:val="3"/>
          <w:position w:val="18"/>
        </w:rPr>
        <w:t>1204-2021),</w:t>
      </w:r>
    </w:p>
    <w:p>
      <w:pPr>
        <w:pStyle w:val="BodyText"/>
        <w:spacing w:line="219" w:lineRule="auto"/>
        <w:rPr>
          <w:sz w:val="23"/>
          <w:szCs w:val="23"/>
        </w:rPr>
      </w:pPr>
      <w:r>
        <w:rPr>
          <w:sz w:val="23"/>
          <w:szCs w:val="23"/>
          <w:spacing w:val="7"/>
        </w:rPr>
        <w:t>建设单位自行监测方案，项目运营期废水监测计划如下。</w:t>
      </w:r>
    </w:p>
    <w:p>
      <w:pPr>
        <w:pStyle w:val="BodyText"/>
        <w:ind w:left="1993"/>
        <w:spacing w:before="253" w:line="196" w:lineRule="auto"/>
        <w:rPr>
          <w:sz w:val="23"/>
          <w:szCs w:val="23"/>
        </w:rPr>
      </w:pPr>
      <w:r>
        <w:rPr>
          <w:sz w:val="23"/>
          <w:szCs w:val="23"/>
          <w:b/>
          <w:bCs/>
          <w:spacing w:val="16"/>
        </w:rPr>
        <w:t>表4.3-8</w:t>
      </w:r>
      <w:r>
        <w:rPr>
          <w:sz w:val="23"/>
          <w:szCs w:val="23"/>
          <w:spacing w:val="16"/>
        </w:rPr>
        <w:t xml:space="preserve">  </w:t>
      </w:r>
      <w:r>
        <w:rPr>
          <w:sz w:val="23"/>
          <w:szCs w:val="23"/>
          <w:b/>
          <w:bCs/>
          <w:spacing w:val="16"/>
        </w:rPr>
        <w:t>项目废水监测计划</w:t>
      </w:r>
      <w:r>
        <w:rPr>
          <w:sz w:val="23"/>
          <w:szCs w:val="23"/>
          <w:spacing w:val="-61"/>
        </w:rPr>
        <w:t xml:space="preserve"> </w:t>
      </w:r>
      <w:r>
        <w:rPr>
          <w:sz w:val="23"/>
          <w:szCs w:val="23"/>
          <w:b/>
          <w:bCs/>
          <w:spacing w:val="16"/>
        </w:rPr>
        <w:t>一</w:t>
      </w:r>
      <w:r>
        <w:rPr>
          <w:sz w:val="23"/>
          <w:szCs w:val="23"/>
          <w:spacing w:val="-66"/>
        </w:rPr>
        <w:t xml:space="preserve"> </w:t>
      </w:r>
      <w:r>
        <w:rPr>
          <w:sz w:val="23"/>
          <w:szCs w:val="23"/>
          <w:b/>
          <w:bCs/>
          <w:spacing w:val="16"/>
        </w:rPr>
        <w:t>览表</w:t>
      </w:r>
    </w:p>
    <w:p>
      <w:pPr>
        <w:spacing w:line="14" w:lineRule="auto"/>
        <w:rPr>
          <w:rFonts w:ascii="Arial"/>
          <w:sz w:val="2"/>
        </w:rPr>
      </w:pPr>
      <w:r>
        <w:rPr>
          <w:rFonts w:ascii="Arial" w:hAnsi="Arial" w:eastAsia="Arial" w:cs="Arial"/>
          <w:sz w:val="2"/>
          <w:szCs w:val="2"/>
        </w:rPr>
        <w:br w:type="column"/>
      </w:r>
    </w:p>
    <w:p>
      <w:pPr>
        <w:pStyle w:val="BodyText"/>
        <w:spacing w:before="130" w:line="219" w:lineRule="auto"/>
        <w:rPr>
          <w:sz w:val="23"/>
          <w:szCs w:val="23"/>
        </w:rPr>
      </w:pPr>
      <w:r>
        <w:rPr>
          <w:sz w:val="23"/>
          <w:szCs w:val="23"/>
          <w:spacing w:val="16"/>
        </w:rPr>
        <w:t>并结合</w:t>
      </w:r>
    </w:p>
    <w:p>
      <w:pPr>
        <w:spacing w:line="219" w:lineRule="auto"/>
        <w:sectPr>
          <w:type w:val="continuous"/>
          <w:pgSz w:w="11900" w:h="16840"/>
          <w:pgMar w:top="1431" w:right="1455" w:bottom="989" w:left="1461" w:header="0" w:footer="820" w:gutter="0"/>
          <w:cols w:equalWidth="0" w:num="3">
            <w:col w:w="729" w:space="100"/>
            <w:col w:w="7210" w:space="100"/>
            <w:col w:w="846" w:space="0"/>
          </w:cols>
        </w:sectPr>
        <w:rPr>
          <w:sz w:val="23"/>
          <w:szCs w:val="23"/>
        </w:rPr>
      </w:pPr>
    </w:p>
    <w:p>
      <w:pPr>
        <w:spacing w:line="54" w:lineRule="exact"/>
        <w:rPr/>
      </w:pPr>
      <w:r/>
    </w:p>
    <w:tbl>
      <w:tblPr>
        <w:tblStyle w:val="TableNormal"/>
        <w:tblW w:w="8820" w:type="dxa"/>
        <w:tblInd w:w="15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44"/>
        <w:gridCol w:w="2228"/>
        <w:gridCol w:w="2547"/>
        <w:gridCol w:w="1418"/>
        <w:gridCol w:w="2083"/>
      </w:tblGrid>
      <w:tr>
        <w:trPr>
          <w:trHeight w:val="185" w:hRule="atLeast"/>
        </w:trPr>
        <w:tc>
          <w:tcPr>
            <w:tcW w:w="544" w:type="dxa"/>
            <w:vAlign w:val="top"/>
            <w:vMerge w:val="restart"/>
            <w:tcBorders>
              <w:bottom w:val="nil"/>
            </w:tcBorders>
          </w:tcPr>
          <w:p>
            <w:pPr>
              <w:pStyle w:val="TableText"/>
              <w:ind w:left="15"/>
              <w:spacing w:before="13" w:line="220" w:lineRule="auto"/>
              <w:rPr>
                <w:sz w:val="20"/>
                <w:szCs w:val="20"/>
              </w:rPr>
            </w:pPr>
            <w:r>
              <w:rPr>
                <w:sz w:val="20"/>
                <w:szCs w:val="20"/>
                <w:spacing w:val="-2"/>
              </w:rPr>
              <w:t>措施</w:t>
            </w:r>
          </w:p>
        </w:tc>
        <w:tc>
          <w:tcPr>
            <w:tcW w:w="2228" w:type="dxa"/>
            <w:vAlign w:val="top"/>
            <w:tcBorders>
              <w:right w:val="nil"/>
            </w:tcBorders>
          </w:tcPr>
          <w:p>
            <w:pPr>
              <w:spacing w:line="175" w:lineRule="exact"/>
              <w:rPr>
                <w:rFonts w:ascii="Arial"/>
                <w:sz w:val="15"/>
              </w:rPr>
            </w:pPr>
            <w:r/>
          </w:p>
        </w:tc>
        <w:tc>
          <w:tcPr>
            <w:tcW w:w="2547" w:type="dxa"/>
            <w:vAlign w:val="top"/>
            <w:tcBorders>
              <w:left w:val="nil"/>
              <w:right w:val="nil"/>
            </w:tcBorders>
          </w:tcPr>
          <w:p>
            <w:pPr>
              <w:spacing w:line="175" w:lineRule="exact"/>
              <w:rPr>
                <w:rFonts w:ascii="Arial"/>
                <w:sz w:val="15"/>
              </w:rPr>
            </w:pPr>
            <w:r/>
          </w:p>
        </w:tc>
        <w:tc>
          <w:tcPr>
            <w:tcW w:w="1418" w:type="dxa"/>
            <w:vAlign w:val="top"/>
            <w:tcBorders>
              <w:left w:val="nil"/>
              <w:right w:val="nil"/>
            </w:tcBorders>
          </w:tcPr>
          <w:p>
            <w:pPr>
              <w:spacing w:line="175" w:lineRule="exact"/>
              <w:rPr>
                <w:rFonts w:ascii="Arial"/>
                <w:sz w:val="15"/>
              </w:rPr>
            </w:pPr>
            <w:r/>
          </w:p>
        </w:tc>
        <w:tc>
          <w:tcPr>
            <w:tcW w:w="2083" w:type="dxa"/>
            <w:vAlign w:val="top"/>
            <w:tcBorders>
              <w:left w:val="nil"/>
            </w:tcBorders>
          </w:tcPr>
          <w:p>
            <w:pPr>
              <w:spacing w:line="175" w:lineRule="exact"/>
              <w:rPr>
                <w:rFonts w:ascii="Arial"/>
                <w:sz w:val="15"/>
              </w:rPr>
            </w:pPr>
            <w:r/>
          </w:p>
        </w:tc>
      </w:tr>
      <w:tr>
        <w:trPr>
          <w:trHeight w:val="399" w:hRule="atLeast"/>
        </w:trPr>
        <w:tc>
          <w:tcPr>
            <w:tcW w:w="544" w:type="dxa"/>
            <w:vAlign w:val="top"/>
            <w:vMerge w:val="continue"/>
            <w:tcBorders>
              <w:top w:val="nil"/>
              <w:bottom w:val="nil"/>
            </w:tcBorders>
          </w:tcPr>
          <w:p>
            <w:pPr>
              <w:rPr>
                <w:rFonts w:ascii="Arial"/>
                <w:sz w:val="21"/>
              </w:rPr>
            </w:pPr>
            <w:r/>
          </w:p>
        </w:tc>
        <w:tc>
          <w:tcPr>
            <w:tcW w:w="2228" w:type="dxa"/>
            <w:vAlign w:val="top"/>
          </w:tcPr>
          <w:p>
            <w:pPr>
              <w:pStyle w:val="TableText"/>
              <w:ind w:left="701"/>
              <w:spacing w:before="99" w:line="221" w:lineRule="auto"/>
              <w:rPr>
                <w:sz w:val="20"/>
                <w:szCs w:val="20"/>
              </w:rPr>
            </w:pPr>
            <w:r>
              <w:rPr>
                <w:sz w:val="20"/>
                <w:szCs w:val="20"/>
                <w:spacing w:val="-2"/>
              </w:rPr>
              <w:t>监测位置</w:t>
            </w:r>
          </w:p>
        </w:tc>
        <w:tc>
          <w:tcPr>
            <w:tcW w:w="2547" w:type="dxa"/>
            <w:vAlign w:val="top"/>
          </w:tcPr>
          <w:p>
            <w:pPr>
              <w:pStyle w:val="TableText"/>
              <w:ind w:left="703"/>
              <w:spacing w:before="98" w:line="220" w:lineRule="auto"/>
              <w:rPr>
                <w:sz w:val="20"/>
                <w:szCs w:val="20"/>
              </w:rPr>
            </w:pPr>
            <w:r>
              <w:rPr>
                <w:sz w:val="20"/>
                <w:szCs w:val="20"/>
                <w:spacing w:val="-8"/>
              </w:rPr>
              <w:t>监</w:t>
            </w:r>
            <w:r>
              <w:rPr>
                <w:sz w:val="20"/>
                <w:szCs w:val="20"/>
                <w:spacing w:val="33"/>
              </w:rPr>
              <w:t xml:space="preserve"> </w:t>
            </w:r>
            <w:r>
              <w:rPr>
                <w:sz w:val="20"/>
                <w:szCs w:val="20"/>
                <w:spacing w:val="-8"/>
              </w:rPr>
              <w:t>测</w:t>
            </w:r>
            <w:r>
              <w:rPr>
                <w:sz w:val="20"/>
                <w:szCs w:val="20"/>
                <w:spacing w:val="33"/>
              </w:rPr>
              <w:t xml:space="preserve"> </w:t>
            </w:r>
            <w:r>
              <w:rPr>
                <w:sz w:val="20"/>
                <w:szCs w:val="20"/>
                <w:spacing w:val="-8"/>
              </w:rPr>
              <w:t>项</w:t>
            </w:r>
            <w:r>
              <w:rPr>
                <w:sz w:val="20"/>
                <w:szCs w:val="20"/>
                <w:spacing w:val="69"/>
              </w:rPr>
              <w:t xml:space="preserve"> </w:t>
            </w:r>
            <w:r>
              <w:rPr>
                <w:sz w:val="20"/>
                <w:szCs w:val="20"/>
                <w:spacing w:val="-8"/>
              </w:rPr>
              <w:t>目</w:t>
            </w:r>
          </w:p>
        </w:tc>
        <w:tc>
          <w:tcPr>
            <w:tcW w:w="1418" w:type="dxa"/>
            <w:vAlign w:val="top"/>
          </w:tcPr>
          <w:p>
            <w:pPr>
              <w:pStyle w:val="TableText"/>
              <w:ind w:left="376"/>
              <w:spacing w:before="98" w:line="219" w:lineRule="auto"/>
              <w:rPr>
                <w:sz w:val="20"/>
                <w:szCs w:val="20"/>
              </w:rPr>
            </w:pPr>
            <w:r>
              <w:rPr>
                <w:sz w:val="20"/>
                <w:szCs w:val="20"/>
                <w:spacing w:val="-2"/>
              </w:rPr>
              <w:t>监测频次</w:t>
            </w:r>
          </w:p>
        </w:tc>
        <w:tc>
          <w:tcPr>
            <w:tcW w:w="2083" w:type="dxa"/>
            <w:vAlign w:val="top"/>
          </w:tcPr>
          <w:p>
            <w:pPr>
              <w:pStyle w:val="TableText"/>
              <w:ind w:left="838"/>
              <w:spacing w:before="99" w:line="221" w:lineRule="auto"/>
              <w:rPr>
                <w:sz w:val="20"/>
                <w:szCs w:val="20"/>
              </w:rPr>
            </w:pPr>
            <w:r>
              <w:rPr>
                <w:sz w:val="20"/>
                <w:szCs w:val="20"/>
                <w:spacing w:val="5"/>
              </w:rPr>
              <w:t>备注</w:t>
            </w:r>
          </w:p>
        </w:tc>
      </w:tr>
      <w:tr>
        <w:trPr>
          <w:trHeight w:val="589" w:hRule="atLeast"/>
        </w:trPr>
        <w:tc>
          <w:tcPr>
            <w:tcW w:w="544" w:type="dxa"/>
            <w:vAlign w:val="top"/>
            <w:vMerge w:val="continue"/>
            <w:tcBorders>
              <w:top w:val="nil"/>
              <w:bottom w:val="nil"/>
            </w:tcBorders>
          </w:tcPr>
          <w:p>
            <w:pPr>
              <w:rPr>
                <w:rFonts w:ascii="Arial"/>
                <w:sz w:val="21"/>
              </w:rPr>
            </w:pPr>
            <w:r/>
          </w:p>
        </w:tc>
        <w:tc>
          <w:tcPr>
            <w:tcW w:w="2228" w:type="dxa"/>
            <w:vAlign w:val="top"/>
          </w:tcPr>
          <w:p>
            <w:pPr>
              <w:pStyle w:val="TableText"/>
              <w:ind w:left="650" w:right="192" w:hanging="449"/>
              <w:spacing w:before="78" w:line="231" w:lineRule="auto"/>
              <w:rPr>
                <w:sz w:val="20"/>
                <w:szCs w:val="20"/>
              </w:rPr>
            </w:pPr>
            <w:r>
              <w:rPr>
                <w:sz w:val="20"/>
                <w:szCs w:val="20"/>
                <w:spacing w:val="2"/>
              </w:rPr>
              <w:t>阴极废水处理系统出</w:t>
            </w:r>
            <w:r>
              <w:rPr>
                <w:sz w:val="20"/>
                <w:szCs w:val="20"/>
                <w:spacing w:val="5"/>
              </w:rPr>
              <w:t xml:space="preserve"> </w:t>
            </w:r>
            <w:r>
              <w:rPr>
                <w:sz w:val="20"/>
                <w:szCs w:val="20"/>
                <w:spacing w:val="-11"/>
              </w:rPr>
              <w:t>口</w:t>
            </w:r>
            <w:r>
              <w:rPr>
                <w:sz w:val="20"/>
                <w:szCs w:val="20"/>
                <w:spacing w:val="-42"/>
              </w:rPr>
              <w:t xml:space="preserve"> </w:t>
            </w:r>
            <w:r>
              <w:rPr>
                <w:sz w:val="20"/>
                <w:szCs w:val="20"/>
                <w:spacing w:val="-11"/>
              </w:rPr>
              <w:t>D</w:t>
            </w:r>
            <w:r>
              <w:rPr>
                <w:sz w:val="20"/>
                <w:szCs w:val="20"/>
                <w:spacing w:val="-47"/>
              </w:rPr>
              <w:t xml:space="preserve"> </w:t>
            </w:r>
            <w:r>
              <w:rPr>
                <w:sz w:val="20"/>
                <w:szCs w:val="20"/>
                <w:spacing w:val="-11"/>
              </w:rPr>
              <w:t>W</w:t>
            </w:r>
            <w:r>
              <w:rPr>
                <w:sz w:val="20"/>
                <w:szCs w:val="20"/>
                <w:spacing w:val="-39"/>
              </w:rPr>
              <w:t xml:space="preserve"> </w:t>
            </w:r>
            <w:r>
              <w:rPr>
                <w:sz w:val="20"/>
                <w:szCs w:val="20"/>
                <w:spacing w:val="-11"/>
              </w:rPr>
              <w:t>0</w:t>
            </w:r>
            <w:r>
              <w:rPr>
                <w:sz w:val="20"/>
                <w:szCs w:val="20"/>
                <w:spacing w:val="-39"/>
              </w:rPr>
              <w:t xml:space="preserve"> </w:t>
            </w:r>
            <w:r>
              <w:rPr>
                <w:sz w:val="20"/>
                <w:szCs w:val="20"/>
                <w:spacing w:val="-11"/>
              </w:rPr>
              <w:t>0</w:t>
            </w:r>
            <w:r>
              <w:rPr>
                <w:sz w:val="20"/>
                <w:szCs w:val="20"/>
                <w:spacing w:val="-25"/>
              </w:rPr>
              <w:t xml:space="preserve"> </w:t>
            </w:r>
            <w:r>
              <w:rPr>
                <w:sz w:val="20"/>
                <w:szCs w:val="20"/>
                <w:spacing w:val="-11"/>
              </w:rPr>
              <w:t>1</w:t>
            </w:r>
          </w:p>
        </w:tc>
        <w:tc>
          <w:tcPr>
            <w:tcW w:w="2547" w:type="dxa"/>
            <w:vAlign w:val="top"/>
          </w:tcPr>
          <w:p>
            <w:pPr>
              <w:pStyle w:val="TableText"/>
              <w:ind w:left="1023"/>
              <w:spacing w:before="256" w:line="183" w:lineRule="auto"/>
              <w:rPr>
                <w:sz w:val="16"/>
                <w:szCs w:val="16"/>
              </w:rPr>
            </w:pPr>
            <w:r>
              <w:rPr>
                <w:sz w:val="16"/>
                <w:szCs w:val="16"/>
                <w:spacing w:val="-1"/>
              </w:rPr>
              <w:t>Co、Ni</w:t>
            </w:r>
          </w:p>
        </w:tc>
        <w:tc>
          <w:tcPr>
            <w:tcW w:w="1418" w:type="dxa"/>
            <w:vAlign w:val="top"/>
          </w:tcPr>
          <w:p>
            <w:pPr>
              <w:pStyle w:val="TableText"/>
              <w:ind w:left="376"/>
              <w:spacing w:before="199" w:line="219" w:lineRule="auto"/>
              <w:rPr>
                <w:sz w:val="20"/>
                <w:szCs w:val="20"/>
              </w:rPr>
            </w:pPr>
            <w:r>
              <w:rPr>
                <w:sz w:val="20"/>
                <w:szCs w:val="20"/>
                <w:spacing w:val="2"/>
              </w:rPr>
              <w:t>1次/季度</w:t>
            </w:r>
          </w:p>
        </w:tc>
        <w:tc>
          <w:tcPr>
            <w:tcW w:w="2083" w:type="dxa"/>
            <w:vAlign w:val="top"/>
          </w:tcPr>
          <w:p>
            <w:pPr>
              <w:pStyle w:val="TableText"/>
              <w:ind w:left="537" w:right="123" w:hanging="399"/>
              <w:spacing w:before="79" w:line="230" w:lineRule="auto"/>
              <w:rPr>
                <w:sz w:val="20"/>
                <w:szCs w:val="20"/>
              </w:rPr>
            </w:pPr>
            <w:r>
              <w:rPr>
                <w:sz w:val="20"/>
                <w:szCs w:val="20"/>
                <w:spacing w:val="1"/>
              </w:rPr>
              <w:t>设置有总镍、总钴在</w:t>
            </w:r>
            <w:r>
              <w:rPr>
                <w:sz w:val="20"/>
                <w:szCs w:val="20"/>
              </w:rPr>
              <w:t xml:space="preserve"> </w:t>
            </w:r>
            <w:r>
              <w:rPr>
                <w:sz w:val="20"/>
                <w:szCs w:val="20"/>
                <w:spacing w:val="-2"/>
              </w:rPr>
              <w:t>线监测装置</w:t>
            </w:r>
          </w:p>
        </w:tc>
      </w:tr>
      <w:tr>
        <w:trPr>
          <w:trHeight w:val="858" w:hRule="atLeast"/>
        </w:trPr>
        <w:tc>
          <w:tcPr>
            <w:tcW w:w="544" w:type="dxa"/>
            <w:vAlign w:val="top"/>
            <w:vMerge w:val="continue"/>
            <w:tcBorders>
              <w:top w:val="nil"/>
              <w:bottom w:val="nil"/>
            </w:tcBorders>
          </w:tcPr>
          <w:p>
            <w:pPr>
              <w:rPr>
                <w:rFonts w:ascii="Arial"/>
                <w:sz w:val="21"/>
              </w:rPr>
            </w:pPr>
            <w:r/>
          </w:p>
        </w:tc>
        <w:tc>
          <w:tcPr>
            <w:tcW w:w="2228"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pStyle w:val="TableText"/>
              <w:ind w:left="650" w:right="226" w:hanging="449"/>
              <w:spacing w:before="65" w:line="256" w:lineRule="auto"/>
              <w:rPr>
                <w:sz w:val="20"/>
                <w:szCs w:val="20"/>
              </w:rPr>
            </w:pPr>
            <w:r>
              <w:rPr>
                <w:sz w:val="20"/>
                <w:szCs w:val="20"/>
                <w:spacing w:val="-2"/>
              </w:rPr>
              <w:t>生产废水处理站总排</w:t>
            </w:r>
            <w:r>
              <w:rPr>
                <w:sz w:val="20"/>
                <w:szCs w:val="20"/>
                <w:spacing w:val="7"/>
              </w:rPr>
              <w:t xml:space="preserve"> </w:t>
            </w:r>
            <w:r>
              <w:rPr>
                <w:sz w:val="20"/>
                <w:szCs w:val="20"/>
                <w:spacing w:val="-11"/>
              </w:rPr>
              <w:t>口</w:t>
            </w:r>
            <w:r>
              <w:rPr>
                <w:sz w:val="20"/>
                <w:szCs w:val="20"/>
                <w:spacing w:val="-44"/>
              </w:rPr>
              <w:t xml:space="preserve"> </w:t>
            </w:r>
            <w:r>
              <w:rPr>
                <w:sz w:val="20"/>
                <w:szCs w:val="20"/>
                <w:spacing w:val="-11"/>
              </w:rPr>
              <w:t>D</w:t>
            </w:r>
            <w:r>
              <w:rPr>
                <w:sz w:val="20"/>
                <w:szCs w:val="20"/>
                <w:spacing w:val="-48"/>
              </w:rPr>
              <w:t xml:space="preserve"> </w:t>
            </w:r>
            <w:r>
              <w:rPr>
                <w:sz w:val="20"/>
                <w:szCs w:val="20"/>
                <w:spacing w:val="-11"/>
              </w:rPr>
              <w:t>W</w:t>
            </w:r>
            <w:r>
              <w:rPr>
                <w:sz w:val="20"/>
                <w:szCs w:val="20"/>
                <w:spacing w:val="-41"/>
              </w:rPr>
              <w:t xml:space="preserve"> </w:t>
            </w:r>
            <w:r>
              <w:rPr>
                <w:sz w:val="20"/>
                <w:szCs w:val="20"/>
                <w:spacing w:val="-11"/>
              </w:rPr>
              <w:t>0</w:t>
            </w:r>
            <w:r>
              <w:rPr>
                <w:sz w:val="20"/>
                <w:szCs w:val="20"/>
                <w:spacing w:val="-40"/>
              </w:rPr>
              <w:t xml:space="preserve"> </w:t>
            </w:r>
            <w:r>
              <w:rPr>
                <w:sz w:val="20"/>
                <w:szCs w:val="20"/>
                <w:spacing w:val="-11"/>
              </w:rPr>
              <w:t>0</w:t>
            </w:r>
            <w:r>
              <w:rPr>
                <w:sz w:val="20"/>
                <w:szCs w:val="20"/>
                <w:spacing w:val="-38"/>
              </w:rPr>
              <w:t xml:space="preserve"> </w:t>
            </w:r>
            <w:r>
              <w:rPr>
                <w:sz w:val="20"/>
                <w:szCs w:val="20"/>
                <w:spacing w:val="-11"/>
              </w:rPr>
              <w:t>3</w:t>
            </w:r>
          </w:p>
        </w:tc>
        <w:tc>
          <w:tcPr>
            <w:tcW w:w="2547" w:type="dxa"/>
            <w:vAlign w:val="top"/>
          </w:tcPr>
          <w:p>
            <w:pPr>
              <w:pStyle w:val="TableText"/>
              <w:ind w:left="163"/>
              <w:spacing w:before="74" w:line="214" w:lineRule="auto"/>
              <w:rPr>
                <w:sz w:val="20"/>
                <w:szCs w:val="20"/>
              </w:rPr>
            </w:pPr>
            <w:r>
              <w:rPr>
                <w:sz w:val="20"/>
                <w:szCs w:val="20"/>
                <w:spacing w:val="10"/>
              </w:rPr>
              <w:t>流量、</w:t>
            </w:r>
            <w:r>
              <w:rPr>
                <w:sz w:val="20"/>
                <w:szCs w:val="20"/>
              </w:rPr>
              <w:t>pH</w:t>
            </w:r>
            <w:r>
              <w:rPr>
                <w:sz w:val="20"/>
                <w:szCs w:val="20"/>
                <w:spacing w:val="10"/>
              </w:rPr>
              <w:t>、化学需氧量、</w:t>
            </w:r>
          </w:p>
          <w:p>
            <w:pPr>
              <w:pStyle w:val="TableText"/>
              <w:ind w:left="163"/>
              <w:spacing w:before="52" w:line="219" w:lineRule="auto"/>
              <w:rPr>
                <w:sz w:val="20"/>
                <w:szCs w:val="20"/>
              </w:rPr>
            </w:pPr>
            <w:r>
              <w:rPr>
                <w:sz w:val="20"/>
                <w:szCs w:val="20"/>
              </w:rPr>
              <w:t>SS</w:t>
            </w:r>
            <w:r>
              <w:rPr>
                <w:sz w:val="20"/>
                <w:szCs w:val="20"/>
                <w:spacing w:val="14"/>
              </w:rPr>
              <w:t>、氨氮、</w:t>
            </w:r>
            <w:r>
              <w:rPr>
                <w:sz w:val="20"/>
                <w:szCs w:val="20"/>
              </w:rPr>
              <w:t>Mn</w:t>
            </w:r>
            <w:r>
              <w:rPr>
                <w:sz w:val="20"/>
                <w:szCs w:val="20"/>
                <w:spacing w:val="14"/>
              </w:rPr>
              <w:t>、</w:t>
            </w:r>
            <w:r>
              <w:rPr>
                <w:sz w:val="20"/>
                <w:szCs w:val="20"/>
              </w:rPr>
              <w:t>Co</w:t>
            </w:r>
            <w:r>
              <w:rPr>
                <w:sz w:val="20"/>
                <w:szCs w:val="20"/>
                <w:spacing w:val="14"/>
              </w:rPr>
              <w:t>、</w:t>
            </w:r>
            <w:r>
              <w:rPr>
                <w:sz w:val="20"/>
                <w:szCs w:val="20"/>
              </w:rPr>
              <w:t>Ni</w:t>
            </w:r>
            <w:r>
              <w:rPr>
                <w:sz w:val="20"/>
                <w:szCs w:val="20"/>
                <w:spacing w:val="14"/>
              </w:rPr>
              <w:t>、</w:t>
            </w:r>
          </w:p>
          <w:p>
            <w:pPr>
              <w:pStyle w:val="TableText"/>
              <w:ind w:left="1063"/>
              <w:spacing w:before="4" w:line="219" w:lineRule="auto"/>
              <w:rPr>
                <w:sz w:val="20"/>
                <w:szCs w:val="20"/>
              </w:rPr>
            </w:pPr>
            <w:r>
              <w:rPr>
                <w:sz w:val="20"/>
                <w:szCs w:val="20"/>
                <w:spacing w:val="4"/>
              </w:rPr>
              <w:t>总磷</w:t>
            </w:r>
          </w:p>
        </w:tc>
        <w:tc>
          <w:tcPr>
            <w:tcW w:w="1418" w:type="dxa"/>
            <w:vAlign w:val="top"/>
          </w:tcPr>
          <w:p>
            <w:pPr>
              <w:spacing w:line="263" w:lineRule="auto"/>
              <w:rPr>
                <w:rFonts w:ascii="Arial"/>
                <w:sz w:val="21"/>
              </w:rPr>
            </w:pPr>
            <w:r/>
          </w:p>
          <w:p>
            <w:pPr>
              <w:pStyle w:val="TableText"/>
              <w:ind w:left="376"/>
              <w:spacing w:before="65" w:line="219" w:lineRule="auto"/>
              <w:rPr>
                <w:sz w:val="20"/>
                <w:szCs w:val="20"/>
              </w:rPr>
            </w:pPr>
            <w:r>
              <w:rPr>
                <w:sz w:val="20"/>
                <w:szCs w:val="20"/>
                <w:spacing w:val="2"/>
              </w:rPr>
              <w:t>1次/季度</w:t>
            </w:r>
          </w:p>
        </w:tc>
        <w:tc>
          <w:tcPr>
            <w:tcW w:w="2083" w:type="dxa"/>
            <w:vAlign w:val="top"/>
          </w:tcPr>
          <w:p>
            <w:pPr>
              <w:pStyle w:val="TableText"/>
              <w:ind w:left="138"/>
              <w:spacing w:before="218" w:line="219" w:lineRule="auto"/>
              <w:rPr>
                <w:sz w:val="20"/>
                <w:szCs w:val="20"/>
              </w:rPr>
            </w:pPr>
            <w:r>
              <w:rPr>
                <w:sz w:val="20"/>
                <w:szCs w:val="20"/>
                <w:spacing w:val="11"/>
              </w:rPr>
              <w:t>设置有化学需氧量、</w:t>
            </w:r>
          </w:p>
          <w:p>
            <w:pPr>
              <w:pStyle w:val="TableText"/>
              <w:ind w:left="238"/>
              <w:spacing w:before="32" w:line="219" w:lineRule="auto"/>
              <w:rPr>
                <w:sz w:val="20"/>
                <w:szCs w:val="20"/>
              </w:rPr>
            </w:pPr>
            <w:r>
              <w:rPr>
                <w:sz w:val="20"/>
                <w:szCs w:val="20"/>
                <w:spacing w:val="-1"/>
              </w:rPr>
              <w:t>氨氮在线监测装置</w:t>
            </w:r>
          </w:p>
        </w:tc>
      </w:tr>
      <w:tr>
        <w:trPr>
          <w:trHeight w:val="669" w:hRule="atLeast"/>
        </w:trPr>
        <w:tc>
          <w:tcPr>
            <w:tcW w:w="544" w:type="dxa"/>
            <w:vAlign w:val="top"/>
            <w:vMerge w:val="continue"/>
            <w:tcBorders>
              <w:top w:val="nil"/>
              <w:bottom w:val="nil"/>
            </w:tcBorders>
          </w:tcPr>
          <w:p>
            <w:pPr>
              <w:rPr>
                <w:rFonts w:ascii="Arial"/>
                <w:sz w:val="21"/>
              </w:rPr>
            </w:pPr>
            <w:r/>
          </w:p>
        </w:tc>
        <w:tc>
          <w:tcPr>
            <w:tcW w:w="2228" w:type="dxa"/>
            <w:vAlign w:val="top"/>
            <w:vMerge w:val="continue"/>
            <w:tcBorders>
              <w:top w:val="nil"/>
            </w:tcBorders>
          </w:tcPr>
          <w:p>
            <w:pPr>
              <w:rPr>
                <w:rFonts w:ascii="Arial"/>
                <w:sz w:val="21"/>
              </w:rPr>
            </w:pPr>
            <w:r/>
          </w:p>
        </w:tc>
        <w:tc>
          <w:tcPr>
            <w:tcW w:w="2547" w:type="dxa"/>
            <w:vAlign w:val="top"/>
          </w:tcPr>
          <w:p>
            <w:pPr>
              <w:pStyle w:val="TableText"/>
              <w:ind w:left="1063"/>
              <w:spacing w:before="240" w:line="219" w:lineRule="auto"/>
              <w:rPr>
                <w:sz w:val="20"/>
                <w:szCs w:val="20"/>
              </w:rPr>
            </w:pPr>
            <w:r>
              <w:rPr>
                <w:sz w:val="20"/>
                <w:szCs w:val="20"/>
                <w:spacing w:val="4"/>
              </w:rPr>
              <w:t>总氮</w:t>
            </w:r>
          </w:p>
        </w:tc>
        <w:tc>
          <w:tcPr>
            <w:tcW w:w="1418" w:type="dxa"/>
            <w:vAlign w:val="top"/>
          </w:tcPr>
          <w:p>
            <w:pPr>
              <w:pStyle w:val="TableText"/>
              <w:ind w:left="406"/>
              <w:spacing w:before="242" w:line="219" w:lineRule="auto"/>
              <w:rPr>
                <w:sz w:val="20"/>
                <w:szCs w:val="20"/>
              </w:rPr>
            </w:pPr>
            <w:r>
              <w:rPr>
                <w:sz w:val="20"/>
                <w:szCs w:val="20"/>
                <w:spacing w:val="10"/>
              </w:rPr>
              <w:t>1次/月</w:t>
            </w:r>
          </w:p>
        </w:tc>
        <w:tc>
          <w:tcPr>
            <w:tcW w:w="2083" w:type="dxa"/>
            <w:vAlign w:val="top"/>
          </w:tcPr>
          <w:p>
            <w:pPr>
              <w:rPr>
                <w:rFonts w:ascii="Arial"/>
                <w:sz w:val="21"/>
              </w:rPr>
            </w:pPr>
            <w:r/>
          </w:p>
        </w:tc>
      </w:tr>
      <w:tr>
        <w:trPr>
          <w:trHeight w:val="858" w:hRule="atLeast"/>
        </w:trPr>
        <w:tc>
          <w:tcPr>
            <w:tcW w:w="544" w:type="dxa"/>
            <w:vAlign w:val="top"/>
            <w:vMerge w:val="continue"/>
            <w:tcBorders>
              <w:top w:val="nil"/>
              <w:bottom w:val="nil"/>
            </w:tcBorders>
          </w:tcPr>
          <w:p>
            <w:pPr>
              <w:rPr>
                <w:rFonts w:ascii="Arial"/>
                <w:sz w:val="21"/>
              </w:rPr>
            </w:pPr>
            <w:r/>
          </w:p>
        </w:tc>
        <w:tc>
          <w:tcPr>
            <w:tcW w:w="2228" w:type="dxa"/>
            <w:vAlign w:val="top"/>
          </w:tcPr>
          <w:p>
            <w:pPr>
              <w:pStyle w:val="TableText"/>
              <w:ind w:left="538" w:hanging="297"/>
              <w:spacing w:before="213" w:line="231" w:lineRule="auto"/>
              <w:rPr>
                <w:sz w:val="20"/>
                <w:szCs w:val="20"/>
              </w:rPr>
            </w:pPr>
            <w:r>
              <w:rPr>
                <w:sz w:val="20"/>
                <w:szCs w:val="20"/>
                <w:spacing w:val="-3"/>
              </w:rPr>
              <w:t>生产、生活废水混合排</w:t>
            </w:r>
            <w:r>
              <w:rPr>
                <w:sz w:val="20"/>
                <w:szCs w:val="20"/>
                <w:spacing w:val="5"/>
              </w:rPr>
              <w:t xml:space="preserve"> </w:t>
            </w:r>
            <w:r>
              <w:rPr>
                <w:sz w:val="20"/>
                <w:szCs w:val="20"/>
                <w:spacing w:val="31"/>
              </w:rPr>
              <w:t>放口DW010</w:t>
            </w:r>
          </w:p>
        </w:tc>
        <w:tc>
          <w:tcPr>
            <w:tcW w:w="2547" w:type="dxa"/>
            <w:vAlign w:val="top"/>
          </w:tcPr>
          <w:p>
            <w:pPr>
              <w:pStyle w:val="TableText"/>
              <w:ind w:left="163"/>
              <w:spacing w:before="47" w:line="214" w:lineRule="auto"/>
              <w:rPr>
                <w:sz w:val="20"/>
                <w:szCs w:val="20"/>
              </w:rPr>
            </w:pPr>
            <w:r>
              <w:rPr>
                <w:sz w:val="20"/>
                <w:szCs w:val="20"/>
                <w:spacing w:val="10"/>
              </w:rPr>
              <w:t>流量，</w:t>
            </w:r>
            <w:r>
              <w:rPr>
                <w:sz w:val="20"/>
                <w:szCs w:val="20"/>
              </w:rPr>
              <w:t>pH</w:t>
            </w:r>
            <w:r>
              <w:rPr>
                <w:sz w:val="20"/>
                <w:szCs w:val="20"/>
                <w:spacing w:val="10"/>
              </w:rPr>
              <w:t>、化学需氧量、</w:t>
            </w:r>
          </w:p>
          <w:p>
            <w:pPr>
              <w:pStyle w:val="TableText"/>
              <w:spacing w:before="62" w:line="219" w:lineRule="auto"/>
              <w:jc w:val="right"/>
              <w:rPr>
                <w:sz w:val="20"/>
                <w:szCs w:val="20"/>
              </w:rPr>
            </w:pPr>
            <w:r>
              <w:rPr>
                <w:sz w:val="20"/>
                <w:szCs w:val="20"/>
                <w:spacing w:val="-6"/>
              </w:rPr>
              <w:t>SS、氨氮、总磷、总氮、Co、</w:t>
            </w:r>
          </w:p>
          <w:p>
            <w:pPr>
              <w:pStyle w:val="TableText"/>
              <w:ind w:left="1023"/>
              <w:spacing w:before="81" w:line="183" w:lineRule="auto"/>
              <w:rPr>
                <w:sz w:val="16"/>
                <w:szCs w:val="16"/>
              </w:rPr>
            </w:pPr>
            <w:r>
              <w:rPr>
                <w:sz w:val="16"/>
                <w:szCs w:val="16"/>
                <w:spacing w:val="-1"/>
              </w:rPr>
              <w:t>Ni、Mn</w:t>
            </w:r>
          </w:p>
        </w:tc>
        <w:tc>
          <w:tcPr>
            <w:tcW w:w="1418" w:type="dxa"/>
            <w:vAlign w:val="top"/>
          </w:tcPr>
          <w:p>
            <w:pPr>
              <w:spacing w:line="266" w:lineRule="auto"/>
              <w:rPr>
                <w:rFonts w:ascii="Arial"/>
                <w:sz w:val="21"/>
              </w:rPr>
            </w:pPr>
            <w:r/>
          </w:p>
          <w:p>
            <w:pPr>
              <w:pStyle w:val="TableText"/>
              <w:ind w:left="376"/>
              <w:spacing w:before="65" w:line="219" w:lineRule="auto"/>
              <w:rPr>
                <w:sz w:val="20"/>
                <w:szCs w:val="20"/>
              </w:rPr>
            </w:pPr>
            <w:r>
              <w:rPr>
                <w:sz w:val="20"/>
                <w:szCs w:val="20"/>
                <w:spacing w:val="2"/>
              </w:rPr>
              <w:t>1次/季度</w:t>
            </w:r>
          </w:p>
        </w:tc>
        <w:tc>
          <w:tcPr>
            <w:tcW w:w="2083" w:type="dxa"/>
            <w:vAlign w:val="top"/>
          </w:tcPr>
          <w:p>
            <w:pPr>
              <w:rPr>
                <w:rFonts w:ascii="Arial"/>
                <w:sz w:val="21"/>
              </w:rPr>
            </w:pPr>
            <w:r/>
          </w:p>
        </w:tc>
      </w:tr>
      <w:tr>
        <w:trPr>
          <w:trHeight w:val="589" w:hRule="atLeast"/>
        </w:trPr>
        <w:tc>
          <w:tcPr>
            <w:tcW w:w="544" w:type="dxa"/>
            <w:vAlign w:val="top"/>
            <w:vMerge w:val="continue"/>
            <w:tcBorders>
              <w:top w:val="nil"/>
              <w:bottom w:val="nil"/>
            </w:tcBorders>
          </w:tcPr>
          <w:p>
            <w:pPr>
              <w:rPr>
                <w:rFonts w:ascii="Arial"/>
                <w:sz w:val="21"/>
              </w:rPr>
            </w:pPr>
            <w:r/>
          </w:p>
        </w:tc>
        <w:tc>
          <w:tcPr>
            <w:tcW w:w="2228" w:type="dxa"/>
            <w:vAlign w:val="top"/>
          </w:tcPr>
          <w:p>
            <w:pPr>
              <w:pStyle w:val="TableText"/>
              <w:ind w:left="850" w:right="387" w:hanging="449"/>
              <w:spacing w:before="104" w:line="219" w:lineRule="auto"/>
              <w:rPr>
                <w:sz w:val="20"/>
                <w:szCs w:val="20"/>
              </w:rPr>
            </w:pPr>
            <w:r>
              <w:rPr>
                <w:sz w:val="20"/>
                <w:szCs w:val="20"/>
                <w:spacing w:val="4"/>
              </w:rPr>
              <w:t>生活污水排放口</w:t>
            </w:r>
            <w:r>
              <w:rPr>
                <w:sz w:val="20"/>
                <w:szCs w:val="20"/>
              </w:rPr>
              <w:t xml:space="preserve"> </w:t>
            </w:r>
            <w:r>
              <w:rPr>
                <w:sz w:val="20"/>
                <w:szCs w:val="20"/>
                <w:spacing w:val="-1"/>
              </w:rPr>
              <w:t>DW011</w:t>
            </w:r>
          </w:p>
        </w:tc>
        <w:tc>
          <w:tcPr>
            <w:tcW w:w="2547" w:type="dxa"/>
            <w:vAlign w:val="top"/>
          </w:tcPr>
          <w:p>
            <w:pPr>
              <w:pStyle w:val="TableText"/>
              <w:ind w:left="263" w:right="73" w:hanging="100"/>
              <w:spacing w:before="80" w:line="230" w:lineRule="auto"/>
              <w:rPr>
                <w:sz w:val="20"/>
                <w:szCs w:val="20"/>
              </w:rPr>
            </w:pPr>
            <w:r>
              <w:rPr>
                <w:sz w:val="20"/>
                <w:szCs w:val="20"/>
                <w:spacing w:val="10"/>
              </w:rPr>
              <w:t>流量，</w:t>
            </w:r>
            <w:r>
              <w:rPr>
                <w:sz w:val="20"/>
                <w:szCs w:val="20"/>
              </w:rPr>
              <w:t>pH</w:t>
            </w:r>
            <w:r>
              <w:rPr>
                <w:sz w:val="20"/>
                <w:szCs w:val="20"/>
                <w:spacing w:val="10"/>
              </w:rPr>
              <w:t>、化学需氧量、</w:t>
            </w:r>
            <w:r>
              <w:rPr>
                <w:sz w:val="20"/>
                <w:szCs w:val="20"/>
              </w:rPr>
              <w:t xml:space="preserve"> </w:t>
            </w:r>
            <w:r>
              <w:rPr>
                <w:sz w:val="20"/>
                <w:szCs w:val="20"/>
                <w:spacing w:val="-1"/>
              </w:rPr>
              <w:t>SS、氨氮、总磷、总氮</w:t>
            </w:r>
          </w:p>
        </w:tc>
        <w:tc>
          <w:tcPr>
            <w:tcW w:w="1418" w:type="dxa"/>
            <w:vAlign w:val="top"/>
          </w:tcPr>
          <w:p>
            <w:pPr>
              <w:pStyle w:val="TableText"/>
              <w:ind w:left="376"/>
              <w:spacing w:before="205" w:line="219" w:lineRule="auto"/>
              <w:rPr>
                <w:sz w:val="20"/>
                <w:szCs w:val="20"/>
              </w:rPr>
            </w:pPr>
            <w:r>
              <w:rPr>
                <w:sz w:val="20"/>
                <w:szCs w:val="20"/>
                <w:spacing w:val="2"/>
              </w:rPr>
              <w:t>1次/季度</w:t>
            </w:r>
          </w:p>
        </w:tc>
        <w:tc>
          <w:tcPr>
            <w:tcW w:w="2083" w:type="dxa"/>
            <w:vAlign w:val="top"/>
          </w:tcPr>
          <w:p>
            <w:pPr>
              <w:rPr>
                <w:rFonts w:ascii="Arial"/>
                <w:sz w:val="21"/>
              </w:rPr>
            </w:pPr>
            <w:r/>
          </w:p>
        </w:tc>
      </w:tr>
      <w:tr>
        <w:trPr>
          <w:trHeight w:val="599" w:hRule="atLeast"/>
        </w:trPr>
        <w:tc>
          <w:tcPr>
            <w:tcW w:w="544" w:type="dxa"/>
            <w:vAlign w:val="top"/>
            <w:vMerge w:val="continue"/>
            <w:tcBorders>
              <w:top w:val="nil"/>
              <w:bottom w:val="nil"/>
            </w:tcBorders>
          </w:tcPr>
          <w:p>
            <w:pPr>
              <w:rPr>
                <w:rFonts w:ascii="Arial"/>
                <w:sz w:val="21"/>
              </w:rPr>
            </w:pPr>
            <w:r/>
          </w:p>
        </w:tc>
        <w:tc>
          <w:tcPr>
            <w:tcW w:w="2228" w:type="dxa"/>
            <w:vAlign w:val="top"/>
          </w:tcPr>
          <w:p>
            <w:pPr>
              <w:pStyle w:val="TableText"/>
              <w:ind w:left="601"/>
              <w:spacing w:before="206" w:line="219" w:lineRule="auto"/>
              <w:rPr>
                <w:sz w:val="20"/>
                <w:szCs w:val="20"/>
              </w:rPr>
            </w:pPr>
            <w:r>
              <w:rPr>
                <w:sz w:val="20"/>
                <w:szCs w:val="20"/>
                <w:spacing w:val="5"/>
              </w:rPr>
              <w:t>雨水排放口</w:t>
            </w:r>
          </w:p>
        </w:tc>
        <w:tc>
          <w:tcPr>
            <w:tcW w:w="2547" w:type="dxa"/>
            <w:vAlign w:val="top"/>
          </w:tcPr>
          <w:p>
            <w:pPr>
              <w:pStyle w:val="TableText"/>
              <w:ind w:left="1062" w:right="73" w:hanging="899"/>
              <w:spacing w:before="31" w:line="256" w:lineRule="auto"/>
              <w:rPr>
                <w:sz w:val="20"/>
                <w:szCs w:val="20"/>
              </w:rPr>
            </w:pPr>
            <w:r>
              <w:rPr>
                <w:sz w:val="20"/>
                <w:szCs w:val="20"/>
              </w:rPr>
              <w:t>pH</w:t>
            </w:r>
            <w:r>
              <w:rPr>
                <w:sz w:val="20"/>
                <w:szCs w:val="20"/>
                <w:spacing w:val="10"/>
              </w:rPr>
              <w:t>、总镍、总钴、总锰、</w:t>
            </w:r>
            <w:r>
              <w:rPr>
                <w:sz w:val="20"/>
                <w:szCs w:val="20"/>
              </w:rPr>
              <w:t xml:space="preserve"> </w:t>
            </w:r>
            <w:r>
              <w:rPr>
                <w:sz w:val="20"/>
                <w:szCs w:val="20"/>
                <w:spacing w:val="6"/>
              </w:rPr>
              <w:t>总铝</w:t>
            </w:r>
          </w:p>
        </w:tc>
        <w:tc>
          <w:tcPr>
            <w:tcW w:w="1418" w:type="dxa"/>
            <w:vAlign w:val="top"/>
          </w:tcPr>
          <w:p>
            <w:pPr>
              <w:pStyle w:val="TableText"/>
              <w:ind w:left="446"/>
              <w:spacing w:before="206" w:line="219" w:lineRule="auto"/>
              <w:rPr>
                <w:sz w:val="20"/>
                <w:szCs w:val="20"/>
              </w:rPr>
            </w:pPr>
            <w:r>
              <w:rPr>
                <w:sz w:val="20"/>
                <w:szCs w:val="20"/>
                <w:spacing w:val="10"/>
              </w:rPr>
              <w:t>1次/月</w:t>
            </w:r>
          </w:p>
        </w:tc>
        <w:tc>
          <w:tcPr>
            <w:tcW w:w="2083" w:type="dxa"/>
            <w:vAlign w:val="top"/>
          </w:tcPr>
          <w:p>
            <w:pPr>
              <w:rPr>
                <w:rFonts w:ascii="Arial"/>
                <w:sz w:val="21"/>
              </w:rPr>
            </w:pPr>
            <w:r/>
          </w:p>
        </w:tc>
      </w:tr>
      <w:tr>
        <w:trPr>
          <w:trHeight w:val="609" w:hRule="atLeast"/>
        </w:trPr>
        <w:tc>
          <w:tcPr>
            <w:tcW w:w="544" w:type="dxa"/>
            <w:vAlign w:val="top"/>
            <w:vMerge w:val="continue"/>
            <w:tcBorders>
              <w:top w:val="nil"/>
              <w:bottom w:val="nil"/>
            </w:tcBorders>
          </w:tcPr>
          <w:p>
            <w:pPr>
              <w:rPr>
                <w:rFonts w:ascii="Arial"/>
                <w:sz w:val="21"/>
              </w:rPr>
            </w:pPr>
            <w:r/>
          </w:p>
        </w:tc>
        <w:tc>
          <w:tcPr>
            <w:tcW w:w="8276" w:type="dxa"/>
            <w:vAlign w:val="top"/>
            <w:gridSpan w:val="4"/>
          </w:tcPr>
          <w:p>
            <w:pPr>
              <w:pStyle w:val="TableText"/>
              <w:ind w:left="121" w:right="422" w:firstLine="109"/>
              <w:spacing w:before="87" w:line="234" w:lineRule="auto"/>
              <w:rPr>
                <w:sz w:val="20"/>
                <w:szCs w:val="20"/>
              </w:rPr>
            </w:pPr>
            <w:r>
              <w:rPr>
                <w:sz w:val="20"/>
                <w:szCs w:val="20"/>
              </w:rPr>
              <w:t>备注：雨水排放口有流动水排放时按月监测。若监测一年无异常情况，可放宽至每季度</w:t>
            </w:r>
            <w:r>
              <w:rPr>
                <w:sz w:val="20"/>
                <w:szCs w:val="20"/>
                <w:spacing w:val="10"/>
              </w:rPr>
              <w:t xml:space="preserve"> </w:t>
            </w:r>
            <w:r>
              <w:rPr>
                <w:sz w:val="20"/>
                <w:szCs w:val="20"/>
              </w:rPr>
              <w:t>开展一次监测。</w:t>
            </w:r>
          </w:p>
        </w:tc>
      </w:tr>
      <w:tr>
        <w:trPr>
          <w:trHeight w:val="863" w:hRule="atLeast"/>
        </w:trPr>
        <w:tc>
          <w:tcPr>
            <w:tcW w:w="544" w:type="dxa"/>
            <w:vAlign w:val="top"/>
            <w:vMerge w:val="continue"/>
            <w:tcBorders>
              <w:top w:val="nil"/>
            </w:tcBorders>
          </w:tcPr>
          <w:p>
            <w:pPr>
              <w:rPr>
                <w:rFonts w:ascii="Arial"/>
                <w:sz w:val="21"/>
              </w:rPr>
            </w:pPr>
            <w:r/>
          </w:p>
        </w:tc>
        <w:tc>
          <w:tcPr>
            <w:tcW w:w="8276" w:type="dxa"/>
            <w:vAlign w:val="top"/>
            <w:gridSpan w:val="4"/>
          </w:tcPr>
          <w:p>
            <w:pPr>
              <w:rPr>
                <w:rFonts w:ascii="Arial"/>
                <w:sz w:val="21"/>
              </w:rPr>
            </w:pPr>
            <w:r/>
          </w:p>
        </w:tc>
      </w:tr>
    </w:tbl>
    <w:p>
      <w:pPr>
        <w:spacing w:line="14" w:lineRule="auto"/>
        <w:rPr>
          <w:rFonts w:ascii="Arial"/>
          <w:sz w:val="2"/>
        </w:rPr>
      </w:pPr>
      <w:r/>
    </w:p>
    <w:p>
      <w:pPr>
        <w:spacing w:line="14" w:lineRule="auto"/>
        <w:sectPr>
          <w:type w:val="continuous"/>
          <w:pgSz w:w="11900" w:h="16840"/>
          <w:pgMar w:top="1431" w:right="1455" w:bottom="989" w:left="1461" w:header="0" w:footer="820" w:gutter="0"/>
          <w:cols w:equalWidth="0" w:num="1">
            <w:col w:w="8984" w:space="0"/>
          </w:cols>
        </w:sectPr>
        <w:rPr>
          <w:rFonts w:ascii="Arial" w:hAnsi="Arial" w:eastAsia="Arial" w:cs="Arial"/>
          <w:sz w:val="2"/>
          <w:szCs w:val="2"/>
        </w:rPr>
      </w:pPr>
    </w:p>
    <w:tbl>
      <w:tblPr>
        <w:tblStyle w:val="TableNormal"/>
        <w:tblW w:w="8875" w:type="dxa"/>
        <w:tblInd w:w="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60"/>
        <w:gridCol w:w="1080"/>
        <w:gridCol w:w="1281"/>
        <w:gridCol w:w="1191"/>
        <w:gridCol w:w="1221"/>
        <w:gridCol w:w="1271"/>
        <w:gridCol w:w="2111"/>
        <w:gridCol w:w="160"/>
      </w:tblGrid>
      <w:tr>
        <w:trPr>
          <w:trHeight w:val="2368" w:hRule="atLeast"/>
        </w:trPr>
        <w:tc>
          <w:tcPr>
            <w:tcW w:w="560" w:type="dxa"/>
            <w:vAlign w:val="top"/>
            <w:vMerge w:val="restart"/>
            <w:tcBorders>
              <w:right w:val="single" w:color="000000" w:sz="6" w:space="0"/>
              <w:left w:val="single" w:color="000000" w:sz="2" w:space="0"/>
              <w:top w:val="single" w:color="000000" w:sz="8" w:space="0"/>
              <w:bottom w:val="nil"/>
            </w:tcBorders>
          </w:tcPr>
          <w:p>
            <w:pPr>
              <w:rPr>
                <w:rFonts w:ascii="Arial"/>
                <w:sz w:val="21"/>
              </w:rPr>
            </w:pPr>
            <w:r/>
          </w:p>
        </w:tc>
        <w:tc>
          <w:tcPr>
            <w:tcW w:w="8315" w:type="dxa"/>
            <w:vAlign w:val="top"/>
            <w:gridSpan w:val="7"/>
            <w:tcBorders>
              <w:left w:val="single" w:color="000000" w:sz="6" w:space="0"/>
              <w:right w:val="single" w:color="000000" w:sz="2" w:space="0"/>
              <w:top w:val="single" w:color="000000" w:sz="8" w:space="0"/>
            </w:tcBorders>
          </w:tcPr>
          <w:p>
            <w:pPr>
              <w:pStyle w:val="TableText"/>
              <w:ind w:left="103"/>
              <w:spacing w:before="57" w:line="450" w:lineRule="exact"/>
              <w:rPr>
                <w:sz w:val="24"/>
                <w:szCs w:val="24"/>
              </w:rPr>
            </w:pPr>
            <w:r>
              <w:rPr>
                <w:sz w:val="24"/>
                <w:szCs w:val="24"/>
                <w:b/>
                <w:bCs/>
                <w:spacing w:val="-4"/>
                <w:position w:val="15"/>
              </w:rPr>
              <w:t>4.4声环境影响与防治措施</w:t>
            </w:r>
          </w:p>
          <w:p>
            <w:pPr>
              <w:pStyle w:val="TableText"/>
              <w:ind w:left="102"/>
              <w:spacing w:line="220" w:lineRule="auto"/>
              <w:rPr>
                <w:sz w:val="24"/>
                <w:szCs w:val="24"/>
              </w:rPr>
            </w:pPr>
            <w:r>
              <w:rPr>
                <w:sz w:val="24"/>
                <w:szCs w:val="24"/>
                <w:b/>
                <w:bCs/>
                <w:spacing w:val="-20"/>
              </w:rPr>
              <w:t>4.4.1</w:t>
            </w:r>
            <w:r>
              <w:rPr>
                <w:sz w:val="24"/>
                <w:szCs w:val="24"/>
                <w:spacing w:val="-29"/>
              </w:rPr>
              <w:t xml:space="preserve"> </w:t>
            </w:r>
            <w:r>
              <w:rPr>
                <w:sz w:val="24"/>
                <w:szCs w:val="24"/>
                <w:b/>
                <w:bCs/>
                <w:spacing w:val="-20"/>
              </w:rPr>
              <w:t>噪声源强</w:t>
            </w:r>
          </w:p>
          <w:p>
            <w:pPr>
              <w:pStyle w:val="TableText"/>
              <w:ind w:left="560"/>
              <w:spacing w:before="185" w:line="460" w:lineRule="exact"/>
              <w:rPr>
                <w:sz w:val="24"/>
                <w:szCs w:val="24"/>
              </w:rPr>
            </w:pPr>
            <w:r>
              <w:rPr>
                <w:sz w:val="24"/>
                <w:szCs w:val="24"/>
                <w:spacing w:val="-3"/>
                <w:position w:val="16"/>
              </w:rPr>
              <w:t>项目运营期的噪声主要来源于厂房搅拌区的搅拌机、涂布机、</w:t>
            </w:r>
            <w:r>
              <w:rPr>
                <w:sz w:val="24"/>
                <w:szCs w:val="24"/>
                <w:spacing w:val="-4"/>
                <w:position w:val="16"/>
              </w:rPr>
              <w:t>空压机、冻</w:t>
            </w:r>
          </w:p>
          <w:p>
            <w:pPr>
              <w:pStyle w:val="TableText"/>
              <w:ind w:left="100"/>
              <w:spacing w:line="218" w:lineRule="auto"/>
              <w:rPr>
                <w:sz w:val="24"/>
                <w:szCs w:val="24"/>
              </w:rPr>
            </w:pPr>
            <w:r>
              <w:rPr>
                <w:sz w:val="24"/>
                <w:szCs w:val="24"/>
                <w:spacing w:val="-2"/>
              </w:rPr>
              <w:t>水机组、锅炉以及废气处理设施的风机等，具</w:t>
            </w:r>
            <w:r>
              <w:rPr>
                <w:sz w:val="24"/>
                <w:szCs w:val="24"/>
                <w:spacing w:val="-3"/>
              </w:rPr>
              <w:t>体见表4.4-1。</w:t>
            </w:r>
          </w:p>
          <w:p>
            <w:pPr>
              <w:pStyle w:val="TableText"/>
              <w:ind w:left="2993"/>
              <w:spacing w:before="194" w:line="220" w:lineRule="auto"/>
              <w:rPr>
                <w:sz w:val="24"/>
                <w:szCs w:val="24"/>
              </w:rPr>
            </w:pPr>
            <w:r>
              <w:rPr>
                <w:sz w:val="24"/>
                <w:szCs w:val="24"/>
                <w:b/>
                <w:bCs/>
                <w:spacing w:val="-4"/>
              </w:rPr>
              <w:t>表4.4-1噪声污染源情况表</w:t>
            </w:r>
          </w:p>
        </w:tc>
      </w:tr>
      <w:tr>
        <w:trPr>
          <w:trHeight w:val="290" w:hRule="atLeast"/>
        </w:trPr>
        <w:tc>
          <w:tcPr>
            <w:tcW w:w="560" w:type="dxa"/>
            <w:vAlign w:val="top"/>
            <w:vMerge w:val="continue"/>
            <w:tcBorders>
              <w:right w:val="single" w:color="000000" w:sz="6" w:space="0"/>
              <w:left w:val="single" w:color="000000" w:sz="2" w:space="0"/>
              <w:top w:val="nil"/>
              <w:bottom w:val="nil"/>
            </w:tcBorders>
          </w:tcPr>
          <w:p>
            <w:pPr>
              <w:rPr>
                <w:rFonts w:ascii="Arial"/>
                <w:sz w:val="21"/>
              </w:rPr>
            </w:pPr>
            <w:r/>
          </w:p>
        </w:tc>
        <w:tc>
          <w:tcPr>
            <w:tcW w:w="1080" w:type="dxa"/>
            <w:vAlign w:val="top"/>
            <w:vMerge w:val="restart"/>
            <w:tcBorders>
              <w:left w:val="single" w:color="000000" w:sz="6" w:space="0"/>
              <w:bottom w:val="nil"/>
            </w:tcBorders>
          </w:tcPr>
          <w:p>
            <w:pPr>
              <w:pStyle w:val="TableText"/>
              <w:ind w:left="320"/>
              <w:spacing w:before="181" w:line="221" w:lineRule="auto"/>
              <w:rPr>
                <w:sz w:val="21"/>
                <w:szCs w:val="21"/>
              </w:rPr>
            </w:pPr>
            <w:r>
              <w:rPr>
                <w:sz w:val="21"/>
                <w:szCs w:val="21"/>
                <w:spacing w:val="6"/>
              </w:rPr>
              <w:t>序号</w:t>
            </w:r>
          </w:p>
        </w:tc>
        <w:tc>
          <w:tcPr>
            <w:tcW w:w="1281" w:type="dxa"/>
            <w:vAlign w:val="top"/>
            <w:vMerge w:val="restart"/>
            <w:tcBorders>
              <w:bottom w:val="nil"/>
            </w:tcBorders>
          </w:tcPr>
          <w:p>
            <w:pPr>
              <w:pStyle w:val="TableText"/>
              <w:ind w:left="222"/>
              <w:spacing w:before="181" w:line="221" w:lineRule="auto"/>
              <w:rPr>
                <w:sz w:val="21"/>
                <w:szCs w:val="21"/>
              </w:rPr>
            </w:pPr>
            <w:r>
              <w:rPr>
                <w:sz w:val="21"/>
                <w:szCs w:val="21"/>
                <w:spacing w:val="2"/>
              </w:rPr>
              <w:t>设备名称</w:t>
            </w:r>
          </w:p>
        </w:tc>
        <w:tc>
          <w:tcPr>
            <w:tcW w:w="1191" w:type="dxa"/>
            <w:vAlign w:val="top"/>
            <w:vMerge w:val="restart"/>
            <w:tcBorders>
              <w:bottom w:val="nil"/>
            </w:tcBorders>
          </w:tcPr>
          <w:p>
            <w:pPr>
              <w:pStyle w:val="TableText"/>
              <w:ind w:left="171"/>
              <w:spacing w:before="180" w:line="219" w:lineRule="auto"/>
              <w:rPr>
                <w:sz w:val="21"/>
                <w:szCs w:val="21"/>
              </w:rPr>
            </w:pPr>
            <w:r>
              <w:rPr>
                <w:sz w:val="21"/>
                <w:szCs w:val="21"/>
                <w:spacing w:val="9"/>
              </w:rPr>
              <w:t>数量(台)</w:t>
            </w:r>
          </w:p>
        </w:tc>
        <w:tc>
          <w:tcPr>
            <w:tcW w:w="2492" w:type="dxa"/>
            <w:vAlign w:val="top"/>
            <w:gridSpan w:val="2"/>
          </w:tcPr>
          <w:p>
            <w:pPr>
              <w:pStyle w:val="TableText"/>
              <w:ind w:left="410"/>
              <w:spacing w:before="41" w:line="210" w:lineRule="auto"/>
              <w:rPr>
                <w:sz w:val="21"/>
                <w:szCs w:val="21"/>
              </w:rPr>
            </w:pPr>
            <w:r>
              <w:rPr>
                <w:sz w:val="21"/>
                <w:szCs w:val="21"/>
                <w:spacing w:val="5"/>
              </w:rPr>
              <w:t>声源源强/</w:t>
            </w:r>
            <w:r>
              <w:rPr>
                <w:sz w:val="21"/>
                <w:szCs w:val="21"/>
              </w:rPr>
              <w:t>dB</w:t>
            </w:r>
            <w:r>
              <w:rPr>
                <w:sz w:val="21"/>
                <w:szCs w:val="21"/>
                <w:spacing w:val="5"/>
              </w:rPr>
              <w:t>(A)</w:t>
            </w:r>
          </w:p>
        </w:tc>
        <w:tc>
          <w:tcPr>
            <w:tcW w:w="2111" w:type="dxa"/>
            <w:vAlign w:val="top"/>
            <w:vMerge w:val="restart"/>
            <w:tcBorders>
              <w:bottom w:val="nil"/>
            </w:tcBorders>
          </w:tcPr>
          <w:p>
            <w:pPr>
              <w:pStyle w:val="TableText"/>
              <w:ind w:left="838"/>
              <w:spacing w:before="181" w:line="221" w:lineRule="auto"/>
              <w:rPr>
                <w:sz w:val="21"/>
                <w:szCs w:val="21"/>
              </w:rPr>
            </w:pPr>
            <w:r>
              <w:rPr>
                <w:sz w:val="21"/>
                <w:szCs w:val="21"/>
                <w:spacing w:val="-3"/>
              </w:rPr>
              <w:t>位置</w:t>
            </w:r>
          </w:p>
        </w:tc>
        <w:tc>
          <w:tcPr>
            <w:tcW w:w="160" w:type="dxa"/>
            <w:vAlign w:val="top"/>
            <w:vMerge w:val="restart"/>
            <w:tcBorders>
              <w:right w:val="single" w:color="000000" w:sz="2" w:space="0"/>
              <w:bottom w:val="nil"/>
            </w:tcBorders>
          </w:tcPr>
          <w:p>
            <w:pPr>
              <w:rPr>
                <w:rFonts w:ascii="Arial"/>
                <w:sz w:val="21"/>
              </w:rPr>
            </w:pPr>
            <w:r/>
          </w:p>
        </w:tc>
      </w:tr>
      <w:tr>
        <w:trPr>
          <w:trHeight w:val="260" w:hRule="atLeast"/>
        </w:trPr>
        <w:tc>
          <w:tcPr>
            <w:tcW w:w="560" w:type="dxa"/>
            <w:vAlign w:val="top"/>
            <w:vMerge w:val="continue"/>
            <w:tcBorders>
              <w:right w:val="single" w:color="000000" w:sz="6" w:space="0"/>
              <w:left w:val="single" w:color="000000" w:sz="2" w:space="0"/>
              <w:top w:val="nil"/>
              <w:bottom w:val="nil"/>
            </w:tcBorders>
          </w:tcPr>
          <w:p>
            <w:pPr>
              <w:rPr>
                <w:rFonts w:ascii="Arial"/>
                <w:sz w:val="21"/>
              </w:rPr>
            </w:pPr>
            <w:r/>
          </w:p>
        </w:tc>
        <w:tc>
          <w:tcPr>
            <w:tcW w:w="1080" w:type="dxa"/>
            <w:vAlign w:val="top"/>
            <w:vMerge w:val="continue"/>
            <w:tcBorders>
              <w:left w:val="single" w:color="000000" w:sz="6" w:space="0"/>
              <w:top w:val="nil"/>
            </w:tcBorders>
          </w:tcPr>
          <w:p>
            <w:pPr>
              <w:rPr>
                <w:rFonts w:ascii="Arial"/>
                <w:sz w:val="21"/>
              </w:rPr>
            </w:pPr>
            <w:r/>
          </w:p>
        </w:tc>
        <w:tc>
          <w:tcPr>
            <w:tcW w:w="1281" w:type="dxa"/>
            <w:vAlign w:val="top"/>
            <w:vMerge w:val="continue"/>
            <w:tcBorders>
              <w:top w:val="nil"/>
            </w:tcBorders>
          </w:tcPr>
          <w:p>
            <w:pPr>
              <w:rPr>
                <w:rFonts w:ascii="Arial"/>
                <w:sz w:val="21"/>
              </w:rPr>
            </w:pPr>
            <w:r/>
          </w:p>
        </w:tc>
        <w:tc>
          <w:tcPr>
            <w:tcW w:w="1191" w:type="dxa"/>
            <w:vAlign w:val="top"/>
            <w:vMerge w:val="continue"/>
            <w:tcBorders>
              <w:top w:val="nil"/>
            </w:tcBorders>
          </w:tcPr>
          <w:p>
            <w:pPr>
              <w:rPr>
                <w:rFonts w:ascii="Arial"/>
                <w:sz w:val="21"/>
              </w:rPr>
            </w:pPr>
            <w:r/>
          </w:p>
        </w:tc>
        <w:tc>
          <w:tcPr>
            <w:tcW w:w="1221" w:type="dxa"/>
            <w:vAlign w:val="top"/>
          </w:tcPr>
          <w:p>
            <w:pPr>
              <w:pStyle w:val="TableText"/>
              <w:ind w:left="190"/>
              <w:spacing w:before="30" w:line="193" w:lineRule="auto"/>
              <w:rPr>
                <w:sz w:val="21"/>
                <w:szCs w:val="21"/>
              </w:rPr>
            </w:pPr>
            <w:r>
              <w:rPr>
                <w:sz w:val="21"/>
                <w:szCs w:val="21"/>
                <w:spacing w:val="-3"/>
              </w:rPr>
              <w:t>核算方法</w:t>
            </w:r>
          </w:p>
        </w:tc>
        <w:tc>
          <w:tcPr>
            <w:tcW w:w="1271" w:type="dxa"/>
            <w:vAlign w:val="top"/>
          </w:tcPr>
          <w:p>
            <w:pPr>
              <w:pStyle w:val="TableText"/>
              <w:ind w:left="419"/>
              <w:spacing w:before="33" w:line="190" w:lineRule="auto"/>
              <w:rPr>
                <w:sz w:val="21"/>
                <w:szCs w:val="21"/>
              </w:rPr>
            </w:pPr>
            <w:r>
              <w:rPr>
                <w:sz w:val="21"/>
                <w:szCs w:val="21"/>
                <w:spacing w:val="-2"/>
              </w:rPr>
              <w:t>源强</w:t>
            </w:r>
          </w:p>
        </w:tc>
        <w:tc>
          <w:tcPr>
            <w:tcW w:w="2111" w:type="dxa"/>
            <w:vAlign w:val="top"/>
            <w:vMerge w:val="continue"/>
            <w:tcBorders>
              <w:top w:val="nil"/>
            </w:tcBorders>
          </w:tcPr>
          <w:p>
            <w:pPr>
              <w:rPr>
                <w:rFonts w:ascii="Arial"/>
                <w:sz w:val="21"/>
              </w:rPr>
            </w:pPr>
            <w:r/>
          </w:p>
        </w:tc>
        <w:tc>
          <w:tcPr>
            <w:tcW w:w="160" w:type="dxa"/>
            <w:vAlign w:val="top"/>
            <w:vMerge w:val="continue"/>
            <w:tcBorders>
              <w:right w:val="single" w:color="000000" w:sz="2" w:space="0"/>
              <w:top w:val="nil"/>
            </w:tcBorders>
          </w:tcPr>
          <w:p>
            <w:pPr>
              <w:rPr>
                <w:rFonts w:ascii="Arial"/>
                <w:sz w:val="21"/>
              </w:rPr>
            </w:pPr>
            <w:r/>
          </w:p>
        </w:tc>
      </w:tr>
      <w:tr>
        <w:trPr>
          <w:trHeight w:val="269" w:hRule="atLeast"/>
        </w:trPr>
        <w:tc>
          <w:tcPr>
            <w:tcW w:w="560" w:type="dxa"/>
            <w:vAlign w:val="top"/>
            <w:vMerge w:val="continue"/>
            <w:tcBorders>
              <w:right w:val="single" w:color="000000" w:sz="6" w:space="0"/>
              <w:left w:val="single" w:color="000000" w:sz="2" w:space="0"/>
              <w:top w:val="nil"/>
              <w:bottom w:val="nil"/>
            </w:tcBorders>
          </w:tcPr>
          <w:p>
            <w:pPr>
              <w:rPr>
                <w:rFonts w:ascii="Arial"/>
                <w:sz w:val="21"/>
              </w:rPr>
            </w:pPr>
            <w:r/>
          </w:p>
        </w:tc>
        <w:tc>
          <w:tcPr>
            <w:tcW w:w="1080" w:type="dxa"/>
            <w:vAlign w:val="top"/>
            <w:tcBorders>
              <w:left w:val="single" w:color="000000" w:sz="6" w:space="0"/>
            </w:tcBorders>
          </w:tcPr>
          <w:p>
            <w:pPr>
              <w:pStyle w:val="TableText"/>
              <w:ind w:left="480"/>
              <w:spacing w:before="84" w:line="175" w:lineRule="exact"/>
              <w:rPr>
                <w:sz w:val="21"/>
                <w:szCs w:val="21"/>
              </w:rPr>
            </w:pPr>
            <w:r>
              <w:rPr>
                <w:sz w:val="21"/>
                <w:szCs w:val="21"/>
                <w:position w:val="-2"/>
              </w:rPr>
              <w:t>1</w:t>
            </w:r>
          </w:p>
        </w:tc>
        <w:tc>
          <w:tcPr>
            <w:tcW w:w="1281" w:type="dxa"/>
            <w:vAlign w:val="top"/>
          </w:tcPr>
          <w:p>
            <w:pPr>
              <w:pStyle w:val="TableText"/>
              <w:ind w:left="322"/>
              <w:spacing w:before="30" w:line="201" w:lineRule="auto"/>
              <w:rPr>
                <w:sz w:val="21"/>
                <w:szCs w:val="21"/>
              </w:rPr>
            </w:pPr>
            <w:r>
              <w:rPr>
                <w:sz w:val="21"/>
                <w:szCs w:val="21"/>
                <w:spacing w:val="-2"/>
              </w:rPr>
              <w:t>搅拌机</w:t>
            </w:r>
          </w:p>
        </w:tc>
        <w:tc>
          <w:tcPr>
            <w:tcW w:w="1191" w:type="dxa"/>
            <w:vAlign w:val="top"/>
          </w:tcPr>
          <w:p>
            <w:pPr>
              <w:pStyle w:val="TableText"/>
              <w:ind w:left="491"/>
              <w:spacing w:before="84" w:line="175" w:lineRule="exact"/>
              <w:rPr>
                <w:sz w:val="21"/>
                <w:szCs w:val="21"/>
              </w:rPr>
            </w:pPr>
            <w:r>
              <w:rPr>
                <w:sz w:val="21"/>
                <w:szCs w:val="21"/>
                <w:spacing w:val="-3"/>
                <w:position w:val="-2"/>
              </w:rPr>
              <w:t>26</w:t>
            </w:r>
          </w:p>
        </w:tc>
        <w:tc>
          <w:tcPr>
            <w:tcW w:w="1221" w:type="dxa"/>
            <w:vAlign w:val="top"/>
            <w:vMerge w:val="restart"/>
            <w:tcBorders>
              <w:bottom w:val="nil"/>
            </w:tcBorders>
          </w:tcPr>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TableText"/>
              <w:ind w:left="290"/>
              <w:spacing w:before="68" w:line="219" w:lineRule="auto"/>
              <w:rPr>
                <w:sz w:val="21"/>
                <w:szCs w:val="21"/>
              </w:rPr>
            </w:pPr>
            <w:r>
              <w:rPr>
                <w:sz w:val="21"/>
                <w:szCs w:val="21"/>
                <w:spacing w:val="-2"/>
              </w:rPr>
              <w:t>类比法</w:t>
            </w:r>
          </w:p>
        </w:tc>
        <w:tc>
          <w:tcPr>
            <w:tcW w:w="1271" w:type="dxa"/>
            <w:vAlign w:val="top"/>
          </w:tcPr>
          <w:p>
            <w:pPr>
              <w:pStyle w:val="TableText"/>
              <w:ind w:left="529"/>
              <w:spacing w:before="84" w:line="175" w:lineRule="exact"/>
              <w:rPr>
                <w:sz w:val="21"/>
                <w:szCs w:val="21"/>
              </w:rPr>
            </w:pPr>
            <w:r>
              <w:rPr>
                <w:sz w:val="21"/>
                <w:szCs w:val="21"/>
                <w:spacing w:val="-4"/>
                <w:position w:val="-2"/>
              </w:rPr>
              <w:t>70</w:t>
            </w:r>
          </w:p>
        </w:tc>
        <w:tc>
          <w:tcPr>
            <w:tcW w:w="2111" w:type="dxa"/>
            <w:vAlign w:val="top"/>
            <w:vMerge w:val="restart"/>
            <w:tcBorders>
              <w:bottom w:val="nil"/>
            </w:tcBorders>
          </w:tcPr>
          <w:p>
            <w:pPr>
              <w:pStyle w:val="TableText"/>
              <w:ind w:left="628"/>
              <w:spacing w:before="181" w:line="220" w:lineRule="auto"/>
              <w:rPr>
                <w:sz w:val="21"/>
                <w:szCs w:val="21"/>
              </w:rPr>
            </w:pPr>
            <w:r>
              <w:rPr>
                <w:sz w:val="21"/>
                <w:szCs w:val="21"/>
                <w:spacing w:val="3"/>
              </w:rPr>
              <w:t>凹版厂房</w:t>
            </w:r>
          </w:p>
        </w:tc>
        <w:tc>
          <w:tcPr>
            <w:tcW w:w="160" w:type="dxa"/>
            <w:vAlign w:val="top"/>
            <w:vMerge w:val="restart"/>
            <w:tcBorders>
              <w:right w:val="single" w:color="000000" w:sz="2" w:space="0"/>
              <w:bottom w:val="nil"/>
            </w:tcBorders>
          </w:tcPr>
          <w:p>
            <w:pPr>
              <w:rPr>
                <w:rFonts w:ascii="Arial"/>
                <w:sz w:val="21"/>
              </w:rPr>
            </w:pPr>
            <w:r/>
          </w:p>
        </w:tc>
      </w:tr>
      <w:tr>
        <w:trPr>
          <w:trHeight w:val="290" w:hRule="atLeast"/>
        </w:trPr>
        <w:tc>
          <w:tcPr>
            <w:tcW w:w="560" w:type="dxa"/>
            <w:vAlign w:val="top"/>
            <w:vMerge w:val="continue"/>
            <w:tcBorders>
              <w:right w:val="single" w:color="000000" w:sz="6" w:space="0"/>
              <w:left w:val="single" w:color="000000" w:sz="2" w:space="0"/>
              <w:top w:val="nil"/>
              <w:bottom w:val="nil"/>
            </w:tcBorders>
          </w:tcPr>
          <w:p>
            <w:pPr>
              <w:rPr>
                <w:rFonts w:ascii="Arial"/>
                <w:sz w:val="21"/>
              </w:rPr>
            </w:pPr>
            <w:r/>
          </w:p>
        </w:tc>
        <w:tc>
          <w:tcPr>
            <w:tcW w:w="1080" w:type="dxa"/>
            <w:vAlign w:val="top"/>
            <w:tcBorders>
              <w:left w:val="single" w:color="000000" w:sz="6" w:space="0"/>
            </w:tcBorders>
          </w:tcPr>
          <w:p>
            <w:pPr>
              <w:pStyle w:val="TableText"/>
              <w:ind w:left="480"/>
              <w:spacing w:before="95" w:line="162" w:lineRule="auto"/>
              <w:rPr>
                <w:sz w:val="21"/>
                <w:szCs w:val="21"/>
              </w:rPr>
            </w:pPr>
            <w:r>
              <w:rPr>
                <w:sz w:val="21"/>
                <w:szCs w:val="21"/>
              </w:rPr>
              <w:t>2</w:t>
            </w:r>
          </w:p>
        </w:tc>
        <w:tc>
          <w:tcPr>
            <w:tcW w:w="1281" w:type="dxa"/>
            <w:vAlign w:val="top"/>
          </w:tcPr>
          <w:p>
            <w:pPr>
              <w:pStyle w:val="TableText"/>
              <w:ind w:left="322"/>
              <w:spacing w:before="41" w:line="210" w:lineRule="auto"/>
              <w:rPr>
                <w:sz w:val="21"/>
                <w:szCs w:val="21"/>
              </w:rPr>
            </w:pPr>
            <w:r>
              <w:rPr>
                <w:sz w:val="21"/>
                <w:szCs w:val="21"/>
                <w:spacing w:val="-3"/>
              </w:rPr>
              <w:t>涂布机</w:t>
            </w:r>
          </w:p>
        </w:tc>
        <w:tc>
          <w:tcPr>
            <w:tcW w:w="1191" w:type="dxa"/>
            <w:vAlign w:val="top"/>
          </w:tcPr>
          <w:p>
            <w:pPr>
              <w:pStyle w:val="TableText"/>
              <w:ind w:left="491"/>
              <w:spacing w:before="95" w:line="162" w:lineRule="auto"/>
              <w:rPr>
                <w:sz w:val="21"/>
                <w:szCs w:val="21"/>
              </w:rPr>
            </w:pPr>
            <w:r>
              <w:rPr>
                <w:sz w:val="21"/>
                <w:szCs w:val="21"/>
                <w:spacing w:val="-3"/>
              </w:rPr>
              <w:t>22</w:t>
            </w:r>
          </w:p>
        </w:tc>
        <w:tc>
          <w:tcPr>
            <w:tcW w:w="1221" w:type="dxa"/>
            <w:vAlign w:val="top"/>
            <w:vMerge w:val="continue"/>
            <w:tcBorders>
              <w:top w:val="nil"/>
              <w:bottom w:val="nil"/>
            </w:tcBorders>
          </w:tcPr>
          <w:p>
            <w:pPr>
              <w:rPr>
                <w:rFonts w:ascii="Arial"/>
                <w:sz w:val="21"/>
              </w:rPr>
            </w:pPr>
            <w:r/>
          </w:p>
        </w:tc>
        <w:tc>
          <w:tcPr>
            <w:tcW w:w="1271" w:type="dxa"/>
            <w:vAlign w:val="top"/>
          </w:tcPr>
          <w:p>
            <w:pPr>
              <w:pStyle w:val="TableText"/>
              <w:ind w:left="529"/>
              <w:spacing w:before="95" w:line="162" w:lineRule="auto"/>
              <w:rPr>
                <w:sz w:val="21"/>
                <w:szCs w:val="21"/>
              </w:rPr>
            </w:pPr>
            <w:r>
              <w:rPr>
                <w:sz w:val="21"/>
                <w:szCs w:val="21"/>
                <w:spacing w:val="-4"/>
              </w:rPr>
              <w:t>70</w:t>
            </w:r>
          </w:p>
        </w:tc>
        <w:tc>
          <w:tcPr>
            <w:tcW w:w="2111" w:type="dxa"/>
            <w:vAlign w:val="top"/>
            <w:vMerge w:val="continue"/>
            <w:tcBorders>
              <w:top w:val="nil"/>
            </w:tcBorders>
          </w:tcPr>
          <w:p>
            <w:pPr>
              <w:rPr>
                <w:rFonts w:ascii="Arial"/>
                <w:sz w:val="21"/>
              </w:rPr>
            </w:pPr>
            <w:r/>
          </w:p>
        </w:tc>
        <w:tc>
          <w:tcPr>
            <w:tcW w:w="160" w:type="dxa"/>
            <w:vAlign w:val="top"/>
            <w:vMerge w:val="continue"/>
            <w:tcBorders>
              <w:right w:val="single" w:color="000000" w:sz="2" w:space="0"/>
              <w:top w:val="nil"/>
            </w:tcBorders>
          </w:tcPr>
          <w:p>
            <w:pPr>
              <w:rPr>
                <w:rFonts w:ascii="Arial"/>
                <w:sz w:val="21"/>
              </w:rPr>
            </w:pPr>
            <w:r/>
          </w:p>
        </w:tc>
      </w:tr>
      <w:tr>
        <w:trPr>
          <w:trHeight w:val="270" w:hRule="atLeast"/>
        </w:trPr>
        <w:tc>
          <w:tcPr>
            <w:tcW w:w="560" w:type="dxa"/>
            <w:vAlign w:val="top"/>
            <w:vMerge w:val="continue"/>
            <w:tcBorders>
              <w:right w:val="single" w:color="000000" w:sz="6" w:space="0"/>
              <w:left w:val="single" w:color="000000" w:sz="2" w:space="0"/>
              <w:top w:val="nil"/>
              <w:bottom w:val="nil"/>
            </w:tcBorders>
          </w:tcPr>
          <w:p>
            <w:pPr>
              <w:rPr>
                <w:rFonts w:ascii="Arial"/>
                <w:sz w:val="21"/>
              </w:rPr>
            </w:pPr>
            <w:r/>
          </w:p>
        </w:tc>
        <w:tc>
          <w:tcPr>
            <w:tcW w:w="1080" w:type="dxa"/>
            <w:vAlign w:val="top"/>
            <w:tcBorders>
              <w:left w:val="single" w:color="000000" w:sz="6" w:space="0"/>
            </w:tcBorders>
          </w:tcPr>
          <w:p>
            <w:pPr>
              <w:pStyle w:val="TableText"/>
              <w:ind w:left="480"/>
              <w:spacing w:before="85" w:line="175" w:lineRule="exact"/>
              <w:rPr>
                <w:sz w:val="21"/>
                <w:szCs w:val="21"/>
              </w:rPr>
            </w:pPr>
            <w:r>
              <w:rPr>
                <w:sz w:val="21"/>
                <w:szCs w:val="21"/>
                <w:position w:val="-2"/>
              </w:rPr>
              <w:t>3</w:t>
            </w:r>
          </w:p>
        </w:tc>
        <w:tc>
          <w:tcPr>
            <w:tcW w:w="1281" w:type="dxa"/>
            <w:vAlign w:val="top"/>
          </w:tcPr>
          <w:p>
            <w:pPr>
              <w:pStyle w:val="TableText"/>
              <w:ind w:left="432"/>
              <w:spacing w:before="32" w:line="200" w:lineRule="auto"/>
              <w:rPr>
                <w:sz w:val="21"/>
                <w:szCs w:val="21"/>
              </w:rPr>
            </w:pPr>
            <w:r>
              <w:rPr>
                <w:sz w:val="21"/>
                <w:szCs w:val="21"/>
                <w:spacing w:val="7"/>
              </w:rPr>
              <w:t>锅炉</w:t>
            </w:r>
          </w:p>
        </w:tc>
        <w:tc>
          <w:tcPr>
            <w:tcW w:w="1191" w:type="dxa"/>
            <w:vAlign w:val="top"/>
          </w:tcPr>
          <w:p>
            <w:pPr>
              <w:pStyle w:val="TableText"/>
              <w:ind w:left="541"/>
              <w:spacing w:before="85" w:line="175" w:lineRule="exact"/>
              <w:rPr>
                <w:sz w:val="21"/>
                <w:szCs w:val="21"/>
              </w:rPr>
            </w:pPr>
            <w:r>
              <w:rPr>
                <w:sz w:val="21"/>
                <w:szCs w:val="21"/>
                <w:position w:val="-2"/>
              </w:rPr>
              <w:t>4</w:t>
            </w:r>
          </w:p>
        </w:tc>
        <w:tc>
          <w:tcPr>
            <w:tcW w:w="1221" w:type="dxa"/>
            <w:vAlign w:val="top"/>
            <w:vMerge w:val="continue"/>
            <w:tcBorders>
              <w:top w:val="nil"/>
              <w:bottom w:val="nil"/>
            </w:tcBorders>
          </w:tcPr>
          <w:p>
            <w:pPr>
              <w:rPr>
                <w:rFonts w:ascii="Arial"/>
                <w:sz w:val="21"/>
              </w:rPr>
            </w:pPr>
            <w:r/>
          </w:p>
        </w:tc>
        <w:tc>
          <w:tcPr>
            <w:tcW w:w="1271" w:type="dxa"/>
            <w:vAlign w:val="top"/>
          </w:tcPr>
          <w:p>
            <w:pPr>
              <w:pStyle w:val="TableText"/>
              <w:ind w:left="529"/>
              <w:spacing w:before="85" w:line="175" w:lineRule="exact"/>
              <w:rPr>
                <w:sz w:val="21"/>
                <w:szCs w:val="21"/>
              </w:rPr>
            </w:pPr>
            <w:r>
              <w:rPr>
                <w:sz w:val="21"/>
                <w:szCs w:val="21"/>
                <w:spacing w:val="-3"/>
                <w:position w:val="-2"/>
              </w:rPr>
              <w:t>85</w:t>
            </w:r>
          </w:p>
        </w:tc>
        <w:tc>
          <w:tcPr>
            <w:tcW w:w="2111" w:type="dxa"/>
            <w:vAlign w:val="top"/>
            <w:vMerge w:val="restart"/>
            <w:tcBorders>
              <w:bottom w:val="nil"/>
            </w:tcBorders>
          </w:tcPr>
          <w:p>
            <w:pPr>
              <w:spacing w:line="242" w:lineRule="auto"/>
              <w:rPr>
                <w:rFonts w:ascii="Arial"/>
                <w:sz w:val="21"/>
              </w:rPr>
            </w:pPr>
            <w:r/>
          </w:p>
          <w:p>
            <w:pPr>
              <w:pStyle w:val="TableText"/>
              <w:ind w:left="528"/>
              <w:spacing w:before="68" w:line="220" w:lineRule="auto"/>
              <w:rPr>
                <w:sz w:val="21"/>
                <w:szCs w:val="21"/>
              </w:rPr>
            </w:pPr>
            <w:r>
              <w:rPr>
                <w:sz w:val="21"/>
                <w:szCs w:val="21"/>
                <w:spacing w:val="2"/>
              </w:rPr>
              <w:t>凹版设施房</w:t>
            </w:r>
          </w:p>
        </w:tc>
        <w:tc>
          <w:tcPr>
            <w:tcW w:w="160" w:type="dxa"/>
            <w:vAlign w:val="top"/>
            <w:vMerge w:val="restart"/>
            <w:tcBorders>
              <w:right w:val="single" w:color="000000" w:sz="2" w:space="0"/>
              <w:bottom w:val="nil"/>
            </w:tcBorders>
          </w:tcPr>
          <w:p>
            <w:pPr>
              <w:rPr>
                <w:rFonts w:ascii="Arial"/>
                <w:sz w:val="21"/>
              </w:rPr>
            </w:pPr>
            <w:r/>
          </w:p>
        </w:tc>
      </w:tr>
      <w:tr>
        <w:trPr>
          <w:trHeight w:val="270" w:hRule="atLeast"/>
        </w:trPr>
        <w:tc>
          <w:tcPr>
            <w:tcW w:w="560" w:type="dxa"/>
            <w:vAlign w:val="top"/>
            <w:vMerge w:val="continue"/>
            <w:tcBorders>
              <w:right w:val="single" w:color="000000" w:sz="6" w:space="0"/>
              <w:left w:val="single" w:color="000000" w:sz="2" w:space="0"/>
              <w:top w:val="nil"/>
              <w:bottom w:val="nil"/>
            </w:tcBorders>
          </w:tcPr>
          <w:p>
            <w:pPr>
              <w:rPr>
                <w:rFonts w:ascii="Arial"/>
                <w:sz w:val="21"/>
              </w:rPr>
            </w:pPr>
            <w:r/>
          </w:p>
        </w:tc>
        <w:tc>
          <w:tcPr>
            <w:tcW w:w="1080" w:type="dxa"/>
            <w:vAlign w:val="top"/>
            <w:tcBorders>
              <w:left w:val="single" w:color="000000" w:sz="6" w:space="0"/>
            </w:tcBorders>
          </w:tcPr>
          <w:p>
            <w:pPr>
              <w:pStyle w:val="TableText"/>
              <w:ind w:left="480"/>
              <w:spacing w:before="85" w:line="175" w:lineRule="exact"/>
              <w:rPr>
                <w:sz w:val="21"/>
                <w:szCs w:val="21"/>
              </w:rPr>
            </w:pPr>
            <w:r>
              <w:rPr>
                <w:sz w:val="21"/>
                <w:szCs w:val="21"/>
                <w:position w:val="-2"/>
              </w:rPr>
              <w:t>4</w:t>
            </w:r>
          </w:p>
        </w:tc>
        <w:tc>
          <w:tcPr>
            <w:tcW w:w="1281" w:type="dxa"/>
            <w:vAlign w:val="top"/>
          </w:tcPr>
          <w:p>
            <w:pPr>
              <w:pStyle w:val="TableText"/>
              <w:ind w:left="222"/>
              <w:spacing w:before="31" w:line="201" w:lineRule="auto"/>
              <w:rPr>
                <w:sz w:val="21"/>
                <w:szCs w:val="21"/>
              </w:rPr>
            </w:pPr>
            <w:r>
              <w:rPr>
                <w:sz w:val="21"/>
                <w:szCs w:val="21"/>
                <w:spacing w:val="-2"/>
              </w:rPr>
              <w:t>冷水机组</w:t>
            </w:r>
          </w:p>
        </w:tc>
        <w:tc>
          <w:tcPr>
            <w:tcW w:w="1191" w:type="dxa"/>
            <w:vAlign w:val="top"/>
          </w:tcPr>
          <w:p>
            <w:pPr>
              <w:pStyle w:val="TableText"/>
              <w:ind w:left="491"/>
              <w:spacing w:before="85" w:line="175" w:lineRule="exact"/>
              <w:rPr>
                <w:sz w:val="21"/>
                <w:szCs w:val="21"/>
              </w:rPr>
            </w:pPr>
            <w:r>
              <w:rPr>
                <w:sz w:val="21"/>
                <w:szCs w:val="21"/>
                <w:spacing w:val="-6"/>
                <w:position w:val="-2"/>
              </w:rPr>
              <w:t>15</w:t>
            </w:r>
          </w:p>
        </w:tc>
        <w:tc>
          <w:tcPr>
            <w:tcW w:w="1221" w:type="dxa"/>
            <w:vAlign w:val="top"/>
            <w:vMerge w:val="continue"/>
            <w:tcBorders>
              <w:top w:val="nil"/>
              <w:bottom w:val="nil"/>
            </w:tcBorders>
          </w:tcPr>
          <w:p>
            <w:pPr>
              <w:rPr>
                <w:rFonts w:ascii="Arial"/>
                <w:sz w:val="21"/>
              </w:rPr>
            </w:pPr>
            <w:r/>
          </w:p>
        </w:tc>
        <w:tc>
          <w:tcPr>
            <w:tcW w:w="1271" w:type="dxa"/>
            <w:vAlign w:val="top"/>
          </w:tcPr>
          <w:p>
            <w:pPr>
              <w:pStyle w:val="TableText"/>
              <w:ind w:left="529"/>
              <w:spacing w:before="85" w:line="175" w:lineRule="exact"/>
              <w:rPr>
                <w:sz w:val="21"/>
                <w:szCs w:val="21"/>
              </w:rPr>
            </w:pPr>
            <w:r>
              <w:rPr>
                <w:sz w:val="21"/>
                <w:szCs w:val="21"/>
                <w:spacing w:val="-3"/>
                <w:position w:val="-2"/>
              </w:rPr>
              <w:t>80</w:t>
            </w:r>
          </w:p>
        </w:tc>
        <w:tc>
          <w:tcPr>
            <w:tcW w:w="2111" w:type="dxa"/>
            <w:vAlign w:val="top"/>
            <w:vMerge w:val="continue"/>
            <w:tcBorders>
              <w:top w:val="nil"/>
              <w:bottom w:val="nil"/>
            </w:tcBorders>
          </w:tcPr>
          <w:p>
            <w:pPr>
              <w:rPr>
                <w:rFonts w:ascii="Arial"/>
                <w:sz w:val="21"/>
              </w:rPr>
            </w:pPr>
            <w:r/>
          </w:p>
        </w:tc>
        <w:tc>
          <w:tcPr>
            <w:tcW w:w="160" w:type="dxa"/>
            <w:vAlign w:val="top"/>
            <w:vMerge w:val="continue"/>
            <w:tcBorders>
              <w:right w:val="single" w:color="000000" w:sz="2" w:space="0"/>
              <w:top w:val="nil"/>
              <w:bottom w:val="nil"/>
            </w:tcBorders>
          </w:tcPr>
          <w:p>
            <w:pPr>
              <w:rPr>
                <w:rFonts w:ascii="Arial"/>
                <w:sz w:val="21"/>
              </w:rPr>
            </w:pPr>
            <w:r/>
          </w:p>
        </w:tc>
      </w:tr>
      <w:tr>
        <w:trPr>
          <w:trHeight w:val="270" w:hRule="atLeast"/>
        </w:trPr>
        <w:tc>
          <w:tcPr>
            <w:tcW w:w="560" w:type="dxa"/>
            <w:vAlign w:val="top"/>
            <w:vMerge w:val="continue"/>
            <w:tcBorders>
              <w:right w:val="single" w:color="000000" w:sz="6" w:space="0"/>
              <w:left w:val="single" w:color="000000" w:sz="2" w:space="0"/>
              <w:top w:val="nil"/>
              <w:bottom w:val="nil"/>
            </w:tcBorders>
          </w:tcPr>
          <w:p>
            <w:pPr>
              <w:rPr>
                <w:rFonts w:ascii="Arial"/>
                <w:sz w:val="21"/>
              </w:rPr>
            </w:pPr>
            <w:r/>
          </w:p>
        </w:tc>
        <w:tc>
          <w:tcPr>
            <w:tcW w:w="1080" w:type="dxa"/>
            <w:vAlign w:val="top"/>
            <w:tcBorders>
              <w:left w:val="single" w:color="000000" w:sz="6" w:space="0"/>
            </w:tcBorders>
          </w:tcPr>
          <w:p>
            <w:pPr>
              <w:pStyle w:val="TableText"/>
              <w:ind w:left="480"/>
              <w:spacing w:before="87" w:line="172" w:lineRule="exact"/>
              <w:rPr>
                <w:sz w:val="21"/>
                <w:szCs w:val="21"/>
              </w:rPr>
            </w:pPr>
            <w:r>
              <w:rPr>
                <w:sz w:val="21"/>
                <w:szCs w:val="21"/>
                <w:position w:val="-2"/>
              </w:rPr>
              <w:t>5</w:t>
            </w:r>
          </w:p>
        </w:tc>
        <w:tc>
          <w:tcPr>
            <w:tcW w:w="1281" w:type="dxa"/>
            <w:vAlign w:val="top"/>
          </w:tcPr>
          <w:p>
            <w:pPr>
              <w:pStyle w:val="TableText"/>
              <w:ind w:left="322"/>
              <w:spacing w:before="30" w:line="202" w:lineRule="auto"/>
              <w:rPr>
                <w:sz w:val="21"/>
                <w:szCs w:val="21"/>
              </w:rPr>
            </w:pPr>
            <w:r>
              <w:rPr>
                <w:sz w:val="21"/>
                <w:szCs w:val="21"/>
                <w:spacing w:val="2"/>
              </w:rPr>
              <w:t>空压机</w:t>
            </w:r>
          </w:p>
        </w:tc>
        <w:tc>
          <w:tcPr>
            <w:tcW w:w="1191" w:type="dxa"/>
            <w:vAlign w:val="top"/>
          </w:tcPr>
          <w:p>
            <w:pPr>
              <w:pStyle w:val="TableText"/>
              <w:ind w:left="541"/>
              <w:spacing w:before="85" w:line="175" w:lineRule="exact"/>
              <w:rPr>
                <w:sz w:val="21"/>
                <w:szCs w:val="21"/>
              </w:rPr>
            </w:pPr>
            <w:r>
              <w:rPr>
                <w:sz w:val="21"/>
                <w:szCs w:val="21"/>
                <w:position w:val="-2"/>
              </w:rPr>
              <w:t>2</w:t>
            </w:r>
          </w:p>
        </w:tc>
        <w:tc>
          <w:tcPr>
            <w:tcW w:w="1221" w:type="dxa"/>
            <w:vAlign w:val="top"/>
            <w:vMerge w:val="continue"/>
            <w:tcBorders>
              <w:top w:val="nil"/>
              <w:bottom w:val="nil"/>
            </w:tcBorders>
          </w:tcPr>
          <w:p>
            <w:pPr>
              <w:rPr>
                <w:rFonts w:ascii="Arial"/>
                <w:sz w:val="21"/>
              </w:rPr>
            </w:pPr>
            <w:r/>
          </w:p>
        </w:tc>
        <w:tc>
          <w:tcPr>
            <w:tcW w:w="1271" w:type="dxa"/>
            <w:vAlign w:val="top"/>
          </w:tcPr>
          <w:p>
            <w:pPr>
              <w:pStyle w:val="TableText"/>
              <w:ind w:left="529"/>
              <w:spacing w:before="85" w:line="175" w:lineRule="exact"/>
              <w:rPr>
                <w:sz w:val="21"/>
                <w:szCs w:val="21"/>
              </w:rPr>
            </w:pPr>
            <w:r>
              <w:rPr>
                <w:sz w:val="21"/>
                <w:szCs w:val="21"/>
                <w:spacing w:val="-3"/>
                <w:position w:val="-2"/>
              </w:rPr>
              <w:t>85</w:t>
            </w:r>
          </w:p>
        </w:tc>
        <w:tc>
          <w:tcPr>
            <w:tcW w:w="2111" w:type="dxa"/>
            <w:vAlign w:val="top"/>
            <w:vMerge w:val="continue"/>
            <w:tcBorders>
              <w:top w:val="nil"/>
            </w:tcBorders>
          </w:tcPr>
          <w:p>
            <w:pPr>
              <w:rPr>
                <w:rFonts w:ascii="Arial"/>
                <w:sz w:val="21"/>
              </w:rPr>
            </w:pPr>
            <w:r/>
          </w:p>
        </w:tc>
        <w:tc>
          <w:tcPr>
            <w:tcW w:w="160" w:type="dxa"/>
            <w:vAlign w:val="top"/>
            <w:vMerge w:val="continue"/>
            <w:tcBorders>
              <w:right w:val="single" w:color="000000" w:sz="2" w:space="0"/>
              <w:top w:val="nil"/>
            </w:tcBorders>
          </w:tcPr>
          <w:p>
            <w:pPr>
              <w:rPr>
                <w:rFonts w:ascii="Arial"/>
                <w:sz w:val="21"/>
              </w:rPr>
            </w:pPr>
            <w:r/>
          </w:p>
        </w:tc>
      </w:tr>
      <w:tr>
        <w:trPr>
          <w:trHeight w:val="270" w:hRule="atLeast"/>
        </w:trPr>
        <w:tc>
          <w:tcPr>
            <w:tcW w:w="560" w:type="dxa"/>
            <w:vAlign w:val="top"/>
            <w:vMerge w:val="continue"/>
            <w:tcBorders>
              <w:right w:val="single" w:color="000000" w:sz="6" w:space="0"/>
              <w:left w:val="single" w:color="000000" w:sz="2" w:space="0"/>
              <w:top w:val="nil"/>
              <w:bottom w:val="nil"/>
            </w:tcBorders>
          </w:tcPr>
          <w:p>
            <w:pPr>
              <w:rPr>
                <w:rFonts w:ascii="Arial"/>
                <w:sz w:val="21"/>
              </w:rPr>
            </w:pPr>
            <w:r/>
          </w:p>
        </w:tc>
        <w:tc>
          <w:tcPr>
            <w:tcW w:w="1080" w:type="dxa"/>
            <w:vAlign w:val="top"/>
            <w:tcBorders>
              <w:left w:val="single" w:color="000000" w:sz="6" w:space="0"/>
            </w:tcBorders>
          </w:tcPr>
          <w:p>
            <w:pPr>
              <w:pStyle w:val="TableText"/>
              <w:ind w:left="480"/>
              <w:spacing w:before="85" w:line="175" w:lineRule="exact"/>
              <w:rPr>
                <w:sz w:val="21"/>
                <w:szCs w:val="21"/>
              </w:rPr>
            </w:pPr>
            <w:r>
              <w:rPr>
                <w:sz w:val="21"/>
                <w:szCs w:val="21"/>
                <w:position w:val="-2"/>
              </w:rPr>
              <w:t>6</w:t>
            </w:r>
          </w:p>
        </w:tc>
        <w:tc>
          <w:tcPr>
            <w:tcW w:w="1281" w:type="dxa"/>
            <w:vAlign w:val="top"/>
          </w:tcPr>
          <w:p>
            <w:pPr>
              <w:pStyle w:val="TableText"/>
              <w:ind w:left="322"/>
              <w:spacing w:before="33" w:line="199" w:lineRule="auto"/>
              <w:rPr>
                <w:sz w:val="21"/>
                <w:szCs w:val="21"/>
              </w:rPr>
            </w:pPr>
            <w:r>
              <w:rPr>
                <w:sz w:val="21"/>
                <w:szCs w:val="21"/>
                <w:spacing w:val="-3"/>
              </w:rPr>
              <w:t>冷却塔</w:t>
            </w:r>
          </w:p>
        </w:tc>
        <w:tc>
          <w:tcPr>
            <w:tcW w:w="1191" w:type="dxa"/>
            <w:vAlign w:val="top"/>
          </w:tcPr>
          <w:p>
            <w:pPr>
              <w:pStyle w:val="TableText"/>
              <w:ind w:left="541"/>
              <w:spacing w:before="85" w:line="175" w:lineRule="exact"/>
              <w:rPr>
                <w:sz w:val="21"/>
                <w:szCs w:val="21"/>
              </w:rPr>
            </w:pPr>
            <w:r>
              <w:rPr>
                <w:sz w:val="21"/>
                <w:szCs w:val="21"/>
                <w:position w:val="-2"/>
              </w:rPr>
              <w:t>9</w:t>
            </w:r>
          </w:p>
        </w:tc>
        <w:tc>
          <w:tcPr>
            <w:tcW w:w="1221" w:type="dxa"/>
            <w:vAlign w:val="top"/>
            <w:vMerge w:val="continue"/>
            <w:tcBorders>
              <w:top w:val="nil"/>
              <w:bottom w:val="nil"/>
            </w:tcBorders>
          </w:tcPr>
          <w:p>
            <w:pPr>
              <w:rPr>
                <w:rFonts w:ascii="Arial"/>
                <w:sz w:val="21"/>
              </w:rPr>
            </w:pPr>
            <w:r/>
          </w:p>
        </w:tc>
        <w:tc>
          <w:tcPr>
            <w:tcW w:w="1271" w:type="dxa"/>
            <w:vAlign w:val="top"/>
          </w:tcPr>
          <w:p>
            <w:pPr>
              <w:pStyle w:val="TableText"/>
              <w:ind w:left="529"/>
              <w:spacing w:before="85" w:line="175" w:lineRule="exact"/>
              <w:rPr>
                <w:sz w:val="21"/>
                <w:szCs w:val="21"/>
              </w:rPr>
            </w:pPr>
            <w:r>
              <w:rPr>
                <w:sz w:val="21"/>
                <w:szCs w:val="21"/>
                <w:spacing w:val="-3"/>
                <w:position w:val="-2"/>
              </w:rPr>
              <w:t>85</w:t>
            </w:r>
          </w:p>
        </w:tc>
        <w:tc>
          <w:tcPr>
            <w:tcW w:w="2111" w:type="dxa"/>
            <w:vAlign w:val="top"/>
            <w:vMerge w:val="restart"/>
            <w:tcBorders>
              <w:bottom w:val="nil"/>
            </w:tcBorders>
          </w:tcPr>
          <w:p>
            <w:pPr>
              <w:pStyle w:val="TableText"/>
              <w:ind w:left="628"/>
              <w:spacing w:before="181" w:line="219" w:lineRule="auto"/>
              <w:rPr>
                <w:sz w:val="21"/>
                <w:szCs w:val="21"/>
              </w:rPr>
            </w:pPr>
            <w:r>
              <w:rPr>
                <w:sz w:val="21"/>
                <w:szCs w:val="21"/>
                <w:spacing w:val="2"/>
              </w:rPr>
              <w:t>厂房楼顶</w:t>
            </w:r>
          </w:p>
        </w:tc>
        <w:tc>
          <w:tcPr>
            <w:tcW w:w="160" w:type="dxa"/>
            <w:vAlign w:val="top"/>
            <w:vMerge w:val="restart"/>
            <w:tcBorders>
              <w:right w:val="single" w:color="000000" w:sz="2" w:space="0"/>
              <w:bottom w:val="nil"/>
            </w:tcBorders>
          </w:tcPr>
          <w:p>
            <w:pPr>
              <w:rPr>
                <w:rFonts w:ascii="Arial"/>
                <w:sz w:val="21"/>
              </w:rPr>
            </w:pPr>
            <w:r/>
          </w:p>
        </w:tc>
      </w:tr>
      <w:tr>
        <w:trPr>
          <w:trHeight w:val="280" w:hRule="atLeast"/>
        </w:trPr>
        <w:tc>
          <w:tcPr>
            <w:tcW w:w="560" w:type="dxa"/>
            <w:vAlign w:val="top"/>
            <w:vMerge w:val="continue"/>
            <w:tcBorders>
              <w:right w:val="single" w:color="000000" w:sz="6" w:space="0"/>
              <w:left w:val="single" w:color="000000" w:sz="2" w:space="0"/>
              <w:top w:val="nil"/>
              <w:bottom w:val="nil"/>
            </w:tcBorders>
          </w:tcPr>
          <w:p>
            <w:pPr>
              <w:rPr>
                <w:rFonts w:ascii="Arial"/>
                <w:sz w:val="21"/>
              </w:rPr>
            </w:pPr>
            <w:r/>
          </w:p>
        </w:tc>
        <w:tc>
          <w:tcPr>
            <w:tcW w:w="1080" w:type="dxa"/>
            <w:vAlign w:val="top"/>
            <w:tcBorders>
              <w:left w:val="single" w:color="000000" w:sz="6" w:space="0"/>
            </w:tcBorders>
          </w:tcPr>
          <w:p>
            <w:pPr>
              <w:pStyle w:val="TableText"/>
              <w:ind w:left="480"/>
              <w:spacing w:before="97" w:line="172" w:lineRule="exact"/>
              <w:rPr>
                <w:sz w:val="21"/>
                <w:szCs w:val="21"/>
              </w:rPr>
            </w:pPr>
            <w:r>
              <w:rPr>
                <w:sz w:val="21"/>
                <w:szCs w:val="21"/>
                <w:position w:val="-2"/>
              </w:rPr>
              <w:t>7</w:t>
            </w:r>
          </w:p>
        </w:tc>
        <w:tc>
          <w:tcPr>
            <w:tcW w:w="1281" w:type="dxa"/>
            <w:vAlign w:val="top"/>
          </w:tcPr>
          <w:p>
            <w:pPr>
              <w:pStyle w:val="TableText"/>
              <w:ind w:left="432"/>
              <w:spacing w:before="41" w:line="201" w:lineRule="auto"/>
              <w:rPr>
                <w:sz w:val="21"/>
                <w:szCs w:val="21"/>
              </w:rPr>
            </w:pPr>
            <w:r>
              <w:rPr>
                <w:sz w:val="21"/>
                <w:szCs w:val="21"/>
                <w:spacing w:val="-3"/>
              </w:rPr>
              <w:t>风机</w:t>
            </w:r>
          </w:p>
        </w:tc>
        <w:tc>
          <w:tcPr>
            <w:tcW w:w="1191" w:type="dxa"/>
            <w:vAlign w:val="top"/>
          </w:tcPr>
          <w:p>
            <w:pPr>
              <w:pStyle w:val="TableText"/>
              <w:ind w:left="541"/>
              <w:spacing w:before="95" w:line="175" w:lineRule="exact"/>
              <w:rPr>
                <w:sz w:val="21"/>
                <w:szCs w:val="21"/>
              </w:rPr>
            </w:pPr>
            <w:r>
              <w:rPr>
                <w:sz w:val="21"/>
                <w:szCs w:val="21"/>
                <w:position w:val="-2"/>
              </w:rPr>
              <w:t>4</w:t>
            </w:r>
          </w:p>
        </w:tc>
        <w:tc>
          <w:tcPr>
            <w:tcW w:w="1221" w:type="dxa"/>
            <w:vAlign w:val="top"/>
            <w:vMerge w:val="continue"/>
            <w:tcBorders>
              <w:top w:val="nil"/>
            </w:tcBorders>
          </w:tcPr>
          <w:p>
            <w:pPr>
              <w:rPr>
                <w:rFonts w:ascii="Arial"/>
                <w:sz w:val="21"/>
              </w:rPr>
            </w:pPr>
            <w:r/>
          </w:p>
        </w:tc>
        <w:tc>
          <w:tcPr>
            <w:tcW w:w="1271" w:type="dxa"/>
            <w:vAlign w:val="top"/>
          </w:tcPr>
          <w:p>
            <w:pPr>
              <w:pStyle w:val="TableText"/>
              <w:ind w:left="529"/>
              <w:spacing w:before="95" w:line="175" w:lineRule="exact"/>
              <w:rPr>
                <w:sz w:val="21"/>
                <w:szCs w:val="21"/>
              </w:rPr>
            </w:pPr>
            <w:r>
              <w:rPr>
                <w:sz w:val="21"/>
                <w:szCs w:val="21"/>
                <w:spacing w:val="-3"/>
                <w:position w:val="-2"/>
              </w:rPr>
              <w:t>85</w:t>
            </w:r>
          </w:p>
        </w:tc>
        <w:tc>
          <w:tcPr>
            <w:tcW w:w="2111" w:type="dxa"/>
            <w:vAlign w:val="top"/>
            <w:vMerge w:val="continue"/>
            <w:tcBorders>
              <w:top w:val="nil"/>
            </w:tcBorders>
          </w:tcPr>
          <w:p>
            <w:pPr>
              <w:rPr>
                <w:rFonts w:ascii="Arial"/>
                <w:sz w:val="21"/>
              </w:rPr>
            </w:pPr>
            <w:r/>
          </w:p>
        </w:tc>
        <w:tc>
          <w:tcPr>
            <w:tcW w:w="160" w:type="dxa"/>
            <w:vAlign w:val="top"/>
            <w:vMerge w:val="continue"/>
            <w:tcBorders>
              <w:right w:val="single" w:color="000000" w:sz="2" w:space="0"/>
              <w:top w:val="nil"/>
            </w:tcBorders>
          </w:tcPr>
          <w:p>
            <w:pPr>
              <w:rPr>
                <w:rFonts w:ascii="Arial"/>
                <w:sz w:val="21"/>
              </w:rPr>
            </w:pPr>
            <w:r/>
          </w:p>
        </w:tc>
      </w:tr>
      <w:tr>
        <w:trPr>
          <w:trHeight w:val="9023" w:hRule="atLeast"/>
        </w:trPr>
        <w:tc>
          <w:tcPr>
            <w:tcW w:w="560" w:type="dxa"/>
            <w:vAlign w:val="top"/>
            <w:vMerge w:val="continue"/>
            <w:tcBorders>
              <w:right w:val="single" w:color="000000" w:sz="6" w:space="0"/>
              <w:left w:val="single" w:color="000000" w:sz="2" w:space="0"/>
              <w:top w:val="nil"/>
            </w:tcBorders>
          </w:tcPr>
          <w:p>
            <w:pPr>
              <w:rPr>
                <w:rFonts w:ascii="Arial"/>
                <w:sz w:val="21"/>
              </w:rPr>
            </w:pPr>
            <w:r/>
          </w:p>
        </w:tc>
        <w:tc>
          <w:tcPr>
            <w:tcW w:w="8315" w:type="dxa"/>
            <w:vAlign w:val="top"/>
            <w:gridSpan w:val="7"/>
            <w:tcBorders>
              <w:left w:val="single" w:color="000000" w:sz="6" w:space="0"/>
              <w:right w:val="single" w:color="000000" w:sz="2" w:space="0"/>
            </w:tcBorders>
          </w:tcPr>
          <w:p>
            <w:pPr>
              <w:pStyle w:val="TableText"/>
              <w:ind w:left="103"/>
              <w:spacing w:before="300" w:line="220" w:lineRule="auto"/>
              <w:rPr>
                <w:sz w:val="24"/>
                <w:szCs w:val="24"/>
              </w:rPr>
            </w:pPr>
            <w:r>
              <w:rPr>
                <w:sz w:val="24"/>
                <w:szCs w:val="24"/>
                <w:b/>
                <w:bCs/>
                <w:spacing w:val="-10"/>
              </w:rPr>
              <w:t>4.4.2声环境影响分析</w:t>
            </w:r>
          </w:p>
          <w:p>
            <w:pPr>
              <w:pStyle w:val="TableText"/>
              <w:ind w:left="100" w:right="164" w:firstLine="459"/>
              <w:spacing w:before="183" w:line="362" w:lineRule="auto"/>
              <w:rPr>
                <w:sz w:val="24"/>
                <w:szCs w:val="24"/>
              </w:rPr>
            </w:pPr>
            <w:r>
              <w:rPr>
                <w:sz w:val="24"/>
                <w:szCs w:val="24"/>
                <w:spacing w:val="-4"/>
              </w:rPr>
              <w:t>本评价将对生产设备产生的噪声值进行衰减预测。根据《环境影响</w:t>
            </w:r>
            <w:r>
              <w:rPr>
                <w:sz w:val="24"/>
                <w:szCs w:val="24"/>
                <w:spacing w:val="-5"/>
              </w:rPr>
              <w:t>评价技</w:t>
            </w:r>
            <w:r>
              <w:rPr>
                <w:sz w:val="24"/>
                <w:szCs w:val="24"/>
              </w:rPr>
              <w:t xml:space="preserve"> </w:t>
            </w:r>
            <w:r>
              <w:rPr>
                <w:sz w:val="24"/>
                <w:szCs w:val="24"/>
                <w:spacing w:val="-5"/>
              </w:rPr>
              <w:t>术导则——声环境》</w:t>
            </w:r>
            <w:r>
              <w:rPr>
                <w:sz w:val="24"/>
                <w:szCs w:val="24"/>
                <w:spacing w:val="110"/>
              </w:rPr>
              <w:t xml:space="preserve"> </w:t>
            </w:r>
            <w:r>
              <w:rPr>
                <w:sz w:val="24"/>
                <w:szCs w:val="24"/>
                <w:spacing w:val="-5"/>
              </w:rPr>
              <w:t>(HJ2.4-2021)</w:t>
            </w:r>
            <w:r>
              <w:rPr>
                <w:sz w:val="24"/>
                <w:szCs w:val="24"/>
                <w:spacing w:val="-28"/>
              </w:rPr>
              <w:t xml:space="preserve"> </w:t>
            </w:r>
            <w:r>
              <w:rPr>
                <w:sz w:val="24"/>
                <w:szCs w:val="24"/>
                <w:spacing w:val="-5"/>
              </w:rPr>
              <w:t>推荐的预测模式，户外</w:t>
            </w:r>
            <w:r>
              <w:rPr>
                <w:sz w:val="24"/>
                <w:szCs w:val="24"/>
                <w:spacing w:val="-6"/>
              </w:rPr>
              <w:t>声传播衰减包括几</w:t>
            </w:r>
            <w:r>
              <w:rPr>
                <w:sz w:val="24"/>
                <w:szCs w:val="24"/>
              </w:rPr>
              <w:t xml:space="preserve"> </w:t>
            </w:r>
            <w:r>
              <w:rPr>
                <w:sz w:val="24"/>
                <w:szCs w:val="24"/>
                <w:spacing w:val="-1"/>
              </w:rPr>
              <w:t>何发散</w:t>
            </w:r>
            <w:r>
              <w:rPr>
                <w:sz w:val="24"/>
                <w:szCs w:val="24"/>
                <w:spacing w:val="-47"/>
              </w:rPr>
              <w:t xml:space="preserve"> </w:t>
            </w:r>
            <w:r>
              <w:rPr>
                <w:rFonts w:ascii="Times New Roman" w:hAnsi="Times New Roman" w:eastAsia="Times New Roman" w:cs="Times New Roman"/>
                <w:sz w:val="24"/>
                <w:szCs w:val="24"/>
                <w:spacing w:val="-1"/>
              </w:rPr>
              <w:t>(Adiv)</w:t>
            </w:r>
            <w:r>
              <w:rPr>
                <w:rFonts w:ascii="Times New Roman" w:hAnsi="Times New Roman" w:eastAsia="Times New Roman" w:cs="Times New Roman"/>
                <w:sz w:val="24"/>
                <w:szCs w:val="24"/>
                <w:spacing w:val="-34"/>
              </w:rPr>
              <w:t xml:space="preserve"> </w:t>
            </w:r>
            <w:r>
              <w:rPr>
                <w:sz w:val="24"/>
                <w:szCs w:val="24"/>
                <w:spacing w:val="-1"/>
              </w:rPr>
              <w:t>、</w:t>
            </w:r>
            <w:r>
              <w:rPr>
                <w:sz w:val="24"/>
                <w:szCs w:val="24"/>
                <w:spacing w:val="30"/>
              </w:rPr>
              <w:t xml:space="preserve"> </w:t>
            </w:r>
            <w:r>
              <w:rPr>
                <w:sz w:val="24"/>
                <w:szCs w:val="24"/>
                <w:spacing w:val="-1"/>
              </w:rPr>
              <w:t>大气吸收</w:t>
            </w:r>
            <w:r>
              <w:rPr>
                <w:sz w:val="24"/>
                <w:szCs w:val="24"/>
                <w:spacing w:val="-39"/>
              </w:rPr>
              <w:t xml:space="preserve"> </w:t>
            </w:r>
            <w:r>
              <w:rPr>
                <w:rFonts w:ascii="Times New Roman" w:hAnsi="Times New Roman" w:eastAsia="Times New Roman" w:cs="Times New Roman"/>
                <w:sz w:val="24"/>
                <w:szCs w:val="24"/>
                <w:spacing w:val="-1"/>
              </w:rPr>
              <w:t>(Aatm)</w:t>
            </w:r>
            <w:r>
              <w:rPr>
                <w:rFonts w:ascii="Times New Roman" w:hAnsi="Times New Roman" w:eastAsia="Times New Roman" w:cs="Times New Roman"/>
                <w:sz w:val="24"/>
                <w:szCs w:val="24"/>
                <w:spacing w:val="-34"/>
              </w:rPr>
              <w:t xml:space="preserve"> </w:t>
            </w:r>
            <w:r>
              <w:rPr>
                <w:sz w:val="24"/>
                <w:szCs w:val="24"/>
                <w:spacing w:val="-1"/>
              </w:rPr>
              <w:t>、 地</w:t>
            </w:r>
            <w:r>
              <w:rPr>
                <w:sz w:val="24"/>
                <w:szCs w:val="24"/>
                <w:spacing w:val="-2"/>
              </w:rPr>
              <w:t>面效应</w:t>
            </w:r>
            <w:r>
              <w:rPr>
                <w:sz w:val="24"/>
                <w:szCs w:val="24"/>
                <w:spacing w:val="-50"/>
              </w:rPr>
              <w:t xml:space="preserve"> </w:t>
            </w:r>
            <w:r>
              <w:rPr>
                <w:rFonts w:ascii="Times New Roman" w:hAnsi="Times New Roman" w:eastAsia="Times New Roman" w:cs="Times New Roman"/>
                <w:sz w:val="24"/>
                <w:szCs w:val="24"/>
                <w:spacing w:val="-2"/>
              </w:rPr>
              <w:t>(Agr)</w:t>
            </w:r>
            <w:r>
              <w:rPr>
                <w:rFonts w:ascii="Times New Roman" w:hAnsi="Times New Roman" w:eastAsia="Times New Roman" w:cs="Times New Roman"/>
                <w:sz w:val="24"/>
                <w:szCs w:val="24"/>
                <w:spacing w:val="-34"/>
              </w:rPr>
              <w:t xml:space="preserve"> </w:t>
            </w:r>
            <w:r>
              <w:rPr>
                <w:sz w:val="24"/>
                <w:szCs w:val="24"/>
                <w:spacing w:val="-2"/>
              </w:rPr>
              <w:t>、</w:t>
            </w:r>
            <w:r>
              <w:rPr>
                <w:sz w:val="24"/>
                <w:szCs w:val="24"/>
                <w:spacing w:val="37"/>
              </w:rPr>
              <w:t xml:space="preserve"> </w:t>
            </w:r>
            <w:r>
              <w:rPr>
                <w:sz w:val="24"/>
                <w:szCs w:val="24"/>
                <w:spacing w:val="-2"/>
              </w:rPr>
              <w:t>障碍物屏蔽</w:t>
            </w:r>
            <w:r>
              <w:rPr>
                <w:sz w:val="24"/>
                <w:szCs w:val="24"/>
                <w:spacing w:val="-51"/>
              </w:rPr>
              <w:t xml:space="preserve"> </w:t>
            </w:r>
            <w:r>
              <w:rPr>
                <w:rFonts w:ascii="Times New Roman" w:hAnsi="Times New Roman" w:eastAsia="Times New Roman" w:cs="Times New Roman"/>
                <w:sz w:val="24"/>
                <w:szCs w:val="24"/>
                <w:spacing w:val="-2"/>
              </w:rPr>
              <w:t>(Abar)</w:t>
            </w:r>
            <w:r>
              <w:rPr>
                <w:sz w:val="24"/>
                <w:szCs w:val="24"/>
                <w:spacing w:val="-2"/>
              </w:rPr>
              <w:t>、</w:t>
            </w:r>
            <w:r>
              <w:rPr>
                <w:sz w:val="24"/>
                <w:szCs w:val="24"/>
              </w:rPr>
              <w:t xml:space="preserve"> </w:t>
            </w:r>
            <w:r>
              <w:rPr>
                <w:sz w:val="24"/>
                <w:szCs w:val="24"/>
                <w:spacing w:val="-1"/>
              </w:rPr>
              <w:t>其他多方面效应 </w:t>
            </w:r>
            <w:r>
              <w:rPr>
                <w:rFonts w:ascii="Times New Roman" w:hAnsi="Times New Roman" w:eastAsia="Times New Roman" w:cs="Times New Roman"/>
                <w:sz w:val="24"/>
                <w:szCs w:val="24"/>
                <w:spacing w:val="-1"/>
              </w:rPr>
              <w:t>(Amisc)   </w:t>
            </w:r>
            <w:r>
              <w:rPr>
                <w:sz w:val="24"/>
                <w:szCs w:val="24"/>
                <w:spacing w:val="-1"/>
              </w:rPr>
              <w:t>引起的衰减。根据声源声功率级或参考位置处的声</w:t>
            </w:r>
          </w:p>
          <w:p>
            <w:pPr>
              <w:pStyle w:val="TableText"/>
              <w:ind w:left="100"/>
              <w:spacing w:line="218" w:lineRule="auto"/>
              <w:rPr>
                <w:sz w:val="24"/>
                <w:szCs w:val="24"/>
              </w:rPr>
            </w:pPr>
            <w:r>
              <w:rPr>
                <w:sz w:val="24"/>
                <w:szCs w:val="24"/>
                <w:spacing w:val="-4"/>
              </w:rPr>
              <w:t>压级、户外声传播衰减，计算预测点的声级：</w:t>
            </w:r>
          </w:p>
          <w:p>
            <w:pPr>
              <w:pStyle w:val="TableText"/>
              <w:ind w:left="860"/>
              <w:spacing w:before="185" w:line="219" w:lineRule="auto"/>
              <w:rPr>
                <w:sz w:val="24"/>
                <w:szCs w:val="24"/>
              </w:rPr>
            </w:pPr>
            <w:r>
              <w:rPr>
                <w:sz w:val="24"/>
                <w:szCs w:val="24"/>
                <w:spacing w:val="2"/>
              </w:rPr>
              <w:t>(1)户外点声源在预测点产生的声级计算基本公式如下：</w:t>
            </w:r>
          </w:p>
          <w:p>
            <w:pPr>
              <w:ind w:left="1390"/>
              <w:spacing w:before="206" w:line="19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Lp(r)=Lp(rO)+Dc-(Adiv+Aatm+Agr+A</w:t>
            </w:r>
            <w:r>
              <w:rPr>
                <w:rFonts w:ascii="Times New Roman" w:hAnsi="Times New Roman" w:eastAsia="Times New Roman" w:cs="Times New Roman"/>
                <w:sz w:val="24"/>
                <w:szCs w:val="24"/>
                <w:spacing w:val="-1"/>
              </w:rPr>
              <w:t>bar+Amisc)</w:t>
            </w:r>
          </w:p>
          <w:p>
            <w:pPr>
              <w:pStyle w:val="TableText"/>
              <w:ind w:left="560"/>
              <w:spacing w:before="60" w:line="220" w:lineRule="auto"/>
              <w:rPr>
                <w:sz w:val="24"/>
                <w:szCs w:val="24"/>
              </w:rPr>
            </w:pPr>
            <w:r>
              <w:rPr>
                <w:sz w:val="24"/>
                <w:szCs w:val="24"/>
                <w:spacing w:val="-16"/>
              </w:rPr>
              <w:t>式中：</w:t>
            </w:r>
          </w:p>
          <w:p>
            <w:pPr>
              <w:pStyle w:val="TableText"/>
              <w:ind w:left="560"/>
              <w:spacing w:before="156" w:line="21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i/>
                <w:iCs/>
                <w:spacing w:val="-10"/>
              </w:rPr>
              <w:t>Lp(r)</w:t>
            </w:r>
            <w:r>
              <w:rPr>
                <w:rFonts w:ascii="Times New Roman" w:hAnsi="Times New Roman" w:eastAsia="Times New Roman" w:cs="Times New Roman"/>
                <w:sz w:val="24"/>
                <w:szCs w:val="24"/>
                <w:i/>
                <w:iCs/>
                <w:spacing w:val="-55"/>
              </w:rPr>
              <w:t xml:space="preserve"> </w:t>
            </w:r>
            <w:r>
              <w:rPr>
                <w:rFonts w:ascii="Times New Roman" w:hAnsi="Times New Roman" w:eastAsia="Times New Roman" w:cs="Times New Roman"/>
                <w:sz w:val="24"/>
                <w:szCs w:val="24"/>
                <w:i/>
                <w:iCs/>
                <w:u w:val="single" w:color="auto"/>
                <w:spacing w:val="5"/>
              </w:rPr>
              <w:t xml:space="preserve">        </w:t>
            </w:r>
            <w:r>
              <w:rPr>
                <w:rFonts w:ascii="Times New Roman" w:hAnsi="Times New Roman" w:eastAsia="Times New Roman" w:cs="Times New Roman"/>
                <w:sz w:val="24"/>
                <w:szCs w:val="24"/>
                <w:i/>
                <w:iCs/>
                <w:spacing w:val="-60"/>
              </w:rPr>
              <w:t xml:space="preserve"> </w:t>
            </w:r>
            <w:r>
              <w:rPr>
                <w:sz w:val="24"/>
                <w:szCs w:val="24"/>
                <w:spacing w:val="-10"/>
              </w:rPr>
              <w:t>预测点处声压级， </w:t>
            </w:r>
            <w:r>
              <w:rPr>
                <w:rFonts w:ascii="Times New Roman" w:hAnsi="Times New Roman" w:eastAsia="Times New Roman" w:cs="Times New Roman"/>
                <w:sz w:val="24"/>
                <w:szCs w:val="24"/>
                <w:spacing w:val="-10"/>
              </w:rPr>
              <w:t>dB;</w:t>
            </w:r>
          </w:p>
          <w:p>
            <w:pPr>
              <w:pStyle w:val="TableText"/>
              <w:ind w:left="560"/>
              <w:spacing w:before="205" w:line="21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Lp(rO)——</w:t>
            </w:r>
            <w:r>
              <w:rPr>
                <w:sz w:val="24"/>
                <w:szCs w:val="24"/>
                <w:spacing w:val="-3"/>
              </w:rPr>
              <w:t>参考位置</w:t>
            </w:r>
            <w:r>
              <w:rPr>
                <w:sz w:val="24"/>
                <w:szCs w:val="24"/>
                <w:spacing w:val="-69"/>
              </w:rPr>
              <w:t xml:space="preserve"> </w:t>
            </w:r>
            <w:r>
              <w:rPr>
                <w:rFonts w:ascii="Times New Roman" w:hAnsi="Times New Roman" w:eastAsia="Times New Roman" w:cs="Times New Roman"/>
                <w:sz w:val="24"/>
                <w:szCs w:val="24"/>
                <w:spacing w:val="-3"/>
              </w:rPr>
              <w:t>r0</w:t>
            </w:r>
            <w:r>
              <w:rPr>
                <w:rFonts w:ascii="Times New Roman" w:hAnsi="Times New Roman" w:eastAsia="Times New Roman" w:cs="Times New Roman"/>
                <w:sz w:val="24"/>
                <w:szCs w:val="24"/>
                <w:spacing w:val="22"/>
              </w:rPr>
              <w:t xml:space="preserve"> </w:t>
            </w:r>
            <w:r>
              <w:rPr>
                <w:sz w:val="24"/>
                <w:szCs w:val="24"/>
                <w:spacing w:val="-3"/>
              </w:rPr>
              <w:t>处的声压级，</w:t>
            </w:r>
            <w:r>
              <w:rPr>
                <w:rFonts w:ascii="Times New Roman" w:hAnsi="Times New Roman" w:eastAsia="Times New Roman" w:cs="Times New Roman"/>
                <w:sz w:val="24"/>
                <w:szCs w:val="24"/>
                <w:spacing w:val="-4"/>
              </w:rPr>
              <w:t>dB;</w:t>
            </w:r>
          </w:p>
          <w:p>
            <w:pPr>
              <w:pStyle w:val="TableText"/>
              <w:ind w:left="100" w:right="150" w:firstLine="459"/>
              <w:spacing w:before="190" w:line="356" w:lineRule="auto"/>
              <w:rPr>
                <w:sz w:val="24"/>
                <w:szCs w:val="24"/>
              </w:rPr>
            </w:pPr>
            <w:r>
              <w:rPr>
                <w:rFonts w:ascii="Times New Roman" w:hAnsi="Times New Roman" w:eastAsia="Times New Roman" w:cs="Times New Roman"/>
                <w:sz w:val="24"/>
                <w:szCs w:val="24"/>
                <w:spacing w:val="-2"/>
              </w:rPr>
              <w:t>Dc——</w:t>
            </w:r>
            <w:r>
              <w:rPr>
                <w:sz w:val="24"/>
                <w:szCs w:val="24"/>
                <w:spacing w:val="-2"/>
              </w:rPr>
              <w:t>指向性校正，它描述点声源的等效连续声压级与产生声功率级</w:t>
            </w:r>
            <w:r>
              <w:rPr>
                <w:sz w:val="24"/>
                <w:szCs w:val="24"/>
                <w:spacing w:val="-20"/>
              </w:rPr>
              <w:t xml:space="preserve"> </w:t>
            </w:r>
            <w:r>
              <w:rPr>
                <w:rFonts w:ascii="Times New Roman" w:hAnsi="Times New Roman" w:eastAsia="Times New Roman" w:cs="Times New Roman"/>
                <w:sz w:val="24"/>
                <w:szCs w:val="24"/>
                <w:spacing w:val="-2"/>
              </w:rPr>
              <w:t>Lw</w:t>
            </w:r>
            <w:r>
              <w:rPr>
                <w:rFonts w:ascii="Times New Roman" w:hAnsi="Times New Roman" w:eastAsia="Times New Roman" w:cs="Times New Roman"/>
                <w:sz w:val="24"/>
                <w:szCs w:val="24"/>
              </w:rPr>
              <w:t xml:space="preserve"> </w:t>
            </w:r>
            <w:r>
              <w:rPr>
                <w:sz w:val="24"/>
                <w:szCs w:val="24"/>
                <w:spacing w:val="-4"/>
              </w:rPr>
              <w:t>的全向点声源在规定方向的声级的偏差程度， </w:t>
            </w:r>
            <w:r>
              <w:rPr>
                <w:rFonts w:ascii="Times New Roman" w:hAnsi="Times New Roman" w:eastAsia="Times New Roman" w:cs="Times New Roman"/>
                <w:sz w:val="24"/>
                <w:szCs w:val="24"/>
                <w:spacing w:val="-4"/>
              </w:rPr>
              <w:t>dB;   </w:t>
            </w:r>
            <w:r>
              <w:rPr>
                <w:sz w:val="24"/>
                <w:szCs w:val="24"/>
                <w:spacing w:val="-4"/>
              </w:rPr>
              <w:t>对辐射到自由空间的全向</w:t>
            </w:r>
          </w:p>
          <w:p>
            <w:pPr>
              <w:pStyle w:val="TableText"/>
              <w:ind w:left="100"/>
              <w:spacing w:line="212" w:lineRule="auto"/>
              <w:rPr>
                <w:rFonts w:ascii="Times New Roman" w:hAnsi="Times New Roman" w:eastAsia="Times New Roman" w:cs="Times New Roman"/>
                <w:sz w:val="24"/>
                <w:szCs w:val="24"/>
              </w:rPr>
            </w:pPr>
            <w:r>
              <w:rPr>
                <w:sz w:val="24"/>
                <w:szCs w:val="24"/>
                <w:spacing w:val="-14"/>
              </w:rPr>
              <w:t>点声源，</w:t>
            </w:r>
            <w:r>
              <w:rPr>
                <w:sz w:val="24"/>
                <w:szCs w:val="24"/>
                <w:spacing w:val="-22"/>
              </w:rPr>
              <w:t xml:space="preserve"> </w:t>
            </w:r>
            <w:r>
              <w:rPr>
                <w:rFonts w:ascii="Times New Roman" w:hAnsi="Times New Roman" w:eastAsia="Times New Roman" w:cs="Times New Roman"/>
                <w:sz w:val="24"/>
                <w:szCs w:val="24"/>
                <w:spacing w:val="-14"/>
              </w:rPr>
              <w:t>Dc=0dB;</w:t>
            </w:r>
          </w:p>
          <w:p>
            <w:pPr>
              <w:pStyle w:val="TableText"/>
              <w:ind w:left="560"/>
              <w:spacing w:before="194" w:line="460"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spacing w:val="-15"/>
                <w:position w:val="17"/>
              </w:rPr>
              <w:t>Adiv—</w:t>
            </w:r>
            <w:r>
              <w:rPr>
                <w:sz w:val="24"/>
                <w:szCs w:val="24"/>
                <w:spacing w:val="-15"/>
                <w:position w:val="17"/>
              </w:rPr>
              <w:t>几何发散引起的衰减， </w:t>
            </w:r>
            <w:r>
              <w:rPr>
                <w:rFonts w:ascii="Times New Roman" w:hAnsi="Times New Roman" w:eastAsia="Times New Roman" w:cs="Times New Roman"/>
                <w:sz w:val="24"/>
                <w:szCs w:val="24"/>
                <w:spacing w:val="-15"/>
                <w:position w:val="17"/>
              </w:rPr>
              <w:t>dB;</w:t>
            </w:r>
          </w:p>
          <w:p>
            <w:pPr>
              <w:pStyle w:val="TableText"/>
              <w:ind w:left="560"/>
              <w:spacing w:line="21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2"/>
              </w:rPr>
              <w:t>Aam—</w:t>
            </w:r>
            <w:r>
              <w:rPr>
                <w:sz w:val="24"/>
                <w:szCs w:val="24"/>
                <w:spacing w:val="-12"/>
              </w:rPr>
              <w:t>大气吸收引起的衰减， </w:t>
            </w:r>
            <w:r>
              <w:rPr>
                <w:rFonts w:ascii="Times New Roman" w:hAnsi="Times New Roman" w:eastAsia="Times New Roman" w:cs="Times New Roman"/>
                <w:sz w:val="24"/>
                <w:szCs w:val="24"/>
                <w:spacing w:val="-12"/>
              </w:rPr>
              <w:t>dB;</w:t>
            </w:r>
          </w:p>
          <w:p>
            <w:pPr>
              <w:pStyle w:val="TableText"/>
              <w:ind w:left="560"/>
              <w:spacing w:before="173" w:line="212" w:lineRule="auto"/>
              <w:rPr>
                <w:sz w:val="24"/>
                <w:szCs w:val="24"/>
              </w:rPr>
            </w:pPr>
            <w:r>
              <w:rPr>
                <w:rFonts w:ascii="Times New Roman" w:hAnsi="Times New Roman" w:eastAsia="Times New Roman" w:cs="Times New Roman"/>
                <w:sz w:val="24"/>
                <w:szCs w:val="24"/>
                <w:spacing w:val="-2"/>
              </w:rPr>
              <w:t>Ag—</w:t>
            </w:r>
            <w:r>
              <w:rPr>
                <w:sz w:val="24"/>
                <w:szCs w:val="24"/>
                <w:spacing w:val="-2"/>
              </w:rPr>
              <w:t>地面效应引起的衰减，dB;</w:t>
            </w:r>
          </w:p>
          <w:p>
            <w:pPr>
              <w:pStyle w:val="TableText"/>
              <w:ind w:left="560"/>
              <w:spacing w:before="196" w:line="21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7"/>
              </w:rPr>
              <w:t>Abar—</w:t>
            </w:r>
            <w:r>
              <w:rPr>
                <w:sz w:val="24"/>
                <w:szCs w:val="24"/>
                <w:spacing w:val="-7"/>
              </w:rPr>
              <w:t>声屏障引起的衰减，</w:t>
            </w:r>
            <w:r>
              <w:rPr>
                <w:rFonts w:ascii="Times New Roman" w:hAnsi="Times New Roman" w:eastAsia="Times New Roman" w:cs="Times New Roman"/>
                <w:sz w:val="24"/>
                <w:szCs w:val="24"/>
                <w:spacing w:val="-7"/>
              </w:rPr>
              <w:t>dB;</w:t>
            </w:r>
          </w:p>
          <w:p>
            <w:pPr>
              <w:pStyle w:val="TableText"/>
              <w:ind w:left="560"/>
              <w:spacing w:before="201" w:line="220" w:lineRule="auto"/>
              <w:rPr>
                <w:sz w:val="24"/>
                <w:szCs w:val="24"/>
              </w:rPr>
            </w:pPr>
            <w:r>
              <w:rPr>
                <w:rFonts w:ascii="Times New Roman" w:hAnsi="Times New Roman" w:eastAsia="Times New Roman" w:cs="Times New Roman"/>
                <w:sz w:val="24"/>
                <w:szCs w:val="24"/>
                <w:spacing w:val="-9"/>
              </w:rPr>
              <w:t>Amise—</w:t>
            </w:r>
            <w:r>
              <w:rPr>
                <w:sz w:val="24"/>
                <w:szCs w:val="24"/>
                <w:spacing w:val="-9"/>
              </w:rPr>
              <w:t>其他多方面效应引起的衰减，</w:t>
            </w:r>
            <w:r>
              <w:rPr>
                <w:rFonts w:ascii="Times New Roman" w:hAnsi="Times New Roman" w:eastAsia="Times New Roman" w:cs="Times New Roman"/>
                <w:sz w:val="24"/>
                <w:szCs w:val="24"/>
                <w:spacing w:val="-9"/>
              </w:rPr>
              <w:t>dB</w:t>
            </w:r>
            <w:r>
              <w:rPr>
                <w:sz w:val="24"/>
                <w:szCs w:val="24"/>
                <w:spacing w:val="-9"/>
              </w:rPr>
              <w:t>。</w:t>
            </w:r>
          </w:p>
        </w:tc>
      </w:tr>
    </w:tbl>
    <w:p>
      <w:pPr>
        <w:rPr>
          <w:rFonts w:ascii="Arial"/>
          <w:sz w:val="21"/>
        </w:rPr>
      </w:pPr>
      <w:r/>
    </w:p>
    <w:p>
      <w:pPr>
        <w:sectPr>
          <w:footerReference w:type="default" r:id="rId133"/>
          <w:pgSz w:w="11900" w:h="16840"/>
          <w:pgMar w:top="1419" w:right="1420" w:bottom="988" w:left="1599" w:header="0" w:footer="849" w:gutter="0"/>
        </w:sectPr>
        <w:rPr>
          <w:rFonts w:ascii="Arial" w:hAnsi="Arial" w:eastAsia="Arial" w:cs="Arial"/>
          <w:sz w:val="21"/>
          <w:szCs w:val="21"/>
        </w:rPr>
      </w:pPr>
    </w:p>
    <w:tbl>
      <w:tblPr>
        <w:tblStyle w:val="TableNormal"/>
        <w:tblW w:w="8875" w:type="dxa"/>
        <w:tblInd w:w="2"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570"/>
        <w:gridCol w:w="8305"/>
      </w:tblGrid>
      <w:tr>
        <w:trPr>
          <w:trHeight w:val="13839" w:hRule="atLeast"/>
        </w:trPr>
        <w:tc>
          <w:tcPr>
            <w:tcW w:w="570" w:type="dxa"/>
            <w:vAlign w:val="top"/>
            <w:tcBorders>
              <w:left w:val="single" w:color="000000" w:sz="2" w:space="0"/>
              <w:right w:val="single" w:color="000000" w:sz="6" w:space="0"/>
            </w:tcBorders>
          </w:tcPr>
          <w:p>
            <w:pPr>
              <w:rPr>
                <w:rFonts w:ascii="Arial"/>
                <w:sz w:val="21"/>
              </w:rPr>
            </w:pPr>
            <w:r/>
          </w:p>
        </w:tc>
        <w:tc>
          <w:tcPr>
            <w:tcW w:w="8305" w:type="dxa"/>
            <w:vAlign w:val="top"/>
            <w:tcBorders>
              <w:right w:val="single" w:color="000000" w:sz="2" w:space="0"/>
              <w:left w:val="single" w:color="000000" w:sz="6" w:space="0"/>
            </w:tcBorders>
          </w:tcPr>
          <w:p>
            <w:pPr>
              <w:pStyle w:val="TableText"/>
              <w:ind w:left="590"/>
              <w:spacing w:before="37" w:line="219" w:lineRule="auto"/>
              <w:rPr/>
            </w:pPr>
            <w:r>
              <w:rPr>
                <w:spacing w:val="4"/>
              </w:rPr>
              <w:t>衰减项计算按导则附录</w:t>
            </w:r>
            <w:r>
              <w:rPr>
                <w:spacing w:val="-33"/>
              </w:rPr>
              <w:t xml:space="preserve"> </w:t>
            </w:r>
            <w:r>
              <w:rPr>
                <w:spacing w:val="4"/>
              </w:rPr>
              <w:t>A.3</w:t>
            </w:r>
            <w:r>
              <w:rPr>
                <w:spacing w:val="-38"/>
              </w:rPr>
              <w:t xml:space="preserve"> </w:t>
            </w:r>
            <w:r>
              <w:rPr>
                <w:spacing w:val="4"/>
              </w:rPr>
              <w:t>相关模式计算。</w:t>
            </w:r>
          </w:p>
          <w:p>
            <w:pPr>
              <w:pStyle w:val="TableText"/>
              <w:ind w:left="850"/>
              <w:spacing w:before="209" w:line="220" w:lineRule="auto"/>
              <w:rPr/>
            </w:pPr>
            <w:r>
              <w:rPr>
                <w:spacing w:val="11"/>
              </w:rPr>
              <w:t>(2)点声源处于半自由声场，衰减公式为：</w:t>
            </w:r>
          </w:p>
          <w:p>
            <w:pPr>
              <w:ind w:left="2940"/>
              <w:spacing w:before="234" w:line="192"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LA(r)=LAw-201gr-8</w:t>
            </w:r>
          </w:p>
          <w:p>
            <w:pPr>
              <w:pStyle w:val="TableText"/>
              <w:ind w:left="590"/>
              <w:spacing w:before="173" w:line="212" w:lineRule="auto"/>
              <w:rPr>
                <w:rFonts w:ascii="Times New Roman" w:hAnsi="Times New Roman" w:eastAsia="Times New Roman" w:cs="Times New Roman"/>
              </w:rPr>
            </w:pPr>
            <w:r>
              <w:rPr>
                <w:spacing w:val="-3"/>
              </w:rPr>
              <w:t>式中：</w:t>
            </w:r>
            <w:r>
              <w:rPr>
                <w:spacing w:val="-11"/>
              </w:rPr>
              <w:t xml:space="preserve"> </w:t>
            </w:r>
            <w:r>
              <w:rPr>
                <w:rFonts w:ascii="Times New Roman" w:hAnsi="Times New Roman" w:eastAsia="Times New Roman" w:cs="Times New Roman"/>
                <w:spacing w:val="-3"/>
              </w:rPr>
              <w:t>LA(r)——</w:t>
            </w:r>
            <w:r>
              <w:rPr>
                <w:rFonts w:ascii="Times New Roman" w:hAnsi="Times New Roman" w:eastAsia="Times New Roman" w:cs="Times New Roman"/>
                <w:spacing w:val="7"/>
              </w:rPr>
              <w:t xml:space="preserve">     </w:t>
            </w:r>
            <w:r>
              <w:rPr>
                <w:spacing w:val="-3"/>
              </w:rPr>
              <w:t>距声源</w:t>
            </w:r>
            <w:r>
              <w:rPr>
                <w:rFonts w:ascii="Times New Roman" w:hAnsi="Times New Roman" w:eastAsia="Times New Roman" w:cs="Times New Roman"/>
                <w:spacing w:val="-3"/>
              </w:rPr>
              <w:t>r</w:t>
            </w:r>
            <w:r>
              <w:rPr>
                <w:rFonts w:ascii="Times New Roman" w:hAnsi="Times New Roman" w:eastAsia="Times New Roman" w:cs="Times New Roman"/>
                <w:spacing w:val="30"/>
              </w:rPr>
              <w:t xml:space="preserve"> </w:t>
            </w:r>
            <w:r>
              <w:rPr>
                <w:spacing w:val="-3"/>
              </w:rPr>
              <w:t>处的</w:t>
            </w:r>
            <w:r>
              <w:rPr>
                <w:rFonts w:ascii="Times New Roman" w:hAnsi="Times New Roman" w:eastAsia="Times New Roman" w:cs="Times New Roman"/>
                <w:spacing w:val="-3"/>
              </w:rPr>
              <w:t>A </w:t>
            </w:r>
            <w:r>
              <w:rPr>
                <w:spacing w:val="-3"/>
              </w:rPr>
              <w:t>声级， </w:t>
            </w:r>
            <w:r>
              <w:rPr>
                <w:rFonts w:ascii="Times New Roman" w:hAnsi="Times New Roman" w:eastAsia="Times New Roman" w:cs="Times New Roman"/>
                <w:spacing w:val="-3"/>
              </w:rPr>
              <w:t>dB(A);</w:t>
            </w:r>
          </w:p>
          <w:p>
            <w:pPr>
              <w:pStyle w:val="TableText"/>
              <w:ind w:left="1219"/>
              <w:spacing w:before="226" w:line="212" w:lineRule="auto"/>
              <w:rPr>
                <w:rFonts w:ascii="Times New Roman" w:hAnsi="Times New Roman" w:eastAsia="Times New Roman" w:cs="Times New Roman"/>
              </w:rPr>
            </w:pPr>
            <w:r>
              <w:rPr>
                <w:rFonts w:ascii="Times New Roman" w:hAnsi="Times New Roman" w:eastAsia="Times New Roman" w:cs="Times New Roman"/>
                <w:sz w:val="20"/>
                <w:szCs w:val="20"/>
                <w:spacing w:val="-5"/>
                <w:position w:val="-3"/>
              </w:rPr>
              <w:t>LAW</w:t>
            </w:r>
            <w:r>
              <w:rPr>
                <w:rFonts w:ascii="Times New Roman" w:hAnsi="Times New Roman" w:eastAsia="Times New Roman" w:cs="Times New Roman"/>
                <w:sz w:val="20"/>
                <w:szCs w:val="20"/>
                <w:spacing w:val="-15"/>
                <w:position w:val="-3"/>
              </w:rPr>
              <w:t xml:space="preserve"> </w:t>
            </w:r>
            <w:r>
              <w:rPr>
                <w:rFonts w:ascii="Times New Roman" w:hAnsi="Times New Roman" w:eastAsia="Times New Roman" w:cs="Times New Roman"/>
                <w:sz w:val="20"/>
                <w:szCs w:val="20"/>
                <w:u w:val="single" w:color="auto"/>
                <w:spacing w:val="-5"/>
                <w:position w:val="-3"/>
              </w:rPr>
              <w:t xml:space="preserve">           </w:t>
            </w:r>
            <w:r>
              <w:rPr>
                <w:spacing w:val="-5"/>
              </w:rPr>
              <w:t>点声源</w:t>
            </w:r>
            <w:r>
              <w:rPr>
                <w:rFonts w:ascii="Times New Roman" w:hAnsi="Times New Roman" w:eastAsia="Times New Roman" w:cs="Times New Roman"/>
                <w:spacing w:val="-5"/>
              </w:rPr>
              <w:t>A</w:t>
            </w:r>
            <w:r>
              <w:rPr>
                <w:rFonts w:ascii="Times New Roman" w:hAnsi="Times New Roman" w:eastAsia="Times New Roman" w:cs="Times New Roman"/>
                <w:spacing w:val="18"/>
              </w:rPr>
              <w:t xml:space="preserve"> </w:t>
            </w:r>
            <w:r>
              <w:rPr>
                <w:spacing w:val="-5"/>
              </w:rPr>
              <w:t>计权声功率级，</w:t>
            </w:r>
            <w:r>
              <w:rPr>
                <w:spacing w:val="-35"/>
              </w:rPr>
              <w:t xml:space="preserve"> </w:t>
            </w:r>
            <w:r>
              <w:rPr>
                <w:rFonts w:ascii="Times New Roman" w:hAnsi="Times New Roman" w:eastAsia="Times New Roman" w:cs="Times New Roman"/>
                <w:spacing w:val="-5"/>
              </w:rPr>
              <w:t>dB;</w:t>
            </w:r>
          </w:p>
          <w:p>
            <w:pPr>
              <w:pStyle w:val="TableText"/>
              <w:ind w:left="1209"/>
              <w:spacing w:before="200" w:line="389" w:lineRule="auto"/>
              <w:rPr>
                <w:rFonts w:ascii="Times New Roman" w:hAnsi="Times New Roman" w:eastAsia="Times New Roman" w:cs="Times New Roman"/>
              </w:rPr>
            </w:pPr>
            <w:r>
              <w:rPr>
                <w:rFonts w:ascii="Times New Roman" w:hAnsi="Times New Roman" w:eastAsia="Times New Roman" w:cs="Times New Roman"/>
                <w:sz w:val="16"/>
                <w:szCs w:val="16"/>
                <w:spacing w:val="-2"/>
              </w:rPr>
              <w:t>r</w:t>
            </w:r>
            <w:r>
              <w:rPr>
                <w:rFonts w:ascii="Times New Roman" w:hAnsi="Times New Roman" w:eastAsia="Times New Roman" w:cs="Times New Roman"/>
                <w:sz w:val="16"/>
                <w:szCs w:val="16"/>
                <w:spacing w:val="-20"/>
              </w:rPr>
              <w:t xml:space="preserve"> </w:t>
            </w:r>
            <w:r>
              <w:rPr>
                <w:rFonts w:ascii="Times New Roman" w:hAnsi="Times New Roman" w:eastAsia="Times New Roman" w:cs="Times New Roman"/>
                <w:sz w:val="16"/>
                <w:szCs w:val="16"/>
                <w:u w:val="single" w:color="auto"/>
                <w:spacing w:val="1"/>
              </w:rPr>
              <w:t xml:space="preserve">             </w:t>
            </w:r>
            <w:r>
              <w:rPr>
                <w:rFonts w:ascii="Times New Roman" w:hAnsi="Times New Roman" w:eastAsia="Times New Roman" w:cs="Times New Roman"/>
                <w:sz w:val="16"/>
                <w:szCs w:val="16"/>
                <w:spacing w:val="-33"/>
              </w:rPr>
              <w:t xml:space="preserve"> </w:t>
            </w:r>
            <w:r>
              <w:rPr>
                <w:spacing w:val="-2"/>
              </w:rPr>
              <w:t>预测点距声源的距离，</w:t>
            </w:r>
            <w:r>
              <w:rPr>
                <w:spacing w:val="-55"/>
              </w:rPr>
              <w:t xml:space="preserve"> </w:t>
            </w:r>
            <w:r>
              <w:rPr>
                <w:rFonts w:ascii="Times New Roman" w:hAnsi="Times New Roman" w:eastAsia="Times New Roman" w:cs="Times New Roman"/>
                <w:spacing w:val="-2"/>
              </w:rPr>
              <w:t>m;</w:t>
            </w:r>
          </w:p>
          <w:p>
            <w:pPr>
              <w:pStyle w:val="TableText"/>
              <w:ind w:left="700"/>
              <w:spacing w:line="219" w:lineRule="auto"/>
              <w:rPr/>
            </w:pPr>
            <w:r>
              <w:rPr>
                <w:spacing w:val="14"/>
              </w:rPr>
              <w:t>(3)室内声源等效室外声源声功率级</w:t>
            </w:r>
          </w:p>
          <w:p>
            <w:pPr>
              <w:pStyle w:val="TableText"/>
              <w:ind w:left="100" w:right="144" w:firstLine="489"/>
              <w:spacing w:before="188" w:line="373" w:lineRule="auto"/>
              <w:jc w:val="both"/>
              <w:rPr/>
            </w:pPr>
            <w:r>
              <w:rPr>
                <w:spacing w:val="6"/>
              </w:rPr>
              <w:t>声源位于室内，室内声源可采用等效室外声源声功率级法进行计算。设靠</w:t>
            </w:r>
            <w:r>
              <w:rPr>
                <w:spacing w:val="7"/>
              </w:rPr>
              <w:t xml:space="preserve"> </w:t>
            </w:r>
            <w:r>
              <w:rPr>
                <w:spacing w:val="15"/>
              </w:rPr>
              <w:t>近开口处(或窗户)室内、室外某倍频带的声压级分别为</w:t>
            </w:r>
            <w:r>
              <w:rPr/>
              <w:t>Lp</w:t>
            </w:r>
            <w:r>
              <w:rPr>
                <w:rFonts w:ascii="Calibri" w:hAnsi="Calibri" w:eastAsia="Calibri" w:cs="Calibri"/>
                <w:spacing w:val="15"/>
              </w:rPr>
              <w:t>₁  </w:t>
            </w:r>
            <w:r>
              <w:rPr>
                <w:spacing w:val="15"/>
              </w:rPr>
              <w:t>和</w:t>
            </w:r>
            <w:r>
              <w:rPr>
                <w:spacing w:val="-45"/>
              </w:rPr>
              <w:t xml:space="preserve"> </w:t>
            </w:r>
            <w:r>
              <w:rPr/>
              <w:t>Lpz</w:t>
            </w:r>
            <w:r>
              <w:rPr>
                <w:spacing w:val="14"/>
              </w:rPr>
              <w:t>。</w:t>
            </w:r>
            <w:r>
              <w:rPr>
                <w:spacing w:val="-53"/>
              </w:rPr>
              <w:t xml:space="preserve"> </w:t>
            </w:r>
            <w:r>
              <w:rPr>
                <w:spacing w:val="14"/>
              </w:rPr>
              <w:t>若声源</w:t>
            </w:r>
          </w:p>
          <w:p>
            <w:pPr>
              <w:pStyle w:val="TableText"/>
              <w:ind w:left="100"/>
              <w:spacing w:line="219" w:lineRule="auto"/>
              <w:rPr/>
            </w:pPr>
            <w:r>
              <w:rPr>
                <w:spacing w:val="8"/>
              </w:rPr>
              <w:t>所在室内声场为近似扩散声场，则室内的倍频带声</w:t>
            </w:r>
            <w:r>
              <w:rPr>
                <w:spacing w:val="7"/>
              </w:rPr>
              <w:t>压级可按下式近似求出：</w:t>
            </w:r>
          </w:p>
          <w:p>
            <w:pPr>
              <w:ind w:left="3130"/>
              <w:spacing w:before="207" w:line="192"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Lp₂=Lp₁-(TL+6)</w:t>
            </w:r>
          </w:p>
          <w:p>
            <w:pPr>
              <w:pStyle w:val="TableText"/>
              <w:ind w:left="90"/>
              <w:spacing w:before="242" w:line="461" w:lineRule="exact"/>
              <w:rPr>
                <w:rFonts w:ascii="Times New Roman" w:hAnsi="Times New Roman" w:eastAsia="Times New Roman" w:cs="Times New Roman"/>
              </w:rPr>
            </w:pPr>
            <w:r>
              <w:rPr>
                <w:spacing w:val="5"/>
                <w:position w:val="17"/>
              </w:rPr>
              <w:t>式中： </w:t>
            </w:r>
            <w:r>
              <w:rPr>
                <w:rFonts w:ascii="Times New Roman" w:hAnsi="Times New Roman" w:eastAsia="Times New Roman" w:cs="Times New Roman"/>
                <w:position w:val="17"/>
              </w:rPr>
              <w:t>Lpi</w:t>
            </w:r>
            <w:r>
              <w:rPr>
                <w:rFonts w:ascii="Times New Roman" w:hAnsi="Times New Roman" w:eastAsia="Times New Roman" w:cs="Times New Roman"/>
                <w:spacing w:val="-26"/>
                <w:position w:val="17"/>
              </w:rPr>
              <w:t xml:space="preserve"> </w:t>
            </w:r>
            <w:r>
              <w:rPr>
                <w:rFonts w:ascii="Times New Roman" w:hAnsi="Times New Roman" w:eastAsia="Times New Roman" w:cs="Times New Roman"/>
                <w:strike/>
                <w:spacing w:val="3"/>
                <w:position w:val="17"/>
              </w:rPr>
              <w:t xml:space="preserve">         </w:t>
            </w:r>
            <w:r>
              <w:rPr>
                <w:rFonts w:ascii="Times New Roman" w:hAnsi="Times New Roman" w:eastAsia="Times New Roman" w:cs="Times New Roman"/>
                <w:spacing w:val="-42"/>
                <w:position w:val="17"/>
              </w:rPr>
              <w:t xml:space="preserve"> </w:t>
            </w:r>
            <w:r>
              <w:rPr>
                <w:spacing w:val="5"/>
                <w:position w:val="17"/>
              </w:rPr>
              <w:t>靠近开口处(或窗户)室内某倍频带的声压级或</w:t>
            </w:r>
            <w:r>
              <w:rPr>
                <w:rFonts w:ascii="Times New Roman" w:hAnsi="Times New Roman" w:eastAsia="Times New Roman" w:cs="Times New Roman"/>
                <w:spacing w:val="5"/>
                <w:position w:val="17"/>
              </w:rPr>
              <w:t>A</w:t>
            </w:r>
            <w:r>
              <w:rPr>
                <w:rFonts w:ascii="Times New Roman" w:hAnsi="Times New Roman" w:eastAsia="Times New Roman" w:cs="Times New Roman"/>
                <w:spacing w:val="38"/>
                <w:w w:val="101"/>
                <w:position w:val="17"/>
              </w:rPr>
              <w:t xml:space="preserve"> </w:t>
            </w:r>
            <w:r>
              <w:rPr>
                <w:spacing w:val="5"/>
                <w:position w:val="17"/>
              </w:rPr>
              <w:t>声</w:t>
            </w:r>
            <w:r>
              <w:rPr>
                <w:spacing w:val="-38"/>
                <w:position w:val="17"/>
              </w:rPr>
              <w:t xml:space="preserve"> </w:t>
            </w:r>
            <w:r>
              <w:rPr>
                <w:spacing w:val="5"/>
                <w:position w:val="17"/>
              </w:rPr>
              <w:t>级</w:t>
            </w:r>
            <w:r>
              <w:rPr>
                <w:spacing w:val="-50"/>
                <w:position w:val="17"/>
              </w:rPr>
              <w:t xml:space="preserve"> </w:t>
            </w:r>
            <w:r>
              <w:rPr>
                <w:spacing w:val="5"/>
                <w:position w:val="17"/>
              </w:rPr>
              <w:t>，</w:t>
            </w:r>
            <w:r>
              <w:rPr>
                <w:rFonts w:ascii="Times New Roman" w:hAnsi="Times New Roman" w:eastAsia="Times New Roman" w:cs="Times New Roman"/>
                <w:position w:val="17"/>
              </w:rPr>
              <w:t>dB</w:t>
            </w:r>
            <w:r>
              <w:rPr>
                <w:rFonts w:ascii="Times New Roman" w:hAnsi="Times New Roman" w:eastAsia="Times New Roman" w:cs="Times New Roman"/>
                <w:spacing w:val="5"/>
                <w:position w:val="17"/>
              </w:rPr>
              <w:t>;</w:t>
            </w:r>
          </w:p>
          <w:p>
            <w:pPr>
              <w:pStyle w:val="TableText"/>
              <w:ind w:left="800"/>
              <w:spacing w:line="212" w:lineRule="auto"/>
              <w:rPr/>
            </w:pPr>
            <w:r>
              <w:rPr>
                <w:rFonts w:ascii="Times New Roman" w:hAnsi="Times New Roman" w:eastAsia="Times New Roman" w:cs="Times New Roman"/>
              </w:rPr>
              <w:t>Lp</w:t>
            </w:r>
            <w:r>
              <w:rPr>
                <w:rFonts w:ascii="Times New Roman" w:hAnsi="Times New Roman" w:eastAsia="Times New Roman" w:cs="Times New Roman"/>
                <w:spacing w:val="11"/>
              </w:rPr>
              <w:t>;</w:t>
            </w:r>
            <w:r>
              <w:rPr>
                <w:rFonts w:ascii="Times New Roman" w:hAnsi="Times New Roman" w:eastAsia="Times New Roman" w:cs="Times New Roman"/>
                <w:u w:val="single" w:color="auto"/>
                <w:spacing w:val="11"/>
              </w:rPr>
              <w:t xml:space="preserve">         </w:t>
            </w:r>
            <w:r>
              <w:rPr>
                <w:rFonts w:ascii="Times New Roman" w:hAnsi="Times New Roman" w:eastAsia="Times New Roman" w:cs="Times New Roman"/>
                <w:spacing w:val="-47"/>
              </w:rPr>
              <w:t xml:space="preserve"> </w:t>
            </w:r>
            <w:r>
              <w:rPr>
                <w:spacing w:val="11"/>
              </w:rPr>
              <w:t>靠近开口处(或窗户</w:t>
            </w:r>
            <w:r>
              <w:rPr>
                <w:spacing w:val="10"/>
              </w:rPr>
              <w:t>)室外某倍频带的声压级或A 声级，</w:t>
            </w:r>
            <w:r>
              <w:rPr>
                <w:spacing w:val="-22"/>
              </w:rPr>
              <w:t xml:space="preserve"> </w:t>
            </w:r>
            <w:r>
              <w:rPr/>
              <w:t>dB</w:t>
            </w:r>
            <w:r>
              <w:rPr>
                <w:spacing w:val="10"/>
              </w:rPr>
              <w:t>;</w:t>
            </w:r>
          </w:p>
          <w:p>
            <w:pPr>
              <w:pStyle w:val="TableText"/>
              <w:ind w:left="820"/>
              <w:spacing w:before="212" w:line="219" w:lineRule="auto"/>
              <w:rPr/>
            </w:pPr>
            <w:r>
              <w:rPr>
                <w:rFonts w:ascii="Times New Roman" w:hAnsi="Times New Roman" w:eastAsia="Times New Roman" w:cs="Times New Roman"/>
              </w:rPr>
              <w:t>TL</w:t>
            </w:r>
            <w:r>
              <w:rPr>
                <w:rFonts w:ascii="Times New Roman" w:hAnsi="Times New Roman" w:eastAsia="Times New Roman" w:cs="Times New Roman"/>
                <w:spacing w:val="18"/>
              </w:rPr>
              <w:t>——</w:t>
            </w:r>
            <w:r>
              <w:rPr>
                <w:rFonts w:ascii="Times New Roman" w:hAnsi="Times New Roman" w:eastAsia="Times New Roman" w:cs="Times New Roman"/>
                <w:spacing w:val="-22"/>
              </w:rPr>
              <w:t xml:space="preserve"> </w:t>
            </w:r>
            <w:r>
              <w:rPr>
                <w:spacing w:val="18"/>
              </w:rPr>
              <w:t>隔墙(或窗户)倍频带的隔声量，</w:t>
            </w:r>
            <w:r>
              <w:rPr>
                <w:rFonts w:ascii="Times New Roman" w:hAnsi="Times New Roman" w:eastAsia="Times New Roman" w:cs="Times New Roman"/>
              </w:rPr>
              <w:t>dB</w:t>
            </w:r>
            <w:r>
              <w:rPr>
                <w:spacing w:val="18"/>
              </w:rPr>
              <w:t>。</w:t>
            </w:r>
          </w:p>
          <w:p>
            <w:pPr>
              <w:pStyle w:val="TableText"/>
              <w:ind w:left="1730"/>
              <w:spacing w:before="181" w:line="212" w:lineRule="auto"/>
              <w:rPr>
                <w:rFonts w:ascii="Times New Roman" w:hAnsi="Times New Roman" w:eastAsia="Times New Roman" w:cs="Times New Roman"/>
              </w:rPr>
            </w:pPr>
            <w:r>
              <w:rPr/>
              <w:t>表4.4-2</w:t>
            </w:r>
            <w:r>
              <w:rPr>
                <w:spacing w:val="108"/>
              </w:rPr>
              <w:t xml:space="preserve"> </w:t>
            </w:r>
            <w:r>
              <w:rPr/>
              <w:t>隔声的插入损失值    单位： </w:t>
            </w:r>
            <w:r>
              <w:rPr>
                <w:rFonts w:ascii="Times New Roman" w:hAnsi="Times New Roman" w:eastAsia="Times New Roman" w:cs="Times New Roman"/>
              </w:rPr>
              <w:t>dB(A)</w:t>
            </w:r>
          </w:p>
          <w:p>
            <w:pPr>
              <w:spacing w:line="177" w:lineRule="exact"/>
              <w:rPr/>
            </w:pPr>
            <w:r/>
          </w:p>
          <w:tbl>
            <w:tblPr>
              <w:tblStyle w:val="TableNormal"/>
              <w:tblW w:w="8049" w:type="dxa"/>
              <w:tblInd w:w="10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00"/>
              <w:gridCol w:w="1610"/>
              <w:gridCol w:w="1620"/>
              <w:gridCol w:w="1609"/>
              <w:gridCol w:w="1610"/>
            </w:tblGrid>
            <w:tr>
              <w:trPr>
                <w:trHeight w:val="289" w:hRule="atLeast"/>
              </w:trPr>
              <w:tc>
                <w:tcPr>
                  <w:tcW w:w="1600" w:type="dxa"/>
                  <w:vAlign w:val="top"/>
                  <w:tcBorders>
                    <w:left w:val="nil"/>
                  </w:tcBorders>
                </w:tcPr>
                <w:p>
                  <w:pPr>
                    <w:pStyle w:val="TableText"/>
                    <w:ind w:left="590"/>
                    <w:spacing w:before="43" w:line="207" w:lineRule="auto"/>
                    <w:rPr>
                      <w:sz w:val="21"/>
                      <w:szCs w:val="21"/>
                    </w:rPr>
                  </w:pPr>
                  <w:r>
                    <w:rPr>
                      <w:sz w:val="21"/>
                      <w:szCs w:val="21"/>
                      <w:spacing w:val="-3"/>
                    </w:rPr>
                    <w:t>条件</w:t>
                  </w:r>
                </w:p>
              </w:tc>
              <w:tc>
                <w:tcPr>
                  <w:tcW w:w="1610" w:type="dxa"/>
                  <w:vAlign w:val="top"/>
                </w:tcPr>
                <w:p>
                  <w:pPr>
                    <w:pStyle w:val="TableText"/>
                    <w:ind w:left="745"/>
                    <w:spacing w:before="95" w:line="161" w:lineRule="auto"/>
                    <w:rPr>
                      <w:sz w:val="21"/>
                      <w:szCs w:val="21"/>
                    </w:rPr>
                  </w:pPr>
                  <w:r>
                    <w:rPr>
                      <w:sz w:val="21"/>
                      <w:szCs w:val="21"/>
                    </w:rPr>
                    <w:t>A</w:t>
                  </w:r>
                </w:p>
              </w:tc>
              <w:tc>
                <w:tcPr>
                  <w:tcW w:w="1620" w:type="dxa"/>
                  <w:vAlign w:val="top"/>
                </w:tcPr>
                <w:p>
                  <w:pPr>
                    <w:pStyle w:val="TableText"/>
                    <w:ind w:left="744"/>
                    <w:spacing w:before="99" w:line="158" w:lineRule="auto"/>
                    <w:rPr>
                      <w:sz w:val="21"/>
                      <w:szCs w:val="21"/>
                    </w:rPr>
                  </w:pPr>
                  <w:r>
                    <w:rPr>
                      <w:sz w:val="21"/>
                      <w:szCs w:val="21"/>
                    </w:rPr>
                    <w:t>B</w:t>
                  </w:r>
                </w:p>
              </w:tc>
              <w:tc>
                <w:tcPr>
                  <w:tcW w:w="1609" w:type="dxa"/>
                  <w:vAlign w:val="top"/>
                </w:tcPr>
                <w:p>
                  <w:pPr>
                    <w:pStyle w:val="TableText"/>
                    <w:ind w:left="744"/>
                    <w:spacing w:before="98" w:line="159" w:lineRule="auto"/>
                    <w:rPr>
                      <w:sz w:val="21"/>
                      <w:szCs w:val="21"/>
                    </w:rPr>
                  </w:pPr>
                  <w:r>
                    <w:rPr>
                      <w:sz w:val="21"/>
                      <w:szCs w:val="21"/>
                    </w:rPr>
                    <w:t>C</w:t>
                  </w:r>
                </w:p>
              </w:tc>
              <w:tc>
                <w:tcPr>
                  <w:tcW w:w="1610" w:type="dxa"/>
                  <w:vAlign w:val="top"/>
                  <w:tcBorders>
                    <w:right w:val="nil"/>
                  </w:tcBorders>
                </w:tcPr>
                <w:p>
                  <w:pPr>
                    <w:pStyle w:val="TableText"/>
                    <w:ind w:left="745"/>
                    <w:spacing w:before="99" w:line="158" w:lineRule="auto"/>
                    <w:rPr>
                      <w:sz w:val="21"/>
                      <w:szCs w:val="21"/>
                    </w:rPr>
                  </w:pPr>
                  <w:r>
                    <w:rPr>
                      <w:sz w:val="21"/>
                      <w:szCs w:val="21"/>
                    </w:rPr>
                    <w:t>D</w:t>
                  </w:r>
                </w:p>
              </w:tc>
            </w:tr>
            <w:tr>
              <w:trPr>
                <w:trHeight w:val="280" w:hRule="atLeast"/>
              </w:trPr>
              <w:tc>
                <w:tcPr>
                  <w:tcW w:w="1600" w:type="dxa"/>
                  <w:vAlign w:val="top"/>
                  <w:tcBorders>
                    <w:left w:val="nil"/>
                  </w:tcBorders>
                </w:tcPr>
                <w:p>
                  <w:pPr>
                    <w:pStyle w:val="TableText"/>
                    <w:ind w:left="539"/>
                    <w:spacing w:before="44" w:line="198" w:lineRule="auto"/>
                    <w:rPr>
                      <w:sz w:val="21"/>
                      <w:szCs w:val="21"/>
                    </w:rPr>
                  </w:pPr>
                  <w:r>
                    <w:rPr>
                      <w:sz w:val="21"/>
                      <w:szCs w:val="21"/>
                      <w:spacing w:val="-5"/>
                    </w:rPr>
                    <w:t>T</w:t>
                  </w:r>
                  <w:r>
                    <w:rPr>
                      <w:sz w:val="21"/>
                      <w:szCs w:val="21"/>
                      <w:spacing w:val="-40"/>
                    </w:rPr>
                    <w:t xml:space="preserve"> </w:t>
                  </w:r>
                  <w:r>
                    <w:rPr>
                      <w:sz w:val="21"/>
                      <w:szCs w:val="21"/>
                      <w:spacing w:val="-5"/>
                    </w:rPr>
                    <w:t>L</w:t>
                  </w:r>
                  <w:r>
                    <w:rPr>
                      <w:sz w:val="21"/>
                      <w:szCs w:val="21"/>
                      <w:spacing w:val="-40"/>
                    </w:rPr>
                    <w:t xml:space="preserve"> </w:t>
                  </w:r>
                  <w:r>
                    <w:rPr>
                      <w:sz w:val="21"/>
                      <w:szCs w:val="21"/>
                      <w:spacing w:val="-5"/>
                    </w:rPr>
                    <w:t>值</w:t>
                  </w:r>
                </w:p>
              </w:tc>
              <w:tc>
                <w:tcPr>
                  <w:tcW w:w="1610" w:type="dxa"/>
                  <w:vAlign w:val="top"/>
                </w:tcPr>
                <w:p>
                  <w:pPr>
                    <w:pStyle w:val="TableText"/>
                    <w:ind w:left="694"/>
                    <w:spacing w:before="98" w:line="172" w:lineRule="exact"/>
                    <w:rPr>
                      <w:sz w:val="21"/>
                      <w:szCs w:val="21"/>
                    </w:rPr>
                  </w:pPr>
                  <w:r>
                    <w:rPr>
                      <w:sz w:val="21"/>
                      <w:szCs w:val="21"/>
                      <w:spacing w:val="-3"/>
                      <w:position w:val="-2"/>
                    </w:rPr>
                    <w:t>20</w:t>
                  </w:r>
                </w:p>
              </w:tc>
              <w:tc>
                <w:tcPr>
                  <w:tcW w:w="1620" w:type="dxa"/>
                  <w:vAlign w:val="top"/>
                </w:tcPr>
                <w:p>
                  <w:pPr>
                    <w:pStyle w:val="TableText"/>
                    <w:ind w:left="694"/>
                    <w:spacing w:before="97" w:line="172" w:lineRule="exact"/>
                    <w:rPr>
                      <w:sz w:val="21"/>
                      <w:szCs w:val="21"/>
                    </w:rPr>
                  </w:pPr>
                  <w:r>
                    <w:rPr>
                      <w:sz w:val="21"/>
                      <w:szCs w:val="21"/>
                      <w:spacing w:val="-6"/>
                      <w:position w:val="-2"/>
                    </w:rPr>
                    <w:t>15</w:t>
                  </w:r>
                </w:p>
              </w:tc>
              <w:tc>
                <w:tcPr>
                  <w:tcW w:w="1609" w:type="dxa"/>
                  <w:vAlign w:val="top"/>
                </w:tcPr>
                <w:p>
                  <w:pPr>
                    <w:pStyle w:val="TableText"/>
                    <w:ind w:left="694"/>
                    <w:spacing w:before="97" w:line="172" w:lineRule="exact"/>
                    <w:rPr>
                      <w:sz w:val="21"/>
                      <w:szCs w:val="21"/>
                    </w:rPr>
                  </w:pPr>
                  <w:r>
                    <w:rPr>
                      <w:sz w:val="21"/>
                      <w:szCs w:val="21"/>
                      <w:spacing w:val="-6"/>
                      <w:position w:val="-2"/>
                    </w:rPr>
                    <w:t>10</w:t>
                  </w:r>
                </w:p>
              </w:tc>
              <w:tc>
                <w:tcPr>
                  <w:tcW w:w="1610" w:type="dxa"/>
                  <w:vAlign w:val="top"/>
                  <w:tcBorders>
                    <w:right w:val="nil"/>
                  </w:tcBorders>
                </w:tcPr>
                <w:p>
                  <w:pPr>
                    <w:pStyle w:val="TableText"/>
                    <w:ind w:left="745"/>
                    <w:spacing w:before="100" w:line="170" w:lineRule="exact"/>
                    <w:rPr>
                      <w:sz w:val="21"/>
                      <w:szCs w:val="21"/>
                    </w:rPr>
                  </w:pPr>
                  <w:r>
                    <w:rPr>
                      <w:sz w:val="21"/>
                      <w:szCs w:val="21"/>
                      <w:position w:val="-2"/>
                    </w:rPr>
                    <w:t>5</w:t>
                  </w:r>
                </w:p>
              </w:tc>
            </w:tr>
          </w:tbl>
          <w:p>
            <w:pPr>
              <w:pStyle w:val="TableText"/>
              <w:ind w:left="100" w:right="220"/>
              <w:spacing w:before="54" w:line="228" w:lineRule="auto"/>
              <w:rPr>
                <w:sz w:val="20"/>
                <w:szCs w:val="20"/>
              </w:rPr>
            </w:pPr>
            <w:r>
              <w:rPr>
                <w:sz w:val="21"/>
                <w:szCs w:val="21"/>
              </w:rPr>
              <w:t>注：A:围墙开小窗且密闭，门经隔声处理；B:围墙开小窗但不密闭，门</w:t>
            </w:r>
            <w:r>
              <w:rPr>
                <w:sz w:val="21"/>
                <w:szCs w:val="21"/>
                <w:spacing w:val="-1"/>
              </w:rPr>
              <w:t>未经隔声处理，</w:t>
            </w:r>
            <w:r>
              <w:rPr>
                <w:sz w:val="21"/>
                <w:szCs w:val="21"/>
              </w:rPr>
              <w:t xml:space="preserve"> </w:t>
            </w:r>
            <w:r>
              <w:rPr>
                <w:sz w:val="20"/>
                <w:szCs w:val="20"/>
                <w:spacing w:val="2"/>
              </w:rPr>
              <w:t>但较密闭；</w:t>
            </w:r>
            <w:r>
              <w:rPr>
                <w:sz w:val="20"/>
                <w:szCs w:val="20"/>
                <w:spacing w:val="-40"/>
              </w:rPr>
              <w:t xml:space="preserve"> </w:t>
            </w:r>
            <w:r>
              <w:rPr>
                <w:rFonts w:ascii="Times New Roman" w:hAnsi="Times New Roman" w:eastAsia="Times New Roman" w:cs="Times New Roman"/>
                <w:sz w:val="20"/>
                <w:szCs w:val="20"/>
                <w:spacing w:val="2"/>
              </w:rPr>
              <w:t>C:   </w:t>
            </w:r>
            <w:r>
              <w:rPr>
                <w:sz w:val="20"/>
                <w:szCs w:val="20"/>
                <w:spacing w:val="2"/>
              </w:rPr>
              <w:t>围墙开大窗且不密闭，</w:t>
            </w:r>
            <w:r>
              <w:rPr>
                <w:sz w:val="20"/>
                <w:szCs w:val="20"/>
                <w:spacing w:val="1"/>
              </w:rPr>
              <w:t>门不密闭； </w:t>
            </w:r>
            <w:r>
              <w:rPr>
                <w:rFonts w:ascii="Times New Roman" w:hAnsi="Times New Roman" w:eastAsia="Times New Roman" w:cs="Times New Roman"/>
                <w:sz w:val="20"/>
                <w:szCs w:val="20"/>
                <w:spacing w:val="1"/>
              </w:rPr>
              <w:t>D:    </w:t>
            </w:r>
            <w:r>
              <w:rPr>
                <w:sz w:val="20"/>
                <w:szCs w:val="20"/>
                <w:spacing w:val="1"/>
              </w:rPr>
              <w:t>门、窗部分敞开。</w:t>
            </w:r>
          </w:p>
          <w:p>
            <w:pPr>
              <w:spacing w:line="385" w:lineRule="auto"/>
              <w:rPr>
                <w:rFonts w:ascii="Arial"/>
                <w:sz w:val="21"/>
              </w:rPr>
            </w:pPr>
            <w:r/>
          </w:p>
          <w:p>
            <w:pPr>
              <w:pStyle w:val="TableText"/>
              <w:ind w:left="710"/>
              <w:spacing w:before="76" w:line="451" w:lineRule="exact"/>
              <w:rPr/>
            </w:pPr>
            <w:r>
              <w:rPr>
                <w:spacing w:val="12"/>
                <w:position w:val="16"/>
              </w:rPr>
              <w:t>(4)对两个以上多个声源同时存在时，其预测点总声压级预测采用以下</w:t>
            </w:r>
          </w:p>
          <w:p>
            <w:pPr>
              <w:pStyle w:val="TableText"/>
              <w:ind w:left="120"/>
              <w:spacing w:line="220" w:lineRule="auto"/>
              <w:rPr/>
            </w:pPr>
            <w:r>
              <w:rPr>
                <w:spacing w:val="-12"/>
              </w:rPr>
              <w:t>公式预测：</w:t>
            </w:r>
          </w:p>
          <w:p>
            <w:pPr>
              <w:ind w:firstLine="2820"/>
              <w:spacing w:before="186" w:line="800" w:lineRule="exact"/>
              <w:rPr/>
            </w:pPr>
            <w:r>
              <w:rPr>
                <w:position w:val="-15"/>
              </w:rPr>
              <w:drawing>
                <wp:inline distT="0" distB="0" distL="0" distR="0">
                  <wp:extent cx="1631901" cy="507936"/>
                  <wp:effectExtent l="0" t="0" r="0" b="0"/>
                  <wp:docPr id="14" name="IM 14"/>
                  <wp:cNvGraphicFramePr/>
                  <a:graphic>
                    <a:graphicData uri="http://schemas.openxmlformats.org/drawingml/2006/picture">
                      <pic:pic>
                        <pic:nvPicPr>
                          <pic:cNvPr id="14" name="IM 14"/>
                          <pic:cNvPicPr/>
                        </pic:nvPicPr>
                        <pic:blipFill>
                          <a:blip r:embed="rId135"/>
                          <a:stretch>
                            <a:fillRect/>
                          </a:stretch>
                        </pic:blipFill>
                        <pic:spPr>
                          <a:xfrm rot="0">
                            <a:off x="0" y="0"/>
                            <a:ext cx="1631901" cy="507936"/>
                          </a:xfrm>
                          <a:prstGeom prst="rect">
                            <a:avLst/>
                          </a:prstGeom>
                        </pic:spPr>
                      </pic:pic>
                    </a:graphicData>
                  </a:graphic>
                </wp:inline>
              </w:drawing>
            </w:r>
          </w:p>
          <w:p>
            <w:pPr>
              <w:pStyle w:val="TableText"/>
              <w:ind w:left="570"/>
              <w:spacing w:before="224" w:line="470" w:lineRule="exact"/>
              <w:rPr>
                <w:rFonts w:ascii="Times New Roman" w:hAnsi="Times New Roman" w:eastAsia="Times New Roman" w:cs="Times New Roman"/>
              </w:rPr>
            </w:pPr>
            <w:r>
              <w:rPr>
                <w:spacing w:val="2"/>
                <w:position w:val="18"/>
              </w:rPr>
              <w:t>式中：</w:t>
            </w:r>
            <w:r>
              <w:rPr>
                <w:spacing w:val="-23"/>
                <w:position w:val="18"/>
              </w:rPr>
              <w:t xml:space="preserve"> </w:t>
            </w:r>
            <w:r>
              <w:rPr>
                <w:rFonts w:ascii="Times New Roman" w:hAnsi="Times New Roman" w:eastAsia="Times New Roman" w:cs="Times New Roman"/>
                <w:position w:val="18"/>
              </w:rPr>
              <w:t>Ln</w:t>
            </w:r>
            <w:r>
              <w:rPr>
                <w:rFonts w:ascii="Times New Roman" w:hAnsi="Times New Roman" w:eastAsia="Times New Roman" w:cs="Times New Roman"/>
                <w:spacing w:val="2"/>
                <w:position w:val="18"/>
              </w:rPr>
              <w:t>--</w:t>
            </w:r>
            <w:r>
              <w:rPr>
                <w:spacing w:val="2"/>
                <w:position w:val="18"/>
              </w:rPr>
              <w:t>多声源叠加后的噪声值，</w:t>
            </w:r>
            <w:r>
              <w:rPr>
                <w:rFonts w:ascii="Times New Roman" w:hAnsi="Times New Roman" w:eastAsia="Times New Roman" w:cs="Times New Roman"/>
                <w:position w:val="18"/>
              </w:rPr>
              <w:t>dB</w:t>
            </w:r>
            <w:r>
              <w:rPr>
                <w:rFonts w:ascii="Times New Roman" w:hAnsi="Times New Roman" w:eastAsia="Times New Roman" w:cs="Times New Roman"/>
                <w:spacing w:val="2"/>
                <w:position w:val="18"/>
              </w:rPr>
              <w:t>(A);</w:t>
            </w:r>
          </w:p>
          <w:p>
            <w:pPr>
              <w:pStyle w:val="TableText"/>
              <w:ind w:left="1280"/>
              <w:spacing w:line="212" w:lineRule="auto"/>
              <w:rPr>
                <w:rFonts w:ascii="Times New Roman" w:hAnsi="Times New Roman" w:eastAsia="Times New Roman" w:cs="Times New Roman"/>
              </w:rPr>
            </w:pPr>
            <w:r>
              <w:rPr>
                <w:rFonts w:ascii="Times New Roman" w:hAnsi="Times New Roman" w:eastAsia="Times New Roman" w:cs="Times New Roman"/>
                <w:spacing w:val="-1"/>
              </w:rPr>
              <w:t>Li--</w:t>
            </w:r>
            <w:r>
              <w:rPr>
                <w:rFonts w:ascii="Times New Roman" w:hAnsi="Times New Roman" w:eastAsia="Times New Roman" w:cs="Times New Roman"/>
                <w:spacing w:val="-8"/>
              </w:rPr>
              <w:t xml:space="preserve"> </w:t>
            </w:r>
            <w:r>
              <w:rPr>
                <w:spacing w:val="-1"/>
              </w:rPr>
              <w:t>第</w:t>
            </w:r>
            <w:r>
              <w:rPr>
                <w:rFonts w:ascii="Times New Roman" w:hAnsi="Times New Roman" w:eastAsia="Times New Roman" w:cs="Times New Roman"/>
                <w:spacing w:val="-1"/>
              </w:rPr>
              <w:t>i</w:t>
            </w:r>
            <w:r>
              <w:rPr>
                <w:spacing w:val="-1"/>
              </w:rPr>
              <w:t>个噪声源的声级，</w:t>
            </w:r>
            <w:r>
              <w:rPr>
                <w:spacing w:val="-45"/>
              </w:rPr>
              <w:t xml:space="preserve"> </w:t>
            </w:r>
            <w:r>
              <w:rPr>
                <w:rFonts w:ascii="Times New Roman" w:hAnsi="Times New Roman" w:eastAsia="Times New Roman" w:cs="Times New Roman"/>
                <w:spacing w:val="-1"/>
              </w:rPr>
              <w:t>dB(A);</w:t>
            </w:r>
          </w:p>
          <w:p>
            <w:pPr>
              <w:pStyle w:val="TableText"/>
              <w:ind w:left="1310"/>
              <w:spacing w:before="222" w:line="219" w:lineRule="auto"/>
              <w:rPr/>
            </w:pPr>
            <w:r>
              <w:rPr>
                <w:rFonts w:ascii="Times New Roman" w:hAnsi="Times New Roman" w:eastAsia="Times New Roman" w:cs="Times New Roman"/>
                <w:spacing w:val="3"/>
              </w:rPr>
              <w:t>n--</w:t>
            </w:r>
            <w:r>
              <w:rPr>
                <w:spacing w:val="3"/>
              </w:rPr>
              <w:t>需叠加的噪声源的个数。</w:t>
            </w:r>
          </w:p>
          <w:p>
            <w:pPr>
              <w:pStyle w:val="TableText"/>
              <w:ind w:left="590"/>
              <w:spacing w:before="196" w:line="450" w:lineRule="exact"/>
              <w:rPr/>
            </w:pPr>
            <w:r>
              <w:rPr>
                <w:spacing w:val="6"/>
                <w:position w:val="16"/>
              </w:rPr>
              <w:t>根据本项目噪声源有关参数及减噪措施，先将各噪声声源进行叠加，其中</w:t>
            </w:r>
          </w:p>
          <w:p>
            <w:pPr>
              <w:pStyle w:val="TableText"/>
              <w:ind w:left="120"/>
              <w:spacing w:before="1" w:line="219" w:lineRule="auto"/>
              <w:rPr/>
            </w:pPr>
            <w:r>
              <w:rPr>
                <w:spacing w:val="6"/>
              </w:rPr>
              <w:t>同种源强按同时使用的情况进行声源叠加。</w:t>
            </w:r>
          </w:p>
          <w:p>
            <w:pPr>
              <w:pStyle w:val="TableText"/>
              <w:ind w:left="860"/>
              <w:spacing w:before="207" w:line="219" w:lineRule="auto"/>
              <w:rPr/>
            </w:pPr>
            <w:r>
              <w:rPr>
                <w:spacing w:val="19"/>
              </w:rPr>
              <w:t>(5)噪声预测值</w:t>
            </w:r>
          </w:p>
          <w:p>
            <w:pPr>
              <w:pStyle w:val="TableText"/>
              <w:ind w:left="810"/>
              <w:spacing w:before="177" w:line="219" w:lineRule="auto"/>
              <w:rPr/>
            </w:pPr>
            <w:r>
              <w:rPr>
                <w:spacing w:val="6"/>
              </w:rPr>
              <w:t>预测点的贡献值和背景值按能量叠加方法计算得到的声级。噪声预测值</w:t>
            </w:r>
          </w:p>
        </w:tc>
      </w:tr>
    </w:tbl>
    <w:p>
      <w:pPr>
        <w:rPr>
          <w:rFonts w:ascii="Arial"/>
          <w:sz w:val="21"/>
        </w:rPr>
      </w:pPr>
      <w:r/>
    </w:p>
    <w:p>
      <w:pPr>
        <w:sectPr>
          <w:footerReference w:type="default" r:id="rId134"/>
          <w:pgSz w:w="11900" w:h="16840"/>
          <w:pgMar w:top="1430" w:right="1420" w:bottom="989" w:left="1599" w:header="0" w:footer="820" w:gutter="0"/>
        </w:sectPr>
        <w:rPr>
          <w:rFonts w:ascii="Arial" w:hAnsi="Arial" w:eastAsia="Arial" w:cs="Arial"/>
          <w:sz w:val="21"/>
          <w:szCs w:val="21"/>
        </w:rPr>
      </w:pPr>
    </w:p>
    <w:tbl>
      <w:tblPr>
        <w:tblStyle w:val="TableNormal"/>
        <w:tblW w:w="88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8266"/>
      </w:tblGrid>
      <w:tr>
        <w:trPr>
          <w:trHeight w:val="13039" w:hRule="atLeast"/>
        </w:trPr>
        <w:tc>
          <w:tcPr>
            <w:tcW w:w="554" w:type="dxa"/>
            <w:vAlign w:val="top"/>
          </w:tcPr>
          <w:p>
            <w:pPr>
              <w:rPr>
                <w:rFonts w:ascii="Arial"/>
                <w:sz w:val="21"/>
              </w:rPr>
            </w:pPr>
            <w:r/>
          </w:p>
        </w:tc>
        <w:tc>
          <w:tcPr>
            <w:tcW w:w="8266" w:type="dxa"/>
            <w:vAlign w:val="top"/>
          </w:tcPr>
          <w:p>
            <w:pPr>
              <w:pStyle w:val="TableText"/>
              <w:ind w:left="251"/>
              <w:spacing w:before="48" w:line="214" w:lineRule="auto"/>
              <w:rPr>
                <w:sz w:val="24"/>
                <w:szCs w:val="24"/>
              </w:rPr>
            </w:pPr>
            <w:r>
              <w:rPr>
                <w:sz w:val="24"/>
                <w:szCs w:val="24"/>
                <w:spacing w:val="-1"/>
              </w:rPr>
              <w:t>(Leq)计算公式为：</w:t>
            </w:r>
          </w:p>
          <w:p>
            <w:pPr>
              <w:pStyle w:val="TableText"/>
              <w:ind w:left="2961"/>
              <w:spacing w:before="239" w:line="214" w:lineRule="auto"/>
              <w:rPr>
                <w:sz w:val="24"/>
                <w:szCs w:val="24"/>
              </w:rPr>
            </w:pPr>
            <w:r>
              <w:rPr>
                <w:sz w:val="24"/>
                <w:szCs w:val="24"/>
                <w:spacing w:val="-1"/>
              </w:rPr>
              <w:t>L=101g(10°¹L+10°¹L)</w:t>
            </w:r>
          </w:p>
          <w:p>
            <w:pPr>
              <w:spacing w:line="462" w:lineRule="auto"/>
              <w:rPr>
                <w:rFonts w:ascii="Arial"/>
                <w:sz w:val="21"/>
              </w:rPr>
            </w:pPr>
            <w:r/>
          </w:p>
          <w:p>
            <w:pPr>
              <w:pStyle w:val="TableText"/>
              <w:ind w:left="630"/>
              <w:spacing w:before="78" w:line="214" w:lineRule="auto"/>
              <w:rPr>
                <w:sz w:val="24"/>
                <w:szCs w:val="24"/>
              </w:rPr>
            </w:pPr>
            <w:r>
              <w:rPr>
                <w:sz w:val="24"/>
                <w:szCs w:val="24"/>
                <w:spacing w:val="3"/>
              </w:rPr>
              <w:t>式中：</w:t>
            </w:r>
            <w:r>
              <w:rPr>
                <w:sz w:val="24"/>
                <w:szCs w:val="24"/>
              </w:rPr>
              <w:t>Leq</w:t>
            </w:r>
            <w:r>
              <w:rPr>
                <w:sz w:val="24"/>
                <w:szCs w:val="24"/>
                <w:spacing w:val="3"/>
              </w:rPr>
              <w:t>—预测点的噪声预测值，</w:t>
            </w:r>
            <w:r>
              <w:rPr>
                <w:sz w:val="24"/>
                <w:szCs w:val="24"/>
              </w:rPr>
              <w:t>dB</w:t>
            </w:r>
            <w:r>
              <w:rPr>
                <w:sz w:val="24"/>
                <w:szCs w:val="24"/>
                <w:spacing w:val="3"/>
              </w:rPr>
              <w:t>;</w:t>
            </w:r>
          </w:p>
          <w:p>
            <w:pPr>
              <w:pStyle w:val="TableText"/>
              <w:ind w:left="591"/>
              <w:spacing w:before="150" w:line="460" w:lineRule="exact"/>
              <w:rPr>
                <w:sz w:val="24"/>
                <w:szCs w:val="24"/>
              </w:rPr>
            </w:pPr>
            <w:r>
              <w:rPr>
                <w:sz w:val="24"/>
                <w:szCs w:val="24"/>
                <w:position w:val="17"/>
              </w:rPr>
              <w:t>Leqg</w:t>
            </w:r>
            <w:r>
              <w:rPr>
                <w:sz w:val="24"/>
                <w:szCs w:val="24"/>
                <w:spacing w:val="2"/>
                <w:position w:val="17"/>
              </w:rPr>
              <w:t>—建设项目声源在预测点产生的噪声贡献值，</w:t>
            </w:r>
            <w:r>
              <w:rPr>
                <w:sz w:val="24"/>
                <w:szCs w:val="24"/>
                <w:position w:val="17"/>
              </w:rPr>
              <w:t>dB</w:t>
            </w:r>
            <w:r>
              <w:rPr>
                <w:sz w:val="24"/>
                <w:szCs w:val="24"/>
                <w:spacing w:val="2"/>
                <w:position w:val="17"/>
              </w:rPr>
              <w:t>;</w:t>
            </w:r>
          </w:p>
          <w:p>
            <w:pPr>
              <w:pStyle w:val="TableText"/>
              <w:ind w:left="571"/>
              <w:spacing w:before="1" w:line="213" w:lineRule="auto"/>
              <w:rPr>
                <w:sz w:val="24"/>
                <w:szCs w:val="24"/>
              </w:rPr>
            </w:pPr>
            <w:r>
              <w:rPr>
                <w:sz w:val="24"/>
                <w:szCs w:val="24"/>
              </w:rPr>
              <w:t>Legb—预测点的背景噪声值，dB。</w:t>
            </w:r>
          </w:p>
          <w:p>
            <w:pPr>
              <w:pStyle w:val="TableText"/>
              <w:ind w:left="111" w:right="13" w:firstLine="499"/>
              <w:spacing w:before="228" w:line="354" w:lineRule="auto"/>
              <w:tabs>
                <w:tab w:val="left" w:pos="251"/>
              </w:tabs>
              <w:rPr>
                <w:sz w:val="24"/>
                <w:szCs w:val="24"/>
              </w:rPr>
            </w:pPr>
            <w:r>
              <w:rPr>
                <w:sz w:val="24"/>
                <w:szCs w:val="24"/>
                <w:spacing w:val="-1"/>
              </w:rPr>
              <w:t>本次预测计算中只考虑各设备声源至受声点(预测点)的距离衰减和隔墙  </w:t>
            </w:r>
            <w:r>
              <w:rPr>
                <w:sz w:val="24"/>
                <w:szCs w:val="24"/>
              </w:rPr>
              <w:tab/>
            </w:r>
            <w:r>
              <w:rPr>
                <w:sz w:val="24"/>
                <w:szCs w:val="24"/>
              </w:rPr>
              <w:t>(或窗户)的传输损失引起的噪声衰减。各声源由于厂区内外其他遮挡物引起</w:t>
            </w:r>
            <w:r>
              <w:rPr>
                <w:sz w:val="24"/>
                <w:szCs w:val="24"/>
                <w:spacing w:val="9"/>
              </w:rPr>
              <w:t xml:space="preserve"> </w:t>
            </w:r>
            <w:r>
              <w:rPr>
                <w:sz w:val="24"/>
                <w:szCs w:val="24"/>
                <w:spacing w:val="-1"/>
              </w:rPr>
              <w:t>的衰减、空气吸收引起的衰减，由于云、雾、温度梯度、风及地面效应等引起</w:t>
            </w:r>
          </w:p>
          <w:p>
            <w:pPr>
              <w:pStyle w:val="TableText"/>
              <w:ind w:left="121"/>
              <w:spacing w:before="1" w:line="218" w:lineRule="auto"/>
              <w:rPr>
                <w:sz w:val="24"/>
                <w:szCs w:val="24"/>
              </w:rPr>
            </w:pPr>
            <w:r>
              <w:rPr>
                <w:sz w:val="24"/>
                <w:szCs w:val="24"/>
              </w:rPr>
              <w:t>的声能量衰减等，其引起的衰减量不大，本次计算中忽略不</w:t>
            </w:r>
            <w:r>
              <w:rPr>
                <w:sz w:val="24"/>
                <w:szCs w:val="24"/>
                <w:spacing w:val="-1"/>
              </w:rPr>
              <w:t>计。</w:t>
            </w:r>
          </w:p>
          <w:p>
            <w:pPr>
              <w:pStyle w:val="TableText"/>
              <w:ind w:left="711"/>
              <w:spacing w:before="178" w:line="220" w:lineRule="auto"/>
              <w:rPr>
                <w:sz w:val="24"/>
                <w:szCs w:val="24"/>
              </w:rPr>
            </w:pPr>
            <w:r>
              <w:rPr>
                <w:sz w:val="24"/>
                <w:szCs w:val="24"/>
                <w:spacing w:val="1"/>
              </w:rPr>
              <w:t>(6)预测分析</w:t>
            </w:r>
          </w:p>
          <w:p>
            <w:pPr>
              <w:pStyle w:val="TableText"/>
              <w:ind w:left="101" w:right="222" w:firstLine="519"/>
              <w:spacing w:before="191" w:line="363" w:lineRule="auto"/>
              <w:rPr>
                <w:sz w:val="24"/>
                <w:szCs w:val="24"/>
              </w:rPr>
            </w:pPr>
            <w:r>
              <w:rPr>
                <w:sz w:val="24"/>
                <w:szCs w:val="24"/>
              </w:rPr>
              <w:t>根据项目设备的位置及所采取的措施，项目室外声源</w:t>
            </w:r>
            <w:r>
              <w:rPr>
                <w:sz w:val="24"/>
                <w:szCs w:val="24"/>
                <w:spacing w:val="-1"/>
              </w:rPr>
              <w:t>及预测结果见表  </w:t>
            </w:r>
            <w:r>
              <w:rPr>
                <w:sz w:val="24"/>
                <w:szCs w:val="24"/>
              </w:rPr>
              <w:t>4.4-3,室内声源及预测结果见表4.4-4,建成后设备噪声至厂界的预测结果见</w:t>
            </w:r>
          </w:p>
          <w:p>
            <w:pPr>
              <w:pStyle w:val="TableText"/>
              <w:ind w:left="121"/>
              <w:spacing w:before="1" w:line="220" w:lineRule="auto"/>
              <w:rPr>
                <w:sz w:val="24"/>
                <w:szCs w:val="24"/>
              </w:rPr>
            </w:pPr>
            <w:r>
              <w:rPr>
                <w:sz w:val="24"/>
                <w:szCs w:val="24"/>
                <w:spacing w:val="1"/>
              </w:rPr>
              <w:t>表4.4-5。</w:t>
            </w:r>
          </w:p>
          <w:p>
            <w:pPr>
              <w:pStyle w:val="TableText"/>
              <w:ind w:right="61"/>
              <w:spacing w:before="171" w:line="480" w:lineRule="exact"/>
              <w:jc w:val="right"/>
              <w:rPr>
                <w:sz w:val="24"/>
                <w:szCs w:val="24"/>
              </w:rPr>
            </w:pPr>
            <w:r>
              <w:rPr>
                <w:sz w:val="24"/>
                <w:szCs w:val="24"/>
                <w:position w:val="18"/>
              </w:rPr>
              <w:t>由表4.4-5可知，正常工况下，项目厂界噪声满足《工业企业厂界环境噪</w:t>
            </w:r>
          </w:p>
          <w:p>
            <w:pPr>
              <w:pStyle w:val="TableText"/>
              <w:ind w:left="111"/>
              <w:spacing w:line="219" w:lineRule="auto"/>
              <w:rPr>
                <w:sz w:val="24"/>
                <w:szCs w:val="24"/>
              </w:rPr>
            </w:pPr>
            <w:r>
              <w:rPr>
                <w:sz w:val="24"/>
                <w:szCs w:val="24"/>
              </w:rPr>
              <w:t>声排放标准》(GB12348-2008)中的3类标准，项目产生的噪声对周边声环境</w:t>
            </w:r>
          </w:p>
          <w:p>
            <w:pPr>
              <w:pStyle w:val="TableText"/>
              <w:ind w:left="121"/>
              <w:spacing w:before="189" w:line="221" w:lineRule="auto"/>
              <w:rPr>
                <w:sz w:val="24"/>
                <w:szCs w:val="24"/>
              </w:rPr>
            </w:pPr>
            <w:r>
              <w:rPr>
                <w:sz w:val="24"/>
                <w:szCs w:val="24"/>
                <w:spacing w:val="-1"/>
              </w:rPr>
              <w:t>影响较小。</w:t>
            </w:r>
          </w:p>
          <w:p>
            <w:pPr>
              <w:pStyle w:val="TableText"/>
              <w:ind w:left="601"/>
              <w:spacing w:before="175" w:line="443" w:lineRule="exact"/>
              <w:rPr>
                <w:sz w:val="24"/>
                <w:szCs w:val="24"/>
              </w:rPr>
            </w:pPr>
            <w:r>
              <w:rPr>
                <w:sz w:val="24"/>
                <w:szCs w:val="24"/>
                <w:position w:val="15"/>
              </w:rPr>
              <w:t>本项目(凹版工程)所在区域距离大沙村约310</w:t>
            </w:r>
            <w:r>
              <w:rPr>
                <w:sz w:val="24"/>
                <w:szCs w:val="24"/>
                <w:spacing w:val="-1"/>
                <w:position w:val="15"/>
              </w:rPr>
              <w:t>m,距离池头村约290m</w:t>
            </w:r>
          </w:p>
          <w:p>
            <w:pPr>
              <w:pStyle w:val="TableText"/>
              <w:ind w:left="121"/>
              <w:spacing w:before="1" w:line="218" w:lineRule="auto"/>
              <w:rPr>
                <w:sz w:val="24"/>
                <w:szCs w:val="24"/>
              </w:rPr>
            </w:pPr>
            <w:r>
              <w:rPr>
                <w:sz w:val="24"/>
                <w:szCs w:val="24"/>
              </w:rPr>
              <w:t>项目运行后，不会对周边村庄的声环境产生不良影</w:t>
            </w:r>
            <w:r>
              <w:rPr>
                <w:sz w:val="24"/>
                <w:szCs w:val="24"/>
                <w:spacing w:val="-1"/>
              </w:rPr>
              <w:t>响。</w:t>
            </w:r>
          </w:p>
        </w:tc>
      </w:tr>
    </w:tbl>
    <w:p>
      <w:pPr>
        <w:rPr>
          <w:rFonts w:ascii="Arial"/>
          <w:sz w:val="21"/>
        </w:rPr>
      </w:pPr>
      <w:r/>
    </w:p>
    <w:p>
      <w:pPr>
        <w:sectPr>
          <w:footerReference w:type="default" r:id="rId136"/>
          <w:pgSz w:w="11900" w:h="16840"/>
          <w:pgMar w:top="1425" w:right="1465" w:bottom="989" w:left="1604" w:header="0" w:footer="820" w:gutter="0"/>
        </w:sectPr>
        <w:rPr>
          <w:rFonts w:ascii="Arial" w:hAnsi="Arial" w:eastAsia="Arial" w:cs="Arial"/>
          <w:sz w:val="21"/>
          <w:szCs w:val="21"/>
        </w:rPr>
      </w:pPr>
    </w:p>
    <w:p>
      <w:pPr>
        <w:spacing w:line="315" w:lineRule="auto"/>
        <w:rPr>
          <w:rFonts w:ascii="Arial"/>
          <w:sz w:val="21"/>
        </w:rPr>
      </w:pPr>
      <w:r/>
    </w:p>
    <w:p>
      <w:pPr>
        <w:spacing w:line="316" w:lineRule="auto"/>
        <w:rPr>
          <w:rFonts w:ascii="Arial"/>
          <w:sz w:val="21"/>
        </w:rPr>
      </w:pPr>
      <w:r/>
    </w:p>
    <w:p>
      <w:pPr>
        <w:pStyle w:val="BodyText"/>
        <w:ind w:left="4428"/>
        <w:spacing w:before="81" w:line="190" w:lineRule="auto"/>
        <w:rPr>
          <w:sz w:val="25"/>
          <w:szCs w:val="25"/>
        </w:rPr>
      </w:pPr>
      <w:r>
        <w:rPr>
          <w:sz w:val="25"/>
          <w:szCs w:val="25"/>
          <w:b/>
          <w:bCs/>
          <w:spacing w:val="-1"/>
        </w:rPr>
        <w:t>表4.4-3工业企业噪声源强调查清单(室外声源)</w:t>
      </w:r>
    </w:p>
    <w:tbl>
      <w:tblPr>
        <w:tblStyle w:val="TableNormal"/>
        <w:tblW w:w="1427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5"/>
        <w:gridCol w:w="600"/>
        <w:gridCol w:w="690"/>
        <w:gridCol w:w="789"/>
        <w:gridCol w:w="1179"/>
        <w:gridCol w:w="540"/>
        <w:gridCol w:w="689"/>
        <w:gridCol w:w="799"/>
        <w:gridCol w:w="949"/>
        <w:gridCol w:w="739"/>
        <w:gridCol w:w="829"/>
        <w:gridCol w:w="640"/>
        <w:gridCol w:w="679"/>
        <w:gridCol w:w="719"/>
        <w:gridCol w:w="750"/>
        <w:gridCol w:w="659"/>
        <w:gridCol w:w="630"/>
        <w:gridCol w:w="659"/>
        <w:gridCol w:w="720"/>
        <w:gridCol w:w="635"/>
      </w:tblGrid>
      <w:tr>
        <w:trPr>
          <w:trHeight w:val="534" w:hRule="atLeast"/>
        </w:trPr>
        <w:tc>
          <w:tcPr>
            <w:tcW w:w="385" w:type="dxa"/>
            <w:vAlign w:val="top"/>
            <w:vMerge w:val="restart"/>
            <w:textDirection w:val="tbRlV"/>
            <w:tcBorders>
              <w:bottom w:val="nil"/>
            </w:tcBorders>
          </w:tcPr>
          <w:p>
            <w:pPr>
              <w:pStyle w:val="TableText"/>
              <w:ind w:left="564"/>
              <w:spacing w:before="90" w:line="217" w:lineRule="auto"/>
              <w:rPr>
                <w:sz w:val="20"/>
                <w:szCs w:val="20"/>
              </w:rPr>
            </w:pPr>
            <w:r>
              <w:rPr>
                <w:sz w:val="20"/>
                <w:szCs w:val="20"/>
              </w:rPr>
              <w:t>序号</w:t>
            </w:r>
          </w:p>
        </w:tc>
        <w:tc>
          <w:tcPr>
            <w:tcW w:w="600" w:type="dxa"/>
            <w:vAlign w:val="top"/>
            <w:vMerge w:val="restart"/>
            <w:textDirection w:val="tbRlV"/>
            <w:tcBorders>
              <w:bottom w:val="nil"/>
            </w:tcBorders>
          </w:tcPr>
          <w:p>
            <w:pPr>
              <w:pStyle w:val="TableText"/>
              <w:ind w:left="144"/>
              <w:spacing w:before="199" w:line="217" w:lineRule="auto"/>
              <w:rPr>
                <w:sz w:val="20"/>
                <w:szCs w:val="20"/>
              </w:rPr>
            </w:pPr>
            <w:r>
              <w:rPr>
                <w:sz w:val="20"/>
                <w:szCs w:val="20"/>
              </w:rPr>
              <w:t>建</w:t>
            </w:r>
            <w:r>
              <w:rPr>
                <w:sz w:val="20"/>
                <w:szCs w:val="20"/>
                <w:spacing w:val="-36"/>
              </w:rPr>
              <w:t xml:space="preserve"> </w:t>
            </w:r>
            <w:r>
              <w:rPr>
                <w:sz w:val="20"/>
                <w:szCs w:val="20"/>
              </w:rPr>
              <w:t>筑</w:t>
            </w:r>
            <w:r>
              <w:rPr>
                <w:sz w:val="20"/>
                <w:szCs w:val="20"/>
                <w:spacing w:val="-36"/>
              </w:rPr>
              <w:t xml:space="preserve"> </w:t>
            </w:r>
            <w:r>
              <w:rPr>
                <w:sz w:val="20"/>
                <w:szCs w:val="20"/>
              </w:rPr>
              <w:t>物</w:t>
            </w:r>
            <w:r>
              <w:rPr>
                <w:sz w:val="20"/>
                <w:szCs w:val="20"/>
                <w:spacing w:val="-36"/>
              </w:rPr>
              <w:t xml:space="preserve"> </w:t>
            </w:r>
            <w:r>
              <w:rPr>
                <w:sz w:val="20"/>
                <w:szCs w:val="20"/>
              </w:rPr>
              <w:t>名</w:t>
            </w:r>
            <w:r>
              <w:rPr>
                <w:sz w:val="20"/>
                <w:szCs w:val="20"/>
                <w:spacing w:val="-36"/>
              </w:rPr>
              <w:t xml:space="preserve"> </w:t>
            </w:r>
            <w:r>
              <w:rPr>
                <w:sz w:val="20"/>
                <w:szCs w:val="20"/>
              </w:rPr>
              <w:t>称</w:t>
            </w:r>
          </w:p>
        </w:tc>
        <w:tc>
          <w:tcPr>
            <w:tcW w:w="690" w:type="dxa"/>
            <w:vAlign w:val="top"/>
            <w:vMerge w:val="restart"/>
            <w:tcBorders>
              <w:bottom w:val="nil"/>
            </w:tcBorders>
          </w:tcPr>
          <w:p>
            <w:pPr>
              <w:spacing w:line="352" w:lineRule="auto"/>
              <w:rPr>
                <w:rFonts w:ascii="Arial"/>
                <w:sz w:val="21"/>
              </w:rPr>
            </w:pPr>
            <w:r/>
          </w:p>
          <w:p>
            <w:pPr>
              <w:pStyle w:val="TableText"/>
              <w:ind w:left="82" w:right="107" w:firstLine="50"/>
              <w:spacing w:before="65" w:line="227" w:lineRule="auto"/>
              <w:jc w:val="both"/>
              <w:rPr>
                <w:sz w:val="20"/>
                <w:szCs w:val="20"/>
              </w:rPr>
            </w:pPr>
            <w:r>
              <w:rPr>
                <w:sz w:val="20"/>
                <w:szCs w:val="20"/>
                <w:b/>
                <w:bCs/>
                <w:spacing w:val="-9"/>
              </w:rPr>
              <w:t>声源</w:t>
            </w:r>
            <w:r>
              <w:rPr>
                <w:sz w:val="20"/>
                <w:szCs w:val="20"/>
              </w:rPr>
              <w:t xml:space="preserve"> </w:t>
            </w:r>
            <w:r>
              <w:rPr>
                <w:sz w:val="20"/>
                <w:szCs w:val="20"/>
                <w:b/>
                <w:bCs/>
                <w:spacing w:val="-6"/>
              </w:rPr>
              <w:t>名称/</w:t>
            </w:r>
            <w:r>
              <w:rPr>
                <w:sz w:val="20"/>
                <w:szCs w:val="20"/>
              </w:rPr>
              <w:t xml:space="preserve"> </w:t>
            </w:r>
            <w:r>
              <w:rPr>
                <w:sz w:val="20"/>
                <w:szCs w:val="20"/>
                <w:b/>
                <w:bCs/>
                <w:spacing w:val="18"/>
              </w:rPr>
              <w:t>数量</w:t>
            </w:r>
          </w:p>
        </w:tc>
        <w:tc>
          <w:tcPr>
            <w:tcW w:w="789" w:type="dxa"/>
            <w:vAlign w:val="top"/>
          </w:tcPr>
          <w:p>
            <w:pPr>
              <w:pStyle w:val="TableText"/>
              <w:ind w:left="182"/>
              <w:spacing w:before="40" w:line="273" w:lineRule="exact"/>
              <w:rPr>
                <w:sz w:val="20"/>
                <w:szCs w:val="20"/>
              </w:rPr>
            </w:pPr>
            <w:r>
              <w:rPr>
                <w:sz w:val="20"/>
                <w:szCs w:val="20"/>
                <w:b/>
                <w:bCs/>
                <w:spacing w:val="-6"/>
                <w:position w:val="5"/>
              </w:rPr>
              <w:t>声源</w:t>
            </w:r>
          </w:p>
          <w:p>
            <w:pPr>
              <w:pStyle w:val="TableText"/>
              <w:ind w:left="182"/>
              <w:spacing w:line="194" w:lineRule="auto"/>
              <w:rPr>
                <w:sz w:val="20"/>
                <w:szCs w:val="20"/>
              </w:rPr>
            </w:pPr>
            <w:r>
              <w:rPr>
                <w:sz w:val="20"/>
                <w:szCs w:val="20"/>
                <w:b/>
                <w:bCs/>
                <w:spacing w:val="-4"/>
              </w:rPr>
              <w:t>源强</w:t>
            </w:r>
          </w:p>
        </w:tc>
        <w:tc>
          <w:tcPr>
            <w:tcW w:w="1179" w:type="dxa"/>
            <w:vAlign w:val="top"/>
            <w:vMerge w:val="restart"/>
            <w:tcBorders>
              <w:bottom w:val="nil"/>
            </w:tcBorders>
          </w:tcPr>
          <w:p>
            <w:pPr>
              <w:spacing w:line="246" w:lineRule="auto"/>
              <w:rPr>
                <w:rFonts w:ascii="Arial"/>
                <w:sz w:val="21"/>
              </w:rPr>
            </w:pPr>
            <w:r/>
          </w:p>
          <w:p>
            <w:pPr>
              <w:spacing w:line="247" w:lineRule="auto"/>
              <w:rPr>
                <w:rFonts w:ascii="Arial"/>
                <w:sz w:val="21"/>
              </w:rPr>
            </w:pPr>
            <w:r/>
          </w:p>
          <w:p>
            <w:pPr>
              <w:pStyle w:val="TableText"/>
              <w:ind w:left="383" w:right="173" w:hanging="200"/>
              <w:spacing w:before="65" w:line="225" w:lineRule="auto"/>
              <w:rPr>
                <w:sz w:val="20"/>
                <w:szCs w:val="20"/>
              </w:rPr>
            </w:pPr>
            <w:r>
              <w:rPr>
                <w:sz w:val="20"/>
                <w:szCs w:val="20"/>
                <w:b/>
                <w:bCs/>
              </w:rPr>
              <w:t>声源控制</w:t>
            </w:r>
            <w:r>
              <w:rPr>
                <w:sz w:val="20"/>
                <w:szCs w:val="20"/>
                <w:spacing w:val="2"/>
              </w:rPr>
              <w:t xml:space="preserve"> </w:t>
            </w:r>
            <w:r>
              <w:rPr>
                <w:sz w:val="20"/>
                <w:szCs w:val="20"/>
                <w:b/>
                <w:bCs/>
                <w:spacing w:val="-5"/>
              </w:rPr>
              <w:t>措施</w:t>
            </w:r>
          </w:p>
        </w:tc>
        <w:tc>
          <w:tcPr>
            <w:tcW w:w="2028" w:type="dxa"/>
            <w:vAlign w:val="top"/>
            <w:gridSpan w:val="3"/>
          </w:tcPr>
          <w:p>
            <w:pPr>
              <w:pStyle w:val="TableText"/>
              <w:ind w:left="294"/>
              <w:spacing w:before="171" w:line="221" w:lineRule="auto"/>
              <w:rPr>
                <w:sz w:val="20"/>
                <w:szCs w:val="20"/>
              </w:rPr>
            </w:pPr>
            <w:r>
              <w:rPr>
                <w:sz w:val="20"/>
                <w:szCs w:val="20"/>
                <w:b/>
                <w:bCs/>
                <w:spacing w:val="-4"/>
              </w:rPr>
              <w:t>空间相对位置*/m</w:t>
            </w:r>
          </w:p>
        </w:tc>
        <w:tc>
          <w:tcPr>
            <w:tcW w:w="949" w:type="dxa"/>
            <w:vAlign w:val="top"/>
            <w:vMerge w:val="restart"/>
            <w:tcBorders>
              <w:bottom w:val="nil"/>
            </w:tcBorders>
          </w:tcPr>
          <w:p>
            <w:pPr>
              <w:spacing w:line="383" w:lineRule="auto"/>
              <w:rPr>
                <w:rFonts w:ascii="Arial"/>
                <w:sz w:val="21"/>
              </w:rPr>
            </w:pPr>
            <w:r/>
          </w:p>
          <w:p>
            <w:pPr>
              <w:pStyle w:val="TableText"/>
              <w:ind w:left="166"/>
              <w:spacing w:before="65" w:line="220" w:lineRule="auto"/>
              <w:rPr>
                <w:sz w:val="20"/>
                <w:szCs w:val="20"/>
              </w:rPr>
            </w:pPr>
            <w:r>
              <w:rPr>
                <w:sz w:val="20"/>
                <w:szCs w:val="20"/>
                <w:b/>
                <w:bCs/>
              </w:rPr>
              <w:t>叠加后</w:t>
            </w:r>
          </w:p>
          <w:p>
            <w:pPr>
              <w:pStyle w:val="TableText"/>
              <w:ind w:left="266"/>
              <w:spacing w:before="21" w:line="220" w:lineRule="auto"/>
              <w:rPr>
                <w:sz w:val="20"/>
                <w:szCs w:val="20"/>
              </w:rPr>
            </w:pPr>
            <w:r>
              <w:rPr>
                <w:sz w:val="20"/>
                <w:szCs w:val="20"/>
                <w:b/>
                <w:bCs/>
                <w:spacing w:val="-6"/>
              </w:rPr>
              <w:t>声源</w:t>
            </w:r>
          </w:p>
          <w:p>
            <w:pPr>
              <w:pStyle w:val="TableText"/>
              <w:ind w:left="166"/>
              <w:spacing w:before="14" w:line="222" w:lineRule="auto"/>
              <w:rPr>
                <w:sz w:val="20"/>
                <w:szCs w:val="20"/>
              </w:rPr>
            </w:pPr>
            <w:r>
              <w:rPr>
                <w:sz w:val="20"/>
                <w:szCs w:val="20"/>
                <w:b/>
                <w:bCs/>
                <w:spacing w:val="-4"/>
              </w:rPr>
              <w:t>/dB(A)</w:t>
            </w:r>
          </w:p>
        </w:tc>
        <w:tc>
          <w:tcPr>
            <w:tcW w:w="2887" w:type="dxa"/>
            <w:vAlign w:val="top"/>
            <w:gridSpan w:val="4"/>
          </w:tcPr>
          <w:p>
            <w:pPr>
              <w:pStyle w:val="TableText"/>
              <w:ind w:left="457"/>
              <w:spacing w:before="170" w:line="220" w:lineRule="auto"/>
              <w:rPr>
                <w:sz w:val="20"/>
                <w:szCs w:val="20"/>
              </w:rPr>
            </w:pPr>
            <w:r>
              <w:rPr>
                <w:sz w:val="20"/>
                <w:szCs w:val="20"/>
                <w:b/>
                <w:bCs/>
                <w:spacing w:val="-3"/>
              </w:rPr>
              <w:t>距凹版厂区边界距离/m</w:t>
            </w:r>
          </w:p>
        </w:tc>
        <w:tc>
          <w:tcPr>
            <w:tcW w:w="719"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pStyle w:val="TableText"/>
              <w:ind w:left="160"/>
              <w:spacing w:before="65" w:line="241" w:lineRule="auto"/>
              <w:rPr>
                <w:sz w:val="20"/>
                <w:szCs w:val="20"/>
              </w:rPr>
            </w:pPr>
            <w:r>
              <w:rPr>
                <w:sz w:val="20"/>
                <w:szCs w:val="20"/>
                <w:b/>
                <w:bCs/>
                <w:spacing w:val="-5"/>
              </w:rPr>
              <w:t>运行</w:t>
            </w:r>
          </w:p>
          <w:p>
            <w:pPr>
              <w:pStyle w:val="TableText"/>
              <w:ind w:left="160"/>
              <w:spacing w:line="220" w:lineRule="auto"/>
              <w:rPr>
                <w:sz w:val="20"/>
                <w:szCs w:val="20"/>
              </w:rPr>
            </w:pPr>
            <w:r>
              <w:rPr>
                <w:sz w:val="20"/>
                <w:szCs w:val="20"/>
                <w:b/>
                <w:bCs/>
                <w:spacing w:val="-7"/>
              </w:rPr>
              <w:t>时段</w:t>
            </w:r>
          </w:p>
        </w:tc>
        <w:tc>
          <w:tcPr>
            <w:tcW w:w="750" w:type="dxa"/>
            <w:vAlign w:val="top"/>
            <w:vMerge w:val="restart"/>
            <w:tcBorders>
              <w:bottom w:val="nil"/>
            </w:tcBorders>
          </w:tcPr>
          <w:p>
            <w:pPr>
              <w:pStyle w:val="TableText"/>
              <w:ind w:left="171"/>
              <w:spacing w:before="30" w:line="220" w:lineRule="auto"/>
              <w:rPr>
                <w:sz w:val="20"/>
                <w:szCs w:val="20"/>
              </w:rPr>
            </w:pPr>
            <w:r>
              <w:rPr>
                <w:sz w:val="20"/>
                <w:szCs w:val="20"/>
                <w:b/>
                <w:bCs/>
                <w:spacing w:val="-5"/>
              </w:rPr>
              <w:t>减震</w:t>
            </w:r>
          </w:p>
          <w:p>
            <w:pPr>
              <w:pStyle w:val="TableText"/>
              <w:ind w:left="71"/>
              <w:spacing w:before="48" w:line="224" w:lineRule="auto"/>
              <w:rPr>
                <w:sz w:val="20"/>
                <w:szCs w:val="20"/>
              </w:rPr>
            </w:pPr>
            <w:r>
              <w:rPr>
                <w:sz w:val="20"/>
                <w:szCs w:val="20"/>
                <w:b/>
                <w:bCs/>
                <w:spacing w:val="-5"/>
              </w:rPr>
              <w:t>垫、空</w:t>
            </w:r>
          </w:p>
          <w:p>
            <w:pPr>
              <w:pStyle w:val="TableText"/>
              <w:ind w:left="171"/>
              <w:spacing w:line="211" w:lineRule="auto"/>
              <w:rPr>
                <w:sz w:val="20"/>
                <w:szCs w:val="20"/>
              </w:rPr>
            </w:pPr>
            <w:r>
              <w:rPr>
                <w:sz w:val="20"/>
                <w:szCs w:val="20"/>
                <w:b/>
                <w:bCs/>
                <w:spacing w:val="-5"/>
              </w:rPr>
              <w:t>气吸</w:t>
            </w:r>
          </w:p>
          <w:p>
            <w:pPr>
              <w:pStyle w:val="TableText"/>
              <w:ind w:left="171"/>
              <w:spacing w:line="219" w:lineRule="auto"/>
              <w:rPr>
                <w:sz w:val="20"/>
                <w:szCs w:val="20"/>
              </w:rPr>
            </w:pPr>
            <w:r>
              <w:rPr>
                <w:sz w:val="20"/>
                <w:szCs w:val="20"/>
                <w:b/>
                <w:bCs/>
                <w:spacing w:val="3"/>
              </w:rPr>
              <w:t>收损</w:t>
            </w:r>
          </w:p>
          <w:p>
            <w:pPr>
              <w:pStyle w:val="TableText"/>
              <w:ind w:left="121"/>
              <w:spacing w:before="64" w:line="221" w:lineRule="auto"/>
              <w:rPr>
                <w:sz w:val="20"/>
                <w:szCs w:val="20"/>
              </w:rPr>
            </w:pPr>
            <w:r>
              <w:rPr>
                <w:sz w:val="20"/>
                <w:szCs w:val="20"/>
                <w:b/>
                <w:bCs/>
                <w:spacing w:val="-5"/>
              </w:rPr>
              <w:t>失/dB</w:t>
            </w:r>
          </w:p>
          <w:p>
            <w:pPr>
              <w:pStyle w:val="TableText"/>
              <w:ind w:left="221"/>
              <w:spacing w:before="23" w:line="183" w:lineRule="auto"/>
              <w:rPr>
                <w:sz w:val="20"/>
                <w:szCs w:val="20"/>
              </w:rPr>
            </w:pPr>
            <w:r>
              <w:rPr>
                <w:sz w:val="20"/>
                <w:szCs w:val="20"/>
                <w:b/>
                <w:bCs/>
                <w:spacing w:val="-12"/>
              </w:rPr>
              <w:t>(A)</w:t>
            </w:r>
          </w:p>
        </w:tc>
        <w:tc>
          <w:tcPr>
            <w:tcW w:w="3303" w:type="dxa"/>
            <w:vAlign w:val="top"/>
            <w:gridSpan w:val="5"/>
          </w:tcPr>
          <w:p>
            <w:pPr>
              <w:pStyle w:val="TableText"/>
              <w:ind w:left="801"/>
              <w:spacing w:before="170" w:line="220" w:lineRule="auto"/>
              <w:rPr>
                <w:sz w:val="20"/>
                <w:szCs w:val="20"/>
              </w:rPr>
            </w:pPr>
            <w:r>
              <w:rPr>
                <w:sz w:val="20"/>
                <w:szCs w:val="20"/>
                <w:b/>
                <w:bCs/>
                <w:spacing w:val="-2"/>
              </w:rPr>
              <w:t>凹版区域厂界外噪声</w:t>
            </w:r>
          </w:p>
        </w:tc>
      </w:tr>
      <w:tr>
        <w:trPr>
          <w:trHeight w:val="269" w:hRule="atLeast"/>
        </w:trPr>
        <w:tc>
          <w:tcPr>
            <w:tcW w:w="385" w:type="dxa"/>
            <w:vAlign w:val="top"/>
            <w:vMerge w:val="continue"/>
            <w:textDirection w:val="tbRlV"/>
            <w:tcBorders>
              <w:top w:val="nil"/>
              <w:bottom w:val="nil"/>
            </w:tcBorders>
          </w:tcPr>
          <w:p>
            <w:pPr>
              <w:rPr>
                <w:rFonts w:ascii="Arial"/>
                <w:sz w:val="21"/>
              </w:rPr>
            </w:pPr>
            <w:r/>
          </w:p>
        </w:tc>
        <w:tc>
          <w:tcPr>
            <w:tcW w:w="600" w:type="dxa"/>
            <w:vAlign w:val="top"/>
            <w:vMerge w:val="continue"/>
            <w:textDirection w:val="tbRlV"/>
            <w:tcBorders>
              <w:top w:val="nil"/>
              <w:bottom w:val="nil"/>
            </w:tcBorders>
          </w:tcPr>
          <w:p>
            <w:pPr>
              <w:rPr>
                <w:rFonts w:ascii="Arial"/>
                <w:sz w:val="21"/>
              </w:rPr>
            </w:pPr>
            <w:r/>
          </w:p>
        </w:tc>
        <w:tc>
          <w:tcPr>
            <w:tcW w:w="690" w:type="dxa"/>
            <w:vAlign w:val="top"/>
            <w:vMerge w:val="continue"/>
            <w:tcBorders>
              <w:top w:val="nil"/>
              <w:bottom w:val="nil"/>
            </w:tcBorders>
          </w:tcPr>
          <w:p>
            <w:pPr>
              <w:rPr>
                <w:rFonts w:ascii="Arial"/>
                <w:sz w:val="21"/>
              </w:rPr>
            </w:pPr>
            <w:r/>
          </w:p>
        </w:tc>
        <w:tc>
          <w:tcPr>
            <w:tcW w:w="789" w:type="dxa"/>
            <w:vAlign w:val="top"/>
            <w:vMerge w:val="restart"/>
            <w:tcBorders>
              <w:bottom w:val="nil"/>
            </w:tcBorders>
          </w:tcPr>
          <w:p>
            <w:pPr>
              <w:pStyle w:val="TableText"/>
              <w:ind w:left="182"/>
              <w:spacing w:before="176" w:line="220" w:lineRule="auto"/>
              <w:rPr>
                <w:sz w:val="20"/>
                <w:szCs w:val="20"/>
              </w:rPr>
            </w:pPr>
            <w:r>
              <w:rPr>
                <w:sz w:val="20"/>
                <w:szCs w:val="20"/>
                <w:b/>
                <w:bCs/>
                <w:spacing w:val="-6"/>
              </w:rPr>
              <w:t>声功</w:t>
            </w:r>
          </w:p>
          <w:p>
            <w:pPr>
              <w:pStyle w:val="TableText"/>
              <w:ind w:left="82" w:right="103" w:firstLine="100"/>
              <w:spacing w:before="11" w:line="237" w:lineRule="auto"/>
              <w:rPr>
                <w:sz w:val="20"/>
                <w:szCs w:val="20"/>
              </w:rPr>
            </w:pPr>
            <w:r>
              <w:rPr>
                <w:sz w:val="20"/>
                <w:szCs w:val="20"/>
                <w:b/>
                <w:bCs/>
                <w:spacing w:val="-7"/>
              </w:rPr>
              <w:t>率级</w:t>
            </w:r>
            <w:r>
              <w:rPr>
                <w:sz w:val="20"/>
                <w:szCs w:val="20"/>
              </w:rPr>
              <w:t xml:space="preserve">  </w:t>
            </w:r>
            <w:r>
              <w:rPr>
                <w:sz w:val="20"/>
                <w:szCs w:val="20"/>
                <w:b/>
                <w:bCs/>
                <w:spacing w:val="-4"/>
              </w:rPr>
              <w:t>/dB(A)</w:t>
            </w:r>
          </w:p>
        </w:tc>
        <w:tc>
          <w:tcPr>
            <w:tcW w:w="1179" w:type="dxa"/>
            <w:vAlign w:val="top"/>
            <w:vMerge w:val="continue"/>
            <w:tcBorders>
              <w:top w:val="nil"/>
              <w:bottom w:val="nil"/>
            </w:tcBorders>
          </w:tcPr>
          <w:p>
            <w:pPr>
              <w:rPr>
                <w:rFonts w:ascii="Arial"/>
                <w:sz w:val="21"/>
              </w:rPr>
            </w:pPr>
            <w:r/>
          </w:p>
        </w:tc>
        <w:tc>
          <w:tcPr>
            <w:tcW w:w="540" w:type="dxa"/>
            <w:vAlign w:val="top"/>
            <w:vMerge w:val="restart"/>
            <w:tcBorders>
              <w:bottom w:val="nil"/>
            </w:tcBorders>
          </w:tcPr>
          <w:p>
            <w:pPr>
              <w:spacing w:line="394" w:lineRule="auto"/>
              <w:rPr>
                <w:rFonts w:ascii="Arial"/>
                <w:sz w:val="21"/>
              </w:rPr>
            </w:pPr>
            <w:r/>
          </w:p>
          <w:p>
            <w:pPr>
              <w:pStyle w:val="TableText"/>
              <w:ind w:left="214"/>
              <w:spacing w:before="65" w:line="182" w:lineRule="auto"/>
              <w:rPr>
                <w:sz w:val="20"/>
                <w:szCs w:val="20"/>
              </w:rPr>
            </w:pPr>
            <w:r>
              <w:rPr>
                <w:sz w:val="20"/>
                <w:szCs w:val="20"/>
                <w:b/>
                <w:bCs/>
                <w:spacing w:val="-3"/>
              </w:rPr>
              <w:t>X</w:t>
            </w:r>
          </w:p>
        </w:tc>
        <w:tc>
          <w:tcPr>
            <w:tcW w:w="689" w:type="dxa"/>
            <w:vAlign w:val="top"/>
            <w:vMerge w:val="restart"/>
            <w:tcBorders>
              <w:bottom w:val="nil"/>
            </w:tcBorders>
          </w:tcPr>
          <w:p>
            <w:pPr>
              <w:spacing w:line="394" w:lineRule="auto"/>
              <w:rPr>
                <w:rFonts w:ascii="Arial"/>
                <w:sz w:val="21"/>
              </w:rPr>
            </w:pPr>
            <w:r/>
          </w:p>
          <w:p>
            <w:pPr>
              <w:pStyle w:val="TableText"/>
              <w:ind w:left="284"/>
              <w:spacing w:before="65" w:line="182" w:lineRule="auto"/>
              <w:rPr>
                <w:sz w:val="20"/>
                <w:szCs w:val="20"/>
              </w:rPr>
            </w:pPr>
            <w:r>
              <w:rPr>
                <w:sz w:val="20"/>
                <w:szCs w:val="20"/>
                <w:b/>
                <w:bCs/>
                <w:spacing w:val="-3"/>
              </w:rPr>
              <w:t>Y</w:t>
            </w:r>
          </w:p>
        </w:tc>
        <w:tc>
          <w:tcPr>
            <w:tcW w:w="799" w:type="dxa"/>
            <w:vAlign w:val="top"/>
            <w:vMerge w:val="restart"/>
            <w:tcBorders>
              <w:bottom w:val="nil"/>
            </w:tcBorders>
          </w:tcPr>
          <w:p>
            <w:pPr>
              <w:spacing w:line="394" w:lineRule="auto"/>
              <w:rPr>
                <w:rFonts w:ascii="Arial"/>
                <w:sz w:val="21"/>
              </w:rPr>
            </w:pPr>
            <w:r/>
          </w:p>
          <w:p>
            <w:pPr>
              <w:pStyle w:val="TableText"/>
              <w:ind w:left="345"/>
              <w:spacing w:before="65" w:line="182" w:lineRule="auto"/>
              <w:rPr>
                <w:sz w:val="20"/>
                <w:szCs w:val="20"/>
              </w:rPr>
            </w:pPr>
            <w:r>
              <w:rPr>
                <w:sz w:val="20"/>
                <w:szCs w:val="20"/>
                <w:b/>
                <w:bCs/>
                <w:spacing w:val="-3"/>
              </w:rPr>
              <w:t>Z</w:t>
            </w:r>
          </w:p>
        </w:tc>
        <w:tc>
          <w:tcPr>
            <w:tcW w:w="949" w:type="dxa"/>
            <w:vAlign w:val="top"/>
            <w:vMerge w:val="continue"/>
            <w:tcBorders>
              <w:top w:val="nil"/>
              <w:bottom w:val="nil"/>
            </w:tcBorders>
          </w:tcPr>
          <w:p>
            <w:pPr>
              <w:rPr>
                <w:rFonts w:ascii="Arial"/>
                <w:sz w:val="21"/>
              </w:rPr>
            </w:pPr>
            <w:r/>
          </w:p>
        </w:tc>
        <w:tc>
          <w:tcPr>
            <w:tcW w:w="739" w:type="dxa"/>
            <w:vAlign w:val="top"/>
            <w:vMerge w:val="restart"/>
            <w:tcBorders>
              <w:bottom w:val="nil"/>
            </w:tcBorders>
          </w:tcPr>
          <w:p>
            <w:pPr>
              <w:spacing w:line="339" w:lineRule="auto"/>
              <w:rPr>
                <w:rFonts w:ascii="Arial"/>
                <w:sz w:val="21"/>
              </w:rPr>
            </w:pPr>
            <w:r/>
          </w:p>
          <w:p>
            <w:pPr>
              <w:pStyle w:val="TableText"/>
              <w:ind w:left="167"/>
              <w:spacing w:before="65" w:line="219" w:lineRule="auto"/>
              <w:rPr>
                <w:sz w:val="20"/>
                <w:szCs w:val="20"/>
              </w:rPr>
            </w:pPr>
            <w:r>
              <w:rPr>
                <w:sz w:val="20"/>
                <w:szCs w:val="20"/>
                <w:b/>
                <w:bCs/>
                <w:spacing w:val="-5"/>
              </w:rPr>
              <w:t>北侧</w:t>
            </w:r>
          </w:p>
        </w:tc>
        <w:tc>
          <w:tcPr>
            <w:tcW w:w="829" w:type="dxa"/>
            <w:vAlign w:val="top"/>
            <w:vMerge w:val="restart"/>
            <w:tcBorders>
              <w:bottom w:val="nil"/>
            </w:tcBorders>
          </w:tcPr>
          <w:p>
            <w:pPr>
              <w:spacing w:line="339" w:lineRule="auto"/>
              <w:rPr>
                <w:rFonts w:ascii="Arial"/>
                <w:sz w:val="21"/>
              </w:rPr>
            </w:pPr>
            <w:r/>
          </w:p>
          <w:p>
            <w:pPr>
              <w:pStyle w:val="TableText"/>
              <w:ind w:left="208"/>
              <w:spacing w:before="65" w:line="219" w:lineRule="auto"/>
              <w:rPr>
                <w:sz w:val="20"/>
                <w:szCs w:val="20"/>
              </w:rPr>
            </w:pPr>
            <w:r>
              <w:rPr>
                <w:sz w:val="20"/>
                <w:szCs w:val="20"/>
                <w:b/>
                <w:bCs/>
                <w:spacing w:val="2"/>
              </w:rPr>
              <w:t>西侧</w:t>
            </w:r>
          </w:p>
        </w:tc>
        <w:tc>
          <w:tcPr>
            <w:tcW w:w="640" w:type="dxa"/>
            <w:vAlign w:val="top"/>
            <w:vMerge w:val="restart"/>
            <w:tcBorders>
              <w:bottom w:val="nil"/>
            </w:tcBorders>
          </w:tcPr>
          <w:p>
            <w:pPr>
              <w:spacing w:line="339" w:lineRule="auto"/>
              <w:rPr>
                <w:rFonts w:ascii="Arial"/>
                <w:sz w:val="21"/>
              </w:rPr>
            </w:pPr>
            <w:r/>
          </w:p>
          <w:p>
            <w:pPr>
              <w:pStyle w:val="TableText"/>
              <w:ind w:left="119"/>
              <w:spacing w:before="65" w:line="219" w:lineRule="auto"/>
              <w:rPr>
                <w:sz w:val="20"/>
                <w:szCs w:val="20"/>
              </w:rPr>
            </w:pPr>
            <w:r>
              <w:rPr>
                <w:sz w:val="20"/>
                <w:szCs w:val="20"/>
                <w:b/>
                <w:bCs/>
                <w:spacing w:val="-5"/>
              </w:rPr>
              <w:t>南侧</w:t>
            </w:r>
          </w:p>
        </w:tc>
        <w:tc>
          <w:tcPr>
            <w:tcW w:w="679" w:type="dxa"/>
            <w:vAlign w:val="top"/>
            <w:vMerge w:val="restart"/>
            <w:tcBorders>
              <w:bottom w:val="nil"/>
            </w:tcBorders>
          </w:tcPr>
          <w:p>
            <w:pPr>
              <w:spacing w:line="339" w:lineRule="auto"/>
              <w:rPr>
                <w:rFonts w:ascii="Arial"/>
                <w:sz w:val="21"/>
              </w:rPr>
            </w:pPr>
            <w:r/>
          </w:p>
          <w:p>
            <w:pPr>
              <w:pStyle w:val="TableText"/>
              <w:ind w:left="139"/>
              <w:spacing w:before="65" w:line="219" w:lineRule="auto"/>
              <w:rPr>
                <w:sz w:val="20"/>
                <w:szCs w:val="20"/>
              </w:rPr>
            </w:pPr>
            <w:r>
              <w:rPr>
                <w:sz w:val="20"/>
                <w:szCs w:val="20"/>
                <w:b/>
                <w:bCs/>
                <w:spacing w:val="2"/>
              </w:rPr>
              <w:t>东侧</w:t>
            </w:r>
          </w:p>
        </w:tc>
        <w:tc>
          <w:tcPr>
            <w:tcW w:w="719" w:type="dxa"/>
            <w:vAlign w:val="top"/>
            <w:vMerge w:val="continue"/>
            <w:tcBorders>
              <w:top w:val="nil"/>
              <w:bottom w:val="nil"/>
            </w:tcBorders>
          </w:tcPr>
          <w:p>
            <w:pPr>
              <w:rPr>
                <w:rFonts w:ascii="Arial"/>
                <w:sz w:val="21"/>
              </w:rPr>
            </w:pPr>
            <w:r/>
          </w:p>
        </w:tc>
        <w:tc>
          <w:tcPr>
            <w:tcW w:w="750" w:type="dxa"/>
            <w:vAlign w:val="top"/>
            <w:vMerge w:val="continue"/>
            <w:tcBorders>
              <w:top w:val="nil"/>
              <w:bottom w:val="nil"/>
            </w:tcBorders>
          </w:tcPr>
          <w:p>
            <w:pPr>
              <w:rPr>
                <w:rFonts w:ascii="Arial"/>
                <w:sz w:val="21"/>
              </w:rPr>
            </w:pPr>
            <w:r/>
          </w:p>
        </w:tc>
        <w:tc>
          <w:tcPr>
            <w:tcW w:w="2668" w:type="dxa"/>
            <w:vAlign w:val="top"/>
            <w:gridSpan w:val="4"/>
          </w:tcPr>
          <w:p>
            <w:pPr>
              <w:pStyle w:val="TableText"/>
              <w:ind w:left="781"/>
              <w:spacing w:before="36" w:line="205" w:lineRule="auto"/>
              <w:rPr>
                <w:sz w:val="20"/>
                <w:szCs w:val="20"/>
              </w:rPr>
            </w:pPr>
            <w:r>
              <w:rPr>
                <w:sz w:val="20"/>
                <w:szCs w:val="20"/>
                <w:b/>
                <w:bCs/>
                <w:spacing w:val="2"/>
              </w:rPr>
              <w:t>声压级/</w:t>
            </w:r>
            <w:r>
              <w:rPr>
                <w:sz w:val="20"/>
                <w:szCs w:val="20"/>
                <w:b/>
                <w:bCs/>
              </w:rPr>
              <w:t>dB</w:t>
            </w:r>
            <w:r>
              <w:rPr>
                <w:sz w:val="20"/>
                <w:szCs w:val="20"/>
                <w:b/>
                <w:bCs/>
                <w:spacing w:val="2"/>
              </w:rPr>
              <w:t>(A)</w:t>
            </w:r>
          </w:p>
        </w:tc>
        <w:tc>
          <w:tcPr>
            <w:tcW w:w="635" w:type="dxa"/>
            <w:vAlign w:val="top"/>
            <w:vMerge w:val="restart"/>
            <w:tcBorders>
              <w:bottom w:val="nil"/>
            </w:tcBorders>
          </w:tcPr>
          <w:p>
            <w:pPr>
              <w:pStyle w:val="TableText"/>
              <w:ind w:left="113" w:right="121"/>
              <w:spacing w:before="138" w:line="239" w:lineRule="auto"/>
              <w:jc w:val="both"/>
              <w:rPr>
                <w:sz w:val="20"/>
                <w:szCs w:val="20"/>
              </w:rPr>
            </w:pPr>
            <w:r>
              <w:rPr>
                <w:sz w:val="20"/>
                <w:szCs w:val="20"/>
                <w:b/>
                <w:bCs/>
                <w:spacing w:val="-8"/>
              </w:rPr>
              <w:t>厂界</w:t>
            </w:r>
            <w:r>
              <w:rPr>
                <w:sz w:val="20"/>
                <w:szCs w:val="20"/>
              </w:rPr>
              <w:t xml:space="preserve"> </w:t>
            </w:r>
            <w:r>
              <w:rPr>
                <w:sz w:val="20"/>
                <w:szCs w:val="20"/>
                <w:b/>
                <w:bCs/>
                <w:spacing w:val="-9"/>
              </w:rPr>
              <w:t>外距</w:t>
            </w:r>
            <w:r>
              <w:rPr>
                <w:sz w:val="20"/>
                <w:szCs w:val="20"/>
              </w:rPr>
              <w:t xml:space="preserve"> </w:t>
            </w:r>
            <w:r>
              <w:rPr>
                <w:sz w:val="20"/>
                <w:szCs w:val="20"/>
                <w:b/>
                <w:bCs/>
                <w:spacing w:val="-6"/>
              </w:rPr>
              <w:t>离/m</w:t>
            </w:r>
          </w:p>
        </w:tc>
      </w:tr>
      <w:tr>
        <w:trPr>
          <w:trHeight w:val="739" w:hRule="atLeast"/>
        </w:trPr>
        <w:tc>
          <w:tcPr>
            <w:tcW w:w="385" w:type="dxa"/>
            <w:vAlign w:val="top"/>
            <w:vMerge w:val="continue"/>
            <w:textDirection w:val="tbRlV"/>
            <w:tcBorders>
              <w:top w:val="nil"/>
            </w:tcBorders>
          </w:tcPr>
          <w:p>
            <w:pPr>
              <w:rPr>
                <w:rFonts w:ascii="Arial"/>
                <w:sz w:val="21"/>
              </w:rPr>
            </w:pPr>
            <w:r/>
          </w:p>
        </w:tc>
        <w:tc>
          <w:tcPr>
            <w:tcW w:w="600" w:type="dxa"/>
            <w:vAlign w:val="top"/>
            <w:vMerge w:val="continue"/>
            <w:textDirection w:val="tbRlV"/>
            <w:tcBorders>
              <w:top w:val="nil"/>
            </w:tcBorders>
          </w:tcPr>
          <w:p>
            <w:pPr>
              <w:rPr>
                <w:rFonts w:ascii="Arial"/>
                <w:sz w:val="21"/>
              </w:rPr>
            </w:pPr>
            <w:r/>
          </w:p>
        </w:tc>
        <w:tc>
          <w:tcPr>
            <w:tcW w:w="690" w:type="dxa"/>
            <w:vAlign w:val="top"/>
            <w:vMerge w:val="continue"/>
            <w:tcBorders>
              <w:top w:val="nil"/>
            </w:tcBorders>
          </w:tcPr>
          <w:p>
            <w:pPr>
              <w:rPr>
                <w:rFonts w:ascii="Arial"/>
                <w:sz w:val="21"/>
              </w:rPr>
            </w:pPr>
            <w:r/>
          </w:p>
        </w:tc>
        <w:tc>
          <w:tcPr>
            <w:tcW w:w="789" w:type="dxa"/>
            <w:vAlign w:val="top"/>
            <w:vMerge w:val="continue"/>
            <w:tcBorders>
              <w:top w:val="nil"/>
            </w:tcBorders>
          </w:tcPr>
          <w:p>
            <w:pPr>
              <w:rPr>
                <w:rFonts w:ascii="Arial"/>
                <w:sz w:val="21"/>
              </w:rPr>
            </w:pPr>
            <w:r/>
          </w:p>
        </w:tc>
        <w:tc>
          <w:tcPr>
            <w:tcW w:w="1179" w:type="dxa"/>
            <w:vAlign w:val="top"/>
            <w:vMerge w:val="continue"/>
            <w:tcBorders>
              <w:top w:val="nil"/>
            </w:tcBorders>
          </w:tcPr>
          <w:p>
            <w:pPr>
              <w:rPr>
                <w:rFonts w:ascii="Arial"/>
                <w:sz w:val="21"/>
              </w:rPr>
            </w:pPr>
            <w:r/>
          </w:p>
        </w:tc>
        <w:tc>
          <w:tcPr>
            <w:tcW w:w="540" w:type="dxa"/>
            <w:vAlign w:val="top"/>
            <w:vMerge w:val="continue"/>
            <w:tcBorders>
              <w:top w:val="nil"/>
            </w:tcBorders>
          </w:tcPr>
          <w:p>
            <w:pPr>
              <w:rPr>
                <w:rFonts w:ascii="Arial"/>
                <w:sz w:val="21"/>
              </w:rPr>
            </w:pPr>
            <w:r/>
          </w:p>
        </w:tc>
        <w:tc>
          <w:tcPr>
            <w:tcW w:w="689" w:type="dxa"/>
            <w:vAlign w:val="top"/>
            <w:vMerge w:val="continue"/>
            <w:tcBorders>
              <w:top w:val="nil"/>
            </w:tcBorders>
          </w:tcPr>
          <w:p>
            <w:pPr>
              <w:rPr>
                <w:rFonts w:ascii="Arial"/>
                <w:sz w:val="21"/>
              </w:rPr>
            </w:pPr>
            <w:r/>
          </w:p>
        </w:tc>
        <w:tc>
          <w:tcPr>
            <w:tcW w:w="799" w:type="dxa"/>
            <w:vAlign w:val="top"/>
            <w:vMerge w:val="continue"/>
            <w:tcBorders>
              <w:top w:val="nil"/>
            </w:tcBorders>
          </w:tcPr>
          <w:p>
            <w:pPr>
              <w:rPr>
                <w:rFonts w:ascii="Arial"/>
                <w:sz w:val="21"/>
              </w:rPr>
            </w:pPr>
            <w:r/>
          </w:p>
        </w:tc>
        <w:tc>
          <w:tcPr>
            <w:tcW w:w="949" w:type="dxa"/>
            <w:vAlign w:val="top"/>
            <w:vMerge w:val="continue"/>
            <w:tcBorders>
              <w:top w:val="nil"/>
            </w:tcBorders>
          </w:tcPr>
          <w:p>
            <w:pPr>
              <w:rPr>
                <w:rFonts w:ascii="Arial"/>
                <w:sz w:val="21"/>
              </w:rPr>
            </w:pPr>
            <w:r/>
          </w:p>
        </w:tc>
        <w:tc>
          <w:tcPr>
            <w:tcW w:w="739" w:type="dxa"/>
            <w:vAlign w:val="top"/>
            <w:vMerge w:val="continue"/>
            <w:tcBorders>
              <w:top w:val="nil"/>
            </w:tcBorders>
          </w:tcPr>
          <w:p>
            <w:pPr>
              <w:rPr>
                <w:rFonts w:ascii="Arial"/>
                <w:sz w:val="21"/>
              </w:rPr>
            </w:pPr>
            <w:r/>
          </w:p>
        </w:tc>
        <w:tc>
          <w:tcPr>
            <w:tcW w:w="829" w:type="dxa"/>
            <w:vAlign w:val="top"/>
            <w:vMerge w:val="continue"/>
            <w:tcBorders>
              <w:top w:val="nil"/>
            </w:tcBorders>
          </w:tcPr>
          <w:p>
            <w:pPr>
              <w:rPr>
                <w:rFonts w:ascii="Arial"/>
                <w:sz w:val="21"/>
              </w:rPr>
            </w:pPr>
            <w:r/>
          </w:p>
        </w:tc>
        <w:tc>
          <w:tcPr>
            <w:tcW w:w="640"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719" w:type="dxa"/>
            <w:vAlign w:val="top"/>
            <w:vMerge w:val="continue"/>
            <w:tcBorders>
              <w:top w:val="nil"/>
            </w:tcBorders>
          </w:tcPr>
          <w:p>
            <w:pPr>
              <w:rPr>
                <w:rFonts w:ascii="Arial"/>
                <w:sz w:val="21"/>
              </w:rPr>
            </w:pPr>
            <w:r/>
          </w:p>
        </w:tc>
        <w:tc>
          <w:tcPr>
            <w:tcW w:w="750" w:type="dxa"/>
            <w:vAlign w:val="top"/>
            <w:vMerge w:val="continue"/>
            <w:tcBorders>
              <w:top w:val="nil"/>
            </w:tcBorders>
          </w:tcPr>
          <w:p>
            <w:pPr>
              <w:rPr>
                <w:rFonts w:ascii="Arial"/>
                <w:sz w:val="21"/>
              </w:rPr>
            </w:pPr>
            <w:r/>
          </w:p>
        </w:tc>
        <w:tc>
          <w:tcPr>
            <w:tcW w:w="659" w:type="dxa"/>
            <w:vAlign w:val="top"/>
          </w:tcPr>
          <w:p>
            <w:pPr>
              <w:pStyle w:val="TableText"/>
              <w:ind w:left="131"/>
              <w:spacing w:before="267" w:line="219" w:lineRule="auto"/>
              <w:rPr>
                <w:sz w:val="20"/>
                <w:szCs w:val="20"/>
              </w:rPr>
            </w:pPr>
            <w:r>
              <w:rPr>
                <w:sz w:val="20"/>
                <w:szCs w:val="20"/>
                <w:b/>
                <w:bCs/>
                <w:spacing w:val="-5"/>
              </w:rPr>
              <w:t>北侧</w:t>
            </w:r>
          </w:p>
        </w:tc>
        <w:tc>
          <w:tcPr>
            <w:tcW w:w="630" w:type="dxa"/>
            <w:vAlign w:val="top"/>
          </w:tcPr>
          <w:p>
            <w:pPr>
              <w:pStyle w:val="TableText"/>
              <w:ind w:left="112"/>
              <w:spacing w:before="267" w:line="219" w:lineRule="auto"/>
              <w:rPr>
                <w:sz w:val="20"/>
                <w:szCs w:val="20"/>
              </w:rPr>
            </w:pPr>
            <w:r>
              <w:rPr>
                <w:sz w:val="20"/>
                <w:szCs w:val="20"/>
                <w:b/>
                <w:bCs/>
                <w:spacing w:val="2"/>
              </w:rPr>
              <w:t>西侧</w:t>
            </w:r>
          </w:p>
        </w:tc>
        <w:tc>
          <w:tcPr>
            <w:tcW w:w="659" w:type="dxa"/>
            <w:vAlign w:val="top"/>
          </w:tcPr>
          <w:p>
            <w:pPr>
              <w:pStyle w:val="TableText"/>
              <w:ind w:left="132"/>
              <w:spacing w:before="267" w:line="219" w:lineRule="auto"/>
              <w:rPr>
                <w:sz w:val="20"/>
                <w:szCs w:val="20"/>
              </w:rPr>
            </w:pPr>
            <w:r>
              <w:rPr>
                <w:sz w:val="20"/>
                <w:szCs w:val="20"/>
                <w:b/>
                <w:bCs/>
                <w:spacing w:val="-5"/>
              </w:rPr>
              <w:t>南侧</w:t>
            </w:r>
          </w:p>
        </w:tc>
        <w:tc>
          <w:tcPr>
            <w:tcW w:w="720" w:type="dxa"/>
            <w:vAlign w:val="top"/>
          </w:tcPr>
          <w:p>
            <w:pPr>
              <w:pStyle w:val="TableText"/>
              <w:ind w:left="163"/>
              <w:spacing w:before="267" w:line="219" w:lineRule="auto"/>
              <w:rPr>
                <w:sz w:val="20"/>
                <w:szCs w:val="20"/>
              </w:rPr>
            </w:pPr>
            <w:r>
              <w:rPr>
                <w:sz w:val="20"/>
                <w:szCs w:val="20"/>
                <w:b/>
                <w:bCs/>
                <w:spacing w:val="2"/>
              </w:rPr>
              <w:t>东侧</w:t>
            </w:r>
          </w:p>
        </w:tc>
        <w:tc>
          <w:tcPr>
            <w:tcW w:w="635" w:type="dxa"/>
            <w:vAlign w:val="top"/>
            <w:vMerge w:val="continue"/>
            <w:tcBorders>
              <w:top w:val="nil"/>
            </w:tcBorders>
          </w:tcPr>
          <w:p>
            <w:pPr>
              <w:rPr>
                <w:rFonts w:ascii="Arial"/>
                <w:sz w:val="21"/>
              </w:rPr>
            </w:pPr>
            <w:r/>
          </w:p>
        </w:tc>
      </w:tr>
      <w:tr>
        <w:trPr>
          <w:trHeight w:val="270" w:hRule="atLeast"/>
        </w:trPr>
        <w:tc>
          <w:tcPr>
            <w:tcW w:w="385" w:type="dxa"/>
            <w:vAlign w:val="top"/>
          </w:tcPr>
          <w:p>
            <w:pPr>
              <w:pStyle w:val="TableText"/>
              <w:ind w:left="134"/>
              <w:spacing w:before="91" w:line="168" w:lineRule="exact"/>
              <w:rPr>
                <w:sz w:val="20"/>
                <w:szCs w:val="20"/>
              </w:rPr>
            </w:pPr>
            <w:r>
              <w:rPr>
                <w:sz w:val="20"/>
                <w:szCs w:val="20"/>
                <w:position w:val="-2"/>
              </w:rPr>
              <w:t>1</w:t>
            </w:r>
          </w:p>
        </w:tc>
        <w:tc>
          <w:tcPr>
            <w:tcW w:w="600" w:type="dxa"/>
            <w:vAlign w:val="top"/>
            <w:vMerge w:val="restart"/>
            <w:textDirection w:val="tbRlV"/>
            <w:tcBorders>
              <w:bottom w:val="nil"/>
            </w:tcBorders>
          </w:tcPr>
          <w:p>
            <w:pPr>
              <w:pStyle w:val="TableText"/>
              <w:ind w:left="1136"/>
              <w:spacing w:before="200" w:line="216" w:lineRule="auto"/>
              <w:rPr>
                <w:sz w:val="20"/>
                <w:szCs w:val="20"/>
              </w:rPr>
            </w:pPr>
            <w:r>
              <w:rPr>
                <w:sz w:val="20"/>
                <w:szCs w:val="20"/>
              </w:rPr>
              <w:t>凹</w:t>
            </w:r>
            <w:r>
              <w:rPr>
                <w:sz w:val="20"/>
                <w:szCs w:val="20"/>
                <w:spacing w:val="-38"/>
              </w:rPr>
              <w:t xml:space="preserve"> </w:t>
            </w:r>
            <w:r>
              <w:rPr>
                <w:sz w:val="20"/>
                <w:szCs w:val="20"/>
              </w:rPr>
              <w:t>版</w:t>
            </w:r>
            <w:r>
              <w:rPr>
                <w:sz w:val="20"/>
                <w:szCs w:val="20"/>
                <w:spacing w:val="-38"/>
              </w:rPr>
              <w:t xml:space="preserve"> </w:t>
            </w:r>
            <w:r>
              <w:rPr>
                <w:sz w:val="20"/>
                <w:szCs w:val="20"/>
              </w:rPr>
              <w:t>厂</w:t>
            </w:r>
            <w:r>
              <w:rPr>
                <w:sz w:val="20"/>
                <w:szCs w:val="20"/>
                <w:spacing w:val="-39"/>
              </w:rPr>
              <w:t xml:space="preserve"> </w:t>
            </w:r>
            <w:r>
              <w:rPr>
                <w:sz w:val="20"/>
                <w:szCs w:val="20"/>
              </w:rPr>
              <w:t>房</w:t>
            </w:r>
            <w:r>
              <w:rPr>
                <w:sz w:val="20"/>
                <w:szCs w:val="20"/>
                <w:spacing w:val="-38"/>
              </w:rPr>
              <w:t xml:space="preserve"> </w:t>
            </w:r>
            <w:r>
              <w:rPr>
                <w:sz w:val="20"/>
                <w:szCs w:val="20"/>
              </w:rPr>
              <w:t>楼</w:t>
            </w:r>
            <w:r>
              <w:rPr>
                <w:sz w:val="20"/>
                <w:szCs w:val="20"/>
                <w:spacing w:val="-38"/>
              </w:rPr>
              <w:t xml:space="preserve"> </w:t>
            </w:r>
            <w:r>
              <w:rPr>
                <w:sz w:val="20"/>
                <w:szCs w:val="20"/>
              </w:rPr>
              <w:t>顶</w:t>
            </w:r>
          </w:p>
        </w:tc>
        <w:tc>
          <w:tcPr>
            <w:tcW w:w="690" w:type="dxa"/>
            <w:vAlign w:val="top"/>
            <w:vMerge w:val="restart"/>
            <w:tcBorders>
              <w:bottom w:val="nil"/>
            </w:tcBorders>
          </w:tcPr>
          <w:p>
            <w:pPr>
              <w:spacing w:line="312" w:lineRule="auto"/>
              <w:rPr>
                <w:rFonts w:ascii="Arial"/>
                <w:sz w:val="21"/>
              </w:rPr>
            </w:pPr>
            <w:r/>
          </w:p>
          <w:p>
            <w:pPr>
              <w:pStyle w:val="TableText"/>
              <w:ind w:left="130"/>
              <w:spacing w:before="65" w:line="237" w:lineRule="auto"/>
              <w:rPr>
                <w:sz w:val="20"/>
                <w:szCs w:val="20"/>
              </w:rPr>
            </w:pPr>
            <w:r>
              <w:rPr>
                <w:sz w:val="20"/>
                <w:szCs w:val="20"/>
                <w:spacing w:val="-3"/>
              </w:rPr>
              <w:t>风机</w:t>
            </w:r>
          </w:p>
          <w:p>
            <w:pPr>
              <w:pStyle w:val="TableText"/>
              <w:ind w:left="230"/>
              <w:spacing w:line="224" w:lineRule="auto"/>
              <w:rPr>
                <w:sz w:val="20"/>
                <w:szCs w:val="20"/>
              </w:rPr>
            </w:pPr>
            <w:r>
              <w:rPr>
                <w:sz w:val="20"/>
                <w:szCs w:val="20"/>
                <w:spacing w:val="-2"/>
              </w:rPr>
              <w:t>/4</w:t>
            </w:r>
          </w:p>
        </w:tc>
        <w:tc>
          <w:tcPr>
            <w:tcW w:w="789" w:type="dxa"/>
            <w:vAlign w:val="top"/>
          </w:tcPr>
          <w:p>
            <w:pPr>
              <w:pStyle w:val="TableText"/>
              <w:ind w:left="280"/>
              <w:spacing w:before="92" w:line="167" w:lineRule="exact"/>
              <w:rPr>
                <w:sz w:val="20"/>
                <w:szCs w:val="20"/>
              </w:rPr>
            </w:pPr>
            <w:r>
              <w:rPr>
                <w:sz w:val="20"/>
                <w:szCs w:val="20"/>
                <w:spacing w:val="-3"/>
                <w:position w:val="-2"/>
              </w:rPr>
              <w:t>85</w:t>
            </w:r>
          </w:p>
        </w:tc>
        <w:tc>
          <w:tcPr>
            <w:tcW w:w="1179" w:type="dxa"/>
            <w:vAlign w:val="top"/>
            <w:vMerge w:val="restart"/>
            <w:tcBorders>
              <w:bottom w:val="nil"/>
            </w:tcBorders>
          </w:tcPr>
          <w:p>
            <w:pPr>
              <w:pStyle w:val="TableText"/>
              <w:ind w:left="180"/>
              <w:spacing w:before="101" w:line="220" w:lineRule="auto"/>
              <w:rPr>
                <w:sz w:val="20"/>
                <w:szCs w:val="20"/>
              </w:rPr>
            </w:pPr>
            <w:r>
              <w:rPr>
                <w:sz w:val="20"/>
                <w:szCs w:val="20"/>
                <w:spacing w:val="2"/>
              </w:rPr>
              <w:t>安装减震</w:t>
            </w:r>
          </w:p>
          <w:p>
            <w:pPr>
              <w:pStyle w:val="TableText"/>
              <w:ind w:left="80"/>
              <w:spacing w:before="21" w:line="219" w:lineRule="auto"/>
              <w:rPr>
                <w:sz w:val="20"/>
                <w:szCs w:val="20"/>
              </w:rPr>
            </w:pPr>
            <w:r>
              <w:rPr>
                <w:sz w:val="20"/>
                <w:szCs w:val="20"/>
                <w:spacing w:val="-2"/>
              </w:rPr>
              <w:t>基础、风管</w:t>
            </w:r>
          </w:p>
          <w:p>
            <w:pPr>
              <w:pStyle w:val="TableText"/>
              <w:ind w:left="180"/>
              <w:spacing w:before="23" w:line="221" w:lineRule="auto"/>
              <w:rPr>
                <w:sz w:val="20"/>
                <w:szCs w:val="20"/>
              </w:rPr>
            </w:pPr>
            <w:r>
              <w:rPr>
                <w:sz w:val="20"/>
                <w:szCs w:val="20"/>
                <w:spacing w:val="-2"/>
              </w:rPr>
              <w:t>进出口安</w:t>
            </w:r>
          </w:p>
          <w:p>
            <w:pPr>
              <w:pStyle w:val="TableText"/>
              <w:ind w:left="180"/>
              <w:spacing w:before="20" w:line="220" w:lineRule="auto"/>
              <w:rPr>
                <w:sz w:val="20"/>
                <w:szCs w:val="20"/>
              </w:rPr>
            </w:pPr>
            <w:r>
              <w:rPr>
                <w:sz w:val="20"/>
                <w:szCs w:val="20"/>
                <w:spacing w:val="-2"/>
              </w:rPr>
              <w:t>装消声器</w:t>
            </w:r>
          </w:p>
        </w:tc>
        <w:tc>
          <w:tcPr>
            <w:tcW w:w="540" w:type="dxa"/>
            <w:vAlign w:val="top"/>
          </w:tcPr>
          <w:p>
            <w:pPr>
              <w:pStyle w:val="TableText"/>
              <w:ind w:left="112"/>
              <w:spacing w:before="91" w:line="168" w:lineRule="exact"/>
              <w:rPr>
                <w:sz w:val="20"/>
                <w:szCs w:val="20"/>
              </w:rPr>
            </w:pPr>
            <w:r>
              <w:rPr>
                <w:sz w:val="20"/>
                <w:szCs w:val="20"/>
                <w:spacing w:val="-6"/>
                <w:position w:val="-2"/>
              </w:rPr>
              <w:t>117</w:t>
            </w:r>
          </w:p>
        </w:tc>
        <w:tc>
          <w:tcPr>
            <w:tcW w:w="689" w:type="dxa"/>
            <w:vAlign w:val="top"/>
          </w:tcPr>
          <w:p>
            <w:pPr>
              <w:pStyle w:val="TableText"/>
              <w:ind w:left="231"/>
              <w:spacing w:before="92" w:line="167" w:lineRule="exact"/>
              <w:rPr>
                <w:sz w:val="20"/>
                <w:szCs w:val="20"/>
              </w:rPr>
            </w:pPr>
            <w:r>
              <w:rPr>
                <w:sz w:val="20"/>
                <w:szCs w:val="20"/>
                <w:spacing w:val="-4"/>
                <w:position w:val="-2"/>
              </w:rPr>
              <w:t>70</w:t>
            </w:r>
          </w:p>
        </w:tc>
        <w:tc>
          <w:tcPr>
            <w:tcW w:w="799" w:type="dxa"/>
            <w:vAlign w:val="top"/>
          </w:tcPr>
          <w:p>
            <w:pPr>
              <w:pStyle w:val="TableText"/>
              <w:ind w:left="293"/>
              <w:spacing w:before="92" w:line="167" w:lineRule="exact"/>
              <w:rPr>
                <w:sz w:val="20"/>
                <w:szCs w:val="20"/>
              </w:rPr>
            </w:pPr>
            <w:r>
              <w:rPr>
                <w:sz w:val="20"/>
                <w:szCs w:val="20"/>
                <w:spacing w:val="-3"/>
                <w:position w:val="-2"/>
              </w:rPr>
              <w:t>25</w:t>
            </w:r>
          </w:p>
        </w:tc>
        <w:tc>
          <w:tcPr>
            <w:tcW w:w="949" w:type="dxa"/>
            <w:vAlign w:val="top"/>
            <w:vMerge w:val="restart"/>
            <w:tcBorders>
              <w:bottom w:val="nil"/>
            </w:tcBorders>
          </w:tcPr>
          <w:p>
            <w:pPr>
              <w:spacing w:line="473" w:lineRule="auto"/>
              <w:rPr>
                <w:rFonts w:ascii="Arial"/>
                <w:sz w:val="21"/>
              </w:rPr>
            </w:pPr>
            <w:r/>
          </w:p>
          <w:p>
            <w:pPr>
              <w:pStyle w:val="TableText"/>
              <w:ind w:left="263"/>
              <w:spacing w:before="65" w:line="184" w:lineRule="auto"/>
              <w:rPr>
                <w:sz w:val="20"/>
                <w:szCs w:val="20"/>
              </w:rPr>
            </w:pPr>
            <w:r>
              <w:rPr>
                <w:sz w:val="20"/>
                <w:szCs w:val="20"/>
                <w:spacing w:val="-2"/>
              </w:rPr>
              <w:t>91.0</w:t>
            </w:r>
          </w:p>
        </w:tc>
        <w:tc>
          <w:tcPr>
            <w:tcW w:w="739" w:type="dxa"/>
            <w:vAlign w:val="top"/>
            <w:vMerge w:val="restart"/>
            <w:tcBorders>
              <w:bottom w:val="nil"/>
            </w:tcBorders>
          </w:tcPr>
          <w:p>
            <w:pPr>
              <w:spacing w:line="474" w:lineRule="auto"/>
              <w:rPr>
                <w:rFonts w:ascii="Arial"/>
                <w:sz w:val="21"/>
              </w:rPr>
            </w:pPr>
            <w:r/>
          </w:p>
          <w:p>
            <w:pPr>
              <w:pStyle w:val="TableText"/>
              <w:ind w:left="264"/>
              <w:spacing w:before="65" w:line="183" w:lineRule="auto"/>
              <w:rPr>
                <w:sz w:val="20"/>
                <w:szCs w:val="20"/>
              </w:rPr>
            </w:pPr>
            <w:r>
              <w:rPr>
                <w:sz w:val="20"/>
                <w:szCs w:val="20"/>
                <w:spacing w:val="-3"/>
              </w:rPr>
              <w:t>38</w:t>
            </w:r>
          </w:p>
        </w:tc>
        <w:tc>
          <w:tcPr>
            <w:tcW w:w="829" w:type="dxa"/>
            <w:vAlign w:val="top"/>
            <w:vMerge w:val="restart"/>
            <w:tcBorders>
              <w:bottom w:val="nil"/>
            </w:tcBorders>
          </w:tcPr>
          <w:p>
            <w:pPr>
              <w:spacing w:line="473" w:lineRule="auto"/>
              <w:rPr>
                <w:rFonts w:ascii="Arial"/>
                <w:sz w:val="21"/>
              </w:rPr>
            </w:pPr>
            <w:r/>
          </w:p>
          <w:p>
            <w:pPr>
              <w:pStyle w:val="TableText"/>
              <w:ind w:left="155"/>
              <w:spacing w:before="65" w:line="184" w:lineRule="auto"/>
              <w:rPr>
                <w:sz w:val="20"/>
                <w:szCs w:val="20"/>
              </w:rPr>
            </w:pPr>
            <w:r>
              <w:rPr>
                <w:sz w:val="20"/>
                <w:szCs w:val="20"/>
                <w:spacing w:val="-4"/>
              </w:rPr>
              <w:t>162.2</w:t>
            </w:r>
          </w:p>
        </w:tc>
        <w:tc>
          <w:tcPr>
            <w:tcW w:w="640" w:type="dxa"/>
            <w:vAlign w:val="top"/>
            <w:vMerge w:val="restart"/>
            <w:tcBorders>
              <w:bottom w:val="nil"/>
            </w:tcBorders>
          </w:tcPr>
          <w:p>
            <w:pPr>
              <w:spacing w:line="474" w:lineRule="auto"/>
              <w:rPr>
                <w:rFonts w:ascii="Arial"/>
                <w:sz w:val="21"/>
              </w:rPr>
            </w:pPr>
            <w:r/>
          </w:p>
          <w:p>
            <w:pPr>
              <w:pStyle w:val="TableText"/>
              <w:ind w:left="117"/>
              <w:spacing w:before="65" w:line="183" w:lineRule="auto"/>
              <w:rPr>
                <w:sz w:val="20"/>
                <w:szCs w:val="20"/>
              </w:rPr>
            </w:pPr>
            <w:r>
              <w:rPr>
                <w:sz w:val="20"/>
                <w:szCs w:val="20"/>
                <w:spacing w:val="-2"/>
              </w:rPr>
              <w:t>98.5</w:t>
            </w:r>
          </w:p>
        </w:tc>
        <w:tc>
          <w:tcPr>
            <w:tcW w:w="679" w:type="dxa"/>
            <w:vAlign w:val="top"/>
            <w:vMerge w:val="restart"/>
            <w:tcBorders>
              <w:bottom w:val="nil"/>
            </w:tcBorders>
          </w:tcPr>
          <w:p>
            <w:pPr>
              <w:spacing w:line="474" w:lineRule="auto"/>
              <w:rPr>
                <w:rFonts w:ascii="Arial"/>
                <w:sz w:val="21"/>
              </w:rPr>
            </w:pPr>
            <w:r/>
          </w:p>
          <w:p>
            <w:pPr>
              <w:pStyle w:val="TableText"/>
              <w:ind w:left="237"/>
              <w:spacing w:before="65" w:line="183" w:lineRule="auto"/>
              <w:rPr>
                <w:sz w:val="20"/>
                <w:szCs w:val="20"/>
              </w:rPr>
            </w:pPr>
            <w:r>
              <w:rPr>
                <w:sz w:val="20"/>
                <w:szCs w:val="20"/>
                <w:spacing w:val="-3"/>
              </w:rPr>
              <w:t>65</w:t>
            </w:r>
          </w:p>
        </w:tc>
        <w:tc>
          <w:tcPr>
            <w:tcW w:w="719" w:type="dxa"/>
            <w:vAlign w:val="top"/>
            <w:vMerge w:val="restart"/>
            <w:tcBorders>
              <w:bottom w:val="nil"/>
            </w:tcBorders>
          </w:tcPr>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pStyle w:val="TableText"/>
              <w:ind w:left="108"/>
              <w:spacing w:before="65" w:line="224" w:lineRule="auto"/>
              <w:rPr>
                <w:sz w:val="20"/>
                <w:szCs w:val="20"/>
              </w:rPr>
            </w:pPr>
            <w:r>
              <w:rPr>
                <w:sz w:val="20"/>
                <w:szCs w:val="20"/>
                <w:spacing w:val="-2"/>
              </w:rPr>
              <w:t>22h/d</w:t>
            </w:r>
          </w:p>
          <w:p>
            <w:pPr>
              <w:pStyle w:val="TableText"/>
              <w:ind w:left="307" w:right="112" w:hanging="199"/>
              <w:spacing w:before="257" w:line="256" w:lineRule="auto"/>
              <w:rPr>
                <w:sz w:val="20"/>
                <w:szCs w:val="20"/>
              </w:rPr>
            </w:pPr>
            <w:r>
              <w:rPr>
                <w:sz w:val="20"/>
                <w:szCs w:val="20"/>
                <w:spacing w:val="-3"/>
              </w:rPr>
              <w:t>300d/</w:t>
            </w:r>
            <w:r>
              <w:rPr>
                <w:sz w:val="20"/>
                <w:szCs w:val="20"/>
                <w:spacing w:val="2"/>
              </w:rPr>
              <w:t xml:space="preserve"> </w:t>
            </w:r>
            <w:r>
              <w:rPr>
                <w:sz w:val="20"/>
                <w:szCs w:val="20"/>
              </w:rPr>
              <w:t>a</w:t>
            </w:r>
          </w:p>
        </w:tc>
        <w:tc>
          <w:tcPr>
            <w:tcW w:w="750" w:type="dxa"/>
            <w:vAlign w:val="top"/>
            <w:vMerge w:val="restart"/>
            <w:tcBorders>
              <w:bottom w:val="nil"/>
            </w:tcBorders>
          </w:tcPr>
          <w:p>
            <w:pPr>
              <w:spacing w:line="474" w:lineRule="auto"/>
              <w:rPr>
                <w:rFonts w:ascii="Arial"/>
                <w:sz w:val="21"/>
              </w:rPr>
            </w:pPr>
            <w:r/>
          </w:p>
          <w:p>
            <w:pPr>
              <w:pStyle w:val="TableText"/>
              <w:ind w:left="268"/>
              <w:spacing w:before="65" w:line="183" w:lineRule="auto"/>
              <w:rPr>
                <w:sz w:val="20"/>
                <w:szCs w:val="20"/>
              </w:rPr>
            </w:pPr>
            <w:r>
              <w:rPr>
                <w:sz w:val="20"/>
                <w:szCs w:val="20"/>
                <w:spacing w:val="-3"/>
              </w:rPr>
              <w:t>20</w:t>
            </w:r>
          </w:p>
        </w:tc>
        <w:tc>
          <w:tcPr>
            <w:tcW w:w="659" w:type="dxa"/>
            <w:vAlign w:val="top"/>
            <w:vMerge w:val="restart"/>
            <w:tcBorders>
              <w:bottom w:val="nil"/>
            </w:tcBorders>
          </w:tcPr>
          <w:p>
            <w:pPr>
              <w:spacing w:line="474" w:lineRule="auto"/>
              <w:rPr>
                <w:rFonts w:ascii="Arial"/>
                <w:sz w:val="21"/>
              </w:rPr>
            </w:pPr>
            <w:r/>
          </w:p>
          <w:p>
            <w:pPr>
              <w:pStyle w:val="TableText"/>
              <w:ind w:left="129"/>
              <w:spacing w:before="65" w:line="183" w:lineRule="auto"/>
              <w:rPr>
                <w:sz w:val="20"/>
                <w:szCs w:val="20"/>
              </w:rPr>
            </w:pPr>
            <w:r>
              <w:rPr>
                <w:sz w:val="20"/>
                <w:szCs w:val="20"/>
                <w:spacing w:val="-3"/>
              </w:rPr>
              <w:t>39.4</w:t>
            </w:r>
          </w:p>
        </w:tc>
        <w:tc>
          <w:tcPr>
            <w:tcW w:w="630" w:type="dxa"/>
            <w:vAlign w:val="top"/>
            <w:vMerge w:val="restart"/>
            <w:tcBorders>
              <w:bottom w:val="nil"/>
            </w:tcBorders>
          </w:tcPr>
          <w:p>
            <w:pPr>
              <w:spacing w:line="474" w:lineRule="auto"/>
              <w:rPr>
                <w:rFonts w:ascii="Arial"/>
                <w:sz w:val="21"/>
              </w:rPr>
            </w:pPr>
            <w:r/>
          </w:p>
          <w:p>
            <w:pPr>
              <w:pStyle w:val="TableText"/>
              <w:ind w:left="109"/>
              <w:spacing w:before="65" w:line="183" w:lineRule="auto"/>
              <w:rPr>
                <w:sz w:val="20"/>
                <w:szCs w:val="20"/>
              </w:rPr>
            </w:pPr>
            <w:r>
              <w:rPr>
                <w:sz w:val="20"/>
                <w:szCs w:val="20"/>
                <w:spacing w:val="-2"/>
              </w:rPr>
              <w:t>26.8</w:t>
            </w:r>
          </w:p>
        </w:tc>
        <w:tc>
          <w:tcPr>
            <w:tcW w:w="659" w:type="dxa"/>
            <w:vAlign w:val="top"/>
            <w:vMerge w:val="restart"/>
            <w:tcBorders>
              <w:bottom w:val="nil"/>
            </w:tcBorders>
          </w:tcPr>
          <w:p>
            <w:pPr>
              <w:spacing w:line="473" w:lineRule="auto"/>
              <w:rPr>
                <w:rFonts w:ascii="Arial"/>
                <w:sz w:val="21"/>
              </w:rPr>
            </w:pPr>
            <w:r/>
          </w:p>
          <w:p>
            <w:pPr>
              <w:pStyle w:val="TableText"/>
              <w:ind w:left="129"/>
              <w:spacing w:before="65" w:line="184" w:lineRule="auto"/>
              <w:rPr>
                <w:sz w:val="20"/>
                <w:szCs w:val="20"/>
              </w:rPr>
            </w:pPr>
            <w:r>
              <w:rPr>
                <w:sz w:val="20"/>
                <w:szCs w:val="20"/>
                <w:spacing w:val="-3"/>
              </w:rPr>
              <w:t>31.1</w:t>
            </w:r>
          </w:p>
        </w:tc>
        <w:tc>
          <w:tcPr>
            <w:tcW w:w="720" w:type="dxa"/>
            <w:vAlign w:val="top"/>
            <w:vMerge w:val="restart"/>
            <w:tcBorders>
              <w:bottom w:val="nil"/>
            </w:tcBorders>
          </w:tcPr>
          <w:p>
            <w:pPr>
              <w:spacing w:line="474" w:lineRule="auto"/>
              <w:rPr>
                <w:rFonts w:ascii="Arial"/>
                <w:sz w:val="21"/>
              </w:rPr>
            </w:pPr>
            <w:r/>
          </w:p>
          <w:p>
            <w:pPr>
              <w:pStyle w:val="TableText"/>
              <w:ind w:left="160"/>
              <w:spacing w:before="65" w:line="183" w:lineRule="auto"/>
              <w:rPr>
                <w:sz w:val="20"/>
                <w:szCs w:val="20"/>
              </w:rPr>
            </w:pPr>
            <w:r>
              <w:rPr>
                <w:sz w:val="20"/>
                <w:szCs w:val="20"/>
                <w:spacing w:val="-3"/>
              </w:rPr>
              <w:t>34.7</w:t>
            </w:r>
          </w:p>
        </w:tc>
        <w:tc>
          <w:tcPr>
            <w:tcW w:w="635" w:type="dxa"/>
            <w:vAlign w:val="top"/>
            <w:vMerge w:val="restart"/>
            <w:tcBorders>
              <w:bottom w:val="nil"/>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261"/>
              <w:spacing w:before="65" w:line="184" w:lineRule="auto"/>
              <w:rPr>
                <w:sz w:val="20"/>
                <w:szCs w:val="20"/>
              </w:rPr>
            </w:pPr>
            <w:r>
              <w:rPr>
                <w:sz w:val="20"/>
                <w:szCs w:val="20"/>
              </w:rPr>
              <w:t>1</w:t>
            </w:r>
          </w:p>
        </w:tc>
      </w:tr>
      <w:tr>
        <w:trPr>
          <w:trHeight w:val="279" w:hRule="atLeast"/>
        </w:trPr>
        <w:tc>
          <w:tcPr>
            <w:tcW w:w="385" w:type="dxa"/>
            <w:vAlign w:val="top"/>
          </w:tcPr>
          <w:p>
            <w:pPr>
              <w:pStyle w:val="TableText"/>
              <w:ind w:left="134"/>
              <w:spacing w:before="92" w:line="163" w:lineRule="auto"/>
              <w:rPr>
                <w:sz w:val="20"/>
                <w:szCs w:val="20"/>
              </w:rPr>
            </w:pPr>
            <w:r>
              <w:rPr>
                <w:sz w:val="20"/>
                <w:szCs w:val="20"/>
              </w:rPr>
              <w:t>2</w:t>
            </w:r>
          </w:p>
        </w:tc>
        <w:tc>
          <w:tcPr>
            <w:tcW w:w="600" w:type="dxa"/>
            <w:vAlign w:val="top"/>
            <w:vMerge w:val="continue"/>
            <w:textDirection w:val="tbRlV"/>
            <w:tcBorders>
              <w:top w:val="nil"/>
              <w:bottom w:val="nil"/>
            </w:tcBorders>
          </w:tcPr>
          <w:p>
            <w:pPr>
              <w:rPr>
                <w:rFonts w:ascii="Arial"/>
                <w:sz w:val="21"/>
              </w:rPr>
            </w:pPr>
            <w:r/>
          </w:p>
        </w:tc>
        <w:tc>
          <w:tcPr>
            <w:tcW w:w="690" w:type="dxa"/>
            <w:vAlign w:val="top"/>
            <w:vMerge w:val="continue"/>
            <w:tcBorders>
              <w:top w:val="nil"/>
              <w:bottom w:val="nil"/>
            </w:tcBorders>
          </w:tcPr>
          <w:p>
            <w:pPr>
              <w:rPr>
                <w:rFonts w:ascii="Arial"/>
                <w:sz w:val="21"/>
              </w:rPr>
            </w:pPr>
            <w:r/>
          </w:p>
        </w:tc>
        <w:tc>
          <w:tcPr>
            <w:tcW w:w="789" w:type="dxa"/>
            <w:vAlign w:val="top"/>
          </w:tcPr>
          <w:p>
            <w:pPr>
              <w:pStyle w:val="TableText"/>
              <w:ind w:left="280"/>
              <w:spacing w:before="92" w:line="163" w:lineRule="auto"/>
              <w:rPr>
                <w:sz w:val="20"/>
                <w:szCs w:val="20"/>
              </w:rPr>
            </w:pPr>
            <w:r>
              <w:rPr>
                <w:sz w:val="20"/>
                <w:szCs w:val="20"/>
                <w:spacing w:val="-3"/>
              </w:rPr>
              <w:t>85</w:t>
            </w:r>
          </w:p>
        </w:tc>
        <w:tc>
          <w:tcPr>
            <w:tcW w:w="1179" w:type="dxa"/>
            <w:vAlign w:val="top"/>
            <w:vMerge w:val="continue"/>
            <w:tcBorders>
              <w:top w:val="nil"/>
              <w:bottom w:val="nil"/>
            </w:tcBorders>
          </w:tcPr>
          <w:p>
            <w:pPr>
              <w:rPr>
                <w:rFonts w:ascii="Arial"/>
                <w:sz w:val="21"/>
              </w:rPr>
            </w:pPr>
            <w:r/>
          </w:p>
        </w:tc>
        <w:tc>
          <w:tcPr>
            <w:tcW w:w="540" w:type="dxa"/>
            <w:vAlign w:val="top"/>
          </w:tcPr>
          <w:p>
            <w:pPr>
              <w:pStyle w:val="TableText"/>
              <w:ind w:left="112"/>
              <w:spacing w:before="92" w:line="163" w:lineRule="auto"/>
              <w:rPr>
                <w:sz w:val="20"/>
                <w:szCs w:val="20"/>
              </w:rPr>
            </w:pPr>
            <w:r>
              <w:rPr>
                <w:sz w:val="20"/>
                <w:szCs w:val="20"/>
                <w:spacing w:val="-6"/>
              </w:rPr>
              <w:t>119</w:t>
            </w:r>
          </w:p>
        </w:tc>
        <w:tc>
          <w:tcPr>
            <w:tcW w:w="689" w:type="dxa"/>
            <w:vAlign w:val="top"/>
          </w:tcPr>
          <w:p>
            <w:pPr>
              <w:pStyle w:val="TableText"/>
              <w:ind w:left="231"/>
              <w:spacing w:before="92" w:line="163" w:lineRule="auto"/>
              <w:rPr>
                <w:sz w:val="20"/>
                <w:szCs w:val="20"/>
              </w:rPr>
            </w:pPr>
            <w:r>
              <w:rPr>
                <w:sz w:val="20"/>
                <w:szCs w:val="20"/>
                <w:spacing w:val="-4"/>
              </w:rPr>
              <w:t>70</w:t>
            </w:r>
          </w:p>
        </w:tc>
        <w:tc>
          <w:tcPr>
            <w:tcW w:w="799" w:type="dxa"/>
            <w:vAlign w:val="top"/>
          </w:tcPr>
          <w:p>
            <w:pPr>
              <w:pStyle w:val="TableText"/>
              <w:ind w:left="293"/>
              <w:spacing w:before="92" w:line="163" w:lineRule="auto"/>
              <w:rPr>
                <w:sz w:val="20"/>
                <w:szCs w:val="20"/>
              </w:rPr>
            </w:pPr>
            <w:r>
              <w:rPr>
                <w:sz w:val="20"/>
                <w:szCs w:val="20"/>
                <w:spacing w:val="-3"/>
              </w:rPr>
              <w:t>25</w:t>
            </w:r>
          </w:p>
        </w:tc>
        <w:tc>
          <w:tcPr>
            <w:tcW w:w="949" w:type="dxa"/>
            <w:vAlign w:val="top"/>
            <w:vMerge w:val="continue"/>
            <w:tcBorders>
              <w:top w:val="nil"/>
              <w:bottom w:val="nil"/>
            </w:tcBorders>
          </w:tcPr>
          <w:p>
            <w:pPr>
              <w:rPr>
                <w:rFonts w:ascii="Arial"/>
                <w:sz w:val="21"/>
              </w:rPr>
            </w:pPr>
            <w:r/>
          </w:p>
        </w:tc>
        <w:tc>
          <w:tcPr>
            <w:tcW w:w="739" w:type="dxa"/>
            <w:vAlign w:val="top"/>
            <w:vMerge w:val="continue"/>
            <w:tcBorders>
              <w:top w:val="nil"/>
              <w:bottom w:val="nil"/>
            </w:tcBorders>
          </w:tcPr>
          <w:p>
            <w:pPr>
              <w:rPr>
                <w:rFonts w:ascii="Arial"/>
                <w:sz w:val="21"/>
              </w:rPr>
            </w:pPr>
            <w:r/>
          </w:p>
        </w:tc>
        <w:tc>
          <w:tcPr>
            <w:tcW w:w="829" w:type="dxa"/>
            <w:vAlign w:val="top"/>
            <w:vMerge w:val="continue"/>
            <w:tcBorders>
              <w:top w:val="nil"/>
              <w:bottom w:val="nil"/>
            </w:tcBorders>
          </w:tcPr>
          <w:p>
            <w:pPr>
              <w:rPr>
                <w:rFonts w:ascii="Arial"/>
                <w:sz w:val="21"/>
              </w:rPr>
            </w:pPr>
            <w:r/>
          </w:p>
        </w:tc>
        <w:tc>
          <w:tcPr>
            <w:tcW w:w="640"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719" w:type="dxa"/>
            <w:vAlign w:val="top"/>
            <w:vMerge w:val="continue"/>
            <w:tcBorders>
              <w:top w:val="nil"/>
              <w:bottom w:val="nil"/>
            </w:tcBorders>
          </w:tcPr>
          <w:p>
            <w:pPr>
              <w:rPr>
                <w:rFonts w:ascii="Arial"/>
                <w:sz w:val="21"/>
              </w:rPr>
            </w:pPr>
            <w:r/>
          </w:p>
        </w:tc>
        <w:tc>
          <w:tcPr>
            <w:tcW w:w="750" w:type="dxa"/>
            <w:vAlign w:val="top"/>
            <w:vMerge w:val="continue"/>
            <w:tcBorders>
              <w:top w:val="nil"/>
              <w:bottom w:val="nil"/>
            </w:tcBorders>
          </w:tcPr>
          <w:p>
            <w:pPr>
              <w:rPr>
                <w:rFonts w:ascii="Arial"/>
                <w:sz w:val="21"/>
              </w:rPr>
            </w:pPr>
            <w:r/>
          </w:p>
        </w:tc>
        <w:tc>
          <w:tcPr>
            <w:tcW w:w="659" w:type="dxa"/>
            <w:vAlign w:val="top"/>
            <w:vMerge w:val="continue"/>
            <w:tcBorders>
              <w:top w:val="nil"/>
              <w:bottom w:val="nil"/>
            </w:tcBorders>
          </w:tcPr>
          <w:p>
            <w:pPr>
              <w:rPr>
                <w:rFonts w:ascii="Arial"/>
                <w:sz w:val="21"/>
              </w:rPr>
            </w:pPr>
            <w:r/>
          </w:p>
        </w:tc>
        <w:tc>
          <w:tcPr>
            <w:tcW w:w="630" w:type="dxa"/>
            <w:vAlign w:val="top"/>
            <w:vMerge w:val="continue"/>
            <w:tcBorders>
              <w:top w:val="nil"/>
              <w:bottom w:val="nil"/>
            </w:tcBorders>
          </w:tcPr>
          <w:p>
            <w:pPr>
              <w:rPr>
                <w:rFonts w:ascii="Arial"/>
                <w:sz w:val="21"/>
              </w:rPr>
            </w:pPr>
            <w:r/>
          </w:p>
        </w:tc>
        <w:tc>
          <w:tcPr>
            <w:tcW w:w="659" w:type="dxa"/>
            <w:vAlign w:val="top"/>
            <w:vMerge w:val="continue"/>
            <w:tcBorders>
              <w:top w:val="nil"/>
              <w:bottom w:val="nil"/>
            </w:tcBorders>
          </w:tcPr>
          <w:p>
            <w:pPr>
              <w:rPr>
                <w:rFonts w:ascii="Arial"/>
                <w:sz w:val="21"/>
              </w:rPr>
            </w:pPr>
            <w:r/>
          </w:p>
        </w:tc>
        <w:tc>
          <w:tcPr>
            <w:tcW w:w="720" w:type="dxa"/>
            <w:vAlign w:val="top"/>
            <w:vMerge w:val="continue"/>
            <w:tcBorders>
              <w:top w:val="nil"/>
              <w:bottom w:val="nil"/>
            </w:tcBorders>
          </w:tcPr>
          <w:p>
            <w:pPr>
              <w:rPr>
                <w:rFonts w:ascii="Arial"/>
                <w:sz w:val="21"/>
              </w:rPr>
            </w:pPr>
            <w:r/>
          </w:p>
        </w:tc>
        <w:tc>
          <w:tcPr>
            <w:tcW w:w="635" w:type="dxa"/>
            <w:vAlign w:val="top"/>
            <w:vMerge w:val="continue"/>
            <w:tcBorders>
              <w:top w:val="nil"/>
              <w:bottom w:val="nil"/>
            </w:tcBorders>
          </w:tcPr>
          <w:p>
            <w:pPr>
              <w:rPr>
                <w:rFonts w:ascii="Arial"/>
                <w:sz w:val="21"/>
              </w:rPr>
            </w:pPr>
            <w:r/>
          </w:p>
        </w:tc>
      </w:tr>
      <w:tr>
        <w:trPr>
          <w:trHeight w:val="280" w:hRule="atLeast"/>
        </w:trPr>
        <w:tc>
          <w:tcPr>
            <w:tcW w:w="385" w:type="dxa"/>
            <w:vAlign w:val="top"/>
          </w:tcPr>
          <w:p>
            <w:pPr>
              <w:pStyle w:val="TableText"/>
              <w:ind w:left="134"/>
              <w:spacing w:before="93" w:line="163" w:lineRule="auto"/>
              <w:rPr>
                <w:sz w:val="20"/>
                <w:szCs w:val="20"/>
              </w:rPr>
            </w:pPr>
            <w:r>
              <w:rPr>
                <w:sz w:val="20"/>
                <w:szCs w:val="20"/>
              </w:rPr>
              <w:t>3</w:t>
            </w:r>
          </w:p>
        </w:tc>
        <w:tc>
          <w:tcPr>
            <w:tcW w:w="600" w:type="dxa"/>
            <w:vAlign w:val="top"/>
            <w:vMerge w:val="continue"/>
            <w:textDirection w:val="tbRlV"/>
            <w:tcBorders>
              <w:top w:val="nil"/>
              <w:bottom w:val="nil"/>
            </w:tcBorders>
          </w:tcPr>
          <w:p>
            <w:pPr>
              <w:rPr>
                <w:rFonts w:ascii="Arial"/>
                <w:sz w:val="21"/>
              </w:rPr>
            </w:pPr>
            <w:r/>
          </w:p>
        </w:tc>
        <w:tc>
          <w:tcPr>
            <w:tcW w:w="690" w:type="dxa"/>
            <w:vAlign w:val="top"/>
            <w:vMerge w:val="continue"/>
            <w:tcBorders>
              <w:top w:val="nil"/>
              <w:bottom w:val="nil"/>
            </w:tcBorders>
          </w:tcPr>
          <w:p>
            <w:pPr>
              <w:rPr>
                <w:rFonts w:ascii="Arial"/>
                <w:sz w:val="21"/>
              </w:rPr>
            </w:pPr>
            <w:r/>
          </w:p>
        </w:tc>
        <w:tc>
          <w:tcPr>
            <w:tcW w:w="789" w:type="dxa"/>
            <w:vAlign w:val="top"/>
          </w:tcPr>
          <w:p>
            <w:pPr>
              <w:pStyle w:val="TableText"/>
              <w:ind w:left="280"/>
              <w:spacing w:before="93" w:line="163" w:lineRule="auto"/>
              <w:rPr>
                <w:sz w:val="20"/>
                <w:szCs w:val="20"/>
              </w:rPr>
            </w:pPr>
            <w:r>
              <w:rPr>
                <w:sz w:val="20"/>
                <w:szCs w:val="20"/>
                <w:spacing w:val="-3"/>
              </w:rPr>
              <w:t>85</w:t>
            </w:r>
          </w:p>
        </w:tc>
        <w:tc>
          <w:tcPr>
            <w:tcW w:w="1179" w:type="dxa"/>
            <w:vAlign w:val="top"/>
            <w:vMerge w:val="continue"/>
            <w:tcBorders>
              <w:top w:val="nil"/>
              <w:bottom w:val="nil"/>
            </w:tcBorders>
          </w:tcPr>
          <w:p>
            <w:pPr>
              <w:rPr>
                <w:rFonts w:ascii="Arial"/>
                <w:sz w:val="21"/>
              </w:rPr>
            </w:pPr>
            <w:r/>
          </w:p>
        </w:tc>
        <w:tc>
          <w:tcPr>
            <w:tcW w:w="540" w:type="dxa"/>
            <w:vAlign w:val="top"/>
          </w:tcPr>
          <w:p>
            <w:pPr>
              <w:pStyle w:val="TableText"/>
              <w:ind w:left="112"/>
              <w:spacing w:before="93" w:line="163" w:lineRule="auto"/>
              <w:rPr>
                <w:sz w:val="20"/>
                <w:szCs w:val="20"/>
              </w:rPr>
            </w:pPr>
            <w:r>
              <w:rPr>
                <w:sz w:val="20"/>
                <w:szCs w:val="20"/>
                <w:spacing w:val="-6"/>
              </w:rPr>
              <w:t>121</w:t>
            </w:r>
          </w:p>
        </w:tc>
        <w:tc>
          <w:tcPr>
            <w:tcW w:w="689" w:type="dxa"/>
            <w:vAlign w:val="top"/>
          </w:tcPr>
          <w:p>
            <w:pPr>
              <w:pStyle w:val="TableText"/>
              <w:ind w:left="231"/>
              <w:spacing w:before="93" w:line="163" w:lineRule="auto"/>
              <w:rPr>
                <w:sz w:val="20"/>
                <w:szCs w:val="20"/>
              </w:rPr>
            </w:pPr>
            <w:r>
              <w:rPr>
                <w:sz w:val="20"/>
                <w:szCs w:val="20"/>
                <w:spacing w:val="-4"/>
              </w:rPr>
              <w:t>70</w:t>
            </w:r>
          </w:p>
        </w:tc>
        <w:tc>
          <w:tcPr>
            <w:tcW w:w="799" w:type="dxa"/>
            <w:vAlign w:val="top"/>
          </w:tcPr>
          <w:p>
            <w:pPr>
              <w:pStyle w:val="TableText"/>
              <w:ind w:left="293"/>
              <w:spacing w:before="93" w:line="163" w:lineRule="auto"/>
              <w:rPr>
                <w:sz w:val="20"/>
                <w:szCs w:val="20"/>
              </w:rPr>
            </w:pPr>
            <w:r>
              <w:rPr>
                <w:sz w:val="20"/>
                <w:szCs w:val="20"/>
                <w:spacing w:val="-3"/>
              </w:rPr>
              <w:t>25</w:t>
            </w:r>
          </w:p>
        </w:tc>
        <w:tc>
          <w:tcPr>
            <w:tcW w:w="949" w:type="dxa"/>
            <w:vAlign w:val="top"/>
            <w:vMerge w:val="continue"/>
            <w:tcBorders>
              <w:top w:val="nil"/>
              <w:bottom w:val="nil"/>
            </w:tcBorders>
          </w:tcPr>
          <w:p>
            <w:pPr>
              <w:rPr>
                <w:rFonts w:ascii="Arial"/>
                <w:sz w:val="21"/>
              </w:rPr>
            </w:pPr>
            <w:r/>
          </w:p>
        </w:tc>
        <w:tc>
          <w:tcPr>
            <w:tcW w:w="739" w:type="dxa"/>
            <w:vAlign w:val="top"/>
            <w:vMerge w:val="continue"/>
            <w:tcBorders>
              <w:top w:val="nil"/>
              <w:bottom w:val="nil"/>
            </w:tcBorders>
          </w:tcPr>
          <w:p>
            <w:pPr>
              <w:rPr>
                <w:rFonts w:ascii="Arial"/>
                <w:sz w:val="21"/>
              </w:rPr>
            </w:pPr>
            <w:r/>
          </w:p>
        </w:tc>
        <w:tc>
          <w:tcPr>
            <w:tcW w:w="829" w:type="dxa"/>
            <w:vAlign w:val="top"/>
            <w:vMerge w:val="continue"/>
            <w:tcBorders>
              <w:top w:val="nil"/>
              <w:bottom w:val="nil"/>
            </w:tcBorders>
          </w:tcPr>
          <w:p>
            <w:pPr>
              <w:rPr>
                <w:rFonts w:ascii="Arial"/>
                <w:sz w:val="21"/>
              </w:rPr>
            </w:pPr>
            <w:r/>
          </w:p>
        </w:tc>
        <w:tc>
          <w:tcPr>
            <w:tcW w:w="640"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719" w:type="dxa"/>
            <w:vAlign w:val="top"/>
            <w:vMerge w:val="continue"/>
            <w:tcBorders>
              <w:top w:val="nil"/>
              <w:bottom w:val="nil"/>
            </w:tcBorders>
          </w:tcPr>
          <w:p>
            <w:pPr>
              <w:rPr>
                <w:rFonts w:ascii="Arial"/>
                <w:sz w:val="21"/>
              </w:rPr>
            </w:pPr>
            <w:r/>
          </w:p>
        </w:tc>
        <w:tc>
          <w:tcPr>
            <w:tcW w:w="750" w:type="dxa"/>
            <w:vAlign w:val="top"/>
            <w:vMerge w:val="continue"/>
            <w:tcBorders>
              <w:top w:val="nil"/>
              <w:bottom w:val="nil"/>
            </w:tcBorders>
          </w:tcPr>
          <w:p>
            <w:pPr>
              <w:rPr>
                <w:rFonts w:ascii="Arial"/>
                <w:sz w:val="21"/>
              </w:rPr>
            </w:pPr>
            <w:r/>
          </w:p>
        </w:tc>
        <w:tc>
          <w:tcPr>
            <w:tcW w:w="659" w:type="dxa"/>
            <w:vAlign w:val="top"/>
            <w:vMerge w:val="continue"/>
            <w:tcBorders>
              <w:top w:val="nil"/>
              <w:bottom w:val="nil"/>
            </w:tcBorders>
          </w:tcPr>
          <w:p>
            <w:pPr>
              <w:rPr>
                <w:rFonts w:ascii="Arial"/>
                <w:sz w:val="21"/>
              </w:rPr>
            </w:pPr>
            <w:r/>
          </w:p>
        </w:tc>
        <w:tc>
          <w:tcPr>
            <w:tcW w:w="630" w:type="dxa"/>
            <w:vAlign w:val="top"/>
            <w:vMerge w:val="continue"/>
            <w:tcBorders>
              <w:top w:val="nil"/>
              <w:bottom w:val="nil"/>
            </w:tcBorders>
          </w:tcPr>
          <w:p>
            <w:pPr>
              <w:rPr>
                <w:rFonts w:ascii="Arial"/>
                <w:sz w:val="21"/>
              </w:rPr>
            </w:pPr>
            <w:r/>
          </w:p>
        </w:tc>
        <w:tc>
          <w:tcPr>
            <w:tcW w:w="659" w:type="dxa"/>
            <w:vAlign w:val="top"/>
            <w:vMerge w:val="continue"/>
            <w:tcBorders>
              <w:top w:val="nil"/>
              <w:bottom w:val="nil"/>
            </w:tcBorders>
          </w:tcPr>
          <w:p>
            <w:pPr>
              <w:rPr>
                <w:rFonts w:ascii="Arial"/>
                <w:sz w:val="21"/>
              </w:rPr>
            </w:pPr>
            <w:r/>
          </w:p>
        </w:tc>
        <w:tc>
          <w:tcPr>
            <w:tcW w:w="720" w:type="dxa"/>
            <w:vAlign w:val="top"/>
            <w:vMerge w:val="continue"/>
            <w:tcBorders>
              <w:top w:val="nil"/>
              <w:bottom w:val="nil"/>
            </w:tcBorders>
          </w:tcPr>
          <w:p>
            <w:pPr>
              <w:rPr>
                <w:rFonts w:ascii="Arial"/>
                <w:sz w:val="21"/>
              </w:rPr>
            </w:pPr>
            <w:r/>
          </w:p>
        </w:tc>
        <w:tc>
          <w:tcPr>
            <w:tcW w:w="635" w:type="dxa"/>
            <w:vAlign w:val="top"/>
            <w:vMerge w:val="continue"/>
            <w:tcBorders>
              <w:top w:val="nil"/>
              <w:bottom w:val="nil"/>
            </w:tcBorders>
          </w:tcPr>
          <w:p>
            <w:pPr>
              <w:rPr>
                <w:rFonts w:ascii="Arial"/>
                <w:sz w:val="21"/>
              </w:rPr>
            </w:pPr>
            <w:r/>
          </w:p>
        </w:tc>
      </w:tr>
      <w:tr>
        <w:trPr>
          <w:trHeight w:val="309" w:hRule="atLeast"/>
        </w:trPr>
        <w:tc>
          <w:tcPr>
            <w:tcW w:w="385" w:type="dxa"/>
            <w:vAlign w:val="top"/>
          </w:tcPr>
          <w:p>
            <w:pPr>
              <w:pStyle w:val="TableText"/>
              <w:ind w:left="134"/>
              <w:spacing w:before="113" w:line="171" w:lineRule="auto"/>
              <w:rPr>
                <w:sz w:val="20"/>
                <w:szCs w:val="20"/>
              </w:rPr>
            </w:pPr>
            <w:r>
              <w:rPr>
                <w:sz w:val="20"/>
                <w:szCs w:val="20"/>
              </w:rPr>
              <w:t>4</w:t>
            </w:r>
          </w:p>
        </w:tc>
        <w:tc>
          <w:tcPr>
            <w:tcW w:w="600" w:type="dxa"/>
            <w:vAlign w:val="top"/>
            <w:vMerge w:val="continue"/>
            <w:textDirection w:val="tbRlV"/>
            <w:tcBorders>
              <w:top w:val="nil"/>
              <w:bottom w:val="nil"/>
            </w:tcBorders>
          </w:tcPr>
          <w:p>
            <w:pPr>
              <w:rPr>
                <w:rFonts w:ascii="Arial"/>
                <w:sz w:val="21"/>
              </w:rPr>
            </w:pPr>
            <w:r/>
          </w:p>
        </w:tc>
        <w:tc>
          <w:tcPr>
            <w:tcW w:w="690" w:type="dxa"/>
            <w:vAlign w:val="top"/>
            <w:vMerge w:val="continue"/>
            <w:tcBorders>
              <w:top w:val="nil"/>
            </w:tcBorders>
          </w:tcPr>
          <w:p>
            <w:pPr>
              <w:rPr>
                <w:rFonts w:ascii="Arial"/>
                <w:sz w:val="21"/>
              </w:rPr>
            </w:pPr>
            <w:r/>
          </w:p>
        </w:tc>
        <w:tc>
          <w:tcPr>
            <w:tcW w:w="789" w:type="dxa"/>
            <w:vAlign w:val="top"/>
          </w:tcPr>
          <w:p>
            <w:pPr>
              <w:pStyle w:val="TableText"/>
              <w:ind w:left="280"/>
              <w:spacing w:before="113" w:line="171" w:lineRule="auto"/>
              <w:rPr>
                <w:sz w:val="20"/>
                <w:szCs w:val="20"/>
              </w:rPr>
            </w:pPr>
            <w:r>
              <w:rPr>
                <w:sz w:val="20"/>
                <w:szCs w:val="20"/>
                <w:spacing w:val="-3"/>
              </w:rPr>
              <w:t>85</w:t>
            </w:r>
          </w:p>
        </w:tc>
        <w:tc>
          <w:tcPr>
            <w:tcW w:w="1179" w:type="dxa"/>
            <w:vAlign w:val="top"/>
            <w:vMerge w:val="continue"/>
            <w:tcBorders>
              <w:top w:val="nil"/>
            </w:tcBorders>
          </w:tcPr>
          <w:p>
            <w:pPr>
              <w:rPr>
                <w:rFonts w:ascii="Arial"/>
                <w:sz w:val="21"/>
              </w:rPr>
            </w:pPr>
            <w:r/>
          </w:p>
        </w:tc>
        <w:tc>
          <w:tcPr>
            <w:tcW w:w="540" w:type="dxa"/>
            <w:vAlign w:val="top"/>
          </w:tcPr>
          <w:p>
            <w:pPr>
              <w:pStyle w:val="TableText"/>
              <w:ind w:left="112"/>
              <w:spacing w:before="112" w:line="172" w:lineRule="auto"/>
              <w:rPr>
                <w:sz w:val="20"/>
                <w:szCs w:val="20"/>
              </w:rPr>
            </w:pPr>
            <w:r>
              <w:rPr>
                <w:sz w:val="20"/>
                <w:szCs w:val="20"/>
                <w:spacing w:val="-6"/>
              </w:rPr>
              <w:t>123</w:t>
            </w:r>
          </w:p>
        </w:tc>
        <w:tc>
          <w:tcPr>
            <w:tcW w:w="689" w:type="dxa"/>
            <w:vAlign w:val="top"/>
          </w:tcPr>
          <w:p>
            <w:pPr>
              <w:pStyle w:val="TableText"/>
              <w:ind w:left="231"/>
              <w:spacing w:before="113" w:line="171" w:lineRule="auto"/>
              <w:rPr>
                <w:sz w:val="20"/>
                <w:szCs w:val="20"/>
              </w:rPr>
            </w:pPr>
            <w:r>
              <w:rPr>
                <w:sz w:val="20"/>
                <w:szCs w:val="20"/>
                <w:spacing w:val="-4"/>
              </w:rPr>
              <w:t>70</w:t>
            </w:r>
          </w:p>
        </w:tc>
        <w:tc>
          <w:tcPr>
            <w:tcW w:w="799" w:type="dxa"/>
            <w:vAlign w:val="top"/>
          </w:tcPr>
          <w:p>
            <w:pPr>
              <w:pStyle w:val="TableText"/>
              <w:ind w:left="293"/>
              <w:spacing w:before="113" w:line="171" w:lineRule="auto"/>
              <w:rPr>
                <w:sz w:val="20"/>
                <w:szCs w:val="20"/>
              </w:rPr>
            </w:pPr>
            <w:r>
              <w:rPr>
                <w:sz w:val="20"/>
                <w:szCs w:val="20"/>
                <w:spacing w:val="-3"/>
              </w:rPr>
              <w:t>25</w:t>
            </w:r>
          </w:p>
        </w:tc>
        <w:tc>
          <w:tcPr>
            <w:tcW w:w="949" w:type="dxa"/>
            <w:vAlign w:val="top"/>
            <w:vMerge w:val="continue"/>
            <w:tcBorders>
              <w:top w:val="nil"/>
            </w:tcBorders>
          </w:tcPr>
          <w:p>
            <w:pPr>
              <w:rPr>
                <w:rFonts w:ascii="Arial"/>
                <w:sz w:val="21"/>
              </w:rPr>
            </w:pPr>
            <w:r/>
          </w:p>
        </w:tc>
        <w:tc>
          <w:tcPr>
            <w:tcW w:w="739" w:type="dxa"/>
            <w:vAlign w:val="top"/>
            <w:vMerge w:val="continue"/>
            <w:tcBorders>
              <w:top w:val="nil"/>
            </w:tcBorders>
          </w:tcPr>
          <w:p>
            <w:pPr>
              <w:rPr>
                <w:rFonts w:ascii="Arial"/>
                <w:sz w:val="21"/>
              </w:rPr>
            </w:pPr>
            <w:r/>
          </w:p>
        </w:tc>
        <w:tc>
          <w:tcPr>
            <w:tcW w:w="829" w:type="dxa"/>
            <w:vAlign w:val="top"/>
            <w:vMerge w:val="continue"/>
            <w:tcBorders>
              <w:top w:val="nil"/>
            </w:tcBorders>
          </w:tcPr>
          <w:p>
            <w:pPr>
              <w:rPr>
                <w:rFonts w:ascii="Arial"/>
                <w:sz w:val="21"/>
              </w:rPr>
            </w:pPr>
            <w:r/>
          </w:p>
        </w:tc>
        <w:tc>
          <w:tcPr>
            <w:tcW w:w="640"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719" w:type="dxa"/>
            <w:vAlign w:val="top"/>
            <w:vMerge w:val="continue"/>
            <w:tcBorders>
              <w:top w:val="nil"/>
              <w:bottom w:val="nil"/>
            </w:tcBorders>
          </w:tcPr>
          <w:p>
            <w:pPr>
              <w:rPr>
                <w:rFonts w:ascii="Arial"/>
                <w:sz w:val="21"/>
              </w:rPr>
            </w:pPr>
            <w:r/>
          </w:p>
        </w:tc>
        <w:tc>
          <w:tcPr>
            <w:tcW w:w="750" w:type="dxa"/>
            <w:vAlign w:val="top"/>
            <w:vMerge w:val="continue"/>
            <w:tcBorders>
              <w:top w:val="nil"/>
            </w:tcBorders>
          </w:tcPr>
          <w:p>
            <w:pPr>
              <w:rPr>
                <w:rFonts w:ascii="Arial"/>
                <w:sz w:val="21"/>
              </w:rPr>
            </w:pPr>
            <w:r/>
          </w:p>
        </w:tc>
        <w:tc>
          <w:tcPr>
            <w:tcW w:w="659" w:type="dxa"/>
            <w:vAlign w:val="top"/>
            <w:vMerge w:val="continue"/>
            <w:tcBorders>
              <w:top w:val="nil"/>
            </w:tcBorders>
          </w:tcPr>
          <w:p>
            <w:pPr>
              <w:rPr>
                <w:rFonts w:ascii="Arial"/>
                <w:sz w:val="21"/>
              </w:rPr>
            </w:pPr>
            <w:r/>
          </w:p>
        </w:tc>
        <w:tc>
          <w:tcPr>
            <w:tcW w:w="630" w:type="dxa"/>
            <w:vAlign w:val="top"/>
            <w:vMerge w:val="continue"/>
            <w:tcBorders>
              <w:top w:val="nil"/>
            </w:tcBorders>
          </w:tcPr>
          <w:p>
            <w:pPr>
              <w:rPr>
                <w:rFonts w:ascii="Arial"/>
                <w:sz w:val="21"/>
              </w:rPr>
            </w:pPr>
            <w:r/>
          </w:p>
        </w:tc>
        <w:tc>
          <w:tcPr>
            <w:tcW w:w="659" w:type="dxa"/>
            <w:vAlign w:val="top"/>
            <w:vMerge w:val="continue"/>
            <w:tcBorders>
              <w:top w:val="nil"/>
            </w:tcBorders>
          </w:tcPr>
          <w:p>
            <w:pPr>
              <w:rPr>
                <w:rFonts w:ascii="Arial"/>
                <w:sz w:val="21"/>
              </w:rPr>
            </w:pPr>
            <w:r/>
          </w:p>
        </w:tc>
        <w:tc>
          <w:tcPr>
            <w:tcW w:w="720" w:type="dxa"/>
            <w:vAlign w:val="top"/>
            <w:vMerge w:val="continue"/>
            <w:tcBorders>
              <w:top w:val="nil"/>
            </w:tcBorders>
          </w:tcPr>
          <w:p>
            <w:pPr>
              <w:rPr>
                <w:rFonts w:ascii="Arial"/>
                <w:sz w:val="21"/>
              </w:rPr>
            </w:pPr>
            <w:r/>
          </w:p>
        </w:tc>
        <w:tc>
          <w:tcPr>
            <w:tcW w:w="635" w:type="dxa"/>
            <w:vAlign w:val="top"/>
            <w:vMerge w:val="continue"/>
            <w:tcBorders>
              <w:top w:val="nil"/>
              <w:bottom w:val="nil"/>
            </w:tcBorders>
          </w:tcPr>
          <w:p>
            <w:pPr>
              <w:rPr>
                <w:rFonts w:ascii="Arial"/>
                <w:sz w:val="21"/>
              </w:rPr>
            </w:pPr>
            <w:r/>
          </w:p>
        </w:tc>
      </w:tr>
      <w:tr>
        <w:trPr>
          <w:trHeight w:val="270" w:hRule="atLeast"/>
        </w:trPr>
        <w:tc>
          <w:tcPr>
            <w:tcW w:w="385" w:type="dxa"/>
            <w:vAlign w:val="top"/>
          </w:tcPr>
          <w:p>
            <w:pPr>
              <w:pStyle w:val="TableText"/>
              <w:ind w:left="134"/>
              <w:spacing w:before="96" w:line="163" w:lineRule="exact"/>
              <w:rPr>
                <w:sz w:val="20"/>
                <w:szCs w:val="20"/>
              </w:rPr>
            </w:pPr>
            <w:r>
              <w:rPr>
                <w:sz w:val="20"/>
                <w:szCs w:val="20"/>
                <w:position w:val="-2"/>
              </w:rPr>
              <w:t>5</w:t>
            </w:r>
          </w:p>
        </w:tc>
        <w:tc>
          <w:tcPr>
            <w:tcW w:w="600" w:type="dxa"/>
            <w:vAlign w:val="top"/>
            <w:vMerge w:val="continue"/>
            <w:textDirection w:val="tbRlV"/>
            <w:tcBorders>
              <w:top w:val="nil"/>
              <w:bottom w:val="nil"/>
            </w:tcBorders>
          </w:tcPr>
          <w:p>
            <w:pPr>
              <w:rPr>
                <w:rFonts w:ascii="Arial"/>
                <w:sz w:val="21"/>
              </w:rPr>
            </w:pPr>
            <w:r/>
          </w:p>
        </w:tc>
        <w:tc>
          <w:tcPr>
            <w:tcW w:w="690" w:type="dxa"/>
            <w:vAlign w:val="top"/>
            <w:vMerge w:val="restart"/>
            <w:tcBorders>
              <w:bottom w:val="nil"/>
            </w:tcBorders>
          </w:tcPr>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pStyle w:val="TableText"/>
              <w:ind w:left="130" w:right="130"/>
              <w:spacing w:before="65" w:line="222" w:lineRule="auto"/>
              <w:rPr>
                <w:sz w:val="20"/>
                <w:szCs w:val="20"/>
              </w:rPr>
            </w:pPr>
            <w:r>
              <w:rPr>
                <w:sz w:val="20"/>
                <w:szCs w:val="20"/>
                <w:spacing w:val="9"/>
              </w:rPr>
              <w:t>冷却</w:t>
            </w:r>
            <w:r>
              <w:rPr>
                <w:sz w:val="20"/>
                <w:szCs w:val="20"/>
              </w:rPr>
              <w:t xml:space="preserve"> </w:t>
            </w:r>
            <w:r>
              <w:rPr>
                <w:sz w:val="20"/>
                <w:szCs w:val="20"/>
                <w:spacing w:val="-2"/>
              </w:rPr>
              <w:t>塔/9</w:t>
            </w:r>
          </w:p>
        </w:tc>
        <w:tc>
          <w:tcPr>
            <w:tcW w:w="789" w:type="dxa"/>
            <w:vAlign w:val="top"/>
          </w:tcPr>
          <w:p>
            <w:pPr>
              <w:pStyle w:val="TableText"/>
              <w:ind w:left="280"/>
              <w:spacing w:before="94" w:line="166" w:lineRule="exact"/>
              <w:rPr>
                <w:sz w:val="20"/>
                <w:szCs w:val="20"/>
              </w:rPr>
            </w:pPr>
            <w:r>
              <w:rPr>
                <w:sz w:val="20"/>
                <w:szCs w:val="20"/>
                <w:spacing w:val="-3"/>
                <w:position w:val="-2"/>
              </w:rPr>
              <w:t>85</w:t>
            </w:r>
          </w:p>
        </w:tc>
        <w:tc>
          <w:tcPr>
            <w:tcW w:w="1179" w:type="dxa"/>
            <w:vAlign w:val="top"/>
            <w:vMerge w:val="restart"/>
            <w:tcBorders>
              <w:bottom w:val="nil"/>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pStyle w:val="TableText"/>
              <w:ind w:left="380" w:right="176" w:hanging="200"/>
              <w:spacing w:before="65" w:line="231" w:lineRule="auto"/>
              <w:rPr>
                <w:sz w:val="20"/>
                <w:szCs w:val="20"/>
              </w:rPr>
            </w:pPr>
            <w:r>
              <w:rPr>
                <w:sz w:val="20"/>
                <w:szCs w:val="20"/>
                <w:spacing w:val="2"/>
              </w:rPr>
              <w:t>安装减震 </w:t>
            </w:r>
            <w:r>
              <w:rPr>
                <w:sz w:val="20"/>
                <w:szCs w:val="20"/>
                <w:spacing w:val="-2"/>
              </w:rPr>
              <w:t>基础</w:t>
            </w:r>
          </w:p>
        </w:tc>
        <w:tc>
          <w:tcPr>
            <w:tcW w:w="540" w:type="dxa"/>
            <w:vAlign w:val="top"/>
          </w:tcPr>
          <w:p>
            <w:pPr>
              <w:pStyle w:val="TableText"/>
              <w:ind w:left="162"/>
              <w:spacing w:before="94" w:line="166" w:lineRule="exact"/>
              <w:rPr>
                <w:sz w:val="20"/>
                <w:szCs w:val="20"/>
              </w:rPr>
            </w:pPr>
            <w:r>
              <w:rPr>
                <w:sz w:val="20"/>
                <w:szCs w:val="20"/>
                <w:spacing w:val="-3"/>
                <w:position w:val="-2"/>
              </w:rPr>
              <w:t>62</w:t>
            </w:r>
          </w:p>
        </w:tc>
        <w:tc>
          <w:tcPr>
            <w:tcW w:w="689" w:type="dxa"/>
            <w:vAlign w:val="top"/>
          </w:tcPr>
          <w:p>
            <w:pPr>
              <w:pStyle w:val="TableText"/>
              <w:ind w:left="231"/>
              <w:spacing w:before="94" w:line="166" w:lineRule="exact"/>
              <w:rPr>
                <w:sz w:val="20"/>
                <w:szCs w:val="20"/>
              </w:rPr>
            </w:pPr>
            <w:r>
              <w:rPr>
                <w:sz w:val="20"/>
                <w:szCs w:val="20"/>
                <w:spacing w:val="-3"/>
                <w:position w:val="-2"/>
              </w:rPr>
              <w:t>54</w:t>
            </w:r>
          </w:p>
        </w:tc>
        <w:tc>
          <w:tcPr>
            <w:tcW w:w="799" w:type="dxa"/>
            <w:vAlign w:val="top"/>
          </w:tcPr>
          <w:p>
            <w:pPr>
              <w:pStyle w:val="TableText"/>
              <w:ind w:left="293"/>
              <w:spacing w:before="94" w:line="166" w:lineRule="exact"/>
              <w:rPr>
                <w:sz w:val="20"/>
                <w:szCs w:val="20"/>
              </w:rPr>
            </w:pPr>
            <w:r>
              <w:rPr>
                <w:sz w:val="20"/>
                <w:szCs w:val="20"/>
                <w:spacing w:val="-3"/>
                <w:position w:val="-2"/>
              </w:rPr>
              <w:t>26</w:t>
            </w:r>
          </w:p>
        </w:tc>
        <w:tc>
          <w:tcPr>
            <w:tcW w:w="949" w:type="dxa"/>
            <w:vAlign w:val="top"/>
            <w:vMerge w:val="restart"/>
            <w:tcBorders>
              <w:bottom w:val="nil"/>
            </w:tcBorders>
          </w:tcPr>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pStyle w:val="TableText"/>
              <w:ind w:left="263"/>
              <w:spacing w:before="65" w:line="183" w:lineRule="auto"/>
              <w:rPr>
                <w:sz w:val="20"/>
                <w:szCs w:val="20"/>
              </w:rPr>
            </w:pPr>
            <w:r>
              <w:rPr>
                <w:sz w:val="20"/>
                <w:szCs w:val="20"/>
                <w:spacing w:val="-2"/>
              </w:rPr>
              <w:t>94.5</w:t>
            </w:r>
          </w:p>
        </w:tc>
        <w:tc>
          <w:tcPr>
            <w:tcW w:w="739" w:type="dxa"/>
            <w:vAlign w:val="top"/>
            <w:vMerge w:val="restart"/>
            <w:tcBorders>
              <w:bottom w:val="nil"/>
            </w:tcBorders>
          </w:tcPr>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pStyle w:val="TableText"/>
              <w:ind w:left="165"/>
              <w:spacing w:before="65" w:line="184" w:lineRule="auto"/>
              <w:rPr>
                <w:sz w:val="20"/>
                <w:szCs w:val="20"/>
              </w:rPr>
            </w:pPr>
            <w:r>
              <w:rPr>
                <w:sz w:val="20"/>
                <w:szCs w:val="20"/>
                <w:spacing w:val="-3"/>
              </w:rPr>
              <w:t>53.1</w:t>
            </w:r>
          </w:p>
        </w:tc>
        <w:tc>
          <w:tcPr>
            <w:tcW w:w="829" w:type="dxa"/>
            <w:vAlign w:val="top"/>
            <w:vMerge w:val="restart"/>
            <w:tcBorders>
              <w:bottom w:val="nil"/>
            </w:tcBorders>
          </w:tcPr>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pStyle w:val="TableText"/>
              <w:ind w:left="155"/>
              <w:spacing w:before="65" w:line="184" w:lineRule="auto"/>
              <w:rPr>
                <w:sz w:val="20"/>
                <w:szCs w:val="20"/>
              </w:rPr>
            </w:pPr>
            <w:r>
              <w:rPr>
                <w:sz w:val="20"/>
                <w:szCs w:val="20"/>
                <w:spacing w:val="-4"/>
              </w:rPr>
              <w:t>187.2</w:t>
            </w:r>
          </w:p>
        </w:tc>
        <w:tc>
          <w:tcPr>
            <w:tcW w:w="640" w:type="dxa"/>
            <w:vAlign w:val="top"/>
            <w:vMerge w:val="restart"/>
            <w:tcBorders>
              <w:bottom w:val="nil"/>
            </w:tcBorders>
          </w:tcPr>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pStyle w:val="TableText"/>
              <w:ind w:left="216"/>
              <w:spacing w:before="65" w:line="183" w:lineRule="auto"/>
              <w:rPr>
                <w:sz w:val="20"/>
                <w:szCs w:val="20"/>
              </w:rPr>
            </w:pPr>
            <w:r>
              <w:rPr>
                <w:sz w:val="20"/>
                <w:szCs w:val="20"/>
                <w:spacing w:val="-3"/>
              </w:rPr>
              <w:t>62</w:t>
            </w:r>
          </w:p>
        </w:tc>
        <w:tc>
          <w:tcPr>
            <w:tcW w:w="679" w:type="dxa"/>
            <w:vAlign w:val="top"/>
            <w:vMerge w:val="restart"/>
            <w:tcBorders>
              <w:bottom w:val="nil"/>
            </w:tcBorders>
          </w:tcPr>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pStyle w:val="TableText"/>
              <w:ind w:left="86"/>
              <w:spacing w:before="65" w:line="184" w:lineRule="auto"/>
              <w:rPr>
                <w:sz w:val="20"/>
                <w:szCs w:val="20"/>
              </w:rPr>
            </w:pPr>
            <w:r>
              <w:rPr>
                <w:sz w:val="20"/>
                <w:szCs w:val="20"/>
                <w:spacing w:val="-4"/>
              </w:rPr>
              <w:t>118.2</w:t>
            </w:r>
          </w:p>
        </w:tc>
        <w:tc>
          <w:tcPr>
            <w:tcW w:w="719" w:type="dxa"/>
            <w:vAlign w:val="top"/>
            <w:vMerge w:val="continue"/>
            <w:tcBorders>
              <w:top w:val="nil"/>
              <w:bottom w:val="nil"/>
            </w:tcBorders>
          </w:tcPr>
          <w:p>
            <w:pPr>
              <w:rPr>
                <w:rFonts w:ascii="Arial"/>
                <w:sz w:val="21"/>
              </w:rPr>
            </w:pPr>
            <w:r/>
          </w:p>
        </w:tc>
        <w:tc>
          <w:tcPr>
            <w:tcW w:w="750" w:type="dxa"/>
            <w:vAlign w:val="top"/>
            <w:vMerge w:val="restart"/>
            <w:tcBorders>
              <w:bottom w:val="nil"/>
            </w:tcBorders>
          </w:tcPr>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pStyle w:val="TableText"/>
              <w:ind w:left="268"/>
              <w:spacing w:before="65" w:line="184" w:lineRule="auto"/>
              <w:rPr>
                <w:sz w:val="20"/>
                <w:szCs w:val="20"/>
              </w:rPr>
            </w:pPr>
            <w:r>
              <w:rPr>
                <w:sz w:val="20"/>
                <w:szCs w:val="20"/>
                <w:spacing w:val="-6"/>
              </w:rPr>
              <w:t>15</w:t>
            </w:r>
          </w:p>
        </w:tc>
        <w:tc>
          <w:tcPr>
            <w:tcW w:w="659" w:type="dxa"/>
            <w:vAlign w:val="top"/>
            <w:vMerge w:val="restart"/>
            <w:tcBorders>
              <w:bottom w:val="nil"/>
            </w:tcBorders>
          </w:tcPr>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pStyle w:val="TableText"/>
              <w:ind w:left="129"/>
              <w:spacing w:before="65" w:line="183" w:lineRule="auto"/>
              <w:rPr>
                <w:sz w:val="20"/>
                <w:szCs w:val="20"/>
              </w:rPr>
            </w:pPr>
            <w:r>
              <w:rPr>
                <w:sz w:val="20"/>
                <w:szCs w:val="20"/>
                <w:spacing w:val="-2"/>
              </w:rPr>
              <w:t>45.0</w:t>
            </w:r>
          </w:p>
        </w:tc>
        <w:tc>
          <w:tcPr>
            <w:tcW w:w="630" w:type="dxa"/>
            <w:vAlign w:val="top"/>
            <w:vMerge w:val="restart"/>
            <w:tcBorders>
              <w:bottom w:val="nil"/>
            </w:tcBorders>
          </w:tcPr>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pStyle w:val="TableText"/>
              <w:ind w:left="109"/>
              <w:spacing w:before="65" w:line="183" w:lineRule="auto"/>
              <w:rPr>
                <w:sz w:val="20"/>
                <w:szCs w:val="20"/>
              </w:rPr>
            </w:pPr>
            <w:r>
              <w:rPr>
                <w:sz w:val="20"/>
                <w:szCs w:val="20"/>
                <w:spacing w:val="-3"/>
              </w:rPr>
              <w:t>34.0</w:t>
            </w:r>
          </w:p>
        </w:tc>
        <w:tc>
          <w:tcPr>
            <w:tcW w:w="659" w:type="dxa"/>
            <w:vAlign w:val="top"/>
            <w:vMerge w:val="restart"/>
            <w:tcBorders>
              <w:bottom w:val="nil"/>
            </w:tcBorders>
          </w:tcPr>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pStyle w:val="TableText"/>
              <w:ind w:left="129"/>
              <w:spacing w:before="65" w:line="183" w:lineRule="auto"/>
              <w:rPr>
                <w:sz w:val="20"/>
                <w:szCs w:val="20"/>
              </w:rPr>
            </w:pPr>
            <w:r>
              <w:rPr>
                <w:sz w:val="20"/>
                <w:szCs w:val="20"/>
                <w:spacing w:val="-2"/>
              </w:rPr>
              <w:t>43.6</w:t>
            </w:r>
          </w:p>
        </w:tc>
        <w:tc>
          <w:tcPr>
            <w:tcW w:w="720" w:type="dxa"/>
            <w:vAlign w:val="top"/>
            <w:vMerge w:val="restart"/>
            <w:tcBorders>
              <w:bottom w:val="nil"/>
            </w:tcBorders>
          </w:tcPr>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pStyle w:val="TableText"/>
              <w:ind w:left="160"/>
              <w:spacing w:before="65" w:line="183" w:lineRule="auto"/>
              <w:rPr>
                <w:sz w:val="20"/>
                <w:szCs w:val="20"/>
              </w:rPr>
            </w:pPr>
            <w:r>
              <w:rPr>
                <w:sz w:val="20"/>
                <w:szCs w:val="20"/>
                <w:spacing w:val="-3"/>
              </w:rPr>
              <w:t>38.0</w:t>
            </w:r>
          </w:p>
        </w:tc>
        <w:tc>
          <w:tcPr>
            <w:tcW w:w="635" w:type="dxa"/>
            <w:vAlign w:val="top"/>
            <w:vMerge w:val="continue"/>
            <w:tcBorders>
              <w:top w:val="nil"/>
              <w:bottom w:val="nil"/>
            </w:tcBorders>
          </w:tcPr>
          <w:p>
            <w:pPr>
              <w:rPr>
                <w:rFonts w:ascii="Arial"/>
                <w:sz w:val="21"/>
              </w:rPr>
            </w:pPr>
            <w:r/>
          </w:p>
        </w:tc>
      </w:tr>
      <w:tr>
        <w:trPr>
          <w:trHeight w:val="279" w:hRule="atLeast"/>
        </w:trPr>
        <w:tc>
          <w:tcPr>
            <w:tcW w:w="385" w:type="dxa"/>
            <w:vAlign w:val="top"/>
          </w:tcPr>
          <w:p>
            <w:pPr>
              <w:pStyle w:val="TableText"/>
              <w:ind w:left="134"/>
              <w:spacing w:before="94" w:line="161" w:lineRule="auto"/>
              <w:rPr>
                <w:sz w:val="20"/>
                <w:szCs w:val="20"/>
              </w:rPr>
            </w:pPr>
            <w:r>
              <w:rPr>
                <w:sz w:val="20"/>
                <w:szCs w:val="20"/>
              </w:rPr>
              <w:t>6</w:t>
            </w:r>
          </w:p>
        </w:tc>
        <w:tc>
          <w:tcPr>
            <w:tcW w:w="600" w:type="dxa"/>
            <w:vAlign w:val="top"/>
            <w:vMerge w:val="continue"/>
            <w:textDirection w:val="tbRlV"/>
            <w:tcBorders>
              <w:top w:val="nil"/>
              <w:bottom w:val="nil"/>
            </w:tcBorders>
          </w:tcPr>
          <w:p>
            <w:pPr>
              <w:rPr>
                <w:rFonts w:ascii="Arial"/>
                <w:sz w:val="21"/>
              </w:rPr>
            </w:pPr>
            <w:r/>
          </w:p>
        </w:tc>
        <w:tc>
          <w:tcPr>
            <w:tcW w:w="690" w:type="dxa"/>
            <w:vAlign w:val="top"/>
            <w:vMerge w:val="continue"/>
            <w:tcBorders>
              <w:top w:val="nil"/>
              <w:bottom w:val="nil"/>
            </w:tcBorders>
          </w:tcPr>
          <w:p>
            <w:pPr>
              <w:rPr>
                <w:rFonts w:ascii="Arial"/>
                <w:sz w:val="21"/>
              </w:rPr>
            </w:pPr>
            <w:r/>
          </w:p>
        </w:tc>
        <w:tc>
          <w:tcPr>
            <w:tcW w:w="789" w:type="dxa"/>
            <w:vAlign w:val="top"/>
          </w:tcPr>
          <w:p>
            <w:pPr>
              <w:pStyle w:val="TableText"/>
              <w:ind w:left="280"/>
              <w:spacing w:before="94" w:line="161" w:lineRule="auto"/>
              <w:rPr>
                <w:sz w:val="20"/>
                <w:szCs w:val="20"/>
              </w:rPr>
            </w:pPr>
            <w:r>
              <w:rPr>
                <w:sz w:val="20"/>
                <w:szCs w:val="20"/>
                <w:spacing w:val="-3"/>
              </w:rPr>
              <w:t>85</w:t>
            </w:r>
          </w:p>
        </w:tc>
        <w:tc>
          <w:tcPr>
            <w:tcW w:w="1179" w:type="dxa"/>
            <w:vAlign w:val="top"/>
            <w:vMerge w:val="continue"/>
            <w:tcBorders>
              <w:top w:val="nil"/>
              <w:bottom w:val="nil"/>
            </w:tcBorders>
          </w:tcPr>
          <w:p>
            <w:pPr>
              <w:rPr>
                <w:rFonts w:ascii="Arial"/>
                <w:sz w:val="21"/>
              </w:rPr>
            </w:pPr>
            <w:r/>
          </w:p>
        </w:tc>
        <w:tc>
          <w:tcPr>
            <w:tcW w:w="540" w:type="dxa"/>
            <w:vAlign w:val="top"/>
          </w:tcPr>
          <w:p>
            <w:pPr>
              <w:pStyle w:val="TableText"/>
              <w:ind w:left="162"/>
              <w:spacing w:before="94" w:line="161" w:lineRule="auto"/>
              <w:rPr>
                <w:sz w:val="20"/>
                <w:szCs w:val="20"/>
              </w:rPr>
            </w:pPr>
            <w:r>
              <w:rPr>
                <w:sz w:val="20"/>
                <w:szCs w:val="20"/>
                <w:spacing w:val="-3"/>
              </w:rPr>
              <w:t>62</w:t>
            </w:r>
          </w:p>
        </w:tc>
        <w:tc>
          <w:tcPr>
            <w:tcW w:w="689" w:type="dxa"/>
            <w:vAlign w:val="top"/>
          </w:tcPr>
          <w:p>
            <w:pPr>
              <w:pStyle w:val="TableText"/>
              <w:ind w:left="231"/>
              <w:spacing w:before="94" w:line="161" w:lineRule="auto"/>
              <w:rPr>
                <w:sz w:val="20"/>
                <w:szCs w:val="20"/>
              </w:rPr>
            </w:pPr>
            <w:r>
              <w:rPr>
                <w:sz w:val="20"/>
                <w:szCs w:val="20"/>
                <w:spacing w:val="-2"/>
              </w:rPr>
              <w:t>48</w:t>
            </w:r>
          </w:p>
        </w:tc>
        <w:tc>
          <w:tcPr>
            <w:tcW w:w="799" w:type="dxa"/>
            <w:vAlign w:val="top"/>
          </w:tcPr>
          <w:p>
            <w:pPr>
              <w:pStyle w:val="TableText"/>
              <w:ind w:left="293"/>
              <w:spacing w:before="94" w:line="161" w:lineRule="auto"/>
              <w:rPr>
                <w:sz w:val="20"/>
                <w:szCs w:val="20"/>
              </w:rPr>
            </w:pPr>
            <w:r>
              <w:rPr>
                <w:sz w:val="20"/>
                <w:szCs w:val="20"/>
                <w:spacing w:val="-3"/>
              </w:rPr>
              <w:t>26</w:t>
            </w:r>
          </w:p>
        </w:tc>
        <w:tc>
          <w:tcPr>
            <w:tcW w:w="949" w:type="dxa"/>
            <w:vAlign w:val="top"/>
            <w:vMerge w:val="continue"/>
            <w:tcBorders>
              <w:top w:val="nil"/>
              <w:bottom w:val="nil"/>
            </w:tcBorders>
          </w:tcPr>
          <w:p>
            <w:pPr>
              <w:rPr>
                <w:rFonts w:ascii="Arial"/>
                <w:sz w:val="21"/>
              </w:rPr>
            </w:pPr>
            <w:r/>
          </w:p>
        </w:tc>
        <w:tc>
          <w:tcPr>
            <w:tcW w:w="739" w:type="dxa"/>
            <w:vAlign w:val="top"/>
            <w:vMerge w:val="continue"/>
            <w:tcBorders>
              <w:top w:val="nil"/>
              <w:bottom w:val="nil"/>
            </w:tcBorders>
          </w:tcPr>
          <w:p>
            <w:pPr>
              <w:rPr>
                <w:rFonts w:ascii="Arial"/>
                <w:sz w:val="21"/>
              </w:rPr>
            </w:pPr>
            <w:r/>
          </w:p>
        </w:tc>
        <w:tc>
          <w:tcPr>
            <w:tcW w:w="829" w:type="dxa"/>
            <w:vAlign w:val="top"/>
            <w:vMerge w:val="continue"/>
            <w:tcBorders>
              <w:top w:val="nil"/>
              <w:bottom w:val="nil"/>
            </w:tcBorders>
          </w:tcPr>
          <w:p>
            <w:pPr>
              <w:rPr>
                <w:rFonts w:ascii="Arial"/>
                <w:sz w:val="21"/>
              </w:rPr>
            </w:pPr>
            <w:r/>
          </w:p>
        </w:tc>
        <w:tc>
          <w:tcPr>
            <w:tcW w:w="640"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719" w:type="dxa"/>
            <w:vAlign w:val="top"/>
            <w:vMerge w:val="continue"/>
            <w:tcBorders>
              <w:top w:val="nil"/>
              <w:bottom w:val="nil"/>
            </w:tcBorders>
          </w:tcPr>
          <w:p>
            <w:pPr>
              <w:rPr>
                <w:rFonts w:ascii="Arial"/>
                <w:sz w:val="21"/>
              </w:rPr>
            </w:pPr>
            <w:r/>
          </w:p>
        </w:tc>
        <w:tc>
          <w:tcPr>
            <w:tcW w:w="750" w:type="dxa"/>
            <w:vAlign w:val="top"/>
            <w:vMerge w:val="continue"/>
            <w:tcBorders>
              <w:top w:val="nil"/>
              <w:bottom w:val="nil"/>
            </w:tcBorders>
          </w:tcPr>
          <w:p>
            <w:pPr>
              <w:rPr>
                <w:rFonts w:ascii="Arial"/>
                <w:sz w:val="21"/>
              </w:rPr>
            </w:pPr>
            <w:r/>
          </w:p>
        </w:tc>
        <w:tc>
          <w:tcPr>
            <w:tcW w:w="659" w:type="dxa"/>
            <w:vAlign w:val="top"/>
            <w:vMerge w:val="continue"/>
            <w:tcBorders>
              <w:top w:val="nil"/>
              <w:bottom w:val="nil"/>
            </w:tcBorders>
          </w:tcPr>
          <w:p>
            <w:pPr>
              <w:rPr>
                <w:rFonts w:ascii="Arial"/>
                <w:sz w:val="21"/>
              </w:rPr>
            </w:pPr>
            <w:r/>
          </w:p>
        </w:tc>
        <w:tc>
          <w:tcPr>
            <w:tcW w:w="630" w:type="dxa"/>
            <w:vAlign w:val="top"/>
            <w:vMerge w:val="continue"/>
            <w:tcBorders>
              <w:top w:val="nil"/>
              <w:bottom w:val="nil"/>
            </w:tcBorders>
          </w:tcPr>
          <w:p>
            <w:pPr>
              <w:rPr>
                <w:rFonts w:ascii="Arial"/>
                <w:sz w:val="21"/>
              </w:rPr>
            </w:pPr>
            <w:r/>
          </w:p>
        </w:tc>
        <w:tc>
          <w:tcPr>
            <w:tcW w:w="659" w:type="dxa"/>
            <w:vAlign w:val="top"/>
            <w:vMerge w:val="continue"/>
            <w:tcBorders>
              <w:top w:val="nil"/>
              <w:bottom w:val="nil"/>
            </w:tcBorders>
          </w:tcPr>
          <w:p>
            <w:pPr>
              <w:rPr>
                <w:rFonts w:ascii="Arial"/>
                <w:sz w:val="21"/>
              </w:rPr>
            </w:pPr>
            <w:r/>
          </w:p>
        </w:tc>
        <w:tc>
          <w:tcPr>
            <w:tcW w:w="720" w:type="dxa"/>
            <w:vAlign w:val="top"/>
            <w:vMerge w:val="continue"/>
            <w:tcBorders>
              <w:top w:val="nil"/>
              <w:bottom w:val="nil"/>
            </w:tcBorders>
          </w:tcPr>
          <w:p>
            <w:pPr>
              <w:rPr>
                <w:rFonts w:ascii="Arial"/>
                <w:sz w:val="21"/>
              </w:rPr>
            </w:pPr>
            <w:r/>
          </w:p>
        </w:tc>
        <w:tc>
          <w:tcPr>
            <w:tcW w:w="635" w:type="dxa"/>
            <w:vAlign w:val="top"/>
            <w:vMerge w:val="continue"/>
            <w:tcBorders>
              <w:top w:val="nil"/>
              <w:bottom w:val="nil"/>
            </w:tcBorders>
          </w:tcPr>
          <w:p>
            <w:pPr>
              <w:rPr>
                <w:rFonts w:ascii="Arial"/>
                <w:sz w:val="21"/>
              </w:rPr>
            </w:pPr>
            <w:r/>
          </w:p>
        </w:tc>
      </w:tr>
      <w:tr>
        <w:trPr>
          <w:trHeight w:val="279" w:hRule="atLeast"/>
        </w:trPr>
        <w:tc>
          <w:tcPr>
            <w:tcW w:w="385" w:type="dxa"/>
            <w:vAlign w:val="top"/>
          </w:tcPr>
          <w:p>
            <w:pPr>
              <w:pStyle w:val="TableText"/>
              <w:ind w:left="134"/>
              <w:spacing w:before="96" w:line="159" w:lineRule="auto"/>
              <w:rPr>
                <w:sz w:val="20"/>
                <w:szCs w:val="20"/>
              </w:rPr>
            </w:pPr>
            <w:r>
              <w:rPr>
                <w:sz w:val="20"/>
                <w:szCs w:val="20"/>
              </w:rPr>
              <w:t>7</w:t>
            </w:r>
          </w:p>
        </w:tc>
        <w:tc>
          <w:tcPr>
            <w:tcW w:w="600" w:type="dxa"/>
            <w:vAlign w:val="top"/>
            <w:vMerge w:val="continue"/>
            <w:textDirection w:val="tbRlV"/>
            <w:tcBorders>
              <w:top w:val="nil"/>
              <w:bottom w:val="nil"/>
            </w:tcBorders>
          </w:tcPr>
          <w:p>
            <w:pPr>
              <w:rPr>
                <w:rFonts w:ascii="Arial"/>
                <w:sz w:val="21"/>
              </w:rPr>
            </w:pPr>
            <w:r/>
          </w:p>
        </w:tc>
        <w:tc>
          <w:tcPr>
            <w:tcW w:w="690" w:type="dxa"/>
            <w:vAlign w:val="top"/>
            <w:vMerge w:val="continue"/>
            <w:tcBorders>
              <w:top w:val="nil"/>
              <w:bottom w:val="nil"/>
            </w:tcBorders>
          </w:tcPr>
          <w:p>
            <w:pPr>
              <w:rPr>
                <w:rFonts w:ascii="Arial"/>
                <w:sz w:val="21"/>
              </w:rPr>
            </w:pPr>
            <w:r/>
          </w:p>
        </w:tc>
        <w:tc>
          <w:tcPr>
            <w:tcW w:w="789" w:type="dxa"/>
            <w:vAlign w:val="top"/>
          </w:tcPr>
          <w:p>
            <w:pPr>
              <w:pStyle w:val="TableText"/>
              <w:ind w:left="280"/>
              <w:spacing w:before="95" w:line="160" w:lineRule="auto"/>
              <w:rPr>
                <w:sz w:val="20"/>
                <w:szCs w:val="20"/>
              </w:rPr>
            </w:pPr>
            <w:r>
              <w:rPr>
                <w:sz w:val="20"/>
                <w:szCs w:val="20"/>
                <w:spacing w:val="-3"/>
              </w:rPr>
              <w:t>85</w:t>
            </w:r>
          </w:p>
        </w:tc>
        <w:tc>
          <w:tcPr>
            <w:tcW w:w="1179" w:type="dxa"/>
            <w:vAlign w:val="top"/>
            <w:vMerge w:val="continue"/>
            <w:tcBorders>
              <w:top w:val="nil"/>
              <w:bottom w:val="nil"/>
            </w:tcBorders>
          </w:tcPr>
          <w:p>
            <w:pPr>
              <w:rPr>
                <w:rFonts w:ascii="Arial"/>
                <w:sz w:val="21"/>
              </w:rPr>
            </w:pPr>
            <w:r/>
          </w:p>
        </w:tc>
        <w:tc>
          <w:tcPr>
            <w:tcW w:w="540" w:type="dxa"/>
            <w:vAlign w:val="top"/>
          </w:tcPr>
          <w:p>
            <w:pPr>
              <w:pStyle w:val="TableText"/>
              <w:ind w:left="162"/>
              <w:spacing w:before="95" w:line="160" w:lineRule="auto"/>
              <w:rPr>
                <w:sz w:val="20"/>
                <w:szCs w:val="20"/>
              </w:rPr>
            </w:pPr>
            <w:r>
              <w:rPr>
                <w:sz w:val="20"/>
                <w:szCs w:val="20"/>
                <w:spacing w:val="-3"/>
              </w:rPr>
              <w:t>62</w:t>
            </w:r>
          </w:p>
        </w:tc>
        <w:tc>
          <w:tcPr>
            <w:tcW w:w="689" w:type="dxa"/>
            <w:vAlign w:val="top"/>
          </w:tcPr>
          <w:p>
            <w:pPr>
              <w:pStyle w:val="TableText"/>
              <w:ind w:left="231"/>
              <w:spacing w:before="95" w:line="160" w:lineRule="auto"/>
              <w:rPr>
                <w:sz w:val="20"/>
                <w:szCs w:val="20"/>
              </w:rPr>
            </w:pPr>
            <w:r>
              <w:rPr>
                <w:sz w:val="20"/>
                <w:szCs w:val="20"/>
                <w:spacing w:val="-2"/>
              </w:rPr>
              <w:t>42</w:t>
            </w:r>
          </w:p>
        </w:tc>
        <w:tc>
          <w:tcPr>
            <w:tcW w:w="799" w:type="dxa"/>
            <w:vAlign w:val="top"/>
          </w:tcPr>
          <w:p>
            <w:pPr>
              <w:pStyle w:val="TableText"/>
              <w:ind w:left="293"/>
              <w:spacing w:before="95" w:line="160" w:lineRule="auto"/>
              <w:rPr>
                <w:sz w:val="20"/>
                <w:szCs w:val="20"/>
              </w:rPr>
            </w:pPr>
            <w:r>
              <w:rPr>
                <w:sz w:val="20"/>
                <w:szCs w:val="20"/>
                <w:spacing w:val="-3"/>
              </w:rPr>
              <w:t>26</w:t>
            </w:r>
          </w:p>
        </w:tc>
        <w:tc>
          <w:tcPr>
            <w:tcW w:w="949" w:type="dxa"/>
            <w:vAlign w:val="top"/>
            <w:vMerge w:val="continue"/>
            <w:tcBorders>
              <w:top w:val="nil"/>
              <w:bottom w:val="nil"/>
            </w:tcBorders>
          </w:tcPr>
          <w:p>
            <w:pPr>
              <w:rPr>
                <w:rFonts w:ascii="Arial"/>
                <w:sz w:val="21"/>
              </w:rPr>
            </w:pPr>
            <w:r/>
          </w:p>
        </w:tc>
        <w:tc>
          <w:tcPr>
            <w:tcW w:w="739" w:type="dxa"/>
            <w:vAlign w:val="top"/>
            <w:vMerge w:val="continue"/>
            <w:tcBorders>
              <w:top w:val="nil"/>
              <w:bottom w:val="nil"/>
            </w:tcBorders>
          </w:tcPr>
          <w:p>
            <w:pPr>
              <w:rPr>
                <w:rFonts w:ascii="Arial"/>
                <w:sz w:val="21"/>
              </w:rPr>
            </w:pPr>
            <w:r/>
          </w:p>
        </w:tc>
        <w:tc>
          <w:tcPr>
            <w:tcW w:w="829" w:type="dxa"/>
            <w:vAlign w:val="top"/>
            <w:vMerge w:val="continue"/>
            <w:tcBorders>
              <w:top w:val="nil"/>
              <w:bottom w:val="nil"/>
            </w:tcBorders>
          </w:tcPr>
          <w:p>
            <w:pPr>
              <w:rPr>
                <w:rFonts w:ascii="Arial"/>
                <w:sz w:val="21"/>
              </w:rPr>
            </w:pPr>
            <w:r/>
          </w:p>
        </w:tc>
        <w:tc>
          <w:tcPr>
            <w:tcW w:w="640"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719" w:type="dxa"/>
            <w:vAlign w:val="top"/>
            <w:vMerge w:val="continue"/>
            <w:tcBorders>
              <w:top w:val="nil"/>
              <w:bottom w:val="nil"/>
            </w:tcBorders>
          </w:tcPr>
          <w:p>
            <w:pPr>
              <w:rPr>
                <w:rFonts w:ascii="Arial"/>
                <w:sz w:val="21"/>
              </w:rPr>
            </w:pPr>
            <w:r/>
          </w:p>
        </w:tc>
        <w:tc>
          <w:tcPr>
            <w:tcW w:w="750" w:type="dxa"/>
            <w:vAlign w:val="top"/>
            <w:vMerge w:val="continue"/>
            <w:tcBorders>
              <w:top w:val="nil"/>
              <w:bottom w:val="nil"/>
            </w:tcBorders>
          </w:tcPr>
          <w:p>
            <w:pPr>
              <w:rPr>
                <w:rFonts w:ascii="Arial"/>
                <w:sz w:val="21"/>
              </w:rPr>
            </w:pPr>
            <w:r/>
          </w:p>
        </w:tc>
        <w:tc>
          <w:tcPr>
            <w:tcW w:w="659" w:type="dxa"/>
            <w:vAlign w:val="top"/>
            <w:vMerge w:val="continue"/>
            <w:tcBorders>
              <w:top w:val="nil"/>
              <w:bottom w:val="nil"/>
            </w:tcBorders>
          </w:tcPr>
          <w:p>
            <w:pPr>
              <w:rPr>
                <w:rFonts w:ascii="Arial"/>
                <w:sz w:val="21"/>
              </w:rPr>
            </w:pPr>
            <w:r/>
          </w:p>
        </w:tc>
        <w:tc>
          <w:tcPr>
            <w:tcW w:w="630" w:type="dxa"/>
            <w:vAlign w:val="top"/>
            <w:vMerge w:val="continue"/>
            <w:tcBorders>
              <w:top w:val="nil"/>
              <w:bottom w:val="nil"/>
            </w:tcBorders>
          </w:tcPr>
          <w:p>
            <w:pPr>
              <w:rPr>
                <w:rFonts w:ascii="Arial"/>
                <w:sz w:val="21"/>
              </w:rPr>
            </w:pPr>
            <w:r/>
          </w:p>
        </w:tc>
        <w:tc>
          <w:tcPr>
            <w:tcW w:w="659" w:type="dxa"/>
            <w:vAlign w:val="top"/>
            <w:vMerge w:val="continue"/>
            <w:tcBorders>
              <w:top w:val="nil"/>
              <w:bottom w:val="nil"/>
            </w:tcBorders>
          </w:tcPr>
          <w:p>
            <w:pPr>
              <w:rPr>
                <w:rFonts w:ascii="Arial"/>
                <w:sz w:val="21"/>
              </w:rPr>
            </w:pPr>
            <w:r/>
          </w:p>
        </w:tc>
        <w:tc>
          <w:tcPr>
            <w:tcW w:w="720" w:type="dxa"/>
            <w:vAlign w:val="top"/>
            <w:vMerge w:val="continue"/>
            <w:tcBorders>
              <w:top w:val="nil"/>
              <w:bottom w:val="nil"/>
            </w:tcBorders>
          </w:tcPr>
          <w:p>
            <w:pPr>
              <w:rPr>
                <w:rFonts w:ascii="Arial"/>
                <w:sz w:val="21"/>
              </w:rPr>
            </w:pPr>
            <w:r/>
          </w:p>
        </w:tc>
        <w:tc>
          <w:tcPr>
            <w:tcW w:w="635" w:type="dxa"/>
            <w:vAlign w:val="top"/>
            <w:vMerge w:val="continue"/>
            <w:tcBorders>
              <w:top w:val="nil"/>
              <w:bottom w:val="nil"/>
            </w:tcBorders>
          </w:tcPr>
          <w:p>
            <w:pPr>
              <w:rPr>
                <w:rFonts w:ascii="Arial"/>
                <w:sz w:val="21"/>
              </w:rPr>
            </w:pPr>
            <w:r/>
          </w:p>
        </w:tc>
      </w:tr>
      <w:tr>
        <w:trPr>
          <w:trHeight w:val="299" w:hRule="atLeast"/>
        </w:trPr>
        <w:tc>
          <w:tcPr>
            <w:tcW w:w="385" w:type="dxa"/>
            <w:vAlign w:val="top"/>
          </w:tcPr>
          <w:p>
            <w:pPr>
              <w:pStyle w:val="TableText"/>
              <w:ind w:left="134"/>
              <w:spacing w:before="107" w:line="168" w:lineRule="auto"/>
              <w:rPr>
                <w:sz w:val="20"/>
                <w:szCs w:val="20"/>
              </w:rPr>
            </w:pPr>
            <w:r>
              <w:rPr>
                <w:sz w:val="20"/>
                <w:szCs w:val="20"/>
              </w:rPr>
              <w:t>8</w:t>
            </w:r>
          </w:p>
        </w:tc>
        <w:tc>
          <w:tcPr>
            <w:tcW w:w="600" w:type="dxa"/>
            <w:vAlign w:val="top"/>
            <w:vMerge w:val="continue"/>
            <w:textDirection w:val="tbRlV"/>
            <w:tcBorders>
              <w:top w:val="nil"/>
              <w:bottom w:val="nil"/>
            </w:tcBorders>
          </w:tcPr>
          <w:p>
            <w:pPr>
              <w:rPr>
                <w:rFonts w:ascii="Arial"/>
                <w:sz w:val="21"/>
              </w:rPr>
            </w:pPr>
            <w:r/>
          </w:p>
        </w:tc>
        <w:tc>
          <w:tcPr>
            <w:tcW w:w="690" w:type="dxa"/>
            <w:vAlign w:val="top"/>
            <w:vMerge w:val="continue"/>
            <w:tcBorders>
              <w:top w:val="nil"/>
              <w:bottom w:val="nil"/>
            </w:tcBorders>
          </w:tcPr>
          <w:p>
            <w:pPr>
              <w:rPr>
                <w:rFonts w:ascii="Arial"/>
                <w:sz w:val="21"/>
              </w:rPr>
            </w:pPr>
            <w:r/>
          </w:p>
        </w:tc>
        <w:tc>
          <w:tcPr>
            <w:tcW w:w="789" w:type="dxa"/>
            <w:vAlign w:val="top"/>
          </w:tcPr>
          <w:p>
            <w:pPr>
              <w:pStyle w:val="TableText"/>
              <w:ind w:left="280"/>
              <w:spacing w:before="107" w:line="168" w:lineRule="auto"/>
              <w:rPr>
                <w:sz w:val="20"/>
                <w:szCs w:val="20"/>
              </w:rPr>
            </w:pPr>
            <w:r>
              <w:rPr>
                <w:sz w:val="20"/>
                <w:szCs w:val="20"/>
                <w:spacing w:val="-3"/>
              </w:rPr>
              <w:t>85</w:t>
            </w:r>
          </w:p>
        </w:tc>
        <w:tc>
          <w:tcPr>
            <w:tcW w:w="1179" w:type="dxa"/>
            <w:vAlign w:val="top"/>
            <w:vMerge w:val="continue"/>
            <w:tcBorders>
              <w:top w:val="nil"/>
              <w:bottom w:val="nil"/>
            </w:tcBorders>
          </w:tcPr>
          <w:p>
            <w:pPr>
              <w:rPr>
                <w:rFonts w:ascii="Arial"/>
                <w:sz w:val="21"/>
              </w:rPr>
            </w:pPr>
            <w:r/>
          </w:p>
        </w:tc>
        <w:tc>
          <w:tcPr>
            <w:tcW w:w="540" w:type="dxa"/>
            <w:vAlign w:val="top"/>
          </w:tcPr>
          <w:p>
            <w:pPr>
              <w:pStyle w:val="TableText"/>
              <w:ind w:left="162"/>
              <w:spacing w:before="107" w:line="168" w:lineRule="auto"/>
              <w:rPr>
                <w:sz w:val="20"/>
                <w:szCs w:val="20"/>
              </w:rPr>
            </w:pPr>
            <w:r>
              <w:rPr>
                <w:sz w:val="20"/>
                <w:szCs w:val="20"/>
                <w:spacing w:val="-3"/>
              </w:rPr>
              <w:t>62</w:t>
            </w:r>
          </w:p>
        </w:tc>
        <w:tc>
          <w:tcPr>
            <w:tcW w:w="689" w:type="dxa"/>
            <w:vAlign w:val="top"/>
          </w:tcPr>
          <w:p>
            <w:pPr>
              <w:pStyle w:val="TableText"/>
              <w:ind w:left="231"/>
              <w:spacing w:before="107" w:line="168" w:lineRule="auto"/>
              <w:rPr>
                <w:sz w:val="20"/>
                <w:szCs w:val="20"/>
              </w:rPr>
            </w:pPr>
            <w:r>
              <w:rPr>
                <w:sz w:val="20"/>
                <w:szCs w:val="20"/>
                <w:spacing w:val="-3"/>
              </w:rPr>
              <w:t>36</w:t>
            </w:r>
          </w:p>
        </w:tc>
        <w:tc>
          <w:tcPr>
            <w:tcW w:w="799" w:type="dxa"/>
            <w:vAlign w:val="top"/>
          </w:tcPr>
          <w:p>
            <w:pPr>
              <w:pStyle w:val="TableText"/>
              <w:ind w:left="293"/>
              <w:spacing w:before="107" w:line="168" w:lineRule="auto"/>
              <w:rPr>
                <w:sz w:val="20"/>
                <w:szCs w:val="20"/>
              </w:rPr>
            </w:pPr>
            <w:r>
              <w:rPr>
                <w:sz w:val="20"/>
                <w:szCs w:val="20"/>
                <w:spacing w:val="-3"/>
              </w:rPr>
              <w:t>26</w:t>
            </w:r>
          </w:p>
        </w:tc>
        <w:tc>
          <w:tcPr>
            <w:tcW w:w="949" w:type="dxa"/>
            <w:vAlign w:val="top"/>
            <w:vMerge w:val="continue"/>
            <w:tcBorders>
              <w:top w:val="nil"/>
              <w:bottom w:val="nil"/>
            </w:tcBorders>
          </w:tcPr>
          <w:p>
            <w:pPr>
              <w:rPr>
                <w:rFonts w:ascii="Arial"/>
                <w:sz w:val="21"/>
              </w:rPr>
            </w:pPr>
            <w:r/>
          </w:p>
        </w:tc>
        <w:tc>
          <w:tcPr>
            <w:tcW w:w="739" w:type="dxa"/>
            <w:vAlign w:val="top"/>
            <w:vMerge w:val="continue"/>
            <w:tcBorders>
              <w:top w:val="nil"/>
              <w:bottom w:val="nil"/>
            </w:tcBorders>
          </w:tcPr>
          <w:p>
            <w:pPr>
              <w:rPr>
                <w:rFonts w:ascii="Arial"/>
                <w:sz w:val="21"/>
              </w:rPr>
            </w:pPr>
            <w:r/>
          </w:p>
        </w:tc>
        <w:tc>
          <w:tcPr>
            <w:tcW w:w="829" w:type="dxa"/>
            <w:vAlign w:val="top"/>
            <w:vMerge w:val="continue"/>
            <w:tcBorders>
              <w:top w:val="nil"/>
              <w:bottom w:val="nil"/>
            </w:tcBorders>
          </w:tcPr>
          <w:p>
            <w:pPr>
              <w:rPr>
                <w:rFonts w:ascii="Arial"/>
                <w:sz w:val="21"/>
              </w:rPr>
            </w:pPr>
            <w:r/>
          </w:p>
        </w:tc>
        <w:tc>
          <w:tcPr>
            <w:tcW w:w="640"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719" w:type="dxa"/>
            <w:vAlign w:val="top"/>
            <w:vMerge w:val="continue"/>
            <w:tcBorders>
              <w:top w:val="nil"/>
              <w:bottom w:val="nil"/>
            </w:tcBorders>
          </w:tcPr>
          <w:p>
            <w:pPr>
              <w:rPr>
                <w:rFonts w:ascii="Arial"/>
                <w:sz w:val="21"/>
              </w:rPr>
            </w:pPr>
            <w:r/>
          </w:p>
        </w:tc>
        <w:tc>
          <w:tcPr>
            <w:tcW w:w="750" w:type="dxa"/>
            <w:vAlign w:val="top"/>
            <w:vMerge w:val="continue"/>
            <w:tcBorders>
              <w:top w:val="nil"/>
              <w:bottom w:val="nil"/>
            </w:tcBorders>
          </w:tcPr>
          <w:p>
            <w:pPr>
              <w:rPr>
                <w:rFonts w:ascii="Arial"/>
                <w:sz w:val="21"/>
              </w:rPr>
            </w:pPr>
            <w:r/>
          </w:p>
        </w:tc>
        <w:tc>
          <w:tcPr>
            <w:tcW w:w="659" w:type="dxa"/>
            <w:vAlign w:val="top"/>
            <w:vMerge w:val="continue"/>
            <w:tcBorders>
              <w:top w:val="nil"/>
              <w:bottom w:val="nil"/>
            </w:tcBorders>
          </w:tcPr>
          <w:p>
            <w:pPr>
              <w:rPr>
                <w:rFonts w:ascii="Arial"/>
                <w:sz w:val="21"/>
              </w:rPr>
            </w:pPr>
            <w:r/>
          </w:p>
        </w:tc>
        <w:tc>
          <w:tcPr>
            <w:tcW w:w="630" w:type="dxa"/>
            <w:vAlign w:val="top"/>
            <w:vMerge w:val="continue"/>
            <w:tcBorders>
              <w:top w:val="nil"/>
              <w:bottom w:val="nil"/>
            </w:tcBorders>
          </w:tcPr>
          <w:p>
            <w:pPr>
              <w:rPr>
                <w:rFonts w:ascii="Arial"/>
                <w:sz w:val="21"/>
              </w:rPr>
            </w:pPr>
            <w:r/>
          </w:p>
        </w:tc>
        <w:tc>
          <w:tcPr>
            <w:tcW w:w="659" w:type="dxa"/>
            <w:vAlign w:val="top"/>
            <w:vMerge w:val="continue"/>
            <w:tcBorders>
              <w:top w:val="nil"/>
              <w:bottom w:val="nil"/>
            </w:tcBorders>
          </w:tcPr>
          <w:p>
            <w:pPr>
              <w:rPr>
                <w:rFonts w:ascii="Arial"/>
                <w:sz w:val="21"/>
              </w:rPr>
            </w:pPr>
            <w:r/>
          </w:p>
        </w:tc>
        <w:tc>
          <w:tcPr>
            <w:tcW w:w="720" w:type="dxa"/>
            <w:vAlign w:val="top"/>
            <w:vMerge w:val="continue"/>
            <w:tcBorders>
              <w:top w:val="nil"/>
              <w:bottom w:val="nil"/>
            </w:tcBorders>
          </w:tcPr>
          <w:p>
            <w:pPr>
              <w:rPr>
                <w:rFonts w:ascii="Arial"/>
                <w:sz w:val="21"/>
              </w:rPr>
            </w:pPr>
            <w:r/>
          </w:p>
        </w:tc>
        <w:tc>
          <w:tcPr>
            <w:tcW w:w="635" w:type="dxa"/>
            <w:vAlign w:val="top"/>
            <w:vMerge w:val="continue"/>
            <w:tcBorders>
              <w:top w:val="nil"/>
              <w:bottom w:val="nil"/>
            </w:tcBorders>
          </w:tcPr>
          <w:p>
            <w:pPr>
              <w:rPr>
                <w:rFonts w:ascii="Arial"/>
                <w:sz w:val="21"/>
              </w:rPr>
            </w:pPr>
            <w:r/>
          </w:p>
        </w:tc>
      </w:tr>
      <w:tr>
        <w:trPr>
          <w:trHeight w:val="279" w:hRule="atLeast"/>
        </w:trPr>
        <w:tc>
          <w:tcPr>
            <w:tcW w:w="385" w:type="dxa"/>
            <w:vAlign w:val="top"/>
          </w:tcPr>
          <w:p>
            <w:pPr>
              <w:pStyle w:val="TableText"/>
              <w:ind w:left="134"/>
              <w:spacing w:before="97" w:line="158" w:lineRule="auto"/>
              <w:rPr>
                <w:sz w:val="20"/>
                <w:szCs w:val="20"/>
              </w:rPr>
            </w:pPr>
            <w:r>
              <w:rPr>
                <w:sz w:val="20"/>
                <w:szCs w:val="20"/>
              </w:rPr>
              <w:t>9</w:t>
            </w:r>
          </w:p>
        </w:tc>
        <w:tc>
          <w:tcPr>
            <w:tcW w:w="600" w:type="dxa"/>
            <w:vAlign w:val="top"/>
            <w:vMerge w:val="continue"/>
            <w:textDirection w:val="tbRlV"/>
            <w:tcBorders>
              <w:top w:val="nil"/>
              <w:bottom w:val="nil"/>
            </w:tcBorders>
          </w:tcPr>
          <w:p>
            <w:pPr>
              <w:rPr>
                <w:rFonts w:ascii="Arial"/>
                <w:sz w:val="21"/>
              </w:rPr>
            </w:pPr>
            <w:r/>
          </w:p>
        </w:tc>
        <w:tc>
          <w:tcPr>
            <w:tcW w:w="690" w:type="dxa"/>
            <w:vAlign w:val="top"/>
            <w:vMerge w:val="continue"/>
            <w:tcBorders>
              <w:top w:val="nil"/>
              <w:bottom w:val="nil"/>
            </w:tcBorders>
          </w:tcPr>
          <w:p>
            <w:pPr>
              <w:rPr>
                <w:rFonts w:ascii="Arial"/>
                <w:sz w:val="21"/>
              </w:rPr>
            </w:pPr>
            <w:r/>
          </w:p>
        </w:tc>
        <w:tc>
          <w:tcPr>
            <w:tcW w:w="789" w:type="dxa"/>
            <w:vAlign w:val="top"/>
          </w:tcPr>
          <w:p>
            <w:pPr>
              <w:pStyle w:val="TableText"/>
              <w:ind w:left="280"/>
              <w:spacing w:before="97" w:line="158" w:lineRule="auto"/>
              <w:rPr>
                <w:sz w:val="20"/>
                <w:szCs w:val="20"/>
              </w:rPr>
            </w:pPr>
            <w:r>
              <w:rPr>
                <w:sz w:val="20"/>
                <w:szCs w:val="20"/>
                <w:spacing w:val="-3"/>
              </w:rPr>
              <w:t>85</w:t>
            </w:r>
          </w:p>
        </w:tc>
        <w:tc>
          <w:tcPr>
            <w:tcW w:w="1179" w:type="dxa"/>
            <w:vAlign w:val="top"/>
            <w:vMerge w:val="continue"/>
            <w:tcBorders>
              <w:top w:val="nil"/>
              <w:bottom w:val="nil"/>
            </w:tcBorders>
          </w:tcPr>
          <w:p>
            <w:pPr>
              <w:rPr>
                <w:rFonts w:ascii="Arial"/>
                <w:sz w:val="21"/>
              </w:rPr>
            </w:pPr>
            <w:r/>
          </w:p>
        </w:tc>
        <w:tc>
          <w:tcPr>
            <w:tcW w:w="540" w:type="dxa"/>
            <w:vAlign w:val="top"/>
          </w:tcPr>
          <w:p>
            <w:pPr>
              <w:pStyle w:val="TableText"/>
              <w:ind w:left="162"/>
              <w:spacing w:before="97" w:line="158" w:lineRule="auto"/>
              <w:rPr>
                <w:sz w:val="20"/>
                <w:szCs w:val="20"/>
              </w:rPr>
            </w:pPr>
            <w:r>
              <w:rPr>
                <w:sz w:val="20"/>
                <w:szCs w:val="20"/>
                <w:spacing w:val="-3"/>
              </w:rPr>
              <w:t>62</w:t>
            </w:r>
          </w:p>
        </w:tc>
        <w:tc>
          <w:tcPr>
            <w:tcW w:w="689" w:type="dxa"/>
            <w:vAlign w:val="top"/>
          </w:tcPr>
          <w:p>
            <w:pPr>
              <w:pStyle w:val="TableText"/>
              <w:ind w:left="231"/>
              <w:spacing w:before="97" w:line="158" w:lineRule="auto"/>
              <w:rPr>
                <w:sz w:val="20"/>
                <w:szCs w:val="20"/>
              </w:rPr>
            </w:pPr>
            <w:r>
              <w:rPr>
                <w:sz w:val="20"/>
                <w:szCs w:val="20"/>
                <w:spacing w:val="-3"/>
              </w:rPr>
              <w:t>30</w:t>
            </w:r>
          </w:p>
        </w:tc>
        <w:tc>
          <w:tcPr>
            <w:tcW w:w="799" w:type="dxa"/>
            <w:vAlign w:val="top"/>
          </w:tcPr>
          <w:p>
            <w:pPr>
              <w:pStyle w:val="TableText"/>
              <w:ind w:left="293"/>
              <w:spacing w:before="97" w:line="158" w:lineRule="auto"/>
              <w:rPr>
                <w:sz w:val="20"/>
                <w:szCs w:val="20"/>
              </w:rPr>
            </w:pPr>
            <w:r>
              <w:rPr>
                <w:sz w:val="20"/>
                <w:szCs w:val="20"/>
                <w:spacing w:val="-3"/>
              </w:rPr>
              <w:t>26</w:t>
            </w:r>
          </w:p>
        </w:tc>
        <w:tc>
          <w:tcPr>
            <w:tcW w:w="949" w:type="dxa"/>
            <w:vAlign w:val="top"/>
            <w:vMerge w:val="continue"/>
            <w:tcBorders>
              <w:top w:val="nil"/>
              <w:bottom w:val="nil"/>
            </w:tcBorders>
          </w:tcPr>
          <w:p>
            <w:pPr>
              <w:rPr>
                <w:rFonts w:ascii="Arial"/>
                <w:sz w:val="21"/>
              </w:rPr>
            </w:pPr>
            <w:r/>
          </w:p>
        </w:tc>
        <w:tc>
          <w:tcPr>
            <w:tcW w:w="739" w:type="dxa"/>
            <w:vAlign w:val="top"/>
            <w:vMerge w:val="continue"/>
            <w:tcBorders>
              <w:top w:val="nil"/>
              <w:bottom w:val="nil"/>
            </w:tcBorders>
          </w:tcPr>
          <w:p>
            <w:pPr>
              <w:rPr>
                <w:rFonts w:ascii="Arial"/>
                <w:sz w:val="21"/>
              </w:rPr>
            </w:pPr>
            <w:r/>
          </w:p>
        </w:tc>
        <w:tc>
          <w:tcPr>
            <w:tcW w:w="829" w:type="dxa"/>
            <w:vAlign w:val="top"/>
            <w:vMerge w:val="continue"/>
            <w:tcBorders>
              <w:top w:val="nil"/>
              <w:bottom w:val="nil"/>
            </w:tcBorders>
          </w:tcPr>
          <w:p>
            <w:pPr>
              <w:rPr>
                <w:rFonts w:ascii="Arial"/>
                <w:sz w:val="21"/>
              </w:rPr>
            </w:pPr>
            <w:r/>
          </w:p>
        </w:tc>
        <w:tc>
          <w:tcPr>
            <w:tcW w:w="640"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719" w:type="dxa"/>
            <w:vAlign w:val="top"/>
            <w:vMerge w:val="continue"/>
            <w:tcBorders>
              <w:top w:val="nil"/>
              <w:bottom w:val="nil"/>
            </w:tcBorders>
          </w:tcPr>
          <w:p>
            <w:pPr>
              <w:rPr>
                <w:rFonts w:ascii="Arial"/>
                <w:sz w:val="21"/>
              </w:rPr>
            </w:pPr>
            <w:r/>
          </w:p>
        </w:tc>
        <w:tc>
          <w:tcPr>
            <w:tcW w:w="750" w:type="dxa"/>
            <w:vAlign w:val="top"/>
            <w:vMerge w:val="continue"/>
            <w:tcBorders>
              <w:top w:val="nil"/>
              <w:bottom w:val="nil"/>
            </w:tcBorders>
          </w:tcPr>
          <w:p>
            <w:pPr>
              <w:rPr>
                <w:rFonts w:ascii="Arial"/>
                <w:sz w:val="21"/>
              </w:rPr>
            </w:pPr>
            <w:r/>
          </w:p>
        </w:tc>
        <w:tc>
          <w:tcPr>
            <w:tcW w:w="659" w:type="dxa"/>
            <w:vAlign w:val="top"/>
            <w:vMerge w:val="continue"/>
            <w:tcBorders>
              <w:top w:val="nil"/>
              <w:bottom w:val="nil"/>
            </w:tcBorders>
          </w:tcPr>
          <w:p>
            <w:pPr>
              <w:rPr>
                <w:rFonts w:ascii="Arial"/>
                <w:sz w:val="21"/>
              </w:rPr>
            </w:pPr>
            <w:r/>
          </w:p>
        </w:tc>
        <w:tc>
          <w:tcPr>
            <w:tcW w:w="630" w:type="dxa"/>
            <w:vAlign w:val="top"/>
            <w:vMerge w:val="continue"/>
            <w:tcBorders>
              <w:top w:val="nil"/>
              <w:bottom w:val="nil"/>
            </w:tcBorders>
          </w:tcPr>
          <w:p>
            <w:pPr>
              <w:rPr>
                <w:rFonts w:ascii="Arial"/>
                <w:sz w:val="21"/>
              </w:rPr>
            </w:pPr>
            <w:r/>
          </w:p>
        </w:tc>
        <w:tc>
          <w:tcPr>
            <w:tcW w:w="659" w:type="dxa"/>
            <w:vAlign w:val="top"/>
            <w:vMerge w:val="continue"/>
            <w:tcBorders>
              <w:top w:val="nil"/>
              <w:bottom w:val="nil"/>
            </w:tcBorders>
          </w:tcPr>
          <w:p>
            <w:pPr>
              <w:rPr>
                <w:rFonts w:ascii="Arial"/>
                <w:sz w:val="21"/>
              </w:rPr>
            </w:pPr>
            <w:r/>
          </w:p>
        </w:tc>
        <w:tc>
          <w:tcPr>
            <w:tcW w:w="720" w:type="dxa"/>
            <w:vAlign w:val="top"/>
            <w:vMerge w:val="continue"/>
            <w:tcBorders>
              <w:top w:val="nil"/>
              <w:bottom w:val="nil"/>
            </w:tcBorders>
          </w:tcPr>
          <w:p>
            <w:pPr>
              <w:rPr>
                <w:rFonts w:ascii="Arial"/>
                <w:sz w:val="21"/>
              </w:rPr>
            </w:pPr>
            <w:r/>
          </w:p>
        </w:tc>
        <w:tc>
          <w:tcPr>
            <w:tcW w:w="635" w:type="dxa"/>
            <w:vAlign w:val="top"/>
            <w:vMerge w:val="continue"/>
            <w:tcBorders>
              <w:top w:val="nil"/>
              <w:bottom w:val="nil"/>
            </w:tcBorders>
          </w:tcPr>
          <w:p>
            <w:pPr>
              <w:rPr>
                <w:rFonts w:ascii="Arial"/>
                <w:sz w:val="21"/>
              </w:rPr>
            </w:pPr>
            <w:r/>
          </w:p>
        </w:tc>
      </w:tr>
      <w:tr>
        <w:trPr>
          <w:trHeight w:val="280" w:hRule="atLeast"/>
        </w:trPr>
        <w:tc>
          <w:tcPr>
            <w:tcW w:w="385" w:type="dxa"/>
            <w:vAlign w:val="top"/>
          </w:tcPr>
          <w:p>
            <w:pPr>
              <w:pStyle w:val="TableText"/>
              <w:ind w:left="84"/>
              <w:spacing w:before="97" w:line="159" w:lineRule="auto"/>
              <w:rPr>
                <w:sz w:val="20"/>
                <w:szCs w:val="20"/>
              </w:rPr>
            </w:pPr>
            <w:r>
              <w:rPr>
                <w:sz w:val="20"/>
                <w:szCs w:val="20"/>
                <w:spacing w:val="-6"/>
              </w:rPr>
              <w:t>10</w:t>
            </w:r>
          </w:p>
        </w:tc>
        <w:tc>
          <w:tcPr>
            <w:tcW w:w="600" w:type="dxa"/>
            <w:vAlign w:val="top"/>
            <w:vMerge w:val="continue"/>
            <w:textDirection w:val="tbRlV"/>
            <w:tcBorders>
              <w:top w:val="nil"/>
              <w:bottom w:val="nil"/>
            </w:tcBorders>
          </w:tcPr>
          <w:p>
            <w:pPr>
              <w:rPr>
                <w:rFonts w:ascii="Arial"/>
                <w:sz w:val="21"/>
              </w:rPr>
            </w:pPr>
            <w:r/>
          </w:p>
        </w:tc>
        <w:tc>
          <w:tcPr>
            <w:tcW w:w="690" w:type="dxa"/>
            <w:vAlign w:val="top"/>
            <w:vMerge w:val="continue"/>
            <w:tcBorders>
              <w:top w:val="nil"/>
              <w:bottom w:val="nil"/>
            </w:tcBorders>
          </w:tcPr>
          <w:p>
            <w:pPr>
              <w:rPr>
                <w:rFonts w:ascii="Arial"/>
                <w:sz w:val="21"/>
              </w:rPr>
            </w:pPr>
            <w:r/>
          </w:p>
        </w:tc>
        <w:tc>
          <w:tcPr>
            <w:tcW w:w="789" w:type="dxa"/>
            <w:vAlign w:val="top"/>
          </w:tcPr>
          <w:p>
            <w:pPr>
              <w:pStyle w:val="TableText"/>
              <w:ind w:left="280"/>
              <w:spacing w:before="98" w:line="158" w:lineRule="auto"/>
              <w:rPr>
                <w:sz w:val="20"/>
                <w:szCs w:val="20"/>
              </w:rPr>
            </w:pPr>
            <w:r>
              <w:rPr>
                <w:sz w:val="20"/>
                <w:szCs w:val="20"/>
                <w:spacing w:val="-3"/>
              </w:rPr>
              <w:t>85</w:t>
            </w:r>
          </w:p>
        </w:tc>
        <w:tc>
          <w:tcPr>
            <w:tcW w:w="1179" w:type="dxa"/>
            <w:vAlign w:val="top"/>
            <w:vMerge w:val="continue"/>
            <w:tcBorders>
              <w:top w:val="nil"/>
              <w:bottom w:val="nil"/>
            </w:tcBorders>
          </w:tcPr>
          <w:p>
            <w:pPr>
              <w:rPr>
                <w:rFonts w:ascii="Arial"/>
                <w:sz w:val="21"/>
              </w:rPr>
            </w:pPr>
            <w:r/>
          </w:p>
        </w:tc>
        <w:tc>
          <w:tcPr>
            <w:tcW w:w="540" w:type="dxa"/>
            <w:vAlign w:val="top"/>
          </w:tcPr>
          <w:p>
            <w:pPr>
              <w:pStyle w:val="TableText"/>
              <w:ind w:left="162"/>
              <w:spacing w:before="98" w:line="158" w:lineRule="auto"/>
              <w:rPr>
                <w:sz w:val="20"/>
                <w:szCs w:val="20"/>
              </w:rPr>
            </w:pPr>
            <w:r>
              <w:rPr>
                <w:sz w:val="20"/>
                <w:szCs w:val="20"/>
                <w:spacing w:val="-3"/>
              </w:rPr>
              <w:t>62</w:t>
            </w:r>
          </w:p>
        </w:tc>
        <w:tc>
          <w:tcPr>
            <w:tcW w:w="689" w:type="dxa"/>
            <w:vAlign w:val="top"/>
          </w:tcPr>
          <w:p>
            <w:pPr>
              <w:pStyle w:val="TableText"/>
              <w:ind w:left="231"/>
              <w:spacing w:before="98" w:line="158" w:lineRule="auto"/>
              <w:rPr>
                <w:sz w:val="20"/>
                <w:szCs w:val="20"/>
              </w:rPr>
            </w:pPr>
            <w:r>
              <w:rPr>
                <w:sz w:val="20"/>
                <w:szCs w:val="20"/>
                <w:spacing w:val="-3"/>
              </w:rPr>
              <w:t>24</w:t>
            </w:r>
          </w:p>
        </w:tc>
        <w:tc>
          <w:tcPr>
            <w:tcW w:w="799" w:type="dxa"/>
            <w:vAlign w:val="top"/>
          </w:tcPr>
          <w:p>
            <w:pPr>
              <w:pStyle w:val="TableText"/>
              <w:ind w:left="293"/>
              <w:spacing w:before="98" w:line="158" w:lineRule="auto"/>
              <w:rPr>
                <w:sz w:val="20"/>
                <w:szCs w:val="20"/>
              </w:rPr>
            </w:pPr>
            <w:r>
              <w:rPr>
                <w:sz w:val="20"/>
                <w:szCs w:val="20"/>
                <w:spacing w:val="-3"/>
              </w:rPr>
              <w:t>26</w:t>
            </w:r>
          </w:p>
        </w:tc>
        <w:tc>
          <w:tcPr>
            <w:tcW w:w="949" w:type="dxa"/>
            <w:vAlign w:val="top"/>
            <w:vMerge w:val="continue"/>
            <w:tcBorders>
              <w:top w:val="nil"/>
              <w:bottom w:val="nil"/>
            </w:tcBorders>
          </w:tcPr>
          <w:p>
            <w:pPr>
              <w:rPr>
                <w:rFonts w:ascii="Arial"/>
                <w:sz w:val="21"/>
              </w:rPr>
            </w:pPr>
            <w:r/>
          </w:p>
        </w:tc>
        <w:tc>
          <w:tcPr>
            <w:tcW w:w="739" w:type="dxa"/>
            <w:vAlign w:val="top"/>
            <w:vMerge w:val="continue"/>
            <w:tcBorders>
              <w:top w:val="nil"/>
              <w:bottom w:val="nil"/>
            </w:tcBorders>
          </w:tcPr>
          <w:p>
            <w:pPr>
              <w:rPr>
                <w:rFonts w:ascii="Arial"/>
                <w:sz w:val="21"/>
              </w:rPr>
            </w:pPr>
            <w:r/>
          </w:p>
        </w:tc>
        <w:tc>
          <w:tcPr>
            <w:tcW w:w="829" w:type="dxa"/>
            <w:vAlign w:val="top"/>
            <w:vMerge w:val="continue"/>
            <w:tcBorders>
              <w:top w:val="nil"/>
              <w:bottom w:val="nil"/>
            </w:tcBorders>
          </w:tcPr>
          <w:p>
            <w:pPr>
              <w:rPr>
                <w:rFonts w:ascii="Arial"/>
                <w:sz w:val="21"/>
              </w:rPr>
            </w:pPr>
            <w:r/>
          </w:p>
        </w:tc>
        <w:tc>
          <w:tcPr>
            <w:tcW w:w="640"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719" w:type="dxa"/>
            <w:vAlign w:val="top"/>
            <w:vMerge w:val="continue"/>
            <w:tcBorders>
              <w:top w:val="nil"/>
              <w:bottom w:val="nil"/>
            </w:tcBorders>
          </w:tcPr>
          <w:p>
            <w:pPr>
              <w:rPr>
                <w:rFonts w:ascii="Arial"/>
                <w:sz w:val="21"/>
              </w:rPr>
            </w:pPr>
            <w:r/>
          </w:p>
        </w:tc>
        <w:tc>
          <w:tcPr>
            <w:tcW w:w="750" w:type="dxa"/>
            <w:vAlign w:val="top"/>
            <w:vMerge w:val="continue"/>
            <w:tcBorders>
              <w:top w:val="nil"/>
              <w:bottom w:val="nil"/>
            </w:tcBorders>
          </w:tcPr>
          <w:p>
            <w:pPr>
              <w:rPr>
                <w:rFonts w:ascii="Arial"/>
                <w:sz w:val="21"/>
              </w:rPr>
            </w:pPr>
            <w:r/>
          </w:p>
        </w:tc>
        <w:tc>
          <w:tcPr>
            <w:tcW w:w="659" w:type="dxa"/>
            <w:vAlign w:val="top"/>
            <w:vMerge w:val="continue"/>
            <w:tcBorders>
              <w:top w:val="nil"/>
              <w:bottom w:val="nil"/>
            </w:tcBorders>
          </w:tcPr>
          <w:p>
            <w:pPr>
              <w:rPr>
                <w:rFonts w:ascii="Arial"/>
                <w:sz w:val="21"/>
              </w:rPr>
            </w:pPr>
            <w:r/>
          </w:p>
        </w:tc>
        <w:tc>
          <w:tcPr>
            <w:tcW w:w="630" w:type="dxa"/>
            <w:vAlign w:val="top"/>
            <w:vMerge w:val="continue"/>
            <w:tcBorders>
              <w:top w:val="nil"/>
              <w:bottom w:val="nil"/>
            </w:tcBorders>
          </w:tcPr>
          <w:p>
            <w:pPr>
              <w:rPr>
                <w:rFonts w:ascii="Arial"/>
                <w:sz w:val="21"/>
              </w:rPr>
            </w:pPr>
            <w:r/>
          </w:p>
        </w:tc>
        <w:tc>
          <w:tcPr>
            <w:tcW w:w="659" w:type="dxa"/>
            <w:vAlign w:val="top"/>
            <w:vMerge w:val="continue"/>
            <w:tcBorders>
              <w:top w:val="nil"/>
              <w:bottom w:val="nil"/>
            </w:tcBorders>
          </w:tcPr>
          <w:p>
            <w:pPr>
              <w:rPr>
                <w:rFonts w:ascii="Arial"/>
                <w:sz w:val="21"/>
              </w:rPr>
            </w:pPr>
            <w:r/>
          </w:p>
        </w:tc>
        <w:tc>
          <w:tcPr>
            <w:tcW w:w="720" w:type="dxa"/>
            <w:vAlign w:val="top"/>
            <w:vMerge w:val="continue"/>
            <w:tcBorders>
              <w:top w:val="nil"/>
              <w:bottom w:val="nil"/>
            </w:tcBorders>
          </w:tcPr>
          <w:p>
            <w:pPr>
              <w:rPr>
                <w:rFonts w:ascii="Arial"/>
                <w:sz w:val="21"/>
              </w:rPr>
            </w:pPr>
            <w:r/>
          </w:p>
        </w:tc>
        <w:tc>
          <w:tcPr>
            <w:tcW w:w="635" w:type="dxa"/>
            <w:vAlign w:val="top"/>
            <w:vMerge w:val="continue"/>
            <w:tcBorders>
              <w:top w:val="nil"/>
              <w:bottom w:val="nil"/>
            </w:tcBorders>
          </w:tcPr>
          <w:p>
            <w:pPr>
              <w:rPr>
                <w:rFonts w:ascii="Arial"/>
                <w:sz w:val="21"/>
              </w:rPr>
            </w:pPr>
            <w:r/>
          </w:p>
        </w:tc>
      </w:tr>
      <w:tr>
        <w:trPr>
          <w:trHeight w:val="280" w:hRule="atLeast"/>
        </w:trPr>
        <w:tc>
          <w:tcPr>
            <w:tcW w:w="385" w:type="dxa"/>
            <w:vAlign w:val="top"/>
          </w:tcPr>
          <w:p>
            <w:pPr>
              <w:pStyle w:val="TableText"/>
              <w:ind w:left="84"/>
              <w:spacing w:before="97" w:line="159" w:lineRule="auto"/>
              <w:rPr>
                <w:sz w:val="20"/>
                <w:szCs w:val="20"/>
              </w:rPr>
            </w:pPr>
            <w:r>
              <w:rPr>
                <w:sz w:val="20"/>
                <w:szCs w:val="20"/>
                <w:spacing w:val="-6"/>
              </w:rPr>
              <w:t>11</w:t>
            </w:r>
          </w:p>
        </w:tc>
        <w:tc>
          <w:tcPr>
            <w:tcW w:w="600" w:type="dxa"/>
            <w:vAlign w:val="top"/>
            <w:vMerge w:val="continue"/>
            <w:textDirection w:val="tbRlV"/>
            <w:tcBorders>
              <w:top w:val="nil"/>
              <w:bottom w:val="nil"/>
            </w:tcBorders>
          </w:tcPr>
          <w:p>
            <w:pPr>
              <w:rPr>
                <w:rFonts w:ascii="Arial"/>
                <w:sz w:val="21"/>
              </w:rPr>
            </w:pPr>
            <w:r/>
          </w:p>
        </w:tc>
        <w:tc>
          <w:tcPr>
            <w:tcW w:w="690" w:type="dxa"/>
            <w:vAlign w:val="top"/>
            <w:vMerge w:val="continue"/>
            <w:tcBorders>
              <w:top w:val="nil"/>
              <w:bottom w:val="nil"/>
            </w:tcBorders>
          </w:tcPr>
          <w:p>
            <w:pPr>
              <w:rPr>
                <w:rFonts w:ascii="Arial"/>
                <w:sz w:val="21"/>
              </w:rPr>
            </w:pPr>
            <w:r/>
          </w:p>
        </w:tc>
        <w:tc>
          <w:tcPr>
            <w:tcW w:w="789" w:type="dxa"/>
            <w:vAlign w:val="top"/>
          </w:tcPr>
          <w:p>
            <w:pPr>
              <w:pStyle w:val="TableText"/>
              <w:ind w:left="280"/>
              <w:spacing w:before="98" w:line="158" w:lineRule="auto"/>
              <w:rPr>
                <w:sz w:val="20"/>
                <w:szCs w:val="20"/>
              </w:rPr>
            </w:pPr>
            <w:r>
              <w:rPr>
                <w:sz w:val="20"/>
                <w:szCs w:val="20"/>
                <w:spacing w:val="-3"/>
              </w:rPr>
              <w:t>85</w:t>
            </w:r>
          </w:p>
        </w:tc>
        <w:tc>
          <w:tcPr>
            <w:tcW w:w="1179" w:type="dxa"/>
            <w:vAlign w:val="top"/>
            <w:vMerge w:val="continue"/>
            <w:tcBorders>
              <w:top w:val="nil"/>
              <w:bottom w:val="nil"/>
            </w:tcBorders>
          </w:tcPr>
          <w:p>
            <w:pPr>
              <w:rPr>
                <w:rFonts w:ascii="Arial"/>
                <w:sz w:val="21"/>
              </w:rPr>
            </w:pPr>
            <w:r/>
          </w:p>
        </w:tc>
        <w:tc>
          <w:tcPr>
            <w:tcW w:w="540" w:type="dxa"/>
            <w:vAlign w:val="top"/>
          </w:tcPr>
          <w:p>
            <w:pPr>
              <w:pStyle w:val="TableText"/>
              <w:ind w:left="162"/>
              <w:spacing w:before="98" w:line="158" w:lineRule="auto"/>
              <w:rPr>
                <w:sz w:val="20"/>
                <w:szCs w:val="20"/>
              </w:rPr>
            </w:pPr>
            <w:r>
              <w:rPr>
                <w:sz w:val="20"/>
                <w:szCs w:val="20"/>
                <w:spacing w:val="-3"/>
              </w:rPr>
              <w:t>62</w:t>
            </w:r>
          </w:p>
        </w:tc>
        <w:tc>
          <w:tcPr>
            <w:tcW w:w="689" w:type="dxa"/>
            <w:vAlign w:val="top"/>
          </w:tcPr>
          <w:p>
            <w:pPr>
              <w:pStyle w:val="TableText"/>
              <w:ind w:left="231"/>
              <w:spacing w:before="97" w:line="159" w:lineRule="auto"/>
              <w:rPr>
                <w:sz w:val="20"/>
                <w:szCs w:val="20"/>
              </w:rPr>
            </w:pPr>
            <w:r>
              <w:rPr>
                <w:sz w:val="20"/>
                <w:szCs w:val="20"/>
                <w:spacing w:val="-6"/>
              </w:rPr>
              <w:t>18</w:t>
            </w:r>
          </w:p>
        </w:tc>
        <w:tc>
          <w:tcPr>
            <w:tcW w:w="799" w:type="dxa"/>
            <w:vAlign w:val="top"/>
          </w:tcPr>
          <w:p>
            <w:pPr>
              <w:pStyle w:val="TableText"/>
              <w:ind w:left="293"/>
              <w:spacing w:before="98" w:line="158" w:lineRule="auto"/>
              <w:rPr>
                <w:sz w:val="20"/>
                <w:szCs w:val="20"/>
              </w:rPr>
            </w:pPr>
            <w:r>
              <w:rPr>
                <w:sz w:val="20"/>
                <w:szCs w:val="20"/>
                <w:spacing w:val="-3"/>
              </w:rPr>
              <w:t>26</w:t>
            </w:r>
          </w:p>
        </w:tc>
        <w:tc>
          <w:tcPr>
            <w:tcW w:w="949" w:type="dxa"/>
            <w:vAlign w:val="top"/>
            <w:vMerge w:val="continue"/>
            <w:tcBorders>
              <w:top w:val="nil"/>
              <w:bottom w:val="nil"/>
            </w:tcBorders>
          </w:tcPr>
          <w:p>
            <w:pPr>
              <w:rPr>
                <w:rFonts w:ascii="Arial"/>
                <w:sz w:val="21"/>
              </w:rPr>
            </w:pPr>
            <w:r/>
          </w:p>
        </w:tc>
        <w:tc>
          <w:tcPr>
            <w:tcW w:w="739" w:type="dxa"/>
            <w:vAlign w:val="top"/>
            <w:vMerge w:val="continue"/>
            <w:tcBorders>
              <w:top w:val="nil"/>
              <w:bottom w:val="nil"/>
            </w:tcBorders>
          </w:tcPr>
          <w:p>
            <w:pPr>
              <w:rPr>
                <w:rFonts w:ascii="Arial"/>
                <w:sz w:val="21"/>
              </w:rPr>
            </w:pPr>
            <w:r/>
          </w:p>
        </w:tc>
        <w:tc>
          <w:tcPr>
            <w:tcW w:w="829" w:type="dxa"/>
            <w:vAlign w:val="top"/>
            <w:vMerge w:val="continue"/>
            <w:tcBorders>
              <w:top w:val="nil"/>
              <w:bottom w:val="nil"/>
            </w:tcBorders>
          </w:tcPr>
          <w:p>
            <w:pPr>
              <w:rPr>
                <w:rFonts w:ascii="Arial"/>
                <w:sz w:val="21"/>
              </w:rPr>
            </w:pPr>
            <w:r/>
          </w:p>
        </w:tc>
        <w:tc>
          <w:tcPr>
            <w:tcW w:w="640"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719" w:type="dxa"/>
            <w:vAlign w:val="top"/>
            <w:vMerge w:val="continue"/>
            <w:tcBorders>
              <w:top w:val="nil"/>
              <w:bottom w:val="nil"/>
            </w:tcBorders>
          </w:tcPr>
          <w:p>
            <w:pPr>
              <w:rPr>
                <w:rFonts w:ascii="Arial"/>
                <w:sz w:val="21"/>
              </w:rPr>
            </w:pPr>
            <w:r/>
          </w:p>
        </w:tc>
        <w:tc>
          <w:tcPr>
            <w:tcW w:w="750" w:type="dxa"/>
            <w:vAlign w:val="top"/>
            <w:vMerge w:val="continue"/>
            <w:tcBorders>
              <w:top w:val="nil"/>
              <w:bottom w:val="nil"/>
            </w:tcBorders>
          </w:tcPr>
          <w:p>
            <w:pPr>
              <w:rPr>
                <w:rFonts w:ascii="Arial"/>
                <w:sz w:val="21"/>
              </w:rPr>
            </w:pPr>
            <w:r/>
          </w:p>
        </w:tc>
        <w:tc>
          <w:tcPr>
            <w:tcW w:w="659" w:type="dxa"/>
            <w:vAlign w:val="top"/>
            <w:vMerge w:val="continue"/>
            <w:tcBorders>
              <w:top w:val="nil"/>
              <w:bottom w:val="nil"/>
            </w:tcBorders>
          </w:tcPr>
          <w:p>
            <w:pPr>
              <w:rPr>
                <w:rFonts w:ascii="Arial"/>
                <w:sz w:val="21"/>
              </w:rPr>
            </w:pPr>
            <w:r/>
          </w:p>
        </w:tc>
        <w:tc>
          <w:tcPr>
            <w:tcW w:w="630" w:type="dxa"/>
            <w:vAlign w:val="top"/>
            <w:vMerge w:val="continue"/>
            <w:tcBorders>
              <w:top w:val="nil"/>
              <w:bottom w:val="nil"/>
            </w:tcBorders>
          </w:tcPr>
          <w:p>
            <w:pPr>
              <w:rPr>
                <w:rFonts w:ascii="Arial"/>
                <w:sz w:val="21"/>
              </w:rPr>
            </w:pPr>
            <w:r/>
          </w:p>
        </w:tc>
        <w:tc>
          <w:tcPr>
            <w:tcW w:w="659" w:type="dxa"/>
            <w:vAlign w:val="top"/>
            <w:vMerge w:val="continue"/>
            <w:tcBorders>
              <w:top w:val="nil"/>
              <w:bottom w:val="nil"/>
            </w:tcBorders>
          </w:tcPr>
          <w:p>
            <w:pPr>
              <w:rPr>
                <w:rFonts w:ascii="Arial"/>
                <w:sz w:val="21"/>
              </w:rPr>
            </w:pPr>
            <w:r/>
          </w:p>
        </w:tc>
        <w:tc>
          <w:tcPr>
            <w:tcW w:w="720" w:type="dxa"/>
            <w:vAlign w:val="top"/>
            <w:vMerge w:val="continue"/>
            <w:tcBorders>
              <w:top w:val="nil"/>
              <w:bottom w:val="nil"/>
            </w:tcBorders>
          </w:tcPr>
          <w:p>
            <w:pPr>
              <w:rPr>
                <w:rFonts w:ascii="Arial"/>
                <w:sz w:val="21"/>
              </w:rPr>
            </w:pPr>
            <w:r/>
          </w:p>
        </w:tc>
        <w:tc>
          <w:tcPr>
            <w:tcW w:w="635" w:type="dxa"/>
            <w:vAlign w:val="top"/>
            <w:vMerge w:val="continue"/>
            <w:tcBorders>
              <w:top w:val="nil"/>
              <w:bottom w:val="nil"/>
            </w:tcBorders>
          </w:tcPr>
          <w:p>
            <w:pPr>
              <w:rPr>
                <w:rFonts w:ascii="Arial"/>
                <w:sz w:val="21"/>
              </w:rPr>
            </w:pPr>
            <w:r/>
          </w:p>
        </w:tc>
      </w:tr>
      <w:tr>
        <w:trPr>
          <w:trHeight w:val="279" w:hRule="atLeast"/>
        </w:trPr>
        <w:tc>
          <w:tcPr>
            <w:tcW w:w="385" w:type="dxa"/>
            <w:vAlign w:val="top"/>
          </w:tcPr>
          <w:p>
            <w:pPr>
              <w:pStyle w:val="TableText"/>
              <w:ind w:left="84"/>
              <w:spacing w:before="97" w:line="158" w:lineRule="auto"/>
              <w:rPr>
                <w:sz w:val="20"/>
                <w:szCs w:val="20"/>
              </w:rPr>
            </w:pPr>
            <w:r>
              <w:rPr>
                <w:sz w:val="20"/>
                <w:szCs w:val="20"/>
                <w:spacing w:val="-6"/>
              </w:rPr>
              <w:t>12</w:t>
            </w:r>
          </w:p>
        </w:tc>
        <w:tc>
          <w:tcPr>
            <w:tcW w:w="600" w:type="dxa"/>
            <w:vAlign w:val="top"/>
            <w:vMerge w:val="continue"/>
            <w:textDirection w:val="tbRlV"/>
            <w:tcBorders>
              <w:top w:val="nil"/>
              <w:bottom w:val="nil"/>
            </w:tcBorders>
          </w:tcPr>
          <w:p>
            <w:pPr>
              <w:rPr>
                <w:rFonts w:ascii="Arial"/>
                <w:sz w:val="21"/>
              </w:rPr>
            </w:pPr>
            <w:r/>
          </w:p>
        </w:tc>
        <w:tc>
          <w:tcPr>
            <w:tcW w:w="690" w:type="dxa"/>
            <w:vAlign w:val="top"/>
            <w:vMerge w:val="continue"/>
            <w:tcBorders>
              <w:top w:val="nil"/>
              <w:bottom w:val="nil"/>
            </w:tcBorders>
          </w:tcPr>
          <w:p>
            <w:pPr>
              <w:rPr>
                <w:rFonts w:ascii="Arial"/>
                <w:sz w:val="21"/>
              </w:rPr>
            </w:pPr>
            <w:r/>
          </w:p>
        </w:tc>
        <w:tc>
          <w:tcPr>
            <w:tcW w:w="789" w:type="dxa"/>
            <w:vAlign w:val="top"/>
          </w:tcPr>
          <w:p>
            <w:pPr>
              <w:pStyle w:val="TableText"/>
              <w:ind w:left="280"/>
              <w:spacing w:before="98" w:line="157" w:lineRule="auto"/>
              <w:rPr>
                <w:sz w:val="20"/>
                <w:szCs w:val="20"/>
              </w:rPr>
            </w:pPr>
            <w:r>
              <w:rPr>
                <w:sz w:val="20"/>
                <w:szCs w:val="20"/>
                <w:spacing w:val="-3"/>
              </w:rPr>
              <w:t>85</w:t>
            </w:r>
          </w:p>
        </w:tc>
        <w:tc>
          <w:tcPr>
            <w:tcW w:w="1179" w:type="dxa"/>
            <w:vAlign w:val="top"/>
            <w:vMerge w:val="continue"/>
            <w:tcBorders>
              <w:top w:val="nil"/>
              <w:bottom w:val="nil"/>
            </w:tcBorders>
          </w:tcPr>
          <w:p>
            <w:pPr>
              <w:rPr>
                <w:rFonts w:ascii="Arial"/>
                <w:sz w:val="21"/>
              </w:rPr>
            </w:pPr>
            <w:r/>
          </w:p>
        </w:tc>
        <w:tc>
          <w:tcPr>
            <w:tcW w:w="540" w:type="dxa"/>
            <w:vAlign w:val="top"/>
          </w:tcPr>
          <w:p>
            <w:pPr>
              <w:pStyle w:val="TableText"/>
              <w:ind w:left="162"/>
              <w:spacing w:before="98" w:line="157" w:lineRule="auto"/>
              <w:rPr>
                <w:sz w:val="20"/>
                <w:szCs w:val="20"/>
              </w:rPr>
            </w:pPr>
            <w:r>
              <w:rPr>
                <w:sz w:val="20"/>
                <w:szCs w:val="20"/>
                <w:spacing w:val="-3"/>
              </w:rPr>
              <w:t>62</w:t>
            </w:r>
          </w:p>
        </w:tc>
        <w:tc>
          <w:tcPr>
            <w:tcW w:w="689" w:type="dxa"/>
            <w:vAlign w:val="top"/>
          </w:tcPr>
          <w:p>
            <w:pPr>
              <w:pStyle w:val="TableText"/>
              <w:ind w:left="231"/>
              <w:spacing w:before="97" w:line="158" w:lineRule="auto"/>
              <w:rPr>
                <w:sz w:val="20"/>
                <w:szCs w:val="20"/>
              </w:rPr>
            </w:pPr>
            <w:r>
              <w:rPr>
                <w:sz w:val="20"/>
                <w:szCs w:val="20"/>
                <w:spacing w:val="-6"/>
              </w:rPr>
              <w:t>12</w:t>
            </w:r>
          </w:p>
        </w:tc>
        <w:tc>
          <w:tcPr>
            <w:tcW w:w="799" w:type="dxa"/>
            <w:vAlign w:val="top"/>
          </w:tcPr>
          <w:p>
            <w:pPr>
              <w:pStyle w:val="TableText"/>
              <w:ind w:left="293"/>
              <w:spacing w:before="98" w:line="157" w:lineRule="auto"/>
              <w:rPr>
                <w:sz w:val="20"/>
                <w:szCs w:val="20"/>
              </w:rPr>
            </w:pPr>
            <w:r>
              <w:rPr>
                <w:sz w:val="20"/>
                <w:szCs w:val="20"/>
                <w:spacing w:val="-3"/>
              </w:rPr>
              <w:t>26</w:t>
            </w:r>
          </w:p>
        </w:tc>
        <w:tc>
          <w:tcPr>
            <w:tcW w:w="949" w:type="dxa"/>
            <w:vAlign w:val="top"/>
            <w:vMerge w:val="continue"/>
            <w:tcBorders>
              <w:top w:val="nil"/>
              <w:bottom w:val="nil"/>
            </w:tcBorders>
          </w:tcPr>
          <w:p>
            <w:pPr>
              <w:rPr>
                <w:rFonts w:ascii="Arial"/>
                <w:sz w:val="21"/>
              </w:rPr>
            </w:pPr>
            <w:r/>
          </w:p>
        </w:tc>
        <w:tc>
          <w:tcPr>
            <w:tcW w:w="739" w:type="dxa"/>
            <w:vAlign w:val="top"/>
            <w:vMerge w:val="continue"/>
            <w:tcBorders>
              <w:top w:val="nil"/>
              <w:bottom w:val="nil"/>
            </w:tcBorders>
          </w:tcPr>
          <w:p>
            <w:pPr>
              <w:rPr>
                <w:rFonts w:ascii="Arial"/>
                <w:sz w:val="21"/>
              </w:rPr>
            </w:pPr>
            <w:r/>
          </w:p>
        </w:tc>
        <w:tc>
          <w:tcPr>
            <w:tcW w:w="829" w:type="dxa"/>
            <w:vAlign w:val="top"/>
            <w:vMerge w:val="continue"/>
            <w:tcBorders>
              <w:top w:val="nil"/>
              <w:bottom w:val="nil"/>
            </w:tcBorders>
          </w:tcPr>
          <w:p>
            <w:pPr>
              <w:rPr>
                <w:rFonts w:ascii="Arial"/>
                <w:sz w:val="21"/>
              </w:rPr>
            </w:pPr>
            <w:r/>
          </w:p>
        </w:tc>
        <w:tc>
          <w:tcPr>
            <w:tcW w:w="640"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719" w:type="dxa"/>
            <w:vAlign w:val="top"/>
            <w:vMerge w:val="continue"/>
            <w:tcBorders>
              <w:top w:val="nil"/>
              <w:bottom w:val="nil"/>
            </w:tcBorders>
          </w:tcPr>
          <w:p>
            <w:pPr>
              <w:rPr>
                <w:rFonts w:ascii="Arial"/>
                <w:sz w:val="21"/>
              </w:rPr>
            </w:pPr>
            <w:r/>
          </w:p>
        </w:tc>
        <w:tc>
          <w:tcPr>
            <w:tcW w:w="750" w:type="dxa"/>
            <w:vAlign w:val="top"/>
            <w:vMerge w:val="continue"/>
            <w:tcBorders>
              <w:top w:val="nil"/>
              <w:bottom w:val="nil"/>
            </w:tcBorders>
          </w:tcPr>
          <w:p>
            <w:pPr>
              <w:rPr>
                <w:rFonts w:ascii="Arial"/>
                <w:sz w:val="21"/>
              </w:rPr>
            </w:pPr>
            <w:r/>
          </w:p>
        </w:tc>
        <w:tc>
          <w:tcPr>
            <w:tcW w:w="659" w:type="dxa"/>
            <w:vAlign w:val="top"/>
            <w:vMerge w:val="continue"/>
            <w:tcBorders>
              <w:top w:val="nil"/>
              <w:bottom w:val="nil"/>
            </w:tcBorders>
          </w:tcPr>
          <w:p>
            <w:pPr>
              <w:rPr>
                <w:rFonts w:ascii="Arial"/>
                <w:sz w:val="21"/>
              </w:rPr>
            </w:pPr>
            <w:r/>
          </w:p>
        </w:tc>
        <w:tc>
          <w:tcPr>
            <w:tcW w:w="630" w:type="dxa"/>
            <w:vAlign w:val="top"/>
            <w:vMerge w:val="continue"/>
            <w:tcBorders>
              <w:top w:val="nil"/>
              <w:bottom w:val="nil"/>
            </w:tcBorders>
          </w:tcPr>
          <w:p>
            <w:pPr>
              <w:rPr>
                <w:rFonts w:ascii="Arial"/>
                <w:sz w:val="21"/>
              </w:rPr>
            </w:pPr>
            <w:r/>
          </w:p>
        </w:tc>
        <w:tc>
          <w:tcPr>
            <w:tcW w:w="659" w:type="dxa"/>
            <w:vAlign w:val="top"/>
            <w:vMerge w:val="continue"/>
            <w:tcBorders>
              <w:top w:val="nil"/>
              <w:bottom w:val="nil"/>
            </w:tcBorders>
          </w:tcPr>
          <w:p>
            <w:pPr>
              <w:rPr>
                <w:rFonts w:ascii="Arial"/>
                <w:sz w:val="21"/>
              </w:rPr>
            </w:pPr>
            <w:r/>
          </w:p>
        </w:tc>
        <w:tc>
          <w:tcPr>
            <w:tcW w:w="720" w:type="dxa"/>
            <w:vAlign w:val="top"/>
            <w:vMerge w:val="continue"/>
            <w:tcBorders>
              <w:top w:val="nil"/>
              <w:bottom w:val="nil"/>
            </w:tcBorders>
          </w:tcPr>
          <w:p>
            <w:pPr>
              <w:rPr>
                <w:rFonts w:ascii="Arial"/>
                <w:sz w:val="21"/>
              </w:rPr>
            </w:pPr>
            <w:r/>
          </w:p>
        </w:tc>
        <w:tc>
          <w:tcPr>
            <w:tcW w:w="635" w:type="dxa"/>
            <w:vAlign w:val="top"/>
            <w:vMerge w:val="continue"/>
            <w:tcBorders>
              <w:top w:val="nil"/>
              <w:bottom w:val="nil"/>
            </w:tcBorders>
          </w:tcPr>
          <w:p>
            <w:pPr>
              <w:rPr>
                <w:rFonts w:ascii="Arial"/>
                <w:sz w:val="21"/>
              </w:rPr>
            </w:pPr>
            <w:r/>
          </w:p>
        </w:tc>
      </w:tr>
      <w:tr>
        <w:trPr>
          <w:trHeight w:val="299" w:hRule="atLeast"/>
        </w:trPr>
        <w:tc>
          <w:tcPr>
            <w:tcW w:w="385" w:type="dxa"/>
            <w:vAlign w:val="top"/>
          </w:tcPr>
          <w:p>
            <w:pPr>
              <w:pStyle w:val="TableText"/>
              <w:ind w:left="84"/>
              <w:spacing w:before="109" w:line="166" w:lineRule="auto"/>
              <w:rPr>
                <w:sz w:val="20"/>
                <w:szCs w:val="20"/>
              </w:rPr>
            </w:pPr>
            <w:r>
              <w:rPr>
                <w:sz w:val="20"/>
                <w:szCs w:val="20"/>
                <w:spacing w:val="-6"/>
              </w:rPr>
              <w:t>13</w:t>
            </w:r>
          </w:p>
        </w:tc>
        <w:tc>
          <w:tcPr>
            <w:tcW w:w="600" w:type="dxa"/>
            <w:vAlign w:val="top"/>
            <w:vMerge w:val="continue"/>
            <w:textDirection w:val="tbRlV"/>
            <w:tcBorders>
              <w:top w:val="nil"/>
            </w:tcBorders>
          </w:tcPr>
          <w:p>
            <w:pPr>
              <w:rPr>
                <w:rFonts w:ascii="Arial"/>
                <w:sz w:val="21"/>
              </w:rPr>
            </w:pPr>
            <w:r/>
          </w:p>
        </w:tc>
        <w:tc>
          <w:tcPr>
            <w:tcW w:w="690" w:type="dxa"/>
            <w:vAlign w:val="top"/>
            <w:vMerge w:val="continue"/>
            <w:tcBorders>
              <w:top w:val="nil"/>
            </w:tcBorders>
          </w:tcPr>
          <w:p>
            <w:pPr>
              <w:rPr>
                <w:rFonts w:ascii="Arial"/>
                <w:sz w:val="21"/>
              </w:rPr>
            </w:pPr>
            <w:r/>
          </w:p>
        </w:tc>
        <w:tc>
          <w:tcPr>
            <w:tcW w:w="789" w:type="dxa"/>
            <w:vAlign w:val="top"/>
          </w:tcPr>
          <w:p>
            <w:pPr>
              <w:pStyle w:val="TableText"/>
              <w:ind w:left="280"/>
              <w:spacing w:before="110" w:line="165" w:lineRule="auto"/>
              <w:rPr>
                <w:sz w:val="20"/>
                <w:szCs w:val="20"/>
              </w:rPr>
            </w:pPr>
            <w:r>
              <w:rPr>
                <w:sz w:val="20"/>
                <w:szCs w:val="20"/>
                <w:spacing w:val="-3"/>
              </w:rPr>
              <w:t>85</w:t>
            </w:r>
          </w:p>
        </w:tc>
        <w:tc>
          <w:tcPr>
            <w:tcW w:w="1179" w:type="dxa"/>
            <w:vAlign w:val="top"/>
            <w:vMerge w:val="continue"/>
            <w:tcBorders>
              <w:top w:val="nil"/>
            </w:tcBorders>
          </w:tcPr>
          <w:p>
            <w:pPr>
              <w:rPr>
                <w:rFonts w:ascii="Arial"/>
                <w:sz w:val="21"/>
              </w:rPr>
            </w:pPr>
            <w:r/>
          </w:p>
        </w:tc>
        <w:tc>
          <w:tcPr>
            <w:tcW w:w="540" w:type="dxa"/>
            <w:vAlign w:val="top"/>
          </w:tcPr>
          <w:p>
            <w:pPr>
              <w:pStyle w:val="TableText"/>
              <w:ind w:left="162"/>
              <w:spacing w:before="110" w:line="165" w:lineRule="auto"/>
              <w:rPr>
                <w:sz w:val="20"/>
                <w:szCs w:val="20"/>
              </w:rPr>
            </w:pPr>
            <w:r>
              <w:rPr>
                <w:sz w:val="20"/>
                <w:szCs w:val="20"/>
                <w:spacing w:val="-3"/>
              </w:rPr>
              <w:t>62</w:t>
            </w:r>
          </w:p>
        </w:tc>
        <w:tc>
          <w:tcPr>
            <w:tcW w:w="689" w:type="dxa"/>
            <w:vAlign w:val="top"/>
          </w:tcPr>
          <w:p>
            <w:pPr>
              <w:pStyle w:val="TableText"/>
              <w:ind w:left="282"/>
              <w:spacing w:before="110" w:line="165" w:lineRule="auto"/>
              <w:rPr>
                <w:sz w:val="20"/>
                <w:szCs w:val="20"/>
              </w:rPr>
            </w:pPr>
            <w:r>
              <w:rPr>
                <w:sz w:val="20"/>
                <w:szCs w:val="20"/>
              </w:rPr>
              <w:t>6</w:t>
            </w:r>
          </w:p>
        </w:tc>
        <w:tc>
          <w:tcPr>
            <w:tcW w:w="799" w:type="dxa"/>
            <w:vAlign w:val="top"/>
          </w:tcPr>
          <w:p>
            <w:pPr>
              <w:pStyle w:val="TableText"/>
              <w:ind w:left="293"/>
              <w:spacing w:before="110" w:line="165" w:lineRule="auto"/>
              <w:rPr>
                <w:sz w:val="20"/>
                <w:szCs w:val="20"/>
              </w:rPr>
            </w:pPr>
            <w:r>
              <w:rPr>
                <w:sz w:val="20"/>
                <w:szCs w:val="20"/>
                <w:spacing w:val="-3"/>
              </w:rPr>
              <w:t>26</w:t>
            </w:r>
          </w:p>
        </w:tc>
        <w:tc>
          <w:tcPr>
            <w:tcW w:w="949" w:type="dxa"/>
            <w:vAlign w:val="top"/>
            <w:vMerge w:val="continue"/>
            <w:tcBorders>
              <w:top w:val="nil"/>
            </w:tcBorders>
          </w:tcPr>
          <w:p>
            <w:pPr>
              <w:rPr>
                <w:rFonts w:ascii="Arial"/>
                <w:sz w:val="21"/>
              </w:rPr>
            </w:pPr>
            <w:r/>
          </w:p>
        </w:tc>
        <w:tc>
          <w:tcPr>
            <w:tcW w:w="739" w:type="dxa"/>
            <w:vAlign w:val="top"/>
            <w:vMerge w:val="continue"/>
            <w:tcBorders>
              <w:top w:val="nil"/>
            </w:tcBorders>
          </w:tcPr>
          <w:p>
            <w:pPr>
              <w:rPr>
                <w:rFonts w:ascii="Arial"/>
                <w:sz w:val="21"/>
              </w:rPr>
            </w:pPr>
            <w:r/>
          </w:p>
        </w:tc>
        <w:tc>
          <w:tcPr>
            <w:tcW w:w="829" w:type="dxa"/>
            <w:vAlign w:val="top"/>
            <w:vMerge w:val="continue"/>
            <w:tcBorders>
              <w:top w:val="nil"/>
            </w:tcBorders>
          </w:tcPr>
          <w:p>
            <w:pPr>
              <w:rPr>
                <w:rFonts w:ascii="Arial"/>
                <w:sz w:val="21"/>
              </w:rPr>
            </w:pPr>
            <w:r/>
          </w:p>
        </w:tc>
        <w:tc>
          <w:tcPr>
            <w:tcW w:w="640"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719" w:type="dxa"/>
            <w:vAlign w:val="top"/>
            <w:vMerge w:val="continue"/>
            <w:tcBorders>
              <w:top w:val="nil"/>
            </w:tcBorders>
          </w:tcPr>
          <w:p>
            <w:pPr>
              <w:rPr>
                <w:rFonts w:ascii="Arial"/>
                <w:sz w:val="21"/>
              </w:rPr>
            </w:pPr>
            <w:r/>
          </w:p>
        </w:tc>
        <w:tc>
          <w:tcPr>
            <w:tcW w:w="750" w:type="dxa"/>
            <w:vAlign w:val="top"/>
            <w:vMerge w:val="continue"/>
            <w:tcBorders>
              <w:top w:val="nil"/>
            </w:tcBorders>
          </w:tcPr>
          <w:p>
            <w:pPr>
              <w:rPr>
                <w:rFonts w:ascii="Arial"/>
                <w:sz w:val="21"/>
              </w:rPr>
            </w:pPr>
            <w:r/>
          </w:p>
        </w:tc>
        <w:tc>
          <w:tcPr>
            <w:tcW w:w="659" w:type="dxa"/>
            <w:vAlign w:val="top"/>
            <w:vMerge w:val="continue"/>
            <w:tcBorders>
              <w:top w:val="nil"/>
            </w:tcBorders>
          </w:tcPr>
          <w:p>
            <w:pPr>
              <w:rPr>
                <w:rFonts w:ascii="Arial"/>
                <w:sz w:val="21"/>
              </w:rPr>
            </w:pPr>
            <w:r/>
          </w:p>
        </w:tc>
        <w:tc>
          <w:tcPr>
            <w:tcW w:w="630" w:type="dxa"/>
            <w:vAlign w:val="top"/>
            <w:vMerge w:val="continue"/>
            <w:tcBorders>
              <w:top w:val="nil"/>
            </w:tcBorders>
          </w:tcPr>
          <w:p>
            <w:pPr>
              <w:rPr>
                <w:rFonts w:ascii="Arial"/>
                <w:sz w:val="21"/>
              </w:rPr>
            </w:pPr>
            <w:r/>
          </w:p>
        </w:tc>
        <w:tc>
          <w:tcPr>
            <w:tcW w:w="659" w:type="dxa"/>
            <w:vAlign w:val="top"/>
            <w:vMerge w:val="continue"/>
            <w:tcBorders>
              <w:top w:val="nil"/>
            </w:tcBorders>
          </w:tcPr>
          <w:p>
            <w:pPr>
              <w:rPr>
                <w:rFonts w:ascii="Arial"/>
                <w:sz w:val="21"/>
              </w:rPr>
            </w:pPr>
            <w:r/>
          </w:p>
        </w:tc>
        <w:tc>
          <w:tcPr>
            <w:tcW w:w="720" w:type="dxa"/>
            <w:vAlign w:val="top"/>
            <w:vMerge w:val="continue"/>
            <w:tcBorders>
              <w:top w:val="nil"/>
            </w:tcBorders>
          </w:tcPr>
          <w:p>
            <w:pPr>
              <w:rPr>
                <w:rFonts w:ascii="Arial"/>
                <w:sz w:val="21"/>
              </w:rPr>
            </w:pPr>
            <w:r/>
          </w:p>
        </w:tc>
        <w:tc>
          <w:tcPr>
            <w:tcW w:w="635" w:type="dxa"/>
            <w:vAlign w:val="top"/>
            <w:vMerge w:val="continue"/>
            <w:tcBorders>
              <w:top w:val="nil"/>
            </w:tcBorders>
          </w:tcPr>
          <w:p>
            <w:pPr>
              <w:rPr>
                <w:rFonts w:ascii="Arial"/>
                <w:sz w:val="21"/>
              </w:rPr>
            </w:pPr>
            <w:r/>
          </w:p>
        </w:tc>
      </w:tr>
      <w:tr>
        <w:trPr>
          <w:trHeight w:val="275" w:hRule="atLeast"/>
        </w:trPr>
        <w:tc>
          <w:tcPr>
            <w:tcW w:w="14279" w:type="dxa"/>
            <w:vAlign w:val="top"/>
            <w:gridSpan w:val="20"/>
          </w:tcPr>
          <w:p>
            <w:pPr>
              <w:pStyle w:val="TableText"/>
              <w:ind w:left="95"/>
              <w:spacing w:before="46" w:line="202" w:lineRule="auto"/>
              <w:rPr>
                <w:sz w:val="20"/>
                <w:szCs w:val="20"/>
              </w:rPr>
            </w:pPr>
            <w:r>
              <w:rPr>
                <w:sz w:val="20"/>
                <w:szCs w:val="20"/>
              </w:rPr>
              <w:t>注：以凹版厂房西南角为坐标原点(0,0,0),东西方向为X轴、南北方向为Y</w:t>
            </w:r>
            <w:r>
              <w:rPr>
                <w:sz w:val="20"/>
                <w:szCs w:val="20"/>
                <w:spacing w:val="-1"/>
              </w:rPr>
              <w:t>轴。</w:t>
            </w:r>
          </w:p>
        </w:tc>
      </w:tr>
    </w:tbl>
    <w:p>
      <w:pPr>
        <w:rPr>
          <w:rFonts w:ascii="Arial"/>
          <w:sz w:val="21"/>
        </w:rPr>
      </w:pPr>
      <w:r/>
    </w:p>
    <w:p>
      <w:pPr>
        <w:sectPr>
          <w:footerReference w:type="default" r:id="rId137"/>
          <w:pgSz w:w="16840" w:h="11900"/>
          <w:pgMar w:top="1011" w:right="1224" w:bottom="978" w:left="1325" w:header="0" w:footer="839" w:gutter="0"/>
        </w:sectPr>
        <w:rPr>
          <w:rFonts w:ascii="Arial" w:hAnsi="Arial" w:eastAsia="Arial" w:cs="Arial"/>
          <w:sz w:val="21"/>
          <w:szCs w:val="21"/>
        </w:rPr>
      </w:pPr>
    </w:p>
    <w:p>
      <w:pPr>
        <w:spacing w:line="344" w:lineRule="auto"/>
        <w:rPr>
          <w:rFonts w:ascii="Arial"/>
          <w:sz w:val="21"/>
        </w:rPr>
      </w:pPr>
      <w:r/>
    </w:p>
    <w:p>
      <w:pPr>
        <w:pStyle w:val="BodyText"/>
        <w:ind w:left="4438"/>
        <w:spacing w:before="78" w:line="207" w:lineRule="auto"/>
        <w:rPr>
          <w:sz w:val="24"/>
          <w:szCs w:val="24"/>
        </w:rPr>
      </w:pPr>
      <w:r>
        <w:pict>
          <v:shape id="_x0000_s42" style="position:absolute;margin-left:239.514pt;margin-top:4.81148pt;mso-position-vertical-relative:text;mso-position-horizontal-relative:text;width:25.55pt;height:13.9pt;z-index:251863040;" filled="false" stroked="false" type="#_x0000_t202">
            <v:fill on="false"/>
            <v:stroke on="false"/>
            <v:path/>
            <v:imagedata o:title=""/>
            <o:lock v:ext="edit" aspectratio="false"/>
            <v:textbox inset="0mm,0mm,0mm,0mm">
              <w:txbxContent>
                <w:p>
                  <w:pPr>
                    <w:pStyle w:val="BodyText"/>
                    <w:ind w:left="20"/>
                    <w:spacing w:before="20" w:line="183" w:lineRule="auto"/>
                    <w:rPr>
                      <w:sz w:val="24"/>
                      <w:szCs w:val="24"/>
                    </w:rPr>
                  </w:pPr>
                  <w:r>
                    <w:rPr>
                      <w:sz w:val="24"/>
                      <w:szCs w:val="24"/>
                      <w:b/>
                      <w:bCs/>
                      <w:spacing w:val="-5"/>
                    </w:rPr>
                    <w:t>.4-4</w:t>
                  </w:r>
                </w:p>
              </w:txbxContent>
            </v:textbox>
          </v:shape>
        </w:pict>
      </w:r>
      <w:r>
        <w:rPr>
          <w:sz w:val="24"/>
          <w:szCs w:val="24"/>
          <w:b/>
          <w:bCs/>
        </w:rPr>
        <w:t>表4</w:t>
      </w:r>
      <w:r>
        <w:rPr>
          <w:sz w:val="24"/>
          <w:szCs w:val="24"/>
        </w:rPr>
        <w:t xml:space="preserve">      </w:t>
      </w:r>
      <w:r>
        <w:rPr>
          <w:sz w:val="24"/>
          <w:szCs w:val="24"/>
          <w:b/>
          <w:bCs/>
        </w:rPr>
        <w:t>工业企业噪声源强调查清单</w:t>
      </w:r>
      <w:r>
        <w:rPr>
          <w:sz w:val="24"/>
          <w:szCs w:val="24"/>
          <w:b/>
          <w:bCs/>
          <w:spacing w:val="-1"/>
        </w:rPr>
        <w:t>(室内声源)</w:t>
      </w:r>
    </w:p>
    <w:tbl>
      <w:tblPr>
        <w:tblStyle w:val="TableNormal"/>
        <w:tblW w:w="147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65"/>
        <w:gridCol w:w="659"/>
        <w:gridCol w:w="759"/>
        <w:gridCol w:w="809"/>
        <w:gridCol w:w="640"/>
        <w:gridCol w:w="739"/>
        <w:gridCol w:w="570"/>
        <w:gridCol w:w="680"/>
        <w:gridCol w:w="560"/>
        <w:gridCol w:w="570"/>
        <w:gridCol w:w="560"/>
        <w:gridCol w:w="719"/>
        <w:gridCol w:w="560"/>
        <w:gridCol w:w="599"/>
        <w:gridCol w:w="560"/>
        <w:gridCol w:w="589"/>
        <w:gridCol w:w="690"/>
        <w:gridCol w:w="680"/>
        <w:gridCol w:w="709"/>
        <w:gridCol w:w="709"/>
        <w:gridCol w:w="690"/>
        <w:gridCol w:w="560"/>
        <w:gridCol w:w="714"/>
      </w:tblGrid>
      <w:tr>
        <w:trPr>
          <w:trHeight w:val="524" w:hRule="atLeast"/>
        </w:trPr>
        <w:tc>
          <w:tcPr>
            <w:tcW w:w="465" w:type="dxa"/>
            <w:vAlign w:val="top"/>
            <w:vMerge w:val="restart"/>
            <w:textDirection w:val="tbRlV"/>
            <w:tcBorders>
              <w:bottom w:val="nil"/>
            </w:tcBorders>
          </w:tcPr>
          <w:p>
            <w:pPr>
              <w:pStyle w:val="TableText"/>
              <w:ind w:left="642"/>
              <w:spacing w:before="140" w:line="217" w:lineRule="auto"/>
              <w:rPr>
                <w:sz w:val="19"/>
                <w:szCs w:val="19"/>
              </w:rPr>
            </w:pPr>
            <w:r>
              <w:rPr>
                <w:sz w:val="19"/>
                <w:szCs w:val="19"/>
                <w:b/>
                <w:bCs/>
                <w:spacing w:val="-2"/>
              </w:rPr>
              <w:t>序</w:t>
            </w:r>
            <w:r>
              <w:rPr>
                <w:sz w:val="19"/>
                <w:szCs w:val="19"/>
                <w:spacing w:val="20"/>
              </w:rPr>
              <w:t xml:space="preserve"> </w:t>
            </w:r>
            <w:r>
              <w:rPr>
                <w:sz w:val="19"/>
                <w:szCs w:val="19"/>
                <w:b/>
                <w:bCs/>
                <w:spacing w:val="-2"/>
              </w:rPr>
              <w:t>号</w:t>
            </w:r>
          </w:p>
        </w:tc>
        <w:tc>
          <w:tcPr>
            <w:tcW w:w="659" w:type="dxa"/>
            <w:vAlign w:val="top"/>
            <w:vMerge w:val="restart"/>
            <w:tcBorders>
              <w:bottom w:val="nil"/>
            </w:tcBorders>
          </w:tcPr>
          <w:p>
            <w:pPr>
              <w:spacing w:line="465" w:lineRule="auto"/>
              <w:rPr>
                <w:rFonts w:ascii="Arial"/>
                <w:sz w:val="21"/>
              </w:rPr>
            </w:pPr>
            <w:r/>
          </w:p>
          <w:p>
            <w:pPr>
              <w:pStyle w:val="TableText"/>
              <w:ind w:left="132" w:right="117"/>
              <w:spacing w:before="62" w:line="246" w:lineRule="auto"/>
              <w:jc w:val="both"/>
              <w:rPr>
                <w:sz w:val="19"/>
                <w:szCs w:val="19"/>
              </w:rPr>
            </w:pPr>
            <w:r>
              <w:rPr>
                <w:sz w:val="19"/>
                <w:szCs w:val="19"/>
                <w:b/>
                <w:bCs/>
                <w:spacing w:val="-7"/>
              </w:rPr>
              <w:t>建筑</w:t>
            </w:r>
            <w:r>
              <w:rPr>
                <w:sz w:val="19"/>
                <w:szCs w:val="19"/>
              </w:rPr>
              <w:t xml:space="preserve"> </w:t>
            </w:r>
            <w:r>
              <w:rPr>
                <w:sz w:val="19"/>
                <w:szCs w:val="19"/>
                <w:b/>
                <w:bCs/>
                <w:spacing w:val="7"/>
              </w:rPr>
              <w:t>物名</w:t>
            </w:r>
            <w:r>
              <w:rPr>
                <w:sz w:val="19"/>
                <w:szCs w:val="19"/>
              </w:rPr>
              <w:t xml:space="preserve"> </w:t>
            </w:r>
            <w:r>
              <w:rPr>
                <w:sz w:val="19"/>
                <w:szCs w:val="19"/>
                <w:b/>
                <w:bCs/>
                <w:spacing w:val="26"/>
                <w:w w:val="129"/>
              </w:rPr>
              <w:t>称</w:t>
            </w:r>
          </w:p>
        </w:tc>
        <w:tc>
          <w:tcPr>
            <w:tcW w:w="759" w:type="dxa"/>
            <w:vAlign w:val="top"/>
            <w:vMerge w:val="restart"/>
            <w:tcBorders>
              <w:bottom w:val="nil"/>
            </w:tcBorders>
          </w:tcPr>
          <w:p>
            <w:pPr>
              <w:spacing w:line="242" w:lineRule="auto"/>
              <w:rPr>
                <w:rFonts w:ascii="Arial"/>
                <w:sz w:val="21"/>
              </w:rPr>
            </w:pPr>
            <w:r/>
          </w:p>
          <w:p>
            <w:pPr>
              <w:spacing w:line="243" w:lineRule="auto"/>
              <w:rPr>
                <w:rFonts w:ascii="Arial"/>
                <w:sz w:val="21"/>
              </w:rPr>
            </w:pPr>
            <w:r/>
          </w:p>
          <w:p>
            <w:pPr>
              <w:pStyle w:val="TableText"/>
              <w:ind w:left="183"/>
              <w:spacing w:before="62" w:line="262" w:lineRule="exact"/>
              <w:rPr>
                <w:sz w:val="19"/>
                <w:szCs w:val="19"/>
              </w:rPr>
            </w:pPr>
            <w:r>
              <w:rPr>
                <w:sz w:val="19"/>
                <w:szCs w:val="19"/>
                <w:b/>
                <w:bCs/>
                <w:spacing w:val="-5"/>
                <w:position w:val="5"/>
              </w:rPr>
              <w:t>声源</w:t>
            </w:r>
          </w:p>
          <w:p>
            <w:pPr>
              <w:pStyle w:val="TableText"/>
              <w:ind w:left="133"/>
              <w:spacing w:line="221" w:lineRule="auto"/>
              <w:rPr>
                <w:sz w:val="19"/>
                <w:szCs w:val="19"/>
              </w:rPr>
            </w:pPr>
            <w:r>
              <w:rPr>
                <w:sz w:val="19"/>
                <w:szCs w:val="19"/>
                <w:b/>
                <w:bCs/>
                <w:spacing w:val="-5"/>
              </w:rPr>
              <w:t>名称/</w:t>
            </w:r>
          </w:p>
          <w:p>
            <w:pPr>
              <w:pStyle w:val="TableText"/>
              <w:ind w:left="183"/>
              <w:spacing w:before="10" w:line="219" w:lineRule="auto"/>
              <w:rPr>
                <w:sz w:val="19"/>
                <w:szCs w:val="19"/>
              </w:rPr>
            </w:pPr>
            <w:r>
              <w:rPr>
                <w:sz w:val="19"/>
                <w:szCs w:val="19"/>
                <w:b/>
                <w:bCs/>
                <w:spacing w:val="-5"/>
              </w:rPr>
              <w:t>数量</w:t>
            </w:r>
          </w:p>
        </w:tc>
        <w:tc>
          <w:tcPr>
            <w:tcW w:w="809" w:type="dxa"/>
            <w:vAlign w:val="top"/>
          </w:tcPr>
          <w:p>
            <w:pPr>
              <w:pStyle w:val="TableText"/>
              <w:ind w:left="204"/>
              <w:spacing w:before="30" w:line="252" w:lineRule="exact"/>
              <w:rPr>
                <w:sz w:val="19"/>
                <w:szCs w:val="19"/>
              </w:rPr>
            </w:pPr>
            <w:r>
              <w:rPr>
                <w:sz w:val="19"/>
                <w:szCs w:val="19"/>
                <w:b/>
                <w:bCs/>
                <w:spacing w:val="-5"/>
                <w:position w:val="4"/>
              </w:rPr>
              <w:t>声源</w:t>
            </w:r>
          </w:p>
          <w:p>
            <w:pPr>
              <w:pStyle w:val="TableText"/>
              <w:ind w:left="204"/>
              <w:spacing w:line="222" w:lineRule="auto"/>
              <w:rPr>
                <w:sz w:val="19"/>
                <w:szCs w:val="19"/>
              </w:rPr>
            </w:pPr>
            <w:r>
              <w:rPr>
                <w:sz w:val="19"/>
                <w:szCs w:val="19"/>
                <w:b/>
                <w:bCs/>
                <w:spacing w:val="-4"/>
              </w:rPr>
              <w:t>源强</w:t>
            </w:r>
          </w:p>
        </w:tc>
        <w:tc>
          <w:tcPr>
            <w:tcW w:w="640" w:type="dxa"/>
            <w:vAlign w:val="top"/>
            <w:vMerge w:val="restart"/>
            <w:tcBorders>
              <w:bottom w:val="nil"/>
            </w:tcBorders>
          </w:tcPr>
          <w:p>
            <w:pPr>
              <w:spacing w:line="456" w:lineRule="auto"/>
              <w:rPr>
                <w:rFonts w:ascii="Arial"/>
                <w:sz w:val="21"/>
              </w:rPr>
            </w:pPr>
            <w:r/>
          </w:p>
          <w:p>
            <w:pPr>
              <w:pStyle w:val="TableText"/>
              <w:ind w:left="125"/>
              <w:spacing w:before="61" w:line="290" w:lineRule="exact"/>
              <w:rPr>
                <w:sz w:val="19"/>
                <w:szCs w:val="19"/>
              </w:rPr>
            </w:pPr>
            <w:r>
              <w:rPr>
                <w:sz w:val="19"/>
                <w:szCs w:val="19"/>
                <w:b/>
                <w:bCs/>
                <w:spacing w:val="-5"/>
                <w:position w:val="7"/>
              </w:rPr>
              <w:t>声源</w:t>
            </w:r>
          </w:p>
          <w:p>
            <w:pPr>
              <w:pStyle w:val="TableText"/>
              <w:ind w:left="125"/>
              <w:spacing w:line="220" w:lineRule="auto"/>
              <w:rPr>
                <w:sz w:val="19"/>
                <w:szCs w:val="19"/>
              </w:rPr>
            </w:pPr>
            <w:r>
              <w:rPr>
                <w:sz w:val="19"/>
                <w:szCs w:val="19"/>
                <w:b/>
                <w:bCs/>
                <w:spacing w:val="-4"/>
              </w:rPr>
              <w:t>控制</w:t>
            </w:r>
          </w:p>
          <w:p>
            <w:pPr>
              <w:pStyle w:val="TableText"/>
              <w:ind w:left="125"/>
              <w:spacing w:before="13" w:line="220" w:lineRule="auto"/>
              <w:rPr>
                <w:sz w:val="19"/>
                <w:szCs w:val="19"/>
              </w:rPr>
            </w:pPr>
            <w:r>
              <w:rPr>
                <w:sz w:val="19"/>
                <w:szCs w:val="19"/>
                <w:b/>
                <w:bCs/>
                <w:spacing w:val="-4"/>
              </w:rPr>
              <w:t>措施</w:t>
            </w:r>
          </w:p>
        </w:tc>
        <w:tc>
          <w:tcPr>
            <w:tcW w:w="1989" w:type="dxa"/>
            <w:vAlign w:val="top"/>
            <w:gridSpan w:val="3"/>
          </w:tcPr>
          <w:p>
            <w:pPr>
              <w:pStyle w:val="TableText"/>
              <w:ind w:left="245"/>
              <w:spacing w:before="171" w:line="221" w:lineRule="auto"/>
              <w:rPr>
                <w:sz w:val="19"/>
                <w:szCs w:val="19"/>
              </w:rPr>
            </w:pPr>
            <w:r>
              <w:rPr>
                <w:sz w:val="19"/>
                <w:szCs w:val="19"/>
                <w:b/>
                <w:bCs/>
                <w:spacing w:val="-4"/>
              </w:rPr>
              <w:t>空间相对位置*/m</w:t>
            </w:r>
          </w:p>
        </w:tc>
        <w:tc>
          <w:tcPr>
            <w:tcW w:w="2409" w:type="dxa"/>
            <w:vAlign w:val="top"/>
            <w:gridSpan w:val="4"/>
          </w:tcPr>
          <w:p>
            <w:pPr>
              <w:pStyle w:val="TableText"/>
              <w:ind w:left="416"/>
              <w:spacing w:before="170" w:line="219" w:lineRule="auto"/>
              <w:rPr>
                <w:sz w:val="19"/>
                <w:szCs w:val="19"/>
              </w:rPr>
            </w:pPr>
            <w:r>
              <w:rPr>
                <w:sz w:val="19"/>
                <w:szCs w:val="19"/>
                <w:b/>
                <w:bCs/>
                <w:spacing w:val="-3"/>
              </w:rPr>
              <w:t>距室内边界距离/m</w:t>
            </w:r>
          </w:p>
        </w:tc>
        <w:tc>
          <w:tcPr>
            <w:tcW w:w="2308" w:type="dxa"/>
            <w:vAlign w:val="top"/>
            <w:gridSpan w:val="4"/>
          </w:tcPr>
          <w:p>
            <w:pPr>
              <w:pStyle w:val="TableText"/>
              <w:ind w:left="307"/>
              <w:spacing w:before="170" w:line="219" w:lineRule="auto"/>
              <w:rPr>
                <w:sz w:val="19"/>
                <w:szCs w:val="19"/>
              </w:rPr>
            </w:pPr>
            <w:r>
              <w:rPr>
                <w:sz w:val="19"/>
                <w:szCs w:val="19"/>
                <w:b/>
                <w:bCs/>
                <w:spacing w:val="1"/>
              </w:rPr>
              <w:t>室内边界声级/</w:t>
            </w:r>
            <w:r>
              <w:rPr>
                <w:sz w:val="19"/>
                <w:szCs w:val="19"/>
                <w:b/>
                <w:bCs/>
              </w:rPr>
              <w:t>dB</w:t>
            </w:r>
            <w:r>
              <w:rPr>
                <w:sz w:val="19"/>
                <w:szCs w:val="19"/>
                <w:b/>
                <w:bCs/>
                <w:spacing w:val="1"/>
              </w:rPr>
              <w:t>(A)</w:t>
            </w:r>
          </w:p>
        </w:tc>
        <w:tc>
          <w:tcPr>
            <w:tcW w:w="690" w:type="dxa"/>
            <w:vAlign w:val="top"/>
            <w:vMerge w:val="restart"/>
            <w:tcBorders>
              <w:bottom w:val="nil"/>
            </w:tcBorders>
          </w:tcPr>
          <w:p>
            <w:pPr>
              <w:spacing w:line="307" w:lineRule="auto"/>
              <w:rPr>
                <w:rFonts w:ascii="Arial"/>
                <w:sz w:val="21"/>
              </w:rPr>
            </w:pPr>
            <w:r/>
          </w:p>
          <w:p>
            <w:pPr>
              <w:spacing w:line="307" w:lineRule="auto"/>
              <w:rPr>
                <w:rFonts w:ascii="Arial"/>
                <w:sz w:val="21"/>
              </w:rPr>
            </w:pPr>
            <w:r/>
          </w:p>
          <w:p>
            <w:pPr>
              <w:pStyle w:val="TableText"/>
              <w:ind w:left="149"/>
              <w:spacing w:before="62" w:line="234" w:lineRule="auto"/>
              <w:rPr>
                <w:sz w:val="19"/>
                <w:szCs w:val="19"/>
              </w:rPr>
            </w:pPr>
            <w:r>
              <w:rPr>
                <w:sz w:val="19"/>
                <w:szCs w:val="19"/>
                <w:b/>
                <w:bCs/>
                <w:spacing w:val="-4"/>
              </w:rPr>
              <w:t>运行</w:t>
            </w:r>
          </w:p>
          <w:p>
            <w:pPr>
              <w:pStyle w:val="TableText"/>
              <w:ind w:left="149"/>
              <w:spacing w:line="220" w:lineRule="auto"/>
              <w:rPr>
                <w:sz w:val="19"/>
                <w:szCs w:val="19"/>
              </w:rPr>
            </w:pPr>
            <w:r>
              <w:rPr>
                <w:sz w:val="19"/>
                <w:szCs w:val="19"/>
                <w:b/>
                <w:bCs/>
                <w:spacing w:val="-7"/>
              </w:rPr>
              <w:t>时段</w:t>
            </w:r>
          </w:p>
        </w:tc>
        <w:tc>
          <w:tcPr>
            <w:tcW w:w="680" w:type="dxa"/>
            <w:vAlign w:val="top"/>
            <w:vMerge w:val="restart"/>
            <w:tcBorders>
              <w:bottom w:val="nil"/>
            </w:tcBorders>
          </w:tcPr>
          <w:p>
            <w:pPr>
              <w:pStyle w:val="TableText"/>
              <w:ind w:left="149"/>
              <w:spacing w:before="190" w:line="260" w:lineRule="exact"/>
              <w:rPr>
                <w:sz w:val="19"/>
                <w:szCs w:val="19"/>
              </w:rPr>
            </w:pPr>
            <w:r>
              <w:rPr>
                <w:sz w:val="19"/>
                <w:szCs w:val="19"/>
                <w:b/>
                <w:bCs/>
                <w:spacing w:val="-5"/>
                <w:position w:val="4"/>
              </w:rPr>
              <w:t>建筑</w:t>
            </w:r>
          </w:p>
          <w:p>
            <w:pPr>
              <w:pStyle w:val="TableText"/>
              <w:ind w:left="149"/>
              <w:spacing w:line="220" w:lineRule="auto"/>
              <w:rPr>
                <w:sz w:val="19"/>
                <w:szCs w:val="19"/>
              </w:rPr>
            </w:pPr>
            <w:r>
              <w:rPr>
                <w:sz w:val="19"/>
                <w:szCs w:val="19"/>
                <w:b/>
                <w:bCs/>
                <w:spacing w:val="-4"/>
              </w:rPr>
              <w:t>物插</w:t>
            </w:r>
          </w:p>
          <w:p>
            <w:pPr>
              <w:pStyle w:val="TableText"/>
              <w:ind w:left="149"/>
              <w:spacing w:before="34" w:line="221" w:lineRule="auto"/>
              <w:rPr>
                <w:sz w:val="19"/>
                <w:szCs w:val="19"/>
              </w:rPr>
            </w:pPr>
            <w:r>
              <w:rPr>
                <w:sz w:val="19"/>
                <w:szCs w:val="19"/>
                <w:b/>
                <w:bCs/>
                <w:spacing w:val="-4"/>
              </w:rPr>
              <w:t>入损</w:t>
            </w:r>
          </w:p>
          <w:p>
            <w:pPr>
              <w:pStyle w:val="TableText"/>
              <w:ind w:left="239"/>
              <w:spacing w:before="42" w:line="215" w:lineRule="auto"/>
              <w:rPr>
                <w:sz w:val="19"/>
                <w:szCs w:val="19"/>
              </w:rPr>
            </w:pPr>
            <w:r>
              <w:rPr>
                <w:sz w:val="19"/>
                <w:szCs w:val="19"/>
                <w:b/>
                <w:bCs/>
                <w:spacing w:val="-2"/>
              </w:rPr>
              <w:t>失</w:t>
            </w:r>
          </w:p>
          <w:p>
            <w:pPr>
              <w:pStyle w:val="TableText"/>
              <w:ind w:left="149"/>
              <w:spacing w:line="222" w:lineRule="auto"/>
              <w:rPr>
                <w:sz w:val="19"/>
                <w:szCs w:val="19"/>
              </w:rPr>
            </w:pPr>
            <w:r>
              <w:rPr>
                <w:sz w:val="19"/>
                <w:szCs w:val="19"/>
                <w:b/>
                <w:bCs/>
                <w:spacing w:val="-4"/>
              </w:rPr>
              <w:t>/dB(</w:t>
            </w:r>
          </w:p>
          <w:p>
            <w:pPr>
              <w:pStyle w:val="TableText"/>
              <w:ind w:left="239"/>
              <w:spacing w:before="31" w:line="222" w:lineRule="auto"/>
              <w:rPr>
                <w:sz w:val="19"/>
                <w:szCs w:val="19"/>
              </w:rPr>
            </w:pPr>
            <w:r>
              <w:rPr>
                <w:sz w:val="19"/>
                <w:szCs w:val="19"/>
                <w:b/>
                <w:bCs/>
                <w:spacing w:val="-3"/>
              </w:rPr>
              <w:t>A)</w:t>
            </w:r>
          </w:p>
        </w:tc>
        <w:tc>
          <w:tcPr>
            <w:tcW w:w="3382" w:type="dxa"/>
            <w:vAlign w:val="top"/>
            <w:gridSpan w:val="5"/>
          </w:tcPr>
          <w:p>
            <w:pPr>
              <w:pStyle w:val="TableText"/>
              <w:ind w:left="1109"/>
              <w:spacing w:before="170" w:line="220" w:lineRule="auto"/>
              <w:rPr>
                <w:sz w:val="19"/>
                <w:szCs w:val="19"/>
              </w:rPr>
            </w:pPr>
            <w:r>
              <w:rPr>
                <w:sz w:val="19"/>
                <w:szCs w:val="19"/>
                <w:b/>
                <w:bCs/>
                <w:spacing w:val="-4"/>
              </w:rPr>
              <w:t>建筑物外噪声</w:t>
            </w:r>
          </w:p>
        </w:tc>
      </w:tr>
      <w:tr>
        <w:trPr>
          <w:trHeight w:val="280" w:hRule="atLeast"/>
        </w:trPr>
        <w:tc>
          <w:tcPr>
            <w:tcW w:w="465" w:type="dxa"/>
            <w:vAlign w:val="top"/>
            <w:vMerge w:val="continue"/>
            <w:textDirection w:val="tbRlV"/>
            <w:tcBorders>
              <w:top w:val="nil"/>
              <w:bottom w:val="nil"/>
            </w:tcBorders>
          </w:tcPr>
          <w:p>
            <w:pPr>
              <w:rPr>
                <w:rFonts w:ascii="Arial"/>
                <w:sz w:val="21"/>
              </w:rPr>
            </w:pPr>
            <w:r/>
          </w:p>
        </w:tc>
        <w:tc>
          <w:tcPr>
            <w:tcW w:w="659" w:type="dxa"/>
            <w:vAlign w:val="top"/>
            <w:vMerge w:val="continue"/>
            <w:tcBorders>
              <w:top w:val="nil"/>
              <w:bottom w:val="nil"/>
            </w:tcBorders>
          </w:tcPr>
          <w:p>
            <w:pPr>
              <w:rPr>
                <w:rFonts w:ascii="Arial"/>
                <w:sz w:val="21"/>
              </w:rPr>
            </w:pPr>
            <w:r/>
          </w:p>
        </w:tc>
        <w:tc>
          <w:tcPr>
            <w:tcW w:w="759" w:type="dxa"/>
            <w:vAlign w:val="top"/>
            <w:vMerge w:val="continue"/>
            <w:tcBorders>
              <w:top w:val="nil"/>
              <w:bottom w:val="nil"/>
            </w:tcBorders>
          </w:tcPr>
          <w:p>
            <w:pPr>
              <w:rPr>
                <w:rFonts w:ascii="Arial"/>
                <w:sz w:val="21"/>
              </w:rPr>
            </w:pPr>
            <w:r/>
          </w:p>
        </w:tc>
        <w:tc>
          <w:tcPr>
            <w:tcW w:w="809" w:type="dxa"/>
            <w:vAlign w:val="top"/>
            <w:vMerge w:val="restart"/>
            <w:tcBorders>
              <w:bottom w:val="nil"/>
            </w:tcBorders>
          </w:tcPr>
          <w:p>
            <w:pPr>
              <w:pStyle w:val="TableText"/>
              <w:ind w:left="204"/>
              <w:spacing w:before="39" w:line="257" w:lineRule="exact"/>
              <w:rPr>
                <w:sz w:val="19"/>
                <w:szCs w:val="19"/>
              </w:rPr>
            </w:pPr>
            <w:r>
              <w:rPr>
                <w:sz w:val="19"/>
                <w:szCs w:val="19"/>
                <w:b/>
                <w:bCs/>
                <w:spacing w:val="2"/>
                <w:position w:val="4"/>
              </w:rPr>
              <w:t>叠加</w:t>
            </w:r>
          </w:p>
          <w:p>
            <w:pPr>
              <w:pStyle w:val="TableText"/>
              <w:ind w:left="204"/>
              <w:spacing w:line="220" w:lineRule="auto"/>
              <w:rPr>
                <w:sz w:val="19"/>
                <w:szCs w:val="19"/>
              </w:rPr>
            </w:pPr>
            <w:r>
              <w:rPr>
                <w:sz w:val="19"/>
                <w:szCs w:val="19"/>
                <w:b/>
                <w:bCs/>
                <w:spacing w:val="-5"/>
              </w:rPr>
              <w:t>后声</w:t>
            </w:r>
          </w:p>
          <w:p>
            <w:pPr>
              <w:pStyle w:val="TableText"/>
              <w:ind w:left="204"/>
              <w:spacing w:before="13" w:line="219" w:lineRule="auto"/>
              <w:rPr>
                <w:sz w:val="19"/>
                <w:szCs w:val="19"/>
              </w:rPr>
            </w:pPr>
            <w:r>
              <w:rPr>
                <w:sz w:val="19"/>
                <w:szCs w:val="19"/>
                <w:b/>
                <w:bCs/>
                <w:spacing w:val="-5"/>
              </w:rPr>
              <w:t>功率</w:t>
            </w:r>
          </w:p>
          <w:p>
            <w:pPr>
              <w:pStyle w:val="TableText"/>
              <w:ind w:left="304"/>
              <w:spacing w:before="57" w:line="221" w:lineRule="auto"/>
              <w:rPr>
                <w:sz w:val="19"/>
                <w:szCs w:val="19"/>
              </w:rPr>
            </w:pPr>
            <w:r>
              <w:rPr>
                <w:sz w:val="19"/>
                <w:szCs w:val="19"/>
                <w:b/>
                <w:bCs/>
                <w:spacing w:val="-2"/>
              </w:rPr>
              <w:t>级</w:t>
            </w:r>
          </w:p>
          <w:p>
            <w:pPr>
              <w:pStyle w:val="TableText"/>
              <w:ind w:left="114"/>
              <w:spacing w:before="12" w:line="185" w:lineRule="auto"/>
              <w:rPr>
                <w:sz w:val="19"/>
                <w:szCs w:val="19"/>
              </w:rPr>
            </w:pPr>
            <w:r>
              <w:rPr>
                <w:sz w:val="19"/>
                <w:szCs w:val="19"/>
                <w:b/>
                <w:bCs/>
                <w:spacing w:val="-3"/>
              </w:rPr>
              <w:t>/dB(A)</w:t>
            </w:r>
          </w:p>
        </w:tc>
        <w:tc>
          <w:tcPr>
            <w:tcW w:w="640" w:type="dxa"/>
            <w:vAlign w:val="top"/>
            <w:vMerge w:val="continue"/>
            <w:tcBorders>
              <w:top w:val="nil"/>
              <w:bottom w:val="nil"/>
            </w:tcBorders>
          </w:tcPr>
          <w:p>
            <w:pPr>
              <w:rPr>
                <w:rFonts w:ascii="Arial"/>
                <w:sz w:val="21"/>
              </w:rPr>
            </w:pPr>
            <w:r/>
          </w:p>
        </w:tc>
        <w:tc>
          <w:tcPr>
            <w:tcW w:w="739"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pStyle w:val="TableText"/>
              <w:ind w:left="315"/>
              <w:spacing w:before="62" w:line="182" w:lineRule="auto"/>
              <w:rPr>
                <w:sz w:val="19"/>
                <w:szCs w:val="19"/>
              </w:rPr>
            </w:pPr>
            <w:r>
              <w:rPr>
                <w:sz w:val="19"/>
                <w:szCs w:val="19"/>
                <w:b/>
                <w:bCs/>
                <w:spacing w:val="-2"/>
              </w:rPr>
              <w:t>X</w:t>
            </w:r>
          </w:p>
        </w:tc>
        <w:tc>
          <w:tcPr>
            <w:tcW w:w="570"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pStyle w:val="TableText"/>
              <w:ind w:left="226"/>
              <w:spacing w:before="62" w:line="182" w:lineRule="auto"/>
              <w:rPr>
                <w:sz w:val="19"/>
                <w:szCs w:val="19"/>
              </w:rPr>
            </w:pPr>
            <w:r>
              <w:rPr>
                <w:sz w:val="19"/>
                <w:szCs w:val="19"/>
                <w:b/>
                <w:bCs/>
                <w:spacing w:val="-2"/>
              </w:rPr>
              <w:t>Y</w:t>
            </w:r>
          </w:p>
        </w:tc>
        <w:tc>
          <w:tcPr>
            <w:tcW w:w="680"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pStyle w:val="TableText"/>
              <w:ind w:left="286"/>
              <w:spacing w:before="62" w:line="182" w:lineRule="auto"/>
              <w:rPr>
                <w:sz w:val="19"/>
                <w:szCs w:val="19"/>
              </w:rPr>
            </w:pPr>
            <w:r>
              <w:rPr>
                <w:sz w:val="19"/>
                <w:szCs w:val="19"/>
                <w:b/>
                <w:bCs/>
                <w:spacing w:val="-2"/>
              </w:rPr>
              <w:t>Z</w:t>
            </w:r>
          </w:p>
        </w:tc>
        <w:tc>
          <w:tcPr>
            <w:tcW w:w="560" w:type="dxa"/>
            <w:vAlign w:val="top"/>
            <w:vMerge w:val="restart"/>
            <w:textDirection w:val="tbRlV"/>
            <w:tcBorders>
              <w:bottom w:val="nil"/>
            </w:tcBorders>
          </w:tcPr>
          <w:p>
            <w:pPr>
              <w:pStyle w:val="TableText"/>
              <w:ind w:left="367"/>
              <w:spacing w:before="185" w:line="216" w:lineRule="auto"/>
              <w:rPr>
                <w:sz w:val="19"/>
                <w:szCs w:val="19"/>
              </w:rPr>
            </w:pPr>
            <w:r>
              <w:rPr>
                <w:sz w:val="19"/>
                <w:szCs w:val="19"/>
                <w:b/>
                <w:bCs/>
                <w:spacing w:val="-2"/>
              </w:rPr>
              <w:t>北</w:t>
            </w:r>
            <w:r>
              <w:rPr>
                <w:sz w:val="19"/>
                <w:szCs w:val="19"/>
                <w:spacing w:val="19"/>
              </w:rPr>
              <w:t xml:space="preserve"> </w:t>
            </w:r>
            <w:r>
              <w:rPr>
                <w:sz w:val="19"/>
                <w:szCs w:val="19"/>
                <w:b/>
                <w:bCs/>
                <w:spacing w:val="-2"/>
              </w:rPr>
              <w:t>侧</w:t>
            </w:r>
          </w:p>
        </w:tc>
        <w:tc>
          <w:tcPr>
            <w:tcW w:w="570" w:type="dxa"/>
            <w:vAlign w:val="top"/>
            <w:vMerge w:val="restart"/>
            <w:textDirection w:val="tbRlV"/>
            <w:tcBorders>
              <w:bottom w:val="nil"/>
            </w:tcBorders>
          </w:tcPr>
          <w:p>
            <w:pPr>
              <w:pStyle w:val="TableText"/>
              <w:ind w:left="360"/>
              <w:spacing w:before="185" w:line="216" w:lineRule="auto"/>
              <w:rPr>
                <w:sz w:val="19"/>
                <w:szCs w:val="19"/>
              </w:rPr>
            </w:pPr>
            <w:r>
              <w:rPr>
                <w:sz w:val="19"/>
                <w:szCs w:val="19"/>
                <w:b/>
                <w:bCs/>
                <w:spacing w:val="-2"/>
              </w:rPr>
              <w:t>西</w:t>
            </w:r>
            <w:r>
              <w:rPr>
                <w:sz w:val="19"/>
                <w:szCs w:val="19"/>
                <w:spacing w:val="25"/>
              </w:rPr>
              <w:t xml:space="preserve"> </w:t>
            </w:r>
            <w:r>
              <w:rPr>
                <w:sz w:val="19"/>
                <w:szCs w:val="19"/>
                <w:b/>
                <w:bCs/>
                <w:spacing w:val="-2"/>
              </w:rPr>
              <w:t>侧</w:t>
            </w:r>
          </w:p>
        </w:tc>
        <w:tc>
          <w:tcPr>
            <w:tcW w:w="560" w:type="dxa"/>
            <w:vAlign w:val="top"/>
            <w:vMerge w:val="restart"/>
            <w:textDirection w:val="tbRlV"/>
            <w:tcBorders>
              <w:bottom w:val="nil"/>
            </w:tcBorders>
          </w:tcPr>
          <w:p>
            <w:pPr>
              <w:pStyle w:val="TableText"/>
              <w:ind w:left="368"/>
              <w:spacing w:before="186" w:line="216" w:lineRule="auto"/>
              <w:rPr>
                <w:sz w:val="19"/>
                <w:szCs w:val="19"/>
              </w:rPr>
            </w:pPr>
            <w:r>
              <w:rPr>
                <w:sz w:val="19"/>
                <w:szCs w:val="19"/>
                <w:b/>
                <w:bCs/>
                <w:spacing w:val="-2"/>
              </w:rPr>
              <w:t>南</w:t>
            </w:r>
            <w:r>
              <w:rPr>
                <w:sz w:val="19"/>
                <w:szCs w:val="19"/>
                <w:spacing w:val="18"/>
              </w:rPr>
              <w:t xml:space="preserve"> </w:t>
            </w:r>
            <w:r>
              <w:rPr>
                <w:sz w:val="19"/>
                <w:szCs w:val="19"/>
                <w:b/>
                <w:bCs/>
                <w:spacing w:val="-2"/>
              </w:rPr>
              <w:t>侧</w:t>
            </w:r>
          </w:p>
        </w:tc>
        <w:tc>
          <w:tcPr>
            <w:tcW w:w="719" w:type="dxa"/>
            <w:vAlign w:val="top"/>
            <w:vMerge w:val="restart"/>
            <w:tcBorders>
              <w:bottom w:val="nil"/>
            </w:tcBorders>
          </w:tcPr>
          <w:p>
            <w:pPr>
              <w:spacing w:line="471" w:lineRule="auto"/>
              <w:rPr>
                <w:rFonts w:ascii="Arial"/>
                <w:sz w:val="21"/>
              </w:rPr>
            </w:pPr>
            <w:r/>
          </w:p>
          <w:p>
            <w:pPr>
              <w:pStyle w:val="TableText"/>
              <w:ind w:left="166"/>
              <w:spacing w:before="62" w:line="219" w:lineRule="auto"/>
              <w:rPr>
                <w:sz w:val="19"/>
                <w:szCs w:val="19"/>
              </w:rPr>
            </w:pPr>
            <w:r>
              <w:rPr>
                <w:sz w:val="19"/>
                <w:szCs w:val="19"/>
                <w:b/>
                <w:bCs/>
                <w:spacing w:val="1"/>
              </w:rPr>
              <w:t>东侧</w:t>
            </w:r>
          </w:p>
        </w:tc>
        <w:tc>
          <w:tcPr>
            <w:tcW w:w="560" w:type="dxa"/>
            <w:vAlign w:val="top"/>
            <w:vMerge w:val="restart"/>
            <w:textDirection w:val="tbRlV"/>
            <w:tcBorders>
              <w:bottom w:val="nil"/>
            </w:tcBorders>
          </w:tcPr>
          <w:p>
            <w:pPr>
              <w:pStyle w:val="TableText"/>
              <w:ind w:left="367"/>
              <w:spacing w:before="185" w:line="216" w:lineRule="auto"/>
              <w:rPr>
                <w:sz w:val="19"/>
                <w:szCs w:val="19"/>
              </w:rPr>
            </w:pPr>
            <w:r>
              <w:rPr>
                <w:sz w:val="19"/>
                <w:szCs w:val="19"/>
                <w:b/>
                <w:bCs/>
                <w:spacing w:val="-2"/>
              </w:rPr>
              <w:t>北</w:t>
            </w:r>
            <w:r>
              <w:rPr>
                <w:sz w:val="19"/>
                <w:szCs w:val="19"/>
                <w:spacing w:val="19"/>
              </w:rPr>
              <w:t xml:space="preserve"> </w:t>
            </w:r>
            <w:r>
              <w:rPr>
                <w:sz w:val="19"/>
                <w:szCs w:val="19"/>
                <w:b/>
                <w:bCs/>
                <w:spacing w:val="-2"/>
              </w:rPr>
              <w:t>侧</w:t>
            </w:r>
          </w:p>
        </w:tc>
        <w:tc>
          <w:tcPr>
            <w:tcW w:w="599" w:type="dxa"/>
            <w:vAlign w:val="top"/>
            <w:vMerge w:val="restart"/>
            <w:textDirection w:val="tbRlV"/>
            <w:tcBorders>
              <w:bottom w:val="nil"/>
            </w:tcBorders>
          </w:tcPr>
          <w:p>
            <w:pPr>
              <w:pStyle w:val="TableText"/>
              <w:ind w:left="360"/>
              <w:spacing w:before="204" w:line="216" w:lineRule="auto"/>
              <w:rPr>
                <w:sz w:val="19"/>
                <w:szCs w:val="19"/>
              </w:rPr>
            </w:pPr>
            <w:r>
              <w:rPr>
                <w:sz w:val="19"/>
                <w:szCs w:val="19"/>
                <w:b/>
                <w:bCs/>
                <w:spacing w:val="-2"/>
              </w:rPr>
              <w:t>西</w:t>
            </w:r>
            <w:r>
              <w:rPr>
                <w:sz w:val="19"/>
                <w:szCs w:val="19"/>
                <w:spacing w:val="25"/>
              </w:rPr>
              <w:t xml:space="preserve"> </w:t>
            </w:r>
            <w:r>
              <w:rPr>
                <w:sz w:val="19"/>
                <w:szCs w:val="19"/>
                <w:b/>
                <w:bCs/>
                <w:spacing w:val="-2"/>
              </w:rPr>
              <w:t>侧</w:t>
            </w:r>
          </w:p>
        </w:tc>
        <w:tc>
          <w:tcPr>
            <w:tcW w:w="560" w:type="dxa"/>
            <w:vAlign w:val="top"/>
            <w:vMerge w:val="restart"/>
            <w:textDirection w:val="tbRlV"/>
            <w:tcBorders>
              <w:bottom w:val="nil"/>
            </w:tcBorders>
          </w:tcPr>
          <w:p>
            <w:pPr>
              <w:pStyle w:val="TableText"/>
              <w:ind w:left="368"/>
              <w:spacing w:before="183" w:line="216" w:lineRule="auto"/>
              <w:rPr>
                <w:sz w:val="19"/>
                <w:szCs w:val="19"/>
              </w:rPr>
            </w:pPr>
            <w:r>
              <w:rPr>
                <w:sz w:val="19"/>
                <w:szCs w:val="19"/>
                <w:b/>
                <w:bCs/>
                <w:spacing w:val="-2"/>
              </w:rPr>
              <w:t>南</w:t>
            </w:r>
            <w:r>
              <w:rPr>
                <w:sz w:val="19"/>
                <w:szCs w:val="19"/>
                <w:spacing w:val="18"/>
              </w:rPr>
              <w:t xml:space="preserve"> </w:t>
            </w:r>
            <w:r>
              <w:rPr>
                <w:sz w:val="19"/>
                <w:szCs w:val="19"/>
                <w:b/>
                <w:bCs/>
                <w:spacing w:val="-2"/>
              </w:rPr>
              <w:t>侧</w:t>
            </w:r>
          </w:p>
        </w:tc>
        <w:tc>
          <w:tcPr>
            <w:tcW w:w="589" w:type="dxa"/>
            <w:vAlign w:val="top"/>
            <w:vMerge w:val="restart"/>
            <w:textDirection w:val="tbRlV"/>
            <w:tcBorders>
              <w:bottom w:val="nil"/>
            </w:tcBorders>
          </w:tcPr>
          <w:p>
            <w:pPr>
              <w:pStyle w:val="TableText"/>
              <w:ind w:left="369"/>
              <w:spacing w:before="192" w:line="216" w:lineRule="auto"/>
              <w:rPr>
                <w:sz w:val="19"/>
                <w:szCs w:val="19"/>
              </w:rPr>
            </w:pPr>
            <w:r>
              <w:rPr>
                <w:sz w:val="19"/>
                <w:szCs w:val="19"/>
                <w:b/>
                <w:bCs/>
                <w:spacing w:val="-2"/>
              </w:rPr>
              <w:t>东</w:t>
            </w:r>
            <w:r>
              <w:rPr>
                <w:sz w:val="19"/>
                <w:szCs w:val="19"/>
                <w:spacing w:val="17"/>
              </w:rPr>
              <w:t xml:space="preserve"> </w:t>
            </w:r>
            <w:r>
              <w:rPr>
                <w:sz w:val="19"/>
                <w:szCs w:val="19"/>
                <w:b/>
                <w:bCs/>
                <w:spacing w:val="-2"/>
              </w:rPr>
              <w:t>侧</w:t>
            </w:r>
          </w:p>
        </w:tc>
        <w:tc>
          <w:tcPr>
            <w:tcW w:w="690" w:type="dxa"/>
            <w:vAlign w:val="top"/>
            <w:vMerge w:val="continue"/>
            <w:tcBorders>
              <w:top w:val="nil"/>
              <w:bottom w:val="nil"/>
            </w:tcBorders>
          </w:tcPr>
          <w:p>
            <w:pPr>
              <w:rPr>
                <w:rFonts w:ascii="Arial"/>
                <w:sz w:val="21"/>
              </w:rPr>
            </w:pPr>
            <w:r/>
          </w:p>
        </w:tc>
        <w:tc>
          <w:tcPr>
            <w:tcW w:w="680" w:type="dxa"/>
            <w:vAlign w:val="top"/>
            <w:vMerge w:val="continue"/>
            <w:tcBorders>
              <w:top w:val="nil"/>
              <w:bottom w:val="nil"/>
            </w:tcBorders>
          </w:tcPr>
          <w:p>
            <w:pPr>
              <w:rPr>
                <w:rFonts w:ascii="Arial"/>
                <w:sz w:val="21"/>
              </w:rPr>
            </w:pPr>
            <w:r/>
          </w:p>
        </w:tc>
        <w:tc>
          <w:tcPr>
            <w:tcW w:w="2668" w:type="dxa"/>
            <w:vAlign w:val="top"/>
            <w:gridSpan w:val="4"/>
          </w:tcPr>
          <w:p>
            <w:pPr>
              <w:pStyle w:val="TableText"/>
              <w:ind w:left="789"/>
              <w:spacing w:before="46" w:line="217" w:lineRule="auto"/>
              <w:rPr>
                <w:sz w:val="19"/>
                <w:szCs w:val="19"/>
              </w:rPr>
            </w:pPr>
            <w:r>
              <w:rPr>
                <w:sz w:val="19"/>
                <w:szCs w:val="19"/>
                <w:b/>
                <w:bCs/>
                <w:spacing w:val="2"/>
              </w:rPr>
              <w:t>声压级/</w:t>
            </w:r>
            <w:r>
              <w:rPr>
                <w:sz w:val="19"/>
                <w:szCs w:val="19"/>
                <w:b/>
                <w:bCs/>
              </w:rPr>
              <w:t>dB</w:t>
            </w:r>
            <w:r>
              <w:rPr>
                <w:sz w:val="19"/>
                <w:szCs w:val="19"/>
                <w:b/>
                <w:bCs/>
                <w:spacing w:val="2"/>
              </w:rPr>
              <w:t>(A)</w:t>
            </w:r>
          </w:p>
        </w:tc>
        <w:tc>
          <w:tcPr>
            <w:tcW w:w="714" w:type="dxa"/>
            <w:vAlign w:val="top"/>
            <w:vMerge w:val="restart"/>
            <w:tcBorders>
              <w:bottom w:val="nil"/>
            </w:tcBorders>
          </w:tcPr>
          <w:p>
            <w:pPr>
              <w:pStyle w:val="TableText"/>
              <w:ind w:left="161"/>
              <w:spacing w:before="156" w:line="220" w:lineRule="auto"/>
              <w:rPr>
                <w:sz w:val="19"/>
                <w:szCs w:val="19"/>
              </w:rPr>
            </w:pPr>
            <w:r>
              <w:rPr>
                <w:sz w:val="19"/>
                <w:szCs w:val="19"/>
                <w:b/>
                <w:bCs/>
                <w:spacing w:val="-5"/>
              </w:rPr>
              <w:t>建筑</w:t>
            </w:r>
          </w:p>
          <w:p>
            <w:pPr>
              <w:pStyle w:val="TableText"/>
              <w:ind w:left="161"/>
              <w:spacing w:before="33" w:line="220" w:lineRule="auto"/>
              <w:rPr>
                <w:sz w:val="19"/>
                <w:szCs w:val="19"/>
              </w:rPr>
            </w:pPr>
            <w:r>
              <w:rPr>
                <w:sz w:val="19"/>
                <w:szCs w:val="19"/>
                <w:b/>
                <w:bCs/>
                <w:spacing w:val="-4"/>
              </w:rPr>
              <w:t>物外</w:t>
            </w:r>
          </w:p>
          <w:p>
            <w:pPr>
              <w:pStyle w:val="TableText"/>
              <w:ind w:left="161"/>
              <w:spacing w:before="23" w:line="220" w:lineRule="auto"/>
              <w:rPr>
                <w:sz w:val="19"/>
                <w:szCs w:val="19"/>
              </w:rPr>
            </w:pPr>
            <w:r>
              <w:rPr>
                <w:sz w:val="19"/>
                <w:szCs w:val="19"/>
                <w:b/>
                <w:bCs/>
                <w:spacing w:val="-4"/>
              </w:rPr>
              <w:t>距离</w:t>
            </w:r>
          </w:p>
          <w:p>
            <w:pPr>
              <w:pStyle w:val="TableText"/>
              <w:ind w:left="261"/>
              <w:spacing w:before="58" w:line="224" w:lineRule="auto"/>
              <w:rPr>
                <w:sz w:val="19"/>
                <w:szCs w:val="19"/>
              </w:rPr>
            </w:pPr>
            <w:r>
              <w:rPr>
                <w:sz w:val="19"/>
                <w:szCs w:val="19"/>
                <w:b/>
                <w:bCs/>
                <w:spacing w:val="-4"/>
              </w:rPr>
              <w:t>/m</w:t>
            </w:r>
          </w:p>
        </w:tc>
      </w:tr>
      <w:tr>
        <w:trPr>
          <w:trHeight w:val="969" w:hRule="atLeast"/>
        </w:trPr>
        <w:tc>
          <w:tcPr>
            <w:tcW w:w="465" w:type="dxa"/>
            <w:vAlign w:val="top"/>
            <w:vMerge w:val="continue"/>
            <w:textDirection w:val="tbRlV"/>
            <w:tcBorders>
              <w:top w:val="nil"/>
            </w:tcBorders>
          </w:tcPr>
          <w:p>
            <w:pPr>
              <w:rPr>
                <w:rFonts w:ascii="Arial"/>
                <w:sz w:val="21"/>
              </w:rPr>
            </w:pPr>
            <w:r/>
          </w:p>
        </w:tc>
        <w:tc>
          <w:tcPr>
            <w:tcW w:w="659" w:type="dxa"/>
            <w:vAlign w:val="top"/>
            <w:vMerge w:val="continue"/>
            <w:tcBorders>
              <w:top w:val="nil"/>
            </w:tcBorders>
          </w:tcPr>
          <w:p>
            <w:pPr>
              <w:rPr>
                <w:rFonts w:ascii="Arial"/>
                <w:sz w:val="21"/>
              </w:rPr>
            </w:pPr>
            <w:r/>
          </w:p>
        </w:tc>
        <w:tc>
          <w:tcPr>
            <w:tcW w:w="759" w:type="dxa"/>
            <w:vAlign w:val="top"/>
            <w:vMerge w:val="continue"/>
            <w:tcBorders>
              <w:top w:val="nil"/>
            </w:tcBorders>
          </w:tcPr>
          <w:p>
            <w:pPr>
              <w:rPr>
                <w:rFonts w:ascii="Arial"/>
                <w:sz w:val="21"/>
              </w:rPr>
            </w:pPr>
            <w:r/>
          </w:p>
        </w:tc>
        <w:tc>
          <w:tcPr>
            <w:tcW w:w="809" w:type="dxa"/>
            <w:vAlign w:val="top"/>
            <w:vMerge w:val="continue"/>
            <w:tcBorders>
              <w:top w:val="nil"/>
            </w:tcBorders>
          </w:tcPr>
          <w:p>
            <w:pPr>
              <w:rPr>
                <w:rFonts w:ascii="Arial"/>
                <w:sz w:val="21"/>
              </w:rPr>
            </w:pPr>
            <w:r/>
          </w:p>
        </w:tc>
        <w:tc>
          <w:tcPr>
            <w:tcW w:w="640" w:type="dxa"/>
            <w:vAlign w:val="top"/>
            <w:vMerge w:val="continue"/>
            <w:tcBorders>
              <w:top w:val="nil"/>
            </w:tcBorders>
          </w:tcPr>
          <w:p>
            <w:pPr>
              <w:rPr>
                <w:rFonts w:ascii="Arial"/>
                <w:sz w:val="21"/>
              </w:rPr>
            </w:pPr>
            <w:r/>
          </w:p>
        </w:tc>
        <w:tc>
          <w:tcPr>
            <w:tcW w:w="739" w:type="dxa"/>
            <w:vAlign w:val="top"/>
            <w:vMerge w:val="continue"/>
            <w:tcBorders>
              <w:top w:val="nil"/>
            </w:tcBorders>
          </w:tcPr>
          <w:p>
            <w:pPr>
              <w:rPr>
                <w:rFonts w:ascii="Arial"/>
                <w:sz w:val="21"/>
              </w:rPr>
            </w:pPr>
            <w:r/>
          </w:p>
        </w:tc>
        <w:tc>
          <w:tcPr>
            <w:tcW w:w="570" w:type="dxa"/>
            <w:vAlign w:val="top"/>
            <w:vMerge w:val="continue"/>
            <w:tcBorders>
              <w:top w:val="nil"/>
            </w:tcBorders>
          </w:tcPr>
          <w:p>
            <w:pPr>
              <w:rPr>
                <w:rFonts w:ascii="Arial"/>
                <w:sz w:val="21"/>
              </w:rPr>
            </w:pPr>
            <w:r/>
          </w:p>
        </w:tc>
        <w:tc>
          <w:tcPr>
            <w:tcW w:w="680" w:type="dxa"/>
            <w:vAlign w:val="top"/>
            <w:vMerge w:val="continue"/>
            <w:tcBorders>
              <w:top w:val="nil"/>
            </w:tcBorders>
          </w:tcPr>
          <w:p>
            <w:pPr>
              <w:rPr>
                <w:rFonts w:ascii="Arial"/>
                <w:sz w:val="21"/>
              </w:rPr>
            </w:pPr>
            <w:r/>
          </w:p>
        </w:tc>
        <w:tc>
          <w:tcPr>
            <w:tcW w:w="560" w:type="dxa"/>
            <w:vAlign w:val="top"/>
            <w:vMerge w:val="continue"/>
            <w:textDirection w:val="tbRlV"/>
            <w:tcBorders>
              <w:top w:val="nil"/>
            </w:tcBorders>
          </w:tcPr>
          <w:p>
            <w:pPr>
              <w:rPr>
                <w:rFonts w:ascii="Arial"/>
                <w:sz w:val="21"/>
              </w:rPr>
            </w:pPr>
            <w:r/>
          </w:p>
        </w:tc>
        <w:tc>
          <w:tcPr>
            <w:tcW w:w="570" w:type="dxa"/>
            <w:vAlign w:val="top"/>
            <w:vMerge w:val="continue"/>
            <w:textDirection w:val="tbRlV"/>
            <w:tcBorders>
              <w:top w:val="nil"/>
            </w:tcBorders>
          </w:tcPr>
          <w:p>
            <w:pPr>
              <w:rPr>
                <w:rFonts w:ascii="Arial"/>
                <w:sz w:val="21"/>
              </w:rPr>
            </w:pPr>
            <w:r/>
          </w:p>
        </w:tc>
        <w:tc>
          <w:tcPr>
            <w:tcW w:w="560" w:type="dxa"/>
            <w:vAlign w:val="top"/>
            <w:vMerge w:val="continue"/>
            <w:textDirection w:val="tbRlV"/>
            <w:tcBorders>
              <w:top w:val="nil"/>
            </w:tcBorders>
          </w:tcPr>
          <w:p>
            <w:pPr>
              <w:rPr>
                <w:rFonts w:ascii="Arial"/>
                <w:sz w:val="21"/>
              </w:rPr>
            </w:pPr>
            <w:r/>
          </w:p>
        </w:tc>
        <w:tc>
          <w:tcPr>
            <w:tcW w:w="719" w:type="dxa"/>
            <w:vAlign w:val="top"/>
            <w:vMerge w:val="continue"/>
            <w:tcBorders>
              <w:top w:val="nil"/>
            </w:tcBorders>
          </w:tcPr>
          <w:p>
            <w:pPr>
              <w:rPr>
                <w:rFonts w:ascii="Arial"/>
                <w:sz w:val="21"/>
              </w:rPr>
            </w:pPr>
            <w:r/>
          </w:p>
        </w:tc>
        <w:tc>
          <w:tcPr>
            <w:tcW w:w="560" w:type="dxa"/>
            <w:vAlign w:val="top"/>
            <w:vMerge w:val="continue"/>
            <w:textDirection w:val="tbRlV"/>
            <w:tcBorders>
              <w:top w:val="nil"/>
            </w:tcBorders>
          </w:tcPr>
          <w:p>
            <w:pPr>
              <w:rPr>
                <w:rFonts w:ascii="Arial"/>
                <w:sz w:val="21"/>
              </w:rPr>
            </w:pPr>
            <w:r/>
          </w:p>
        </w:tc>
        <w:tc>
          <w:tcPr>
            <w:tcW w:w="599" w:type="dxa"/>
            <w:vAlign w:val="top"/>
            <w:vMerge w:val="continue"/>
            <w:textDirection w:val="tbRlV"/>
            <w:tcBorders>
              <w:top w:val="nil"/>
            </w:tcBorders>
          </w:tcPr>
          <w:p>
            <w:pPr>
              <w:rPr>
                <w:rFonts w:ascii="Arial"/>
                <w:sz w:val="21"/>
              </w:rPr>
            </w:pPr>
            <w:r/>
          </w:p>
        </w:tc>
        <w:tc>
          <w:tcPr>
            <w:tcW w:w="560" w:type="dxa"/>
            <w:vAlign w:val="top"/>
            <w:vMerge w:val="continue"/>
            <w:textDirection w:val="tbRlV"/>
            <w:tcBorders>
              <w:top w:val="nil"/>
            </w:tcBorders>
          </w:tcPr>
          <w:p>
            <w:pPr>
              <w:rPr>
                <w:rFonts w:ascii="Arial"/>
                <w:sz w:val="21"/>
              </w:rPr>
            </w:pPr>
            <w:r/>
          </w:p>
        </w:tc>
        <w:tc>
          <w:tcPr>
            <w:tcW w:w="589" w:type="dxa"/>
            <w:vAlign w:val="top"/>
            <w:vMerge w:val="continue"/>
            <w:textDirection w:val="tbRlV"/>
            <w:tcBorders>
              <w:top w:val="nil"/>
            </w:tcBorders>
          </w:tcPr>
          <w:p>
            <w:pPr>
              <w:rPr>
                <w:rFonts w:ascii="Arial"/>
                <w:sz w:val="21"/>
              </w:rPr>
            </w:pPr>
            <w:r/>
          </w:p>
        </w:tc>
        <w:tc>
          <w:tcPr>
            <w:tcW w:w="690" w:type="dxa"/>
            <w:vAlign w:val="top"/>
            <w:vMerge w:val="continue"/>
            <w:tcBorders>
              <w:top w:val="nil"/>
            </w:tcBorders>
          </w:tcPr>
          <w:p>
            <w:pPr>
              <w:rPr>
                <w:rFonts w:ascii="Arial"/>
                <w:sz w:val="21"/>
              </w:rPr>
            </w:pPr>
            <w:r/>
          </w:p>
        </w:tc>
        <w:tc>
          <w:tcPr>
            <w:tcW w:w="680" w:type="dxa"/>
            <w:vAlign w:val="top"/>
            <w:vMerge w:val="continue"/>
            <w:tcBorders>
              <w:top w:val="nil"/>
            </w:tcBorders>
          </w:tcPr>
          <w:p>
            <w:pPr>
              <w:rPr>
                <w:rFonts w:ascii="Arial"/>
                <w:sz w:val="21"/>
              </w:rPr>
            </w:pPr>
            <w:r/>
          </w:p>
        </w:tc>
        <w:tc>
          <w:tcPr>
            <w:tcW w:w="709" w:type="dxa"/>
            <w:vAlign w:val="top"/>
          </w:tcPr>
          <w:p>
            <w:pPr>
              <w:spacing w:line="322" w:lineRule="auto"/>
              <w:rPr>
                <w:rFonts w:ascii="Arial"/>
                <w:sz w:val="21"/>
              </w:rPr>
            </w:pPr>
            <w:r/>
          </w:p>
          <w:p>
            <w:pPr>
              <w:pStyle w:val="TableText"/>
              <w:ind w:left="159"/>
              <w:spacing w:before="62" w:line="219" w:lineRule="auto"/>
              <w:rPr>
                <w:sz w:val="19"/>
                <w:szCs w:val="19"/>
              </w:rPr>
            </w:pPr>
            <w:r>
              <w:rPr>
                <w:sz w:val="19"/>
                <w:szCs w:val="19"/>
                <w:b/>
                <w:bCs/>
                <w:spacing w:val="-5"/>
              </w:rPr>
              <w:t>北侧</w:t>
            </w:r>
          </w:p>
        </w:tc>
        <w:tc>
          <w:tcPr>
            <w:tcW w:w="709" w:type="dxa"/>
            <w:vAlign w:val="top"/>
          </w:tcPr>
          <w:p>
            <w:pPr>
              <w:spacing w:line="322" w:lineRule="auto"/>
              <w:rPr>
                <w:rFonts w:ascii="Arial"/>
                <w:sz w:val="21"/>
              </w:rPr>
            </w:pPr>
            <w:r/>
          </w:p>
          <w:p>
            <w:pPr>
              <w:pStyle w:val="TableText"/>
              <w:ind w:left="160"/>
              <w:spacing w:before="62" w:line="219" w:lineRule="auto"/>
              <w:rPr>
                <w:sz w:val="19"/>
                <w:szCs w:val="19"/>
              </w:rPr>
            </w:pPr>
            <w:r>
              <w:rPr>
                <w:sz w:val="19"/>
                <w:szCs w:val="19"/>
                <w:b/>
                <w:bCs/>
                <w:spacing w:val="-5"/>
              </w:rPr>
              <w:t>西侧</w:t>
            </w:r>
          </w:p>
        </w:tc>
        <w:tc>
          <w:tcPr>
            <w:tcW w:w="690" w:type="dxa"/>
            <w:vAlign w:val="top"/>
          </w:tcPr>
          <w:p>
            <w:pPr>
              <w:spacing w:line="322" w:lineRule="auto"/>
              <w:rPr>
                <w:rFonts w:ascii="Arial"/>
                <w:sz w:val="21"/>
              </w:rPr>
            </w:pPr>
            <w:r/>
          </w:p>
          <w:p>
            <w:pPr>
              <w:pStyle w:val="TableText"/>
              <w:ind w:left="151"/>
              <w:spacing w:before="62" w:line="219" w:lineRule="auto"/>
              <w:rPr>
                <w:sz w:val="19"/>
                <w:szCs w:val="19"/>
              </w:rPr>
            </w:pPr>
            <w:r>
              <w:rPr>
                <w:sz w:val="19"/>
                <w:szCs w:val="19"/>
                <w:b/>
                <w:bCs/>
                <w:spacing w:val="-5"/>
              </w:rPr>
              <w:t>南侧</w:t>
            </w:r>
          </w:p>
        </w:tc>
        <w:tc>
          <w:tcPr>
            <w:tcW w:w="560" w:type="dxa"/>
            <w:vAlign w:val="top"/>
            <w:textDirection w:val="tbRlV"/>
          </w:tcPr>
          <w:p>
            <w:pPr>
              <w:pStyle w:val="TableText"/>
              <w:ind w:left="229"/>
              <w:spacing w:before="161" w:line="216" w:lineRule="auto"/>
              <w:rPr>
                <w:sz w:val="19"/>
                <w:szCs w:val="19"/>
              </w:rPr>
            </w:pPr>
            <w:r>
              <w:rPr>
                <w:sz w:val="19"/>
                <w:szCs w:val="19"/>
                <w:b/>
                <w:bCs/>
                <w:spacing w:val="-2"/>
              </w:rPr>
              <w:t>东</w:t>
            </w:r>
            <w:r>
              <w:rPr>
                <w:sz w:val="19"/>
                <w:szCs w:val="19"/>
                <w:spacing w:val="17"/>
              </w:rPr>
              <w:t xml:space="preserve"> </w:t>
            </w:r>
            <w:r>
              <w:rPr>
                <w:sz w:val="19"/>
                <w:szCs w:val="19"/>
                <w:b/>
                <w:bCs/>
                <w:spacing w:val="-2"/>
              </w:rPr>
              <w:t>侧</w:t>
            </w:r>
          </w:p>
        </w:tc>
        <w:tc>
          <w:tcPr>
            <w:tcW w:w="714" w:type="dxa"/>
            <w:vAlign w:val="top"/>
            <w:vMerge w:val="continue"/>
            <w:tcBorders>
              <w:top w:val="nil"/>
            </w:tcBorders>
          </w:tcPr>
          <w:p>
            <w:pPr>
              <w:rPr>
                <w:rFonts w:ascii="Arial"/>
                <w:sz w:val="21"/>
              </w:rPr>
            </w:pPr>
            <w:r/>
          </w:p>
        </w:tc>
      </w:tr>
      <w:tr>
        <w:trPr>
          <w:trHeight w:val="769" w:hRule="atLeast"/>
        </w:trPr>
        <w:tc>
          <w:tcPr>
            <w:tcW w:w="465" w:type="dxa"/>
            <w:vAlign w:val="top"/>
          </w:tcPr>
          <w:p>
            <w:pPr>
              <w:spacing w:line="274" w:lineRule="auto"/>
              <w:rPr>
                <w:rFonts w:ascii="Arial"/>
                <w:sz w:val="21"/>
              </w:rPr>
            </w:pPr>
            <w:r/>
          </w:p>
          <w:p>
            <w:pPr>
              <w:pStyle w:val="TableText"/>
              <w:ind w:left="175"/>
              <w:spacing w:before="62" w:line="184" w:lineRule="auto"/>
              <w:rPr>
                <w:sz w:val="19"/>
                <w:szCs w:val="19"/>
              </w:rPr>
            </w:pPr>
            <w:r>
              <w:rPr>
                <w:sz w:val="19"/>
                <w:szCs w:val="19"/>
              </w:rPr>
              <w:t>1</w:t>
            </w:r>
          </w:p>
        </w:tc>
        <w:tc>
          <w:tcPr>
            <w:tcW w:w="659"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pStyle w:val="TableText"/>
              <w:ind w:left="130" w:right="125"/>
              <w:spacing w:before="61" w:line="241" w:lineRule="auto"/>
              <w:rPr>
                <w:sz w:val="19"/>
                <w:szCs w:val="19"/>
              </w:rPr>
            </w:pPr>
            <w:r>
              <w:rPr>
                <w:sz w:val="19"/>
                <w:szCs w:val="19"/>
                <w:spacing w:val="3"/>
              </w:rPr>
              <w:t>凹版</w:t>
            </w:r>
            <w:r>
              <w:rPr>
                <w:sz w:val="19"/>
                <w:szCs w:val="19"/>
              </w:rPr>
              <w:t xml:space="preserve"> </w:t>
            </w:r>
            <w:r>
              <w:rPr>
                <w:sz w:val="19"/>
                <w:szCs w:val="19"/>
                <w:spacing w:val="6"/>
              </w:rPr>
              <w:t>厂房</w:t>
            </w:r>
          </w:p>
        </w:tc>
        <w:tc>
          <w:tcPr>
            <w:tcW w:w="759" w:type="dxa"/>
            <w:vAlign w:val="top"/>
          </w:tcPr>
          <w:p>
            <w:pPr>
              <w:pStyle w:val="TableText"/>
              <w:ind w:left="131" w:right="149" w:firstLine="50"/>
              <w:spacing w:before="48" w:line="230" w:lineRule="auto"/>
              <w:jc w:val="both"/>
              <w:rPr>
                <w:sz w:val="19"/>
                <w:szCs w:val="19"/>
              </w:rPr>
            </w:pPr>
            <w:r>
              <w:rPr>
                <w:sz w:val="19"/>
                <w:szCs w:val="19"/>
                <w:spacing w:val="4"/>
              </w:rPr>
              <w:t>阳极</w:t>
            </w:r>
            <w:r>
              <w:rPr>
                <w:sz w:val="19"/>
                <w:szCs w:val="19"/>
              </w:rPr>
              <w:t xml:space="preserve"> </w:t>
            </w:r>
            <w:r>
              <w:rPr>
                <w:sz w:val="19"/>
                <w:szCs w:val="19"/>
                <w:spacing w:val="21"/>
              </w:rPr>
              <w:t>搅拌</w:t>
            </w:r>
            <w:r>
              <w:rPr>
                <w:sz w:val="19"/>
                <w:szCs w:val="19"/>
              </w:rPr>
              <w:t xml:space="preserve"> </w:t>
            </w:r>
            <w:r>
              <w:rPr>
                <w:sz w:val="19"/>
                <w:szCs w:val="19"/>
                <w:spacing w:val="-2"/>
              </w:rPr>
              <w:t>机/12</w:t>
            </w:r>
          </w:p>
        </w:tc>
        <w:tc>
          <w:tcPr>
            <w:tcW w:w="809" w:type="dxa"/>
            <w:vAlign w:val="top"/>
          </w:tcPr>
          <w:p>
            <w:pPr>
              <w:spacing w:line="274" w:lineRule="auto"/>
              <w:rPr>
                <w:rFonts w:ascii="Arial"/>
                <w:sz w:val="21"/>
              </w:rPr>
            </w:pPr>
            <w:r/>
          </w:p>
          <w:p>
            <w:pPr>
              <w:pStyle w:val="TableText"/>
              <w:ind w:left="302"/>
              <w:spacing w:before="62" w:line="184" w:lineRule="auto"/>
              <w:rPr>
                <w:sz w:val="19"/>
                <w:szCs w:val="19"/>
              </w:rPr>
            </w:pPr>
            <w:r>
              <w:rPr>
                <w:sz w:val="19"/>
                <w:szCs w:val="19"/>
                <w:spacing w:val="-3"/>
              </w:rPr>
              <w:t>81</w:t>
            </w:r>
          </w:p>
        </w:tc>
        <w:tc>
          <w:tcPr>
            <w:tcW w:w="640"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123" w:right="31"/>
              <w:spacing w:before="62" w:line="246" w:lineRule="auto"/>
              <w:rPr>
                <w:sz w:val="19"/>
                <w:szCs w:val="19"/>
              </w:rPr>
            </w:pPr>
            <w:r>
              <w:rPr>
                <w:sz w:val="19"/>
                <w:szCs w:val="19"/>
                <w:spacing w:val="6"/>
              </w:rPr>
              <w:t>厂房</w:t>
            </w:r>
            <w:r>
              <w:rPr>
                <w:sz w:val="19"/>
                <w:szCs w:val="19"/>
              </w:rPr>
              <w:t xml:space="preserve">  </w:t>
            </w:r>
            <w:r>
              <w:rPr>
                <w:sz w:val="19"/>
                <w:szCs w:val="19"/>
                <w:spacing w:val="29"/>
                <w:w w:val="122"/>
              </w:rPr>
              <w:t>隔</w:t>
            </w:r>
            <w:r>
              <w:rPr>
                <w:sz w:val="19"/>
                <w:szCs w:val="19"/>
              </w:rPr>
              <w:t xml:space="preserve">   </w:t>
            </w:r>
            <w:r>
              <w:rPr>
                <w:sz w:val="19"/>
                <w:szCs w:val="19"/>
                <w:spacing w:val="-20"/>
              </w:rPr>
              <w:t>声</w:t>
            </w:r>
            <w:r>
              <w:rPr>
                <w:sz w:val="19"/>
                <w:szCs w:val="19"/>
                <w:spacing w:val="39"/>
              </w:rPr>
              <w:t xml:space="preserve"> </w:t>
            </w:r>
            <w:r>
              <w:rPr>
                <w:sz w:val="19"/>
                <w:szCs w:val="19"/>
                <w:spacing w:val="-20"/>
              </w:rPr>
              <w:t>、</w:t>
            </w:r>
            <w:r>
              <w:rPr>
                <w:sz w:val="19"/>
                <w:szCs w:val="19"/>
              </w:rPr>
              <w:t xml:space="preserve"> </w:t>
            </w:r>
            <w:r>
              <w:rPr>
                <w:sz w:val="19"/>
                <w:szCs w:val="19"/>
                <w:spacing w:val="-4"/>
              </w:rPr>
              <w:t>基础</w:t>
            </w:r>
            <w:r>
              <w:rPr>
                <w:sz w:val="19"/>
                <w:szCs w:val="19"/>
              </w:rPr>
              <w:t xml:space="preserve">  </w:t>
            </w:r>
            <w:r>
              <w:rPr>
                <w:sz w:val="19"/>
                <w:szCs w:val="19"/>
                <w:spacing w:val="-2"/>
              </w:rPr>
              <w:t>减震</w:t>
            </w:r>
          </w:p>
        </w:tc>
        <w:tc>
          <w:tcPr>
            <w:tcW w:w="739" w:type="dxa"/>
            <w:vAlign w:val="top"/>
          </w:tcPr>
          <w:p>
            <w:pPr>
              <w:spacing w:line="274" w:lineRule="auto"/>
              <w:rPr>
                <w:rFonts w:ascii="Arial"/>
                <w:sz w:val="21"/>
              </w:rPr>
            </w:pPr>
            <w:r/>
          </w:p>
          <w:p>
            <w:pPr>
              <w:pStyle w:val="TableText"/>
              <w:ind w:left="213"/>
              <w:spacing w:before="62" w:line="184" w:lineRule="auto"/>
              <w:rPr>
                <w:sz w:val="19"/>
                <w:szCs w:val="19"/>
              </w:rPr>
            </w:pPr>
            <w:r>
              <w:rPr>
                <w:sz w:val="19"/>
                <w:szCs w:val="19"/>
                <w:spacing w:val="-5"/>
              </w:rPr>
              <w:t>117</w:t>
            </w:r>
          </w:p>
        </w:tc>
        <w:tc>
          <w:tcPr>
            <w:tcW w:w="570" w:type="dxa"/>
            <w:vAlign w:val="top"/>
          </w:tcPr>
          <w:p>
            <w:pPr>
              <w:spacing w:line="275" w:lineRule="auto"/>
              <w:rPr>
                <w:rFonts w:ascii="Arial"/>
                <w:sz w:val="21"/>
              </w:rPr>
            </w:pPr>
            <w:r/>
          </w:p>
          <w:p>
            <w:pPr>
              <w:pStyle w:val="TableText"/>
              <w:ind w:left="184"/>
              <w:spacing w:before="62" w:line="183" w:lineRule="auto"/>
              <w:rPr>
                <w:sz w:val="19"/>
                <w:szCs w:val="19"/>
              </w:rPr>
            </w:pPr>
            <w:r>
              <w:rPr>
                <w:sz w:val="19"/>
                <w:szCs w:val="19"/>
                <w:spacing w:val="-2"/>
              </w:rPr>
              <w:t>44</w:t>
            </w:r>
          </w:p>
        </w:tc>
        <w:tc>
          <w:tcPr>
            <w:tcW w:w="680" w:type="dxa"/>
            <w:vAlign w:val="top"/>
          </w:tcPr>
          <w:p>
            <w:pPr>
              <w:spacing w:line="275" w:lineRule="auto"/>
              <w:rPr>
                <w:rFonts w:ascii="Arial"/>
                <w:sz w:val="21"/>
              </w:rPr>
            </w:pPr>
            <w:r/>
          </w:p>
          <w:p>
            <w:pPr>
              <w:pStyle w:val="TableText"/>
              <w:ind w:left="284"/>
              <w:spacing w:before="62" w:line="183" w:lineRule="auto"/>
              <w:rPr>
                <w:sz w:val="19"/>
                <w:szCs w:val="19"/>
              </w:rPr>
            </w:pPr>
            <w:r>
              <w:rPr>
                <w:sz w:val="19"/>
                <w:szCs w:val="19"/>
              </w:rPr>
              <w:t>2</w:t>
            </w:r>
          </w:p>
        </w:tc>
        <w:tc>
          <w:tcPr>
            <w:tcW w:w="560" w:type="dxa"/>
            <w:vAlign w:val="top"/>
          </w:tcPr>
          <w:p>
            <w:pPr>
              <w:spacing w:line="275" w:lineRule="auto"/>
              <w:rPr>
                <w:rFonts w:ascii="Arial"/>
                <w:sz w:val="21"/>
              </w:rPr>
            </w:pPr>
            <w:r/>
          </w:p>
          <w:p>
            <w:pPr>
              <w:pStyle w:val="TableText"/>
              <w:ind w:left="174"/>
              <w:spacing w:before="62" w:line="183" w:lineRule="auto"/>
              <w:rPr>
                <w:sz w:val="19"/>
                <w:szCs w:val="19"/>
              </w:rPr>
            </w:pPr>
            <w:r>
              <w:rPr>
                <w:sz w:val="19"/>
                <w:szCs w:val="19"/>
                <w:spacing w:val="-2"/>
              </w:rPr>
              <w:t>43</w:t>
            </w:r>
          </w:p>
        </w:tc>
        <w:tc>
          <w:tcPr>
            <w:tcW w:w="570" w:type="dxa"/>
            <w:vAlign w:val="top"/>
          </w:tcPr>
          <w:p>
            <w:pPr>
              <w:spacing w:line="274" w:lineRule="auto"/>
              <w:rPr>
                <w:rFonts w:ascii="Arial"/>
                <w:sz w:val="21"/>
              </w:rPr>
            </w:pPr>
            <w:r/>
          </w:p>
          <w:p>
            <w:pPr>
              <w:pStyle w:val="TableText"/>
              <w:ind w:left="134"/>
              <w:spacing w:before="62" w:line="184" w:lineRule="auto"/>
              <w:rPr>
                <w:sz w:val="19"/>
                <w:szCs w:val="19"/>
              </w:rPr>
            </w:pPr>
            <w:r>
              <w:rPr>
                <w:sz w:val="19"/>
                <w:szCs w:val="19"/>
                <w:spacing w:val="-5"/>
              </w:rPr>
              <w:t>116</w:t>
            </w:r>
          </w:p>
        </w:tc>
        <w:tc>
          <w:tcPr>
            <w:tcW w:w="560" w:type="dxa"/>
            <w:vAlign w:val="top"/>
          </w:tcPr>
          <w:p>
            <w:pPr>
              <w:spacing w:line="275" w:lineRule="auto"/>
              <w:rPr>
                <w:rFonts w:ascii="Arial"/>
                <w:sz w:val="21"/>
              </w:rPr>
            </w:pPr>
            <w:r/>
          </w:p>
          <w:p>
            <w:pPr>
              <w:pStyle w:val="TableText"/>
              <w:ind w:left="84"/>
              <w:spacing w:before="62" w:line="183" w:lineRule="auto"/>
              <w:rPr>
                <w:sz w:val="19"/>
                <w:szCs w:val="19"/>
              </w:rPr>
            </w:pPr>
            <w:r>
              <w:rPr>
                <w:sz w:val="19"/>
                <w:szCs w:val="19"/>
                <w:spacing w:val="-2"/>
              </w:rPr>
              <w:t>44.5</w:t>
            </w:r>
          </w:p>
        </w:tc>
        <w:tc>
          <w:tcPr>
            <w:tcW w:w="719" w:type="dxa"/>
            <w:vAlign w:val="top"/>
          </w:tcPr>
          <w:p>
            <w:pPr>
              <w:spacing w:line="274" w:lineRule="auto"/>
              <w:rPr>
                <w:rFonts w:ascii="Arial"/>
                <w:sz w:val="21"/>
              </w:rPr>
            </w:pPr>
            <w:r/>
          </w:p>
          <w:p>
            <w:pPr>
              <w:pStyle w:val="TableText"/>
              <w:ind w:left="164"/>
              <w:spacing w:before="62" w:line="184" w:lineRule="auto"/>
              <w:rPr>
                <w:sz w:val="19"/>
                <w:szCs w:val="19"/>
              </w:rPr>
            </w:pPr>
            <w:r>
              <w:rPr>
                <w:sz w:val="19"/>
                <w:szCs w:val="19"/>
                <w:spacing w:val="-3"/>
              </w:rPr>
              <w:t>51.7</w:t>
            </w:r>
          </w:p>
        </w:tc>
        <w:tc>
          <w:tcPr>
            <w:tcW w:w="560" w:type="dxa"/>
            <w:vAlign w:val="top"/>
          </w:tcPr>
          <w:p>
            <w:pPr>
              <w:spacing w:line="275" w:lineRule="auto"/>
              <w:rPr>
                <w:rFonts w:ascii="Arial"/>
                <w:sz w:val="21"/>
              </w:rPr>
            </w:pPr>
            <w:r/>
          </w:p>
          <w:p>
            <w:pPr>
              <w:pStyle w:val="TableText"/>
              <w:ind w:left="85"/>
              <w:spacing w:before="62" w:line="183" w:lineRule="auto"/>
              <w:rPr>
                <w:sz w:val="19"/>
                <w:szCs w:val="19"/>
              </w:rPr>
            </w:pPr>
            <w:r>
              <w:rPr>
                <w:sz w:val="19"/>
                <w:szCs w:val="19"/>
                <w:spacing w:val="-2"/>
              </w:rPr>
              <w:t>48.3</w:t>
            </w:r>
          </w:p>
        </w:tc>
        <w:tc>
          <w:tcPr>
            <w:tcW w:w="599" w:type="dxa"/>
            <w:vAlign w:val="top"/>
          </w:tcPr>
          <w:p>
            <w:pPr>
              <w:spacing w:line="275" w:lineRule="auto"/>
              <w:rPr>
                <w:rFonts w:ascii="Arial"/>
                <w:sz w:val="21"/>
              </w:rPr>
            </w:pPr>
            <w:r/>
          </w:p>
          <w:p>
            <w:pPr>
              <w:pStyle w:val="TableText"/>
              <w:ind w:left="105"/>
              <w:spacing w:before="62" w:line="183" w:lineRule="auto"/>
              <w:rPr>
                <w:sz w:val="19"/>
                <w:szCs w:val="19"/>
              </w:rPr>
            </w:pPr>
            <w:r>
              <w:rPr>
                <w:sz w:val="19"/>
                <w:szCs w:val="19"/>
                <w:spacing w:val="-3"/>
              </w:rPr>
              <w:t>39.7</w:t>
            </w:r>
          </w:p>
        </w:tc>
        <w:tc>
          <w:tcPr>
            <w:tcW w:w="560" w:type="dxa"/>
            <w:vAlign w:val="top"/>
          </w:tcPr>
          <w:p>
            <w:pPr>
              <w:spacing w:line="275" w:lineRule="auto"/>
              <w:rPr>
                <w:rFonts w:ascii="Arial"/>
                <w:sz w:val="21"/>
              </w:rPr>
            </w:pPr>
            <w:r/>
          </w:p>
          <w:p>
            <w:pPr>
              <w:pStyle w:val="TableText"/>
              <w:ind w:left="86"/>
              <w:spacing w:before="62" w:line="183" w:lineRule="auto"/>
              <w:rPr>
                <w:sz w:val="19"/>
                <w:szCs w:val="19"/>
              </w:rPr>
            </w:pPr>
            <w:r>
              <w:rPr>
                <w:sz w:val="19"/>
                <w:szCs w:val="19"/>
                <w:spacing w:val="-2"/>
              </w:rPr>
              <w:t>48.0</w:t>
            </w:r>
          </w:p>
        </w:tc>
        <w:tc>
          <w:tcPr>
            <w:tcW w:w="589" w:type="dxa"/>
            <w:vAlign w:val="top"/>
          </w:tcPr>
          <w:p>
            <w:pPr>
              <w:spacing w:line="275" w:lineRule="auto"/>
              <w:rPr>
                <w:rFonts w:ascii="Arial"/>
                <w:sz w:val="21"/>
              </w:rPr>
            </w:pPr>
            <w:r/>
          </w:p>
          <w:p>
            <w:pPr>
              <w:pStyle w:val="TableText"/>
              <w:ind w:left="96"/>
              <w:spacing w:before="62" w:line="183" w:lineRule="auto"/>
              <w:rPr>
                <w:sz w:val="19"/>
                <w:szCs w:val="19"/>
              </w:rPr>
            </w:pPr>
            <w:r>
              <w:rPr>
                <w:sz w:val="19"/>
                <w:szCs w:val="19"/>
                <w:spacing w:val="-2"/>
              </w:rPr>
              <w:t>46.7</w:t>
            </w:r>
          </w:p>
        </w:tc>
        <w:tc>
          <w:tcPr>
            <w:tcW w:w="690"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pStyle w:val="TableText"/>
              <w:ind w:left="97"/>
              <w:spacing w:before="61" w:line="224" w:lineRule="auto"/>
              <w:rPr>
                <w:sz w:val="19"/>
                <w:szCs w:val="19"/>
              </w:rPr>
            </w:pPr>
            <w:r>
              <w:rPr>
                <w:sz w:val="19"/>
                <w:szCs w:val="19"/>
                <w:spacing w:val="-2"/>
              </w:rPr>
              <w:t>22h/d</w:t>
            </w:r>
          </w:p>
          <w:p>
            <w:pPr>
              <w:pStyle w:val="TableText"/>
              <w:ind w:left="287" w:right="119" w:hanging="190"/>
              <w:spacing w:before="279" w:line="253" w:lineRule="auto"/>
              <w:rPr>
                <w:sz w:val="19"/>
                <w:szCs w:val="19"/>
              </w:rPr>
            </w:pPr>
            <w:r>
              <w:rPr>
                <w:sz w:val="19"/>
                <w:szCs w:val="19"/>
                <w:spacing w:val="-3"/>
              </w:rPr>
              <w:t>300d/</w:t>
            </w:r>
            <w:r>
              <w:rPr>
                <w:sz w:val="19"/>
                <w:szCs w:val="19"/>
                <w:spacing w:val="2"/>
              </w:rPr>
              <w:t xml:space="preserve"> </w:t>
            </w:r>
            <w:r>
              <w:rPr>
                <w:sz w:val="19"/>
                <w:szCs w:val="19"/>
              </w:rPr>
              <w:t>a</w:t>
            </w:r>
          </w:p>
        </w:tc>
        <w:tc>
          <w:tcPr>
            <w:tcW w:w="680" w:type="dxa"/>
            <w:vAlign w:val="top"/>
            <w:vMerge w:val="restart"/>
            <w:tcBorders>
              <w:bottom w:val="nil"/>
            </w:tcBorders>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237"/>
              <w:spacing w:before="62" w:line="183" w:lineRule="auto"/>
              <w:rPr>
                <w:sz w:val="19"/>
                <w:szCs w:val="19"/>
              </w:rPr>
            </w:pPr>
            <w:r>
              <w:rPr>
                <w:sz w:val="19"/>
                <w:szCs w:val="19"/>
                <w:spacing w:val="-3"/>
              </w:rPr>
              <w:t>20</w:t>
            </w:r>
          </w:p>
        </w:tc>
        <w:tc>
          <w:tcPr>
            <w:tcW w:w="709" w:type="dxa"/>
            <w:vAlign w:val="top"/>
          </w:tcPr>
          <w:p>
            <w:pPr>
              <w:spacing w:line="275" w:lineRule="auto"/>
              <w:rPr>
                <w:rFonts w:ascii="Arial"/>
                <w:sz w:val="21"/>
              </w:rPr>
            </w:pPr>
            <w:r/>
          </w:p>
          <w:p>
            <w:pPr>
              <w:pStyle w:val="TableText"/>
              <w:ind w:left="267"/>
              <w:spacing w:before="62" w:line="183" w:lineRule="auto"/>
              <w:rPr>
                <w:sz w:val="19"/>
                <w:szCs w:val="19"/>
              </w:rPr>
            </w:pPr>
            <w:r>
              <w:rPr>
                <w:sz w:val="19"/>
                <w:szCs w:val="19"/>
                <w:spacing w:val="-2"/>
              </w:rPr>
              <w:t>28.3</w:t>
            </w:r>
          </w:p>
        </w:tc>
        <w:tc>
          <w:tcPr>
            <w:tcW w:w="709" w:type="dxa"/>
            <w:vAlign w:val="top"/>
          </w:tcPr>
          <w:p>
            <w:pPr>
              <w:spacing w:line="274" w:lineRule="auto"/>
              <w:rPr>
                <w:rFonts w:ascii="Arial"/>
                <w:sz w:val="21"/>
              </w:rPr>
            </w:pPr>
            <w:r/>
          </w:p>
          <w:p>
            <w:pPr>
              <w:pStyle w:val="TableText"/>
              <w:ind w:left="278"/>
              <w:spacing w:before="62" w:line="184" w:lineRule="auto"/>
              <w:rPr>
                <w:sz w:val="19"/>
                <w:szCs w:val="19"/>
              </w:rPr>
            </w:pPr>
            <w:r>
              <w:rPr>
                <w:sz w:val="19"/>
                <w:szCs w:val="19"/>
                <w:spacing w:val="-5"/>
              </w:rPr>
              <w:t>19.7</w:t>
            </w:r>
          </w:p>
        </w:tc>
        <w:tc>
          <w:tcPr>
            <w:tcW w:w="690" w:type="dxa"/>
            <w:vAlign w:val="top"/>
          </w:tcPr>
          <w:p>
            <w:pPr>
              <w:spacing w:line="275" w:lineRule="auto"/>
              <w:rPr>
                <w:rFonts w:ascii="Arial"/>
                <w:sz w:val="21"/>
              </w:rPr>
            </w:pPr>
            <w:r/>
          </w:p>
          <w:p>
            <w:pPr>
              <w:pStyle w:val="TableText"/>
              <w:ind w:left="259"/>
              <w:spacing w:before="62" w:line="183" w:lineRule="auto"/>
              <w:rPr>
                <w:sz w:val="19"/>
                <w:szCs w:val="19"/>
              </w:rPr>
            </w:pPr>
            <w:r>
              <w:rPr>
                <w:sz w:val="19"/>
                <w:szCs w:val="19"/>
                <w:spacing w:val="-2"/>
              </w:rPr>
              <w:t>28.0</w:t>
            </w:r>
          </w:p>
        </w:tc>
        <w:tc>
          <w:tcPr>
            <w:tcW w:w="560" w:type="dxa"/>
            <w:vAlign w:val="top"/>
          </w:tcPr>
          <w:p>
            <w:pPr>
              <w:spacing w:line="275" w:lineRule="auto"/>
              <w:rPr>
                <w:rFonts w:ascii="Arial"/>
                <w:sz w:val="21"/>
              </w:rPr>
            </w:pPr>
            <w:r/>
          </w:p>
          <w:p>
            <w:pPr>
              <w:pStyle w:val="TableText"/>
              <w:ind w:left="149"/>
              <w:spacing w:before="62" w:line="183" w:lineRule="auto"/>
              <w:rPr>
                <w:sz w:val="19"/>
                <w:szCs w:val="19"/>
              </w:rPr>
            </w:pPr>
            <w:r>
              <w:rPr>
                <w:sz w:val="19"/>
                <w:szCs w:val="19"/>
                <w:spacing w:val="-2"/>
              </w:rPr>
              <w:t>26.7</w:t>
            </w:r>
          </w:p>
        </w:tc>
        <w:tc>
          <w:tcPr>
            <w:tcW w:w="714" w:type="dxa"/>
            <w:vAlign w:val="top"/>
            <w:vMerge w:val="restart"/>
            <w:tcBorders>
              <w:bottom w:val="nil"/>
            </w:tcBorders>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299"/>
              <w:spacing w:before="62" w:line="184" w:lineRule="auto"/>
              <w:rPr>
                <w:sz w:val="19"/>
                <w:szCs w:val="19"/>
              </w:rPr>
            </w:pPr>
            <w:r>
              <w:rPr>
                <w:sz w:val="19"/>
                <w:szCs w:val="19"/>
              </w:rPr>
              <w:t>1</w:t>
            </w:r>
          </w:p>
        </w:tc>
      </w:tr>
      <w:tr>
        <w:trPr>
          <w:trHeight w:val="789" w:hRule="atLeast"/>
        </w:trPr>
        <w:tc>
          <w:tcPr>
            <w:tcW w:w="465" w:type="dxa"/>
            <w:vAlign w:val="top"/>
          </w:tcPr>
          <w:p>
            <w:pPr>
              <w:spacing w:line="286" w:lineRule="auto"/>
              <w:rPr>
                <w:rFonts w:ascii="Arial"/>
                <w:sz w:val="21"/>
              </w:rPr>
            </w:pPr>
            <w:r/>
          </w:p>
          <w:p>
            <w:pPr>
              <w:pStyle w:val="TableText"/>
              <w:ind w:left="175"/>
              <w:spacing w:before="62" w:line="183" w:lineRule="auto"/>
              <w:rPr>
                <w:sz w:val="19"/>
                <w:szCs w:val="19"/>
              </w:rPr>
            </w:pPr>
            <w:r>
              <w:rPr>
                <w:sz w:val="19"/>
                <w:szCs w:val="19"/>
              </w:rPr>
              <w:t>2</w:t>
            </w:r>
          </w:p>
        </w:tc>
        <w:tc>
          <w:tcPr>
            <w:tcW w:w="659" w:type="dxa"/>
            <w:vAlign w:val="top"/>
            <w:vMerge w:val="continue"/>
            <w:tcBorders>
              <w:top w:val="nil"/>
              <w:bottom w:val="nil"/>
            </w:tcBorders>
          </w:tcPr>
          <w:p>
            <w:pPr>
              <w:rPr>
                <w:rFonts w:ascii="Arial"/>
                <w:sz w:val="21"/>
              </w:rPr>
            </w:pPr>
            <w:r/>
          </w:p>
        </w:tc>
        <w:tc>
          <w:tcPr>
            <w:tcW w:w="759" w:type="dxa"/>
            <w:vAlign w:val="top"/>
          </w:tcPr>
          <w:p>
            <w:pPr>
              <w:pStyle w:val="TableText"/>
              <w:ind w:left="131" w:right="149" w:firstLine="50"/>
              <w:spacing w:before="62" w:line="232" w:lineRule="auto"/>
              <w:jc w:val="both"/>
              <w:rPr>
                <w:sz w:val="19"/>
                <w:szCs w:val="19"/>
              </w:rPr>
            </w:pPr>
            <w:r>
              <w:rPr>
                <w:sz w:val="19"/>
                <w:szCs w:val="19"/>
                <w:spacing w:val="4"/>
              </w:rPr>
              <w:t>阴极</w:t>
            </w:r>
            <w:r>
              <w:rPr>
                <w:sz w:val="19"/>
                <w:szCs w:val="19"/>
              </w:rPr>
              <w:t xml:space="preserve"> </w:t>
            </w:r>
            <w:r>
              <w:rPr>
                <w:sz w:val="19"/>
                <w:szCs w:val="19"/>
                <w:spacing w:val="21"/>
              </w:rPr>
              <w:t>搅拌</w:t>
            </w:r>
            <w:r>
              <w:rPr>
                <w:sz w:val="19"/>
                <w:szCs w:val="19"/>
              </w:rPr>
              <w:t xml:space="preserve"> </w:t>
            </w:r>
            <w:r>
              <w:rPr>
                <w:sz w:val="19"/>
                <w:szCs w:val="19"/>
                <w:spacing w:val="-2"/>
              </w:rPr>
              <w:t>机/14</w:t>
            </w:r>
          </w:p>
        </w:tc>
        <w:tc>
          <w:tcPr>
            <w:tcW w:w="809" w:type="dxa"/>
            <w:vAlign w:val="top"/>
          </w:tcPr>
          <w:p>
            <w:pPr>
              <w:spacing w:line="285" w:lineRule="auto"/>
              <w:rPr>
                <w:rFonts w:ascii="Arial"/>
                <w:sz w:val="21"/>
              </w:rPr>
            </w:pPr>
            <w:r/>
          </w:p>
          <w:p>
            <w:pPr>
              <w:pStyle w:val="TableText"/>
              <w:ind w:left="202"/>
              <w:spacing w:before="62" w:line="184" w:lineRule="auto"/>
              <w:rPr>
                <w:sz w:val="19"/>
                <w:szCs w:val="19"/>
              </w:rPr>
            </w:pPr>
            <w:r>
              <w:rPr>
                <w:sz w:val="19"/>
                <w:szCs w:val="19"/>
                <w:spacing w:val="-2"/>
              </w:rPr>
              <w:t>81.5</w:t>
            </w:r>
          </w:p>
        </w:tc>
        <w:tc>
          <w:tcPr>
            <w:tcW w:w="640" w:type="dxa"/>
            <w:vAlign w:val="top"/>
            <w:vMerge w:val="continue"/>
            <w:tcBorders>
              <w:top w:val="nil"/>
              <w:bottom w:val="nil"/>
            </w:tcBorders>
          </w:tcPr>
          <w:p>
            <w:pPr>
              <w:rPr>
                <w:rFonts w:ascii="Arial"/>
                <w:sz w:val="21"/>
              </w:rPr>
            </w:pPr>
            <w:r/>
          </w:p>
        </w:tc>
        <w:tc>
          <w:tcPr>
            <w:tcW w:w="739" w:type="dxa"/>
            <w:vAlign w:val="top"/>
          </w:tcPr>
          <w:p>
            <w:pPr>
              <w:spacing w:line="285" w:lineRule="auto"/>
              <w:rPr>
                <w:rFonts w:ascii="Arial"/>
                <w:sz w:val="21"/>
              </w:rPr>
            </w:pPr>
            <w:r/>
          </w:p>
          <w:p>
            <w:pPr>
              <w:pStyle w:val="TableText"/>
              <w:ind w:left="213"/>
              <w:spacing w:before="62" w:line="184" w:lineRule="auto"/>
              <w:rPr>
                <w:sz w:val="19"/>
                <w:szCs w:val="19"/>
              </w:rPr>
            </w:pPr>
            <w:r>
              <w:rPr>
                <w:sz w:val="19"/>
                <w:szCs w:val="19"/>
                <w:spacing w:val="-5"/>
              </w:rPr>
              <w:t>117</w:t>
            </w:r>
          </w:p>
        </w:tc>
        <w:tc>
          <w:tcPr>
            <w:tcW w:w="570" w:type="dxa"/>
            <w:vAlign w:val="top"/>
          </w:tcPr>
          <w:p>
            <w:pPr>
              <w:spacing w:line="285" w:lineRule="auto"/>
              <w:rPr>
                <w:rFonts w:ascii="Arial"/>
                <w:sz w:val="21"/>
              </w:rPr>
            </w:pPr>
            <w:r/>
          </w:p>
          <w:p>
            <w:pPr>
              <w:pStyle w:val="TableText"/>
              <w:ind w:left="184"/>
              <w:spacing w:before="62" w:line="184" w:lineRule="auto"/>
              <w:rPr>
                <w:sz w:val="19"/>
                <w:szCs w:val="19"/>
              </w:rPr>
            </w:pPr>
            <w:r>
              <w:rPr>
                <w:sz w:val="19"/>
                <w:szCs w:val="19"/>
                <w:spacing w:val="-6"/>
              </w:rPr>
              <w:t>15</w:t>
            </w:r>
          </w:p>
        </w:tc>
        <w:tc>
          <w:tcPr>
            <w:tcW w:w="680" w:type="dxa"/>
            <w:vAlign w:val="top"/>
          </w:tcPr>
          <w:p>
            <w:pPr>
              <w:spacing w:line="286" w:lineRule="auto"/>
              <w:rPr>
                <w:rFonts w:ascii="Arial"/>
                <w:sz w:val="21"/>
              </w:rPr>
            </w:pPr>
            <w:r/>
          </w:p>
          <w:p>
            <w:pPr>
              <w:pStyle w:val="TableText"/>
              <w:ind w:left="284"/>
              <w:spacing w:before="62" w:line="183" w:lineRule="auto"/>
              <w:rPr>
                <w:sz w:val="19"/>
                <w:szCs w:val="19"/>
              </w:rPr>
            </w:pPr>
            <w:r>
              <w:rPr>
                <w:sz w:val="19"/>
                <w:szCs w:val="19"/>
              </w:rPr>
              <w:t>2</w:t>
            </w:r>
          </w:p>
        </w:tc>
        <w:tc>
          <w:tcPr>
            <w:tcW w:w="560" w:type="dxa"/>
            <w:vAlign w:val="top"/>
          </w:tcPr>
          <w:p>
            <w:pPr>
              <w:spacing w:line="286" w:lineRule="auto"/>
              <w:rPr>
                <w:rFonts w:ascii="Arial"/>
                <w:sz w:val="21"/>
              </w:rPr>
            </w:pPr>
            <w:r/>
          </w:p>
          <w:p>
            <w:pPr>
              <w:pStyle w:val="TableText"/>
              <w:ind w:left="84"/>
              <w:spacing w:before="62" w:line="183" w:lineRule="auto"/>
              <w:rPr>
                <w:sz w:val="19"/>
                <w:szCs w:val="19"/>
              </w:rPr>
            </w:pPr>
            <w:r>
              <w:rPr>
                <w:sz w:val="19"/>
                <w:szCs w:val="19"/>
                <w:spacing w:val="-3"/>
              </w:rPr>
              <w:t>72.5</w:t>
            </w:r>
          </w:p>
        </w:tc>
        <w:tc>
          <w:tcPr>
            <w:tcW w:w="570" w:type="dxa"/>
            <w:vAlign w:val="top"/>
          </w:tcPr>
          <w:p>
            <w:pPr>
              <w:spacing w:line="285" w:lineRule="auto"/>
              <w:rPr>
                <w:rFonts w:ascii="Arial"/>
                <w:sz w:val="21"/>
              </w:rPr>
            </w:pPr>
            <w:r/>
          </w:p>
          <w:p>
            <w:pPr>
              <w:pStyle w:val="TableText"/>
              <w:ind w:left="134"/>
              <w:spacing w:before="62" w:line="184" w:lineRule="auto"/>
              <w:rPr>
                <w:sz w:val="19"/>
                <w:szCs w:val="19"/>
              </w:rPr>
            </w:pPr>
            <w:r>
              <w:rPr>
                <w:sz w:val="19"/>
                <w:szCs w:val="19"/>
                <w:spacing w:val="-5"/>
              </w:rPr>
              <w:t>116</w:t>
            </w:r>
          </w:p>
        </w:tc>
        <w:tc>
          <w:tcPr>
            <w:tcW w:w="560" w:type="dxa"/>
            <w:vAlign w:val="top"/>
          </w:tcPr>
          <w:p>
            <w:pPr>
              <w:spacing w:line="285" w:lineRule="auto"/>
              <w:rPr>
                <w:rFonts w:ascii="Arial"/>
                <w:sz w:val="21"/>
              </w:rPr>
            </w:pPr>
            <w:r/>
          </w:p>
          <w:p>
            <w:pPr>
              <w:pStyle w:val="TableText"/>
              <w:ind w:left="174"/>
              <w:spacing w:before="62" w:line="184" w:lineRule="auto"/>
              <w:rPr>
                <w:sz w:val="19"/>
                <w:szCs w:val="19"/>
              </w:rPr>
            </w:pPr>
            <w:r>
              <w:rPr>
                <w:sz w:val="19"/>
                <w:szCs w:val="19"/>
                <w:spacing w:val="-6"/>
              </w:rPr>
              <w:t>15</w:t>
            </w:r>
          </w:p>
        </w:tc>
        <w:tc>
          <w:tcPr>
            <w:tcW w:w="719" w:type="dxa"/>
            <w:vAlign w:val="top"/>
          </w:tcPr>
          <w:p>
            <w:pPr>
              <w:spacing w:line="285" w:lineRule="auto"/>
              <w:rPr>
                <w:rFonts w:ascii="Arial"/>
                <w:sz w:val="21"/>
              </w:rPr>
            </w:pPr>
            <w:r/>
          </w:p>
          <w:p>
            <w:pPr>
              <w:pStyle w:val="TableText"/>
              <w:ind w:left="164"/>
              <w:spacing w:before="62" w:line="184" w:lineRule="auto"/>
              <w:rPr>
                <w:sz w:val="19"/>
                <w:szCs w:val="19"/>
              </w:rPr>
            </w:pPr>
            <w:r>
              <w:rPr>
                <w:sz w:val="19"/>
                <w:szCs w:val="19"/>
                <w:spacing w:val="-3"/>
              </w:rPr>
              <w:t>51.7</w:t>
            </w:r>
          </w:p>
        </w:tc>
        <w:tc>
          <w:tcPr>
            <w:tcW w:w="560" w:type="dxa"/>
            <w:vAlign w:val="top"/>
          </w:tcPr>
          <w:p>
            <w:pPr>
              <w:spacing w:line="286" w:lineRule="auto"/>
              <w:rPr>
                <w:rFonts w:ascii="Arial"/>
                <w:sz w:val="21"/>
              </w:rPr>
            </w:pPr>
            <w:r/>
          </w:p>
          <w:p>
            <w:pPr>
              <w:pStyle w:val="TableText"/>
              <w:ind w:left="85"/>
              <w:spacing w:before="62" w:line="183" w:lineRule="auto"/>
              <w:rPr>
                <w:sz w:val="19"/>
                <w:szCs w:val="19"/>
              </w:rPr>
            </w:pPr>
            <w:r>
              <w:rPr>
                <w:sz w:val="19"/>
                <w:szCs w:val="19"/>
                <w:spacing w:val="-2"/>
              </w:rPr>
              <w:t>44.3</w:t>
            </w:r>
          </w:p>
        </w:tc>
        <w:tc>
          <w:tcPr>
            <w:tcW w:w="599" w:type="dxa"/>
            <w:vAlign w:val="top"/>
          </w:tcPr>
          <w:p>
            <w:pPr>
              <w:spacing w:line="286" w:lineRule="auto"/>
              <w:rPr>
                <w:rFonts w:ascii="Arial"/>
                <w:sz w:val="21"/>
              </w:rPr>
            </w:pPr>
            <w:r/>
          </w:p>
          <w:p>
            <w:pPr>
              <w:pStyle w:val="TableText"/>
              <w:ind w:left="105"/>
              <w:spacing w:before="62" w:line="183" w:lineRule="auto"/>
              <w:rPr>
                <w:sz w:val="19"/>
                <w:szCs w:val="19"/>
              </w:rPr>
            </w:pPr>
            <w:r>
              <w:rPr>
                <w:sz w:val="19"/>
                <w:szCs w:val="19"/>
                <w:spacing w:val="-2"/>
              </w:rPr>
              <w:t>40.2</w:t>
            </w:r>
          </w:p>
        </w:tc>
        <w:tc>
          <w:tcPr>
            <w:tcW w:w="560" w:type="dxa"/>
            <w:vAlign w:val="top"/>
          </w:tcPr>
          <w:p>
            <w:pPr>
              <w:spacing w:line="286" w:lineRule="auto"/>
              <w:rPr>
                <w:rFonts w:ascii="Arial"/>
                <w:sz w:val="21"/>
              </w:rPr>
            </w:pPr>
            <w:r/>
          </w:p>
          <w:p>
            <w:pPr>
              <w:pStyle w:val="TableText"/>
              <w:ind w:left="86"/>
              <w:spacing w:before="62" w:line="183" w:lineRule="auto"/>
              <w:rPr>
                <w:sz w:val="19"/>
                <w:szCs w:val="19"/>
              </w:rPr>
            </w:pPr>
            <w:r>
              <w:rPr>
                <w:sz w:val="19"/>
                <w:szCs w:val="19"/>
                <w:spacing w:val="-2"/>
              </w:rPr>
              <w:t>60.0</w:t>
            </w:r>
          </w:p>
        </w:tc>
        <w:tc>
          <w:tcPr>
            <w:tcW w:w="589" w:type="dxa"/>
            <w:vAlign w:val="top"/>
          </w:tcPr>
          <w:p>
            <w:pPr>
              <w:spacing w:line="286" w:lineRule="auto"/>
              <w:rPr>
                <w:rFonts w:ascii="Arial"/>
                <w:sz w:val="21"/>
              </w:rPr>
            </w:pPr>
            <w:r/>
          </w:p>
          <w:p>
            <w:pPr>
              <w:pStyle w:val="TableText"/>
              <w:ind w:left="96"/>
              <w:spacing w:before="62" w:line="183" w:lineRule="auto"/>
              <w:rPr>
                <w:sz w:val="19"/>
                <w:szCs w:val="19"/>
              </w:rPr>
            </w:pPr>
            <w:r>
              <w:rPr>
                <w:sz w:val="19"/>
                <w:szCs w:val="19"/>
                <w:spacing w:val="-2"/>
              </w:rPr>
              <w:t>47.2</w:t>
            </w:r>
          </w:p>
        </w:tc>
        <w:tc>
          <w:tcPr>
            <w:tcW w:w="690" w:type="dxa"/>
            <w:vAlign w:val="top"/>
            <w:vMerge w:val="continue"/>
            <w:tcBorders>
              <w:top w:val="nil"/>
              <w:bottom w:val="nil"/>
            </w:tcBorders>
          </w:tcPr>
          <w:p>
            <w:pPr>
              <w:rPr>
                <w:rFonts w:ascii="Arial"/>
                <w:sz w:val="21"/>
              </w:rPr>
            </w:pPr>
            <w:r/>
          </w:p>
        </w:tc>
        <w:tc>
          <w:tcPr>
            <w:tcW w:w="680" w:type="dxa"/>
            <w:vAlign w:val="top"/>
            <w:vMerge w:val="continue"/>
            <w:tcBorders>
              <w:top w:val="nil"/>
              <w:bottom w:val="nil"/>
            </w:tcBorders>
          </w:tcPr>
          <w:p>
            <w:pPr>
              <w:rPr>
                <w:rFonts w:ascii="Arial"/>
                <w:sz w:val="21"/>
              </w:rPr>
            </w:pPr>
            <w:r/>
          </w:p>
        </w:tc>
        <w:tc>
          <w:tcPr>
            <w:tcW w:w="709" w:type="dxa"/>
            <w:vAlign w:val="top"/>
          </w:tcPr>
          <w:p>
            <w:pPr>
              <w:spacing w:line="286" w:lineRule="auto"/>
              <w:rPr>
                <w:rFonts w:ascii="Arial"/>
                <w:sz w:val="21"/>
              </w:rPr>
            </w:pPr>
            <w:r/>
          </w:p>
          <w:p>
            <w:pPr>
              <w:pStyle w:val="TableText"/>
              <w:ind w:left="257"/>
              <w:spacing w:before="62" w:line="183" w:lineRule="auto"/>
              <w:rPr>
                <w:sz w:val="19"/>
                <w:szCs w:val="19"/>
              </w:rPr>
            </w:pPr>
            <w:r>
              <w:rPr>
                <w:sz w:val="19"/>
                <w:szCs w:val="19"/>
                <w:spacing w:val="-2"/>
              </w:rPr>
              <w:t>24.3</w:t>
            </w:r>
          </w:p>
        </w:tc>
        <w:tc>
          <w:tcPr>
            <w:tcW w:w="709" w:type="dxa"/>
            <w:vAlign w:val="top"/>
          </w:tcPr>
          <w:p>
            <w:pPr>
              <w:spacing w:line="286" w:lineRule="auto"/>
              <w:rPr>
                <w:rFonts w:ascii="Arial"/>
                <w:sz w:val="21"/>
              </w:rPr>
            </w:pPr>
            <w:r/>
          </w:p>
          <w:p>
            <w:pPr>
              <w:pStyle w:val="TableText"/>
              <w:ind w:left="278"/>
              <w:spacing w:before="62" w:line="183" w:lineRule="auto"/>
              <w:rPr>
                <w:sz w:val="19"/>
                <w:szCs w:val="19"/>
              </w:rPr>
            </w:pPr>
            <w:r>
              <w:rPr>
                <w:sz w:val="19"/>
                <w:szCs w:val="19"/>
                <w:spacing w:val="-2"/>
              </w:rPr>
              <w:t>20.2</w:t>
            </w:r>
          </w:p>
        </w:tc>
        <w:tc>
          <w:tcPr>
            <w:tcW w:w="690" w:type="dxa"/>
            <w:vAlign w:val="top"/>
          </w:tcPr>
          <w:p>
            <w:pPr>
              <w:spacing w:line="286" w:lineRule="auto"/>
              <w:rPr>
                <w:rFonts w:ascii="Arial"/>
                <w:sz w:val="21"/>
              </w:rPr>
            </w:pPr>
            <w:r/>
          </w:p>
          <w:p>
            <w:pPr>
              <w:pStyle w:val="TableText"/>
              <w:ind w:left="259"/>
              <w:spacing w:before="62" w:line="183" w:lineRule="auto"/>
              <w:rPr>
                <w:sz w:val="19"/>
                <w:szCs w:val="19"/>
              </w:rPr>
            </w:pPr>
            <w:r>
              <w:rPr>
                <w:sz w:val="19"/>
                <w:szCs w:val="19"/>
                <w:spacing w:val="-2"/>
              </w:rPr>
              <w:t>40.0</w:t>
            </w:r>
          </w:p>
        </w:tc>
        <w:tc>
          <w:tcPr>
            <w:tcW w:w="560" w:type="dxa"/>
            <w:vAlign w:val="top"/>
          </w:tcPr>
          <w:p>
            <w:pPr>
              <w:spacing w:line="286" w:lineRule="auto"/>
              <w:rPr>
                <w:rFonts w:ascii="Arial"/>
                <w:sz w:val="21"/>
              </w:rPr>
            </w:pPr>
            <w:r/>
          </w:p>
          <w:p>
            <w:pPr>
              <w:pStyle w:val="TableText"/>
              <w:ind w:left="149"/>
              <w:spacing w:before="62" w:line="183" w:lineRule="auto"/>
              <w:rPr>
                <w:sz w:val="19"/>
                <w:szCs w:val="19"/>
              </w:rPr>
            </w:pPr>
            <w:r>
              <w:rPr>
                <w:sz w:val="19"/>
                <w:szCs w:val="19"/>
                <w:spacing w:val="-2"/>
              </w:rPr>
              <w:t>27.2</w:t>
            </w:r>
          </w:p>
        </w:tc>
        <w:tc>
          <w:tcPr>
            <w:tcW w:w="714" w:type="dxa"/>
            <w:vAlign w:val="top"/>
            <w:vMerge w:val="continue"/>
            <w:tcBorders>
              <w:top w:val="nil"/>
              <w:bottom w:val="nil"/>
            </w:tcBorders>
          </w:tcPr>
          <w:p>
            <w:pPr>
              <w:rPr>
                <w:rFonts w:ascii="Arial"/>
                <w:sz w:val="21"/>
              </w:rPr>
            </w:pPr>
            <w:r/>
          </w:p>
        </w:tc>
      </w:tr>
      <w:tr>
        <w:trPr>
          <w:trHeight w:val="769" w:hRule="atLeast"/>
        </w:trPr>
        <w:tc>
          <w:tcPr>
            <w:tcW w:w="465" w:type="dxa"/>
            <w:vAlign w:val="top"/>
          </w:tcPr>
          <w:p>
            <w:pPr>
              <w:spacing w:line="277" w:lineRule="auto"/>
              <w:rPr>
                <w:rFonts w:ascii="Arial"/>
                <w:sz w:val="21"/>
              </w:rPr>
            </w:pPr>
            <w:r/>
          </w:p>
          <w:p>
            <w:pPr>
              <w:pStyle w:val="TableText"/>
              <w:ind w:left="175"/>
              <w:spacing w:before="62" w:line="183" w:lineRule="auto"/>
              <w:rPr>
                <w:sz w:val="19"/>
                <w:szCs w:val="19"/>
              </w:rPr>
            </w:pPr>
            <w:r>
              <w:rPr>
                <w:sz w:val="19"/>
                <w:szCs w:val="19"/>
              </w:rPr>
              <w:t>3</w:t>
            </w:r>
          </w:p>
        </w:tc>
        <w:tc>
          <w:tcPr>
            <w:tcW w:w="659" w:type="dxa"/>
            <w:vAlign w:val="top"/>
            <w:vMerge w:val="continue"/>
            <w:tcBorders>
              <w:top w:val="nil"/>
              <w:bottom w:val="nil"/>
            </w:tcBorders>
          </w:tcPr>
          <w:p>
            <w:pPr>
              <w:rPr>
                <w:rFonts w:ascii="Arial"/>
                <w:sz w:val="21"/>
              </w:rPr>
            </w:pPr>
            <w:r/>
          </w:p>
        </w:tc>
        <w:tc>
          <w:tcPr>
            <w:tcW w:w="759" w:type="dxa"/>
            <w:vAlign w:val="top"/>
          </w:tcPr>
          <w:p>
            <w:pPr>
              <w:pStyle w:val="TableText"/>
              <w:ind w:left="181"/>
              <w:spacing w:before="32" w:line="268" w:lineRule="exact"/>
              <w:rPr>
                <w:sz w:val="19"/>
                <w:szCs w:val="19"/>
              </w:rPr>
            </w:pPr>
            <w:r>
              <w:rPr>
                <w:sz w:val="19"/>
                <w:szCs w:val="19"/>
                <w:spacing w:val="4"/>
                <w:position w:val="5"/>
              </w:rPr>
              <w:t>阳极</w:t>
            </w:r>
          </w:p>
          <w:p>
            <w:pPr>
              <w:pStyle w:val="TableText"/>
              <w:ind w:left="181"/>
              <w:spacing w:line="218" w:lineRule="auto"/>
              <w:rPr>
                <w:sz w:val="19"/>
                <w:szCs w:val="19"/>
              </w:rPr>
            </w:pPr>
            <w:r>
              <w:rPr>
                <w:sz w:val="19"/>
                <w:szCs w:val="19"/>
                <w:spacing w:val="-3"/>
              </w:rPr>
              <w:t>涂布</w:t>
            </w:r>
          </w:p>
          <w:p>
            <w:pPr>
              <w:pStyle w:val="TableText"/>
              <w:ind w:left="181"/>
              <w:spacing w:before="44" w:line="184" w:lineRule="auto"/>
              <w:rPr>
                <w:sz w:val="19"/>
                <w:szCs w:val="19"/>
              </w:rPr>
            </w:pPr>
            <w:r>
              <w:rPr>
                <w:sz w:val="19"/>
                <w:szCs w:val="19"/>
                <w:spacing w:val="-2"/>
              </w:rPr>
              <w:t>机/8</w:t>
            </w:r>
          </w:p>
        </w:tc>
        <w:tc>
          <w:tcPr>
            <w:tcW w:w="809" w:type="dxa"/>
            <w:vAlign w:val="top"/>
          </w:tcPr>
          <w:p>
            <w:pPr>
              <w:spacing w:line="277" w:lineRule="auto"/>
              <w:rPr>
                <w:rFonts w:ascii="Arial"/>
                <w:sz w:val="21"/>
              </w:rPr>
            </w:pPr>
            <w:r/>
          </w:p>
          <w:p>
            <w:pPr>
              <w:pStyle w:val="TableText"/>
              <w:ind w:left="302"/>
              <w:spacing w:before="62" w:line="183" w:lineRule="auto"/>
              <w:rPr>
                <w:sz w:val="19"/>
                <w:szCs w:val="19"/>
              </w:rPr>
            </w:pPr>
            <w:r>
              <w:rPr>
                <w:sz w:val="19"/>
                <w:szCs w:val="19"/>
                <w:spacing w:val="-3"/>
              </w:rPr>
              <w:t>79</w:t>
            </w:r>
          </w:p>
        </w:tc>
        <w:tc>
          <w:tcPr>
            <w:tcW w:w="640" w:type="dxa"/>
            <w:vAlign w:val="top"/>
            <w:vMerge w:val="continue"/>
            <w:tcBorders>
              <w:top w:val="nil"/>
              <w:bottom w:val="nil"/>
            </w:tcBorders>
          </w:tcPr>
          <w:p>
            <w:pPr>
              <w:rPr>
                <w:rFonts w:ascii="Arial"/>
                <w:sz w:val="21"/>
              </w:rPr>
            </w:pPr>
            <w:r/>
          </w:p>
        </w:tc>
        <w:tc>
          <w:tcPr>
            <w:tcW w:w="739" w:type="dxa"/>
            <w:vAlign w:val="top"/>
          </w:tcPr>
          <w:p>
            <w:pPr>
              <w:spacing w:line="277" w:lineRule="auto"/>
              <w:rPr>
                <w:rFonts w:ascii="Arial"/>
                <w:sz w:val="21"/>
              </w:rPr>
            </w:pPr>
            <w:r/>
          </w:p>
          <w:p>
            <w:pPr>
              <w:pStyle w:val="TableText"/>
              <w:ind w:left="263"/>
              <w:spacing w:before="62" w:line="183" w:lineRule="auto"/>
              <w:rPr>
                <w:sz w:val="19"/>
                <w:szCs w:val="19"/>
              </w:rPr>
            </w:pPr>
            <w:r>
              <w:rPr>
                <w:sz w:val="19"/>
                <w:szCs w:val="19"/>
                <w:spacing w:val="-3"/>
              </w:rPr>
              <w:t>88</w:t>
            </w:r>
          </w:p>
        </w:tc>
        <w:tc>
          <w:tcPr>
            <w:tcW w:w="570" w:type="dxa"/>
            <w:vAlign w:val="top"/>
          </w:tcPr>
          <w:p>
            <w:pPr>
              <w:spacing w:line="277" w:lineRule="auto"/>
              <w:rPr>
                <w:rFonts w:ascii="Arial"/>
                <w:sz w:val="21"/>
              </w:rPr>
            </w:pPr>
            <w:r/>
          </w:p>
          <w:p>
            <w:pPr>
              <w:pStyle w:val="TableText"/>
              <w:ind w:left="184"/>
              <w:spacing w:before="62" w:line="183" w:lineRule="auto"/>
              <w:rPr>
                <w:sz w:val="19"/>
                <w:szCs w:val="19"/>
              </w:rPr>
            </w:pPr>
            <w:r>
              <w:rPr>
                <w:sz w:val="19"/>
                <w:szCs w:val="19"/>
                <w:spacing w:val="-2"/>
              </w:rPr>
              <w:t>44</w:t>
            </w:r>
          </w:p>
        </w:tc>
        <w:tc>
          <w:tcPr>
            <w:tcW w:w="680" w:type="dxa"/>
            <w:vAlign w:val="top"/>
          </w:tcPr>
          <w:p>
            <w:pPr>
              <w:spacing w:line="277" w:lineRule="auto"/>
              <w:rPr>
                <w:rFonts w:ascii="Arial"/>
                <w:sz w:val="21"/>
              </w:rPr>
            </w:pPr>
            <w:r/>
          </w:p>
          <w:p>
            <w:pPr>
              <w:pStyle w:val="TableText"/>
              <w:ind w:left="284"/>
              <w:spacing w:before="62" w:line="183" w:lineRule="auto"/>
              <w:rPr>
                <w:sz w:val="19"/>
                <w:szCs w:val="19"/>
              </w:rPr>
            </w:pPr>
            <w:r>
              <w:rPr>
                <w:sz w:val="19"/>
                <w:szCs w:val="19"/>
              </w:rPr>
              <w:t>2</w:t>
            </w:r>
          </w:p>
        </w:tc>
        <w:tc>
          <w:tcPr>
            <w:tcW w:w="560" w:type="dxa"/>
            <w:vAlign w:val="top"/>
          </w:tcPr>
          <w:p>
            <w:pPr>
              <w:spacing w:line="277" w:lineRule="auto"/>
              <w:rPr>
                <w:rFonts w:ascii="Arial"/>
                <w:sz w:val="21"/>
              </w:rPr>
            </w:pPr>
            <w:r/>
          </w:p>
          <w:p>
            <w:pPr>
              <w:pStyle w:val="TableText"/>
              <w:ind w:left="174"/>
              <w:spacing w:before="62" w:line="183" w:lineRule="auto"/>
              <w:rPr>
                <w:sz w:val="19"/>
                <w:szCs w:val="19"/>
              </w:rPr>
            </w:pPr>
            <w:r>
              <w:rPr>
                <w:sz w:val="19"/>
                <w:szCs w:val="19"/>
                <w:spacing w:val="-2"/>
              </w:rPr>
              <w:t>43</w:t>
            </w:r>
          </w:p>
        </w:tc>
        <w:tc>
          <w:tcPr>
            <w:tcW w:w="570" w:type="dxa"/>
            <w:vAlign w:val="top"/>
          </w:tcPr>
          <w:p>
            <w:pPr>
              <w:spacing w:line="277" w:lineRule="auto"/>
              <w:rPr>
                <w:rFonts w:ascii="Arial"/>
                <w:sz w:val="21"/>
              </w:rPr>
            </w:pPr>
            <w:r/>
          </w:p>
          <w:p>
            <w:pPr>
              <w:pStyle w:val="TableText"/>
              <w:ind w:left="84"/>
              <w:spacing w:before="62" w:line="183" w:lineRule="auto"/>
              <w:rPr>
                <w:sz w:val="19"/>
                <w:szCs w:val="19"/>
              </w:rPr>
            </w:pPr>
            <w:r>
              <w:rPr>
                <w:sz w:val="19"/>
                <w:szCs w:val="19"/>
                <w:spacing w:val="-2"/>
              </w:rPr>
              <w:t>85.7</w:t>
            </w:r>
          </w:p>
        </w:tc>
        <w:tc>
          <w:tcPr>
            <w:tcW w:w="560" w:type="dxa"/>
            <w:vAlign w:val="top"/>
          </w:tcPr>
          <w:p>
            <w:pPr>
              <w:spacing w:line="277" w:lineRule="auto"/>
              <w:rPr>
                <w:rFonts w:ascii="Arial"/>
                <w:sz w:val="21"/>
              </w:rPr>
            </w:pPr>
            <w:r/>
          </w:p>
          <w:p>
            <w:pPr>
              <w:pStyle w:val="TableText"/>
              <w:ind w:left="84"/>
              <w:spacing w:before="62" w:line="183" w:lineRule="auto"/>
              <w:rPr>
                <w:sz w:val="19"/>
                <w:szCs w:val="19"/>
              </w:rPr>
            </w:pPr>
            <w:r>
              <w:rPr>
                <w:sz w:val="19"/>
                <w:szCs w:val="19"/>
                <w:spacing w:val="-2"/>
              </w:rPr>
              <w:t>44.5</w:t>
            </w:r>
          </w:p>
        </w:tc>
        <w:tc>
          <w:tcPr>
            <w:tcW w:w="719" w:type="dxa"/>
            <w:vAlign w:val="top"/>
          </w:tcPr>
          <w:p>
            <w:pPr>
              <w:spacing w:line="277" w:lineRule="auto"/>
              <w:rPr>
                <w:rFonts w:ascii="Arial"/>
                <w:sz w:val="21"/>
              </w:rPr>
            </w:pPr>
            <w:r/>
          </w:p>
          <w:p>
            <w:pPr>
              <w:pStyle w:val="TableText"/>
              <w:ind w:left="254"/>
              <w:spacing w:before="62" w:line="183" w:lineRule="auto"/>
              <w:rPr>
                <w:sz w:val="19"/>
                <w:szCs w:val="19"/>
              </w:rPr>
            </w:pPr>
            <w:r>
              <w:rPr>
                <w:sz w:val="19"/>
                <w:szCs w:val="19"/>
                <w:spacing w:val="-3"/>
              </w:rPr>
              <w:t>82</w:t>
            </w:r>
          </w:p>
        </w:tc>
        <w:tc>
          <w:tcPr>
            <w:tcW w:w="560" w:type="dxa"/>
            <w:vAlign w:val="top"/>
          </w:tcPr>
          <w:p>
            <w:pPr>
              <w:spacing w:line="277" w:lineRule="auto"/>
              <w:rPr>
                <w:rFonts w:ascii="Arial"/>
                <w:sz w:val="21"/>
              </w:rPr>
            </w:pPr>
            <w:r/>
          </w:p>
          <w:p>
            <w:pPr>
              <w:pStyle w:val="TableText"/>
              <w:ind w:left="85"/>
              <w:spacing w:before="62" w:line="183" w:lineRule="auto"/>
              <w:rPr>
                <w:sz w:val="19"/>
                <w:szCs w:val="19"/>
              </w:rPr>
            </w:pPr>
            <w:r>
              <w:rPr>
                <w:sz w:val="19"/>
                <w:szCs w:val="19"/>
                <w:spacing w:val="-2"/>
              </w:rPr>
              <w:t>46.3</w:t>
            </w:r>
          </w:p>
        </w:tc>
        <w:tc>
          <w:tcPr>
            <w:tcW w:w="599" w:type="dxa"/>
            <w:vAlign w:val="top"/>
          </w:tcPr>
          <w:p>
            <w:pPr>
              <w:spacing w:line="277" w:lineRule="auto"/>
              <w:rPr>
                <w:rFonts w:ascii="Arial"/>
                <w:sz w:val="21"/>
              </w:rPr>
            </w:pPr>
            <w:r/>
          </w:p>
          <w:p>
            <w:pPr>
              <w:pStyle w:val="TableText"/>
              <w:ind w:left="105"/>
              <w:spacing w:before="62" w:line="183" w:lineRule="auto"/>
              <w:rPr>
                <w:sz w:val="19"/>
                <w:szCs w:val="19"/>
              </w:rPr>
            </w:pPr>
            <w:r>
              <w:rPr>
                <w:sz w:val="19"/>
                <w:szCs w:val="19"/>
                <w:spacing w:val="-2"/>
              </w:rPr>
              <w:t>40.3</w:t>
            </w:r>
          </w:p>
        </w:tc>
        <w:tc>
          <w:tcPr>
            <w:tcW w:w="560" w:type="dxa"/>
            <w:vAlign w:val="top"/>
          </w:tcPr>
          <w:p>
            <w:pPr>
              <w:spacing w:line="277" w:lineRule="auto"/>
              <w:rPr>
                <w:rFonts w:ascii="Arial"/>
                <w:sz w:val="21"/>
              </w:rPr>
            </w:pPr>
            <w:r/>
          </w:p>
          <w:p>
            <w:pPr>
              <w:pStyle w:val="TableText"/>
              <w:ind w:left="86"/>
              <w:spacing w:before="62" w:line="183" w:lineRule="auto"/>
              <w:rPr>
                <w:sz w:val="19"/>
                <w:szCs w:val="19"/>
              </w:rPr>
            </w:pPr>
            <w:r>
              <w:rPr>
                <w:sz w:val="19"/>
                <w:szCs w:val="19"/>
                <w:spacing w:val="-2"/>
              </w:rPr>
              <w:t>46.0</w:t>
            </w:r>
          </w:p>
        </w:tc>
        <w:tc>
          <w:tcPr>
            <w:tcW w:w="589" w:type="dxa"/>
            <w:vAlign w:val="top"/>
          </w:tcPr>
          <w:p>
            <w:pPr>
              <w:spacing w:line="277" w:lineRule="auto"/>
              <w:rPr>
                <w:rFonts w:ascii="Arial"/>
                <w:sz w:val="21"/>
              </w:rPr>
            </w:pPr>
            <w:r/>
          </w:p>
          <w:p>
            <w:pPr>
              <w:pStyle w:val="TableText"/>
              <w:ind w:left="96"/>
              <w:spacing w:before="62" w:line="183" w:lineRule="auto"/>
              <w:rPr>
                <w:sz w:val="19"/>
                <w:szCs w:val="19"/>
              </w:rPr>
            </w:pPr>
            <w:r>
              <w:rPr>
                <w:sz w:val="19"/>
                <w:szCs w:val="19"/>
                <w:spacing w:val="-2"/>
              </w:rPr>
              <w:t>40.7</w:t>
            </w:r>
          </w:p>
        </w:tc>
        <w:tc>
          <w:tcPr>
            <w:tcW w:w="690" w:type="dxa"/>
            <w:vAlign w:val="top"/>
            <w:vMerge w:val="continue"/>
            <w:tcBorders>
              <w:top w:val="nil"/>
              <w:bottom w:val="nil"/>
            </w:tcBorders>
          </w:tcPr>
          <w:p>
            <w:pPr>
              <w:rPr>
                <w:rFonts w:ascii="Arial"/>
                <w:sz w:val="21"/>
              </w:rPr>
            </w:pPr>
            <w:r/>
          </w:p>
        </w:tc>
        <w:tc>
          <w:tcPr>
            <w:tcW w:w="680" w:type="dxa"/>
            <w:vAlign w:val="top"/>
            <w:vMerge w:val="continue"/>
            <w:tcBorders>
              <w:top w:val="nil"/>
              <w:bottom w:val="nil"/>
            </w:tcBorders>
          </w:tcPr>
          <w:p>
            <w:pPr>
              <w:rPr>
                <w:rFonts w:ascii="Arial"/>
                <w:sz w:val="21"/>
              </w:rPr>
            </w:pPr>
            <w:r/>
          </w:p>
        </w:tc>
        <w:tc>
          <w:tcPr>
            <w:tcW w:w="709" w:type="dxa"/>
            <w:vAlign w:val="top"/>
          </w:tcPr>
          <w:p>
            <w:pPr>
              <w:spacing w:line="277" w:lineRule="auto"/>
              <w:rPr>
                <w:rFonts w:ascii="Arial"/>
                <w:sz w:val="21"/>
              </w:rPr>
            </w:pPr>
            <w:r/>
          </w:p>
          <w:p>
            <w:pPr>
              <w:pStyle w:val="TableText"/>
              <w:ind w:left="157"/>
              <w:spacing w:before="62" w:line="183" w:lineRule="auto"/>
              <w:rPr>
                <w:sz w:val="19"/>
                <w:szCs w:val="19"/>
              </w:rPr>
            </w:pPr>
            <w:r>
              <w:rPr>
                <w:sz w:val="19"/>
                <w:szCs w:val="19"/>
                <w:spacing w:val="-2"/>
              </w:rPr>
              <w:t>26.3</w:t>
            </w:r>
          </w:p>
        </w:tc>
        <w:tc>
          <w:tcPr>
            <w:tcW w:w="709" w:type="dxa"/>
            <w:vAlign w:val="top"/>
          </w:tcPr>
          <w:p>
            <w:pPr>
              <w:spacing w:line="277" w:lineRule="auto"/>
              <w:rPr>
                <w:rFonts w:ascii="Arial"/>
                <w:sz w:val="21"/>
              </w:rPr>
            </w:pPr>
            <w:r/>
          </w:p>
          <w:p>
            <w:pPr>
              <w:pStyle w:val="TableText"/>
              <w:ind w:left="158"/>
              <w:spacing w:before="62" w:line="183" w:lineRule="auto"/>
              <w:rPr>
                <w:sz w:val="19"/>
                <w:szCs w:val="19"/>
              </w:rPr>
            </w:pPr>
            <w:r>
              <w:rPr>
                <w:sz w:val="19"/>
                <w:szCs w:val="19"/>
                <w:spacing w:val="-2"/>
              </w:rPr>
              <w:t>20.3</w:t>
            </w:r>
          </w:p>
        </w:tc>
        <w:tc>
          <w:tcPr>
            <w:tcW w:w="690" w:type="dxa"/>
            <w:vAlign w:val="top"/>
          </w:tcPr>
          <w:p>
            <w:pPr>
              <w:spacing w:line="277" w:lineRule="auto"/>
              <w:rPr>
                <w:rFonts w:ascii="Arial"/>
                <w:sz w:val="21"/>
              </w:rPr>
            </w:pPr>
            <w:r/>
          </w:p>
          <w:p>
            <w:pPr>
              <w:pStyle w:val="TableText"/>
              <w:ind w:left="149"/>
              <w:spacing w:before="62" w:line="183" w:lineRule="auto"/>
              <w:rPr>
                <w:sz w:val="19"/>
                <w:szCs w:val="19"/>
              </w:rPr>
            </w:pPr>
            <w:r>
              <w:rPr>
                <w:sz w:val="19"/>
                <w:szCs w:val="19"/>
                <w:spacing w:val="-2"/>
              </w:rPr>
              <w:t>26.0</w:t>
            </w:r>
          </w:p>
        </w:tc>
        <w:tc>
          <w:tcPr>
            <w:tcW w:w="560" w:type="dxa"/>
            <w:vAlign w:val="top"/>
          </w:tcPr>
          <w:p>
            <w:pPr>
              <w:spacing w:line="277" w:lineRule="auto"/>
              <w:rPr>
                <w:rFonts w:ascii="Arial"/>
                <w:sz w:val="21"/>
              </w:rPr>
            </w:pPr>
            <w:r/>
          </w:p>
          <w:p>
            <w:pPr>
              <w:pStyle w:val="TableText"/>
              <w:ind w:left="149"/>
              <w:spacing w:before="62" w:line="183" w:lineRule="auto"/>
              <w:rPr>
                <w:sz w:val="19"/>
                <w:szCs w:val="19"/>
              </w:rPr>
            </w:pPr>
            <w:r>
              <w:rPr>
                <w:sz w:val="19"/>
                <w:szCs w:val="19"/>
                <w:spacing w:val="-2"/>
              </w:rPr>
              <w:t>20.7</w:t>
            </w:r>
          </w:p>
        </w:tc>
        <w:tc>
          <w:tcPr>
            <w:tcW w:w="714" w:type="dxa"/>
            <w:vAlign w:val="top"/>
            <w:vMerge w:val="continue"/>
            <w:tcBorders>
              <w:top w:val="nil"/>
              <w:bottom w:val="nil"/>
            </w:tcBorders>
          </w:tcPr>
          <w:p>
            <w:pPr>
              <w:rPr>
                <w:rFonts w:ascii="Arial"/>
                <w:sz w:val="21"/>
              </w:rPr>
            </w:pPr>
            <w:r/>
          </w:p>
        </w:tc>
      </w:tr>
      <w:tr>
        <w:trPr>
          <w:trHeight w:val="789" w:hRule="atLeast"/>
        </w:trPr>
        <w:tc>
          <w:tcPr>
            <w:tcW w:w="465" w:type="dxa"/>
            <w:vAlign w:val="top"/>
          </w:tcPr>
          <w:p>
            <w:pPr>
              <w:spacing w:line="288" w:lineRule="auto"/>
              <w:rPr>
                <w:rFonts w:ascii="Arial"/>
                <w:sz w:val="21"/>
              </w:rPr>
            </w:pPr>
            <w:r/>
          </w:p>
          <w:p>
            <w:pPr>
              <w:pStyle w:val="TableText"/>
              <w:ind w:left="175"/>
              <w:spacing w:before="61" w:line="183" w:lineRule="auto"/>
              <w:rPr>
                <w:sz w:val="19"/>
                <w:szCs w:val="19"/>
              </w:rPr>
            </w:pPr>
            <w:r>
              <w:rPr>
                <w:sz w:val="19"/>
                <w:szCs w:val="19"/>
              </w:rPr>
              <w:t>4</w:t>
            </w:r>
          </w:p>
        </w:tc>
        <w:tc>
          <w:tcPr>
            <w:tcW w:w="659" w:type="dxa"/>
            <w:vAlign w:val="top"/>
            <w:vMerge w:val="continue"/>
            <w:tcBorders>
              <w:top w:val="nil"/>
            </w:tcBorders>
          </w:tcPr>
          <w:p>
            <w:pPr>
              <w:rPr>
                <w:rFonts w:ascii="Arial"/>
                <w:sz w:val="21"/>
              </w:rPr>
            </w:pPr>
            <w:r/>
          </w:p>
        </w:tc>
        <w:tc>
          <w:tcPr>
            <w:tcW w:w="759" w:type="dxa"/>
            <w:vAlign w:val="top"/>
          </w:tcPr>
          <w:p>
            <w:pPr>
              <w:pStyle w:val="TableText"/>
              <w:ind w:left="131" w:right="149" w:firstLine="50"/>
              <w:spacing w:before="53" w:line="235" w:lineRule="auto"/>
              <w:jc w:val="both"/>
              <w:rPr>
                <w:sz w:val="19"/>
                <w:szCs w:val="19"/>
              </w:rPr>
            </w:pPr>
            <w:r>
              <w:rPr>
                <w:sz w:val="19"/>
                <w:szCs w:val="19"/>
                <w:spacing w:val="4"/>
              </w:rPr>
              <w:t>阴极</w:t>
            </w:r>
            <w:r>
              <w:rPr>
                <w:sz w:val="19"/>
                <w:szCs w:val="19"/>
              </w:rPr>
              <w:t xml:space="preserve"> </w:t>
            </w:r>
            <w:r>
              <w:rPr>
                <w:sz w:val="19"/>
                <w:szCs w:val="19"/>
                <w:spacing w:val="20"/>
              </w:rPr>
              <w:t>涂布</w:t>
            </w:r>
            <w:r>
              <w:rPr>
                <w:sz w:val="19"/>
                <w:szCs w:val="19"/>
              </w:rPr>
              <w:t xml:space="preserve"> </w:t>
            </w:r>
            <w:r>
              <w:rPr>
                <w:sz w:val="19"/>
                <w:szCs w:val="19"/>
                <w:spacing w:val="-2"/>
              </w:rPr>
              <w:t>机/14</w:t>
            </w:r>
          </w:p>
        </w:tc>
        <w:tc>
          <w:tcPr>
            <w:tcW w:w="809" w:type="dxa"/>
            <w:vAlign w:val="top"/>
          </w:tcPr>
          <w:p>
            <w:pPr>
              <w:spacing w:line="287" w:lineRule="auto"/>
              <w:rPr>
                <w:rFonts w:ascii="Arial"/>
                <w:sz w:val="21"/>
              </w:rPr>
            </w:pPr>
            <w:r/>
          </w:p>
          <w:p>
            <w:pPr>
              <w:pStyle w:val="TableText"/>
              <w:ind w:left="202"/>
              <w:spacing w:before="61" w:line="184" w:lineRule="auto"/>
              <w:rPr>
                <w:sz w:val="19"/>
                <w:szCs w:val="19"/>
              </w:rPr>
            </w:pPr>
            <w:r>
              <w:rPr>
                <w:sz w:val="19"/>
                <w:szCs w:val="19"/>
                <w:spacing w:val="-2"/>
              </w:rPr>
              <w:t>81.5</w:t>
            </w:r>
          </w:p>
        </w:tc>
        <w:tc>
          <w:tcPr>
            <w:tcW w:w="640" w:type="dxa"/>
            <w:vAlign w:val="top"/>
            <w:vMerge w:val="continue"/>
            <w:tcBorders>
              <w:top w:val="nil"/>
              <w:bottom w:val="nil"/>
            </w:tcBorders>
          </w:tcPr>
          <w:p>
            <w:pPr>
              <w:rPr>
                <w:rFonts w:ascii="Arial"/>
                <w:sz w:val="21"/>
              </w:rPr>
            </w:pPr>
            <w:r/>
          </w:p>
        </w:tc>
        <w:tc>
          <w:tcPr>
            <w:tcW w:w="739" w:type="dxa"/>
            <w:vAlign w:val="top"/>
          </w:tcPr>
          <w:p>
            <w:pPr>
              <w:spacing w:line="288" w:lineRule="auto"/>
              <w:rPr>
                <w:rFonts w:ascii="Arial"/>
                <w:sz w:val="21"/>
              </w:rPr>
            </w:pPr>
            <w:r/>
          </w:p>
          <w:p>
            <w:pPr>
              <w:pStyle w:val="TableText"/>
              <w:ind w:left="263"/>
              <w:spacing w:before="61" w:line="183" w:lineRule="auto"/>
              <w:rPr>
                <w:sz w:val="19"/>
                <w:szCs w:val="19"/>
              </w:rPr>
            </w:pPr>
            <w:r>
              <w:rPr>
                <w:sz w:val="19"/>
                <w:szCs w:val="19"/>
                <w:spacing w:val="-3"/>
              </w:rPr>
              <w:t>88</w:t>
            </w:r>
          </w:p>
        </w:tc>
        <w:tc>
          <w:tcPr>
            <w:tcW w:w="570" w:type="dxa"/>
            <w:vAlign w:val="top"/>
          </w:tcPr>
          <w:p>
            <w:pPr>
              <w:spacing w:line="287" w:lineRule="auto"/>
              <w:rPr>
                <w:rFonts w:ascii="Arial"/>
                <w:sz w:val="21"/>
              </w:rPr>
            </w:pPr>
            <w:r/>
          </w:p>
          <w:p>
            <w:pPr>
              <w:pStyle w:val="TableText"/>
              <w:ind w:left="184"/>
              <w:spacing w:before="61" w:line="184" w:lineRule="auto"/>
              <w:rPr>
                <w:sz w:val="19"/>
                <w:szCs w:val="19"/>
              </w:rPr>
            </w:pPr>
            <w:r>
              <w:rPr>
                <w:sz w:val="19"/>
                <w:szCs w:val="19"/>
                <w:spacing w:val="-6"/>
              </w:rPr>
              <w:t>15</w:t>
            </w:r>
          </w:p>
        </w:tc>
        <w:tc>
          <w:tcPr>
            <w:tcW w:w="680" w:type="dxa"/>
            <w:vAlign w:val="top"/>
          </w:tcPr>
          <w:p>
            <w:pPr>
              <w:spacing w:line="288" w:lineRule="auto"/>
              <w:rPr>
                <w:rFonts w:ascii="Arial"/>
                <w:sz w:val="21"/>
              </w:rPr>
            </w:pPr>
            <w:r/>
          </w:p>
          <w:p>
            <w:pPr>
              <w:pStyle w:val="TableText"/>
              <w:ind w:left="284"/>
              <w:spacing w:before="61" w:line="183" w:lineRule="auto"/>
              <w:rPr>
                <w:sz w:val="19"/>
                <w:szCs w:val="19"/>
              </w:rPr>
            </w:pPr>
            <w:r>
              <w:rPr>
                <w:sz w:val="19"/>
                <w:szCs w:val="19"/>
              </w:rPr>
              <w:t>2</w:t>
            </w:r>
          </w:p>
        </w:tc>
        <w:tc>
          <w:tcPr>
            <w:tcW w:w="560" w:type="dxa"/>
            <w:vAlign w:val="top"/>
          </w:tcPr>
          <w:p>
            <w:pPr>
              <w:spacing w:line="288" w:lineRule="auto"/>
              <w:rPr>
                <w:rFonts w:ascii="Arial"/>
                <w:sz w:val="21"/>
              </w:rPr>
            </w:pPr>
            <w:r/>
          </w:p>
          <w:p>
            <w:pPr>
              <w:pStyle w:val="TableText"/>
              <w:ind w:left="84"/>
              <w:spacing w:before="62" w:line="183" w:lineRule="auto"/>
              <w:rPr>
                <w:sz w:val="19"/>
                <w:szCs w:val="19"/>
              </w:rPr>
            </w:pPr>
            <w:r>
              <w:rPr>
                <w:sz w:val="19"/>
                <w:szCs w:val="19"/>
                <w:spacing w:val="-3"/>
              </w:rPr>
              <w:t>72.5</w:t>
            </w:r>
          </w:p>
        </w:tc>
        <w:tc>
          <w:tcPr>
            <w:tcW w:w="570" w:type="dxa"/>
            <w:vAlign w:val="top"/>
          </w:tcPr>
          <w:p>
            <w:pPr>
              <w:spacing w:line="288" w:lineRule="auto"/>
              <w:rPr>
                <w:rFonts w:ascii="Arial"/>
                <w:sz w:val="21"/>
              </w:rPr>
            </w:pPr>
            <w:r/>
          </w:p>
          <w:p>
            <w:pPr>
              <w:pStyle w:val="TableText"/>
              <w:ind w:left="84"/>
              <w:spacing w:before="62" w:line="183" w:lineRule="auto"/>
              <w:rPr>
                <w:sz w:val="19"/>
                <w:szCs w:val="19"/>
              </w:rPr>
            </w:pPr>
            <w:r>
              <w:rPr>
                <w:sz w:val="19"/>
                <w:szCs w:val="19"/>
                <w:spacing w:val="-2"/>
              </w:rPr>
              <w:t>85.7</w:t>
            </w:r>
          </w:p>
        </w:tc>
        <w:tc>
          <w:tcPr>
            <w:tcW w:w="560" w:type="dxa"/>
            <w:vAlign w:val="top"/>
          </w:tcPr>
          <w:p>
            <w:pPr>
              <w:spacing w:line="287" w:lineRule="auto"/>
              <w:rPr>
                <w:rFonts w:ascii="Arial"/>
                <w:sz w:val="21"/>
              </w:rPr>
            </w:pPr>
            <w:r/>
          </w:p>
          <w:p>
            <w:pPr>
              <w:pStyle w:val="TableText"/>
              <w:ind w:left="174"/>
              <w:spacing w:before="61" w:line="184" w:lineRule="auto"/>
              <w:rPr>
                <w:sz w:val="19"/>
                <w:szCs w:val="19"/>
              </w:rPr>
            </w:pPr>
            <w:r>
              <w:rPr>
                <w:sz w:val="19"/>
                <w:szCs w:val="19"/>
                <w:spacing w:val="-6"/>
              </w:rPr>
              <w:t>15</w:t>
            </w:r>
          </w:p>
        </w:tc>
        <w:tc>
          <w:tcPr>
            <w:tcW w:w="719" w:type="dxa"/>
            <w:vAlign w:val="top"/>
          </w:tcPr>
          <w:p>
            <w:pPr>
              <w:spacing w:line="288" w:lineRule="auto"/>
              <w:rPr>
                <w:rFonts w:ascii="Arial"/>
                <w:sz w:val="21"/>
              </w:rPr>
            </w:pPr>
            <w:r/>
          </w:p>
          <w:p>
            <w:pPr>
              <w:pStyle w:val="TableText"/>
              <w:ind w:left="254"/>
              <w:spacing w:before="61" w:line="183" w:lineRule="auto"/>
              <w:rPr>
                <w:sz w:val="19"/>
                <w:szCs w:val="19"/>
              </w:rPr>
            </w:pPr>
            <w:r>
              <w:rPr>
                <w:sz w:val="19"/>
                <w:szCs w:val="19"/>
                <w:spacing w:val="-3"/>
              </w:rPr>
              <w:t>82</w:t>
            </w:r>
          </w:p>
        </w:tc>
        <w:tc>
          <w:tcPr>
            <w:tcW w:w="560" w:type="dxa"/>
            <w:vAlign w:val="top"/>
          </w:tcPr>
          <w:p>
            <w:pPr>
              <w:spacing w:line="288" w:lineRule="auto"/>
              <w:rPr>
                <w:rFonts w:ascii="Arial"/>
                <w:sz w:val="21"/>
              </w:rPr>
            </w:pPr>
            <w:r/>
          </w:p>
          <w:p>
            <w:pPr>
              <w:pStyle w:val="TableText"/>
              <w:ind w:left="85"/>
              <w:spacing w:before="62" w:line="183" w:lineRule="auto"/>
              <w:rPr>
                <w:sz w:val="19"/>
                <w:szCs w:val="19"/>
              </w:rPr>
            </w:pPr>
            <w:r>
              <w:rPr>
                <w:sz w:val="19"/>
                <w:szCs w:val="19"/>
                <w:spacing w:val="-2"/>
              </w:rPr>
              <w:t>44.3</w:t>
            </w:r>
          </w:p>
        </w:tc>
        <w:tc>
          <w:tcPr>
            <w:tcW w:w="599" w:type="dxa"/>
            <w:vAlign w:val="top"/>
          </w:tcPr>
          <w:p>
            <w:pPr>
              <w:spacing w:line="288" w:lineRule="auto"/>
              <w:rPr>
                <w:rFonts w:ascii="Arial"/>
                <w:sz w:val="21"/>
              </w:rPr>
            </w:pPr>
            <w:r/>
          </w:p>
          <w:p>
            <w:pPr>
              <w:pStyle w:val="TableText"/>
              <w:ind w:left="105"/>
              <w:spacing w:before="62" w:line="183" w:lineRule="auto"/>
              <w:rPr>
                <w:sz w:val="19"/>
                <w:szCs w:val="19"/>
              </w:rPr>
            </w:pPr>
            <w:r>
              <w:rPr>
                <w:sz w:val="19"/>
                <w:szCs w:val="19"/>
                <w:spacing w:val="-2"/>
              </w:rPr>
              <w:t>42.8</w:t>
            </w:r>
          </w:p>
        </w:tc>
        <w:tc>
          <w:tcPr>
            <w:tcW w:w="560" w:type="dxa"/>
            <w:vAlign w:val="top"/>
          </w:tcPr>
          <w:p>
            <w:pPr>
              <w:spacing w:line="288" w:lineRule="auto"/>
              <w:rPr>
                <w:rFonts w:ascii="Arial"/>
                <w:sz w:val="21"/>
              </w:rPr>
            </w:pPr>
            <w:r/>
          </w:p>
          <w:p>
            <w:pPr>
              <w:pStyle w:val="TableText"/>
              <w:ind w:left="86"/>
              <w:spacing w:before="62" w:line="183" w:lineRule="auto"/>
              <w:rPr>
                <w:sz w:val="19"/>
                <w:szCs w:val="19"/>
              </w:rPr>
            </w:pPr>
            <w:r>
              <w:rPr>
                <w:sz w:val="19"/>
                <w:szCs w:val="19"/>
                <w:spacing w:val="-2"/>
              </w:rPr>
              <w:t>60.0</w:t>
            </w:r>
          </w:p>
        </w:tc>
        <w:tc>
          <w:tcPr>
            <w:tcW w:w="589" w:type="dxa"/>
            <w:vAlign w:val="top"/>
          </w:tcPr>
          <w:p>
            <w:pPr>
              <w:spacing w:line="288" w:lineRule="auto"/>
              <w:rPr>
                <w:rFonts w:ascii="Arial"/>
                <w:sz w:val="21"/>
              </w:rPr>
            </w:pPr>
            <w:r/>
          </w:p>
          <w:p>
            <w:pPr>
              <w:pStyle w:val="TableText"/>
              <w:ind w:left="96"/>
              <w:spacing w:before="62" w:line="183" w:lineRule="auto"/>
              <w:rPr>
                <w:sz w:val="19"/>
                <w:szCs w:val="19"/>
              </w:rPr>
            </w:pPr>
            <w:r>
              <w:rPr>
                <w:sz w:val="19"/>
                <w:szCs w:val="19"/>
                <w:spacing w:val="-2"/>
              </w:rPr>
              <w:t>43.2</w:t>
            </w:r>
          </w:p>
        </w:tc>
        <w:tc>
          <w:tcPr>
            <w:tcW w:w="690" w:type="dxa"/>
            <w:vAlign w:val="top"/>
            <w:vMerge w:val="continue"/>
            <w:tcBorders>
              <w:top w:val="nil"/>
              <w:bottom w:val="nil"/>
            </w:tcBorders>
          </w:tcPr>
          <w:p>
            <w:pPr>
              <w:rPr>
                <w:rFonts w:ascii="Arial"/>
                <w:sz w:val="21"/>
              </w:rPr>
            </w:pPr>
            <w:r/>
          </w:p>
        </w:tc>
        <w:tc>
          <w:tcPr>
            <w:tcW w:w="680" w:type="dxa"/>
            <w:vAlign w:val="top"/>
            <w:vMerge w:val="continue"/>
            <w:tcBorders>
              <w:top w:val="nil"/>
              <w:bottom w:val="nil"/>
            </w:tcBorders>
          </w:tcPr>
          <w:p>
            <w:pPr>
              <w:rPr>
                <w:rFonts w:ascii="Arial"/>
                <w:sz w:val="21"/>
              </w:rPr>
            </w:pPr>
            <w:r/>
          </w:p>
        </w:tc>
        <w:tc>
          <w:tcPr>
            <w:tcW w:w="709" w:type="dxa"/>
            <w:vAlign w:val="top"/>
          </w:tcPr>
          <w:p>
            <w:pPr>
              <w:spacing w:line="288" w:lineRule="auto"/>
              <w:rPr>
                <w:rFonts w:ascii="Arial"/>
                <w:sz w:val="21"/>
              </w:rPr>
            </w:pPr>
            <w:r/>
          </w:p>
          <w:p>
            <w:pPr>
              <w:pStyle w:val="TableText"/>
              <w:ind w:left="157"/>
              <w:spacing w:before="62" w:line="183" w:lineRule="auto"/>
              <w:rPr>
                <w:sz w:val="19"/>
                <w:szCs w:val="19"/>
              </w:rPr>
            </w:pPr>
            <w:r>
              <w:rPr>
                <w:sz w:val="19"/>
                <w:szCs w:val="19"/>
                <w:spacing w:val="-2"/>
              </w:rPr>
              <w:t>24.3</w:t>
            </w:r>
          </w:p>
        </w:tc>
        <w:tc>
          <w:tcPr>
            <w:tcW w:w="709" w:type="dxa"/>
            <w:vAlign w:val="top"/>
          </w:tcPr>
          <w:p>
            <w:pPr>
              <w:spacing w:line="288" w:lineRule="auto"/>
              <w:rPr>
                <w:rFonts w:ascii="Arial"/>
                <w:sz w:val="21"/>
              </w:rPr>
            </w:pPr>
            <w:r/>
          </w:p>
          <w:p>
            <w:pPr>
              <w:pStyle w:val="TableText"/>
              <w:ind w:left="158"/>
              <w:spacing w:before="62" w:line="183" w:lineRule="auto"/>
              <w:rPr>
                <w:sz w:val="19"/>
                <w:szCs w:val="19"/>
              </w:rPr>
            </w:pPr>
            <w:r>
              <w:rPr>
                <w:sz w:val="19"/>
                <w:szCs w:val="19"/>
                <w:spacing w:val="-2"/>
              </w:rPr>
              <w:t>22.8</w:t>
            </w:r>
          </w:p>
        </w:tc>
        <w:tc>
          <w:tcPr>
            <w:tcW w:w="690" w:type="dxa"/>
            <w:vAlign w:val="top"/>
          </w:tcPr>
          <w:p>
            <w:pPr>
              <w:spacing w:line="288" w:lineRule="auto"/>
              <w:rPr>
                <w:rFonts w:ascii="Arial"/>
                <w:sz w:val="21"/>
              </w:rPr>
            </w:pPr>
            <w:r/>
          </w:p>
          <w:p>
            <w:pPr>
              <w:pStyle w:val="TableText"/>
              <w:ind w:left="149"/>
              <w:spacing w:before="62" w:line="183" w:lineRule="auto"/>
              <w:rPr>
                <w:sz w:val="19"/>
                <w:szCs w:val="19"/>
              </w:rPr>
            </w:pPr>
            <w:r>
              <w:rPr>
                <w:sz w:val="19"/>
                <w:szCs w:val="19"/>
                <w:spacing w:val="-2"/>
              </w:rPr>
              <w:t>40.0</w:t>
            </w:r>
          </w:p>
        </w:tc>
        <w:tc>
          <w:tcPr>
            <w:tcW w:w="560" w:type="dxa"/>
            <w:vAlign w:val="top"/>
          </w:tcPr>
          <w:p>
            <w:pPr>
              <w:spacing w:line="288" w:lineRule="auto"/>
              <w:rPr>
                <w:rFonts w:ascii="Arial"/>
                <w:sz w:val="21"/>
              </w:rPr>
            </w:pPr>
            <w:r/>
          </w:p>
          <w:p>
            <w:pPr>
              <w:pStyle w:val="TableText"/>
              <w:ind w:left="149"/>
              <w:spacing w:before="62" w:line="183" w:lineRule="auto"/>
              <w:rPr>
                <w:sz w:val="19"/>
                <w:szCs w:val="19"/>
              </w:rPr>
            </w:pPr>
            <w:r>
              <w:rPr>
                <w:sz w:val="19"/>
                <w:szCs w:val="19"/>
                <w:spacing w:val="-2"/>
              </w:rPr>
              <w:t>23.2</w:t>
            </w:r>
          </w:p>
        </w:tc>
        <w:tc>
          <w:tcPr>
            <w:tcW w:w="714" w:type="dxa"/>
            <w:vAlign w:val="top"/>
            <w:vMerge w:val="continue"/>
            <w:tcBorders>
              <w:top w:val="nil"/>
              <w:bottom w:val="nil"/>
            </w:tcBorders>
          </w:tcPr>
          <w:p>
            <w:pPr>
              <w:rPr>
                <w:rFonts w:ascii="Arial"/>
                <w:sz w:val="21"/>
              </w:rPr>
            </w:pPr>
            <w:r/>
          </w:p>
        </w:tc>
      </w:tr>
      <w:tr>
        <w:trPr>
          <w:trHeight w:val="289" w:hRule="atLeast"/>
        </w:trPr>
        <w:tc>
          <w:tcPr>
            <w:tcW w:w="465" w:type="dxa"/>
            <w:vAlign w:val="top"/>
          </w:tcPr>
          <w:p>
            <w:pPr>
              <w:pStyle w:val="TableText"/>
              <w:ind w:left="175"/>
              <w:spacing w:before="104" w:line="170" w:lineRule="auto"/>
              <w:rPr>
                <w:sz w:val="19"/>
                <w:szCs w:val="19"/>
              </w:rPr>
            </w:pPr>
            <w:r>
              <w:rPr>
                <w:sz w:val="19"/>
                <w:szCs w:val="19"/>
              </w:rPr>
              <w:t>5</w:t>
            </w:r>
          </w:p>
        </w:tc>
        <w:tc>
          <w:tcPr>
            <w:tcW w:w="659" w:type="dxa"/>
            <w:vAlign w:val="top"/>
            <w:vMerge w:val="restart"/>
            <w:tcBorders>
              <w:bottom w:val="nil"/>
            </w:tcBorders>
          </w:tcPr>
          <w:p>
            <w:pPr>
              <w:spacing w:line="244" w:lineRule="auto"/>
              <w:rPr>
                <w:rFonts w:ascii="Arial"/>
                <w:sz w:val="21"/>
              </w:rPr>
            </w:pPr>
            <w:r/>
          </w:p>
          <w:p>
            <w:pPr>
              <w:spacing w:line="245" w:lineRule="auto"/>
              <w:rPr>
                <w:rFonts w:ascii="Arial"/>
                <w:sz w:val="21"/>
              </w:rPr>
            </w:pPr>
            <w:r/>
          </w:p>
          <w:p>
            <w:pPr>
              <w:pStyle w:val="TableText"/>
              <w:ind w:left="130"/>
              <w:spacing w:before="62" w:line="261" w:lineRule="exact"/>
              <w:rPr>
                <w:sz w:val="19"/>
                <w:szCs w:val="19"/>
              </w:rPr>
            </w:pPr>
            <w:r>
              <w:rPr>
                <w:sz w:val="19"/>
                <w:szCs w:val="19"/>
                <w:spacing w:val="3"/>
                <w:position w:val="5"/>
              </w:rPr>
              <w:t>凹版</w:t>
            </w:r>
          </w:p>
          <w:p>
            <w:pPr>
              <w:pStyle w:val="TableText"/>
              <w:ind w:left="130"/>
              <w:spacing w:line="220" w:lineRule="auto"/>
              <w:rPr>
                <w:sz w:val="19"/>
                <w:szCs w:val="19"/>
              </w:rPr>
            </w:pPr>
            <w:r>
              <w:rPr>
                <w:sz w:val="19"/>
                <w:szCs w:val="19"/>
                <w:spacing w:val="-3"/>
              </w:rPr>
              <w:t>设施</w:t>
            </w:r>
          </w:p>
          <w:p>
            <w:pPr>
              <w:pStyle w:val="TableText"/>
              <w:ind w:left="220"/>
              <w:spacing w:before="52" w:line="220" w:lineRule="auto"/>
              <w:rPr>
                <w:sz w:val="19"/>
                <w:szCs w:val="19"/>
              </w:rPr>
            </w:pPr>
            <w:r>
              <w:rPr>
                <w:sz w:val="19"/>
                <w:szCs w:val="19"/>
              </w:rPr>
              <w:t>房</w:t>
            </w:r>
          </w:p>
        </w:tc>
        <w:tc>
          <w:tcPr>
            <w:tcW w:w="759" w:type="dxa"/>
            <w:vAlign w:val="top"/>
          </w:tcPr>
          <w:p>
            <w:pPr>
              <w:pStyle w:val="TableText"/>
              <w:ind w:left="81"/>
              <w:spacing w:before="54" w:line="218" w:lineRule="auto"/>
              <w:rPr>
                <w:sz w:val="19"/>
                <w:szCs w:val="19"/>
              </w:rPr>
            </w:pPr>
            <w:r>
              <w:rPr>
                <w:sz w:val="19"/>
                <w:szCs w:val="19"/>
                <w:spacing w:val="-2"/>
              </w:rPr>
              <w:t>锅炉/4</w:t>
            </w:r>
          </w:p>
        </w:tc>
        <w:tc>
          <w:tcPr>
            <w:tcW w:w="809" w:type="dxa"/>
            <w:vAlign w:val="top"/>
          </w:tcPr>
          <w:p>
            <w:pPr>
              <w:pStyle w:val="TableText"/>
              <w:ind w:left="302"/>
              <w:spacing w:before="101" w:line="172" w:lineRule="auto"/>
              <w:rPr>
                <w:sz w:val="19"/>
                <w:szCs w:val="19"/>
              </w:rPr>
            </w:pPr>
            <w:r>
              <w:rPr>
                <w:sz w:val="19"/>
                <w:szCs w:val="19"/>
                <w:spacing w:val="-3"/>
              </w:rPr>
              <w:t>91</w:t>
            </w:r>
          </w:p>
        </w:tc>
        <w:tc>
          <w:tcPr>
            <w:tcW w:w="640" w:type="dxa"/>
            <w:vAlign w:val="top"/>
            <w:vMerge w:val="continue"/>
            <w:tcBorders>
              <w:top w:val="nil"/>
              <w:bottom w:val="nil"/>
            </w:tcBorders>
          </w:tcPr>
          <w:p>
            <w:pPr>
              <w:rPr>
                <w:rFonts w:ascii="Arial"/>
                <w:sz w:val="21"/>
              </w:rPr>
            </w:pPr>
            <w:r/>
          </w:p>
        </w:tc>
        <w:tc>
          <w:tcPr>
            <w:tcW w:w="739" w:type="dxa"/>
            <w:vAlign w:val="top"/>
          </w:tcPr>
          <w:p>
            <w:pPr>
              <w:pStyle w:val="TableText"/>
              <w:ind w:left="213"/>
              <w:spacing w:before="101" w:line="172" w:lineRule="auto"/>
              <w:rPr>
                <w:sz w:val="19"/>
                <w:szCs w:val="19"/>
              </w:rPr>
            </w:pPr>
            <w:r>
              <w:rPr>
                <w:sz w:val="19"/>
                <w:szCs w:val="19"/>
                <w:spacing w:val="-5"/>
              </w:rPr>
              <w:t>115</w:t>
            </w:r>
          </w:p>
        </w:tc>
        <w:tc>
          <w:tcPr>
            <w:tcW w:w="570" w:type="dxa"/>
            <w:vAlign w:val="top"/>
          </w:tcPr>
          <w:p>
            <w:pPr>
              <w:pStyle w:val="TableText"/>
              <w:ind w:left="184"/>
              <w:spacing w:before="104" w:line="170" w:lineRule="auto"/>
              <w:rPr>
                <w:sz w:val="19"/>
                <w:szCs w:val="19"/>
              </w:rPr>
            </w:pPr>
            <w:r>
              <w:rPr>
                <w:sz w:val="19"/>
                <w:szCs w:val="19"/>
                <w:spacing w:val="-3"/>
              </w:rPr>
              <w:t>75</w:t>
            </w:r>
          </w:p>
        </w:tc>
        <w:tc>
          <w:tcPr>
            <w:tcW w:w="680" w:type="dxa"/>
            <w:vAlign w:val="top"/>
          </w:tcPr>
          <w:p>
            <w:pPr>
              <w:pStyle w:val="TableText"/>
              <w:ind w:left="284"/>
              <w:spacing w:before="103" w:line="171" w:lineRule="auto"/>
              <w:rPr>
                <w:sz w:val="19"/>
                <w:szCs w:val="19"/>
              </w:rPr>
            </w:pPr>
            <w:r>
              <w:rPr>
                <w:sz w:val="19"/>
                <w:szCs w:val="19"/>
              </w:rPr>
              <w:t>2</w:t>
            </w:r>
          </w:p>
        </w:tc>
        <w:tc>
          <w:tcPr>
            <w:tcW w:w="560" w:type="dxa"/>
            <w:vAlign w:val="top"/>
          </w:tcPr>
          <w:p>
            <w:pPr>
              <w:pStyle w:val="TableText"/>
              <w:ind w:left="174"/>
              <w:spacing w:before="101" w:line="172" w:lineRule="auto"/>
              <w:rPr>
                <w:sz w:val="19"/>
                <w:szCs w:val="19"/>
              </w:rPr>
            </w:pPr>
            <w:r>
              <w:rPr>
                <w:sz w:val="19"/>
                <w:szCs w:val="19"/>
                <w:spacing w:val="-6"/>
              </w:rPr>
              <w:t>12</w:t>
            </w:r>
          </w:p>
        </w:tc>
        <w:tc>
          <w:tcPr>
            <w:tcW w:w="570" w:type="dxa"/>
            <w:vAlign w:val="top"/>
          </w:tcPr>
          <w:p>
            <w:pPr>
              <w:pStyle w:val="TableText"/>
              <w:ind w:left="84"/>
              <w:spacing w:before="101" w:line="172" w:lineRule="auto"/>
              <w:rPr>
                <w:sz w:val="19"/>
                <w:szCs w:val="19"/>
              </w:rPr>
            </w:pPr>
            <w:r>
              <w:rPr>
                <w:sz w:val="19"/>
                <w:szCs w:val="19"/>
                <w:spacing w:val="-3"/>
              </w:rPr>
              <w:t>71.1</w:t>
            </w:r>
          </w:p>
        </w:tc>
        <w:tc>
          <w:tcPr>
            <w:tcW w:w="560" w:type="dxa"/>
            <w:vAlign w:val="top"/>
          </w:tcPr>
          <w:p>
            <w:pPr>
              <w:pStyle w:val="TableText"/>
              <w:ind w:left="84"/>
              <w:spacing w:before="104" w:line="170" w:lineRule="auto"/>
              <w:rPr>
                <w:sz w:val="19"/>
                <w:szCs w:val="19"/>
              </w:rPr>
            </w:pPr>
            <w:r>
              <w:rPr>
                <w:sz w:val="19"/>
                <w:szCs w:val="19"/>
                <w:spacing w:val="-3"/>
              </w:rPr>
              <w:t>75.5</w:t>
            </w:r>
          </w:p>
        </w:tc>
        <w:tc>
          <w:tcPr>
            <w:tcW w:w="719" w:type="dxa"/>
            <w:vAlign w:val="top"/>
          </w:tcPr>
          <w:p>
            <w:pPr>
              <w:pStyle w:val="TableText"/>
              <w:ind w:left="254"/>
              <w:spacing w:before="101" w:line="172" w:lineRule="auto"/>
              <w:rPr>
                <w:sz w:val="19"/>
                <w:szCs w:val="19"/>
              </w:rPr>
            </w:pPr>
            <w:r>
              <w:rPr>
                <w:sz w:val="19"/>
                <w:szCs w:val="19"/>
                <w:spacing w:val="-6"/>
              </w:rPr>
              <w:t>19</w:t>
            </w:r>
          </w:p>
        </w:tc>
        <w:tc>
          <w:tcPr>
            <w:tcW w:w="560" w:type="dxa"/>
            <w:vAlign w:val="top"/>
          </w:tcPr>
          <w:p>
            <w:pPr>
              <w:pStyle w:val="TableText"/>
              <w:ind w:left="85"/>
              <w:spacing w:before="103" w:line="171" w:lineRule="auto"/>
              <w:rPr>
                <w:sz w:val="19"/>
                <w:szCs w:val="19"/>
              </w:rPr>
            </w:pPr>
            <w:r>
              <w:rPr>
                <w:sz w:val="19"/>
                <w:szCs w:val="19"/>
                <w:spacing w:val="-2"/>
              </w:rPr>
              <w:t>69.4</w:t>
            </w:r>
          </w:p>
        </w:tc>
        <w:tc>
          <w:tcPr>
            <w:tcW w:w="599" w:type="dxa"/>
            <w:vAlign w:val="top"/>
          </w:tcPr>
          <w:p>
            <w:pPr>
              <w:pStyle w:val="TableText"/>
              <w:ind w:left="105"/>
              <w:spacing w:before="103" w:line="171" w:lineRule="auto"/>
              <w:rPr>
                <w:sz w:val="19"/>
                <w:szCs w:val="19"/>
              </w:rPr>
            </w:pPr>
            <w:r>
              <w:rPr>
                <w:sz w:val="19"/>
                <w:szCs w:val="19"/>
                <w:spacing w:val="-3"/>
              </w:rPr>
              <w:t>54.0</w:t>
            </w:r>
          </w:p>
        </w:tc>
        <w:tc>
          <w:tcPr>
            <w:tcW w:w="560" w:type="dxa"/>
            <w:vAlign w:val="top"/>
          </w:tcPr>
          <w:p>
            <w:pPr>
              <w:pStyle w:val="TableText"/>
              <w:ind w:left="86"/>
              <w:spacing w:before="103" w:line="171" w:lineRule="auto"/>
              <w:rPr>
                <w:sz w:val="19"/>
                <w:szCs w:val="19"/>
              </w:rPr>
            </w:pPr>
            <w:r>
              <w:rPr>
                <w:sz w:val="19"/>
                <w:szCs w:val="19"/>
                <w:spacing w:val="-3"/>
              </w:rPr>
              <w:t>53.0</w:t>
            </w:r>
          </w:p>
        </w:tc>
        <w:tc>
          <w:tcPr>
            <w:tcW w:w="589" w:type="dxa"/>
            <w:vAlign w:val="top"/>
          </w:tcPr>
          <w:p>
            <w:pPr>
              <w:pStyle w:val="TableText"/>
              <w:ind w:left="96"/>
              <w:spacing w:before="103" w:line="171" w:lineRule="auto"/>
              <w:rPr>
                <w:sz w:val="19"/>
                <w:szCs w:val="19"/>
              </w:rPr>
            </w:pPr>
            <w:r>
              <w:rPr>
                <w:sz w:val="19"/>
                <w:szCs w:val="19"/>
                <w:spacing w:val="-2"/>
              </w:rPr>
              <w:t>65.4</w:t>
            </w:r>
          </w:p>
        </w:tc>
        <w:tc>
          <w:tcPr>
            <w:tcW w:w="690" w:type="dxa"/>
            <w:vAlign w:val="top"/>
            <w:vMerge w:val="continue"/>
            <w:tcBorders>
              <w:top w:val="nil"/>
              <w:bottom w:val="nil"/>
            </w:tcBorders>
          </w:tcPr>
          <w:p>
            <w:pPr>
              <w:rPr>
                <w:rFonts w:ascii="Arial"/>
                <w:sz w:val="21"/>
              </w:rPr>
            </w:pPr>
            <w:r/>
          </w:p>
        </w:tc>
        <w:tc>
          <w:tcPr>
            <w:tcW w:w="680" w:type="dxa"/>
            <w:vAlign w:val="top"/>
            <w:vMerge w:val="continue"/>
            <w:tcBorders>
              <w:top w:val="nil"/>
              <w:bottom w:val="nil"/>
            </w:tcBorders>
          </w:tcPr>
          <w:p>
            <w:pPr>
              <w:rPr>
                <w:rFonts w:ascii="Arial"/>
                <w:sz w:val="21"/>
              </w:rPr>
            </w:pPr>
            <w:r/>
          </w:p>
        </w:tc>
        <w:tc>
          <w:tcPr>
            <w:tcW w:w="709" w:type="dxa"/>
            <w:vAlign w:val="top"/>
          </w:tcPr>
          <w:p>
            <w:pPr>
              <w:pStyle w:val="TableText"/>
              <w:ind w:left="157"/>
              <w:spacing w:before="103" w:line="171" w:lineRule="auto"/>
              <w:rPr>
                <w:sz w:val="19"/>
                <w:szCs w:val="19"/>
              </w:rPr>
            </w:pPr>
            <w:r>
              <w:rPr>
                <w:sz w:val="19"/>
                <w:szCs w:val="19"/>
                <w:spacing w:val="-2"/>
              </w:rPr>
              <w:t>49.4</w:t>
            </w:r>
          </w:p>
        </w:tc>
        <w:tc>
          <w:tcPr>
            <w:tcW w:w="709" w:type="dxa"/>
            <w:vAlign w:val="top"/>
          </w:tcPr>
          <w:p>
            <w:pPr>
              <w:pStyle w:val="TableText"/>
              <w:ind w:left="158"/>
              <w:spacing w:before="103" w:line="171" w:lineRule="auto"/>
              <w:rPr>
                <w:sz w:val="19"/>
                <w:szCs w:val="19"/>
              </w:rPr>
            </w:pPr>
            <w:r>
              <w:rPr>
                <w:sz w:val="19"/>
                <w:szCs w:val="19"/>
                <w:spacing w:val="-3"/>
              </w:rPr>
              <w:t>34.0</w:t>
            </w:r>
          </w:p>
        </w:tc>
        <w:tc>
          <w:tcPr>
            <w:tcW w:w="690" w:type="dxa"/>
            <w:vAlign w:val="top"/>
          </w:tcPr>
          <w:p>
            <w:pPr>
              <w:pStyle w:val="TableText"/>
              <w:ind w:left="149"/>
              <w:spacing w:before="103" w:line="171" w:lineRule="auto"/>
              <w:rPr>
                <w:sz w:val="19"/>
                <w:szCs w:val="19"/>
              </w:rPr>
            </w:pPr>
            <w:r>
              <w:rPr>
                <w:sz w:val="19"/>
                <w:szCs w:val="19"/>
                <w:spacing w:val="-3"/>
              </w:rPr>
              <w:t>33.0</w:t>
            </w:r>
          </w:p>
        </w:tc>
        <w:tc>
          <w:tcPr>
            <w:tcW w:w="560" w:type="dxa"/>
            <w:vAlign w:val="top"/>
          </w:tcPr>
          <w:p>
            <w:pPr>
              <w:pStyle w:val="TableText"/>
              <w:ind w:left="149"/>
              <w:spacing w:before="103" w:line="171" w:lineRule="auto"/>
              <w:rPr>
                <w:sz w:val="19"/>
                <w:szCs w:val="19"/>
              </w:rPr>
            </w:pPr>
            <w:r>
              <w:rPr>
                <w:sz w:val="19"/>
                <w:szCs w:val="19"/>
                <w:spacing w:val="-2"/>
              </w:rPr>
              <w:t>45.5</w:t>
            </w:r>
          </w:p>
        </w:tc>
        <w:tc>
          <w:tcPr>
            <w:tcW w:w="714" w:type="dxa"/>
            <w:vAlign w:val="top"/>
            <w:vMerge w:val="continue"/>
            <w:tcBorders>
              <w:top w:val="nil"/>
              <w:bottom w:val="nil"/>
            </w:tcBorders>
          </w:tcPr>
          <w:p>
            <w:pPr>
              <w:rPr>
                <w:rFonts w:ascii="Arial"/>
                <w:sz w:val="21"/>
              </w:rPr>
            </w:pPr>
            <w:r/>
          </w:p>
        </w:tc>
      </w:tr>
      <w:tr>
        <w:trPr>
          <w:trHeight w:val="739" w:hRule="atLeast"/>
        </w:trPr>
        <w:tc>
          <w:tcPr>
            <w:tcW w:w="465" w:type="dxa"/>
            <w:vAlign w:val="top"/>
          </w:tcPr>
          <w:p>
            <w:pPr>
              <w:spacing w:line="270" w:lineRule="auto"/>
              <w:rPr>
                <w:rFonts w:ascii="Arial"/>
                <w:sz w:val="21"/>
              </w:rPr>
            </w:pPr>
            <w:r/>
          </w:p>
          <w:p>
            <w:pPr>
              <w:pStyle w:val="TableText"/>
              <w:ind w:left="175"/>
              <w:spacing w:before="62" w:line="183" w:lineRule="auto"/>
              <w:rPr>
                <w:sz w:val="19"/>
                <w:szCs w:val="19"/>
              </w:rPr>
            </w:pPr>
            <w:r>
              <w:rPr>
                <w:sz w:val="19"/>
                <w:szCs w:val="19"/>
              </w:rPr>
              <w:t>6</w:t>
            </w:r>
          </w:p>
        </w:tc>
        <w:tc>
          <w:tcPr>
            <w:tcW w:w="659" w:type="dxa"/>
            <w:vAlign w:val="top"/>
            <w:vMerge w:val="continue"/>
            <w:tcBorders>
              <w:top w:val="nil"/>
              <w:bottom w:val="nil"/>
            </w:tcBorders>
          </w:tcPr>
          <w:p>
            <w:pPr>
              <w:rPr>
                <w:rFonts w:ascii="Arial"/>
                <w:sz w:val="21"/>
              </w:rPr>
            </w:pPr>
            <w:r/>
          </w:p>
        </w:tc>
        <w:tc>
          <w:tcPr>
            <w:tcW w:w="759" w:type="dxa"/>
            <w:vAlign w:val="top"/>
          </w:tcPr>
          <w:p>
            <w:pPr>
              <w:pStyle w:val="TableText"/>
              <w:ind w:left="181"/>
              <w:spacing w:before="14" w:line="289" w:lineRule="exact"/>
              <w:rPr>
                <w:sz w:val="19"/>
                <w:szCs w:val="19"/>
              </w:rPr>
            </w:pPr>
            <w:r>
              <w:rPr>
                <w:sz w:val="19"/>
                <w:szCs w:val="19"/>
                <w:spacing w:val="-3"/>
                <w:position w:val="7"/>
              </w:rPr>
              <w:t>冷水</w:t>
            </w:r>
          </w:p>
          <w:p>
            <w:pPr>
              <w:pStyle w:val="TableText"/>
              <w:ind w:left="181"/>
              <w:spacing w:line="218" w:lineRule="auto"/>
              <w:rPr>
                <w:sz w:val="19"/>
                <w:szCs w:val="19"/>
              </w:rPr>
            </w:pPr>
            <w:r>
              <w:rPr>
                <w:sz w:val="19"/>
                <w:szCs w:val="19"/>
                <w:spacing w:val="-2"/>
              </w:rPr>
              <w:t>机组</w:t>
            </w:r>
          </w:p>
          <w:p>
            <w:pPr>
              <w:pStyle w:val="TableText"/>
              <w:ind w:left="221"/>
              <w:spacing w:before="1" w:line="193" w:lineRule="auto"/>
              <w:rPr>
                <w:sz w:val="19"/>
                <w:szCs w:val="19"/>
              </w:rPr>
            </w:pPr>
            <w:r>
              <w:rPr>
                <w:sz w:val="19"/>
                <w:szCs w:val="19"/>
                <w:spacing w:val="-2"/>
              </w:rPr>
              <w:t>/15</w:t>
            </w:r>
          </w:p>
        </w:tc>
        <w:tc>
          <w:tcPr>
            <w:tcW w:w="809" w:type="dxa"/>
            <w:vAlign w:val="top"/>
          </w:tcPr>
          <w:p>
            <w:pPr>
              <w:spacing w:line="270" w:lineRule="auto"/>
              <w:rPr>
                <w:rFonts w:ascii="Arial"/>
                <w:sz w:val="21"/>
              </w:rPr>
            </w:pPr>
            <w:r/>
          </w:p>
          <w:p>
            <w:pPr>
              <w:pStyle w:val="TableText"/>
              <w:ind w:left="302"/>
              <w:spacing w:before="62" w:line="183" w:lineRule="auto"/>
              <w:rPr>
                <w:sz w:val="19"/>
                <w:szCs w:val="19"/>
              </w:rPr>
            </w:pPr>
            <w:r>
              <w:rPr>
                <w:sz w:val="19"/>
                <w:szCs w:val="19"/>
                <w:spacing w:val="-3"/>
              </w:rPr>
              <w:t>92</w:t>
            </w:r>
          </w:p>
        </w:tc>
        <w:tc>
          <w:tcPr>
            <w:tcW w:w="640" w:type="dxa"/>
            <w:vAlign w:val="top"/>
            <w:vMerge w:val="continue"/>
            <w:tcBorders>
              <w:top w:val="nil"/>
              <w:bottom w:val="nil"/>
            </w:tcBorders>
          </w:tcPr>
          <w:p>
            <w:pPr>
              <w:rPr>
                <w:rFonts w:ascii="Arial"/>
                <w:sz w:val="21"/>
              </w:rPr>
            </w:pPr>
            <w:r/>
          </w:p>
        </w:tc>
        <w:tc>
          <w:tcPr>
            <w:tcW w:w="739" w:type="dxa"/>
            <w:vAlign w:val="top"/>
          </w:tcPr>
          <w:p>
            <w:pPr>
              <w:spacing w:line="270" w:lineRule="auto"/>
              <w:rPr>
                <w:rFonts w:ascii="Arial"/>
                <w:sz w:val="21"/>
              </w:rPr>
            </w:pPr>
            <w:r/>
          </w:p>
          <w:p>
            <w:pPr>
              <w:pStyle w:val="TableText"/>
              <w:ind w:left="263"/>
              <w:spacing w:before="62" w:line="183" w:lineRule="auto"/>
              <w:rPr>
                <w:sz w:val="19"/>
                <w:szCs w:val="19"/>
              </w:rPr>
            </w:pPr>
            <w:r>
              <w:rPr>
                <w:sz w:val="19"/>
                <w:szCs w:val="19"/>
                <w:spacing w:val="-3"/>
              </w:rPr>
              <w:t>88</w:t>
            </w:r>
          </w:p>
        </w:tc>
        <w:tc>
          <w:tcPr>
            <w:tcW w:w="570" w:type="dxa"/>
            <w:vAlign w:val="top"/>
          </w:tcPr>
          <w:p>
            <w:pPr>
              <w:spacing w:line="271" w:lineRule="auto"/>
              <w:rPr>
                <w:rFonts w:ascii="Arial"/>
                <w:sz w:val="21"/>
              </w:rPr>
            </w:pPr>
            <w:r/>
          </w:p>
          <w:p>
            <w:pPr>
              <w:pStyle w:val="TableText"/>
              <w:ind w:left="184"/>
              <w:spacing w:before="62" w:line="182" w:lineRule="auto"/>
              <w:rPr>
                <w:sz w:val="19"/>
                <w:szCs w:val="19"/>
              </w:rPr>
            </w:pPr>
            <w:r>
              <w:rPr>
                <w:sz w:val="19"/>
                <w:szCs w:val="19"/>
                <w:spacing w:val="-3"/>
              </w:rPr>
              <w:t>75</w:t>
            </w:r>
          </w:p>
        </w:tc>
        <w:tc>
          <w:tcPr>
            <w:tcW w:w="680" w:type="dxa"/>
            <w:vAlign w:val="top"/>
          </w:tcPr>
          <w:p>
            <w:pPr>
              <w:spacing w:line="270" w:lineRule="auto"/>
              <w:rPr>
                <w:rFonts w:ascii="Arial"/>
                <w:sz w:val="21"/>
              </w:rPr>
            </w:pPr>
            <w:r/>
          </w:p>
          <w:p>
            <w:pPr>
              <w:pStyle w:val="TableText"/>
              <w:ind w:left="284"/>
              <w:spacing w:before="62" w:line="183" w:lineRule="auto"/>
              <w:rPr>
                <w:sz w:val="19"/>
                <w:szCs w:val="19"/>
              </w:rPr>
            </w:pPr>
            <w:r>
              <w:rPr>
                <w:sz w:val="19"/>
                <w:szCs w:val="19"/>
              </w:rPr>
              <w:t>2</w:t>
            </w:r>
          </w:p>
        </w:tc>
        <w:tc>
          <w:tcPr>
            <w:tcW w:w="560" w:type="dxa"/>
            <w:vAlign w:val="top"/>
          </w:tcPr>
          <w:p>
            <w:pPr>
              <w:spacing w:line="269" w:lineRule="auto"/>
              <w:rPr>
                <w:rFonts w:ascii="Arial"/>
                <w:sz w:val="21"/>
              </w:rPr>
            </w:pPr>
            <w:r/>
          </w:p>
          <w:p>
            <w:pPr>
              <w:pStyle w:val="TableText"/>
              <w:ind w:left="174"/>
              <w:spacing w:before="62" w:line="184" w:lineRule="auto"/>
              <w:rPr>
                <w:sz w:val="19"/>
                <w:szCs w:val="19"/>
              </w:rPr>
            </w:pPr>
            <w:r>
              <w:rPr>
                <w:sz w:val="19"/>
                <w:szCs w:val="19"/>
                <w:spacing w:val="-6"/>
              </w:rPr>
              <w:t>12</w:t>
            </w:r>
          </w:p>
        </w:tc>
        <w:tc>
          <w:tcPr>
            <w:tcW w:w="570" w:type="dxa"/>
            <w:vAlign w:val="top"/>
          </w:tcPr>
          <w:p>
            <w:pPr>
              <w:spacing w:line="270" w:lineRule="auto"/>
              <w:rPr>
                <w:rFonts w:ascii="Arial"/>
                <w:sz w:val="21"/>
              </w:rPr>
            </w:pPr>
            <w:r/>
          </w:p>
          <w:p>
            <w:pPr>
              <w:pStyle w:val="TableText"/>
              <w:ind w:left="84"/>
              <w:spacing w:before="62" w:line="183" w:lineRule="auto"/>
              <w:rPr>
                <w:sz w:val="19"/>
                <w:szCs w:val="19"/>
              </w:rPr>
            </w:pPr>
            <w:r>
              <w:rPr>
                <w:sz w:val="19"/>
                <w:szCs w:val="19"/>
                <w:spacing w:val="-3"/>
              </w:rPr>
              <w:t>34.6</w:t>
            </w:r>
          </w:p>
        </w:tc>
        <w:tc>
          <w:tcPr>
            <w:tcW w:w="560" w:type="dxa"/>
            <w:vAlign w:val="top"/>
          </w:tcPr>
          <w:p>
            <w:pPr>
              <w:spacing w:line="271" w:lineRule="auto"/>
              <w:rPr>
                <w:rFonts w:ascii="Arial"/>
                <w:sz w:val="21"/>
              </w:rPr>
            </w:pPr>
            <w:r/>
          </w:p>
          <w:p>
            <w:pPr>
              <w:pStyle w:val="TableText"/>
              <w:ind w:left="84"/>
              <w:spacing w:before="62" w:line="182" w:lineRule="auto"/>
              <w:rPr>
                <w:sz w:val="19"/>
                <w:szCs w:val="19"/>
              </w:rPr>
            </w:pPr>
            <w:r>
              <w:rPr>
                <w:sz w:val="19"/>
                <w:szCs w:val="19"/>
                <w:spacing w:val="-3"/>
              </w:rPr>
              <w:t>75.5</w:t>
            </w:r>
          </w:p>
        </w:tc>
        <w:tc>
          <w:tcPr>
            <w:tcW w:w="719" w:type="dxa"/>
            <w:vAlign w:val="top"/>
          </w:tcPr>
          <w:p>
            <w:pPr>
              <w:spacing w:line="270" w:lineRule="auto"/>
              <w:rPr>
                <w:rFonts w:ascii="Arial"/>
                <w:sz w:val="21"/>
              </w:rPr>
            </w:pPr>
            <w:r/>
          </w:p>
          <w:p>
            <w:pPr>
              <w:pStyle w:val="TableText"/>
              <w:ind w:left="254"/>
              <w:spacing w:before="62" w:line="183" w:lineRule="auto"/>
              <w:rPr>
                <w:sz w:val="19"/>
                <w:szCs w:val="19"/>
              </w:rPr>
            </w:pPr>
            <w:r>
              <w:rPr>
                <w:sz w:val="19"/>
                <w:szCs w:val="19"/>
                <w:spacing w:val="-2"/>
              </w:rPr>
              <w:t>47</w:t>
            </w:r>
          </w:p>
        </w:tc>
        <w:tc>
          <w:tcPr>
            <w:tcW w:w="560" w:type="dxa"/>
            <w:vAlign w:val="top"/>
          </w:tcPr>
          <w:p>
            <w:pPr>
              <w:spacing w:line="270" w:lineRule="auto"/>
              <w:rPr>
                <w:rFonts w:ascii="Arial"/>
                <w:sz w:val="21"/>
              </w:rPr>
            </w:pPr>
            <w:r/>
          </w:p>
          <w:p>
            <w:pPr>
              <w:pStyle w:val="TableText"/>
              <w:ind w:left="85"/>
              <w:spacing w:before="62" w:line="183" w:lineRule="auto"/>
              <w:rPr>
                <w:sz w:val="19"/>
                <w:szCs w:val="19"/>
              </w:rPr>
            </w:pPr>
            <w:r>
              <w:rPr>
                <w:sz w:val="19"/>
                <w:szCs w:val="19"/>
                <w:spacing w:val="-3"/>
              </w:rPr>
              <w:t>70.4</w:t>
            </w:r>
          </w:p>
        </w:tc>
        <w:tc>
          <w:tcPr>
            <w:tcW w:w="599" w:type="dxa"/>
            <w:vAlign w:val="top"/>
          </w:tcPr>
          <w:p>
            <w:pPr>
              <w:spacing w:line="269" w:lineRule="auto"/>
              <w:rPr>
                <w:rFonts w:ascii="Arial"/>
                <w:sz w:val="21"/>
              </w:rPr>
            </w:pPr>
            <w:r/>
          </w:p>
          <w:p>
            <w:pPr>
              <w:pStyle w:val="TableText"/>
              <w:ind w:left="105"/>
              <w:spacing w:before="62" w:line="184" w:lineRule="auto"/>
              <w:rPr>
                <w:sz w:val="19"/>
                <w:szCs w:val="19"/>
              </w:rPr>
            </w:pPr>
            <w:r>
              <w:rPr>
                <w:sz w:val="19"/>
                <w:szCs w:val="19"/>
                <w:spacing w:val="-2"/>
              </w:rPr>
              <w:t>61.2</w:t>
            </w:r>
          </w:p>
        </w:tc>
        <w:tc>
          <w:tcPr>
            <w:tcW w:w="560" w:type="dxa"/>
            <w:vAlign w:val="top"/>
          </w:tcPr>
          <w:p>
            <w:pPr>
              <w:spacing w:line="270" w:lineRule="auto"/>
              <w:rPr>
                <w:rFonts w:ascii="Arial"/>
                <w:sz w:val="21"/>
              </w:rPr>
            </w:pPr>
            <w:r/>
          </w:p>
          <w:p>
            <w:pPr>
              <w:pStyle w:val="TableText"/>
              <w:ind w:left="86"/>
              <w:spacing w:before="62" w:line="183" w:lineRule="auto"/>
              <w:rPr>
                <w:sz w:val="19"/>
                <w:szCs w:val="19"/>
              </w:rPr>
            </w:pPr>
            <w:r>
              <w:rPr>
                <w:sz w:val="19"/>
                <w:szCs w:val="19"/>
                <w:spacing w:val="-3"/>
              </w:rPr>
              <w:t>54.0</w:t>
            </w:r>
          </w:p>
        </w:tc>
        <w:tc>
          <w:tcPr>
            <w:tcW w:w="589" w:type="dxa"/>
            <w:vAlign w:val="top"/>
          </w:tcPr>
          <w:p>
            <w:pPr>
              <w:spacing w:line="270" w:lineRule="auto"/>
              <w:rPr>
                <w:rFonts w:ascii="Arial"/>
                <w:sz w:val="21"/>
              </w:rPr>
            </w:pPr>
            <w:r/>
          </w:p>
          <w:p>
            <w:pPr>
              <w:pStyle w:val="TableText"/>
              <w:ind w:left="96"/>
              <w:spacing w:before="62" w:line="183" w:lineRule="auto"/>
              <w:rPr>
                <w:sz w:val="19"/>
                <w:szCs w:val="19"/>
              </w:rPr>
            </w:pPr>
            <w:r>
              <w:rPr>
                <w:sz w:val="19"/>
                <w:szCs w:val="19"/>
                <w:spacing w:val="-3"/>
              </w:rPr>
              <w:t>58.5</w:t>
            </w:r>
          </w:p>
        </w:tc>
        <w:tc>
          <w:tcPr>
            <w:tcW w:w="690" w:type="dxa"/>
            <w:vAlign w:val="top"/>
            <w:vMerge w:val="continue"/>
            <w:tcBorders>
              <w:top w:val="nil"/>
              <w:bottom w:val="nil"/>
            </w:tcBorders>
          </w:tcPr>
          <w:p>
            <w:pPr>
              <w:rPr>
                <w:rFonts w:ascii="Arial"/>
                <w:sz w:val="21"/>
              </w:rPr>
            </w:pPr>
            <w:r/>
          </w:p>
        </w:tc>
        <w:tc>
          <w:tcPr>
            <w:tcW w:w="680" w:type="dxa"/>
            <w:vAlign w:val="top"/>
            <w:vMerge w:val="continue"/>
            <w:tcBorders>
              <w:top w:val="nil"/>
              <w:bottom w:val="nil"/>
            </w:tcBorders>
          </w:tcPr>
          <w:p>
            <w:pPr>
              <w:rPr>
                <w:rFonts w:ascii="Arial"/>
                <w:sz w:val="21"/>
              </w:rPr>
            </w:pPr>
            <w:r/>
          </w:p>
        </w:tc>
        <w:tc>
          <w:tcPr>
            <w:tcW w:w="709" w:type="dxa"/>
            <w:vAlign w:val="top"/>
          </w:tcPr>
          <w:p>
            <w:pPr>
              <w:spacing w:line="270" w:lineRule="auto"/>
              <w:rPr>
                <w:rFonts w:ascii="Arial"/>
                <w:sz w:val="21"/>
              </w:rPr>
            </w:pPr>
            <w:r/>
          </w:p>
          <w:p>
            <w:pPr>
              <w:pStyle w:val="TableText"/>
              <w:ind w:left="157"/>
              <w:spacing w:before="62" w:line="183" w:lineRule="auto"/>
              <w:rPr>
                <w:sz w:val="19"/>
                <w:szCs w:val="19"/>
              </w:rPr>
            </w:pPr>
            <w:r>
              <w:rPr>
                <w:sz w:val="19"/>
                <w:szCs w:val="19"/>
                <w:spacing w:val="-3"/>
              </w:rPr>
              <w:t>50.4</w:t>
            </w:r>
          </w:p>
        </w:tc>
        <w:tc>
          <w:tcPr>
            <w:tcW w:w="709" w:type="dxa"/>
            <w:vAlign w:val="top"/>
          </w:tcPr>
          <w:p>
            <w:pPr>
              <w:spacing w:line="269" w:lineRule="auto"/>
              <w:rPr>
                <w:rFonts w:ascii="Arial"/>
                <w:sz w:val="21"/>
              </w:rPr>
            </w:pPr>
            <w:r/>
          </w:p>
          <w:p>
            <w:pPr>
              <w:pStyle w:val="TableText"/>
              <w:ind w:left="158"/>
              <w:spacing w:before="62" w:line="184" w:lineRule="auto"/>
              <w:rPr>
                <w:sz w:val="19"/>
                <w:szCs w:val="19"/>
              </w:rPr>
            </w:pPr>
            <w:r>
              <w:rPr>
                <w:sz w:val="19"/>
                <w:szCs w:val="19"/>
                <w:spacing w:val="-2"/>
              </w:rPr>
              <w:t>41.2</w:t>
            </w:r>
          </w:p>
        </w:tc>
        <w:tc>
          <w:tcPr>
            <w:tcW w:w="690" w:type="dxa"/>
            <w:vAlign w:val="top"/>
          </w:tcPr>
          <w:p>
            <w:pPr>
              <w:spacing w:line="270" w:lineRule="auto"/>
              <w:rPr>
                <w:rFonts w:ascii="Arial"/>
                <w:sz w:val="21"/>
              </w:rPr>
            </w:pPr>
            <w:r/>
          </w:p>
          <w:p>
            <w:pPr>
              <w:pStyle w:val="TableText"/>
              <w:ind w:left="149"/>
              <w:spacing w:before="62" w:line="183" w:lineRule="auto"/>
              <w:rPr>
                <w:sz w:val="19"/>
                <w:szCs w:val="19"/>
              </w:rPr>
            </w:pPr>
            <w:r>
              <w:rPr>
                <w:sz w:val="19"/>
                <w:szCs w:val="19"/>
                <w:spacing w:val="-3"/>
              </w:rPr>
              <w:t>34.0</w:t>
            </w:r>
          </w:p>
        </w:tc>
        <w:tc>
          <w:tcPr>
            <w:tcW w:w="560" w:type="dxa"/>
            <w:vAlign w:val="top"/>
          </w:tcPr>
          <w:p>
            <w:pPr>
              <w:spacing w:line="270" w:lineRule="auto"/>
              <w:rPr>
                <w:rFonts w:ascii="Arial"/>
                <w:sz w:val="21"/>
              </w:rPr>
            </w:pPr>
            <w:r/>
          </w:p>
          <w:p>
            <w:pPr>
              <w:pStyle w:val="TableText"/>
              <w:ind w:left="149"/>
              <w:spacing w:before="62" w:line="183" w:lineRule="auto"/>
              <w:rPr>
                <w:sz w:val="19"/>
                <w:szCs w:val="19"/>
              </w:rPr>
            </w:pPr>
            <w:r>
              <w:rPr>
                <w:sz w:val="19"/>
                <w:szCs w:val="19"/>
                <w:spacing w:val="-3"/>
              </w:rPr>
              <w:t>38.5</w:t>
            </w:r>
          </w:p>
        </w:tc>
        <w:tc>
          <w:tcPr>
            <w:tcW w:w="714" w:type="dxa"/>
            <w:vAlign w:val="top"/>
            <w:vMerge w:val="continue"/>
            <w:tcBorders>
              <w:top w:val="nil"/>
              <w:bottom w:val="nil"/>
            </w:tcBorders>
          </w:tcPr>
          <w:p>
            <w:pPr>
              <w:rPr>
                <w:rFonts w:ascii="Arial"/>
                <w:sz w:val="21"/>
              </w:rPr>
            </w:pPr>
            <w:r/>
          </w:p>
        </w:tc>
      </w:tr>
      <w:tr>
        <w:trPr>
          <w:trHeight w:val="789" w:hRule="atLeast"/>
        </w:trPr>
        <w:tc>
          <w:tcPr>
            <w:tcW w:w="465" w:type="dxa"/>
            <w:vAlign w:val="top"/>
          </w:tcPr>
          <w:p>
            <w:pPr>
              <w:spacing w:line="292" w:lineRule="auto"/>
              <w:rPr>
                <w:rFonts w:ascii="Arial"/>
                <w:sz w:val="21"/>
              </w:rPr>
            </w:pPr>
            <w:r/>
          </w:p>
          <w:p>
            <w:pPr>
              <w:pStyle w:val="TableText"/>
              <w:ind w:left="175"/>
              <w:spacing w:before="62" w:line="182" w:lineRule="auto"/>
              <w:rPr>
                <w:sz w:val="19"/>
                <w:szCs w:val="19"/>
              </w:rPr>
            </w:pPr>
            <w:r>
              <w:rPr>
                <w:sz w:val="19"/>
                <w:szCs w:val="19"/>
              </w:rPr>
              <w:t>7</w:t>
            </w:r>
          </w:p>
        </w:tc>
        <w:tc>
          <w:tcPr>
            <w:tcW w:w="659" w:type="dxa"/>
            <w:vAlign w:val="top"/>
            <w:vMerge w:val="continue"/>
            <w:tcBorders>
              <w:top w:val="nil"/>
            </w:tcBorders>
          </w:tcPr>
          <w:p>
            <w:pPr>
              <w:rPr>
                <w:rFonts w:ascii="Arial"/>
                <w:sz w:val="21"/>
              </w:rPr>
            </w:pPr>
            <w:r/>
          </w:p>
        </w:tc>
        <w:tc>
          <w:tcPr>
            <w:tcW w:w="759" w:type="dxa"/>
            <w:vAlign w:val="top"/>
          </w:tcPr>
          <w:p>
            <w:pPr>
              <w:pStyle w:val="TableText"/>
              <w:ind w:left="181"/>
              <w:spacing w:before="199" w:line="255" w:lineRule="exact"/>
              <w:rPr>
                <w:sz w:val="19"/>
                <w:szCs w:val="19"/>
              </w:rPr>
            </w:pPr>
            <w:r>
              <w:rPr>
                <w:sz w:val="19"/>
                <w:szCs w:val="19"/>
                <w:spacing w:val="4"/>
                <w:position w:val="4"/>
              </w:rPr>
              <w:t>空压</w:t>
            </w:r>
          </w:p>
          <w:p>
            <w:pPr>
              <w:pStyle w:val="TableText"/>
              <w:ind w:left="181"/>
              <w:spacing w:line="218" w:lineRule="auto"/>
              <w:rPr>
                <w:sz w:val="19"/>
                <w:szCs w:val="19"/>
              </w:rPr>
            </w:pPr>
            <w:r>
              <w:rPr>
                <w:sz w:val="19"/>
                <w:szCs w:val="19"/>
                <w:spacing w:val="-2"/>
              </w:rPr>
              <w:t>机/2</w:t>
            </w:r>
          </w:p>
        </w:tc>
        <w:tc>
          <w:tcPr>
            <w:tcW w:w="809" w:type="dxa"/>
            <w:vAlign w:val="top"/>
          </w:tcPr>
          <w:p>
            <w:pPr>
              <w:spacing w:line="291" w:lineRule="auto"/>
              <w:rPr>
                <w:rFonts w:ascii="Arial"/>
                <w:sz w:val="21"/>
              </w:rPr>
            </w:pPr>
            <w:r/>
          </w:p>
          <w:p>
            <w:pPr>
              <w:pStyle w:val="TableText"/>
              <w:ind w:left="302"/>
              <w:spacing w:before="62" w:line="183" w:lineRule="auto"/>
              <w:rPr>
                <w:sz w:val="19"/>
                <w:szCs w:val="19"/>
              </w:rPr>
            </w:pPr>
            <w:r>
              <w:rPr>
                <w:sz w:val="19"/>
                <w:szCs w:val="19"/>
                <w:spacing w:val="-3"/>
              </w:rPr>
              <w:t>88</w:t>
            </w:r>
          </w:p>
        </w:tc>
        <w:tc>
          <w:tcPr>
            <w:tcW w:w="640" w:type="dxa"/>
            <w:vAlign w:val="top"/>
            <w:vMerge w:val="continue"/>
            <w:tcBorders>
              <w:top w:val="nil"/>
            </w:tcBorders>
          </w:tcPr>
          <w:p>
            <w:pPr>
              <w:rPr>
                <w:rFonts w:ascii="Arial"/>
                <w:sz w:val="21"/>
              </w:rPr>
            </w:pPr>
            <w:r/>
          </w:p>
        </w:tc>
        <w:tc>
          <w:tcPr>
            <w:tcW w:w="739" w:type="dxa"/>
            <w:vAlign w:val="top"/>
          </w:tcPr>
          <w:p>
            <w:pPr>
              <w:spacing w:line="290" w:lineRule="auto"/>
              <w:rPr>
                <w:rFonts w:ascii="Arial"/>
                <w:sz w:val="21"/>
              </w:rPr>
            </w:pPr>
            <w:r/>
          </w:p>
          <w:p>
            <w:pPr>
              <w:pStyle w:val="TableText"/>
              <w:ind w:left="213"/>
              <w:spacing w:before="62" w:line="184" w:lineRule="auto"/>
              <w:rPr>
                <w:sz w:val="19"/>
                <w:szCs w:val="19"/>
              </w:rPr>
            </w:pPr>
            <w:r>
              <w:rPr>
                <w:sz w:val="19"/>
                <w:szCs w:val="19"/>
                <w:spacing w:val="-5"/>
              </w:rPr>
              <w:t>124</w:t>
            </w:r>
          </w:p>
        </w:tc>
        <w:tc>
          <w:tcPr>
            <w:tcW w:w="570" w:type="dxa"/>
            <w:vAlign w:val="top"/>
          </w:tcPr>
          <w:p>
            <w:pPr>
              <w:spacing w:line="292" w:lineRule="auto"/>
              <w:rPr>
                <w:rFonts w:ascii="Arial"/>
                <w:sz w:val="21"/>
              </w:rPr>
            </w:pPr>
            <w:r/>
          </w:p>
          <w:p>
            <w:pPr>
              <w:pStyle w:val="TableText"/>
              <w:ind w:left="184"/>
              <w:spacing w:before="62" w:line="182" w:lineRule="auto"/>
              <w:rPr>
                <w:sz w:val="19"/>
                <w:szCs w:val="19"/>
              </w:rPr>
            </w:pPr>
            <w:r>
              <w:rPr>
                <w:sz w:val="19"/>
                <w:szCs w:val="19"/>
                <w:spacing w:val="-3"/>
              </w:rPr>
              <w:t>75</w:t>
            </w:r>
          </w:p>
        </w:tc>
        <w:tc>
          <w:tcPr>
            <w:tcW w:w="680" w:type="dxa"/>
            <w:vAlign w:val="top"/>
          </w:tcPr>
          <w:p>
            <w:pPr>
              <w:spacing w:line="290" w:lineRule="auto"/>
              <w:rPr>
                <w:rFonts w:ascii="Arial"/>
                <w:sz w:val="21"/>
              </w:rPr>
            </w:pPr>
            <w:r/>
          </w:p>
          <w:p>
            <w:pPr>
              <w:pStyle w:val="TableText"/>
              <w:ind w:left="144"/>
              <w:spacing w:before="62" w:line="184" w:lineRule="auto"/>
              <w:rPr>
                <w:sz w:val="19"/>
                <w:szCs w:val="19"/>
              </w:rPr>
            </w:pPr>
            <w:r>
              <w:rPr>
                <w:sz w:val="19"/>
                <w:szCs w:val="19"/>
                <w:spacing w:val="-5"/>
              </w:rPr>
              <w:t>11.6</w:t>
            </w:r>
          </w:p>
        </w:tc>
        <w:tc>
          <w:tcPr>
            <w:tcW w:w="560" w:type="dxa"/>
            <w:vAlign w:val="top"/>
          </w:tcPr>
          <w:p>
            <w:pPr>
              <w:spacing w:line="290" w:lineRule="auto"/>
              <w:rPr>
                <w:rFonts w:ascii="Arial"/>
                <w:sz w:val="21"/>
              </w:rPr>
            </w:pPr>
            <w:r/>
          </w:p>
          <w:p>
            <w:pPr>
              <w:pStyle w:val="TableText"/>
              <w:ind w:left="174"/>
              <w:spacing w:before="62" w:line="184" w:lineRule="auto"/>
              <w:rPr>
                <w:sz w:val="19"/>
                <w:szCs w:val="19"/>
              </w:rPr>
            </w:pPr>
            <w:r>
              <w:rPr>
                <w:sz w:val="19"/>
                <w:szCs w:val="19"/>
                <w:spacing w:val="-6"/>
              </w:rPr>
              <w:t>12</w:t>
            </w:r>
          </w:p>
        </w:tc>
        <w:tc>
          <w:tcPr>
            <w:tcW w:w="570" w:type="dxa"/>
            <w:vAlign w:val="top"/>
          </w:tcPr>
          <w:p>
            <w:pPr>
              <w:spacing w:line="290" w:lineRule="auto"/>
              <w:rPr>
                <w:rFonts w:ascii="Arial"/>
                <w:sz w:val="21"/>
              </w:rPr>
            </w:pPr>
            <w:r/>
          </w:p>
          <w:p>
            <w:pPr>
              <w:pStyle w:val="TableText"/>
              <w:ind w:left="84"/>
              <w:spacing w:before="62" w:line="184" w:lineRule="auto"/>
              <w:rPr>
                <w:sz w:val="19"/>
                <w:szCs w:val="19"/>
              </w:rPr>
            </w:pPr>
            <w:r>
              <w:rPr>
                <w:sz w:val="19"/>
                <w:szCs w:val="19"/>
                <w:spacing w:val="-3"/>
              </w:rPr>
              <w:t>71.1</w:t>
            </w:r>
          </w:p>
        </w:tc>
        <w:tc>
          <w:tcPr>
            <w:tcW w:w="560" w:type="dxa"/>
            <w:vAlign w:val="top"/>
          </w:tcPr>
          <w:p>
            <w:pPr>
              <w:spacing w:line="292" w:lineRule="auto"/>
              <w:rPr>
                <w:rFonts w:ascii="Arial"/>
                <w:sz w:val="21"/>
              </w:rPr>
            </w:pPr>
            <w:r/>
          </w:p>
          <w:p>
            <w:pPr>
              <w:pStyle w:val="TableText"/>
              <w:ind w:left="84"/>
              <w:spacing w:before="62" w:line="182" w:lineRule="auto"/>
              <w:rPr>
                <w:sz w:val="19"/>
                <w:szCs w:val="19"/>
              </w:rPr>
            </w:pPr>
            <w:r>
              <w:rPr>
                <w:sz w:val="19"/>
                <w:szCs w:val="19"/>
                <w:spacing w:val="-3"/>
              </w:rPr>
              <w:t>75.5</w:t>
            </w:r>
          </w:p>
        </w:tc>
        <w:tc>
          <w:tcPr>
            <w:tcW w:w="719" w:type="dxa"/>
            <w:vAlign w:val="top"/>
          </w:tcPr>
          <w:p>
            <w:pPr>
              <w:spacing w:line="290" w:lineRule="auto"/>
              <w:rPr>
                <w:rFonts w:ascii="Arial"/>
                <w:sz w:val="21"/>
              </w:rPr>
            </w:pPr>
            <w:r/>
          </w:p>
          <w:p>
            <w:pPr>
              <w:pStyle w:val="TableText"/>
              <w:ind w:left="164"/>
              <w:spacing w:before="62" w:line="184" w:lineRule="auto"/>
              <w:rPr>
                <w:sz w:val="19"/>
                <w:szCs w:val="19"/>
              </w:rPr>
            </w:pPr>
            <w:r>
              <w:rPr>
                <w:sz w:val="19"/>
                <w:szCs w:val="19"/>
                <w:spacing w:val="-5"/>
              </w:rPr>
              <w:t>10.4</w:t>
            </w:r>
          </w:p>
        </w:tc>
        <w:tc>
          <w:tcPr>
            <w:tcW w:w="560" w:type="dxa"/>
            <w:vAlign w:val="top"/>
          </w:tcPr>
          <w:p>
            <w:pPr>
              <w:spacing w:line="291" w:lineRule="auto"/>
              <w:rPr>
                <w:rFonts w:ascii="Arial"/>
                <w:sz w:val="21"/>
              </w:rPr>
            </w:pPr>
            <w:r/>
          </w:p>
          <w:p>
            <w:pPr>
              <w:pStyle w:val="TableText"/>
              <w:ind w:left="85"/>
              <w:spacing w:before="62" w:line="183" w:lineRule="auto"/>
              <w:rPr>
                <w:sz w:val="19"/>
                <w:szCs w:val="19"/>
              </w:rPr>
            </w:pPr>
            <w:r>
              <w:rPr>
                <w:sz w:val="19"/>
                <w:szCs w:val="19"/>
                <w:spacing w:val="-2"/>
              </w:rPr>
              <w:t>66.4</w:t>
            </w:r>
          </w:p>
        </w:tc>
        <w:tc>
          <w:tcPr>
            <w:tcW w:w="599" w:type="dxa"/>
            <w:vAlign w:val="top"/>
          </w:tcPr>
          <w:p>
            <w:pPr>
              <w:spacing w:line="290" w:lineRule="auto"/>
              <w:rPr>
                <w:rFonts w:ascii="Arial"/>
                <w:sz w:val="21"/>
              </w:rPr>
            </w:pPr>
            <w:r/>
          </w:p>
          <w:p>
            <w:pPr>
              <w:pStyle w:val="TableText"/>
              <w:ind w:left="105"/>
              <w:spacing w:before="62" w:line="184" w:lineRule="auto"/>
              <w:rPr>
                <w:sz w:val="19"/>
                <w:szCs w:val="19"/>
              </w:rPr>
            </w:pPr>
            <w:r>
              <w:rPr>
                <w:sz w:val="19"/>
                <w:szCs w:val="19"/>
                <w:spacing w:val="-3"/>
              </w:rPr>
              <w:t>51.0</w:t>
            </w:r>
          </w:p>
        </w:tc>
        <w:tc>
          <w:tcPr>
            <w:tcW w:w="560" w:type="dxa"/>
            <w:vAlign w:val="top"/>
          </w:tcPr>
          <w:p>
            <w:pPr>
              <w:spacing w:line="291" w:lineRule="auto"/>
              <w:rPr>
                <w:rFonts w:ascii="Arial"/>
                <w:sz w:val="21"/>
              </w:rPr>
            </w:pPr>
            <w:r/>
          </w:p>
          <w:p>
            <w:pPr>
              <w:pStyle w:val="TableText"/>
              <w:ind w:left="86"/>
              <w:spacing w:before="62" w:line="183" w:lineRule="auto"/>
              <w:rPr>
                <w:sz w:val="19"/>
                <w:szCs w:val="19"/>
              </w:rPr>
            </w:pPr>
            <w:r>
              <w:rPr>
                <w:sz w:val="19"/>
                <w:szCs w:val="19"/>
                <w:spacing w:val="-3"/>
              </w:rPr>
              <w:t>50.0</w:t>
            </w:r>
          </w:p>
        </w:tc>
        <w:tc>
          <w:tcPr>
            <w:tcW w:w="589" w:type="dxa"/>
            <w:vAlign w:val="top"/>
          </w:tcPr>
          <w:p>
            <w:pPr>
              <w:spacing w:line="291" w:lineRule="auto"/>
              <w:rPr>
                <w:rFonts w:ascii="Arial"/>
                <w:sz w:val="21"/>
              </w:rPr>
            </w:pPr>
            <w:r/>
          </w:p>
          <w:p>
            <w:pPr>
              <w:pStyle w:val="TableText"/>
              <w:ind w:left="96"/>
              <w:spacing w:before="62" w:line="183" w:lineRule="auto"/>
              <w:rPr>
                <w:sz w:val="19"/>
                <w:szCs w:val="19"/>
              </w:rPr>
            </w:pPr>
            <w:r>
              <w:rPr>
                <w:sz w:val="19"/>
                <w:szCs w:val="19"/>
                <w:spacing w:val="-2"/>
              </w:rPr>
              <w:t>67.6</w:t>
            </w:r>
          </w:p>
        </w:tc>
        <w:tc>
          <w:tcPr>
            <w:tcW w:w="690" w:type="dxa"/>
            <w:vAlign w:val="top"/>
            <w:vMerge w:val="continue"/>
            <w:tcBorders>
              <w:top w:val="nil"/>
            </w:tcBorders>
          </w:tcPr>
          <w:p>
            <w:pPr>
              <w:rPr>
                <w:rFonts w:ascii="Arial"/>
                <w:sz w:val="21"/>
              </w:rPr>
            </w:pPr>
            <w:r/>
          </w:p>
        </w:tc>
        <w:tc>
          <w:tcPr>
            <w:tcW w:w="680" w:type="dxa"/>
            <w:vAlign w:val="top"/>
            <w:vMerge w:val="continue"/>
            <w:tcBorders>
              <w:top w:val="nil"/>
            </w:tcBorders>
          </w:tcPr>
          <w:p>
            <w:pPr>
              <w:rPr>
                <w:rFonts w:ascii="Arial"/>
                <w:sz w:val="21"/>
              </w:rPr>
            </w:pPr>
            <w:r/>
          </w:p>
        </w:tc>
        <w:tc>
          <w:tcPr>
            <w:tcW w:w="709" w:type="dxa"/>
            <w:vAlign w:val="top"/>
          </w:tcPr>
          <w:p>
            <w:pPr>
              <w:spacing w:line="291" w:lineRule="auto"/>
              <w:rPr>
                <w:rFonts w:ascii="Arial"/>
                <w:sz w:val="21"/>
              </w:rPr>
            </w:pPr>
            <w:r/>
          </w:p>
          <w:p>
            <w:pPr>
              <w:pStyle w:val="TableText"/>
              <w:ind w:left="157"/>
              <w:spacing w:before="62" w:line="183" w:lineRule="auto"/>
              <w:rPr>
                <w:sz w:val="19"/>
                <w:szCs w:val="19"/>
              </w:rPr>
            </w:pPr>
            <w:r>
              <w:rPr>
                <w:sz w:val="19"/>
                <w:szCs w:val="19"/>
                <w:spacing w:val="-2"/>
              </w:rPr>
              <w:t>46.4</w:t>
            </w:r>
          </w:p>
        </w:tc>
        <w:tc>
          <w:tcPr>
            <w:tcW w:w="709" w:type="dxa"/>
            <w:vAlign w:val="top"/>
          </w:tcPr>
          <w:p>
            <w:pPr>
              <w:spacing w:line="290" w:lineRule="auto"/>
              <w:rPr>
                <w:rFonts w:ascii="Arial"/>
                <w:sz w:val="21"/>
              </w:rPr>
            </w:pPr>
            <w:r/>
          </w:p>
          <w:p>
            <w:pPr>
              <w:pStyle w:val="TableText"/>
              <w:ind w:left="158"/>
              <w:spacing w:before="62" w:line="184" w:lineRule="auto"/>
              <w:rPr>
                <w:sz w:val="19"/>
                <w:szCs w:val="19"/>
              </w:rPr>
            </w:pPr>
            <w:r>
              <w:rPr>
                <w:sz w:val="19"/>
                <w:szCs w:val="19"/>
                <w:spacing w:val="-3"/>
              </w:rPr>
              <w:t>31.0</w:t>
            </w:r>
          </w:p>
        </w:tc>
        <w:tc>
          <w:tcPr>
            <w:tcW w:w="690" w:type="dxa"/>
            <w:vAlign w:val="top"/>
          </w:tcPr>
          <w:p>
            <w:pPr>
              <w:spacing w:line="291" w:lineRule="auto"/>
              <w:rPr>
                <w:rFonts w:ascii="Arial"/>
                <w:sz w:val="21"/>
              </w:rPr>
            </w:pPr>
            <w:r/>
          </w:p>
          <w:p>
            <w:pPr>
              <w:pStyle w:val="TableText"/>
              <w:ind w:left="149"/>
              <w:spacing w:before="62" w:line="183" w:lineRule="auto"/>
              <w:rPr>
                <w:sz w:val="19"/>
                <w:szCs w:val="19"/>
              </w:rPr>
            </w:pPr>
            <w:r>
              <w:rPr>
                <w:sz w:val="19"/>
                <w:szCs w:val="19"/>
                <w:spacing w:val="-3"/>
              </w:rPr>
              <w:t>30.0</w:t>
            </w:r>
          </w:p>
        </w:tc>
        <w:tc>
          <w:tcPr>
            <w:tcW w:w="560" w:type="dxa"/>
            <w:vAlign w:val="top"/>
          </w:tcPr>
          <w:p>
            <w:pPr>
              <w:spacing w:line="291" w:lineRule="auto"/>
              <w:rPr>
                <w:rFonts w:ascii="Arial"/>
                <w:sz w:val="21"/>
              </w:rPr>
            </w:pPr>
            <w:r/>
          </w:p>
          <w:p>
            <w:pPr>
              <w:pStyle w:val="TableText"/>
              <w:ind w:left="149"/>
              <w:spacing w:before="62" w:line="183" w:lineRule="auto"/>
              <w:rPr>
                <w:sz w:val="19"/>
                <w:szCs w:val="19"/>
              </w:rPr>
            </w:pPr>
            <w:r>
              <w:rPr>
                <w:sz w:val="19"/>
                <w:szCs w:val="19"/>
                <w:spacing w:val="-2"/>
              </w:rPr>
              <w:t>47.6</w:t>
            </w:r>
          </w:p>
        </w:tc>
        <w:tc>
          <w:tcPr>
            <w:tcW w:w="714" w:type="dxa"/>
            <w:vAlign w:val="top"/>
            <w:vMerge w:val="continue"/>
            <w:tcBorders>
              <w:top w:val="nil"/>
            </w:tcBorders>
          </w:tcPr>
          <w:p>
            <w:pPr>
              <w:rPr>
                <w:rFonts w:ascii="Arial"/>
                <w:sz w:val="21"/>
              </w:rPr>
            </w:pPr>
            <w:r/>
          </w:p>
        </w:tc>
      </w:tr>
      <w:tr>
        <w:trPr>
          <w:trHeight w:val="769" w:hRule="atLeast"/>
        </w:trPr>
        <w:tc>
          <w:tcPr>
            <w:tcW w:w="11408" w:type="dxa"/>
            <w:vAlign w:val="top"/>
            <w:gridSpan w:val="18"/>
          </w:tcPr>
          <w:p>
            <w:pPr>
              <w:pStyle w:val="TableText"/>
              <w:ind w:left="5395"/>
              <w:spacing w:before="296" w:line="219" w:lineRule="auto"/>
              <w:rPr>
                <w:sz w:val="19"/>
                <w:szCs w:val="19"/>
              </w:rPr>
            </w:pPr>
            <w:r>
              <w:rPr>
                <w:sz w:val="19"/>
                <w:szCs w:val="19"/>
                <w:spacing w:val="-3"/>
              </w:rPr>
              <w:t>叠加值</w:t>
            </w:r>
          </w:p>
        </w:tc>
        <w:tc>
          <w:tcPr>
            <w:tcW w:w="709" w:type="dxa"/>
            <w:vAlign w:val="top"/>
          </w:tcPr>
          <w:p>
            <w:pPr>
              <w:spacing w:line="282" w:lineRule="auto"/>
              <w:rPr>
                <w:rFonts w:ascii="Arial"/>
                <w:sz w:val="21"/>
              </w:rPr>
            </w:pPr>
            <w:r/>
          </w:p>
          <w:p>
            <w:pPr>
              <w:pStyle w:val="TableText"/>
              <w:ind w:left="157"/>
              <w:spacing w:before="62" w:line="183" w:lineRule="auto"/>
              <w:rPr>
                <w:sz w:val="19"/>
                <w:szCs w:val="19"/>
              </w:rPr>
            </w:pPr>
            <w:r>
              <w:rPr>
                <w:sz w:val="19"/>
                <w:szCs w:val="19"/>
                <w:spacing w:val="-3"/>
              </w:rPr>
              <w:t>53.8</w:t>
            </w:r>
          </w:p>
        </w:tc>
        <w:tc>
          <w:tcPr>
            <w:tcW w:w="709" w:type="dxa"/>
            <w:vAlign w:val="top"/>
          </w:tcPr>
          <w:p>
            <w:pPr>
              <w:spacing w:line="282" w:lineRule="auto"/>
              <w:rPr>
                <w:rFonts w:ascii="Arial"/>
                <w:sz w:val="21"/>
              </w:rPr>
            </w:pPr>
            <w:r/>
          </w:p>
          <w:p>
            <w:pPr>
              <w:pStyle w:val="TableText"/>
              <w:ind w:left="158"/>
              <w:spacing w:before="62" w:line="183" w:lineRule="auto"/>
              <w:rPr>
                <w:sz w:val="19"/>
                <w:szCs w:val="19"/>
              </w:rPr>
            </w:pPr>
            <w:r>
              <w:rPr>
                <w:sz w:val="19"/>
                <w:szCs w:val="19"/>
                <w:spacing w:val="-2"/>
              </w:rPr>
              <w:t>42.4</w:t>
            </w:r>
          </w:p>
        </w:tc>
        <w:tc>
          <w:tcPr>
            <w:tcW w:w="690" w:type="dxa"/>
            <w:vAlign w:val="top"/>
          </w:tcPr>
          <w:p>
            <w:pPr>
              <w:spacing w:line="282" w:lineRule="auto"/>
              <w:rPr>
                <w:rFonts w:ascii="Arial"/>
                <w:sz w:val="21"/>
              </w:rPr>
            </w:pPr>
            <w:r/>
          </w:p>
          <w:p>
            <w:pPr>
              <w:pStyle w:val="TableText"/>
              <w:ind w:left="149"/>
              <w:spacing w:before="62" w:line="183" w:lineRule="auto"/>
              <w:rPr>
                <w:sz w:val="19"/>
                <w:szCs w:val="19"/>
              </w:rPr>
            </w:pPr>
            <w:r>
              <w:rPr>
                <w:sz w:val="19"/>
                <w:szCs w:val="19"/>
                <w:spacing w:val="-2"/>
              </w:rPr>
              <w:t>44.2</w:t>
            </w:r>
          </w:p>
        </w:tc>
        <w:tc>
          <w:tcPr>
            <w:tcW w:w="560" w:type="dxa"/>
            <w:vAlign w:val="top"/>
          </w:tcPr>
          <w:p>
            <w:pPr>
              <w:spacing w:line="281" w:lineRule="auto"/>
              <w:rPr>
                <w:rFonts w:ascii="Arial"/>
                <w:sz w:val="21"/>
              </w:rPr>
            </w:pPr>
            <w:r/>
          </w:p>
          <w:p>
            <w:pPr>
              <w:pStyle w:val="TableText"/>
              <w:ind w:left="149"/>
              <w:spacing w:before="62" w:line="184" w:lineRule="auto"/>
              <w:rPr>
                <w:sz w:val="19"/>
                <w:szCs w:val="19"/>
              </w:rPr>
            </w:pPr>
            <w:r>
              <w:rPr>
                <w:sz w:val="19"/>
                <w:szCs w:val="19"/>
                <w:spacing w:val="-3"/>
              </w:rPr>
              <w:t>50.1</w:t>
            </w:r>
          </w:p>
        </w:tc>
        <w:tc>
          <w:tcPr>
            <w:tcW w:w="714" w:type="dxa"/>
            <w:vAlign w:val="top"/>
          </w:tcPr>
          <w:p>
            <w:pPr>
              <w:spacing w:line="281" w:lineRule="auto"/>
              <w:rPr>
                <w:rFonts w:ascii="Arial"/>
                <w:sz w:val="21"/>
              </w:rPr>
            </w:pPr>
            <w:r/>
          </w:p>
          <w:p>
            <w:pPr>
              <w:pStyle w:val="TableText"/>
              <w:ind w:left="299"/>
              <w:spacing w:before="61" w:line="184" w:lineRule="auto"/>
              <w:rPr>
                <w:sz w:val="19"/>
                <w:szCs w:val="19"/>
              </w:rPr>
            </w:pPr>
            <w:r>
              <w:rPr>
                <w:sz w:val="19"/>
                <w:szCs w:val="19"/>
              </w:rPr>
              <w:t>1</w:t>
            </w:r>
          </w:p>
        </w:tc>
      </w:tr>
      <w:tr>
        <w:trPr>
          <w:trHeight w:val="524" w:hRule="atLeast"/>
        </w:trPr>
        <w:tc>
          <w:tcPr>
            <w:tcW w:w="14790" w:type="dxa"/>
            <w:vAlign w:val="top"/>
            <w:gridSpan w:val="23"/>
          </w:tcPr>
          <w:p>
            <w:pPr>
              <w:pStyle w:val="TableText"/>
              <w:ind w:left="125"/>
              <w:spacing w:before="55" w:line="216" w:lineRule="auto"/>
              <w:rPr>
                <w:sz w:val="19"/>
                <w:szCs w:val="19"/>
              </w:rPr>
            </w:pPr>
            <w:r>
              <w:rPr>
                <w:sz w:val="19"/>
                <w:szCs w:val="19"/>
                <w:spacing w:val="38"/>
              </w:rPr>
              <w:t>注：以凹版厂房西南角为坐标原点(0,0,0),东西方向为X轴、</w:t>
            </w:r>
            <w:r>
              <w:rPr>
                <w:sz w:val="19"/>
                <w:szCs w:val="19"/>
                <w:spacing w:val="37"/>
              </w:rPr>
              <w:t>南北方向为Y轴。</w:t>
            </w:r>
          </w:p>
          <w:p>
            <w:pPr>
              <w:pStyle w:val="TableText"/>
              <w:ind w:left="555"/>
              <w:spacing w:before="51" w:line="180" w:lineRule="auto"/>
              <w:rPr>
                <w:sz w:val="19"/>
                <w:szCs w:val="19"/>
              </w:rPr>
            </w:pPr>
            <w:r>
              <w:rPr>
                <w:sz w:val="19"/>
                <w:szCs w:val="19"/>
              </w:rPr>
              <w:t>*视叠加后的声源位于相应设备区域中间。</w:t>
            </w:r>
          </w:p>
        </w:tc>
      </w:tr>
    </w:tbl>
    <w:p>
      <w:pPr>
        <w:rPr>
          <w:rFonts w:ascii="Arial"/>
          <w:sz w:val="21"/>
        </w:rPr>
      </w:pPr>
      <w:r/>
    </w:p>
    <w:p>
      <w:pPr>
        <w:sectPr>
          <w:footerReference w:type="default" r:id="rId138"/>
          <w:pgSz w:w="16840" w:h="11900"/>
          <w:pgMar w:top="1011" w:right="725" w:bottom="978" w:left="1314" w:header="0" w:footer="839" w:gutter="0"/>
        </w:sectPr>
        <w:rPr>
          <w:rFonts w:ascii="Arial" w:hAnsi="Arial" w:eastAsia="Arial" w:cs="Arial"/>
          <w:sz w:val="21"/>
          <w:szCs w:val="21"/>
        </w:rPr>
      </w:pPr>
    </w:p>
    <w:p>
      <w:pPr>
        <w:spacing w:line="280" w:lineRule="auto"/>
        <w:rPr>
          <w:rFonts w:ascii="Arial"/>
          <w:sz w:val="21"/>
        </w:rPr>
      </w:pPr>
      <w:r/>
    </w:p>
    <w:p>
      <w:pPr>
        <w:spacing w:line="281" w:lineRule="auto"/>
        <w:rPr>
          <w:rFonts w:ascii="Arial"/>
          <w:sz w:val="21"/>
        </w:rPr>
      </w:pPr>
      <w:r/>
    </w:p>
    <w:p>
      <w:pPr>
        <w:pStyle w:val="BodyText"/>
        <w:ind w:left="5358"/>
        <w:spacing w:before="78" w:line="219" w:lineRule="auto"/>
        <w:rPr>
          <w:sz w:val="24"/>
          <w:szCs w:val="24"/>
        </w:rPr>
      </w:pPr>
      <w:r>
        <w:rPr>
          <w:sz w:val="24"/>
          <w:szCs w:val="24"/>
          <w:b/>
          <w:bCs/>
          <w:spacing w:val="-4"/>
        </w:rPr>
        <w:t>表4.4-5本项目厂界噪声预测结果</w:t>
      </w:r>
    </w:p>
    <w:p>
      <w:pPr>
        <w:spacing w:line="56" w:lineRule="auto"/>
        <w:rPr>
          <w:rFonts w:ascii="Arial"/>
          <w:sz w:val="2"/>
        </w:rPr>
      </w:pPr>
      <w:r>
        <w:rPr>
          <w:rFonts w:ascii="Arial"/>
          <w:sz w:val="2"/>
        </w:rPr>
      </w:r>
    </w:p>
    <w:tbl>
      <w:tblPr>
        <w:tblStyle w:val="TableNormal"/>
        <w:tblW w:w="141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65"/>
        <w:gridCol w:w="1619"/>
        <w:gridCol w:w="1020"/>
        <w:gridCol w:w="1189"/>
        <w:gridCol w:w="1079"/>
        <w:gridCol w:w="1029"/>
        <w:gridCol w:w="1579"/>
        <w:gridCol w:w="1249"/>
        <w:gridCol w:w="1259"/>
        <w:gridCol w:w="1249"/>
        <w:gridCol w:w="1079"/>
        <w:gridCol w:w="1044"/>
      </w:tblGrid>
      <w:tr>
        <w:trPr>
          <w:trHeight w:val="424" w:hRule="atLeast"/>
        </w:trPr>
        <w:tc>
          <w:tcPr>
            <w:tcW w:w="765" w:type="dxa"/>
            <w:vAlign w:val="top"/>
            <w:vMerge w:val="restart"/>
            <w:tcBorders>
              <w:bottom w:val="nil"/>
            </w:tcBorders>
          </w:tcPr>
          <w:p>
            <w:pPr>
              <w:spacing w:line="347" w:lineRule="auto"/>
              <w:rPr>
                <w:rFonts w:ascii="Arial"/>
                <w:sz w:val="21"/>
              </w:rPr>
            </w:pPr>
            <w:r/>
          </w:p>
          <w:p>
            <w:pPr>
              <w:pStyle w:val="TableText"/>
              <w:ind w:left="175"/>
              <w:spacing w:before="65" w:line="221" w:lineRule="auto"/>
              <w:rPr>
                <w:sz w:val="20"/>
                <w:szCs w:val="20"/>
              </w:rPr>
            </w:pPr>
            <w:r>
              <w:rPr>
                <w:sz w:val="20"/>
                <w:szCs w:val="20"/>
                <w:spacing w:val="-2"/>
              </w:rPr>
              <w:t>序号</w:t>
            </w:r>
          </w:p>
        </w:tc>
        <w:tc>
          <w:tcPr>
            <w:tcW w:w="1619" w:type="dxa"/>
            <w:vAlign w:val="top"/>
            <w:vMerge w:val="restart"/>
            <w:tcBorders>
              <w:bottom w:val="nil"/>
            </w:tcBorders>
          </w:tcPr>
          <w:p>
            <w:pPr>
              <w:spacing w:line="347" w:lineRule="auto"/>
              <w:rPr>
                <w:rFonts w:ascii="Arial"/>
                <w:sz w:val="21"/>
              </w:rPr>
            </w:pPr>
            <w:r/>
          </w:p>
          <w:p>
            <w:pPr>
              <w:pStyle w:val="TableText"/>
              <w:ind w:left="600"/>
              <w:spacing w:before="65" w:line="221" w:lineRule="auto"/>
              <w:rPr>
                <w:sz w:val="20"/>
                <w:szCs w:val="20"/>
              </w:rPr>
            </w:pPr>
            <w:r>
              <w:rPr>
                <w:sz w:val="20"/>
                <w:szCs w:val="20"/>
                <w:spacing w:val="-2"/>
              </w:rPr>
              <w:t>位置</w:t>
            </w:r>
          </w:p>
        </w:tc>
        <w:tc>
          <w:tcPr>
            <w:tcW w:w="4317" w:type="dxa"/>
            <w:vAlign w:val="top"/>
            <w:gridSpan w:val="4"/>
          </w:tcPr>
          <w:p>
            <w:pPr>
              <w:pStyle w:val="TableText"/>
              <w:ind w:left="1131"/>
              <w:spacing w:before="113" w:line="220" w:lineRule="auto"/>
              <w:rPr>
                <w:sz w:val="20"/>
                <w:szCs w:val="20"/>
              </w:rPr>
            </w:pPr>
            <w:r>
              <w:rPr>
                <w:sz w:val="20"/>
                <w:szCs w:val="20"/>
                <w:spacing w:val="-1"/>
              </w:rPr>
              <w:t>距凹版区域厂界距离/m</w:t>
            </w:r>
          </w:p>
        </w:tc>
        <w:tc>
          <w:tcPr>
            <w:tcW w:w="1579" w:type="dxa"/>
            <w:vAlign w:val="top"/>
            <w:vMerge w:val="restart"/>
            <w:tcBorders>
              <w:bottom w:val="nil"/>
            </w:tcBorders>
          </w:tcPr>
          <w:p>
            <w:pPr>
              <w:pStyle w:val="TableText"/>
              <w:ind w:left="184" w:right="92" w:hanging="100"/>
              <w:spacing w:before="272" w:line="239" w:lineRule="auto"/>
              <w:rPr>
                <w:sz w:val="20"/>
                <w:szCs w:val="20"/>
              </w:rPr>
            </w:pPr>
            <w:r>
              <w:rPr>
                <w:sz w:val="20"/>
                <w:szCs w:val="20"/>
                <w:spacing w:val="-2"/>
              </w:rPr>
              <w:t>减震垫、空气吸</w:t>
            </w:r>
            <w:r>
              <w:rPr>
                <w:sz w:val="20"/>
                <w:szCs w:val="20"/>
                <w:spacing w:val="5"/>
              </w:rPr>
              <w:t xml:space="preserve"> </w:t>
            </w:r>
            <w:r>
              <w:rPr>
                <w:sz w:val="20"/>
                <w:szCs w:val="20"/>
                <w:spacing w:val="6"/>
              </w:rPr>
              <w:t>收损失/</w:t>
            </w:r>
            <w:r>
              <w:rPr>
                <w:sz w:val="20"/>
                <w:szCs w:val="20"/>
              </w:rPr>
              <w:t>dB</w:t>
            </w:r>
            <w:r>
              <w:rPr>
                <w:sz w:val="20"/>
                <w:szCs w:val="20"/>
                <w:spacing w:val="6"/>
              </w:rPr>
              <w:t>(A)</w:t>
            </w:r>
          </w:p>
        </w:tc>
        <w:tc>
          <w:tcPr>
            <w:tcW w:w="4836" w:type="dxa"/>
            <w:vAlign w:val="top"/>
            <w:gridSpan w:val="4"/>
          </w:tcPr>
          <w:p>
            <w:pPr>
              <w:pStyle w:val="TableText"/>
              <w:ind w:left="905"/>
              <w:spacing w:before="113" w:line="219" w:lineRule="auto"/>
              <w:rPr>
                <w:sz w:val="20"/>
                <w:szCs w:val="20"/>
              </w:rPr>
            </w:pPr>
            <w:r>
              <w:rPr>
                <w:sz w:val="20"/>
                <w:szCs w:val="20"/>
                <w:spacing w:val="2"/>
              </w:rPr>
              <w:t>凹版区域厂界外噪声贡献值/</w:t>
            </w:r>
            <w:r>
              <w:rPr>
                <w:sz w:val="20"/>
                <w:szCs w:val="20"/>
              </w:rPr>
              <w:t>dB</w:t>
            </w:r>
            <w:r>
              <w:rPr>
                <w:sz w:val="20"/>
                <w:szCs w:val="20"/>
                <w:spacing w:val="2"/>
              </w:rPr>
              <w:t>(A)</w:t>
            </w:r>
          </w:p>
        </w:tc>
        <w:tc>
          <w:tcPr>
            <w:tcW w:w="1044" w:type="dxa"/>
            <w:vAlign w:val="top"/>
            <w:vMerge w:val="restart"/>
            <w:tcBorders>
              <w:bottom w:val="nil"/>
            </w:tcBorders>
          </w:tcPr>
          <w:p>
            <w:pPr>
              <w:pStyle w:val="TableText"/>
              <w:ind w:left="219" w:right="203"/>
              <w:spacing w:before="283" w:line="230" w:lineRule="auto"/>
              <w:rPr>
                <w:sz w:val="20"/>
                <w:szCs w:val="20"/>
              </w:rPr>
            </w:pPr>
            <w:r>
              <w:rPr>
                <w:sz w:val="20"/>
                <w:szCs w:val="20"/>
                <w:spacing w:val="3"/>
              </w:rPr>
              <w:t>建筑物</w:t>
            </w:r>
            <w:r>
              <w:rPr>
                <w:sz w:val="20"/>
                <w:szCs w:val="20"/>
              </w:rPr>
              <w:t xml:space="preserve"> </w:t>
            </w:r>
            <w:r>
              <w:rPr>
                <w:sz w:val="20"/>
                <w:szCs w:val="20"/>
                <w:spacing w:val="3"/>
              </w:rPr>
              <w:t>外距离</w:t>
            </w:r>
          </w:p>
        </w:tc>
      </w:tr>
      <w:tr>
        <w:trPr>
          <w:trHeight w:val="579" w:hRule="atLeast"/>
        </w:trPr>
        <w:tc>
          <w:tcPr>
            <w:tcW w:w="765" w:type="dxa"/>
            <w:vAlign w:val="top"/>
            <w:vMerge w:val="continue"/>
            <w:tcBorders>
              <w:top w:val="nil"/>
            </w:tcBorders>
          </w:tcPr>
          <w:p>
            <w:pPr>
              <w:rPr>
                <w:rFonts w:ascii="Arial"/>
                <w:sz w:val="21"/>
              </w:rPr>
            </w:pPr>
            <w:r/>
          </w:p>
        </w:tc>
        <w:tc>
          <w:tcPr>
            <w:tcW w:w="1619" w:type="dxa"/>
            <w:vAlign w:val="top"/>
            <w:vMerge w:val="continue"/>
            <w:tcBorders>
              <w:top w:val="nil"/>
            </w:tcBorders>
          </w:tcPr>
          <w:p>
            <w:pPr>
              <w:rPr>
                <w:rFonts w:ascii="Arial"/>
                <w:sz w:val="21"/>
              </w:rPr>
            </w:pPr>
            <w:r/>
          </w:p>
        </w:tc>
        <w:tc>
          <w:tcPr>
            <w:tcW w:w="1020" w:type="dxa"/>
            <w:vAlign w:val="top"/>
          </w:tcPr>
          <w:p>
            <w:pPr>
              <w:pStyle w:val="TableText"/>
              <w:ind w:left="301"/>
              <w:spacing w:before="189" w:line="219" w:lineRule="auto"/>
              <w:rPr>
                <w:sz w:val="20"/>
                <w:szCs w:val="20"/>
              </w:rPr>
            </w:pPr>
            <w:r>
              <w:rPr>
                <w:sz w:val="20"/>
                <w:szCs w:val="20"/>
                <w:spacing w:val="7"/>
              </w:rPr>
              <w:t>北侧</w:t>
            </w:r>
          </w:p>
        </w:tc>
        <w:tc>
          <w:tcPr>
            <w:tcW w:w="1189" w:type="dxa"/>
            <w:vAlign w:val="top"/>
          </w:tcPr>
          <w:p>
            <w:pPr>
              <w:pStyle w:val="TableText"/>
              <w:ind w:left="381"/>
              <w:spacing w:before="189" w:line="219" w:lineRule="auto"/>
              <w:rPr>
                <w:sz w:val="20"/>
                <w:szCs w:val="20"/>
              </w:rPr>
            </w:pPr>
            <w:r>
              <w:rPr>
                <w:sz w:val="20"/>
                <w:szCs w:val="20"/>
                <w:spacing w:val="7"/>
              </w:rPr>
              <w:t>西侧</w:t>
            </w:r>
          </w:p>
        </w:tc>
        <w:tc>
          <w:tcPr>
            <w:tcW w:w="1079" w:type="dxa"/>
            <w:vAlign w:val="top"/>
          </w:tcPr>
          <w:p>
            <w:pPr>
              <w:pStyle w:val="TableText"/>
              <w:ind w:left="332"/>
              <w:spacing w:before="189" w:line="219" w:lineRule="auto"/>
              <w:rPr>
                <w:sz w:val="20"/>
                <w:szCs w:val="20"/>
              </w:rPr>
            </w:pPr>
            <w:r>
              <w:rPr>
                <w:sz w:val="20"/>
                <w:szCs w:val="20"/>
                <w:spacing w:val="6"/>
              </w:rPr>
              <w:t>南侧</w:t>
            </w:r>
          </w:p>
        </w:tc>
        <w:tc>
          <w:tcPr>
            <w:tcW w:w="1029" w:type="dxa"/>
            <w:vAlign w:val="top"/>
          </w:tcPr>
          <w:p>
            <w:pPr>
              <w:pStyle w:val="TableText"/>
              <w:ind w:left="303"/>
              <w:spacing w:before="189" w:line="219" w:lineRule="auto"/>
              <w:rPr>
                <w:sz w:val="20"/>
                <w:szCs w:val="20"/>
              </w:rPr>
            </w:pPr>
            <w:r>
              <w:rPr>
                <w:sz w:val="20"/>
                <w:szCs w:val="20"/>
                <w:spacing w:val="6"/>
              </w:rPr>
              <w:t>东侧</w:t>
            </w:r>
          </w:p>
        </w:tc>
        <w:tc>
          <w:tcPr>
            <w:tcW w:w="1579" w:type="dxa"/>
            <w:vAlign w:val="top"/>
            <w:vMerge w:val="continue"/>
            <w:tcBorders>
              <w:top w:val="nil"/>
            </w:tcBorders>
          </w:tcPr>
          <w:p>
            <w:pPr>
              <w:rPr>
                <w:rFonts w:ascii="Arial"/>
                <w:sz w:val="21"/>
              </w:rPr>
            </w:pPr>
            <w:r/>
          </w:p>
        </w:tc>
        <w:tc>
          <w:tcPr>
            <w:tcW w:w="1249" w:type="dxa"/>
            <w:vAlign w:val="top"/>
          </w:tcPr>
          <w:p>
            <w:pPr>
              <w:pStyle w:val="TableText"/>
              <w:ind w:left="415"/>
              <w:spacing w:before="189" w:line="219" w:lineRule="auto"/>
              <w:rPr>
                <w:sz w:val="20"/>
                <w:szCs w:val="20"/>
              </w:rPr>
            </w:pPr>
            <w:r>
              <w:rPr>
                <w:sz w:val="20"/>
                <w:szCs w:val="20"/>
                <w:spacing w:val="6"/>
              </w:rPr>
              <w:t>北侧</w:t>
            </w:r>
          </w:p>
        </w:tc>
        <w:tc>
          <w:tcPr>
            <w:tcW w:w="1259" w:type="dxa"/>
            <w:vAlign w:val="top"/>
          </w:tcPr>
          <w:p>
            <w:pPr>
              <w:pStyle w:val="TableText"/>
              <w:ind w:left="426"/>
              <w:spacing w:before="189" w:line="219" w:lineRule="auto"/>
              <w:rPr>
                <w:sz w:val="20"/>
                <w:szCs w:val="20"/>
              </w:rPr>
            </w:pPr>
            <w:r>
              <w:rPr>
                <w:sz w:val="20"/>
                <w:szCs w:val="20"/>
                <w:spacing w:val="7"/>
              </w:rPr>
              <w:t>西侧</w:t>
            </w:r>
          </w:p>
        </w:tc>
        <w:tc>
          <w:tcPr>
            <w:tcW w:w="1249" w:type="dxa"/>
            <w:vAlign w:val="top"/>
          </w:tcPr>
          <w:p>
            <w:pPr>
              <w:pStyle w:val="TableText"/>
              <w:ind w:left="417"/>
              <w:spacing w:before="189" w:line="219" w:lineRule="auto"/>
              <w:rPr>
                <w:sz w:val="20"/>
                <w:szCs w:val="20"/>
              </w:rPr>
            </w:pPr>
            <w:r>
              <w:rPr>
                <w:sz w:val="20"/>
                <w:szCs w:val="20"/>
                <w:spacing w:val="6"/>
              </w:rPr>
              <w:t>南侧</w:t>
            </w:r>
          </w:p>
        </w:tc>
        <w:tc>
          <w:tcPr>
            <w:tcW w:w="1079" w:type="dxa"/>
            <w:vAlign w:val="top"/>
          </w:tcPr>
          <w:p>
            <w:pPr>
              <w:pStyle w:val="TableText"/>
              <w:ind w:left="338"/>
              <w:spacing w:before="189" w:line="219" w:lineRule="auto"/>
              <w:rPr>
                <w:sz w:val="20"/>
                <w:szCs w:val="20"/>
              </w:rPr>
            </w:pPr>
            <w:r>
              <w:rPr>
                <w:sz w:val="20"/>
                <w:szCs w:val="20"/>
                <w:spacing w:val="6"/>
              </w:rPr>
              <w:t>东侧</w:t>
            </w:r>
          </w:p>
        </w:tc>
        <w:tc>
          <w:tcPr>
            <w:tcW w:w="1044" w:type="dxa"/>
            <w:vAlign w:val="top"/>
            <w:vMerge w:val="continue"/>
            <w:tcBorders>
              <w:top w:val="nil"/>
            </w:tcBorders>
          </w:tcPr>
          <w:p>
            <w:pPr>
              <w:rPr>
                <w:rFonts w:ascii="Arial"/>
                <w:sz w:val="21"/>
              </w:rPr>
            </w:pPr>
            <w:r/>
          </w:p>
        </w:tc>
      </w:tr>
      <w:tr>
        <w:trPr>
          <w:trHeight w:val="589" w:hRule="atLeast"/>
        </w:trPr>
        <w:tc>
          <w:tcPr>
            <w:tcW w:w="765" w:type="dxa"/>
            <w:vAlign w:val="top"/>
          </w:tcPr>
          <w:p>
            <w:pPr>
              <w:pStyle w:val="TableText"/>
              <w:ind w:left="325"/>
              <w:spacing w:before="250" w:line="184" w:lineRule="auto"/>
              <w:rPr>
                <w:sz w:val="20"/>
                <w:szCs w:val="20"/>
              </w:rPr>
            </w:pPr>
            <w:r>
              <w:rPr>
                <w:sz w:val="20"/>
                <w:szCs w:val="20"/>
              </w:rPr>
              <w:t>1</w:t>
            </w:r>
          </w:p>
        </w:tc>
        <w:tc>
          <w:tcPr>
            <w:tcW w:w="1619" w:type="dxa"/>
            <w:vAlign w:val="top"/>
          </w:tcPr>
          <w:p>
            <w:pPr>
              <w:pStyle w:val="TableText"/>
              <w:ind w:left="399" w:right="149" w:hanging="249"/>
              <w:spacing w:before="80" w:line="230" w:lineRule="auto"/>
              <w:rPr>
                <w:sz w:val="20"/>
                <w:szCs w:val="20"/>
              </w:rPr>
            </w:pPr>
            <w:r>
              <w:rPr>
                <w:sz w:val="20"/>
                <w:szCs w:val="20"/>
                <w:spacing w:val="1"/>
              </w:rPr>
              <w:t>凹版厂房+设施 </w:t>
            </w:r>
            <w:r>
              <w:rPr>
                <w:sz w:val="20"/>
                <w:szCs w:val="20"/>
                <w:spacing w:val="-2"/>
              </w:rPr>
              <w:t>房内设备</w:t>
            </w:r>
          </w:p>
        </w:tc>
        <w:tc>
          <w:tcPr>
            <w:tcW w:w="1020" w:type="dxa"/>
            <w:vAlign w:val="top"/>
          </w:tcPr>
          <w:p>
            <w:pPr>
              <w:pStyle w:val="TableText"/>
              <w:ind w:left="301"/>
              <w:spacing w:before="251" w:line="183" w:lineRule="auto"/>
              <w:rPr>
                <w:sz w:val="20"/>
                <w:szCs w:val="20"/>
              </w:rPr>
            </w:pPr>
            <w:r>
              <w:rPr>
                <w:sz w:val="20"/>
                <w:szCs w:val="20"/>
                <w:spacing w:val="-2"/>
              </w:rPr>
              <w:t>20.0</w:t>
            </w:r>
          </w:p>
        </w:tc>
        <w:tc>
          <w:tcPr>
            <w:tcW w:w="1189" w:type="dxa"/>
            <w:vAlign w:val="top"/>
          </w:tcPr>
          <w:p>
            <w:pPr>
              <w:pStyle w:val="TableText"/>
              <w:ind w:left="381"/>
              <w:spacing w:before="251" w:line="183" w:lineRule="auto"/>
              <w:rPr>
                <w:sz w:val="20"/>
                <w:szCs w:val="20"/>
              </w:rPr>
            </w:pPr>
            <w:r>
              <w:rPr>
                <w:sz w:val="20"/>
                <w:szCs w:val="20"/>
                <w:spacing w:val="-2"/>
              </w:rPr>
              <w:t>42.0</w:t>
            </w:r>
          </w:p>
        </w:tc>
        <w:tc>
          <w:tcPr>
            <w:tcW w:w="1079" w:type="dxa"/>
            <w:vAlign w:val="top"/>
          </w:tcPr>
          <w:p>
            <w:pPr>
              <w:pStyle w:val="TableText"/>
              <w:ind w:left="332"/>
              <w:spacing w:before="251" w:line="183" w:lineRule="auto"/>
              <w:rPr>
                <w:sz w:val="20"/>
                <w:szCs w:val="20"/>
              </w:rPr>
            </w:pPr>
            <w:r>
              <w:rPr>
                <w:sz w:val="20"/>
                <w:szCs w:val="20"/>
                <w:spacing w:val="-2"/>
              </w:rPr>
              <w:t>29.0</w:t>
            </w:r>
          </w:p>
        </w:tc>
        <w:tc>
          <w:tcPr>
            <w:tcW w:w="1029" w:type="dxa"/>
            <w:vAlign w:val="top"/>
          </w:tcPr>
          <w:p>
            <w:pPr>
              <w:pStyle w:val="TableText"/>
              <w:ind w:left="303"/>
              <w:spacing w:before="250" w:line="184" w:lineRule="auto"/>
              <w:rPr>
                <w:sz w:val="20"/>
                <w:szCs w:val="20"/>
              </w:rPr>
            </w:pPr>
            <w:r>
              <w:rPr>
                <w:sz w:val="20"/>
                <w:szCs w:val="20"/>
                <w:spacing w:val="-5"/>
              </w:rPr>
              <w:t>17.5</w:t>
            </w:r>
          </w:p>
        </w:tc>
        <w:tc>
          <w:tcPr>
            <w:tcW w:w="1579" w:type="dxa"/>
            <w:vAlign w:val="top"/>
          </w:tcPr>
          <w:p>
            <w:pPr>
              <w:spacing w:line="254" w:lineRule="auto"/>
              <w:rPr>
                <w:rFonts w:ascii="Arial"/>
                <w:sz w:val="21"/>
              </w:rPr>
            </w:pPr>
            <w:r/>
          </w:p>
          <w:p>
            <w:pPr>
              <w:pStyle w:val="TableText"/>
              <w:ind w:left="684"/>
              <w:spacing w:before="65" w:line="184" w:lineRule="auto"/>
              <w:rPr>
                <w:sz w:val="20"/>
                <w:szCs w:val="20"/>
              </w:rPr>
            </w:pPr>
            <w:r>
              <w:rPr>
                <w:sz w:val="20"/>
                <w:szCs w:val="20"/>
                <w:spacing w:val="-6"/>
              </w:rPr>
              <w:t>10</w:t>
            </w:r>
          </w:p>
        </w:tc>
        <w:tc>
          <w:tcPr>
            <w:tcW w:w="1249" w:type="dxa"/>
            <w:vAlign w:val="top"/>
          </w:tcPr>
          <w:p>
            <w:pPr>
              <w:spacing w:line="255" w:lineRule="auto"/>
              <w:rPr>
                <w:rFonts w:ascii="Arial"/>
                <w:sz w:val="21"/>
              </w:rPr>
            </w:pPr>
            <w:r/>
          </w:p>
          <w:p>
            <w:pPr>
              <w:pStyle w:val="TableText"/>
              <w:ind w:left="415"/>
              <w:spacing w:before="65" w:line="183" w:lineRule="auto"/>
              <w:rPr>
                <w:sz w:val="20"/>
                <w:szCs w:val="20"/>
              </w:rPr>
            </w:pPr>
            <w:r>
              <w:rPr>
                <w:sz w:val="20"/>
                <w:szCs w:val="20"/>
                <w:spacing w:val="-2"/>
              </w:rPr>
              <w:t>27.8</w:t>
            </w:r>
          </w:p>
        </w:tc>
        <w:tc>
          <w:tcPr>
            <w:tcW w:w="1259" w:type="dxa"/>
            <w:vAlign w:val="top"/>
          </w:tcPr>
          <w:p>
            <w:pPr>
              <w:spacing w:line="255" w:lineRule="auto"/>
              <w:rPr>
                <w:rFonts w:ascii="Arial"/>
                <w:sz w:val="21"/>
              </w:rPr>
            </w:pPr>
            <w:r/>
          </w:p>
          <w:p>
            <w:pPr>
              <w:pStyle w:val="TableText"/>
              <w:ind w:left="476"/>
              <w:spacing w:before="65" w:line="183" w:lineRule="auto"/>
              <w:rPr>
                <w:sz w:val="20"/>
                <w:szCs w:val="20"/>
              </w:rPr>
            </w:pPr>
            <w:r>
              <w:rPr>
                <w:sz w:val="20"/>
                <w:szCs w:val="20"/>
                <w:spacing w:val="-2"/>
              </w:rPr>
              <w:t>9.9</w:t>
            </w:r>
          </w:p>
        </w:tc>
        <w:tc>
          <w:tcPr>
            <w:tcW w:w="1249" w:type="dxa"/>
            <w:vAlign w:val="top"/>
          </w:tcPr>
          <w:p>
            <w:pPr>
              <w:spacing w:line="254" w:lineRule="auto"/>
              <w:rPr>
                <w:rFonts w:ascii="Arial"/>
                <w:sz w:val="21"/>
              </w:rPr>
            </w:pPr>
            <w:r/>
          </w:p>
          <w:p>
            <w:pPr>
              <w:pStyle w:val="TableText"/>
              <w:ind w:left="417"/>
              <w:spacing w:before="65" w:line="184" w:lineRule="auto"/>
              <w:rPr>
                <w:sz w:val="20"/>
                <w:szCs w:val="20"/>
              </w:rPr>
            </w:pPr>
            <w:r>
              <w:rPr>
                <w:sz w:val="20"/>
                <w:szCs w:val="20"/>
                <w:spacing w:val="-5"/>
              </w:rPr>
              <w:t>15.0</w:t>
            </w:r>
          </w:p>
        </w:tc>
        <w:tc>
          <w:tcPr>
            <w:tcW w:w="1079" w:type="dxa"/>
            <w:vAlign w:val="top"/>
          </w:tcPr>
          <w:p>
            <w:pPr>
              <w:spacing w:line="255" w:lineRule="auto"/>
              <w:rPr>
                <w:rFonts w:ascii="Arial"/>
                <w:sz w:val="21"/>
              </w:rPr>
            </w:pPr>
            <w:r/>
          </w:p>
          <w:p>
            <w:pPr>
              <w:pStyle w:val="TableText"/>
              <w:ind w:left="338"/>
              <w:spacing w:before="65" w:line="183" w:lineRule="auto"/>
              <w:rPr>
                <w:sz w:val="20"/>
                <w:szCs w:val="20"/>
              </w:rPr>
            </w:pPr>
            <w:r>
              <w:rPr>
                <w:sz w:val="20"/>
                <w:szCs w:val="20"/>
                <w:spacing w:val="-2"/>
              </w:rPr>
              <w:t>25.2</w:t>
            </w:r>
          </w:p>
        </w:tc>
        <w:tc>
          <w:tcPr>
            <w:tcW w:w="1044" w:type="dxa"/>
            <w:vAlign w:val="top"/>
          </w:tcPr>
          <w:p>
            <w:pPr>
              <w:pStyle w:val="TableText"/>
              <w:ind w:left="419"/>
              <w:spacing w:before="290" w:line="241" w:lineRule="auto"/>
              <w:rPr>
                <w:sz w:val="20"/>
                <w:szCs w:val="20"/>
              </w:rPr>
            </w:pPr>
            <w:r>
              <w:rPr>
                <w:sz w:val="20"/>
                <w:szCs w:val="20"/>
                <w:spacing w:val="-5"/>
              </w:rPr>
              <w:t>lm</w:t>
            </w:r>
          </w:p>
        </w:tc>
      </w:tr>
      <w:tr>
        <w:trPr>
          <w:trHeight w:val="589" w:hRule="atLeast"/>
        </w:trPr>
        <w:tc>
          <w:tcPr>
            <w:tcW w:w="765" w:type="dxa"/>
            <w:vAlign w:val="top"/>
          </w:tcPr>
          <w:p>
            <w:pPr>
              <w:pStyle w:val="TableText"/>
              <w:ind w:left="325"/>
              <w:spacing w:before="252" w:line="183" w:lineRule="auto"/>
              <w:rPr>
                <w:sz w:val="20"/>
                <w:szCs w:val="20"/>
              </w:rPr>
            </w:pPr>
            <w:r>
              <w:rPr>
                <w:sz w:val="20"/>
                <w:szCs w:val="20"/>
              </w:rPr>
              <w:t>2</w:t>
            </w:r>
          </w:p>
        </w:tc>
        <w:tc>
          <w:tcPr>
            <w:tcW w:w="1619" w:type="dxa"/>
            <w:vAlign w:val="top"/>
          </w:tcPr>
          <w:p>
            <w:pPr>
              <w:pStyle w:val="TableText"/>
              <w:ind w:left="200"/>
              <w:spacing w:before="199" w:line="219" w:lineRule="auto"/>
              <w:rPr>
                <w:sz w:val="20"/>
                <w:szCs w:val="20"/>
              </w:rPr>
            </w:pPr>
            <w:r>
              <w:rPr>
                <w:sz w:val="20"/>
                <w:szCs w:val="20"/>
                <w:spacing w:val="-2"/>
              </w:rPr>
              <w:t>厂房楼顶风机</w:t>
            </w:r>
          </w:p>
        </w:tc>
        <w:tc>
          <w:tcPr>
            <w:tcW w:w="1020" w:type="dxa"/>
            <w:vAlign w:val="top"/>
          </w:tcPr>
          <w:p>
            <w:pPr>
              <w:pStyle w:val="TableText"/>
              <w:ind w:left="401"/>
              <w:spacing w:before="252" w:line="183" w:lineRule="auto"/>
              <w:rPr>
                <w:sz w:val="20"/>
                <w:szCs w:val="20"/>
              </w:rPr>
            </w:pPr>
            <w:r>
              <w:rPr>
                <w:sz w:val="20"/>
                <w:szCs w:val="20"/>
                <w:spacing w:val="-3"/>
              </w:rPr>
              <w:t>38</w:t>
            </w:r>
          </w:p>
        </w:tc>
        <w:tc>
          <w:tcPr>
            <w:tcW w:w="1189" w:type="dxa"/>
            <w:vAlign w:val="top"/>
          </w:tcPr>
          <w:p>
            <w:pPr>
              <w:pStyle w:val="TableText"/>
              <w:ind w:left="331"/>
              <w:spacing w:before="251" w:line="184" w:lineRule="auto"/>
              <w:rPr>
                <w:sz w:val="20"/>
                <w:szCs w:val="20"/>
              </w:rPr>
            </w:pPr>
            <w:r>
              <w:rPr>
                <w:sz w:val="20"/>
                <w:szCs w:val="20"/>
                <w:spacing w:val="-4"/>
              </w:rPr>
              <w:t>162.2</w:t>
            </w:r>
          </w:p>
        </w:tc>
        <w:tc>
          <w:tcPr>
            <w:tcW w:w="1079" w:type="dxa"/>
            <w:vAlign w:val="top"/>
          </w:tcPr>
          <w:p>
            <w:pPr>
              <w:pStyle w:val="TableText"/>
              <w:ind w:left="332"/>
              <w:spacing w:before="252" w:line="183" w:lineRule="auto"/>
              <w:rPr>
                <w:sz w:val="20"/>
                <w:szCs w:val="20"/>
              </w:rPr>
            </w:pPr>
            <w:r>
              <w:rPr>
                <w:sz w:val="20"/>
                <w:szCs w:val="20"/>
                <w:spacing w:val="-2"/>
              </w:rPr>
              <w:t>98.5</w:t>
            </w:r>
          </w:p>
        </w:tc>
        <w:tc>
          <w:tcPr>
            <w:tcW w:w="1029" w:type="dxa"/>
            <w:vAlign w:val="top"/>
          </w:tcPr>
          <w:p>
            <w:pPr>
              <w:pStyle w:val="TableText"/>
              <w:ind w:left="403"/>
              <w:spacing w:before="252" w:line="183" w:lineRule="auto"/>
              <w:rPr>
                <w:sz w:val="20"/>
                <w:szCs w:val="20"/>
              </w:rPr>
            </w:pPr>
            <w:r>
              <w:rPr>
                <w:sz w:val="20"/>
                <w:szCs w:val="20"/>
                <w:spacing w:val="-3"/>
              </w:rPr>
              <w:t>65</w:t>
            </w:r>
          </w:p>
        </w:tc>
        <w:tc>
          <w:tcPr>
            <w:tcW w:w="1579" w:type="dxa"/>
            <w:vAlign w:val="top"/>
          </w:tcPr>
          <w:p>
            <w:pPr>
              <w:pStyle w:val="TableText"/>
              <w:ind w:left="734"/>
              <w:spacing w:before="206" w:line="224" w:lineRule="auto"/>
              <w:rPr>
                <w:sz w:val="20"/>
                <w:szCs w:val="20"/>
              </w:rPr>
            </w:pPr>
            <w:r>
              <w:rPr>
                <w:sz w:val="20"/>
                <w:szCs w:val="20"/>
              </w:rPr>
              <w:t>/</w:t>
            </w:r>
          </w:p>
        </w:tc>
        <w:tc>
          <w:tcPr>
            <w:tcW w:w="1249" w:type="dxa"/>
            <w:vAlign w:val="top"/>
          </w:tcPr>
          <w:p>
            <w:pPr>
              <w:pStyle w:val="TableText"/>
              <w:ind w:left="415"/>
              <w:spacing w:before="252" w:line="183" w:lineRule="auto"/>
              <w:rPr>
                <w:sz w:val="20"/>
                <w:szCs w:val="20"/>
              </w:rPr>
            </w:pPr>
            <w:r>
              <w:rPr>
                <w:sz w:val="20"/>
                <w:szCs w:val="20"/>
                <w:spacing w:val="-3"/>
              </w:rPr>
              <w:t>39.4</w:t>
            </w:r>
          </w:p>
        </w:tc>
        <w:tc>
          <w:tcPr>
            <w:tcW w:w="1259" w:type="dxa"/>
            <w:vAlign w:val="top"/>
          </w:tcPr>
          <w:p>
            <w:pPr>
              <w:pStyle w:val="TableText"/>
              <w:ind w:left="426"/>
              <w:spacing w:before="252" w:line="183" w:lineRule="auto"/>
              <w:rPr>
                <w:sz w:val="20"/>
                <w:szCs w:val="20"/>
              </w:rPr>
            </w:pPr>
            <w:r>
              <w:rPr>
                <w:sz w:val="20"/>
                <w:szCs w:val="20"/>
                <w:spacing w:val="-2"/>
              </w:rPr>
              <w:t>26.8</w:t>
            </w:r>
          </w:p>
        </w:tc>
        <w:tc>
          <w:tcPr>
            <w:tcW w:w="1249" w:type="dxa"/>
            <w:vAlign w:val="top"/>
          </w:tcPr>
          <w:p>
            <w:pPr>
              <w:pStyle w:val="TableText"/>
              <w:ind w:left="417"/>
              <w:spacing w:before="251" w:line="184" w:lineRule="auto"/>
              <w:rPr>
                <w:sz w:val="20"/>
                <w:szCs w:val="20"/>
              </w:rPr>
            </w:pPr>
            <w:r>
              <w:rPr>
                <w:sz w:val="20"/>
                <w:szCs w:val="20"/>
                <w:spacing w:val="-3"/>
              </w:rPr>
              <w:t>31.1</w:t>
            </w:r>
          </w:p>
        </w:tc>
        <w:tc>
          <w:tcPr>
            <w:tcW w:w="1079" w:type="dxa"/>
            <w:vAlign w:val="top"/>
          </w:tcPr>
          <w:p>
            <w:pPr>
              <w:pStyle w:val="TableText"/>
              <w:ind w:left="338"/>
              <w:spacing w:before="252" w:line="183" w:lineRule="auto"/>
              <w:rPr>
                <w:sz w:val="20"/>
                <w:szCs w:val="20"/>
              </w:rPr>
            </w:pPr>
            <w:r>
              <w:rPr>
                <w:sz w:val="20"/>
                <w:szCs w:val="20"/>
                <w:spacing w:val="-3"/>
              </w:rPr>
              <w:t>34.7</w:t>
            </w:r>
          </w:p>
        </w:tc>
        <w:tc>
          <w:tcPr>
            <w:tcW w:w="1044" w:type="dxa"/>
            <w:vAlign w:val="top"/>
          </w:tcPr>
          <w:p>
            <w:pPr>
              <w:spacing w:line="255" w:lineRule="auto"/>
              <w:rPr>
                <w:rFonts w:ascii="Arial"/>
                <w:sz w:val="21"/>
              </w:rPr>
            </w:pPr>
            <w:r/>
          </w:p>
          <w:p>
            <w:pPr>
              <w:pStyle w:val="TableText"/>
              <w:ind w:left="419"/>
              <w:spacing w:before="65" w:line="184" w:lineRule="auto"/>
              <w:rPr>
                <w:sz w:val="20"/>
                <w:szCs w:val="20"/>
              </w:rPr>
            </w:pPr>
            <w:r>
              <w:rPr>
                <w:sz w:val="20"/>
                <w:szCs w:val="20"/>
                <w:spacing w:val="-6"/>
              </w:rPr>
              <w:t>1m</w:t>
            </w:r>
          </w:p>
        </w:tc>
      </w:tr>
      <w:tr>
        <w:trPr>
          <w:trHeight w:val="599" w:hRule="atLeast"/>
        </w:trPr>
        <w:tc>
          <w:tcPr>
            <w:tcW w:w="765" w:type="dxa"/>
            <w:vAlign w:val="top"/>
          </w:tcPr>
          <w:p>
            <w:pPr>
              <w:pStyle w:val="TableText"/>
              <w:ind w:left="325"/>
              <w:spacing w:before="253" w:line="183" w:lineRule="auto"/>
              <w:rPr>
                <w:sz w:val="20"/>
                <w:szCs w:val="20"/>
              </w:rPr>
            </w:pPr>
            <w:r>
              <w:rPr>
                <w:sz w:val="20"/>
                <w:szCs w:val="20"/>
              </w:rPr>
              <w:t>3</w:t>
            </w:r>
          </w:p>
        </w:tc>
        <w:tc>
          <w:tcPr>
            <w:tcW w:w="1619" w:type="dxa"/>
            <w:vAlign w:val="top"/>
          </w:tcPr>
          <w:p>
            <w:pPr>
              <w:pStyle w:val="TableText"/>
              <w:ind w:left="699" w:right="189" w:hanging="499"/>
              <w:spacing w:before="81" w:line="232" w:lineRule="auto"/>
              <w:rPr>
                <w:sz w:val="20"/>
                <w:szCs w:val="20"/>
              </w:rPr>
            </w:pPr>
            <w:r>
              <w:rPr>
                <w:sz w:val="20"/>
                <w:szCs w:val="20"/>
                <w:spacing w:val="3"/>
              </w:rPr>
              <w:t>厂房楼顶冷却</w:t>
            </w:r>
            <w:r>
              <w:rPr>
                <w:sz w:val="20"/>
                <w:szCs w:val="20"/>
              </w:rPr>
              <w:t xml:space="preserve"> </w:t>
            </w:r>
            <w:r>
              <w:rPr>
                <w:sz w:val="20"/>
                <w:szCs w:val="20"/>
              </w:rPr>
              <w:t>塔</w:t>
            </w:r>
          </w:p>
        </w:tc>
        <w:tc>
          <w:tcPr>
            <w:tcW w:w="1020" w:type="dxa"/>
            <w:vAlign w:val="top"/>
          </w:tcPr>
          <w:p>
            <w:pPr>
              <w:pStyle w:val="TableText"/>
              <w:ind w:left="301"/>
              <w:spacing w:before="252" w:line="184" w:lineRule="auto"/>
              <w:rPr>
                <w:sz w:val="20"/>
                <w:szCs w:val="20"/>
              </w:rPr>
            </w:pPr>
            <w:r>
              <w:rPr>
                <w:sz w:val="20"/>
                <w:szCs w:val="20"/>
                <w:spacing w:val="-3"/>
              </w:rPr>
              <w:t>53.1</w:t>
            </w:r>
          </w:p>
        </w:tc>
        <w:tc>
          <w:tcPr>
            <w:tcW w:w="1189" w:type="dxa"/>
            <w:vAlign w:val="top"/>
          </w:tcPr>
          <w:p>
            <w:pPr>
              <w:pStyle w:val="TableText"/>
              <w:ind w:left="331"/>
              <w:spacing w:before="252" w:line="184" w:lineRule="auto"/>
              <w:rPr>
                <w:sz w:val="20"/>
                <w:szCs w:val="20"/>
              </w:rPr>
            </w:pPr>
            <w:r>
              <w:rPr>
                <w:sz w:val="20"/>
                <w:szCs w:val="20"/>
                <w:spacing w:val="-4"/>
              </w:rPr>
              <w:t>187.2</w:t>
            </w:r>
          </w:p>
        </w:tc>
        <w:tc>
          <w:tcPr>
            <w:tcW w:w="1079" w:type="dxa"/>
            <w:vAlign w:val="top"/>
          </w:tcPr>
          <w:p>
            <w:pPr>
              <w:pStyle w:val="TableText"/>
              <w:ind w:left="432"/>
              <w:spacing w:before="253" w:line="183" w:lineRule="auto"/>
              <w:rPr>
                <w:sz w:val="20"/>
                <w:szCs w:val="20"/>
              </w:rPr>
            </w:pPr>
            <w:r>
              <w:rPr>
                <w:sz w:val="20"/>
                <w:szCs w:val="20"/>
                <w:spacing w:val="-3"/>
              </w:rPr>
              <w:t>62</w:t>
            </w:r>
          </w:p>
        </w:tc>
        <w:tc>
          <w:tcPr>
            <w:tcW w:w="1029" w:type="dxa"/>
            <w:vAlign w:val="top"/>
          </w:tcPr>
          <w:p>
            <w:pPr>
              <w:pStyle w:val="TableText"/>
              <w:ind w:left="253"/>
              <w:spacing w:before="252" w:line="184" w:lineRule="auto"/>
              <w:rPr>
                <w:sz w:val="20"/>
                <w:szCs w:val="20"/>
              </w:rPr>
            </w:pPr>
            <w:r>
              <w:rPr>
                <w:sz w:val="20"/>
                <w:szCs w:val="20"/>
                <w:spacing w:val="-4"/>
              </w:rPr>
              <w:t>118.2</w:t>
            </w:r>
          </w:p>
        </w:tc>
        <w:tc>
          <w:tcPr>
            <w:tcW w:w="1579" w:type="dxa"/>
            <w:vAlign w:val="top"/>
          </w:tcPr>
          <w:p>
            <w:pPr>
              <w:pStyle w:val="TableText"/>
              <w:ind w:left="734"/>
              <w:spacing w:before="207" w:line="224" w:lineRule="auto"/>
              <w:rPr>
                <w:sz w:val="20"/>
                <w:szCs w:val="20"/>
              </w:rPr>
            </w:pPr>
            <w:r>
              <w:rPr>
                <w:sz w:val="20"/>
                <w:szCs w:val="20"/>
              </w:rPr>
              <w:t>/</w:t>
            </w:r>
          </w:p>
        </w:tc>
        <w:tc>
          <w:tcPr>
            <w:tcW w:w="1249" w:type="dxa"/>
            <w:vAlign w:val="top"/>
          </w:tcPr>
          <w:p>
            <w:pPr>
              <w:pStyle w:val="TableText"/>
              <w:ind w:left="415"/>
              <w:spacing w:before="253" w:line="183" w:lineRule="auto"/>
              <w:rPr>
                <w:sz w:val="20"/>
                <w:szCs w:val="20"/>
              </w:rPr>
            </w:pPr>
            <w:r>
              <w:rPr>
                <w:sz w:val="20"/>
                <w:szCs w:val="20"/>
                <w:spacing w:val="-2"/>
              </w:rPr>
              <w:t>45.0</w:t>
            </w:r>
          </w:p>
        </w:tc>
        <w:tc>
          <w:tcPr>
            <w:tcW w:w="1259" w:type="dxa"/>
            <w:vAlign w:val="top"/>
          </w:tcPr>
          <w:p>
            <w:pPr>
              <w:pStyle w:val="TableText"/>
              <w:ind w:left="426"/>
              <w:spacing w:before="253" w:line="183" w:lineRule="auto"/>
              <w:rPr>
                <w:sz w:val="20"/>
                <w:szCs w:val="20"/>
              </w:rPr>
            </w:pPr>
            <w:r>
              <w:rPr>
                <w:sz w:val="20"/>
                <w:szCs w:val="20"/>
                <w:spacing w:val="-3"/>
              </w:rPr>
              <w:t>34.0</w:t>
            </w:r>
          </w:p>
        </w:tc>
        <w:tc>
          <w:tcPr>
            <w:tcW w:w="1249" w:type="dxa"/>
            <w:vAlign w:val="top"/>
          </w:tcPr>
          <w:p>
            <w:pPr>
              <w:pStyle w:val="TableText"/>
              <w:ind w:left="417"/>
              <w:spacing w:before="253" w:line="183" w:lineRule="auto"/>
              <w:rPr>
                <w:sz w:val="20"/>
                <w:szCs w:val="20"/>
              </w:rPr>
            </w:pPr>
            <w:r>
              <w:rPr>
                <w:sz w:val="20"/>
                <w:szCs w:val="20"/>
                <w:spacing w:val="-2"/>
              </w:rPr>
              <w:t>43.6</w:t>
            </w:r>
          </w:p>
        </w:tc>
        <w:tc>
          <w:tcPr>
            <w:tcW w:w="1079" w:type="dxa"/>
            <w:vAlign w:val="top"/>
          </w:tcPr>
          <w:p>
            <w:pPr>
              <w:pStyle w:val="TableText"/>
              <w:ind w:left="338"/>
              <w:spacing w:before="253" w:line="183" w:lineRule="auto"/>
              <w:rPr>
                <w:sz w:val="20"/>
                <w:szCs w:val="20"/>
              </w:rPr>
            </w:pPr>
            <w:r>
              <w:rPr>
                <w:sz w:val="20"/>
                <w:szCs w:val="20"/>
                <w:spacing w:val="-3"/>
              </w:rPr>
              <w:t>38.0</w:t>
            </w:r>
          </w:p>
        </w:tc>
        <w:tc>
          <w:tcPr>
            <w:tcW w:w="1044" w:type="dxa"/>
            <w:vAlign w:val="top"/>
          </w:tcPr>
          <w:p>
            <w:pPr>
              <w:pStyle w:val="TableText"/>
              <w:ind w:left="419"/>
              <w:spacing w:before="302" w:line="241" w:lineRule="auto"/>
              <w:rPr>
                <w:sz w:val="20"/>
                <w:szCs w:val="20"/>
              </w:rPr>
            </w:pPr>
            <w:r>
              <w:rPr>
                <w:sz w:val="20"/>
                <w:szCs w:val="20"/>
                <w:spacing w:val="-5"/>
              </w:rPr>
              <w:t>lm</w:t>
            </w:r>
          </w:p>
        </w:tc>
      </w:tr>
      <w:tr>
        <w:trPr>
          <w:trHeight w:val="349" w:hRule="atLeast"/>
        </w:trPr>
        <w:tc>
          <w:tcPr>
            <w:tcW w:w="765" w:type="dxa"/>
            <w:vAlign w:val="top"/>
          </w:tcPr>
          <w:p>
            <w:pPr>
              <w:pStyle w:val="TableText"/>
              <w:ind w:left="325"/>
              <w:spacing w:before="134" w:line="183" w:lineRule="auto"/>
              <w:rPr>
                <w:sz w:val="20"/>
                <w:szCs w:val="20"/>
              </w:rPr>
            </w:pPr>
            <w:r>
              <w:rPr>
                <w:sz w:val="20"/>
                <w:szCs w:val="20"/>
              </w:rPr>
              <w:t>4</w:t>
            </w:r>
          </w:p>
        </w:tc>
        <w:tc>
          <w:tcPr>
            <w:tcW w:w="7515" w:type="dxa"/>
            <w:vAlign w:val="top"/>
            <w:gridSpan w:val="6"/>
          </w:tcPr>
          <w:p>
            <w:pPr>
              <w:pStyle w:val="TableText"/>
              <w:ind w:left="3450"/>
              <w:spacing w:before="83" w:line="219" w:lineRule="auto"/>
              <w:rPr>
                <w:sz w:val="20"/>
                <w:szCs w:val="20"/>
              </w:rPr>
            </w:pPr>
            <w:r>
              <w:rPr>
                <w:sz w:val="20"/>
                <w:szCs w:val="20"/>
                <w:spacing w:val="-3"/>
              </w:rPr>
              <w:t>贡献值</w:t>
            </w:r>
          </w:p>
        </w:tc>
        <w:tc>
          <w:tcPr>
            <w:tcW w:w="1249" w:type="dxa"/>
            <w:vAlign w:val="top"/>
          </w:tcPr>
          <w:p>
            <w:pPr>
              <w:pStyle w:val="TableText"/>
              <w:ind w:left="415"/>
              <w:spacing w:before="133" w:line="184" w:lineRule="auto"/>
              <w:rPr>
                <w:sz w:val="20"/>
                <w:szCs w:val="20"/>
              </w:rPr>
            </w:pPr>
            <w:r>
              <w:rPr>
                <w:sz w:val="20"/>
                <w:szCs w:val="20"/>
                <w:spacing w:val="-2"/>
              </w:rPr>
              <w:t>46.1</w:t>
            </w:r>
          </w:p>
        </w:tc>
        <w:tc>
          <w:tcPr>
            <w:tcW w:w="1259" w:type="dxa"/>
            <w:vAlign w:val="top"/>
          </w:tcPr>
          <w:p>
            <w:pPr>
              <w:pStyle w:val="TableText"/>
              <w:ind w:left="426"/>
              <w:spacing w:before="134" w:line="183" w:lineRule="auto"/>
              <w:rPr>
                <w:sz w:val="20"/>
                <w:szCs w:val="20"/>
              </w:rPr>
            </w:pPr>
            <w:r>
              <w:rPr>
                <w:sz w:val="20"/>
                <w:szCs w:val="20"/>
                <w:spacing w:val="-3"/>
              </w:rPr>
              <w:t>34.8</w:t>
            </w:r>
          </w:p>
        </w:tc>
        <w:tc>
          <w:tcPr>
            <w:tcW w:w="1249" w:type="dxa"/>
            <w:vAlign w:val="top"/>
          </w:tcPr>
          <w:p>
            <w:pPr>
              <w:pStyle w:val="TableText"/>
              <w:ind w:left="417"/>
              <w:spacing w:before="134" w:line="183" w:lineRule="auto"/>
              <w:rPr>
                <w:sz w:val="20"/>
                <w:szCs w:val="20"/>
              </w:rPr>
            </w:pPr>
            <w:r>
              <w:rPr>
                <w:sz w:val="20"/>
                <w:szCs w:val="20"/>
                <w:spacing w:val="-2"/>
              </w:rPr>
              <w:t>43.8</w:t>
            </w:r>
          </w:p>
        </w:tc>
        <w:tc>
          <w:tcPr>
            <w:tcW w:w="1079" w:type="dxa"/>
            <w:vAlign w:val="top"/>
          </w:tcPr>
          <w:p>
            <w:pPr>
              <w:pStyle w:val="TableText"/>
              <w:ind w:left="338"/>
              <w:spacing w:before="134" w:line="183" w:lineRule="auto"/>
              <w:rPr>
                <w:sz w:val="20"/>
                <w:szCs w:val="20"/>
              </w:rPr>
            </w:pPr>
            <w:r>
              <w:rPr>
                <w:sz w:val="20"/>
                <w:szCs w:val="20"/>
                <w:spacing w:val="-3"/>
              </w:rPr>
              <w:t>39.8</w:t>
            </w:r>
          </w:p>
        </w:tc>
        <w:tc>
          <w:tcPr>
            <w:tcW w:w="1044" w:type="dxa"/>
            <w:vAlign w:val="top"/>
          </w:tcPr>
          <w:p>
            <w:pPr>
              <w:pStyle w:val="TableText"/>
              <w:ind w:left="419"/>
              <w:spacing w:before="133" w:line="184" w:lineRule="auto"/>
              <w:rPr>
                <w:sz w:val="20"/>
                <w:szCs w:val="20"/>
              </w:rPr>
            </w:pPr>
            <w:r>
              <w:rPr>
                <w:sz w:val="20"/>
                <w:szCs w:val="20"/>
                <w:spacing w:val="-6"/>
              </w:rPr>
              <w:t>1m</w:t>
            </w:r>
          </w:p>
        </w:tc>
      </w:tr>
      <w:tr>
        <w:trPr>
          <w:trHeight w:val="330" w:hRule="atLeast"/>
        </w:trPr>
        <w:tc>
          <w:tcPr>
            <w:tcW w:w="765" w:type="dxa"/>
            <w:vAlign w:val="top"/>
            <w:vMerge w:val="restart"/>
            <w:tcBorders>
              <w:bottom w:val="nil"/>
            </w:tcBorders>
          </w:tcPr>
          <w:p>
            <w:pPr>
              <w:pStyle w:val="TableText"/>
              <w:ind w:left="325"/>
              <w:spacing w:before="296" w:line="182" w:lineRule="auto"/>
              <w:rPr>
                <w:sz w:val="20"/>
                <w:szCs w:val="20"/>
              </w:rPr>
            </w:pPr>
            <w:r>
              <w:rPr>
                <w:sz w:val="20"/>
                <w:szCs w:val="20"/>
              </w:rPr>
              <w:t>5</w:t>
            </w:r>
          </w:p>
        </w:tc>
        <w:tc>
          <w:tcPr>
            <w:tcW w:w="5936" w:type="dxa"/>
            <w:vAlign w:val="top"/>
            <w:gridSpan w:val="5"/>
            <w:vMerge w:val="restart"/>
            <w:tcBorders>
              <w:bottom w:val="nil"/>
            </w:tcBorders>
          </w:tcPr>
          <w:p>
            <w:pPr>
              <w:pStyle w:val="TableText"/>
              <w:ind w:left="2610"/>
              <w:spacing w:before="244" w:line="219" w:lineRule="auto"/>
              <w:rPr>
                <w:sz w:val="20"/>
                <w:szCs w:val="20"/>
              </w:rPr>
            </w:pPr>
            <w:r>
              <w:rPr>
                <w:sz w:val="20"/>
                <w:szCs w:val="20"/>
                <w:spacing w:val="-3"/>
              </w:rPr>
              <w:t>背景值*</w:t>
            </w:r>
          </w:p>
        </w:tc>
        <w:tc>
          <w:tcPr>
            <w:tcW w:w="1579" w:type="dxa"/>
            <w:vAlign w:val="top"/>
          </w:tcPr>
          <w:p>
            <w:pPr>
              <w:pStyle w:val="TableText"/>
              <w:ind w:left="584"/>
              <w:spacing w:before="77" w:line="222" w:lineRule="auto"/>
              <w:rPr>
                <w:sz w:val="20"/>
                <w:szCs w:val="20"/>
              </w:rPr>
            </w:pPr>
            <w:r>
              <w:rPr>
                <w:sz w:val="20"/>
                <w:szCs w:val="20"/>
                <w:spacing w:val="9"/>
              </w:rPr>
              <w:t>昼间</w:t>
            </w:r>
          </w:p>
        </w:tc>
        <w:tc>
          <w:tcPr>
            <w:tcW w:w="1249" w:type="dxa"/>
            <w:vAlign w:val="top"/>
          </w:tcPr>
          <w:p>
            <w:pPr>
              <w:pStyle w:val="TableText"/>
              <w:ind w:left="415"/>
              <w:spacing w:before="126" w:line="179" w:lineRule="auto"/>
              <w:rPr>
                <w:sz w:val="20"/>
                <w:szCs w:val="20"/>
              </w:rPr>
            </w:pPr>
            <w:r>
              <w:rPr>
                <w:sz w:val="20"/>
                <w:szCs w:val="20"/>
                <w:spacing w:val="-3"/>
              </w:rPr>
              <w:t>54.5</w:t>
            </w:r>
          </w:p>
        </w:tc>
        <w:tc>
          <w:tcPr>
            <w:tcW w:w="1259" w:type="dxa"/>
            <w:vAlign w:val="top"/>
          </w:tcPr>
          <w:p>
            <w:pPr>
              <w:pStyle w:val="TableText"/>
              <w:ind w:left="426"/>
              <w:spacing w:before="126" w:line="179" w:lineRule="auto"/>
              <w:rPr>
                <w:sz w:val="20"/>
                <w:szCs w:val="20"/>
              </w:rPr>
            </w:pPr>
            <w:r>
              <w:rPr>
                <w:sz w:val="20"/>
                <w:szCs w:val="20"/>
                <w:spacing w:val="-3"/>
              </w:rPr>
              <w:t>54.9</w:t>
            </w:r>
          </w:p>
        </w:tc>
        <w:tc>
          <w:tcPr>
            <w:tcW w:w="1249" w:type="dxa"/>
            <w:vAlign w:val="top"/>
          </w:tcPr>
          <w:p>
            <w:pPr>
              <w:pStyle w:val="TableText"/>
              <w:ind w:left="417"/>
              <w:spacing w:before="126" w:line="179" w:lineRule="auto"/>
              <w:rPr>
                <w:sz w:val="20"/>
                <w:szCs w:val="20"/>
              </w:rPr>
            </w:pPr>
            <w:r>
              <w:rPr>
                <w:sz w:val="20"/>
                <w:szCs w:val="20"/>
                <w:spacing w:val="-3"/>
              </w:rPr>
              <w:t>54.8</w:t>
            </w:r>
          </w:p>
        </w:tc>
        <w:tc>
          <w:tcPr>
            <w:tcW w:w="1079" w:type="dxa"/>
            <w:vAlign w:val="top"/>
          </w:tcPr>
          <w:p>
            <w:pPr>
              <w:pStyle w:val="TableText"/>
              <w:ind w:left="338"/>
              <w:spacing w:before="126" w:line="179" w:lineRule="auto"/>
              <w:rPr>
                <w:sz w:val="20"/>
                <w:szCs w:val="20"/>
              </w:rPr>
            </w:pPr>
            <w:r>
              <w:rPr>
                <w:sz w:val="20"/>
                <w:szCs w:val="20"/>
                <w:spacing w:val="-3"/>
              </w:rPr>
              <w:t>54.7</w:t>
            </w:r>
          </w:p>
        </w:tc>
        <w:tc>
          <w:tcPr>
            <w:tcW w:w="1044" w:type="dxa"/>
            <w:vAlign w:val="top"/>
          </w:tcPr>
          <w:p>
            <w:pPr>
              <w:pStyle w:val="TableText"/>
              <w:ind w:left="419"/>
              <w:spacing w:before="93" w:line="209" w:lineRule="auto"/>
              <w:rPr>
                <w:sz w:val="20"/>
                <w:szCs w:val="20"/>
              </w:rPr>
            </w:pPr>
            <w:r>
              <w:rPr>
                <w:sz w:val="20"/>
                <w:szCs w:val="20"/>
                <w:spacing w:val="-5"/>
              </w:rPr>
              <w:t>lm</w:t>
            </w:r>
          </w:p>
        </w:tc>
      </w:tr>
      <w:tr>
        <w:trPr>
          <w:trHeight w:val="330" w:hRule="atLeast"/>
        </w:trPr>
        <w:tc>
          <w:tcPr>
            <w:tcW w:w="765" w:type="dxa"/>
            <w:vAlign w:val="top"/>
            <w:vMerge w:val="continue"/>
            <w:tcBorders>
              <w:top w:val="nil"/>
            </w:tcBorders>
          </w:tcPr>
          <w:p>
            <w:pPr>
              <w:rPr>
                <w:rFonts w:ascii="Arial"/>
                <w:sz w:val="21"/>
              </w:rPr>
            </w:pPr>
            <w:r/>
          </w:p>
        </w:tc>
        <w:tc>
          <w:tcPr>
            <w:tcW w:w="5936" w:type="dxa"/>
            <w:vAlign w:val="top"/>
            <w:gridSpan w:val="5"/>
            <w:vMerge w:val="continue"/>
            <w:tcBorders>
              <w:top w:val="nil"/>
            </w:tcBorders>
          </w:tcPr>
          <w:p>
            <w:pPr>
              <w:rPr>
                <w:rFonts w:ascii="Arial"/>
                <w:sz w:val="21"/>
              </w:rPr>
            </w:pPr>
            <w:r/>
          </w:p>
        </w:tc>
        <w:tc>
          <w:tcPr>
            <w:tcW w:w="1579" w:type="dxa"/>
            <w:vAlign w:val="top"/>
          </w:tcPr>
          <w:p>
            <w:pPr>
              <w:pStyle w:val="TableText"/>
              <w:ind w:left="584"/>
              <w:spacing w:before="74" w:line="219" w:lineRule="auto"/>
              <w:rPr>
                <w:sz w:val="20"/>
                <w:szCs w:val="20"/>
              </w:rPr>
            </w:pPr>
            <w:r>
              <w:rPr>
                <w:sz w:val="20"/>
                <w:szCs w:val="20"/>
                <w:spacing w:val="9"/>
              </w:rPr>
              <w:t>夜间</w:t>
            </w:r>
          </w:p>
        </w:tc>
        <w:tc>
          <w:tcPr>
            <w:tcW w:w="1249" w:type="dxa"/>
            <w:vAlign w:val="top"/>
          </w:tcPr>
          <w:p>
            <w:pPr>
              <w:pStyle w:val="TableText"/>
              <w:ind w:left="415"/>
              <w:spacing w:before="126" w:line="179" w:lineRule="auto"/>
              <w:rPr>
                <w:sz w:val="20"/>
                <w:szCs w:val="20"/>
              </w:rPr>
            </w:pPr>
            <w:r>
              <w:rPr>
                <w:sz w:val="20"/>
                <w:szCs w:val="20"/>
                <w:spacing w:val="-2"/>
              </w:rPr>
              <w:t>46.4</w:t>
            </w:r>
          </w:p>
        </w:tc>
        <w:tc>
          <w:tcPr>
            <w:tcW w:w="1259" w:type="dxa"/>
            <w:vAlign w:val="top"/>
          </w:tcPr>
          <w:p>
            <w:pPr>
              <w:pStyle w:val="TableText"/>
              <w:ind w:left="426"/>
              <w:spacing w:before="126" w:line="179" w:lineRule="auto"/>
              <w:rPr>
                <w:sz w:val="20"/>
                <w:szCs w:val="20"/>
              </w:rPr>
            </w:pPr>
            <w:r>
              <w:rPr>
                <w:sz w:val="20"/>
                <w:szCs w:val="20"/>
                <w:spacing w:val="-2"/>
              </w:rPr>
              <w:t>44.2</w:t>
            </w:r>
          </w:p>
        </w:tc>
        <w:tc>
          <w:tcPr>
            <w:tcW w:w="1249" w:type="dxa"/>
            <w:vAlign w:val="top"/>
          </w:tcPr>
          <w:p>
            <w:pPr>
              <w:pStyle w:val="TableText"/>
              <w:ind w:left="417"/>
              <w:spacing w:before="126" w:line="179" w:lineRule="auto"/>
              <w:rPr>
                <w:sz w:val="20"/>
                <w:szCs w:val="20"/>
              </w:rPr>
            </w:pPr>
            <w:r>
              <w:rPr>
                <w:sz w:val="20"/>
                <w:szCs w:val="20"/>
                <w:spacing w:val="-2"/>
              </w:rPr>
              <w:t>49.5</w:t>
            </w:r>
          </w:p>
        </w:tc>
        <w:tc>
          <w:tcPr>
            <w:tcW w:w="1079" w:type="dxa"/>
            <w:vAlign w:val="top"/>
          </w:tcPr>
          <w:p>
            <w:pPr>
              <w:pStyle w:val="TableText"/>
              <w:ind w:left="338"/>
              <w:spacing w:before="126" w:line="179" w:lineRule="auto"/>
              <w:rPr>
                <w:sz w:val="20"/>
                <w:szCs w:val="20"/>
              </w:rPr>
            </w:pPr>
            <w:r>
              <w:rPr>
                <w:sz w:val="20"/>
                <w:szCs w:val="20"/>
                <w:spacing w:val="-2"/>
              </w:rPr>
              <w:t>47.3</w:t>
            </w:r>
          </w:p>
        </w:tc>
        <w:tc>
          <w:tcPr>
            <w:tcW w:w="1044" w:type="dxa"/>
            <w:vAlign w:val="top"/>
          </w:tcPr>
          <w:p>
            <w:pPr>
              <w:pStyle w:val="TableText"/>
              <w:ind w:left="419"/>
              <w:spacing w:before="93" w:line="209" w:lineRule="auto"/>
              <w:rPr>
                <w:sz w:val="20"/>
                <w:szCs w:val="20"/>
              </w:rPr>
            </w:pPr>
            <w:r>
              <w:rPr>
                <w:sz w:val="20"/>
                <w:szCs w:val="20"/>
                <w:spacing w:val="-5"/>
              </w:rPr>
              <w:t>lm</w:t>
            </w:r>
          </w:p>
        </w:tc>
      </w:tr>
      <w:tr>
        <w:trPr>
          <w:trHeight w:val="359" w:hRule="atLeast"/>
        </w:trPr>
        <w:tc>
          <w:tcPr>
            <w:tcW w:w="765" w:type="dxa"/>
            <w:vAlign w:val="top"/>
            <w:vMerge w:val="restart"/>
            <w:tcBorders>
              <w:bottom w:val="nil"/>
            </w:tcBorders>
          </w:tcPr>
          <w:p>
            <w:pPr>
              <w:pStyle w:val="TableText"/>
              <w:ind w:left="325"/>
              <w:spacing w:before="305" w:line="183" w:lineRule="auto"/>
              <w:rPr>
                <w:sz w:val="20"/>
                <w:szCs w:val="20"/>
              </w:rPr>
            </w:pPr>
            <w:r>
              <w:rPr>
                <w:sz w:val="20"/>
                <w:szCs w:val="20"/>
              </w:rPr>
              <w:t>6</w:t>
            </w:r>
          </w:p>
        </w:tc>
        <w:tc>
          <w:tcPr>
            <w:tcW w:w="5936" w:type="dxa"/>
            <w:vAlign w:val="top"/>
            <w:gridSpan w:val="5"/>
            <w:vMerge w:val="restart"/>
            <w:tcBorders>
              <w:bottom w:val="nil"/>
            </w:tcBorders>
          </w:tcPr>
          <w:p>
            <w:pPr>
              <w:pStyle w:val="TableText"/>
              <w:ind w:left="2660"/>
              <w:spacing w:before="254" w:line="219" w:lineRule="auto"/>
              <w:rPr>
                <w:sz w:val="20"/>
                <w:szCs w:val="20"/>
              </w:rPr>
            </w:pPr>
            <w:r>
              <w:rPr>
                <w:sz w:val="20"/>
                <w:szCs w:val="20"/>
                <w:spacing w:val="-3"/>
              </w:rPr>
              <w:t>预测值</w:t>
            </w:r>
          </w:p>
        </w:tc>
        <w:tc>
          <w:tcPr>
            <w:tcW w:w="1579" w:type="dxa"/>
            <w:vAlign w:val="top"/>
          </w:tcPr>
          <w:p>
            <w:pPr>
              <w:pStyle w:val="TableText"/>
              <w:ind w:left="584"/>
              <w:spacing w:before="87" w:line="222" w:lineRule="auto"/>
              <w:rPr>
                <w:sz w:val="20"/>
                <w:szCs w:val="20"/>
              </w:rPr>
            </w:pPr>
            <w:r>
              <w:rPr>
                <w:sz w:val="20"/>
                <w:szCs w:val="20"/>
                <w:spacing w:val="9"/>
              </w:rPr>
              <w:t>昼间</w:t>
            </w:r>
          </w:p>
        </w:tc>
        <w:tc>
          <w:tcPr>
            <w:tcW w:w="1249" w:type="dxa"/>
            <w:vAlign w:val="top"/>
          </w:tcPr>
          <w:p>
            <w:pPr>
              <w:pStyle w:val="TableText"/>
              <w:ind w:left="415"/>
              <w:spacing w:before="134" w:line="184" w:lineRule="auto"/>
              <w:rPr>
                <w:sz w:val="20"/>
                <w:szCs w:val="20"/>
              </w:rPr>
            </w:pPr>
            <w:r>
              <w:rPr>
                <w:sz w:val="20"/>
                <w:szCs w:val="20"/>
                <w:spacing w:val="-3"/>
              </w:rPr>
              <w:t>55.1</w:t>
            </w:r>
          </w:p>
        </w:tc>
        <w:tc>
          <w:tcPr>
            <w:tcW w:w="1259" w:type="dxa"/>
            <w:vAlign w:val="top"/>
          </w:tcPr>
          <w:p>
            <w:pPr>
              <w:pStyle w:val="TableText"/>
              <w:ind w:left="426"/>
              <w:spacing w:before="135" w:line="183" w:lineRule="auto"/>
              <w:rPr>
                <w:sz w:val="20"/>
                <w:szCs w:val="20"/>
              </w:rPr>
            </w:pPr>
            <w:r>
              <w:rPr>
                <w:sz w:val="20"/>
                <w:szCs w:val="20"/>
                <w:spacing w:val="-3"/>
              </w:rPr>
              <w:t>54.9</w:t>
            </w:r>
          </w:p>
        </w:tc>
        <w:tc>
          <w:tcPr>
            <w:tcW w:w="1249" w:type="dxa"/>
            <w:vAlign w:val="top"/>
          </w:tcPr>
          <w:p>
            <w:pPr>
              <w:pStyle w:val="TableText"/>
              <w:ind w:left="417"/>
              <w:spacing w:before="134" w:line="184" w:lineRule="auto"/>
              <w:rPr>
                <w:sz w:val="20"/>
                <w:szCs w:val="20"/>
              </w:rPr>
            </w:pPr>
            <w:r>
              <w:rPr>
                <w:sz w:val="20"/>
                <w:szCs w:val="20"/>
                <w:spacing w:val="-3"/>
              </w:rPr>
              <w:t>55.1</w:t>
            </w:r>
          </w:p>
        </w:tc>
        <w:tc>
          <w:tcPr>
            <w:tcW w:w="1079" w:type="dxa"/>
            <w:vAlign w:val="top"/>
          </w:tcPr>
          <w:p>
            <w:pPr>
              <w:pStyle w:val="TableText"/>
              <w:ind w:left="338"/>
              <w:spacing w:before="135" w:line="183" w:lineRule="auto"/>
              <w:rPr>
                <w:sz w:val="20"/>
                <w:szCs w:val="20"/>
              </w:rPr>
            </w:pPr>
            <w:r>
              <w:rPr>
                <w:sz w:val="20"/>
                <w:szCs w:val="20"/>
                <w:spacing w:val="-3"/>
              </w:rPr>
              <w:t>54.8</w:t>
            </w:r>
          </w:p>
        </w:tc>
        <w:tc>
          <w:tcPr>
            <w:tcW w:w="1044" w:type="dxa"/>
            <w:vAlign w:val="top"/>
          </w:tcPr>
          <w:p>
            <w:pPr>
              <w:pStyle w:val="TableText"/>
              <w:ind w:left="419"/>
              <w:spacing w:before="104" w:line="226" w:lineRule="auto"/>
              <w:rPr>
                <w:sz w:val="20"/>
                <w:szCs w:val="20"/>
              </w:rPr>
            </w:pPr>
            <w:r>
              <w:rPr>
                <w:sz w:val="20"/>
                <w:szCs w:val="20"/>
                <w:spacing w:val="-5"/>
              </w:rPr>
              <w:t>lm</w:t>
            </w:r>
          </w:p>
        </w:tc>
      </w:tr>
      <w:tr>
        <w:trPr>
          <w:trHeight w:val="329" w:hRule="atLeast"/>
        </w:trPr>
        <w:tc>
          <w:tcPr>
            <w:tcW w:w="765" w:type="dxa"/>
            <w:vAlign w:val="top"/>
            <w:vMerge w:val="continue"/>
            <w:tcBorders>
              <w:top w:val="nil"/>
            </w:tcBorders>
          </w:tcPr>
          <w:p>
            <w:pPr>
              <w:rPr>
                <w:rFonts w:ascii="Arial"/>
                <w:sz w:val="21"/>
              </w:rPr>
            </w:pPr>
            <w:r/>
          </w:p>
        </w:tc>
        <w:tc>
          <w:tcPr>
            <w:tcW w:w="5936" w:type="dxa"/>
            <w:vAlign w:val="top"/>
            <w:gridSpan w:val="5"/>
            <w:vMerge w:val="continue"/>
            <w:tcBorders>
              <w:top w:val="nil"/>
            </w:tcBorders>
          </w:tcPr>
          <w:p>
            <w:pPr>
              <w:rPr>
                <w:rFonts w:ascii="Arial"/>
                <w:sz w:val="21"/>
              </w:rPr>
            </w:pPr>
            <w:r/>
          </w:p>
        </w:tc>
        <w:tc>
          <w:tcPr>
            <w:tcW w:w="1579" w:type="dxa"/>
            <w:vAlign w:val="top"/>
          </w:tcPr>
          <w:p>
            <w:pPr>
              <w:pStyle w:val="TableText"/>
              <w:ind w:left="584"/>
              <w:spacing w:before="75" w:line="219" w:lineRule="auto"/>
              <w:rPr>
                <w:sz w:val="20"/>
                <w:szCs w:val="20"/>
              </w:rPr>
            </w:pPr>
            <w:r>
              <w:rPr>
                <w:sz w:val="20"/>
                <w:szCs w:val="20"/>
                <w:spacing w:val="9"/>
              </w:rPr>
              <w:t>夜间</w:t>
            </w:r>
          </w:p>
        </w:tc>
        <w:tc>
          <w:tcPr>
            <w:tcW w:w="1249" w:type="dxa"/>
            <w:vAlign w:val="top"/>
          </w:tcPr>
          <w:p>
            <w:pPr>
              <w:pStyle w:val="TableText"/>
              <w:ind w:left="415"/>
              <w:spacing w:before="127" w:line="177" w:lineRule="auto"/>
              <w:rPr>
                <w:sz w:val="20"/>
                <w:szCs w:val="20"/>
              </w:rPr>
            </w:pPr>
            <w:r>
              <w:rPr>
                <w:sz w:val="20"/>
                <w:szCs w:val="20"/>
                <w:spacing w:val="-2"/>
              </w:rPr>
              <w:t>49.3</w:t>
            </w:r>
          </w:p>
        </w:tc>
        <w:tc>
          <w:tcPr>
            <w:tcW w:w="1259" w:type="dxa"/>
            <w:vAlign w:val="top"/>
          </w:tcPr>
          <w:p>
            <w:pPr>
              <w:pStyle w:val="TableText"/>
              <w:ind w:left="426"/>
              <w:spacing w:before="127" w:line="177" w:lineRule="auto"/>
              <w:rPr>
                <w:sz w:val="20"/>
                <w:szCs w:val="20"/>
              </w:rPr>
            </w:pPr>
            <w:r>
              <w:rPr>
                <w:sz w:val="20"/>
                <w:szCs w:val="20"/>
                <w:spacing w:val="-2"/>
              </w:rPr>
              <w:t>44.7</w:t>
            </w:r>
          </w:p>
        </w:tc>
        <w:tc>
          <w:tcPr>
            <w:tcW w:w="1249" w:type="dxa"/>
            <w:vAlign w:val="top"/>
          </w:tcPr>
          <w:p>
            <w:pPr>
              <w:pStyle w:val="TableText"/>
              <w:ind w:left="417"/>
              <w:spacing w:before="127" w:line="177" w:lineRule="auto"/>
              <w:rPr>
                <w:sz w:val="20"/>
                <w:szCs w:val="20"/>
              </w:rPr>
            </w:pPr>
            <w:r>
              <w:rPr>
                <w:sz w:val="20"/>
                <w:szCs w:val="20"/>
                <w:spacing w:val="-3"/>
              </w:rPr>
              <w:t>50.5</w:t>
            </w:r>
          </w:p>
        </w:tc>
        <w:tc>
          <w:tcPr>
            <w:tcW w:w="1079" w:type="dxa"/>
            <w:vAlign w:val="top"/>
          </w:tcPr>
          <w:p>
            <w:pPr>
              <w:pStyle w:val="TableText"/>
              <w:ind w:left="338"/>
              <w:spacing w:before="127" w:line="177" w:lineRule="auto"/>
              <w:rPr>
                <w:sz w:val="20"/>
                <w:szCs w:val="20"/>
              </w:rPr>
            </w:pPr>
            <w:r>
              <w:rPr>
                <w:sz w:val="20"/>
                <w:szCs w:val="20"/>
                <w:spacing w:val="-2"/>
              </w:rPr>
              <w:t>48.0</w:t>
            </w:r>
          </w:p>
        </w:tc>
        <w:tc>
          <w:tcPr>
            <w:tcW w:w="1044" w:type="dxa"/>
            <w:vAlign w:val="top"/>
          </w:tcPr>
          <w:p>
            <w:pPr>
              <w:pStyle w:val="TableText"/>
              <w:ind w:left="419"/>
              <w:spacing w:before="126" w:line="178" w:lineRule="auto"/>
              <w:rPr>
                <w:sz w:val="20"/>
                <w:szCs w:val="20"/>
              </w:rPr>
            </w:pPr>
            <w:r>
              <w:rPr>
                <w:sz w:val="20"/>
                <w:szCs w:val="20"/>
                <w:spacing w:val="-6"/>
              </w:rPr>
              <w:t>1m</w:t>
            </w:r>
          </w:p>
        </w:tc>
      </w:tr>
      <w:tr>
        <w:trPr>
          <w:trHeight w:val="339" w:hRule="atLeast"/>
        </w:trPr>
        <w:tc>
          <w:tcPr>
            <w:tcW w:w="765" w:type="dxa"/>
            <w:vAlign w:val="top"/>
            <w:vMerge w:val="restart"/>
            <w:tcBorders>
              <w:bottom w:val="nil"/>
            </w:tcBorders>
          </w:tcPr>
          <w:p>
            <w:pPr>
              <w:pStyle w:val="TableText"/>
              <w:ind w:left="325"/>
              <w:spacing w:before="298" w:line="182" w:lineRule="auto"/>
              <w:rPr>
                <w:sz w:val="20"/>
                <w:szCs w:val="20"/>
              </w:rPr>
            </w:pPr>
            <w:r>
              <w:rPr>
                <w:sz w:val="20"/>
                <w:szCs w:val="20"/>
              </w:rPr>
              <w:t>7</w:t>
            </w:r>
          </w:p>
        </w:tc>
        <w:tc>
          <w:tcPr>
            <w:tcW w:w="5936" w:type="dxa"/>
            <w:vAlign w:val="top"/>
            <w:gridSpan w:val="5"/>
            <w:vMerge w:val="restart"/>
            <w:tcBorders>
              <w:bottom w:val="nil"/>
            </w:tcBorders>
          </w:tcPr>
          <w:p>
            <w:pPr>
              <w:pStyle w:val="TableText"/>
              <w:ind w:left="2660"/>
              <w:spacing w:before="246" w:line="219" w:lineRule="auto"/>
              <w:rPr>
                <w:sz w:val="20"/>
                <w:szCs w:val="20"/>
              </w:rPr>
            </w:pPr>
            <w:r>
              <w:rPr>
                <w:sz w:val="20"/>
                <w:szCs w:val="20"/>
                <w:spacing w:val="-2"/>
              </w:rPr>
              <w:t>标准值</w:t>
            </w:r>
          </w:p>
        </w:tc>
        <w:tc>
          <w:tcPr>
            <w:tcW w:w="1579" w:type="dxa"/>
            <w:vAlign w:val="top"/>
          </w:tcPr>
          <w:p>
            <w:pPr>
              <w:pStyle w:val="TableText"/>
              <w:ind w:left="584"/>
              <w:spacing w:before="79" w:line="222" w:lineRule="auto"/>
              <w:rPr>
                <w:sz w:val="20"/>
                <w:szCs w:val="20"/>
              </w:rPr>
            </w:pPr>
            <w:r>
              <w:rPr>
                <w:sz w:val="20"/>
                <w:szCs w:val="20"/>
                <w:spacing w:val="9"/>
              </w:rPr>
              <w:t>昼间</w:t>
            </w:r>
          </w:p>
        </w:tc>
        <w:tc>
          <w:tcPr>
            <w:tcW w:w="1249" w:type="dxa"/>
            <w:vAlign w:val="top"/>
          </w:tcPr>
          <w:p>
            <w:pPr>
              <w:pStyle w:val="TableText"/>
              <w:ind w:left="515"/>
              <w:spacing w:before="127" w:line="183" w:lineRule="auto"/>
              <w:rPr>
                <w:sz w:val="20"/>
                <w:szCs w:val="20"/>
              </w:rPr>
            </w:pPr>
            <w:r>
              <w:rPr>
                <w:sz w:val="20"/>
                <w:szCs w:val="20"/>
                <w:spacing w:val="-3"/>
              </w:rPr>
              <w:t>65</w:t>
            </w:r>
          </w:p>
        </w:tc>
        <w:tc>
          <w:tcPr>
            <w:tcW w:w="1259" w:type="dxa"/>
            <w:vAlign w:val="top"/>
          </w:tcPr>
          <w:p>
            <w:pPr>
              <w:pStyle w:val="TableText"/>
              <w:ind w:left="526"/>
              <w:spacing w:before="127" w:line="183" w:lineRule="auto"/>
              <w:rPr>
                <w:sz w:val="20"/>
                <w:szCs w:val="20"/>
              </w:rPr>
            </w:pPr>
            <w:r>
              <w:rPr>
                <w:sz w:val="20"/>
                <w:szCs w:val="20"/>
                <w:spacing w:val="-3"/>
              </w:rPr>
              <w:t>65</w:t>
            </w:r>
          </w:p>
        </w:tc>
        <w:tc>
          <w:tcPr>
            <w:tcW w:w="1249" w:type="dxa"/>
            <w:vAlign w:val="top"/>
          </w:tcPr>
          <w:p>
            <w:pPr>
              <w:pStyle w:val="TableText"/>
              <w:ind w:left="517"/>
              <w:spacing w:before="127" w:line="183" w:lineRule="auto"/>
              <w:rPr>
                <w:sz w:val="20"/>
                <w:szCs w:val="20"/>
              </w:rPr>
            </w:pPr>
            <w:r>
              <w:rPr>
                <w:sz w:val="20"/>
                <w:szCs w:val="20"/>
                <w:spacing w:val="-3"/>
              </w:rPr>
              <w:t>65</w:t>
            </w:r>
          </w:p>
        </w:tc>
        <w:tc>
          <w:tcPr>
            <w:tcW w:w="1079" w:type="dxa"/>
            <w:vAlign w:val="top"/>
          </w:tcPr>
          <w:p>
            <w:pPr>
              <w:pStyle w:val="TableText"/>
              <w:ind w:left="438"/>
              <w:spacing w:before="127" w:line="183" w:lineRule="auto"/>
              <w:rPr>
                <w:sz w:val="20"/>
                <w:szCs w:val="20"/>
              </w:rPr>
            </w:pPr>
            <w:r>
              <w:rPr>
                <w:sz w:val="20"/>
                <w:szCs w:val="20"/>
                <w:spacing w:val="-3"/>
              </w:rPr>
              <w:t>65</w:t>
            </w:r>
          </w:p>
        </w:tc>
        <w:tc>
          <w:tcPr>
            <w:tcW w:w="1044" w:type="dxa"/>
            <w:vAlign w:val="top"/>
          </w:tcPr>
          <w:p>
            <w:pPr>
              <w:pStyle w:val="TableText"/>
              <w:ind w:left="419"/>
              <w:spacing w:before="126" w:line="184" w:lineRule="auto"/>
              <w:rPr>
                <w:sz w:val="20"/>
                <w:szCs w:val="20"/>
              </w:rPr>
            </w:pPr>
            <w:r>
              <w:rPr>
                <w:sz w:val="20"/>
                <w:szCs w:val="20"/>
                <w:spacing w:val="-6"/>
              </w:rPr>
              <w:t>1m</w:t>
            </w:r>
          </w:p>
        </w:tc>
      </w:tr>
      <w:tr>
        <w:trPr>
          <w:trHeight w:val="329" w:hRule="atLeast"/>
        </w:trPr>
        <w:tc>
          <w:tcPr>
            <w:tcW w:w="765" w:type="dxa"/>
            <w:vAlign w:val="top"/>
            <w:vMerge w:val="continue"/>
            <w:tcBorders>
              <w:top w:val="nil"/>
            </w:tcBorders>
          </w:tcPr>
          <w:p>
            <w:pPr>
              <w:rPr>
                <w:rFonts w:ascii="Arial"/>
                <w:sz w:val="21"/>
              </w:rPr>
            </w:pPr>
            <w:r/>
          </w:p>
        </w:tc>
        <w:tc>
          <w:tcPr>
            <w:tcW w:w="5936" w:type="dxa"/>
            <w:vAlign w:val="top"/>
            <w:gridSpan w:val="5"/>
            <w:vMerge w:val="continue"/>
            <w:tcBorders>
              <w:top w:val="nil"/>
            </w:tcBorders>
          </w:tcPr>
          <w:p>
            <w:pPr>
              <w:rPr>
                <w:rFonts w:ascii="Arial"/>
                <w:sz w:val="21"/>
              </w:rPr>
            </w:pPr>
            <w:r/>
          </w:p>
        </w:tc>
        <w:tc>
          <w:tcPr>
            <w:tcW w:w="1579" w:type="dxa"/>
            <w:vAlign w:val="top"/>
          </w:tcPr>
          <w:p>
            <w:pPr>
              <w:pStyle w:val="TableText"/>
              <w:ind w:left="584"/>
              <w:spacing w:before="77" w:line="219" w:lineRule="auto"/>
              <w:rPr>
                <w:sz w:val="20"/>
                <w:szCs w:val="20"/>
              </w:rPr>
            </w:pPr>
            <w:r>
              <w:rPr>
                <w:sz w:val="20"/>
                <w:szCs w:val="20"/>
                <w:spacing w:val="9"/>
              </w:rPr>
              <w:t>夜间</w:t>
            </w:r>
          </w:p>
        </w:tc>
        <w:tc>
          <w:tcPr>
            <w:tcW w:w="1249" w:type="dxa"/>
            <w:vAlign w:val="top"/>
          </w:tcPr>
          <w:p>
            <w:pPr>
              <w:pStyle w:val="TableText"/>
              <w:ind w:left="515"/>
              <w:spacing w:before="130" w:line="174" w:lineRule="auto"/>
              <w:rPr>
                <w:sz w:val="20"/>
                <w:szCs w:val="20"/>
              </w:rPr>
            </w:pPr>
            <w:r>
              <w:rPr>
                <w:sz w:val="20"/>
                <w:szCs w:val="20"/>
                <w:spacing w:val="-3"/>
              </w:rPr>
              <w:t>55</w:t>
            </w:r>
          </w:p>
        </w:tc>
        <w:tc>
          <w:tcPr>
            <w:tcW w:w="1259" w:type="dxa"/>
            <w:vAlign w:val="top"/>
          </w:tcPr>
          <w:p>
            <w:pPr>
              <w:pStyle w:val="TableText"/>
              <w:ind w:left="526"/>
              <w:spacing w:before="130" w:line="174" w:lineRule="auto"/>
              <w:rPr>
                <w:sz w:val="20"/>
                <w:szCs w:val="20"/>
              </w:rPr>
            </w:pPr>
            <w:r>
              <w:rPr>
                <w:sz w:val="20"/>
                <w:szCs w:val="20"/>
                <w:spacing w:val="-3"/>
              </w:rPr>
              <w:t>55</w:t>
            </w:r>
          </w:p>
        </w:tc>
        <w:tc>
          <w:tcPr>
            <w:tcW w:w="1249" w:type="dxa"/>
            <w:vAlign w:val="top"/>
          </w:tcPr>
          <w:p>
            <w:pPr>
              <w:pStyle w:val="TableText"/>
              <w:ind w:left="517"/>
              <w:spacing w:before="130" w:line="174" w:lineRule="auto"/>
              <w:rPr>
                <w:sz w:val="20"/>
                <w:szCs w:val="20"/>
              </w:rPr>
            </w:pPr>
            <w:r>
              <w:rPr>
                <w:sz w:val="20"/>
                <w:szCs w:val="20"/>
                <w:spacing w:val="-3"/>
              </w:rPr>
              <w:t>55</w:t>
            </w:r>
          </w:p>
        </w:tc>
        <w:tc>
          <w:tcPr>
            <w:tcW w:w="1079" w:type="dxa"/>
            <w:vAlign w:val="top"/>
          </w:tcPr>
          <w:p>
            <w:pPr>
              <w:pStyle w:val="TableText"/>
              <w:ind w:left="438"/>
              <w:spacing w:before="130" w:line="174" w:lineRule="auto"/>
              <w:rPr>
                <w:sz w:val="20"/>
                <w:szCs w:val="20"/>
              </w:rPr>
            </w:pPr>
            <w:r>
              <w:rPr>
                <w:sz w:val="20"/>
                <w:szCs w:val="20"/>
                <w:spacing w:val="-3"/>
              </w:rPr>
              <w:t>55</w:t>
            </w:r>
          </w:p>
        </w:tc>
        <w:tc>
          <w:tcPr>
            <w:tcW w:w="1044" w:type="dxa"/>
            <w:vAlign w:val="top"/>
          </w:tcPr>
          <w:p>
            <w:pPr>
              <w:pStyle w:val="TableText"/>
              <w:ind w:left="419"/>
              <w:spacing w:before="96" w:line="205" w:lineRule="auto"/>
              <w:rPr>
                <w:sz w:val="20"/>
                <w:szCs w:val="20"/>
              </w:rPr>
            </w:pPr>
            <w:r>
              <w:rPr>
                <w:sz w:val="20"/>
                <w:szCs w:val="20"/>
                <w:spacing w:val="-5"/>
              </w:rPr>
              <w:t>lm</w:t>
            </w:r>
          </w:p>
        </w:tc>
      </w:tr>
      <w:tr>
        <w:trPr>
          <w:trHeight w:val="349" w:hRule="atLeast"/>
        </w:trPr>
        <w:tc>
          <w:tcPr>
            <w:tcW w:w="765" w:type="dxa"/>
            <w:vAlign w:val="top"/>
          </w:tcPr>
          <w:p>
            <w:pPr>
              <w:pStyle w:val="TableText"/>
              <w:ind w:left="325"/>
              <w:spacing w:before="139" w:line="183" w:lineRule="auto"/>
              <w:rPr>
                <w:sz w:val="20"/>
                <w:szCs w:val="20"/>
              </w:rPr>
            </w:pPr>
            <w:r>
              <w:rPr>
                <w:sz w:val="20"/>
                <w:szCs w:val="20"/>
              </w:rPr>
              <w:t>8</w:t>
            </w:r>
          </w:p>
        </w:tc>
        <w:tc>
          <w:tcPr>
            <w:tcW w:w="7515" w:type="dxa"/>
            <w:vAlign w:val="top"/>
            <w:gridSpan w:val="6"/>
          </w:tcPr>
          <w:p>
            <w:pPr>
              <w:pStyle w:val="TableText"/>
              <w:ind w:left="3350"/>
              <w:spacing w:before="88" w:line="220" w:lineRule="auto"/>
              <w:rPr>
                <w:sz w:val="20"/>
                <w:szCs w:val="20"/>
              </w:rPr>
            </w:pPr>
            <w:r>
              <w:rPr>
                <w:sz w:val="20"/>
                <w:szCs w:val="20"/>
                <w:spacing w:val="-2"/>
              </w:rPr>
              <w:t>达标情况</w:t>
            </w:r>
          </w:p>
        </w:tc>
        <w:tc>
          <w:tcPr>
            <w:tcW w:w="1249" w:type="dxa"/>
            <w:vAlign w:val="top"/>
          </w:tcPr>
          <w:p>
            <w:pPr>
              <w:pStyle w:val="TableText"/>
              <w:ind w:left="415"/>
              <w:spacing w:before="88" w:line="220" w:lineRule="auto"/>
              <w:rPr>
                <w:sz w:val="20"/>
                <w:szCs w:val="20"/>
              </w:rPr>
            </w:pPr>
            <w:r>
              <w:rPr>
                <w:sz w:val="20"/>
                <w:szCs w:val="20"/>
                <w:spacing w:val="-2"/>
              </w:rPr>
              <w:t>达标</w:t>
            </w:r>
          </w:p>
        </w:tc>
        <w:tc>
          <w:tcPr>
            <w:tcW w:w="1259" w:type="dxa"/>
            <w:vAlign w:val="top"/>
          </w:tcPr>
          <w:p>
            <w:pPr>
              <w:pStyle w:val="TableText"/>
              <w:ind w:left="426"/>
              <w:spacing w:before="88" w:line="220" w:lineRule="auto"/>
              <w:rPr>
                <w:sz w:val="20"/>
                <w:szCs w:val="20"/>
              </w:rPr>
            </w:pPr>
            <w:r>
              <w:rPr>
                <w:sz w:val="20"/>
                <w:szCs w:val="20"/>
                <w:spacing w:val="-2"/>
              </w:rPr>
              <w:t>达标</w:t>
            </w:r>
          </w:p>
        </w:tc>
        <w:tc>
          <w:tcPr>
            <w:tcW w:w="1249" w:type="dxa"/>
            <w:vAlign w:val="top"/>
          </w:tcPr>
          <w:p>
            <w:pPr>
              <w:pStyle w:val="TableText"/>
              <w:ind w:left="417"/>
              <w:spacing w:before="88" w:line="220" w:lineRule="auto"/>
              <w:rPr>
                <w:sz w:val="20"/>
                <w:szCs w:val="20"/>
              </w:rPr>
            </w:pPr>
            <w:r>
              <w:rPr>
                <w:sz w:val="20"/>
                <w:szCs w:val="20"/>
                <w:spacing w:val="-2"/>
              </w:rPr>
              <w:t>达标</w:t>
            </w:r>
          </w:p>
        </w:tc>
        <w:tc>
          <w:tcPr>
            <w:tcW w:w="1079" w:type="dxa"/>
            <w:vAlign w:val="top"/>
          </w:tcPr>
          <w:p>
            <w:pPr>
              <w:pStyle w:val="TableText"/>
              <w:ind w:left="338"/>
              <w:spacing w:before="88" w:line="220" w:lineRule="auto"/>
              <w:rPr>
                <w:sz w:val="20"/>
                <w:szCs w:val="20"/>
              </w:rPr>
            </w:pPr>
            <w:r>
              <w:rPr>
                <w:sz w:val="20"/>
                <w:szCs w:val="20"/>
                <w:spacing w:val="-2"/>
              </w:rPr>
              <w:t>达标</w:t>
            </w:r>
          </w:p>
        </w:tc>
        <w:tc>
          <w:tcPr>
            <w:tcW w:w="1044" w:type="dxa"/>
            <w:vAlign w:val="top"/>
          </w:tcPr>
          <w:p>
            <w:pPr>
              <w:pStyle w:val="TableText"/>
              <w:ind w:left="469"/>
              <w:spacing w:before="93" w:line="224" w:lineRule="auto"/>
              <w:rPr>
                <w:sz w:val="20"/>
                <w:szCs w:val="20"/>
              </w:rPr>
            </w:pPr>
            <w:r>
              <w:rPr>
                <w:sz w:val="20"/>
                <w:szCs w:val="20"/>
              </w:rPr>
              <w:t>/</w:t>
            </w:r>
          </w:p>
        </w:tc>
      </w:tr>
      <w:tr>
        <w:trPr>
          <w:trHeight w:val="345" w:hRule="atLeast"/>
        </w:trPr>
        <w:tc>
          <w:tcPr>
            <w:tcW w:w="14160" w:type="dxa"/>
            <w:vAlign w:val="top"/>
            <w:gridSpan w:val="12"/>
          </w:tcPr>
          <w:p>
            <w:pPr>
              <w:pStyle w:val="TableText"/>
              <w:ind w:left="125"/>
              <w:spacing w:before="77" w:line="219" w:lineRule="auto"/>
              <w:rPr>
                <w:sz w:val="20"/>
                <w:szCs w:val="20"/>
              </w:rPr>
            </w:pPr>
            <w:r>
              <w:rPr>
                <w:sz w:val="20"/>
                <w:szCs w:val="20"/>
              </w:rPr>
              <w:t>注：背景值采用二期项目阶段性验收厂界噪声监测值。</w:t>
            </w:r>
          </w:p>
        </w:tc>
      </w:tr>
    </w:tbl>
    <w:p>
      <w:pPr>
        <w:rPr>
          <w:rFonts w:ascii="Arial"/>
          <w:sz w:val="21"/>
        </w:rPr>
      </w:pPr>
      <w:r/>
    </w:p>
    <w:p>
      <w:pPr>
        <w:sectPr>
          <w:footerReference w:type="default" r:id="rId139"/>
          <w:pgSz w:w="16840" w:h="11900"/>
          <w:pgMar w:top="1011" w:right="1354" w:bottom="978" w:left="1314" w:header="0" w:footer="839" w:gutter="0"/>
        </w:sectPr>
        <w:rPr>
          <w:rFonts w:ascii="Arial" w:hAnsi="Arial" w:eastAsia="Arial" w:cs="Arial"/>
          <w:sz w:val="21"/>
          <w:szCs w:val="21"/>
        </w:rPr>
      </w:pPr>
    </w:p>
    <w:p>
      <w:pPr>
        <w:spacing w:line="37" w:lineRule="auto"/>
        <w:rPr>
          <w:rFonts w:ascii="Arial"/>
          <w:sz w:val="2"/>
        </w:rPr>
      </w:pPr>
      <w:r>
        <w:rPr>
          <w:rFonts w:ascii="Arial"/>
          <w:sz w:val="2"/>
        </w:rPr>
      </w:r>
    </w:p>
    <w:tbl>
      <w:tblPr>
        <w:tblStyle w:val="TableNormal"/>
        <w:tblW w:w="88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64"/>
        <w:gridCol w:w="3107"/>
        <w:gridCol w:w="2857"/>
        <w:gridCol w:w="2282"/>
      </w:tblGrid>
      <w:tr>
        <w:trPr>
          <w:trHeight w:val="9798" w:hRule="atLeast"/>
        </w:trPr>
        <w:tc>
          <w:tcPr>
            <w:tcW w:w="564" w:type="dxa"/>
            <w:vAlign w:val="top"/>
            <w:vMerge w:val="restart"/>
            <w:tcBorders>
              <w:bottom w:val="nil"/>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45" w:right="30"/>
              <w:spacing w:before="75" w:line="224" w:lineRule="auto"/>
              <w:jc w:val="both"/>
              <w:rPr/>
            </w:pPr>
            <w:r>
              <w:rPr>
                <w:spacing w:val="7"/>
              </w:rPr>
              <w:t>运营</w:t>
            </w:r>
            <w:r>
              <w:rPr/>
              <w:t xml:space="preserve"> </w:t>
            </w:r>
            <w:r>
              <w:rPr>
                <w:spacing w:val="5"/>
              </w:rPr>
              <w:t>期环</w:t>
            </w:r>
            <w:r>
              <w:rPr/>
              <w:t xml:space="preserve"> </w:t>
            </w:r>
            <w:r>
              <w:rPr>
                <w:spacing w:val="-5"/>
              </w:rPr>
              <w:t>境影</w:t>
            </w:r>
            <w:r>
              <w:rPr/>
              <w:t xml:space="preserve"> </w:t>
            </w:r>
            <w:r>
              <w:rPr>
                <w:spacing w:val="9"/>
              </w:rPr>
              <w:t>响和</w:t>
            </w:r>
            <w:r>
              <w:rPr/>
              <w:t xml:space="preserve"> </w:t>
            </w:r>
            <w:r>
              <w:rPr>
                <w:spacing w:val="8"/>
              </w:rPr>
              <w:t>保护</w:t>
            </w:r>
            <w:r>
              <w:rPr/>
              <w:t xml:space="preserve"> </w:t>
            </w:r>
            <w:r>
              <w:rPr>
                <w:spacing w:val="-3"/>
              </w:rPr>
              <w:t>措施</w:t>
            </w:r>
          </w:p>
        </w:tc>
        <w:tc>
          <w:tcPr>
            <w:tcW w:w="8246" w:type="dxa"/>
            <w:vAlign w:val="top"/>
            <w:gridSpan w:val="3"/>
          </w:tcPr>
          <w:p>
            <w:pPr>
              <w:pStyle w:val="TableText"/>
              <w:ind w:left="134"/>
              <w:spacing w:before="71" w:line="220" w:lineRule="auto"/>
              <w:rPr/>
            </w:pPr>
            <w:r>
              <w:rPr>
                <w:b/>
                <w:bCs/>
                <w:spacing w:val="-4"/>
              </w:rPr>
              <w:t>4.4.3措施可行性分析</w:t>
            </w:r>
          </w:p>
          <w:p>
            <w:pPr>
              <w:pStyle w:val="TableText"/>
              <w:ind w:left="601"/>
              <w:spacing w:before="177" w:line="471" w:lineRule="exact"/>
              <w:rPr/>
            </w:pPr>
            <w:r>
              <w:rPr>
                <w:position w:val="18"/>
              </w:rPr>
              <w:t>本项目的噪声主要是车间设备和公用设备噪声，为确保厂界噪声满足《工</w:t>
            </w:r>
          </w:p>
          <w:p>
            <w:pPr>
              <w:pStyle w:val="TableText"/>
              <w:ind w:left="121"/>
              <w:spacing w:line="219" w:lineRule="auto"/>
              <w:rPr/>
            </w:pPr>
            <w:r>
              <w:rPr>
                <w:spacing w:val="-3"/>
              </w:rPr>
              <w:t>业企业厂界环境噪声排放标准》   (GB12348-2008)中的3类标准要求。建设</w:t>
            </w:r>
          </w:p>
          <w:p>
            <w:pPr>
              <w:pStyle w:val="TableText"/>
              <w:ind w:left="121"/>
              <w:spacing w:before="196" w:line="471" w:lineRule="exact"/>
              <w:rPr/>
            </w:pPr>
            <w:r>
              <w:rPr>
                <w:position w:val="18"/>
              </w:rPr>
              <w:t>单位应噪声的治理要以噪声源的防震降噪措施，阻隔传播途径和对操作工进行</w:t>
            </w:r>
          </w:p>
          <w:p>
            <w:pPr>
              <w:pStyle w:val="TableText"/>
              <w:ind w:left="131"/>
              <w:spacing w:line="220" w:lineRule="auto"/>
              <w:rPr/>
            </w:pPr>
            <w:r>
              <w:rPr>
                <w:spacing w:val="-1"/>
              </w:rPr>
              <w:t>保护三方面相结合。</w:t>
            </w:r>
          </w:p>
          <w:p>
            <w:pPr>
              <w:pStyle w:val="TableText"/>
              <w:ind w:left="611"/>
              <w:spacing w:before="194" w:line="219" w:lineRule="auto"/>
              <w:rPr/>
            </w:pPr>
            <w:r>
              <w:rPr>
                <w:spacing w:val="-1"/>
              </w:rPr>
              <w:t>项目对噪声源采取治理措施如下：</w:t>
            </w:r>
          </w:p>
          <w:p>
            <w:pPr>
              <w:pStyle w:val="TableText"/>
              <w:ind w:left="721"/>
              <w:spacing w:before="179" w:line="220" w:lineRule="auto"/>
              <w:rPr/>
            </w:pPr>
            <w:r>
              <w:rPr/>
              <w:t>(1)选购低噪声设备，对其进行减振处理，进、排风口安装消声器。</w:t>
            </w:r>
          </w:p>
          <w:p>
            <w:pPr>
              <w:pStyle w:val="TableText"/>
              <w:ind w:left="721"/>
              <w:spacing w:before="194" w:line="462" w:lineRule="exact"/>
              <w:rPr/>
            </w:pPr>
            <w:r>
              <w:rPr>
                <w:position w:val="17"/>
              </w:rPr>
              <w:t>(2)主要噪声源上安装减振垫减振处理；风机等空气动力型设备加装消</w:t>
            </w:r>
          </w:p>
          <w:p>
            <w:pPr>
              <w:pStyle w:val="TableText"/>
              <w:ind w:left="131"/>
              <w:spacing w:line="220" w:lineRule="auto"/>
              <w:rPr/>
            </w:pPr>
            <w:r>
              <w:rPr>
                <w:spacing w:val="-2"/>
              </w:rPr>
              <w:t>声器。</w:t>
            </w:r>
          </w:p>
          <w:p>
            <w:pPr>
              <w:pStyle w:val="TableText"/>
              <w:ind w:left="721"/>
              <w:spacing w:before="205" w:line="460" w:lineRule="exact"/>
              <w:rPr/>
            </w:pPr>
            <w:r>
              <w:rPr>
                <w:position w:val="17"/>
              </w:rPr>
              <w:t>(3)管道设计时，注意防振、防冲击、以减轻振动噪声；风管及流体输</w:t>
            </w:r>
          </w:p>
          <w:p>
            <w:pPr>
              <w:pStyle w:val="TableText"/>
              <w:ind w:left="131"/>
              <w:spacing w:line="219" w:lineRule="auto"/>
              <w:rPr/>
            </w:pPr>
            <w:r>
              <w:rPr/>
              <w:t>送减少空气动力性噪声，设备尽量在安装远</w:t>
            </w:r>
            <w:r>
              <w:rPr>
                <w:spacing w:val="-1"/>
              </w:rPr>
              <w:t>离厂界方向。</w:t>
            </w:r>
          </w:p>
          <w:p>
            <w:pPr>
              <w:pStyle w:val="TableText"/>
              <w:ind w:left="721"/>
              <w:spacing w:before="187" w:line="470" w:lineRule="exact"/>
              <w:rPr/>
            </w:pPr>
            <w:r>
              <w:rPr>
                <w:position w:val="18"/>
              </w:rPr>
              <w:t>(4)加强对所有设备的维护和日常维护管理，维持设备处于良好的运转</w:t>
            </w:r>
          </w:p>
          <w:p>
            <w:pPr>
              <w:pStyle w:val="TableText"/>
              <w:ind w:left="131"/>
              <w:spacing w:line="219" w:lineRule="auto"/>
              <w:rPr/>
            </w:pPr>
            <w:r>
              <w:rPr>
                <w:spacing w:val="-1"/>
              </w:rPr>
              <w:t>状态，避免因设备不正常运转而产生的高噪声现象。</w:t>
            </w:r>
          </w:p>
          <w:p>
            <w:pPr>
              <w:pStyle w:val="TableText"/>
              <w:ind w:left="101" w:right="262" w:firstLine="499"/>
              <w:spacing w:before="197" w:line="377" w:lineRule="auto"/>
              <w:rPr/>
            </w:pPr>
            <w:r>
              <w:rPr/>
              <w:t>经过以上处理再加上厂房墙体隔声和距离衰减</w:t>
            </w:r>
            <w:r>
              <w:rPr>
                <w:spacing w:val="-1"/>
              </w:rPr>
              <w:t>后，项目厂界噪声排放可符</w:t>
            </w:r>
            <w:r>
              <w:rPr/>
              <w:t xml:space="preserve"> </w:t>
            </w:r>
            <w:r>
              <w:rPr>
                <w:spacing w:val="-1"/>
              </w:rPr>
              <w:t>合《工业企业厂界环境噪声排放标准》(GB12348-2008)中3类标准，对位于项  </w:t>
            </w:r>
            <w:r>
              <w:rPr>
                <w:spacing w:val="1"/>
              </w:rPr>
              <w:t>目噪声评价范围内的大沙村、石雷洋村的噪声贡献值叠加背景值后昼间和夜间</w:t>
            </w:r>
          </w:p>
          <w:p>
            <w:pPr>
              <w:pStyle w:val="TableText"/>
              <w:ind w:left="111"/>
              <w:spacing w:before="1" w:line="218" w:lineRule="auto"/>
              <w:rPr/>
            </w:pPr>
            <w:r>
              <w:rPr>
                <w:spacing w:val="-2"/>
              </w:rPr>
              <w:t>预测值均符合《声环境质量标准》   (GB3096-2008)2类标准。因此，本项目</w:t>
            </w:r>
          </w:p>
          <w:p>
            <w:pPr>
              <w:pStyle w:val="TableText"/>
              <w:ind w:left="131"/>
              <w:spacing w:before="219" w:line="219" w:lineRule="auto"/>
              <w:rPr/>
            </w:pPr>
            <w:r>
              <w:rPr>
                <w:spacing w:val="-1"/>
              </w:rPr>
              <w:t>噪声治理措施技术可行。</w:t>
            </w:r>
          </w:p>
          <w:p>
            <w:pPr>
              <w:pStyle w:val="TableText"/>
              <w:ind w:left="134"/>
              <w:spacing w:before="184" w:line="220" w:lineRule="auto"/>
              <w:rPr/>
            </w:pPr>
            <w:r>
              <w:rPr>
                <w:b/>
                <w:bCs/>
                <w:spacing w:val="-4"/>
              </w:rPr>
              <w:t>4.4.4噪声监测计划</w:t>
            </w:r>
          </w:p>
          <w:p>
            <w:pPr>
              <w:pStyle w:val="TableText"/>
              <w:ind w:left="611"/>
              <w:spacing w:before="190" w:line="220" w:lineRule="auto"/>
              <w:rPr/>
            </w:pPr>
            <w:r>
              <w:rPr>
                <w:spacing w:val="-1"/>
              </w:rPr>
              <w:t>项目运营期噪声监测计划如下：</w:t>
            </w:r>
          </w:p>
          <w:p>
            <w:pPr>
              <w:pStyle w:val="TableText"/>
              <w:ind w:left="2104"/>
              <w:spacing w:before="192" w:line="220" w:lineRule="auto"/>
              <w:rPr/>
            </w:pPr>
            <w:r>
              <w:rPr>
                <w:b/>
                <w:bCs/>
                <w:spacing w:val="-3"/>
              </w:rPr>
              <w:t>表4.4-7</w:t>
            </w:r>
            <w:r>
              <w:rPr>
                <w:spacing w:val="-3"/>
              </w:rPr>
              <w:t xml:space="preserve">  </w:t>
            </w:r>
            <w:r>
              <w:rPr>
                <w:b/>
                <w:bCs/>
                <w:spacing w:val="-3"/>
              </w:rPr>
              <w:t>项目噪声监测计划一览表</w:t>
            </w:r>
          </w:p>
        </w:tc>
      </w:tr>
      <w:tr>
        <w:trPr>
          <w:trHeight w:val="350" w:hRule="atLeast"/>
        </w:trPr>
        <w:tc>
          <w:tcPr>
            <w:tcW w:w="564" w:type="dxa"/>
            <w:vAlign w:val="top"/>
            <w:vMerge w:val="continue"/>
            <w:tcBorders>
              <w:top w:val="nil"/>
              <w:bottom w:val="nil"/>
            </w:tcBorders>
          </w:tcPr>
          <w:p>
            <w:pPr>
              <w:rPr>
                <w:rFonts w:ascii="Arial"/>
                <w:sz w:val="21"/>
              </w:rPr>
            </w:pPr>
            <w:r/>
          </w:p>
        </w:tc>
        <w:tc>
          <w:tcPr>
            <w:tcW w:w="3107" w:type="dxa"/>
            <w:vAlign w:val="top"/>
          </w:tcPr>
          <w:p>
            <w:pPr>
              <w:pStyle w:val="TableText"/>
              <w:ind w:left="1081"/>
              <w:spacing w:before="98" w:line="194" w:lineRule="auto"/>
              <w:rPr/>
            </w:pPr>
            <w:r>
              <w:rPr>
                <w:spacing w:val="-2"/>
              </w:rPr>
              <w:t>监测点位</w:t>
            </w:r>
          </w:p>
        </w:tc>
        <w:tc>
          <w:tcPr>
            <w:tcW w:w="2857" w:type="dxa"/>
            <w:vAlign w:val="top"/>
          </w:tcPr>
          <w:p>
            <w:pPr>
              <w:pStyle w:val="TableText"/>
              <w:ind w:left="964"/>
              <w:spacing w:before="97" w:line="195" w:lineRule="auto"/>
              <w:rPr/>
            </w:pPr>
            <w:r>
              <w:rPr>
                <w:spacing w:val="-2"/>
              </w:rPr>
              <w:t>监测指标</w:t>
            </w:r>
          </w:p>
        </w:tc>
        <w:tc>
          <w:tcPr>
            <w:tcW w:w="2282" w:type="dxa"/>
            <w:vAlign w:val="top"/>
          </w:tcPr>
          <w:p>
            <w:pPr>
              <w:pStyle w:val="TableText"/>
              <w:ind w:left="447"/>
              <w:spacing w:before="95" w:line="196" w:lineRule="auto"/>
              <w:rPr/>
            </w:pPr>
            <w:r>
              <w:rPr>
                <w:spacing w:val="1"/>
              </w:rPr>
              <w:t>最低监测频次</w:t>
            </w:r>
          </w:p>
        </w:tc>
      </w:tr>
      <w:tr>
        <w:trPr>
          <w:trHeight w:val="350" w:hRule="atLeast"/>
        </w:trPr>
        <w:tc>
          <w:tcPr>
            <w:tcW w:w="564" w:type="dxa"/>
            <w:vAlign w:val="top"/>
            <w:vMerge w:val="continue"/>
            <w:tcBorders>
              <w:top w:val="nil"/>
              <w:bottom w:val="nil"/>
            </w:tcBorders>
          </w:tcPr>
          <w:p>
            <w:pPr>
              <w:rPr>
                <w:rFonts w:ascii="Arial"/>
                <w:sz w:val="21"/>
              </w:rPr>
            </w:pPr>
            <w:r/>
          </w:p>
        </w:tc>
        <w:tc>
          <w:tcPr>
            <w:tcW w:w="3107" w:type="dxa"/>
            <w:vAlign w:val="top"/>
          </w:tcPr>
          <w:p>
            <w:pPr>
              <w:pStyle w:val="TableText"/>
              <w:ind w:left="1311"/>
              <w:spacing w:before="97" w:line="195" w:lineRule="auto"/>
              <w:rPr/>
            </w:pPr>
            <w:r>
              <w:rPr>
                <w:spacing w:val="4"/>
              </w:rPr>
              <w:t>厂界</w:t>
            </w:r>
          </w:p>
        </w:tc>
        <w:tc>
          <w:tcPr>
            <w:tcW w:w="2857" w:type="dxa"/>
            <w:vAlign w:val="top"/>
          </w:tcPr>
          <w:p>
            <w:pPr>
              <w:pStyle w:val="TableText"/>
              <w:ind w:left="674"/>
              <w:spacing w:before="95" w:line="196" w:lineRule="auto"/>
              <w:rPr/>
            </w:pPr>
            <w:r>
              <w:rPr>
                <w:spacing w:val="-2"/>
              </w:rPr>
              <w:t>连续等效A声级</w:t>
            </w:r>
          </w:p>
        </w:tc>
        <w:tc>
          <w:tcPr>
            <w:tcW w:w="2282" w:type="dxa"/>
            <w:vAlign w:val="top"/>
          </w:tcPr>
          <w:p>
            <w:pPr>
              <w:pStyle w:val="TableText"/>
              <w:ind w:left="677"/>
              <w:spacing w:before="95" w:line="196" w:lineRule="auto"/>
              <w:rPr/>
            </w:pPr>
            <w:r>
              <w:rPr>
                <w:spacing w:val="2"/>
              </w:rPr>
              <w:t>1次/季度</w:t>
            </w:r>
          </w:p>
        </w:tc>
      </w:tr>
      <w:tr>
        <w:trPr>
          <w:trHeight w:val="3262" w:hRule="atLeast"/>
        </w:trPr>
        <w:tc>
          <w:tcPr>
            <w:tcW w:w="564" w:type="dxa"/>
            <w:vAlign w:val="top"/>
            <w:vMerge w:val="continue"/>
            <w:tcBorders>
              <w:top w:val="nil"/>
            </w:tcBorders>
          </w:tcPr>
          <w:p>
            <w:pPr>
              <w:rPr>
                <w:rFonts w:ascii="Arial"/>
                <w:sz w:val="21"/>
              </w:rPr>
            </w:pPr>
            <w:r/>
          </w:p>
        </w:tc>
        <w:tc>
          <w:tcPr>
            <w:tcW w:w="8246" w:type="dxa"/>
            <w:vAlign w:val="top"/>
            <w:gridSpan w:val="3"/>
          </w:tcPr>
          <w:p>
            <w:pPr>
              <w:spacing w:line="436" w:lineRule="auto"/>
              <w:rPr>
                <w:rFonts w:ascii="Arial"/>
                <w:sz w:val="21"/>
              </w:rPr>
            </w:pPr>
            <w:r/>
          </w:p>
          <w:p>
            <w:pPr>
              <w:pStyle w:val="TableText"/>
              <w:ind w:left="134"/>
              <w:spacing w:before="75" w:line="220" w:lineRule="auto"/>
              <w:rPr/>
            </w:pPr>
            <w:r>
              <w:rPr>
                <w:b/>
                <w:bCs/>
                <w:spacing w:val="-3"/>
              </w:rPr>
              <w:t>4.5固体废物影响与防治措施</w:t>
            </w:r>
          </w:p>
          <w:p>
            <w:pPr>
              <w:pStyle w:val="TableText"/>
              <w:ind w:left="591"/>
              <w:spacing w:before="178" w:line="219" w:lineRule="auto"/>
              <w:rPr/>
            </w:pPr>
            <w:r>
              <w:rPr>
                <w:spacing w:val="-7"/>
              </w:rPr>
              <w:t>项目固体废物含生活垃圾、</w:t>
            </w:r>
            <w:r>
              <w:rPr>
                <w:spacing w:val="61"/>
              </w:rPr>
              <w:t xml:space="preserve"> </w:t>
            </w:r>
            <w:r>
              <w:rPr>
                <w:spacing w:val="-7"/>
              </w:rPr>
              <w:t>一般工业固体废物及危险废物。</w:t>
            </w:r>
          </w:p>
          <w:p>
            <w:pPr>
              <w:pStyle w:val="TableText"/>
              <w:ind w:left="134"/>
              <w:spacing w:before="173" w:line="219" w:lineRule="auto"/>
              <w:rPr/>
            </w:pPr>
            <w:r>
              <w:rPr>
                <w:b/>
                <w:bCs/>
                <w:spacing w:val="-4"/>
              </w:rPr>
              <w:t>4.5.1源强计算</w:t>
            </w:r>
          </w:p>
          <w:p>
            <w:pPr>
              <w:pStyle w:val="TableText"/>
              <w:ind w:left="611"/>
              <w:spacing w:before="231" w:line="220" w:lineRule="auto"/>
              <w:rPr/>
            </w:pPr>
            <w:r>
              <w:rPr/>
              <w:t>1、生活垃圾</w:t>
            </w:r>
          </w:p>
          <w:p>
            <w:pPr>
              <w:pStyle w:val="TableText"/>
              <w:ind w:left="601"/>
              <w:spacing w:before="177" w:line="474" w:lineRule="exact"/>
              <w:rPr/>
            </w:pPr>
            <w:r>
              <w:rPr>
                <w:position w:val="18"/>
              </w:rPr>
              <w:t>项目劳作定员300人，垃圾产生量每人每天为</w:t>
            </w:r>
            <w:r>
              <w:rPr>
                <w:spacing w:val="-1"/>
                <w:position w:val="18"/>
              </w:rPr>
              <w:t>1.0kg,则生活垃圾产生量</w:t>
            </w:r>
          </w:p>
          <w:p>
            <w:pPr>
              <w:pStyle w:val="TableText"/>
              <w:ind w:left="131"/>
              <w:spacing w:line="216" w:lineRule="auto"/>
              <w:rPr/>
            </w:pPr>
            <w:r>
              <w:rPr/>
              <w:t>为0.3t/d(90t/a),由环卫部门统一清运处理。</w:t>
            </w:r>
          </w:p>
        </w:tc>
      </w:tr>
    </w:tbl>
    <w:p>
      <w:pPr>
        <w:rPr>
          <w:rFonts w:ascii="Arial"/>
          <w:sz w:val="21"/>
        </w:rPr>
      </w:pPr>
      <w:r/>
    </w:p>
    <w:p>
      <w:pPr>
        <w:sectPr>
          <w:footerReference w:type="default" r:id="rId140"/>
          <w:pgSz w:w="11900" w:h="16840"/>
          <w:pgMar w:top="1431" w:right="1475" w:bottom="988" w:left="1604" w:header="0" w:footer="849" w:gutter="0"/>
        </w:sectPr>
        <w:rPr>
          <w:rFonts w:ascii="Arial" w:hAnsi="Arial" w:eastAsia="Arial" w:cs="Arial"/>
          <w:sz w:val="21"/>
          <w:szCs w:val="21"/>
        </w:rPr>
      </w:pPr>
    </w:p>
    <w:tbl>
      <w:tblPr>
        <w:tblStyle w:val="TableNormal"/>
        <w:tblW w:w="8824"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44"/>
        <w:gridCol w:w="8280"/>
      </w:tblGrid>
      <w:tr>
        <w:trPr>
          <w:trHeight w:val="13039" w:hRule="atLeast"/>
        </w:trPr>
        <w:tc>
          <w:tcPr>
            <w:tcW w:w="544" w:type="dxa"/>
            <w:vAlign w:val="top"/>
          </w:tcPr>
          <w:p>
            <w:pPr>
              <w:rPr>
                <w:rFonts w:ascii="Arial"/>
                <w:sz w:val="21"/>
              </w:rPr>
            </w:pPr>
            <w:r/>
          </w:p>
        </w:tc>
        <w:tc>
          <w:tcPr>
            <w:tcW w:w="8280" w:type="dxa"/>
            <w:vAlign w:val="top"/>
          </w:tcPr>
          <w:p>
            <w:pPr>
              <w:pStyle w:val="TableText"/>
              <w:ind w:left="591"/>
              <w:spacing w:before="75" w:line="220" w:lineRule="auto"/>
              <w:rPr>
                <w:sz w:val="24"/>
                <w:szCs w:val="24"/>
              </w:rPr>
            </w:pPr>
            <w:r>
              <w:rPr>
                <w:sz w:val="24"/>
                <w:szCs w:val="24"/>
                <w:spacing w:val="-5"/>
              </w:rPr>
              <w:t>2、</w:t>
            </w:r>
            <w:r>
              <w:rPr>
                <w:sz w:val="24"/>
                <w:szCs w:val="24"/>
                <w:spacing w:val="-59"/>
              </w:rPr>
              <w:t xml:space="preserve"> </w:t>
            </w:r>
            <w:r>
              <w:rPr>
                <w:sz w:val="24"/>
                <w:szCs w:val="24"/>
                <w:spacing w:val="-5"/>
              </w:rPr>
              <w:t>一般工业固体废物</w:t>
            </w:r>
          </w:p>
          <w:p>
            <w:pPr>
              <w:pStyle w:val="TableText"/>
              <w:ind w:left="621"/>
              <w:spacing w:before="162" w:line="460" w:lineRule="exact"/>
              <w:rPr>
                <w:sz w:val="24"/>
                <w:szCs w:val="24"/>
              </w:rPr>
            </w:pPr>
            <w:r>
              <w:rPr>
                <w:sz w:val="24"/>
                <w:szCs w:val="24"/>
                <w:position w:val="16"/>
              </w:rPr>
              <w:t>项目一般工业固体废物包含NMP废液，集尘灰，废极片，废包装袋、桶，</w:t>
            </w:r>
          </w:p>
          <w:p>
            <w:pPr>
              <w:pStyle w:val="TableText"/>
              <w:ind w:left="111"/>
              <w:spacing w:line="219" w:lineRule="auto"/>
              <w:rPr>
                <w:sz w:val="24"/>
                <w:szCs w:val="24"/>
              </w:rPr>
            </w:pPr>
            <w:r>
              <w:rPr>
                <w:sz w:val="24"/>
                <w:szCs w:val="24"/>
                <w:spacing w:val="1"/>
              </w:rPr>
              <w:t>废</w:t>
            </w:r>
            <w:r>
              <w:rPr>
                <w:sz w:val="24"/>
                <w:szCs w:val="24"/>
              </w:rPr>
              <w:t>LED</w:t>
            </w:r>
            <w:r>
              <w:rPr>
                <w:sz w:val="24"/>
                <w:szCs w:val="24"/>
                <w:spacing w:val="1"/>
              </w:rPr>
              <w:t>灯管、纯水制备废滤芯</w:t>
            </w:r>
          </w:p>
          <w:p>
            <w:pPr>
              <w:pStyle w:val="TableText"/>
              <w:ind w:left="611"/>
              <w:spacing w:before="195" w:line="219" w:lineRule="auto"/>
              <w:rPr>
                <w:sz w:val="24"/>
                <w:szCs w:val="24"/>
              </w:rPr>
            </w:pPr>
            <w:r>
              <w:rPr>
                <w:sz w:val="24"/>
                <w:szCs w:val="24"/>
              </w:rPr>
              <w:t>3、阳极污泥、废浆料</w:t>
            </w:r>
          </w:p>
          <w:p>
            <w:pPr>
              <w:pStyle w:val="TableText"/>
              <w:ind w:left="121" w:firstLine="489"/>
              <w:spacing w:before="162" w:line="364" w:lineRule="auto"/>
              <w:rPr>
                <w:sz w:val="24"/>
                <w:szCs w:val="24"/>
              </w:rPr>
            </w:pPr>
            <w:r>
              <w:rPr>
                <w:sz w:val="24"/>
                <w:szCs w:val="24"/>
                <w:spacing w:val="-2"/>
              </w:rPr>
              <w:t>由于本项目凹版工艺增加了苯乙烯聚丁橡胶、羧甲基纤维素钠、粘结剂等</w:t>
            </w:r>
            <w:r>
              <w:rPr>
                <w:sz w:val="24"/>
                <w:szCs w:val="24"/>
                <w:spacing w:val="14"/>
              </w:rPr>
              <w:t xml:space="preserve"> </w:t>
            </w:r>
            <w:r>
              <w:rPr>
                <w:sz w:val="24"/>
                <w:szCs w:val="24"/>
              </w:rPr>
              <w:t>有机物质的用量，扩建后产生的阳极污泥、废浆</w:t>
            </w:r>
            <w:r>
              <w:rPr>
                <w:sz w:val="24"/>
                <w:szCs w:val="24"/>
                <w:spacing w:val="-1"/>
              </w:rPr>
              <w:t>料中有机物质含量较现有工程</w:t>
            </w:r>
            <w:r>
              <w:rPr>
                <w:sz w:val="24"/>
                <w:szCs w:val="24"/>
              </w:rPr>
              <w:t xml:space="preserve"> </w:t>
            </w:r>
            <w:r>
              <w:rPr>
                <w:sz w:val="24"/>
                <w:szCs w:val="24"/>
                <w:spacing w:val="-1"/>
              </w:rPr>
              <w:t>有所增加，扩建后产生的阳极污泥和废浆料应重新进行危险性鉴定，若仍不具</w:t>
            </w:r>
            <w:r>
              <w:rPr>
                <w:sz w:val="24"/>
                <w:szCs w:val="24"/>
                <w:spacing w:val="11"/>
              </w:rPr>
              <w:t xml:space="preserve"> </w:t>
            </w:r>
            <w:r>
              <w:rPr>
                <w:sz w:val="24"/>
                <w:szCs w:val="24"/>
              </w:rPr>
              <w:t>有危险特性，则属于一般工业固体废物；若具有</w:t>
            </w:r>
            <w:r>
              <w:rPr>
                <w:sz w:val="24"/>
                <w:szCs w:val="24"/>
                <w:spacing w:val="-1"/>
              </w:rPr>
              <w:t>危险特性，则应作为危险废物</w:t>
            </w:r>
            <w:r>
              <w:rPr>
                <w:sz w:val="24"/>
                <w:szCs w:val="24"/>
              </w:rPr>
              <w:t xml:space="preserve"> </w:t>
            </w:r>
            <w:r>
              <w:rPr>
                <w:sz w:val="24"/>
                <w:szCs w:val="24"/>
                <w:spacing w:val="-1"/>
              </w:rPr>
              <w:t>处置。在未得出结论前，其收集、暂存、处置等均应从严按照危险废物进行管</w:t>
            </w:r>
          </w:p>
          <w:p>
            <w:pPr>
              <w:pStyle w:val="TableText"/>
              <w:ind w:left="111"/>
              <w:spacing w:line="229" w:lineRule="auto"/>
              <w:rPr>
                <w:sz w:val="24"/>
                <w:szCs w:val="24"/>
              </w:rPr>
            </w:pPr>
            <w:r>
              <w:rPr>
                <w:sz w:val="24"/>
                <w:szCs w:val="24"/>
                <w:spacing w:val="-1"/>
              </w:rPr>
              <w:t>理。</w:t>
            </w:r>
          </w:p>
          <w:p>
            <w:pPr>
              <w:pStyle w:val="TableText"/>
              <w:ind w:left="591"/>
              <w:spacing w:before="158" w:line="482" w:lineRule="exact"/>
              <w:rPr>
                <w:sz w:val="24"/>
                <w:szCs w:val="24"/>
              </w:rPr>
            </w:pPr>
            <w:r>
              <w:rPr>
                <w:sz w:val="24"/>
                <w:szCs w:val="24"/>
                <w:position w:val="18"/>
              </w:rPr>
              <w:t>4、危险废物：项目产生的危险废物主要为废机油</w:t>
            </w:r>
            <w:r>
              <w:rPr>
                <w:sz w:val="24"/>
                <w:szCs w:val="24"/>
                <w:spacing w:val="-1"/>
                <w:position w:val="18"/>
              </w:rPr>
              <w:t>，含废油的废抹布、手</w:t>
            </w:r>
          </w:p>
          <w:p>
            <w:pPr>
              <w:pStyle w:val="TableText"/>
              <w:ind w:left="121"/>
              <w:spacing w:line="220" w:lineRule="auto"/>
              <w:rPr>
                <w:sz w:val="24"/>
                <w:szCs w:val="24"/>
              </w:rPr>
            </w:pPr>
            <w:r>
              <w:rPr>
                <w:sz w:val="24"/>
                <w:szCs w:val="24"/>
                <w:spacing w:val="-1"/>
              </w:rPr>
              <w:t>套、废沸石。</w:t>
            </w:r>
          </w:p>
          <w:p>
            <w:pPr>
              <w:pStyle w:val="TableText"/>
              <w:ind w:left="151" w:right="306" w:firstLine="590"/>
              <w:spacing w:before="163" w:line="360" w:lineRule="auto"/>
              <w:rPr>
                <w:sz w:val="24"/>
                <w:szCs w:val="24"/>
              </w:rPr>
            </w:pPr>
            <w:r>
              <w:rPr>
                <w:sz w:val="24"/>
                <w:szCs w:val="24"/>
                <w:spacing w:val="1"/>
              </w:rPr>
              <w:t>(1)废机油：主要为机修、设备保养产生，废物类别</w:t>
            </w:r>
            <w:r>
              <w:rPr>
                <w:sz w:val="24"/>
                <w:szCs w:val="24"/>
              </w:rPr>
              <w:t>为HW08废矿物油  </w:t>
            </w:r>
            <w:r>
              <w:rPr>
                <w:sz w:val="24"/>
                <w:szCs w:val="24"/>
              </w:rPr>
              <w:t>与含矿物油废物(废物代码900-249-08),根据建设单位提供资料及类比现有</w:t>
            </w:r>
          </w:p>
          <w:p>
            <w:pPr>
              <w:pStyle w:val="TableText"/>
              <w:ind w:left="131"/>
              <w:spacing w:before="1" w:line="216" w:lineRule="auto"/>
              <w:rPr>
                <w:sz w:val="24"/>
                <w:szCs w:val="24"/>
              </w:rPr>
            </w:pPr>
            <w:r>
              <w:rPr>
                <w:sz w:val="24"/>
                <w:szCs w:val="24"/>
              </w:rPr>
              <w:t>工程，废机油产生量0.5t/a,桶装后委托有资质单位处置。</w:t>
            </w:r>
          </w:p>
          <w:p>
            <w:pPr>
              <w:pStyle w:val="TableText"/>
              <w:ind w:left="741"/>
              <w:spacing w:before="191" w:line="219" w:lineRule="auto"/>
              <w:rPr>
                <w:sz w:val="24"/>
                <w:szCs w:val="24"/>
              </w:rPr>
            </w:pPr>
            <w:r>
              <w:rPr>
                <w:sz w:val="24"/>
                <w:szCs w:val="24"/>
              </w:rPr>
              <w:t>(2)含废油的废抹布、手套：来自设备维护，废物类别为HW49其他废</w:t>
            </w:r>
          </w:p>
          <w:p>
            <w:pPr>
              <w:pStyle w:val="TableText"/>
              <w:ind w:left="131"/>
              <w:spacing w:before="186" w:line="450" w:lineRule="exact"/>
              <w:rPr>
                <w:sz w:val="24"/>
                <w:szCs w:val="24"/>
              </w:rPr>
            </w:pPr>
            <w:r>
              <w:rPr>
                <w:sz w:val="24"/>
                <w:szCs w:val="24"/>
                <w:spacing w:val="3"/>
                <w:position w:val="15"/>
              </w:rPr>
              <w:t>物(废物代码900-041-49)。根据建设单位提供资料显示，含废油的废抹布、</w:t>
            </w:r>
          </w:p>
          <w:p>
            <w:pPr>
              <w:pStyle w:val="TableText"/>
              <w:ind w:left="121"/>
              <w:spacing w:before="1" w:line="219" w:lineRule="auto"/>
              <w:rPr>
                <w:sz w:val="24"/>
                <w:szCs w:val="24"/>
              </w:rPr>
            </w:pPr>
            <w:r>
              <w:rPr>
                <w:sz w:val="24"/>
                <w:szCs w:val="24"/>
              </w:rPr>
              <w:t>手套产生量：0.2t/a。</w:t>
            </w:r>
          </w:p>
          <w:p>
            <w:pPr>
              <w:pStyle w:val="TableText"/>
              <w:ind w:left="141" w:right="448" w:firstLine="599"/>
              <w:spacing w:before="173" w:line="366" w:lineRule="auto"/>
              <w:rPr>
                <w:sz w:val="24"/>
                <w:szCs w:val="24"/>
              </w:rPr>
            </w:pPr>
            <w:r>
              <w:rPr>
                <w:sz w:val="24"/>
                <w:szCs w:val="24"/>
              </w:rPr>
              <w:t>(3)废沸石：项目NMP采用沸石转轮，根据建设单位提供的资料，转</w:t>
            </w:r>
            <w:r>
              <w:rPr>
                <w:sz w:val="24"/>
                <w:szCs w:val="24"/>
                <w:spacing w:val="4"/>
              </w:rPr>
              <w:t xml:space="preserve">  </w:t>
            </w:r>
            <w:r>
              <w:rPr>
                <w:sz w:val="24"/>
                <w:szCs w:val="24"/>
              </w:rPr>
              <w:t>轮内沸石每8~10年更换1次，每套更换量约120kg,项目共设沸石转轮4套，</w:t>
            </w:r>
          </w:p>
          <w:p>
            <w:pPr>
              <w:pStyle w:val="TableText"/>
              <w:ind w:left="131"/>
              <w:spacing w:before="1" w:line="219" w:lineRule="auto"/>
              <w:rPr>
                <w:sz w:val="24"/>
                <w:szCs w:val="24"/>
              </w:rPr>
            </w:pPr>
            <w:r>
              <w:rPr>
                <w:sz w:val="24"/>
                <w:szCs w:val="24"/>
              </w:rPr>
              <w:t>若同年更换，则更换量为0.48t。废物类别为HW49其他废物(废物代码</w:t>
            </w:r>
          </w:p>
          <w:p>
            <w:pPr>
              <w:pStyle w:val="TableText"/>
              <w:ind w:left="131"/>
              <w:spacing w:before="181" w:line="216" w:lineRule="auto"/>
              <w:rPr>
                <w:sz w:val="24"/>
                <w:szCs w:val="24"/>
              </w:rPr>
            </w:pPr>
            <w:r>
              <w:rPr>
                <w:sz w:val="24"/>
                <w:szCs w:val="24"/>
              </w:rPr>
              <w:t>900-041-49),袋装收集后，委托有资质单位处</w:t>
            </w:r>
            <w:r>
              <w:rPr>
                <w:sz w:val="24"/>
                <w:szCs w:val="24"/>
                <w:spacing w:val="-1"/>
              </w:rPr>
              <w:t>置。</w:t>
            </w:r>
          </w:p>
          <w:p>
            <w:pPr>
              <w:pStyle w:val="TableText"/>
              <w:ind w:left="621"/>
              <w:spacing w:before="189" w:line="494" w:lineRule="exact"/>
              <w:rPr>
                <w:sz w:val="24"/>
                <w:szCs w:val="24"/>
              </w:rPr>
            </w:pPr>
            <w:r>
              <w:rPr>
                <w:sz w:val="24"/>
                <w:szCs w:val="24"/>
                <w:position w:val="19"/>
              </w:rPr>
              <w:t>项目运营期危险废物汇总具体见表4.5-1,本项目固体废物产生量类比二</w:t>
            </w:r>
          </w:p>
          <w:p>
            <w:pPr>
              <w:pStyle w:val="TableText"/>
              <w:ind w:left="161"/>
              <w:spacing w:line="219" w:lineRule="auto"/>
              <w:rPr>
                <w:sz w:val="24"/>
                <w:szCs w:val="24"/>
              </w:rPr>
            </w:pPr>
            <w:r>
              <w:rPr>
                <w:sz w:val="24"/>
                <w:szCs w:val="24"/>
                <w:spacing w:val="1"/>
              </w:rPr>
              <w:t>期工程的产生情况核算，见表4.5-2。</w:t>
            </w:r>
          </w:p>
        </w:tc>
      </w:tr>
    </w:tbl>
    <w:p>
      <w:pPr>
        <w:rPr>
          <w:rFonts w:ascii="Arial"/>
          <w:sz w:val="21"/>
        </w:rPr>
      </w:pPr>
      <w:r/>
    </w:p>
    <w:p>
      <w:pPr>
        <w:sectPr>
          <w:footerReference w:type="default" r:id="rId141"/>
          <w:pgSz w:w="11900" w:h="16840"/>
          <w:pgMar w:top="1425" w:right="1460" w:bottom="989" w:left="1604" w:header="0" w:footer="820" w:gutter="0"/>
        </w:sectPr>
        <w:rPr>
          <w:rFonts w:ascii="Arial" w:hAnsi="Arial" w:eastAsia="Arial" w:cs="Arial"/>
          <w:sz w:val="21"/>
          <w:szCs w:val="21"/>
        </w:rPr>
      </w:pPr>
    </w:p>
    <w:p>
      <w:pPr>
        <w:pStyle w:val="BodyText"/>
        <w:ind w:left="5598"/>
        <w:spacing w:before="155" w:line="220" w:lineRule="auto"/>
        <w:rPr>
          <w:sz w:val="24"/>
          <w:szCs w:val="24"/>
        </w:rPr>
      </w:pPr>
      <w:r>
        <w:rPr>
          <w:sz w:val="24"/>
          <w:szCs w:val="24"/>
          <w:b/>
          <w:bCs/>
          <w:spacing w:val="-8"/>
        </w:rPr>
        <w:t>表4.5-1</w:t>
      </w:r>
      <w:r>
        <w:rPr>
          <w:sz w:val="24"/>
          <w:szCs w:val="24"/>
          <w:spacing w:val="-8"/>
        </w:rPr>
        <w:t xml:space="preserve">  </w:t>
      </w:r>
      <w:r>
        <w:rPr>
          <w:sz w:val="24"/>
          <w:szCs w:val="24"/>
          <w:b/>
          <w:bCs/>
          <w:spacing w:val="-8"/>
        </w:rPr>
        <w:t>项目危险废物汇总表</w:t>
      </w:r>
    </w:p>
    <w:p>
      <w:pPr>
        <w:spacing w:line="121" w:lineRule="exact"/>
        <w:rPr/>
      </w:pPr>
      <w:r/>
    </w:p>
    <w:tbl>
      <w:tblPr>
        <w:tblStyle w:val="TableNormal"/>
        <w:tblW w:w="14550" w:type="dxa"/>
        <w:tblInd w:w="8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25"/>
        <w:gridCol w:w="1569"/>
        <w:gridCol w:w="1779"/>
        <w:gridCol w:w="1189"/>
        <w:gridCol w:w="939"/>
        <w:gridCol w:w="1539"/>
        <w:gridCol w:w="779"/>
        <w:gridCol w:w="1109"/>
        <w:gridCol w:w="959"/>
        <w:gridCol w:w="1289"/>
        <w:gridCol w:w="780"/>
        <w:gridCol w:w="1894"/>
      </w:tblGrid>
      <w:tr>
        <w:trPr>
          <w:trHeight w:val="533" w:hRule="atLeast"/>
        </w:trPr>
        <w:tc>
          <w:tcPr>
            <w:tcW w:w="725" w:type="dxa"/>
            <w:vAlign w:val="top"/>
          </w:tcPr>
          <w:p>
            <w:pPr>
              <w:pStyle w:val="TableText"/>
              <w:ind w:left="155"/>
              <w:spacing w:before="174" w:line="221" w:lineRule="auto"/>
              <w:rPr>
                <w:sz w:val="20"/>
                <w:szCs w:val="20"/>
              </w:rPr>
            </w:pPr>
            <w:r>
              <w:rPr>
                <w:sz w:val="20"/>
                <w:szCs w:val="20"/>
                <w:spacing w:val="-2"/>
              </w:rPr>
              <w:t>序号</w:t>
            </w:r>
          </w:p>
        </w:tc>
        <w:tc>
          <w:tcPr>
            <w:tcW w:w="1569" w:type="dxa"/>
            <w:vAlign w:val="top"/>
          </w:tcPr>
          <w:p>
            <w:pPr>
              <w:pStyle w:val="TableText"/>
              <w:ind w:left="170"/>
              <w:spacing w:before="173" w:line="220" w:lineRule="auto"/>
              <w:rPr>
                <w:sz w:val="20"/>
                <w:szCs w:val="20"/>
              </w:rPr>
            </w:pPr>
            <w:r>
              <w:rPr>
                <w:sz w:val="20"/>
                <w:szCs w:val="20"/>
                <w:spacing w:val="1"/>
              </w:rPr>
              <w:t>危险废物名称</w:t>
            </w:r>
          </w:p>
        </w:tc>
        <w:tc>
          <w:tcPr>
            <w:tcW w:w="1779" w:type="dxa"/>
            <w:vAlign w:val="top"/>
          </w:tcPr>
          <w:p>
            <w:pPr>
              <w:pStyle w:val="TableText"/>
              <w:ind w:left="281"/>
              <w:spacing w:before="173" w:line="219" w:lineRule="auto"/>
              <w:rPr>
                <w:sz w:val="20"/>
                <w:szCs w:val="20"/>
              </w:rPr>
            </w:pPr>
            <w:r>
              <w:rPr>
                <w:sz w:val="20"/>
                <w:szCs w:val="20"/>
                <w:spacing w:val="2"/>
              </w:rPr>
              <w:t>危险废物类别</w:t>
            </w:r>
          </w:p>
        </w:tc>
        <w:tc>
          <w:tcPr>
            <w:tcW w:w="1189" w:type="dxa"/>
            <w:vAlign w:val="top"/>
          </w:tcPr>
          <w:p>
            <w:pPr>
              <w:pStyle w:val="TableText"/>
              <w:ind w:left="382" w:right="186" w:hanging="200"/>
              <w:spacing w:before="44" w:line="221" w:lineRule="auto"/>
              <w:rPr>
                <w:sz w:val="20"/>
                <w:szCs w:val="20"/>
              </w:rPr>
            </w:pPr>
            <w:r>
              <w:rPr>
                <w:sz w:val="20"/>
                <w:szCs w:val="20"/>
                <w:spacing w:val="2"/>
              </w:rPr>
              <w:t>危险废物</w:t>
            </w:r>
            <w:r>
              <w:rPr>
                <w:sz w:val="20"/>
                <w:szCs w:val="20"/>
                <w:spacing w:val="1"/>
              </w:rPr>
              <w:t xml:space="preserve"> </w:t>
            </w:r>
            <w:r>
              <w:rPr>
                <w:sz w:val="20"/>
                <w:szCs w:val="20"/>
                <w:spacing w:val="-2"/>
              </w:rPr>
              <w:t>代码</w:t>
            </w:r>
          </w:p>
        </w:tc>
        <w:tc>
          <w:tcPr>
            <w:tcW w:w="939" w:type="dxa"/>
            <w:vAlign w:val="top"/>
          </w:tcPr>
          <w:p>
            <w:pPr>
              <w:pStyle w:val="TableText"/>
              <w:ind w:left="213" w:right="173" w:hanging="50"/>
              <w:spacing w:before="22" w:line="231" w:lineRule="auto"/>
              <w:rPr>
                <w:sz w:val="20"/>
                <w:szCs w:val="20"/>
              </w:rPr>
            </w:pPr>
            <w:r>
              <w:rPr>
                <w:sz w:val="20"/>
                <w:szCs w:val="20"/>
                <w:spacing w:val="-3"/>
              </w:rPr>
              <w:t>产生量</w:t>
            </w:r>
            <w:r>
              <w:rPr>
                <w:sz w:val="20"/>
                <w:szCs w:val="20"/>
              </w:rPr>
              <w:t xml:space="preserve"> </w:t>
            </w:r>
            <w:r>
              <w:rPr>
                <w:sz w:val="20"/>
                <w:szCs w:val="20"/>
                <w:spacing w:val="-7"/>
              </w:rPr>
              <w:t>(t/a)</w:t>
            </w:r>
          </w:p>
        </w:tc>
        <w:tc>
          <w:tcPr>
            <w:tcW w:w="1539" w:type="dxa"/>
            <w:vAlign w:val="top"/>
          </w:tcPr>
          <w:p>
            <w:pPr>
              <w:pStyle w:val="TableText"/>
              <w:ind w:left="663" w:right="172" w:hanging="499"/>
              <w:spacing w:before="41" w:line="222" w:lineRule="auto"/>
              <w:rPr>
                <w:sz w:val="20"/>
                <w:szCs w:val="20"/>
              </w:rPr>
            </w:pPr>
            <w:r>
              <w:rPr>
                <w:sz w:val="20"/>
                <w:szCs w:val="20"/>
                <w:spacing w:val="-2"/>
              </w:rPr>
              <w:t>产生工序及装</w:t>
            </w:r>
            <w:r>
              <w:rPr>
                <w:sz w:val="20"/>
                <w:szCs w:val="20"/>
                <w:spacing w:val="3"/>
              </w:rPr>
              <w:t xml:space="preserve"> </w:t>
            </w:r>
            <w:r>
              <w:rPr>
                <w:sz w:val="20"/>
                <w:szCs w:val="20"/>
              </w:rPr>
              <w:t>置</w:t>
            </w:r>
          </w:p>
        </w:tc>
        <w:tc>
          <w:tcPr>
            <w:tcW w:w="779" w:type="dxa"/>
            <w:vAlign w:val="top"/>
          </w:tcPr>
          <w:p>
            <w:pPr>
              <w:pStyle w:val="TableText"/>
              <w:ind w:left="185"/>
              <w:spacing w:before="176" w:line="221" w:lineRule="auto"/>
              <w:rPr>
                <w:sz w:val="20"/>
                <w:szCs w:val="20"/>
              </w:rPr>
            </w:pPr>
            <w:r>
              <w:rPr>
                <w:sz w:val="20"/>
                <w:szCs w:val="20"/>
                <w:spacing w:val="5"/>
              </w:rPr>
              <w:t>形态</w:t>
            </w:r>
          </w:p>
        </w:tc>
        <w:tc>
          <w:tcPr>
            <w:tcW w:w="1109" w:type="dxa"/>
            <w:vAlign w:val="top"/>
          </w:tcPr>
          <w:p>
            <w:pPr>
              <w:pStyle w:val="TableText"/>
              <w:ind w:left="146"/>
              <w:spacing w:before="173" w:line="220" w:lineRule="auto"/>
              <w:rPr>
                <w:sz w:val="20"/>
                <w:szCs w:val="20"/>
              </w:rPr>
            </w:pPr>
            <w:r>
              <w:rPr>
                <w:sz w:val="20"/>
                <w:szCs w:val="20"/>
                <w:spacing w:val="-2"/>
              </w:rPr>
              <w:t>主要成分</w:t>
            </w:r>
          </w:p>
        </w:tc>
        <w:tc>
          <w:tcPr>
            <w:tcW w:w="959" w:type="dxa"/>
            <w:vAlign w:val="top"/>
          </w:tcPr>
          <w:p>
            <w:pPr>
              <w:pStyle w:val="TableText"/>
              <w:ind w:left="376" w:right="180" w:hanging="199"/>
              <w:spacing w:before="44" w:line="221" w:lineRule="auto"/>
              <w:rPr>
                <w:sz w:val="20"/>
                <w:szCs w:val="20"/>
              </w:rPr>
            </w:pPr>
            <w:r>
              <w:rPr>
                <w:sz w:val="20"/>
                <w:szCs w:val="20"/>
                <w:spacing w:val="-3"/>
              </w:rPr>
              <w:t>有害成</w:t>
            </w:r>
            <w:r>
              <w:rPr>
                <w:sz w:val="20"/>
                <w:szCs w:val="20"/>
              </w:rPr>
              <w:t xml:space="preserve"> </w:t>
            </w:r>
            <w:r>
              <w:rPr>
                <w:sz w:val="20"/>
                <w:szCs w:val="20"/>
              </w:rPr>
              <w:t>分</w:t>
            </w:r>
          </w:p>
        </w:tc>
        <w:tc>
          <w:tcPr>
            <w:tcW w:w="1289" w:type="dxa"/>
            <w:vAlign w:val="top"/>
          </w:tcPr>
          <w:p>
            <w:pPr>
              <w:pStyle w:val="TableText"/>
              <w:ind w:left="238"/>
              <w:spacing w:before="173" w:line="219" w:lineRule="auto"/>
              <w:rPr>
                <w:sz w:val="20"/>
                <w:szCs w:val="20"/>
              </w:rPr>
            </w:pPr>
            <w:r>
              <w:rPr>
                <w:sz w:val="20"/>
                <w:szCs w:val="20"/>
                <w:spacing w:val="3"/>
              </w:rPr>
              <w:t>产废周期</w:t>
            </w:r>
          </w:p>
        </w:tc>
        <w:tc>
          <w:tcPr>
            <w:tcW w:w="780" w:type="dxa"/>
            <w:vAlign w:val="top"/>
          </w:tcPr>
          <w:p>
            <w:pPr>
              <w:pStyle w:val="TableText"/>
              <w:ind w:left="189"/>
              <w:spacing w:before="23" w:line="300" w:lineRule="exact"/>
              <w:rPr>
                <w:sz w:val="20"/>
                <w:szCs w:val="20"/>
              </w:rPr>
            </w:pPr>
            <w:r>
              <w:rPr>
                <w:sz w:val="20"/>
                <w:szCs w:val="20"/>
                <w:spacing w:val="-3"/>
                <w:position w:val="7"/>
              </w:rPr>
              <w:t>危险</w:t>
            </w:r>
          </w:p>
          <w:p>
            <w:pPr>
              <w:pStyle w:val="TableText"/>
              <w:ind w:left="189"/>
              <w:spacing w:line="184" w:lineRule="auto"/>
              <w:rPr>
                <w:sz w:val="20"/>
                <w:szCs w:val="20"/>
              </w:rPr>
            </w:pPr>
            <w:r>
              <w:rPr>
                <w:sz w:val="20"/>
                <w:szCs w:val="20"/>
                <w:spacing w:val="-2"/>
              </w:rPr>
              <w:t>特性</w:t>
            </w:r>
          </w:p>
        </w:tc>
        <w:tc>
          <w:tcPr>
            <w:tcW w:w="1894" w:type="dxa"/>
            <w:vAlign w:val="top"/>
          </w:tcPr>
          <w:p>
            <w:pPr>
              <w:pStyle w:val="TableText"/>
              <w:ind w:left="339"/>
              <w:spacing w:before="173" w:line="220" w:lineRule="auto"/>
              <w:rPr>
                <w:sz w:val="20"/>
                <w:szCs w:val="20"/>
              </w:rPr>
            </w:pPr>
            <w:r>
              <w:rPr>
                <w:sz w:val="20"/>
                <w:szCs w:val="20"/>
                <w:spacing w:val="-2"/>
              </w:rPr>
              <w:t>污染防治措施</w:t>
            </w:r>
          </w:p>
        </w:tc>
      </w:tr>
      <w:tr>
        <w:trPr>
          <w:trHeight w:val="547" w:hRule="atLeast"/>
        </w:trPr>
        <w:tc>
          <w:tcPr>
            <w:tcW w:w="725" w:type="dxa"/>
            <w:vAlign w:val="top"/>
          </w:tcPr>
          <w:p>
            <w:pPr>
              <w:pStyle w:val="TableText"/>
              <w:ind w:left="305"/>
              <w:spacing w:before="230" w:line="184" w:lineRule="auto"/>
              <w:rPr>
                <w:sz w:val="20"/>
                <w:szCs w:val="20"/>
              </w:rPr>
            </w:pPr>
            <w:r>
              <w:rPr>
                <w:sz w:val="20"/>
                <w:szCs w:val="20"/>
              </w:rPr>
              <w:t>1</w:t>
            </w:r>
          </w:p>
        </w:tc>
        <w:tc>
          <w:tcPr>
            <w:tcW w:w="1569" w:type="dxa"/>
            <w:vAlign w:val="top"/>
          </w:tcPr>
          <w:p>
            <w:pPr>
              <w:pStyle w:val="TableText"/>
              <w:ind w:left="470"/>
              <w:spacing w:before="178" w:line="219" w:lineRule="auto"/>
              <w:rPr>
                <w:sz w:val="20"/>
                <w:szCs w:val="20"/>
              </w:rPr>
            </w:pPr>
            <w:r>
              <w:rPr>
                <w:sz w:val="20"/>
                <w:szCs w:val="20"/>
                <w:spacing w:val="7"/>
              </w:rPr>
              <w:t>废机油</w:t>
            </w:r>
          </w:p>
        </w:tc>
        <w:tc>
          <w:tcPr>
            <w:tcW w:w="1779" w:type="dxa"/>
            <w:vAlign w:val="top"/>
          </w:tcPr>
          <w:p>
            <w:pPr>
              <w:pStyle w:val="TableText"/>
              <w:ind w:left="181" w:right="177" w:firstLine="100"/>
              <w:spacing w:before="60" w:line="220" w:lineRule="auto"/>
              <w:rPr>
                <w:sz w:val="20"/>
                <w:szCs w:val="20"/>
              </w:rPr>
            </w:pPr>
            <w:r>
              <w:rPr>
                <w:sz w:val="20"/>
                <w:szCs w:val="20"/>
              </w:rPr>
              <w:t>HW</w:t>
            </w:r>
            <w:r>
              <w:rPr>
                <w:sz w:val="20"/>
                <w:szCs w:val="20"/>
                <w:spacing w:val="3"/>
              </w:rPr>
              <w:t>08废矿物油</w:t>
            </w:r>
            <w:r>
              <w:rPr>
                <w:sz w:val="20"/>
                <w:szCs w:val="20"/>
                <w:spacing w:val="1"/>
              </w:rPr>
              <w:t xml:space="preserve">  </w:t>
            </w:r>
            <w:r>
              <w:rPr>
                <w:sz w:val="20"/>
                <w:szCs w:val="20"/>
                <w:spacing w:val="1"/>
              </w:rPr>
              <w:t>与含矿物油废物</w:t>
            </w:r>
          </w:p>
        </w:tc>
        <w:tc>
          <w:tcPr>
            <w:tcW w:w="1189" w:type="dxa"/>
            <w:vAlign w:val="top"/>
          </w:tcPr>
          <w:p>
            <w:pPr>
              <w:pStyle w:val="TableText"/>
              <w:ind w:left="82"/>
              <w:spacing w:before="231" w:line="183" w:lineRule="auto"/>
              <w:rPr>
                <w:sz w:val="20"/>
                <w:szCs w:val="20"/>
              </w:rPr>
            </w:pPr>
            <w:r>
              <w:rPr>
                <w:sz w:val="20"/>
                <w:szCs w:val="20"/>
                <w:spacing w:val="-1"/>
              </w:rPr>
              <w:t>900-249-08</w:t>
            </w:r>
          </w:p>
        </w:tc>
        <w:tc>
          <w:tcPr>
            <w:tcW w:w="939" w:type="dxa"/>
            <w:vAlign w:val="top"/>
          </w:tcPr>
          <w:p>
            <w:pPr>
              <w:pStyle w:val="TableText"/>
              <w:ind w:left="313"/>
              <w:spacing w:before="231" w:line="183" w:lineRule="auto"/>
              <w:rPr>
                <w:sz w:val="20"/>
                <w:szCs w:val="20"/>
              </w:rPr>
            </w:pPr>
            <w:r>
              <w:rPr>
                <w:sz w:val="20"/>
                <w:szCs w:val="20"/>
                <w:spacing w:val="-3"/>
              </w:rPr>
              <w:t>0.5</w:t>
            </w:r>
          </w:p>
        </w:tc>
        <w:tc>
          <w:tcPr>
            <w:tcW w:w="1539" w:type="dxa"/>
            <w:vAlign w:val="top"/>
          </w:tcPr>
          <w:p>
            <w:pPr>
              <w:pStyle w:val="TableText"/>
              <w:ind w:left="663" w:right="171" w:hanging="499"/>
              <w:spacing w:before="60" w:line="220" w:lineRule="auto"/>
              <w:rPr>
                <w:sz w:val="20"/>
                <w:szCs w:val="20"/>
              </w:rPr>
            </w:pPr>
            <w:r>
              <w:rPr>
                <w:sz w:val="20"/>
                <w:szCs w:val="20"/>
                <w:spacing w:val="-2"/>
              </w:rPr>
              <w:t>机修、设备保</w:t>
            </w:r>
            <w:r>
              <w:rPr>
                <w:sz w:val="20"/>
                <w:szCs w:val="20"/>
                <w:spacing w:val="3"/>
              </w:rPr>
              <w:t xml:space="preserve"> </w:t>
            </w:r>
            <w:r>
              <w:rPr>
                <w:sz w:val="20"/>
                <w:szCs w:val="20"/>
              </w:rPr>
              <w:t>养</w:t>
            </w:r>
          </w:p>
        </w:tc>
        <w:tc>
          <w:tcPr>
            <w:tcW w:w="779" w:type="dxa"/>
            <w:vAlign w:val="top"/>
          </w:tcPr>
          <w:p>
            <w:pPr>
              <w:pStyle w:val="TableText"/>
              <w:ind w:left="185"/>
              <w:spacing w:before="180" w:line="220" w:lineRule="auto"/>
              <w:rPr>
                <w:sz w:val="20"/>
                <w:szCs w:val="20"/>
              </w:rPr>
            </w:pPr>
            <w:r>
              <w:rPr>
                <w:sz w:val="20"/>
                <w:szCs w:val="20"/>
                <w:spacing w:val="-3"/>
              </w:rPr>
              <w:t>液态</w:t>
            </w:r>
          </w:p>
        </w:tc>
        <w:tc>
          <w:tcPr>
            <w:tcW w:w="1109" w:type="dxa"/>
            <w:vAlign w:val="top"/>
          </w:tcPr>
          <w:p>
            <w:pPr>
              <w:pStyle w:val="TableText"/>
              <w:ind w:left="246"/>
              <w:spacing w:before="180" w:line="220" w:lineRule="auto"/>
              <w:rPr>
                <w:sz w:val="20"/>
                <w:szCs w:val="20"/>
              </w:rPr>
            </w:pPr>
            <w:r>
              <w:rPr>
                <w:sz w:val="20"/>
                <w:szCs w:val="20"/>
                <w:spacing w:val="-2"/>
              </w:rPr>
              <w:t>废油脂</w:t>
            </w:r>
          </w:p>
        </w:tc>
        <w:tc>
          <w:tcPr>
            <w:tcW w:w="959" w:type="dxa"/>
            <w:vAlign w:val="top"/>
          </w:tcPr>
          <w:p>
            <w:pPr>
              <w:pStyle w:val="TableText"/>
              <w:ind w:left="177"/>
              <w:spacing w:before="180" w:line="220" w:lineRule="auto"/>
              <w:rPr>
                <w:sz w:val="20"/>
                <w:szCs w:val="20"/>
              </w:rPr>
            </w:pPr>
            <w:r>
              <w:rPr>
                <w:sz w:val="20"/>
                <w:szCs w:val="20"/>
                <w:spacing w:val="7"/>
              </w:rPr>
              <w:t>润滑油</w:t>
            </w:r>
          </w:p>
        </w:tc>
        <w:tc>
          <w:tcPr>
            <w:tcW w:w="1289" w:type="dxa"/>
            <w:vAlign w:val="top"/>
          </w:tcPr>
          <w:p>
            <w:pPr>
              <w:pStyle w:val="TableText"/>
              <w:ind w:left="288"/>
              <w:spacing w:before="180" w:line="219" w:lineRule="auto"/>
              <w:rPr>
                <w:sz w:val="20"/>
                <w:szCs w:val="20"/>
              </w:rPr>
            </w:pPr>
            <w:r>
              <w:rPr>
                <w:sz w:val="20"/>
                <w:szCs w:val="20"/>
                <w:spacing w:val="1"/>
              </w:rPr>
              <w:t>12次/年</w:t>
            </w:r>
          </w:p>
        </w:tc>
        <w:tc>
          <w:tcPr>
            <w:tcW w:w="780" w:type="dxa"/>
            <w:vAlign w:val="top"/>
          </w:tcPr>
          <w:p>
            <w:pPr>
              <w:pStyle w:val="TableText"/>
              <w:ind w:left="239"/>
              <w:spacing w:before="209" w:line="182" w:lineRule="auto"/>
              <w:rPr>
                <w:sz w:val="20"/>
                <w:szCs w:val="20"/>
              </w:rPr>
            </w:pPr>
            <w:r>
              <w:rPr>
                <w:sz w:val="20"/>
                <w:szCs w:val="20"/>
                <w:spacing w:val="-2"/>
              </w:rPr>
              <w:t>T,I</w:t>
            </w:r>
          </w:p>
        </w:tc>
        <w:tc>
          <w:tcPr>
            <w:tcW w:w="1894" w:type="dxa"/>
            <w:vAlign w:val="top"/>
            <w:vMerge w:val="restart"/>
            <w:tcBorders>
              <w:bottom w:val="nil"/>
            </w:tcBorders>
          </w:tcPr>
          <w:p>
            <w:pPr>
              <w:pStyle w:val="TableText"/>
              <w:ind w:left="139"/>
              <w:spacing w:before="60" w:line="219" w:lineRule="auto"/>
              <w:rPr>
                <w:sz w:val="20"/>
                <w:szCs w:val="20"/>
              </w:rPr>
            </w:pPr>
            <w:r>
              <w:rPr>
                <w:sz w:val="20"/>
                <w:szCs w:val="20"/>
                <w:spacing w:val="1"/>
              </w:rPr>
              <w:t>分类收集，委托有</w:t>
            </w:r>
          </w:p>
          <w:p>
            <w:pPr>
              <w:pStyle w:val="TableText"/>
              <w:ind w:left="239"/>
              <w:spacing w:before="43" w:line="220" w:lineRule="auto"/>
              <w:rPr>
                <w:sz w:val="20"/>
                <w:szCs w:val="20"/>
              </w:rPr>
            </w:pPr>
            <w:r>
              <w:rPr>
                <w:sz w:val="20"/>
                <w:szCs w:val="20"/>
                <w:spacing w:val="1"/>
              </w:rPr>
              <w:t>资质的单位外运</w:t>
            </w:r>
          </w:p>
          <w:p>
            <w:pPr>
              <w:pStyle w:val="TableText"/>
              <w:ind w:left="739"/>
              <w:spacing w:before="45" w:line="204" w:lineRule="auto"/>
              <w:rPr>
                <w:sz w:val="20"/>
                <w:szCs w:val="20"/>
              </w:rPr>
            </w:pPr>
            <w:r>
              <w:rPr>
                <w:sz w:val="20"/>
                <w:szCs w:val="20"/>
                <w:spacing w:val="-3"/>
              </w:rPr>
              <w:t>处置</w:t>
            </w:r>
          </w:p>
        </w:tc>
      </w:tr>
      <w:tr>
        <w:trPr>
          <w:trHeight w:val="299" w:hRule="atLeast"/>
        </w:trPr>
        <w:tc>
          <w:tcPr>
            <w:tcW w:w="725" w:type="dxa"/>
            <w:vAlign w:val="top"/>
          </w:tcPr>
          <w:p>
            <w:pPr>
              <w:pStyle w:val="TableText"/>
              <w:ind w:left="305"/>
              <w:spacing w:before="104" w:line="170" w:lineRule="auto"/>
              <w:rPr>
                <w:sz w:val="20"/>
                <w:szCs w:val="20"/>
              </w:rPr>
            </w:pPr>
            <w:r>
              <w:rPr>
                <w:sz w:val="20"/>
                <w:szCs w:val="20"/>
              </w:rPr>
              <w:t>2</w:t>
            </w:r>
          </w:p>
        </w:tc>
        <w:tc>
          <w:tcPr>
            <w:tcW w:w="1569" w:type="dxa"/>
            <w:vAlign w:val="top"/>
          </w:tcPr>
          <w:p>
            <w:pPr>
              <w:pStyle w:val="TableText"/>
              <w:ind w:left="470"/>
              <w:spacing w:before="53" w:line="217" w:lineRule="auto"/>
              <w:rPr>
                <w:sz w:val="20"/>
                <w:szCs w:val="20"/>
              </w:rPr>
            </w:pPr>
            <w:r>
              <w:rPr>
                <w:sz w:val="20"/>
                <w:szCs w:val="20"/>
                <w:spacing w:val="-2"/>
              </w:rPr>
              <w:t>废沸石</w:t>
            </w:r>
          </w:p>
        </w:tc>
        <w:tc>
          <w:tcPr>
            <w:tcW w:w="1779" w:type="dxa"/>
            <w:vAlign w:val="top"/>
          </w:tcPr>
          <w:p>
            <w:pPr>
              <w:pStyle w:val="TableText"/>
              <w:ind w:left="281"/>
              <w:spacing w:before="53" w:line="217" w:lineRule="auto"/>
              <w:rPr>
                <w:sz w:val="20"/>
                <w:szCs w:val="20"/>
              </w:rPr>
            </w:pPr>
            <w:r>
              <w:rPr>
                <w:sz w:val="20"/>
                <w:szCs w:val="20"/>
                <w:spacing w:val="-1"/>
              </w:rPr>
              <w:t>HW49其他废物</w:t>
            </w:r>
          </w:p>
        </w:tc>
        <w:tc>
          <w:tcPr>
            <w:tcW w:w="1189" w:type="dxa"/>
            <w:vAlign w:val="top"/>
          </w:tcPr>
          <w:p>
            <w:pPr>
              <w:pStyle w:val="TableText"/>
              <w:ind w:left="82"/>
              <w:spacing w:before="103" w:line="171" w:lineRule="auto"/>
              <w:rPr>
                <w:sz w:val="20"/>
                <w:szCs w:val="20"/>
              </w:rPr>
            </w:pPr>
            <w:r>
              <w:rPr>
                <w:sz w:val="20"/>
                <w:szCs w:val="20"/>
                <w:spacing w:val="-1"/>
              </w:rPr>
              <w:t>900-041-49</w:t>
            </w:r>
          </w:p>
        </w:tc>
        <w:tc>
          <w:tcPr>
            <w:tcW w:w="939" w:type="dxa"/>
            <w:vAlign w:val="top"/>
          </w:tcPr>
          <w:p>
            <w:pPr>
              <w:pStyle w:val="TableText"/>
              <w:ind w:left="263"/>
              <w:spacing w:before="104" w:line="170" w:lineRule="auto"/>
              <w:rPr>
                <w:sz w:val="20"/>
                <w:szCs w:val="20"/>
              </w:rPr>
            </w:pPr>
            <w:r>
              <w:rPr>
                <w:sz w:val="20"/>
                <w:szCs w:val="20"/>
                <w:spacing w:val="-2"/>
              </w:rPr>
              <w:t>0.48</w:t>
            </w:r>
          </w:p>
        </w:tc>
        <w:tc>
          <w:tcPr>
            <w:tcW w:w="1539" w:type="dxa"/>
            <w:vAlign w:val="top"/>
          </w:tcPr>
          <w:p>
            <w:pPr>
              <w:pStyle w:val="TableText"/>
              <w:ind w:left="214"/>
              <w:spacing w:before="53" w:line="217" w:lineRule="auto"/>
              <w:rPr>
                <w:sz w:val="20"/>
                <w:szCs w:val="20"/>
              </w:rPr>
            </w:pPr>
            <w:r>
              <w:rPr>
                <w:sz w:val="20"/>
                <w:szCs w:val="20"/>
                <w:spacing w:val="-1"/>
              </w:rPr>
              <w:t>NMP废气处理</w:t>
            </w:r>
          </w:p>
        </w:tc>
        <w:tc>
          <w:tcPr>
            <w:tcW w:w="779" w:type="dxa"/>
            <w:vAlign w:val="top"/>
          </w:tcPr>
          <w:p>
            <w:pPr>
              <w:pStyle w:val="TableText"/>
              <w:ind w:left="185"/>
              <w:spacing w:before="53" w:line="217" w:lineRule="auto"/>
              <w:rPr>
                <w:sz w:val="20"/>
                <w:szCs w:val="20"/>
              </w:rPr>
            </w:pPr>
            <w:r>
              <w:rPr>
                <w:sz w:val="20"/>
                <w:szCs w:val="20"/>
                <w:spacing w:val="5"/>
              </w:rPr>
              <w:t>固态</w:t>
            </w:r>
          </w:p>
        </w:tc>
        <w:tc>
          <w:tcPr>
            <w:tcW w:w="1109" w:type="dxa"/>
            <w:vAlign w:val="top"/>
          </w:tcPr>
          <w:p>
            <w:pPr>
              <w:pStyle w:val="TableText"/>
              <w:ind w:left="346"/>
              <w:spacing w:before="55" w:line="216" w:lineRule="auto"/>
              <w:rPr>
                <w:sz w:val="20"/>
                <w:szCs w:val="20"/>
              </w:rPr>
            </w:pPr>
            <w:r>
              <w:rPr>
                <w:sz w:val="20"/>
                <w:szCs w:val="20"/>
                <w:spacing w:val="-3"/>
              </w:rPr>
              <w:t>沸石</w:t>
            </w:r>
          </w:p>
        </w:tc>
        <w:tc>
          <w:tcPr>
            <w:tcW w:w="959" w:type="dxa"/>
            <w:vAlign w:val="top"/>
          </w:tcPr>
          <w:p>
            <w:pPr>
              <w:pStyle w:val="TableText"/>
              <w:ind w:left="177"/>
              <w:spacing w:before="52" w:line="218" w:lineRule="auto"/>
              <w:rPr>
                <w:sz w:val="20"/>
                <w:szCs w:val="20"/>
              </w:rPr>
            </w:pPr>
            <w:r>
              <w:rPr>
                <w:sz w:val="20"/>
                <w:szCs w:val="20"/>
                <w:spacing w:val="-2"/>
              </w:rPr>
              <w:t>有机物</w:t>
            </w:r>
          </w:p>
        </w:tc>
        <w:tc>
          <w:tcPr>
            <w:tcW w:w="1289" w:type="dxa"/>
            <w:vAlign w:val="top"/>
          </w:tcPr>
          <w:p>
            <w:pPr>
              <w:pStyle w:val="TableText"/>
              <w:ind w:left="238"/>
              <w:spacing w:before="52" w:line="218" w:lineRule="auto"/>
              <w:rPr>
                <w:sz w:val="20"/>
                <w:szCs w:val="20"/>
              </w:rPr>
            </w:pPr>
            <w:r>
              <w:rPr>
                <w:sz w:val="20"/>
                <w:szCs w:val="20"/>
                <w:spacing w:val="-2"/>
              </w:rPr>
              <w:t>每8-10年</w:t>
            </w:r>
          </w:p>
        </w:tc>
        <w:tc>
          <w:tcPr>
            <w:tcW w:w="780" w:type="dxa"/>
            <w:vAlign w:val="top"/>
          </w:tcPr>
          <w:p>
            <w:pPr>
              <w:pStyle w:val="TableText"/>
              <w:ind w:left="189"/>
              <w:spacing w:before="58" w:line="213" w:lineRule="auto"/>
              <w:rPr>
                <w:sz w:val="20"/>
                <w:szCs w:val="20"/>
              </w:rPr>
            </w:pPr>
            <w:r>
              <w:rPr>
                <w:sz w:val="20"/>
                <w:szCs w:val="20"/>
                <w:spacing w:val="-2"/>
              </w:rPr>
              <w:t>T/In</w:t>
            </w:r>
          </w:p>
        </w:tc>
        <w:tc>
          <w:tcPr>
            <w:tcW w:w="1894" w:type="dxa"/>
            <w:vAlign w:val="top"/>
            <w:vMerge w:val="continue"/>
            <w:tcBorders>
              <w:top w:val="nil"/>
            </w:tcBorders>
          </w:tcPr>
          <w:p>
            <w:pPr>
              <w:rPr>
                <w:rFonts w:ascii="Arial"/>
                <w:sz w:val="21"/>
              </w:rPr>
            </w:pPr>
            <w:r/>
          </w:p>
        </w:tc>
      </w:tr>
      <w:tr>
        <w:trPr>
          <w:trHeight w:val="811" w:hRule="atLeast"/>
        </w:trPr>
        <w:tc>
          <w:tcPr>
            <w:tcW w:w="725" w:type="dxa"/>
            <w:vAlign w:val="top"/>
          </w:tcPr>
          <w:p>
            <w:pPr>
              <w:spacing w:line="299" w:lineRule="auto"/>
              <w:rPr>
                <w:rFonts w:ascii="Arial"/>
                <w:sz w:val="21"/>
              </w:rPr>
            </w:pPr>
            <w:r/>
          </w:p>
          <w:p>
            <w:pPr>
              <w:pStyle w:val="TableText"/>
              <w:ind w:left="305"/>
              <w:spacing w:before="65" w:line="183" w:lineRule="auto"/>
              <w:rPr>
                <w:sz w:val="20"/>
                <w:szCs w:val="20"/>
              </w:rPr>
            </w:pPr>
            <w:r>
              <w:rPr>
                <w:sz w:val="20"/>
                <w:szCs w:val="20"/>
              </w:rPr>
              <w:t>3</w:t>
            </w:r>
          </w:p>
        </w:tc>
        <w:tc>
          <w:tcPr>
            <w:tcW w:w="1569" w:type="dxa"/>
            <w:vAlign w:val="top"/>
          </w:tcPr>
          <w:p>
            <w:pPr>
              <w:pStyle w:val="TableText"/>
              <w:ind w:left="370" w:right="196" w:hanging="200"/>
              <w:spacing w:before="183" w:line="234" w:lineRule="auto"/>
              <w:rPr>
                <w:sz w:val="20"/>
                <w:szCs w:val="20"/>
              </w:rPr>
            </w:pPr>
            <w:r>
              <w:rPr>
                <w:sz w:val="20"/>
                <w:szCs w:val="20"/>
                <w:spacing w:val="-2"/>
              </w:rPr>
              <w:t>含废油的废抹</w:t>
            </w:r>
            <w:r>
              <w:rPr>
                <w:sz w:val="20"/>
                <w:szCs w:val="20"/>
                <w:spacing w:val="3"/>
              </w:rPr>
              <w:t xml:space="preserve"> </w:t>
            </w:r>
            <w:r>
              <w:rPr>
                <w:sz w:val="20"/>
                <w:szCs w:val="20"/>
                <w:spacing w:val="-2"/>
              </w:rPr>
              <w:t>布、手套</w:t>
            </w:r>
          </w:p>
        </w:tc>
        <w:tc>
          <w:tcPr>
            <w:tcW w:w="1779" w:type="dxa"/>
            <w:vAlign w:val="top"/>
          </w:tcPr>
          <w:p>
            <w:pPr>
              <w:spacing w:line="248" w:lineRule="auto"/>
              <w:rPr>
                <w:rFonts w:ascii="Arial"/>
                <w:sz w:val="21"/>
              </w:rPr>
            </w:pPr>
            <w:r/>
          </w:p>
          <w:p>
            <w:pPr>
              <w:pStyle w:val="TableText"/>
              <w:ind w:left="281"/>
              <w:spacing w:before="65" w:line="220" w:lineRule="auto"/>
              <w:rPr>
                <w:sz w:val="20"/>
                <w:szCs w:val="20"/>
              </w:rPr>
            </w:pPr>
            <w:r>
              <w:rPr>
                <w:sz w:val="20"/>
                <w:szCs w:val="20"/>
                <w:spacing w:val="-1"/>
              </w:rPr>
              <w:t>HW49其他废物</w:t>
            </w:r>
          </w:p>
        </w:tc>
        <w:tc>
          <w:tcPr>
            <w:tcW w:w="1189" w:type="dxa"/>
            <w:vAlign w:val="top"/>
          </w:tcPr>
          <w:p>
            <w:pPr>
              <w:spacing w:line="297" w:lineRule="auto"/>
              <w:rPr>
                <w:rFonts w:ascii="Arial"/>
                <w:sz w:val="21"/>
              </w:rPr>
            </w:pPr>
            <w:r/>
          </w:p>
          <w:p>
            <w:pPr>
              <w:pStyle w:val="TableText"/>
              <w:ind w:left="82"/>
              <w:spacing w:before="65" w:line="184" w:lineRule="auto"/>
              <w:rPr>
                <w:sz w:val="20"/>
                <w:szCs w:val="20"/>
              </w:rPr>
            </w:pPr>
            <w:r>
              <w:rPr>
                <w:sz w:val="20"/>
                <w:szCs w:val="20"/>
                <w:spacing w:val="-1"/>
              </w:rPr>
              <w:t>900-041-49</w:t>
            </w:r>
          </w:p>
        </w:tc>
        <w:tc>
          <w:tcPr>
            <w:tcW w:w="939" w:type="dxa"/>
            <w:vAlign w:val="top"/>
          </w:tcPr>
          <w:p>
            <w:pPr>
              <w:spacing w:line="299" w:lineRule="auto"/>
              <w:rPr>
                <w:rFonts w:ascii="Arial"/>
                <w:sz w:val="21"/>
              </w:rPr>
            </w:pPr>
            <w:r/>
          </w:p>
          <w:p>
            <w:pPr>
              <w:pStyle w:val="TableText"/>
              <w:ind w:left="313"/>
              <w:spacing w:before="65" w:line="183" w:lineRule="auto"/>
              <w:rPr>
                <w:sz w:val="20"/>
                <w:szCs w:val="20"/>
              </w:rPr>
            </w:pPr>
            <w:r>
              <w:rPr>
                <w:sz w:val="20"/>
                <w:szCs w:val="20"/>
                <w:spacing w:val="-3"/>
              </w:rPr>
              <w:t>0.2</w:t>
            </w:r>
          </w:p>
        </w:tc>
        <w:tc>
          <w:tcPr>
            <w:tcW w:w="1539" w:type="dxa"/>
            <w:vAlign w:val="top"/>
          </w:tcPr>
          <w:p>
            <w:pPr>
              <w:spacing w:line="248" w:lineRule="auto"/>
              <w:rPr>
                <w:rFonts w:ascii="Arial"/>
                <w:sz w:val="21"/>
              </w:rPr>
            </w:pPr>
            <w:r/>
          </w:p>
          <w:p>
            <w:pPr>
              <w:pStyle w:val="TableText"/>
              <w:ind w:left="364"/>
              <w:spacing w:before="65" w:line="220" w:lineRule="auto"/>
              <w:rPr>
                <w:sz w:val="20"/>
                <w:szCs w:val="20"/>
              </w:rPr>
            </w:pPr>
            <w:r>
              <w:rPr>
                <w:sz w:val="20"/>
                <w:szCs w:val="20"/>
                <w:spacing w:val="3"/>
              </w:rPr>
              <w:t>设备维护</w:t>
            </w:r>
          </w:p>
        </w:tc>
        <w:tc>
          <w:tcPr>
            <w:tcW w:w="779" w:type="dxa"/>
            <w:vAlign w:val="top"/>
          </w:tcPr>
          <w:p>
            <w:pPr>
              <w:spacing w:line="248" w:lineRule="auto"/>
              <w:rPr>
                <w:rFonts w:ascii="Arial"/>
                <w:sz w:val="21"/>
              </w:rPr>
            </w:pPr>
            <w:r/>
          </w:p>
          <w:p>
            <w:pPr>
              <w:pStyle w:val="TableText"/>
              <w:ind w:left="185"/>
              <w:spacing w:before="65" w:line="220" w:lineRule="auto"/>
              <w:rPr>
                <w:sz w:val="20"/>
                <w:szCs w:val="20"/>
              </w:rPr>
            </w:pPr>
            <w:r>
              <w:rPr>
                <w:sz w:val="20"/>
                <w:szCs w:val="20"/>
                <w:spacing w:val="5"/>
              </w:rPr>
              <w:t>固态</w:t>
            </w:r>
          </w:p>
        </w:tc>
        <w:tc>
          <w:tcPr>
            <w:tcW w:w="1109" w:type="dxa"/>
            <w:vAlign w:val="top"/>
          </w:tcPr>
          <w:p>
            <w:pPr>
              <w:spacing w:line="246" w:lineRule="auto"/>
              <w:rPr>
                <w:rFonts w:ascii="Arial"/>
                <w:sz w:val="21"/>
              </w:rPr>
            </w:pPr>
            <w:r/>
          </w:p>
          <w:p>
            <w:pPr>
              <w:pStyle w:val="TableText"/>
              <w:ind w:left="146"/>
              <w:spacing w:before="65" w:line="219" w:lineRule="auto"/>
              <w:rPr>
                <w:sz w:val="20"/>
                <w:szCs w:val="20"/>
              </w:rPr>
            </w:pPr>
            <w:r>
              <w:rPr>
                <w:sz w:val="20"/>
                <w:szCs w:val="20"/>
                <w:spacing w:val="-2"/>
              </w:rPr>
              <w:t>布、手套</w:t>
            </w:r>
          </w:p>
        </w:tc>
        <w:tc>
          <w:tcPr>
            <w:tcW w:w="959" w:type="dxa"/>
            <w:vAlign w:val="top"/>
          </w:tcPr>
          <w:p>
            <w:pPr>
              <w:spacing w:line="248" w:lineRule="auto"/>
              <w:rPr>
                <w:rFonts w:ascii="Arial"/>
                <w:sz w:val="21"/>
              </w:rPr>
            </w:pPr>
            <w:r/>
          </w:p>
          <w:p>
            <w:pPr>
              <w:pStyle w:val="TableText"/>
              <w:ind w:left="177"/>
              <w:spacing w:before="65" w:line="220" w:lineRule="auto"/>
              <w:rPr>
                <w:sz w:val="20"/>
                <w:szCs w:val="20"/>
              </w:rPr>
            </w:pPr>
            <w:r>
              <w:rPr>
                <w:sz w:val="20"/>
                <w:szCs w:val="20"/>
                <w:spacing w:val="7"/>
              </w:rPr>
              <w:t>润滑油</w:t>
            </w:r>
          </w:p>
        </w:tc>
        <w:tc>
          <w:tcPr>
            <w:tcW w:w="1289" w:type="dxa"/>
            <w:vAlign w:val="top"/>
          </w:tcPr>
          <w:p>
            <w:pPr>
              <w:spacing w:line="247" w:lineRule="auto"/>
              <w:rPr>
                <w:rFonts w:ascii="Arial"/>
                <w:sz w:val="21"/>
              </w:rPr>
            </w:pPr>
            <w:r/>
          </w:p>
          <w:p>
            <w:pPr>
              <w:pStyle w:val="TableText"/>
              <w:ind w:left="288"/>
              <w:spacing w:before="65" w:line="219" w:lineRule="auto"/>
              <w:rPr>
                <w:sz w:val="20"/>
                <w:szCs w:val="20"/>
              </w:rPr>
            </w:pPr>
            <w:r>
              <w:rPr>
                <w:sz w:val="20"/>
                <w:szCs w:val="20"/>
                <w:spacing w:val="1"/>
              </w:rPr>
              <w:t>12次/年</w:t>
            </w:r>
          </w:p>
        </w:tc>
        <w:tc>
          <w:tcPr>
            <w:tcW w:w="780" w:type="dxa"/>
            <w:vAlign w:val="top"/>
          </w:tcPr>
          <w:p>
            <w:pPr>
              <w:spacing w:line="253" w:lineRule="auto"/>
              <w:rPr>
                <w:rFonts w:ascii="Arial"/>
                <w:sz w:val="21"/>
              </w:rPr>
            </w:pPr>
            <w:r/>
          </w:p>
          <w:p>
            <w:pPr>
              <w:pStyle w:val="TableText"/>
              <w:ind w:left="189"/>
              <w:spacing w:before="65" w:line="224" w:lineRule="auto"/>
              <w:rPr>
                <w:sz w:val="20"/>
                <w:szCs w:val="20"/>
              </w:rPr>
            </w:pPr>
            <w:r>
              <w:rPr>
                <w:sz w:val="20"/>
                <w:szCs w:val="20"/>
                <w:spacing w:val="-2"/>
              </w:rPr>
              <w:t>T/In</w:t>
            </w:r>
          </w:p>
        </w:tc>
        <w:tc>
          <w:tcPr>
            <w:tcW w:w="1894" w:type="dxa"/>
            <w:vAlign w:val="top"/>
          </w:tcPr>
          <w:p>
            <w:pPr>
              <w:pStyle w:val="TableText"/>
              <w:ind w:left="139"/>
              <w:spacing w:before="24" w:line="219" w:lineRule="auto"/>
              <w:rPr>
                <w:sz w:val="20"/>
                <w:szCs w:val="20"/>
              </w:rPr>
            </w:pPr>
            <w:r>
              <w:rPr>
                <w:sz w:val="20"/>
                <w:szCs w:val="20"/>
                <w:spacing w:val="-2"/>
              </w:rPr>
              <w:t>未分类收集，全过</w:t>
            </w:r>
          </w:p>
          <w:p>
            <w:pPr>
              <w:pStyle w:val="TableText"/>
              <w:ind w:left="139"/>
              <w:spacing w:before="63" w:line="220" w:lineRule="auto"/>
              <w:rPr>
                <w:sz w:val="20"/>
                <w:szCs w:val="20"/>
              </w:rPr>
            </w:pPr>
            <w:r>
              <w:rPr>
                <w:sz w:val="20"/>
                <w:szCs w:val="20"/>
                <w:spacing w:val="-1"/>
              </w:rPr>
              <w:t>程豁免，与生活垃</w:t>
            </w:r>
          </w:p>
          <w:p>
            <w:pPr>
              <w:pStyle w:val="TableText"/>
              <w:ind w:left="439"/>
              <w:spacing w:before="31" w:line="190" w:lineRule="auto"/>
              <w:rPr>
                <w:sz w:val="20"/>
                <w:szCs w:val="20"/>
              </w:rPr>
            </w:pPr>
            <w:r>
              <w:rPr>
                <w:sz w:val="20"/>
                <w:szCs w:val="20"/>
                <w:spacing w:val="-2"/>
              </w:rPr>
              <w:t>圾一起处理</w:t>
            </w:r>
          </w:p>
        </w:tc>
      </w:tr>
    </w:tbl>
    <w:p>
      <w:pPr>
        <w:pStyle w:val="BodyText"/>
        <w:ind w:left="5118"/>
        <w:spacing w:before="71" w:line="219" w:lineRule="auto"/>
        <w:rPr>
          <w:sz w:val="22"/>
          <w:szCs w:val="22"/>
        </w:rPr>
      </w:pPr>
      <w:r>
        <w:rPr>
          <w:sz w:val="22"/>
          <w:szCs w:val="22"/>
          <w:b/>
          <w:bCs/>
          <w:spacing w:val="-3"/>
        </w:rPr>
        <w:t>表4.5-2</w:t>
      </w:r>
      <w:r>
        <w:rPr>
          <w:sz w:val="22"/>
          <w:szCs w:val="22"/>
          <w:spacing w:val="-3"/>
        </w:rPr>
        <w:t xml:space="preserve">  </w:t>
      </w:r>
      <w:r>
        <w:rPr>
          <w:sz w:val="22"/>
          <w:szCs w:val="22"/>
          <w:b/>
          <w:bCs/>
          <w:spacing w:val="-3"/>
        </w:rPr>
        <w:t>项目固体废物产生及处置情况</w:t>
      </w:r>
    </w:p>
    <w:p>
      <w:pPr>
        <w:spacing w:line="157" w:lineRule="exact"/>
        <w:rPr/>
      </w:pPr>
      <w:r/>
    </w:p>
    <w:tbl>
      <w:tblPr>
        <w:tblStyle w:val="TableNormal"/>
        <w:tblW w:w="143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5"/>
        <w:gridCol w:w="1779"/>
        <w:gridCol w:w="859"/>
        <w:gridCol w:w="1119"/>
        <w:gridCol w:w="1149"/>
        <w:gridCol w:w="1119"/>
        <w:gridCol w:w="1719"/>
        <w:gridCol w:w="1549"/>
        <w:gridCol w:w="4132"/>
      </w:tblGrid>
      <w:tr>
        <w:trPr>
          <w:trHeight w:val="275" w:hRule="atLeast"/>
        </w:trPr>
        <w:tc>
          <w:tcPr>
            <w:tcW w:w="885" w:type="dxa"/>
            <w:vAlign w:val="top"/>
            <w:vMerge w:val="restart"/>
            <w:tcBorders>
              <w:bottom w:val="nil"/>
            </w:tcBorders>
          </w:tcPr>
          <w:p>
            <w:pPr>
              <w:pStyle w:val="TableText"/>
              <w:ind w:left="235"/>
              <w:spacing w:before="183" w:line="219" w:lineRule="auto"/>
              <w:rPr>
                <w:sz w:val="20"/>
                <w:szCs w:val="20"/>
              </w:rPr>
            </w:pPr>
            <w:r>
              <w:rPr>
                <w:sz w:val="20"/>
                <w:szCs w:val="20"/>
                <w:spacing w:val="8"/>
              </w:rPr>
              <w:t>类别</w:t>
            </w:r>
          </w:p>
        </w:tc>
        <w:tc>
          <w:tcPr>
            <w:tcW w:w="1779" w:type="dxa"/>
            <w:vAlign w:val="top"/>
            <w:vMerge w:val="restart"/>
            <w:tcBorders>
              <w:bottom w:val="nil"/>
            </w:tcBorders>
          </w:tcPr>
          <w:p>
            <w:pPr>
              <w:pStyle w:val="TableText"/>
              <w:ind w:left="580"/>
              <w:spacing w:before="33" w:line="282" w:lineRule="exact"/>
              <w:rPr>
                <w:sz w:val="20"/>
                <w:szCs w:val="20"/>
              </w:rPr>
            </w:pPr>
            <w:r>
              <w:rPr>
                <w:sz w:val="20"/>
                <w:szCs w:val="20"/>
                <w:spacing w:val="-3"/>
                <w:position w:val="5"/>
              </w:rPr>
              <w:t>污染物</w:t>
            </w:r>
          </w:p>
          <w:p>
            <w:pPr>
              <w:pStyle w:val="TableText"/>
              <w:ind w:left="679"/>
              <w:spacing w:line="211" w:lineRule="auto"/>
              <w:rPr>
                <w:sz w:val="20"/>
                <w:szCs w:val="20"/>
              </w:rPr>
            </w:pPr>
            <w:r>
              <w:rPr>
                <w:sz w:val="20"/>
                <w:szCs w:val="20"/>
                <w:spacing w:val="5"/>
              </w:rPr>
              <w:t>名称</w:t>
            </w:r>
          </w:p>
        </w:tc>
        <w:tc>
          <w:tcPr>
            <w:tcW w:w="859" w:type="dxa"/>
            <w:vAlign w:val="top"/>
            <w:vMerge w:val="restart"/>
            <w:tcBorders>
              <w:bottom w:val="nil"/>
            </w:tcBorders>
          </w:tcPr>
          <w:p>
            <w:pPr>
              <w:pStyle w:val="TableText"/>
              <w:ind w:left="221"/>
              <w:spacing w:before="186" w:line="221" w:lineRule="auto"/>
              <w:rPr>
                <w:sz w:val="20"/>
                <w:szCs w:val="20"/>
              </w:rPr>
            </w:pPr>
            <w:r>
              <w:rPr>
                <w:sz w:val="20"/>
                <w:szCs w:val="20"/>
                <w:spacing w:val="5"/>
              </w:rPr>
              <w:t>形态</w:t>
            </w:r>
          </w:p>
        </w:tc>
        <w:tc>
          <w:tcPr>
            <w:tcW w:w="1119" w:type="dxa"/>
            <w:vAlign w:val="top"/>
            <w:vMerge w:val="restart"/>
            <w:tcBorders>
              <w:bottom w:val="nil"/>
            </w:tcBorders>
          </w:tcPr>
          <w:p>
            <w:pPr>
              <w:pStyle w:val="TableText"/>
              <w:ind w:left="352" w:right="143" w:hanging="200"/>
              <w:spacing w:before="53" w:line="227" w:lineRule="auto"/>
              <w:rPr>
                <w:sz w:val="20"/>
                <w:szCs w:val="20"/>
              </w:rPr>
            </w:pPr>
            <w:r>
              <w:rPr>
                <w:sz w:val="20"/>
                <w:szCs w:val="20"/>
                <w:spacing w:val="3"/>
              </w:rPr>
              <w:t>主要有害</w:t>
            </w:r>
            <w:r>
              <w:rPr>
                <w:sz w:val="20"/>
                <w:szCs w:val="20"/>
              </w:rPr>
              <w:t xml:space="preserve"> </w:t>
            </w:r>
            <w:r>
              <w:rPr>
                <w:sz w:val="20"/>
                <w:szCs w:val="20"/>
                <w:spacing w:val="-3"/>
              </w:rPr>
              <w:t>成分</w:t>
            </w:r>
          </w:p>
        </w:tc>
        <w:tc>
          <w:tcPr>
            <w:tcW w:w="1149" w:type="dxa"/>
            <w:vAlign w:val="top"/>
            <w:vMerge w:val="restart"/>
            <w:tcBorders>
              <w:bottom w:val="nil"/>
            </w:tcBorders>
          </w:tcPr>
          <w:p>
            <w:pPr>
              <w:pStyle w:val="TableText"/>
              <w:ind w:left="112"/>
              <w:spacing w:before="183" w:line="219" w:lineRule="auto"/>
              <w:rPr>
                <w:sz w:val="20"/>
                <w:szCs w:val="20"/>
              </w:rPr>
            </w:pPr>
            <w:r>
              <w:rPr>
                <w:sz w:val="20"/>
                <w:szCs w:val="20"/>
                <w:spacing w:val="-2"/>
              </w:rPr>
              <w:t>产生量t/a</w:t>
            </w:r>
          </w:p>
        </w:tc>
        <w:tc>
          <w:tcPr>
            <w:tcW w:w="4387" w:type="dxa"/>
            <w:vAlign w:val="top"/>
            <w:gridSpan w:val="3"/>
          </w:tcPr>
          <w:p>
            <w:pPr>
              <w:pStyle w:val="TableText"/>
              <w:ind w:left="1794"/>
              <w:spacing w:before="42" w:line="205" w:lineRule="auto"/>
              <w:rPr>
                <w:sz w:val="20"/>
                <w:szCs w:val="20"/>
              </w:rPr>
            </w:pPr>
            <w:r>
              <w:rPr>
                <w:sz w:val="20"/>
                <w:szCs w:val="20"/>
                <w:spacing w:val="-2"/>
              </w:rPr>
              <w:t>种类判断</w:t>
            </w:r>
          </w:p>
        </w:tc>
        <w:tc>
          <w:tcPr>
            <w:tcW w:w="4132" w:type="dxa"/>
            <w:vAlign w:val="top"/>
            <w:vMerge w:val="restart"/>
            <w:tcBorders>
              <w:bottom w:val="nil"/>
            </w:tcBorders>
          </w:tcPr>
          <w:p>
            <w:pPr>
              <w:pStyle w:val="TableText"/>
              <w:ind w:left="1657"/>
              <w:spacing w:before="183" w:line="220" w:lineRule="auto"/>
              <w:rPr>
                <w:sz w:val="20"/>
                <w:szCs w:val="20"/>
              </w:rPr>
            </w:pPr>
            <w:r>
              <w:rPr>
                <w:sz w:val="20"/>
                <w:szCs w:val="20"/>
                <w:spacing w:val="2"/>
              </w:rPr>
              <w:t>处置措施</w:t>
            </w:r>
          </w:p>
        </w:tc>
      </w:tr>
      <w:tr>
        <w:trPr>
          <w:trHeight w:val="270" w:hRule="atLeast"/>
        </w:trPr>
        <w:tc>
          <w:tcPr>
            <w:tcW w:w="885" w:type="dxa"/>
            <w:vAlign w:val="top"/>
            <w:vMerge w:val="continue"/>
            <w:tcBorders>
              <w:top w:val="nil"/>
            </w:tcBorders>
          </w:tcPr>
          <w:p>
            <w:pPr>
              <w:rPr>
                <w:rFonts w:ascii="Arial"/>
                <w:sz w:val="21"/>
              </w:rPr>
            </w:pPr>
            <w:r/>
          </w:p>
        </w:tc>
        <w:tc>
          <w:tcPr>
            <w:tcW w:w="1779" w:type="dxa"/>
            <w:vAlign w:val="top"/>
            <w:vMerge w:val="continue"/>
            <w:tcBorders>
              <w:top w:val="nil"/>
            </w:tcBorders>
          </w:tcPr>
          <w:p>
            <w:pPr>
              <w:rPr>
                <w:rFonts w:ascii="Arial"/>
                <w:sz w:val="21"/>
              </w:rPr>
            </w:pPr>
            <w:r/>
          </w:p>
        </w:tc>
        <w:tc>
          <w:tcPr>
            <w:tcW w:w="859" w:type="dxa"/>
            <w:vAlign w:val="top"/>
            <w:vMerge w:val="continue"/>
            <w:tcBorders>
              <w:top w:val="nil"/>
            </w:tcBorders>
          </w:tcPr>
          <w:p>
            <w:pPr>
              <w:rPr>
                <w:rFonts w:ascii="Arial"/>
                <w:sz w:val="21"/>
              </w:rPr>
            </w:pPr>
            <w:r/>
          </w:p>
        </w:tc>
        <w:tc>
          <w:tcPr>
            <w:tcW w:w="1119" w:type="dxa"/>
            <w:vAlign w:val="top"/>
            <w:vMerge w:val="continue"/>
            <w:tcBorders>
              <w:top w:val="nil"/>
            </w:tcBorders>
          </w:tcPr>
          <w:p>
            <w:pPr>
              <w:rPr>
                <w:rFonts w:ascii="Arial"/>
                <w:sz w:val="21"/>
              </w:rPr>
            </w:pPr>
            <w:r/>
          </w:p>
        </w:tc>
        <w:tc>
          <w:tcPr>
            <w:tcW w:w="1149" w:type="dxa"/>
            <w:vAlign w:val="top"/>
            <w:vMerge w:val="continue"/>
            <w:tcBorders>
              <w:top w:val="nil"/>
            </w:tcBorders>
          </w:tcPr>
          <w:p>
            <w:pPr>
              <w:rPr>
                <w:rFonts w:ascii="Arial"/>
                <w:sz w:val="21"/>
              </w:rPr>
            </w:pPr>
            <w:r/>
          </w:p>
        </w:tc>
        <w:tc>
          <w:tcPr>
            <w:tcW w:w="1119" w:type="dxa"/>
            <w:vAlign w:val="top"/>
          </w:tcPr>
          <w:p>
            <w:pPr>
              <w:pStyle w:val="TableText"/>
              <w:ind w:left="154"/>
              <w:spacing w:before="37" w:line="205" w:lineRule="auto"/>
              <w:rPr>
                <w:sz w:val="20"/>
                <w:szCs w:val="20"/>
              </w:rPr>
            </w:pPr>
            <w:r>
              <w:rPr>
                <w:sz w:val="20"/>
                <w:szCs w:val="20"/>
                <w:spacing w:val="-2"/>
              </w:rPr>
              <w:t>危险特性</w:t>
            </w:r>
          </w:p>
        </w:tc>
        <w:tc>
          <w:tcPr>
            <w:tcW w:w="1719" w:type="dxa"/>
            <w:vAlign w:val="top"/>
          </w:tcPr>
          <w:p>
            <w:pPr>
              <w:pStyle w:val="TableText"/>
              <w:ind w:left="455"/>
              <w:spacing w:before="37" w:line="205" w:lineRule="auto"/>
              <w:rPr>
                <w:sz w:val="20"/>
                <w:szCs w:val="20"/>
              </w:rPr>
            </w:pPr>
            <w:r>
              <w:rPr>
                <w:sz w:val="20"/>
                <w:szCs w:val="20"/>
                <w:spacing w:val="4"/>
              </w:rPr>
              <w:t>废物类别</w:t>
            </w:r>
          </w:p>
        </w:tc>
        <w:tc>
          <w:tcPr>
            <w:tcW w:w="1549" w:type="dxa"/>
            <w:vAlign w:val="top"/>
          </w:tcPr>
          <w:p>
            <w:pPr>
              <w:pStyle w:val="TableText"/>
              <w:ind w:left="366"/>
              <w:spacing w:before="37" w:line="205" w:lineRule="auto"/>
              <w:rPr>
                <w:sz w:val="20"/>
                <w:szCs w:val="20"/>
              </w:rPr>
            </w:pPr>
            <w:r>
              <w:rPr>
                <w:sz w:val="20"/>
                <w:szCs w:val="20"/>
                <w:spacing w:val="-2"/>
              </w:rPr>
              <w:t>废物代码</w:t>
            </w:r>
          </w:p>
        </w:tc>
        <w:tc>
          <w:tcPr>
            <w:tcW w:w="4132" w:type="dxa"/>
            <w:vAlign w:val="top"/>
            <w:vMerge w:val="continue"/>
            <w:tcBorders>
              <w:top w:val="nil"/>
            </w:tcBorders>
          </w:tcPr>
          <w:p>
            <w:pPr>
              <w:rPr>
                <w:rFonts w:ascii="Arial"/>
                <w:sz w:val="21"/>
              </w:rPr>
            </w:pPr>
            <w:r/>
          </w:p>
        </w:tc>
      </w:tr>
      <w:tr>
        <w:trPr>
          <w:trHeight w:val="549" w:hRule="atLeast"/>
        </w:trPr>
        <w:tc>
          <w:tcPr>
            <w:tcW w:w="885" w:type="dxa"/>
            <w:vAlign w:val="top"/>
            <w:vMerge w:val="restart"/>
            <w:tcBorders>
              <w:bottom w:val="nil"/>
            </w:tcBorders>
          </w:tcPr>
          <w:p>
            <w:pPr>
              <w:spacing w:line="265" w:lineRule="auto"/>
              <w:rPr>
                <w:rFonts w:ascii="Arial"/>
                <w:sz w:val="21"/>
              </w:rPr>
            </w:pPr>
            <w:r/>
          </w:p>
          <w:p>
            <w:pPr>
              <w:spacing w:line="265" w:lineRule="auto"/>
              <w:rPr>
                <w:rFonts w:ascii="Arial"/>
                <w:sz w:val="21"/>
              </w:rPr>
            </w:pPr>
            <w:r/>
          </w:p>
          <w:p>
            <w:pPr>
              <w:pStyle w:val="TableText"/>
              <w:ind w:left="334" w:right="129" w:hanging="199"/>
              <w:spacing w:before="65" w:line="217" w:lineRule="auto"/>
              <w:rPr>
                <w:sz w:val="20"/>
                <w:szCs w:val="20"/>
              </w:rPr>
            </w:pPr>
            <w:r>
              <w:rPr>
                <w:sz w:val="20"/>
                <w:szCs w:val="20"/>
                <w:spacing w:val="3"/>
              </w:rPr>
              <w:t>危险废</w:t>
            </w:r>
            <w:r>
              <w:rPr>
                <w:sz w:val="20"/>
                <w:szCs w:val="20"/>
              </w:rPr>
              <w:t xml:space="preserve"> </w:t>
            </w:r>
            <w:r>
              <w:rPr>
                <w:sz w:val="20"/>
                <w:szCs w:val="20"/>
              </w:rPr>
              <w:t>物</w:t>
            </w:r>
          </w:p>
        </w:tc>
        <w:tc>
          <w:tcPr>
            <w:tcW w:w="1779" w:type="dxa"/>
            <w:vAlign w:val="top"/>
          </w:tcPr>
          <w:p>
            <w:pPr>
              <w:pStyle w:val="TableText"/>
              <w:ind w:left="580"/>
              <w:spacing w:before="177" w:line="219" w:lineRule="auto"/>
              <w:rPr>
                <w:sz w:val="20"/>
                <w:szCs w:val="20"/>
              </w:rPr>
            </w:pPr>
            <w:r>
              <w:rPr>
                <w:sz w:val="20"/>
                <w:szCs w:val="20"/>
                <w:spacing w:val="6"/>
              </w:rPr>
              <w:t>废机油</w:t>
            </w:r>
          </w:p>
        </w:tc>
        <w:tc>
          <w:tcPr>
            <w:tcW w:w="859" w:type="dxa"/>
            <w:vAlign w:val="top"/>
          </w:tcPr>
          <w:p>
            <w:pPr>
              <w:pStyle w:val="TableText"/>
              <w:ind w:left="221"/>
              <w:spacing w:before="178" w:line="220" w:lineRule="auto"/>
              <w:rPr>
                <w:sz w:val="20"/>
                <w:szCs w:val="20"/>
              </w:rPr>
            </w:pPr>
            <w:r>
              <w:rPr>
                <w:sz w:val="20"/>
                <w:szCs w:val="20"/>
                <w:spacing w:val="-3"/>
              </w:rPr>
              <w:t>液态</w:t>
            </w:r>
          </w:p>
        </w:tc>
        <w:tc>
          <w:tcPr>
            <w:tcW w:w="1119" w:type="dxa"/>
            <w:vAlign w:val="top"/>
          </w:tcPr>
          <w:p>
            <w:pPr>
              <w:pStyle w:val="TableText"/>
              <w:ind w:left="252"/>
              <w:spacing w:before="178" w:line="220" w:lineRule="auto"/>
              <w:rPr>
                <w:sz w:val="20"/>
                <w:szCs w:val="20"/>
              </w:rPr>
            </w:pPr>
            <w:r>
              <w:rPr>
                <w:sz w:val="20"/>
                <w:szCs w:val="20"/>
                <w:spacing w:val="7"/>
              </w:rPr>
              <w:t>润滑油</w:t>
            </w:r>
          </w:p>
        </w:tc>
        <w:tc>
          <w:tcPr>
            <w:tcW w:w="1149" w:type="dxa"/>
            <w:vAlign w:val="top"/>
          </w:tcPr>
          <w:p>
            <w:pPr>
              <w:pStyle w:val="TableText"/>
              <w:ind w:left="413"/>
              <w:spacing w:before="229" w:line="183" w:lineRule="auto"/>
              <w:rPr>
                <w:sz w:val="20"/>
                <w:szCs w:val="20"/>
              </w:rPr>
            </w:pPr>
            <w:r>
              <w:rPr>
                <w:sz w:val="20"/>
                <w:szCs w:val="20"/>
                <w:spacing w:val="-3"/>
              </w:rPr>
              <w:t>0.5</w:t>
            </w:r>
          </w:p>
        </w:tc>
        <w:tc>
          <w:tcPr>
            <w:tcW w:w="1119" w:type="dxa"/>
            <w:vAlign w:val="top"/>
          </w:tcPr>
          <w:p>
            <w:pPr>
              <w:pStyle w:val="TableText"/>
              <w:ind w:left="404"/>
              <w:spacing w:before="207" w:line="182" w:lineRule="auto"/>
              <w:rPr>
                <w:sz w:val="20"/>
                <w:szCs w:val="20"/>
              </w:rPr>
            </w:pPr>
            <w:r>
              <w:rPr>
                <w:sz w:val="20"/>
                <w:szCs w:val="20"/>
                <w:spacing w:val="-2"/>
              </w:rPr>
              <w:t>T,I</w:t>
            </w:r>
          </w:p>
        </w:tc>
        <w:tc>
          <w:tcPr>
            <w:tcW w:w="1719" w:type="dxa"/>
            <w:vAlign w:val="top"/>
          </w:tcPr>
          <w:p>
            <w:pPr>
              <w:pStyle w:val="TableText"/>
              <w:ind w:left="155" w:right="143" w:firstLine="100"/>
              <w:spacing w:before="47" w:line="227" w:lineRule="auto"/>
              <w:rPr>
                <w:sz w:val="20"/>
                <w:szCs w:val="20"/>
              </w:rPr>
            </w:pPr>
            <w:r>
              <w:rPr>
                <w:sz w:val="20"/>
                <w:szCs w:val="20"/>
              </w:rPr>
              <w:t>HW</w:t>
            </w:r>
            <w:r>
              <w:rPr>
                <w:sz w:val="20"/>
                <w:szCs w:val="20"/>
                <w:spacing w:val="3"/>
              </w:rPr>
              <w:t>08废矿物油</w:t>
            </w:r>
            <w:r>
              <w:rPr>
                <w:sz w:val="20"/>
                <w:szCs w:val="20"/>
                <w:spacing w:val="1"/>
              </w:rPr>
              <w:t xml:space="preserve">  </w:t>
            </w:r>
            <w:r>
              <w:rPr>
                <w:sz w:val="20"/>
                <w:szCs w:val="20"/>
                <w:spacing w:val="1"/>
              </w:rPr>
              <w:t>与含矿物油废物</w:t>
            </w:r>
          </w:p>
        </w:tc>
        <w:tc>
          <w:tcPr>
            <w:tcW w:w="1549" w:type="dxa"/>
            <w:vAlign w:val="top"/>
          </w:tcPr>
          <w:p>
            <w:pPr>
              <w:pStyle w:val="TableText"/>
              <w:ind w:left="266"/>
              <w:spacing w:before="229" w:line="183" w:lineRule="auto"/>
              <w:rPr>
                <w:sz w:val="20"/>
                <w:szCs w:val="20"/>
              </w:rPr>
            </w:pPr>
            <w:r>
              <w:rPr>
                <w:sz w:val="20"/>
                <w:szCs w:val="20"/>
                <w:spacing w:val="-1"/>
              </w:rPr>
              <w:t>900-249-08</w:t>
            </w:r>
          </w:p>
        </w:tc>
        <w:tc>
          <w:tcPr>
            <w:tcW w:w="4132" w:type="dxa"/>
            <w:vAlign w:val="top"/>
          </w:tcPr>
          <w:p>
            <w:pPr>
              <w:pStyle w:val="TableText"/>
              <w:ind w:left="356"/>
              <w:spacing w:before="178" w:line="219" w:lineRule="auto"/>
              <w:rPr>
                <w:sz w:val="20"/>
                <w:szCs w:val="20"/>
              </w:rPr>
            </w:pPr>
            <w:r>
              <w:rPr>
                <w:sz w:val="20"/>
                <w:szCs w:val="20"/>
                <w:spacing w:val="-1"/>
              </w:rPr>
              <w:t>分类收集，委托有资质的单位外运处置</w:t>
            </w:r>
          </w:p>
        </w:tc>
      </w:tr>
      <w:tr>
        <w:trPr>
          <w:trHeight w:val="549" w:hRule="atLeast"/>
        </w:trPr>
        <w:tc>
          <w:tcPr>
            <w:tcW w:w="885" w:type="dxa"/>
            <w:vAlign w:val="top"/>
            <w:vMerge w:val="continue"/>
            <w:tcBorders>
              <w:top w:val="nil"/>
              <w:bottom w:val="nil"/>
            </w:tcBorders>
          </w:tcPr>
          <w:p>
            <w:pPr>
              <w:rPr>
                <w:rFonts w:ascii="Arial"/>
                <w:sz w:val="21"/>
              </w:rPr>
            </w:pPr>
            <w:r/>
          </w:p>
        </w:tc>
        <w:tc>
          <w:tcPr>
            <w:tcW w:w="1779" w:type="dxa"/>
            <w:vAlign w:val="top"/>
          </w:tcPr>
          <w:p>
            <w:pPr>
              <w:pStyle w:val="TableText"/>
              <w:ind w:left="675" w:hanging="595"/>
              <w:spacing w:before="49" w:line="221" w:lineRule="auto"/>
              <w:rPr>
                <w:sz w:val="20"/>
                <w:szCs w:val="20"/>
              </w:rPr>
            </w:pPr>
            <w:r>
              <w:rPr>
                <w:sz w:val="20"/>
                <w:szCs w:val="20"/>
                <w:spacing w:val="11"/>
              </w:rPr>
              <w:t>含废油的废抹布、</w:t>
            </w:r>
            <w:r>
              <w:rPr>
                <w:sz w:val="20"/>
                <w:szCs w:val="20"/>
              </w:rPr>
              <w:t xml:space="preserve"> </w:t>
            </w:r>
            <w:r>
              <w:rPr>
                <w:sz w:val="20"/>
                <w:szCs w:val="20"/>
                <w:spacing w:val="-3"/>
              </w:rPr>
              <w:t>手套</w:t>
            </w:r>
          </w:p>
        </w:tc>
        <w:tc>
          <w:tcPr>
            <w:tcW w:w="859" w:type="dxa"/>
            <w:vAlign w:val="top"/>
          </w:tcPr>
          <w:p>
            <w:pPr>
              <w:pStyle w:val="TableText"/>
              <w:ind w:left="221"/>
              <w:spacing w:before="179" w:line="220" w:lineRule="auto"/>
              <w:rPr>
                <w:sz w:val="20"/>
                <w:szCs w:val="20"/>
              </w:rPr>
            </w:pPr>
            <w:r>
              <w:rPr>
                <w:sz w:val="20"/>
                <w:szCs w:val="20"/>
                <w:spacing w:val="5"/>
              </w:rPr>
              <w:t>固态</w:t>
            </w:r>
          </w:p>
        </w:tc>
        <w:tc>
          <w:tcPr>
            <w:tcW w:w="1119" w:type="dxa"/>
            <w:vAlign w:val="top"/>
          </w:tcPr>
          <w:p>
            <w:pPr>
              <w:pStyle w:val="TableText"/>
              <w:ind w:left="252"/>
              <w:spacing w:before="179" w:line="220" w:lineRule="auto"/>
              <w:rPr>
                <w:sz w:val="20"/>
                <w:szCs w:val="20"/>
              </w:rPr>
            </w:pPr>
            <w:r>
              <w:rPr>
                <w:sz w:val="20"/>
                <w:szCs w:val="20"/>
                <w:spacing w:val="7"/>
              </w:rPr>
              <w:t>润滑油</w:t>
            </w:r>
          </w:p>
        </w:tc>
        <w:tc>
          <w:tcPr>
            <w:tcW w:w="1149" w:type="dxa"/>
            <w:vAlign w:val="top"/>
          </w:tcPr>
          <w:p>
            <w:pPr>
              <w:pStyle w:val="TableText"/>
              <w:ind w:left="413"/>
              <w:spacing w:before="230" w:line="183" w:lineRule="auto"/>
              <w:rPr>
                <w:sz w:val="20"/>
                <w:szCs w:val="20"/>
              </w:rPr>
            </w:pPr>
            <w:r>
              <w:rPr>
                <w:sz w:val="20"/>
                <w:szCs w:val="20"/>
                <w:spacing w:val="-3"/>
              </w:rPr>
              <w:t>0.2</w:t>
            </w:r>
          </w:p>
        </w:tc>
        <w:tc>
          <w:tcPr>
            <w:tcW w:w="1119" w:type="dxa"/>
            <w:vAlign w:val="top"/>
          </w:tcPr>
          <w:p>
            <w:pPr>
              <w:pStyle w:val="TableText"/>
              <w:ind w:left="354"/>
              <w:spacing w:before="185" w:line="224" w:lineRule="auto"/>
              <w:rPr>
                <w:sz w:val="20"/>
                <w:szCs w:val="20"/>
              </w:rPr>
            </w:pPr>
            <w:r>
              <w:rPr>
                <w:sz w:val="20"/>
                <w:szCs w:val="20"/>
                <w:spacing w:val="-2"/>
              </w:rPr>
              <w:t>T/In</w:t>
            </w:r>
          </w:p>
        </w:tc>
        <w:tc>
          <w:tcPr>
            <w:tcW w:w="1719" w:type="dxa"/>
            <w:vAlign w:val="top"/>
          </w:tcPr>
          <w:p>
            <w:pPr>
              <w:pStyle w:val="TableText"/>
              <w:ind w:left="655"/>
              <w:spacing w:before="100" w:line="183" w:lineRule="auto"/>
              <w:rPr>
                <w:sz w:val="20"/>
                <w:szCs w:val="20"/>
              </w:rPr>
            </w:pPr>
            <w:r>
              <w:rPr>
                <w:sz w:val="20"/>
                <w:szCs w:val="20"/>
                <w:spacing w:val="-1"/>
              </w:rPr>
              <w:t>HW49</w:t>
            </w:r>
          </w:p>
          <w:p>
            <w:pPr>
              <w:pStyle w:val="TableText"/>
              <w:ind w:left="455"/>
              <w:spacing w:line="220" w:lineRule="auto"/>
              <w:rPr>
                <w:sz w:val="20"/>
                <w:szCs w:val="20"/>
              </w:rPr>
            </w:pPr>
            <w:r>
              <w:rPr>
                <w:sz w:val="20"/>
                <w:szCs w:val="20"/>
                <w:spacing w:val="-2"/>
              </w:rPr>
              <w:t>其他废物</w:t>
            </w:r>
          </w:p>
        </w:tc>
        <w:tc>
          <w:tcPr>
            <w:tcW w:w="1549" w:type="dxa"/>
            <w:vAlign w:val="top"/>
          </w:tcPr>
          <w:p>
            <w:pPr>
              <w:pStyle w:val="TableText"/>
              <w:ind w:left="266"/>
              <w:spacing w:before="229" w:line="184" w:lineRule="auto"/>
              <w:rPr>
                <w:sz w:val="20"/>
                <w:szCs w:val="20"/>
              </w:rPr>
            </w:pPr>
            <w:r>
              <w:rPr>
                <w:sz w:val="20"/>
                <w:szCs w:val="20"/>
                <w:spacing w:val="-1"/>
              </w:rPr>
              <w:t>900-041-49</w:t>
            </w:r>
          </w:p>
        </w:tc>
        <w:tc>
          <w:tcPr>
            <w:tcW w:w="4132" w:type="dxa"/>
            <w:vAlign w:val="top"/>
          </w:tcPr>
          <w:p>
            <w:pPr>
              <w:pStyle w:val="TableText"/>
              <w:ind w:left="1857" w:right="175" w:hanging="1700"/>
              <w:spacing w:before="29" w:line="235" w:lineRule="auto"/>
              <w:rPr>
                <w:sz w:val="20"/>
                <w:szCs w:val="20"/>
              </w:rPr>
            </w:pPr>
            <w:r>
              <w:rPr>
                <w:sz w:val="20"/>
                <w:szCs w:val="20"/>
                <w:spacing w:val="-1"/>
              </w:rPr>
              <w:t>未分类收集，全过程豁免，与生活垃圾一起</w:t>
            </w:r>
            <w:r>
              <w:rPr>
                <w:sz w:val="20"/>
                <w:szCs w:val="20"/>
                <w:spacing w:val="7"/>
              </w:rPr>
              <w:t xml:space="preserve"> </w:t>
            </w:r>
            <w:r>
              <w:rPr>
                <w:sz w:val="20"/>
                <w:szCs w:val="20"/>
                <w:spacing w:val="-3"/>
              </w:rPr>
              <w:t>处理</w:t>
            </w:r>
          </w:p>
        </w:tc>
      </w:tr>
      <w:tr>
        <w:trPr>
          <w:trHeight w:val="509" w:hRule="atLeast"/>
        </w:trPr>
        <w:tc>
          <w:tcPr>
            <w:tcW w:w="885" w:type="dxa"/>
            <w:vAlign w:val="top"/>
            <w:vMerge w:val="continue"/>
            <w:tcBorders>
              <w:top w:val="nil"/>
            </w:tcBorders>
          </w:tcPr>
          <w:p>
            <w:pPr>
              <w:rPr>
                <w:rFonts w:ascii="Arial"/>
                <w:sz w:val="21"/>
              </w:rPr>
            </w:pPr>
            <w:r/>
          </w:p>
        </w:tc>
        <w:tc>
          <w:tcPr>
            <w:tcW w:w="1779" w:type="dxa"/>
            <w:vAlign w:val="top"/>
          </w:tcPr>
          <w:p>
            <w:pPr>
              <w:pStyle w:val="TableText"/>
              <w:ind w:left="580"/>
              <w:spacing w:before="160" w:line="220" w:lineRule="auto"/>
              <w:rPr>
                <w:sz w:val="20"/>
                <w:szCs w:val="20"/>
              </w:rPr>
            </w:pPr>
            <w:r>
              <w:rPr>
                <w:sz w:val="20"/>
                <w:szCs w:val="20"/>
                <w:spacing w:val="-2"/>
              </w:rPr>
              <w:t>废沸石</w:t>
            </w:r>
          </w:p>
        </w:tc>
        <w:tc>
          <w:tcPr>
            <w:tcW w:w="859" w:type="dxa"/>
            <w:vAlign w:val="top"/>
          </w:tcPr>
          <w:p>
            <w:pPr>
              <w:pStyle w:val="TableText"/>
              <w:ind w:left="221"/>
              <w:spacing w:before="160" w:line="220" w:lineRule="auto"/>
              <w:rPr>
                <w:sz w:val="20"/>
                <w:szCs w:val="20"/>
              </w:rPr>
            </w:pPr>
            <w:r>
              <w:rPr>
                <w:sz w:val="20"/>
                <w:szCs w:val="20"/>
                <w:spacing w:val="5"/>
              </w:rPr>
              <w:t>固态</w:t>
            </w:r>
          </w:p>
        </w:tc>
        <w:tc>
          <w:tcPr>
            <w:tcW w:w="1119" w:type="dxa"/>
            <w:vAlign w:val="top"/>
          </w:tcPr>
          <w:p>
            <w:pPr>
              <w:pStyle w:val="TableText"/>
              <w:ind w:left="252"/>
              <w:spacing w:before="158" w:line="219" w:lineRule="auto"/>
              <w:rPr>
                <w:sz w:val="20"/>
                <w:szCs w:val="20"/>
              </w:rPr>
            </w:pPr>
            <w:r>
              <w:rPr>
                <w:sz w:val="20"/>
                <w:szCs w:val="20"/>
                <w:spacing w:val="-2"/>
              </w:rPr>
              <w:t>有机物</w:t>
            </w:r>
          </w:p>
        </w:tc>
        <w:tc>
          <w:tcPr>
            <w:tcW w:w="1149" w:type="dxa"/>
            <w:vAlign w:val="top"/>
          </w:tcPr>
          <w:p>
            <w:pPr>
              <w:pStyle w:val="TableText"/>
              <w:ind w:left="363"/>
              <w:spacing w:before="211" w:line="183" w:lineRule="auto"/>
              <w:rPr>
                <w:sz w:val="20"/>
                <w:szCs w:val="20"/>
              </w:rPr>
            </w:pPr>
            <w:r>
              <w:rPr>
                <w:sz w:val="20"/>
                <w:szCs w:val="20"/>
                <w:spacing w:val="-2"/>
              </w:rPr>
              <w:t>0.48</w:t>
            </w:r>
          </w:p>
        </w:tc>
        <w:tc>
          <w:tcPr>
            <w:tcW w:w="1119" w:type="dxa"/>
            <w:vAlign w:val="top"/>
          </w:tcPr>
          <w:p>
            <w:pPr>
              <w:pStyle w:val="TableText"/>
              <w:ind w:left="354"/>
              <w:spacing w:before="166" w:line="224" w:lineRule="auto"/>
              <w:rPr>
                <w:sz w:val="20"/>
                <w:szCs w:val="20"/>
              </w:rPr>
            </w:pPr>
            <w:r>
              <w:rPr>
                <w:sz w:val="20"/>
                <w:szCs w:val="20"/>
                <w:spacing w:val="-2"/>
              </w:rPr>
              <w:t>T/In</w:t>
            </w:r>
          </w:p>
        </w:tc>
        <w:tc>
          <w:tcPr>
            <w:tcW w:w="1719" w:type="dxa"/>
            <w:vAlign w:val="top"/>
          </w:tcPr>
          <w:p>
            <w:pPr>
              <w:pStyle w:val="TableText"/>
              <w:ind w:left="655"/>
              <w:spacing w:before="91" w:line="183" w:lineRule="auto"/>
              <w:rPr>
                <w:sz w:val="20"/>
                <w:szCs w:val="20"/>
              </w:rPr>
            </w:pPr>
            <w:r>
              <w:rPr>
                <w:sz w:val="20"/>
                <w:szCs w:val="20"/>
                <w:spacing w:val="-1"/>
              </w:rPr>
              <w:t>HW49</w:t>
            </w:r>
          </w:p>
          <w:p>
            <w:pPr>
              <w:pStyle w:val="TableText"/>
              <w:ind w:left="455"/>
              <w:spacing w:line="192" w:lineRule="auto"/>
              <w:rPr>
                <w:sz w:val="20"/>
                <w:szCs w:val="20"/>
              </w:rPr>
            </w:pPr>
            <w:r>
              <w:rPr>
                <w:sz w:val="20"/>
                <w:szCs w:val="20"/>
                <w:spacing w:val="-2"/>
              </w:rPr>
              <w:t>其他废物</w:t>
            </w:r>
          </w:p>
        </w:tc>
        <w:tc>
          <w:tcPr>
            <w:tcW w:w="1549" w:type="dxa"/>
            <w:vAlign w:val="top"/>
          </w:tcPr>
          <w:p>
            <w:pPr>
              <w:pStyle w:val="TableText"/>
              <w:ind w:left="266"/>
              <w:spacing w:before="210" w:line="184" w:lineRule="auto"/>
              <w:rPr>
                <w:sz w:val="20"/>
                <w:szCs w:val="20"/>
              </w:rPr>
            </w:pPr>
            <w:r>
              <w:rPr>
                <w:sz w:val="20"/>
                <w:szCs w:val="20"/>
                <w:spacing w:val="-1"/>
              </w:rPr>
              <w:t>900-041-49</w:t>
            </w:r>
          </w:p>
        </w:tc>
        <w:tc>
          <w:tcPr>
            <w:tcW w:w="4132" w:type="dxa"/>
            <w:vAlign w:val="top"/>
          </w:tcPr>
          <w:p>
            <w:pPr>
              <w:pStyle w:val="TableText"/>
              <w:ind w:left="356"/>
              <w:spacing w:before="160" w:line="219" w:lineRule="auto"/>
              <w:rPr>
                <w:sz w:val="20"/>
                <w:szCs w:val="20"/>
              </w:rPr>
            </w:pPr>
            <w:r>
              <w:rPr>
                <w:sz w:val="20"/>
                <w:szCs w:val="20"/>
                <w:spacing w:val="-1"/>
              </w:rPr>
              <w:t>分类收集，委托有资质的单位外运处置</w:t>
            </w:r>
          </w:p>
        </w:tc>
      </w:tr>
      <w:tr>
        <w:trPr>
          <w:trHeight w:val="280" w:hRule="atLeast"/>
        </w:trPr>
        <w:tc>
          <w:tcPr>
            <w:tcW w:w="885" w:type="dxa"/>
            <w:vAlign w:val="top"/>
            <w:vMerge w:val="restart"/>
            <w:tcBorders>
              <w:bottom w:val="nil"/>
            </w:tcBorders>
          </w:tcPr>
          <w:p>
            <w:pPr>
              <w:pStyle w:val="TableText"/>
              <w:ind w:left="235" w:right="126" w:hanging="100"/>
              <w:spacing w:before="71" w:line="225" w:lineRule="auto"/>
              <w:rPr>
                <w:sz w:val="20"/>
                <w:szCs w:val="20"/>
              </w:rPr>
            </w:pPr>
            <w:r>
              <w:rPr>
                <w:sz w:val="20"/>
                <w:szCs w:val="20"/>
                <w:spacing w:val="4"/>
              </w:rPr>
              <w:t>待鉴定</w:t>
            </w:r>
            <w:r>
              <w:rPr>
                <w:sz w:val="20"/>
                <w:szCs w:val="20"/>
              </w:rPr>
              <w:t xml:space="preserve"> </w:t>
            </w:r>
            <w:r>
              <w:rPr>
                <w:sz w:val="20"/>
                <w:szCs w:val="20"/>
                <w:spacing w:val="-2"/>
              </w:rPr>
              <w:t>废物</w:t>
            </w:r>
          </w:p>
        </w:tc>
        <w:tc>
          <w:tcPr>
            <w:tcW w:w="1779" w:type="dxa"/>
            <w:vAlign w:val="top"/>
          </w:tcPr>
          <w:p>
            <w:pPr>
              <w:pStyle w:val="TableText"/>
              <w:ind w:left="580"/>
              <w:spacing w:before="41" w:line="211" w:lineRule="auto"/>
              <w:rPr>
                <w:sz w:val="20"/>
                <w:szCs w:val="20"/>
              </w:rPr>
            </w:pPr>
            <w:r>
              <w:rPr>
                <w:sz w:val="20"/>
                <w:szCs w:val="20"/>
                <w:spacing w:val="-2"/>
              </w:rPr>
              <w:t>废浆料</w:t>
            </w:r>
          </w:p>
        </w:tc>
        <w:tc>
          <w:tcPr>
            <w:tcW w:w="859" w:type="dxa"/>
            <w:vAlign w:val="top"/>
          </w:tcPr>
          <w:p>
            <w:pPr>
              <w:pStyle w:val="TableText"/>
              <w:ind w:left="221"/>
              <w:spacing w:before="41" w:line="211" w:lineRule="auto"/>
              <w:rPr>
                <w:sz w:val="20"/>
                <w:szCs w:val="20"/>
              </w:rPr>
            </w:pPr>
            <w:r>
              <w:rPr>
                <w:sz w:val="20"/>
                <w:szCs w:val="20"/>
                <w:spacing w:val="-3"/>
              </w:rPr>
              <w:t>液体</w:t>
            </w:r>
          </w:p>
        </w:tc>
        <w:tc>
          <w:tcPr>
            <w:tcW w:w="1119" w:type="dxa"/>
            <w:vAlign w:val="top"/>
          </w:tcPr>
          <w:p>
            <w:pPr>
              <w:pStyle w:val="TableText"/>
              <w:ind w:left="522"/>
              <w:spacing w:before="139" w:line="41" w:lineRule="exact"/>
              <w:rPr>
                <w:sz w:val="6"/>
                <w:szCs w:val="6"/>
              </w:rPr>
            </w:pPr>
            <w:r>
              <w:rPr>
                <w:sz w:val="6"/>
                <w:szCs w:val="6"/>
                <w:position w:val="-1"/>
              </w:rPr>
              <w:t>—</w:t>
            </w:r>
          </w:p>
        </w:tc>
        <w:tc>
          <w:tcPr>
            <w:tcW w:w="1149" w:type="dxa"/>
            <w:vAlign w:val="top"/>
          </w:tcPr>
          <w:p>
            <w:pPr>
              <w:pStyle w:val="TableText"/>
              <w:ind w:left="263"/>
              <w:spacing w:before="92" w:line="164" w:lineRule="auto"/>
              <w:rPr>
                <w:sz w:val="20"/>
                <w:szCs w:val="20"/>
              </w:rPr>
            </w:pPr>
            <w:r>
              <w:rPr>
                <w:sz w:val="20"/>
                <w:szCs w:val="20"/>
                <w:spacing w:val="-1"/>
              </w:rPr>
              <w:t>434.15</w:t>
            </w:r>
          </w:p>
        </w:tc>
        <w:tc>
          <w:tcPr>
            <w:tcW w:w="8519" w:type="dxa"/>
            <w:vAlign w:val="top"/>
            <w:gridSpan w:val="4"/>
            <w:vMerge w:val="restart"/>
            <w:tcBorders>
              <w:bottom w:val="nil"/>
            </w:tcBorders>
          </w:tcPr>
          <w:p>
            <w:pPr>
              <w:pStyle w:val="TableText"/>
              <w:ind w:left="1154"/>
              <w:spacing w:before="191" w:line="219" w:lineRule="auto"/>
              <w:rPr>
                <w:sz w:val="20"/>
                <w:szCs w:val="20"/>
              </w:rPr>
            </w:pPr>
            <w:r>
              <w:rPr>
                <w:sz w:val="20"/>
                <w:szCs w:val="20"/>
              </w:rPr>
              <w:t>根据鉴定结果委托处置，未得出结果前，从严按照</w:t>
            </w:r>
            <w:r>
              <w:rPr>
                <w:sz w:val="20"/>
                <w:szCs w:val="20"/>
                <w:spacing w:val="-1"/>
              </w:rPr>
              <w:t>危险废物处置、管理</w:t>
            </w:r>
          </w:p>
        </w:tc>
      </w:tr>
      <w:tr>
        <w:trPr>
          <w:trHeight w:val="279" w:hRule="atLeast"/>
        </w:trPr>
        <w:tc>
          <w:tcPr>
            <w:tcW w:w="885" w:type="dxa"/>
            <w:vAlign w:val="top"/>
            <w:vMerge w:val="continue"/>
            <w:tcBorders>
              <w:top w:val="nil"/>
            </w:tcBorders>
          </w:tcPr>
          <w:p>
            <w:pPr>
              <w:rPr>
                <w:rFonts w:ascii="Arial"/>
                <w:sz w:val="21"/>
              </w:rPr>
            </w:pPr>
            <w:r/>
          </w:p>
        </w:tc>
        <w:tc>
          <w:tcPr>
            <w:tcW w:w="1779" w:type="dxa"/>
            <w:vAlign w:val="top"/>
          </w:tcPr>
          <w:p>
            <w:pPr>
              <w:pStyle w:val="TableText"/>
              <w:ind w:left="480"/>
              <w:spacing w:before="41" w:line="210" w:lineRule="auto"/>
              <w:rPr>
                <w:sz w:val="20"/>
                <w:szCs w:val="20"/>
              </w:rPr>
            </w:pPr>
            <w:r>
              <w:rPr>
                <w:sz w:val="20"/>
                <w:szCs w:val="20"/>
                <w:spacing w:val="2"/>
              </w:rPr>
              <w:t>阳极污泥</w:t>
            </w:r>
          </w:p>
        </w:tc>
        <w:tc>
          <w:tcPr>
            <w:tcW w:w="859" w:type="dxa"/>
            <w:vAlign w:val="top"/>
          </w:tcPr>
          <w:p>
            <w:pPr>
              <w:pStyle w:val="TableText"/>
              <w:ind w:left="121"/>
              <w:spacing w:before="41" w:line="210" w:lineRule="auto"/>
              <w:rPr>
                <w:sz w:val="20"/>
                <w:szCs w:val="20"/>
              </w:rPr>
            </w:pPr>
            <w:r>
              <w:rPr>
                <w:sz w:val="20"/>
                <w:szCs w:val="20"/>
                <w:spacing w:val="3"/>
              </w:rPr>
              <w:t>半固态</w:t>
            </w:r>
          </w:p>
        </w:tc>
        <w:tc>
          <w:tcPr>
            <w:tcW w:w="1119" w:type="dxa"/>
            <w:vAlign w:val="top"/>
          </w:tcPr>
          <w:p>
            <w:pPr>
              <w:rPr>
                <w:rFonts w:ascii="Arial"/>
                <w:sz w:val="21"/>
              </w:rPr>
            </w:pPr>
            <w:r/>
          </w:p>
        </w:tc>
        <w:tc>
          <w:tcPr>
            <w:tcW w:w="1149" w:type="dxa"/>
            <w:vAlign w:val="top"/>
          </w:tcPr>
          <w:p>
            <w:pPr>
              <w:pStyle w:val="TableText"/>
              <w:ind w:left="313"/>
              <w:spacing w:before="92" w:line="163" w:lineRule="auto"/>
              <w:rPr>
                <w:sz w:val="20"/>
                <w:szCs w:val="20"/>
              </w:rPr>
            </w:pPr>
            <w:r>
              <w:rPr>
                <w:sz w:val="20"/>
                <w:szCs w:val="20"/>
                <w:spacing w:val="-4"/>
              </w:rPr>
              <w:t>12.53</w:t>
            </w:r>
          </w:p>
        </w:tc>
        <w:tc>
          <w:tcPr>
            <w:tcW w:w="8519" w:type="dxa"/>
            <w:vAlign w:val="top"/>
            <w:gridSpan w:val="4"/>
            <w:vMerge w:val="continue"/>
            <w:tcBorders>
              <w:top w:val="nil"/>
            </w:tcBorders>
          </w:tcPr>
          <w:p>
            <w:pPr>
              <w:rPr>
                <w:rFonts w:ascii="Arial"/>
                <w:sz w:val="21"/>
              </w:rPr>
            </w:pPr>
            <w:r/>
          </w:p>
        </w:tc>
      </w:tr>
      <w:tr>
        <w:trPr>
          <w:trHeight w:val="299" w:hRule="atLeast"/>
        </w:trPr>
        <w:tc>
          <w:tcPr>
            <w:tcW w:w="885" w:type="dxa"/>
            <w:vAlign w:val="top"/>
            <w:vMerge w:val="restart"/>
            <w:tcBorders>
              <w:bottom w:val="nil"/>
            </w:tcBorders>
          </w:tcPr>
          <w:p>
            <w:pPr>
              <w:spacing w:line="294" w:lineRule="auto"/>
              <w:rPr>
                <w:rFonts w:ascii="Arial"/>
                <w:sz w:val="21"/>
              </w:rPr>
            </w:pPr>
            <w:r/>
          </w:p>
          <w:p>
            <w:pPr>
              <w:spacing w:line="294" w:lineRule="auto"/>
              <w:rPr>
                <w:rFonts w:ascii="Arial"/>
                <w:sz w:val="21"/>
              </w:rPr>
            </w:pPr>
            <w:r/>
          </w:p>
          <w:p>
            <w:pPr>
              <w:spacing w:line="295" w:lineRule="auto"/>
              <w:rPr>
                <w:rFonts w:ascii="Arial"/>
                <w:sz w:val="21"/>
              </w:rPr>
            </w:pPr>
            <w:r/>
          </w:p>
          <w:p>
            <w:pPr>
              <w:pStyle w:val="TableText"/>
              <w:ind w:left="135"/>
              <w:spacing w:before="65" w:line="221" w:lineRule="auto"/>
              <w:rPr>
                <w:sz w:val="20"/>
                <w:szCs w:val="20"/>
              </w:rPr>
            </w:pPr>
            <w:r>
              <w:rPr>
                <w:sz w:val="20"/>
                <w:szCs w:val="20"/>
                <w:spacing w:val="3"/>
              </w:rPr>
              <w:t>一般工</w:t>
            </w:r>
          </w:p>
          <w:p>
            <w:pPr>
              <w:pStyle w:val="TableText"/>
              <w:ind w:left="135"/>
              <w:spacing w:before="30" w:line="220" w:lineRule="auto"/>
              <w:rPr>
                <w:sz w:val="20"/>
                <w:szCs w:val="20"/>
              </w:rPr>
            </w:pPr>
            <w:r>
              <w:rPr>
                <w:sz w:val="20"/>
                <w:szCs w:val="20"/>
                <w:spacing w:val="-2"/>
              </w:rPr>
              <w:t>业固体</w:t>
            </w:r>
          </w:p>
          <w:p>
            <w:pPr>
              <w:pStyle w:val="TableText"/>
              <w:ind w:left="235"/>
              <w:spacing w:before="31" w:line="220" w:lineRule="auto"/>
              <w:rPr>
                <w:sz w:val="20"/>
                <w:szCs w:val="20"/>
              </w:rPr>
            </w:pPr>
            <w:r>
              <w:rPr>
                <w:sz w:val="20"/>
                <w:szCs w:val="20"/>
                <w:spacing w:val="-2"/>
              </w:rPr>
              <w:t>废物</w:t>
            </w:r>
          </w:p>
        </w:tc>
        <w:tc>
          <w:tcPr>
            <w:tcW w:w="1779" w:type="dxa"/>
            <w:vAlign w:val="top"/>
          </w:tcPr>
          <w:p>
            <w:pPr>
              <w:pStyle w:val="TableText"/>
              <w:ind w:left="580"/>
              <w:spacing w:before="51" w:line="219" w:lineRule="auto"/>
              <w:rPr>
                <w:sz w:val="20"/>
                <w:szCs w:val="20"/>
              </w:rPr>
            </w:pPr>
            <w:r>
              <w:rPr>
                <w:sz w:val="20"/>
                <w:szCs w:val="20"/>
                <w:spacing w:val="-2"/>
              </w:rPr>
              <w:t>集尘灰</w:t>
            </w:r>
          </w:p>
        </w:tc>
        <w:tc>
          <w:tcPr>
            <w:tcW w:w="859" w:type="dxa"/>
            <w:vAlign w:val="top"/>
          </w:tcPr>
          <w:p>
            <w:pPr>
              <w:pStyle w:val="TableText"/>
              <w:ind w:left="221"/>
              <w:spacing w:before="52" w:line="218" w:lineRule="auto"/>
              <w:rPr>
                <w:sz w:val="20"/>
                <w:szCs w:val="20"/>
              </w:rPr>
            </w:pPr>
            <w:r>
              <w:rPr>
                <w:sz w:val="20"/>
                <w:szCs w:val="20"/>
                <w:spacing w:val="4"/>
              </w:rPr>
              <w:t>固体</w:t>
            </w:r>
          </w:p>
        </w:tc>
        <w:tc>
          <w:tcPr>
            <w:tcW w:w="1119" w:type="dxa"/>
            <w:vAlign w:val="top"/>
          </w:tcPr>
          <w:p>
            <w:pPr>
              <w:ind w:left="492"/>
              <w:spacing w:line="196" w:lineRule="exact"/>
              <w:tabs>
                <w:tab w:val="left" w:pos="610"/>
              </w:tabs>
              <w:rPr>
                <w:rFonts w:ascii="Arial"/>
                <w:sz w:val="21"/>
              </w:rPr>
            </w:pPr>
            <w:r>
              <w:rPr>
                <w:rFonts w:ascii="Arial" w:hAnsi="Arial" w:eastAsia="Arial" w:cs="Arial"/>
                <w:sz w:val="21"/>
                <w:szCs w:val="21"/>
                <w:u w:val="single" w:color="auto"/>
                <w:position w:val="-2"/>
              </w:rPr>
              <w:tab/>
            </w:r>
          </w:p>
        </w:tc>
        <w:tc>
          <w:tcPr>
            <w:tcW w:w="1149" w:type="dxa"/>
            <w:vAlign w:val="top"/>
          </w:tcPr>
          <w:p>
            <w:pPr>
              <w:pStyle w:val="TableText"/>
              <w:ind w:left="363"/>
              <w:spacing w:before="103" w:line="171" w:lineRule="auto"/>
              <w:rPr>
                <w:sz w:val="20"/>
                <w:szCs w:val="20"/>
              </w:rPr>
            </w:pPr>
            <w:r>
              <w:rPr>
                <w:sz w:val="20"/>
                <w:szCs w:val="20"/>
                <w:spacing w:val="-3"/>
              </w:rPr>
              <w:t>5.06</w:t>
            </w:r>
          </w:p>
        </w:tc>
        <w:tc>
          <w:tcPr>
            <w:tcW w:w="8519" w:type="dxa"/>
            <w:vAlign w:val="top"/>
            <w:gridSpan w:val="4"/>
            <w:vMerge w:val="restart"/>
            <w:tcBorders>
              <w:bottom w:val="nil"/>
            </w:tcBorders>
          </w:tcPr>
          <w:p>
            <w:pPr>
              <w:spacing w:line="405" w:lineRule="auto"/>
              <w:rPr>
                <w:rFonts w:ascii="Arial"/>
                <w:sz w:val="21"/>
              </w:rPr>
            </w:pPr>
            <w:r/>
          </w:p>
          <w:p>
            <w:pPr>
              <w:pStyle w:val="TableText"/>
              <w:ind w:left="3654"/>
              <w:spacing w:before="65" w:line="220" w:lineRule="auto"/>
              <w:rPr>
                <w:sz w:val="20"/>
                <w:szCs w:val="20"/>
              </w:rPr>
            </w:pPr>
            <w:r>
              <w:rPr>
                <w:sz w:val="20"/>
                <w:szCs w:val="20"/>
                <w:spacing w:val="4"/>
              </w:rPr>
              <w:t>外售综合利用</w:t>
            </w:r>
          </w:p>
        </w:tc>
      </w:tr>
      <w:tr>
        <w:trPr>
          <w:trHeight w:val="539" w:hRule="atLeast"/>
        </w:trPr>
        <w:tc>
          <w:tcPr>
            <w:tcW w:w="885" w:type="dxa"/>
            <w:vAlign w:val="top"/>
            <w:vMerge w:val="continue"/>
            <w:tcBorders>
              <w:top w:val="nil"/>
              <w:bottom w:val="nil"/>
            </w:tcBorders>
          </w:tcPr>
          <w:p>
            <w:pPr>
              <w:rPr>
                <w:rFonts w:ascii="Arial"/>
                <w:sz w:val="21"/>
              </w:rPr>
            </w:pPr>
            <w:r/>
          </w:p>
        </w:tc>
        <w:tc>
          <w:tcPr>
            <w:tcW w:w="1779" w:type="dxa"/>
            <w:vAlign w:val="top"/>
          </w:tcPr>
          <w:p>
            <w:pPr>
              <w:pStyle w:val="TableText"/>
              <w:ind w:left="580" w:right="179" w:hanging="400"/>
              <w:spacing w:before="43" w:line="224" w:lineRule="auto"/>
              <w:rPr>
                <w:sz w:val="20"/>
                <w:szCs w:val="20"/>
              </w:rPr>
            </w:pPr>
            <w:r>
              <w:rPr>
                <w:sz w:val="20"/>
                <w:szCs w:val="20"/>
                <w:spacing w:val="1"/>
              </w:rPr>
              <w:t>原料(粉料)包装</w:t>
            </w:r>
            <w:r>
              <w:rPr>
                <w:sz w:val="20"/>
                <w:szCs w:val="20"/>
              </w:rPr>
              <w:t xml:space="preserve"> </w:t>
            </w:r>
            <w:r>
              <w:rPr>
                <w:sz w:val="20"/>
                <w:szCs w:val="20"/>
                <w:spacing w:val="4"/>
              </w:rPr>
              <w:t>袋、桶</w:t>
            </w:r>
          </w:p>
        </w:tc>
        <w:tc>
          <w:tcPr>
            <w:tcW w:w="859" w:type="dxa"/>
            <w:vAlign w:val="top"/>
          </w:tcPr>
          <w:p>
            <w:pPr>
              <w:pStyle w:val="TableText"/>
              <w:ind w:left="221"/>
              <w:spacing w:before="173" w:line="220" w:lineRule="auto"/>
              <w:rPr>
                <w:sz w:val="20"/>
                <w:szCs w:val="20"/>
              </w:rPr>
            </w:pPr>
            <w:r>
              <w:rPr>
                <w:sz w:val="20"/>
                <w:szCs w:val="20"/>
                <w:spacing w:val="4"/>
              </w:rPr>
              <w:t>固体</w:t>
            </w:r>
          </w:p>
        </w:tc>
        <w:tc>
          <w:tcPr>
            <w:tcW w:w="1119" w:type="dxa"/>
            <w:vAlign w:val="top"/>
          </w:tcPr>
          <w:p>
            <w:pPr>
              <w:spacing w:line="250" w:lineRule="auto"/>
              <w:rPr>
                <w:rFonts w:ascii="Arial"/>
                <w:sz w:val="21"/>
              </w:rPr>
            </w:pPr>
            <w:r/>
          </w:p>
          <w:p>
            <w:pPr>
              <w:pStyle w:val="TableText"/>
              <w:ind w:left="522"/>
              <w:spacing w:before="20" w:line="40" w:lineRule="exact"/>
              <w:rPr>
                <w:sz w:val="6"/>
                <w:szCs w:val="6"/>
              </w:rPr>
            </w:pPr>
            <w:r>
              <w:rPr>
                <w:sz w:val="6"/>
                <w:szCs w:val="6"/>
                <w:position w:val="-1"/>
              </w:rPr>
              <w:t>—</w:t>
            </w:r>
          </w:p>
        </w:tc>
        <w:tc>
          <w:tcPr>
            <w:tcW w:w="1149" w:type="dxa"/>
            <w:vAlign w:val="top"/>
          </w:tcPr>
          <w:p>
            <w:pPr>
              <w:pStyle w:val="TableText"/>
              <w:ind w:left="363"/>
              <w:spacing w:before="224" w:line="183" w:lineRule="auto"/>
              <w:rPr>
                <w:sz w:val="20"/>
                <w:szCs w:val="20"/>
              </w:rPr>
            </w:pPr>
            <w:r>
              <w:rPr>
                <w:sz w:val="20"/>
                <w:szCs w:val="20"/>
                <w:spacing w:val="-2"/>
              </w:rPr>
              <w:t>8.85</w:t>
            </w:r>
          </w:p>
        </w:tc>
        <w:tc>
          <w:tcPr>
            <w:tcW w:w="8519" w:type="dxa"/>
            <w:vAlign w:val="top"/>
            <w:gridSpan w:val="4"/>
            <w:vMerge w:val="continue"/>
            <w:tcBorders>
              <w:top w:val="nil"/>
              <w:bottom w:val="nil"/>
            </w:tcBorders>
          </w:tcPr>
          <w:p>
            <w:pPr>
              <w:rPr>
                <w:rFonts w:ascii="Arial"/>
                <w:sz w:val="21"/>
              </w:rPr>
            </w:pPr>
            <w:r/>
          </w:p>
        </w:tc>
      </w:tr>
      <w:tr>
        <w:trPr>
          <w:trHeight w:val="280" w:hRule="atLeast"/>
        </w:trPr>
        <w:tc>
          <w:tcPr>
            <w:tcW w:w="885" w:type="dxa"/>
            <w:vAlign w:val="top"/>
            <w:vMerge w:val="continue"/>
            <w:tcBorders>
              <w:top w:val="nil"/>
              <w:bottom w:val="nil"/>
            </w:tcBorders>
          </w:tcPr>
          <w:p>
            <w:pPr>
              <w:rPr>
                <w:rFonts w:ascii="Arial"/>
                <w:sz w:val="21"/>
              </w:rPr>
            </w:pPr>
            <w:r/>
          </w:p>
        </w:tc>
        <w:tc>
          <w:tcPr>
            <w:tcW w:w="1779" w:type="dxa"/>
            <w:vAlign w:val="top"/>
          </w:tcPr>
          <w:p>
            <w:pPr>
              <w:pStyle w:val="TableText"/>
              <w:ind w:left="430"/>
              <w:spacing w:before="43" w:line="209" w:lineRule="auto"/>
              <w:rPr>
                <w:sz w:val="20"/>
                <w:szCs w:val="20"/>
              </w:rPr>
            </w:pPr>
            <w:r>
              <w:rPr>
                <w:sz w:val="20"/>
                <w:szCs w:val="20"/>
                <w:spacing w:val="-1"/>
              </w:rPr>
              <w:t>废LED灯管</w:t>
            </w:r>
          </w:p>
        </w:tc>
        <w:tc>
          <w:tcPr>
            <w:tcW w:w="859" w:type="dxa"/>
            <w:vAlign w:val="top"/>
          </w:tcPr>
          <w:p>
            <w:pPr>
              <w:pStyle w:val="TableText"/>
              <w:ind w:left="221"/>
              <w:spacing w:before="44" w:line="208" w:lineRule="auto"/>
              <w:rPr>
                <w:sz w:val="20"/>
                <w:szCs w:val="20"/>
              </w:rPr>
            </w:pPr>
            <w:r>
              <w:rPr>
                <w:sz w:val="20"/>
                <w:szCs w:val="20"/>
                <w:spacing w:val="4"/>
              </w:rPr>
              <w:t>固体</w:t>
            </w:r>
          </w:p>
        </w:tc>
        <w:tc>
          <w:tcPr>
            <w:tcW w:w="1119" w:type="dxa"/>
            <w:vAlign w:val="top"/>
          </w:tcPr>
          <w:p>
            <w:pPr>
              <w:rPr>
                <w:rFonts w:ascii="Arial"/>
                <w:sz w:val="21"/>
              </w:rPr>
            </w:pPr>
            <w:r/>
          </w:p>
        </w:tc>
        <w:tc>
          <w:tcPr>
            <w:tcW w:w="1149" w:type="dxa"/>
            <w:vAlign w:val="top"/>
          </w:tcPr>
          <w:p>
            <w:pPr>
              <w:pStyle w:val="TableText"/>
              <w:ind w:left="363"/>
              <w:spacing w:before="95" w:line="161" w:lineRule="auto"/>
              <w:rPr>
                <w:sz w:val="20"/>
                <w:szCs w:val="20"/>
              </w:rPr>
            </w:pPr>
            <w:r>
              <w:rPr>
                <w:sz w:val="20"/>
                <w:szCs w:val="20"/>
                <w:spacing w:val="-5"/>
              </w:rPr>
              <w:t>1.76</w:t>
            </w:r>
          </w:p>
        </w:tc>
        <w:tc>
          <w:tcPr>
            <w:tcW w:w="8519" w:type="dxa"/>
            <w:vAlign w:val="top"/>
            <w:gridSpan w:val="4"/>
            <w:vMerge w:val="continue"/>
            <w:tcBorders>
              <w:top w:val="nil"/>
            </w:tcBorders>
          </w:tcPr>
          <w:p>
            <w:pPr>
              <w:rPr>
                <w:rFonts w:ascii="Arial"/>
                <w:sz w:val="21"/>
              </w:rPr>
            </w:pPr>
            <w:r/>
          </w:p>
        </w:tc>
      </w:tr>
      <w:tr>
        <w:trPr>
          <w:trHeight w:val="280" w:hRule="atLeast"/>
        </w:trPr>
        <w:tc>
          <w:tcPr>
            <w:tcW w:w="885" w:type="dxa"/>
            <w:vAlign w:val="top"/>
            <w:vMerge w:val="continue"/>
            <w:tcBorders>
              <w:top w:val="nil"/>
              <w:bottom w:val="nil"/>
            </w:tcBorders>
          </w:tcPr>
          <w:p>
            <w:pPr>
              <w:rPr>
                <w:rFonts w:ascii="Arial"/>
                <w:sz w:val="21"/>
              </w:rPr>
            </w:pPr>
            <w:r/>
          </w:p>
        </w:tc>
        <w:tc>
          <w:tcPr>
            <w:tcW w:w="1779" w:type="dxa"/>
            <w:vAlign w:val="top"/>
          </w:tcPr>
          <w:p>
            <w:pPr>
              <w:pStyle w:val="TableText"/>
              <w:ind w:left="580"/>
              <w:spacing w:before="44" w:line="208" w:lineRule="auto"/>
              <w:rPr>
                <w:sz w:val="20"/>
                <w:szCs w:val="20"/>
              </w:rPr>
            </w:pPr>
            <w:r>
              <w:rPr>
                <w:sz w:val="20"/>
                <w:szCs w:val="20"/>
                <w:spacing w:val="5"/>
              </w:rPr>
              <w:t>废极片</w:t>
            </w:r>
          </w:p>
        </w:tc>
        <w:tc>
          <w:tcPr>
            <w:tcW w:w="859" w:type="dxa"/>
            <w:vAlign w:val="top"/>
          </w:tcPr>
          <w:p>
            <w:pPr>
              <w:pStyle w:val="TableText"/>
              <w:ind w:left="221"/>
              <w:spacing w:before="44" w:line="208" w:lineRule="auto"/>
              <w:rPr>
                <w:sz w:val="20"/>
                <w:szCs w:val="20"/>
              </w:rPr>
            </w:pPr>
            <w:r>
              <w:rPr>
                <w:sz w:val="20"/>
                <w:szCs w:val="20"/>
                <w:spacing w:val="4"/>
              </w:rPr>
              <w:t>固体</w:t>
            </w:r>
          </w:p>
        </w:tc>
        <w:tc>
          <w:tcPr>
            <w:tcW w:w="1119" w:type="dxa"/>
            <w:vAlign w:val="top"/>
          </w:tcPr>
          <w:p>
            <w:pPr>
              <w:ind w:left="452"/>
              <w:spacing w:line="188" w:lineRule="exact"/>
              <w:tabs>
                <w:tab w:val="left" w:pos="510"/>
              </w:tabs>
              <w:rPr>
                <w:rFonts w:ascii="Arial"/>
                <w:sz w:val="21"/>
              </w:rPr>
            </w:pPr>
            <w:r>
              <w:pict>
                <v:shape id="_x0000_s44" style="position:absolute;margin-left:28.9317pt;margin-top:-3.84209pt;mso-position-vertical-relative:text;mso-position-horizontal-relative:text;width:4.85pt;height:14.1pt;z-index:251871232;" filled="false" stroked="false" type="#_x0000_t202">
                  <v:fill on="false"/>
                  <v:stroke on="false"/>
                  <v:path/>
                  <v:imagedata o:title=""/>
                  <o:lock v:ext="edit" aspectratio="false"/>
                  <v:textbox inset="0mm,0mm,0mm,0mm">
                    <w:txbxContent>
                      <w:p>
                        <w:pPr>
                          <w:ind w:left="20"/>
                          <w:spacing w:before="20" w:line="241" w:lineRule="exact"/>
                          <w:tabs>
                            <w:tab w:val="left" w:pos="75"/>
                          </w:tabs>
                          <w:rPr>
                            <w:rFonts w:ascii="Arial"/>
                            <w:sz w:val="21"/>
                          </w:rPr>
                        </w:pPr>
                        <w:r>
                          <w:rPr>
                            <w:rFonts w:ascii="Arial" w:hAnsi="Arial" w:eastAsia="Arial" w:cs="Arial"/>
                            <w:sz w:val="21"/>
                            <w:szCs w:val="21"/>
                            <w:u w:val="single" w:color="auto"/>
                          </w:rPr>
                          <w:tab/>
                        </w:r>
                      </w:p>
                    </w:txbxContent>
                  </v:textbox>
                </v:shape>
              </w:pict>
            </w:r>
            <w:r>
              <w:rPr>
                <w:rFonts w:ascii="Arial" w:hAnsi="Arial" w:eastAsia="Arial" w:cs="Arial"/>
                <w:sz w:val="21"/>
                <w:szCs w:val="21"/>
                <w:u w:val="single" w:color="auto"/>
                <w:position w:val="-2"/>
              </w:rPr>
              <w:tab/>
            </w:r>
          </w:p>
        </w:tc>
        <w:tc>
          <w:tcPr>
            <w:tcW w:w="1149" w:type="dxa"/>
            <w:vAlign w:val="top"/>
          </w:tcPr>
          <w:p>
            <w:pPr>
              <w:pStyle w:val="TableText"/>
              <w:ind w:left="263"/>
              <w:spacing w:before="95" w:line="161" w:lineRule="auto"/>
              <w:rPr>
                <w:sz w:val="20"/>
                <w:szCs w:val="20"/>
              </w:rPr>
            </w:pPr>
            <w:r>
              <w:rPr>
                <w:sz w:val="20"/>
                <w:szCs w:val="20"/>
                <w:spacing w:val="-2"/>
              </w:rPr>
              <w:t>513.47</w:t>
            </w:r>
          </w:p>
        </w:tc>
        <w:tc>
          <w:tcPr>
            <w:tcW w:w="8519" w:type="dxa"/>
            <w:vAlign w:val="top"/>
            <w:gridSpan w:val="4"/>
          </w:tcPr>
          <w:p>
            <w:pPr>
              <w:pStyle w:val="TableText"/>
              <w:ind w:left="3254"/>
              <w:spacing w:before="44" w:line="208" w:lineRule="auto"/>
              <w:rPr>
                <w:sz w:val="20"/>
                <w:szCs w:val="20"/>
              </w:rPr>
            </w:pPr>
            <w:r>
              <w:rPr>
                <w:sz w:val="20"/>
                <w:szCs w:val="20"/>
                <w:spacing w:val="-1"/>
              </w:rPr>
              <w:t>委托相关单位外运处置</w:t>
            </w:r>
          </w:p>
        </w:tc>
      </w:tr>
      <w:tr>
        <w:trPr>
          <w:trHeight w:val="299" w:hRule="atLeast"/>
        </w:trPr>
        <w:tc>
          <w:tcPr>
            <w:tcW w:w="885" w:type="dxa"/>
            <w:vAlign w:val="top"/>
            <w:vMerge w:val="continue"/>
            <w:tcBorders>
              <w:top w:val="nil"/>
              <w:bottom w:val="nil"/>
            </w:tcBorders>
          </w:tcPr>
          <w:p>
            <w:pPr>
              <w:rPr>
                <w:rFonts w:ascii="Arial"/>
                <w:sz w:val="21"/>
              </w:rPr>
            </w:pPr>
            <w:r/>
          </w:p>
        </w:tc>
        <w:tc>
          <w:tcPr>
            <w:tcW w:w="1779" w:type="dxa"/>
            <w:vAlign w:val="top"/>
          </w:tcPr>
          <w:p>
            <w:pPr>
              <w:pStyle w:val="TableText"/>
              <w:ind w:left="530"/>
              <w:spacing w:before="54" w:line="216" w:lineRule="auto"/>
              <w:rPr>
                <w:sz w:val="20"/>
                <w:szCs w:val="20"/>
              </w:rPr>
            </w:pPr>
            <w:r>
              <w:rPr>
                <w:sz w:val="20"/>
                <w:szCs w:val="20"/>
                <w:spacing w:val="-1"/>
              </w:rPr>
              <w:t>NMP废液</w:t>
            </w:r>
          </w:p>
        </w:tc>
        <w:tc>
          <w:tcPr>
            <w:tcW w:w="859" w:type="dxa"/>
            <w:vAlign w:val="top"/>
          </w:tcPr>
          <w:p>
            <w:pPr>
              <w:pStyle w:val="TableText"/>
              <w:ind w:left="221"/>
              <w:spacing w:before="54" w:line="216" w:lineRule="auto"/>
              <w:rPr>
                <w:sz w:val="20"/>
                <w:szCs w:val="20"/>
              </w:rPr>
            </w:pPr>
            <w:r>
              <w:rPr>
                <w:sz w:val="20"/>
                <w:szCs w:val="20"/>
                <w:spacing w:val="-3"/>
              </w:rPr>
              <w:t>液体</w:t>
            </w:r>
          </w:p>
        </w:tc>
        <w:tc>
          <w:tcPr>
            <w:tcW w:w="1119" w:type="dxa"/>
            <w:vAlign w:val="top"/>
          </w:tcPr>
          <w:p>
            <w:pPr>
              <w:ind w:left="522"/>
              <w:spacing w:line="198" w:lineRule="exact"/>
              <w:tabs>
                <w:tab w:val="left" w:pos="580"/>
              </w:tabs>
              <w:rPr>
                <w:rFonts w:ascii="Arial"/>
                <w:sz w:val="21"/>
              </w:rPr>
            </w:pPr>
            <w:r>
              <w:rPr>
                <w:rFonts w:ascii="Arial" w:hAnsi="Arial" w:eastAsia="Arial" w:cs="Arial"/>
                <w:sz w:val="21"/>
                <w:szCs w:val="21"/>
                <w:u w:val="single" w:color="auto"/>
                <w:position w:val="-2"/>
              </w:rPr>
              <w:tab/>
            </w:r>
          </w:p>
        </w:tc>
        <w:tc>
          <w:tcPr>
            <w:tcW w:w="1149" w:type="dxa"/>
            <w:vAlign w:val="top"/>
          </w:tcPr>
          <w:p>
            <w:pPr>
              <w:pStyle w:val="TableText"/>
              <w:ind w:left="163"/>
              <w:spacing w:before="105" w:line="169" w:lineRule="auto"/>
              <w:rPr>
                <w:sz w:val="20"/>
                <w:szCs w:val="20"/>
              </w:rPr>
            </w:pPr>
            <w:r>
              <w:rPr>
                <w:sz w:val="20"/>
                <w:szCs w:val="20"/>
                <w:spacing w:val="-1"/>
              </w:rPr>
              <w:t>9254.784</w:t>
            </w:r>
          </w:p>
        </w:tc>
        <w:tc>
          <w:tcPr>
            <w:tcW w:w="8519" w:type="dxa"/>
            <w:vAlign w:val="top"/>
            <w:gridSpan w:val="4"/>
          </w:tcPr>
          <w:p>
            <w:pPr>
              <w:pStyle w:val="TableText"/>
              <w:ind w:left="3254"/>
              <w:spacing w:before="54" w:line="216" w:lineRule="auto"/>
              <w:rPr>
                <w:sz w:val="20"/>
                <w:szCs w:val="20"/>
              </w:rPr>
            </w:pPr>
            <w:r>
              <w:rPr>
                <w:sz w:val="20"/>
                <w:szCs w:val="20"/>
                <w:spacing w:val="-1"/>
              </w:rPr>
              <w:t>委托相关单位外运处置</w:t>
            </w:r>
          </w:p>
        </w:tc>
      </w:tr>
      <w:tr>
        <w:trPr>
          <w:trHeight w:val="279" w:hRule="atLeast"/>
        </w:trPr>
        <w:tc>
          <w:tcPr>
            <w:tcW w:w="885" w:type="dxa"/>
            <w:vAlign w:val="top"/>
            <w:vMerge w:val="continue"/>
            <w:tcBorders>
              <w:top w:val="nil"/>
              <w:bottom w:val="nil"/>
            </w:tcBorders>
          </w:tcPr>
          <w:p>
            <w:pPr>
              <w:rPr>
                <w:rFonts w:ascii="Arial"/>
                <w:sz w:val="21"/>
              </w:rPr>
            </w:pPr>
            <w:r/>
          </w:p>
        </w:tc>
        <w:tc>
          <w:tcPr>
            <w:tcW w:w="1779" w:type="dxa"/>
            <w:vAlign w:val="top"/>
          </w:tcPr>
          <w:p>
            <w:pPr>
              <w:pStyle w:val="TableText"/>
              <w:ind w:left="480"/>
              <w:spacing w:before="45" w:line="206" w:lineRule="auto"/>
              <w:rPr>
                <w:sz w:val="20"/>
                <w:szCs w:val="20"/>
              </w:rPr>
            </w:pPr>
            <w:r>
              <w:rPr>
                <w:sz w:val="20"/>
                <w:szCs w:val="20"/>
                <w:spacing w:val="2"/>
              </w:rPr>
              <w:t>阴极污泥</w:t>
            </w:r>
          </w:p>
        </w:tc>
        <w:tc>
          <w:tcPr>
            <w:tcW w:w="859" w:type="dxa"/>
            <w:vAlign w:val="top"/>
          </w:tcPr>
          <w:p>
            <w:pPr>
              <w:pStyle w:val="TableText"/>
              <w:ind w:left="121"/>
              <w:spacing w:before="45" w:line="206" w:lineRule="auto"/>
              <w:rPr>
                <w:sz w:val="20"/>
                <w:szCs w:val="20"/>
              </w:rPr>
            </w:pPr>
            <w:r>
              <w:rPr>
                <w:sz w:val="20"/>
                <w:szCs w:val="20"/>
                <w:spacing w:val="3"/>
              </w:rPr>
              <w:t>半固态</w:t>
            </w:r>
          </w:p>
        </w:tc>
        <w:tc>
          <w:tcPr>
            <w:tcW w:w="1119" w:type="dxa"/>
            <w:vAlign w:val="top"/>
          </w:tcPr>
          <w:p>
            <w:pPr>
              <w:ind w:left="522"/>
              <w:spacing w:line="189" w:lineRule="exact"/>
              <w:tabs>
                <w:tab w:val="left" w:pos="580"/>
              </w:tabs>
              <w:rPr>
                <w:rFonts w:ascii="Arial"/>
                <w:sz w:val="21"/>
              </w:rPr>
            </w:pPr>
            <w:r>
              <w:rPr>
                <w:rFonts w:ascii="Arial" w:hAnsi="Arial" w:eastAsia="Arial" w:cs="Arial"/>
                <w:sz w:val="21"/>
                <w:szCs w:val="21"/>
                <w:u w:val="single" w:color="auto"/>
                <w:position w:val="-2"/>
              </w:rPr>
              <w:tab/>
            </w:r>
          </w:p>
        </w:tc>
        <w:tc>
          <w:tcPr>
            <w:tcW w:w="1149" w:type="dxa"/>
            <w:vAlign w:val="top"/>
          </w:tcPr>
          <w:p>
            <w:pPr>
              <w:pStyle w:val="TableText"/>
              <w:ind w:left="363"/>
              <w:spacing w:before="96" w:line="159" w:lineRule="auto"/>
              <w:rPr>
                <w:sz w:val="20"/>
                <w:szCs w:val="20"/>
              </w:rPr>
            </w:pPr>
            <w:r>
              <w:rPr>
                <w:sz w:val="20"/>
                <w:szCs w:val="20"/>
                <w:spacing w:val="-3"/>
              </w:rPr>
              <w:t>3.05</w:t>
            </w:r>
          </w:p>
        </w:tc>
        <w:tc>
          <w:tcPr>
            <w:tcW w:w="8519" w:type="dxa"/>
            <w:vAlign w:val="top"/>
            <w:gridSpan w:val="4"/>
          </w:tcPr>
          <w:p>
            <w:pPr>
              <w:pStyle w:val="TableText"/>
              <w:ind w:left="3054"/>
              <w:spacing w:before="45" w:line="206" w:lineRule="auto"/>
              <w:rPr>
                <w:sz w:val="20"/>
                <w:szCs w:val="20"/>
              </w:rPr>
            </w:pPr>
            <w:r>
              <w:rPr>
                <w:sz w:val="20"/>
                <w:szCs w:val="20"/>
                <w:spacing w:val="-1"/>
              </w:rPr>
              <w:t>委托污泥处置公司外运处置</w:t>
            </w:r>
          </w:p>
        </w:tc>
      </w:tr>
      <w:tr>
        <w:trPr>
          <w:trHeight w:val="279" w:hRule="atLeast"/>
        </w:trPr>
        <w:tc>
          <w:tcPr>
            <w:tcW w:w="885" w:type="dxa"/>
            <w:vAlign w:val="top"/>
            <w:vMerge w:val="continue"/>
            <w:tcBorders>
              <w:top w:val="nil"/>
              <w:bottom w:val="nil"/>
            </w:tcBorders>
          </w:tcPr>
          <w:p>
            <w:pPr>
              <w:rPr>
                <w:rFonts w:ascii="Arial"/>
                <w:sz w:val="21"/>
              </w:rPr>
            </w:pPr>
            <w:r/>
          </w:p>
        </w:tc>
        <w:tc>
          <w:tcPr>
            <w:tcW w:w="1779" w:type="dxa"/>
            <w:vAlign w:val="top"/>
          </w:tcPr>
          <w:p>
            <w:pPr>
              <w:pStyle w:val="TableText"/>
              <w:ind w:left="180"/>
              <w:spacing w:before="45" w:line="206" w:lineRule="auto"/>
              <w:rPr>
                <w:sz w:val="20"/>
                <w:szCs w:val="20"/>
              </w:rPr>
            </w:pPr>
            <w:r>
              <w:rPr>
                <w:sz w:val="20"/>
                <w:szCs w:val="20"/>
                <w:spacing w:val="1"/>
              </w:rPr>
              <w:t>纯水制备废滤芯</w:t>
            </w:r>
          </w:p>
        </w:tc>
        <w:tc>
          <w:tcPr>
            <w:tcW w:w="859" w:type="dxa"/>
            <w:vAlign w:val="top"/>
          </w:tcPr>
          <w:p>
            <w:pPr>
              <w:pStyle w:val="TableText"/>
              <w:ind w:left="221"/>
              <w:spacing w:before="46" w:line="205" w:lineRule="auto"/>
              <w:rPr>
                <w:sz w:val="20"/>
                <w:szCs w:val="20"/>
              </w:rPr>
            </w:pPr>
            <w:r>
              <w:rPr>
                <w:sz w:val="20"/>
                <w:szCs w:val="20"/>
                <w:spacing w:val="4"/>
              </w:rPr>
              <w:t>固体</w:t>
            </w:r>
          </w:p>
        </w:tc>
        <w:tc>
          <w:tcPr>
            <w:tcW w:w="1119" w:type="dxa"/>
            <w:vAlign w:val="top"/>
          </w:tcPr>
          <w:p>
            <w:pPr>
              <w:pStyle w:val="TableText"/>
              <w:ind w:left="492"/>
              <w:spacing w:before="144" w:line="41" w:lineRule="exact"/>
              <w:rPr>
                <w:sz w:val="6"/>
                <w:szCs w:val="6"/>
              </w:rPr>
            </w:pPr>
            <w:r>
              <w:rPr>
                <w:sz w:val="6"/>
                <w:szCs w:val="6"/>
                <w:spacing w:val="-1"/>
                <w:position w:val="-1"/>
              </w:rPr>
              <w:t>——</w:t>
            </w:r>
          </w:p>
        </w:tc>
        <w:tc>
          <w:tcPr>
            <w:tcW w:w="1149" w:type="dxa"/>
            <w:vAlign w:val="top"/>
          </w:tcPr>
          <w:p>
            <w:pPr>
              <w:pStyle w:val="TableText"/>
              <w:ind w:left="363"/>
              <w:spacing w:before="97" w:line="158" w:lineRule="auto"/>
              <w:rPr>
                <w:sz w:val="20"/>
                <w:szCs w:val="20"/>
              </w:rPr>
            </w:pPr>
            <w:r>
              <w:rPr>
                <w:sz w:val="20"/>
                <w:szCs w:val="20"/>
                <w:spacing w:val="-2"/>
              </w:rPr>
              <w:t>2.20</w:t>
            </w:r>
          </w:p>
        </w:tc>
        <w:tc>
          <w:tcPr>
            <w:tcW w:w="8519" w:type="dxa"/>
            <w:vAlign w:val="top"/>
            <w:gridSpan w:val="4"/>
          </w:tcPr>
          <w:p>
            <w:pPr>
              <w:pStyle w:val="TableText"/>
              <w:ind w:left="3554"/>
              <w:spacing w:before="45" w:line="206" w:lineRule="auto"/>
              <w:rPr>
                <w:sz w:val="20"/>
                <w:szCs w:val="20"/>
              </w:rPr>
            </w:pPr>
            <w:r>
              <w:rPr>
                <w:sz w:val="20"/>
                <w:szCs w:val="20"/>
                <w:spacing w:val="1"/>
              </w:rPr>
              <w:t>由设备厂家回收</w:t>
            </w:r>
          </w:p>
        </w:tc>
      </w:tr>
      <w:tr>
        <w:trPr>
          <w:trHeight w:val="270" w:hRule="atLeast"/>
        </w:trPr>
        <w:tc>
          <w:tcPr>
            <w:tcW w:w="885" w:type="dxa"/>
            <w:vAlign w:val="top"/>
            <w:vMerge w:val="continue"/>
            <w:tcBorders>
              <w:top w:val="nil"/>
            </w:tcBorders>
          </w:tcPr>
          <w:p>
            <w:pPr>
              <w:rPr>
                <w:rFonts w:ascii="Arial"/>
                <w:sz w:val="21"/>
              </w:rPr>
            </w:pPr>
            <w:r/>
          </w:p>
        </w:tc>
        <w:tc>
          <w:tcPr>
            <w:tcW w:w="1779" w:type="dxa"/>
            <w:vAlign w:val="top"/>
          </w:tcPr>
          <w:p>
            <w:pPr>
              <w:pStyle w:val="TableText"/>
              <w:ind w:left="480"/>
              <w:spacing w:before="47" w:line="196" w:lineRule="auto"/>
              <w:rPr>
                <w:sz w:val="20"/>
                <w:szCs w:val="20"/>
              </w:rPr>
            </w:pPr>
            <w:r>
              <w:rPr>
                <w:sz w:val="20"/>
                <w:szCs w:val="20"/>
                <w:spacing w:val="2"/>
              </w:rPr>
              <w:t>综合污泥</w:t>
            </w:r>
          </w:p>
        </w:tc>
        <w:tc>
          <w:tcPr>
            <w:tcW w:w="859" w:type="dxa"/>
            <w:vAlign w:val="top"/>
          </w:tcPr>
          <w:p>
            <w:pPr>
              <w:pStyle w:val="TableText"/>
              <w:ind w:left="121"/>
              <w:spacing w:before="47" w:line="196" w:lineRule="auto"/>
              <w:rPr>
                <w:sz w:val="20"/>
                <w:szCs w:val="20"/>
              </w:rPr>
            </w:pPr>
            <w:r>
              <w:rPr>
                <w:sz w:val="20"/>
                <w:szCs w:val="20"/>
                <w:spacing w:val="3"/>
              </w:rPr>
              <w:t>半固态</w:t>
            </w:r>
          </w:p>
        </w:tc>
        <w:tc>
          <w:tcPr>
            <w:tcW w:w="1119" w:type="dxa"/>
            <w:vAlign w:val="top"/>
          </w:tcPr>
          <w:p>
            <w:pPr>
              <w:rPr>
                <w:rFonts w:ascii="Arial"/>
                <w:sz w:val="21"/>
              </w:rPr>
            </w:pPr>
            <w:r/>
          </w:p>
        </w:tc>
        <w:tc>
          <w:tcPr>
            <w:tcW w:w="1149" w:type="dxa"/>
            <w:vAlign w:val="top"/>
          </w:tcPr>
          <w:p>
            <w:pPr>
              <w:pStyle w:val="TableText"/>
              <w:ind w:left="363"/>
              <w:spacing w:before="98" w:line="162" w:lineRule="exact"/>
              <w:rPr>
                <w:sz w:val="20"/>
                <w:szCs w:val="20"/>
              </w:rPr>
            </w:pPr>
            <w:r>
              <w:rPr>
                <w:sz w:val="20"/>
                <w:szCs w:val="20"/>
                <w:spacing w:val="-3"/>
                <w:position w:val="-2"/>
              </w:rPr>
              <w:t>5.14</w:t>
            </w:r>
          </w:p>
        </w:tc>
        <w:tc>
          <w:tcPr>
            <w:tcW w:w="8519" w:type="dxa"/>
            <w:vAlign w:val="top"/>
            <w:gridSpan w:val="4"/>
          </w:tcPr>
          <w:p>
            <w:pPr>
              <w:pStyle w:val="TableText"/>
              <w:ind w:left="3054"/>
              <w:spacing w:before="47" w:line="196" w:lineRule="auto"/>
              <w:rPr>
                <w:sz w:val="20"/>
                <w:szCs w:val="20"/>
              </w:rPr>
            </w:pPr>
            <w:r>
              <w:rPr>
                <w:sz w:val="20"/>
                <w:szCs w:val="20"/>
                <w:spacing w:val="-1"/>
              </w:rPr>
              <w:t>委托污泥处置公司外运处置</w:t>
            </w:r>
          </w:p>
        </w:tc>
      </w:tr>
      <w:tr>
        <w:trPr>
          <w:trHeight w:val="304" w:hRule="atLeast"/>
        </w:trPr>
        <w:tc>
          <w:tcPr>
            <w:tcW w:w="2664" w:type="dxa"/>
            <w:vAlign w:val="top"/>
            <w:gridSpan w:val="2"/>
          </w:tcPr>
          <w:p>
            <w:pPr>
              <w:pStyle w:val="TableText"/>
              <w:ind w:left="935"/>
              <w:spacing w:before="57" w:line="218" w:lineRule="auto"/>
              <w:rPr>
                <w:sz w:val="20"/>
                <w:szCs w:val="20"/>
              </w:rPr>
            </w:pPr>
            <w:r>
              <w:rPr>
                <w:sz w:val="20"/>
                <w:szCs w:val="20"/>
                <w:spacing w:val="-2"/>
              </w:rPr>
              <w:t>生活垃圾</w:t>
            </w:r>
          </w:p>
        </w:tc>
        <w:tc>
          <w:tcPr>
            <w:tcW w:w="859" w:type="dxa"/>
            <w:vAlign w:val="top"/>
          </w:tcPr>
          <w:p>
            <w:pPr>
              <w:pStyle w:val="TableText"/>
              <w:ind w:left="221"/>
              <w:spacing w:before="57" w:line="218" w:lineRule="auto"/>
              <w:rPr>
                <w:sz w:val="20"/>
                <w:szCs w:val="20"/>
              </w:rPr>
            </w:pPr>
            <w:r>
              <w:rPr>
                <w:sz w:val="20"/>
                <w:szCs w:val="20"/>
                <w:spacing w:val="4"/>
              </w:rPr>
              <w:t>固体</w:t>
            </w:r>
          </w:p>
        </w:tc>
        <w:tc>
          <w:tcPr>
            <w:tcW w:w="1119" w:type="dxa"/>
            <w:vAlign w:val="top"/>
          </w:tcPr>
          <w:p>
            <w:pPr>
              <w:rPr>
                <w:rFonts w:ascii="Arial"/>
                <w:sz w:val="21"/>
              </w:rPr>
            </w:pPr>
            <w:r/>
          </w:p>
        </w:tc>
        <w:tc>
          <w:tcPr>
            <w:tcW w:w="1149" w:type="dxa"/>
            <w:vAlign w:val="top"/>
          </w:tcPr>
          <w:p>
            <w:pPr>
              <w:pStyle w:val="TableText"/>
              <w:ind w:left="463"/>
              <w:spacing w:before="108" w:line="171" w:lineRule="auto"/>
              <w:rPr>
                <w:sz w:val="20"/>
                <w:szCs w:val="20"/>
              </w:rPr>
            </w:pPr>
            <w:r>
              <w:rPr>
                <w:sz w:val="20"/>
                <w:szCs w:val="20"/>
                <w:spacing w:val="-3"/>
              </w:rPr>
              <w:t>90</w:t>
            </w:r>
          </w:p>
        </w:tc>
        <w:tc>
          <w:tcPr>
            <w:tcW w:w="8519" w:type="dxa"/>
            <w:vAlign w:val="top"/>
            <w:gridSpan w:val="4"/>
          </w:tcPr>
          <w:p>
            <w:pPr>
              <w:pStyle w:val="TableText"/>
              <w:ind w:left="3254"/>
              <w:spacing w:before="56" w:line="219" w:lineRule="auto"/>
              <w:rPr>
                <w:sz w:val="20"/>
                <w:szCs w:val="20"/>
              </w:rPr>
            </w:pPr>
            <w:r>
              <w:rPr>
                <w:sz w:val="20"/>
                <w:szCs w:val="20"/>
              </w:rPr>
              <w:t>区域环卫部门统一清运</w:t>
            </w:r>
          </w:p>
        </w:tc>
      </w:tr>
    </w:tbl>
    <w:p>
      <w:pPr>
        <w:rPr>
          <w:rFonts w:ascii="Arial"/>
          <w:sz w:val="21"/>
        </w:rPr>
      </w:pPr>
      <w:r/>
    </w:p>
    <w:p>
      <w:pPr>
        <w:sectPr>
          <w:footerReference w:type="default" r:id="rId142"/>
          <w:pgSz w:w="16840" w:h="11900"/>
          <w:pgMar w:top="1011" w:right="964" w:bottom="978" w:left="1234" w:header="0" w:footer="839" w:gutter="0"/>
        </w:sectPr>
        <w:rPr>
          <w:rFonts w:ascii="Arial" w:hAnsi="Arial" w:eastAsia="Arial" w:cs="Arial"/>
          <w:sz w:val="21"/>
          <w:szCs w:val="21"/>
        </w:rPr>
      </w:pPr>
    </w:p>
    <w:p>
      <w:pPr>
        <w:spacing w:line="93" w:lineRule="exact"/>
        <w:rPr/>
      </w:pPr>
      <w:r/>
    </w:p>
    <w:tbl>
      <w:tblPr>
        <w:tblStyle w:val="TableNormal"/>
        <w:tblW w:w="896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44"/>
        <w:gridCol w:w="8425"/>
      </w:tblGrid>
      <w:tr>
        <w:trPr>
          <w:trHeight w:val="13559" w:hRule="atLeast"/>
        </w:trPr>
        <w:tc>
          <w:tcPr>
            <w:tcW w:w="544" w:type="dxa"/>
            <w:vAlign w:val="top"/>
          </w:tcPr>
          <w:p>
            <w:pPr>
              <w:rPr>
                <w:rFonts w:ascii="Arial"/>
                <w:sz w:val="21"/>
              </w:rPr>
            </w:pPr>
            <w:r>
              <mc:AlternateContent xmlns:mc="http://schemas.openxmlformats.org/markup-compatibility/2006">
                <mc:Choice Requires="wps">
                  <w:drawing>
                    <wp:anchor distT="0" distB="0" distL="0" distR="0" simplePos="0" relativeHeight="251873280" behindDoc="0" locked="0" layoutInCell="1" allowOverlap="1">
                      <wp:simplePos x="0" y="0"/>
                      <wp:positionH relativeFrom="rightMargin">
                        <wp:posOffset>-579639</wp:posOffset>
                      </wp:positionH>
                      <wp:positionV relativeFrom="topMargin">
                        <wp:posOffset>3937422</wp:posOffset>
                      </wp:positionV>
                      <wp:extent cx="789940" cy="401954"/>
                      <wp:effectExtent l="0" t="0" r="0" b="0"/>
                      <wp:wrapNone/>
                      <wp:docPr id="16" name="TextBox 16"/>
                      <wp:cNvGraphicFramePr/>
                      <a:graphic>
                        <a:graphicData uri="http://schemas.microsoft.com/office/word/2010/wordprocessingShape">
                          <wps:wsp>
                            <wps:cNvSpPr txBox="1"/>
                            <wps:spPr>
                              <a:xfrm rot="5400000">
                                <a:off x="-579639" y="3937422"/>
                                <a:ext cx="789940" cy="4019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TableText"/>
                                    <w:ind w:right="3"/>
                                    <w:spacing w:before="102" w:line="219" w:lineRule="auto"/>
                                    <w:jc w:val="right"/>
                                    <w:rPr>
                                      <w:sz w:val="43"/>
                                      <w:szCs w:val="43"/>
                                    </w:rPr>
                                  </w:pPr>
                                  <w:r>
                                    <w:rPr>
                                      <w:sz w:val="43"/>
                                      <w:szCs w:val="43"/>
                                      <w:spacing w:val="-11"/>
                                    </w:rPr>
                                    <w:t>美</w:t>
                                  </w:r>
                                  <w:r>
                                    <w:rPr>
                                      <w:sz w:val="43"/>
                                      <w:szCs w:val="43"/>
                                      <w:spacing w:val="166"/>
                                    </w:rPr>
                                    <w:t xml:space="preserve"> </w:t>
                                  </w:r>
                                  <w:r>
                                    <w:rPr>
                                      <w:sz w:val="43"/>
                                      <w:szCs w:val="43"/>
                                      <w:spacing w:val="-11"/>
                                    </w:rPr>
                                    <w:t>着</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6" style="position:absolute;margin-left:-45.6409pt;margin-top:310.033pt;mso-position-vertical-relative:top-margin-area;mso-position-horizontal-relative:right-margin-area;width:62.2pt;height:31.65pt;z-index:251873280;rotation:90;" filled="false" stroked="false" type="#_x0000_t202">
                      <v:fill on="false"/>
                      <v:stroke on="false"/>
                      <v:path/>
                      <v:imagedata o:title=""/>
                      <o:lock v:ext="edit" aspectratio="false"/>
                      <v:textbox inset="0mm,0mm,0mm,0mm">
                        <w:txbxContent>
                          <w:p>
                            <w:pPr>
                              <w:pStyle w:val="TableText"/>
                              <w:ind w:right="3"/>
                              <w:spacing w:before="102" w:line="219" w:lineRule="auto"/>
                              <w:jc w:val="right"/>
                              <w:rPr>
                                <w:sz w:val="43"/>
                                <w:szCs w:val="43"/>
                              </w:rPr>
                            </w:pPr>
                            <w:r>
                              <w:rPr>
                                <w:sz w:val="43"/>
                                <w:szCs w:val="43"/>
                                <w:spacing w:val="-11"/>
                              </w:rPr>
                              <w:t>美</w:t>
                            </w:r>
                            <w:r>
                              <w:rPr>
                                <w:sz w:val="43"/>
                                <w:szCs w:val="43"/>
                                <w:spacing w:val="166"/>
                              </w:rPr>
                              <w:t xml:space="preserve"> </w:t>
                            </w:r>
                            <w:r>
                              <w:rPr>
                                <w:sz w:val="43"/>
                                <w:szCs w:val="43"/>
                                <w:spacing w:val="-11"/>
                              </w:rPr>
                              <w:t>着</w:t>
                            </w:r>
                          </w:p>
                        </w:txbxContent>
                      </v:textbox>
                    </v:shape>
                  </w:pict>
                </mc:Fallback>
              </mc:AlternateContent>
            </w: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24" w:right="11"/>
              <w:spacing w:before="78" w:line="206" w:lineRule="auto"/>
              <w:rPr>
                <w:sz w:val="24"/>
                <w:szCs w:val="24"/>
              </w:rPr>
            </w:pPr>
            <w:r>
              <w:rPr>
                <w:sz w:val="24"/>
                <w:szCs w:val="24"/>
                <w:spacing w:val="8"/>
              </w:rPr>
              <w:t>保护</w:t>
            </w:r>
            <w:r>
              <w:rPr>
                <w:sz w:val="24"/>
                <w:szCs w:val="24"/>
              </w:rPr>
              <w:t xml:space="preserve"> </w:t>
            </w:r>
            <w:r>
              <w:rPr>
                <w:sz w:val="24"/>
                <w:szCs w:val="24"/>
                <w:spacing w:val="5"/>
              </w:rPr>
              <w:t>措施</w:t>
            </w:r>
          </w:p>
        </w:tc>
        <w:tc>
          <w:tcPr>
            <w:tcW w:w="8425" w:type="dxa"/>
            <w:vAlign w:val="top"/>
          </w:tcPr>
          <w:p>
            <w:pPr>
              <w:pStyle w:val="TableText"/>
              <w:ind w:left="144"/>
              <w:spacing w:before="72" w:line="220" w:lineRule="auto"/>
              <w:rPr>
                <w:sz w:val="24"/>
                <w:szCs w:val="24"/>
              </w:rPr>
            </w:pPr>
            <w:r>
              <w:rPr>
                <w:sz w:val="24"/>
                <w:szCs w:val="24"/>
                <w:b/>
                <w:bCs/>
                <w:spacing w:val="-4"/>
              </w:rPr>
              <w:t>4.5.2固体废物影响分析及措施</w:t>
            </w:r>
          </w:p>
          <w:p>
            <w:pPr>
              <w:pStyle w:val="TableText"/>
              <w:ind w:left="631"/>
              <w:spacing w:before="165" w:line="461" w:lineRule="exact"/>
              <w:rPr>
                <w:sz w:val="24"/>
                <w:szCs w:val="24"/>
              </w:rPr>
            </w:pPr>
            <w:r>
              <w:rPr>
                <w:sz w:val="24"/>
                <w:szCs w:val="24"/>
                <w:spacing w:val="-5"/>
                <w:position w:val="16"/>
              </w:rPr>
              <w:t>项目固体废物暂存均依托现有工程的生活垃圾、</w:t>
            </w:r>
            <w:r>
              <w:rPr>
                <w:sz w:val="24"/>
                <w:szCs w:val="24"/>
                <w:spacing w:val="49"/>
                <w:position w:val="16"/>
              </w:rPr>
              <w:t xml:space="preserve"> </w:t>
            </w:r>
            <w:r>
              <w:rPr>
                <w:sz w:val="24"/>
                <w:szCs w:val="24"/>
                <w:spacing w:val="-5"/>
                <w:position w:val="16"/>
              </w:rPr>
              <w:t>一般工业固体废物、危险</w:t>
            </w:r>
          </w:p>
          <w:p>
            <w:pPr>
              <w:pStyle w:val="TableText"/>
              <w:ind w:left="140"/>
              <w:spacing w:line="219" w:lineRule="auto"/>
              <w:rPr>
                <w:sz w:val="24"/>
                <w:szCs w:val="24"/>
              </w:rPr>
            </w:pPr>
            <w:r>
              <w:rPr>
                <w:sz w:val="24"/>
                <w:szCs w:val="24"/>
                <w:spacing w:val="-5"/>
              </w:rPr>
              <w:t>废物暂存间，其中生活垃圾、</w:t>
            </w:r>
            <w:r>
              <w:rPr>
                <w:sz w:val="24"/>
                <w:szCs w:val="24"/>
                <w:spacing w:val="64"/>
              </w:rPr>
              <w:t xml:space="preserve"> </w:t>
            </w:r>
            <w:r>
              <w:rPr>
                <w:sz w:val="24"/>
                <w:szCs w:val="24"/>
                <w:spacing w:val="-5"/>
              </w:rPr>
              <w:t>一般工业固废存放间均位于废弃物仓(X19)1层，</w:t>
            </w:r>
          </w:p>
          <w:p>
            <w:pPr>
              <w:pStyle w:val="TableText"/>
              <w:ind w:left="140"/>
              <w:spacing w:before="171" w:line="216" w:lineRule="auto"/>
              <w:rPr>
                <w:sz w:val="24"/>
                <w:szCs w:val="24"/>
              </w:rPr>
            </w:pPr>
            <w:r>
              <w:rPr>
                <w:sz w:val="24"/>
                <w:szCs w:val="24"/>
                <w:spacing w:val="8"/>
              </w:rPr>
              <w:t>其中生活垃圾暂存间为106m²,一般工业固废存放间为842m²,高</w:t>
            </w:r>
            <w:r>
              <w:rPr>
                <w:sz w:val="24"/>
                <w:szCs w:val="24"/>
                <w:spacing w:val="7"/>
              </w:rPr>
              <w:t>度为4.4m,</w:t>
            </w:r>
          </w:p>
          <w:p>
            <w:pPr>
              <w:pStyle w:val="TableText"/>
              <w:spacing w:before="201" w:line="460" w:lineRule="exact"/>
              <w:jc w:val="right"/>
              <w:rPr>
                <w:sz w:val="24"/>
                <w:szCs w:val="24"/>
              </w:rPr>
            </w:pPr>
            <w:r>
              <w:rPr>
                <w:sz w:val="24"/>
                <w:szCs w:val="24"/>
                <w:spacing w:val="-11"/>
                <w:position w:val="16"/>
              </w:rPr>
              <w:t>设计最大存储能力1300t。生活垃圾、</w:t>
            </w:r>
            <w:r>
              <w:rPr>
                <w:sz w:val="24"/>
                <w:szCs w:val="24"/>
                <w:spacing w:val="44"/>
                <w:position w:val="16"/>
              </w:rPr>
              <w:t xml:space="preserve"> </w:t>
            </w:r>
            <w:r>
              <w:rPr>
                <w:sz w:val="24"/>
                <w:szCs w:val="24"/>
                <w:spacing w:val="-11"/>
                <w:position w:val="16"/>
              </w:rPr>
              <w:t>一般工业固废存放间地面已采取水泥</w:t>
            </w:r>
            <w:r>
              <w:rPr>
                <w:sz w:val="24"/>
                <w:szCs w:val="24"/>
                <w:spacing w:val="-12"/>
                <w:position w:val="16"/>
              </w:rPr>
              <w:t>硬化、</w:t>
            </w:r>
          </w:p>
          <w:p>
            <w:pPr>
              <w:pStyle w:val="TableText"/>
              <w:ind w:left="120"/>
              <w:spacing w:before="1" w:line="218" w:lineRule="auto"/>
              <w:rPr>
                <w:sz w:val="24"/>
                <w:szCs w:val="24"/>
              </w:rPr>
            </w:pPr>
            <w:r>
              <w:rPr>
                <w:sz w:val="24"/>
                <w:szCs w:val="24"/>
                <w:spacing w:val="-3"/>
              </w:rPr>
              <w:t>环氧地坪等防腐防渗措施，并按规范设置环境</w:t>
            </w:r>
            <w:r>
              <w:rPr>
                <w:sz w:val="24"/>
                <w:szCs w:val="24"/>
                <w:spacing w:val="-4"/>
              </w:rPr>
              <w:t>保护图形标志。</w:t>
            </w:r>
          </w:p>
          <w:p>
            <w:pPr>
              <w:pStyle w:val="TableText"/>
              <w:ind w:left="604"/>
              <w:spacing w:before="184" w:line="220" w:lineRule="auto"/>
              <w:rPr>
                <w:sz w:val="24"/>
                <w:szCs w:val="24"/>
              </w:rPr>
            </w:pPr>
            <w:r>
              <w:rPr>
                <w:sz w:val="24"/>
                <w:szCs w:val="24"/>
                <w:b/>
                <w:bCs/>
                <w:spacing w:val="-7"/>
              </w:rPr>
              <w:t>一、生活垃圾</w:t>
            </w:r>
          </w:p>
          <w:p>
            <w:pPr>
              <w:pStyle w:val="TableText"/>
              <w:ind w:left="591"/>
              <w:spacing w:before="197" w:line="219" w:lineRule="auto"/>
              <w:rPr>
                <w:sz w:val="24"/>
                <w:szCs w:val="24"/>
              </w:rPr>
            </w:pPr>
            <w:r>
              <w:rPr>
                <w:sz w:val="24"/>
                <w:szCs w:val="24"/>
              </w:rPr>
              <w:t>厂区内生活垃圾经垃圾收集筒分类收集后，由环卫部门清运处置。</w:t>
            </w:r>
          </w:p>
          <w:p>
            <w:pPr>
              <w:pStyle w:val="TableText"/>
              <w:ind w:left="594"/>
              <w:spacing w:before="142" w:line="220" w:lineRule="auto"/>
              <w:rPr>
                <w:sz w:val="24"/>
                <w:szCs w:val="24"/>
              </w:rPr>
            </w:pPr>
            <w:r>
              <w:rPr>
                <w:sz w:val="24"/>
                <w:szCs w:val="24"/>
                <w:b/>
                <w:bCs/>
                <w:spacing w:val="-13"/>
              </w:rPr>
              <w:t>二、</w:t>
            </w:r>
            <w:r>
              <w:rPr>
                <w:sz w:val="24"/>
                <w:szCs w:val="24"/>
                <w:spacing w:val="-30"/>
              </w:rPr>
              <w:t xml:space="preserve"> </w:t>
            </w:r>
            <w:r>
              <w:rPr>
                <w:sz w:val="24"/>
                <w:szCs w:val="24"/>
                <w:b/>
                <w:bCs/>
                <w:spacing w:val="-13"/>
              </w:rPr>
              <w:t>一般工业固体废物</w:t>
            </w:r>
          </w:p>
          <w:p>
            <w:pPr>
              <w:pStyle w:val="TableText"/>
              <w:ind w:left="140" w:right="210" w:firstLine="490"/>
              <w:spacing w:before="216" w:line="359" w:lineRule="auto"/>
              <w:rPr>
                <w:sz w:val="24"/>
                <w:szCs w:val="24"/>
              </w:rPr>
            </w:pPr>
            <w:r>
              <w:rPr>
                <w:sz w:val="24"/>
                <w:szCs w:val="24"/>
              </w:rPr>
              <w:t>一般工业固废处置方式：废包装袋、桶，废LED灯管则外售综合利用；废</w:t>
            </w:r>
            <w:r>
              <w:rPr>
                <w:sz w:val="24"/>
                <w:szCs w:val="24"/>
                <w:spacing w:val="11"/>
              </w:rPr>
              <w:t xml:space="preserve"> </w:t>
            </w:r>
            <w:r>
              <w:rPr>
                <w:sz w:val="24"/>
                <w:szCs w:val="24"/>
              </w:rPr>
              <w:t>极片、NMP废液均委托相关单位外运处理，阴极污泥(包含阴极生产废水预处</w:t>
            </w:r>
            <w:r>
              <w:rPr>
                <w:sz w:val="24"/>
                <w:szCs w:val="24"/>
                <w:spacing w:val="4"/>
              </w:rPr>
              <w:t xml:space="preserve">  </w:t>
            </w:r>
            <w:r>
              <w:rPr>
                <w:sz w:val="24"/>
                <w:szCs w:val="24"/>
                <w:spacing w:val="1"/>
              </w:rPr>
              <w:t>理系统污泥、沉渣)及综合污泥均委托污泥处置公</w:t>
            </w:r>
            <w:r>
              <w:rPr>
                <w:sz w:val="24"/>
                <w:szCs w:val="24"/>
              </w:rPr>
              <w:t>司外运处理，纯水制备废滤</w:t>
            </w:r>
          </w:p>
          <w:p>
            <w:pPr>
              <w:pStyle w:val="TableText"/>
              <w:ind w:left="160"/>
              <w:spacing w:before="1" w:line="219" w:lineRule="auto"/>
              <w:rPr>
                <w:sz w:val="24"/>
                <w:szCs w:val="24"/>
              </w:rPr>
            </w:pPr>
            <w:r>
              <w:rPr>
                <w:sz w:val="24"/>
                <w:szCs w:val="24"/>
              </w:rPr>
              <w:t>芯则由设备厂家回收。</w:t>
            </w:r>
          </w:p>
          <w:p>
            <w:pPr>
              <w:pStyle w:val="TableText"/>
              <w:ind w:left="604"/>
              <w:spacing w:before="162" w:line="219" w:lineRule="auto"/>
              <w:rPr>
                <w:sz w:val="24"/>
                <w:szCs w:val="24"/>
              </w:rPr>
            </w:pPr>
            <w:r>
              <w:rPr>
                <w:sz w:val="24"/>
                <w:szCs w:val="24"/>
                <w:b/>
                <w:bCs/>
                <w:spacing w:val="-4"/>
              </w:rPr>
              <w:t>三、待鉴定废物</w:t>
            </w:r>
          </w:p>
          <w:p>
            <w:pPr>
              <w:pStyle w:val="TableText"/>
              <w:ind w:left="140" w:right="51" w:firstLine="490"/>
              <w:spacing w:before="198" w:line="359" w:lineRule="auto"/>
              <w:jc w:val="both"/>
              <w:rPr>
                <w:sz w:val="24"/>
                <w:szCs w:val="24"/>
              </w:rPr>
            </w:pPr>
            <w:r>
              <w:rPr>
                <w:sz w:val="24"/>
                <w:szCs w:val="24"/>
                <w:spacing w:val="1"/>
              </w:rPr>
              <w:t>项目产生的废浆料、阳极污泥(包含阳极生产废水预处理系统污泥、沉渣)</w:t>
            </w:r>
            <w:r>
              <w:rPr>
                <w:sz w:val="24"/>
                <w:szCs w:val="24"/>
                <w:spacing w:val="18"/>
              </w:rPr>
              <w:t xml:space="preserve"> </w:t>
            </w:r>
            <w:r>
              <w:rPr>
                <w:sz w:val="24"/>
                <w:szCs w:val="24"/>
              </w:rPr>
              <w:t>需根据鉴定其危险性，根据鉴定结果，若不具有危险性，则按一般工业固废收</w:t>
            </w:r>
            <w:r>
              <w:rPr>
                <w:sz w:val="24"/>
                <w:szCs w:val="24"/>
                <w:spacing w:val="18"/>
              </w:rPr>
              <w:t xml:space="preserve"> </w:t>
            </w:r>
            <w:r>
              <w:rPr>
                <w:sz w:val="24"/>
                <w:szCs w:val="24"/>
                <w:spacing w:val="1"/>
              </w:rPr>
              <w:t>集、暂存及委托处置；若均有危险性，则按危险废物收集</w:t>
            </w:r>
            <w:r>
              <w:rPr>
                <w:sz w:val="24"/>
                <w:szCs w:val="24"/>
              </w:rPr>
              <w:t>、暂存及委托有资质</w:t>
            </w:r>
          </w:p>
          <w:p>
            <w:pPr>
              <w:pStyle w:val="TableText"/>
              <w:ind w:left="140"/>
              <w:spacing w:line="219" w:lineRule="auto"/>
              <w:rPr>
                <w:sz w:val="24"/>
                <w:szCs w:val="24"/>
              </w:rPr>
            </w:pPr>
            <w:r>
              <w:rPr>
                <w:sz w:val="24"/>
                <w:szCs w:val="24"/>
              </w:rPr>
              <w:t>单位处置。在未得出结果前，其收集、暂存及处置均从严按危险废物管</w:t>
            </w:r>
            <w:r>
              <w:rPr>
                <w:sz w:val="24"/>
                <w:szCs w:val="24"/>
                <w:spacing w:val="-1"/>
              </w:rPr>
              <w:t>理。</w:t>
            </w:r>
          </w:p>
          <w:p>
            <w:pPr>
              <w:pStyle w:val="TableText"/>
              <w:ind w:left="621"/>
              <w:spacing w:before="206" w:line="220" w:lineRule="auto"/>
              <w:rPr>
                <w:sz w:val="24"/>
                <w:szCs w:val="24"/>
              </w:rPr>
            </w:pPr>
            <w:r>
              <w:rPr>
                <w:sz w:val="24"/>
                <w:szCs w:val="24"/>
                <w:spacing w:val="2"/>
              </w:rPr>
              <w:t>四、危险废物</w:t>
            </w:r>
          </w:p>
          <w:p>
            <w:pPr>
              <w:pStyle w:val="TableText"/>
              <w:ind w:left="631"/>
              <w:spacing w:before="184" w:line="220" w:lineRule="auto"/>
              <w:rPr>
                <w:sz w:val="24"/>
                <w:szCs w:val="24"/>
              </w:rPr>
            </w:pPr>
            <w:r>
              <w:rPr>
                <w:sz w:val="24"/>
                <w:szCs w:val="24"/>
                <w:spacing w:val="1"/>
              </w:rPr>
              <w:t>1、危险废物处置</w:t>
            </w:r>
          </w:p>
          <w:p>
            <w:pPr>
              <w:pStyle w:val="TableText"/>
              <w:ind w:left="621"/>
              <w:spacing w:before="153" w:line="480" w:lineRule="exact"/>
              <w:rPr>
                <w:sz w:val="24"/>
                <w:szCs w:val="24"/>
              </w:rPr>
            </w:pPr>
            <w:r>
              <w:rPr>
                <w:sz w:val="24"/>
                <w:szCs w:val="24"/>
                <w:position w:val="18"/>
              </w:rPr>
              <w:t>项目内产生的各类危险固体废物分类收集后，委托有资质单位处置。</w:t>
            </w:r>
          </w:p>
          <w:p>
            <w:pPr>
              <w:pStyle w:val="TableText"/>
              <w:ind w:left="611"/>
              <w:spacing w:before="1" w:line="219" w:lineRule="auto"/>
              <w:rPr>
                <w:sz w:val="24"/>
                <w:szCs w:val="24"/>
              </w:rPr>
            </w:pPr>
            <w:r>
              <w:rPr>
                <w:sz w:val="24"/>
                <w:szCs w:val="24"/>
              </w:rPr>
              <w:t>2、危险废物贮存场所(设施)环境影响分析</w:t>
            </w:r>
          </w:p>
          <w:p>
            <w:pPr>
              <w:pStyle w:val="TableText"/>
              <w:ind w:left="740"/>
              <w:spacing w:before="161" w:line="216" w:lineRule="auto"/>
              <w:rPr>
                <w:sz w:val="24"/>
                <w:szCs w:val="24"/>
              </w:rPr>
            </w:pPr>
            <w:r>
              <w:rPr>
                <w:sz w:val="24"/>
                <w:szCs w:val="24"/>
                <w:spacing w:val="4"/>
              </w:rPr>
              <w:t>(1)危废暂存间依托现有工程，位于化学品仓1一层，</w:t>
            </w:r>
            <w:r>
              <w:rPr>
                <w:sz w:val="24"/>
                <w:szCs w:val="24"/>
                <w:spacing w:val="3"/>
              </w:rPr>
              <w:t>面积为140m²,设</w:t>
            </w:r>
          </w:p>
          <w:p>
            <w:pPr>
              <w:pStyle w:val="TableText"/>
              <w:ind w:left="140" w:right="81"/>
              <w:spacing w:before="190" w:line="365" w:lineRule="auto"/>
              <w:rPr>
                <w:sz w:val="24"/>
                <w:szCs w:val="24"/>
              </w:rPr>
            </w:pPr>
            <w:r>
              <w:rPr>
                <w:sz w:val="24"/>
                <w:szCs w:val="24"/>
                <w:spacing w:val="1"/>
              </w:rPr>
              <w:t>计最大存储能力250t。危废暂存间已做好防渗、防漏、</w:t>
            </w:r>
            <w:r>
              <w:rPr>
                <w:sz w:val="24"/>
                <w:szCs w:val="24"/>
              </w:rPr>
              <w:t>防淋等措施，同时在门 </w:t>
            </w:r>
            <w:r>
              <w:rPr>
                <w:sz w:val="24"/>
                <w:szCs w:val="24"/>
                <w:spacing w:val="1"/>
              </w:rPr>
              <w:t>外设置安全警示标识，墙上贴有危险废物管理制度；收集</w:t>
            </w:r>
            <w:r>
              <w:rPr>
                <w:sz w:val="24"/>
                <w:szCs w:val="24"/>
              </w:rPr>
              <w:t>间内配置灭火器，沙 </w:t>
            </w:r>
            <w:r>
              <w:rPr>
                <w:sz w:val="24"/>
                <w:szCs w:val="24"/>
              </w:rPr>
              <w:t>子等灭火器材；结合危废种类，设置分区暂存，分别采用小型容器存放；各容</w:t>
            </w:r>
            <w:r>
              <w:rPr>
                <w:sz w:val="24"/>
                <w:szCs w:val="24"/>
                <w:spacing w:val="11"/>
              </w:rPr>
              <w:t xml:space="preserve"> </w:t>
            </w:r>
            <w:r>
              <w:rPr>
                <w:sz w:val="24"/>
                <w:szCs w:val="24"/>
                <w:spacing w:val="1"/>
              </w:rPr>
              <w:t>器分别放置于不锈钢托槽内，收集意外泄漏的危废；地面设置收集渠，</w:t>
            </w:r>
            <w:r>
              <w:rPr>
                <w:sz w:val="24"/>
                <w:szCs w:val="24"/>
              </w:rPr>
              <w:t>收集渠 </w:t>
            </w:r>
            <w:r>
              <w:rPr>
                <w:sz w:val="24"/>
                <w:szCs w:val="24"/>
                <w:spacing w:val="1"/>
              </w:rPr>
              <w:t>与室外危废事故应急池连接，建设单位根据不同危险废物实际产生周</w:t>
            </w:r>
            <w:r>
              <w:rPr>
                <w:sz w:val="24"/>
                <w:szCs w:val="24"/>
              </w:rPr>
              <w:t>期及产生</w:t>
            </w:r>
          </w:p>
          <w:p>
            <w:pPr>
              <w:pStyle w:val="TableText"/>
              <w:ind w:left="140"/>
              <w:spacing w:before="1" w:line="219" w:lineRule="auto"/>
              <w:rPr>
                <w:sz w:val="24"/>
                <w:szCs w:val="24"/>
              </w:rPr>
            </w:pPr>
            <w:r>
              <w:rPr>
                <w:sz w:val="24"/>
                <w:szCs w:val="24"/>
              </w:rPr>
              <w:t>量，并定期委托有资质单位统一处理。</w:t>
            </w:r>
          </w:p>
        </w:tc>
      </w:tr>
    </w:tbl>
    <w:p>
      <w:pPr>
        <w:rPr>
          <w:rFonts w:ascii="Arial"/>
          <w:sz w:val="21"/>
        </w:rPr>
      </w:pPr>
      <w:r/>
    </w:p>
    <w:p>
      <w:pPr>
        <w:sectPr>
          <w:footerReference w:type="default" r:id="rId143"/>
          <w:pgSz w:w="11900" w:h="16840"/>
          <w:pgMar w:top="1431" w:right="1465" w:bottom="988" w:left="1455" w:header="0" w:footer="849" w:gutter="0"/>
        </w:sectPr>
        <w:rPr>
          <w:rFonts w:ascii="Arial" w:hAnsi="Arial" w:eastAsia="Arial" w:cs="Arial"/>
          <w:sz w:val="21"/>
          <w:szCs w:val="21"/>
        </w:rPr>
      </w:pPr>
    </w:p>
    <w:p>
      <w:pPr>
        <w:spacing w:line="103" w:lineRule="exact"/>
        <w:rPr/>
      </w:pPr>
      <w:r/>
    </w:p>
    <w:tbl>
      <w:tblPr>
        <w:tblStyle w:val="TableNormal"/>
        <w:tblW w:w="896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879"/>
        <w:gridCol w:w="879"/>
        <w:gridCol w:w="1179"/>
        <w:gridCol w:w="1198"/>
        <w:gridCol w:w="989"/>
        <w:gridCol w:w="849"/>
        <w:gridCol w:w="799"/>
        <w:gridCol w:w="849"/>
        <w:gridCol w:w="794"/>
      </w:tblGrid>
      <w:tr>
        <w:trPr>
          <w:trHeight w:val="1534" w:hRule="atLeast"/>
        </w:trPr>
        <w:tc>
          <w:tcPr>
            <w:tcW w:w="554" w:type="dxa"/>
            <w:vAlign w:val="top"/>
            <w:vMerge w:val="restart"/>
            <w:tcBorders>
              <w:bottom w:val="nil"/>
            </w:tcBorders>
          </w:tcPr>
          <w:p>
            <w:pPr>
              <w:rPr>
                <w:rFonts w:ascii="Arial"/>
                <w:sz w:val="21"/>
              </w:rPr>
            </w:pPr>
            <w:r/>
          </w:p>
        </w:tc>
        <w:tc>
          <w:tcPr>
            <w:tcW w:w="8415" w:type="dxa"/>
            <w:vAlign w:val="top"/>
            <w:gridSpan w:val="9"/>
          </w:tcPr>
          <w:p>
            <w:pPr>
              <w:pStyle w:val="TableText"/>
              <w:ind w:left="750"/>
              <w:spacing w:before="64" w:line="490" w:lineRule="exact"/>
              <w:rPr/>
            </w:pPr>
            <w:r>
              <w:rPr>
                <w:position w:val="19"/>
              </w:rPr>
              <w:t>(2)各类危险废物的产生量、贮存期限见表4.5-3。从表4.5-3可知，厂区</w:t>
            </w:r>
          </w:p>
          <w:p>
            <w:pPr>
              <w:pStyle w:val="TableText"/>
              <w:ind w:left="130"/>
              <w:spacing w:line="219" w:lineRule="auto"/>
              <w:rPr/>
            </w:pPr>
            <w:r>
              <w:rPr/>
              <w:t>危险废物各贮存场所(设施)可满足项目危废</w:t>
            </w:r>
            <w:r>
              <w:rPr>
                <w:spacing w:val="-1"/>
              </w:rPr>
              <w:t>的贮存要求。</w:t>
            </w:r>
          </w:p>
          <w:p>
            <w:pPr>
              <w:pStyle w:val="TableText"/>
              <w:ind w:left="1594"/>
              <w:spacing w:before="262" w:line="219" w:lineRule="auto"/>
              <w:rPr/>
            </w:pPr>
            <w:r>
              <w:rPr>
                <w:b/>
                <w:bCs/>
                <w:spacing w:val="-3"/>
              </w:rPr>
              <w:t>表4.5-3项目危险废物暂存间基本情况一览表</w:t>
            </w:r>
          </w:p>
        </w:tc>
      </w:tr>
      <w:tr>
        <w:trPr>
          <w:trHeight w:val="829" w:hRule="atLeast"/>
        </w:trPr>
        <w:tc>
          <w:tcPr>
            <w:tcW w:w="554" w:type="dxa"/>
            <w:vAlign w:val="top"/>
            <w:vMerge w:val="continue"/>
            <w:tcBorders>
              <w:top w:val="nil"/>
              <w:bottom w:val="nil"/>
            </w:tcBorders>
          </w:tcPr>
          <w:p>
            <w:pPr>
              <w:rPr>
                <w:rFonts w:ascii="Arial"/>
                <w:sz w:val="21"/>
              </w:rPr>
            </w:pPr>
            <w:r/>
          </w:p>
        </w:tc>
        <w:tc>
          <w:tcPr>
            <w:tcW w:w="879" w:type="dxa"/>
            <w:vAlign w:val="top"/>
          </w:tcPr>
          <w:p>
            <w:pPr>
              <w:pStyle w:val="TableText"/>
              <w:ind w:left="180"/>
              <w:spacing w:before="189" w:line="226" w:lineRule="auto"/>
              <w:rPr/>
            </w:pPr>
            <w:r>
              <w:rPr>
                <w:spacing w:val="-3"/>
              </w:rPr>
              <w:t>贮存</w:t>
            </w:r>
          </w:p>
          <w:p>
            <w:pPr>
              <w:pStyle w:val="TableText"/>
              <w:ind w:left="180"/>
              <w:spacing w:line="220" w:lineRule="auto"/>
              <w:rPr/>
            </w:pPr>
            <w:r>
              <w:rPr>
                <w:spacing w:val="-3"/>
              </w:rPr>
              <w:t>场所</w:t>
            </w:r>
          </w:p>
        </w:tc>
        <w:tc>
          <w:tcPr>
            <w:tcW w:w="879" w:type="dxa"/>
            <w:vAlign w:val="top"/>
          </w:tcPr>
          <w:p>
            <w:pPr>
              <w:pStyle w:val="TableText"/>
              <w:ind w:left="81" w:right="85"/>
              <w:spacing w:before="161" w:line="227" w:lineRule="auto"/>
              <w:rPr/>
            </w:pPr>
            <w:r>
              <w:rPr>
                <w:spacing w:val="3"/>
              </w:rPr>
              <w:t>危险废</w:t>
            </w:r>
            <w:r>
              <w:rPr>
                <w:spacing w:val="1"/>
              </w:rPr>
              <w:t xml:space="preserve"> </w:t>
            </w:r>
            <w:r>
              <w:rPr>
                <w:spacing w:val="3"/>
              </w:rPr>
              <w:t>物名称</w:t>
            </w:r>
          </w:p>
        </w:tc>
        <w:tc>
          <w:tcPr>
            <w:tcW w:w="1179" w:type="dxa"/>
            <w:vAlign w:val="top"/>
          </w:tcPr>
          <w:p>
            <w:pPr>
              <w:pStyle w:val="TableText"/>
              <w:ind w:left="352" w:right="114" w:hanging="230"/>
              <w:spacing w:before="170" w:line="226" w:lineRule="auto"/>
              <w:rPr/>
            </w:pPr>
            <w:r>
              <w:rPr>
                <w:spacing w:val="2"/>
              </w:rPr>
              <w:t>危险废物 </w:t>
            </w:r>
            <w:r>
              <w:rPr>
                <w:spacing w:val="9"/>
              </w:rPr>
              <w:t>类别</w:t>
            </w:r>
          </w:p>
        </w:tc>
        <w:tc>
          <w:tcPr>
            <w:tcW w:w="1198" w:type="dxa"/>
            <w:vAlign w:val="top"/>
          </w:tcPr>
          <w:p>
            <w:pPr>
              <w:pStyle w:val="TableText"/>
              <w:ind w:left="363" w:right="122" w:hanging="230"/>
              <w:spacing w:before="170" w:line="222" w:lineRule="auto"/>
              <w:rPr/>
            </w:pPr>
            <w:r>
              <w:rPr>
                <w:spacing w:val="2"/>
              </w:rPr>
              <w:t>危险废物 </w:t>
            </w:r>
            <w:r>
              <w:rPr>
                <w:spacing w:val="-3"/>
              </w:rPr>
              <w:t>代码</w:t>
            </w:r>
          </w:p>
        </w:tc>
        <w:tc>
          <w:tcPr>
            <w:tcW w:w="989" w:type="dxa"/>
            <w:vAlign w:val="top"/>
          </w:tcPr>
          <w:p>
            <w:pPr>
              <w:pStyle w:val="TableText"/>
              <w:ind w:left="256"/>
              <w:spacing w:before="301" w:line="221" w:lineRule="auto"/>
              <w:rPr/>
            </w:pPr>
            <w:r>
              <w:rPr>
                <w:spacing w:val="-3"/>
              </w:rPr>
              <w:t>位置</w:t>
            </w:r>
          </w:p>
        </w:tc>
        <w:tc>
          <w:tcPr>
            <w:tcW w:w="849" w:type="dxa"/>
            <w:vAlign w:val="top"/>
          </w:tcPr>
          <w:p>
            <w:pPr>
              <w:pStyle w:val="TableText"/>
              <w:ind w:left="187"/>
              <w:spacing w:before="172" w:line="224" w:lineRule="auto"/>
              <w:rPr/>
            </w:pPr>
            <w:r>
              <w:rPr>
                <w:spacing w:val="8"/>
              </w:rPr>
              <w:t>占地</w:t>
            </w:r>
          </w:p>
          <w:p>
            <w:pPr>
              <w:pStyle w:val="TableText"/>
              <w:ind w:left="187"/>
              <w:spacing w:line="220" w:lineRule="auto"/>
              <w:rPr/>
            </w:pPr>
            <w:r>
              <w:rPr>
                <w:spacing w:val="7"/>
              </w:rPr>
              <w:t>面积</w:t>
            </w:r>
          </w:p>
        </w:tc>
        <w:tc>
          <w:tcPr>
            <w:tcW w:w="799" w:type="dxa"/>
            <w:vAlign w:val="top"/>
          </w:tcPr>
          <w:p>
            <w:pPr>
              <w:pStyle w:val="TableText"/>
              <w:ind w:left="167"/>
              <w:spacing w:before="170" w:line="226" w:lineRule="auto"/>
              <w:rPr/>
            </w:pPr>
            <w:r>
              <w:rPr>
                <w:spacing w:val="-3"/>
              </w:rPr>
              <w:t>贮存</w:t>
            </w:r>
          </w:p>
          <w:p>
            <w:pPr>
              <w:pStyle w:val="TableText"/>
              <w:ind w:left="167"/>
              <w:spacing w:line="220" w:lineRule="auto"/>
              <w:rPr/>
            </w:pPr>
            <w:r>
              <w:rPr>
                <w:spacing w:val="-3"/>
              </w:rPr>
              <w:t>方式</w:t>
            </w:r>
          </w:p>
        </w:tc>
        <w:tc>
          <w:tcPr>
            <w:tcW w:w="849" w:type="dxa"/>
            <w:vAlign w:val="top"/>
          </w:tcPr>
          <w:p>
            <w:pPr>
              <w:pStyle w:val="TableText"/>
              <w:ind w:left="188"/>
              <w:spacing w:before="20" w:line="223" w:lineRule="auto"/>
              <w:rPr/>
            </w:pPr>
            <w:r>
              <w:rPr>
                <w:spacing w:val="-3"/>
              </w:rPr>
              <w:t>贮存</w:t>
            </w:r>
          </w:p>
          <w:p>
            <w:pPr>
              <w:pStyle w:val="TableText"/>
              <w:ind w:left="188"/>
              <w:spacing w:line="218" w:lineRule="auto"/>
              <w:rPr/>
            </w:pPr>
            <w:r>
              <w:rPr>
                <w:spacing w:val="9"/>
              </w:rPr>
              <w:t>能力</w:t>
            </w:r>
          </w:p>
          <w:p>
            <w:pPr>
              <w:pStyle w:val="TableText"/>
              <w:ind w:left="248"/>
              <w:spacing w:before="20" w:line="183" w:lineRule="auto"/>
              <w:rPr/>
            </w:pPr>
            <w:r>
              <w:rPr>
                <w:spacing w:val="-11"/>
              </w:rPr>
              <w:t>(t)</w:t>
            </w:r>
          </w:p>
        </w:tc>
        <w:tc>
          <w:tcPr>
            <w:tcW w:w="794" w:type="dxa"/>
            <w:vAlign w:val="top"/>
          </w:tcPr>
          <w:p>
            <w:pPr>
              <w:pStyle w:val="TableText"/>
              <w:ind w:left="159" w:right="148"/>
              <w:spacing w:before="189" w:line="223" w:lineRule="auto"/>
              <w:rPr/>
            </w:pPr>
            <w:r>
              <w:rPr>
                <w:spacing w:val="-5"/>
              </w:rPr>
              <w:t>贮存</w:t>
            </w:r>
            <w:r>
              <w:rPr/>
              <w:t xml:space="preserve"> </w:t>
            </w:r>
            <w:r>
              <w:rPr>
                <w:spacing w:val="7"/>
              </w:rPr>
              <w:t>周期</w:t>
            </w:r>
          </w:p>
        </w:tc>
      </w:tr>
      <w:tr>
        <w:trPr>
          <w:trHeight w:val="1089" w:hRule="atLeast"/>
        </w:trPr>
        <w:tc>
          <w:tcPr>
            <w:tcW w:w="554" w:type="dxa"/>
            <w:vAlign w:val="top"/>
            <w:vMerge w:val="continue"/>
            <w:tcBorders>
              <w:top w:val="nil"/>
              <w:bottom w:val="nil"/>
            </w:tcBorders>
          </w:tcPr>
          <w:p>
            <w:pPr>
              <w:rPr>
                <w:rFonts w:ascii="Arial"/>
                <w:sz w:val="21"/>
              </w:rPr>
            </w:pPr>
            <w:r/>
          </w:p>
        </w:tc>
        <w:tc>
          <w:tcPr>
            <w:tcW w:w="879" w:type="dxa"/>
            <w:vAlign w:val="top"/>
            <w:vMerge w:val="restart"/>
            <w:tcBorders>
              <w:bottom w:val="nil"/>
            </w:tcBorders>
          </w:tcPr>
          <w:p>
            <w:pPr>
              <w:spacing w:line="375" w:lineRule="auto"/>
              <w:rPr>
                <w:rFonts w:ascii="Arial"/>
                <w:sz w:val="21"/>
              </w:rPr>
            </w:pPr>
            <w:r/>
          </w:p>
          <w:p>
            <w:pPr>
              <w:pStyle w:val="TableText"/>
              <w:ind w:left="180"/>
              <w:spacing w:before="74" w:line="208" w:lineRule="auto"/>
              <w:rPr/>
            </w:pPr>
            <w:r>
              <w:rPr>
                <w:spacing w:val="5"/>
              </w:rPr>
              <w:t>危废</w:t>
            </w:r>
          </w:p>
          <w:p>
            <w:pPr>
              <w:pStyle w:val="TableText"/>
              <w:ind w:left="180"/>
              <w:spacing w:line="211" w:lineRule="auto"/>
              <w:rPr/>
            </w:pPr>
            <w:r>
              <w:rPr>
                <w:spacing w:val="4"/>
              </w:rPr>
              <w:t>暂存</w:t>
            </w:r>
          </w:p>
          <w:p>
            <w:pPr>
              <w:pStyle w:val="TableText"/>
              <w:ind w:left="410"/>
              <w:spacing w:line="222" w:lineRule="auto"/>
              <w:rPr/>
            </w:pPr>
            <w:r>
              <w:rPr/>
              <w:t>间</w:t>
            </w:r>
          </w:p>
        </w:tc>
        <w:tc>
          <w:tcPr>
            <w:tcW w:w="879" w:type="dxa"/>
            <w:vAlign w:val="top"/>
          </w:tcPr>
          <w:p>
            <w:pPr>
              <w:spacing w:line="353" w:lineRule="auto"/>
              <w:rPr>
                <w:rFonts w:ascii="Arial"/>
                <w:sz w:val="21"/>
              </w:rPr>
            </w:pPr>
            <w:r/>
          </w:p>
          <w:p>
            <w:pPr>
              <w:pStyle w:val="TableText"/>
              <w:ind w:left="81"/>
              <w:spacing w:before="74" w:line="219" w:lineRule="auto"/>
              <w:rPr/>
            </w:pPr>
            <w:r>
              <w:rPr>
                <w:spacing w:val="8"/>
              </w:rPr>
              <w:t>废机油</w:t>
            </w:r>
          </w:p>
        </w:tc>
        <w:tc>
          <w:tcPr>
            <w:tcW w:w="1179" w:type="dxa"/>
            <w:vAlign w:val="top"/>
          </w:tcPr>
          <w:p>
            <w:pPr>
              <w:pStyle w:val="TableText"/>
              <w:ind w:left="232"/>
              <w:spacing w:before="42" w:line="220" w:lineRule="auto"/>
              <w:rPr/>
            </w:pPr>
            <w:r>
              <w:rPr>
                <w:spacing w:val="-1"/>
              </w:rPr>
              <w:t>HW08废</w:t>
            </w:r>
          </w:p>
          <w:p>
            <w:pPr>
              <w:pStyle w:val="TableText"/>
              <w:ind w:left="122"/>
              <w:spacing w:before="4" w:line="209" w:lineRule="auto"/>
              <w:rPr/>
            </w:pPr>
            <w:r>
              <w:rPr>
                <w:spacing w:val="4"/>
              </w:rPr>
              <w:t>矿物油与</w:t>
            </w:r>
          </w:p>
          <w:p>
            <w:pPr>
              <w:pStyle w:val="TableText"/>
              <w:ind w:left="122"/>
              <w:spacing w:line="209" w:lineRule="auto"/>
              <w:rPr/>
            </w:pPr>
            <w:r>
              <w:rPr>
                <w:spacing w:val="6"/>
              </w:rPr>
              <w:t>含矿物油</w:t>
            </w:r>
          </w:p>
          <w:p>
            <w:pPr>
              <w:pStyle w:val="TableText"/>
              <w:ind w:left="353"/>
              <w:spacing w:line="190" w:lineRule="auto"/>
              <w:rPr/>
            </w:pPr>
            <w:r>
              <w:rPr>
                <w:spacing w:val="-3"/>
              </w:rPr>
              <w:t>废物</w:t>
            </w:r>
          </w:p>
        </w:tc>
        <w:tc>
          <w:tcPr>
            <w:tcW w:w="1198" w:type="dxa"/>
            <w:vAlign w:val="top"/>
          </w:tcPr>
          <w:p>
            <w:pPr>
              <w:spacing w:line="413" w:lineRule="auto"/>
              <w:rPr>
                <w:rFonts w:ascii="Arial"/>
                <w:sz w:val="21"/>
              </w:rPr>
            </w:pPr>
            <w:r/>
          </w:p>
          <w:p>
            <w:pPr>
              <w:pStyle w:val="TableText"/>
              <w:ind w:left="14"/>
              <w:spacing w:before="75" w:line="183" w:lineRule="auto"/>
              <w:rPr/>
            </w:pPr>
            <w:r>
              <w:rPr>
                <w:spacing w:val="-1"/>
              </w:rPr>
              <w:t>900-249-08</w:t>
            </w:r>
          </w:p>
        </w:tc>
        <w:tc>
          <w:tcPr>
            <w:tcW w:w="989" w:type="dxa"/>
            <w:vAlign w:val="top"/>
            <w:vMerge w:val="restart"/>
            <w:tcBorders>
              <w:bottom w:val="nil"/>
            </w:tcBorders>
          </w:tcPr>
          <w:p>
            <w:pPr>
              <w:spacing w:line="251" w:lineRule="auto"/>
              <w:rPr>
                <w:rFonts w:ascii="Arial"/>
                <w:sz w:val="21"/>
              </w:rPr>
            </w:pPr>
            <w:r/>
          </w:p>
          <w:p>
            <w:pPr>
              <w:spacing w:line="252" w:lineRule="auto"/>
              <w:rPr>
                <w:rFonts w:ascii="Arial"/>
                <w:sz w:val="21"/>
              </w:rPr>
            </w:pPr>
            <w:r/>
          </w:p>
          <w:p>
            <w:pPr>
              <w:pStyle w:val="TableText"/>
              <w:ind w:left="85" w:right="42" w:firstLine="59"/>
              <w:spacing w:before="74" w:line="221" w:lineRule="auto"/>
              <w:rPr/>
            </w:pPr>
            <w:r>
              <w:rPr>
                <w:spacing w:val="1"/>
              </w:rPr>
              <w:t>电解液 </w:t>
            </w:r>
            <w:r>
              <w:rPr>
                <w:spacing w:val="7"/>
              </w:rPr>
              <w:t>仓(X13)</w:t>
            </w:r>
          </w:p>
        </w:tc>
        <w:tc>
          <w:tcPr>
            <w:tcW w:w="849" w:type="dxa"/>
            <w:vAlign w:val="top"/>
            <w:vMerge w:val="restart"/>
            <w:tcBorders>
              <w:bottom w:val="nil"/>
            </w:tcBorders>
          </w:tcPr>
          <w:p>
            <w:pPr>
              <w:spacing w:line="317" w:lineRule="auto"/>
              <w:rPr>
                <w:rFonts w:ascii="Arial"/>
                <w:sz w:val="21"/>
              </w:rPr>
            </w:pPr>
            <w:r/>
          </w:p>
          <w:p>
            <w:pPr>
              <w:spacing w:line="318" w:lineRule="auto"/>
              <w:rPr>
                <w:rFonts w:ascii="Arial"/>
                <w:sz w:val="21"/>
              </w:rPr>
            </w:pPr>
            <w:r/>
          </w:p>
          <w:p>
            <w:pPr>
              <w:pStyle w:val="TableText"/>
              <w:ind w:left="76"/>
              <w:spacing w:before="74"/>
              <w:rPr/>
            </w:pPr>
            <w:r>
              <w:rPr>
                <w:spacing w:val="-5"/>
              </w:rPr>
              <w:t>140m²</w:t>
            </w:r>
          </w:p>
        </w:tc>
        <w:tc>
          <w:tcPr>
            <w:tcW w:w="799"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pStyle w:val="TableText"/>
              <w:ind w:left="167" w:right="141"/>
              <w:spacing w:before="75" w:line="212" w:lineRule="auto"/>
              <w:rPr/>
            </w:pPr>
            <w:r>
              <w:rPr>
                <w:spacing w:val="9"/>
              </w:rPr>
              <w:t>密闭</w:t>
            </w:r>
            <w:r>
              <w:rPr/>
              <w:t xml:space="preserve"> </w:t>
            </w:r>
            <w:r>
              <w:rPr>
                <w:spacing w:val="5"/>
              </w:rPr>
              <w:t>桶装</w:t>
            </w:r>
          </w:p>
        </w:tc>
        <w:tc>
          <w:tcPr>
            <w:tcW w:w="849" w:type="dxa"/>
            <w:vAlign w:val="top"/>
          </w:tcPr>
          <w:p>
            <w:pPr>
              <w:spacing w:line="413" w:lineRule="auto"/>
              <w:rPr>
                <w:rFonts w:ascii="Arial"/>
                <w:sz w:val="21"/>
              </w:rPr>
            </w:pPr>
            <w:r/>
          </w:p>
          <w:p>
            <w:pPr>
              <w:pStyle w:val="TableText"/>
              <w:ind w:left="359"/>
              <w:spacing w:before="75" w:line="183" w:lineRule="auto"/>
              <w:rPr/>
            </w:pPr>
            <w:r>
              <w:rPr/>
              <w:t>2</w:t>
            </w:r>
          </w:p>
        </w:tc>
        <w:tc>
          <w:tcPr>
            <w:tcW w:w="794"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pStyle w:val="TableText"/>
              <w:ind w:left="219"/>
              <w:spacing w:before="75" w:line="217" w:lineRule="auto"/>
              <w:rPr/>
            </w:pPr>
            <w:r>
              <w:rPr>
                <w:spacing w:val="2"/>
              </w:rPr>
              <w:t>1个</w:t>
            </w:r>
          </w:p>
          <w:p>
            <w:pPr>
              <w:pStyle w:val="TableText"/>
              <w:ind w:left="279"/>
              <w:spacing w:line="219" w:lineRule="auto"/>
              <w:rPr/>
            </w:pPr>
            <w:r>
              <w:rPr/>
              <w:t>月</w:t>
            </w:r>
          </w:p>
        </w:tc>
      </w:tr>
      <w:tr>
        <w:trPr>
          <w:trHeight w:val="510" w:hRule="atLeast"/>
        </w:trPr>
        <w:tc>
          <w:tcPr>
            <w:tcW w:w="554" w:type="dxa"/>
            <w:vAlign w:val="top"/>
            <w:vMerge w:val="continue"/>
            <w:tcBorders>
              <w:top w:val="nil"/>
              <w:bottom w:val="nil"/>
            </w:tcBorders>
          </w:tcPr>
          <w:p>
            <w:pPr>
              <w:rPr>
                <w:rFonts w:ascii="Arial"/>
                <w:sz w:val="21"/>
              </w:rPr>
            </w:pPr>
            <w:r/>
          </w:p>
        </w:tc>
        <w:tc>
          <w:tcPr>
            <w:tcW w:w="879" w:type="dxa"/>
            <w:vAlign w:val="top"/>
            <w:vMerge w:val="continue"/>
            <w:tcBorders>
              <w:top w:val="nil"/>
            </w:tcBorders>
          </w:tcPr>
          <w:p>
            <w:pPr>
              <w:rPr>
                <w:rFonts w:ascii="Arial"/>
                <w:sz w:val="21"/>
              </w:rPr>
            </w:pPr>
            <w:r/>
          </w:p>
        </w:tc>
        <w:tc>
          <w:tcPr>
            <w:tcW w:w="879" w:type="dxa"/>
            <w:vAlign w:val="top"/>
          </w:tcPr>
          <w:p>
            <w:pPr>
              <w:pStyle w:val="TableText"/>
              <w:ind w:left="81"/>
              <w:spacing w:before="143" w:line="220" w:lineRule="auto"/>
              <w:rPr/>
            </w:pPr>
            <w:r>
              <w:rPr>
                <w:spacing w:val="-2"/>
              </w:rPr>
              <w:t>废沸石</w:t>
            </w:r>
          </w:p>
        </w:tc>
        <w:tc>
          <w:tcPr>
            <w:tcW w:w="1179" w:type="dxa"/>
            <w:vAlign w:val="top"/>
          </w:tcPr>
          <w:p>
            <w:pPr>
              <w:pStyle w:val="TableText"/>
              <w:ind w:left="353"/>
              <w:spacing w:before="88" w:line="174" w:lineRule="exact"/>
              <w:rPr>
                <w:sz w:val="22"/>
                <w:szCs w:val="22"/>
              </w:rPr>
            </w:pPr>
            <w:r>
              <w:rPr>
                <w:sz w:val="22"/>
                <w:szCs w:val="22"/>
                <w:spacing w:val="-1"/>
                <w:position w:val="-2"/>
              </w:rPr>
              <w:t>HW49</w:t>
            </w:r>
          </w:p>
          <w:p>
            <w:pPr>
              <w:pStyle w:val="TableText"/>
              <w:ind w:left="122"/>
              <w:spacing w:line="199" w:lineRule="auto"/>
              <w:rPr>
                <w:sz w:val="22"/>
                <w:szCs w:val="22"/>
              </w:rPr>
            </w:pPr>
            <w:r>
              <w:rPr>
                <w:sz w:val="22"/>
                <w:szCs w:val="22"/>
                <w:spacing w:val="12"/>
              </w:rPr>
              <w:t>其他废物</w:t>
            </w:r>
          </w:p>
        </w:tc>
        <w:tc>
          <w:tcPr>
            <w:tcW w:w="1198" w:type="dxa"/>
            <w:vAlign w:val="top"/>
          </w:tcPr>
          <w:p>
            <w:pPr>
              <w:pStyle w:val="TableText"/>
              <w:ind w:left="14"/>
              <w:spacing w:before="200" w:line="184" w:lineRule="auto"/>
              <w:rPr/>
            </w:pPr>
            <w:r>
              <w:rPr>
                <w:spacing w:val="-1"/>
              </w:rPr>
              <w:t>900-041-49</w:t>
            </w:r>
          </w:p>
        </w:tc>
        <w:tc>
          <w:tcPr>
            <w:tcW w:w="989" w:type="dxa"/>
            <w:vAlign w:val="top"/>
            <w:vMerge w:val="continue"/>
            <w:tcBorders>
              <w:top w:val="nil"/>
            </w:tcBorders>
          </w:tcPr>
          <w:p>
            <w:pPr>
              <w:rPr>
                <w:rFonts w:ascii="Arial"/>
                <w:sz w:val="21"/>
              </w:rPr>
            </w:pPr>
            <w:r/>
          </w:p>
        </w:tc>
        <w:tc>
          <w:tcPr>
            <w:tcW w:w="849" w:type="dxa"/>
            <w:vAlign w:val="top"/>
            <w:vMerge w:val="continue"/>
            <w:tcBorders>
              <w:top w:val="nil"/>
            </w:tcBorders>
          </w:tcPr>
          <w:p>
            <w:pPr>
              <w:rPr>
                <w:rFonts w:ascii="Arial"/>
                <w:sz w:val="21"/>
              </w:rPr>
            </w:pPr>
            <w:r/>
          </w:p>
        </w:tc>
        <w:tc>
          <w:tcPr>
            <w:tcW w:w="799" w:type="dxa"/>
            <w:vAlign w:val="top"/>
            <w:vMerge w:val="continue"/>
            <w:tcBorders>
              <w:top w:val="nil"/>
            </w:tcBorders>
          </w:tcPr>
          <w:p>
            <w:pPr>
              <w:rPr>
                <w:rFonts w:ascii="Arial"/>
                <w:sz w:val="21"/>
              </w:rPr>
            </w:pPr>
            <w:r/>
          </w:p>
        </w:tc>
        <w:tc>
          <w:tcPr>
            <w:tcW w:w="849" w:type="dxa"/>
            <w:vAlign w:val="top"/>
          </w:tcPr>
          <w:p>
            <w:pPr>
              <w:pStyle w:val="TableText"/>
              <w:ind w:left="359"/>
              <w:spacing w:before="200" w:line="184" w:lineRule="auto"/>
              <w:rPr/>
            </w:pPr>
            <w:r>
              <w:rPr/>
              <w:t>1</w:t>
            </w:r>
          </w:p>
        </w:tc>
        <w:tc>
          <w:tcPr>
            <w:tcW w:w="794" w:type="dxa"/>
            <w:vAlign w:val="top"/>
            <w:vMerge w:val="continue"/>
            <w:tcBorders>
              <w:top w:val="nil"/>
            </w:tcBorders>
          </w:tcPr>
          <w:p>
            <w:pPr>
              <w:rPr>
                <w:rFonts w:ascii="Arial"/>
                <w:sz w:val="21"/>
              </w:rPr>
            </w:pPr>
            <w:r/>
          </w:p>
        </w:tc>
      </w:tr>
      <w:tr>
        <w:trPr>
          <w:trHeight w:val="530" w:hRule="atLeast"/>
        </w:trPr>
        <w:tc>
          <w:tcPr>
            <w:tcW w:w="554" w:type="dxa"/>
            <w:vAlign w:val="top"/>
            <w:vMerge w:val="continue"/>
            <w:tcBorders>
              <w:top w:val="nil"/>
              <w:bottom w:val="nil"/>
            </w:tcBorders>
          </w:tcPr>
          <w:p>
            <w:pPr>
              <w:rPr>
                <w:rFonts w:ascii="Arial"/>
                <w:sz w:val="21"/>
              </w:rPr>
            </w:pPr>
            <w:r/>
          </w:p>
        </w:tc>
        <w:tc>
          <w:tcPr>
            <w:tcW w:w="8415" w:type="dxa"/>
            <w:vAlign w:val="top"/>
            <w:gridSpan w:val="9"/>
          </w:tcPr>
          <w:p>
            <w:pPr>
              <w:pStyle w:val="TableText"/>
              <w:ind w:left="130" w:firstLine="69"/>
              <w:spacing w:before="31" w:line="196" w:lineRule="auto"/>
              <w:rPr/>
            </w:pPr>
            <w:r>
              <w:rPr>
                <w:spacing w:val="-15"/>
              </w:rPr>
              <w:t>注：含废油</w:t>
            </w:r>
            <w:r>
              <w:rPr>
                <w:spacing w:val="-14"/>
              </w:rPr>
              <w:t>的废抹布、手套未分类收集，全过程不按危险废物管理，与生活</w:t>
            </w:r>
            <w:r>
              <w:rPr>
                <w:spacing w:val="-15"/>
              </w:rPr>
              <w:t>垃圾一起</w:t>
            </w:r>
            <w:r>
              <w:rPr>
                <w:spacing w:val="-10"/>
              </w:rPr>
              <w:t>处</w:t>
            </w:r>
            <w:r>
              <w:rPr/>
              <w:t xml:space="preserve"> </w:t>
            </w:r>
            <w:r>
              <w:rPr>
                <w:spacing w:val="-2"/>
              </w:rPr>
              <w:t>理。</w:t>
            </w:r>
          </w:p>
        </w:tc>
      </w:tr>
      <w:tr>
        <w:trPr>
          <w:trHeight w:val="9038" w:hRule="atLeast"/>
        </w:trPr>
        <w:tc>
          <w:tcPr>
            <w:tcW w:w="554" w:type="dxa"/>
            <w:vAlign w:val="top"/>
            <w:vMerge w:val="continue"/>
            <w:tcBorders>
              <w:top w:val="nil"/>
            </w:tcBorders>
          </w:tcPr>
          <w:p>
            <w:pPr>
              <w:rPr>
                <w:rFonts w:ascii="Arial"/>
                <w:sz w:val="21"/>
              </w:rPr>
            </w:pPr>
            <w:r/>
          </w:p>
        </w:tc>
        <w:tc>
          <w:tcPr>
            <w:tcW w:w="8415" w:type="dxa"/>
            <w:vAlign w:val="top"/>
            <w:gridSpan w:val="9"/>
          </w:tcPr>
          <w:p>
            <w:pPr>
              <w:pStyle w:val="TableText"/>
              <w:ind w:left="130" w:right="422" w:firstLine="599"/>
              <w:spacing w:before="202" w:line="377" w:lineRule="auto"/>
              <w:rPr/>
            </w:pPr>
            <w:r>
              <w:rPr/>
              <w:t>(3)生产过程中产生的液态危废收集于密闭桶内，暂存于危废间内，危废</w:t>
            </w:r>
            <w:r>
              <w:rPr>
                <w:spacing w:val="5"/>
              </w:rPr>
              <w:t xml:space="preserve"> </w:t>
            </w:r>
            <w:r>
              <w:rPr/>
              <w:t>间具有防风、防雨、防腐、防渗功能，因此，危险废物在贮存过程中对环境空</w:t>
            </w:r>
          </w:p>
          <w:p>
            <w:pPr>
              <w:pStyle w:val="TableText"/>
              <w:ind w:left="130"/>
              <w:spacing w:line="219" w:lineRule="auto"/>
              <w:rPr/>
            </w:pPr>
            <w:r>
              <w:rPr>
                <w:spacing w:val="-1"/>
              </w:rPr>
              <w:t>气、地表水、地下水、土壤影响较小。</w:t>
            </w:r>
          </w:p>
          <w:p>
            <w:pPr>
              <w:pStyle w:val="TableText"/>
              <w:ind w:left="631"/>
              <w:spacing w:before="207" w:line="219" w:lineRule="auto"/>
              <w:rPr/>
            </w:pPr>
            <w:r>
              <w:rPr>
                <w:spacing w:val="-1"/>
              </w:rPr>
              <w:t>3、运输过程的环境影响分析</w:t>
            </w:r>
          </w:p>
          <w:p>
            <w:pPr>
              <w:pStyle w:val="TableText"/>
              <w:ind w:left="740"/>
              <w:spacing w:before="197" w:line="219" w:lineRule="auto"/>
              <w:rPr/>
            </w:pPr>
            <w:r>
              <w:rPr/>
              <w:t>(1)厂区内的运输</w:t>
            </w:r>
          </w:p>
          <w:p>
            <w:pPr>
              <w:pStyle w:val="TableText"/>
              <w:ind w:left="631"/>
              <w:spacing w:before="166" w:line="480" w:lineRule="exact"/>
              <w:rPr/>
            </w:pPr>
            <w:r>
              <w:rPr>
                <w:position w:val="19"/>
              </w:rPr>
              <w:t>各车间内内产生的危险废物收集于密闭桶内，</w:t>
            </w:r>
            <w:r>
              <w:rPr>
                <w:spacing w:val="-1"/>
                <w:position w:val="19"/>
              </w:rPr>
              <w:t>再由叉车/推车运至危废暂存</w:t>
            </w:r>
          </w:p>
          <w:p>
            <w:pPr>
              <w:pStyle w:val="TableText"/>
              <w:ind w:left="130"/>
              <w:spacing w:line="219" w:lineRule="auto"/>
              <w:rPr/>
            </w:pPr>
            <w:r>
              <w:rPr/>
              <w:t>间暂存。厂区内各危险废物的运输均由专人负责，在厂区规划的</w:t>
            </w:r>
            <w:r>
              <w:rPr>
                <w:spacing w:val="-1"/>
              </w:rPr>
              <w:t>道路上运输，</w:t>
            </w:r>
          </w:p>
          <w:p>
            <w:pPr>
              <w:pStyle w:val="TableText"/>
              <w:ind w:left="130"/>
              <w:spacing w:before="208" w:line="220" w:lineRule="auto"/>
              <w:rPr/>
            </w:pPr>
            <w:r>
              <w:rPr>
                <w:spacing w:val="-1"/>
              </w:rPr>
              <w:t>对周边环境的影响较小。</w:t>
            </w:r>
          </w:p>
          <w:p>
            <w:pPr>
              <w:pStyle w:val="TableText"/>
              <w:ind w:left="750"/>
              <w:spacing w:before="195" w:line="219" w:lineRule="auto"/>
              <w:rPr/>
            </w:pPr>
            <w:r>
              <w:rPr/>
              <w:t>(2)厂外内的运输</w:t>
            </w:r>
          </w:p>
          <w:p>
            <w:pPr>
              <w:pStyle w:val="TableText"/>
              <w:ind w:left="120" w:right="402" w:firstLine="510"/>
              <w:spacing w:before="188" w:line="373" w:lineRule="auto"/>
              <w:rPr/>
            </w:pPr>
            <w:r>
              <w:rPr/>
              <w:t>暂存于危废间的危险废物积累到一定量时由相应的处置公司派专业的危废</w:t>
            </w:r>
            <w:r>
              <w:rPr>
                <w:spacing w:val="10"/>
              </w:rPr>
              <w:t xml:space="preserve"> </w:t>
            </w:r>
            <w:r>
              <w:rPr/>
              <w:t>运输车辆外运处置，厂外的运输由相应的处置公司负责。各运输公司根据危废</w:t>
            </w:r>
          </w:p>
          <w:p>
            <w:pPr>
              <w:pStyle w:val="TableText"/>
              <w:ind w:left="130"/>
              <w:spacing w:line="219" w:lineRule="auto"/>
              <w:rPr/>
            </w:pPr>
            <w:r>
              <w:rPr>
                <w:spacing w:val="-1"/>
              </w:rPr>
              <w:t>运输规范操作，则对周边环境的影响是可接受的。</w:t>
            </w:r>
          </w:p>
          <w:p>
            <w:pPr>
              <w:pStyle w:val="TableText"/>
              <w:ind w:left="631"/>
              <w:spacing w:before="218" w:line="220" w:lineRule="auto"/>
              <w:rPr/>
            </w:pPr>
            <w:r>
              <w:rPr>
                <w:spacing w:val="-1"/>
              </w:rPr>
              <w:t>4、委托利用或者处置的环境影响分析</w:t>
            </w:r>
          </w:p>
          <w:p>
            <w:pPr>
              <w:pStyle w:val="TableText"/>
              <w:ind w:left="631"/>
              <w:spacing w:before="165" w:line="479" w:lineRule="exact"/>
              <w:rPr/>
            </w:pPr>
            <w:r>
              <w:rPr>
                <w:position w:val="19"/>
              </w:rPr>
              <w:t>根据了解，项目产生的各类危险废物委托资质单</w:t>
            </w:r>
            <w:r>
              <w:rPr>
                <w:spacing w:val="-1"/>
                <w:position w:val="19"/>
              </w:rPr>
              <w:t>位运至相应的处置场所</w:t>
            </w:r>
          </w:p>
          <w:p>
            <w:pPr>
              <w:pStyle w:val="TableText"/>
              <w:ind w:left="130"/>
              <w:spacing w:before="1" w:line="218" w:lineRule="auto"/>
              <w:rPr/>
            </w:pPr>
            <w:r>
              <w:rPr>
                <w:spacing w:val="-1"/>
              </w:rPr>
              <w:t>大多以焚烧方式处置。</w:t>
            </w:r>
          </w:p>
          <w:p>
            <w:pPr>
              <w:pStyle w:val="TableText"/>
              <w:ind w:left="631"/>
              <w:spacing w:before="209" w:line="219" w:lineRule="auto"/>
              <w:rPr/>
            </w:pPr>
            <w:r>
              <w:rPr>
                <w:spacing w:val="-2"/>
              </w:rPr>
              <w:t>5、危险废物环境管理要求</w:t>
            </w:r>
          </w:p>
          <w:p>
            <w:pPr>
              <w:pStyle w:val="TableText"/>
              <w:ind w:left="631"/>
              <w:spacing w:before="176" w:line="490" w:lineRule="exact"/>
              <w:rPr/>
            </w:pPr>
            <w:r>
              <w:rPr>
                <w:position w:val="19"/>
              </w:rPr>
              <w:t>根据《固体废物污染环境防治法(2020年修订)》中有关危险废物污染环</w:t>
            </w:r>
          </w:p>
          <w:p>
            <w:pPr>
              <w:pStyle w:val="TableText"/>
              <w:ind w:left="130"/>
              <w:spacing w:before="1" w:line="219" w:lineRule="auto"/>
              <w:rPr/>
            </w:pPr>
            <w:r>
              <w:rPr>
                <w:spacing w:val="-1"/>
              </w:rPr>
              <w:t>境防治的特别规定，应做到以下要求：</w:t>
            </w:r>
          </w:p>
          <w:p>
            <w:pPr>
              <w:pStyle w:val="TableText"/>
              <w:ind w:left="740"/>
              <w:spacing w:before="167" w:line="219" w:lineRule="auto"/>
              <w:rPr/>
            </w:pPr>
            <w:r>
              <w:rPr/>
              <w:t>(1)危险废物应及时收集，及时归类，不同类危险废物分区暂存。</w:t>
            </w:r>
          </w:p>
        </w:tc>
      </w:tr>
    </w:tbl>
    <w:p>
      <w:pPr>
        <w:rPr>
          <w:rFonts w:ascii="Arial"/>
          <w:sz w:val="21"/>
        </w:rPr>
      </w:pPr>
      <w:r/>
    </w:p>
    <w:p>
      <w:pPr>
        <w:sectPr>
          <w:footerReference w:type="default" r:id="rId144"/>
          <w:pgSz w:w="11900" w:h="16840"/>
          <w:pgMar w:top="1431" w:right="1475" w:bottom="988" w:left="1445" w:header="0" w:footer="849" w:gutter="0"/>
        </w:sectPr>
        <w:rPr>
          <w:rFonts w:ascii="Arial" w:hAnsi="Arial" w:eastAsia="Arial" w:cs="Arial"/>
          <w:sz w:val="21"/>
          <w:szCs w:val="21"/>
        </w:rPr>
      </w:pPr>
    </w:p>
    <w:p>
      <w:pPr>
        <w:spacing w:line="78" w:lineRule="exact"/>
        <w:rPr/>
      </w:pPr>
      <w:r/>
    </w:p>
    <w:tbl>
      <w:tblPr>
        <w:tblStyle w:val="TableNormal"/>
        <w:tblW w:w="9039" w:type="dxa"/>
        <w:tblInd w:w="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94"/>
        <w:gridCol w:w="674"/>
        <w:gridCol w:w="2317"/>
        <w:gridCol w:w="5454"/>
      </w:tblGrid>
      <w:tr>
        <w:trPr>
          <w:trHeight w:val="10777" w:hRule="atLeast"/>
        </w:trPr>
        <w:tc>
          <w:tcPr>
            <w:tcW w:w="594" w:type="dxa"/>
            <w:vAlign w:val="top"/>
            <w:vMerge w:val="restart"/>
            <w:tcBorders>
              <w:left w:val="single" w:color="000000" w:sz="2" w:space="0"/>
              <w:right w:val="single" w:color="000000" w:sz="2" w:space="0"/>
              <w:top w:val="single" w:color="000000" w:sz="2" w:space="0"/>
              <w:bottom w:val="nil"/>
            </w:tcBorders>
          </w:tcPr>
          <w:p>
            <w:pPr>
              <w:rPr>
                <w:rFonts w:ascii="Arial"/>
                <w:sz w:val="21"/>
              </w:rPr>
            </w:pPr>
            <w:r/>
          </w:p>
        </w:tc>
        <w:tc>
          <w:tcPr>
            <w:tcW w:w="8445" w:type="dxa"/>
            <w:vAlign w:val="top"/>
            <w:gridSpan w:val="3"/>
            <w:tcBorders>
              <w:left w:val="single" w:color="000000" w:sz="2" w:space="0"/>
              <w:top w:val="single" w:color="000000" w:sz="2" w:space="0"/>
              <w:right w:val="single" w:color="000000" w:sz="6" w:space="0"/>
            </w:tcBorders>
          </w:tcPr>
          <w:p>
            <w:pPr>
              <w:pStyle w:val="TableText"/>
              <w:ind w:left="110" w:right="130" w:firstLine="609"/>
              <w:spacing w:before="62" w:line="362" w:lineRule="auto"/>
              <w:jc w:val="both"/>
              <w:rPr>
                <w:sz w:val="24"/>
                <w:szCs w:val="24"/>
              </w:rPr>
            </w:pPr>
            <w:r>
              <w:rPr>
                <w:sz w:val="24"/>
                <w:szCs w:val="24"/>
                <w:spacing w:val="1"/>
              </w:rPr>
              <w:t>(2)根据《危险废物规范化管理指标体系》的相</w:t>
            </w:r>
            <w:r>
              <w:rPr>
                <w:sz w:val="24"/>
                <w:szCs w:val="24"/>
              </w:rPr>
              <w:t>关要求，建立危险废物管 </w:t>
            </w:r>
            <w:r>
              <w:rPr>
                <w:sz w:val="24"/>
                <w:szCs w:val="24"/>
              </w:rPr>
              <w:t>理责任制度，明确责任人，责任清晰，在适当场所的显著位置张贴危险废物污</w:t>
            </w:r>
            <w:r>
              <w:rPr>
                <w:sz w:val="24"/>
                <w:szCs w:val="24"/>
                <w:spacing w:val="11"/>
              </w:rPr>
              <w:t xml:space="preserve"> </w:t>
            </w:r>
            <w:r>
              <w:rPr>
                <w:sz w:val="24"/>
                <w:szCs w:val="24"/>
              </w:rPr>
              <w:t>染防治责任信息，且张贴信息能够表明危险废</w:t>
            </w:r>
            <w:r>
              <w:rPr>
                <w:sz w:val="24"/>
                <w:szCs w:val="24"/>
                <w:spacing w:val="-1"/>
              </w:rPr>
              <w:t>物产生环节、危险特性、去向及</w:t>
            </w:r>
          </w:p>
          <w:p>
            <w:pPr>
              <w:pStyle w:val="TableText"/>
              <w:ind w:left="110"/>
              <w:spacing w:line="219" w:lineRule="auto"/>
              <w:rPr>
                <w:sz w:val="24"/>
                <w:szCs w:val="24"/>
              </w:rPr>
            </w:pPr>
            <w:r>
              <w:rPr>
                <w:sz w:val="24"/>
                <w:szCs w:val="24"/>
                <w:spacing w:val="-9"/>
              </w:rPr>
              <w:t>责任人等。</w:t>
            </w:r>
          </w:p>
          <w:p>
            <w:pPr>
              <w:pStyle w:val="TableText"/>
              <w:ind w:left="720"/>
              <w:spacing w:before="184" w:line="450" w:lineRule="exact"/>
              <w:rPr>
                <w:sz w:val="24"/>
                <w:szCs w:val="24"/>
              </w:rPr>
            </w:pPr>
            <w:r>
              <w:rPr>
                <w:sz w:val="24"/>
                <w:szCs w:val="24"/>
                <w:position w:val="15"/>
              </w:rPr>
              <w:t>(3)在收集、贮存、运输、利用、处置危险废物的设施、场所均设置了规</w:t>
            </w:r>
          </w:p>
          <w:p>
            <w:pPr>
              <w:pStyle w:val="TableText"/>
              <w:ind w:left="110"/>
              <w:spacing w:line="219" w:lineRule="auto"/>
              <w:rPr>
                <w:sz w:val="24"/>
                <w:szCs w:val="24"/>
              </w:rPr>
            </w:pPr>
            <w:r>
              <w:rPr>
                <w:sz w:val="24"/>
                <w:szCs w:val="24"/>
                <w:spacing w:val="7"/>
              </w:rPr>
              <w:t>范(形状、颜色、图案均正确)的危险废物识别标志。</w:t>
            </w:r>
          </w:p>
          <w:p>
            <w:pPr>
              <w:pStyle w:val="TableText"/>
              <w:ind w:left="110" w:right="135" w:firstLine="490"/>
              <w:spacing w:before="184" w:line="354" w:lineRule="auto"/>
              <w:rPr>
                <w:sz w:val="24"/>
                <w:szCs w:val="24"/>
              </w:rPr>
            </w:pPr>
            <w:r>
              <w:rPr>
                <w:sz w:val="24"/>
                <w:szCs w:val="24"/>
                <w:spacing w:val="2"/>
              </w:rPr>
              <w:t>(4)按照国家有关规定制定危险废物管理计划；建立危险废物管理台账，</w:t>
            </w:r>
            <w:r>
              <w:rPr>
                <w:sz w:val="24"/>
                <w:szCs w:val="24"/>
                <w:spacing w:val="12"/>
              </w:rPr>
              <w:t xml:space="preserve"> </w:t>
            </w:r>
            <w:r>
              <w:rPr>
                <w:sz w:val="24"/>
                <w:szCs w:val="24"/>
              </w:rPr>
              <w:t>如实记录有关信息，并通过国家危险废物信息管理系统向所在地生态环境主管</w:t>
            </w:r>
            <w:r>
              <w:rPr>
                <w:sz w:val="24"/>
                <w:szCs w:val="24"/>
                <w:spacing w:val="12"/>
              </w:rPr>
              <w:t xml:space="preserve"> </w:t>
            </w:r>
            <w:r>
              <w:rPr>
                <w:sz w:val="24"/>
                <w:szCs w:val="24"/>
              </w:rPr>
              <w:t>部门申报危险废物的种类、产生量、流向、贮存、处置等有关资料。危险废物</w:t>
            </w:r>
            <w:r>
              <w:rPr>
                <w:sz w:val="24"/>
                <w:szCs w:val="24"/>
                <w:spacing w:val="11"/>
              </w:rPr>
              <w:t xml:space="preserve"> </w:t>
            </w:r>
            <w:r>
              <w:rPr>
                <w:sz w:val="24"/>
                <w:szCs w:val="24"/>
              </w:rPr>
              <w:t>管理计划应当包括减少危险废物产生量和降低危险废物危害性的措施以及危险</w:t>
            </w:r>
            <w:r>
              <w:rPr>
                <w:sz w:val="24"/>
                <w:szCs w:val="24"/>
                <w:spacing w:val="9"/>
              </w:rPr>
              <w:t xml:space="preserve"> </w:t>
            </w:r>
            <w:r>
              <w:rPr>
                <w:sz w:val="24"/>
                <w:szCs w:val="24"/>
                <w:spacing w:val="1"/>
              </w:rPr>
              <w:t>废物贮存、利用、处置措施。危险废物管理计划应当报产生危</w:t>
            </w:r>
            <w:r>
              <w:rPr>
                <w:sz w:val="24"/>
                <w:szCs w:val="24"/>
              </w:rPr>
              <w:t>险废物的单位所</w:t>
            </w:r>
          </w:p>
          <w:p>
            <w:pPr>
              <w:pStyle w:val="TableText"/>
              <w:ind w:left="110"/>
              <w:spacing w:line="219" w:lineRule="auto"/>
              <w:rPr>
                <w:sz w:val="24"/>
                <w:szCs w:val="24"/>
              </w:rPr>
            </w:pPr>
            <w:r>
              <w:rPr>
                <w:sz w:val="24"/>
                <w:szCs w:val="24"/>
                <w:spacing w:val="-6"/>
              </w:rPr>
              <w:t>在地生态环境主管部门备案。</w:t>
            </w:r>
          </w:p>
          <w:p>
            <w:pPr>
              <w:pStyle w:val="TableText"/>
              <w:ind w:left="720"/>
              <w:spacing w:before="226" w:line="220" w:lineRule="auto"/>
              <w:rPr>
                <w:sz w:val="24"/>
                <w:szCs w:val="24"/>
              </w:rPr>
            </w:pPr>
            <w:r>
              <w:rPr>
                <w:sz w:val="24"/>
                <w:szCs w:val="24"/>
                <w:spacing w:val="2"/>
              </w:rPr>
              <w:t>(5)危险废物交由有资质单位处置，实行转运处置电子联单。</w:t>
            </w:r>
          </w:p>
          <w:p>
            <w:pPr>
              <w:pStyle w:val="TableText"/>
              <w:ind w:left="110" w:right="131" w:firstLine="490"/>
              <w:spacing w:before="162" w:line="362" w:lineRule="auto"/>
              <w:jc w:val="both"/>
              <w:rPr>
                <w:sz w:val="24"/>
                <w:szCs w:val="24"/>
              </w:rPr>
            </w:pPr>
            <w:r>
              <w:rPr>
                <w:sz w:val="24"/>
                <w:szCs w:val="24"/>
                <w:spacing w:val="1"/>
              </w:rPr>
              <w:t>综上，项目对固体废物分类处置，处置以“无害</w:t>
            </w:r>
            <w:r>
              <w:rPr>
                <w:sz w:val="24"/>
                <w:szCs w:val="24"/>
              </w:rPr>
              <w:t>化、减量化、资源化”为 </w:t>
            </w:r>
            <w:r>
              <w:rPr>
                <w:sz w:val="24"/>
                <w:szCs w:val="24"/>
              </w:rPr>
              <w:t>基本原则，在综合利用基础上，及时组织清运，固体废物均得到妥善处置，不</w:t>
            </w:r>
            <w:r>
              <w:rPr>
                <w:sz w:val="24"/>
                <w:szCs w:val="24"/>
                <w:spacing w:val="12"/>
              </w:rPr>
              <w:t xml:space="preserve"> </w:t>
            </w:r>
            <w:r>
              <w:rPr>
                <w:sz w:val="24"/>
                <w:szCs w:val="24"/>
              </w:rPr>
              <w:t>外排，对周围环境不会产生影响，也不会造成二次污染。因此，项目的固废处</w:t>
            </w:r>
          </w:p>
          <w:p>
            <w:pPr>
              <w:pStyle w:val="TableText"/>
              <w:ind w:left="110"/>
              <w:spacing w:line="220" w:lineRule="auto"/>
              <w:rPr>
                <w:sz w:val="24"/>
                <w:szCs w:val="24"/>
              </w:rPr>
            </w:pPr>
            <w:r>
              <w:rPr>
                <w:sz w:val="24"/>
                <w:szCs w:val="24"/>
                <w:spacing w:val="-7"/>
              </w:rPr>
              <w:t>理措施可行。</w:t>
            </w:r>
          </w:p>
          <w:p>
            <w:pPr>
              <w:pStyle w:val="TableText"/>
              <w:ind w:left="114"/>
              <w:spacing w:before="170" w:line="480" w:lineRule="exact"/>
              <w:rPr>
                <w:sz w:val="24"/>
                <w:szCs w:val="24"/>
              </w:rPr>
            </w:pPr>
            <w:r>
              <w:rPr>
                <w:sz w:val="24"/>
                <w:szCs w:val="24"/>
                <w:b/>
                <w:bCs/>
                <w:spacing w:val="-4"/>
                <w:position w:val="18"/>
              </w:rPr>
              <w:t>4.6地下水环境影响分析</w:t>
            </w:r>
          </w:p>
          <w:p>
            <w:pPr>
              <w:pStyle w:val="TableText"/>
              <w:ind w:left="604"/>
              <w:spacing w:line="219" w:lineRule="auto"/>
              <w:rPr>
                <w:sz w:val="24"/>
                <w:szCs w:val="24"/>
              </w:rPr>
            </w:pPr>
            <w:r>
              <w:rPr>
                <w:sz w:val="24"/>
                <w:szCs w:val="24"/>
                <w:b/>
                <w:bCs/>
                <w:spacing w:val="-9"/>
              </w:rPr>
              <w:t>1、地下水污染途径</w:t>
            </w:r>
          </w:p>
          <w:p>
            <w:pPr>
              <w:pStyle w:val="TableText"/>
              <w:ind w:left="110" w:right="43" w:firstLine="490"/>
              <w:spacing w:before="178" w:line="354" w:lineRule="auto"/>
              <w:jc w:val="both"/>
              <w:rPr>
                <w:sz w:val="24"/>
                <w:szCs w:val="24"/>
              </w:rPr>
            </w:pPr>
            <w:r>
              <w:rPr>
                <w:sz w:val="24"/>
                <w:szCs w:val="24"/>
              </w:rPr>
              <w:t>本项目生产、储存过程可能发生地下水污染的途径主要</w:t>
            </w:r>
            <w:r>
              <w:rPr>
                <w:sz w:val="24"/>
                <w:szCs w:val="24"/>
                <w:spacing w:val="-1"/>
              </w:rPr>
              <w:t>是</w:t>
            </w:r>
            <w:r>
              <w:rPr>
                <w:rFonts w:ascii="Times New Roman" w:hAnsi="Times New Roman" w:eastAsia="Times New Roman" w:cs="Times New Roman"/>
                <w:sz w:val="24"/>
                <w:szCs w:val="24"/>
                <w:spacing w:val="-1"/>
              </w:rPr>
              <w:t>NMP</w:t>
            </w:r>
            <w:r>
              <w:rPr>
                <w:rFonts w:ascii="Times New Roman" w:hAnsi="Times New Roman" w:eastAsia="Times New Roman" w:cs="Times New Roman"/>
                <w:sz w:val="24"/>
                <w:szCs w:val="24"/>
                <w:spacing w:val="17"/>
                <w:w w:val="101"/>
              </w:rPr>
              <w:t xml:space="preserve"> </w:t>
            </w:r>
            <w:r>
              <w:rPr>
                <w:sz w:val="24"/>
                <w:szCs w:val="24"/>
                <w:spacing w:val="-1"/>
              </w:rPr>
              <w:t>储罐泄漏、</w:t>
            </w:r>
            <w:r>
              <w:rPr>
                <w:sz w:val="24"/>
                <w:szCs w:val="24"/>
              </w:rPr>
              <w:t xml:space="preserve"> </w:t>
            </w:r>
            <w:r>
              <w:rPr>
                <w:sz w:val="24"/>
                <w:szCs w:val="24"/>
              </w:rPr>
              <w:t>生产废水污水站池底破损、废水收集管道破裂、危</w:t>
            </w:r>
            <w:r>
              <w:rPr>
                <w:sz w:val="24"/>
                <w:szCs w:val="24"/>
                <w:spacing w:val="-1"/>
              </w:rPr>
              <w:t>废暂存间废机油泄漏，本项</w:t>
            </w:r>
          </w:p>
          <w:p>
            <w:pPr>
              <w:pStyle w:val="TableText"/>
              <w:ind w:left="110"/>
              <w:spacing w:before="1" w:line="219" w:lineRule="auto"/>
              <w:rPr>
                <w:sz w:val="24"/>
                <w:szCs w:val="24"/>
              </w:rPr>
            </w:pPr>
            <w:r>
              <w:rPr>
                <w:sz w:val="24"/>
                <w:szCs w:val="24"/>
                <w:spacing w:val="-3"/>
              </w:rPr>
              <w:t>目地下水污染源及污染途径具体见表4.6-</w:t>
            </w:r>
            <w:r>
              <w:rPr>
                <w:sz w:val="24"/>
                <w:szCs w:val="24"/>
                <w:spacing w:val="-4"/>
              </w:rPr>
              <w:t>1。</w:t>
            </w:r>
          </w:p>
          <w:p>
            <w:pPr>
              <w:pStyle w:val="TableText"/>
              <w:ind w:left="1284"/>
              <w:spacing w:before="190" w:line="219" w:lineRule="auto"/>
              <w:rPr>
                <w:sz w:val="24"/>
                <w:szCs w:val="24"/>
              </w:rPr>
            </w:pPr>
            <w:r>
              <w:rPr>
                <w:sz w:val="24"/>
                <w:szCs w:val="24"/>
                <w:b/>
                <w:bCs/>
                <w:spacing w:val="-3"/>
              </w:rPr>
              <w:t>表4.6-1</w:t>
            </w:r>
            <w:r>
              <w:rPr>
                <w:sz w:val="24"/>
                <w:szCs w:val="24"/>
                <w:spacing w:val="105"/>
              </w:rPr>
              <w:t xml:space="preserve"> </w:t>
            </w:r>
            <w:r>
              <w:rPr>
                <w:sz w:val="24"/>
                <w:szCs w:val="24"/>
                <w:b/>
                <w:bCs/>
                <w:spacing w:val="-3"/>
              </w:rPr>
              <w:t>本项目主要的地下水污染源及污染途径一览表</w:t>
            </w:r>
          </w:p>
        </w:tc>
      </w:tr>
      <w:tr>
        <w:trPr>
          <w:trHeight w:val="330" w:hRule="atLeast"/>
        </w:trPr>
        <w:tc>
          <w:tcPr>
            <w:tcW w:w="594" w:type="dxa"/>
            <w:vAlign w:val="top"/>
            <w:vMerge w:val="continue"/>
            <w:tcBorders>
              <w:left w:val="single" w:color="000000" w:sz="2" w:space="0"/>
              <w:right w:val="single" w:color="000000" w:sz="2" w:space="0"/>
              <w:top w:val="nil"/>
              <w:bottom w:val="nil"/>
            </w:tcBorders>
          </w:tcPr>
          <w:p>
            <w:pPr>
              <w:rPr>
                <w:rFonts w:ascii="Arial"/>
                <w:sz w:val="21"/>
              </w:rPr>
            </w:pPr>
            <w:r/>
          </w:p>
        </w:tc>
        <w:tc>
          <w:tcPr>
            <w:tcW w:w="674" w:type="dxa"/>
            <w:vAlign w:val="top"/>
            <w:tcBorders>
              <w:left w:val="single" w:color="000000" w:sz="2" w:space="0"/>
            </w:tcBorders>
          </w:tcPr>
          <w:p>
            <w:pPr>
              <w:pStyle w:val="TableText"/>
              <w:ind w:left="180"/>
              <w:spacing w:before="67" w:line="221" w:lineRule="auto"/>
              <w:rPr>
                <w:sz w:val="21"/>
                <w:szCs w:val="21"/>
              </w:rPr>
            </w:pPr>
            <w:r>
              <w:rPr>
                <w:sz w:val="21"/>
                <w:szCs w:val="21"/>
                <w:spacing w:val="6"/>
              </w:rPr>
              <w:t>序号</w:t>
            </w:r>
          </w:p>
        </w:tc>
        <w:tc>
          <w:tcPr>
            <w:tcW w:w="2317" w:type="dxa"/>
            <w:vAlign w:val="top"/>
          </w:tcPr>
          <w:p>
            <w:pPr>
              <w:pStyle w:val="TableText"/>
              <w:ind w:left="834"/>
              <w:spacing w:before="67" w:line="220" w:lineRule="auto"/>
              <w:rPr>
                <w:sz w:val="21"/>
                <w:szCs w:val="21"/>
              </w:rPr>
            </w:pPr>
            <w:r>
              <w:rPr>
                <w:sz w:val="21"/>
                <w:szCs w:val="21"/>
                <w:spacing w:val="-3"/>
              </w:rPr>
              <w:t>污染源</w:t>
            </w:r>
          </w:p>
        </w:tc>
        <w:tc>
          <w:tcPr>
            <w:tcW w:w="5454" w:type="dxa"/>
            <w:vAlign w:val="top"/>
            <w:tcBorders>
              <w:right w:val="single" w:color="000000" w:sz="6" w:space="0"/>
            </w:tcBorders>
          </w:tcPr>
          <w:p>
            <w:pPr>
              <w:pStyle w:val="TableText"/>
              <w:ind w:left="2237"/>
              <w:spacing w:before="66" w:line="219" w:lineRule="auto"/>
              <w:rPr>
                <w:sz w:val="21"/>
                <w:szCs w:val="21"/>
              </w:rPr>
            </w:pPr>
            <w:r>
              <w:rPr>
                <w:sz w:val="21"/>
                <w:szCs w:val="21"/>
                <w:spacing w:val="2"/>
              </w:rPr>
              <w:t>污染途径</w:t>
            </w:r>
          </w:p>
        </w:tc>
      </w:tr>
      <w:tr>
        <w:trPr>
          <w:trHeight w:val="320" w:hRule="atLeast"/>
        </w:trPr>
        <w:tc>
          <w:tcPr>
            <w:tcW w:w="594" w:type="dxa"/>
            <w:vAlign w:val="top"/>
            <w:vMerge w:val="continue"/>
            <w:tcBorders>
              <w:left w:val="single" w:color="000000" w:sz="2" w:space="0"/>
              <w:right w:val="single" w:color="000000" w:sz="2" w:space="0"/>
              <w:top w:val="nil"/>
              <w:bottom w:val="nil"/>
            </w:tcBorders>
          </w:tcPr>
          <w:p>
            <w:pPr>
              <w:rPr>
                <w:rFonts w:ascii="Arial"/>
                <w:sz w:val="21"/>
              </w:rPr>
            </w:pPr>
            <w:r/>
          </w:p>
        </w:tc>
        <w:tc>
          <w:tcPr>
            <w:tcW w:w="674" w:type="dxa"/>
            <w:vAlign w:val="top"/>
            <w:tcBorders>
              <w:left w:val="single" w:color="000000" w:sz="2" w:space="0"/>
            </w:tcBorders>
          </w:tcPr>
          <w:p>
            <w:pPr>
              <w:pStyle w:val="TableText"/>
              <w:ind w:left="340"/>
              <w:spacing w:before="120" w:line="167" w:lineRule="auto"/>
              <w:rPr>
                <w:sz w:val="21"/>
                <w:szCs w:val="21"/>
              </w:rPr>
            </w:pPr>
            <w:r>
              <w:rPr>
                <w:sz w:val="21"/>
                <w:szCs w:val="21"/>
              </w:rPr>
              <w:t>1</w:t>
            </w:r>
          </w:p>
        </w:tc>
        <w:tc>
          <w:tcPr>
            <w:tcW w:w="2317" w:type="dxa"/>
            <w:vAlign w:val="top"/>
          </w:tcPr>
          <w:p>
            <w:pPr>
              <w:pStyle w:val="TableText"/>
              <w:ind w:left="464"/>
              <w:spacing w:before="66" w:line="214" w:lineRule="auto"/>
              <w:rPr>
                <w:sz w:val="21"/>
                <w:szCs w:val="21"/>
              </w:rPr>
            </w:pPr>
            <w:r>
              <w:rPr>
                <w:sz w:val="21"/>
                <w:szCs w:val="21"/>
              </w:rPr>
              <w:t>NMP</w:t>
            </w:r>
            <w:r>
              <w:rPr>
                <w:sz w:val="21"/>
                <w:szCs w:val="21"/>
                <w:spacing w:val="3"/>
              </w:rPr>
              <w:t>储罐及泵房</w:t>
            </w:r>
          </w:p>
        </w:tc>
        <w:tc>
          <w:tcPr>
            <w:tcW w:w="5454" w:type="dxa"/>
            <w:vAlign w:val="top"/>
            <w:tcBorders>
              <w:right w:val="single" w:color="000000" w:sz="6" w:space="0"/>
            </w:tcBorders>
          </w:tcPr>
          <w:p>
            <w:pPr>
              <w:pStyle w:val="TableText"/>
              <w:ind w:left="1657"/>
              <w:spacing w:before="66" w:line="214" w:lineRule="auto"/>
              <w:rPr>
                <w:sz w:val="21"/>
                <w:szCs w:val="21"/>
              </w:rPr>
            </w:pPr>
            <w:r>
              <w:rPr>
                <w:sz w:val="21"/>
                <w:szCs w:val="21"/>
                <w:spacing w:val="-1"/>
              </w:rPr>
              <w:t>储罐破裂NMP发生泄漏</w:t>
            </w:r>
          </w:p>
        </w:tc>
      </w:tr>
      <w:tr>
        <w:trPr>
          <w:trHeight w:val="320" w:hRule="atLeast"/>
        </w:trPr>
        <w:tc>
          <w:tcPr>
            <w:tcW w:w="594" w:type="dxa"/>
            <w:vAlign w:val="top"/>
            <w:vMerge w:val="continue"/>
            <w:tcBorders>
              <w:left w:val="single" w:color="000000" w:sz="2" w:space="0"/>
              <w:right w:val="single" w:color="000000" w:sz="2" w:space="0"/>
              <w:top w:val="nil"/>
              <w:bottom w:val="nil"/>
            </w:tcBorders>
          </w:tcPr>
          <w:p>
            <w:pPr>
              <w:rPr>
                <w:rFonts w:ascii="Arial"/>
                <w:sz w:val="21"/>
              </w:rPr>
            </w:pPr>
            <w:r/>
          </w:p>
        </w:tc>
        <w:tc>
          <w:tcPr>
            <w:tcW w:w="674" w:type="dxa"/>
            <w:vAlign w:val="top"/>
            <w:tcBorders>
              <w:left w:val="single" w:color="000000" w:sz="2" w:space="0"/>
            </w:tcBorders>
          </w:tcPr>
          <w:p>
            <w:pPr>
              <w:pStyle w:val="TableText"/>
              <w:ind w:left="340"/>
              <w:spacing w:before="121" w:line="166" w:lineRule="auto"/>
              <w:rPr>
                <w:sz w:val="21"/>
                <w:szCs w:val="21"/>
              </w:rPr>
            </w:pPr>
            <w:r>
              <w:rPr>
                <w:sz w:val="21"/>
                <w:szCs w:val="21"/>
              </w:rPr>
              <w:t>2</w:t>
            </w:r>
          </w:p>
        </w:tc>
        <w:tc>
          <w:tcPr>
            <w:tcW w:w="2317" w:type="dxa"/>
            <w:vAlign w:val="top"/>
          </w:tcPr>
          <w:p>
            <w:pPr>
              <w:pStyle w:val="TableText"/>
              <w:ind w:left="314"/>
              <w:spacing w:before="66" w:line="214" w:lineRule="auto"/>
              <w:rPr>
                <w:sz w:val="21"/>
                <w:szCs w:val="21"/>
              </w:rPr>
            </w:pPr>
            <w:r>
              <w:rPr>
                <w:sz w:val="21"/>
                <w:szCs w:val="21"/>
                <w:spacing w:val="-2"/>
              </w:rPr>
              <w:t>生产废水处理设施</w:t>
            </w:r>
          </w:p>
        </w:tc>
        <w:tc>
          <w:tcPr>
            <w:tcW w:w="5454" w:type="dxa"/>
            <w:vAlign w:val="top"/>
            <w:tcBorders>
              <w:right w:val="single" w:color="000000" w:sz="6" w:space="0"/>
            </w:tcBorders>
          </w:tcPr>
          <w:p>
            <w:pPr>
              <w:pStyle w:val="TableText"/>
              <w:ind w:left="1917"/>
              <w:spacing w:before="67" w:line="213" w:lineRule="auto"/>
              <w:rPr>
                <w:sz w:val="21"/>
                <w:szCs w:val="21"/>
              </w:rPr>
            </w:pPr>
            <w:r>
              <w:rPr>
                <w:sz w:val="21"/>
                <w:szCs w:val="21"/>
                <w:spacing w:val="-2"/>
              </w:rPr>
              <w:t>池底或池壁渗透</w:t>
            </w:r>
          </w:p>
        </w:tc>
      </w:tr>
      <w:tr>
        <w:trPr>
          <w:trHeight w:val="330" w:hRule="atLeast"/>
        </w:trPr>
        <w:tc>
          <w:tcPr>
            <w:tcW w:w="594" w:type="dxa"/>
            <w:vAlign w:val="top"/>
            <w:vMerge w:val="continue"/>
            <w:tcBorders>
              <w:left w:val="single" w:color="000000" w:sz="2" w:space="0"/>
              <w:right w:val="single" w:color="000000" w:sz="2" w:space="0"/>
              <w:top w:val="nil"/>
              <w:bottom w:val="nil"/>
            </w:tcBorders>
          </w:tcPr>
          <w:p>
            <w:pPr>
              <w:rPr>
                <w:rFonts w:ascii="Arial"/>
                <w:sz w:val="21"/>
              </w:rPr>
            </w:pPr>
            <w:r/>
          </w:p>
        </w:tc>
        <w:tc>
          <w:tcPr>
            <w:tcW w:w="674" w:type="dxa"/>
            <w:vAlign w:val="top"/>
            <w:tcBorders>
              <w:left w:val="single" w:color="000000" w:sz="2" w:space="0"/>
            </w:tcBorders>
          </w:tcPr>
          <w:p>
            <w:pPr>
              <w:pStyle w:val="TableText"/>
              <w:ind w:left="340"/>
              <w:spacing w:before="120" w:line="175" w:lineRule="auto"/>
              <w:rPr>
                <w:sz w:val="21"/>
                <w:szCs w:val="21"/>
              </w:rPr>
            </w:pPr>
            <w:r>
              <w:rPr>
                <w:sz w:val="21"/>
                <w:szCs w:val="21"/>
              </w:rPr>
              <w:t>3</w:t>
            </w:r>
          </w:p>
        </w:tc>
        <w:tc>
          <w:tcPr>
            <w:tcW w:w="2317" w:type="dxa"/>
            <w:vAlign w:val="top"/>
          </w:tcPr>
          <w:p>
            <w:pPr>
              <w:pStyle w:val="TableText"/>
              <w:ind w:left="314"/>
              <w:spacing w:before="66" w:line="219" w:lineRule="auto"/>
              <w:rPr>
                <w:sz w:val="21"/>
                <w:szCs w:val="21"/>
              </w:rPr>
            </w:pPr>
            <w:r>
              <w:rPr>
                <w:sz w:val="21"/>
                <w:szCs w:val="21"/>
                <w:spacing w:val="-2"/>
              </w:rPr>
              <w:t>生产废水收集管道</w:t>
            </w:r>
          </w:p>
        </w:tc>
        <w:tc>
          <w:tcPr>
            <w:tcW w:w="5454" w:type="dxa"/>
            <w:vAlign w:val="top"/>
            <w:tcBorders>
              <w:right w:val="single" w:color="000000" w:sz="6" w:space="0"/>
            </w:tcBorders>
          </w:tcPr>
          <w:p>
            <w:pPr>
              <w:pStyle w:val="TableText"/>
              <w:ind w:left="867"/>
              <w:spacing w:before="66" w:line="219" w:lineRule="auto"/>
              <w:rPr>
                <w:sz w:val="21"/>
                <w:szCs w:val="21"/>
              </w:rPr>
            </w:pPr>
            <w:r>
              <w:rPr>
                <w:sz w:val="21"/>
                <w:szCs w:val="21"/>
              </w:rPr>
              <w:t>废水管道破裂，通过周围土壤污染地下</w:t>
            </w:r>
          </w:p>
        </w:tc>
      </w:tr>
      <w:tr>
        <w:trPr>
          <w:trHeight w:val="339" w:hRule="atLeast"/>
        </w:trPr>
        <w:tc>
          <w:tcPr>
            <w:tcW w:w="594" w:type="dxa"/>
            <w:vAlign w:val="top"/>
            <w:vMerge w:val="continue"/>
            <w:tcBorders>
              <w:left w:val="single" w:color="000000" w:sz="2" w:space="0"/>
              <w:right w:val="single" w:color="000000" w:sz="2" w:space="0"/>
              <w:top w:val="nil"/>
              <w:bottom w:val="nil"/>
            </w:tcBorders>
          </w:tcPr>
          <w:p>
            <w:pPr>
              <w:rPr>
                <w:rFonts w:ascii="Arial"/>
                <w:sz w:val="21"/>
              </w:rPr>
            </w:pPr>
            <w:r/>
          </w:p>
        </w:tc>
        <w:tc>
          <w:tcPr>
            <w:tcW w:w="674" w:type="dxa"/>
            <w:vAlign w:val="top"/>
            <w:tcBorders>
              <w:left w:val="single" w:color="000000" w:sz="2" w:space="0"/>
            </w:tcBorders>
          </w:tcPr>
          <w:p>
            <w:pPr>
              <w:pStyle w:val="TableText"/>
              <w:ind w:left="340"/>
              <w:spacing w:before="131" w:line="174" w:lineRule="auto"/>
              <w:rPr>
                <w:sz w:val="21"/>
                <w:szCs w:val="21"/>
              </w:rPr>
            </w:pPr>
            <w:r>
              <w:rPr>
                <w:sz w:val="21"/>
                <w:szCs w:val="21"/>
              </w:rPr>
              <w:t>4</w:t>
            </w:r>
          </w:p>
        </w:tc>
        <w:tc>
          <w:tcPr>
            <w:tcW w:w="2317" w:type="dxa"/>
            <w:vAlign w:val="top"/>
          </w:tcPr>
          <w:p>
            <w:pPr>
              <w:pStyle w:val="TableText"/>
              <w:ind w:left="624"/>
              <w:spacing w:before="76" w:line="219" w:lineRule="auto"/>
              <w:rPr>
                <w:sz w:val="21"/>
                <w:szCs w:val="21"/>
              </w:rPr>
            </w:pPr>
            <w:r>
              <w:rPr>
                <w:sz w:val="21"/>
                <w:szCs w:val="21"/>
                <w:spacing w:val="4"/>
              </w:rPr>
              <w:t>危废暂存间</w:t>
            </w:r>
          </w:p>
        </w:tc>
        <w:tc>
          <w:tcPr>
            <w:tcW w:w="5454" w:type="dxa"/>
            <w:vAlign w:val="top"/>
            <w:tcBorders>
              <w:right w:val="single" w:color="000000" w:sz="6" w:space="0"/>
            </w:tcBorders>
          </w:tcPr>
          <w:p>
            <w:pPr>
              <w:pStyle w:val="TableText"/>
              <w:ind w:left="977"/>
              <w:spacing w:before="75" w:line="219" w:lineRule="auto"/>
              <w:rPr>
                <w:sz w:val="21"/>
                <w:szCs w:val="21"/>
              </w:rPr>
            </w:pPr>
            <w:r>
              <w:rPr>
                <w:sz w:val="21"/>
                <w:szCs w:val="21"/>
              </w:rPr>
              <w:t>废有机溶剂泄漏，通过地面渗漏地下</w:t>
            </w:r>
          </w:p>
        </w:tc>
      </w:tr>
      <w:tr>
        <w:trPr>
          <w:trHeight w:val="949" w:hRule="atLeast"/>
        </w:trPr>
        <w:tc>
          <w:tcPr>
            <w:tcW w:w="594" w:type="dxa"/>
            <w:vAlign w:val="top"/>
            <w:vMerge w:val="continue"/>
            <w:tcBorders>
              <w:left w:val="single" w:color="000000" w:sz="2" w:space="0"/>
              <w:right w:val="single" w:color="000000" w:sz="2" w:space="0"/>
              <w:top w:val="nil"/>
            </w:tcBorders>
          </w:tcPr>
          <w:p>
            <w:pPr>
              <w:rPr>
                <w:rFonts w:ascii="Arial"/>
                <w:sz w:val="21"/>
              </w:rPr>
            </w:pPr>
            <w:r/>
          </w:p>
        </w:tc>
        <w:tc>
          <w:tcPr>
            <w:tcW w:w="8445" w:type="dxa"/>
            <w:vAlign w:val="top"/>
            <w:gridSpan w:val="3"/>
            <w:tcBorders>
              <w:left w:val="single" w:color="000000" w:sz="2" w:space="0"/>
              <w:right w:val="single" w:color="000000" w:sz="6" w:space="0"/>
            </w:tcBorders>
          </w:tcPr>
          <w:p>
            <w:pPr>
              <w:spacing w:line="385" w:lineRule="auto"/>
              <w:rPr>
                <w:rFonts w:ascii="Arial"/>
                <w:sz w:val="21"/>
              </w:rPr>
            </w:pPr>
            <w:r/>
          </w:p>
          <w:p>
            <w:pPr>
              <w:pStyle w:val="TableText"/>
              <w:ind w:left="604"/>
              <w:spacing w:before="78" w:line="220" w:lineRule="auto"/>
              <w:rPr>
                <w:sz w:val="24"/>
                <w:szCs w:val="24"/>
              </w:rPr>
            </w:pPr>
            <w:r>
              <w:rPr>
                <w:sz w:val="24"/>
                <w:szCs w:val="24"/>
                <w:b/>
                <w:bCs/>
                <w:spacing w:val="-7"/>
              </w:rPr>
              <w:t>2、分区防渗防控措施</w:t>
            </w:r>
          </w:p>
        </w:tc>
      </w:tr>
    </w:tbl>
    <w:p>
      <w:pPr>
        <w:rPr>
          <w:rFonts w:ascii="Arial"/>
          <w:sz w:val="21"/>
        </w:rPr>
      </w:pPr>
      <w:r/>
    </w:p>
    <w:p>
      <w:pPr>
        <w:sectPr>
          <w:footerReference w:type="default" r:id="rId145"/>
          <w:pgSz w:w="11900" w:h="16840"/>
          <w:pgMar w:top="1431" w:right="1430" w:bottom="988" w:left="1420" w:header="0" w:footer="849" w:gutter="0"/>
        </w:sectPr>
        <w:rPr>
          <w:rFonts w:ascii="Arial" w:hAnsi="Arial" w:eastAsia="Arial" w:cs="Arial"/>
          <w:sz w:val="21"/>
          <w:szCs w:val="21"/>
        </w:rPr>
      </w:pPr>
    </w:p>
    <w:p>
      <w:pPr>
        <w:spacing w:line="103" w:lineRule="exact"/>
        <w:rPr/>
      </w:pPr>
      <w:r/>
    </w:p>
    <w:tbl>
      <w:tblPr>
        <w:tblStyle w:val="TableNormal"/>
        <w:tblW w:w="89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4"/>
        <w:gridCol w:w="2307"/>
        <w:gridCol w:w="2577"/>
        <w:gridCol w:w="3531"/>
      </w:tblGrid>
      <w:tr>
        <w:trPr>
          <w:trHeight w:val="1883" w:hRule="atLeast"/>
        </w:trPr>
        <w:tc>
          <w:tcPr>
            <w:tcW w:w="574" w:type="dxa"/>
            <w:vAlign w:val="top"/>
            <w:vMerge w:val="restart"/>
            <w:tcBorders>
              <w:bottom w:val="nil"/>
            </w:tcBorders>
          </w:tcPr>
          <w:p>
            <w:pPr>
              <w:rPr>
                <w:rFonts w:ascii="Arial"/>
                <w:sz w:val="21"/>
              </w:rPr>
            </w:pPr>
            <w:r/>
          </w:p>
        </w:tc>
        <w:tc>
          <w:tcPr>
            <w:tcW w:w="8415" w:type="dxa"/>
            <w:vAlign w:val="top"/>
            <w:gridSpan w:val="3"/>
          </w:tcPr>
          <w:p>
            <w:pPr>
              <w:pStyle w:val="TableText"/>
              <w:ind w:left="601"/>
              <w:spacing w:before="53" w:line="502" w:lineRule="exact"/>
              <w:rPr>
                <w:sz w:val="24"/>
                <w:szCs w:val="24"/>
              </w:rPr>
            </w:pPr>
            <w:r>
              <w:rPr>
                <w:sz w:val="24"/>
                <w:szCs w:val="24"/>
                <w:position w:val="20"/>
              </w:rPr>
              <w:t>根据本项目可能泄漏至地面区域污染物的性质和生产单元的构筑方式，划</w:t>
            </w:r>
          </w:p>
          <w:p>
            <w:pPr>
              <w:pStyle w:val="TableText"/>
              <w:ind w:left="150"/>
              <w:spacing w:line="220" w:lineRule="auto"/>
              <w:rPr>
                <w:sz w:val="24"/>
                <w:szCs w:val="24"/>
              </w:rPr>
            </w:pPr>
            <w:r>
              <w:rPr>
                <w:sz w:val="24"/>
                <w:szCs w:val="24"/>
                <w:spacing w:val="-13"/>
              </w:rPr>
              <w:t>分为重点防渗区、</w:t>
            </w:r>
            <w:r>
              <w:rPr>
                <w:sz w:val="24"/>
                <w:szCs w:val="24"/>
                <w:spacing w:val="64"/>
              </w:rPr>
              <w:t xml:space="preserve"> </w:t>
            </w:r>
            <w:r>
              <w:rPr>
                <w:sz w:val="24"/>
                <w:szCs w:val="24"/>
                <w:spacing w:val="-13"/>
              </w:rPr>
              <w:t>一般防渗区。</w:t>
            </w:r>
          </w:p>
          <w:p>
            <w:pPr>
              <w:pStyle w:val="TableText"/>
              <w:ind w:left="610"/>
              <w:spacing w:before="163" w:line="219" w:lineRule="auto"/>
              <w:rPr>
                <w:sz w:val="24"/>
                <w:szCs w:val="24"/>
              </w:rPr>
            </w:pPr>
            <w:r>
              <w:rPr>
                <w:sz w:val="24"/>
                <w:szCs w:val="24"/>
              </w:rPr>
              <w:t>项目地下水污染防治区域分类详见表4.6-2</w:t>
            </w:r>
          </w:p>
          <w:p>
            <w:pPr>
              <w:pStyle w:val="TableText"/>
              <w:ind w:left="2134"/>
              <w:spacing w:before="191" w:line="219" w:lineRule="auto"/>
              <w:rPr>
                <w:sz w:val="24"/>
                <w:szCs w:val="24"/>
              </w:rPr>
            </w:pPr>
            <w:r>
              <w:rPr>
                <w:sz w:val="24"/>
                <w:szCs w:val="24"/>
                <w:b/>
                <w:bCs/>
                <w:spacing w:val="-3"/>
              </w:rPr>
              <w:t>表4.6-2</w:t>
            </w:r>
            <w:r>
              <w:rPr>
                <w:sz w:val="24"/>
                <w:szCs w:val="24"/>
                <w:spacing w:val="-3"/>
              </w:rPr>
              <w:t xml:space="preserve">  </w:t>
            </w:r>
            <w:r>
              <w:rPr>
                <w:sz w:val="24"/>
                <w:szCs w:val="24"/>
                <w:b/>
                <w:bCs/>
                <w:spacing w:val="-3"/>
              </w:rPr>
              <w:t>项目地下水污染防治区域分类</w:t>
            </w:r>
          </w:p>
        </w:tc>
      </w:tr>
      <w:tr>
        <w:trPr>
          <w:trHeight w:val="290" w:hRule="atLeast"/>
        </w:trPr>
        <w:tc>
          <w:tcPr>
            <w:tcW w:w="574" w:type="dxa"/>
            <w:vAlign w:val="top"/>
            <w:vMerge w:val="continue"/>
            <w:tcBorders>
              <w:top w:val="nil"/>
              <w:bottom w:val="nil"/>
            </w:tcBorders>
          </w:tcPr>
          <w:p>
            <w:pPr>
              <w:rPr>
                <w:rFonts w:ascii="Arial"/>
                <w:sz w:val="21"/>
              </w:rPr>
            </w:pPr>
            <w:r/>
          </w:p>
        </w:tc>
        <w:tc>
          <w:tcPr>
            <w:tcW w:w="2307" w:type="dxa"/>
            <w:vAlign w:val="top"/>
          </w:tcPr>
          <w:p>
            <w:pPr>
              <w:pStyle w:val="TableText"/>
              <w:ind w:left="541"/>
              <w:spacing w:before="33" w:line="190" w:lineRule="auto"/>
              <w:rPr>
                <w:sz w:val="24"/>
                <w:szCs w:val="24"/>
              </w:rPr>
            </w:pPr>
            <w:r>
              <w:rPr>
                <w:sz w:val="24"/>
                <w:szCs w:val="24"/>
                <w:spacing w:val="4"/>
              </w:rPr>
              <w:t>防治区分区</w:t>
            </w:r>
          </w:p>
        </w:tc>
        <w:tc>
          <w:tcPr>
            <w:tcW w:w="2577" w:type="dxa"/>
            <w:vAlign w:val="top"/>
          </w:tcPr>
          <w:p>
            <w:pPr>
              <w:pStyle w:val="TableText"/>
              <w:ind w:left="803"/>
              <w:spacing w:before="33" w:line="190" w:lineRule="auto"/>
              <w:rPr>
                <w:sz w:val="24"/>
                <w:szCs w:val="24"/>
              </w:rPr>
            </w:pPr>
            <w:r>
              <w:rPr>
                <w:sz w:val="24"/>
                <w:szCs w:val="24"/>
                <w:spacing w:val="3"/>
              </w:rPr>
              <w:t>装置名称</w:t>
            </w:r>
          </w:p>
        </w:tc>
        <w:tc>
          <w:tcPr>
            <w:tcW w:w="3531" w:type="dxa"/>
            <w:vAlign w:val="top"/>
          </w:tcPr>
          <w:p>
            <w:pPr>
              <w:pStyle w:val="TableText"/>
              <w:ind w:left="1276"/>
              <w:spacing w:before="33" w:line="190" w:lineRule="auto"/>
              <w:rPr>
                <w:sz w:val="24"/>
                <w:szCs w:val="24"/>
              </w:rPr>
            </w:pPr>
            <w:r>
              <w:rPr>
                <w:sz w:val="24"/>
                <w:szCs w:val="24"/>
                <w:spacing w:val="2"/>
              </w:rPr>
              <w:t>防渗区域</w:t>
            </w:r>
          </w:p>
        </w:tc>
      </w:tr>
      <w:tr>
        <w:trPr>
          <w:trHeight w:val="559" w:hRule="atLeast"/>
        </w:trPr>
        <w:tc>
          <w:tcPr>
            <w:tcW w:w="574" w:type="dxa"/>
            <w:vAlign w:val="top"/>
            <w:vMerge w:val="continue"/>
            <w:tcBorders>
              <w:top w:val="nil"/>
              <w:bottom w:val="nil"/>
            </w:tcBorders>
          </w:tcPr>
          <w:p>
            <w:pPr>
              <w:rPr>
                <w:rFonts w:ascii="Arial"/>
                <w:sz w:val="21"/>
              </w:rPr>
            </w:pPr>
            <w:r/>
          </w:p>
        </w:tc>
        <w:tc>
          <w:tcPr>
            <w:tcW w:w="2307" w:type="dxa"/>
            <w:vAlign w:val="top"/>
            <w:vMerge w:val="restart"/>
            <w:tcBorders>
              <w:bottom w:val="nil"/>
            </w:tcBorders>
          </w:tcPr>
          <w:p>
            <w:pPr>
              <w:spacing w:line="382" w:lineRule="auto"/>
              <w:rPr>
                <w:rFonts w:ascii="Arial"/>
                <w:sz w:val="21"/>
              </w:rPr>
            </w:pPr>
            <w:r/>
          </w:p>
          <w:p>
            <w:pPr>
              <w:pStyle w:val="TableText"/>
              <w:ind w:left="541"/>
              <w:spacing w:before="78" w:line="220" w:lineRule="auto"/>
              <w:rPr>
                <w:sz w:val="24"/>
                <w:szCs w:val="24"/>
              </w:rPr>
            </w:pPr>
            <w:r>
              <w:rPr>
                <w:sz w:val="24"/>
                <w:szCs w:val="24"/>
                <w:spacing w:val="4"/>
              </w:rPr>
              <w:t>重点防渗区</w:t>
            </w:r>
          </w:p>
        </w:tc>
        <w:tc>
          <w:tcPr>
            <w:tcW w:w="2577" w:type="dxa"/>
            <w:vAlign w:val="top"/>
          </w:tcPr>
          <w:p>
            <w:pPr>
              <w:pStyle w:val="TableText"/>
              <w:ind w:left="800" w:hanging="786"/>
              <w:spacing w:before="52" w:line="191" w:lineRule="auto"/>
              <w:rPr>
                <w:sz w:val="24"/>
                <w:szCs w:val="24"/>
              </w:rPr>
            </w:pPr>
            <w:r>
              <w:rPr>
                <w:sz w:val="24"/>
                <w:szCs w:val="24"/>
                <w:spacing w:val="-8"/>
              </w:rPr>
              <w:t>生产废水处理设施站房及</w:t>
            </w:r>
            <w:r>
              <w:rPr>
                <w:sz w:val="24"/>
                <w:szCs w:val="24"/>
              </w:rPr>
              <w:t xml:space="preserve"> </w:t>
            </w:r>
            <w:r>
              <w:rPr>
                <w:sz w:val="24"/>
                <w:szCs w:val="24"/>
                <w:spacing w:val="1"/>
              </w:rPr>
              <w:t>各类池体</w:t>
            </w:r>
          </w:p>
        </w:tc>
        <w:tc>
          <w:tcPr>
            <w:tcW w:w="3531" w:type="dxa"/>
            <w:vAlign w:val="top"/>
          </w:tcPr>
          <w:p>
            <w:pPr>
              <w:pStyle w:val="TableText"/>
              <w:ind w:left="796"/>
              <w:spacing w:before="163" w:line="221" w:lineRule="auto"/>
              <w:rPr>
                <w:sz w:val="24"/>
                <w:szCs w:val="24"/>
              </w:rPr>
            </w:pPr>
            <w:r>
              <w:rPr>
                <w:sz w:val="24"/>
                <w:szCs w:val="24"/>
                <w:spacing w:val="-2"/>
              </w:rPr>
              <w:t>池底、池壁、地面</w:t>
            </w:r>
          </w:p>
        </w:tc>
      </w:tr>
      <w:tr>
        <w:trPr>
          <w:trHeight w:val="290" w:hRule="atLeast"/>
        </w:trPr>
        <w:tc>
          <w:tcPr>
            <w:tcW w:w="574" w:type="dxa"/>
            <w:vAlign w:val="top"/>
            <w:vMerge w:val="continue"/>
            <w:tcBorders>
              <w:top w:val="nil"/>
              <w:bottom w:val="nil"/>
            </w:tcBorders>
          </w:tcPr>
          <w:p>
            <w:pPr>
              <w:rPr>
                <w:rFonts w:ascii="Arial"/>
                <w:sz w:val="21"/>
              </w:rPr>
            </w:pPr>
            <w:r/>
          </w:p>
        </w:tc>
        <w:tc>
          <w:tcPr>
            <w:tcW w:w="2307" w:type="dxa"/>
            <w:vAlign w:val="top"/>
            <w:vMerge w:val="continue"/>
            <w:tcBorders>
              <w:top w:val="nil"/>
              <w:bottom w:val="nil"/>
            </w:tcBorders>
          </w:tcPr>
          <w:p>
            <w:pPr>
              <w:rPr>
                <w:rFonts w:ascii="Arial"/>
                <w:sz w:val="21"/>
              </w:rPr>
            </w:pPr>
            <w:r/>
          </w:p>
        </w:tc>
        <w:tc>
          <w:tcPr>
            <w:tcW w:w="2577" w:type="dxa"/>
            <w:vAlign w:val="top"/>
          </w:tcPr>
          <w:p>
            <w:pPr>
              <w:pStyle w:val="TableText"/>
              <w:ind w:left="384"/>
              <w:spacing w:before="33" w:line="190" w:lineRule="auto"/>
              <w:rPr>
                <w:sz w:val="24"/>
                <w:szCs w:val="24"/>
              </w:rPr>
            </w:pPr>
            <w:r>
              <w:rPr>
                <w:sz w:val="24"/>
                <w:szCs w:val="24"/>
                <w:spacing w:val="-1"/>
              </w:rPr>
              <w:t>NMP储罐区及泵房</w:t>
            </w:r>
          </w:p>
        </w:tc>
        <w:tc>
          <w:tcPr>
            <w:tcW w:w="3531" w:type="dxa"/>
            <w:vAlign w:val="top"/>
          </w:tcPr>
          <w:p>
            <w:pPr>
              <w:pStyle w:val="TableText"/>
              <w:ind w:left="556"/>
              <w:spacing w:before="33" w:line="190" w:lineRule="auto"/>
              <w:rPr>
                <w:sz w:val="24"/>
                <w:szCs w:val="24"/>
              </w:rPr>
            </w:pPr>
            <w:r>
              <w:rPr>
                <w:sz w:val="24"/>
                <w:szCs w:val="24"/>
                <w:spacing w:val="-1"/>
              </w:rPr>
              <w:t>储罐基底、池壁、地面</w:t>
            </w:r>
          </w:p>
        </w:tc>
      </w:tr>
      <w:tr>
        <w:trPr>
          <w:trHeight w:val="289" w:hRule="atLeast"/>
        </w:trPr>
        <w:tc>
          <w:tcPr>
            <w:tcW w:w="574" w:type="dxa"/>
            <w:vAlign w:val="top"/>
            <w:vMerge w:val="continue"/>
            <w:tcBorders>
              <w:top w:val="nil"/>
              <w:bottom w:val="nil"/>
            </w:tcBorders>
          </w:tcPr>
          <w:p>
            <w:pPr>
              <w:rPr>
                <w:rFonts w:ascii="Arial"/>
                <w:sz w:val="21"/>
              </w:rPr>
            </w:pPr>
            <w:r/>
          </w:p>
        </w:tc>
        <w:tc>
          <w:tcPr>
            <w:tcW w:w="2307" w:type="dxa"/>
            <w:vAlign w:val="top"/>
            <w:vMerge w:val="continue"/>
            <w:tcBorders>
              <w:top w:val="nil"/>
            </w:tcBorders>
          </w:tcPr>
          <w:p>
            <w:pPr>
              <w:rPr>
                <w:rFonts w:ascii="Arial"/>
                <w:sz w:val="21"/>
              </w:rPr>
            </w:pPr>
            <w:r/>
          </w:p>
        </w:tc>
        <w:tc>
          <w:tcPr>
            <w:tcW w:w="2577" w:type="dxa"/>
            <w:vAlign w:val="top"/>
          </w:tcPr>
          <w:p>
            <w:pPr>
              <w:pStyle w:val="TableText"/>
              <w:ind w:left="563"/>
              <w:spacing w:before="33" w:line="189" w:lineRule="auto"/>
              <w:rPr>
                <w:sz w:val="24"/>
                <w:szCs w:val="24"/>
              </w:rPr>
            </w:pPr>
            <w:r>
              <w:rPr>
                <w:sz w:val="24"/>
                <w:szCs w:val="24"/>
                <w:spacing w:val="1"/>
              </w:rPr>
              <w:t>事故应急设施</w:t>
            </w:r>
          </w:p>
        </w:tc>
        <w:tc>
          <w:tcPr>
            <w:tcW w:w="3531" w:type="dxa"/>
            <w:vAlign w:val="top"/>
          </w:tcPr>
          <w:p>
            <w:pPr>
              <w:pStyle w:val="TableText"/>
              <w:ind w:left="1156"/>
              <w:spacing w:before="34" w:line="188" w:lineRule="auto"/>
              <w:rPr>
                <w:sz w:val="24"/>
                <w:szCs w:val="24"/>
              </w:rPr>
            </w:pPr>
            <w:r>
              <w:rPr>
                <w:sz w:val="24"/>
                <w:szCs w:val="24"/>
                <w:spacing w:val="-2"/>
              </w:rPr>
              <w:t>池底、池壁</w:t>
            </w:r>
          </w:p>
        </w:tc>
      </w:tr>
      <w:tr>
        <w:trPr>
          <w:trHeight w:val="290" w:hRule="atLeast"/>
        </w:trPr>
        <w:tc>
          <w:tcPr>
            <w:tcW w:w="574" w:type="dxa"/>
            <w:vAlign w:val="top"/>
            <w:vMerge w:val="continue"/>
            <w:tcBorders>
              <w:top w:val="nil"/>
              <w:bottom w:val="nil"/>
            </w:tcBorders>
          </w:tcPr>
          <w:p>
            <w:pPr>
              <w:rPr>
                <w:rFonts w:ascii="Arial"/>
                <w:sz w:val="21"/>
              </w:rPr>
            </w:pPr>
            <w:r/>
          </w:p>
        </w:tc>
        <w:tc>
          <w:tcPr>
            <w:tcW w:w="2307" w:type="dxa"/>
            <w:vAlign w:val="top"/>
            <w:vMerge w:val="restart"/>
            <w:tcBorders>
              <w:bottom w:val="nil"/>
            </w:tcBorders>
          </w:tcPr>
          <w:p>
            <w:pPr>
              <w:pStyle w:val="TableText"/>
              <w:ind w:left="541"/>
              <w:spacing w:before="174" w:line="220" w:lineRule="auto"/>
              <w:rPr>
                <w:sz w:val="24"/>
                <w:szCs w:val="24"/>
              </w:rPr>
            </w:pPr>
            <w:r>
              <w:rPr>
                <w:sz w:val="24"/>
                <w:szCs w:val="24"/>
                <w:spacing w:val="4"/>
              </w:rPr>
              <w:t>一般防渗区</w:t>
            </w:r>
          </w:p>
        </w:tc>
        <w:tc>
          <w:tcPr>
            <w:tcW w:w="2577" w:type="dxa"/>
            <w:vAlign w:val="top"/>
          </w:tcPr>
          <w:p>
            <w:pPr>
              <w:pStyle w:val="TableText"/>
              <w:ind w:left="803"/>
              <w:spacing w:before="34" w:line="189" w:lineRule="auto"/>
              <w:rPr>
                <w:sz w:val="24"/>
                <w:szCs w:val="24"/>
              </w:rPr>
            </w:pPr>
            <w:r>
              <w:rPr>
                <w:sz w:val="24"/>
                <w:szCs w:val="24"/>
                <w:spacing w:val="4"/>
              </w:rPr>
              <w:t>凹版厂房</w:t>
            </w:r>
          </w:p>
        </w:tc>
        <w:tc>
          <w:tcPr>
            <w:tcW w:w="3531" w:type="dxa"/>
            <w:vAlign w:val="top"/>
          </w:tcPr>
          <w:p>
            <w:pPr>
              <w:pStyle w:val="TableText"/>
              <w:spacing w:before="33" w:line="190" w:lineRule="auto"/>
              <w:jc w:val="right"/>
              <w:rPr>
                <w:sz w:val="24"/>
                <w:szCs w:val="24"/>
              </w:rPr>
            </w:pPr>
            <w:r>
              <w:rPr>
                <w:sz w:val="24"/>
                <w:szCs w:val="24"/>
                <w:spacing w:val="-7"/>
              </w:rPr>
              <w:t>室内地面、四周边沟的沟底和沟壁</w:t>
            </w:r>
          </w:p>
        </w:tc>
      </w:tr>
      <w:tr>
        <w:trPr>
          <w:trHeight w:val="280" w:hRule="atLeast"/>
        </w:trPr>
        <w:tc>
          <w:tcPr>
            <w:tcW w:w="574" w:type="dxa"/>
            <w:vAlign w:val="top"/>
            <w:vMerge w:val="continue"/>
            <w:tcBorders>
              <w:top w:val="nil"/>
              <w:bottom w:val="nil"/>
            </w:tcBorders>
          </w:tcPr>
          <w:p>
            <w:pPr>
              <w:rPr>
                <w:rFonts w:ascii="Arial"/>
                <w:sz w:val="21"/>
              </w:rPr>
            </w:pPr>
            <w:r/>
          </w:p>
        </w:tc>
        <w:tc>
          <w:tcPr>
            <w:tcW w:w="2307" w:type="dxa"/>
            <w:vAlign w:val="top"/>
            <w:vMerge w:val="continue"/>
            <w:tcBorders>
              <w:top w:val="nil"/>
            </w:tcBorders>
          </w:tcPr>
          <w:p>
            <w:pPr>
              <w:rPr>
                <w:rFonts w:ascii="Arial"/>
                <w:sz w:val="21"/>
              </w:rPr>
            </w:pPr>
            <w:r/>
          </w:p>
        </w:tc>
        <w:tc>
          <w:tcPr>
            <w:tcW w:w="2577" w:type="dxa"/>
            <w:vAlign w:val="top"/>
          </w:tcPr>
          <w:p>
            <w:pPr>
              <w:pStyle w:val="TableText"/>
              <w:ind w:left="924"/>
              <w:spacing w:before="23" w:line="190" w:lineRule="auto"/>
              <w:rPr>
                <w:sz w:val="24"/>
                <w:szCs w:val="24"/>
              </w:rPr>
            </w:pPr>
            <w:r>
              <w:rPr>
                <w:sz w:val="24"/>
                <w:szCs w:val="24"/>
                <w:spacing w:val="3"/>
              </w:rPr>
              <w:t>化粪池</w:t>
            </w:r>
          </w:p>
        </w:tc>
        <w:tc>
          <w:tcPr>
            <w:tcW w:w="3531" w:type="dxa"/>
            <w:vAlign w:val="top"/>
          </w:tcPr>
          <w:p>
            <w:pPr>
              <w:pStyle w:val="TableText"/>
              <w:ind w:left="1156"/>
              <w:spacing w:before="25" w:line="188" w:lineRule="auto"/>
              <w:rPr>
                <w:sz w:val="24"/>
                <w:szCs w:val="24"/>
              </w:rPr>
            </w:pPr>
            <w:r>
              <w:rPr>
                <w:sz w:val="24"/>
                <w:szCs w:val="24"/>
                <w:spacing w:val="-2"/>
              </w:rPr>
              <w:t>池底、池壁</w:t>
            </w:r>
          </w:p>
        </w:tc>
      </w:tr>
      <w:tr>
        <w:trPr>
          <w:trHeight w:val="290" w:hRule="atLeast"/>
        </w:trPr>
        <w:tc>
          <w:tcPr>
            <w:tcW w:w="574" w:type="dxa"/>
            <w:vAlign w:val="top"/>
            <w:vMerge w:val="continue"/>
            <w:tcBorders>
              <w:top w:val="nil"/>
              <w:bottom w:val="nil"/>
            </w:tcBorders>
          </w:tcPr>
          <w:p>
            <w:pPr>
              <w:rPr>
                <w:rFonts w:ascii="Arial"/>
                <w:sz w:val="21"/>
              </w:rPr>
            </w:pPr>
            <w:r/>
          </w:p>
        </w:tc>
        <w:tc>
          <w:tcPr>
            <w:tcW w:w="2307" w:type="dxa"/>
            <w:vAlign w:val="top"/>
          </w:tcPr>
          <w:p>
            <w:pPr>
              <w:pStyle w:val="TableText"/>
              <w:ind w:left="541"/>
              <w:spacing w:before="33" w:line="190" w:lineRule="auto"/>
              <w:rPr>
                <w:sz w:val="24"/>
                <w:szCs w:val="24"/>
              </w:rPr>
            </w:pPr>
            <w:r>
              <w:rPr>
                <w:sz w:val="24"/>
                <w:szCs w:val="24"/>
                <w:spacing w:val="4"/>
              </w:rPr>
              <w:t>简单防渗区</w:t>
            </w:r>
          </w:p>
        </w:tc>
        <w:tc>
          <w:tcPr>
            <w:tcW w:w="2577" w:type="dxa"/>
            <w:vAlign w:val="top"/>
          </w:tcPr>
          <w:p>
            <w:pPr>
              <w:pStyle w:val="TableText"/>
              <w:ind w:left="924"/>
              <w:spacing w:before="33" w:line="190" w:lineRule="auto"/>
              <w:rPr>
                <w:sz w:val="24"/>
                <w:szCs w:val="24"/>
              </w:rPr>
            </w:pPr>
            <w:r>
              <w:rPr>
                <w:sz w:val="24"/>
                <w:szCs w:val="24"/>
                <w:spacing w:val="6"/>
              </w:rPr>
              <w:t>办公区</w:t>
            </w:r>
          </w:p>
        </w:tc>
        <w:tc>
          <w:tcPr>
            <w:tcW w:w="3531" w:type="dxa"/>
            <w:vAlign w:val="top"/>
          </w:tcPr>
          <w:p>
            <w:pPr>
              <w:pStyle w:val="TableText"/>
              <w:ind w:left="1516"/>
              <w:spacing w:before="35" w:line="188" w:lineRule="auto"/>
              <w:rPr>
                <w:sz w:val="24"/>
                <w:szCs w:val="24"/>
              </w:rPr>
            </w:pPr>
            <w:r>
              <w:rPr>
                <w:sz w:val="24"/>
                <w:szCs w:val="24"/>
                <w:spacing w:val="-3"/>
              </w:rPr>
              <w:t>地面</w:t>
            </w:r>
          </w:p>
        </w:tc>
      </w:tr>
      <w:tr>
        <w:trPr>
          <w:trHeight w:val="290" w:hRule="atLeast"/>
        </w:trPr>
        <w:tc>
          <w:tcPr>
            <w:tcW w:w="574" w:type="dxa"/>
            <w:vAlign w:val="top"/>
            <w:vMerge w:val="continue"/>
            <w:tcBorders>
              <w:top w:val="nil"/>
              <w:bottom w:val="nil"/>
            </w:tcBorders>
          </w:tcPr>
          <w:p>
            <w:pPr>
              <w:rPr>
                <w:rFonts w:ascii="Arial"/>
                <w:sz w:val="21"/>
              </w:rPr>
            </w:pPr>
            <w:r/>
          </w:p>
        </w:tc>
        <w:tc>
          <w:tcPr>
            <w:tcW w:w="8415" w:type="dxa"/>
            <w:vAlign w:val="top"/>
            <w:gridSpan w:val="3"/>
          </w:tcPr>
          <w:p>
            <w:pPr>
              <w:pStyle w:val="TableText"/>
              <w:ind w:right="34"/>
              <w:spacing w:before="33" w:line="190" w:lineRule="auto"/>
              <w:jc w:val="right"/>
              <w:rPr>
                <w:sz w:val="24"/>
                <w:szCs w:val="24"/>
              </w:rPr>
            </w:pPr>
            <w:r>
              <w:rPr>
                <w:sz w:val="24"/>
                <w:szCs w:val="24"/>
              </w:rPr>
              <w:t>注：因本项目危废暂存间、食堂、宿舍均依托现有工程，故本项目不再累述。</w:t>
            </w:r>
          </w:p>
        </w:tc>
      </w:tr>
      <w:tr>
        <w:trPr>
          <w:trHeight w:val="8868" w:hRule="atLeast"/>
        </w:trPr>
        <w:tc>
          <w:tcPr>
            <w:tcW w:w="574" w:type="dxa"/>
            <w:vAlign w:val="top"/>
            <w:vMerge w:val="continue"/>
            <w:tcBorders>
              <w:top w:val="nil"/>
            </w:tcBorders>
          </w:tcPr>
          <w:p>
            <w:pPr>
              <w:rPr>
                <w:rFonts w:ascii="Arial"/>
                <w:sz w:val="21"/>
              </w:rPr>
            </w:pPr>
            <w:r/>
          </w:p>
        </w:tc>
        <w:tc>
          <w:tcPr>
            <w:tcW w:w="8415" w:type="dxa"/>
            <w:vAlign w:val="top"/>
            <w:gridSpan w:val="3"/>
          </w:tcPr>
          <w:p>
            <w:pPr>
              <w:spacing w:line="423" w:lineRule="auto"/>
              <w:rPr>
                <w:rFonts w:ascii="Arial"/>
                <w:sz w:val="21"/>
              </w:rPr>
            </w:pPr>
            <w:r/>
          </w:p>
          <w:p>
            <w:pPr>
              <w:pStyle w:val="TableText"/>
              <w:ind w:left="730"/>
              <w:spacing w:before="78" w:line="220" w:lineRule="auto"/>
              <w:rPr>
                <w:sz w:val="24"/>
                <w:szCs w:val="24"/>
              </w:rPr>
            </w:pPr>
            <w:r>
              <w:rPr>
                <w:sz w:val="24"/>
                <w:szCs w:val="24"/>
              </w:rPr>
              <w:t>(1)重点防渗区防渗要求</w:t>
            </w:r>
          </w:p>
          <w:p>
            <w:pPr>
              <w:pStyle w:val="TableText"/>
              <w:ind w:left="241" w:right="244" w:firstLine="379"/>
              <w:spacing w:before="173" w:line="358" w:lineRule="auto"/>
              <w:rPr>
                <w:sz w:val="24"/>
                <w:szCs w:val="24"/>
              </w:rPr>
            </w:pPr>
            <w:r>
              <w:rPr>
                <w:sz w:val="24"/>
                <w:szCs w:val="24"/>
                <w:spacing w:val="-1"/>
              </w:rPr>
              <w:t>基础必须采取防渗措施，应参照《地下水污染源防渗技术指南(试行)》</w:t>
            </w:r>
            <w:r>
              <w:rPr>
                <w:sz w:val="24"/>
                <w:szCs w:val="24"/>
                <w:spacing w:val="6"/>
              </w:rPr>
              <w:t xml:space="preserve">  </w:t>
            </w:r>
            <w:r>
              <w:rPr>
                <w:sz w:val="24"/>
                <w:szCs w:val="24"/>
              </w:rPr>
              <w:t>(环办土壤函[2020]72号)重点污染防治区和《危险废物贮存污染控制标</w:t>
            </w:r>
            <w:r>
              <w:rPr>
                <w:sz w:val="24"/>
                <w:szCs w:val="24"/>
                <w:spacing w:val="-1"/>
              </w:rPr>
              <w:t>准》</w:t>
            </w:r>
          </w:p>
          <w:p>
            <w:pPr>
              <w:pStyle w:val="TableText"/>
              <w:ind w:left="261"/>
              <w:spacing w:line="220" w:lineRule="auto"/>
              <w:rPr>
                <w:sz w:val="24"/>
                <w:szCs w:val="24"/>
              </w:rPr>
            </w:pPr>
            <w:r>
              <w:rPr>
                <w:sz w:val="24"/>
                <w:szCs w:val="24"/>
              </w:rPr>
              <w:t>(GB18597-2023)进行防渗设计，重点污染防治区防渗性能不应低于6.0m厚</w:t>
            </w:r>
          </w:p>
          <w:p>
            <w:pPr>
              <w:pStyle w:val="TableText"/>
              <w:ind w:left="130"/>
              <w:spacing w:before="173" w:line="476" w:lineRule="exact"/>
              <w:rPr>
                <w:sz w:val="24"/>
                <w:szCs w:val="24"/>
              </w:rPr>
            </w:pPr>
            <w:r>
              <w:rPr>
                <w:sz w:val="24"/>
                <w:szCs w:val="24"/>
                <w:position w:val="17"/>
              </w:rPr>
              <w:t>渗透系数为10-7cm/s的黏土层的防渗性能，其中危废暂存间基础防渗应满足防</w:t>
            </w:r>
          </w:p>
          <w:p>
            <w:pPr>
              <w:pStyle w:val="TableText"/>
              <w:ind w:left="140"/>
              <w:spacing w:line="216" w:lineRule="auto"/>
              <w:rPr>
                <w:sz w:val="24"/>
                <w:szCs w:val="24"/>
              </w:rPr>
            </w:pPr>
            <w:r>
              <w:rPr>
                <w:sz w:val="24"/>
                <w:szCs w:val="24"/>
              </w:rPr>
              <w:t>渗层至少1m厚粘土层(渗透系数不大于10-7cm/s),或至少2mm厚高密度聚</w:t>
            </w:r>
          </w:p>
          <w:p>
            <w:pPr>
              <w:pStyle w:val="TableText"/>
              <w:ind w:left="140"/>
              <w:spacing w:before="188" w:line="473" w:lineRule="exact"/>
              <w:rPr>
                <w:sz w:val="24"/>
                <w:szCs w:val="24"/>
              </w:rPr>
            </w:pPr>
            <w:r>
              <w:rPr>
                <w:sz w:val="24"/>
                <w:szCs w:val="24"/>
                <w:position w:val="17"/>
              </w:rPr>
              <w:t>乙烯膜等人工防渗材料(渗透系数不大于10-10cm/s),或其他防渗性能等效的</w:t>
            </w:r>
          </w:p>
          <w:p>
            <w:pPr>
              <w:pStyle w:val="TableText"/>
              <w:ind w:left="120"/>
              <w:spacing w:before="1" w:line="218" w:lineRule="auto"/>
              <w:rPr>
                <w:sz w:val="24"/>
                <w:szCs w:val="24"/>
              </w:rPr>
            </w:pPr>
            <w:r>
              <w:rPr>
                <w:sz w:val="24"/>
                <w:szCs w:val="24"/>
                <w:spacing w:val="-1"/>
              </w:rPr>
              <w:t>材料。</w:t>
            </w:r>
          </w:p>
          <w:p>
            <w:pPr>
              <w:pStyle w:val="TableText"/>
              <w:ind w:left="730"/>
              <w:spacing w:before="198" w:line="220" w:lineRule="auto"/>
              <w:rPr>
                <w:sz w:val="24"/>
                <w:szCs w:val="24"/>
              </w:rPr>
            </w:pPr>
            <w:r>
              <w:rPr>
                <w:sz w:val="24"/>
                <w:szCs w:val="24"/>
              </w:rPr>
              <w:t>(2)一般防渗区防渗要求</w:t>
            </w:r>
          </w:p>
          <w:p>
            <w:pPr>
              <w:pStyle w:val="TableText"/>
              <w:ind w:left="620"/>
              <w:spacing w:before="162" w:line="441" w:lineRule="exact"/>
              <w:rPr>
                <w:sz w:val="24"/>
                <w:szCs w:val="24"/>
              </w:rPr>
            </w:pPr>
            <w:r>
              <w:rPr>
                <w:sz w:val="24"/>
                <w:szCs w:val="24"/>
                <w:spacing w:val="-1"/>
                <w:position w:val="15"/>
              </w:rPr>
              <w:t>基础必须采用防渗措施，应参照《地下水污染源防渗技术指南(试行)》</w:t>
            </w:r>
          </w:p>
          <w:p>
            <w:pPr>
              <w:pStyle w:val="TableText"/>
              <w:ind w:left="251"/>
              <w:spacing w:line="219" w:lineRule="auto"/>
              <w:rPr>
                <w:sz w:val="24"/>
                <w:szCs w:val="24"/>
              </w:rPr>
            </w:pPr>
            <w:r>
              <w:rPr>
                <w:sz w:val="24"/>
                <w:szCs w:val="24"/>
              </w:rPr>
              <w:t>(环办土壤函[2020]72号)和《一般工业固体废物贮存和填埋污染控制标</w:t>
            </w:r>
            <w:r>
              <w:rPr>
                <w:sz w:val="24"/>
                <w:szCs w:val="24"/>
                <w:spacing w:val="-1"/>
              </w:rPr>
              <w:t>准》</w:t>
            </w:r>
          </w:p>
          <w:p>
            <w:pPr>
              <w:pStyle w:val="TableText"/>
              <w:ind w:left="140" w:right="208" w:firstLine="120"/>
              <w:spacing w:before="206" w:line="357" w:lineRule="auto"/>
              <w:rPr>
                <w:sz w:val="24"/>
                <w:szCs w:val="24"/>
              </w:rPr>
            </w:pPr>
            <w:r>
              <w:rPr>
                <w:sz w:val="24"/>
                <w:szCs w:val="24"/>
                <w:spacing w:val="-4"/>
              </w:rPr>
              <w:t>(GB18599-2020)Ⅱ类场进行设计。</w:t>
            </w:r>
            <w:r>
              <w:rPr>
                <w:sz w:val="24"/>
                <w:szCs w:val="24"/>
                <w:spacing w:val="54"/>
              </w:rPr>
              <w:t xml:space="preserve"> </w:t>
            </w:r>
            <w:r>
              <w:rPr>
                <w:sz w:val="24"/>
                <w:szCs w:val="24"/>
                <w:spacing w:val="-4"/>
              </w:rPr>
              <w:t>一般污染防治区防渗层的防渗性能不应低</w:t>
            </w:r>
            <w:r>
              <w:rPr>
                <w:sz w:val="24"/>
                <w:szCs w:val="24"/>
              </w:rPr>
              <w:t xml:space="preserve"> </w:t>
            </w:r>
            <w:r>
              <w:rPr>
                <w:sz w:val="24"/>
                <w:szCs w:val="24"/>
              </w:rPr>
              <w:t>于1.5m厚渗透系数为1.0×10-7cm/s的黏土层的防渗性能，其中一般固废暂存</w:t>
            </w:r>
          </w:p>
          <w:p>
            <w:pPr>
              <w:pStyle w:val="TableText"/>
              <w:ind w:left="140"/>
              <w:spacing w:before="1" w:line="218" w:lineRule="auto"/>
              <w:rPr>
                <w:sz w:val="24"/>
                <w:szCs w:val="24"/>
              </w:rPr>
            </w:pPr>
            <w:r>
              <w:rPr>
                <w:sz w:val="24"/>
                <w:szCs w:val="24"/>
              </w:rPr>
              <w:t>间防渗衬层应符合：a)人工合成材料应采用高密度聚乙烯膜，厚度不小于</w:t>
            </w:r>
          </w:p>
          <w:p>
            <w:pPr>
              <w:pStyle w:val="TableText"/>
              <w:ind w:left="150"/>
              <w:spacing w:before="183" w:line="216" w:lineRule="auto"/>
              <w:rPr>
                <w:sz w:val="24"/>
                <w:szCs w:val="24"/>
              </w:rPr>
            </w:pPr>
            <w:r>
              <w:rPr>
                <w:sz w:val="24"/>
                <w:szCs w:val="24"/>
              </w:rPr>
              <w:t>1.5mm,并满足GB/T17643规定的技术指标要求；采用其他人工合成材料的</w:t>
            </w:r>
          </w:p>
          <w:p>
            <w:pPr>
              <w:pStyle w:val="TableText"/>
              <w:ind w:left="130"/>
              <w:spacing w:before="193" w:line="219" w:lineRule="auto"/>
              <w:rPr>
                <w:sz w:val="24"/>
                <w:szCs w:val="24"/>
              </w:rPr>
            </w:pPr>
            <w:r>
              <w:rPr>
                <w:sz w:val="24"/>
                <w:szCs w:val="24"/>
              </w:rPr>
              <w:t>其防渗性能至少相当于1.5mm高密度聚乙烯膜的防渗性能；b)粘土衬层厚度</w:t>
            </w:r>
          </w:p>
          <w:p>
            <w:pPr>
              <w:pStyle w:val="TableText"/>
              <w:ind w:left="140"/>
              <w:spacing w:before="171" w:line="473" w:lineRule="exact"/>
              <w:rPr>
                <w:sz w:val="24"/>
                <w:szCs w:val="24"/>
              </w:rPr>
            </w:pPr>
            <w:r>
              <w:rPr>
                <w:sz w:val="24"/>
                <w:szCs w:val="24"/>
                <w:position w:val="17"/>
              </w:rPr>
              <w:t>应不小于0.75m,且经压实、人工改性等措施处理后的饱和渗透系数不应大于</w:t>
            </w:r>
          </w:p>
          <w:p>
            <w:pPr>
              <w:pStyle w:val="TableText"/>
              <w:ind w:left="150"/>
              <w:spacing w:before="1" w:line="218" w:lineRule="auto"/>
              <w:rPr>
                <w:sz w:val="24"/>
                <w:szCs w:val="24"/>
              </w:rPr>
            </w:pPr>
            <w:r>
              <w:rPr>
                <w:sz w:val="24"/>
                <w:szCs w:val="24"/>
              </w:rPr>
              <w:t>1.0×10-7cm/s;使用其他粘土类防渗衬层材料时，应具有同等以上隔水效</w:t>
            </w:r>
            <w:r>
              <w:rPr>
                <w:sz w:val="24"/>
                <w:szCs w:val="24"/>
                <w:spacing w:val="-1"/>
              </w:rPr>
              <w:t>力。</w:t>
            </w:r>
          </w:p>
        </w:tc>
      </w:tr>
    </w:tbl>
    <w:p>
      <w:pPr>
        <w:rPr>
          <w:rFonts w:ascii="Arial"/>
          <w:sz w:val="21"/>
        </w:rPr>
      </w:pPr>
      <w:r/>
    </w:p>
    <w:p>
      <w:pPr>
        <w:sectPr>
          <w:footerReference w:type="default" r:id="rId146"/>
          <w:pgSz w:w="11900" w:h="16840"/>
          <w:pgMar w:top="1431" w:right="1465" w:bottom="988" w:left="1435" w:header="0" w:footer="849" w:gutter="0"/>
        </w:sectPr>
        <w:rPr>
          <w:rFonts w:ascii="Arial" w:hAnsi="Arial" w:eastAsia="Arial" w:cs="Arial"/>
          <w:sz w:val="21"/>
          <w:szCs w:val="21"/>
        </w:rPr>
      </w:pPr>
    </w:p>
    <w:p>
      <w:pPr>
        <w:spacing w:line="93" w:lineRule="exact"/>
        <w:rPr/>
      </w:pPr>
      <w:r/>
    </w:p>
    <w:tbl>
      <w:tblPr>
        <w:tblStyle w:val="TableNormal"/>
        <w:tblW w:w="89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64"/>
        <w:gridCol w:w="8425"/>
      </w:tblGrid>
      <w:tr>
        <w:trPr>
          <w:trHeight w:val="13329" w:hRule="atLeast"/>
        </w:trPr>
        <w:tc>
          <w:tcPr>
            <w:tcW w:w="564" w:type="dxa"/>
            <w:vAlign w:val="top"/>
          </w:tcPr>
          <w:p>
            <w:pPr>
              <w:rPr>
                <w:rFonts w:ascii="Arial"/>
                <w:sz w:val="21"/>
              </w:rPr>
            </w:pPr>
            <w:r/>
          </w:p>
        </w:tc>
        <w:tc>
          <w:tcPr>
            <w:tcW w:w="8425" w:type="dxa"/>
            <w:vAlign w:val="top"/>
          </w:tcPr>
          <w:p>
            <w:pPr>
              <w:pStyle w:val="TableText"/>
              <w:ind w:left="740"/>
              <w:spacing w:before="72" w:line="219" w:lineRule="auto"/>
              <w:rPr/>
            </w:pPr>
            <w:r>
              <w:rPr/>
              <w:t>(3)简单防渗区防渗要求</w:t>
            </w:r>
          </w:p>
          <w:p>
            <w:pPr>
              <w:pStyle w:val="TableText"/>
              <w:ind w:left="630"/>
              <w:spacing w:before="177" w:line="482" w:lineRule="exact"/>
              <w:rPr/>
            </w:pPr>
            <w:r>
              <w:rPr>
                <w:spacing w:val="1"/>
                <w:position w:val="19"/>
              </w:rPr>
              <w:t>指不会对地下水环境造成污染的区域。本项</w:t>
            </w:r>
            <w:r>
              <w:rPr>
                <w:position w:val="19"/>
              </w:rPr>
              <w:t>目地下水简单防渗区除了重点</w:t>
            </w:r>
          </w:p>
          <w:p>
            <w:pPr>
              <w:pStyle w:val="TableText"/>
              <w:ind w:left="160"/>
              <w:spacing w:line="220" w:lineRule="auto"/>
              <w:rPr/>
            </w:pPr>
            <w:r>
              <w:rPr>
                <w:spacing w:val="-1"/>
              </w:rPr>
              <w:t>及一般防渗区外的区域。</w:t>
            </w:r>
          </w:p>
          <w:p>
            <w:pPr>
              <w:pStyle w:val="TableText"/>
              <w:ind w:left="620"/>
              <w:spacing w:before="174" w:line="451" w:lineRule="exact"/>
              <w:rPr/>
            </w:pPr>
            <w:r>
              <w:rPr>
                <w:position w:val="16"/>
              </w:rPr>
              <w:t>防渗要求：对于基本上不产生污染的非污染防治区，采取地面水泥硬化的</w:t>
            </w:r>
          </w:p>
          <w:p>
            <w:pPr>
              <w:pStyle w:val="TableText"/>
              <w:ind w:left="160"/>
              <w:spacing w:line="220" w:lineRule="auto"/>
              <w:rPr/>
            </w:pPr>
            <w:r>
              <w:rPr>
                <w:spacing w:val="-1"/>
              </w:rPr>
              <w:t>防治措施。</w:t>
            </w:r>
          </w:p>
          <w:p>
            <w:pPr>
              <w:pStyle w:val="TableText"/>
              <w:ind w:left="584"/>
              <w:spacing w:before="192" w:line="220" w:lineRule="auto"/>
              <w:rPr/>
            </w:pPr>
            <w:r>
              <w:rPr>
                <w:b/>
                <w:bCs/>
                <w:spacing w:val="-5"/>
              </w:rPr>
              <w:t>3、影响分析</w:t>
            </w:r>
          </w:p>
          <w:p>
            <w:pPr>
              <w:pStyle w:val="TableText"/>
              <w:ind w:left="120" w:right="410" w:firstLine="510"/>
              <w:spacing w:before="209" w:line="377" w:lineRule="auto"/>
              <w:rPr/>
            </w:pPr>
            <w:r>
              <w:rPr/>
              <w:t>建设单位采取分区防渗防控措施后，在正常工况下，建设项目防渗设施充</w:t>
            </w:r>
            <w:r>
              <w:rPr>
                <w:spacing w:val="12"/>
              </w:rPr>
              <w:t xml:space="preserve"> </w:t>
            </w:r>
            <w:r>
              <w:rPr>
                <w:spacing w:val="1"/>
              </w:rPr>
              <w:t>足，不会发生污水泄漏，</w:t>
            </w:r>
            <w:r>
              <w:rPr/>
              <w:t>NMP</w:t>
            </w:r>
            <w:r>
              <w:rPr>
                <w:spacing w:val="1"/>
              </w:rPr>
              <w:t>储罐采用地上式设置，发生泄漏可</w:t>
            </w:r>
            <w:r>
              <w:rPr/>
              <w:t>及时控制，对  </w:t>
            </w:r>
            <w:r>
              <w:rPr/>
              <w:t>地下水水质影响较小。本项目未对地下水进行开采，运</w:t>
            </w:r>
            <w:r>
              <w:rPr>
                <w:spacing w:val="-1"/>
              </w:rPr>
              <w:t>营期间用水由市政管供</w:t>
            </w:r>
          </w:p>
          <w:p>
            <w:pPr>
              <w:pStyle w:val="TableText"/>
              <w:ind w:left="160"/>
              <w:spacing w:before="1" w:line="218" w:lineRule="auto"/>
              <w:rPr/>
            </w:pPr>
            <w:r>
              <w:rPr>
                <w:spacing w:val="-1"/>
              </w:rPr>
              <w:t>水，不会对地下水水位产生影响。</w:t>
            </w:r>
          </w:p>
          <w:p>
            <w:pPr>
              <w:pStyle w:val="TableText"/>
              <w:ind w:left="150" w:right="424" w:firstLine="470"/>
              <w:spacing w:before="176" w:line="383" w:lineRule="auto"/>
              <w:rPr/>
            </w:pPr>
            <w:r>
              <w:rPr/>
              <w:t>非正常工况下，会对地下水下游造成一定的污染，项目地下水下游为海域</w:t>
            </w:r>
            <w:r>
              <w:rPr>
                <w:spacing w:val="8"/>
              </w:rPr>
              <w:t xml:space="preserve"> </w:t>
            </w:r>
            <w:r>
              <w:rPr/>
              <w:t>发生地下水污染事故不会造成饮用水安全问题。为了避免污染事故，评价要求</w:t>
            </w:r>
            <w:r>
              <w:rPr>
                <w:spacing w:val="10"/>
              </w:rPr>
              <w:t xml:space="preserve"> </w:t>
            </w:r>
            <w:r>
              <w:rPr/>
              <w:t>建设单位应严格落实评价提出的各项防治措施及相关设计规范的要求，同时做</w:t>
            </w:r>
          </w:p>
          <w:p>
            <w:pPr>
              <w:pStyle w:val="TableText"/>
              <w:ind w:left="160"/>
              <w:spacing w:before="1" w:line="219" w:lineRule="auto"/>
              <w:rPr/>
            </w:pPr>
            <w:r>
              <w:rPr>
                <w:spacing w:val="-1"/>
              </w:rPr>
              <w:t>好地下水监控及污染事故应急方案。</w:t>
            </w:r>
          </w:p>
          <w:p>
            <w:pPr>
              <w:pStyle w:val="TableText"/>
              <w:ind w:left="624"/>
              <w:spacing w:before="164" w:line="219" w:lineRule="auto"/>
              <w:rPr/>
            </w:pPr>
            <w:r>
              <w:rPr>
                <w:b/>
                <w:bCs/>
                <w:spacing w:val="-4"/>
              </w:rPr>
              <w:t>4、地下水水质监控措施</w:t>
            </w:r>
          </w:p>
          <w:p>
            <w:pPr>
              <w:pStyle w:val="TableText"/>
              <w:ind w:left="160" w:right="317" w:firstLine="470"/>
              <w:spacing w:before="207" w:line="374" w:lineRule="auto"/>
              <w:jc w:val="both"/>
              <w:rPr/>
            </w:pPr>
            <w:r>
              <w:rPr/>
              <w:t>根据《环境影响评价技术导则一地下水环境》(HJ610-20</w:t>
            </w:r>
            <w:r>
              <w:rPr>
                <w:spacing w:val="-1"/>
              </w:rPr>
              <w:t>16),项目应建立厂</w:t>
            </w:r>
            <w:r>
              <w:rPr/>
              <w:t xml:space="preserve"> </w:t>
            </w:r>
            <w:r>
              <w:rPr/>
              <w:t>区地下水环境监控体系。包括建立地下水污染监控制度和环境管理体系，将地</w:t>
            </w:r>
          </w:p>
          <w:p>
            <w:pPr>
              <w:pStyle w:val="TableText"/>
              <w:ind w:left="160"/>
              <w:spacing w:before="1" w:line="218" w:lineRule="auto"/>
              <w:rPr/>
            </w:pPr>
            <w:r>
              <w:rPr/>
              <w:t>下水监测纳入年度监测计划，以便及时发现问题，</w:t>
            </w:r>
            <w:r>
              <w:rPr>
                <w:spacing w:val="-1"/>
              </w:rPr>
              <w:t>及时采取措施。</w:t>
            </w:r>
          </w:p>
          <w:p>
            <w:pPr>
              <w:pStyle w:val="TableText"/>
              <w:ind w:left="640"/>
              <w:spacing w:before="188" w:line="501" w:lineRule="exact"/>
              <w:rPr/>
            </w:pPr>
            <w:r>
              <w:rPr>
                <w:spacing w:val="-1"/>
                <w:position w:val="20"/>
              </w:rPr>
              <w:t>项目整个厂区内拟规划设置5个地下水跟踪监控井，委托第三方检测单位</w:t>
            </w:r>
          </w:p>
          <w:p>
            <w:pPr>
              <w:pStyle w:val="TableText"/>
              <w:ind w:left="160"/>
              <w:spacing w:line="220" w:lineRule="auto"/>
              <w:rPr/>
            </w:pPr>
            <w:r>
              <w:rPr>
                <w:spacing w:val="-1"/>
              </w:rPr>
              <w:t>对厂区地下进行监测。</w:t>
            </w:r>
          </w:p>
          <w:p>
            <w:pPr>
              <w:spacing w:line="345" w:lineRule="auto"/>
              <w:rPr>
                <w:rFonts w:ascii="Arial"/>
                <w:sz w:val="21"/>
              </w:rPr>
            </w:pPr>
            <w:r/>
          </w:p>
          <w:p>
            <w:pPr>
              <w:pStyle w:val="TableText"/>
              <w:ind w:left="164"/>
              <w:spacing w:before="76" w:line="220" w:lineRule="auto"/>
              <w:rPr/>
            </w:pPr>
            <w:r>
              <w:rPr>
                <w:b/>
                <w:bCs/>
                <w:spacing w:val="-4"/>
              </w:rPr>
              <w:t>4.7土壤环境影响</w:t>
            </w:r>
          </w:p>
          <w:p>
            <w:pPr>
              <w:pStyle w:val="TableText"/>
              <w:ind w:left="164"/>
              <w:spacing w:before="196" w:line="220" w:lineRule="auto"/>
              <w:rPr/>
            </w:pPr>
            <w:r>
              <w:rPr>
                <w:b/>
                <w:bCs/>
                <w:spacing w:val="-4"/>
              </w:rPr>
              <w:t>4.7.1土壤环境影响分析</w:t>
            </w:r>
          </w:p>
          <w:p>
            <w:pPr>
              <w:pStyle w:val="TableText"/>
              <w:ind w:left="611"/>
              <w:spacing w:before="158" w:line="219" w:lineRule="auto"/>
              <w:rPr/>
            </w:pPr>
            <w:r>
              <w:rPr/>
              <w:t>1、污染物进入土壤的途径</w:t>
            </w:r>
          </w:p>
          <w:p>
            <w:pPr>
              <w:pStyle w:val="TableText"/>
              <w:ind w:left="620"/>
              <w:spacing w:before="217" w:line="491" w:lineRule="exact"/>
              <w:rPr/>
            </w:pPr>
            <w:r>
              <w:rPr>
                <w:spacing w:val="-1"/>
                <w:position w:val="19"/>
              </w:rPr>
              <w:t>项目运营期对土壤的环境影响主要来自“三废”排放。</w:t>
            </w:r>
          </w:p>
          <w:p>
            <w:pPr>
              <w:pStyle w:val="TableText"/>
              <w:ind w:left="750"/>
              <w:spacing w:line="220" w:lineRule="auto"/>
              <w:rPr/>
            </w:pPr>
            <w:r>
              <w:rPr>
                <w:spacing w:val="1"/>
              </w:rPr>
              <w:t>(1)废气对土壤环境的影响</w:t>
            </w:r>
          </w:p>
          <w:p>
            <w:pPr>
              <w:pStyle w:val="TableText"/>
              <w:ind w:left="620"/>
              <w:spacing w:before="155" w:line="219" w:lineRule="auto"/>
              <w:rPr/>
            </w:pPr>
            <w:r>
              <w:rPr/>
              <w:t>废气中的污染物，通过降水、扩散和重力作用降落至</w:t>
            </w:r>
            <w:r>
              <w:rPr>
                <w:spacing w:val="-1"/>
              </w:rPr>
              <w:t>地面，渗透进入土壤</w:t>
            </w:r>
          </w:p>
          <w:p>
            <w:pPr>
              <w:pStyle w:val="TableText"/>
              <w:ind w:left="160"/>
              <w:spacing w:before="218" w:line="220" w:lineRule="auto"/>
              <w:rPr/>
            </w:pPr>
            <w:r>
              <w:rPr>
                <w:spacing w:val="-1"/>
              </w:rPr>
              <w:t>进而污染土壤环境。</w:t>
            </w:r>
          </w:p>
          <w:p>
            <w:pPr>
              <w:pStyle w:val="TableText"/>
              <w:ind w:left="750"/>
              <w:spacing w:before="206" w:line="219" w:lineRule="auto"/>
              <w:rPr/>
            </w:pPr>
            <w:r>
              <w:rPr>
                <w:spacing w:val="1"/>
              </w:rPr>
              <w:t>(2)废水对土壤环境的影响</w:t>
            </w:r>
          </w:p>
        </w:tc>
      </w:tr>
    </w:tbl>
    <w:p>
      <w:pPr>
        <w:rPr>
          <w:rFonts w:ascii="Arial"/>
          <w:sz w:val="21"/>
        </w:rPr>
      </w:pPr>
      <w:r/>
    </w:p>
    <w:p>
      <w:pPr>
        <w:sectPr>
          <w:footerReference w:type="default" r:id="rId147"/>
          <w:pgSz w:w="11900" w:h="16840"/>
          <w:pgMar w:top="1431" w:right="1465" w:bottom="988" w:left="1435" w:header="0" w:footer="849" w:gutter="0"/>
        </w:sectPr>
        <w:rPr>
          <w:rFonts w:ascii="Arial" w:hAnsi="Arial" w:eastAsia="Arial" w:cs="Arial"/>
          <w:sz w:val="21"/>
          <w:szCs w:val="21"/>
        </w:rPr>
      </w:pPr>
    </w:p>
    <w:p>
      <w:pPr>
        <w:spacing w:line="93" w:lineRule="exact"/>
        <w:rPr/>
      </w:pPr>
      <w:r/>
    </w:p>
    <w:tbl>
      <w:tblPr>
        <w:tblStyle w:val="TableNormal"/>
        <w:tblW w:w="89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4"/>
        <w:gridCol w:w="8415"/>
      </w:tblGrid>
      <w:tr>
        <w:trPr>
          <w:trHeight w:val="13559" w:hRule="atLeast"/>
        </w:trPr>
        <w:tc>
          <w:tcPr>
            <w:tcW w:w="574" w:type="dxa"/>
            <w:vAlign w:val="top"/>
          </w:tcPr>
          <w:p>
            <w:pPr>
              <w:rPr>
                <w:rFonts w:ascii="Arial"/>
                <w:sz w:val="21"/>
              </w:rPr>
            </w:pPr>
            <w:r/>
          </w:p>
        </w:tc>
        <w:tc>
          <w:tcPr>
            <w:tcW w:w="8415" w:type="dxa"/>
            <w:vAlign w:val="top"/>
          </w:tcPr>
          <w:p>
            <w:pPr>
              <w:pStyle w:val="TableText"/>
              <w:ind w:left="620"/>
              <w:spacing w:before="54" w:line="471" w:lineRule="exact"/>
              <w:rPr>
                <w:sz w:val="24"/>
                <w:szCs w:val="24"/>
              </w:rPr>
            </w:pPr>
            <w:r>
              <w:rPr>
                <w:sz w:val="24"/>
                <w:szCs w:val="24"/>
                <w:position w:val="17"/>
              </w:rPr>
              <w:t>罐区、污水站等发生渗漏，使得未经处理的废水渗入土壤，进而污染土壤</w:t>
            </w:r>
          </w:p>
          <w:p>
            <w:pPr>
              <w:pStyle w:val="TableText"/>
              <w:ind w:left="100"/>
              <w:spacing w:line="220" w:lineRule="auto"/>
              <w:rPr>
                <w:sz w:val="24"/>
                <w:szCs w:val="24"/>
              </w:rPr>
            </w:pPr>
            <w:r>
              <w:rPr>
                <w:sz w:val="24"/>
                <w:szCs w:val="24"/>
              </w:rPr>
              <w:t>环境。</w:t>
            </w:r>
          </w:p>
          <w:p>
            <w:pPr>
              <w:pStyle w:val="TableText"/>
              <w:ind w:left="750"/>
              <w:spacing w:before="193" w:line="220" w:lineRule="auto"/>
              <w:rPr>
                <w:sz w:val="24"/>
                <w:szCs w:val="24"/>
              </w:rPr>
            </w:pPr>
            <w:r>
              <w:rPr>
                <w:sz w:val="24"/>
                <w:szCs w:val="24"/>
                <w:spacing w:val="1"/>
              </w:rPr>
              <w:t>(3)危险废物对土壤环境的影响</w:t>
            </w:r>
          </w:p>
          <w:p>
            <w:pPr>
              <w:pStyle w:val="TableText"/>
              <w:ind w:left="620"/>
              <w:spacing w:before="162" w:line="481" w:lineRule="exact"/>
              <w:rPr>
                <w:sz w:val="24"/>
                <w:szCs w:val="24"/>
              </w:rPr>
            </w:pPr>
            <w:r>
              <w:rPr>
                <w:sz w:val="24"/>
                <w:szCs w:val="24"/>
                <w:position w:val="18"/>
              </w:rPr>
              <w:t>危险废物泄漏或危险废物未及时处理而产生的渗出液、滤沥液进入土</w:t>
            </w:r>
            <w:r>
              <w:rPr>
                <w:sz w:val="24"/>
                <w:szCs w:val="24"/>
                <w:spacing w:val="-1"/>
                <w:position w:val="18"/>
              </w:rPr>
              <w:t>壤，</w:t>
            </w:r>
          </w:p>
          <w:p>
            <w:pPr>
              <w:pStyle w:val="TableText"/>
              <w:ind w:left="130"/>
              <w:spacing w:line="220" w:lineRule="auto"/>
              <w:rPr>
                <w:sz w:val="24"/>
                <w:szCs w:val="24"/>
              </w:rPr>
            </w:pPr>
            <w:r>
              <w:rPr>
                <w:sz w:val="24"/>
                <w:szCs w:val="24"/>
              </w:rPr>
              <w:t>进而污染土壤环境。</w:t>
            </w:r>
          </w:p>
          <w:p>
            <w:pPr>
              <w:pStyle w:val="TableText"/>
              <w:ind w:left="620"/>
              <w:spacing w:before="183" w:line="219" w:lineRule="auto"/>
              <w:rPr>
                <w:sz w:val="24"/>
                <w:szCs w:val="24"/>
              </w:rPr>
            </w:pPr>
            <w:r>
              <w:rPr>
                <w:sz w:val="24"/>
                <w:szCs w:val="24"/>
                <w:spacing w:val="1"/>
              </w:rPr>
              <w:t>2、污染物进入土壤产生的影响</w:t>
            </w:r>
          </w:p>
          <w:p>
            <w:pPr>
              <w:pStyle w:val="TableText"/>
              <w:ind w:left="110" w:right="83" w:firstLine="510"/>
              <w:spacing w:before="167" w:line="360" w:lineRule="auto"/>
              <w:rPr>
                <w:sz w:val="24"/>
                <w:szCs w:val="24"/>
              </w:rPr>
            </w:pPr>
            <w:r>
              <w:rPr>
                <w:sz w:val="24"/>
                <w:szCs w:val="24"/>
              </w:rPr>
              <w:t>根据分析可知，物料渗漏影响土壤的主要是有机</w:t>
            </w:r>
            <w:r>
              <w:rPr>
                <w:sz w:val="24"/>
                <w:szCs w:val="24"/>
                <w:spacing w:val="-1"/>
              </w:rPr>
              <w:t>物，有机物进入土壤的数</w:t>
            </w:r>
            <w:r>
              <w:rPr>
                <w:sz w:val="24"/>
                <w:szCs w:val="24"/>
              </w:rPr>
              <w:t xml:space="preserve"> </w:t>
            </w:r>
            <w:r>
              <w:rPr>
                <w:sz w:val="24"/>
                <w:szCs w:val="24"/>
              </w:rPr>
              <w:t>量和速度超过了土壤的净化作用的速度，破坏了自然动态平衡，使污染物的积</w:t>
            </w:r>
            <w:r>
              <w:rPr>
                <w:sz w:val="24"/>
                <w:szCs w:val="24"/>
                <w:spacing w:val="14"/>
              </w:rPr>
              <w:t xml:space="preserve"> </w:t>
            </w:r>
            <w:r>
              <w:rPr>
                <w:sz w:val="24"/>
                <w:szCs w:val="24"/>
                <w:spacing w:val="1"/>
              </w:rPr>
              <w:t>累过程逐渐占据优势，从而导致土壤自然正常功能失调，土壤质量下降，并影</w:t>
            </w:r>
            <w:r>
              <w:rPr>
                <w:sz w:val="24"/>
                <w:szCs w:val="24"/>
                <w:spacing w:val="15"/>
              </w:rPr>
              <w:t xml:space="preserve"> </w:t>
            </w:r>
            <w:r>
              <w:rPr>
                <w:sz w:val="24"/>
                <w:szCs w:val="24"/>
                <w:spacing w:val="1"/>
              </w:rPr>
              <w:t>响到作物的生长发育，以及产量和质量下降。有机物污染进入土壤后，可危及</w:t>
            </w:r>
            <w:r>
              <w:rPr>
                <w:sz w:val="24"/>
                <w:szCs w:val="24"/>
                <w:spacing w:val="8"/>
              </w:rPr>
              <w:t xml:space="preserve"> </w:t>
            </w:r>
            <w:r>
              <w:rPr>
                <w:sz w:val="24"/>
                <w:szCs w:val="24"/>
              </w:rPr>
              <w:t>农作物生长和土壤生物的生存，如稻田因施用含有二苯醚的污泥造成稻苗大面</w:t>
            </w:r>
            <w:r>
              <w:rPr>
                <w:sz w:val="24"/>
                <w:szCs w:val="24"/>
                <w:spacing w:val="9"/>
              </w:rPr>
              <w:t xml:space="preserve"> </w:t>
            </w:r>
            <w:r>
              <w:rPr>
                <w:sz w:val="24"/>
                <w:szCs w:val="24"/>
                <w:spacing w:val="1"/>
              </w:rPr>
              <w:t>积死亡，泥鳅、鳝鱼绝迹。人体接触污染土壤后，手脚出现红色皮疹，并有恶</w:t>
            </w:r>
          </w:p>
          <w:p>
            <w:pPr>
              <w:pStyle w:val="TableText"/>
              <w:ind w:left="110"/>
              <w:spacing w:before="1" w:line="219" w:lineRule="auto"/>
              <w:rPr>
                <w:sz w:val="24"/>
                <w:szCs w:val="24"/>
              </w:rPr>
            </w:pPr>
            <w:r>
              <w:rPr>
                <w:sz w:val="24"/>
                <w:szCs w:val="24"/>
              </w:rPr>
              <w:t>心，头晕现象。</w:t>
            </w:r>
          </w:p>
          <w:p>
            <w:pPr>
              <w:pStyle w:val="TableText"/>
              <w:ind w:left="134"/>
              <w:spacing w:before="182" w:line="220" w:lineRule="auto"/>
              <w:rPr>
                <w:sz w:val="24"/>
                <w:szCs w:val="24"/>
              </w:rPr>
            </w:pPr>
            <w:r>
              <w:rPr>
                <w:sz w:val="24"/>
                <w:szCs w:val="24"/>
                <w:b/>
                <w:bCs/>
                <w:spacing w:val="-4"/>
              </w:rPr>
              <w:t>4.7.2土壤环境影响防治措施</w:t>
            </w:r>
          </w:p>
          <w:p>
            <w:pPr>
              <w:pStyle w:val="TableText"/>
              <w:ind w:left="140" w:right="11" w:firstLine="480"/>
              <w:spacing w:before="176" w:line="354" w:lineRule="auto"/>
              <w:jc w:val="both"/>
              <w:rPr>
                <w:sz w:val="24"/>
                <w:szCs w:val="24"/>
              </w:rPr>
            </w:pPr>
            <w:r>
              <w:rPr>
                <w:sz w:val="24"/>
                <w:szCs w:val="24"/>
                <w:spacing w:val="-1"/>
              </w:rPr>
              <w:t>1、土壤污染源头控制措施主要应从截断污染物渗入途径入手，结合地下水</w:t>
            </w:r>
            <w:r>
              <w:rPr>
                <w:sz w:val="24"/>
                <w:szCs w:val="24"/>
                <w:spacing w:val="4"/>
              </w:rPr>
              <w:t xml:space="preserve"> </w:t>
            </w:r>
            <w:r>
              <w:rPr>
                <w:sz w:val="24"/>
                <w:szCs w:val="24"/>
              </w:rPr>
              <w:t>防渗要求，对厂区内各处理单元、管道做好防腐防渗措施，阻断废水进入土壤</w:t>
            </w:r>
          </w:p>
          <w:p>
            <w:pPr>
              <w:pStyle w:val="TableText"/>
              <w:ind w:left="110"/>
              <w:spacing w:before="1" w:line="219" w:lineRule="auto"/>
              <w:rPr>
                <w:sz w:val="24"/>
                <w:szCs w:val="24"/>
              </w:rPr>
            </w:pPr>
            <w:r>
              <w:rPr>
                <w:sz w:val="24"/>
                <w:szCs w:val="24"/>
                <w:spacing w:val="-1"/>
              </w:rPr>
              <w:t>的途径。</w:t>
            </w:r>
          </w:p>
          <w:p>
            <w:pPr>
              <w:pStyle w:val="TableText"/>
              <w:ind w:left="591"/>
              <w:spacing w:before="193" w:line="219" w:lineRule="auto"/>
              <w:rPr>
                <w:sz w:val="24"/>
                <w:szCs w:val="24"/>
              </w:rPr>
            </w:pPr>
            <w:r>
              <w:rPr>
                <w:sz w:val="24"/>
                <w:szCs w:val="24"/>
              </w:rPr>
              <w:t>2、为进一步减轻对土壤环境的影响，建设单位拟采取如下防治措施</w:t>
            </w:r>
          </w:p>
          <w:p>
            <w:pPr>
              <w:pStyle w:val="TableText"/>
              <w:ind w:left="140" w:right="109" w:firstLine="580"/>
              <w:spacing w:before="186" w:line="358" w:lineRule="auto"/>
              <w:rPr>
                <w:sz w:val="24"/>
                <w:szCs w:val="24"/>
              </w:rPr>
            </w:pPr>
            <w:r>
              <w:rPr>
                <w:sz w:val="24"/>
                <w:szCs w:val="24"/>
              </w:rPr>
              <w:t>(1)加强内部管理，将土壤污染防治纳入项目环境风险防控体系，严格依</w:t>
            </w:r>
            <w:r>
              <w:rPr>
                <w:sz w:val="24"/>
                <w:szCs w:val="24"/>
                <w:spacing w:val="13"/>
              </w:rPr>
              <w:t xml:space="preserve"> </w:t>
            </w:r>
            <w:r>
              <w:rPr>
                <w:sz w:val="24"/>
                <w:szCs w:val="24"/>
              </w:rPr>
              <w:t>法依规建设和运行污染治理设施，确保重点污染物</w:t>
            </w:r>
            <w:r>
              <w:rPr>
                <w:sz w:val="24"/>
                <w:szCs w:val="24"/>
                <w:spacing w:val="-1"/>
              </w:rPr>
              <w:t>稳定达标排放；另外，提供</w:t>
            </w:r>
          </w:p>
          <w:p>
            <w:pPr>
              <w:pStyle w:val="TableText"/>
              <w:ind w:left="130"/>
              <w:spacing w:line="219" w:lineRule="auto"/>
              <w:rPr>
                <w:sz w:val="24"/>
                <w:szCs w:val="24"/>
              </w:rPr>
            </w:pPr>
            <w:r>
              <w:rPr>
                <w:sz w:val="24"/>
                <w:szCs w:val="24"/>
              </w:rPr>
              <w:t>企业员工污染隐患和环境风险防范意识，并定期开展培</w:t>
            </w:r>
            <w:r>
              <w:rPr>
                <w:sz w:val="24"/>
                <w:szCs w:val="24"/>
                <w:spacing w:val="-1"/>
              </w:rPr>
              <w:t>训。</w:t>
            </w:r>
          </w:p>
          <w:p>
            <w:pPr>
              <w:pStyle w:val="TableText"/>
              <w:ind w:left="740"/>
              <w:spacing w:before="195" w:line="451" w:lineRule="exact"/>
              <w:rPr>
                <w:sz w:val="24"/>
                <w:szCs w:val="24"/>
              </w:rPr>
            </w:pPr>
            <w:r>
              <w:rPr>
                <w:sz w:val="24"/>
                <w:szCs w:val="24"/>
                <w:position w:val="16"/>
              </w:rPr>
              <w:t>(2)设置专门管理制度，加强对原辅材料及危险废物的规范化管理，定期</w:t>
            </w:r>
          </w:p>
          <w:p>
            <w:pPr>
              <w:pStyle w:val="TableText"/>
              <w:ind w:left="140"/>
              <w:spacing w:line="220" w:lineRule="auto"/>
              <w:rPr>
                <w:sz w:val="24"/>
                <w:szCs w:val="24"/>
              </w:rPr>
            </w:pPr>
            <w:r>
              <w:rPr>
                <w:sz w:val="24"/>
                <w:szCs w:val="24"/>
                <w:spacing w:val="4"/>
              </w:rPr>
              <w:t>巡查维护环保设施的运行情况，及时处理非正常运行情况；</w:t>
            </w:r>
          </w:p>
          <w:p>
            <w:pPr>
              <w:pStyle w:val="TableText"/>
              <w:spacing w:before="183" w:line="490" w:lineRule="exact"/>
              <w:jc w:val="right"/>
              <w:rPr>
                <w:sz w:val="24"/>
                <w:szCs w:val="24"/>
              </w:rPr>
            </w:pPr>
            <w:r>
              <w:rPr>
                <w:sz w:val="24"/>
                <w:szCs w:val="24"/>
                <w:spacing w:val="-4"/>
                <w:position w:val="19"/>
              </w:rPr>
              <w:t>(3)建议在厂区内设置土壤环境跟踪监测点，对厂区内土壤进行跟踪监测，</w:t>
            </w:r>
          </w:p>
          <w:p>
            <w:pPr>
              <w:pStyle w:val="TableText"/>
              <w:ind w:left="140"/>
              <w:spacing w:before="1" w:line="219" w:lineRule="auto"/>
              <w:rPr>
                <w:sz w:val="24"/>
                <w:szCs w:val="24"/>
              </w:rPr>
            </w:pPr>
            <w:r>
              <w:rPr>
                <w:sz w:val="24"/>
                <w:szCs w:val="24"/>
                <w:spacing w:val="-4"/>
              </w:rPr>
              <w:t>以掌握土壤质量情况。</w:t>
            </w:r>
          </w:p>
          <w:p>
            <w:pPr>
              <w:pStyle w:val="TableText"/>
              <w:ind w:left="740"/>
              <w:spacing w:before="155" w:line="480" w:lineRule="exact"/>
              <w:rPr>
                <w:sz w:val="24"/>
                <w:szCs w:val="24"/>
              </w:rPr>
            </w:pPr>
            <w:r>
              <w:rPr>
                <w:sz w:val="24"/>
                <w:szCs w:val="24"/>
                <w:position w:val="18"/>
              </w:rPr>
              <w:t>(4)建立相应制度，对运行期项目可能造成的土壤污染问题承担相应的责</w:t>
            </w:r>
          </w:p>
          <w:p>
            <w:pPr>
              <w:pStyle w:val="TableText"/>
              <w:ind w:left="130"/>
              <w:spacing w:line="219" w:lineRule="auto"/>
              <w:rPr>
                <w:sz w:val="24"/>
                <w:szCs w:val="24"/>
              </w:rPr>
            </w:pPr>
            <w:r>
              <w:rPr>
                <w:sz w:val="24"/>
                <w:szCs w:val="24"/>
              </w:rPr>
              <w:t>任并进行修复，将其列入企业内部的环保管理规定中。</w:t>
            </w:r>
          </w:p>
          <w:p>
            <w:pPr>
              <w:pStyle w:val="TableText"/>
              <w:ind w:left="620"/>
              <w:spacing w:before="195" w:line="481" w:lineRule="exact"/>
              <w:rPr>
                <w:sz w:val="24"/>
                <w:szCs w:val="24"/>
              </w:rPr>
            </w:pPr>
            <w:r>
              <w:rPr>
                <w:sz w:val="24"/>
                <w:szCs w:val="24"/>
                <w:position w:val="18"/>
              </w:rPr>
              <w:t>综上所述，加强项目运行过程中环境管理，则项目实施对厂区及周边土壤</w:t>
            </w:r>
          </w:p>
          <w:p>
            <w:pPr>
              <w:pStyle w:val="TableText"/>
              <w:ind w:left="130"/>
              <w:spacing w:line="220" w:lineRule="auto"/>
              <w:rPr>
                <w:sz w:val="24"/>
                <w:szCs w:val="24"/>
              </w:rPr>
            </w:pPr>
            <w:r>
              <w:rPr>
                <w:sz w:val="24"/>
                <w:szCs w:val="24"/>
                <w:spacing w:val="-1"/>
              </w:rPr>
              <w:t>环境的影响可控。</w:t>
            </w:r>
          </w:p>
        </w:tc>
      </w:tr>
    </w:tbl>
    <w:p>
      <w:pPr>
        <w:rPr>
          <w:rFonts w:ascii="Arial"/>
          <w:sz w:val="21"/>
        </w:rPr>
      </w:pPr>
      <w:r/>
    </w:p>
    <w:p>
      <w:pPr>
        <w:sectPr>
          <w:footerReference w:type="default" r:id="rId148"/>
          <w:pgSz w:w="11900" w:h="16840"/>
          <w:pgMar w:top="1431" w:right="1465" w:bottom="988" w:left="1435" w:header="0" w:footer="849" w:gutter="0"/>
        </w:sectPr>
        <w:rPr>
          <w:rFonts w:ascii="Arial" w:hAnsi="Arial" w:eastAsia="Arial" w:cs="Arial"/>
          <w:sz w:val="21"/>
          <w:szCs w:val="21"/>
        </w:rPr>
      </w:pPr>
    </w:p>
    <w:p>
      <w:pPr>
        <w:pStyle w:val="BodyText"/>
        <w:ind w:left="713"/>
        <w:spacing w:before="135" w:line="220" w:lineRule="auto"/>
        <w:outlineLvl w:val="6"/>
        <w:rPr>
          <w:sz w:val="24"/>
          <w:szCs w:val="24"/>
        </w:rPr>
      </w:pPr>
      <w:r>
        <mc:AlternateContent xmlns:mc="http://schemas.openxmlformats.org/markup-compatibility/2006">
          <mc:Choice Requires="wps">
            <w:drawing>
              <wp:anchor distT="0" distB="0" distL="0" distR="0" simplePos="0" relativeHeight="251885568" behindDoc="1" locked="0" layoutInCell="0" allowOverlap="1">
                <wp:simplePos x="0" y="0"/>
                <wp:positionH relativeFrom="page">
                  <wp:posOffset>6543702</wp:posOffset>
                </wp:positionH>
                <wp:positionV relativeFrom="page">
                  <wp:posOffset>5422943</wp:posOffset>
                </wp:positionV>
                <wp:extent cx="6350" cy="4184650"/>
                <wp:effectExtent l="0" t="0" r="0" b="0"/>
                <wp:wrapNone/>
                <wp:docPr id="18" name="Rect 18"/>
                <wp:cNvGraphicFramePr/>
                <a:graphic>
                  <a:graphicData uri="http://schemas.microsoft.com/office/word/2010/wordprocessingShape">
                    <wps:wsp>
                      <wps:cNvPr id="18" name="Rect 18"/>
                      <wps:cNvSpPr/>
                      <wps:spPr>
                        <a:xfrm>
                          <a:off x="6543702" y="5422943"/>
                          <a:ext cx="6350" cy="418465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48" style="position:absolute;margin-left:515.252pt;margin-top:427.003pt;mso-position-vertical-relative:page;mso-position-horizontal-relative:page;width:0.5pt;height:329.5pt;z-index:-251430912;" o:allowincell="f" fillcolor="#000000" filled="true" stroked="false"/>
            </w:pict>
          </mc:Fallback>
        </mc:AlternateContent>
      </w:r>
      <w:r>
        <w:drawing>
          <wp:anchor distT="0" distB="0" distL="0" distR="0" simplePos="0" relativeHeight="251886592" behindDoc="0" locked="0" layoutInCell="0" allowOverlap="1">
            <wp:simplePos x="0" y="0"/>
            <wp:positionH relativeFrom="page">
              <wp:posOffset>901717</wp:posOffset>
            </wp:positionH>
            <wp:positionV relativeFrom="page">
              <wp:posOffset>971582</wp:posOffset>
            </wp:positionV>
            <wp:extent cx="5746717" cy="6350"/>
            <wp:effectExtent l="0" t="0" r="0" b="0"/>
            <wp:wrapNone/>
            <wp:docPr id="20" name="IM 20"/>
            <wp:cNvGraphicFramePr/>
            <a:graphic>
              <a:graphicData uri="http://schemas.openxmlformats.org/drawingml/2006/picture">
                <pic:pic>
                  <pic:nvPicPr>
                    <pic:cNvPr id="20" name="IM 20"/>
                    <pic:cNvPicPr/>
                  </pic:nvPicPr>
                  <pic:blipFill>
                    <a:blip r:embed="rId150"/>
                    <a:stretch>
                      <a:fillRect/>
                    </a:stretch>
                  </pic:blipFill>
                  <pic:spPr>
                    <a:xfrm rot="0">
                      <a:off x="0" y="0"/>
                      <a:ext cx="5746717" cy="6350"/>
                    </a:xfrm>
                    <a:prstGeom prst="rect">
                      <a:avLst/>
                    </a:prstGeom>
                  </pic:spPr>
                </pic:pic>
              </a:graphicData>
            </a:graphic>
          </wp:anchor>
        </w:drawing>
      </w:r>
      <w:r>
        <w:rPr>
          <w:sz w:val="24"/>
          <w:szCs w:val="24"/>
          <w:b/>
          <w:bCs/>
          <w:spacing w:val="-1"/>
        </w:rPr>
        <w:t>4.7.3土壤环境跟踪监测措施</w:t>
      </w:r>
    </w:p>
    <w:p>
      <w:pPr>
        <w:pStyle w:val="BodyText"/>
        <w:ind w:left="1209"/>
        <w:spacing w:before="185" w:line="470" w:lineRule="exact"/>
        <w:rPr>
          <w:sz w:val="24"/>
          <w:szCs w:val="24"/>
        </w:rPr>
      </w:pPr>
      <w:r>
        <w:rPr>
          <w:sz w:val="24"/>
          <w:szCs w:val="24"/>
          <w:position w:val="17"/>
        </w:rPr>
        <w:t>建设单位拟在厂区内建立土壤环境监控体系</w:t>
      </w:r>
      <w:r>
        <w:rPr>
          <w:sz w:val="24"/>
          <w:szCs w:val="24"/>
          <w:spacing w:val="-1"/>
          <w:position w:val="17"/>
        </w:rPr>
        <w:t>，建议建设单位可根据整体厂</w:t>
      </w:r>
    </w:p>
    <w:p>
      <w:pPr>
        <w:pStyle w:val="BodyText"/>
        <w:ind w:left="709"/>
        <w:spacing w:line="218" w:lineRule="auto"/>
        <w:rPr>
          <w:sz w:val="24"/>
          <w:szCs w:val="24"/>
        </w:rPr>
      </w:pPr>
      <w:r>
        <w:rPr>
          <w:sz w:val="24"/>
          <w:szCs w:val="24"/>
          <w:spacing w:val="-2"/>
        </w:rPr>
        <w:t>区的平面布置设置土壤跟踪监控点，可重点在污水处理站、罐区等位置设置。</w:t>
      </w:r>
    </w:p>
    <w:p>
      <w:pPr>
        <w:pStyle w:val="BodyText"/>
        <w:ind w:left="713"/>
        <w:spacing w:before="191" w:line="218" w:lineRule="auto"/>
        <w:outlineLvl w:val="6"/>
        <w:rPr>
          <w:sz w:val="24"/>
          <w:szCs w:val="24"/>
        </w:rPr>
      </w:pPr>
      <w:r>
        <w:rPr>
          <w:sz w:val="24"/>
          <w:szCs w:val="24"/>
          <w:b/>
          <w:bCs/>
          <w:spacing w:val="-4"/>
        </w:rPr>
        <w:t>4.8环境风险评价</w:t>
      </w:r>
    </w:p>
    <w:p>
      <w:pPr>
        <w:pStyle w:val="BodyText"/>
        <w:ind w:left="1209"/>
        <w:spacing w:before="144" w:line="491" w:lineRule="exact"/>
        <w:rPr>
          <w:sz w:val="24"/>
          <w:szCs w:val="24"/>
        </w:rPr>
      </w:pPr>
      <w:r>
        <w:rPr>
          <w:sz w:val="24"/>
          <w:szCs w:val="24"/>
          <w:position w:val="19"/>
        </w:rPr>
        <w:t>本报告环境风险影响分析具体内容见</w:t>
      </w:r>
      <w:r>
        <w:rPr>
          <w:sz w:val="24"/>
          <w:szCs w:val="24"/>
          <w:b/>
          <w:bCs/>
          <w:position w:val="19"/>
        </w:rPr>
        <w:t>《时代一汽二期年产20</w:t>
      </w:r>
      <w:r>
        <w:rPr>
          <w:rFonts w:ascii="Times New Roman" w:hAnsi="Times New Roman" w:eastAsia="Times New Roman" w:cs="Times New Roman"/>
          <w:sz w:val="24"/>
          <w:szCs w:val="24"/>
          <w:b/>
          <w:bCs/>
          <w:position w:val="19"/>
        </w:rPr>
        <w:t>gwh</w:t>
      </w:r>
      <w:r>
        <w:rPr>
          <w:sz w:val="24"/>
          <w:szCs w:val="24"/>
          <w:b/>
          <w:bCs/>
          <w:position w:val="19"/>
        </w:rPr>
        <w:t>动力电池</w:t>
      </w:r>
    </w:p>
    <w:p>
      <w:pPr>
        <w:pStyle w:val="BodyText"/>
        <w:ind w:left="713"/>
        <w:spacing w:line="216" w:lineRule="auto"/>
        <w:rPr>
          <w:sz w:val="24"/>
          <w:szCs w:val="24"/>
        </w:rPr>
      </w:pPr>
      <w:r>
        <w:rPr>
          <w:sz w:val="24"/>
          <w:szCs w:val="24"/>
          <w:b/>
          <w:bCs/>
          <w:spacing w:val="1"/>
        </w:rPr>
        <w:t>扩建项目--凹版厂房及附属配套工程环境风险专项评价》,以下简称“风险专</w:t>
      </w:r>
    </w:p>
    <w:p>
      <w:pPr>
        <w:pStyle w:val="BodyText"/>
        <w:ind w:left="709"/>
        <w:spacing w:before="197" w:line="220" w:lineRule="auto"/>
        <w:rPr>
          <w:sz w:val="24"/>
          <w:szCs w:val="24"/>
        </w:rPr>
      </w:pPr>
      <w:r>
        <w:rPr>
          <w:sz w:val="24"/>
          <w:szCs w:val="24"/>
          <w:spacing w:val="-11"/>
        </w:rPr>
        <w:t>项”。</w:t>
      </w:r>
    </w:p>
    <w:p>
      <w:pPr>
        <w:pStyle w:val="BodyText"/>
        <w:ind w:left="713"/>
        <w:spacing w:before="170" w:line="219" w:lineRule="auto"/>
        <w:outlineLvl w:val="6"/>
        <w:rPr>
          <w:sz w:val="24"/>
          <w:szCs w:val="24"/>
        </w:rPr>
      </w:pPr>
      <w:r>
        <w:rPr>
          <w:sz w:val="24"/>
          <w:szCs w:val="24"/>
          <w:b/>
          <w:bCs/>
          <w:spacing w:val="-8"/>
        </w:rPr>
        <w:t>4.8.1项目危险物质储存情况</w:t>
      </w:r>
    </w:p>
    <w:p>
      <w:pPr>
        <w:pStyle w:val="BodyText"/>
        <w:ind w:left="709" w:right="150" w:firstLine="500"/>
        <w:spacing w:before="187" w:line="362" w:lineRule="auto"/>
        <w:jc w:val="both"/>
        <w:rPr>
          <w:sz w:val="24"/>
          <w:szCs w:val="24"/>
        </w:rPr>
      </w:pPr>
      <w:r>
        <w:rPr>
          <w:sz w:val="24"/>
          <w:szCs w:val="24"/>
        </w:rPr>
        <w:t>本项目所用的化学品以货车或槽车运输到相应的贮存点固定位置，卸至相</w:t>
      </w:r>
      <w:r>
        <w:rPr>
          <w:sz w:val="24"/>
          <w:szCs w:val="24"/>
          <w:spacing w:val="8"/>
        </w:rPr>
        <w:t xml:space="preserve"> </w:t>
      </w:r>
      <w:r>
        <w:rPr>
          <w:sz w:val="24"/>
          <w:szCs w:val="24"/>
          <w:spacing w:val="3"/>
        </w:rPr>
        <w:t>应的储罐区、库房内，其中</w:t>
      </w:r>
      <w:r>
        <w:rPr>
          <w:rFonts w:ascii="Times New Roman" w:hAnsi="Times New Roman" w:eastAsia="Times New Roman" w:cs="Times New Roman"/>
          <w:sz w:val="24"/>
          <w:szCs w:val="24"/>
        </w:rPr>
        <w:t>NMP</w:t>
      </w:r>
      <w:r>
        <w:rPr>
          <w:rFonts w:ascii="Times New Roman" w:hAnsi="Times New Roman" w:eastAsia="Times New Roman" w:cs="Times New Roman"/>
          <w:sz w:val="24"/>
          <w:szCs w:val="24"/>
          <w:spacing w:val="3"/>
        </w:rPr>
        <w:t xml:space="preserve"> </w:t>
      </w:r>
      <w:r>
        <w:rPr>
          <w:sz w:val="24"/>
          <w:szCs w:val="24"/>
          <w:spacing w:val="3"/>
        </w:rPr>
        <w:t>储存位于新建的</w:t>
      </w:r>
      <w:r>
        <w:rPr>
          <w:rFonts w:ascii="Times New Roman" w:hAnsi="Times New Roman" w:eastAsia="Times New Roman" w:cs="Times New Roman"/>
          <w:sz w:val="24"/>
          <w:szCs w:val="24"/>
        </w:rPr>
        <w:t>NMP</w:t>
      </w:r>
      <w:r>
        <w:rPr>
          <w:rFonts w:ascii="Times New Roman" w:hAnsi="Times New Roman" w:eastAsia="Times New Roman" w:cs="Times New Roman"/>
          <w:sz w:val="24"/>
          <w:szCs w:val="24"/>
          <w:spacing w:val="30"/>
          <w:w w:val="101"/>
        </w:rPr>
        <w:t xml:space="preserve"> </w:t>
      </w:r>
      <w:r>
        <w:rPr>
          <w:sz w:val="24"/>
          <w:szCs w:val="24"/>
          <w:spacing w:val="3"/>
        </w:rPr>
        <w:t>罐区</w:t>
      </w:r>
      <w:r>
        <w:rPr>
          <w:rFonts w:ascii="Times New Roman" w:hAnsi="Times New Roman" w:eastAsia="Times New Roman" w:cs="Times New Roman"/>
          <w:sz w:val="24"/>
          <w:szCs w:val="24"/>
          <w:spacing w:val="3"/>
        </w:rPr>
        <w:t>C,   </w:t>
      </w:r>
      <w:r>
        <w:rPr>
          <w:sz w:val="24"/>
          <w:szCs w:val="24"/>
          <w:spacing w:val="3"/>
        </w:rPr>
        <w:t>其他正、负极</w:t>
      </w:r>
    </w:p>
    <w:p>
      <w:pPr>
        <w:pStyle w:val="BodyText"/>
        <w:ind w:left="709"/>
        <w:spacing w:line="218" w:lineRule="auto"/>
        <w:rPr>
          <w:sz w:val="24"/>
          <w:szCs w:val="24"/>
        </w:rPr>
      </w:pPr>
      <w:r>
        <w:rPr>
          <w:sz w:val="24"/>
          <w:szCs w:val="24"/>
          <w:spacing w:val="-1"/>
        </w:rPr>
        <w:t>材料储存均依托现有工程的原料仓X7。</w:t>
      </w:r>
    </w:p>
    <w:p>
      <w:pPr>
        <w:pStyle w:val="BodyText"/>
        <w:ind w:left="709" w:right="137" w:firstLine="500"/>
        <w:spacing w:before="176" w:line="354" w:lineRule="auto"/>
        <w:jc w:val="both"/>
        <w:rPr>
          <w:sz w:val="24"/>
          <w:szCs w:val="24"/>
        </w:rPr>
      </w:pPr>
      <w:r>
        <w:rPr>
          <w:sz w:val="24"/>
          <w:szCs w:val="24"/>
          <w:spacing w:val="-1"/>
        </w:rPr>
        <w:t>根据一、二期工程的环评、验收报告，对照《建设项目环境风险评价技术</w:t>
      </w:r>
      <w:r>
        <w:rPr>
          <w:sz w:val="24"/>
          <w:szCs w:val="24"/>
          <w:spacing w:val="10"/>
        </w:rPr>
        <w:t xml:space="preserve"> </w:t>
      </w:r>
      <w:r>
        <w:rPr>
          <w:sz w:val="24"/>
          <w:szCs w:val="24"/>
          <w:spacing w:val="-1"/>
        </w:rPr>
        <w:t>导则》</w:t>
      </w:r>
      <w:r>
        <w:rPr>
          <w:sz w:val="24"/>
          <w:szCs w:val="24"/>
          <w:spacing w:val="107"/>
        </w:rPr>
        <w:t xml:space="preserve"> </w:t>
      </w:r>
      <w:r>
        <w:rPr>
          <w:sz w:val="24"/>
          <w:szCs w:val="24"/>
          <w:spacing w:val="-1"/>
        </w:rPr>
        <w:t>(HJ169-2018)</w:t>
      </w:r>
      <w:r>
        <w:rPr>
          <w:sz w:val="24"/>
          <w:szCs w:val="24"/>
          <w:spacing w:val="52"/>
        </w:rPr>
        <w:t xml:space="preserve"> </w:t>
      </w:r>
      <w:r>
        <w:rPr>
          <w:sz w:val="24"/>
          <w:szCs w:val="24"/>
          <w:spacing w:val="-1"/>
        </w:rPr>
        <w:t>附录</w:t>
      </w:r>
      <w:r>
        <w:rPr>
          <w:rFonts w:ascii="Times New Roman" w:hAnsi="Times New Roman" w:eastAsia="Times New Roman" w:cs="Times New Roman"/>
          <w:sz w:val="24"/>
          <w:szCs w:val="24"/>
          <w:spacing w:val="-1"/>
        </w:rPr>
        <w:t>B</w:t>
      </w:r>
      <w:r>
        <w:rPr>
          <w:rFonts w:ascii="Times New Roman" w:hAnsi="Times New Roman" w:eastAsia="Times New Roman" w:cs="Times New Roman"/>
          <w:sz w:val="24"/>
          <w:szCs w:val="24"/>
          <w:spacing w:val="24"/>
        </w:rPr>
        <w:t xml:space="preserve"> </w:t>
      </w:r>
      <w:r>
        <w:rPr>
          <w:sz w:val="24"/>
          <w:szCs w:val="24"/>
          <w:spacing w:val="-1"/>
        </w:rPr>
        <w:t>表</w:t>
      </w:r>
      <w:r>
        <w:rPr>
          <w:sz w:val="24"/>
          <w:szCs w:val="24"/>
          <w:spacing w:val="-52"/>
        </w:rPr>
        <w:t xml:space="preserve"> </w:t>
      </w:r>
      <w:r>
        <w:rPr>
          <w:rFonts w:ascii="Times New Roman" w:hAnsi="Times New Roman" w:eastAsia="Times New Roman" w:cs="Times New Roman"/>
          <w:sz w:val="24"/>
          <w:szCs w:val="24"/>
          <w:spacing w:val="-1"/>
        </w:rPr>
        <w:t>B.1 </w:t>
      </w:r>
      <w:r>
        <w:rPr>
          <w:sz w:val="24"/>
          <w:szCs w:val="24"/>
          <w:spacing w:val="-1"/>
        </w:rPr>
        <w:t>及表</w:t>
      </w:r>
      <w:r>
        <w:rPr>
          <w:sz w:val="24"/>
          <w:szCs w:val="24"/>
          <w:spacing w:val="-31"/>
        </w:rPr>
        <w:t xml:space="preserve"> </w:t>
      </w:r>
      <w:r>
        <w:rPr>
          <w:rFonts w:ascii="Times New Roman" w:hAnsi="Times New Roman" w:eastAsia="Times New Roman" w:cs="Times New Roman"/>
          <w:sz w:val="24"/>
          <w:szCs w:val="24"/>
          <w:spacing w:val="-1"/>
        </w:rPr>
        <w:t>B.2,  </w:t>
      </w:r>
      <w:r>
        <w:rPr>
          <w:rFonts w:ascii="Times New Roman" w:hAnsi="Times New Roman" w:eastAsia="Times New Roman" w:cs="Times New Roman"/>
          <w:sz w:val="24"/>
          <w:szCs w:val="24"/>
          <w:spacing w:val="-2"/>
        </w:rPr>
        <w:t xml:space="preserve"> </w:t>
      </w:r>
      <w:r>
        <w:rPr>
          <w:sz w:val="24"/>
          <w:szCs w:val="24"/>
          <w:spacing w:val="-2"/>
        </w:rPr>
        <w:t>本项目扩建后，厂区内危险物</w:t>
      </w:r>
    </w:p>
    <w:p>
      <w:pPr>
        <w:pStyle w:val="BodyText"/>
        <w:ind w:left="709"/>
        <w:spacing w:before="1" w:line="218" w:lineRule="auto"/>
        <w:rPr>
          <w:sz w:val="24"/>
          <w:szCs w:val="24"/>
        </w:rPr>
      </w:pPr>
      <w:r>
        <w:rPr>
          <w:sz w:val="24"/>
          <w:szCs w:val="24"/>
          <w:spacing w:val="-6"/>
        </w:rPr>
        <w:t>质数量和分布情况见表4.8-1。</w:t>
      </w:r>
    </w:p>
    <w:p>
      <w:pPr>
        <w:pStyle w:val="BodyText"/>
        <w:ind w:left="2453"/>
        <w:spacing w:before="191" w:line="219" w:lineRule="auto"/>
        <w:rPr>
          <w:sz w:val="24"/>
          <w:szCs w:val="24"/>
        </w:rPr>
      </w:pPr>
      <w:r>
        <w:rPr>
          <w:sz w:val="24"/>
          <w:szCs w:val="24"/>
          <w:b/>
          <w:bCs/>
          <w:spacing w:val="15"/>
        </w:rPr>
        <w:t>表4.8-1</w:t>
      </w:r>
      <w:r>
        <w:rPr>
          <w:sz w:val="24"/>
          <w:szCs w:val="24"/>
          <w:spacing w:val="15"/>
        </w:rPr>
        <w:t xml:space="preserve"> </w:t>
      </w:r>
      <w:r>
        <w:rPr>
          <w:sz w:val="24"/>
          <w:szCs w:val="24"/>
          <w:b/>
          <w:bCs/>
          <w:spacing w:val="15"/>
        </w:rPr>
        <w:t>厂区危险物质数量及分布一</w:t>
      </w:r>
      <w:r>
        <w:rPr>
          <w:sz w:val="24"/>
          <w:szCs w:val="24"/>
          <w:b/>
          <w:bCs/>
          <w:spacing w:val="14"/>
        </w:rPr>
        <w:t>览表</w:t>
      </w:r>
    </w:p>
    <w:p>
      <w:pPr>
        <w:spacing w:line="146" w:lineRule="exact"/>
        <w:rPr/>
      </w:pPr>
      <w:r/>
    </w:p>
    <w:tbl>
      <w:tblPr>
        <w:tblStyle w:val="TableNormal"/>
        <w:tblW w:w="8969" w:type="dxa"/>
        <w:tblInd w:w="2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2"/>
        <w:gridCol w:w="1316"/>
        <w:gridCol w:w="2511"/>
        <w:gridCol w:w="1083"/>
        <w:gridCol w:w="648"/>
        <w:gridCol w:w="1033"/>
        <w:gridCol w:w="779"/>
        <w:gridCol w:w="1027"/>
      </w:tblGrid>
      <w:tr>
        <w:trPr>
          <w:trHeight w:val="824" w:hRule="atLeast"/>
        </w:trPr>
        <w:tc>
          <w:tcPr>
            <w:tcW w:w="572" w:type="dxa"/>
            <w:vAlign w:val="top"/>
            <w:vMerge w:val="restart"/>
            <w:tcBorders>
              <w:bottom w:val="nil"/>
            </w:tcBorders>
          </w:tcPr>
          <w:p>
            <w:pPr>
              <w:rPr>
                <w:rFonts w:ascii="Arial"/>
                <w:sz w:val="21"/>
              </w:rPr>
            </w:pPr>
            <w:r/>
          </w:p>
        </w:tc>
        <w:tc>
          <w:tcPr>
            <w:tcW w:w="1316" w:type="dxa"/>
            <w:vAlign w:val="top"/>
          </w:tcPr>
          <w:p>
            <w:pPr>
              <w:spacing w:line="247" w:lineRule="auto"/>
              <w:rPr>
                <w:rFonts w:ascii="Arial"/>
                <w:sz w:val="21"/>
              </w:rPr>
            </w:pPr>
            <w:r/>
          </w:p>
          <w:p>
            <w:pPr>
              <w:pStyle w:val="TableText"/>
              <w:ind w:left="352"/>
              <w:spacing w:before="65" w:line="220" w:lineRule="auto"/>
              <w:rPr>
                <w:sz w:val="20"/>
                <w:szCs w:val="20"/>
              </w:rPr>
            </w:pPr>
            <w:r>
              <w:rPr>
                <w:sz w:val="20"/>
                <w:szCs w:val="20"/>
                <w:spacing w:val="-2"/>
              </w:rPr>
              <w:t>物料名称</w:t>
            </w:r>
          </w:p>
        </w:tc>
        <w:tc>
          <w:tcPr>
            <w:tcW w:w="2511" w:type="dxa"/>
            <w:vAlign w:val="top"/>
          </w:tcPr>
          <w:p>
            <w:pPr>
              <w:spacing w:line="247" w:lineRule="auto"/>
              <w:rPr>
                <w:rFonts w:ascii="Arial"/>
                <w:sz w:val="21"/>
              </w:rPr>
            </w:pPr>
            <w:r/>
          </w:p>
          <w:p>
            <w:pPr>
              <w:pStyle w:val="TableText"/>
              <w:ind w:left="926"/>
              <w:spacing w:before="65" w:line="220" w:lineRule="auto"/>
              <w:rPr>
                <w:sz w:val="20"/>
                <w:szCs w:val="20"/>
              </w:rPr>
            </w:pPr>
            <w:r>
              <w:rPr>
                <w:sz w:val="20"/>
                <w:szCs w:val="20"/>
                <w:spacing w:val="-2"/>
              </w:rPr>
              <w:t>主要成分</w:t>
            </w:r>
          </w:p>
        </w:tc>
        <w:tc>
          <w:tcPr>
            <w:tcW w:w="1083" w:type="dxa"/>
            <w:vAlign w:val="top"/>
          </w:tcPr>
          <w:p>
            <w:pPr>
              <w:pStyle w:val="TableText"/>
              <w:ind w:left="435" w:right="195" w:hanging="149"/>
              <w:spacing w:before="191" w:line="233" w:lineRule="auto"/>
              <w:rPr>
                <w:sz w:val="20"/>
                <w:szCs w:val="20"/>
              </w:rPr>
            </w:pPr>
            <w:r>
              <w:rPr>
                <w:sz w:val="20"/>
                <w:szCs w:val="20"/>
                <w:spacing w:val="-3"/>
              </w:rPr>
              <w:t>贮存量</w:t>
            </w:r>
            <w:r>
              <w:rPr>
                <w:sz w:val="20"/>
                <w:szCs w:val="20"/>
              </w:rPr>
              <w:t xml:space="preserve"> </w:t>
            </w:r>
            <w:r>
              <w:rPr>
                <w:sz w:val="20"/>
                <w:szCs w:val="20"/>
                <w:spacing w:val="-10"/>
              </w:rPr>
              <w:t>(t)</w:t>
            </w:r>
          </w:p>
        </w:tc>
        <w:tc>
          <w:tcPr>
            <w:tcW w:w="648" w:type="dxa"/>
            <w:vAlign w:val="top"/>
          </w:tcPr>
          <w:p>
            <w:pPr>
              <w:spacing w:line="249" w:lineRule="auto"/>
              <w:rPr>
                <w:rFonts w:ascii="Arial"/>
                <w:sz w:val="21"/>
              </w:rPr>
            </w:pPr>
            <w:r/>
          </w:p>
          <w:p>
            <w:pPr>
              <w:pStyle w:val="TableText"/>
              <w:ind w:left="163"/>
              <w:spacing w:before="65" w:line="221" w:lineRule="auto"/>
              <w:rPr>
                <w:sz w:val="20"/>
                <w:szCs w:val="20"/>
              </w:rPr>
            </w:pPr>
            <w:r>
              <w:rPr>
                <w:sz w:val="20"/>
                <w:szCs w:val="20"/>
                <w:spacing w:val="5"/>
              </w:rPr>
              <w:t>形态</w:t>
            </w:r>
          </w:p>
        </w:tc>
        <w:tc>
          <w:tcPr>
            <w:tcW w:w="1033" w:type="dxa"/>
            <w:vAlign w:val="top"/>
          </w:tcPr>
          <w:p>
            <w:pPr>
              <w:pStyle w:val="TableText"/>
              <w:ind w:left="444" w:right="185" w:hanging="200"/>
              <w:spacing w:before="184" w:line="235" w:lineRule="auto"/>
              <w:rPr>
                <w:sz w:val="20"/>
                <w:szCs w:val="20"/>
              </w:rPr>
            </w:pPr>
            <w:r>
              <w:rPr>
                <w:sz w:val="20"/>
                <w:szCs w:val="20"/>
                <w:spacing w:val="-3"/>
              </w:rPr>
              <w:t>包装方</w:t>
            </w:r>
            <w:r>
              <w:rPr>
                <w:sz w:val="20"/>
                <w:szCs w:val="20"/>
              </w:rPr>
              <w:t xml:space="preserve"> </w:t>
            </w:r>
            <w:r>
              <w:rPr>
                <w:sz w:val="20"/>
                <w:szCs w:val="20"/>
              </w:rPr>
              <w:t>式</w:t>
            </w:r>
          </w:p>
        </w:tc>
        <w:tc>
          <w:tcPr>
            <w:tcW w:w="779" w:type="dxa"/>
            <w:vAlign w:val="top"/>
          </w:tcPr>
          <w:p>
            <w:pPr>
              <w:pStyle w:val="TableText"/>
              <w:ind w:left="202"/>
              <w:spacing w:before="42" w:line="280" w:lineRule="exact"/>
              <w:rPr>
                <w:sz w:val="20"/>
                <w:szCs w:val="20"/>
              </w:rPr>
            </w:pPr>
            <w:r>
              <w:rPr>
                <w:sz w:val="20"/>
                <w:szCs w:val="20"/>
                <w:spacing w:val="-3"/>
                <w:position w:val="5"/>
              </w:rPr>
              <w:t>来料</w:t>
            </w:r>
          </w:p>
          <w:p>
            <w:pPr>
              <w:pStyle w:val="TableText"/>
              <w:ind w:left="202"/>
              <w:spacing w:line="219" w:lineRule="auto"/>
              <w:rPr>
                <w:sz w:val="20"/>
                <w:szCs w:val="20"/>
              </w:rPr>
            </w:pPr>
            <w:r>
              <w:rPr>
                <w:sz w:val="20"/>
                <w:szCs w:val="20"/>
                <w:spacing w:val="-2"/>
              </w:rPr>
              <w:t>运输</w:t>
            </w:r>
          </w:p>
          <w:p>
            <w:pPr>
              <w:pStyle w:val="TableText"/>
              <w:ind w:left="202"/>
              <w:spacing w:before="33" w:line="203" w:lineRule="auto"/>
              <w:rPr>
                <w:sz w:val="20"/>
                <w:szCs w:val="20"/>
              </w:rPr>
            </w:pPr>
            <w:r>
              <w:rPr>
                <w:sz w:val="20"/>
                <w:szCs w:val="20"/>
                <w:spacing w:val="-3"/>
              </w:rPr>
              <w:t>方式</w:t>
            </w:r>
          </w:p>
        </w:tc>
        <w:tc>
          <w:tcPr>
            <w:tcW w:w="1027" w:type="dxa"/>
            <w:vAlign w:val="top"/>
          </w:tcPr>
          <w:p>
            <w:pPr>
              <w:pStyle w:val="TableText"/>
              <w:ind w:left="162"/>
              <w:spacing w:before="192" w:line="241" w:lineRule="auto"/>
              <w:rPr>
                <w:sz w:val="20"/>
                <w:szCs w:val="20"/>
              </w:rPr>
            </w:pPr>
            <w:r>
              <w:rPr>
                <w:sz w:val="20"/>
                <w:szCs w:val="20"/>
                <w:spacing w:val="-2"/>
              </w:rPr>
              <w:t>储存场</w:t>
            </w:r>
          </w:p>
          <w:p>
            <w:pPr>
              <w:pStyle w:val="TableText"/>
              <w:ind w:left="363"/>
              <w:spacing w:line="220" w:lineRule="auto"/>
              <w:rPr>
                <w:sz w:val="20"/>
                <w:szCs w:val="20"/>
              </w:rPr>
            </w:pPr>
            <w:r>
              <w:rPr>
                <w:sz w:val="20"/>
                <w:szCs w:val="20"/>
              </w:rPr>
              <w:t>所</w:t>
            </w:r>
          </w:p>
        </w:tc>
      </w:tr>
      <w:tr>
        <w:trPr>
          <w:trHeight w:val="280" w:hRule="atLeast"/>
        </w:trPr>
        <w:tc>
          <w:tcPr>
            <w:tcW w:w="572" w:type="dxa"/>
            <w:vAlign w:val="top"/>
            <w:vMerge w:val="continue"/>
            <w:tcBorders>
              <w:top w:val="nil"/>
              <w:bottom w:val="nil"/>
            </w:tcBorders>
          </w:tcPr>
          <w:p>
            <w:pPr>
              <w:rPr>
                <w:rFonts w:ascii="Arial"/>
                <w:sz w:val="21"/>
              </w:rPr>
            </w:pPr>
            <w:r/>
          </w:p>
        </w:tc>
        <w:tc>
          <w:tcPr>
            <w:tcW w:w="8397" w:type="dxa"/>
            <w:vAlign w:val="top"/>
            <w:gridSpan w:val="7"/>
          </w:tcPr>
          <w:p>
            <w:pPr>
              <w:pStyle w:val="TableText"/>
              <w:ind w:left="3592"/>
              <w:spacing w:before="40" w:line="212" w:lineRule="auto"/>
              <w:rPr>
                <w:sz w:val="20"/>
                <w:szCs w:val="20"/>
              </w:rPr>
            </w:pPr>
            <w:r>
              <w:rPr>
                <w:sz w:val="20"/>
                <w:szCs w:val="20"/>
                <w:spacing w:val="3"/>
              </w:rPr>
              <w:t>一期工程范围</w:t>
            </w:r>
          </w:p>
        </w:tc>
      </w:tr>
      <w:tr>
        <w:trPr>
          <w:trHeight w:val="549" w:hRule="atLeast"/>
        </w:trPr>
        <w:tc>
          <w:tcPr>
            <w:tcW w:w="572" w:type="dxa"/>
            <w:vAlign w:val="top"/>
            <w:vMerge w:val="continue"/>
            <w:tcBorders>
              <w:top w:val="nil"/>
              <w:bottom w:val="nil"/>
            </w:tcBorders>
          </w:tcPr>
          <w:p>
            <w:pPr>
              <w:rPr>
                <w:rFonts w:ascii="Arial"/>
                <w:sz w:val="21"/>
              </w:rPr>
            </w:pPr>
            <w:r/>
          </w:p>
        </w:tc>
        <w:tc>
          <w:tcPr>
            <w:tcW w:w="1316" w:type="dxa"/>
            <w:vAlign w:val="top"/>
          </w:tcPr>
          <w:p>
            <w:pPr>
              <w:pStyle w:val="TableText"/>
              <w:ind w:left="502" w:right="160" w:hanging="150"/>
              <w:spacing w:before="49" w:line="226" w:lineRule="auto"/>
              <w:rPr>
                <w:sz w:val="20"/>
                <w:szCs w:val="20"/>
              </w:rPr>
            </w:pPr>
            <w:r>
              <w:rPr>
                <w:sz w:val="20"/>
                <w:szCs w:val="20"/>
                <w:spacing w:val="-2"/>
              </w:rPr>
              <w:t>三元材料</w:t>
            </w:r>
            <w:r>
              <w:rPr>
                <w:sz w:val="20"/>
                <w:szCs w:val="20"/>
              </w:rPr>
              <w:t xml:space="preserve"> </w:t>
            </w:r>
            <w:r>
              <w:rPr>
                <w:sz w:val="20"/>
                <w:szCs w:val="20"/>
                <w:spacing w:val="-9"/>
              </w:rPr>
              <w:t>(NCM)</w:t>
            </w:r>
          </w:p>
        </w:tc>
        <w:tc>
          <w:tcPr>
            <w:tcW w:w="2511" w:type="dxa"/>
            <w:vAlign w:val="top"/>
          </w:tcPr>
          <w:p>
            <w:pPr>
              <w:pStyle w:val="TableText"/>
              <w:ind w:left="256"/>
              <w:spacing w:before="145" w:line="215" w:lineRule="auto"/>
              <w:rPr>
                <w:sz w:val="25"/>
                <w:szCs w:val="25"/>
              </w:rPr>
            </w:pPr>
            <w:r>
              <w:rPr>
                <w:sz w:val="25"/>
                <w:szCs w:val="25"/>
                <w:spacing w:val="-1"/>
              </w:rPr>
              <w:t>LiNi,CoyMni-x-yO:</w:t>
            </w:r>
          </w:p>
        </w:tc>
        <w:tc>
          <w:tcPr>
            <w:tcW w:w="1083" w:type="dxa"/>
            <w:vAlign w:val="top"/>
            <w:vMerge w:val="restart"/>
            <w:tcBorders>
              <w:bottom w:val="nil"/>
            </w:tcBorders>
          </w:tcPr>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285" w:right="75" w:hanging="100"/>
              <w:spacing w:before="65"/>
              <w:rPr>
                <w:sz w:val="20"/>
                <w:szCs w:val="20"/>
              </w:rPr>
            </w:pPr>
            <w:r>
              <w:rPr>
                <w:sz w:val="20"/>
                <w:szCs w:val="20"/>
                <w:spacing w:val="2"/>
              </w:rPr>
              <w:t>涉密，不 </w:t>
            </w:r>
            <w:r>
              <w:rPr>
                <w:sz w:val="20"/>
                <w:szCs w:val="20"/>
                <w:spacing w:val="2"/>
              </w:rPr>
              <w:t>予公开</w:t>
            </w:r>
          </w:p>
        </w:tc>
        <w:tc>
          <w:tcPr>
            <w:tcW w:w="648" w:type="dxa"/>
            <w:vAlign w:val="top"/>
          </w:tcPr>
          <w:p>
            <w:pPr>
              <w:pStyle w:val="TableText"/>
              <w:ind w:left="163"/>
              <w:spacing w:before="179" w:line="220" w:lineRule="auto"/>
              <w:rPr>
                <w:sz w:val="20"/>
                <w:szCs w:val="20"/>
              </w:rPr>
            </w:pPr>
            <w:r>
              <w:rPr>
                <w:sz w:val="20"/>
                <w:szCs w:val="20"/>
                <w:spacing w:val="5"/>
              </w:rPr>
              <w:t>固态</w:t>
            </w:r>
          </w:p>
        </w:tc>
        <w:tc>
          <w:tcPr>
            <w:tcW w:w="1033" w:type="dxa"/>
            <w:vAlign w:val="top"/>
          </w:tcPr>
          <w:p>
            <w:pPr>
              <w:pStyle w:val="TableText"/>
              <w:ind w:left="345"/>
              <w:spacing w:before="179" w:line="220" w:lineRule="auto"/>
              <w:rPr>
                <w:sz w:val="20"/>
                <w:szCs w:val="20"/>
              </w:rPr>
            </w:pPr>
            <w:r>
              <w:rPr>
                <w:sz w:val="20"/>
                <w:szCs w:val="20"/>
                <w:spacing w:val="-2"/>
              </w:rPr>
              <w:t>袋装</w:t>
            </w:r>
          </w:p>
        </w:tc>
        <w:tc>
          <w:tcPr>
            <w:tcW w:w="779" w:type="dxa"/>
            <w:vAlign w:val="top"/>
          </w:tcPr>
          <w:p>
            <w:pPr>
              <w:pStyle w:val="TableText"/>
              <w:ind w:left="202"/>
              <w:spacing w:before="179" w:line="219" w:lineRule="auto"/>
              <w:rPr>
                <w:sz w:val="20"/>
                <w:szCs w:val="20"/>
              </w:rPr>
            </w:pPr>
            <w:r>
              <w:rPr>
                <w:sz w:val="20"/>
                <w:szCs w:val="20"/>
                <w:spacing w:val="-2"/>
              </w:rPr>
              <w:t>汽车</w:t>
            </w:r>
          </w:p>
        </w:tc>
        <w:tc>
          <w:tcPr>
            <w:tcW w:w="1027" w:type="dxa"/>
            <w:vAlign w:val="top"/>
          </w:tcPr>
          <w:p>
            <w:pPr>
              <w:pStyle w:val="TableText"/>
              <w:ind w:left="262"/>
              <w:spacing w:before="179" w:line="219" w:lineRule="auto"/>
              <w:rPr>
                <w:sz w:val="20"/>
                <w:szCs w:val="20"/>
              </w:rPr>
            </w:pPr>
            <w:r>
              <w:rPr>
                <w:sz w:val="20"/>
                <w:szCs w:val="20"/>
                <w:spacing w:val="6"/>
              </w:rPr>
              <w:t>仓库</w:t>
            </w:r>
          </w:p>
        </w:tc>
      </w:tr>
      <w:tr>
        <w:trPr>
          <w:trHeight w:val="819" w:hRule="atLeast"/>
        </w:trPr>
        <w:tc>
          <w:tcPr>
            <w:tcW w:w="572" w:type="dxa"/>
            <w:vAlign w:val="top"/>
            <w:vMerge w:val="continue"/>
            <w:tcBorders>
              <w:top w:val="nil"/>
              <w:bottom w:val="nil"/>
            </w:tcBorders>
          </w:tcPr>
          <w:p>
            <w:pPr>
              <w:rPr>
                <w:rFonts w:ascii="Arial"/>
                <w:sz w:val="21"/>
              </w:rPr>
            </w:pPr>
            <w:r/>
          </w:p>
        </w:tc>
        <w:tc>
          <w:tcPr>
            <w:tcW w:w="1316" w:type="dxa"/>
            <w:vAlign w:val="top"/>
          </w:tcPr>
          <w:p>
            <w:pPr>
              <w:spacing w:line="244" w:lineRule="auto"/>
              <w:rPr>
                <w:rFonts w:ascii="Arial"/>
                <w:sz w:val="21"/>
              </w:rPr>
            </w:pPr>
            <w:r/>
          </w:p>
          <w:p>
            <w:pPr>
              <w:pStyle w:val="TableText"/>
              <w:ind w:left="452"/>
              <w:spacing w:before="65" w:line="220" w:lineRule="auto"/>
              <w:rPr>
                <w:sz w:val="20"/>
                <w:szCs w:val="20"/>
              </w:rPr>
            </w:pPr>
            <w:r>
              <w:rPr>
                <w:sz w:val="20"/>
                <w:szCs w:val="20"/>
                <w:spacing w:val="2"/>
              </w:rPr>
              <w:t>电解液</w:t>
            </w:r>
          </w:p>
        </w:tc>
        <w:tc>
          <w:tcPr>
            <w:tcW w:w="2511" w:type="dxa"/>
            <w:vAlign w:val="top"/>
          </w:tcPr>
          <w:p>
            <w:pPr>
              <w:pStyle w:val="TableText"/>
              <w:ind w:right="24"/>
              <w:spacing w:before="40" w:line="219" w:lineRule="auto"/>
              <w:jc w:val="right"/>
              <w:rPr>
                <w:sz w:val="20"/>
                <w:szCs w:val="20"/>
              </w:rPr>
            </w:pPr>
            <w:r>
              <w:rPr>
                <w:sz w:val="20"/>
                <w:szCs w:val="20"/>
                <w:spacing w:val="-1"/>
              </w:rPr>
              <w:t>电解质盐为六氟磷酸锂，</w:t>
            </w:r>
          </w:p>
          <w:p>
            <w:pPr>
              <w:pStyle w:val="TableText"/>
              <w:ind w:left="226"/>
              <w:spacing w:before="41" w:line="219" w:lineRule="auto"/>
              <w:rPr>
                <w:sz w:val="20"/>
                <w:szCs w:val="20"/>
              </w:rPr>
            </w:pPr>
            <w:r>
              <w:rPr>
                <w:sz w:val="20"/>
                <w:szCs w:val="20"/>
                <w:spacing w:val="-1"/>
              </w:rPr>
              <w:t>稀释剂为碳酸乙烯酯、碳</w:t>
            </w:r>
          </w:p>
          <w:p>
            <w:pPr>
              <w:pStyle w:val="TableText"/>
              <w:ind w:left="326"/>
              <w:spacing w:before="44" w:line="192" w:lineRule="auto"/>
              <w:rPr>
                <w:sz w:val="20"/>
                <w:szCs w:val="20"/>
              </w:rPr>
            </w:pPr>
            <w:r>
              <w:rPr>
                <w:sz w:val="20"/>
                <w:szCs w:val="20"/>
                <w:spacing w:val="1"/>
              </w:rPr>
              <w:t>酸二甲酯、碳酸甲乙酯</w:t>
            </w:r>
          </w:p>
        </w:tc>
        <w:tc>
          <w:tcPr>
            <w:tcW w:w="1083" w:type="dxa"/>
            <w:vAlign w:val="top"/>
            <w:vMerge w:val="continue"/>
            <w:tcBorders>
              <w:top w:val="nil"/>
              <w:bottom w:val="nil"/>
            </w:tcBorders>
          </w:tcPr>
          <w:p>
            <w:pPr>
              <w:rPr>
                <w:rFonts w:ascii="Arial"/>
                <w:sz w:val="21"/>
              </w:rPr>
            </w:pPr>
            <w:r/>
          </w:p>
        </w:tc>
        <w:tc>
          <w:tcPr>
            <w:tcW w:w="648" w:type="dxa"/>
            <w:vAlign w:val="top"/>
          </w:tcPr>
          <w:p>
            <w:pPr>
              <w:spacing w:line="244" w:lineRule="auto"/>
              <w:rPr>
                <w:rFonts w:ascii="Arial"/>
                <w:sz w:val="21"/>
              </w:rPr>
            </w:pPr>
            <w:r/>
          </w:p>
          <w:p>
            <w:pPr>
              <w:pStyle w:val="TableText"/>
              <w:ind w:left="163"/>
              <w:spacing w:before="65" w:line="220" w:lineRule="auto"/>
              <w:rPr>
                <w:sz w:val="20"/>
                <w:szCs w:val="20"/>
              </w:rPr>
            </w:pPr>
            <w:r>
              <w:rPr>
                <w:sz w:val="20"/>
                <w:szCs w:val="20"/>
                <w:spacing w:val="-3"/>
              </w:rPr>
              <w:t>液态</w:t>
            </w:r>
          </w:p>
        </w:tc>
        <w:tc>
          <w:tcPr>
            <w:tcW w:w="1033" w:type="dxa"/>
            <w:vAlign w:val="top"/>
          </w:tcPr>
          <w:p>
            <w:pPr>
              <w:spacing w:line="243" w:lineRule="auto"/>
              <w:rPr>
                <w:rFonts w:ascii="Arial"/>
                <w:sz w:val="21"/>
              </w:rPr>
            </w:pPr>
            <w:r/>
          </w:p>
          <w:p>
            <w:pPr>
              <w:pStyle w:val="TableText"/>
              <w:ind w:left="345"/>
              <w:spacing w:before="65" w:line="219" w:lineRule="auto"/>
              <w:rPr>
                <w:sz w:val="20"/>
                <w:szCs w:val="20"/>
              </w:rPr>
            </w:pPr>
            <w:r>
              <w:rPr>
                <w:sz w:val="20"/>
                <w:szCs w:val="20"/>
                <w:spacing w:val="-3"/>
              </w:rPr>
              <w:t>罐装</w:t>
            </w:r>
          </w:p>
        </w:tc>
        <w:tc>
          <w:tcPr>
            <w:tcW w:w="779" w:type="dxa"/>
            <w:vAlign w:val="top"/>
          </w:tcPr>
          <w:p>
            <w:pPr>
              <w:spacing w:line="243" w:lineRule="auto"/>
              <w:rPr>
                <w:rFonts w:ascii="Arial"/>
                <w:sz w:val="21"/>
              </w:rPr>
            </w:pPr>
            <w:r/>
          </w:p>
          <w:p>
            <w:pPr>
              <w:pStyle w:val="TableText"/>
              <w:ind w:left="202"/>
              <w:spacing w:before="65" w:line="219" w:lineRule="auto"/>
              <w:rPr>
                <w:sz w:val="20"/>
                <w:szCs w:val="20"/>
              </w:rPr>
            </w:pPr>
            <w:r>
              <w:rPr>
                <w:sz w:val="20"/>
                <w:szCs w:val="20"/>
                <w:spacing w:val="-2"/>
              </w:rPr>
              <w:t>汽车</w:t>
            </w:r>
          </w:p>
        </w:tc>
        <w:tc>
          <w:tcPr>
            <w:tcW w:w="1027" w:type="dxa"/>
            <w:vAlign w:val="top"/>
          </w:tcPr>
          <w:p>
            <w:pPr>
              <w:pStyle w:val="TableText"/>
              <w:ind w:left="162"/>
              <w:spacing w:before="180" w:line="269" w:lineRule="exact"/>
              <w:rPr>
                <w:sz w:val="20"/>
                <w:szCs w:val="20"/>
              </w:rPr>
            </w:pPr>
            <w:r>
              <w:rPr>
                <w:sz w:val="20"/>
                <w:szCs w:val="20"/>
                <w:spacing w:val="2"/>
                <w:position w:val="4"/>
              </w:rPr>
              <w:t>电解液</w:t>
            </w:r>
          </w:p>
          <w:p>
            <w:pPr>
              <w:pStyle w:val="TableText"/>
              <w:ind w:left="363"/>
              <w:spacing w:line="219" w:lineRule="auto"/>
              <w:rPr>
                <w:sz w:val="20"/>
                <w:szCs w:val="20"/>
              </w:rPr>
            </w:pPr>
            <w:r>
              <w:rPr>
                <w:sz w:val="20"/>
                <w:szCs w:val="20"/>
              </w:rPr>
              <w:t>库</w:t>
            </w:r>
          </w:p>
        </w:tc>
      </w:tr>
      <w:tr>
        <w:trPr>
          <w:trHeight w:val="509" w:hRule="atLeast"/>
        </w:trPr>
        <w:tc>
          <w:tcPr>
            <w:tcW w:w="572" w:type="dxa"/>
            <w:vAlign w:val="top"/>
            <w:vMerge w:val="continue"/>
            <w:tcBorders>
              <w:top w:val="nil"/>
              <w:bottom w:val="nil"/>
            </w:tcBorders>
          </w:tcPr>
          <w:p>
            <w:pPr>
              <w:rPr>
                <w:rFonts w:ascii="Arial"/>
                <w:sz w:val="21"/>
              </w:rPr>
            </w:pPr>
            <w:r/>
          </w:p>
        </w:tc>
        <w:tc>
          <w:tcPr>
            <w:tcW w:w="1316" w:type="dxa"/>
            <w:vAlign w:val="top"/>
          </w:tcPr>
          <w:p>
            <w:pPr>
              <w:pStyle w:val="TableText"/>
              <w:ind w:left="603"/>
              <w:spacing w:before="213" w:line="182" w:lineRule="auto"/>
              <w:rPr>
                <w:sz w:val="20"/>
                <w:szCs w:val="20"/>
              </w:rPr>
            </w:pPr>
            <w:r>
              <w:rPr>
                <w:sz w:val="20"/>
                <w:szCs w:val="20"/>
                <w:spacing w:val="-1"/>
              </w:rPr>
              <w:t>NMP</w:t>
            </w:r>
          </w:p>
        </w:tc>
        <w:tc>
          <w:tcPr>
            <w:tcW w:w="2511" w:type="dxa"/>
            <w:vAlign w:val="top"/>
          </w:tcPr>
          <w:p>
            <w:pPr>
              <w:pStyle w:val="TableText"/>
              <w:ind w:left="626"/>
              <w:spacing w:before="161" w:line="220" w:lineRule="auto"/>
              <w:rPr>
                <w:sz w:val="20"/>
                <w:szCs w:val="20"/>
              </w:rPr>
            </w:pPr>
            <w:r>
              <w:rPr>
                <w:sz w:val="20"/>
                <w:szCs w:val="20"/>
                <w:spacing w:val="-1"/>
              </w:rPr>
              <w:t>N-甲基吡咯烷酮</w:t>
            </w:r>
          </w:p>
        </w:tc>
        <w:tc>
          <w:tcPr>
            <w:tcW w:w="1083" w:type="dxa"/>
            <w:vAlign w:val="top"/>
            <w:vMerge w:val="continue"/>
            <w:tcBorders>
              <w:top w:val="nil"/>
              <w:bottom w:val="nil"/>
            </w:tcBorders>
          </w:tcPr>
          <w:p>
            <w:pPr>
              <w:rPr>
                <w:rFonts w:ascii="Arial"/>
                <w:sz w:val="21"/>
              </w:rPr>
            </w:pPr>
            <w:r/>
          </w:p>
        </w:tc>
        <w:tc>
          <w:tcPr>
            <w:tcW w:w="648" w:type="dxa"/>
            <w:vAlign w:val="top"/>
          </w:tcPr>
          <w:p>
            <w:pPr>
              <w:pStyle w:val="TableText"/>
              <w:ind w:left="163"/>
              <w:spacing w:before="161" w:line="220" w:lineRule="auto"/>
              <w:rPr>
                <w:sz w:val="20"/>
                <w:szCs w:val="20"/>
              </w:rPr>
            </w:pPr>
            <w:r>
              <w:rPr>
                <w:sz w:val="20"/>
                <w:szCs w:val="20"/>
                <w:spacing w:val="-3"/>
              </w:rPr>
              <w:t>液态</w:t>
            </w:r>
          </w:p>
        </w:tc>
        <w:tc>
          <w:tcPr>
            <w:tcW w:w="1033" w:type="dxa"/>
            <w:vAlign w:val="top"/>
          </w:tcPr>
          <w:p>
            <w:pPr>
              <w:pStyle w:val="TableText"/>
              <w:ind w:left="344" w:right="200" w:hanging="200"/>
              <w:spacing w:before="50" w:line="207" w:lineRule="auto"/>
              <w:rPr>
                <w:sz w:val="20"/>
                <w:szCs w:val="20"/>
              </w:rPr>
            </w:pPr>
            <w:r>
              <w:rPr>
                <w:sz w:val="20"/>
                <w:szCs w:val="20"/>
                <w:spacing w:val="-4"/>
              </w:rPr>
              <w:t>101.7m³</w:t>
            </w:r>
            <w:r>
              <w:rPr>
                <w:sz w:val="20"/>
                <w:szCs w:val="20"/>
                <w:spacing w:val="4"/>
              </w:rPr>
              <w:t xml:space="preserve"> </w:t>
            </w:r>
            <w:r>
              <w:rPr>
                <w:sz w:val="20"/>
                <w:szCs w:val="20"/>
                <w:spacing w:val="-2"/>
              </w:rPr>
              <w:t>储罐</w:t>
            </w:r>
          </w:p>
        </w:tc>
        <w:tc>
          <w:tcPr>
            <w:tcW w:w="779" w:type="dxa"/>
            <w:vAlign w:val="top"/>
          </w:tcPr>
          <w:p>
            <w:pPr>
              <w:pStyle w:val="TableText"/>
              <w:ind w:left="202"/>
              <w:spacing w:before="161" w:line="219" w:lineRule="auto"/>
              <w:rPr>
                <w:sz w:val="20"/>
                <w:szCs w:val="20"/>
              </w:rPr>
            </w:pPr>
            <w:r>
              <w:rPr>
                <w:sz w:val="20"/>
                <w:szCs w:val="20"/>
                <w:spacing w:val="-2"/>
              </w:rPr>
              <w:t>槽车</w:t>
            </w:r>
          </w:p>
        </w:tc>
        <w:tc>
          <w:tcPr>
            <w:tcW w:w="1027" w:type="dxa"/>
            <w:vAlign w:val="top"/>
          </w:tcPr>
          <w:p>
            <w:pPr>
              <w:pStyle w:val="TableText"/>
              <w:ind w:left="313"/>
              <w:spacing w:before="83" w:line="182" w:lineRule="auto"/>
              <w:rPr>
                <w:sz w:val="20"/>
                <w:szCs w:val="20"/>
              </w:rPr>
            </w:pPr>
            <w:r>
              <w:rPr>
                <w:sz w:val="20"/>
                <w:szCs w:val="20"/>
                <w:spacing w:val="-1"/>
              </w:rPr>
              <w:t>NMP</w:t>
            </w:r>
          </w:p>
          <w:p>
            <w:pPr>
              <w:pStyle w:val="TableText"/>
              <w:ind w:left="152"/>
              <w:spacing w:line="201" w:lineRule="auto"/>
              <w:rPr>
                <w:sz w:val="20"/>
                <w:szCs w:val="20"/>
              </w:rPr>
            </w:pPr>
            <w:r>
              <w:rPr>
                <w:sz w:val="20"/>
                <w:szCs w:val="20"/>
                <w:spacing w:val="-11"/>
              </w:rPr>
              <w:t>罐 区</w:t>
            </w:r>
            <w:r>
              <w:rPr>
                <w:sz w:val="20"/>
                <w:szCs w:val="20"/>
                <w:spacing w:val="-32"/>
              </w:rPr>
              <w:t xml:space="preserve"> </w:t>
            </w:r>
            <w:r>
              <w:rPr>
                <w:sz w:val="20"/>
                <w:szCs w:val="20"/>
                <w:spacing w:val="-11"/>
              </w:rPr>
              <w:t>A</w:t>
            </w:r>
          </w:p>
        </w:tc>
      </w:tr>
      <w:tr>
        <w:trPr>
          <w:trHeight w:val="509" w:hRule="atLeast"/>
        </w:trPr>
        <w:tc>
          <w:tcPr>
            <w:tcW w:w="572" w:type="dxa"/>
            <w:vAlign w:val="top"/>
            <w:vMerge w:val="continue"/>
            <w:tcBorders>
              <w:top w:val="nil"/>
              <w:bottom w:val="nil"/>
            </w:tcBorders>
          </w:tcPr>
          <w:p>
            <w:pPr>
              <w:rPr>
                <w:rFonts w:ascii="Arial"/>
                <w:sz w:val="21"/>
              </w:rPr>
            </w:pPr>
            <w:r/>
          </w:p>
        </w:tc>
        <w:tc>
          <w:tcPr>
            <w:tcW w:w="1316" w:type="dxa"/>
            <w:vAlign w:val="top"/>
          </w:tcPr>
          <w:p>
            <w:pPr>
              <w:pStyle w:val="TableText"/>
              <w:ind w:left="503"/>
              <w:spacing w:before="162" w:line="220" w:lineRule="auto"/>
              <w:rPr>
                <w:sz w:val="20"/>
                <w:szCs w:val="20"/>
              </w:rPr>
            </w:pPr>
            <w:r>
              <w:rPr>
                <w:sz w:val="20"/>
                <w:szCs w:val="20"/>
                <w:spacing w:val="-2"/>
              </w:rPr>
              <w:t>废NMP</w:t>
            </w:r>
          </w:p>
        </w:tc>
        <w:tc>
          <w:tcPr>
            <w:tcW w:w="2511" w:type="dxa"/>
            <w:vAlign w:val="top"/>
          </w:tcPr>
          <w:p>
            <w:pPr>
              <w:pStyle w:val="TableText"/>
              <w:ind w:left="626"/>
              <w:spacing w:before="162" w:line="220" w:lineRule="auto"/>
              <w:rPr>
                <w:sz w:val="20"/>
                <w:szCs w:val="20"/>
              </w:rPr>
            </w:pPr>
            <w:r>
              <w:rPr>
                <w:sz w:val="20"/>
                <w:szCs w:val="20"/>
                <w:spacing w:val="-1"/>
              </w:rPr>
              <w:t>N-甲基吡咯烷酮</w:t>
            </w:r>
          </w:p>
        </w:tc>
        <w:tc>
          <w:tcPr>
            <w:tcW w:w="1083" w:type="dxa"/>
            <w:vAlign w:val="top"/>
            <w:vMerge w:val="continue"/>
            <w:tcBorders>
              <w:top w:val="nil"/>
              <w:bottom w:val="nil"/>
            </w:tcBorders>
          </w:tcPr>
          <w:p>
            <w:pPr>
              <w:rPr>
                <w:rFonts w:ascii="Arial"/>
                <w:sz w:val="21"/>
              </w:rPr>
            </w:pPr>
            <w:r/>
          </w:p>
        </w:tc>
        <w:tc>
          <w:tcPr>
            <w:tcW w:w="648" w:type="dxa"/>
            <w:vAlign w:val="top"/>
          </w:tcPr>
          <w:p>
            <w:pPr>
              <w:pStyle w:val="TableText"/>
              <w:ind w:left="163"/>
              <w:spacing w:before="162" w:line="220" w:lineRule="auto"/>
              <w:rPr>
                <w:sz w:val="20"/>
                <w:szCs w:val="20"/>
              </w:rPr>
            </w:pPr>
            <w:r>
              <w:rPr>
                <w:sz w:val="20"/>
                <w:szCs w:val="20"/>
                <w:spacing w:val="-3"/>
              </w:rPr>
              <w:t>液态</w:t>
            </w:r>
          </w:p>
        </w:tc>
        <w:tc>
          <w:tcPr>
            <w:tcW w:w="1033" w:type="dxa"/>
            <w:vAlign w:val="top"/>
          </w:tcPr>
          <w:p>
            <w:pPr>
              <w:pStyle w:val="TableText"/>
              <w:ind w:left="344" w:right="200" w:hanging="200"/>
              <w:spacing w:before="41" w:line="211" w:lineRule="auto"/>
              <w:rPr>
                <w:sz w:val="20"/>
                <w:szCs w:val="20"/>
              </w:rPr>
            </w:pPr>
            <w:r>
              <w:rPr>
                <w:sz w:val="20"/>
                <w:szCs w:val="20"/>
                <w:spacing w:val="-4"/>
              </w:rPr>
              <w:t>101.7m³</w:t>
            </w:r>
            <w:r>
              <w:rPr>
                <w:sz w:val="20"/>
                <w:szCs w:val="20"/>
                <w:spacing w:val="4"/>
              </w:rPr>
              <w:t xml:space="preserve"> </w:t>
            </w:r>
            <w:r>
              <w:rPr>
                <w:sz w:val="20"/>
                <w:szCs w:val="20"/>
                <w:spacing w:val="-2"/>
              </w:rPr>
              <w:t>储罐</w:t>
            </w:r>
          </w:p>
        </w:tc>
        <w:tc>
          <w:tcPr>
            <w:tcW w:w="779" w:type="dxa"/>
            <w:vAlign w:val="top"/>
          </w:tcPr>
          <w:p>
            <w:pPr>
              <w:pStyle w:val="TableText"/>
              <w:ind w:left="202"/>
              <w:spacing w:before="162" w:line="219" w:lineRule="auto"/>
              <w:rPr>
                <w:sz w:val="20"/>
                <w:szCs w:val="20"/>
              </w:rPr>
            </w:pPr>
            <w:r>
              <w:rPr>
                <w:sz w:val="20"/>
                <w:szCs w:val="20"/>
                <w:spacing w:val="4"/>
              </w:rPr>
              <w:t>管道</w:t>
            </w:r>
          </w:p>
        </w:tc>
        <w:tc>
          <w:tcPr>
            <w:tcW w:w="1027" w:type="dxa"/>
            <w:vAlign w:val="top"/>
          </w:tcPr>
          <w:p>
            <w:pPr>
              <w:pStyle w:val="TableText"/>
              <w:ind w:left="313"/>
              <w:spacing w:before="105" w:line="163" w:lineRule="auto"/>
              <w:rPr>
                <w:sz w:val="20"/>
                <w:szCs w:val="20"/>
              </w:rPr>
            </w:pPr>
            <w:r>
              <w:rPr>
                <w:sz w:val="20"/>
                <w:szCs w:val="20"/>
                <w:spacing w:val="-1"/>
              </w:rPr>
              <w:t>NMP</w:t>
            </w:r>
          </w:p>
          <w:p>
            <w:pPr>
              <w:pStyle w:val="TableText"/>
              <w:ind w:left="162"/>
              <w:spacing w:line="200" w:lineRule="auto"/>
              <w:rPr>
                <w:sz w:val="20"/>
                <w:szCs w:val="20"/>
              </w:rPr>
            </w:pPr>
            <w:r>
              <w:rPr>
                <w:sz w:val="20"/>
                <w:szCs w:val="20"/>
                <w:spacing w:val="-11"/>
              </w:rPr>
              <w:t>罐</w:t>
            </w:r>
            <w:r>
              <w:rPr>
                <w:sz w:val="20"/>
                <w:szCs w:val="20"/>
                <w:spacing w:val="-21"/>
              </w:rPr>
              <w:t xml:space="preserve"> </w:t>
            </w:r>
            <w:r>
              <w:rPr>
                <w:sz w:val="20"/>
                <w:szCs w:val="20"/>
                <w:spacing w:val="-11"/>
              </w:rPr>
              <w:t>区</w:t>
            </w:r>
            <w:r>
              <w:rPr>
                <w:sz w:val="20"/>
                <w:szCs w:val="20"/>
                <w:spacing w:val="-42"/>
              </w:rPr>
              <w:t xml:space="preserve"> </w:t>
            </w:r>
            <w:r>
              <w:rPr>
                <w:sz w:val="20"/>
                <w:szCs w:val="20"/>
                <w:spacing w:val="-11"/>
              </w:rPr>
              <w:t>A</w:t>
            </w:r>
          </w:p>
        </w:tc>
      </w:tr>
      <w:tr>
        <w:trPr>
          <w:trHeight w:val="290" w:hRule="atLeast"/>
        </w:trPr>
        <w:tc>
          <w:tcPr>
            <w:tcW w:w="572" w:type="dxa"/>
            <w:vAlign w:val="top"/>
            <w:vMerge w:val="continue"/>
            <w:tcBorders>
              <w:top w:val="nil"/>
              <w:bottom w:val="nil"/>
            </w:tcBorders>
          </w:tcPr>
          <w:p>
            <w:pPr>
              <w:rPr>
                <w:rFonts w:ascii="Arial"/>
                <w:sz w:val="21"/>
              </w:rPr>
            </w:pPr>
            <w:r/>
          </w:p>
        </w:tc>
        <w:tc>
          <w:tcPr>
            <w:tcW w:w="1316" w:type="dxa"/>
            <w:vAlign w:val="top"/>
          </w:tcPr>
          <w:p>
            <w:pPr>
              <w:pStyle w:val="TableText"/>
              <w:ind w:left="452"/>
              <w:spacing w:before="53" w:line="209" w:lineRule="auto"/>
              <w:rPr>
                <w:sz w:val="20"/>
                <w:szCs w:val="20"/>
              </w:rPr>
            </w:pPr>
            <w:r>
              <w:rPr>
                <w:sz w:val="20"/>
                <w:szCs w:val="20"/>
                <w:spacing w:val="4"/>
              </w:rPr>
              <w:t>天然气</w:t>
            </w:r>
          </w:p>
        </w:tc>
        <w:tc>
          <w:tcPr>
            <w:tcW w:w="2511" w:type="dxa"/>
            <w:vAlign w:val="top"/>
          </w:tcPr>
          <w:p>
            <w:pPr>
              <w:pStyle w:val="TableText"/>
              <w:ind w:left="1126"/>
              <w:spacing w:before="85" w:line="180" w:lineRule="auto"/>
              <w:rPr>
                <w:rFonts w:ascii="Calibri" w:hAnsi="Calibri" w:eastAsia="Calibri" w:cs="Calibri"/>
                <w:sz w:val="20"/>
                <w:szCs w:val="20"/>
              </w:rPr>
            </w:pPr>
            <w:r>
              <w:rPr>
                <w:sz w:val="20"/>
                <w:szCs w:val="20"/>
                <w:spacing w:val="-3"/>
              </w:rPr>
              <w:t>CH</w:t>
            </w:r>
            <w:r>
              <w:rPr>
                <w:rFonts w:ascii="Calibri" w:hAnsi="Calibri" w:eastAsia="Calibri" w:cs="Calibri"/>
                <w:sz w:val="20"/>
                <w:szCs w:val="20"/>
                <w:spacing w:val="-3"/>
              </w:rPr>
              <w:t>₄</w:t>
            </w:r>
          </w:p>
        </w:tc>
        <w:tc>
          <w:tcPr>
            <w:tcW w:w="1083" w:type="dxa"/>
            <w:vAlign w:val="top"/>
            <w:vMerge w:val="continue"/>
            <w:tcBorders>
              <w:top w:val="nil"/>
            </w:tcBorders>
          </w:tcPr>
          <w:p>
            <w:pPr>
              <w:rPr>
                <w:rFonts w:ascii="Arial"/>
                <w:sz w:val="21"/>
              </w:rPr>
            </w:pPr>
            <w:r/>
          </w:p>
        </w:tc>
        <w:tc>
          <w:tcPr>
            <w:tcW w:w="648" w:type="dxa"/>
            <w:vAlign w:val="top"/>
          </w:tcPr>
          <w:p>
            <w:pPr>
              <w:pStyle w:val="TableText"/>
              <w:ind w:left="163"/>
              <w:spacing w:before="54" w:line="208" w:lineRule="auto"/>
              <w:rPr>
                <w:sz w:val="20"/>
                <w:szCs w:val="20"/>
              </w:rPr>
            </w:pPr>
            <w:r>
              <w:rPr>
                <w:sz w:val="20"/>
                <w:szCs w:val="20"/>
                <w:spacing w:val="-3"/>
              </w:rPr>
              <w:t>气态</w:t>
            </w:r>
          </w:p>
        </w:tc>
        <w:tc>
          <w:tcPr>
            <w:tcW w:w="1033" w:type="dxa"/>
            <w:vAlign w:val="top"/>
          </w:tcPr>
          <w:p>
            <w:pPr>
              <w:pStyle w:val="TableText"/>
              <w:ind w:left="345"/>
              <w:spacing w:before="52" w:line="210" w:lineRule="auto"/>
              <w:rPr>
                <w:sz w:val="20"/>
                <w:szCs w:val="20"/>
              </w:rPr>
            </w:pPr>
            <w:r>
              <w:rPr>
                <w:sz w:val="20"/>
                <w:szCs w:val="20"/>
                <w:spacing w:val="4"/>
              </w:rPr>
              <w:t>管道</w:t>
            </w:r>
          </w:p>
        </w:tc>
        <w:tc>
          <w:tcPr>
            <w:tcW w:w="779" w:type="dxa"/>
            <w:vAlign w:val="top"/>
          </w:tcPr>
          <w:p>
            <w:pPr>
              <w:pStyle w:val="TableText"/>
              <w:ind w:left="202"/>
              <w:spacing w:before="52" w:line="210" w:lineRule="auto"/>
              <w:rPr>
                <w:sz w:val="20"/>
                <w:szCs w:val="20"/>
              </w:rPr>
            </w:pPr>
            <w:r>
              <w:rPr>
                <w:sz w:val="20"/>
                <w:szCs w:val="20"/>
                <w:spacing w:val="4"/>
              </w:rPr>
              <w:t>管道</w:t>
            </w:r>
          </w:p>
        </w:tc>
        <w:tc>
          <w:tcPr>
            <w:tcW w:w="1027" w:type="dxa"/>
            <w:vAlign w:val="top"/>
          </w:tcPr>
          <w:p>
            <w:pPr>
              <w:pStyle w:val="TableText"/>
              <w:ind w:left="262"/>
              <w:spacing w:before="52" w:line="210" w:lineRule="auto"/>
              <w:rPr>
                <w:sz w:val="20"/>
                <w:szCs w:val="20"/>
              </w:rPr>
            </w:pPr>
            <w:r>
              <w:rPr>
                <w:sz w:val="20"/>
                <w:szCs w:val="20"/>
                <w:spacing w:val="4"/>
              </w:rPr>
              <w:t>管道</w:t>
            </w:r>
          </w:p>
        </w:tc>
      </w:tr>
      <w:tr>
        <w:trPr>
          <w:trHeight w:val="279" w:hRule="atLeast"/>
        </w:trPr>
        <w:tc>
          <w:tcPr>
            <w:tcW w:w="572" w:type="dxa"/>
            <w:vAlign w:val="top"/>
            <w:vMerge w:val="continue"/>
            <w:tcBorders>
              <w:top w:val="nil"/>
              <w:bottom w:val="nil"/>
            </w:tcBorders>
          </w:tcPr>
          <w:p>
            <w:pPr>
              <w:rPr>
                <w:rFonts w:ascii="Arial"/>
                <w:sz w:val="21"/>
              </w:rPr>
            </w:pPr>
            <w:r/>
          </w:p>
        </w:tc>
        <w:tc>
          <w:tcPr>
            <w:tcW w:w="8397" w:type="dxa"/>
            <w:vAlign w:val="top"/>
            <w:gridSpan w:val="7"/>
          </w:tcPr>
          <w:p>
            <w:pPr>
              <w:pStyle w:val="TableText"/>
              <w:ind w:left="3592"/>
              <w:spacing w:before="43" w:line="208" w:lineRule="auto"/>
              <w:rPr>
                <w:sz w:val="20"/>
                <w:szCs w:val="20"/>
              </w:rPr>
            </w:pPr>
            <w:r>
              <w:rPr>
                <w:sz w:val="20"/>
                <w:szCs w:val="20"/>
                <w:spacing w:val="3"/>
              </w:rPr>
              <w:t>二期工程范围</w:t>
            </w:r>
          </w:p>
        </w:tc>
      </w:tr>
      <w:tr>
        <w:trPr>
          <w:trHeight w:val="509" w:hRule="atLeast"/>
        </w:trPr>
        <w:tc>
          <w:tcPr>
            <w:tcW w:w="572" w:type="dxa"/>
            <w:vAlign w:val="top"/>
            <w:vMerge w:val="continue"/>
            <w:tcBorders>
              <w:top w:val="nil"/>
              <w:bottom w:val="nil"/>
            </w:tcBorders>
          </w:tcPr>
          <w:p>
            <w:pPr>
              <w:rPr>
                <w:rFonts w:ascii="Arial"/>
                <w:sz w:val="21"/>
              </w:rPr>
            </w:pPr>
            <w:r/>
          </w:p>
        </w:tc>
        <w:tc>
          <w:tcPr>
            <w:tcW w:w="1316" w:type="dxa"/>
            <w:vAlign w:val="top"/>
          </w:tcPr>
          <w:p>
            <w:pPr>
              <w:pStyle w:val="TableText"/>
              <w:ind w:left="603"/>
              <w:spacing w:before="216" w:line="182" w:lineRule="auto"/>
              <w:rPr>
                <w:sz w:val="20"/>
                <w:szCs w:val="20"/>
              </w:rPr>
            </w:pPr>
            <w:r>
              <w:rPr>
                <w:sz w:val="20"/>
                <w:szCs w:val="20"/>
                <w:spacing w:val="-1"/>
              </w:rPr>
              <w:t>NMP</w:t>
            </w:r>
          </w:p>
        </w:tc>
        <w:tc>
          <w:tcPr>
            <w:tcW w:w="2511" w:type="dxa"/>
            <w:vAlign w:val="top"/>
          </w:tcPr>
          <w:p>
            <w:pPr>
              <w:pStyle w:val="TableText"/>
              <w:ind w:left="626"/>
              <w:spacing w:before="164" w:line="220" w:lineRule="auto"/>
              <w:rPr>
                <w:sz w:val="20"/>
                <w:szCs w:val="20"/>
              </w:rPr>
            </w:pPr>
            <w:r>
              <w:rPr>
                <w:sz w:val="20"/>
                <w:szCs w:val="20"/>
                <w:spacing w:val="-1"/>
              </w:rPr>
              <w:t>N-甲基吡咯烷酮</w:t>
            </w:r>
          </w:p>
        </w:tc>
        <w:tc>
          <w:tcPr>
            <w:tcW w:w="1083" w:type="dxa"/>
            <w:vAlign w:val="top"/>
            <w:vMerge w:val="restart"/>
            <w:tcBorders>
              <w:bottom w:val="nil"/>
            </w:tcBorders>
          </w:tcPr>
          <w:p>
            <w:pPr>
              <w:spacing w:line="378" w:lineRule="auto"/>
              <w:rPr>
                <w:rFonts w:ascii="Arial"/>
                <w:sz w:val="21"/>
              </w:rPr>
            </w:pPr>
            <w:r/>
          </w:p>
          <w:p>
            <w:pPr>
              <w:pStyle w:val="TableText"/>
              <w:ind w:left="285" w:right="75" w:hanging="100"/>
              <w:spacing w:before="65" w:line="230" w:lineRule="auto"/>
              <w:rPr>
                <w:sz w:val="20"/>
                <w:szCs w:val="20"/>
              </w:rPr>
            </w:pPr>
            <w:r>
              <w:rPr>
                <w:sz w:val="20"/>
                <w:szCs w:val="20"/>
                <w:spacing w:val="2"/>
              </w:rPr>
              <w:t>涉密，不 </w:t>
            </w:r>
            <w:r>
              <w:rPr>
                <w:sz w:val="20"/>
                <w:szCs w:val="20"/>
                <w:spacing w:val="2"/>
              </w:rPr>
              <w:t>予公开</w:t>
            </w:r>
          </w:p>
        </w:tc>
        <w:tc>
          <w:tcPr>
            <w:tcW w:w="648" w:type="dxa"/>
            <w:vAlign w:val="top"/>
          </w:tcPr>
          <w:p>
            <w:pPr>
              <w:pStyle w:val="TableText"/>
              <w:ind w:left="163"/>
              <w:spacing w:before="164" w:line="220" w:lineRule="auto"/>
              <w:rPr>
                <w:sz w:val="20"/>
                <w:szCs w:val="20"/>
              </w:rPr>
            </w:pPr>
            <w:r>
              <w:rPr>
                <w:sz w:val="20"/>
                <w:szCs w:val="20"/>
                <w:spacing w:val="-3"/>
              </w:rPr>
              <w:t>液态</w:t>
            </w:r>
          </w:p>
        </w:tc>
        <w:tc>
          <w:tcPr>
            <w:tcW w:w="1033" w:type="dxa"/>
            <w:vAlign w:val="top"/>
          </w:tcPr>
          <w:p>
            <w:pPr>
              <w:pStyle w:val="TableText"/>
              <w:ind w:left="344" w:right="200" w:hanging="200"/>
              <w:spacing w:before="43" w:line="210" w:lineRule="auto"/>
              <w:rPr>
                <w:sz w:val="20"/>
                <w:szCs w:val="20"/>
              </w:rPr>
            </w:pPr>
            <w:r>
              <w:rPr>
                <w:sz w:val="20"/>
                <w:szCs w:val="20"/>
                <w:spacing w:val="-4"/>
              </w:rPr>
              <w:t>101.7m³</w:t>
            </w:r>
            <w:r>
              <w:rPr>
                <w:sz w:val="20"/>
                <w:szCs w:val="20"/>
                <w:spacing w:val="4"/>
              </w:rPr>
              <w:t xml:space="preserve"> </w:t>
            </w:r>
            <w:r>
              <w:rPr>
                <w:sz w:val="20"/>
                <w:szCs w:val="20"/>
                <w:spacing w:val="-2"/>
              </w:rPr>
              <w:t>储罐</w:t>
            </w:r>
          </w:p>
        </w:tc>
        <w:tc>
          <w:tcPr>
            <w:tcW w:w="779" w:type="dxa"/>
            <w:vAlign w:val="top"/>
          </w:tcPr>
          <w:p>
            <w:pPr>
              <w:pStyle w:val="TableText"/>
              <w:ind w:left="202"/>
              <w:spacing w:before="164" w:line="219" w:lineRule="auto"/>
              <w:rPr>
                <w:sz w:val="20"/>
                <w:szCs w:val="20"/>
              </w:rPr>
            </w:pPr>
            <w:r>
              <w:rPr>
                <w:sz w:val="20"/>
                <w:szCs w:val="20"/>
                <w:spacing w:val="-2"/>
              </w:rPr>
              <w:t>槽车</w:t>
            </w:r>
          </w:p>
        </w:tc>
        <w:tc>
          <w:tcPr>
            <w:tcW w:w="1027" w:type="dxa"/>
            <w:vAlign w:val="top"/>
          </w:tcPr>
          <w:p>
            <w:pPr>
              <w:pStyle w:val="TableText"/>
              <w:ind w:left="313"/>
              <w:spacing w:before="76" w:line="182" w:lineRule="auto"/>
              <w:rPr>
                <w:sz w:val="20"/>
                <w:szCs w:val="20"/>
              </w:rPr>
            </w:pPr>
            <w:r>
              <w:rPr>
                <w:sz w:val="20"/>
                <w:szCs w:val="20"/>
                <w:spacing w:val="-1"/>
              </w:rPr>
              <w:t>NMP</w:t>
            </w:r>
          </w:p>
          <w:p>
            <w:pPr>
              <w:pStyle w:val="TableText"/>
              <w:ind w:left="152"/>
              <w:spacing w:line="207" w:lineRule="auto"/>
              <w:rPr>
                <w:sz w:val="20"/>
                <w:szCs w:val="20"/>
              </w:rPr>
            </w:pPr>
            <w:r>
              <w:rPr>
                <w:sz w:val="20"/>
                <w:szCs w:val="20"/>
                <w:spacing w:val="-11"/>
              </w:rPr>
              <w:t>罐 区</w:t>
            </w:r>
            <w:r>
              <w:rPr>
                <w:sz w:val="20"/>
                <w:szCs w:val="20"/>
                <w:spacing w:val="-27"/>
              </w:rPr>
              <w:t xml:space="preserve"> </w:t>
            </w:r>
            <w:r>
              <w:rPr>
                <w:sz w:val="20"/>
                <w:szCs w:val="20"/>
                <w:spacing w:val="-11"/>
              </w:rPr>
              <w:t>B</w:t>
            </w:r>
          </w:p>
        </w:tc>
      </w:tr>
      <w:tr>
        <w:trPr>
          <w:trHeight w:val="509" w:hRule="atLeast"/>
        </w:trPr>
        <w:tc>
          <w:tcPr>
            <w:tcW w:w="572" w:type="dxa"/>
            <w:vAlign w:val="top"/>
            <w:vMerge w:val="continue"/>
            <w:tcBorders>
              <w:top w:val="nil"/>
              <w:bottom w:val="nil"/>
            </w:tcBorders>
          </w:tcPr>
          <w:p>
            <w:pPr>
              <w:rPr>
                <w:rFonts w:ascii="Arial"/>
                <w:sz w:val="21"/>
              </w:rPr>
            </w:pPr>
            <w:r/>
          </w:p>
        </w:tc>
        <w:tc>
          <w:tcPr>
            <w:tcW w:w="1316" w:type="dxa"/>
            <w:vAlign w:val="top"/>
          </w:tcPr>
          <w:p>
            <w:pPr>
              <w:pStyle w:val="TableText"/>
              <w:ind w:left="503"/>
              <w:spacing w:before="165" w:line="220" w:lineRule="auto"/>
              <w:rPr>
                <w:sz w:val="20"/>
                <w:szCs w:val="20"/>
              </w:rPr>
            </w:pPr>
            <w:r>
              <w:rPr>
                <w:sz w:val="20"/>
                <w:szCs w:val="20"/>
                <w:spacing w:val="-2"/>
              </w:rPr>
              <w:t>废NMP</w:t>
            </w:r>
          </w:p>
        </w:tc>
        <w:tc>
          <w:tcPr>
            <w:tcW w:w="2511" w:type="dxa"/>
            <w:vAlign w:val="top"/>
          </w:tcPr>
          <w:p>
            <w:pPr>
              <w:pStyle w:val="TableText"/>
              <w:ind w:left="626"/>
              <w:spacing w:before="165" w:line="220" w:lineRule="auto"/>
              <w:rPr>
                <w:sz w:val="20"/>
                <w:szCs w:val="20"/>
              </w:rPr>
            </w:pPr>
            <w:r>
              <w:rPr>
                <w:sz w:val="20"/>
                <w:szCs w:val="20"/>
                <w:spacing w:val="-1"/>
              </w:rPr>
              <w:t>N-甲基吡咯烷酮</w:t>
            </w:r>
          </w:p>
        </w:tc>
        <w:tc>
          <w:tcPr>
            <w:tcW w:w="1083" w:type="dxa"/>
            <w:vAlign w:val="top"/>
            <w:vMerge w:val="continue"/>
            <w:tcBorders>
              <w:top w:val="nil"/>
              <w:bottom w:val="nil"/>
            </w:tcBorders>
          </w:tcPr>
          <w:p>
            <w:pPr>
              <w:rPr>
                <w:rFonts w:ascii="Arial"/>
                <w:sz w:val="21"/>
              </w:rPr>
            </w:pPr>
            <w:r/>
          </w:p>
        </w:tc>
        <w:tc>
          <w:tcPr>
            <w:tcW w:w="648" w:type="dxa"/>
            <w:vAlign w:val="top"/>
          </w:tcPr>
          <w:p>
            <w:pPr>
              <w:pStyle w:val="TableText"/>
              <w:ind w:left="163"/>
              <w:spacing w:before="165" w:line="220" w:lineRule="auto"/>
              <w:rPr>
                <w:sz w:val="20"/>
                <w:szCs w:val="20"/>
              </w:rPr>
            </w:pPr>
            <w:r>
              <w:rPr>
                <w:sz w:val="20"/>
                <w:szCs w:val="20"/>
                <w:spacing w:val="-3"/>
              </w:rPr>
              <w:t>液态</w:t>
            </w:r>
          </w:p>
        </w:tc>
        <w:tc>
          <w:tcPr>
            <w:tcW w:w="1033" w:type="dxa"/>
            <w:vAlign w:val="top"/>
          </w:tcPr>
          <w:p>
            <w:pPr>
              <w:pStyle w:val="TableText"/>
              <w:ind w:left="344" w:right="200" w:hanging="100"/>
              <w:spacing w:before="65" w:line="200" w:lineRule="auto"/>
              <w:rPr>
                <w:sz w:val="20"/>
                <w:szCs w:val="20"/>
              </w:rPr>
            </w:pPr>
            <w:r>
              <w:rPr>
                <w:sz w:val="20"/>
                <w:szCs w:val="20"/>
                <w:spacing w:val="-4"/>
              </w:rPr>
              <w:t>101.7m</w:t>
            </w:r>
            <w:r>
              <w:rPr>
                <w:sz w:val="20"/>
                <w:szCs w:val="20"/>
              </w:rPr>
              <w:t xml:space="preserve"> </w:t>
            </w:r>
            <w:r>
              <w:rPr>
                <w:sz w:val="20"/>
                <w:szCs w:val="20"/>
                <w:spacing w:val="-2"/>
              </w:rPr>
              <w:t>储罐</w:t>
            </w:r>
          </w:p>
        </w:tc>
        <w:tc>
          <w:tcPr>
            <w:tcW w:w="779" w:type="dxa"/>
            <w:vAlign w:val="top"/>
          </w:tcPr>
          <w:p>
            <w:pPr>
              <w:pStyle w:val="TableText"/>
              <w:ind w:left="202"/>
              <w:spacing w:before="165" w:line="219" w:lineRule="auto"/>
              <w:rPr>
                <w:sz w:val="20"/>
                <w:szCs w:val="20"/>
              </w:rPr>
            </w:pPr>
            <w:r>
              <w:rPr>
                <w:sz w:val="20"/>
                <w:szCs w:val="20"/>
                <w:spacing w:val="4"/>
              </w:rPr>
              <w:t>管道</w:t>
            </w:r>
          </w:p>
        </w:tc>
        <w:tc>
          <w:tcPr>
            <w:tcW w:w="1027" w:type="dxa"/>
            <w:vAlign w:val="top"/>
          </w:tcPr>
          <w:p>
            <w:pPr>
              <w:pStyle w:val="TableText"/>
              <w:ind w:left="313"/>
              <w:spacing w:before="88" w:line="172" w:lineRule="auto"/>
              <w:rPr>
                <w:sz w:val="20"/>
                <w:szCs w:val="20"/>
              </w:rPr>
            </w:pPr>
            <w:r>
              <w:rPr>
                <w:sz w:val="20"/>
                <w:szCs w:val="20"/>
                <w:spacing w:val="-1"/>
              </w:rPr>
              <w:t>NMP</w:t>
            </w:r>
          </w:p>
          <w:p>
            <w:pPr>
              <w:pStyle w:val="TableText"/>
              <w:ind w:left="162"/>
              <w:spacing w:line="206" w:lineRule="auto"/>
              <w:rPr>
                <w:sz w:val="20"/>
                <w:szCs w:val="20"/>
              </w:rPr>
            </w:pPr>
            <w:r>
              <w:rPr>
                <w:sz w:val="20"/>
                <w:szCs w:val="20"/>
                <w:spacing w:val="-11"/>
              </w:rPr>
              <w:t>罐</w:t>
            </w:r>
            <w:r>
              <w:rPr>
                <w:sz w:val="20"/>
                <w:szCs w:val="20"/>
                <w:spacing w:val="-20"/>
              </w:rPr>
              <w:t xml:space="preserve"> </w:t>
            </w:r>
            <w:r>
              <w:rPr>
                <w:sz w:val="20"/>
                <w:szCs w:val="20"/>
                <w:spacing w:val="-11"/>
              </w:rPr>
              <w:t>区</w:t>
            </w:r>
            <w:r>
              <w:rPr>
                <w:sz w:val="20"/>
                <w:szCs w:val="20"/>
                <w:spacing w:val="-38"/>
              </w:rPr>
              <w:t xml:space="preserve"> </w:t>
            </w:r>
            <w:r>
              <w:rPr>
                <w:sz w:val="20"/>
                <w:szCs w:val="20"/>
                <w:spacing w:val="-11"/>
              </w:rPr>
              <w:t>B</w:t>
            </w:r>
          </w:p>
        </w:tc>
      </w:tr>
      <w:tr>
        <w:trPr>
          <w:trHeight w:val="279" w:hRule="atLeast"/>
        </w:trPr>
        <w:tc>
          <w:tcPr>
            <w:tcW w:w="572" w:type="dxa"/>
            <w:vAlign w:val="top"/>
            <w:vMerge w:val="continue"/>
            <w:tcBorders>
              <w:top w:val="nil"/>
              <w:bottom w:val="nil"/>
            </w:tcBorders>
          </w:tcPr>
          <w:p>
            <w:pPr>
              <w:rPr>
                <w:rFonts w:ascii="Arial"/>
                <w:sz w:val="21"/>
              </w:rPr>
            </w:pPr>
            <w:r/>
          </w:p>
        </w:tc>
        <w:tc>
          <w:tcPr>
            <w:tcW w:w="1316" w:type="dxa"/>
            <w:vAlign w:val="top"/>
          </w:tcPr>
          <w:p>
            <w:pPr>
              <w:pStyle w:val="TableText"/>
              <w:ind w:left="452"/>
              <w:spacing w:before="46" w:line="205" w:lineRule="auto"/>
              <w:rPr>
                <w:sz w:val="20"/>
                <w:szCs w:val="20"/>
              </w:rPr>
            </w:pPr>
            <w:r>
              <w:rPr>
                <w:sz w:val="20"/>
                <w:szCs w:val="20"/>
                <w:spacing w:val="4"/>
              </w:rPr>
              <w:t>天然气</w:t>
            </w:r>
          </w:p>
        </w:tc>
        <w:tc>
          <w:tcPr>
            <w:tcW w:w="2511" w:type="dxa"/>
            <w:vAlign w:val="top"/>
          </w:tcPr>
          <w:p>
            <w:pPr>
              <w:pStyle w:val="TableText"/>
              <w:ind w:left="1126"/>
              <w:spacing w:before="77" w:line="177" w:lineRule="auto"/>
              <w:rPr>
                <w:rFonts w:ascii="Calibri" w:hAnsi="Calibri" w:eastAsia="Calibri" w:cs="Calibri"/>
                <w:sz w:val="20"/>
                <w:szCs w:val="20"/>
              </w:rPr>
            </w:pPr>
            <w:r>
              <w:rPr>
                <w:sz w:val="20"/>
                <w:szCs w:val="20"/>
                <w:spacing w:val="-3"/>
              </w:rPr>
              <w:t>CH</w:t>
            </w:r>
            <w:r>
              <w:rPr>
                <w:rFonts w:ascii="Calibri" w:hAnsi="Calibri" w:eastAsia="Calibri" w:cs="Calibri"/>
                <w:sz w:val="20"/>
                <w:szCs w:val="20"/>
                <w:spacing w:val="-3"/>
              </w:rPr>
              <w:t>₄</w:t>
            </w:r>
          </w:p>
        </w:tc>
        <w:tc>
          <w:tcPr>
            <w:tcW w:w="1083" w:type="dxa"/>
            <w:vAlign w:val="top"/>
            <w:vMerge w:val="continue"/>
            <w:tcBorders>
              <w:top w:val="nil"/>
            </w:tcBorders>
          </w:tcPr>
          <w:p>
            <w:pPr>
              <w:rPr>
                <w:rFonts w:ascii="Arial"/>
                <w:sz w:val="21"/>
              </w:rPr>
            </w:pPr>
            <w:r/>
          </w:p>
        </w:tc>
        <w:tc>
          <w:tcPr>
            <w:tcW w:w="648" w:type="dxa"/>
            <w:vAlign w:val="top"/>
          </w:tcPr>
          <w:p>
            <w:pPr>
              <w:pStyle w:val="TableText"/>
              <w:ind w:left="163"/>
              <w:spacing w:before="47" w:line="204" w:lineRule="auto"/>
              <w:rPr>
                <w:sz w:val="20"/>
                <w:szCs w:val="20"/>
              </w:rPr>
            </w:pPr>
            <w:r>
              <w:rPr>
                <w:sz w:val="20"/>
                <w:szCs w:val="20"/>
                <w:spacing w:val="-3"/>
              </w:rPr>
              <w:t>气态</w:t>
            </w:r>
          </w:p>
        </w:tc>
        <w:tc>
          <w:tcPr>
            <w:tcW w:w="1033" w:type="dxa"/>
            <w:vAlign w:val="top"/>
          </w:tcPr>
          <w:p>
            <w:pPr>
              <w:pStyle w:val="TableText"/>
              <w:ind w:left="345"/>
              <w:spacing w:before="45" w:line="206" w:lineRule="auto"/>
              <w:rPr>
                <w:sz w:val="20"/>
                <w:szCs w:val="20"/>
              </w:rPr>
            </w:pPr>
            <w:r>
              <w:rPr>
                <w:sz w:val="20"/>
                <w:szCs w:val="20"/>
                <w:spacing w:val="4"/>
              </w:rPr>
              <w:t>管道</w:t>
            </w:r>
          </w:p>
        </w:tc>
        <w:tc>
          <w:tcPr>
            <w:tcW w:w="779" w:type="dxa"/>
            <w:vAlign w:val="top"/>
          </w:tcPr>
          <w:p>
            <w:pPr>
              <w:pStyle w:val="TableText"/>
              <w:ind w:left="202"/>
              <w:spacing w:before="45" w:line="206" w:lineRule="auto"/>
              <w:rPr>
                <w:sz w:val="20"/>
                <w:szCs w:val="20"/>
              </w:rPr>
            </w:pPr>
            <w:r>
              <w:rPr>
                <w:sz w:val="20"/>
                <w:szCs w:val="20"/>
                <w:spacing w:val="4"/>
              </w:rPr>
              <w:t>管道</w:t>
            </w:r>
          </w:p>
        </w:tc>
        <w:tc>
          <w:tcPr>
            <w:tcW w:w="1027" w:type="dxa"/>
            <w:vAlign w:val="top"/>
          </w:tcPr>
          <w:p>
            <w:pPr>
              <w:pStyle w:val="TableText"/>
              <w:ind w:left="262"/>
              <w:spacing w:before="45" w:line="206" w:lineRule="auto"/>
              <w:rPr>
                <w:sz w:val="20"/>
                <w:szCs w:val="20"/>
              </w:rPr>
            </w:pPr>
            <w:r>
              <w:rPr>
                <w:sz w:val="20"/>
                <w:szCs w:val="20"/>
                <w:spacing w:val="4"/>
              </w:rPr>
              <w:t>管道</w:t>
            </w:r>
          </w:p>
        </w:tc>
      </w:tr>
      <w:tr>
        <w:trPr>
          <w:trHeight w:val="279" w:hRule="atLeast"/>
        </w:trPr>
        <w:tc>
          <w:tcPr>
            <w:tcW w:w="572" w:type="dxa"/>
            <w:vAlign w:val="top"/>
            <w:vMerge w:val="continue"/>
            <w:tcBorders>
              <w:top w:val="nil"/>
              <w:bottom w:val="nil"/>
            </w:tcBorders>
          </w:tcPr>
          <w:p>
            <w:pPr>
              <w:rPr>
                <w:rFonts w:ascii="Arial"/>
                <w:sz w:val="21"/>
              </w:rPr>
            </w:pPr>
            <w:r/>
          </w:p>
        </w:tc>
        <w:tc>
          <w:tcPr>
            <w:tcW w:w="8397" w:type="dxa"/>
            <w:vAlign w:val="top"/>
            <w:gridSpan w:val="7"/>
          </w:tcPr>
          <w:p>
            <w:pPr>
              <w:pStyle w:val="TableText"/>
              <w:ind w:left="3193"/>
              <w:spacing w:before="45" w:line="206" w:lineRule="auto"/>
              <w:rPr>
                <w:sz w:val="20"/>
                <w:szCs w:val="20"/>
              </w:rPr>
            </w:pPr>
            <w:r>
              <w:rPr>
                <w:sz w:val="20"/>
                <w:szCs w:val="20"/>
                <w:spacing w:val="3"/>
              </w:rPr>
              <w:t>二期凹版范围(本项目)</w:t>
            </w:r>
          </w:p>
        </w:tc>
      </w:tr>
      <w:tr>
        <w:trPr>
          <w:trHeight w:val="509" w:hRule="atLeast"/>
        </w:trPr>
        <w:tc>
          <w:tcPr>
            <w:tcW w:w="572" w:type="dxa"/>
            <w:vAlign w:val="top"/>
            <w:vMerge w:val="continue"/>
            <w:tcBorders>
              <w:top w:val="nil"/>
              <w:bottom w:val="nil"/>
            </w:tcBorders>
          </w:tcPr>
          <w:p>
            <w:pPr>
              <w:rPr>
                <w:rFonts w:ascii="Arial"/>
                <w:sz w:val="21"/>
              </w:rPr>
            </w:pPr>
            <w:r/>
          </w:p>
        </w:tc>
        <w:tc>
          <w:tcPr>
            <w:tcW w:w="1316" w:type="dxa"/>
            <w:vAlign w:val="top"/>
          </w:tcPr>
          <w:p>
            <w:pPr>
              <w:pStyle w:val="TableText"/>
              <w:ind w:left="603"/>
              <w:spacing w:before="220" w:line="182" w:lineRule="auto"/>
              <w:rPr>
                <w:sz w:val="20"/>
                <w:szCs w:val="20"/>
              </w:rPr>
            </w:pPr>
            <w:r>
              <w:rPr>
                <w:sz w:val="20"/>
                <w:szCs w:val="20"/>
                <w:spacing w:val="-1"/>
              </w:rPr>
              <w:t>NMP</w:t>
            </w:r>
          </w:p>
        </w:tc>
        <w:tc>
          <w:tcPr>
            <w:tcW w:w="2511" w:type="dxa"/>
            <w:vAlign w:val="top"/>
          </w:tcPr>
          <w:p>
            <w:pPr>
              <w:pStyle w:val="TableText"/>
              <w:ind w:left="626"/>
              <w:spacing w:before="168" w:line="220" w:lineRule="auto"/>
              <w:rPr>
                <w:sz w:val="20"/>
                <w:szCs w:val="20"/>
              </w:rPr>
            </w:pPr>
            <w:r>
              <w:rPr>
                <w:sz w:val="20"/>
                <w:szCs w:val="20"/>
                <w:spacing w:val="-1"/>
              </w:rPr>
              <w:t>N-甲基吡咯烷酮</w:t>
            </w:r>
          </w:p>
        </w:tc>
        <w:tc>
          <w:tcPr>
            <w:tcW w:w="1083" w:type="dxa"/>
            <w:vAlign w:val="top"/>
            <w:vMerge w:val="restart"/>
            <w:tcBorders>
              <w:bottom w:val="nil"/>
            </w:tcBorders>
          </w:tcPr>
          <w:p>
            <w:pPr>
              <w:pStyle w:val="TableText"/>
              <w:ind w:left="285" w:right="75" w:hanging="100"/>
              <w:spacing w:before="179" w:line="235" w:lineRule="auto"/>
              <w:rPr>
                <w:sz w:val="20"/>
                <w:szCs w:val="20"/>
              </w:rPr>
            </w:pPr>
            <w:r>
              <w:rPr>
                <w:sz w:val="20"/>
                <w:szCs w:val="20"/>
                <w:spacing w:val="2"/>
              </w:rPr>
              <w:t>涉密，不 </w:t>
            </w:r>
            <w:r>
              <w:rPr>
                <w:sz w:val="20"/>
                <w:szCs w:val="20"/>
                <w:spacing w:val="2"/>
              </w:rPr>
              <w:t>予公开</w:t>
            </w:r>
          </w:p>
        </w:tc>
        <w:tc>
          <w:tcPr>
            <w:tcW w:w="648" w:type="dxa"/>
            <w:vAlign w:val="top"/>
          </w:tcPr>
          <w:p>
            <w:pPr>
              <w:pStyle w:val="TableText"/>
              <w:ind w:left="163"/>
              <w:spacing w:before="168" w:line="220" w:lineRule="auto"/>
              <w:rPr>
                <w:sz w:val="20"/>
                <w:szCs w:val="20"/>
              </w:rPr>
            </w:pPr>
            <w:r>
              <w:rPr>
                <w:sz w:val="20"/>
                <w:szCs w:val="20"/>
                <w:spacing w:val="-3"/>
              </w:rPr>
              <w:t>液态</w:t>
            </w:r>
          </w:p>
        </w:tc>
        <w:tc>
          <w:tcPr>
            <w:tcW w:w="1033" w:type="dxa"/>
            <w:vAlign w:val="top"/>
          </w:tcPr>
          <w:p>
            <w:pPr>
              <w:pStyle w:val="TableText"/>
              <w:ind w:left="344" w:right="200" w:hanging="200"/>
              <w:spacing w:before="57" w:line="202" w:lineRule="auto"/>
              <w:rPr>
                <w:sz w:val="20"/>
                <w:szCs w:val="20"/>
              </w:rPr>
            </w:pPr>
            <w:r>
              <w:rPr>
                <w:sz w:val="20"/>
                <w:szCs w:val="20"/>
                <w:spacing w:val="-4"/>
              </w:rPr>
              <w:t>101.7m³</w:t>
            </w:r>
            <w:r>
              <w:rPr>
                <w:sz w:val="20"/>
                <w:szCs w:val="20"/>
                <w:spacing w:val="4"/>
              </w:rPr>
              <w:t xml:space="preserve"> </w:t>
            </w:r>
            <w:r>
              <w:rPr>
                <w:sz w:val="20"/>
                <w:szCs w:val="20"/>
                <w:spacing w:val="-2"/>
              </w:rPr>
              <w:t>储罐</w:t>
            </w:r>
          </w:p>
        </w:tc>
        <w:tc>
          <w:tcPr>
            <w:tcW w:w="779" w:type="dxa"/>
            <w:vAlign w:val="top"/>
          </w:tcPr>
          <w:p>
            <w:pPr>
              <w:pStyle w:val="TableText"/>
              <w:ind w:left="202"/>
              <w:spacing w:before="168" w:line="219" w:lineRule="auto"/>
              <w:rPr>
                <w:sz w:val="20"/>
                <w:szCs w:val="20"/>
              </w:rPr>
            </w:pPr>
            <w:r>
              <w:rPr>
                <w:sz w:val="20"/>
                <w:szCs w:val="20"/>
                <w:spacing w:val="-2"/>
              </w:rPr>
              <w:t>槽车</w:t>
            </w:r>
          </w:p>
        </w:tc>
        <w:tc>
          <w:tcPr>
            <w:tcW w:w="1027" w:type="dxa"/>
            <w:vAlign w:val="top"/>
          </w:tcPr>
          <w:p>
            <w:pPr>
              <w:pStyle w:val="TableText"/>
              <w:ind w:left="313"/>
              <w:spacing w:before="90" w:line="182" w:lineRule="auto"/>
              <w:rPr>
                <w:sz w:val="20"/>
                <w:szCs w:val="20"/>
              </w:rPr>
            </w:pPr>
            <w:r>
              <w:rPr>
                <w:sz w:val="20"/>
                <w:szCs w:val="20"/>
                <w:spacing w:val="-1"/>
              </w:rPr>
              <w:t>NMP</w:t>
            </w:r>
          </w:p>
          <w:p>
            <w:pPr>
              <w:pStyle w:val="TableText"/>
              <w:ind w:left="162"/>
              <w:spacing w:line="194" w:lineRule="auto"/>
              <w:rPr>
                <w:sz w:val="20"/>
                <w:szCs w:val="20"/>
              </w:rPr>
            </w:pPr>
            <w:r>
              <w:rPr>
                <w:sz w:val="20"/>
                <w:szCs w:val="20"/>
                <w:spacing w:val="-11"/>
              </w:rPr>
              <w:t>罐</w:t>
            </w:r>
            <w:r>
              <w:rPr>
                <w:sz w:val="20"/>
                <w:szCs w:val="20"/>
                <w:spacing w:val="-20"/>
              </w:rPr>
              <w:t xml:space="preserve"> </w:t>
            </w:r>
            <w:r>
              <w:rPr>
                <w:sz w:val="20"/>
                <w:szCs w:val="20"/>
                <w:spacing w:val="-11"/>
              </w:rPr>
              <w:t>区</w:t>
            </w:r>
            <w:r>
              <w:rPr>
                <w:sz w:val="20"/>
                <w:szCs w:val="20"/>
                <w:spacing w:val="-35"/>
              </w:rPr>
              <w:t xml:space="preserve"> </w:t>
            </w:r>
            <w:r>
              <w:rPr>
                <w:sz w:val="20"/>
                <w:szCs w:val="20"/>
                <w:spacing w:val="-11"/>
              </w:rPr>
              <w:t>C</w:t>
            </w:r>
          </w:p>
        </w:tc>
      </w:tr>
      <w:tr>
        <w:trPr>
          <w:trHeight w:val="305" w:hRule="atLeast"/>
        </w:trPr>
        <w:tc>
          <w:tcPr>
            <w:tcW w:w="572" w:type="dxa"/>
            <w:vAlign w:val="top"/>
            <w:vMerge w:val="continue"/>
            <w:tcBorders>
              <w:top w:val="nil"/>
            </w:tcBorders>
          </w:tcPr>
          <w:p>
            <w:pPr>
              <w:rPr>
                <w:rFonts w:ascii="Arial"/>
                <w:sz w:val="21"/>
              </w:rPr>
            </w:pPr>
            <w:r/>
          </w:p>
        </w:tc>
        <w:tc>
          <w:tcPr>
            <w:tcW w:w="1316" w:type="dxa"/>
            <w:vAlign w:val="top"/>
          </w:tcPr>
          <w:p>
            <w:pPr>
              <w:pStyle w:val="TableText"/>
              <w:ind w:left="503"/>
              <w:spacing w:before="59" w:line="217" w:lineRule="auto"/>
              <w:rPr>
                <w:sz w:val="20"/>
                <w:szCs w:val="20"/>
              </w:rPr>
            </w:pPr>
            <w:r>
              <w:rPr>
                <w:sz w:val="20"/>
                <w:szCs w:val="20"/>
                <w:spacing w:val="-2"/>
              </w:rPr>
              <w:t>废NMP</w:t>
            </w:r>
          </w:p>
        </w:tc>
        <w:tc>
          <w:tcPr>
            <w:tcW w:w="2511" w:type="dxa"/>
            <w:vAlign w:val="top"/>
          </w:tcPr>
          <w:p>
            <w:pPr>
              <w:pStyle w:val="TableText"/>
              <w:ind w:left="626"/>
              <w:spacing w:before="59" w:line="217" w:lineRule="auto"/>
              <w:rPr>
                <w:sz w:val="20"/>
                <w:szCs w:val="20"/>
              </w:rPr>
            </w:pPr>
            <w:r>
              <w:rPr>
                <w:sz w:val="20"/>
                <w:szCs w:val="20"/>
                <w:spacing w:val="-1"/>
              </w:rPr>
              <w:t>N-甲基吡咯烷酮</w:t>
            </w:r>
          </w:p>
        </w:tc>
        <w:tc>
          <w:tcPr>
            <w:tcW w:w="1083" w:type="dxa"/>
            <w:vAlign w:val="top"/>
            <w:vMerge w:val="continue"/>
            <w:tcBorders>
              <w:top w:val="nil"/>
            </w:tcBorders>
          </w:tcPr>
          <w:p>
            <w:pPr>
              <w:rPr>
                <w:rFonts w:ascii="Arial"/>
                <w:sz w:val="21"/>
              </w:rPr>
            </w:pPr>
            <w:r/>
          </w:p>
        </w:tc>
        <w:tc>
          <w:tcPr>
            <w:tcW w:w="648" w:type="dxa"/>
            <w:vAlign w:val="top"/>
          </w:tcPr>
          <w:p>
            <w:pPr>
              <w:pStyle w:val="TableText"/>
              <w:ind w:left="163"/>
              <w:spacing w:before="59" w:line="217" w:lineRule="auto"/>
              <w:rPr>
                <w:sz w:val="20"/>
                <w:szCs w:val="20"/>
              </w:rPr>
            </w:pPr>
            <w:r>
              <w:rPr>
                <w:sz w:val="20"/>
                <w:szCs w:val="20"/>
                <w:spacing w:val="-3"/>
              </w:rPr>
              <w:t>液态</w:t>
            </w:r>
          </w:p>
        </w:tc>
        <w:tc>
          <w:tcPr>
            <w:tcW w:w="1033" w:type="dxa"/>
            <w:vAlign w:val="top"/>
          </w:tcPr>
          <w:p>
            <w:pPr>
              <w:pStyle w:val="TableText"/>
              <w:ind w:left="144"/>
              <w:spacing w:before="79" w:line="199" w:lineRule="auto"/>
              <w:rPr>
                <w:sz w:val="20"/>
                <w:szCs w:val="20"/>
              </w:rPr>
            </w:pPr>
            <w:r>
              <w:rPr>
                <w:sz w:val="20"/>
                <w:szCs w:val="20"/>
                <w:spacing w:val="-4"/>
              </w:rPr>
              <w:t>101.7m³</w:t>
            </w:r>
          </w:p>
        </w:tc>
        <w:tc>
          <w:tcPr>
            <w:tcW w:w="779" w:type="dxa"/>
            <w:vAlign w:val="top"/>
          </w:tcPr>
          <w:p>
            <w:pPr>
              <w:pStyle w:val="TableText"/>
              <w:ind w:left="202"/>
              <w:spacing w:before="58" w:line="218" w:lineRule="auto"/>
              <w:rPr>
                <w:sz w:val="20"/>
                <w:szCs w:val="20"/>
              </w:rPr>
            </w:pPr>
            <w:r>
              <w:rPr>
                <w:sz w:val="20"/>
                <w:szCs w:val="20"/>
                <w:spacing w:val="4"/>
              </w:rPr>
              <w:t>管道</w:t>
            </w:r>
          </w:p>
        </w:tc>
        <w:tc>
          <w:tcPr>
            <w:tcW w:w="1027" w:type="dxa"/>
            <w:vAlign w:val="top"/>
          </w:tcPr>
          <w:p>
            <w:pPr>
              <w:pStyle w:val="TableText"/>
              <w:ind w:left="313"/>
              <w:spacing w:before="111" w:line="169" w:lineRule="auto"/>
              <w:rPr>
                <w:sz w:val="20"/>
                <w:szCs w:val="20"/>
              </w:rPr>
            </w:pPr>
            <w:r>
              <w:rPr>
                <w:sz w:val="20"/>
                <w:szCs w:val="20"/>
                <w:spacing w:val="-1"/>
              </w:rPr>
              <w:t>NMP</w:t>
            </w:r>
          </w:p>
        </w:tc>
      </w:tr>
    </w:tbl>
    <w:p>
      <w:pPr>
        <w:rPr>
          <w:rFonts w:ascii="Arial"/>
          <w:sz w:val="21"/>
        </w:rPr>
      </w:pPr>
      <w:r/>
    </w:p>
    <w:p>
      <w:pPr>
        <w:sectPr>
          <w:footerReference w:type="default" r:id="rId149"/>
          <w:pgSz w:w="11900" w:h="16840"/>
          <w:pgMar w:top="1431" w:right="1430" w:bottom="988" w:left="1420" w:header="0" w:footer="849" w:gutter="0"/>
        </w:sectPr>
        <w:rPr>
          <w:rFonts w:ascii="Arial" w:hAnsi="Arial" w:eastAsia="Arial" w:cs="Arial"/>
          <w:sz w:val="21"/>
          <w:szCs w:val="21"/>
        </w:rPr>
      </w:pPr>
    </w:p>
    <w:p>
      <w:pPr>
        <w:spacing w:line="83" w:lineRule="exact"/>
        <w:rPr/>
      </w:pPr>
      <w:r>
        <mc:AlternateContent xmlns:mc="http://schemas.openxmlformats.org/markup-compatibility/2006">
          <mc:Choice Requires="wps">
            <w:drawing>
              <wp:anchor distT="0" distB="0" distL="0" distR="0" simplePos="0" relativeHeight="251889664" behindDoc="1" locked="0" layoutInCell="0" allowOverlap="1">
                <wp:simplePos x="0" y="0"/>
                <wp:positionH relativeFrom="page">
                  <wp:posOffset>6537354</wp:posOffset>
                </wp:positionH>
                <wp:positionV relativeFrom="page">
                  <wp:posOffset>965186</wp:posOffset>
                </wp:positionV>
                <wp:extent cx="6350" cy="565150"/>
                <wp:effectExtent l="0" t="0" r="0" b="0"/>
                <wp:wrapNone/>
                <wp:docPr id="22" name="Rect 22"/>
                <wp:cNvGraphicFramePr/>
                <a:graphic>
                  <a:graphicData uri="http://schemas.microsoft.com/office/word/2010/wordprocessingShape">
                    <wps:wsp>
                      <wps:cNvPr id="22" name="Rect 22"/>
                      <wps:cNvSpPr/>
                      <wps:spPr>
                        <a:xfrm>
                          <a:off x="6537354" y="965186"/>
                          <a:ext cx="6350" cy="56515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50" style="position:absolute;margin-left:514.752pt;margin-top:75.9989pt;mso-position-vertical-relative:page;mso-position-horizontal-relative:page;width:0.5pt;height:44.5pt;z-index:-251426816;" o:allowincell="f" fillcolor="#000000" filled="true" stroked="false"/>
            </w:pict>
          </mc:Fallback>
        </mc:AlternateContent>
      </w:r>
      <w:r>
        <mc:AlternateContent xmlns:mc="http://schemas.openxmlformats.org/markup-compatibility/2006">
          <mc:Choice Requires="wps">
            <w:drawing>
              <wp:anchor distT="0" distB="0" distL="0" distR="0" simplePos="0" relativeHeight="251888640" behindDoc="1" locked="0" layoutInCell="0" allowOverlap="1">
                <wp:simplePos x="0" y="0"/>
                <wp:positionH relativeFrom="page">
                  <wp:posOffset>1336668</wp:posOffset>
                </wp:positionH>
                <wp:positionV relativeFrom="page">
                  <wp:posOffset>965186</wp:posOffset>
                </wp:positionV>
                <wp:extent cx="6350" cy="565150"/>
                <wp:effectExtent l="0" t="0" r="0" b="0"/>
                <wp:wrapNone/>
                <wp:docPr id="24" name="Rect 24"/>
                <wp:cNvGraphicFramePr/>
                <a:graphic>
                  <a:graphicData uri="http://schemas.microsoft.com/office/word/2010/wordprocessingShape">
                    <wps:wsp>
                      <wps:cNvPr id="24" name="Rect 24"/>
                      <wps:cNvSpPr/>
                      <wps:spPr>
                        <a:xfrm>
                          <a:off x="1336668" y="965186"/>
                          <a:ext cx="6350" cy="56515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52" style="position:absolute;margin-left:105.25pt;margin-top:75.9989pt;mso-position-vertical-relative:page;mso-position-horizontal-relative:page;width:0.5pt;height:44.5pt;z-index:-251427840;" o:allowincell="f" fillcolor="#000000" filled="true" stroked="false"/>
            </w:pict>
          </mc:Fallback>
        </mc:AlternateContent>
      </w:r>
      <w:r/>
    </w:p>
    <w:tbl>
      <w:tblPr>
        <w:tblStyle w:val="TableNormal"/>
        <w:tblW w:w="89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939"/>
        <w:gridCol w:w="479"/>
        <w:gridCol w:w="2497"/>
        <w:gridCol w:w="230"/>
        <w:gridCol w:w="809"/>
        <w:gridCol w:w="659"/>
        <w:gridCol w:w="1009"/>
        <w:gridCol w:w="769"/>
        <w:gridCol w:w="1014"/>
      </w:tblGrid>
      <w:tr>
        <w:trPr>
          <w:trHeight w:val="295" w:hRule="atLeast"/>
        </w:trPr>
        <w:tc>
          <w:tcPr>
            <w:tcW w:w="554" w:type="dxa"/>
            <w:vAlign w:val="top"/>
            <w:vMerge w:val="restart"/>
            <w:tcBorders>
              <w:bottom w:val="nil"/>
            </w:tcBorders>
          </w:tcPr>
          <w:p>
            <w:pPr>
              <w:rPr>
                <w:rFonts w:ascii="Arial"/>
                <w:sz w:val="21"/>
              </w:rPr>
            </w:pPr>
            <w:r/>
          </w:p>
        </w:tc>
        <w:tc>
          <w:tcPr>
            <w:tcW w:w="1418" w:type="dxa"/>
            <w:vAlign w:val="top"/>
            <w:gridSpan w:val="2"/>
          </w:tcPr>
          <w:p>
            <w:pPr>
              <w:rPr>
                <w:rFonts w:ascii="Arial"/>
                <w:sz w:val="21"/>
              </w:rPr>
            </w:pPr>
            <w:r/>
          </w:p>
        </w:tc>
        <w:tc>
          <w:tcPr>
            <w:tcW w:w="2497" w:type="dxa"/>
            <w:vAlign w:val="top"/>
          </w:tcPr>
          <w:p>
            <w:pPr>
              <w:rPr>
                <w:rFonts w:ascii="Arial"/>
                <w:sz w:val="21"/>
              </w:rPr>
            </w:pPr>
            <w:r/>
          </w:p>
        </w:tc>
        <w:tc>
          <w:tcPr>
            <w:tcW w:w="1039" w:type="dxa"/>
            <w:vAlign w:val="top"/>
            <w:gridSpan w:val="2"/>
            <w:vMerge w:val="restart"/>
            <w:tcBorders>
              <w:bottom w:val="nil"/>
            </w:tcBorders>
          </w:tcPr>
          <w:p>
            <w:pPr>
              <w:rPr>
                <w:rFonts w:ascii="Arial"/>
                <w:sz w:val="21"/>
              </w:rPr>
            </w:pPr>
            <w:r/>
          </w:p>
        </w:tc>
        <w:tc>
          <w:tcPr>
            <w:tcW w:w="659" w:type="dxa"/>
            <w:vAlign w:val="top"/>
          </w:tcPr>
          <w:p>
            <w:pPr>
              <w:rPr>
                <w:rFonts w:ascii="Arial"/>
                <w:sz w:val="21"/>
              </w:rPr>
            </w:pPr>
            <w:r/>
          </w:p>
        </w:tc>
        <w:tc>
          <w:tcPr>
            <w:tcW w:w="1009" w:type="dxa"/>
            <w:vAlign w:val="top"/>
          </w:tcPr>
          <w:p>
            <w:pPr>
              <w:pStyle w:val="TableText"/>
              <w:ind w:left="268"/>
              <w:spacing w:before="34" w:line="201" w:lineRule="auto"/>
              <w:rPr/>
            </w:pPr>
            <w:r>
              <w:rPr>
                <w:spacing w:val="-3"/>
              </w:rPr>
              <w:t>储罐</w:t>
            </w:r>
          </w:p>
        </w:tc>
        <w:tc>
          <w:tcPr>
            <w:tcW w:w="769" w:type="dxa"/>
            <w:vAlign w:val="top"/>
          </w:tcPr>
          <w:p>
            <w:pPr>
              <w:rPr>
                <w:rFonts w:ascii="Arial"/>
                <w:sz w:val="21"/>
              </w:rPr>
            </w:pPr>
            <w:r/>
          </w:p>
        </w:tc>
        <w:tc>
          <w:tcPr>
            <w:tcW w:w="1014" w:type="dxa"/>
            <w:vAlign w:val="top"/>
          </w:tcPr>
          <w:p>
            <w:pPr>
              <w:pStyle w:val="TableText"/>
              <w:ind w:left="159"/>
              <w:spacing w:before="34" w:line="201" w:lineRule="auto"/>
              <w:rPr/>
            </w:pPr>
            <w:r>
              <w:rPr>
                <w:spacing w:val="-3"/>
              </w:rPr>
              <w:t>罐区C</w:t>
            </w:r>
          </w:p>
        </w:tc>
      </w:tr>
      <w:tr>
        <w:trPr>
          <w:trHeight w:val="289" w:hRule="atLeast"/>
        </w:trPr>
        <w:tc>
          <w:tcPr>
            <w:tcW w:w="554" w:type="dxa"/>
            <w:vAlign w:val="top"/>
            <w:vMerge w:val="continue"/>
            <w:tcBorders>
              <w:top w:val="nil"/>
              <w:bottom w:val="nil"/>
            </w:tcBorders>
          </w:tcPr>
          <w:p>
            <w:pPr>
              <w:rPr>
                <w:rFonts w:ascii="Arial"/>
                <w:sz w:val="21"/>
              </w:rPr>
            </w:pPr>
            <w:r/>
          </w:p>
        </w:tc>
        <w:tc>
          <w:tcPr>
            <w:tcW w:w="1418" w:type="dxa"/>
            <w:vAlign w:val="top"/>
            <w:gridSpan w:val="2"/>
          </w:tcPr>
          <w:p>
            <w:pPr>
              <w:pStyle w:val="TableText"/>
              <w:ind w:left="470"/>
              <w:spacing w:before="29" w:line="200" w:lineRule="auto"/>
              <w:rPr/>
            </w:pPr>
            <w:r>
              <w:rPr>
                <w:spacing w:val="5"/>
              </w:rPr>
              <w:t>天然气</w:t>
            </w:r>
          </w:p>
        </w:tc>
        <w:tc>
          <w:tcPr>
            <w:tcW w:w="2497" w:type="dxa"/>
            <w:vAlign w:val="top"/>
          </w:tcPr>
          <w:p>
            <w:pPr>
              <w:pStyle w:val="TableText"/>
              <w:ind w:left="1062"/>
              <w:spacing w:before="65" w:line="171" w:lineRule="auto"/>
              <w:rPr>
                <w:rFonts w:ascii="Calibri" w:hAnsi="Calibri" w:eastAsia="Calibri" w:cs="Calibri"/>
              </w:rPr>
            </w:pPr>
            <w:r>
              <w:rPr>
                <w:spacing w:val="-3"/>
              </w:rPr>
              <w:t>CH</w:t>
            </w:r>
            <w:r>
              <w:rPr>
                <w:rFonts w:ascii="Calibri" w:hAnsi="Calibri" w:eastAsia="Calibri" w:cs="Calibri"/>
                <w:spacing w:val="-3"/>
              </w:rPr>
              <w:t>₄</w:t>
            </w:r>
          </w:p>
        </w:tc>
        <w:tc>
          <w:tcPr>
            <w:tcW w:w="1039" w:type="dxa"/>
            <w:vAlign w:val="top"/>
            <w:gridSpan w:val="2"/>
            <w:vMerge w:val="continue"/>
            <w:tcBorders>
              <w:top w:val="nil"/>
            </w:tcBorders>
          </w:tcPr>
          <w:p>
            <w:pPr>
              <w:rPr>
                <w:rFonts w:ascii="Arial"/>
                <w:sz w:val="21"/>
              </w:rPr>
            </w:pPr>
            <w:r/>
          </w:p>
        </w:tc>
        <w:tc>
          <w:tcPr>
            <w:tcW w:w="659" w:type="dxa"/>
            <w:vAlign w:val="top"/>
          </w:tcPr>
          <w:p>
            <w:pPr>
              <w:pStyle w:val="TableText"/>
              <w:ind w:left="127"/>
              <w:spacing w:before="31" w:line="199" w:lineRule="auto"/>
              <w:rPr/>
            </w:pPr>
            <w:r>
              <w:rPr>
                <w:spacing w:val="5"/>
              </w:rPr>
              <w:t>气态</w:t>
            </w:r>
          </w:p>
        </w:tc>
        <w:tc>
          <w:tcPr>
            <w:tcW w:w="1009" w:type="dxa"/>
            <w:vAlign w:val="top"/>
          </w:tcPr>
          <w:p>
            <w:pPr>
              <w:pStyle w:val="TableText"/>
              <w:ind w:left="268"/>
              <w:spacing w:before="29" w:line="200" w:lineRule="auto"/>
              <w:rPr/>
            </w:pPr>
            <w:r>
              <w:rPr>
                <w:spacing w:val="5"/>
              </w:rPr>
              <w:t>管道</w:t>
            </w:r>
          </w:p>
        </w:tc>
        <w:tc>
          <w:tcPr>
            <w:tcW w:w="769" w:type="dxa"/>
            <w:vAlign w:val="top"/>
          </w:tcPr>
          <w:p>
            <w:pPr>
              <w:pStyle w:val="TableText"/>
              <w:ind w:left="199"/>
              <w:spacing w:before="29" w:line="200" w:lineRule="auto"/>
              <w:rPr/>
            </w:pPr>
            <w:r>
              <w:rPr>
                <w:spacing w:val="5"/>
              </w:rPr>
              <w:t>管道</w:t>
            </w:r>
          </w:p>
        </w:tc>
        <w:tc>
          <w:tcPr>
            <w:tcW w:w="1014" w:type="dxa"/>
            <w:vAlign w:val="top"/>
          </w:tcPr>
          <w:p>
            <w:pPr>
              <w:pStyle w:val="TableText"/>
              <w:ind w:left="219"/>
              <w:spacing w:before="29" w:line="200" w:lineRule="auto"/>
              <w:rPr/>
            </w:pPr>
            <w:r>
              <w:rPr>
                <w:spacing w:val="5"/>
              </w:rPr>
              <w:t>管道</w:t>
            </w:r>
          </w:p>
        </w:tc>
      </w:tr>
      <w:tr>
        <w:trPr>
          <w:trHeight w:val="280" w:hRule="atLeast"/>
        </w:trPr>
        <w:tc>
          <w:tcPr>
            <w:tcW w:w="554" w:type="dxa"/>
            <w:vAlign w:val="top"/>
            <w:vMerge w:val="continue"/>
            <w:tcBorders>
              <w:top w:val="nil"/>
              <w:bottom w:val="nil"/>
            </w:tcBorders>
          </w:tcPr>
          <w:p>
            <w:pPr>
              <w:rPr>
                <w:rFonts w:ascii="Arial"/>
                <w:sz w:val="21"/>
              </w:rPr>
            </w:pPr>
            <w:r/>
          </w:p>
        </w:tc>
        <w:tc>
          <w:tcPr>
            <w:tcW w:w="8405" w:type="dxa"/>
            <w:vAlign w:val="top"/>
            <w:gridSpan w:val="9"/>
          </w:tcPr>
          <w:p>
            <w:pPr>
              <w:pStyle w:val="TableText"/>
              <w:ind w:left="231"/>
              <w:spacing w:before="30" w:line="192" w:lineRule="auto"/>
              <w:rPr/>
            </w:pPr>
            <w:r>
              <w:rPr/>
              <w:t>备注：天然气在管道中的存量按10min用量折合计</w:t>
            </w:r>
            <w:r>
              <w:rPr>
                <w:spacing w:val="-1"/>
              </w:rPr>
              <w:t>算。</w:t>
            </w:r>
          </w:p>
        </w:tc>
      </w:tr>
      <w:tr>
        <w:trPr>
          <w:trHeight w:val="1469" w:hRule="atLeast"/>
        </w:trPr>
        <w:tc>
          <w:tcPr>
            <w:tcW w:w="554" w:type="dxa"/>
            <w:vAlign w:val="top"/>
            <w:vMerge w:val="continue"/>
            <w:tcBorders>
              <w:top w:val="nil"/>
              <w:bottom w:val="nil"/>
            </w:tcBorders>
          </w:tcPr>
          <w:p>
            <w:pPr>
              <w:rPr>
                <w:rFonts w:ascii="Arial"/>
                <w:sz w:val="21"/>
              </w:rPr>
            </w:pPr>
            <w:r/>
          </w:p>
        </w:tc>
        <w:tc>
          <w:tcPr>
            <w:tcW w:w="8405" w:type="dxa"/>
            <w:vAlign w:val="top"/>
            <w:gridSpan w:val="9"/>
          </w:tcPr>
          <w:p>
            <w:pPr>
              <w:spacing w:line="260" w:lineRule="auto"/>
              <w:rPr>
                <w:rFonts w:ascii="Arial"/>
                <w:sz w:val="21"/>
              </w:rPr>
            </w:pPr>
            <w:r/>
          </w:p>
          <w:p>
            <w:pPr>
              <w:spacing w:line="261" w:lineRule="auto"/>
              <w:rPr>
                <w:rFonts w:ascii="Arial"/>
                <w:sz w:val="21"/>
              </w:rPr>
            </w:pPr>
            <w:r/>
          </w:p>
          <w:p>
            <w:pPr>
              <w:pStyle w:val="TableText"/>
              <w:ind w:left="611"/>
              <w:spacing w:before="74" w:line="219" w:lineRule="auto"/>
              <w:rPr/>
            </w:pPr>
            <w:r>
              <w:rPr>
                <w:spacing w:val="1"/>
              </w:rPr>
              <w:t>根据“风险专项”分析，本项目涉及的危险</w:t>
            </w:r>
            <w:r>
              <w:rPr/>
              <w:t>化学品危险性分类见表4.8-2。</w:t>
            </w:r>
          </w:p>
          <w:p>
            <w:pPr>
              <w:pStyle w:val="TableText"/>
              <w:ind w:left="1264"/>
              <w:spacing w:before="185" w:line="219" w:lineRule="auto"/>
              <w:rPr/>
            </w:pPr>
            <w:r>
              <w:rPr>
                <w:b/>
                <w:bCs/>
                <w:spacing w:val="-3"/>
              </w:rPr>
              <w:t>表4.8-2</w:t>
            </w:r>
            <w:r>
              <w:rPr>
                <w:spacing w:val="-3"/>
              </w:rPr>
              <w:t xml:space="preserve">  </w:t>
            </w:r>
            <w:r>
              <w:rPr>
                <w:b/>
                <w:bCs/>
                <w:spacing w:val="-3"/>
              </w:rPr>
              <w:t>建设项目涉及的危险化学品危险性分类表</w:t>
            </w:r>
          </w:p>
        </w:tc>
      </w:tr>
      <w:tr>
        <w:trPr>
          <w:trHeight w:val="290" w:hRule="atLeast"/>
        </w:trPr>
        <w:tc>
          <w:tcPr>
            <w:tcW w:w="554" w:type="dxa"/>
            <w:vAlign w:val="top"/>
            <w:vMerge w:val="continue"/>
            <w:tcBorders>
              <w:top w:val="nil"/>
              <w:bottom w:val="nil"/>
            </w:tcBorders>
          </w:tcPr>
          <w:p>
            <w:pPr>
              <w:rPr>
                <w:rFonts w:ascii="Arial"/>
                <w:sz w:val="21"/>
              </w:rPr>
            </w:pPr>
            <w:r/>
          </w:p>
        </w:tc>
        <w:tc>
          <w:tcPr>
            <w:tcW w:w="939" w:type="dxa"/>
            <w:vAlign w:val="top"/>
          </w:tcPr>
          <w:p>
            <w:pPr>
              <w:pStyle w:val="TableText"/>
              <w:ind w:left="231"/>
              <w:spacing w:before="33" w:line="198" w:lineRule="auto"/>
              <w:rPr/>
            </w:pPr>
            <w:r>
              <w:rPr>
                <w:spacing w:val="7"/>
              </w:rPr>
              <w:t>序号</w:t>
            </w:r>
          </w:p>
        </w:tc>
        <w:tc>
          <w:tcPr>
            <w:tcW w:w="3206" w:type="dxa"/>
            <w:vAlign w:val="top"/>
            <w:gridSpan w:val="3"/>
          </w:tcPr>
          <w:p>
            <w:pPr>
              <w:pStyle w:val="TableText"/>
              <w:ind w:left="1132"/>
              <w:spacing w:before="30" w:line="200" w:lineRule="auto"/>
              <w:rPr/>
            </w:pPr>
            <w:r>
              <w:rPr>
                <w:spacing w:val="2"/>
              </w:rPr>
              <w:t>分类名称</w:t>
            </w:r>
          </w:p>
        </w:tc>
        <w:tc>
          <w:tcPr>
            <w:tcW w:w="4260" w:type="dxa"/>
            <w:vAlign w:val="top"/>
            <w:gridSpan w:val="5"/>
          </w:tcPr>
          <w:p>
            <w:pPr>
              <w:pStyle w:val="TableText"/>
              <w:ind w:left="1315"/>
              <w:spacing w:before="30" w:line="200" w:lineRule="auto"/>
              <w:rPr/>
            </w:pPr>
            <w:r>
              <w:rPr>
                <w:spacing w:val="1"/>
              </w:rPr>
              <w:t>危险化学品种类</w:t>
            </w:r>
          </w:p>
        </w:tc>
      </w:tr>
      <w:tr>
        <w:trPr>
          <w:trHeight w:val="290" w:hRule="atLeast"/>
        </w:trPr>
        <w:tc>
          <w:tcPr>
            <w:tcW w:w="554" w:type="dxa"/>
            <w:vAlign w:val="top"/>
            <w:vMerge w:val="continue"/>
            <w:tcBorders>
              <w:top w:val="nil"/>
              <w:bottom w:val="nil"/>
            </w:tcBorders>
          </w:tcPr>
          <w:p>
            <w:pPr>
              <w:rPr>
                <w:rFonts w:ascii="Arial"/>
                <w:sz w:val="21"/>
              </w:rPr>
            </w:pPr>
            <w:r/>
          </w:p>
        </w:tc>
        <w:tc>
          <w:tcPr>
            <w:tcW w:w="939" w:type="dxa"/>
            <w:vAlign w:val="top"/>
          </w:tcPr>
          <w:p>
            <w:pPr>
              <w:rPr>
                <w:rFonts w:ascii="Arial"/>
                <w:sz w:val="21"/>
              </w:rPr>
            </w:pPr>
            <w:r/>
          </w:p>
        </w:tc>
        <w:tc>
          <w:tcPr>
            <w:tcW w:w="3206" w:type="dxa"/>
            <w:vAlign w:val="top"/>
            <w:gridSpan w:val="3"/>
          </w:tcPr>
          <w:p>
            <w:pPr>
              <w:pStyle w:val="TableText"/>
              <w:ind w:left="961"/>
              <w:spacing w:before="30" w:line="200" w:lineRule="auto"/>
              <w:rPr/>
            </w:pPr>
            <w:r>
              <w:rPr>
                <w:spacing w:val="6"/>
              </w:rPr>
              <w:t>第2类(气体)</w:t>
            </w:r>
          </w:p>
        </w:tc>
        <w:tc>
          <w:tcPr>
            <w:tcW w:w="4260" w:type="dxa"/>
            <w:vAlign w:val="top"/>
            <w:gridSpan w:val="5"/>
          </w:tcPr>
          <w:p>
            <w:pPr>
              <w:pStyle w:val="TableText"/>
              <w:ind w:left="1776"/>
              <w:spacing w:before="32" w:line="199" w:lineRule="auto"/>
              <w:rPr/>
            </w:pPr>
            <w:r>
              <w:rPr>
                <w:spacing w:val="5"/>
              </w:rPr>
              <w:t>天然气</w:t>
            </w:r>
          </w:p>
        </w:tc>
      </w:tr>
      <w:tr>
        <w:trPr>
          <w:trHeight w:val="539" w:hRule="atLeast"/>
        </w:trPr>
        <w:tc>
          <w:tcPr>
            <w:tcW w:w="554" w:type="dxa"/>
            <w:vAlign w:val="top"/>
            <w:vMerge w:val="continue"/>
            <w:tcBorders>
              <w:top w:val="nil"/>
              <w:bottom w:val="nil"/>
            </w:tcBorders>
          </w:tcPr>
          <w:p>
            <w:pPr>
              <w:rPr>
                <w:rFonts w:ascii="Arial"/>
                <w:sz w:val="21"/>
              </w:rPr>
            </w:pPr>
            <w:r/>
          </w:p>
        </w:tc>
        <w:tc>
          <w:tcPr>
            <w:tcW w:w="939" w:type="dxa"/>
            <w:vAlign w:val="top"/>
          </w:tcPr>
          <w:p>
            <w:pPr>
              <w:pStyle w:val="TableText"/>
              <w:ind w:left="400"/>
              <w:spacing w:before="220" w:line="183" w:lineRule="auto"/>
              <w:rPr/>
            </w:pPr>
            <w:r>
              <w:rPr/>
              <w:t>2</w:t>
            </w:r>
          </w:p>
        </w:tc>
        <w:tc>
          <w:tcPr>
            <w:tcW w:w="3206" w:type="dxa"/>
            <w:vAlign w:val="top"/>
            <w:gridSpan w:val="3"/>
          </w:tcPr>
          <w:p>
            <w:pPr>
              <w:pStyle w:val="TableText"/>
              <w:ind w:left="731"/>
              <w:spacing w:before="161" w:line="219" w:lineRule="auto"/>
              <w:rPr/>
            </w:pPr>
            <w:r>
              <w:rPr>
                <w:spacing w:val="5"/>
              </w:rPr>
              <w:t>第3类(易燃液体)</w:t>
            </w:r>
          </w:p>
        </w:tc>
        <w:tc>
          <w:tcPr>
            <w:tcW w:w="4260" w:type="dxa"/>
            <w:vAlign w:val="top"/>
            <w:gridSpan w:val="5"/>
          </w:tcPr>
          <w:p>
            <w:pPr>
              <w:pStyle w:val="TableText"/>
              <w:ind w:left="1436"/>
              <w:spacing w:before="51" w:line="185" w:lineRule="auto"/>
              <w:rPr/>
            </w:pPr>
            <w:r>
              <w:rPr>
                <w:spacing w:val="1"/>
              </w:rPr>
              <w:t>易燃：电解液</w:t>
            </w:r>
          </w:p>
          <w:p>
            <w:pPr>
              <w:pStyle w:val="TableText"/>
              <w:ind w:left="685"/>
              <w:spacing w:line="198" w:lineRule="auto"/>
              <w:rPr/>
            </w:pPr>
            <w:r>
              <w:rPr>
                <w:spacing w:val="3"/>
              </w:rPr>
              <w:t>可燃：N-甲基吡咯烷酮(</w:t>
            </w:r>
            <w:r>
              <w:rPr/>
              <w:t>NMP</w:t>
            </w:r>
            <w:r>
              <w:rPr>
                <w:spacing w:val="3"/>
              </w:rPr>
              <w:t>)</w:t>
            </w:r>
          </w:p>
        </w:tc>
      </w:tr>
      <w:tr>
        <w:trPr>
          <w:trHeight w:val="290" w:hRule="atLeast"/>
        </w:trPr>
        <w:tc>
          <w:tcPr>
            <w:tcW w:w="554" w:type="dxa"/>
            <w:vAlign w:val="top"/>
            <w:vMerge w:val="continue"/>
            <w:tcBorders>
              <w:top w:val="nil"/>
              <w:bottom w:val="nil"/>
            </w:tcBorders>
          </w:tcPr>
          <w:p>
            <w:pPr>
              <w:rPr>
                <w:rFonts w:ascii="Arial"/>
                <w:sz w:val="21"/>
              </w:rPr>
            </w:pPr>
            <w:r/>
          </w:p>
        </w:tc>
        <w:tc>
          <w:tcPr>
            <w:tcW w:w="939" w:type="dxa"/>
            <w:vAlign w:val="top"/>
          </w:tcPr>
          <w:p>
            <w:pPr>
              <w:pStyle w:val="TableText"/>
              <w:ind w:left="400"/>
              <w:spacing w:before="91" w:line="188" w:lineRule="exact"/>
              <w:rPr/>
            </w:pPr>
            <w:r>
              <w:rPr>
                <w:position w:val="-2"/>
              </w:rPr>
              <w:t>3</w:t>
            </w:r>
          </w:p>
        </w:tc>
        <w:tc>
          <w:tcPr>
            <w:tcW w:w="3206" w:type="dxa"/>
            <w:vAlign w:val="top"/>
            <w:gridSpan w:val="3"/>
          </w:tcPr>
          <w:p>
            <w:pPr>
              <w:pStyle w:val="TableText"/>
              <w:ind w:left="731"/>
              <w:spacing w:before="32" w:line="199" w:lineRule="auto"/>
              <w:rPr/>
            </w:pPr>
            <w:r>
              <w:rPr>
                <w:spacing w:val="5"/>
              </w:rPr>
              <w:t>第6类(毒性物质)</w:t>
            </w:r>
          </w:p>
        </w:tc>
        <w:tc>
          <w:tcPr>
            <w:tcW w:w="4260" w:type="dxa"/>
            <w:vAlign w:val="top"/>
            <w:gridSpan w:val="5"/>
          </w:tcPr>
          <w:p>
            <w:pPr>
              <w:pStyle w:val="TableText"/>
              <w:ind w:left="165"/>
              <w:spacing w:before="33" w:line="198" w:lineRule="auto"/>
              <w:rPr/>
            </w:pPr>
            <w:r>
              <w:rPr>
                <w:spacing w:val="2"/>
              </w:rPr>
              <w:t>N-甲基吡咯烷酮(</w:t>
            </w:r>
            <w:r>
              <w:rPr/>
              <w:t>NMP</w:t>
            </w:r>
            <w:r>
              <w:rPr>
                <w:spacing w:val="2"/>
              </w:rPr>
              <w:t>)、电解液(</w:t>
            </w:r>
            <w:r>
              <w:rPr/>
              <w:t>LiPF</w:t>
            </w:r>
            <w:r>
              <w:rPr>
                <w:spacing w:val="2"/>
              </w:rPr>
              <w:t>6)</w:t>
            </w:r>
          </w:p>
        </w:tc>
      </w:tr>
      <w:tr>
        <w:trPr>
          <w:trHeight w:val="559" w:hRule="atLeast"/>
        </w:trPr>
        <w:tc>
          <w:tcPr>
            <w:tcW w:w="554" w:type="dxa"/>
            <w:vAlign w:val="top"/>
            <w:vMerge w:val="continue"/>
            <w:tcBorders>
              <w:top w:val="nil"/>
              <w:bottom w:val="nil"/>
            </w:tcBorders>
          </w:tcPr>
          <w:p>
            <w:pPr>
              <w:rPr>
                <w:rFonts w:ascii="Arial"/>
                <w:sz w:val="21"/>
              </w:rPr>
            </w:pPr>
            <w:r/>
          </w:p>
        </w:tc>
        <w:tc>
          <w:tcPr>
            <w:tcW w:w="939" w:type="dxa"/>
            <w:vAlign w:val="top"/>
          </w:tcPr>
          <w:p>
            <w:pPr>
              <w:pStyle w:val="TableText"/>
              <w:ind w:left="400"/>
              <w:spacing w:before="231" w:line="183" w:lineRule="auto"/>
              <w:rPr/>
            </w:pPr>
            <w:r>
              <w:rPr/>
              <w:t>4</w:t>
            </w:r>
          </w:p>
        </w:tc>
        <w:tc>
          <w:tcPr>
            <w:tcW w:w="3206" w:type="dxa"/>
            <w:vAlign w:val="top"/>
            <w:gridSpan w:val="3"/>
          </w:tcPr>
          <w:p>
            <w:pPr>
              <w:pStyle w:val="TableText"/>
              <w:ind w:left="151"/>
              <w:spacing w:before="52" w:line="201" w:lineRule="auto"/>
              <w:rPr/>
            </w:pPr>
            <w:r>
              <w:rPr/>
              <w:t>第9类(杂项危险物质和物品，</w:t>
            </w:r>
          </w:p>
          <w:p>
            <w:pPr>
              <w:pStyle w:val="TableText"/>
              <w:ind w:left="611"/>
              <w:spacing w:line="197" w:lineRule="auto"/>
              <w:rPr/>
            </w:pPr>
            <w:r>
              <w:rPr>
                <w:spacing w:val="6"/>
              </w:rPr>
              <w:t>包括危害环境物质)</w:t>
            </w:r>
          </w:p>
        </w:tc>
        <w:tc>
          <w:tcPr>
            <w:tcW w:w="4260" w:type="dxa"/>
            <w:vAlign w:val="top"/>
            <w:gridSpan w:val="5"/>
          </w:tcPr>
          <w:p>
            <w:pPr>
              <w:pStyle w:val="TableText"/>
              <w:ind w:left="1375"/>
              <w:spacing w:before="171" w:line="219" w:lineRule="auto"/>
              <w:rPr/>
            </w:pPr>
            <w:r>
              <w:rPr>
                <w:spacing w:val="7"/>
              </w:rPr>
              <w:t>三元材料(</w:t>
            </w:r>
            <w:r>
              <w:rPr/>
              <w:t>NCM</w:t>
            </w:r>
            <w:r>
              <w:rPr>
                <w:spacing w:val="7"/>
              </w:rPr>
              <w:t>)</w:t>
            </w:r>
          </w:p>
        </w:tc>
      </w:tr>
      <w:tr>
        <w:trPr>
          <w:trHeight w:val="9148" w:hRule="atLeast"/>
        </w:trPr>
        <w:tc>
          <w:tcPr>
            <w:tcW w:w="554" w:type="dxa"/>
            <w:vAlign w:val="top"/>
            <w:vMerge w:val="continue"/>
            <w:tcBorders>
              <w:top w:val="nil"/>
            </w:tcBorders>
          </w:tcPr>
          <w:p>
            <w:pPr>
              <w:rPr>
                <w:rFonts w:ascii="Arial"/>
                <w:sz w:val="21"/>
              </w:rPr>
            </w:pPr>
            <w:r/>
          </w:p>
        </w:tc>
        <w:tc>
          <w:tcPr>
            <w:tcW w:w="8405" w:type="dxa"/>
            <w:vAlign w:val="top"/>
            <w:gridSpan w:val="9"/>
          </w:tcPr>
          <w:p>
            <w:pPr>
              <w:spacing w:line="425" w:lineRule="auto"/>
              <w:rPr>
                <w:rFonts w:ascii="Arial"/>
                <w:sz w:val="21"/>
              </w:rPr>
            </w:pPr>
            <w:r/>
          </w:p>
          <w:p>
            <w:pPr>
              <w:pStyle w:val="TableText"/>
              <w:ind w:left="611"/>
              <w:spacing w:before="74" w:line="451" w:lineRule="exact"/>
              <w:rPr/>
            </w:pPr>
            <w:r>
              <w:rPr>
                <w:spacing w:val="1"/>
                <w:position w:val="16"/>
              </w:rPr>
              <w:t>本项目涉及的危险单元主要为凹版厂房，危废</w:t>
            </w:r>
            <w:r>
              <w:rPr>
                <w:position w:val="16"/>
              </w:rPr>
              <w:t>暂存间，NMP储罐区C、凹</w:t>
            </w:r>
          </w:p>
          <w:p>
            <w:pPr>
              <w:pStyle w:val="TableText"/>
              <w:ind w:left="150"/>
              <w:spacing w:line="219" w:lineRule="auto"/>
              <w:rPr/>
            </w:pPr>
            <w:r>
              <w:rPr>
                <w:spacing w:val="-1"/>
              </w:rPr>
              <w:t>版设施房(含锅炉房)和生产废水处理站。</w:t>
            </w:r>
          </w:p>
          <w:p>
            <w:pPr>
              <w:pStyle w:val="TableText"/>
              <w:ind w:left="154"/>
              <w:spacing w:before="211" w:line="218" w:lineRule="auto"/>
              <w:rPr/>
            </w:pPr>
            <w:r>
              <w:rPr>
                <w:b/>
                <w:bCs/>
                <w:spacing w:val="-3"/>
              </w:rPr>
              <w:t>4.8.2环境风险评价等级及评价范围</w:t>
            </w:r>
          </w:p>
          <w:p>
            <w:pPr>
              <w:pStyle w:val="TableText"/>
              <w:ind w:left="601"/>
              <w:spacing w:before="173" w:line="468" w:lineRule="exact"/>
              <w:rPr/>
            </w:pPr>
            <w:r>
              <w:rPr>
                <w:position w:val="18"/>
              </w:rPr>
              <w:t>根据“风险专项”分析，扩建后全厂危险物质数量与临界量比值Q=1486.462</w:t>
            </w:r>
          </w:p>
          <w:p>
            <w:pPr>
              <w:pStyle w:val="TableText"/>
              <w:ind w:left="150"/>
              <w:spacing w:before="1" w:line="217" w:lineRule="auto"/>
              <w:rPr/>
            </w:pPr>
            <w:r>
              <w:rPr/>
              <w:t>≥100。大气环境风险评价等级为二级，地表水、地下水风险评价等级为三级</w:t>
            </w:r>
          </w:p>
          <w:p>
            <w:pPr>
              <w:pStyle w:val="TableText"/>
              <w:ind w:left="140"/>
              <w:spacing w:before="209" w:line="480" w:lineRule="exact"/>
              <w:rPr/>
            </w:pPr>
            <w:r>
              <w:rPr>
                <w:position w:val="19"/>
              </w:rPr>
              <w:t>根据《建设项目环境风险评价技术导则》(HJ169-2018)评价工作等级划分，本项</w:t>
            </w:r>
          </w:p>
          <w:p>
            <w:pPr>
              <w:pStyle w:val="TableText"/>
              <w:ind w:left="160"/>
              <w:spacing w:before="1" w:line="217" w:lineRule="auto"/>
              <w:rPr/>
            </w:pPr>
            <w:r>
              <w:rPr/>
              <w:t>目环境风险评价等级为二级，选取最不利气象条件，选择适用的数值方法进行</w:t>
            </w:r>
          </w:p>
          <w:p>
            <w:pPr>
              <w:pStyle w:val="TableText"/>
              <w:ind w:left="140"/>
              <w:spacing w:before="180" w:line="451" w:lineRule="exact"/>
              <w:rPr/>
            </w:pPr>
            <w:r>
              <w:rPr>
                <w:position w:val="16"/>
              </w:rPr>
              <w:t>分析预测，给出风险事故情形下危险物质释放可能造成的大气环境影响范围和</w:t>
            </w:r>
          </w:p>
          <w:p>
            <w:pPr>
              <w:pStyle w:val="TableText"/>
              <w:ind w:left="90"/>
              <w:spacing w:line="220" w:lineRule="auto"/>
              <w:rPr/>
            </w:pPr>
            <w:r>
              <w:rPr>
                <w:spacing w:val="-2"/>
              </w:rPr>
              <w:t>程度。</w:t>
            </w:r>
          </w:p>
          <w:p>
            <w:pPr>
              <w:pStyle w:val="TableText"/>
              <w:ind w:left="601"/>
              <w:spacing w:before="203" w:line="492" w:lineRule="exact"/>
              <w:rPr/>
            </w:pPr>
            <w:r>
              <w:rPr>
                <w:spacing w:val="1"/>
                <w:position w:val="20"/>
              </w:rPr>
              <w:t>风险评价范围为项目边界外5</w:t>
            </w:r>
            <w:r>
              <w:rPr>
                <w:position w:val="20"/>
              </w:rPr>
              <w:t>km</w:t>
            </w:r>
            <w:r>
              <w:rPr>
                <w:spacing w:val="1"/>
                <w:position w:val="20"/>
              </w:rPr>
              <w:t>大气环境区域。环境风险评价环境敏感目</w:t>
            </w:r>
          </w:p>
          <w:p>
            <w:pPr>
              <w:pStyle w:val="TableText"/>
              <w:ind w:left="150"/>
              <w:spacing w:line="219" w:lineRule="auto"/>
              <w:rPr/>
            </w:pPr>
            <w:r>
              <w:rPr/>
              <w:t>标见“风险专项”§2.2环境敏感目标。</w:t>
            </w:r>
          </w:p>
          <w:p>
            <w:pPr>
              <w:pStyle w:val="TableText"/>
              <w:ind w:left="154"/>
              <w:spacing w:before="185" w:line="220" w:lineRule="auto"/>
              <w:rPr/>
            </w:pPr>
            <w:r>
              <w:rPr>
                <w:b/>
                <w:bCs/>
                <w:spacing w:val="-4"/>
              </w:rPr>
              <w:t>4.8.3环境风险识别</w:t>
            </w:r>
          </w:p>
          <w:p>
            <w:pPr>
              <w:pStyle w:val="TableText"/>
              <w:ind w:left="110" w:right="580" w:firstLine="510"/>
              <w:spacing w:before="176" w:line="375" w:lineRule="auto"/>
              <w:rPr/>
            </w:pPr>
            <w:r>
              <w:rPr>
                <w:spacing w:val="1"/>
              </w:rPr>
              <w:t>本项目涉及的危险单元主要为凹版厂房，危废</w:t>
            </w:r>
            <w:r>
              <w:rPr/>
              <w:t>暂存间，NMP储罐区C、凹 </w:t>
            </w:r>
            <w:r>
              <w:rPr>
                <w:spacing w:val="4"/>
              </w:rPr>
              <w:t>版设施房(含锅炉房)和生产废水处理站，主要危险物质为三元材料</w:t>
            </w:r>
            <w:r>
              <w:rPr>
                <w:spacing w:val="3"/>
              </w:rPr>
              <w:t>(</w:t>
            </w:r>
            <w:r>
              <w:rPr/>
              <w:t>NCM</w:t>
            </w:r>
            <w:r>
              <w:rPr>
                <w:spacing w:val="3"/>
              </w:rPr>
              <w:t>)、 </w:t>
            </w:r>
            <w:r>
              <w:rPr/>
              <w:t>NMP、天然气等危险化学品，环境风险类型主要是化学品泄漏，生产设</w:t>
            </w:r>
            <w:r>
              <w:rPr>
                <w:spacing w:val="-1"/>
              </w:rPr>
              <w:t>备电路</w:t>
            </w:r>
          </w:p>
          <w:p>
            <w:pPr>
              <w:pStyle w:val="TableText"/>
              <w:ind w:left="150"/>
              <w:spacing w:before="1" w:line="219" w:lineRule="auto"/>
              <w:rPr/>
            </w:pPr>
            <w:r>
              <w:rPr/>
              <w:t>故障，遇明火时引起的火灾事故等引发的伴生/次生污染排</w:t>
            </w:r>
            <w:r>
              <w:rPr>
                <w:spacing w:val="-1"/>
              </w:rPr>
              <w:t>放。</w:t>
            </w:r>
          </w:p>
        </w:tc>
      </w:tr>
    </w:tbl>
    <w:p>
      <w:pPr>
        <w:rPr>
          <w:rFonts w:ascii="Arial"/>
          <w:sz w:val="21"/>
        </w:rPr>
      </w:pPr>
      <w:r/>
    </w:p>
    <w:p>
      <w:pPr>
        <w:sectPr>
          <w:footerReference w:type="default" r:id="rId151"/>
          <w:pgSz w:w="11900" w:h="16840"/>
          <w:pgMar w:top="1431" w:right="1484" w:bottom="988" w:left="1445" w:header="0" w:footer="849" w:gutter="0"/>
        </w:sectPr>
        <w:rPr>
          <w:rFonts w:ascii="Arial" w:hAnsi="Arial" w:eastAsia="Arial" w:cs="Arial"/>
          <w:sz w:val="21"/>
          <w:szCs w:val="21"/>
        </w:rPr>
      </w:pPr>
    </w:p>
    <w:p>
      <w:pPr>
        <w:spacing w:line="83" w:lineRule="exact"/>
        <w:rPr/>
      </w:pPr>
      <w:r/>
    </w:p>
    <w:tbl>
      <w:tblPr>
        <w:tblStyle w:val="TableNormal"/>
        <w:tblW w:w="89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4"/>
        <w:gridCol w:w="549"/>
        <w:gridCol w:w="1189"/>
        <w:gridCol w:w="1009"/>
        <w:gridCol w:w="1418"/>
        <w:gridCol w:w="1009"/>
        <w:gridCol w:w="1928"/>
        <w:gridCol w:w="1313"/>
      </w:tblGrid>
      <w:tr>
        <w:trPr>
          <w:trHeight w:val="485" w:hRule="atLeast"/>
        </w:trPr>
        <w:tc>
          <w:tcPr>
            <w:tcW w:w="574" w:type="dxa"/>
            <w:vAlign w:val="top"/>
            <w:vMerge w:val="restart"/>
            <w:tcBorders>
              <w:bottom w:val="nil"/>
            </w:tcBorders>
          </w:tcPr>
          <w:p>
            <w:pPr>
              <w:rPr>
                <w:rFonts w:ascii="Arial"/>
                <w:sz w:val="21"/>
              </w:rPr>
            </w:pPr>
            <w:r/>
          </w:p>
        </w:tc>
        <w:tc>
          <w:tcPr>
            <w:tcW w:w="8415" w:type="dxa"/>
            <w:vAlign w:val="top"/>
            <w:gridSpan w:val="7"/>
          </w:tcPr>
          <w:p>
            <w:pPr>
              <w:pStyle w:val="TableText"/>
              <w:ind w:left="2634"/>
              <w:spacing w:before="79" w:line="219" w:lineRule="auto"/>
              <w:rPr/>
            </w:pPr>
            <w:r>
              <w:rPr>
                <w:b/>
                <w:bCs/>
                <w:spacing w:val="-3"/>
              </w:rPr>
              <w:t>表4.8-3</w:t>
            </w:r>
            <w:r>
              <w:rPr>
                <w:spacing w:val="-3"/>
              </w:rPr>
              <w:t xml:space="preserve">  </w:t>
            </w:r>
            <w:r>
              <w:rPr>
                <w:b/>
                <w:bCs/>
                <w:spacing w:val="-3"/>
              </w:rPr>
              <w:t>本项目风险识别结果</w:t>
            </w:r>
          </w:p>
        </w:tc>
      </w:tr>
      <w:tr>
        <w:trPr>
          <w:trHeight w:val="829" w:hRule="atLeast"/>
        </w:trPr>
        <w:tc>
          <w:tcPr>
            <w:tcW w:w="574" w:type="dxa"/>
            <w:vAlign w:val="top"/>
            <w:vMerge w:val="continue"/>
            <w:tcBorders>
              <w:top w:val="nil"/>
              <w:bottom w:val="nil"/>
            </w:tcBorders>
          </w:tcPr>
          <w:p>
            <w:pPr>
              <w:rPr>
                <w:rFonts w:ascii="Arial"/>
                <w:sz w:val="21"/>
              </w:rPr>
            </w:pPr>
            <w:r/>
          </w:p>
        </w:tc>
        <w:tc>
          <w:tcPr>
            <w:tcW w:w="549" w:type="dxa"/>
            <w:vAlign w:val="top"/>
            <w:textDirection w:val="tbRlV"/>
          </w:tcPr>
          <w:p>
            <w:pPr>
              <w:pStyle w:val="TableText"/>
              <w:ind w:left="168"/>
              <w:spacing w:before="158" w:line="217" w:lineRule="auto"/>
              <w:rPr/>
            </w:pPr>
            <w:r>
              <w:rPr/>
              <w:t>序号</w:t>
            </w:r>
          </w:p>
        </w:tc>
        <w:tc>
          <w:tcPr>
            <w:tcW w:w="1189" w:type="dxa"/>
            <w:vAlign w:val="top"/>
          </w:tcPr>
          <w:p>
            <w:pPr>
              <w:pStyle w:val="TableText"/>
              <w:ind w:left="121"/>
              <w:spacing w:before="300" w:line="220" w:lineRule="auto"/>
              <w:rPr/>
            </w:pPr>
            <w:r>
              <w:rPr>
                <w:spacing w:val="2"/>
              </w:rPr>
              <w:t>危险单元</w:t>
            </w:r>
          </w:p>
        </w:tc>
        <w:tc>
          <w:tcPr>
            <w:tcW w:w="1009" w:type="dxa"/>
            <w:vAlign w:val="top"/>
          </w:tcPr>
          <w:p>
            <w:pPr>
              <w:pStyle w:val="TableText"/>
              <w:ind w:left="152"/>
              <w:spacing w:before="300" w:line="220" w:lineRule="auto"/>
              <w:rPr/>
            </w:pPr>
            <w:r>
              <w:rPr>
                <w:spacing w:val="-3"/>
              </w:rPr>
              <w:t>风险源</w:t>
            </w:r>
          </w:p>
        </w:tc>
        <w:tc>
          <w:tcPr>
            <w:tcW w:w="1418" w:type="dxa"/>
            <w:vAlign w:val="top"/>
          </w:tcPr>
          <w:p>
            <w:pPr>
              <w:pStyle w:val="TableText"/>
              <w:ind w:left="583" w:right="122" w:hanging="460"/>
              <w:spacing w:before="191" w:line="222" w:lineRule="auto"/>
              <w:rPr/>
            </w:pPr>
            <w:r>
              <w:rPr>
                <w:spacing w:val="2"/>
              </w:rPr>
              <w:t>主要风险物</w:t>
            </w:r>
            <w:r>
              <w:rPr/>
              <w:t xml:space="preserve"> </w:t>
            </w:r>
            <w:r>
              <w:rPr/>
              <w:t>质</w:t>
            </w:r>
          </w:p>
        </w:tc>
        <w:tc>
          <w:tcPr>
            <w:tcW w:w="1009" w:type="dxa"/>
            <w:vAlign w:val="top"/>
          </w:tcPr>
          <w:p>
            <w:pPr>
              <w:pStyle w:val="TableText"/>
              <w:ind w:left="155" w:right="137"/>
              <w:spacing w:before="179" w:line="226" w:lineRule="auto"/>
              <w:rPr/>
            </w:pPr>
            <w:r>
              <w:rPr>
                <w:spacing w:val="-3"/>
              </w:rPr>
              <w:t>环境风</w:t>
            </w:r>
            <w:r>
              <w:rPr/>
              <w:t xml:space="preserve"> </w:t>
            </w:r>
            <w:r>
              <w:rPr>
                <w:spacing w:val="5"/>
              </w:rPr>
              <w:t>险类型</w:t>
            </w:r>
          </w:p>
        </w:tc>
        <w:tc>
          <w:tcPr>
            <w:tcW w:w="1928" w:type="dxa"/>
            <w:vAlign w:val="top"/>
          </w:tcPr>
          <w:p>
            <w:pPr>
              <w:pStyle w:val="TableText"/>
              <w:ind w:left="266"/>
              <w:spacing w:before="299" w:line="219" w:lineRule="auto"/>
              <w:rPr/>
            </w:pPr>
            <w:r>
              <w:rPr>
                <w:spacing w:val="1"/>
              </w:rPr>
              <w:t>环境影响途径</w:t>
            </w:r>
          </w:p>
        </w:tc>
        <w:tc>
          <w:tcPr>
            <w:tcW w:w="1313" w:type="dxa"/>
            <w:vAlign w:val="top"/>
          </w:tcPr>
          <w:p>
            <w:pPr>
              <w:pStyle w:val="TableText"/>
              <w:ind w:left="188" w:right="184"/>
              <w:spacing w:before="52" w:line="205" w:lineRule="auto"/>
              <w:jc w:val="both"/>
              <w:rPr/>
            </w:pPr>
            <w:r>
              <w:rPr>
                <w:spacing w:val="2"/>
              </w:rPr>
              <w:t>可能受影</w:t>
            </w:r>
            <w:r>
              <w:rPr/>
              <w:t xml:space="preserve"> </w:t>
            </w:r>
            <w:r>
              <w:rPr>
                <w:spacing w:val="2"/>
              </w:rPr>
              <w:t>响的环境</w:t>
            </w:r>
            <w:r>
              <w:rPr/>
              <w:t xml:space="preserve"> </w:t>
            </w:r>
            <w:r>
              <w:rPr>
                <w:spacing w:val="-2"/>
              </w:rPr>
              <w:t>敏感目标</w:t>
            </w:r>
          </w:p>
        </w:tc>
      </w:tr>
      <w:tr>
        <w:trPr>
          <w:trHeight w:val="829" w:hRule="atLeast"/>
        </w:trPr>
        <w:tc>
          <w:tcPr>
            <w:tcW w:w="574" w:type="dxa"/>
            <w:vAlign w:val="top"/>
            <w:vMerge w:val="continue"/>
            <w:tcBorders>
              <w:top w:val="nil"/>
              <w:bottom w:val="nil"/>
            </w:tcBorders>
          </w:tcPr>
          <w:p>
            <w:pPr>
              <w:rPr>
                <w:rFonts w:ascii="Arial"/>
                <w:sz w:val="21"/>
              </w:rPr>
            </w:pPr>
            <w:r/>
          </w:p>
        </w:tc>
        <w:tc>
          <w:tcPr>
            <w:tcW w:w="549" w:type="dxa"/>
            <w:vAlign w:val="top"/>
          </w:tcPr>
          <w:p>
            <w:pPr>
              <w:spacing w:line="282" w:lineRule="auto"/>
              <w:rPr>
                <w:rFonts w:ascii="Arial"/>
                <w:sz w:val="21"/>
              </w:rPr>
            </w:pPr>
            <w:r/>
          </w:p>
          <w:p>
            <w:pPr>
              <w:pStyle w:val="TableText"/>
              <w:ind w:left="200"/>
              <w:spacing w:before="74" w:line="184" w:lineRule="auto"/>
              <w:rPr/>
            </w:pPr>
            <w:r>
              <w:rPr/>
              <w:t>1</w:t>
            </w:r>
          </w:p>
        </w:tc>
        <w:tc>
          <w:tcPr>
            <w:tcW w:w="1189" w:type="dxa"/>
            <w:vAlign w:val="top"/>
          </w:tcPr>
          <w:p>
            <w:pPr>
              <w:pStyle w:val="TableText"/>
              <w:ind w:left="121"/>
              <w:spacing w:before="300" w:line="219" w:lineRule="auto"/>
              <w:rPr/>
            </w:pPr>
            <w:r>
              <w:rPr>
                <w:spacing w:val="5"/>
              </w:rPr>
              <w:t>生产车间</w:t>
            </w:r>
          </w:p>
        </w:tc>
        <w:tc>
          <w:tcPr>
            <w:tcW w:w="1009" w:type="dxa"/>
            <w:vAlign w:val="top"/>
          </w:tcPr>
          <w:p>
            <w:pPr>
              <w:pStyle w:val="TableText"/>
              <w:ind w:left="382" w:right="145" w:hanging="230"/>
              <w:spacing w:before="189" w:line="224" w:lineRule="auto"/>
              <w:rPr/>
            </w:pPr>
            <w:r>
              <w:rPr>
                <w:spacing w:val="3"/>
              </w:rPr>
              <w:t>生产设</w:t>
            </w:r>
            <w:r>
              <w:rPr/>
              <w:t xml:space="preserve"> </w:t>
            </w:r>
            <w:r>
              <w:rPr/>
              <w:t>备</w:t>
            </w:r>
          </w:p>
        </w:tc>
        <w:tc>
          <w:tcPr>
            <w:tcW w:w="1418" w:type="dxa"/>
            <w:vAlign w:val="top"/>
          </w:tcPr>
          <w:p>
            <w:pPr>
              <w:pStyle w:val="TableText"/>
              <w:ind w:left="583" w:right="80" w:hanging="520"/>
              <w:spacing w:before="189" w:line="219" w:lineRule="auto"/>
              <w:rPr/>
            </w:pPr>
            <w:r>
              <w:rPr>
                <w:spacing w:val="-1"/>
              </w:rPr>
              <w:t>NMP、三元材</w:t>
            </w:r>
            <w:r>
              <w:rPr>
                <w:spacing w:val="4"/>
              </w:rPr>
              <w:t xml:space="preserve"> </w:t>
            </w:r>
            <w:r>
              <w:rPr/>
              <w:t>料</w:t>
            </w:r>
          </w:p>
        </w:tc>
        <w:tc>
          <w:tcPr>
            <w:tcW w:w="1009" w:type="dxa"/>
            <w:vAlign w:val="top"/>
          </w:tcPr>
          <w:p>
            <w:pPr>
              <w:pStyle w:val="TableText"/>
              <w:ind w:left="384" w:right="34" w:hanging="349"/>
              <w:spacing w:before="179" w:line="228" w:lineRule="auto"/>
              <w:rPr/>
            </w:pPr>
            <w:r>
              <w:rPr>
                <w:spacing w:val="2"/>
              </w:rPr>
              <w:t>泄漏、火</w:t>
            </w:r>
            <w:r>
              <w:rPr/>
              <w:t xml:space="preserve"> </w:t>
            </w:r>
            <w:r>
              <w:rPr/>
              <w:t>灾</w:t>
            </w:r>
          </w:p>
        </w:tc>
        <w:tc>
          <w:tcPr>
            <w:tcW w:w="1928" w:type="dxa"/>
            <w:vAlign w:val="top"/>
          </w:tcPr>
          <w:p>
            <w:pPr>
              <w:pStyle w:val="TableText"/>
              <w:ind w:left="36"/>
              <w:spacing w:before="30" w:line="219" w:lineRule="auto"/>
              <w:rPr/>
            </w:pPr>
            <w:r>
              <w:rPr>
                <w:spacing w:val="1"/>
              </w:rPr>
              <w:t>蒸发进入大气，径</w:t>
            </w:r>
          </w:p>
          <w:p>
            <w:pPr>
              <w:pStyle w:val="TableText"/>
              <w:ind w:left="36"/>
              <w:spacing w:before="16" w:line="201" w:lineRule="auto"/>
              <w:rPr/>
            </w:pPr>
            <w:r>
              <w:rPr>
                <w:spacing w:val="-2"/>
              </w:rPr>
              <w:t>流污染地表水、地</w:t>
            </w:r>
          </w:p>
          <w:p>
            <w:pPr>
              <w:pStyle w:val="TableText"/>
              <w:ind w:left="386"/>
              <w:spacing w:line="199" w:lineRule="auto"/>
              <w:rPr/>
            </w:pPr>
            <w:r>
              <w:rPr>
                <w:spacing w:val="1"/>
              </w:rPr>
              <w:t>下水、土壤</w:t>
            </w:r>
          </w:p>
        </w:tc>
        <w:tc>
          <w:tcPr>
            <w:tcW w:w="1313" w:type="dxa"/>
            <w:vAlign w:val="top"/>
            <w:vMerge w:val="restart"/>
            <w:tcBorders>
              <w:bottom w:val="nil"/>
            </w:tcBorders>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128"/>
              <w:spacing w:before="75" w:line="219" w:lineRule="auto"/>
              <w:rPr/>
            </w:pPr>
            <w:r>
              <w:rPr>
                <w:spacing w:val="2"/>
              </w:rPr>
              <w:t>见表3.5-2</w:t>
            </w:r>
          </w:p>
        </w:tc>
      </w:tr>
      <w:tr>
        <w:trPr>
          <w:trHeight w:val="570" w:hRule="atLeast"/>
        </w:trPr>
        <w:tc>
          <w:tcPr>
            <w:tcW w:w="574" w:type="dxa"/>
            <w:vAlign w:val="top"/>
            <w:vMerge w:val="continue"/>
            <w:tcBorders>
              <w:top w:val="nil"/>
              <w:bottom w:val="nil"/>
            </w:tcBorders>
          </w:tcPr>
          <w:p>
            <w:pPr>
              <w:rPr>
                <w:rFonts w:ascii="Arial"/>
                <w:sz w:val="21"/>
              </w:rPr>
            </w:pPr>
            <w:r/>
          </w:p>
        </w:tc>
        <w:tc>
          <w:tcPr>
            <w:tcW w:w="549" w:type="dxa"/>
            <w:vAlign w:val="top"/>
          </w:tcPr>
          <w:p>
            <w:pPr>
              <w:pStyle w:val="TableText"/>
              <w:ind w:left="200"/>
              <w:spacing w:before="230" w:line="183" w:lineRule="auto"/>
              <w:rPr/>
            </w:pPr>
            <w:r>
              <w:rPr/>
              <w:t>2</w:t>
            </w:r>
          </w:p>
        </w:tc>
        <w:tc>
          <w:tcPr>
            <w:tcW w:w="1189" w:type="dxa"/>
            <w:vAlign w:val="top"/>
          </w:tcPr>
          <w:p>
            <w:pPr>
              <w:pStyle w:val="TableText"/>
              <w:ind w:left="470" w:right="127" w:hanging="349"/>
              <w:spacing w:before="71" w:line="196" w:lineRule="auto"/>
              <w:rPr/>
            </w:pPr>
            <w:r>
              <w:rPr>
                <w:spacing w:val="2"/>
              </w:rPr>
              <w:t>危废暂存</w:t>
            </w:r>
            <w:r>
              <w:rPr/>
              <w:t xml:space="preserve"> </w:t>
            </w:r>
            <w:r>
              <w:rPr/>
              <w:t>间</w:t>
            </w:r>
          </w:p>
        </w:tc>
        <w:tc>
          <w:tcPr>
            <w:tcW w:w="1009" w:type="dxa"/>
            <w:vAlign w:val="top"/>
          </w:tcPr>
          <w:p>
            <w:pPr>
              <w:pStyle w:val="TableText"/>
              <w:ind w:left="152"/>
              <w:spacing w:before="171" w:line="219" w:lineRule="auto"/>
              <w:rPr/>
            </w:pPr>
            <w:r>
              <w:rPr>
                <w:spacing w:val="6"/>
              </w:rPr>
              <w:t>储存区</w:t>
            </w:r>
          </w:p>
        </w:tc>
        <w:tc>
          <w:tcPr>
            <w:tcW w:w="1418" w:type="dxa"/>
            <w:vAlign w:val="top"/>
          </w:tcPr>
          <w:p>
            <w:pPr>
              <w:pStyle w:val="TableText"/>
              <w:ind w:left="353"/>
              <w:spacing w:before="169" w:line="219" w:lineRule="auto"/>
              <w:rPr/>
            </w:pPr>
            <w:r>
              <w:rPr>
                <w:spacing w:val="8"/>
              </w:rPr>
              <w:t>废机油</w:t>
            </w:r>
          </w:p>
        </w:tc>
        <w:tc>
          <w:tcPr>
            <w:tcW w:w="1009" w:type="dxa"/>
            <w:vAlign w:val="top"/>
            <w:vMerge w:val="restart"/>
            <w:tcBorders>
              <w:bottom w:val="nil"/>
            </w:tcBorders>
          </w:tcPr>
          <w:p>
            <w:pPr>
              <w:spacing w:line="346" w:lineRule="auto"/>
              <w:rPr>
                <w:rFonts w:ascii="Arial"/>
                <w:sz w:val="21"/>
              </w:rPr>
            </w:pPr>
            <w:r/>
          </w:p>
          <w:p>
            <w:pPr>
              <w:spacing w:line="347" w:lineRule="auto"/>
              <w:rPr>
                <w:rFonts w:ascii="Arial"/>
                <w:sz w:val="21"/>
              </w:rPr>
            </w:pPr>
            <w:r/>
          </w:p>
          <w:p>
            <w:pPr>
              <w:pStyle w:val="TableText"/>
              <w:ind w:left="384" w:right="34" w:hanging="349"/>
              <w:spacing w:before="75" w:line="215" w:lineRule="auto"/>
              <w:rPr/>
            </w:pPr>
            <w:r>
              <w:rPr>
                <w:spacing w:val="2"/>
              </w:rPr>
              <w:t>泄漏、火</w:t>
            </w:r>
            <w:r>
              <w:rPr/>
              <w:t xml:space="preserve"> </w:t>
            </w:r>
            <w:r>
              <w:rPr/>
              <w:t>灾</w:t>
            </w:r>
          </w:p>
        </w:tc>
        <w:tc>
          <w:tcPr>
            <w:tcW w:w="1928" w:type="dxa"/>
            <w:vAlign w:val="top"/>
            <w:vMerge w:val="restart"/>
            <w:tcBorders>
              <w:bottom w:val="nil"/>
            </w:tcBorders>
          </w:tcPr>
          <w:p>
            <w:pPr>
              <w:spacing w:line="286" w:lineRule="auto"/>
              <w:rPr>
                <w:rFonts w:ascii="Arial"/>
                <w:sz w:val="21"/>
              </w:rPr>
            </w:pPr>
            <w:r/>
          </w:p>
          <w:p>
            <w:pPr>
              <w:spacing w:line="286" w:lineRule="auto"/>
              <w:rPr>
                <w:rFonts w:ascii="Arial"/>
                <w:sz w:val="21"/>
              </w:rPr>
            </w:pPr>
            <w:r/>
          </w:p>
          <w:p>
            <w:pPr>
              <w:pStyle w:val="TableText"/>
              <w:ind w:left="36"/>
              <w:spacing w:before="75" w:line="209" w:lineRule="auto"/>
              <w:rPr/>
            </w:pPr>
            <w:r>
              <w:rPr>
                <w:spacing w:val="1"/>
              </w:rPr>
              <w:t>蒸发进入大气，径</w:t>
            </w:r>
          </w:p>
          <w:p>
            <w:pPr>
              <w:pStyle w:val="TableText"/>
              <w:ind w:left="36"/>
              <w:spacing w:line="216" w:lineRule="auto"/>
              <w:rPr/>
            </w:pPr>
            <w:r>
              <w:rPr>
                <w:spacing w:val="-2"/>
              </w:rPr>
              <w:t>流污染地表水、地</w:t>
            </w:r>
          </w:p>
          <w:p>
            <w:pPr>
              <w:pStyle w:val="TableText"/>
              <w:ind w:left="386"/>
              <w:spacing w:line="219" w:lineRule="auto"/>
              <w:rPr/>
            </w:pPr>
            <w:r>
              <w:rPr>
                <w:spacing w:val="1"/>
              </w:rPr>
              <w:t>下水、土壤</w:t>
            </w:r>
          </w:p>
        </w:tc>
        <w:tc>
          <w:tcPr>
            <w:tcW w:w="1313" w:type="dxa"/>
            <w:vAlign w:val="top"/>
            <w:vMerge w:val="continue"/>
            <w:tcBorders>
              <w:top w:val="nil"/>
              <w:bottom w:val="nil"/>
            </w:tcBorders>
          </w:tcPr>
          <w:p>
            <w:pPr>
              <w:rPr>
                <w:rFonts w:ascii="Arial"/>
                <w:sz w:val="21"/>
              </w:rPr>
            </w:pPr>
            <w:r/>
          </w:p>
        </w:tc>
      </w:tr>
      <w:tr>
        <w:trPr>
          <w:trHeight w:val="560" w:hRule="atLeast"/>
        </w:trPr>
        <w:tc>
          <w:tcPr>
            <w:tcW w:w="574" w:type="dxa"/>
            <w:vAlign w:val="top"/>
            <w:vMerge w:val="continue"/>
            <w:tcBorders>
              <w:top w:val="nil"/>
              <w:bottom w:val="nil"/>
            </w:tcBorders>
          </w:tcPr>
          <w:p>
            <w:pPr>
              <w:rPr>
                <w:rFonts w:ascii="Arial"/>
                <w:sz w:val="21"/>
              </w:rPr>
            </w:pPr>
            <w:r/>
          </w:p>
        </w:tc>
        <w:tc>
          <w:tcPr>
            <w:tcW w:w="549" w:type="dxa"/>
            <w:vAlign w:val="top"/>
          </w:tcPr>
          <w:p>
            <w:pPr>
              <w:pStyle w:val="TableText"/>
              <w:ind w:left="200"/>
              <w:spacing w:before="230" w:line="183" w:lineRule="auto"/>
              <w:rPr/>
            </w:pPr>
            <w:r>
              <w:rPr/>
              <w:t>3</w:t>
            </w:r>
          </w:p>
        </w:tc>
        <w:tc>
          <w:tcPr>
            <w:tcW w:w="1189" w:type="dxa"/>
            <w:vAlign w:val="top"/>
          </w:tcPr>
          <w:p>
            <w:pPr>
              <w:pStyle w:val="TableText"/>
              <w:ind w:left="411" w:right="193" w:hanging="230"/>
              <w:spacing w:before="61" w:line="196" w:lineRule="auto"/>
              <w:rPr/>
            </w:pPr>
            <w:r>
              <w:rPr>
                <w:spacing w:val="-1"/>
              </w:rPr>
              <w:t>NMP储罐</w:t>
            </w:r>
            <w:r>
              <w:rPr>
                <w:spacing w:val="2"/>
              </w:rPr>
              <w:t xml:space="preserve"> </w:t>
            </w:r>
            <w:r>
              <w:rPr>
                <w:spacing w:val="1"/>
              </w:rPr>
              <w:t>区C</w:t>
            </w:r>
          </w:p>
        </w:tc>
        <w:tc>
          <w:tcPr>
            <w:tcW w:w="1009" w:type="dxa"/>
            <w:vAlign w:val="top"/>
          </w:tcPr>
          <w:p>
            <w:pPr>
              <w:pStyle w:val="TableText"/>
              <w:ind w:left="152"/>
              <w:spacing w:before="171" w:line="219" w:lineRule="auto"/>
              <w:rPr/>
            </w:pPr>
            <w:r>
              <w:rPr>
                <w:spacing w:val="6"/>
              </w:rPr>
              <w:t>储罐区</w:t>
            </w:r>
          </w:p>
        </w:tc>
        <w:tc>
          <w:tcPr>
            <w:tcW w:w="1418" w:type="dxa"/>
            <w:vAlign w:val="top"/>
          </w:tcPr>
          <w:p>
            <w:pPr>
              <w:pStyle w:val="TableText"/>
              <w:ind w:left="263"/>
              <w:spacing w:before="77" w:line="292" w:lineRule="exact"/>
              <w:rPr>
                <w:sz w:val="22"/>
                <w:szCs w:val="22"/>
              </w:rPr>
            </w:pPr>
            <w:r>
              <w:rPr>
                <w:sz w:val="22"/>
                <w:szCs w:val="22"/>
                <w:position w:val="5"/>
              </w:rPr>
              <w:t>NMP</w:t>
            </w:r>
            <w:r>
              <w:rPr>
                <w:sz w:val="22"/>
                <w:szCs w:val="22"/>
                <w:spacing w:val="35"/>
                <w:position w:val="5"/>
              </w:rPr>
              <w:t>,废</w:t>
            </w:r>
          </w:p>
          <w:p>
            <w:pPr>
              <w:pStyle w:val="TableText"/>
              <w:ind w:left="524"/>
              <w:spacing w:line="180" w:lineRule="exact"/>
              <w:rPr>
                <w:sz w:val="22"/>
                <w:szCs w:val="22"/>
              </w:rPr>
            </w:pPr>
            <w:r>
              <w:rPr>
                <w:sz w:val="22"/>
                <w:szCs w:val="22"/>
                <w:spacing w:val="-1"/>
                <w:position w:val="-2"/>
              </w:rPr>
              <w:t>NMP</w:t>
            </w:r>
          </w:p>
        </w:tc>
        <w:tc>
          <w:tcPr>
            <w:tcW w:w="1009" w:type="dxa"/>
            <w:vAlign w:val="top"/>
            <w:vMerge w:val="continue"/>
            <w:tcBorders>
              <w:top w:val="nil"/>
              <w:bottom w:val="nil"/>
            </w:tcBorders>
          </w:tcPr>
          <w:p>
            <w:pPr>
              <w:rPr>
                <w:rFonts w:ascii="Arial"/>
                <w:sz w:val="21"/>
              </w:rPr>
            </w:pPr>
            <w:r/>
          </w:p>
        </w:tc>
        <w:tc>
          <w:tcPr>
            <w:tcW w:w="1928" w:type="dxa"/>
            <w:vAlign w:val="top"/>
            <w:vMerge w:val="continue"/>
            <w:tcBorders>
              <w:top w:val="nil"/>
              <w:bottom w:val="nil"/>
            </w:tcBorders>
          </w:tcPr>
          <w:p>
            <w:pPr>
              <w:rPr>
                <w:rFonts w:ascii="Arial"/>
                <w:sz w:val="21"/>
              </w:rPr>
            </w:pPr>
            <w:r/>
          </w:p>
        </w:tc>
        <w:tc>
          <w:tcPr>
            <w:tcW w:w="1313" w:type="dxa"/>
            <w:vAlign w:val="top"/>
            <w:vMerge w:val="continue"/>
            <w:tcBorders>
              <w:top w:val="nil"/>
              <w:bottom w:val="nil"/>
            </w:tcBorders>
          </w:tcPr>
          <w:p>
            <w:pPr>
              <w:rPr>
                <w:rFonts w:ascii="Arial"/>
                <w:sz w:val="21"/>
              </w:rPr>
            </w:pPr>
            <w:r/>
          </w:p>
        </w:tc>
      </w:tr>
      <w:tr>
        <w:trPr>
          <w:trHeight w:val="829" w:hRule="atLeast"/>
        </w:trPr>
        <w:tc>
          <w:tcPr>
            <w:tcW w:w="574" w:type="dxa"/>
            <w:vAlign w:val="top"/>
            <w:vMerge w:val="continue"/>
            <w:tcBorders>
              <w:top w:val="nil"/>
              <w:bottom w:val="nil"/>
            </w:tcBorders>
          </w:tcPr>
          <w:p>
            <w:pPr>
              <w:rPr>
                <w:rFonts w:ascii="Arial"/>
                <w:sz w:val="21"/>
              </w:rPr>
            </w:pPr>
            <w:r/>
          </w:p>
        </w:tc>
        <w:tc>
          <w:tcPr>
            <w:tcW w:w="549" w:type="dxa"/>
            <w:vAlign w:val="top"/>
          </w:tcPr>
          <w:p>
            <w:pPr>
              <w:spacing w:line="284" w:lineRule="auto"/>
              <w:rPr>
                <w:rFonts w:ascii="Arial"/>
                <w:sz w:val="21"/>
              </w:rPr>
            </w:pPr>
            <w:r/>
          </w:p>
          <w:p>
            <w:pPr>
              <w:pStyle w:val="TableText"/>
              <w:ind w:left="200"/>
              <w:spacing w:before="74" w:line="183" w:lineRule="auto"/>
              <w:rPr/>
            </w:pPr>
            <w:r>
              <w:rPr/>
              <w:t>4</w:t>
            </w:r>
          </w:p>
        </w:tc>
        <w:tc>
          <w:tcPr>
            <w:tcW w:w="1189" w:type="dxa"/>
            <w:vAlign w:val="top"/>
          </w:tcPr>
          <w:p>
            <w:pPr>
              <w:pStyle w:val="TableText"/>
              <w:ind w:left="121"/>
              <w:spacing w:before="52" w:line="216" w:lineRule="auto"/>
              <w:rPr/>
            </w:pPr>
            <w:r>
              <w:rPr>
                <w:spacing w:val="2"/>
              </w:rPr>
              <w:t>凹版设施</w:t>
            </w:r>
          </w:p>
          <w:p>
            <w:pPr>
              <w:pStyle w:val="TableText"/>
              <w:ind w:left="61"/>
              <w:spacing w:line="217" w:lineRule="auto"/>
              <w:rPr/>
            </w:pPr>
            <w:r>
              <w:rPr>
                <w:spacing w:val="4"/>
              </w:rPr>
              <w:t>房(含锅炉</w:t>
            </w:r>
          </w:p>
          <w:p>
            <w:pPr>
              <w:pStyle w:val="TableText"/>
              <w:ind w:left="411"/>
              <w:spacing w:line="182" w:lineRule="auto"/>
              <w:rPr/>
            </w:pPr>
            <w:r>
              <w:rPr>
                <w:spacing w:val="-5"/>
              </w:rPr>
              <w:t>房</w:t>
            </w:r>
            <w:r>
              <w:rPr>
                <w:spacing w:val="-50"/>
              </w:rPr>
              <w:t xml:space="preserve"> </w:t>
            </w:r>
            <w:r>
              <w:rPr>
                <w:spacing w:val="-5"/>
              </w:rPr>
              <w:t>)</w:t>
            </w:r>
          </w:p>
        </w:tc>
        <w:tc>
          <w:tcPr>
            <w:tcW w:w="1009" w:type="dxa"/>
            <w:vAlign w:val="top"/>
          </w:tcPr>
          <w:p>
            <w:pPr>
              <w:pStyle w:val="TableText"/>
              <w:ind w:left="33"/>
              <w:spacing w:before="52" w:line="216" w:lineRule="auto"/>
              <w:rPr/>
            </w:pPr>
            <w:r>
              <w:rPr>
                <w:spacing w:val="-2"/>
              </w:rPr>
              <w:t>锅炉、天</w:t>
            </w:r>
          </w:p>
          <w:p>
            <w:pPr>
              <w:pStyle w:val="TableText"/>
              <w:ind w:left="152"/>
              <w:spacing w:line="219" w:lineRule="auto"/>
              <w:rPr/>
            </w:pPr>
            <w:r>
              <w:rPr>
                <w:spacing w:val="4"/>
              </w:rPr>
              <w:t>然气管</w:t>
            </w:r>
          </w:p>
          <w:p>
            <w:pPr>
              <w:pStyle w:val="TableText"/>
              <w:ind w:left="382"/>
              <w:spacing w:before="5" w:line="176" w:lineRule="auto"/>
              <w:rPr/>
            </w:pPr>
            <w:r>
              <w:rPr/>
              <w:t>道</w:t>
            </w:r>
          </w:p>
        </w:tc>
        <w:tc>
          <w:tcPr>
            <w:tcW w:w="1418" w:type="dxa"/>
            <w:vAlign w:val="top"/>
          </w:tcPr>
          <w:p>
            <w:pPr>
              <w:pStyle w:val="TableText"/>
              <w:ind w:left="353"/>
              <w:spacing w:before="302" w:line="220" w:lineRule="auto"/>
              <w:rPr/>
            </w:pPr>
            <w:r>
              <w:rPr>
                <w:spacing w:val="5"/>
              </w:rPr>
              <w:t>天然气</w:t>
            </w:r>
          </w:p>
        </w:tc>
        <w:tc>
          <w:tcPr>
            <w:tcW w:w="1009" w:type="dxa"/>
            <w:vAlign w:val="top"/>
            <w:vMerge w:val="continue"/>
            <w:tcBorders>
              <w:top w:val="nil"/>
            </w:tcBorders>
          </w:tcPr>
          <w:p>
            <w:pPr>
              <w:rPr>
                <w:rFonts w:ascii="Arial"/>
                <w:sz w:val="21"/>
              </w:rPr>
            </w:pPr>
            <w:r/>
          </w:p>
        </w:tc>
        <w:tc>
          <w:tcPr>
            <w:tcW w:w="1928" w:type="dxa"/>
            <w:vAlign w:val="top"/>
            <w:vMerge w:val="continue"/>
            <w:tcBorders>
              <w:top w:val="nil"/>
            </w:tcBorders>
          </w:tcPr>
          <w:p>
            <w:pPr>
              <w:rPr>
                <w:rFonts w:ascii="Arial"/>
                <w:sz w:val="21"/>
              </w:rPr>
            </w:pPr>
            <w:r/>
          </w:p>
        </w:tc>
        <w:tc>
          <w:tcPr>
            <w:tcW w:w="1313" w:type="dxa"/>
            <w:vAlign w:val="top"/>
            <w:vMerge w:val="continue"/>
            <w:tcBorders>
              <w:top w:val="nil"/>
              <w:bottom w:val="nil"/>
            </w:tcBorders>
          </w:tcPr>
          <w:p>
            <w:pPr>
              <w:rPr>
                <w:rFonts w:ascii="Arial"/>
                <w:sz w:val="21"/>
              </w:rPr>
            </w:pPr>
            <w:r/>
          </w:p>
        </w:tc>
      </w:tr>
      <w:tr>
        <w:trPr>
          <w:trHeight w:val="829" w:hRule="atLeast"/>
        </w:trPr>
        <w:tc>
          <w:tcPr>
            <w:tcW w:w="574" w:type="dxa"/>
            <w:vAlign w:val="top"/>
            <w:vMerge w:val="continue"/>
            <w:tcBorders>
              <w:top w:val="nil"/>
              <w:bottom w:val="nil"/>
            </w:tcBorders>
          </w:tcPr>
          <w:p>
            <w:pPr>
              <w:rPr>
                <w:rFonts w:ascii="Arial"/>
                <w:sz w:val="21"/>
              </w:rPr>
            </w:pPr>
            <w:r/>
          </w:p>
        </w:tc>
        <w:tc>
          <w:tcPr>
            <w:tcW w:w="549" w:type="dxa"/>
            <w:vAlign w:val="top"/>
          </w:tcPr>
          <w:p>
            <w:pPr>
              <w:spacing w:line="286" w:lineRule="auto"/>
              <w:rPr>
                <w:rFonts w:ascii="Arial"/>
                <w:sz w:val="21"/>
              </w:rPr>
            </w:pPr>
            <w:r/>
          </w:p>
          <w:p>
            <w:pPr>
              <w:pStyle w:val="TableText"/>
              <w:ind w:left="200"/>
              <w:spacing w:before="75" w:line="182" w:lineRule="auto"/>
              <w:rPr/>
            </w:pPr>
            <w:r>
              <w:rPr/>
              <w:t>5</w:t>
            </w:r>
          </w:p>
        </w:tc>
        <w:tc>
          <w:tcPr>
            <w:tcW w:w="1189" w:type="dxa"/>
            <w:vAlign w:val="top"/>
          </w:tcPr>
          <w:p>
            <w:pPr>
              <w:pStyle w:val="TableText"/>
              <w:ind w:left="121"/>
              <w:spacing w:before="212" w:line="219" w:lineRule="auto"/>
              <w:rPr/>
            </w:pPr>
            <w:r>
              <w:rPr>
                <w:spacing w:val="2"/>
              </w:rPr>
              <w:t>生产废水</w:t>
            </w:r>
          </w:p>
          <w:p>
            <w:pPr>
              <w:pStyle w:val="TableText"/>
              <w:ind w:left="241"/>
              <w:spacing w:line="222" w:lineRule="auto"/>
              <w:rPr/>
            </w:pPr>
            <w:r>
              <w:rPr>
                <w:spacing w:val="4"/>
              </w:rPr>
              <w:t>处理站</w:t>
            </w:r>
          </w:p>
        </w:tc>
        <w:tc>
          <w:tcPr>
            <w:tcW w:w="1009" w:type="dxa"/>
            <w:vAlign w:val="top"/>
          </w:tcPr>
          <w:p>
            <w:pPr>
              <w:pStyle w:val="TableText"/>
              <w:ind w:left="432"/>
              <w:spacing w:before="309" w:line="224" w:lineRule="auto"/>
              <w:rPr/>
            </w:pPr>
            <w:r>
              <w:rPr/>
              <w:t>/</w:t>
            </w:r>
          </w:p>
        </w:tc>
        <w:tc>
          <w:tcPr>
            <w:tcW w:w="1418" w:type="dxa"/>
            <w:vAlign w:val="top"/>
          </w:tcPr>
          <w:p>
            <w:pPr>
              <w:pStyle w:val="TableText"/>
              <w:ind w:left="643"/>
              <w:spacing w:before="309" w:line="224" w:lineRule="auto"/>
              <w:rPr/>
            </w:pPr>
            <w:r>
              <w:rPr/>
              <w:t>/</w:t>
            </w:r>
          </w:p>
        </w:tc>
        <w:tc>
          <w:tcPr>
            <w:tcW w:w="1009" w:type="dxa"/>
            <w:vAlign w:val="top"/>
          </w:tcPr>
          <w:p>
            <w:pPr>
              <w:pStyle w:val="TableText"/>
              <w:ind w:left="266"/>
              <w:spacing w:before="303" w:line="221" w:lineRule="auto"/>
              <w:rPr/>
            </w:pPr>
            <w:r>
              <w:rPr>
                <w:spacing w:val="7"/>
              </w:rPr>
              <w:t>泄漏</w:t>
            </w:r>
          </w:p>
        </w:tc>
        <w:tc>
          <w:tcPr>
            <w:tcW w:w="1928" w:type="dxa"/>
            <w:vAlign w:val="top"/>
          </w:tcPr>
          <w:p>
            <w:pPr>
              <w:pStyle w:val="TableText"/>
              <w:ind w:left="36" w:right="31" w:firstLine="120"/>
              <w:spacing w:before="71" w:line="206" w:lineRule="auto"/>
              <w:rPr>
                <w:sz w:val="22"/>
                <w:szCs w:val="22"/>
              </w:rPr>
            </w:pPr>
            <w:r>
              <w:rPr>
                <w:spacing w:val="-2"/>
              </w:rPr>
              <w:t>废水泄漏进入土</w:t>
            </w:r>
            <w:r>
              <w:rPr>
                <w:spacing w:val="2"/>
              </w:rPr>
              <w:t xml:space="preserve">  </w:t>
            </w:r>
            <w:r>
              <w:rPr>
                <w:sz w:val="22"/>
                <w:szCs w:val="22"/>
                <w:spacing w:val="11"/>
              </w:rPr>
              <w:t>壤、地下水，超标</w:t>
            </w:r>
            <w:r>
              <w:rPr>
                <w:sz w:val="22"/>
                <w:szCs w:val="22"/>
              </w:rPr>
              <w:t xml:space="preserve"> </w:t>
            </w:r>
            <w:r>
              <w:rPr>
                <w:sz w:val="22"/>
                <w:szCs w:val="22"/>
                <w:spacing w:val="11"/>
              </w:rPr>
              <w:t>排放影响纳污水域</w:t>
            </w:r>
          </w:p>
        </w:tc>
        <w:tc>
          <w:tcPr>
            <w:tcW w:w="1313" w:type="dxa"/>
            <w:vAlign w:val="top"/>
            <w:vMerge w:val="continue"/>
            <w:tcBorders>
              <w:top w:val="nil"/>
            </w:tcBorders>
          </w:tcPr>
          <w:p>
            <w:pPr>
              <w:rPr>
                <w:rFonts w:ascii="Arial"/>
                <w:sz w:val="21"/>
              </w:rPr>
            </w:pPr>
            <w:r/>
          </w:p>
        </w:tc>
      </w:tr>
      <w:tr>
        <w:trPr>
          <w:trHeight w:val="8449" w:hRule="atLeast"/>
        </w:trPr>
        <w:tc>
          <w:tcPr>
            <w:tcW w:w="574" w:type="dxa"/>
            <w:vAlign w:val="top"/>
            <w:vMerge w:val="continue"/>
            <w:tcBorders>
              <w:top w:val="nil"/>
            </w:tcBorders>
          </w:tcPr>
          <w:p>
            <w:pPr>
              <w:rPr>
                <w:rFonts w:ascii="Arial"/>
                <w:sz w:val="21"/>
              </w:rPr>
            </w:pPr>
            <w:r/>
          </w:p>
        </w:tc>
        <w:tc>
          <w:tcPr>
            <w:tcW w:w="8415" w:type="dxa"/>
            <w:vAlign w:val="top"/>
            <w:gridSpan w:val="7"/>
          </w:tcPr>
          <w:p>
            <w:pPr>
              <w:pStyle w:val="TableText"/>
              <w:ind w:left="124"/>
              <w:spacing w:before="88" w:line="218" w:lineRule="auto"/>
              <w:rPr/>
            </w:pPr>
            <w:r>
              <w:rPr>
                <w:b/>
                <w:bCs/>
                <w:spacing w:val="-3"/>
              </w:rPr>
              <w:t>4.8.4环境风险预测与评价</w:t>
            </w:r>
          </w:p>
          <w:p>
            <w:pPr>
              <w:pStyle w:val="TableText"/>
              <w:ind w:left="630"/>
              <w:spacing w:before="181" w:line="471" w:lineRule="exact"/>
              <w:rPr/>
            </w:pPr>
            <w:r>
              <w:rPr>
                <w:position w:val="18"/>
              </w:rPr>
              <w:t>根据危险化学品危险性及生产设施风险识别结果，</w:t>
            </w:r>
            <w:r>
              <w:rPr>
                <w:spacing w:val="-1"/>
                <w:position w:val="18"/>
              </w:rPr>
              <w:t>结合火灾爆炸及泄漏风</w:t>
            </w:r>
          </w:p>
          <w:p>
            <w:pPr>
              <w:pStyle w:val="TableText"/>
              <w:ind w:left="130"/>
              <w:spacing w:line="218" w:lineRule="auto"/>
              <w:rPr/>
            </w:pPr>
            <w:r>
              <w:rPr>
                <w:spacing w:val="1"/>
              </w:rPr>
              <w:t>险类型，本项目最大可信事故为</w:t>
            </w:r>
            <w:r>
              <w:rPr/>
              <w:t>NMP</w:t>
            </w:r>
            <w:r>
              <w:rPr>
                <w:spacing w:val="1"/>
              </w:rPr>
              <w:t>储罐泄漏，遇</w:t>
            </w:r>
            <w:r>
              <w:rPr/>
              <w:t>火燃烧伴生CO污染物对周</w:t>
            </w:r>
          </w:p>
          <w:p>
            <w:pPr>
              <w:pStyle w:val="TableText"/>
              <w:ind w:left="140"/>
              <w:spacing w:before="197" w:line="451" w:lineRule="exact"/>
              <w:rPr/>
            </w:pPr>
            <w:r>
              <w:rPr>
                <w:position w:val="16"/>
              </w:rPr>
              <w:t>围环境影响，以及洗消废水污染周边地表水体及区域地下水为本项目的最大可</w:t>
            </w:r>
          </w:p>
          <w:p>
            <w:pPr>
              <w:pStyle w:val="TableText"/>
              <w:ind w:left="100"/>
              <w:spacing w:line="219" w:lineRule="auto"/>
              <w:rPr/>
            </w:pPr>
            <w:r>
              <w:rPr>
                <w:spacing w:val="-1"/>
              </w:rPr>
              <w:t>信事故。</w:t>
            </w:r>
          </w:p>
          <w:p>
            <w:pPr>
              <w:pStyle w:val="TableText"/>
              <w:ind w:left="620"/>
              <w:spacing w:before="217" w:line="470" w:lineRule="exact"/>
              <w:rPr/>
            </w:pPr>
            <w:r>
              <w:rPr>
                <w:position w:val="18"/>
              </w:rPr>
              <w:t>根据“风险专项”预测分析，NMP泄漏时，在F稳定度，风速(1.5m/s)下，</w:t>
            </w:r>
          </w:p>
          <w:p>
            <w:pPr>
              <w:pStyle w:val="TableText"/>
              <w:ind w:left="130"/>
              <w:spacing w:line="219" w:lineRule="auto"/>
              <w:rPr/>
            </w:pPr>
            <w:r>
              <w:rPr>
                <w:spacing w:val="-1"/>
              </w:rPr>
              <w:t>周边敏感目标均不在相应考量指标浓度范围内。</w:t>
            </w:r>
          </w:p>
          <w:p>
            <w:pPr>
              <w:pStyle w:val="TableText"/>
              <w:ind w:left="620"/>
              <w:spacing w:before="186" w:line="471" w:lineRule="exact"/>
              <w:rPr/>
            </w:pPr>
            <w:r>
              <w:rPr>
                <w:position w:val="18"/>
              </w:rPr>
              <w:t>项目NMP储罐燃烧发生火灾产生CO排放，周边敏感目标均不在相应考量指</w:t>
            </w:r>
          </w:p>
          <w:p>
            <w:pPr>
              <w:pStyle w:val="TableText"/>
              <w:ind w:left="120"/>
              <w:spacing w:line="219" w:lineRule="auto"/>
              <w:rPr/>
            </w:pPr>
            <w:r>
              <w:rPr>
                <w:spacing w:val="-1"/>
              </w:rPr>
              <w:t>标浓度范围内，风险值处于可接受水平。</w:t>
            </w:r>
          </w:p>
          <w:p>
            <w:pPr>
              <w:pStyle w:val="TableText"/>
              <w:ind w:left="94"/>
              <w:spacing w:before="175" w:line="220" w:lineRule="auto"/>
              <w:rPr/>
            </w:pPr>
            <w:r>
              <w:rPr>
                <w:b/>
                <w:bCs/>
                <w:spacing w:val="-4"/>
              </w:rPr>
              <w:t>4.8.5风险防范措施</w:t>
            </w:r>
          </w:p>
          <w:p>
            <w:pPr>
              <w:pStyle w:val="TableText"/>
              <w:ind w:left="740"/>
              <w:spacing w:before="207" w:line="471" w:lineRule="exact"/>
              <w:rPr/>
            </w:pPr>
            <w:r>
              <w:rPr>
                <w:position w:val="18"/>
              </w:rPr>
              <w:t>(1)总平面布置、建筑安全防范措施：在生产区、管理区之间预留消防通</w:t>
            </w:r>
          </w:p>
          <w:p>
            <w:pPr>
              <w:pStyle w:val="TableText"/>
              <w:ind w:left="140"/>
              <w:spacing w:line="219" w:lineRule="auto"/>
              <w:rPr/>
            </w:pPr>
            <w:r>
              <w:rPr/>
              <w:t>道；生产装置区、工业污水处理站、NMP储罐区C及周</w:t>
            </w:r>
            <w:r>
              <w:rPr>
                <w:spacing w:val="-1"/>
              </w:rPr>
              <w:t>边均应为硬化地面，并</w:t>
            </w:r>
          </w:p>
          <w:p>
            <w:pPr>
              <w:pStyle w:val="TableText"/>
              <w:ind w:left="140" w:right="218"/>
              <w:spacing w:before="208" w:line="377" w:lineRule="auto"/>
              <w:rPr/>
            </w:pPr>
            <w:r>
              <w:rPr/>
              <w:t>采取相应的防渗措施，确保发生事故时，灭火时产生的废水可完全</w:t>
            </w:r>
            <w:r>
              <w:rPr>
                <w:spacing w:val="-1"/>
              </w:rPr>
              <w:t>被收集处理，</w:t>
            </w:r>
            <w:r>
              <w:rPr/>
              <w:t xml:space="preserve"> </w:t>
            </w:r>
            <w:r>
              <w:rPr/>
              <w:t>不会通过渗透和地表径流污染地下水和地表水；采用的电气设备、电缆线路均  </w:t>
            </w:r>
            <w:r>
              <w:rPr/>
              <w:t>为防爆型产品；各类储存容器及管线的材质选择、加工质量必须符合要求，强</w:t>
            </w:r>
          </w:p>
          <w:p>
            <w:pPr>
              <w:pStyle w:val="TableText"/>
              <w:ind w:left="140"/>
              <w:spacing w:line="219" w:lineRule="auto"/>
              <w:rPr/>
            </w:pPr>
            <w:r>
              <w:rPr>
                <w:spacing w:val="-1"/>
              </w:rPr>
              <w:t>化日常维护检查。</w:t>
            </w:r>
          </w:p>
          <w:p>
            <w:pPr>
              <w:pStyle w:val="TableText"/>
              <w:ind w:left="780"/>
              <w:spacing w:before="167" w:line="480" w:lineRule="exact"/>
              <w:rPr/>
            </w:pPr>
            <w:r>
              <w:rPr>
                <w:position w:val="19"/>
              </w:rPr>
              <w:t>(2)电气安全防范措施：电气设备选型合理；非电工人员严禁安装、接拆</w:t>
            </w:r>
          </w:p>
          <w:p>
            <w:pPr>
              <w:pStyle w:val="TableText"/>
              <w:ind w:left="160"/>
              <w:spacing w:before="1" w:line="219" w:lineRule="auto"/>
              <w:rPr/>
            </w:pPr>
            <w:r>
              <w:rPr/>
              <w:t>电气用电设备及用电装置，严格对不同的环境下的安全电压进行检查；设备的</w:t>
            </w:r>
          </w:p>
        </w:tc>
      </w:tr>
    </w:tbl>
    <w:p>
      <w:pPr>
        <w:rPr>
          <w:rFonts w:ascii="Arial"/>
          <w:sz w:val="21"/>
        </w:rPr>
      </w:pPr>
      <w:r/>
    </w:p>
    <w:p>
      <w:pPr>
        <w:sectPr>
          <w:footerReference w:type="default" r:id="rId152"/>
          <w:pgSz w:w="11900" w:h="16840"/>
          <w:pgMar w:top="1431" w:right="1465" w:bottom="988" w:left="1435" w:header="0" w:footer="849" w:gutter="0"/>
        </w:sectPr>
        <w:rPr>
          <w:rFonts w:ascii="Arial" w:hAnsi="Arial" w:eastAsia="Arial" w:cs="Arial"/>
          <w:sz w:val="21"/>
          <w:szCs w:val="21"/>
        </w:rPr>
      </w:pPr>
    </w:p>
    <w:p>
      <w:pPr>
        <w:spacing w:line="83" w:lineRule="exact"/>
        <w:rPr/>
      </w:pPr>
      <w:r/>
    </w:p>
    <w:tbl>
      <w:tblPr>
        <w:tblStyle w:val="TableNormal"/>
        <w:tblW w:w="897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4"/>
        <w:gridCol w:w="8405"/>
      </w:tblGrid>
      <w:tr>
        <w:trPr>
          <w:trHeight w:val="13459" w:hRule="atLeast"/>
        </w:trPr>
        <w:tc>
          <w:tcPr>
            <w:tcW w:w="574" w:type="dxa"/>
            <w:vAlign w:val="top"/>
          </w:tcPr>
          <w:p>
            <w:pPr>
              <w:rPr>
                <w:rFonts w:ascii="Arial"/>
                <w:sz w:val="21"/>
              </w:rPr>
            </w:pPr>
            <w:r/>
          </w:p>
        </w:tc>
        <w:tc>
          <w:tcPr>
            <w:tcW w:w="8405" w:type="dxa"/>
            <w:vAlign w:val="top"/>
          </w:tcPr>
          <w:p>
            <w:pPr>
              <w:pStyle w:val="TableText"/>
              <w:ind w:left="120" w:right="84" w:firstLine="19"/>
              <w:spacing w:before="64" w:line="360" w:lineRule="auto"/>
              <w:jc w:val="both"/>
              <w:rPr>
                <w:sz w:val="24"/>
                <w:szCs w:val="24"/>
              </w:rPr>
            </w:pPr>
            <w:r>
              <w:rPr>
                <w:sz w:val="24"/>
                <w:szCs w:val="24"/>
              </w:rPr>
              <w:t>金属外壳采用保护接地措施，并设置防雷、防静</w:t>
            </w:r>
            <w:r>
              <w:rPr>
                <w:sz w:val="24"/>
                <w:szCs w:val="24"/>
                <w:spacing w:val="-1"/>
              </w:rPr>
              <w:t>电设施，在有触电危险的处所</w:t>
            </w:r>
            <w:r>
              <w:rPr>
                <w:sz w:val="24"/>
                <w:szCs w:val="24"/>
              </w:rPr>
              <w:t xml:space="preserve"> </w:t>
            </w:r>
            <w:r>
              <w:rPr>
                <w:sz w:val="24"/>
                <w:szCs w:val="24"/>
                <w:spacing w:val="1"/>
              </w:rPr>
              <w:t>设置醒目的文字或图形标志；配电室必须设置挡鼠板及金属网；</w:t>
            </w:r>
            <w:r>
              <w:rPr>
                <w:sz w:val="24"/>
                <w:szCs w:val="24"/>
              </w:rPr>
              <w:t>电气线路应避 </w:t>
            </w:r>
            <w:r>
              <w:rPr>
                <w:sz w:val="24"/>
                <w:szCs w:val="24"/>
              </w:rPr>
              <w:t>开可能受到机械损伤、振动、污染、腐蚀及受热的地方；否则，应采取防护措</w:t>
            </w:r>
          </w:p>
          <w:p>
            <w:pPr>
              <w:pStyle w:val="TableText"/>
              <w:ind w:left="100"/>
              <w:spacing w:line="222" w:lineRule="auto"/>
              <w:rPr>
                <w:sz w:val="24"/>
                <w:szCs w:val="24"/>
              </w:rPr>
            </w:pPr>
            <w:r>
              <w:rPr>
                <w:sz w:val="24"/>
                <w:szCs w:val="24"/>
                <w:spacing w:val="-1"/>
              </w:rPr>
              <w:t>施。</w:t>
            </w:r>
          </w:p>
          <w:p>
            <w:pPr>
              <w:pStyle w:val="TableText"/>
              <w:ind w:right="52"/>
              <w:spacing w:before="177" w:line="460" w:lineRule="exact"/>
              <w:jc w:val="right"/>
              <w:rPr>
                <w:sz w:val="24"/>
                <w:szCs w:val="24"/>
              </w:rPr>
            </w:pPr>
            <w:r>
              <w:rPr>
                <w:sz w:val="24"/>
                <w:szCs w:val="24"/>
                <w:position w:val="16"/>
              </w:rPr>
              <w:t>(3)生产操作过程中，加强安全管理，制定有效的事故防范措施。进行事</w:t>
            </w:r>
          </w:p>
          <w:p>
            <w:pPr>
              <w:pStyle w:val="TableText"/>
              <w:ind w:left="130"/>
              <w:spacing w:line="219" w:lineRule="auto"/>
              <w:rPr>
                <w:sz w:val="24"/>
                <w:szCs w:val="24"/>
              </w:rPr>
            </w:pPr>
            <w:r>
              <w:rPr>
                <w:sz w:val="24"/>
                <w:szCs w:val="24"/>
              </w:rPr>
              <w:t>故措施和事故应急处理的技能培训，使职工掌握紧急救援的知识。</w:t>
            </w:r>
          </w:p>
          <w:p>
            <w:pPr>
              <w:pStyle w:val="TableText"/>
              <w:ind w:left="140" w:firstLine="598"/>
              <w:spacing w:before="183" w:line="366" w:lineRule="auto"/>
              <w:rPr>
                <w:sz w:val="24"/>
                <w:szCs w:val="24"/>
              </w:rPr>
            </w:pPr>
            <w:r>
              <w:rPr>
                <w:sz w:val="24"/>
                <w:szCs w:val="24"/>
                <w:spacing w:val="3"/>
              </w:rPr>
              <w:t>(4)消防及火灾防范措施：配备完善的消防器材和消防设施、</w:t>
            </w:r>
            <w:r>
              <w:rPr>
                <w:sz w:val="24"/>
                <w:szCs w:val="24"/>
                <w:spacing w:val="2"/>
              </w:rPr>
              <w:t>应急物资；</w:t>
            </w:r>
            <w:r>
              <w:rPr>
                <w:sz w:val="24"/>
                <w:szCs w:val="24"/>
              </w:rPr>
              <w:t xml:space="preserve"> </w:t>
            </w:r>
            <w:r>
              <w:rPr>
                <w:sz w:val="24"/>
                <w:szCs w:val="24"/>
                <w:spacing w:val="6"/>
              </w:rPr>
              <w:t>污水处理站新建50m³的事故应急池(通过泵与现有工程的250m³事故</w:t>
            </w:r>
            <w:r>
              <w:rPr>
                <w:sz w:val="24"/>
                <w:szCs w:val="24"/>
                <w:spacing w:val="5"/>
              </w:rPr>
              <w:t>池连通共</w:t>
            </w:r>
          </w:p>
          <w:p>
            <w:pPr>
              <w:pStyle w:val="TableText"/>
              <w:ind w:left="130"/>
              <w:spacing w:line="219" w:lineRule="auto"/>
              <w:rPr>
                <w:sz w:val="24"/>
                <w:szCs w:val="24"/>
              </w:rPr>
            </w:pPr>
            <w:r>
              <w:rPr>
                <w:sz w:val="24"/>
                <w:szCs w:val="24"/>
                <w:spacing w:val="7"/>
              </w:rPr>
              <w:t>用)则全厂事故池总容积为300m³;</w:t>
            </w:r>
            <w:r>
              <w:rPr>
                <w:sz w:val="24"/>
                <w:szCs w:val="24"/>
              </w:rPr>
              <w:t>NMP</w:t>
            </w:r>
            <w:r>
              <w:rPr>
                <w:sz w:val="24"/>
                <w:szCs w:val="24"/>
                <w:spacing w:val="7"/>
              </w:rPr>
              <w:t>罐区C已设置围堰，有效容积349m³;</w:t>
            </w:r>
          </w:p>
          <w:p>
            <w:pPr>
              <w:pStyle w:val="TableText"/>
              <w:ind w:left="130"/>
              <w:spacing w:before="164" w:line="481" w:lineRule="exact"/>
              <w:rPr>
                <w:sz w:val="24"/>
                <w:szCs w:val="24"/>
              </w:rPr>
            </w:pPr>
            <w:r>
              <w:rPr>
                <w:sz w:val="24"/>
                <w:szCs w:val="24"/>
                <w:spacing w:val="4"/>
                <w:position w:val="18"/>
              </w:rPr>
              <w:t>危废仓库区域四周设置导流沟并配置了1个容积为</w:t>
            </w:r>
            <w:r>
              <w:rPr>
                <w:sz w:val="24"/>
                <w:szCs w:val="24"/>
                <w:spacing w:val="3"/>
                <w:position w:val="18"/>
              </w:rPr>
              <w:t>1.5m³的事故应急池，可满</w:t>
            </w:r>
          </w:p>
          <w:p>
            <w:pPr>
              <w:pStyle w:val="TableText"/>
              <w:ind w:left="140"/>
              <w:spacing w:line="219" w:lineRule="auto"/>
              <w:rPr>
                <w:sz w:val="24"/>
                <w:szCs w:val="24"/>
              </w:rPr>
            </w:pPr>
            <w:r>
              <w:rPr>
                <w:sz w:val="24"/>
                <w:szCs w:val="24"/>
              </w:rPr>
              <w:t>足事故状态下废水的排放要求。</w:t>
            </w:r>
          </w:p>
          <w:p>
            <w:pPr>
              <w:pStyle w:val="TableText"/>
              <w:ind w:left="720"/>
              <w:spacing w:before="173" w:line="218" w:lineRule="auto"/>
              <w:rPr>
                <w:sz w:val="24"/>
                <w:szCs w:val="24"/>
              </w:rPr>
            </w:pPr>
            <w:r>
              <w:rPr>
                <w:sz w:val="24"/>
                <w:szCs w:val="24"/>
              </w:rPr>
              <w:t>(5)项目建成试投产前完成环境应急预案修订、评估和备案。</w:t>
            </w:r>
          </w:p>
          <w:p>
            <w:pPr>
              <w:pStyle w:val="TableText"/>
              <w:ind w:left="124"/>
              <w:spacing w:before="193" w:line="218" w:lineRule="auto"/>
              <w:rPr>
                <w:sz w:val="24"/>
                <w:szCs w:val="24"/>
              </w:rPr>
            </w:pPr>
            <w:r>
              <w:rPr>
                <w:sz w:val="24"/>
                <w:szCs w:val="24"/>
                <w:b/>
                <w:bCs/>
                <w:spacing w:val="-4"/>
              </w:rPr>
              <w:t>4.8.6环境风险评价结论与建议</w:t>
            </w:r>
          </w:p>
          <w:p>
            <w:pPr>
              <w:pStyle w:val="TableText"/>
              <w:ind w:left="140" w:right="81" w:firstLine="480"/>
              <w:spacing w:before="181" w:line="358" w:lineRule="auto"/>
              <w:jc w:val="both"/>
              <w:rPr>
                <w:sz w:val="24"/>
                <w:szCs w:val="24"/>
              </w:rPr>
            </w:pPr>
            <w:r>
              <w:rPr>
                <w:sz w:val="24"/>
                <w:szCs w:val="24"/>
              </w:rPr>
              <w:t>本项目存在一定的环境风险隐患，但通过风险防范措施的设立和应急预案</w:t>
            </w:r>
            <w:r>
              <w:rPr>
                <w:sz w:val="24"/>
                <w:szCs w:val="24"/>
                <w:spacing w:val="11"/>
              </w:rPr>
              <w:t xml:space="preserve"> </w:t>
            </w:r>
            <w:r>
              <w:rPr>
                <w:sz w:val="24"/>
                <w:szCs w:val="24"/>
              </w:rPr>
              <w:t>的建立，可有最大限度防止风险事故的发生和有效处置，建设项目所发生的环</w:t>
            </w:r>
          </w:p>
          <w:p>
            <w:pPr>
              <w:pStyle w:val="TableText"/>
              <w:ind w:left="120"/>
              <w:spacing w:before="1" w:line="219" w:lineRule="auto"/>
              <w:rPr>
                <w:sz w:val="24"/>
                <w:szCs w:val="24"/>
              </w:rPr>
            </w:pPr>
            <w:r>
              <w:rPr>
                <w:sz w:val="24"/>
                <w:szCs w:val="24"/>
              </w:rPr>
              <w:t>境风险可以控制在较低的水平，建设项目的事故风险属于可接受水</w:t>
            </w:r>
            <w:r>
              <w:rPr>
                <w:sz w:val="24"/>
                <w:szCs w:val="24"/>
                <w:spacing w:val="-1"/>
              </w:rPr>
              <w:t>平。</w:t>
            </w:r>
          </w:p>
          <w:p>
            <w:pPr>
              <w:pStyle w:val="TableText"/>
              <w:ind w:left="134"/>
              <w:spacing w:before="202" w:line="220" w:lineRule="auto"/>
              <w:rPr>
                <w:sz w:val="24"/>
                <w:szCs w:val="24"/>
              </w:rPr>
            </w:pPr>
            <w:r>
              <w:rPr>
                <w:sz w:val="24"/>
                <w:szCs w:val="24"/>
                <w:b/>
                <w:bCs/>
                <w:spacing w:val="-4"/>
              </w:rPr>
              <w:t>4.9对生态环境影响分析</w:t>
            </w:r>
          </w:p>
          <w:p>
            <w:pPr>
              <w:pStyle w:val="TableText"/>
              <w:ind w:left="130" w:right="91" w:firstLine="470"/>
              <w:spacing w:before="156" w:line="359" w:lineRule="auto"/>
              <w:jc w:val="both"/>
              <w:rPr>
                <w:sz w:val="24"/>
                <w:szCs w:val="24"/>
              </w:rPr>
            </w:pPr>
            <w:r>
              <w:rPr>
                <w:sz w:val="24"/>
                <w:szCs w:val="24"/>
              </w:rPr>
              <w:t>运营期间，项目在正常生产废气排放下，废气污染物对周围植被的影响是</w:t>
            </w:r>
            <w:r>
              <w:rPr>
                <w:sz w:val="24"/>
                <w:szCs w:val="24"/>
                <w:spacing w:val="11"/>
              </w:rPr>
              <w:t xml:space="preserve"> </w:t>
            </w:r>
            <w:r>
              <w:rPr>
                <w:sz w:val="24"/>
                <w:szCs w:val="24"/>
              </w:rPr>
              <w:t>轻微的。但是若长时间发生废气事故排放下，对厂区周围及园区外植被存在潜</w:t>
            </w:r>
            <w:r>
              <w:rPr>
                <w:sz w:val="24"/>
                <w:szCs w:val="24"/>
                <w:spacing w:val="11"/>
              </w:rPr>
              <w:t xml:space="preserve"> </w:t>
            </w:r>
            <w:r>
              <w:rPr>
                <w:sz w:val="24"/>
                <w:szCs w:val="24"/>
              </w:rPr>
              <w:t>在危害影响。项目运行期间应特别注意加强对废气的收集和治理，同时加强废</w:t>
            </w:r>
          </w:p>
          <w:p>
            <w:pPr>
              <w:pStyle w:val="TableText"/>
              <w:ind w:left="130"/>
              <w:spacing w:before="1" w:line="218" w:lineRule="auto"/>
              <w:rPr>
                <w:sz w:val="24"/>
                <w:szCs w:val="24"/>
              </w:rPr>
            </w:pPr>
            <w:r>
              <w:rPr>
                <w:sz w:val="24"/>
                <w:szCs w:val="24"/>
              </w:rPr>
              <w:t>气治理设施的运行管理，减少废气事故排放几率。</w:t>
            </w:r>
          </w:p>
          <w:p>
            <w:pPr>
              <w:pStyle w:val="TableText"/>
              <w:ind w:left="130" w:right="84" w:firstLine="490"/>
              <w:spacing w:before="187" w:line="363" w:lineRule="auto"/>
              <w:jc w:val="both"/>
              <w:rPr>
                <w:sz w:val="24"/>
                <w:szCs w:val="24"/>
              </w:rPr>
            </w:pPr>
            <w:r>
              <w:rPr>
                <w:sz w:val="24"/>
                <w:szCs w:val="24"/>
              </w:rPr>
              <w:t>项目位于工业园区内，运行期对动物资源无影响；运行期废水均不直接排</w:t>
            </w:r>
            <w:r>
              <w:rPr>
                <w:sz w:val="24"/>
                <w:szCs w:val="24"/>
                <w:spacing w:val="8"/>
              </w:rPr>
              <w:t xml:space="preserve"> </w:t>
            </w:r>
            <w:r>
              <w:rPr>
                <w:sz w:val="24"/>
                <w:szCs w:val="24"/>
              </w:rPr>
              <w:t>入外环境，不直接取用地下水，且项目用地不穿越自然</w:t>
            </w:r>
            <w:r>
              <w:rPr>
                <w:sz w:val="24"/>
                <w:szCs w:val="24"/>
                <w:spacing w:val="-1"/>
              </w:rPr>
              <w:t>水体，对水生生物无影</w:t>
            </w:r>
          </w:p>
          <w:p>
            <w:pPr>
              <w:pStyle w:val="TableText"/>
              <w:ind w:left="100"/>
              <w:spacing w:before="1" w:line="222" w:lineRule="auto"/>
              <w:rPr>
                <w:sz w:val="24"/>
                <w:szCs w:val="24"/>
              </w:rPr>
            </w:pPr>
            <w:r>
              <w:rPr>
                <w:sz w:val="24"/>
                <w:szCs w:val="24"/>
                <w:spacing w:val="-11"/>
              </w:rPr>
              <w:t>响</w:t>
            </w:r>
            <w:r>
              <w:rPr>
                <w:sz w:val="24"/>
                <w:szCs w:val="24"/>
                <w:spacing w:val="-64"/>
              </w:rPr>
              <w:t xml:space="preserve"> </w:t>
            </w:r>
            <w:r>
              <w:rPr>
                <w:sz w:val="24"/>
                <w:szCs w:val="24"/>
                <w:spacing w:val="-11"/>
              </w:rPr>
              <w:t>。</w:t>
            </w:r>
          </w:p>
          <w:p>
            <w:pPr>
              <w:pStyle w:val="TableText"/>
              <w:ind w:left="124"/>
              <w:spacing w:before="180" w:line="218" w:lineRule="auto"/>
              <w:rPr>
                <w:sz w:val="24"/>
                <w:szCs w:val="24"/>
              </w:rPr>
            </w:pPr>
            <w:r>
              <w:rPr>
                <w:sz w:val="24"/>
                <w:szCs w:val="24"/>
                <w:b/>
                <w:bCs/>
                <w:spacing w:val="-4"/>
              </w:rPr>
              <w:t>4.10环保投资估算</w:t>
            </w:r>
          </w:p>
          <w:p>
            <w:pPr>
              <w:pStyle w:val="TableText"/>
              <w:ind w:left="611"/>
              <w:spacing w:before="162" w:line="477" w:lineRule="exact"/>
              <w:rPr>
                <w:sz w:val="24"/>
                <w:szCs w:val="24"/>
              </w:rPr>
            </w:pPr>
            <w:r>
              <w:rPr>
                <w:sz w:val="24"/>
                <w:szCs w:val="24"/>
                <w:position w:val="17"/>
              </w:rPr>
              <w:t>项目运营期间的环保投资包括废气、废水、噪声、固体废物等环保设施，</w:t>
            </w:r>
          </w:p>
          <w:p>
            <w:pPr>
              <w:pStyle w:val="TableText"/>
              <w:ind w:left="120"/>
              <w:spacing w:line="216" w:lineRule="auto"/>
              <w:rPr>
                <w:sz w:val="24"/>
                <w:szCs w:val="24"/>
              </w:rPr>
            </w:pPr>
            <w:r>
              <w:rPr>
                <w:sz w:val="24"/>
                <w:szCs w:val="24"/>
                <w:spacing w:val="1"/>
              </w:rPr>
              <w:t>本项目环保投资约740万元，占总投资(2</w:t>
            </w:r>
            <w:r>
              <w:rPr>
                <w:sz w:val="24"/>
                <w:szCs w:val="24"/>
              </w:rPr>
              <w:t>6000万元)的2.85%,详见表4.10-1。</w:t>
            </w:r>
          </w:p>
        </w:tc>
      </w:tr>
    </w:tbl>
    <w:p>
      <w:pPr>
        <w:rPr>
          <w:rFonts w:ascii="Arial"/>
          <w:sz w:val="21"/>
        </w:rPr>
      </w:pPr>
      <w:r/>
    </w:p>
    <w:p>
      <w:pPr>
        <w:sectPr>
          <w:footerReference w:type="default" r:id="rId153"/>
          <w:pgSz w:w="11900" w:h="16840"/>
          <w:pgMar w:top="1431" w:right="1465" w:bottom="988" w:left="1445" w:header="0" w:footer="849" w:gutter="0"/>
        </w:sectPr>
        <w:rPr>
          <w:rFonts w:ascii="Arial" w:hAnsi="Arial" w:eastAsia="Arial" w:cs="Arial"/>
          <w:sz w:val="21"/>
          <w:szCs w:val="21"/>
        </w:rPr>
      </w:pPr>
    </w:p>
    <w:p>
      <w:pPr>
        <w:spacing w:line="93" w:lineRule="exact"/>
        <w:rPr/>
      </w:pPr>
      <w:r/>
    </w:p>
    <w:tbl>
      <w:tblPr>
        <w:tblStyle w:val="TableNormal"/>
        <w:tblW w:w="897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64"/>
        <w:gridCol w:w="889"/>
        <w:gridCol w:w="939"/>
        <w:gridCol w:w="5613"/>
        <w:gridCol w:w="974"/>
      </w:tblGrid>
      <w:tr>
        <w:trPr>
          <w:trHeight w:val="484" w:hRule="atLeast"/>
        </w:trPr>
        <w:tc>
          <w:tcPr>
            <w:tcW w:w="564" w:type="dxa"/>
            <w:vAlign w:val="top"/>
            <w:vMerge w:val="restart"/>
            <w:tcBorders>
              <w:bottom w:val="nil"/>
            </w:tcBorders>
          </w:tcPr>
          <w:p>
            <w:pPr>
              <w:rPr>
                <w:rFonts w:ascii="Arial"/>
                <w:sz w:val="21"/>
              </w:rPr>
            </w:pPr>
            <w:r/>
          </w:p>
        </w:tc>
        <w:tc>
          <w:tcPr>
            <w:tcW w:w="8415" w:type="dxa"/>
            <w:vAlign w:val="top"/>
            <w:gridSpan w:val="4"/>
          </w:tcPr>
          <w:p>
            <w:pPr>
              <w:pStyle w:val="TableText"/>
              <w:ind w:left="2324"/>
              <w:spacing w:before="68" w:line="218" w:lineRule="auto"/>
              <w:rPr>
                <w:sz w:val="21"/>
                <w:szCs w:val="21"/>
              </w:rPr>
            </w:pPr>
            <w:r>
              <w:rPr>
                <w:sz w:val="21"/>
                <w:szCs w:val="21"/>
                <w:b/>
                <w:bCs/>
                <w:spacing w:val="-3"/>
              </w:rPr>
              <w:t>表4.10-1</w:t>
            </w:r>
            <w:r>
              <w:rPr>
                <w:sz w:val="21"/>
                <w:szCs w:val="21"/>
                <w:spacing w:val="-3"/>
              </w:rPr>
              <w:t xml:space="preserve">  </w:t>
            </w:r>
            <w:r>
              <w:rPr>
                <w:sz w:val="21"/>
                <w:szCs w:val="21"/>
                <w:b/>
                <w:bCs/>
                <w:spacing w:val="-3"/>
              </w:rPr>
              <w:t>项目环保投资估算一览表</w:t>
            </w:r>
          </w:p>
        </w:tc>
      </w:tr>
      <w:tr>
        <w:trPr>
          <w:trHeight w:val="549" w:hRule="atLeast"/>
        </w:trPr>
        <w:tc>
          <w:tcPr>
            <w:tcW w:w="564" w:type="dxa"/>
            <w:vAlign w:val="top"/>
            <w:vMerge w:val="continue"/>
            <w:tcBorders>
              <w:top w:val="nil"/>
              <w:bottom w:val="nil"/>
            </w:tcBorders>
          </w:tcPr>
          <w:p>
            <w:pPr>
              <w:rPr>
                <w:rFonts w:ascii="Arial"/>
                <w:sz w:val="21"/>
              </w:rPr>
            </w:pPr>
            <w:r/>
          </w:p>
        </w:tc>
        <w:tc>
          <w:tcPr>
            <w:tcW w:w="889" w:type="dxa"/>
            <w:vAlign w:val="top"/>
          </w:tcPr>
          <w:p>
            <w:pPr>
              <w:pStyle w:val="TableText"/>
              <w:ind w:left="330"/>
              <w:spacing w:before="170" w:line="221" w:lineRule="auto"/>
              <w:rPr>
                <w:sz w:val="21"/>
                <w:szCs w:val="21"/>
              </w:rPr>
            </w:pPr>
            <w:r>
              <w:rPr>
                <w:sz w:val="21"/>
                <w:szCs w:val="21"/>
                <w:spacing w:val="6"/>
              </w:rPr>
              <w:t>序号</w:t>
            </w:r>
          </w:p>
        </w:tc>
        <w:tc>
          <w:tcPr>
            <w:tcW w:w="939" w:type="dxa"/>
            <w:vAlign w:val="top"/>
          </w:tcPr>
          <w:p>
            <w:pPr>
              <w:pStyle w:val="TableText"/>
              <w:ind w:left="141"/>
              <w:spacing w:before="170" w:line="220" w:lineRule="auto"/>
              <w:rPr>
                <w:sz w:val="21"/>
                <w:szCs w:val="21"/>
              </w:rPr>
            </w:pPr>
            <w:r>
              <w:rPr>
                <w:sz w:val="21"/>
                <w:szCs w:val="21"/>
                <w:spacing w:val="-3"/>
              </w:rPr>
              <w:t>污染源</w:t>
            </w:r>
          </w:p>
        </w:tc>
        <w:tc>
          <w:tcPr>
            <w:tcW w:w="5613" w:type="dxa"/>
            <w:vAlign w:val="top"/>
          </w:tcPr>
          <w:p>
            <w:pPr>
              <w:pStyle w:val="TableText"/>
              <w:ind w:left="2202"/>
              <w:spacing w:before="170" w:line="220" w:lineRule="auto"/>
              <w:rPr>
                <w:sz w:val="21"/>
                <w:szCs w:val="21"/>
              </w:rPr>
            </w:pPr>
            <w:r>
              <w:rPr>
                <w:sz w:val="21"/>
                <w:szCs w:val="21"/>
                <w:spacing w:val="1"/>
              </w:rPr>
              <w:t>治理措施名称</w:t>
            </w:r>
          </w:p>
        </w:tc>
        <w:tc>
          <w:tcPr>
            <w:tcW w:w="974" w:type="dxa"/>
            <w:vAlign w:val="top"/>
          </w:tcPr>
          <w:p>
            <w:pPr>
              <w:pStyle w:val="TableText"/>
              <w:ind w:left="319" w:right="100" w:hanging="210"/>
              <w:spacing w:before="49" w:line="215" w:lineRule="auto"/>
              <w:rPr>
                <w:sz w:val="21"/>
                <w:szCs w:val="21"/>
              </w:rPr>
            </w:pPr>
            <w:r>
              <w:rPr>
                <w:sz w:val="21"/>
                <w:szCs w:val="21"/>
                <w:spacing w:val="4"/>
              </w:rPr>
              <w:t>投资(万</w:t>
            </w:r>
            <w:r>
              <w:rPr>
                <w:sz w:val="21"/>
                <w:szCs w:val="21"/>
                <w:spacing w:val="1"/>
              </w:rPr>
              <w:t xml:space="preserve"> </w:t>
            </w:r>
            <w:r>
              <w:rPr>
                <w:sz w:val="21"/>
                <w:szCs w:val="21"/>
                <w:spacing w:val="-5"/>
              </w:rPr>
              <w:t>元</w:t>
            </w:r>
            <w:r>
              <w:rPr>
                <w:sz w:val="21"/>
                <w:szCs w:val="21"/>
                <w:spacing w:val="-36"/>
              </w:rPr>
              <w:t xml:space="preserve"> </w:t>
            </w:r>
            <w:r>
              <w:rPr>
                <w:sz w:val="21"/>
                <w:szCs w:val="21"/>
                <w:spacing w:val="-5"/>
              </w:rPr>
              <w:t>)</w:t>
            </w:r>
          </w:p>
        </w:tc>
      </w:tr>
      <w:tr>
        <w:trPr>
          <w:trHeight w:val="549" w:hRule="atLeast"/>
        </w:trPr>
        <w:tc>
          <w:tcPr>
            <w:tcW w:w="564" w:type="dxa"/>
            <w:vAlign w:val="top"/>
            <w:vMerge w:val="continue"/>
            <w:tcBorders>
              <w:top w:val="nil"/>
              <w:bottom w:val="nil"/>
            </w:tcBorders>
          </w:tcPr>
          <w:p>
            <w:pPr>
              <w:rPr>
                <w:rFonts w:ascii="Arial"/>
                <w:sz w:val="21"/>
              </w:rPr>
            </w:pPr>
            <w:r/>
          </w:p>
        </w:tc>
        <w:tc>
          <w:tcPr>
            <w:tcW w:w="889" w:type="dxa"/>
            <w:vAlign w:val="top"/>
          </w:tcPr>
          <w:p>
            <w:pPr>
              <w:pStyle w:val="TableText"/>
              <w:ind w:left="500"/>
              <w:spacing w:before="223" w:line="184" w:lineRule="auto"/>
              <w:rPr>
                <w:sz w:val="21"/>
                <w:szCs w:val="21"/>
              </w:rPr>
            </w:pPr>
            <w:r>
              <w:rPr>
                <w:sz w:val="21"/>
                <w:szCs w:val="21"/>
              </w:rPr>
              <w:t>1</w:t>
            </w:r>
          </w:p>
        </w:tc>
        <w:tc>
          <w:tcPr>
            <w:tcW w:w="939" w:type="dxa"/>
            <w:vAlign w:val="top"/>
          </w:tcPr>
          <w:p>
            <w:pPr>
              <w:pStyle w:val="TableText"/>
              <w:ind w:left="252"/>
              <w:spacing w:before="170" w:line="219" w:lineRule="auto"/>
              <w:rPr>
                <w:sz w:val="21"/>
                <w:szCs w:val="21"/>
              </w:rPr>
            </w:pPr>
            <w:r>
              <w:rPr>
                <w:sz w:val="21"/>
                <w:szCs w:val="21"/>
                <w:spacing w:val="-2"/>
              </w:rPr>
              <w:t>废水</w:t>
            </w:r>
          </w:p>
        </w:tc>
        <w:tc>
          <w:tcPr>
            <w:tcW w:w="5613" w:type="dxa"/>
            <w:vAlign w:val="top"/>
          </w:tcPr>
          <w:p>
            <w:pPr>
              <w:pStyle w:val="TableText"/>
              <w:ind w:left="122"/>
              <w:spacing w:before="59" w:line="219" w:lineRule="auto"/>
              <w:rPr>
                <w:sz w:val="21"/>
                <w:szCs w:val="21"/>
              </w:rPr>
            </w:pPr>
            <w:r>
              <w:rPr>
                <w:sz w:val="21"/>
                <w:szCs w:val="21"/>
              </w:rPr>
              <w:t>(1)本项目改扩现有工程污水处理站。</w:t>
            </w:r>
          </w:p>
          <w:p>
            <w:pPr>
              <w:pStyle w:val="TableText"/>
              <w:ind w:left="122"/>
              <w:spacing w:before="2" w:line="201" w:lineRule="auto"/>
              <w:rPr>
                <w:sz w:val="21"/>
                <w:szCs w:val="21"/>
              </w:rPr>
            </w:pPr>
            <w:r>
              <w:rPr>
                <w:sz w:val="21"/>
                <w:szCs w:val="21"/>
                <w:spacing w:val="8"/>
              </w:rPr>
              <w:t>(2)2个16m³的化粪池、2个1m³的化粪池。</w:t>
            </w:r>
          </w:p>
        </w:tc>
        <w:tc>
          <w:tcPr>
            <w:tcW w:w="974" w:type="dxa"/>
            <w:vAlign w:val="top"/>
          </w:tcPr>
          <w:p>
            <w:pPr>
              <w:pStyle w:val="TableText"/>
              <w:ind w:left="379"/>
              <w:spacing w:before="220" w:line="181" w:lineRule="exact"/>
              <w:rPr>
                <w:sz w:val="13"/>
                <w:szCs w:val="13"/>
              </w:rPr>
            </w:pPr>
            <w:r>
              <w:rPr>
                <w:sz w:val="13"/>
                <w:szCs w:val="13"/>
                <w:spacing w:val="-2"/>
                <w:position w:val="1"/>
              </w:rPr>
              <w:t>***</w:t>
            </w:r>
          </w:p>
        </w:tc>
      </w:tr>
      <w:tr>
        <w:trPr>
          <w:trHeight w:val="809" w:hRule="atLeast"/>
        </w:trPr>
        <w:tc>
          <w:tcPr>
            <w:tcW w:w="564" w:type="dxa"/>
            <w:vAlign w:val="top"/>
            <w:vMerge w:val="continue"/>
            <w:tcBorders>
              <w:top w:val="nil"/>
              <w:bottom w:val="nil"/>
            </w:tcBorders>
          </w:tcPr>
          <w:p>
            <w:pPr>
              <w:rPr>
                <w:rFonts w:ascii="Arial"/>
                <w:sz w:val="21"/>
              </w:rPr>
            </w:pPr>
            <w:r/>
          </w:p>
        </w:tc>
        <w:tc>
          <w:tcPr>
            <w:tcW w:w="889" w:type="dxa"/>
            <w:vAlign w:val="top"/>
          </w:tcPr>
          <w:p>
            <w:pPr>
              <w:spacing w:line="285" w:lineRule="auto"/>
              <w:rPr>
                <w:rFonts w:ascii="Arial"/>
                <w:sz w:val="21"/>
              </w:rPr>
            </w:pPr>
            <w:r/>
          </w:p>
          <w:p>
            <w:pPr>
              <w:pStyle w:val="TableText"/>
              <w:ind w:left="470"/>
              <w:spacing w:before="69" w:line="183" w:lineRule="auto"/>
              <w:rPr>
                <w:sz w:val="21"/>
                <w:szCs w:val="21"/>
              </w:rPr>
            </w:pPr>
            <w:r>
              <w:rPr>
                <w:sz w:val="21"/>
                <w:szCs w:val="21"/>
              </w:rPr>
              <w:t>2</w:t>
            </w:r>
          </w:p>
        </w:tc>
        <w:tc>
          <w:tcPr>
            <w:tcW w:w="939" w:type="dxa"/>
            <w:vAlign w:val="top"/>
          </w:tcPr>
          <w:p>
            <w:pPr>
              <w:pStyle w:val="TableText"/>
              <w:ind w:left="252"/>
              <w:spacing w:before="302" w:line="220" w:lineRule="auto"/>
              <w:rPr>
                <w:sz w:val="21"/>
                <w:szCs w:val="21"/>
              </w:rPr>
            </w:pPr>
            <w:r>
              <w:rPr>
                <w:sz w:val="21"/>
                <w:szCs w:val="21"/>
                <w:spacing w:val="6"/>
              </w:rPr>
              <w:t>废气</w:t>
            </w:r>
          </w:p>
        </w:tc>
        <w:tc>
          <w:tcPr>
            <w:tcW w:w="5613" w:type="dxa"/>
            <w:vAlign w:val="top"/>
          </w:tcPr>
          <w:p>
            <w:pPr>
              <w:pStyle w:val="TableText"/>
              <w:ind w:left="122"/>
              <w:spacing w:before="41" w:line="219" w:lineRule="auto"/>
              <w:rPr>
                <w:sz w:val="21"/>
                <w:szCs w:val="21"/>
              </w:rPr>
            </w:pPr>
            <w:r>
              <w:rPr>
                <w:sz w:val="21"/>
                <w:szCs w:val="21"/>
              </w:rPr>
              <w:t>(1)车间粉尘处理设施</w:t>
            </w:r>
          </w:p>
          <w:p>
            <w:pPr>
              <w:pStyle w:val="TableText"/>
              <w:ind w:left="122"/>
              <w:spacing w:before="39" w:line="228" w:lineRule="auto"/>
              <w:rPr>
                <w:sz w:val="21"/>
                <w:szCs w:val="21"/>
              </w:rPr>
            </w:pPr>
            <w:r>
              <w:rPr>
                <w:sz w:val="21"/>
                <w:szCs w:val="21"/>
              </w:rPr>
              <w:t>(2)涂布废气处理设施及排气筒</w:t>
            </w:r>
          </w:p>
          <w:p>
            <w:pPr>
              <w:pStyle w:val="TableText"/>
              <w:ind w:left="122"/>
              <w:spacing w:line="183" w:lineRule="auto"/>
              <w:rPr>
                <w:sz w:val="21"/>
                <w:szCs w:val="21"/>
              </w:rPr>
            </w:pPr>
            <w:r>
              <w:rPr>
                <w:sz w:val="21"/>
                <w:szCs w:val="21"/>
              </w:rPr>
              <w:t>(3)锅炉废气排气筒</w:t>
            </w:r>
          </w:p>
        </w:tc>
        <w:tc>
          <w:tcPr>
            <w:tcW w:w="974" w:type="dxa"/>
            <w:vAlign w:val="top"/>
          </w:tcPr>
          <w:p>
            <w:pPr>
              <w:spacing w:line="307" w:lineRule="auto"/>
              <w:rPr>
                <w:rFonts w:ascii="Arial"/>
                <w:sz w:val="21"/>
              </w:rPr>
            </w:pPr>
            <w:r/>
          </w:p>
          <w:p>
            <w:pPr>
              <w:pStyle w:val="TableText"/>
              <w:ind w:left="379"/>
              <w:spacing w:before="42" w:line="181" w:lineRule="exact"/>
              <w:rPr>
                <w:sz w:val="13"/>
                <w:szCs w:val="13"/>
              </w:rPr>
            </w:pPr>
            <w:r>
              <w:rPr>
                <w:sz w:val="13"/>
                <w:szCs w:val="13"/>
                <w:spacing w:val="-2"/>
                <w:position w:val="1"/>
              </w:rPr>
              <w:t>***</w:t>
            </w:r>
          </w:p>
        </w:tc>
      </w:tr>
      <w:tr>
        <w:trPr>
          <w:trHeight w:val="300" w:hRule="atLeast"/>
        </w:trPr>
        <w:tc>
          <w:tcPr>
            <w:tcW w:w="564" w:type="dxa"/>
            <w:vAlign w:val="top"/>
            <w:vMerge w:val="continue"/>
            <w:tcBorders>
              <w:top w:val="nil"/>
              <w:bottom w:val="nil"/>
            </w:tcBorders>
          </w:tcPr>
          <w:p>
            <w:pPr>
              <w:rPr>
                <w:rFonts w:ascii="Arial"/>
                <w:sz w:val="21"/>
              </w:rPr>
            </w:pPr>
            <w:r/>
          </w:p>
        </w:tc>
        <w:tc>
          <w:tcPr>
            <w:tcW w:w="889" w:type="dxa"/>
            <w:vAlign w:val="top"/>
          </w:tcPr>
          <w:p>
            <w:pPr>
              <w:pStyle w:val="TableText"/>
              <w:ind w:left="470"/>
              <w:spacing w:before="106" w:line="161" w:lineRule="auto"/>
              <w:rPr>
                <w:sz w:val="21"/>
                <w:szCs w:val="21"/>
              </w:rPr>
            </w:pPr>
            <w:r>
              <w:rPr>
                <w:sz w:val="21"/>
                <w:szCs w:val="21"/>
              </w:rPr>
              <w:t>3</w:t>
            </w:r>
          </w:p>
        </w:tc>
        <w:tc>
          <w:tcPr>
            <w:tcW w:w="939" w:type="dxa"/>
            <w:vAlign w:val="top"/>
          </w:tcPr>
          <w:p>
            <w:pPr>
              <w:pStyle w:val="TableText"/>
              <w:ind w:left="252"/>
              <w:spacing w:before="53" w:line="208" w:lineRule="auto"/>
              <w:rPr>
                <w:sz w:val="21"/>
                <w:szCs w:val="21"/>
              </w:rPr>
            </w:pPr>
            <w:r>
              <w:rPr>
                <w:sz w:val="21"/>
                <w:szCs w:val="21"/>
                <w:spacing w:val="6"/>
              </w:rPr>
              <w:t>噪声</w:t>
            </w:r>
          </w:p>
        </w:tc>
        <w:tc>
          <w:tcPr>
            <w:tcW w:w="5613" w:type="dxa"/>
            <w:vAlign w:val="top"/>
          </w:tcPr>
          <w:p>
            <w:pPr>
              <w:pStyle w:val="TableText"/>
              <w:ind w:left="1902"/>
              <w:spacing w:before="52" w:line="209" w:lineRule="auto"/>
              <w:rPr>
                <w:sz w:val="21"/>
                <w:szCs w:val="21"/>
              </w:rPr>
            </w:pPr>
            <w:r>
              <w:rPr>
                <w:sz w:val="21"/>
                <w:szCs w:val="21"/>
                <w:spacing w:val="1"/>
              </w:rPr>
              <w:t>设备隔声减震等措施</w:t>
            </w:r>
          </w:p>
        </w:tc>
        <w:tc>
          <w:tcPr>
            <w:tcW w:w="974" w:type="dxa"/>
            <w:vAlign w:val="top"/>
          </w:tcPr>
          <w:p>
            <w:pPr>
              <w:pStyle w:val="TableText"/>
              <w:ind w:left="379"/>
              <w:spacing w:before="102" w:line="181" w:lineRule="exact"/>
              <w:rPr>
                <w:sz w:val="13"/>
                <w:szCs w:val="13"/>
              </w:rPr>
            </w:pPr>
            <w:r>
              <w:rPr>
                <w:sz w:val="13"/>
                <w:szCs w:val="13"/>
                <w:spacing w:val="-2"/>
                <w:position w:val="1"/>
              </w:rPr>
              <w:t>***</w:t>
            </w:r>
          </w:p>
        </w:tc>
      </w:tr>
      <w:tr>
        <w:trPr>
          <w:trHeight w:val="279" w:hRule="atLeast"/>
        </w:trPr>
        <w:tc>
          <w:tcPr>
            <w:tcW w:w="564" w:type="dxa"/>
            <w:vAlign w:val="top"/>
            <w:vMerge w:val="continue"/>
            <w:tcBorders>
              <w:top w:val="nil"/>
              <w:bottom w:val="nil"/>
            </w:tcBorders>
          </w:tcPr>
          <w:p>
            <w:pPr>
              <w:rPr>
                <w:rFonts w:ascii="Arial"/>
                <w:sz w:val="21"/>
              </w:rPr>
            </w:pPr>
            <w:r/>
          </w:p>
        </w:tc>
        <w:tc>
          <w:tcPr>
            <w:tcW w:w="889" w:type="dxa"/>
            <w:vAlign w:val="top"/>
          </w:tcPr>
          <w:p>
            <w:pPr>
              <w:pStyle w:val="TableText"/>
              <w:ind w:left="480"/>
              <w:spacing w:before="96" w:line="173" w:lineRule="exact"/>
              <w:rPr>
                <w:sz w:val="21"/>
                <w:szCs w:val="21"/>
              </w:rPr>
            </w:pPr>
            <w:r>
              <w:rPr>
                <w:sz w:val="21"/>
                <w:szCs w:val="21"/>
                <w:position w:val="-2"/>
              </w:rPr>
              <w:t>4</w:t>
            </w:r>
          </w:p>
        </w:tc>
        <w:tc>
          <w:tcPr>
            <w:tcW w:w="939" w:type="dxa"/>
            <w:vAlign w:val="top"/>
          </w:tcPr>
          <w:p>
            <w:pPr>
              <w:pStyle w:val="TableText"/>
              <w:ind w:left="252"/>
              <w:spacing w:before="42" w:line="199" w:lineRule="auto"/>
              <w:rPr>
                <w:sz w:val="21"/>
                <w:szCs w:val="21"/>
              </w:rPr>
            </w:pPr>
            <w:r>
              <w:rPr>
                <w:sz w:val="21"/>
                <w:szCs w:val="21"/>
                <w:spacing w:val="5"/>
              </w:rPr>
              <w:t>固废</w:t>
            </w:r>
          </w:p>
        </w:tc>
        <w:tc>
          <w:tcPr>
            <w:tcW w:w="5613" w:type="dxa"/>
            <w:vAlign w:val="top"/>
          </w:tcPr>
          <w:p>
            <w:pPr>
              <w:pStyle w:val="TableText"/>
              <w:ind w:left="122"/>
              <w:spacing w:before="41" w:line="200" w:lineRule="auto"/>
              <w:rPr>
                <w:sz w:val="21"/>
                <w:szCs w:val="21"/>
              </w:rPr>
            </w:pPr>
            <w:r>
              <w:rPr>
                <w:sz w:val="21"/>
                <w:szCs w:val="21"/>
                <w:spacing w:val="-2"/>
              </w:rPr>
              <w:t>依托现有工程</w:t>
            </w:r>
          </w:p>
        </w:tc>
        <w:tc>
          <w:tcPr>
            <w:tcW w:w="974" w:type="dxa"/>
            <w:vAlign w:val="top"/>
          </w:tcPr>
          <w:p>
            <w:pPr>
              <w:pStyle w:val="TableText"/>
              <w:ind w:left="320"/>
              <w:spacing w:before="78" w:line="219" w:lineRule="auto"/>
              <w:rPr>
                <w:sz w:val="13"/>
                <w:szCs w:val="13"/>
              </w:rPr>
            </w:pPr>
            <w:r>
              <w:rPr>
                <w:sz w:val="13"/>
                <w:szCs w:val="13"/>
                <w:spacing w:val="-1"/>
              </w:rPr>
              <w:t>*水本</w:t>
            </w:r>
          </w:p>
        </w:tc>
      </w:tr>
      <w:tr>
        <w:trPr>
          <w:trHeight w:val="809" w:hRule="atLeast"/>
        </w:trPr>
        <w:tc>
          <w:tcPr>
            <w:tcW w:w="564" w:type="dxa"/>
            <w:vAlign w:val="top"/>
            <w:vMerge w:val="continue"/>
            <w:tcBorders>
              <w:top w:val="nil"/>
              <w:bottom w:val="nil"/>
            </w:tcBorders>
          </w:tcPr>
          <w:p>
            <w:pPr>
              <w:rPr>
                <w:rFonts w:ascii="Arial"/>
                <w:sz w:val="21"/>
              </w:rPr>
            </w:pPr>
            <w:r/>
          </w:p>
        </w:tc>
        <w:tc>
          <w:tcPr>
            <w:tcW w:w="889" w:type="dxa"/>
            <w:vAlign w:val="top"/>
          </w:tcPr>
          <w:p>
            <w:pPr>
              <w:spacing w:line="288" w:lineRule="auto"/>
              <w:rPr>
                <w:rFonts w:ascii="Arial"/>
                <w:sz w:val="21"/>
              </w:rPr>
            </w:pPr>
            <w:r/>
          </w:p>
          <w:p>
            <w:pPr>
              <w:pStyle w:val="TableText"/>
              <w:ind w:left="480"/>
              <w:spacing w:before="69" w:line="182" w:lineRule="auto"/>
              <w:rPr>
                <w:sz w:val="21"/>
                <w:szCs w:val="21"/>
              </w:rPr>
            </w:pPr>
            <w:r>
              <w:rPr>
                <w:sz w:val="21"/>
                <w:szCs w:val="21"/>
              </w:rPr>
              <w:t>5</w:t>
            </w:r>
          </w:p>
        </w:tc>
        <w:tc>
          <w:tcPr>
            <w:tcW w:w="939" w:type="dxa"/>
            <w:vAlign w:val="top"/>
          </w:tcPr>
          <w:p>
            <w:pPr>
              <w:pStyle w:val="TableText"/>
              <w:ind w:left="141" w:right="145"/>
              <w:spacing w:before="24" w:line="227" w:lineRule="auto"/>
              <w:jc w:val="both"/>
              <w:rPr>
                <w:sz w:val="21"/>
                <w:szCs w:val="21"/>
              </w:rPr>
            </w:pPr>
            <w:r>
              <w:rPr>
                <w:sz w:val="21"/>
                <w:szCs w:val="21"/>
                <w:spacing w:val="-3"/>
              </w:rPr>
              <w:t>地下水</w:t>
            </w:r>
            <w:r>
              <w:rPr>
                <w:sz w:val="21"/>
                <w:szCs w:val="21"/>
              </w:rPr>
              <w:t xml:space="preserve"> </w:t>
            </w:r>
            <w:r>
              <w:rPr>
                <w:sz w:val="21"/>
                <w:szCs w:val="21"/>
                <w:spacing w:val="3"/>
              </w:rPr>
              <w:t>污染防</w:t>
            </w:r>
            <w:r>
              <w:rPr>
                <w:sz w:val="21"/>
                <w:szCs w:val="21"/>
                <w:spacing w:val="1"/>
              </w:rPr>
              <w:t xml:space="preserve"> </w:t>
            </w:r>
            <w:r>
              <w:rPr>
                <w:sz w:val="21"/>
                <w:szCs w:val="21"/>
                <w:spacing w:val="3"/>
              </w:rPr>
              <w:t>治措施</w:t>
            </w:r>
          </w:p>
        </w:tc>
        <w:tc>
          <w:tcPr>
            <w:tcW w:w="5613" w:type="dxa"/>
            <w:vAlign w:val="top"/>
          </w:tcPr>
          <w:p>
            <w:pPr>
              <w:pStyle w:val="TableText"/>
              <w:ind w:left="122" w:right="8"/>
              <w:spacing w:before="202" w:line="225" w:lineRule="auto"/>
              <w:rPr>
                <w:sz w:val="21"/>
                <w:szCs w:val="21"/>
              </w:rPr>
            </w:pPr>
            <w:r>
              <w:rPr>
                <w:sz w:val="21"/>
                <w:szCs w:val="21"/>
                <w:spacing w:val="-6"/>
              </w:rPr>
              <w:t>按功能分区设置重点防渗区、</w:t>
            </w:r>
            <w:r>
              <w:rPr>
                <w:sz w:val="21"/>
                <w:szCs w:val="21"/>
                <w:spacing w:val="61"/>
              </w:rPr>
              <w:t xml:space="preserve"> </w:t>
            </w:r>
            <w:r>
              <w:rPr>
                <w:sz w:val="21"/>
                <w:szCs w:val="21"/>
                <w:spacing w:val="-6"/>
              </w:rPr>
              <w:t>一般防渗区和简单防渗区的防</w:t>
            </w:r>
            <w:r>
              <w:rPr>
                <w:sz w:val="21"/>
                <w:szCs w:val="21"/>
              </w:rPr>
              <w:t xml:space="preserve"> </w:t>
            </w:r>
            <w:r>
              <w:rPr>
                <w:sz w:val="21"/>
                <w:szCs w:val="21"/>
                <w:spacing w:val="-1"/>
              </w:rPr>
              <w:t>渗要求。</w:t>
            </w:r>
          </w:p>
        </w:tc>
        <w:tc>
          <w:tcPr>
            <w:tcW w:w="974" w:type="dxa"/>
            <w:vAlign w:val="top"/>
          </w:tcPr>
          <w:p>
            <w:pPr>
              <w:spacing w:line="309" w:lineRule="auto"/>
              <w:rPr>
                <w:rFonts w:ascii="Arial"/>
                <w:sz w:val="21"/>
              </w:rPr>
            </w:pPr>
            <w:r/>
          </w:p>
          <w:p>
            <w:pPr>
              <w:pStyle w:val="TableText"/>
              <w:ind w:left="379"/>
              <w:spacing w:before="42" w:line="181" w:lineRule="exact"/>
              <w:rPr>
                <w:sz w:val="13"/>
                <w:szCs w:val="13"/>
              </w:rPr>
            </w:pPr>
            <w:r>
              <w:rPr>
                <w:sz w:val="13"/>
                <w:szCs w:val="13"/>
                <w:spacing w:val="-2"/>
                <w:position w:val="1"/>
              </w:rPr>
              <w:t>***</w:t>
            </w:r>
          </w:p>
        </w:tc>
      </w:tr>
      <w:tr>
        <w:trPr>
          <w:trHeight w:val="1358" w:hRule="atLeast"/>
        </w:trPr>
        <w:tc>
          <w:tcPr>
            <w:tcW w:w="564" w:type="dxa"/>
            <w:vAlign w:val="top"/>
            <w:vMerge w:val="continue"/>
            <w:tcBorders>
              <w:top w:val="nil"/>
              <w:bottom w:val="nil"/>
            </w:tcBorders>
          </w:tcPr>
          <w:p>
            <w:pPr>
              <w:rPr>
                <w:rFonts w:ascii="Arial"/>
                <w:sz w:val="21"/>
              </w:rPr>
            </w:pPr>
            <w:r/>
          </w:p>
        </w:tc>
        <w:tc>
          <w:tcPr>
            <w:tcW w:w="889" w:type="dxa"/>
            <w:vAlign w:val="top"/>
          </w:tcPr>
          <w:p>
            <w:pPr>
              <w:spacing w:line="283" w:lineRule="auto"/>
              <w:rPr>
                <w:rFonts w:ascii="Arial"/>
                <w:sz w:val="21"/>
              </w:rPr>
            </w:pPr>
            <w:r/>
          </w:p>
          <w:p>
            <w:pPr>
              <w:spacing w:line="284" w:lineRule="auto"/>
              <w:rPr>
                <w:rFonts w:ascii="Arial"/>
                <w:sz w:val="21"/>
              </w:rPr>
            </w:pPr>
            <w:r/>
          </w:p>
          <w:p>
            <w:pPr>
              <w:pStyle w:val="TableText"/>
              <w:ind w:left="490"/>
              <w:spacing w:before="68" w:line="183" w:lineRule="auto"/>
              <w:rPr>
                <w:sz w:val="21"/>
                <w:szCs w:val="21"/>
              </w:rPr>
            </w:pPr>
            <w:r>
              <w:rPr>
                <w:sz w:val="21"/>
                <w:szCs w:val="21"/>
              </w:rPr>
              <w:t>6</w:t>
            </w:r>
          </w:p>
        </w:tc>
        <w:tc>
          <w:tcPr>
            <w:tcW w:w="939" w:type="dxa"/>
            <w:vAlign w:val="top"/>
          </w:tcPr>
          <w:p>
            <w:pPr>
              <w:spacing w:line="255" w:lineRule="auto"/>
              <w:rPr>
                <w:rFonts w:ascii="Arial"/>
                <w:sz w:val="21"/>
              </w:rPr>
            </w:pPr>
            <w:r/>
          </w:p>
          <w:p>
            <w:pPr>
              <w:pStyle w:val="TableText"/>
              <w:ind w:left="141"/>
              <w:spacing w:before="68" w:line="220" w:lineRule="auto"/>
              <w:rPr>
                <w:sz w:val="21"/>
                <w:szCs w:val="21"/>
              </w:rPr>
            </w:pPr>
            <w:r>
              <w:rPr>
                <w:sz w:val="21"/>
                <w:szCs w:val="21"/>
                <w:spacing w:val="-2"/>
              </w:rPr>
              <w:t>环境风</w:t>
            </w:r>
          </w:p>
          <w:p>
            <w:pPr>
              <w:pStyle w:val="TableText"/>
              <w:ind w:left="141"/>
              <w:spacing w:before="19" w:line="220" w:lineRule="auto"/>
              <w:rPr>
                <w:sz w:val="21"/>
                <w:szCs w:val="21"/>
              </w:rPr>
            </w:pPr>
            <w:r>
              <w:rPr>
                <w:sz w:val="21"/>
                <w:szCs w:val="21"/>
                <w:spacing w:val="4"/>
              </w:rPr>
              <w:t>险防范</w:t>
            </w:r>
          </w:p>
          <w:p>
            <w:pPr>
              <w:pStyle w:val="TableText"/>
              <w:ind w:left="252"/>
              <w:spacing w:line="220" w:lineRule="auto"/>
              <w:rPr>
                <w:sz w:val="21"/>
                <w:szCs w:val="21"/>
              </w:rPr>
            </w:pPr>
            <w:r>
              <w:rPr>
                <w:sz w:val="21"/>
                <w:szCs w:val="21"/>
                <w:spacing w:val="-3"/>
              </w:rPr>
              <w:t>措施</w:t>
            </w:r>
          </w:p>
        </w:tc>
        <w:tc>
          <w:tcPr>
            <w:tcW w:w="5613" w:type="dxa"/>
            <w:vAlign w:val="top"/>
          </w:tcPr>
          <w:p>
            <w:pPr>
              <w:pStyle w:val="TableText"/>
              <w:ind w:left="122"/>
              <w:spacing w:before="135" w:line="339" w:lineRule="exact"/>
              <w:rPr>
                <w:sz w:val="21"/>
                <w:szCs w:val="21"/>
              </w:rPr>
            </w:pPr>
            <w:r>
              <w:rPr>
                <w:sz w:val="21"/>
                <w:szCs w:val="21"/>
                <w:position w:val="9"/>
              </w:rPr>
              <w:t>(1)配备应急设施及装备。</w:t>
            </w:r>
          </w:p>
          <w:p>
            <w:pPr>
              <w:pStyle w:val="TableText"/>
              <w:ind w:left="122"/>
              <w:spacing w:line="219" w:lineRule="auto"/>
              <w:rPr>
                <w:sz w:val="21"/>
                <w:szCs w:val="21"/>
              </w:rPr>
            </w:pPr>
            <w:r>
              <w:rPr>
                <w:sz w:val="21"/>
                <w:szCs w:val="21"/>
                <w:spacing w:val="-1"/>
              </w:rPr>
              <w:t>(2)修编应急预案。</w:t>
            </w:r>
          </w:p>
          <w:p>
            <w:pPr>
              <w:pStyle w:val="TableText"/>
              <w:ind w:left="122" w:right="488" w:firstLine="110"/>
              <w:spacing w:before="80" w:line="239" w:lineRule="auto"/>
              <w:rPr>
                <w:sz w:val="21"/>
                <w:szCs w:val="21"/>
              </w:rPr>
            </w:pPr>
            <w:r>
              <w:rPr>
                <w:sz w:val="21"/>
                <w:szCs w:val="21"/>
                <w:spacing w:val="6"/>
              </w:rPr>
              <w:t>(3)</w:t>
            </w:r>
            <w:r>
              <w:rPr>
                <w:sz w:val="21"/>
                <w:szCs w:val="21"/>
              </w:rPr>
              <w:t>NMP</w:t>
            </w:r>
            <w:r>
              <w:rPr>
                <w:sz w:val="21"/>
                <w:szCs w:val="21"/>
                <w:spacing w:val="6"/>
              </w:rPr>
              <w:t>储罐区C设置围堰，工业污水处理站新增50m³</w:t>
            </w:r>
            <w:r>
              <w:rPr>
                <w:sz w:val="21"/>
                <w:szCs w:val="21"/>
                <w:spacing w:val="5"/>
              </w:rPr>
              <w:t xml:space="preserve"> </w:t>
            </w:r>
            <w:r>
              <w:rPr>
                <w:sz w:val="21"/>
                <w:szCs w:val="21"/>
                <w:spacing w:val="2"/>
              </w:rPr>
              <w:t>的事故池</w:t>
            </w:r>
          </w:p>
        </w:tc>
        <w:tc>
          <w:tcPr>
            <w:tcW w:w="974" w:type="dxa"/>
            <w:vAlign w:val="top"/>
          </w:tcPr>
          <w:p>
            <w:pPr>
              <w:spacing w:line="294" w:lineRule="auto"/>
              <w:rPr>
                <w:rFonts w:ascii="Arial"/>
                <w:sz w:val="21"/>
              </w:rPr>
            </w:pPr>
            <w:r/>
          </w:p>
          <w:p>
            <w:pPr>
              <w:spacing w:line="294" w:lineRule="auto"/>
              <w:rPr>
                <w:rFonts w:ascii="Arial"/>
                <w:sz w:val="21"/>
              </w:rPr>
            </w:pPr>
            <w:r/>
          </w:p>
          <w:p>
            <w:pPr>
              <w:pStyle w:val="TableText"/>
              <w:ind w:left="379"/>
              <w:spacing w:before="42" w:line="181" w:lineRule="exact"/>
              <w:rPr>
                <w:sz w:val="13"/>
                <w:szCs w:val="13"/>
              </w:rPr>
            </w:pPr>
            <w:r>
              <w:rPr>
                <w:sz w:val="13"/>
                <w:szCs w:val="13"/>
                <w:spacing w:val="-2"/>
                <w:position w:val="1"/>
              </w:rPr>
              <w:t>***</w:t>
            </w:r>
          </w:p>
        </w:tc>
      </w:tr>
      <w:tr>
        <w:trPr>
          <w:trHeight w:val="290" w:hRule="atLeast"/>
        </w:trPr>
        <w:tc>
          <w:tcPr>
            <w:tcW w:w="564" w:type="dxa"/>
            <w:vAlign w:val="top"/>
            <w:vMerge w:val="continue"/>
            <w:tcBorders>
              <w:top w:val="nil"/>
              <w:bottom w:val="nil"/>
            </w:tcBorders>
          </w:tcPr>
          <w:p>
            <w:pPr>
              <w:rPr>
                <w:rFonts w:ascii="Arial"/>
                <w:sz w:val="21"/>
              </w:rPr>
            </w:pPr>
            <w:r/>
          </w:p>
        </w:tc>
        <w:tc>
          <w:tcPr>
            <w:tcW w:w="889" w:type="dxa"/>
            <w:vAlign w:val="top"/>
          </w:tcPr>
          <w:p>
            <w:pPr>
              <w:pStyle w:val="TableText"/>
              <w:ind w:left="470"/>
              <w:spacing w:before="102" w:line="177" w:lineRule="exact"/>
              <w:rPr>
                <w:sz w:val="21"/>
                <w:szCs w:val="21"/>
              </w:rPr>
            </w:pPr>
            <w:r>
              <w:rPr>
                <w:sz w:val="21"/>
                <w:szCs w:val="21"/>
                <w:position w:val="-2"/>
              </w:rPr>
              <w:t>7</w:t>
            </w:r>
          </w:p>
        </w:tc>
        <w:tc>
          <w:tcPr>
            <w:tcW w:w="6552" w:type="dxa"/>
            <w:vAlign w:val="top"/>
            <w:gridSpan w:val="2"/>
          </w:tcPr>
          <w:p>
            <w:pPr>
              <w:pStyle w:val="TableText"/>
              <w:ind w:left="3091"/>
              <w:spacing w:before="47" w:line="204" w:lineRule="auto"/>
              <w:rPr>
                <w:sz w:val="21"/>
                <w:szCs w:val="21"/>
              </w:rPr>
            </w:pPr>
            <w:r>
              <w:rPr>
                <w:sz w:val="21"/>
                <w:szCs w:val="21"/>
                <w:spacing w:val="-3"/>
              </w:rPr>
              <w:t>合计</w:t>
            </w:r>
          </w:p>
        </w:tc>
        <w:tc>
          <w:tcPr>
            <w:tcW w:w="974" w:type="dxa"/>
            <w:vAlign w:val="top"/>
          </w:tcPr>
          <w:p>
            <w:pPr>
              <w:pStyle w:val="TableText"/>
              <w:ind w:left="320"/>
              <w:spacing w:before="100" w:line="158" w:lineRule="auto"/>
              <w:rPr>
                <w:sz w:val="21"/>
                <w:szCs w:val="21"/>
              </w:rPr>
            </w:pPr>
            <w:r>
              <w:rPr>
                <w:sz w:val="21"/>
                <w:szCs w:val="21"/>
                <w:spacing w:val="-3"/>
              </w:rPr>
              <w:t>740</w:t>
            </w:r>
          </w:p>
        </w:tc>
      </w:tr>
      <w:tr>
        <w:trPr>
          <w:trHeight w:val="1852" w:hRule="atLeast"/>
        </w:trPr>
        <w:tc>
          <w:tcPr>
            <w:tcW w:w="564" w:type="dxa"/>
            <w:vAlign w:val="top"/>
            <w:vMerge w:val="continue"/>
            <w:tcBorders>
              <w:top w:val="nil"/>
            </w:tcBorders>
          </w:tcPr>
          <w:p>
            <w:pPr>
              <w:rPr>
                <w:rFonts w:ascii="Arial"/>
                <w:sz w:val="21"/>
              </w:rPr>
            </w:pPr>
            <w:r/>
          </w:p>
        </w:tc>
        <w:tc>
          <w:tcPr>
            <w:tcW w:w="8415" w:type="dxa"/>
            <w:vAlign w:val="top"/>
            <w:gridSpan w:val="4"/>
          </w:tcPr>
          <w:p>
            <w:pPr>
              <w:rPr>
                <w:rFonts w:ascii="Arial"/>
                <w:sz w:val="21"/>
              </w:rPr>
            </w:pPr>
            <w:r/>
          </w:p>
        </w:tc>
      </w:tr>
    </w:tbl>
    <w:p>
      <w:pPr>
        <w:rPr>
          <w:rFonts w:ascii="Arial"/>
          <w:sz w:val="21"/>
        </w:rPr>
      </w:pPr>
      <w:r/>
    </w:p>
    <w:p>
      <w:pPr>
        <w:sectPr>
          <w:footerReference w:type="default" r:id="rId154"/>
          <w:pgSz w:w="11900" w:h="16840"/>
          <w:pgMar w:top="1431" w:right="1465" w:bottom="988" w:left="1445" w:header="0" w:footer="849" w:gutter="0"/>
        </w:sectPr>
        <w:rPr>
          <w:rFonts w:ascii="Arial" w:hAnsi="Arial" w:eastAsia="Arial" w:cs="Arial"/>
          <w:sz w:val="21"/>
          <w:szCs w:val="21"/>
        </w:rPr>
      </w:pP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pStyle w:val="BodyText"/>
        <w:ind w:left="4929"/>
        <w:spacing w:before="98" w:line="219" w:lineRule="auto"/>
        <w:outlineLvl w:val="6"/>
        <w:rPr>
          <w:sz w:val="30"/>
          <w:szCs w:val="30"/>
        </w:rPr>
      </w:pPr>
      <w:r>
        <w:rPr>
          <w:sz w:val="30"/>
          <w:szCs w:val="30"/>
          <w:b/>
          <w:bCs/>
          <w:spacing w:val="-7"/>
        </w:rPr>
        <w:t>五、环境保护措施监督检查清单</w:t>
      </w:r>
    </w:p>
    <w:p>
      <w:pPr>
        <w:spacing w:before="39"/>
        <w:rPr/>
      </w:pPr>
      <w:r/>
    </w:p>
    <w:tbl>
      <w:tblPr>
        <w:tblStyle w:val="TableNormal"/>
        <w:tblW w:w="139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14"/>
        <w:gridCol w:w="1968"/>
        <w:gridCol w:w="1569"/>
        <w:gridCol w:w="3397"/>
        <w:gridCol w:w="5241"/>
      </w:tblGrid>
      <w:tr>
        <w:trPr>
          <w:trHeight w:val="554" w:hRule="atLeast"/>
        </w:trPr>
        <w:tc>
          <w:tcPr>
            <w:tcW w:w="1814" w:type="dxa"/>
            <w:vAlign w:val="top"/>
            <w:tcBorders>
              <w:tl2br w:val="single" w:color="000000" w:sz="4" w:space="0"/>
            </w:tcBorders>
          </w:tcPr>
          <w:p>
            <w:pPr>
              <w:pStyle w:val="TableText"/>
              <w:ind w:left="954"/>
              <w:spacing w:before="23" w:line="219" w:lineRule="auto"/>
              <w:rPr>
                <w:sz w:val="20"/>
                <w:szCs w:val="20"/>
              </w:rPr>
            </w:pPr>
            <w:r>
              <w:rPr>
                <w:sz w:val="20"/>
                <w:szCs w:val="20"/>
                <w:spacing w:val="5"/>
              </w:rPr>
              <w:t>内容</w:t>
            </w:r>
          </w:p>
          <w:p>
            <w:pPr>
              <w:pStyle w:val="TableText"/>
              <w:ind w:left="114"/>
              <w:spacing w:before="52" w:line="213" w:lineRule="auto"/>
              <w:rPr>
                <w:sz w:val="20"/>
                <w:szCs w:val="20"/>
              </w:rPr>
            </w:pPr>
            <w:r>
              <w:rPr>
                <w:sz w:val="20"/>
                <w:szCs w:val="20"/>
                <w:spacing w:val="-3"/>
              </w:rPr>
              <w:t>要素</w:t>
            </w:r>
          </w:p>
        </w:tc>
        <w:tc>
          <w:tcPr>
            <w:tcW w:w="1968" w:type="dxa"/>
            <w:vAlign w:val="top"/>
          </w:tcPr>
          <w:p>
            <w:pPr>
              <w:pStyle w:val="TableText"/>
              <w:ind w:left="370" w:right="237" w:hanging="50"/>
              <w:spacing w:before="43" w:line="231" w:lineRule="auto"/>
              <w:rPr>
                <w:sz w:val="20"/>
                <w:szCs w:val="20"/>
              </w:rPr>
            </w:pPr>
            <w:r>
              <w:rPr>
                <w:sz w:val="20"/>
                <w:szCs w:val="20"/>
                <w:spacing w:val="14"/>
              </w:rPr>
              <w:t>排放口(编号、</w:t>
            </w:r>
            <w:r>
              <w:rPr>
                <w:sz w:val="20"/>
                <w:szCs w:val="20"/>
              </w:rPr>
              <w:t xml:space="preserve"> </w:t>
            </w:r>
            <w:r>
              <w:rPr>
                <w:sz w:val="20"/>
                <w:szCs w:val="20"/>
                <w:spacing w:val="-2"/>
              </w:rPr>
              <w:t>名称)/污染源</w:t>
            </w:r>
          </w:p>
        </w:tc>
        <w:tc>
          <w:tcPr>
            <w:tcW w:w="1569" w:type="dxa"/>
            <w:vAlign w:val="top"/>
          </w:tcPr>
          <w:p>
            <w:pPr>
              <w:pStyle w:val="TableText"/>
              <w:ind w:left="272"/>
              <w:spacing w:before="183" w:line="220" w:lineRule="auto"/>
              <w:rPr>
                <w:sz w:val="20"/>
                <w:szCs w:val="20"/>
              </w:rPr>
            </w:pPr>
            <w:r>
              <w:rPr>
                <w:sz w:val="20"/>
                <w:szCs w:val="20"/>
                <w:spacing w:val="7"/>
              </w:rPr>
              <w:t>污染物项目</w:t>
            </w:r>
          </w:p>
        </w:tc>
        <w:tc>
          <w:tcPr>
            <w:tcW w:w="3397" w:type="dxa"/>
            <w:vAlign w:val="top"/>
          </w:tcPr>
          <w:p>
            <w:pPr>
              <w:pStyle w:val="TableText"/>
              <w:ind w:left="1093"/>
              <w:spacing w:before="183" w:line="220" w:lineRule="auto"/>
              <w:rPr>
                <w:sz w:val="20"/>
                <w:szCs w:val="20"/>
              </w:rPr>
            </w:pPr>
            <w:r>
              <w:rPr>
                <w:sz w:val="20"/>
                <w:szCs w:val="20"/>
                <w:spacing w:val="-2"/>
              </w:rPr>
              <w:t>环境保护措施</w:t>
            </w:r>
          </w:p>
        </w:tc>
        <w:tc>
          <w:tcPr>
            <w:tcW w:w="5241" w:type="dxa"/>
            <w:vAlign w:val="top"/>
          </w:tcPr>
          <w:p>
            <w:pPr>
              <w:pStyle w:val="TableText"/>
              <w:ind w:left="2216"/>
              <w:spacing w:before="183" w:line="219" w:lineRule="auto"/>
              <w:rPr>
                <w:sz w:val="20"/>
                <w:szCs w:val="20"/>
              </w:rPr>
            </w:pPr>
            <w:r>
              <w:rPr>
                <w:sz w:val="20"/>
                <w:szCs w:val="20"/>
                <w:spacing w:val="-2"/>
              </w:rPr>
              <w:t>执行标准</w:t>
            </w:r>
          </w:p>
        </w:tc>
      </w:tr>
      <w:tr>
        <w:trPr>
          <w:trHeight w:val="519" w:hRule="atLeast"/>
        </w:trPr>
        <w:tc>
          <w:tcPr>
            <w:tcW w:w="1814"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pStyle w:val="TableText"/>
              <w:ind w:left="504"/>
              <w:spacing w:before="65" w:line="220" w:lineRule="auto"/>
              <w:rPr>
                <w:sz w:val="20"/>
                <w:szCs w:val="20"/>
              </w:rPr>
            </w:pPr>
            <w:r>
              <w:rPr>
                <w:sz w:val="20"/>
                <w:szCs w:val="20"/>
                <w:spacing w:val="-2"/>
              </w:rPr>
              <w:t>大气环境</w:t>
            </w:r>
          </w:p>
        </w:tc>
        <w:tc>
          <w:tcPr>
            <w:tcW w:w="1968" w:type="dxa"/>
            <w:vAlign w:val="top"/>
          </w:tcPr>
          <w:p>
            <w:pPr>
              <w:pStyle w:val="TableText"/>
              <w:ind w:left="369" w:right="241" w:hanging="149"/>
              <w:spacing w:before="10" w:line="230" w:lineRule="auto"/>
              <w:rPr>
                <w:sz w:val="20"/>
                <w:szCs w:val="20"/>
              </w:rPr>
            </w:pPr>
            <w:r>
              <w:rPr>
                <w:sz w:val="20"/>
                <w:szCs w:val="20"/>
                <w:spacing w:val="-1"/>
              </w:rPr>
              <w:t>DA026凹版厂阴极</w:t>
            </w:r>
            <w:r>
              <w:rPr>
                <w:sz w:val="20"/>
                <w:szCs w:val="20"/>
                <w:spacing w:val="5"/>
              </w:rPr>
              <w:t xml:space="preserve"> </w:t>
            </w:r>
            <w:r>
              <w:rPr>
                <w:sz w:val="20"/>
                <w:szCs w:val="20"/>
                <w:spacing w:val="2"/>
              </w:rPr>
              <w:t>涂布烘干废气</w:t>
            </w:r>
          </w:p>
        </w:tc>
        <w:tc>
          <w:tcPr>
            <w:tcW w:w="1569" w:type="dxa"/>
            <w:vAlign w:val="top"/>
          </w:tcPr>
          <w:p>
            <w:pPr>
              <w:pStyle w:val="TableText"/>
              <w:ind w:left="272"/>
              <w:spacing w:before="159" w:line="220" w:lineRule="auto"/>
              <w:rPr>
                <w:sz w:val="20"/>
                <w:szCs w:val="20"/>
              </w:rPr>
            </w:pPr>
            <w:r>
              <w:rPr>
                <w:sz w:val="20"/>
                <w:szCs w:val="20"/>
                <w:spacing w:val="-2"/>
              </w:rPr>
              <w:t>非甲烷总烃</w:t>
            </w:r>
          </w:p>
        </w:tc>
        <w:tc>
          <w:tcPr>
            <w:tcW w:w="3397" w:type="dxa"/>
            <w:vAlign w:val="top"/>
          </w:tcPr>
          <w:p>
            <w:pPr>
              <w:pStyle w:val="TableText"/>
              <w:ind w:left="1293" w:right="349" w:hanging="949"/>
              <w:spacing w:before="38" w:line="217" w:lineRule="auto"/>
              <w:rPr>
                <w:sz w:val="20"/>
                <w:szCs w:val="20"/>
              </w:rPr>
            </w:pPr>
            <w:r>
              <w:rPr>
                <w:sz w:val="20"/>
                <w:szCs w:val="20"/>
                <w:spacing w:val="-1"/>
              </w:rPr>
              <w:t>4套冷凝+转轮回收装置+1根27m</w:t>
            </w:r>
            <w:r>
              <w:rPr>
                <w:sz w:val="20"/>
                <w:szCs w:val="20"/>
                <w:spacing w:val="8"/>
              </w:rPr>
              <w:t xml:space="preserve"> </w:t>
            </w:r>
            <w:r>
              <w:rPr>
                <w:sz w:val="20"/>
                <w:szCs w:val="20"/>
                <w:spacing w:val="3"/>
              </w:rPr>
              <w:t>高排气筒</w:t>
            </w:r>
          </w:p>
        </w:tc>
        <w:tc>
          <w:tcPr>
            <w:tcW w:w="5241" w:type="dxa"/>
            <w:vAlign w:val="top"/>
          </w:tcPr>
          <w:p>
            <w:pPr>
              <w:pStyle w:val="TableText"/>
              <w:ind w:left="316" w:right="270" w:hanging="100"/>
              <w:spacing w:before="40" w:line="214" w:lineRule="auto"/>
              <w:rPr>
                <w:sz w:val="20"/>
                <w:szCs w:val="20"/>
              </w:rPr>
            </w:pPr>
            <w:r>
              <w:rPr>
                <w:sz w:val="20"/>
                <w:szCs w:val="20"/>
              </w:rPr>
              <w:t>《电池工业污染物排放标准》(GB30484</w:t>
            </w:r>
            <w:r>
              <w:rPr>
                <w:sz w:val="20"/>
                <w:szCs w:val="20"/>
                <w:spacing w:val="-1"/>
              </w:rPr>
              <w:t>-2013)表5新建</w:t>
            </w:r>
            <w:r>
              <w:rPr>
                <w:sz w:val="20"/>
                <w:szCs w:val="20"/>
              </w:rPr>
              <w:t xml:space="preserve"> </w:t>
            </w:r>
            <w:r>
              <w:rPr>
                <w:sz w:val="20"/>
                <w:szCs w:val="20"/>
                <w:spacing w:val="5"/>
              </w:rPr>
              <w:t>企业大气污染物排放限值要求(非甲烷总烃50</w:t>
            </w:r>
            <w:r>
              <w:rPr>
                <w:sz w:val="20"/>
                <w:szCs w:val="20"/>
              </w:rPr>
              <w:t>mg</w:t>
            </w:r>
            <w:r>
              <w:rPr>
                <w:sz w:val="20"/>
                <w:szCs w:val="20"/>
                <w:spacing w:val="5"/>
              </w:rPr>
              <w:t>/m³)</w:t>
            </w:r>
          </w:p>
        </w:tc>
      </w:tr>
      <w:tr>
        <w:trPr>
          <w:trHeight w:val="1028" w:hRule="atLeast"/>
        </w:trPr>
        <w:tc>
          <w:tcPr>
            <w:tcW w:w="1814" w:type="dxa"/>
            <w:vAlign w:val="top"/>
            <w:vMerge w:val="continue"/>
            <w:tcBorders>
              <w:top w:val="nil"/>
              <w:bottom w:val="nil"/>
            </w:tcBorders>
          </w:tcPr>
          <w:p>
            <w:pPr>
              <w:rPr>
                <w:rFonts w:ascii="Arial"/>
                <w:sz w:val="21"/>
              </w:rPr>
            </w:pPr>
            <w:r/>
          </w:p>
        </w:tc>
        <w:tc>
          <w:tcPr>
            <w:tcW w:w="1968" w:type="dxa"/>
            <w:vAlign w:val="top"/>
          </w:tcPr>
          <w:p>
            <w:pPr>
              <w:pStyle w:val="TableText"/>
              <w:ind w:left="620"/>
              <w:spacing w:before="217" w:line="184" w:lineRule="auto"/>
              <w:rPr>
                <w:sz w:val="20"/>
                <w:szCs w:val="20"/>
              </w:rPr>
            </w:pPr>
            <w:r>
              <w:rPr>
                <w:sz w:val="20"/>
                <w:szCs w:val="20"/>
                <w:spacing w:val="-4"/>
              </w:rPr>
              <w:t>DA025、</w:t>
            </w:r>
          </w:p>
          <w:p>
            <w:pPr>
              <w:pStyle w:val="TableText"/>
              <w:ind w:left="370"/>
              <w:spacing w:before="28" w:line="217" w:lineRule="auto"/>
              <w:rPr>
                <w:sz w:val="20"/>
                <w:szCs w:val="20"/>
              </w:rPr>
            </w:pPr>
            <w:r>
              <w:rPr>
                <w:sz w:val="20"/>
                <w:szCs w:val="20"/>
                <w:spacing w:val="-1"/>
              </w:rPr>
              <w:t>DA027~DA029/</w:t>
            </w:r>
          </w:p>
          <w:p>
            <w:pPr>
              <w:pStyle w:val="TableText"/>
              <w:ind w:left="570"/>
              <w:spacing w:line="220" w:lineRule="auto"/>
              <w:rPr>
                <w:sz w:val="20"/>
                <w:szCs w:val="20"/>
              </w:rPr>
            </w:pPr>
            <w:r>
              <w:rPr>
                <w:sz w:val="20"/>
                <w:szCs w:val="20"/>
                <w:spacing w:val="3"/>
              </w:rPr>
              <w:t>锅炉废气</w:t>
            </w:r>
          </w:p>
        </w:tc>
        <w:tc>
          <w:tcPr>
            <w:tcW w:w="1569" w:type="dxa"/>
            <w:vAlign w:val="top"/>
          </w:tcPr>
          <w:p>
            <w:pPr>
              <w:pStyle w:val="TableText"/>
              <w:ind w:left="122"/>
              <w:spacing w:before="157" w:line="216" w:lineRule="auto"/>
              <w:rPr>
                <w:sz w:val="20"/>
                <w:szCs w:val="20"/>
              </w:rPr>
            </w:pPr>
            <w:r>
              <w:rPr>
                <w:sz w:val="20"/>
                <w:szCs w:val="20"/>
              </w:rPr>
              <w:t>SO</w:t>
            </w:r>
            <w:r>
              <w:rPr>
                <w:rFonts w:ascii="Calibri" w:hAnsi="Calibri" w:eastAsia="Calibri" w:cs="Calibri"/>
                <w:sz w:val="20"/>
                <w:szCs w:val="20"/>
                <w:spacing w:val="14"/>
              </w:rPr>
              <w:t>₂</w:t>
            </w:r>
            <w:r>
              <w:rPr>
                <w:rFonts w:ascii="Calibri" w:hAnsi="Calibri" w:eastAsia="Calibri" w:cs="Calibri"/>
                <w:sz w:val="20"/>
                <w:szCs w:val="20"/>
                <w:spacing w:val="-21"/>
              </w:rPr>
              <w:t xml:space="preserve"> </w:t>
            </w:r>
            <w:r>
              <w:rPr>
                <w:sz w:val="20"/>
                <w:szCs w:val="20"/>
                <w:spacing w:val="14"/>
              </w:rPr>
              <w:t>、</w:t>
            </w:r>
            <w:r>
              <w:rPr>
                <w:sz w:val="20"/>
                <w:szCs w:val="20"/>
              </w:rPr>
              <w:t>NO</w:t>
            </w:r>
            <w:r>
              <w:rPr>
                <w:sz w:val="20"/>
                <w:szCs w:val="20"/>
                <w:spacing w:val="14"/>
              </w:rPr>
              <w:t>,、颗</w:t>
            </w:r>
          </w:p>
          <w:p>
            <w:pPr>
              <w:pStyle w:val="TableText"/>
              <w:ind w:left="172"/>
              <w:spacing w:before="39" w:line="220" w:lineRule="auto"/>
              <w:rPr>
                <w:sz w:val="20"/>
                <w:szCs w:val="20"/>
              </w:rPr>
            </w:pPr>
            <w:r>
              <w:rPr>
                <w:sz w:val="20"/>
                <w:szCs w:val="20"/>
                <w:spacing w:val="2"/>
              </w:rPr>
              <w:t>粒物、烟气黑</w:t>
            </w:r>
          </w:p>
          <w:p>
            <w:pPr>
              <w:pStyle w:val="TableText"/>
              <w:ind w:left="672"/>
              <w:spacing w:before="1" w:line="220" w:lineRule="auto"/>
              <w:rPr>
                <w:sz w:val="20"/>
                <w:szCs w:val="20"/>
              </w:rPr>
            </w:pPr>
            <w:r>
              <w:rPr>
                <w:sz w:val="20"/>
                <w:szCs w:val="20"/>
              </w:rPr>
              <w:t>度</w:t>
            </w:r>
          </w:p>
        </w:tc>
        <w:tc>
          <w:tcPr>
            <w:tcW w:w="3397" w:type="dxa"/>
            <w:vAlign w:val="top"/>
          </w:tcPr>
          <w:p>
            <w:pPr>
              <w:spacing w:line="351" w:lineRule="auto"/>
              <w:rPr>
                <w:rFonts w:ascii="Arial"/>
                <w:sz w:val="21"/>
              </w:rPr>
            </w:pPr>
            <w:r/>
          </w:p>
          <w:p>
            <w:pPr>
              <w:pStyle w:val="TableText"/>
              <w:ind w:left="493"/>
              <w:spacing w:before="65" w:line="219" w:lineRule="auto"/>
              <w:rPr>
                <w:sz w:val="20"/>
                <w:szCs w:val="20"/>
              </w:rPr>
            </w:pPr>
            <w:r>
              <w:rPr>
                <w:sz w:val="20"/>
                <w:szCs w:val="20"/>
                <w:spacing w:val="-1"/>
              </w:rPr>
              <w:t>低氮燃烧，4根27m高排气筒</w:t>
            </w:r>
          </w:p>
        </w:tc>
        <w:tc>
          <w:tcPr>
            <w:tcW w:w="5241" w:type="dxa"/>
            <w:vAlign w:val="top"/>
          </w:tcPr>
          <w:p>
            <w:pPr>
              <w:pStyle w:val="TableText"/>
              <w:ind w:left="316"/>
              <w:spacing w:before="20" w:line="220" w:lineRule="auto"/>
              <w:rPr>
                <w:sz w:val="20"/>
                <w:szCs w:val="20"/>
              </w:rPr>
            </w:pPr>
            <w:r>
              <w:rPr>
                <w:sz w:val="20"/>
                <w:szCs w:val="20"/>
              </w:rPr>
              <w:t>《锅炉大气污染物排放标准》(GB1327</w:t>
            </w:r>
            <w:r>
              <w:rPr>
                <w:sz w:val="20"/>
                <w:szCs w:val="20"/>
                <w:spacing w:val="-1"/>
              </w:rPr>
              <w:t>1-2014)表2新</w:t>
            </w:r>
          </w:p>
          <w:p>
            <w:pPr>
              <w:pStyle w:val="TableText"/>
              <w:ind w:left="666"/>
              <w:spacing w:before="50" w:line="216" w:lineRule="auto"/>
              <w:rPr>
                <w:sz w:val="20"/>
                <w:szCs w:val="20"/>
              </w:rPr>
            </w:pPr>
            <w:r>
              <w:rPr>
                <w:sz w:val="20"/>
                <w:szCs w:val="20"/>
              </w:rPr>
              <w:t>建锅炉大气污染物排放浓度限值要求(颗粒物</w:t>
            </w:r>
          </w:p>
          <w:p>
            <w:pPr>
              <w:pStyle w:val="TableText"/>
              <w:ind w:left="116"/>
              <w:spacing w:line="213" w:lineRule="auto"/>
              <w:rPr>
                <w:sz w:val="20"/>
                <w:szCs w:val="20"/>
              </w:rPr>
            </w:pPr>
            <w:r>
              <w:rPr>
                <w:sz w:val="20"/>
                <w:szCs w:val="20"/>
                <w:spacing w:val="12"/>
              </w:rPr>
              <w:t>≤20</w:t>
            </w:r>
            <w:r>
              <w:rPr>
                <w:sz w:val="20"/>
                <w:szCs w:val="20"/>
              </w:rPr>
              <w:t>mg</w:t>
            </w:r>
            <w:r>
              <w:rPr>
                <w:sz w:val="20"/>
                <w:szCs w:val="20"/>
                <w:spacing w:val="12"/>
              </w:rPr>
              <w:t>/m³,二氧化硫≤50</w:t>
            </w:r>
            <w:r>
              <w:rPr>
                <w:sz w:val="20"/>
                <w:szCs w:val="20"/>
              </w:rPr>
              <w:t>mg</w:t>
            </w:r>
            <w:r>
              <w:rPr>
                <w:sz w:val="20"/>
                <w:szCs w:val="20"/>
                <w:spacing w:val="12"/>
              </w:rPr>
              <w:t>/m³,氮氧化物≤200</w:t>
            </w:r>
            <w:r>
              <w:rPr>
                <w:sz w:val="20"/>
                <w:szCs w:val="20"/>
              </w:rPr>
              <w:t>mg</w:t>
            </w:r>
            <w:r>
              <w:rPr>
                <w:sz w:val="20"/>
                <w:szCs w:val="20"/>
                <w:spacing w:val="12"/>
              </w:rPr>
              <w:t>/m³,</w:t>
            </w:r>
          </w:p>
          <w:p>
            <w:pPr>
              <w:pStyle w:val="TableText"/>
              <w:ind w:left="1916"/>
              <w:spacing w:before="45" w:line="182" w:lineRule="auto"/>
              <w:rPr>
                <w:sz w:val="20"/>
                <w:szCs w:val="20"/>
              </w:rPr>
            </w:pPr>
            <w:r>
              <w:rPr>
                <w:sz w:val="20"/>
                <w:szCs w:val="20"/>
                <w:spacing w:val="5"/>
              </w:rPr>
              <w:t>烟气黑度≤1级)</w:t>
            </w:r>
          </w:p>
        </w:tc>
      </w:tr>
      <w:tr>
        <w:trPr>
          <w:trHeight w:val="1029" w:hRule="atLeast"/>
        </w:trPr>
        <w:tc>
          <w:tcPr>
            <w:tcW w:w="1814" w:type="dxa"/>
            <w:vAlign w:val="top"/>
            <w:vMerge w:val="continue"/>
            <w:tcBorders>
              <w:top w:val="nil"/>
              <w:bottom w:val="nil"/>
            </w:tcBorders>
          </w:tcPr>
          <w:p>
            <w:pPr>
              <w:rPr>
                <w:rFonts w:ascii="Arial"/>
                <w:sz w:val="21"/>
              </w:rPr>
            </w:pPr>
            <w:r/>
          </w:p>
        </w:tc>
        <w:tc>
          <w:tcPr>
            <w:tcW w:w="1968" w:type="dxa"/>
            <w:vAlign w:val="top"/>
          </w:tcPr>
          <w:p>
            <w:pPr>
              <w:spacing w:line="245" w:lineRule="auto"/>
              <w:rPr>
                <w:rFonts w:ascii="Arial"/>
                <w:sz w:val="21"/>
              </w:rPr>
            </w:pPr>
            <w:r/>
          </w:p>
          <w:p>
            <w:pPr>
              <w:pStyle w:val="TableText"/>
              <w:ind w:left="670" w:right="291" w:hanging="400"/>
              <w:spacing w:before="65" w:line="225" w:lineRule="auto"/>
              <w:rPr>
                <w:sz w:val="20"/>
                <w:szCs w:val="20"/>
              </w:rPr>
            </w:pPr>
            <w:r>
              <w:rPr>
                <w:sz w:val="20"/>
                <w:szCs w:val="20"/>
                <w:spacing w:val="-1"/>
              </w:rPr>
              <w:t>DA006/污水处理</w:t>
            </w:r>
            <w:r>
              <w:rPr>
                <w:sz w:val="20"/>
                <w:szCs w:val="20"/>
                <w:spacing w:val="5"/>
              </w:rPr>
              <w:t xml:space="preserve"> </w:t>
            </w:r>
            <w:r>
              <w:rPr>
                <w:sz w:val="20"/>
                <w:szCs w:val="20"/>
                <w:spacing w:val="-2"/>
              </w:rPr>
              <w:t>站恶臭</w:t>
            </w:r>
          </w:p>
        </w:tc>
        <w:tc>
          <w:tcPr>
            <w:tcW w:w="1569" w:type="dxa"/>
            <w:vAlign w:val="top"/>
          </w:tcPr>
          <w:p>
            <w:pPr>
              <w:spacing w:line="245" w:lineRule="auto"/>
              <w:rPr>
                <w:rFonts w:ascii="Arial"/>
                <w:sz w:val="21"/>
              </w:rPr>
            </w:pPr>
            <w:r/>
          </w:p>
          <w:p>
            <w:pPr>
              <w:pStyle w:val="TableText"/>
              <w:ind w:left="471" w:right="224" w:hanging="399"/>
              <w:spacing w:before="65" w:line="221" w:lineRule="auto"/>
              <w:rPr>
                <w:sz w:val="20"/>
                <w:szCs w:val="20"/>
              </w:rPr>
            </w:pPr>
            <w:r>
              <w:rPr>
                <w:sz w:val="20"/>
                <w:szCs w:val="20"/>
                <w:spacing w:val="15"/>
              </w:rPr>
              <w:t>H</w:t>
            </w:r>
            <w:r>
              <w:rPr>
                <w:rFonts w:ascii="Calibri" w:hAnsi="Calibri" w:eastAsia="Calibri" w:cs="Calibri"/>
                <w:sz w:val="20"/>
                <w:szCs w:val="20"/>
                <w:spacing w:val="15"/>
              </w:rPr>
              <w:t>₂</w:t>
            </w:r>
            <w:r>
              <w:rPr>
                <w:sz w:val="20"/>
                <w:szCs w:val="20"/>
                <w:spacing w:val="15"/>
              </w:rPr>
              <w:t>S、</w:t>
            </w:r>
            <w:r>
              <w:rPr>
                <w:sz w:val="20"/>
                <w:szCs w:val="20"/>
              </w:rPr>
              <w:t>NH</w:t>
            </w:r>
            <w:r>
              <w:rPr>
                <w:rFonts w:ascii="Calibri" w:hAnsi="Calibri" w:eastAsia="Calibri" w:cs="Calibri"/>
                <w:sz w:val="20"/>
                <w:szCs w:val="20"/>
                <w:spacing w:val="15"/>
              </w:rPr>
              <w:t>₃</w:t>
            </w:r>
            <w:r>
              <w:rPr>
                <w:rFonts w:ascii="Calibri" w:hAnsi="Calibri" w:eastAsia="Calibri" w:cs="Calibri"/>
                <w:sz w:val="20"/>
                <w:szCs w:val="20"/>
                <w:spacing w:val="-24"/>
              </w:rPr>
              <w:t xml:space="preserve"> </w:t>
            </w:r>
            <w:r>
              <w:rPr>
                <w:sz w:val="20"/>
                <w:szCs w:val="20"/>
                <w:spacing w:val="15"/>
              </w:rPr>
              <w:t>、臭</w:t>
            </w:r>
            <w:r>
              <w:rPr>
                <w:sz w:val="20"/>
                <w:szCs w:val="20"/>
              </w:rPr>
              <w:t xml:space="preserve"> </w:t>
            </w:r>
            <w:r>
              <w:rPr>
                <w:sz w:val="20"/>
                <w:szCs w:val="20"/>
                <w:spacing w:val="3"/>
              </w:rPr>
              <w:t>气浓度</w:t>
            </w:r>
          </w:p>
        </w:tc>
        <w:tc>
          <w:tcPr>
            <w:tcW w:w="3397" w:type="dxa"/>
            <w:vAlign w:val="top"/>
          </w:tcPr>
          <w:p>
            <w:pPr>
              <w:spacing w:line="253" w:lineRule="auto"/>
              <w:rPr>
                <w:rFonts w:ascii="Arial"/>
                <w:sz w:val="21"/>
              </w:rPr>
            </w:pPr>
            <w:r/>
          </w:p>
          <w:p>
            <w:pPr>
              <w:pStyle w:val="TableText"/>
              <w:ind w:left="1143" w:right="352" w:hanging="799"/>
              <w:spacing w:before="65" w:line="212" w:lineRule="auto"/>
              <w:rPr>
                <w:sz w:val="20"/>
                <w:szCs w:val="20"/>
              </w:rPr>
            </w:pPr>
            <w:r>
              <w:rPr>
                <w:sz w:val="20"/>
                <w:szCs w:val="20"/>
                <w:spacing w:val="-1"/>
              </w:rPr>
              <w:t>依托现有工程，喷淋塔+UV+1根</w:t>
            </w:r>
            <w:r>
              <w:rPr>
                <w:sz w:val="20"/>
                <w:szCs w:val="20"/>
                <w:spacing w:val="5"/>
              </w:rPr>
              <w:t xml:space="preserve"> </w:t>
            </w:r>
            <w:r>
              <w:rPr>
                <w:sz w:val="20"/>
                <w:szCs w:val="20"/>
                <w:spacing w:val="1"/>
              </w:rPr>
              <w:t>15m高排气筒</w:t>
            </w:r>
          </w:p>
        </w:tc>
        <w:tc>
          <w:tcPr>
            <w:tcW w:w="5241" w:type="dxa"/>
            <w:vAlign w:val="top"/>
          </w:tcPr>
          <w:p>
            <w:pPr>
              <w:pStyle w:val="TableText"/>
              <w:ind w:left="316"/>
              <w:spacing w:before="52" w:line="219" w:lineRule="auto"/>
              <w:rPr>
                <w:sz w:val="20"/>
                <w:szCs w:val="20"/>
              </w:rPr>
            </w:pPr>
            <w:r>
              <w:rPr>
                <w:sz w:val="20"/>
                <w:szCs w:val="20"/>
              </w:rPr>
              <w:t>《恶臭污染物排放标准》(GB14554-</w:t>
            </w:r>
            <w:r>
              <w:rPr>
                <w:sz w:val="20"/>
                <w:szCs w:val="20"/>
                <w:spacing w:val="-1"/>
              </w:rPr>
              <w:t>1993)中的表2恶</w:t>
            </w:r>
          </w:p>
          <w:p>
            <w:pPr>
              <w:pStyle w:val="TableText"/>
              <w:ind w:left="366"/>
              <w:spacing w:before="29" w:line="216" w:lineRule="auto"/>
              <w:rPr>
                <w:sz w:val="20"/>
                <w:szCs w:val="20"/>
              </w:rPr>
            </w:pPr>
            <w:r>
              <w:rPr>
                <w:sz w:val="20"/>
                <w:szCs w:val="20"/>
                <w:spacing w:val="-1"/>
              </w:rPr>
              <w:t>臭污染物排放标准值(排气筒高度15m,硫化氢排放量</w:t>
            </w:r>
          </w:p>
          <w:p>
            <w:pPr>
              <w:pStyle w:val="TableText"/>
              <w:ind w:left="166"/>
              <w:spacing w:before="1" w:line="214" w:lineRule="auto"/>
              <w:rPr>
                <w:sz w:val="20"/>
                <w:szCs w:val="20"/>
              </w:rPr>
            </w:pPr>
            <w:r>
              <w:rPr>
                <w:sz w:val="20"/>
                <w:szCs w:val="20"/>
              </w:rPr>
              <w:t>≤0.33kg/h,氨排放量≤4.9kg/h、臭气浓度排放量(无量</w:t>
            </w:r>
          </w:p>
          <w:p>
            <w:pPr>
              <w:pStyle w:val="TableText"/>
              <w:ind w:left="2116"/>
              <w:spacing w:before="38" w:line="179" w:lineRule="auto"/>
              <w:rPr>
                <w:sz w:val="20"/>
                <w:szCs w:val="20"/>
              </w:rPr>
            </w:pPr>
            <w:r>
              <w:rPr>
                <w:sz w:val="20"/>
                <w:szCs w:val="20"/>
                <w:spacing w:val="5"/>
              </w:rPr>
              <w:t>纲)≤2000)</w:t>
            </w:r>
          </w:p>
        </w:tc>
      </w:tr>
      <w:tr>
        <w:trPr>
          <w:trHeight w:val="1059" w:hRule="atLeast"/>
        </w:trPr>
        <w:tc>
          <w:tcPr>
            <w:tcW w:w="1814" w:type="dxa"/>
            <w:vAlign w:val="top"/>
            <w:vMerge w:val="continue"/>
            <w:tcBorders>
              <w:top w:val="nil"/>
              <w:bottom w:val="nil"/>
            </w:tcBorders>
          </w:tcPr>
          <w:p>
            <w:pPr>
              <w:rPr>
                <w:rFonts w:ascii="Arial"/>
                <w:sz w:val="21"/>
              </w:rPr>
            </w:pPr>
            <w:r/>
          </w:p>
        </w:tc>
        <w:tc>
          <w:tcPr>
            <w:tcW w:w="1968" w:type="dxa"/>
            <w:vAlign w:val="top"/>
          </w:tcPr>
          <w:p>
            <w:pPr>
              <w:pStyle w:val="TableText"/>
              <w:ind w:left="569" w:right="167" w:hanging="399"/>
              <w:spacing w:before="302" w:line="234" w:lineRule="auto"/>
              <w:rPr>
                <w:sz w:val="20"/>
                <w:szCs w:val="20"/>
              </w:rPr>
            </w:pPr>
            <w:r>
              <w:rPr>
                <w:sz w:val="20"/>
                <w:szCs w:val="20"/>
              </w:rPr>
              <w:t>DAO</w:t>
            </w:r>
            <w:r>
              <w:rPr>
                <w:sz w:val="20"/>
                <w:szCs w:val="20"/>
                <w:spacing w:val="2"/>
              </w:rPr>
              <w:t>30/危废暂存间 </w:t>
            </w:r>
            <w:r>
              <w:rPr>
                <w:sz w:val="20"/>
                <w:szCs w:val="20"/>
                <w:spacing w:val="3"/>
              </w:rPr>
              <w:t>有机废气</w:t>
            </w:r>
          </w:p>
        </w:tc>
        <w:tc>
          <w:tcPr>
            <w:tcW w:w="1569" w:type="dxa"/>
            <w:vAlign w:val="top"/>
          </w:tcPr>
          <w:p>
            <w:pPr>
              <w:spacing w:line="366" w:lineRule="auto"/>
              <w:rPr>
                <w:rFonts w:ascii="Arial"/>
                <w:sz w:val="21"/>
              </w:rPr>
            </w:pPr>
            <w:r/>
          </w:p>
          <w:p>
            <w:pPr>
              <w:pStyle w:val="TableText"/>
              <w:ind w:left="272"/>
              <w:spacing w:before="65" w:line="220" w:lineRule="auto"/>
              <w:rPr>
                <w:sz w:val="20"/>
                <w:szCs w:val="20"/>
              </w:rPr>
            </w:pPr>
            <w:r>
              <w:rPr>
                <w:sz w:val="20"/>
                <w:szCs w:val="20"/>
                <w:spacing w:val="-2"/>
              </w:rPr>
              <w:t>非甲烷总烃</w:t>
            </w:r>
          </w:p>
        </w:tc>
        <w:tc>
          <w:tcPr>
            <w:tcW w:w="3397" w:type="dxa"/>
            <w:vAlign w:val="top"/>
          </w:tcPr>
          <w:p>
            <w:pPr>
              <w:spacing w:line="246" w:lineRule="auto"/>
              <w:rPr>
                <w:rFonts w:ascii="Arial"/>
                <w:sz w:val="21"/>
              </w:rPr>
            </w:pPr>
            <w:r/>
          </w:p>
          <w:p>
            <w:pPr>
              <w:pStyle w:val="TableText"/>
              <w:ind w:left="1492" w:right="285" w:hanging="1199"/>
              <w:spacing w:before="65" w:line="225" w:lineRule="auto"/>
              <w:rPr>
                <w:sz w:val="20"/>
                <w:szCs w:val="20"/>
              </w:rPr>
            </w:pPr>
            <w:r>
              <w:rPr>
                <w:sz w:val="20"/>
                <w:szCs w:val="20"/>
              </w:rPr>
              <w:t>1套活性炭吸附装置+1根15m高排</w:t>
            </w:r>
            <w:r>
              <w:rPr>
                <w:sz w:val="20"/>
                <w:szCs w:val="20"/>
                <w:spacing w:val="6"/>
              </w:rPr>
              <w:t xml:space="preserve"> </w:t>
            </w:r>
            <w:r>
              <w:rPr>
                <w:sz w:val="20"/>
                <w:szCs w:val="20"/>
                <w:spacing w:val="6"/>
              </w:rPr>
              <w:t>气筒</w:t>
            </w:r>
          </w:p>
        </w:tc>
        <w:tc>
          <w:tcPr>
            <w:tcW w:w="5241" w:type="dxa"/>
            <w:vAlign w:val="top"/>
          </w:tcPr>
          <w:p>
            <w:pPr>
              <w:pStyle w:val="TableText"/>
              <w:ind w:left="316"/>
              <w:spacing w:before="53" w:line="220" w:lineRule="auto"/>
              <w:rPr>
                <w:sz w:val="20"/>
                <w:szCs w:val="20"/>
              </w:rPr>
            </w:pPr>
            <w:r>
              <w:rPr>
                <w:sz w:val="20"/>
                <w:szCs w:val="20"/>
              </w:rPr>
              <w:t>《大气污染物综合排放标准》(GB1629</w:t>
            </w:r>
            <w:r>
              <w:rPr>
                <w:sz w:val="20"/>
                <w:szCs w:val="20"/>
                <w:spacing w:val="-1"/>
              </w:rPr>
              <w:t>7-1996)表2新</w:t>
            </w:r>
          </w:p>
          <w:p>
            <w:pPr>
              <w:pStyle w:val="TableText"/>
              <w:ind w:left="266"/>
              <w:spacing w:before="31" w:line="219" w:lineRule="auto"/>
              <w:rPr>
                <w:sz w:val="20"/>
                <w:szCs w:val="20"/>
              </w:rPr>
            </w:pPr>
            <w:r>
              <w:rPr>
                <w:sz w:val="20"/>
                <w:szCs w:val="20"/>
                <w:spacing w:val="-1"/>
              </w:rPr>
              <w:t>污染源大气污染物排放限值要求(非甲烷总烃最高排放</w:t>
            </w:r>
          </w:p>
          <w:p>
            <w:pPr>
              <w:pStyle w:val="TableText"/>
              <w:ind w:left="366"/>
              <w:spacing w:before="5" w:line="214" w:lineRule="auto"/>
              <w:rPr>
                <w:sz w:val="20"/>
                <w:szCs w:val="20"/>
              </w:rPr>
            </w:pPr>
            <w:r>
              <w:rPr>
                <w:sz w:val="20"/>
                <w:szCs w:val="20"/>
                <w:spacing w:val="4"/>
              </w:rPr>
              <w:t>浓度≤10</w:t>
            </w:r>
            <w:r>
              <w:rPr>
                <w:sz w:val="20"/>
                <w:szCs w:val="20"/>
              </w:rPr>
              <w:t>mg</w:t>
            </w:r>
            <w:r>
              <w:rPr>
                <w:sz w:val="20"/>
                <w:szCs w:val="20"/>
                <w:spacing w:val="4"/>
              </w:rPr>
              <w:t>/m³,排气筒15m,二级最高允许排放速率</w:t>
            </w:r>
          </w:p>
          <w:p>
            <w:pPr>
              <w:pStyle w:val="TableText"/>
              <w:ind w:left="2216"/>
              <w:spacing w:before="48" w:line="187" w:lineRule="auto"/>
              <w:rPr>
                <w:sz w:val="20"/>
                <w:szCs w:val="20"/>
              </w:rPr>
            </w:pPr>
            <w:r>
              <w:rPr>
                <w:sz w:val="20"/>
                <w:szCs w:val="20"/>
                <w:spacing w:val="-3"/>
              </w:rPr>
              <w:t>≤5kg/h)</w:t>
            </w:r>
          </w:p>
        </w:tc>
      </w:tr>
      <w:tr>
        <w:trPr>
          <w:trHeight w:val="1058" w:hRule="atLeast"/>
        </w:trPr>
        <w:tc>
          <w:tcPr>
            <w:tcW w:w="1814" w:type="dxa"/>
            <w:vAlign w:val="top"/>
            <w:vMerge w:val="continue"/>
            <w:tcBorders>
              <w:top w:val="nil"/>
              <w:bottom w:val="nil"/>
            </w:tcBorders>
          </w:tcPr>
          <w:p>
            <w:pPr>
              <w:rPr>
                <w:rFonts w:ascii="Arial"/>
                <w:sz w:val="21"/>
              </w:rPr>
            </w:pPr>
            <w:r/>
          </w:p>
        </w:tc>
        <w:tc>
          <w:tcPr>
            <w:tcW w:w="1968" w:type="dxa"/>
            <w:vAlign w:val="top"/>
          </w:tcPr>
          <w:p>
            <w:pPr>
              <w:spacing w:line="367" w:lineRule="auto"/>
              <w:rPr>
                <w:rFonts w:ascii="Arial"/>
                <w:sz w:val="21"/>
              </w:rPr>
            </w:pPr>
            <w:r/>
          </w:p>
          <w:p>
            <w:pPr>
              <w:pStyle w:val="TableText"/>
              <w:ind w:left="370"/>
              <w:spacing w:before="65" w:line="219" w:lineRule="auto"/>
              <w:rPr>
                <w:sz w:val="20"/>
                <w:szCs w:val="20"/>
              </w:rPr>
            </w:pPr>
            <w:r>
              <w:rPr>
                <w:sz w:val="20"/>
                <w:szCs w:val="20"/>
                <w:spacing w:val="1"/>
              </w:rPr>
              <w:t>厂区内无组织</w:t>
            </w:r>
          </w:p>
        </w:tc>
        <w:tc>
          <w:tcPr>
            <w:tcW w:w="1569" w:type="dxa"/>
            <w:vAlign w:val="top"/>
          </w:tcPr>
          <w:p>
            <w:pPr>
              <w:spacing w:line="367" w:lineRule="auto"/>
              <w:rPr>
                <w:rFonts w:ascii="Arial"/>
                <w:sz w:val="21"/>
              </w:rPr>
            </w:pPr>
            <w:r/>
          </w:p>
          <w:p>
            <w:pPr>
              <w:pStyle w:val="TableText"/>
              <w:ind w:left="272"/>
              <w:spacing w:before="65" w:line="220" w:lineRule="auto"/>
              <w:rPr>
                <w:sz w:val="20"/>
                <w:szCs w:val="20"/>
              </w:rPr>
            </w:pPr>
            <w:r>
              <w:rPr>
                <w:sz w:val="20"/>
                <w:szCs w:val="20"/>
                <w:spacing w:val="-2"/>
              </w:rPr>
              <w:t>非甲烷总烃</w:t>
            </w:r>
          </w:p>
        </w:tc>
        <w:tc>
          <w:tcPr>
            <w:tcW w:w="3397" w:type="dxa"/>
            <w:vAlign w:val="top"/>
          </w:tcPr>
          <w:p>
            <w:pPr>
              <w:spacing w:line="372" w:lineRule="auto"/>
              <w:rPr>
                <w:rFonts w:ascii="Arial"/>
                <w:sz w:val="21"/>
              </w:rPr>
            </w:pPr>
            <w:r/>
          </w:p>
          <w:p>
            <w:pPr>
              <w:pStyle w:val="TableText"/>
              <w:ind w:left="1643"/>
              <w:spacing w:before="65" w:line="224" w:lineRule="auto"/>
              <w:rPr>
                <w:sz w:val="20"/>
                <w:szCs w:val="20"/>
              </w:rPr>
            </w:pPr>
            <w:r>
              <w:rPr>
                <w:sz w:val="20"/>
                <w:szCs w:val="20"/>
              </w:rPr>
              <w:t>/</w:t>
            </w:r>
          </w:p>
        </w:tc>
        <w:tc>
          <w:tcPr>
            <w:tcW w:w="5241" w:type="dxa"/>
            <w:vAlign w:val="top"/>
          </w:tcPr>
          <w:p>
            <w:pPr>
              <w:pStyle w:val="TableText"/>
              <w:ind w:left="166"/>
              <w:spacing w:before="32" w:line="219" w:lineRule="auto"/>
              <w:rPr>
                <w:sz w:val="20"/>
                <w:szCs w:val="20"/>
              </w:rPr>
            </w:pPr>
            <w:r>
              <w:rPr>
                <w:sz w:val="20"/>
                <w:szCs w:val="20"/>
                <w:spacing w:val="1"/>
              </w:rPr>
              <w:t>《挥发性有机物无组织排放控制标准》(</w:t>
            </w:r>
            <w:r>
              <w:rPr>
                <w:sz w:val="20"/>
                <w:szCs w:val="20"/>
              </w:rPr>
              <w:t>GB</w:t>
            </w:r>
            <w:r>
              <w:rPr>
                <w:sz w:val="20"/>
                <w:szCs w:val="20"/>
                <w:spacing w:val="1"/>
              </w:rPr>
              <w:t>37822-2019)</w:t>
            </w:r>
          </w:p>
          <w:p>
            <w:pPr>
              <w:pStyle w:val="TableText"/>
              <w:ind w:left="316"/>
              <w:spacing w:before="42" w:line="219" w:lineRule="auto"/>
              <w:rPr>
                <w:sz w:val="20"/>
                <w:szCs w:val="20"/>
              </w:rPr>
            </w:pPr>
            <w:r>
              <w:rPr>
                <w:sz w:val="20"/>
                <w:szCs w:val="20"/>
              </w:rPr>
              <w:t>附录A表A.1中排放限值要求：非甲烷总烃厂区内监控</w:t>
            </w:r>
          </w:p>
          <w:p>
            <w:pPr>
              <w:pStyle w:val="TableText"/>
              <w:ind w:left="366"/>
              <w:spacing w:before="37" w:line="214" w:lineRule="auto"/>
              <w:rPr>
                <w:sz w:val="20"/>
                <w:szCs w:val="20"/>
              </w:rPr>
            </w:pPr>
            <w:r>
              <w:rPr>
                <w:sz w:val="20"/>
                <w:szCs w:val="20"/>
                <w:spacing w:val="6"/>
              </w:rPr>
              <w:t>点1h平均浓度值、任意一次浓度值分别≤10</w:t>
            </w:r>
            <w:r>
              <w:rPr>
                <w:sz w:val="20"/>
                <w:szCs w:val="20"/>
              </w:rPr>
              <w:t>mg</w:t>
            </w:r>
            <w:r>
              <w:rPr>
                <w:sz w:val="20"/>
                <w:szCs w:val="20"/>
                <w:spacing w:val="6"/>
              </w:rPr>
              <w:t>/m³,</w:t>
            </w:r>
          </w:p>
          <w:p>
            <w:pPr>
              <w:pStyle w:val="TableText"/>
              <w:ind w:left="2216"/>
              <w:spacing w:before="28" w:line="185" w:lineRule="auto"/>
              <w:rPr>
                <w:sz w:val="20"/>
                <w:szCs w:val="20"/>
              </w:rPr>
            </w:pPr>
            <w:r>
              <w:rPr>
                <w:sz w:val="20"/>
                <w:szCs w:val="20"/>
                <w:spacing w:val="-2"/>
              </w:rPr>
              <w:t>30mg/m³</w:t>
            </w:r>
          </w:p>
        </w:tc>
      </w:tr>
      <w:tr>
        <w:trPr>
          <w:trHeight w:val="2432" w:hRule="atLeast"/>
        </w:trPr>
        <w:tc>
          <w:tcPr>
            <w:tcW w:w="1814" w:type="dxa"/>
            <w:vAlign w:val="top"/>
            <w:vMerge w:val="continue"/>
            <w:tcBorders>
              <w:top w:val="nil"/>
            </w:tcBorders>
          </w:tcPr>
          <w:p>
            <w:pPr>
              <w:rPr>
                <w:rFonts w:ascii="Arial"/>
                <w:sz w:val="21"/>
              </w:rPr>
            </w:pPr>
            <w:r/>
          </w:p>
        </w:tc>
        <w:tc>
          <w:tcPr>
            <w:tcW w:w="1968" w:type="dxa"/>
            <w:vAlign w:val="top"/>
          </w:tcPr>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370"/>
              <w:spacing w:before="65" w:line="220" w:lineRule="auto"/>
              <w:rPr>
                <w:sz w:val="20"/>
                <w:szCs w:val="20"/>
              </w:rPr>
            </w:pPr>
            <w:r>
              <w:rPr>
                <w:sz w:val="20"/>
                <w:szCs w:val="20"/>
                <w:spacing w:val="1"/>
              </w:rPr>
              <w:t>厂界外无组织</w:t>
            </w:r>
          </w:p>
        </w:tc>
        <w:tc>
          <w:tcPr>
            <w:tcW w:w="1569" w:type="dxa"/>
            <w:vAlign w:val="top"/>
          </w:tcPr>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pStyle w:val="TableText"/>
              <w:ind w:left="72" w:right="62" w:firstLine="100"/>
              <w:spacing w:before="65" w:line="236" w:lineRule="auto"/>
              <w:jc w:val="both"/>
              <w:rPr>
                <w:sz w:val="20"/>
                <w:szCs w:val="20"/>
              </w:rPr>
            </w:pPr>
            <w:r>
              <w:rPr>
                <w:sz w:val="20"/>
                <w:szCs w:val="20"/>
                <w:spacing w:val="16"/>
              </w:rPr>
              <w:t>非甲烷总烃、</w:t>
            </w:r>
            <w:r>
              <w:rPr>
                <w:sz w:val="20"/>
                <w:szCs w:val="20"/>
                <w:spacing w:val="3"/>
              </w:rPr>
              <w:t xml:space="preserve"> </w:t>
            </w:r>
            <w:r>
              <w:rPr>
                <w:sz w:val="20"/>
                <w:szCs w:val="20"/>
                <w:spacing w:val="19"/>
              </w:rPr>
              <w:t>颗粒物、H</w:t>
            </w:r>
            <w:r>
              <w:rPr>
                <w:rFonts w:ascii="Calibri" w:hAnsi="Calibri" w:eastAsia="Calibri" w:cs="Calibri"/>
                <w:sz w:val="20"/>
                <w:szCs w:val="20"/>
                <w:spacing w:val="19"/>
              </w:rPr>
              <w:t>₂</w:t>
            </w:r>
            <w:r>
              <w:rPr>
                <w:sz w:val="20"/>
                <w:szCs w:val="20"/>
                <w:spacing w:val="19"/>
              </w:rPr>
              <w:t>S、</w:t>
            </w:r>
            <w:r>
              <w:rPr>
                <w:sz w:val="20"/>
                <w:szCs w:val="20"/>
                <w:spacing w:val="3"/>
              </w:rPr>
              <w:t xml:space="preserve"> </w:t>
            </w:r>
            <w:r>
              <w:rPr>
                <w:sz w:val="20"/>
                <w:szCs w:val="20"/>
              </w:rPr>
              <w:t>NH</w:t>
            </w:r>
            <w:r>
              <w:rPr>
                <w:rFonts w:ascii="Calibri" w:hAnsi="Calibri" w:eastAsia="Calibri" w:cs="Calibri"/>
                <w:sz w:val="20"/>
                <w:szCs w:val="20"/>
                <w:spacing w:val="11"/>
              </w:rPr>
              <w:t>₃</w:t>
            </w:r>
            <w:r>
              <w:rPr>
                <w:rFonts w:ascii="Calibri" w:hAnsi="Calibri" w:eastAsia="Calibri" w:cs="Calibri"/>
                <w:sz w:val="20"/>
                <w:szCs w:val="20"/>
                <w:spacing w:val="-21"/>
              </w:rPr>
              <w:t xml:space="preserve"> </w:t>
            </w:r>
            <w:r>
              <w:rPr>
                <w:sz w:val="20"/>
                <w:szCs w:val="20"/>
                <w:spacing w:val="11"/>
              </w:rPr>
              <w:t>、臭气浓度</w:t>
            </w:r>
          </w:p>
        </w:tc>
        <w:tc>
          <w:tcPr>
            <w:tcW w:w="3397" w:type="dxa"/>
            <w:vAlign w:val="top"/>
          </w:tcPr>
          <w:p>
            <w:pPr>
              <w:rPr>
                <w:rFonts w:ascii="Arial"/>
                <w:sz w:val="21"/>
              </w:rPr>
            </w:pPr>
            <w:r/>
          </w:p>
        </w:tc>
        <w:tc>
          <w:tcPr>
            <w:tcW w:w="5241" w:type="dxa"/>
            <w:vAlign w:val="top"/>
          </w:tcPr>
          <w:p>
            <w:pPr>
              <w:pStyle w:val="TableText"/>
              <w:ind w:left="156" w:right="221" w:firstLine="60"/>
              <w:spacing w:before="46" w:line="235" w:lineRule="auto"/>
              <w:rPr>
                <w:sz w:val="20"/>
                <w:szCs w:val="20"/>
              </w:rPr>
            </w:pPr>
            <w:r>
              <w:rPr>
                <w:sz w:val="20"/>
                <w:szCs w:val="20"/>
                <w:spacing w:val="-1"/>
              </w:rPr>
              <w:t>颗粒物、非甲烷总烃企业边界监控点浓度执行《电池工</w:t>
            </w:r>
            <w:r>
              <w:rPr>
                <w:sz w:val="20"/>
                <w:szCs w:val="20"/>
                <w:spacing w:val="15"/>
              </w:rPr>
              <w:t xml:space="preserve"> </w:t>
            </w:r>
            <w:r>
              <w:rPr>
                <w:sz w:val="20"/>
                <w:szCs w:val="20"/>
              </w:rPr>
              <w:t>业污染物排放标准》(GB30484-2013</w:t>
            </w:r>
            <w:r>
              <w:rPr>
                <w:sz w:val="20"/>
                <w:szCs w:val="20"/>
                <w:spacing w:val="-1"/>
              </w:rPr>
              <w:t>)表6中的浓度限</w:t>
            </w:r>
          </w:p>
          <w:p>
            <w:pPr>
              <w:pStyle w:val="TableText"/>
              <w:ind w:left="216" w:right="52" w:hanging="100"/>
              <w:spacing w:before="15" w:line="231" w:lineRule="auto"/>
              <w:rPr>
                <w:sz w:val="20"/>
                <w:szCs w:val="20"/>
              </w:rPr>
            </w:pPr>
            <w:r>
              <w:rPr>
                <w:sz w:val="20"/>
                <w:szCs w:val="20"/>
                <w:spacing w:val="6"/>
              </w:rPr>
              <w:t>值：即非甲烷总烃无组织最高允许排放浓度≤2.0</w:t>
            </w:r>
            <w:r>
              <w:rPr>
                <w:sz w:val="20"/>
                <w:szCs w:val="20"/>
              </w:rPr>
              <w:t>mg</w:t>
            </w:r>
            <w:r>
              <w:rPr>
                <w:sz w:val="20"/>
                <w:szCs w:val="20"/>
                <w:spacing w:val="6"/>
              </w:rPr>
              <w:t>/m</w:t>
            </w:r>
            <w:r>
              <w:rPr>
                <w:sz w:val="20"/>
                <w:szCs w:val="20"/>
                <w:spacing w:val="5"/>
              </w:rPr>
              <w:t>³,</w:t>
            </w:r>
            <w:r>
              <w:rPr>
                <w:sz w:val="20"/>
                <w:szCs w:val="20"/>
              </w:rPr>
              <w:t xml:space="preserve"> </w:t>
            </w:r>
            <w:r>
              <w:rPr>
                <w:sz w:val="20"/>
                <w:szCs w:val="20"/>
                <w:spacing w:val="4"/>
              </w:rPr>
              <w:t>颗粒物无组织最高允许排放浓度≤0.3</w:t>
            </w:r>
            <w:r>
              <w:rPr>
                <w:sz w:val="20"/>
                <w:szCs w:val="20"/>
              </w:rPr>
              <w:t>mg</w:t>
            </w:r>
            <w:r>
              <w:rPr>
                <w:sz w:val="20"/>
                <w:szCs w:val="20"/>
                <w:spacing w:val="4"/>
              </w:rPr>
              <w:t>/m³;氨、硫化</w:t>
            </w:r>
          </w:p>
          <w:p>
            <w:pPr>
              <w:pStyle w:val="TableText"/>
              <w:ind w:left="235" w:right="468" w:hanging="89"/>
              <w:spacing w:before="75" w:line="232" w:lineRule="auto"/>
              <w:rPr>
                <w:sz w:val="20"/>
                <w:szCs w:val="20"/>
              </w:rPr>
            </w:pPr>
            <w:r>
              <w:rPr>
                <w:sz w:val="20"/>
                <w:szCs w:val="20"/>
              </w:rPr>
              <w:t>氢执行《恶臭污染物排放标准》(GB14554-1993)中的</w:t>
            </w:r>
            <w:r>
              <w:rPr>
                <w:sz w:val="20"/>
                <w:szCs w:val="20"/>
                <w:spacing w:val="14"/>
              </w:rPr>
              <w:t xml:space="preserve"> </w:t>
            </w:r>
            <w:r>
              <w:rPr>
                <w:sz w:val="20"/>
                <w:szCs w:val="20"/>
                <w:spacing w:val="-1"/>
              </w:rPr>
              <w:t>表1中标准要求，即氨厂界无组织最高允许排放浓度</w:t>
            </w:r>
          </w:p>
          <w:p>
            <w:pPr>
              <w:pStyle w:val="TableText"/>
              <w:ind w:left="416"/>
              <w:spacing w:line="213" w:lineRule="auto"/>
              <w:rPr>
                <w:sz w:val="20"/>
                <w:szCs w:val="20"/>
              </w:rPr>
            </w:pPr>
            <w:r>
              <w:rPr>
                <w:sz w:val="20"/>
                <w:szCs w:val="20"/>
                <w:spacing w:val="4"/>
              </w:rPr>
              <w:t>≤1.5</w:t>
            </w:r>
            <w:r>
              <w:rPr>
                <w:sz w:val="20"/>
                <w:szCs w:val="20"/>
              </w:rPr>
              <w:t>mg</w:t>
            </w:r>
            <w:r>
              <w:rPr>
                <w:sz w:val="20"/>
                <w:szCs w:val="20"/>
                <w:spacing w:val="4"/>
              </w:rPr>
              <w:t>/m³,硫化氢厂界无组织最高允许排放浓度</w:t>
            </w:r>
          </w:p>
          <w:p>
            <w:pPr>
              <w:pStyle w:val="TableText"/>
              <w:ind w:left="266"/>
              <w:spacing w:before="48" w:line="214" w:lineRule="auto"/>
              <w:rPr>
                <w:sz w:val="20"/>
                <w:szCs w:val="20"/>
              </w:rPr>
            </w:pPr>
            <w:r>
              <w:rPr>
                <w:sz w:val="20"/>
                <w:szCs w:val="20"/>
                <w:spacing w:val="4"/>
              </w:rPr>
              <w:t>≤0.06</w:t>
            </w:r>
            <w:r>
              <w:rPr>
                <w:sz w:val="20"/>
                <w:szCs w:val="20"/>
              </w:rPr>
              <w:t>mg</w:t>
            </w:r>
            <w:r>
              <w:rPr>
                <w:sz w:val="20"/>
                <w:szCs w:val="20"/>
                <w:spacing w:val="4"/>
              </w:rPr>
              <w:t>/m³,臭气浓度厂界无组织最高允许排放浓度</w:t>
            </w:r>
          </w:p>
          <w:p>
            <w:pPr>
              <w:pStyle w:val="TableText"/>
              <w:ind w:left="2016"/>
              <w:spacing w:before="45" w:line="199" w:lineRule="auto"/>
              <w:rPr>
                <w:sz w:val="20"/>
                <w:szCs w:val="20"/>
              </w:rPr>
            </w:pPr>
            <w:r>
              <w:rPr>
                <w:sz w:val="20"/>
                <w:szCs w:val="20"/>
                <w:spacing w:val="1"/>
              </w:rPr>
              <w:t>(无量纲)≤20</w:t>
            </w:r>
          </w:p>
        </w:tc>
      </w:tr>
    </w:tbl>
    <w:p>
      <w:pPr>
        <w:rPr>
          <w:rFonts w:ascii="Arial"/>
          <w:sz w:val="21"/>
        </w:rPr>
      </w:pPr>
      <w:r/>
    </w:p>
    <w:p>
      <w:pPr>
        <w:sectPr>
          <w:footerReference w:type="default" r:id="rId155"/>
          <w:pgSz w:w="16840" w:h="11900"/>
          <w:pgMar w:top="1011" w:right="1444" w:bottom="978" w:left="1395" w:header="0" w:footer="839" w:gutter="0"/>
        </w:sectPr>
        <w:rPr>
          <w:rFonts w:ascii="Arial" w:hAnsi="Arial" w:eastAsia="Arial" w:cs="Arial"/>
          <w:sz w:val="21"/>
          <w:szCs w:val="21"/>
        </w:rPr>
      </w:pPr>
    </w:p>
    <w:p>
      <w:pPr>
        <w:spacing w:before="15"/>
        <w:rPr/>
      </w:pPr>
      <w:r/>
    </w:p>
    <w:p>
      <w:pPr>
        <w:spacing w:before="15"/>
        <w:rPr/>
      </w:pPr>
      <w:r/>
    </w:p>
    <w:tbl>
      <w:tblPr>
        <w:tblStyle w:val="TableNormal"/>
        <w:tblW w:w="139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84"/>
        <w:gridCol w:w="1988"/>
        <w:gridCol w:w="1559"/>
        <w:gridCol w:w="3418"/>
        <w:gridCol w:w="5231"/>
      </w:tblGrid>
      <w:tr>
        <w:trPr>
          <w:trHeight w:val="1084" w:hRule="atLeast"/>
        </w:trPr>
        <w:tc>
          <w:tcPr>
            <w:tcW w:w="1784" w:type="dxa"/>
            <w:vAlign w:val="top"/>
            <w:vMerge w:val="restart"/>
            <w:tcBorders>
              <w:bottom w:val="nil"/>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355"/>
              <w:spacing w:before="68" w:line="219" w:lineRule="auto"/>
              <w:rPr>
                <w:sz w:val="21"/>
                <w:szCs w:val="21"/>
              </w:rPr>
            </w:pPr>
            <w:r>
              <w:rPr>
                <w:sz w:val="21"/>
                <w:szCs w:val="21"/>
                <w:spacing w:val="-2"/>
              </w:rPr>
              <w:t>地表水环境</w:t>
            </w:r>
          </w:p>
        </w:tc>
        <w:tc>
          <w:tcPr>
            <w:tcW w:w="1988" w:type="dxa"/>
            <w:vAlign w:val="top"/>
          </w:tcPr>
          <w:p>
            <w:pPr>
              <w:spacing w:line="253" w:lineRule="auto"/>
              <w:rPr>
                <w:rFonts w:ascii="Arial"/>
                <w:sz w:val="21"/>
              </w:rPr>
            </w:pPr>
            <w:r/>
          </w:p>
          <w:p>
            <w:pPr>
              <w:pStyle w:val="TableText"/>
              <w:ind w:left="770" w:right="261" w:hanging="520"/>
              <w:spacing w:before="68" w:line="233" w:lineRule="auto"/>
              <w:rPr>
                <w:sz w:val="21"/>
                <w:szCs w:val="21"/>
              </w:rPr>
            </w:pPr>
            <w:r>
              <w:rPr>
                <w:sz w:val="21"/>
                <w:szCs w:val="21"/>
                <w:spacing w:val="-1"/>
              </w:rPr>
              <w:t>DW001/阴极生产</w:t>
            </w:r>
            <w:r>
              <w:rPr>
                <w:sz w:val="21"/>
                <w:szCs w:val="21"/>
                <w:spacing w:val="4"/>
              </w:rPr>
              <w:t xml:space="preserve"> </w:t>
            </w:r>
            <w:r>
              <w:rPr>
                <w:sz w:val="21"/>
                <w:szCs w:val="21"/>
                <w:spacing w:val="-2"/>
              </w:rPr>
              <w:t>废水</w:t>
            </w:r>
          </w:p>
        </w:tc>
        <w:tc>
          <w:tcPr>
            <w:tcW w:w="1559" w:type="dxa"/>
            <w:vAlign w:val="top"/>
          </w:tcPr>
          <w:p>
            <w:pPr>
              <w:spacing w:line="373" w:lineRule="auto"/>
              <w:rPr>
                <w:rFonts w:ascii="Arial"/>
                <w:sz w:val="21"/>
              </w:rPr>
            </w:pPr>
            <w:r/>
          </w:p>
          <w:p>
            <w:pPr>
              <w:pStyle w:val="TableText"/>
              <w:ind w:left="243"/>
              <w:spacing w:before="68" w:line="220" w:lineRule="auto"/>
              <w:rPr>
                <w:sz w:val="21"/>
                <w:szCs w:val="21"/>
              </w:rPr>
            </w:pPr>
            <w:r>
              <w:rPr>
                <w:sz w:val="21"/>
                <w:szCs w:val="21"/>
                <w:spacing w:val="1"/>
              </w:rPr>
              <w:t>总镍、总钴</w:t>
            </w:r>
          </w:p>
        </w:tc>
        <w:tc>
          <w:tcPr>
            <w:tcW w:w="3418" w:type="dxa"/>
            <w:vAlign w:val="top"/>
          </w:tcPr>
          <w:p>
            <w:pPr>
              <w:pStyle w:val="TableText"/>
              <w:ind w:left="124"/>
              <w:spacing w:before="43" w:line="219" w:lineRule="auto"/>
              <w:rPr>
                <w:sz w:val="21"/>
                <w:szCs w:val="21"/>
              </w:rPr>
            </w:pPr>
            <w:r>
              <w:rPr>
                <w:sz w:val="21"/>
                <w:szCs w:val="21"/>
                <w:spacing w:val="2"/>
              </w:rPr>
              <w:t>阴极生产废水→车间三级沉淀池→</w:t>
            </w:r>
          </w:p>
          <w:p>
            <w:pPr>
              <w:pStyle w:val="TableText"/>
              <w:ind w:left="174"/>
              <w:spacing w:before="29" w:line="219" w:lineRule="auto"/>
              <w:rPr>
                <w:sz w:val="21"/>
                <w:szCs w:val="21"/>
              </w:rPr>
            </w:pPr>
            <w:r>
              <w:rPr>
                <w:sz w:val="21"/>
                <w:szCs w:val="21"/>
                <w:spacing w:val="3"/>
              </w:rPr>
              <w:t>预处理系统(芬顿氧化+混凝沉淀)</w:t>
            </w:r>
          </w:p>
          <w:p>
            <w:pPr>
              <w:pStyle w:val="TableText"/>
              <w:ind w:left="284"/>
              <w:spacing w:before="28" w:line="214" w:lineRule="auto"/>
              <w:rPr>
                <w:sz w:val="21"/>
                <w:szCs w:val="21"/>
              </w:rPr>
            </w:pPr>
            <w:r>
              <w:rPr>
                <w:sz w:val="21"/>
                <w:szCs w:val="21"/>
                <w:spacing w:val="4"/>
              </w:rPr>
              <w:t>→生化处理系统(</w:t>
            </w:r>
            <w:r>
              <w:rPr>
                <w:sz w:val="21"/>
                <w:szCs w:val="21"/>
              </w:rPr>
              <w:t>ABR</w:t>
            </w:r>
            <w:r>
              <w:rPr>
                <w:sz w:val="21"/>
                <w:szCs w:val="21"/>
                <w:spacing w:val="4"/>
              </w:rPr>
              <w:t>+两级</w:t>
            </w:r>
            <w:r>
              <w:rPr>
                <w:sz w:val="21"/>
                <w:szCs w:val="21"/>
              </w:rPr>
              <w:t>AO</w:t>
            </w:r>
            <w:r>
              <w:rPr>
                <w:sz w:val="21"/>
                <w:szCs w:val="21"/>
                <w:spacing w:val="4"/>
              </w:rPr>
              <w:t>),</w:t>
            </w:r>
          </w:p>
          <w:p>
            <w:pPr>
              <w:pStyle w:val="TableText"/>
              <w:ind w:left="863"/>
              <w:spacing w:line="202" w:lineRule="auto"/>
              <w:rPr>
                <w:sz w:val="21"/>
                <w:szCs w:val="21"/>
              </w:rPr>
            </w:pPr>
            <w:r>
              <w:rPr>
                <w:sz w:val="21"/>
                <w:szCs w:val="21"/>
                <w:spacing w:val="-2"/>
              </w:rPr>
              <w:t>处理规模为100t/d</w:t>
            </w:r>
          </w:p>
        </w:tc>
        <w:tc>
          <w:tcPr>
            <w:tcW w:w="5231" w:type="dxa"/>
            <w:vAlign w:val="top"/>
          </w:tcPr>
          <w:p>
            <w:pPr>
              <w:pStyle w:val="TableText"/>
              <w:ind w:left="196"/>
              <w:spacing w:before="173" w:line="219" w:lineRule="auto"/>
              <w:rPr>
                <w:sz w:val="21"/>
                <w:szCs w:val="21"/>
              </w:rPr>
            </w:pPr>
            <w:r>
              <w:rPr>
                <w:sz w:val="21"/>
                <w:szCs w:val="21"/>
              </w:rPr>
              <w:t>符合《电池工业污染物排放标准》(GB3</w:t>
            </w:r>
            <w:r>
              <w:rPr>
                <w:sz w:val="21"/>
                <w:szCs w:val="21"/>
                <w:spacing w:val="-1"/>
              </w:rPr>
              <w:t>0484-2013)表</w:t>
            </w:r>
          </w:p>
          <w:p>
            <w:pPr>
              <w:pStyle w:val="TableText"/>
              <w:ind w:left="876"/>
              <w:spacing w:before="40" w:line="219" w:lineRule="auto"/>
              <w:rPr>
                <w:sz w:val="21"/>
                <w:szCs w:val="21"/>
              </w:rPr>
            </w:pPr>
            <w:r>
              <w:rPr>
                <w:sz w:val="21"/>
                <w:szCs w:val="21"/>
                <w:spacing w:val="-1"/>
              </w:rPr>
              <w:t>3中新建企业污染物排放标准限值要求</w:t>
            </w:r>
          </w:p>
          <w:p>
            <w:pPr>
              <w:pStyle w:val="TableText"/>
              <w:ind w:left="975"/>
              <w:spacing w:before="13" w:line="214" w:lineRule="auto"/>
              <w:rPr>
                <w:sz w:val="21"/>
                <w:szCs w:val="21"/>
              </w:rPr>
            </w:pPr>
            <w:r>
              <w:rPr>
                <w:sz w:val="21"/>
                <w:szCs w:val="21"/>
                <w:spacing w:val="2"/>
              </w:rPr>
              <w:t>(总钴≤0.1</w:t>
            </w:r>
            <w:r>
              <w:rPr>
                <w:sz w:val="21"/>
                <w:szCs w:val="21"/>
              </w:rPr>
              <w:t>mg</w:t>
            </w:r>
            <w:r>
              <w:rPr>
                <w:sz w:val="21"/>
                <w:szCs w:val="21"/>
                <w:spacing w:val="2"/>
              </w:rPr>
              <w:t>/L、总镍≤0.05</w:t>
            </w:r>
            <w:r>
              <w:rPr>
                <w:sz w:val="21"/>
                <w:szCs w:val="21"/>
              </w:rPr>
              <w:t>mg</w:t>
            </w:r>
            <w:r>
              <w:rPr>
                <w:sz w:val="21"/>
                <w:szCs w:val="21"/>
                <w:spacing w:val="2"/>
              </w:rPr>
              <w:t>/L)</w:t>
            </w:r>
          </w:p>
        </w:tc>
      </w:tr>
      <w:tr>
        <w:trPr>
          <w:trHeight w:val="4554" w:hRule="atLeast"/>
        </w:trPr>
        <w:tc>
          <w:tcPr>
            <w:tcW w:w="1784" w:type="dxa"/>
            <w:vAlign w:val="top"/>
            <w:vMerge w:val="continue"/>
            <w:tcBorders>
              <w:top w:val="nil"/>
              <w:bottom w:val="nil"/>
            </w:tcBorders>
          </w:tcPr>
          <w:p>
            <w:pPr>
              <w:rPr>
                <w:rFonts w:ascii="Arial"/>
                <w:sz w:val="21"/>
              </w:rPr>
            </w:pPr>
            <w:r/>
          </w:p>
        </w:tc>
        <w:tc>
          <w:tcPr>
            <w:tcW w:w="1988" w:type="dxa"/>
            <w:vAlign w:val="top"/>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250"/>
              <w:spacing w:before="68" w:line="219" w:lineRule="auto"/>
              <w:rPr>
                <w:sz w:val="21"/>
                <w:szCs w:val="21"/>
              </w:rPr>
            </w:pPr>
            <w:r>
              <w:rPr>
                <w:sz w:val="21"/>
                <w:szCs w:val="21"/>
                <w:spacing w:val="-1"/>
              </w:rPr>
              <w:t>DW003/生产废水</w:t>
            </w:r>
          </w:p>
        </w:tc>
        <w:tc>
          <w:tcPr>
            <w:tcW w:w="1559"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243"/>
              <w:spacing w:before="68" w:line="214" w:lineRule="auto"/>
              <w:rPr>
                <w:sz w:val="21"/>
                <w:szCs w:val="21"/>
              </w:rPr>
            </w:pPr>
            <w:r>
              <w:rPr>
                <w:sz w:val="21"/>
                <w:szCs w:val="21"/>
                <w:spacing w:val="-1"/>
              </w:rPr>
              <w:t>pH、悬浮物</w:t>
            </w:r>
          </w:p>
          <w:p>
            <w:pPr>
              <w:pStyle w:val="TableText"/>
              <w:ind w:left="193"/>
              <w:spacing w:before="50" w:line="219" w:lineRule="auto"/>
              <w:rPr>
                <w:sz w:val="21"/>
                <w:szCs w:val="21"/>
              </w:rPr>
            </w:pPr>
            <w:r>
              <w:rPr>
                <w:sz w:val="21"/>
                <w:szCs w:val="21"/>
                <w:spacing w:val="24"/>
              </w:rPr>
              <w:t>氨氮、</w:t>
            </w:r>
            <w:r>
              <w:rPr>
                <w:sz w:val="21"/>
                <w:szCs w:val="21"/>
              </w:rPr>
              <w:t>COD</w:t>
            </w:r>
            <w:r>
              <w:rPr>
                <w:sz w:val="21"/>
                <w:szCs w:val="21"/>
                <w:spacing w:val="24"/>
              </w:rPr>
              <w:t>、</w:t>
            </w:r>
          </w:p>
          <w:p>
            <w:pPr>
              <w:pStyle w:val="TableText"/>
              <w:ind w:left="563"/>
              <w:spacing w:before="19" w:line="226" w:lineRule="auto"/>
              <w:rPr>
                <w:sz w:val="21"/>
                <w:szCs w:val="21"/>
              </w:rPr>
            </w:pPr>
            <w:r>
              <w:rPr>
                <w:sz w:val="21"/>
                <w:szCs w:val="21"/>
                <w:spacing w:val="3"/>
              </w:rPr>
              <w:t>总锰</w:t>
            </w:r>
          </w:p>
        </w:tc>
        <w:tc>
          <w:tcPr>
            <w:tcW w:w="3418" w:type="dxa"/>
            <w:vAlign w:val="top"/>
          </w:tcPr>
          <w:p>
            <w:pPr>
              <w:pStyle w:val="TableText"/>
              <w:ind w:left="174" w:right="116" w:hanging="50"/>
              <w:spacing w:before="70" w:line="223" w:lineRule="auto"/>
              <w:rPr>
                <w:sz w:val="21"/>
                <w:szCs w:val="21"/>
              </w:rPr>
            </w:pPr>
            <w:r>
              <w:rPr>
                <w:sz w:val="21"/>
                <w:szCs w:val="21"/>
                <w:spacing w:val="1"/>
              </w:rPr>
              <w:t>阴极生产废水→车间三级沉淀池→ </w:t>
            </w:r>
            <w:r>
              <w:rPr>
                <w:sz w:val="21"/>
                <w:szCs w:val="21"/>
                <w:spacing w:val="3"/>
              </w:rPr>
              <w:t>预处理系统(芬顿氧化+混凝沉淀)</w:t>
            </w:r>
          </w:p>
          <w:p>
            <w:pPr>
              <w:pStyle w:val="TableText"/>
              <w:ind w:left="863" w:right="368" w:hanging="719"/>
              <w:spacing w:before="29" w:line="234" w:lineRule="auto"/>
              <w:rPr>
                <w:sz w:val="21"/>
                <w:szCs w:val="21"/>
              </w:rPr>
            </w:pPr>
            <w:r>
              <w:rPr>
                <w:sz w:val="21"/>
                <w:szCs w:val="21"/>
                <w:spacing w:val="4"/>
              </w:rPr>
              <w:t>→生化处理系统(</w:t>
            </w:r>
            <w:r>
              <w:rPr>
                <w:sz w:val="21"/>
                <w:szCs w:val="21"/>
              </w:rPr>
              <w:t>ABR</w:t>
            </w:r>
            <w:r>
              <w:rPr>
                <w:sz w:val="21"/>
                <w:szCs w:val="21"/>
                <w:spacing w:val="4"/>
              </w:rPr>
              <w:t>+两级</w:t>
            </w:r>
            <w:r>
              <w:rPr>
                <w:sz w:val="21"/>
                <w:szCs w:val="21"/>
              </w:rPr>
              <w:t>AO</w:t>
            </w:r>
            <w:r>
              <w:rPr>
                <w:sz w:val="21"/>
                <w:szCs w:val="21"/>
                <w:spacing w:val="4"/>
              </w:rPr>
              <w:t>),</w:t>
            </w:r>
            <w:r>
              <w:rPr>
                <w:sz w:val="21"/>
                <w:szCs w:val="21"/>
                <w:spacing w:val="6"/>
              </w:rPr>
              <w:t xml:space="preserve"> </w:t>
            </w:r>
            <w:r>
              <w:rPr>
                <w:sz w:val="21"/>
                <w:szCs w:val="21"/>
                <w:spacing w:val="-2"/>
              </w:rPr>
              <w:t>处理规模为100t/d</w:t>
            </w:r>
          </w:p>
          <w:p>
            <w:pPr>
              <w:spacing w:line="410" w:lineRule="auto"/>
              <w:rPr>
                <w:rFonts w:ascii="Arial"/>
                <w:sz w:val="21"/>
              </w:rPr>
            </w:pPr>
            <w:r/>
          </w:p>
          <w:p>
            <w:pPr>
              <w:pStyle w:val="TableText"/>
              <w:ind w:left="124"/>
              <w:spacing w:before="68" w:line="219" w:lineRule="auto"/>
              <w:rPr>
                <w:sz w:val="21"/>
                <w:szCs w:val="21"/>
              </w:rPr>
            </w:pPr>
            <w:r>
              <w:rPr>
                <w:sz w:val="21"/>
                <w:szCs w:val="21"/>
                <w:spacing w:val="2"/>
              </w:rPr>
              <w:t>阳极生产废水→车间三级沉淀池→</w:t>
            </w:r>
          </w:p>
          <w:p>
            <w:pPr>
              <w:pStyle w:val="TableText"/>
              <w:ind w:left="233"/>
              <w:spacing w:before="41" w:line="220" w:lineRule="auto"/>
              <w:rPr>
                <w:sz w:val="21"/>
                <w:szCs w:val="21"/>
              </w:rPr>
            </w:pPr>
            <w:r>
              <w:rPr>
                <w:sz w:val="21"/>
                <w:szCs w:val="21"/>
                <w:spacing w:val="-1"/>
              </w:rPr>
              <w:t>预处理系统(混凝沉淀)→生化处</w:t>
            </w:r>
          </w:p>
          <w:p>
            <w:pPr>
              <w:pStyle w:val="TableText"/>
              <w:ind w:left="1223" w:right="354" w:hanging="1099"/>
              <w:spacing w:before="25" w:line="227" w:lineRule="auto"/>
              <w:rPr>
                <w:sz w:val="21"/>
                <w:szCs w:val="21"/>
              </w:rPr>
            </w:pPr>
            <w:r>
              <w:rPr>
                <w:sz w:val="21"/>
                <w:szCs w:val="21"/>
                <w:spacing w:val="-1"/>
              </w:rPr>
              <w:t>理系统(A2/O+二沉池),处理规模</w:t>
            </w:r>
            <w:r>
              <w:rPr>
                <w:sz w:val="21"/>
                <w:szCs w:val="21"/>
                <w:spacing w:val="6"/>
              </w:rPr>
              <w:t xml:space="preserve"> </w:t>
            </w:r>
            <w:r>
              <w:rPr>
                <w:sz w:val="21"/>
                <w:szCs w:val="21"/>
                <w:spacing w:val="6"/>
              </w:rPr>
              <w:t>为110t/d)</w:t>
            </w:r>
          </w:p>
          <w:p>
            <w:pPr>
              <w:pStyle w:val="TableText"/>
              <w:ind w:left="124"/>
              <w:spacing w:before="257" w:line="219" w:lineRule="auto"/>
              <w:rPr>
                <w:sz w:val="21"/>
                <w:szCs w:val="21"/>
              </w:rPr>
            </w:pPr>
            <w:r>
              <w:rPr>
                <w:sz w:val="21"/>
                <w:szCs w:val="21"/>
                <w:spacing w:val="-1"/>
              </w:rPr>
              <w:t>生产废水经处理后通过总排放口排</w:t>
            </w:r>
          </w:p>
          <w:p>
            <w:pPr>
              <w:pStyle w:val="TableText"/>
              <w:ind w:left="124"/>
              <w:spacing w:before="20" w:line="219" w:lineRule="auto"/>
              <w:rPr>
                <w:sz w:val="21"/>
                <w:szCs w:val="21"/>
              </w:rPr>
            </w:pPr>
            <w:r>
              <w:rPr>
                <w:sz w:val="21"/>
                <w:szCs w:val="21"/>
                <w:spacing w:val="-1"/>
              </w:rPr>
              <w:t>放，经厂区污水管网进入市政污水</w:t>
            </w:r>
          </w:p>
          <w:p>
            <w:pPr>
              <w:pStyle w:val="TableText"/>
              <w:ind w:left="124"/>
              <w:spacing w:before="31" w:line="219" w:lineRule="auto"/>
              <w:rPr>
                <w:sz w:val="21"/>
                <w:szCs w:val="21"/>
              </w:rPr>
            </w:pPr>
            <w:r>
              <w:rPr>
                <w:sz w:val="21"/>
                <w:szCs w:val="21"/>
              </w:rPr>
              <w:t>管网，最终进霞浦县污水处理厂处</w:t>
            </w:r>
          </w:p>
          <w:p>
            <w:pPr>
              <w:pStyle w:val="TableText"/>
              <w:ind w:left="1593"/>
              <w:spacing w:before="43" w:line="208" w:lineRule="auto"/>
              <w:rPr>
                <w:sz w:val="21"/>
                <w:szCs w:val="21"/>
              </w:rPr>
            </w:pPr>
            <w:r>
              <w:rPr>
                <w:sz w:val="21"/>
                <w:szCs w:val="21"/>
              </w:rPr>
              <w:t>理</w:t>
            </w:r>
          </w:p>
          <w:p>
            <w:pPr>
              <w:pStyle w:val="TableText"/>
              <w:ind w:left="124"/>
              <w:spacing w:before="1" w:line="217" w:lineRule="auto"/>
              <w:rPr>
                <w:sz w:val="21"/>
                <w:szCs w:val="21"/>
              </w:rPr>
            </w:pPr>
            <w:r>
              <w:rPr>
                <w:sz w:val="21"/>
                <w:szCs w:val="21"/>
                <w:spacing w:val="1"/>
              </w:rPr>
              <w:t>发气喷淋塔废水循环使用，定期补</w:t>
            </w:r>
          </w:p>
          <w:p>
            <w:pPr>
              <w:pStyle w:val="TableText"/>
              <w:ind w:left="1283"/>
              <w:spacing w:before="43" w:line="189" w:lineRule="auto"/>
              <w:rPr>
                <w:sz w:val="21"/>
                <w:szCs w:val="21"/>
              </w:rPr>
            </w:pPr>
            <w:r>
              <w:rPr>
                <w:sz w:val="21"/>
                <w:szCs w:val="21"/>
                <w:spacing w:val="2"/>
              </w:rPr>
              <w:t>充新鲜水</w:t>
            </w:r>
          </w:p>
        </w:tc>
        <w:tc>
          <w:tcPr>
            <w:tcW w:w="5231" w:type="dxa"/>
            <w:vAlign w:val="top"/>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96"/>
              <w:spacing w:before="68" w:line="219" w:lineRule="auto"/>
              <w:rPr>
                <w:sz w:val="21"/>
                <w:szCs w:val="21"/>
              </w:rPr>
            </w:pPr>
            <w:r>
              <w:rPr>
                <w:sz w:val="21"/>
                <w:szCs w:val="21"/>
              </w:rPr>
              <w:t>符合《电池工业污染物排放标准》(GB3</w:t>
            </w:r>
            <w:r>
              <w:rPr>
                <w:sz w:val="21"/>
                <w:szCs w:val="21"/>
                <w:spacing w:val="-1"/>
              </w:rPr>
              <w:t>0484-2013)表</w:t>
            </w:r>
          </w:p>
          <w:p>
            <w:pPr>
              <w:pStyle w:val="TableText"/>
              <w:ind w:left="876"/>
              <w:spacing w:before="20" w:line="219" w:lineRule="auto"/>
              <w:rPr>
                <w:sz w:val="21"/>
                <w:szCs w:val="21"/>
              </w:rPr>
            </w:pPr>
            <w:r>
              <w:rPr>
                <w:sz w:val="21"/>
                <w:szCs w:val="21"/>
                <w:spacing w:val="-1"/>
              </w:rPr>
              <w:t>2中新建企业污染物排放标准限值要求</w:t>
            </w:r>
          </w:p>
          <w:p>
            <w:pPr>
              <w:pStyle w:val="TableText"/>
              <w:ind w:left="616"/>
              <w:spacing w:before="23" w:line="214" w:lineRule="auto"/>
              <w:rPr>
                <w:sz w:val="21"/>
                <w:szCs w:val="21"/>
              </w:rPr>
            </w:pPr>
            <w:r>
              <w:rPr>
                <w:sz w:val="21"/>
                <w:szCs w:val="21"/>
                <w:spacing w:val="2"/>
              </w:rPr>
              <w:t>(</w:t>
            </w:r>
            <w:r>
              <w:rPr>
                <w:sz w:val="21"/>
                <w:szCs w:val="21"/>
              </w:rPr>
              <w:t>pH</w:t>
            </w:r>
            <w:r>
              <w:rPr>
                <w:sz w:val="21"/>
                <w:szCs w:val="21"/>
                <w:spacing w:val="2"/>
              </w:rPr>
              <w:t>:6～9,悬浮物≤140</w:t>
            </w:r>
            <w:r>
              <w:rPr>
                <w:sz w:val="21"/>
                <w:szCs w:val="21"/>
              </w:rPr>
              <w:t>mg</w:t>
            </w:r>
            <w:r>
              <w:rPr>
                <w:sz w:val="21"/>
                <w:szCs w:val="21"/>
                <w:spacing w:val="2"/>
              </w:rPr>
              <w:t>/L,氨氮≤30</w:t>
            </w:r>
            <w:r>
              <w:rPr>
                <w:sz w:val="21"/>
                <w:szCs w:val="21"/>
              </w:rPr>
              <w:t>mg</w:t>
            </w:r>
            <w:r>
              <w:rPr>
                <w:sz w:val="21"/>
                <w:szCs w:val="21"/>
                <w:spacing w:val="2"/>
              </w:rPr>
              <w:t>/L,</w:t>
            </w:r>
          </w:p>
          <w:p>
            <w:pPr>
              <w:pStyle w:val="TableText"/>
              <w:ind w:left="1185"/>
              <w:spacing w:before="66" w:line="214" w:lineRule="auto"/>
              <w:rPr>
                <w:sz w:val="21"/>
                <w:szCs w:val="21"/>
              </w:rPr>
            </w:pPr>
            <w:r>
              <w:rPr>
                <w:sz w:val="21"/>
                <w:szCs w:val="21"/>
              </w:rPr>
              <w:t>COD</w:t>
            </w:r>
            <w:r>
              <w:rPr>
                <w:sz w:val="21"/>
                <w:szCs w:val="21"/>
                <w:spacing w:val="3"/>
              </w:rPr>
              <w:t>≤150</w:t>
            </w:r>
            <w:r>
              <w:rPr>
                <w:sz w:val="21"/>
                <w:szCs w:val="21"/>
              </w:rPr>
              <w:t>mg</w:t>
            </w:r>
            <w:r>
              <w:rPr>
                <w:sz w:val="21"/>
                <w:szCs w:val="21"/>
                <w:spacing w:val="3"/>
              </w:rPr>
              <w:t>/L,总锰≤1.5</w:t>
            </w:r>
            <w:r>
              <w:rPr>
                <w:sz w:val="21"/>
                <w:szCs w:val="21"/>
              </w:rPr>
              <w:t>mg</w:t>
            </w:r>
            <w:r>
              <w:rPr>
                <w:sz w:val="21"/>
                <w:szCs w:val="21"/>
                <w:spacing w:val="3"/>
              </w:rPr>
              <w:t>/L)</w:t>
            </w:r>
          </w:p>
        </w:tc>
      </w:tr>
      <w:tr>
        <w:trPr>
          <w:trHeight w:val="1079" w:hRule="atLeast"/>
        </w:trPr>
        <w:tc>
          <w:tcPr>
            <w:tcW w:w="1784" w:type="dxa"/>
            <w:vAlign w:val="top"/>
            <w:vMerge w:val="continue"/>
            <w:tcBorders>
              <w:top w:val="nil"/>
              <w:bottom w:val="nil"/>
            </w:tcBorders>
          </w:tcPr>
          <w:p>
            <w:pPr>
              <w:rPr>
                <w:rFonts w:ascii="Arial"/>
                <w:sz w:val="21"/>
              </w:rPr>
            </w:pPr>
            <w:r/>
          </w:p>
        </w:tc>
        <w:tc>
          <w:tcPr>
            <w:tcW w:w="1988" w:type="dxa"/>
            <w:vAlign w:val="top"/>
          </w:tcPr>
          <w:p>
            <w:pPr>
              <w:spacing w:line="375" w:lineRule="auto"/>
              <w:rPr>
                <w:rFonts w:ascii="Arial"/>
                <w:sz w:val="21"/>
              </w:rPr>
            </w:pPr>
            <w:r/>
          </w:p>
          <w:p>
            <w:pPr>
              <w:pStyle w:val="TableText"/>
              <w:ind w:left="561"/>
              <w:spacing w:before="68" w:line="219" w:lineRule="auto"/>
              <w:rPr>
                <w:sz w:val="21"/>
                <w:szCs w:val="21"/>
              </w:rPr>
            </w:pPr>
            <w:r>
              <w:rPr>
                <w:sz w:val="21"/>
                <w:szCs w:val="21"/>
                <w:spacing w:val="-2"/>
              </w:rPr>
              <w:t>其他废水</w:t>
            </w:r>
          </w:p>
        </w:tc>
        <w:tc>
          <w:tcPr>
            <w:tcW w:w="1559" w:type="dxa"/>
            <w:vAlign w:val="top"/>
          </w:tcPr>
          <w:p>
            <w:pPr>
              <w:pStyle w:val="TableText"/>
              <w:ind w:left="562" w:right="155" w:hanging="419"/>
              <w:spacing w:before="309" w:line="228" w:lineRule="auto"/>
              <w:rPr>
                <w:sz w:val="21"/>
                <w:szCs w:val="21"/>
              </w:rPr>
            </w:pPr>
            <w:r>
              <w:rPr>
                <w:sz w:val="21"/>
                <w:szCs w:val="21"/>
                <w:spacing w:val="-2"/>
              </w:rPr>
              <w:t>盐分、pH、悬</w:t>
            </w:r>
            <w:r>
              <w:rPr>
                <w:sz w:val="21"/>
                <w:szCs w:val="21"/>
                <w:spacing w:val="3"/>
              </w:rPr>
              <w:t xml:space="preserve"> </w:t>
            </w:r>
            <w:r>
              <w:rPr>
                <w:sz w:val="21"/>
                <w:szCs w:val="21"/>
                <w:spacing w:val="5"/>
              </w:rPr>
              <w:t>浮物</w:t>
            </w:r>
          </w:p>
        </w:tc>
        <w:tc>
          <w:tcPr>
            <w:tcW w:w="3418" w:type="dxa"/>
            <w:vAlign w:val="top"/>
          </w:tcPr>
          <w:p>
            <w:pPr>
              <w:pStyle w:val="TableText"/>
              <w:ind w:left="124"/>
              <w:spacing w:before="65" w:line="211" w:lineRule="auto"/>
              <w:rPr>
                <w:sz w:val="21"/>
                <w:szCs w:val="21"/>
              </w:rPr>
            </w:pPr>
            <w:r>
              <w:rPr>
                <w:sz w:val="21"/>
                <w:szCs w:val="21"/>
                <w:spacing w:val="-1"/>
              </w:rPr>
              <w:t>锅炉排污水、软化浓水；纯水制备</w:t>
            </w:r>
          </w:p>
          <w:p>
            <w:pPr>
              <w:pStyle w:val="TableText"/>
              <w:ind w:left="124"/>
              <w:spacing w:line="219" w:lineRule="auto"/>
              <w:rPr>
                <w:sz w:val="21"/>
                <w:szCs w:val="21"/>
              </w:rPr>
            </w:pPr>
            <w:r>
              <w:rPr>
                <w:sz w:val="21"/>
                <w:szCs w:val="21"/>
                <w:spacing w:val="-1"/>
              </w:rPr>
              <w:t>废水；循环冷却系统排污水均由厂</w:t>
            </w:r>
          </w:p>
          <w:p>
            <w:pPr>
              <w:pStyle w:val="TableText"/>
              <w:ind w:left="124"/>
              <w:spacing w:before="20" w:line="219" w:lineRule="auto"/>
              <w:rPr>
                <w:sz w:val="21"/>
                <w:szCs w:val="21"/>
              </w:rPr>
            </w:pPr>
            <w:r>
              <w:rPr>
                <w:sz w:val="21"/>
                <w:szCs w:val="21"/>
              </w:rPr>
              <w:t>区生活污水管网直接排入市政污水</w:t>
            </w:r>
          </w:p>
          <w:p>
            <w:pPr>
              <w:pStyle w:val="TableText"/>
              <w:ind w:left="1493"/>
              <w:spacing w:before="19" w:line="197" w:lineRule="auto"/>
              <w:rPr>
                <w:sz w:val="21"/>
                <w:szCs w:val="21"/>
              </w:rPr>
            </w:pPr>
            <w:r>
              <w:rPr>
                <w:sz w:val="21"/>
                <w:szCs w:val="21"/>
                <w:spacing w:val="10"/>
              </w:rPr>
              <w:t>管网</w:t>
            </w:r>
          </w:p>
        </w:tc>
        <w:tc>
          <w:tcPr>
            <w:tcW w:w="5231" w:type="dxa"/>
            <w:vAlign w:val="top"/>
            <w:vMerge w:val="restart"/>
            <w:tcBorders>
              <w:bottom w:val="nil"/>
            </w:tcBorders>
          </w:tcPr>
          <w:p>
            <w:pPr>
              <w:spacing w:line="395" w:lineRule="auto"/>
              <w:rPr>
                <w:rFonts w:ascii="Arial"/>
                <w:sz w:val="21"/>
              </w:rPr>
            </w:pPr>
            <w:r/>
          </w:p>
          <w:p>
            <w:pPr>
              <w:pStyle w:val="TableText"/>
              <w:ind w:left="240"/>
              <w:spacing w:before="68" w:line="219" w:lineRule="auto"/>
              <w:rPr>
                <w:sz w:val="21"/>
                <w:szCs w:val="21"/>
              </w:rPr>
            </w:pPr>
            <w:r>
              <w:rPr>
                <w:sz w:val="21"/>
                <w:szCs w:val="21"/>
              </w:rPr>
              <w:t>《污水综合排放标准》(GB8978-1996)表4的三级标</w:t>
            </w:r>
          </w:p>
          <w:p>
            <w:pPr>
              <w:pStyle w:val="TableText"/>
              <w:ind w:left="616"/>
              <w:spacing w:before="13" w:line="214" w:lineRule="auto"/>
              <w:rPr>
                <w:sz w:val="21"/>
                <w:szCs w:val="21"/>
              </w:rPr>
            </w:pPr>
            <w:r>
              <w:rPr>
                <w:sz w:val="21"/>
                <w:szCs w:val="21"/>
                <w:spacing w:val="2"/>
              </w:rPr>
              <w:t>准要求(</w:t>
            </w:r>
            <w:r>
              <w:rPr>
                <w:sz w:val="21"/>
                <w:szCs w:val="21"/>
              </w:rPr>
              <w:t>pH</w:t>
            </w:r>
            <w:r>
              <w:rPr>
                <w:sz w:val="21"/>
                <w:szCs w:val="21"/>
                <w:spacing w:val="2"/>
              </w:rPr>
              <w:t>6-9,悬浮物400</w:t>
            </w:r>
            <w:r>
              <w:rPr>
                <w:sz w:val="21"/>
                <w:szCs w:val="21"/>
              </w:rPr>
              <w:t>mg</w:t>
            </w:r>
            <w:r>
              <w:rPr>
                <w:sz w:val="21"/>
                <w:szCs w:val="21"/>
                <w:spacing w:val="2"/>
              </w:rPr>
              <w:t>/L,</w:t>
            </w:r>
            <w:r>
              <w:rPr>
                <w:sz w:val="21"/>
                <w:szCs w:val="21"/>
              </w:rPr>
              <w:t>COD</w:t>
            </w:r>
            <w:r>
              <w:rPr>
                <w:sz w:val="21"/>
                <w:szCs w:val="21"/>
                <w:spacing w:val="2"/>
              </w:rPr>
              <w:t>500</w:t>
            </w:r>
            <w:r>
              <w:rPr>
                <w:sz w:val="21"/>
                <w:szCs w:val="21"/>
              </w:rPr>
              <w:t>mg</w:t>
            </w:r>
            <w:r>
              <w:rPr>
                <w:sz w:val="21"/>
                <w:szCs w:val="21"/>
                <w:spacing w:val="2"/>
              </w:rPr>
              <w:t>/L,</w:t>
            </w:r>
          </w:p>
          <w:p>
            <w:pPr>
              <w:pStyle w:val="TableText"/>
              <w:ind w:left="345"/>
              <w:spacing w:before="26" w:line="214" w:lineRule="auto"/>
              <w:rPr>
                <w:sz w:val="21"/>
                <w:szCs w:val="21"/>
              </w:rPr>
            </w:pPr>
            <w:r>
              <w:rPr>
                <w:sz w:val="21"/>
                <w:szCs w:val="21"/>
              </w:rPr>
              <w:t>BODs300mg/L,动植物油100mg/L);氨氮</w:t>
            </w:r>
            <w:r>
              <w:rPr>
                <w:sz w:val="21"/>
                <w:szCs w:val="21"/>
                <w:spacing w:val="-1"/>
              </w:rPr>
              <w:t>参照《污水</w:t>
            </w:r>
          </w:p>
          <w:p>
            <w:pPr>
              <w:pStyle w:val="TableText"/>
              <w:ind w:left="295"/>
              <w:spacing w:before="26" w:line="214" w:lineRule="auto"/>
              <w:rPr>
                <w:sz w:val="21"/>
                <w:szCs w:val="21"/>
              </w:rPr>
            </w:pPr>
            <w:r>
              <w:rPr>
                <w:sz w:val="21"/>
                <w:szCs w:val="21"/>
                <w:spacing w:val="-1"/>
              </w:rPr>
              <w:t>排入城市下水道水质标准》B等级要求(氨氮45mg/L</w:t>
            </w:r>
          </w:p>
          <w:p>
            <w:pPr>
              <w:pStyle w:val="TableText"/>
              <w:ind w:left="2086"/>
              <w:spacing w:before="26" w:line="214" w:lineRule="auto"/>
              <w:rPr>
                <w:sz w:val="21"/>
                <w:szCs w:val="21"/>
              </w:rPr>
            </w:pPr>
            <w:r>
              <w:rPr>
                <w:sz w:val="21"/>
                <w:szCs w:val="21"/>
                <w:spacing w:val="7"/>
              </w:rPr>
              <w:t>总磷8</w:t>
            </w:r>
            <w:r>
              <w:rPr>
                <w:sz w:val="21"/>
                <w:szCs w:val="21"/>
              </w:rPr>
              <w:t>mg</w:t>
            </w:r>
            <w:r>
              <w:rPr>
                <w:sz w:val="21"/>
                <w:szCs w:val="21"/>
                <w:spacing w:val="7"/>
              </w:rPr>
              <w:t>/L)</w:t>
            </w:r>
          </w:p>
        </w:tc>
      </w:tr>
      <w:tr>
        <w:trPr>
          <w:trHeight w:val="1088" w:hRule="atLeast"/>
        </w:trPr>
        <w:tc>
          <w:tcPr>
            <w:tcW w:w="1784" w:type="dxa"/>
            <w:vAlign w:val="top"/>
            <w:vMerge w:val="continue"/>
            <w:tcBorders>
              <w:top w:val="nil"/>
            </w:tcBorders>
          </w:tcPr>
          <w:p>
            <w:pPr>
              <w:rPr>
                <w:rFonts w:ascii="Arial"/>
                <w:sz w:val="21"/>
              </w:rPr>
            </w:pPr>
            <w:r/>
          </w:p>
        </w:tc>
        <w:tc>
          <w:tcPr>
            <w:tcW w:w="1988" w:type="dxa"/>
            <w:vAlign w:val="top"/>
          </w:tcPr>
          <w:p>
            <w:pPr>
              <w:spacing w:line="376" w:lineRule="auto"/>
              <w:rPr>
                <w:rFonts w:ascii="Arial"/>
                <w:sz w:val="21"/>
              </w:rPr>
            </w:pPr>
            <w:r/>
          </w:p>
          <w:p>
            <w:pPr>
              <w:pStyle w:val="TableText"/>
              <w:ind w:left="561"/>
              <w:spacing w:before="68" w:line="219" w:lineRule="auto"/>
              <w:rPr>
                <w:sz w:val="21"/>
                <w:szCs w:val="21"/>
              </w:rPr>
            </w:pPr>
            <w:r>
              <w:rPr>
                <w:sz w:val="21"/>
                <w:szCs w:val="21"/>
                <w:spacing w:val="-2"/>
              </w:rPr>
              <w:t>生活污水</w:t>
            </w:r>
          </w:p>
        </w:tc>
        <w:tc>
          <w:tcPr>
            <w:tcW w:w="1559" w:type="dxa"/>
            <w:vAlign w:val="top"/>
          </w:tcPr>
          <w:p>
            <w:pPr>
              <w:pStyle w:val="TableText"/>
              <w:ind w:left="143"/>
              <w:spacing w:before="31" w:line="214" w:lineRule="auto"/>
              <w:rPr>
                <w:sz w:val="21"/>
                <w:szCs w:val="21"/>
              </w:rPr>
            </w:pPr>
            <w:r>
              <w:rPr>
                <w:sz w:val="21"/>
                <w:szCs w:val="21"/>
              </w:rPr>
              <w:t>pH</w:t>
            </w:r>
            <w:r>
              <w:rPr>
                <w:sz w:val="21"/>
                <w:szCs w:val="21"/>
                <w:spacing w:val="20"/>
              </w:rPr>
              <w:t>、悬浮物、</w:t>
            </w:r>
          </w:p>
          <w:p>
            <w:pPr>
              <w:pStyle w:val="TableText"/>
              <w:ind w:left="193"/>
              <w:spacing w:before="60" w:line="219" w:lineRule="auto"/>
              <w:rPr>
                <w:sz w:val="21"/>
                <w:szCs w:val="21"/>
              </w:rPr>
            </w:pPr>
            <w:r>
              <w:rPr>
                <w:sz w:val="21"/>
                <w:szCs w:val="21"/>
                <w:spacing w:val="24"/>
              </w:rPr>
              <w:t>氨氮、</w:t>
            </w:r>
            <w:r>
              <w:rPr>
                <w:sz w:val="21"/>
                <w:szCs w:val="21"/>
              </w:rPr>
              <w:t>COD</w:t>
            </w:r>
            <w:r>
              <w:rPr>
                <w:sz w:val="21"/>
                <w:szCs w:val="21"/>
                <w:spacing w:val="24"/>
              </w:rPr>
              <w:t>、</w:t>
            </w:r>
          </w:p>
          <w:p>
            <w:pPr>
              <w:pStyle w:val="TableText"/>
              <w:ind w:left="143"/>
              <w:spacing w:before="12" w:line="219" w:lineRule="auto"/>
              <w:rPr>
                <w:sz w:val="21"/>
                <w:szCs w:val="21"/>
              </w:rPr>
            </w:pPr>
            <w:r>
              <w:rPr>
                <w:sz w:val="21"/>
                <w:szCs w:val="21"/>
              </w:rPr>
              <w:t>BOD</w:t>
            </w:r>
            <w:r>
              <w:rPr>
                <w:sz w:val="21"/>
                <w:szCs w:val="21"/>
                <w:spacing w:val="-66"/>
              </w:rPr>
              <w:t xml:space="preserve"> </w:t>
            </w:r>
            <w:r>
              <w:rPr>
                <w:sz w:val="21"/>
                <w:szCs w:val="21"/>
              </w:rPr>
              <w:t>s</w:t>
            </w:r>
            <w:r>
              <w:rPr>
                <w:sz w:val="21"/>
                <w:szCs w:val="21"/>
                <w:spacing w:val="16"/>
              </w:rPr>
              <w:t>、总磷、</w:t>
            </w:r>
          </w:p>
          <w:p>
            <w:pPr>
              <w:pStyle w:val="TableText"/>
              <w:ind w:left="353"/>
              <w:spacing w:before="10" w:line="195" w:lineRule="auto"/>
              <w:rPr>
                <w:sz w:val="21"/>
                <w:szCs w:val="21"/>
              </w:rPr>
            </w:pPr>
            <w:r>
              <w:rPr>
                <w:sz w:val="21"/>
                <w:szCs w:val="21"/>
                <w:spacing w:val="5"/>
              </w:rPr>
              <w:t>动植物油</w:t>
            </w:r>
          </w:p>
        </w:tc>
        <w:tc>
          <w:tcPr>
            <w:tcW w:w="3418" w:type="dxa"/>
            <w:vAlign w:val="top"/>
          </w:tcPr>
          <w:p>
            <w:pPr>
              <w:pStyle w:val="TableText"/>
              <w:ind w:left="124"/>
              <w:spacing w:before="36" w:line="219" w:lineRule="auto"/>
              <w:rPr>
                <w:sz w:val="21"/>
                <w:szCs w:val="21"/>
              </w:rPr>
            </w:pPr>
            <w:r>
              <w:rPr>
                <w:sz w:val="21"/>
                <w:szCs w:val="21"/>
                <w:spacing w:val="-1"/>
              </w:rPr>
              <w:t>食堂含油废水经隔油处理后与其他</w:t>
            </w:r>
          </w:p>
          <w:p>
            <w:pPr>
              <w:pStyle w:val="TableText"/>
              <w:ind w:left="124"/>
              <w:spacing w:before="30" w:line="219" w:lineRule="auto"/>
              <w:rPr>
                <w:sz w:val="21"/>
                <w:szCs w:val="21"/>
              </w:rPr>
            </w:pPr>
            <w:r>
              <w:rPr>
                <w:sz w:val="21"/>
                <w:szCs w:val="21"/>
                <w:spacing w:val="1"/>
              </w:rPr>
              <w:t>生活污水一起经三级化粪池处理后</w:t>
            </w:r>
          </w:p>
          <w:p>
            <w:pPr>
              <w:pStyle w:val="TableText"/>
              <w:ind w:left="124"/>
              <w:spacing w:before="20" w:line="219" w:lineRule="auto"/>
              <w:rPr>
                <w:sz w:val="21"/>
                <w:szCs w:val="21"/>
              </w:rPr>
            </w:pPr>
            <w:r>
              <w:rPr>
                <w:sz w:val="21"/>
                <w:szCs w:val="21"/>
              </w:rPr>
              <w:t>一并由市政污水管网纳入霞浦县污</w:t>
            </w:r>
          </w:p>
          <w:p>
            <w:pPr>
              <w:pStyle w:val="TableText"/>
              <w:ind w:left="863"/>
              <w:spacing w:before="41" w:line="177" w:lineRule="auto"/>
              <w:rPr>
                <w:sz w:val="21"/>
                <w:szCs w:val="21"/>
              </w:rPr>
            </w:pPr>
            <w:r>
              <w:rPr>
                <w:sz w:val="21"/>
                <w:szCs w:val="21"/>
                <w:spacing w:val="-2"/>
              </w:rPr>
              <w:t>水处理厂进行处理</w:t>
            </w:r>
          </w:p>
        </w:tc>
        <w:tc>
          <w:tcPr>
            <w:tcW w:w="5231" w:type="dxa"/>
            <w:vAlign w:val="top"/>
            <w:vMerge w:val="continue"/>
            <w:tcBorders>
              <w:top w:val="nil"/>
            </w:tcBorders>
          </w:tcPr>
          <w:p>
            <w:pPr>
              <w:rPr>
                <w:rFonts w:ascii="Arial"/>
                <w:sz w:val="21"/>
              </w:rPr>
            </w:pPr>
            <w:r/>
          </w:p>
        </w:tc>
      </w:tr>
      <w:tr>
        <w:trPr>
          <w:trHeight w:val="544" w:hRule="atLeast"/>
        </w:trPr>
        <w:tc>
          <w:tcPr>
            <w:tcW w:w="1784" w:type="dxa"/>
            <w:vAlign w:val="top"/>
          </w:tcPr>
          <w:p>
            <w:pPr>
              <w:pStyle w:val="TableText"/>
              <w:ind w:left="565"/>
              <w:spacing w:before="179" w:line="220" w:lineRule="auto"/>
              <w:rPr>
                <w:sz w:val="21"/>
                <w:szCs w:val="21"/>
              </w:rPr>
            </w:pPr>
            <w:r>
              <w:rPr>
                <w:sz w:val="21"/>
                <w:szCs w:val="21"/>
                <w:spacing w:val="3"/>
              </w:rPr>
              <w:t>声环境</w:t>
            </w:r>
          </w:p>
        </w:tc>
        <w:tc>
          <w:tcPr>
            <w:tcW w:w="1988" w:type="dxa"/>
            <w:vAlign w:val="top"/>
          </w:tcPr>
          <w:p>
            <w:pPr>
              <w:pStyle w:val="TableText"/>
              <w:ind w:left="771"/>
              <w:spacing w:before="179" w:line="220" w:lineRule="auto"/>
              <w:rPr>
                <w:sz w:val="21"/>
                <w:szCs w:val="21"/>
              </w:rPr>
            </w:pPr>
            <w:r>
              <w:rPr>
                <w:sz w:val="21"/>
                <w:szCs w:val="21"/>
                <w:spacing w:val="-3"/>
              </w:rPr>
              <w:t>厂界</w:t>
            </w:r>
          </w:p>
        </w:tc>
        <w:tc>
          <w:tcPr>
            <w:tcW w:w="1559" w:type="dxa"/>
            <w:vAlign w:val="top"/>
          </w:tcPr>
          <w:p>
            <w:pPr>
              <w:pStyle w:val="TableText"/>
              <w:ind w:left="563"/>
              <w:spacing w:before="179" w:line="220" w:lineRule="auto"/>
              <w:rPr>
                <w:sz w:val="21"/>
                <w:szCs w:val="21"/>
              </w:rPr>
            </w:pPr>
            <w:r>
              <w:rPr>
                <w:sz w:val="21"/>
                <w:szCs w:val="21"/>
                <w:spacing w:val="6"/>
              </w:rPr>
              <w:t>噪声</w:t>
            </w:r>
          </w:p>
        </w:tc>
        <w:tc>
          <w:tcPr>
            <w:tcW w:w="3418" w:type="dxa"/>
            <w:vAlign w:val="top"/>
          </w:tcPr>
          <w:p>
            <w:pPr>
              <w:pStyle w:val="TableText"/>
              <w:ind w:left="754"/>
              <w:spacing w:before="179" w:line="220" w:lineRule="auto"/>
              <w:rPr>
                <w:sz w:val="21"/>
                <w:szCs w:val="21"/>
              </w:rPr>
            </w:pPr>
            <w:r>
              <w:rPr>
                <w:sz w:val="21"/>
                <w:szCs w:val="21"/>
                <w:spacing w:val="1"/>
              </w:rPr>
              <w:t>基础减振、厂房隔声</w:t>
            </w:r>
          </w:p>
        </w:tc>
        <w:tc>
          <w:tcPr>
            <w:tcW w:w="5231" w:type="dxa"/>
            <w:vAlign w:val="top"/>
          </w:tcPr>
          <w:p>
            <w:pPr>
              <w:pStyle w:val="TableText"/>
              <w:ind w:left="2235" w:right="209" w:hanging="2095"/>
              <w:spacing w:before="58" w:line="209" w:lineRule="auto"/>
              <w:rPr>
                <w:sz w:val="21"/>
                <w:szCs w:val="21"/>
              </w:rPr>
            </w:pPr>
            <w:r>
              <w:rPr>
                <w:sz w:val="21"/>
                <w:szCs w:val="21"/>
                <w:spacing w:val="1"/>
              </w:rPr>
              <w:t>《工业企业厂界环境噪声排放标准》(</w:t>
            </w:r>
            <w:r>
              <w:rPr>
                <w:sz w:val="21"/>
                <w:szCs w:val="21"/>
              </w:rPr>
              <w:t>GB</w:t>
            </w:r>
            <w:r>
              <w:rPr>
                <w:sz w:val="21"/>
                <w:szCs w:val="21"/>
                <w:spacing w:val="1"/>
              </w:rPr>
              <w:t>12348-2008)</w:t>
            </w:r>
            <w:r>
              <w:rPr>
                <w:sz w:val="21"/>
                <w:szCs w:val="21"/>
                <w:spacing w:val="11"/>
              </w:rPr>
              <w:t xml:space="preserve"> </w:t>
            </w:r>
            <w:r>
              <w:rPr>
                <w:sz w:val="21"/>
                <w:szCs w:val="21"/>
                <w:spacing w:val="3"/>
              </w:rPr>
              <w:t>3类标准</w:t>
            </w:r>
          </w:p>
        </w:tc>
      </w:tr>
    </w:tbl>
    <w:p>
      <w:pPr>
        <w:rPr>
          <w:rFonts w:ascii="Arial"/>
          <w:sz w:val="21"/>
        </w:rPr>
      </w:pPr>
      <w:r/>
    </w:p>
    <w:p>
      <w:pPr>
        <w:sectPr>
          <w:footerReference w:type="default" r:id="rId156"/>
          <w:pgSz w:w="16840" w:h="11900"/>
          <w:pgMar w:top="1011" w:right="1434" w:bottom="978" w:left="1414" w:header="0" w:footer="839" w:gutter="0"/>
        </w:sectPr>
        <w:rPr>
          <w:rFonts w:ascii="Arial" w:hAnsi="Arial" w:eastAsia="Arial" w:cs="Arial"/>
          <w:sz w:val="21"/>
          <w:szCs w:val="21"/>
        </w:rPr>
      </w:pPr>
    </w:p>
    <w:p>
      <w:pPr>
        <w:spacing w:before="15"/>
        <w:rPr/>
      </w:pPr>
      <w:r/>
    </w:p>
    <w:p>
      <w:pPr>
        <w:spacing w:before="15"/>
        <w:rPr/>
      </w:pPr>
      <w:r/>
    </w:p>
    <w:tbl>
      <w:tblPr>
        <w:tblStyle w:val="TableNormal"/>
        <w:tblW w:w="139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84"/>
        <w:gridCol w:w="12196"/>
      </w:tblGrid>
      <w:tr>
        <w:trPr>
          <w:trHeight w:val="614" w:hRule="atLeast"/>
        </w:trPr>
        <w:tc>
          <w:tcPr>
            <w:tcW w:w="1784" w:type="dxa"/>
            <w:vAlign w:val="top"/>
          </w:tcPr>
          <w:p>
            <w:pPr>
              <w:pStyle w:val="TableText"/>
              <w:ind w:left="465"/>
              <w:spacing w:before="203" w:line="219" w:lineRule="auto"/>
              <w:rPr>
                <w:sz w:val="21"/>
                <w:szCs w:val="21"/>
              </w:rPr>
            </w:pPr>
            <w:r>
              <w:rPr>
                <w:sz w:val="21"/>
                <w:szCs w:val="21"/>
                <w:spacing w:val="2"/>
              </w:rPr>
              <w:t>电磁辐射</w:t>
            </w:r>
          </w:p>
        </w:tc>
        <w:tc>
          <w:tcPr>
            <w:tcW w:w="12196" w:type="dxa"/>
            <w:vAlign w:val="top"/>
          </w:tcPr>
          <w:p>
            <w:pPr>
              <w:pStyle w:val="TableText"/>
              <w:ind w:left="181"/>
              <w:spacing w:before="198" w:line="215" w:lineRule="auto"/>
              <w:rPr>
                <w:sz w:val="21"/>
                <w:szCs w:val="21"/>
              </w:rPr>
            </w:pPr>
            <w:r>
              <w:rPr>
                <w:sz w:val="21"/>
                <w:szCs w:val="21"/>
              </w:rPr>
              <w:t>本评价不包括X-ray、B-ray以及放射源等设备的环境影响评价，其环境影响评价</w:t>
            </w:r>
            <w:r>
              <w:rPr>
                <w:sz w:val="21"/>
                <w:szCs w:val="21"/>
                <w:spacing w:val="-1"/>
              </w:rPr>
              <w:t>分析另行委托。</w:t>
            </w:r>
          </w:p>
        </w:tc>
      </w:tr>
      <w:tr>
        <w:trPr>
          <w:trHeight w:val="1838" w:hRule="atLeast"/>
        </w:trPr>
        <w:tc>
          <w:tcPr>
            <w:tcW w:w="1784"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465"/>
              <w:spacing w:before="68" w:line="220" w:lineRule="auto"/>
              <w:rPr>
                <w:sz w:val="21"/>
                <w:szCs w:val="21"/>
              </w:rPr>
            </w:pPr>
            <w:r>
              <w:rPr>
                <w:sz w:val="21"/>
                <w:szCs w:val="21"/>
                <w:spacing w:val="2"/>
              </w:rPr>
              <w:t>固体废物</w:t>
            </w:r>
          </w:p>
        </w:tc>
        <w:tc>
          <w:tcPr>
            <w:tcW w:w="12196" w:type="dxa"/>
            <w:vAlign w:val="top"/>
          </w:tcPr>
          <w:p>
            <w:pPr>
              <w:pStyle w:val="TableText"/>
              <w:ind w:left="181"/>
              <w:spacing w:before="158" w:line="219" w:lineRule="auto"/>
              <w:rPr>
                <w:sz w:val="21"/>
                <w:szCs w:val="21"/>
              </w:rPr>
            </w:pPr>
            <w:r>
              <w:rPr>
                <w:sz w:val="21"/>
                <w:szCs w:val="21"/>
                <w:spacing w:val="1"/>
              </w:rPr>
              <w:t>依托现有工程的生活垃圾收集间、工业固废</w:t>
            </w:r>
            <w:r>
              <w:rPr>
                <w:sz w:val="21"/>
                <w:szCs w:val="21"/>
              </w:rPr>
              <w:t>暂存间、危险废物暂存间</w:t>
            </w:r>
          </w:p>
          <w:p>
            <w:pPr>
              <w:pStyle w:val="TableText"/>
              <w:ind w:left="169" w:hanging="19"/>
              <w:spacing w:before="21" w:line="235" w:lineRule="auto"/>
              <w:jc w:val="both"/>
              <w:rPr>
                <w:sz w:val="21"/>
                <w:szCs w:val="21"/>
              </w:rPr>
            </w:pPr>
            <w:r>
              <w:rPr>
                <w:sz w:val="21"/>
                <w:szCs w:val="21"/>
                <w:spacing w:val="-4"/>
              </w:rPr>
              <w:t>生活垃圾：设置垃圾桶收集，收集后由环卫部门运往工业园区垃圾中转站统一处理。 一般工业固废暂存于一般工业固废暂存间，定  </w:t>
            </w:r>
            <w:r>
              <w:rPr>
                <w:sz w:val="21"/>
                <w:szCs w:val="21"/>
                <w:spacing w:val="-3"/>
              </w:rPr>
              <w:t>期交由供应商回收、外售或委托处置。危险废物暂存于危废暂存间，定期交由有相应危险废物处理资质的单位处置，与之签订协议，</w:t>
            </w:r>
            <w:r>
              <w:rPr>
                <w:sz w:val="21"/>
                <w:szCs w:val="21"/>
                <w:spacing w:val="8"/>
              </w:rPr>
              <w:t xml:space="preserve"> </w:t>
            </w:r>
            <w:r>
              <w:rPr>
                <w:sz w:val="21"/>
                <w:szCs w:val="21"/>
                <w:spacing w:val="-1"/>
              </w:rPr>
              <w:t>建立危险废物转移电子联单制度</w:t>
            </w:r>
          </w:p>
          <w:p>
            <w:pPr>
              <w:pStyle w:val="TableText"/>
              <w:ind w:left="180" w:right="391" w:hanging="30"/>
              <w:spacing w:before="14" w:line="239" w:lineRule="auto"/>
              <w:rPr>
                <w:sz w:val="21"/>
                <w:szCs w:val="21"/>
              </w:rPr>
            </w:pPr>
            <w:r>
              <w:rPr>
                <w:sz w:val="21"/>
                <w:szCs w:val="21"/>
              </w:rPr>
              <w:t>一般工业固体废物贮存、处置执行《一般工业固体废物贮存和填埋污染控制标准》(GB18599-2020)</w:t>
            </w:r>
            <w:r>
              <w:rPr>
                <w:sz w:val="21"/>
                <w:szCs w:val="21"/>
                <w:spacing w:val="-1"/>
              </w:rPr>
              <w:t>,危险废物执行《危险废物贮</w:t>
            </w:r>
            <w:r>
              <w:rPr>
                <w:sz w:val="21"/>
                <w:szCs w:val="21"/>
              </w:rPr>
              <w:t xml:space="preserve"> </w:t>
            </w:r>
            <w:r>
              <w:rPr>
                <w:sz w:val="21"/>
                <w:szCs w:val="21"/>
                <w:spacing w:val="-6"/>
              </w:rPr>
              <w:t>存污染控制标准》</w:t>
            </w:r>
            <w:r>
              <w:rPr>
                <w:sz w:val="21"/>
                <w:szCs w:val="21"/>
                <w:spacing w:val="21"/>
              </w:rPr>
              <w:t xml:space="preserve">   </w:t>
            </w:r>
            <w:r>
              <w:rPr>
                <w:sz w:val="21"/>
                <w:szCs w:val="21"/>
                <w:spacing w:val="-6"/>
              </w:rPr>
              <w:t>(GB18597-2023)中的相关规定。</w:t>
            </w:r>
          </w:p>
        </w:tc>
      </w:tr>
      <w:tr>
        <w:trPr>
          <w:trHeight w:val="1049" w:hRule="atLeast"/>
        </w:trPr>
        <w:tc>
          <w:tcPr>
            <w:tcW w:w="1784" w:type="dxa"/>
            <w:vAlign w:val="top"/>
          </w:tcPr>
          <w:p>
            <w:pPr>
              <w:pStyle w:val="TableText"/>
              <w:ind w:left="255" w:right="268"/>
              <w:spacing w:before="300" w:line="225" w:lineRule="auto"/>
              <w:rPr>
                <w:sz w:val="21"/>
                <w:szCs w:val="21"/>
              </w:rPr>
            </w:pPr>
            <w:r>
              <w:rPr>
                <w:sz w:val="21"/>
                <w:szCs w:val="21"/>
                <w:spacing w:val="-2"/>
              </w:rPr>
              <w:t>土壤及地下水</w:t>
            </w:r>
            <w:r>
              <w:rPr>
                <w:sz w:val="21"/>
                <w:szCs w:val="21"/>
                <w:spacing w:val="1"/>
              </w:rPr>
              <w:t xml:space="preserve"> </w:t>
            </w:r>
            <w:r>
              <w:rPr>
                <w:sz w:val="21"/>
                <w:szCs w:val="21"/>
                <w:spacing w:val="-2"/>
              </w:rPr>
              <w:t>污染防治措施</w:t>
            </w:r>
          </w:p>
        </w:tc>
        <w:tc>
          <w:tcPr>
            <w:tcW w:w="12196" w:type="dxa"/>
            <w:vAlign w:val="top"/>
          </w:tcPr>
          <w:p>
            <w:pPr>
              <w:pStyle w:val="TableText"/>
              <w:ind w:left="181"/>
              <w:spacing w:before="161" w:line="219" w:lineRule="auto"/>
              <w:rPr>
                <w:sz w:val="21"/>
                <w:szCs w:val="21"/>
              </w:rPr>
            </w:pPr>
            <w:r>
              <w:rPr>
                <w:sz w:val="21"/>
                <w:szCs w:val="21"/>
              </w:rPr>
              <w:t>分区防腐防渗措施：其中生产废水处理设施站房及各类池体、NMP储罐区C、事故应急措施等为重点防渗区，防渗性能不应低于</w:t>
            </w:r>
          </w:p>
          <w:p>
            <w:pPr>
              <w:pStyle w:val="TableText"/>
              <w:ind w:left="180" w:right="182" w:hanging="30"/>
              <w:spacing w:before="29" w:line="228" w:lineRule="auto"/>
              <w:rPr>
                <w:sz w:val="21"/>
                <w:szCs w:val="21"/>
              </w:rPr>
            </w:pPr>
            <w:r>
              <w:rPr>
                <w:sz w:val="21"/>
                <w:szCs w:val="21"/>
              </w:rPr>
              <w:t>5.0m厚渗透系数为1.0×10-7cm/s黏土层；生活污水化粪池、食堂废水处理设施池体等为一般防渗区，</w:t>
            </w:r>
            <w:r>
              <w:rPr>
                <w:sz w:val="21"/>
                <w:szCs w:val="21"/>
                <w:spacing w:val="-1"/>
              </w:rPr>
              <w:t>防渗性能不应低于1.5m厚渗</w:t>
            </w:r>
            <w:r>
              <w:rPr>
                <w:sz w:val="21"/>
                <w:szCs w:val="21"/>
              </w:rPr>
              <w:t xml:space="preserve"> </w:t>
            </w:r>
            <w:r>
              <w:rPr>
                <w:sz w:val="21"/>
                <w:szCs w:val="21"/>
              </w:rPr>
              <w:t>透系数为1.0×10-7cm/s黏土层；简单防渗区为上述除外区域。</w:t>
            </w:r>
          </w:p>
        </w:tc>
      </w:tr>
      <w:tr>
        <w:trPr>
          <w:trHeight w:val="569" w:hRule="atLeast"/>
        </w:trPr>
        <w:tc>
          <w:tcPr>
            <w:tcW w:w="1784" w:type="dxa"/>
            <w:vAlign w:val="top"/>
          </w:tcPr>
          <w:p>
            <w:pPr>
              <w:pStyle w:val="TableText"/>
              <w:ind w:left="255"/>
              <w:spacing w:before="183" w:line="220" w:lineRule="auto"/>
              <w:rPr>
                <w:sz w:val="21"/>
                <w:szCs w:val="21"/>
              </w:rPr>
            </w:pPr>
            <w:r>
              <w:rPr>
                <w:sz w:val="21"/>
                <w:szCs w:val="21"/>
                <w:spacing w:val="-2"/>
              </w:rPr>
              <w:t>生态保护措施</w:t>
            </w:r>
          </w:p>
        </w:tc>
        <w:tc>
          <w:tcPr>
            <w:tcW w:w="12196" w:type="dxa"/>
            <w:vAlign w:val="top"/>
          </w:tcPr>
          <w:p>
            <w:pPr>
              <w:pStyle w:val="TableText"/>
              <w:ind w:left="6021"/>
              <w:spacing w:before="188" w:line="224" w:lineRule="auto"/>
              <w:rPr>
                <w:sz w:val="21"/>
                <w:szCs w:val="21"/>
              </w:rPr>
            </w:pPr>
            <w:r>
              <w:rPr>
                <w:sz w:val="21"/>
                <w:szCs w:val="21"/>
              </w:rPr>
              <w:t>/</w:t>
            </w:r>
          </w:p>
        </w:tc>
      </w:tr>
      <w:tr>
        <w:trPr>
          <w:trHeight w:val="1348" w:hRule="atLeast"/>
        </w:trPr>
        <w:tc>
          <w:tcPr>
            <w:tcW w:w="1784" w:type="dxa"/>
            <w:vAlign w:val="top"/>
          </w:tcPr>
          <w:p>
            <w:pPr>
              <w:spacing w:line="383" w:lineRule="auto"/>
              <w:rPr>
                <w:rFonts w:ascii="Arial"/>
                <w:sz w:val="21"/>
              </w:rPr>
            </w:pPr>
            <w:r/>
          </w:p>
          <w:p>
            <w:pPr>
              <w:pStyle w:val="TableText"/>
              <w:ind w:left="465"/>
              <w:spacing w:before="68" w:line="280" w:lineRule="exact"/>
              <w:rPr>
                <w:sz w:val="21"/>
                <w:szCs w:val="21"/>
              </w:rPr>
            </w:pPr>
            <w:r>
              <w:rPr>
                <w:sz w:val="21"/>
                <w:szCs w:val="21"/>
                <w:spacing w:val="-2"/>
                <w:position w:val="4"/>
              </w:rPr>
              <w:t>环境风险</w:t>
            </w:r>
          </w:p>
          <w:p>
            <w:pPr>
              <w:pStyle w:val="TableText"/>
              <w:ind w:left="465"/>
              <w:spacing w:line="220" w:lineRule="auto"/>
              <w:rPr>
                <w:sz w:val="21"/>
                <w:szCs w:val="21"/>
              </w:rPr>
            </w:pPr>
            <w:r>
              <w:rPr>
                <w:sz w:val="21"/>
                <w:szCs w:val="21"/>
                <w:spacing w:val="2"/>
              </w:rPr>
              <w:t>防范措施</w:t>
            </w:r>
          </w:p>
        </w:tc>
        <w:tc>
          <w:tcPr>
            <w:tcW w:w="12196" w:type="dxa"/>
            <w:vAlign w:val="top"/>
          </w:tcPr>
          <w:p>
            <w:pPr>
              <w:pStyle w:val="TableText"/>
              <w:ind w:left="181"/>
              <w:spacing w:before="23" w:line="219" w:lineRule="auto"/>
              <w:rPr>
                <w:sz w:val="21"/>
                <w:szCs w:val="21"/>
              </w:rPr>
            </w:pPr>
            <w:r>
              <w:rPr>
                <w:sz w:val="21"/>
                <w:szCs w:val="21"/>
                <w:spacing w:val="4"/>
              </w:rPr>
              <w:t>(1)厂区雨水系统设置防控措施，防止受污</w:t>
            </w:r>
            <w:r>
              <w:rPr>
                <w:sz w:val="21"/>
                <w:szCs w:val="21"/>
                <w:spacing w:val="3"/>
              </w:rPr>
              <w:t>染的水外排；</w:t>
            </w:r>
          </w:p>
          <w:p>
            <w:pPr>
              <w:pStyle w:val="TableText"/>
              <w:ind w:left="181" w:right="689" w:firstLine="79"/>
              <w:spacing w:before="46" w:line="222" w:lineRule="auto"/>
              <w:rPr>
                <w:sz w:val="21"/>
                <w:szCs w:val="21"/>
              </w:rPr>
            </w:pPr>
            <w:r>
              <w:rPr>
                <w:sz w:val="21"/>
                <w:szCs w:val="21"/>
                <w:spacing w:val="4"/>
              </w:rPr>
              <w:t>(2)</w:t>
            </w:r>
            <w:r>
              <w:rPr>
                <w:sz w:val="21"/>
                <w:szCs w:val="21"/>
              </w:rPr>
              <w:t>NMP</w:t>
            </w:r>
            <w:r>
              <w:rPr>
                <w:sz w:val="21"/>
                <w:szCs w:val="21"/>
                <w:spacing w:val="4"/>
              </w:rPr>
              <w:t>罐区C设置围堰(有效容积349m³),工</w:t>
            </w:r>
            <w:r>
              <w:rPr>
                <w:sz w:val="21"/>
                <w:szCs w:val="21"/>
                <w:spacing w:val="3"/>
              </w:rPr>
              <w:t>业污水处理站新建50m3的事故池(通过泵与现有工程的250m³事故池连通共用，</w:t>
            </w:r>
            <w:r>
              <w:rPr>
                <w:sz w:val="21"/>
                <w:szCs w:val="21"/>
              </w:rPr>
              <w:t xml:space="preserve"> </w:t>
            </w:r>
            <w:r>
              <w:rPr>
                <w:sz w:val="21"/>
                <w:szCs w:val="21"/>
                <w:spacing w:val="8"/>
              </w:rPr>
              <w:t>则全厂事故池总容积为300m³);</w:t>
            </w:r>
          </w:p>
          <w:p>
            <w:pPr>
              <w:pStyle w:val="TableText"/>
              <w:ind w:left="181" w:right="345"/>
              <w:spacing w:before="47" w:line="205" w:lineRule="auto"/>
              <w:rPr>
                <w:sz w:val="21"/>
                <w:szCs w:val="21"/>
              </w:rPr>
            </w:pPr>
            <w:r>
              <w:rPr>
                <w:sz w:val="21"/>
                <w:szCs w:val="21"/>
              </w:rPr>
              <w:t>(3)制定环境风险应急预案并按规定备案；落实本报告及应急预案提出的各项风险防范措施及管理制度，定期开展事故环境风险</w:t>
            </w:r>
            <w:r>
              <w:rPr>
                <w:sz w:val="21"/>
                <w:szCs w:val="21"/>
                <w:spacing w:val="3"/>
              </w:rPr>
              <w:t xml:space="preserve"> </w:t>
            </w:r>
            <w:r>
              <w:rPr>
                <w:sz w:val="21"/>
                <w:szCs w:val="21"/>
                <w:spacing w:val="-1"/>
              </w:rPr>
              <w:t>应急演练。</w:t>
            </w:r>
          </w:p>
        </w:tc>
      </w:tr>
      <w:tr>
        <w:trPr>
          <w:trHeight w:val="2202" w:hRule="atLeast"/>
        </w:trPr>
        <w:tc>
          <w:tcPr>
            <w:tcW w:w="1784" w:type="dxa"/>
            <w:vAlign w:val="top"/>
          </w:tcPr>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465"/>
              <w:spacing w:before="68" w:line="289" w:lineRule="exact"/>
              <w:rPr>
                <w:sz w:val="21"/>
                <w:szCs w:val="21"/>
              </w:rPr>
            </w:pPr>
            <w:r>
              <w:rPr>
                <w:sz w:val="21"/>
                <w:szCs w:val="21"/>
                <w:spacing w:val="-2"/>
                <w:position w:val="5"/>
              </w:rPr>
              <w:t>其他环境</w:t>
            </w:r>
          </w:p>
          <w:p>
            <w:pPr>
              <w:pStyle w:val="TableText"/>
              <w:ind w:left="465"/>
              <w:spacing w:line="219" w:lineRule="auto"/>
              <w:rPr>
                <w:sz w:val="21"/>
                <w:szCs w:val="21"/>
              </w:rPr>
            </w:pPr>
            <w:r>
              <w:rPr>
                <w:sz w:val="21"/>
                <w:szCs w:val="21"/>
                <w:spacing w:val="2"/>
              </w:rPr>
              <w:t>管理要求</w:t>
            </w:r>
          </w:p>
        </w:tc>
        <w:tc>
          <w:tcPr>
            <w:tcW w:w="12196" w:type="dxa"/>
            <w:vAlign w:val="top"/>
          </w:tcPr>
          <w:p>
            <w:pPr>
              <w:pStyle w:val="TableText"/>
              <w:ind w:left="280"/>
              <w:spacing w:before="34" w:line="219" w:lineRule="auto"/>
              <w:rPr>
                <w:sz w:val="21"/>
                <w:szCs w:val="21"/>
              </w:rPr>
            </w:pPr>
            <w:r>
              <w:rPr>
                <w:sz w:val="21"/>
                <w:szCs w:val="21"/>
              </w:rPr>
              <w:t>(1)要求建设单位按照相关规范进行新增排污口规范化设置工作；排气筒应设置监测采样孔、采样平台和安全通道；标志牌应设</w:t>
            </w:r>
          </w:p>
          <w:p>
            <w:pPr>
              <w:pStyle w:val="TableText"/>
              <w:ind w:left="181"/>
              <w:spacing w:before="61" w:line="229" w:lineRule="auto"/>
              <w:rPr>
                <w:sz w:val="21"/>
                <w:szCs w:val="21"/>
              </w:rPr>
            </w:pPr>
            <w:r>
              <w:rPr>
                <w:sz w:val="21"/>
                <w:szCs w:val="21"/>
                <w:spacing w:val="-1"/>
              </w:rPr>
              <w:t>在与之功能相应的醒目处，并保持清晰、完整</w:t>
            </w:r>
          </w:p>
          <w:p>
            <w:pPr>
              <w:pStyle w:val="TableText"/>
              <w:ind w:left="181"/>
              <w:spacing w:line="219" w:lineRule="auto"/>
              <w:rPr>
                <w:sz w:val="21"/>
                <w:szCs w:val="21"/>
              </w:rPr>
            </w:pPr>
            <w:r>
              <w:rPr>
                <w:sz w:val="21"/>
                <w:szCs w:val="21"/>
                <w:spacing w:val="6"/>
              </w:rPr>
              <w:t>(2)及时申请排污许可证变更；</w:t>
            </w:r>
          </w:p>
          <w:p>
            <w:pPr>
              <w:pStyle w:val="TableText"/>
              <w:ind w:left="181" w:right="247" w:firstLine="89"/>
              <w:spacing w:before="29" w:line="233" w:lineRule="auto"/>
              <w:rPr>
                <w:sz w:val="21"/>
                <w:szCs w:val="21"/>
              </w:rPr>
            </w:pPr>
            <w:r>
              <w:rPr>
                <w:sz w:val="21"/>
                <w:szCs w:val="21"/>
              </w:rPr>
              <w:t>(3)建立环境管理台账，环境管理台账应当载明环境保护设施运行和维护的情况及相应的主要参数、污染物排放情况及相关监测</w:t>
            </w:r>
            <w:r>
              <w:rPr>
                <w:sz w:val="21"/>
                <w:szCs w:val="21"/>
                <w:spacing w:val="10"/>
              </w:rPr>
              <w:t xml:space="preserve"> </w:t>
            </w:r>
            <w:r>
              <w:rPr>
                <w:sz w:val="21"/>
                <w:szCs w:val="21"/>
                <w:spacing w:val="-1"/>
              </w:rPr>
              <w:t>数据，原始记录应清晰，及时归档并妥善管理</w:t>
            </w:r>
          </w:p>
          <w:p>
            <w:pPr>
              <w:pStyle w:val="TableText"/>
              <w:ind w:left="271"/>
              <w:spacing w:before="19" w:line="218" w:lineRule="auto"/>
              <w:rPr>
                <w:sz w:val="21"/>
                <w:szCs w:val="21"/>
              </w:rPr>
            </w:pPr>
            <w:r>
              <w:rPr>
                <w:sz w:val="21"/>
                <w:szCs w:val="21"/>
              </w:rPr>
              <w:t>(4)项目竣工后，建设单位应当依照国家有关法律法规、建设项目竣工环境保护验收技术规范、建设项目环境影响报告表和审批</w:t>
            </w:r>
          </w:p>
          <w:p>
            <w:pPr>
              <w:pStyle w:val="TableText"/>
              <w:ind w:left="181" w:firstLine="9"/>
              <w:spacing w:before="23" w:line="214" w:lineRule="auto"/>
              <w:rPr>
                <w:sz w:val="21"/>
                <w:szCs w:val="21"/>
              </w:rPr>
            </w:pPr>
            <w:r>
              <w:rPr>
                <w:sz w:val="21"/>
                <w:szCs w:val="21"/>
                <w:spacing w:val="-3"/>
              </w:rPr>
              <w:t>央定等要求，如实查验、监测、记载建设项目环境保护设施的建设和调试情况，同时还应如实记载其他环</w:t>
            </w:r>
            <w:r>
              <w:rPr>
                <w:sz w:val="21"/>
                <w:szCs w:val="21"/>
                <w:spacing w:val="-4"/>
              </w:rPr>
              <w:t>境保护对策措施“三同时”</w:t>
            </w:r>
            <w:r>
              <w:rPr>
                <w:sz w:val="21"/>
                <w:szCs w:val="21"/>
              </w:rPr>
              <w:t xml:space="preserve"> </w:t>
            </w:r>
            <w:r>
              <w:rPr>
                <w:sz w:val="21"/>
                <w:szCs w:val="21"/>
                <w:spacing w:val="-4"/>
              </w:rPr>
              <w:t>落实情况，编制竣工环境保护验收报告。</w:t>
            </w:r>
          </w:p>
        </w:tc>
      </w:tr>
    </w:tbl>
    <w:p>
      <w:pPr>
        <w:rPr>
          <w:rFonts w:ascii="Arial"/>
          <w:sz w:val="21"/>
        </w:rPr>
      </w:pPr>
      <w:r/>
    </w:p>
    <w:p>
      <w:pPr>
        <w:sectPr>
          <w:footerReference w:type="default" r:id="rId157"/>
          <w:pgSz w:w="16840" w:h="11900"/>
          <w:pgMar w:top="1011" w:right="1434" w:bottom="979" w:left="1414" w:header="0" w:footer="840" w:gutter="0"/>
        </w:sectPr>
        <w:rPr>
          <w:rFonts w:ascii="Arial" w:hAnsi="Arial" w:eastAsia="Arial" w:cs="Arial"/>
          <w:sz w:val="21"/>
          <w:szCs w:val="21"/>
        </w:rPr>
      </w:pPr>
    </w:p>
    <w:p>
      <w:pPr>
        <w:pStyle w:val="BodyText"/>
        <w:ind w:left="3845"/>
        <w:spacing w:before="133" w:line="221" w:lineRule="auto"/>
        <w:rPr>
          <w:sz w:val="31"/>
          <w:szCs w:val="31"/>
        </w:rPr>
      </w:pPr>
      <w:r>
        <w:rPr>
          <w:sz w:val="31"/>
          <w:szCs w:val="31"/>
          <w:spacing w:val="-15"/>
        </w:rPr>
        <w:t>六、结论</w:t>
      </w:r>
    </w:p>
    <w:p>
      <w:pPr>
        <w:spacing w:before="17"/>
        <w:rPr/>
      </w:pPr>
      <w:r/>
    </w:p>
    <w:tbl>
      <w:tblPr>
        <w:tblStyle w:val="TableNormal"/>
        <w:tblW w:w="8860" w:type="dxa"/>
        <w:tblInd w:w="5" w:type="dxa"/>
        <w:tblLayout w:type="fixed"/>
        <w:tblBorders>
          <w:left w:val="single" w:color="000000" w:sz="4" w:space="0"/>
          <w:bottom w:val="single" w:color="000000" w:sz="4" w:space="0"/>
          <w:right w:val="single" w:color="000000" w:sz="4" w:space="0"/>
          <w:top w:val="single" w:color="000000" w:sz="4" w:space="0"/>
        </w:tblBorders>
      </w:tblPr>
      <w:tblGrid>
        <w:gridCol w:w="8860"/>
      </w:tblGrid>
      <w:tr>
        <w:trPr>
          <w:trHeight w:val="11999" w:hRule="atLeast"/>
        </w:trPr>
        <w:tc>
          <w:tcPr>
            <w:tcW w:w="8860" w:type="dxa"/>
            <w:vAlign w:val="top"/>
          </w:tcPr>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515"/>
              <w:spacing w:before="75" w:line="219" w:lineRule="auto"/>
              <w:rPr/>
            </w:pPr>
            <w:r>
              <w:rPr/>
              <w:t>综上所述，本项目建设符合国家有关产业和环保政策，选址符合当地生态环境</w:t>
            </w:r>
          </w:p>
          <w:p>
            <w:pPr>
              <w:pStyle w:val="TableText"/>
              <w:ind w:left="285"/>
              <w:spacing w:before="197" w:line="459" w:lineRule="exact"/>
              <w:rPr/>
            </w:pPr>
            <w:r>
              <w:rPr>
                <w:position w:val="17"/>
              </w:rPr>
              <w:t>分区管控要求。环境空气、声环境质量符合环境功能区划的要求，在认真落实本报</w:t>
            </w:r>
          </w:p>
          <w:p>
            <w:pPr>
              <w:pStyle w:val="TableText"/>
              <w:ind w:left="285"/>
              <w:spacing w:before="1" w:line="217" w:lineRule="auto"/>
              <w:rPr/>
            </w:pPr>
            <w:r>
              <w:rPr/>
              <w:t>告表提出的各类污染防治措施并保证其正常运行和加强环境风险防范的条件下，该</w:t>
            </w:r>
          </w:p>
          <w:p>
            <w:pPr>
              <w:pStyle w:val="TableText"/>
              <w:ind w:left="285"/>
              <w:spacing w:before="209" w:line="452" w:lineRule="exact"/>
              <w:rPr/>
            </w:pPr>
            <w:r>
              <w:rPr>
                <w:position w:val="16"/>
              </w:rPr>
              <w:t>项目的建设对周围环境的影响是可以接受的，从环境影响角度分析，该项目的建设</w:t>
            </w:r>
          </w:p>
          <w:p>
            <w:pPr>
              <w:pStyle w:val="TableText"/>
              <w:ind w:left="114"/>
              <w:spacing w:line="220" w:lineRule="auto"/>
              <w:rPr/>
            </w:pPr>
            <w:r>
              <w:rPr>
                <w:spacing w:val="-1"/>
              </w:rPr>
              <w:t>是可行的。</w:t>
            </w:r>
          </w:p>
        </w:tc>
      </w:tr>
    </w:tbl>
    <w:p>
      <w:pPr>
        <w:rPr>
          <w:rFonts w:ascii="Arial"/>
          <w:sz w:val="21"/>
        </w:rPr>
      </w:pPr>
      <w:r/>
    </w:p>
    <w:p>
      <w:pPr>
        <w:sectPr>
          <w:footerReference w:type="default" r:id="rId158"/>
          <w:pgSz w:w="11900" w:h="16840"/>
          <w:pgMar w:top="1431" w:right="1524" w:bottom="988" w:left="1504" w:header="0" w:footer="849" w:gutter="0"/>
        </w:sectPr>
        <w:rPr>
          <w:rFonts w:ascii="Arial" w:hAnsi="Arial" w:eastAsia="Arial" w:cs="Arial"/>
          <w:sz w:val="21"/>
          <w:szCs w:val="21"/>
        </w:rPr>
      </w:pPr>
    </w:p>
    <w:p>
      <w:pPr>
        <w:spacing w:line="438" w:lineRule="auto"/>
        <w:rPr>
          <w:rFonts w:ascii="Arial"/>
          <w:sz w:val="21"/>
        </w:rPr>
      </w:pPr>
      <w:r/>
    </w:p>
    <w:p>
      <w:pPr>
        <w:pStyle w:val="BodyText"/>
        <w:ind w:left="39"/>
        <w:spacing w:before="104" w:line="219" w:lineRule="auto"/>
        <w:rPr>
          <w:sz w:val="32"/>
          <w:szCs w:val="32"/>
        </w:rPr>
      </w:pPr>
      <w:r>
        <w:rPr>
          <w:sz w:val="32"/>
          <w:szCs w:val="32"/>
          <w:b/>
          <w:bCs/>
          <w:spacing w:val="-5"/>
        </w:rPr>
        <w:t>附表</w:t>
      </w:r>
    </w:p>
    <w:p>
      <w:pPr>
        <w:pStyle w:val="BodyText"/>
        <w:ind w:left="4480"/>
        <w:spacing w:before="274" w:line="220" w:lineRule="auto"/>
        <w:rPr>
          <w:sz w:val="37"/>
          <w:szCs w:val="37"/>
        </w:rPr>
      </w:pPr>
      <w:r>
        <w:rPr>
          <w:sz w:val="37"/>
          <w:szCs w:val="37"/>
          <w:b/>
          <w:bCs/>
        </w:rPr>
        <w:t>建设项目污染物排放量汇总表</w:t>
      </w:r>
    </w:p>
    <w:p>
      <w:pPr>
        <w:spacing w:before="1"/>
        <w:rPr/>
      </w:pPr>
      <w:r/>
    </w:p>
    <w:tbl>
      <w:tblPr>
        <w:tblStyle w:val="TableNormal"/>
        <w:tblW w:w="137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74"/>
        <w:gridCol w:w="1409"/>
        <w:gridCol w:w="1709"/>
        <w:gridCol w:w="1269"/>
        <w:gridCol w:w="1689"/>
        <w:gridCol w:w="1578"/>
        <w:gridCol w:w="1739"/>
        <w:gridCol w:w="1519"/>
        <w:gridCol w:w="1274"/>
      </w:tblGrid>
      <w:tr>
        <w:trPr>
          <w:trHeight w:val="844" w:hRule="atLeast"/>
        </w:trPr>
        <w:tc>
          <w:tcPr>
            <w:tcW w:w="1574" w:type="dxa"/>
            <w:vAlign w:val="top"/>
            <w:tcBorders>
              <w:tl2br w:val="single" w:color="000000" w:sz="4" w:space="0"/>
            </w:tcBorders>
          </w:tcPr>
          <w:p>
            <w:pPr>
              <w:pStyle w:val="TableText"/>
              <w:spacing w:before="163" w:line="220" w:lineRule="auto"/>
              <w:jc w:val="right"/>
              <w:rPr>
                <w:sz w:val="20"/>
                <w:szCs w:val="20"/>
              </w:rPr>
            </w:pPr>
            <w:r>
              <w:rPr>
                <w:sz w:val="20"/>
                <w:szCs w:val="20"/>
                <w:spacing w:val="-33"/>
              </w:rPr>
              <w:t>项</w:t>
            </w:r>
            <w:r>
              <w:rPr>
                <w:sz w:val="20"/>
                <w:szCs w:val="20"/>
                <w:spacing w:val="-7"/>
              </w:rPr>
              <w:t xml:space="preserve"> </w:t>
            </w:r>
            <w:r>
              <w:rPr>
                <w:sz w:val="20"/>
                <w:szCs w:val="20"/>
                <w:spacing w:val="-33"/>
              </w:rPr>
              <w:t>目</w:t>
            </w:r>
          </w:p>
          <w:p>
            <w:pPr>
              <w:pStyle w:val="TableText"/>
              <w:ind w:left="15"/>
              <w:spacing w:before="51" w:line="219" w:lineRule="auto"/>
              <w:rPr>
                <w:sz w:val="20"/>
                <w:szCs w:val="20"/>
              </w:rPr>
            </w:pPr>
            <w:r>
              <w:rPr>
                <w:sz w:val="20"/>
                <w:szCs w:val="20"/>
                <w:spacing w:val="-3"/>
              </w:rPr>
              <w:t>分类</w:t>
            </w:r>
          </w:p>
        </w:tc>
        <w:tc>
          <w:tcPr>
            <w:tcW w:w="1409" w:type="dxa"/>
            <w:vAlign w:val="top"/>
          </w:tcPr>
          <w:p>
            <w:pPr>
              <w:spacing w:line="257" w:lineRule="auto"/>
              <w:rPr>
                <w:rFonts w:ascii="Arial"/>
                <w:sz w:val="21"/>
              </w:rPr>
            </w:pPr>
            <w:r/>
          </w:p>
          <w:p>
            <w:pPr>
              <w:pStyle w:val="TableText"/>
              <w:ind w:left="191"/>
              <w:spacing w:before="65" w:line="220" w:lineRule="auto"/>
              <w:rPr>
                <w:sz w:val="20"/>
                <w:szCs w:val="20"/>
              </w:rPr>
            </w:pPr>
            <w:r>
              <w:rPr>
                <w:sz w:val="20"/>
                <w:szCs w:val="20"/>
                <w:spacing w:val="-2"/>
              </w:rPr>
              <w:t>污染物名称</w:t>
            </w:r>
          </w:p>
        </w:tc>
        <w:tc>
          <w:tcPr>
            <w:tcW w:w="1709" w:type="dxa"/>
            <w:vAlign w:val="top"/>
          </w:tcPr>
          <w:p>
            <w:pPr>
              <w:pStyle w:val="TableText"/>
              <w:ind w:left="442"/>
              <w:spacing w:before="53" w:line="220" w:lineRule="auto"/>
              <w:rPr>
                <w:sz w:val="20"/>
                <w:szCs w:val="20"/>
              </w:rPr>
            </w:pPr>
            <w:r>
              <w:rPr>
                <w:sz w:val="20"/>
                <w:szCs w:val="20"/>
                <w:spacing w:val="-2"/>
              </w:rPr>
              <w:t>现有工程</w:t>
            </w:r>
          </w:p>
          <w:p>
            <w:pPr>
              <w:pStyle w:val="TableText"/>
              <w:ind w:left="92"/>
              <w:spacing w:before="21" w:line="220" w:lineRule="auto"/>
              <w:rPr>
                <w:sz w:val="20"/>
                <w:szCs w:val="20"/>
              </w:rPr>
            </w:pPr>
            <w:r>
              <w:rPr>
                <w:sz w:val="20"/>
                <w:szCs w:val="20"/>
                <w:spacing w:val="-1"/>
              </w:rPr>
              <w:t>排放量(固体废物</w:t>
            </w:r>
          </w:p>
          <w:p>
            <w:pPr>
              <w:pStyle w:val="TableText"/>
              <w:ind w:left="392"/>
              <w:spacing w:before="38" w:line="217" w:lineRule="auto"/>
              <w:rPr>
                <w:sz w:val="20"/>
                <w:szCs w:val="20"/>
              </w:rPr>
            </w:pPr>
            <w:r>
              <w:rPr>
                <w:sz w:val="20"/>
                <w:szCs w:val="20"/>
                <w:spacing w:val="-2"/>
              </w:rPr>
              <w:t>产生量)①</w:t>
            </w:r>
          </w:p>
        </w:tc>
        <w:tc>
          <w:tcPr>
            <w:tcW w:w="1269" w:type="dxa"/>
            <w:vAlign w:val="top"/>
          </w:tcPr>
          <w:p>
            <w:pPr>
              <w:pStyle w:val="TableText"/>
              <w:ind w:left="223"/>
              <w:spacing w:before="33" w:line="220" w:lineRule="auto"/>
              <w:rPr>
                <w:sz w:val="20"/>
                <w:szCs w:val="20"/>
              </w:rPr>
            </w:pPr>
            <w:r>
              <w:rPr>
                <w:sz w:val="20"/>
                <w:szCs w:val="20"/>
                <w:spacing w:val="-2"/>
              </w:rPr>
              <w:t>现有工程</w:t>
            </w:r>
          </w:p>
          <w:p>
            <w:pPr>
              <w:pStyle w:val="TableText"/>
              <w:ind w:left="73"/>
              <w:spacing w:before="41" w:line="220" w:lineRule="auto"/>
              <w:rPr>
                <w:sz w:val="20"/>
                <w:szCs w:val="20"/>
              </w:rPr>
            </w:pPr>
            <w:r>
              <w:rPr>
                <w:sz w:val="20"/>
                <w:szCs w:val="20"/>
                <w:spacing w:val="-2"/>
              </w:rPr>
              <w:t>许可排放量*</w:t>
            </w:r>
          </w:p>
          <w:p>
            <w:pPr>
              <w:pStyle w:val="TableText"/>
              <w:ind w:left="523"/>
              <w:spacing w:before="38" w:line="217" w:lineRule="auto"/>
              <w:rPr>
                <w:sz w:val="20"/>
                <w:szCs w:val="20"/>
              </w:rPr>
            </w:pPr>
            <w:r>
              <w:rPr>
                <w:sz w:val="20"/>
                <w:szCs w:val="20"/>
              </w:rPr>
              <w:t>②</w:t>
            </w:r>
          </w:p>
        </w:tc>
        <w:tc>
          <w:tcPr>
            <w:tcW w:w="1689" w:type="dxa"/>
            <w:vAlign w:val="top"/>
          </w:tcPr>
          <w:p>
            <w:pPr>
              <w:pStyle w:val="TableText"/>
              <w:ind w:left="434"/>
              <w:spacing w:before="33" w:line="220" w:lineRule="auto"/>
              <w:rPr>
                <w:sz w:val="20"/>
                <w:szCs w:val="20"/>
              </w:rPr>
            </w:pPr>
            <w:r>
              <w:rPr>
                <w:sz w:val="20"/>
                <w:szCs w:val="20"/>
                <w:spacing w:val="-2"/>
              </w:rPr>
              <w:t>在建工程</w:t>
            </w:r>
          </w:p>
          <w:p>
            <w:pPr>
              <w:pStyle w:val="TableText"/>
              <w:ind w:left="84"/>
              <w:spacing w:before="41" w:line="220" w:lineRule="auto"/>
              <w:rPr>
                <w:sz w:val="20"/>
                <w:szCs w:val="20"/>
              </w:rPr>
            </w:pPr>
            <w:r>
              <w:rPr>
                <w:sz w:val="20"/>
                <w:szCs w:val="20"/>
                <w:spacing w:val="-1"/>
              </w:rPr>
              <w:t>排放量(固体废物</w:t>
            </w:r>
          </w:p>
          <w:p>
            <w:pPr>
              <w:pStyle w:val="TableText"/>
              <w:ind w:left="384"/>
              <w:spacing w:before="18" w:line="217" w:lineRule="auto"/>
              <w:rPr>
                <w:sz w:val="20"/>
                <w:szCs w:val="20"/>
              </w:rPr>
            </w:pPr>
            <w:r>
              <w:rPr>
                <w:sz w:val="20"/>
                <w:szCs w:val="20"/>
                <w:spacing w:val="-2"/>
              </w:rPr>
              <w:t>产生量)③</w:t>
            </w:r>
          </w:p>
        </w:tc>
        <w:tc>
          <w:tcPr>
            <w:tcW w:w="1578" w:type="dxa"/>
            <w:vAlign w:val="top"/>
          </w:tcPr>
          <w:p>
            <w:pPr>
              <w:pStyle w:val="TableText"/>
              <w:ind w:left="485"/>
              <w:spacing w:before="51" w:line="219" w:lineRule="auto"/>
              <w:rPr>
                <w:sz w:val="20"/>
                <w:szCs w:val="20"/>
              </w:rPr>
            </w:pPr>
            <w:r>
              <w:rPr>
                <w:sz w:val="20"/>
                <w:szCs w:val="20"/>
                <w:spacing w:val="12"/>
              </w:rPr>
              <w:t>本项目</w:t>
            </w:r>
          </w:p>
          <w:p>
            <w:pPr>
              <w:pStyle w:val="TableText"/>
              <w:ind w:left="34"/>
              <w:spacing w:before="24" w:line="220" w:lineRule="auto"/>
              <w:rPr>
                <w:sz w:val="20"/>
                <w:szCs w:val="20"/>
              </w:rPr>
            </w:pPr>
            <w:r>
              <w:rPr>
                <w:sz w:val="20"/>
                <w:szCs w:val="20"/>
                <w:spacing w:val="-1"/>
              </w:rPr>
              <w:t>排放量(固体废物</w:t>
            </w:r>
          </w:p>
          <w:p>
            <w:pPr>
              <w:pStyle w:val="TableText"/>
              <w:ind w:left="335"/>
              <w:spacing w:before="18" w:line="217" w:lineRule="auto"/>
              <w:rPr>
                <w:sz w:val="20"/>
                <w:szCs w:val="20"/>
              </w:rPr>
            </w:pPr>
            <w:r>
              <w:rPr>
                <w:sz w:val="20"/>
                <w:szCs w:val="20"/>
                <w:spacing w:val="-2"/>
              </w:rPr>
              <w:t>产生量)④</w:t>
            </w:r>
          </w:p>
        </w:tc>
        <w:tc>
          <w:tcPr>
            <w:tcW w:w="1739" w:type="dxa"/>
            <w:vAlign w:val="top"/>
          </w:tcPr>
          <w:p>
            <w:pPr>
              <w:pStyle w:val="TableText"/>
              <w:ind w:left="186" w:hanging="19"/>
              <w:spacing w:before="172" w:line="237" w:lineRule="auto"/>
              <w:rPr>
                <w:sz w:val="20"/>
                <w:szCs w:val="20"/>
              </w:rPr>
            </w:pPr>
            <w:r>
              <w:rPr>
                <w:sz w:val="20"/>
                <w:szCs w:val="20"/>
                <w:spacing w:val="-3"/>
              </w:rPr>
              <w:t>以新带老削减量  </w:t>
            </w:r>
            <w:r>
              <w:rPr>
                <w:sz w:val="20"/>
                <w:szCs w:val="20"/>
                <w:spacing w:val="-7"/>
              </w:rPr>
              <w:t>(新建项目不填)⑤</w:t>
            </w:r>
          </w:p>
        </w:tc>
        <w:tc>
          <w:tcPr>
            <w:tcW w:w="1519" w:type="dxa"/>
            <w:vAlign w:val="top"/>
          </w:tcPr>
          <w:p>
            <w:pPr>
              <w:pStyle w:val="TableText"/>
              <w:ind w:left="18" w:firstLine="139"/>
              <w:spacing w:before="52" w:line="238" w:lineRule="auto"/>
              <w:rPr>
                <w:sz w:val="20"/>
                <w:szCs w:val="20"/>
              </w:rPr>
            </w:pPr>
            <w:r>
              <w:rPr>
                <w:sz w:val="20"/>
                <w:szCs w:val="20"/>
                <w:spacing w:val="2"/>
              </w:rPr>
              <w:t>本项目建成后</w:t>
            </w:r>
            <w:r>
              <w:rPr>
                <w:sz w:val="20"/>
                <w:szCs w:val="20"/>
              </w:rPr>
              <w:t xml:space="preserve">  </w:t>
            </w:r>
            <w:r>
              <w:rPr>
                <w:sz w:val="20"/>
                <w:szCs w:val="20"/>
                <w:spacing w:val="-2"/>
              </w:rPr>
              <w:t>全厂排放量(固体</w:t>
            </w:r>
            <w:r>
              <w:rPr>
                <w:sz w:val="20"/>
                <w:szCs w:val="20"/>
                <w:spacing w:val="5"/>
              </w:rPr>
              <w:t xml:space="preserve"> </w:t>
            </w:r>
            <w:r>
              <w:rPr>
                <w:sz w:val="20"/>
                <w:szCs w:val="20"/>
                <w:spacing w:val="11"/>
              </w:rPr>
              <w:t>废物产生量)⑥</w:t>
            </w:r>
          </w:p>
        </w:tc>
        <w:tc>
          <w:tcPr>
            <w:tcW w:w="1274" w:type="dxa"/>
            <w:vAlign w:val="top"/>
          </w:tcPr>
          <w:p>
            <w:pPr>
              <w:pStyle w:val="TableText"/>
              <w:ind w:left="329"/>
              <w:spacing w:before="194" w:line="266" w:lineRule="exact"/>
              <w:rPr>
                <w:sz w:val="20"/>
                <w:szCs w:val="20"/>
              </w:rPr>
            </w:pPr>
            <w:r>
              <w:rPr>
                <w:sz w:val="20"/>
                <w:szCs w:val="20"/>
                <w:spacing w:val="-2"/>
                <w:position w:val="4"/>
              </w:rPr>
              <w:t>变化量</w:t>
            </w:r>
          </w:p>
          <w:p>
            <w:pPr>
              <w:pStyle w:val="TableText"/>
              <w:ind w:left="529"/>
              <w:spacing w:line="217" w:lineRule="auto"/>
              <w:rPr>
                <w:sz w:val="20"/>
                <w:szCs w:val="20"/>
              </w:rPr>
            </w:pPr>
            <w:r>
              <w:rPr>
                <w:sz w:val="20"/>
                <w:szCs w:val="20"/>
              </w:rPr>
              <w:t>⑦</w:t>
            </w:r>
          </w:p>
        </w:tc>
      </w:tr>
      <w:tr>
        <w:trPr>
          <w:trHeight w:val="489" w:hRule="atLeast"/>
        </w:trPr>
        <w:tc>
          <w:tcPr>
            <w:tcW w:w="1574" w:type="dxa"/>
            <w:vAlign w:val="top"/>
            <w:vMerge w:val="restart"/>
            <w:tcBorders>
              <w:bottom w:val="nil"/>
            </w:tcBorders>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pStyle w:val="TableText"/>
              <w:ind w:left="575"/>
              <w:spacing w:before="65" w:line="220" w:lineRule="auto"/>
              <w:rPr>
                <w:sz w:val="20"/>
                <w:szCs w:val="20"/>
              </w:rPr>
            </w:pPr>
            <w:r>
              <w:rPr>
                <w:sz w:val="20"/>
                <w:szCs w:val="20"/>
                <w:spacing w:val="6"/>
              </w:rPr>
              <w:t>废气</w:t>
            </w:r>
          </w:p>
        </w:tc>
        <w:tc>
          <w:tcPr>
            <w:tcW w:w="1409" w:type="dxa"/>
            <w:vAlign w:val="top"/>
          </w:tcPr>
          <w:p>
            <w:pPr>
              <w:pStyle w:val="TableText"/>
              <w:ind w:left="191"/>
              <w:spacing w:before="149" w:line="220" w:lineRule="auto"/>
              <w:rPr>
                <w:sz w:val="20"/>
                <w:szCs w:val="20"/>
              </w:rPr>
            </w:pPr>
            <w:r>
              <w:rPr>
                <w:sz w:val="20"/>
                <w:szCs w:val="20"/>
                <w:spacing w:val="-2"/>
              </w:rPr>
              <w:t>非甲烷总烃</w:t>
            </w:r>
          </w:p>
        </w:tc>
        <w:tc>
          <w:tcPr>
            <w:tcW w:w="1709" w:type="dxa"/>
            <w:vAlign w:val="top"/>
          </w:tcPr>
          <w:p>
            <w:pPr>
              <w:pStyle w:val="TableText"/>
              <w:ind w:left="592"/>
              <w:spacing w:before="199" w:line="184" w:lineRule="auto"/>
              <w:rPr>
                <w:sz w:val="20"/>
                <w:szCs w:val="20"/>
              </w:rPr>
            </w:pPr>
            <w:r>
              <w:rPr>
                <w:sz w:val="20"/>
                <w:szCs w:val="20"/>
                <w:spacing w:val="-4"/>
              </w:rPr>
              <w:t>1.534</w:t>
            </w:r>
          </w:p>
        </w:tc>
        <w:tc>
          <w:tcPr>
            <w:tcW w:w="1269" w:type="dxa"/>
            <w:vAlign w:val="top"/>
          </w:tcPr>
          <w:p>
            <w:pPr>
              <w:pStyle w:val="TableText"/>
              <w:ind w:left="272"/>
              <w:spacing w:before="199" w:line="184" w:lineRule="auto"/>
              <w:rPr>
                <w:sz w:val="20"/>
                <w:szCs w:val="20"/>
              </w:rPr>
            </w:pPr>
            <w:r>
              <w:rPr>
                <w:sz w:val="20"/>
                <w:szCs w:val="20"/>
                <w:spacing w:val="-3"/>
              </w:rPr>
              <w:t>14.9870</w:t>
            </w:r>
          </w:p>
        </w:tc>
        <w:tc>
          <w:tcPr>
            <w:tcW w:w="1689" w:type="dxa"/>
            <w:vAlign w:val="top"/>
          </w:tcPr>
          <w:p>
            <w:pPr>
              <w:pStyle w:val="TableText"/>
              <w:ind w:left="584"/>
              <w:spacing w:before="200" w:line="183" w:lineRule="auto"/>
              <w:rPr>
                <w:sz w:val="20"/>
                <w:szCs w:val="20"/>
              </w:rPr>
            </w:pPr>
            <w:r>
              <w:rPr>
                <w:sz w:val="20"/>
                <w:szCs w:val="20"/>
                <w:spacing w:val="-2"/>
              </w:rPr>
              <w:t>9.829</w:t>
            </w:r>
          </w:p>
        </w:tc>
        <w:tc>
          <w:tcPr>
            <w:tcW w:w="1578" w:type="dxa"/>
            <w:vAlign w:val="top"/>
          </w:tcPr>
          <w:p>
            <w:pPr>
              <w:pStyle w:val="TableText"/>
              <w:ind w:left="535"/>
              <w:spacing w:before="199" w:line="184" w:lineRule="auto"/>
              <w:rPr>
                <w:sz w:val="20"/>
                <w:szCs w:val="20"/>
              </w:rPr>
            </w:pPr>
            <w:r>
              <w:rPr>
                <w:sz w:val="20"/>
                <w:szCs w:val="20"/>
                <w:spacing w:val="-4"/>
              </w:rPr>
              <w:t>1.056</w:t>
            </w:r>
          </w:p>
        </w:tc>
        <w:tc>
          <w:tcPr>
            <w:tcW w:w="1739" w:type="dxa"/>
            <w:vAlign w:val="top"/>
          </w:tcPr>
          <w:p>
            <w:pPr>
              <w:pStyle w:val="TableText"/>
              <w:ind w:left="617"/>
              <w:spacing w:before="199" w:line="184" w:lineRule="auto"/>
              <w:rPr>
                <w:sz w:val="20"/>
                <w:szCs w:val="20"/>
              </w:rPr>
            </w:pPr>
            <w:r>
              <w:rPr>
                <w:sz w:val="20"/>
                <w:szCs w:val="20"/>
                <w:spacing w:val="-4"/>
              </w:rPr>
              <w:t>1.056</w:t>
            </w:r>
          </w:p>
        </w:tc>
        <w:tc>
          <w:tcPr>
            <w:tcW w:w="1519" w:type="dxa"/>
            <w:vAlign w:val="top"/>
          </w:tcPr>
          <w:p>
            <w:pPr>
              <w:pStyle w:val="TableText"/>
              <w:ind w:left="457"/>
              <w:spacing w:before="199" w:line="184" w:lineRule="auto"/>
              <w:rPr>
                <w:sz w:val="20"/>
                <w:szCs w:val="20"/>
              </w:rPr>
            </w:pPr>
            <w:r>
              <w:rPr>
                <w:sz w:val="20"/>
                <w:szCs w:val="20"/>
                <w:spacing w:val="-4"/>
              </w:rPr>
              <w:t>11.363</w:t>
            </w:r>
          </w:p>
        </w:tc>
        <w:tc>
          <w:tcPr>
            <w:tcW w:w="1274" w:type="dxa"/>
            <w:vAlign w:val="top"/>
          </w:tcPr>
          <w:p>
            <w:pPr>
              <w:pStyle w:val="TableText"/>
              <w:ind w:left="329"/>
              <w:spacing w:before="200" w:line="183" w:lineRule="auto"/>
              <w:rPr>
                <w:sz w:val="20"/>
                <w:szCs w:val="20"/>
              </w:rPr>
            </w:pPr>
            <w:r>
              <w:rPr>
                <w:sz w:val="20"/>
                <w:szCs w:val="20"/>
                <w:spacing w:val="-2"/>
              </w:rPr>
              <w:t>+9.829</w:t>
            </w:r>
          </w:p>
        </w:tc>
      </w:tr>
      <w:tr>
        <w:trPr>
          <w:trHeight w:val="489" w:hRule="atLeast"/>
        </w:trPr>
        <w:tc>
          <w:tcPr>
            <w:tcW w:w="1574" w:type="dxa"/>
            <w:vAlign w:val="top"/>
            <w:vMerge w:val="continue"/>
            <w:tcBorders>
              <w:top w:val="nil"/>
              <w:bottom w:val="nil"/>
            </w:tcBorders>
          </w:tcPr>
          <w:p>
            <w:pPr>
              <w:rPr>
                <w:rFonts w:ascii="Arial"/>
                <w:sz w:val="21"/>
              </w:rPr>
            </w:pPr>
            <w:r/>
          </w:p>
        </w:tc>
        <w:tc>
          <w:tcPr>
            <w:tcW w:w="1409" w:type="dxa"/>
            <w:vAlign w:val="top"/>
          </w:tcPr>
          <w:p>
            <w:pPr>
              <w:pStyle w:val="TableText"/>
              <w:ind w:left="391"/>
              <w:spacing w:before="150" w:line="220" w:lineRule="auto"/>
              <w:rPr>
                <w:sz w:val="20"/>
                <w:szCs w:val="20"/>
              </w:rPr>
            </w:pPr>
            <w:r>
              <w:rPr>
                <w:sz w:val="20"/>
                <w:szCs w:val="20"/>
                <w:spacing w:val="-2"/>
              </w:rPr>
              <w:t>颗粒物</w:t>
            </w:r>
          </w:p>
        </w:tc>
        <w:tc>
          <w:tcPr>
            <w:tcW w:w="1709" w:type="dxa"/>
            <w:vAlign w:val="top"/>
          </w:tcPr>
          <w:p>
            <w:pPr>
              <w:pStyle w:val="TableText"/>
              <w:ind w:left="592"/>
              <w:spacing w:before="201" w:line="183" w:lineRule="auto"/>
              <w:rPr>
                <w:sz w:val="20"/>
                <w:szCs w:val="20"/>
              </w:rPr>
            </w:pPr>
            <w:r>
              <w:rPr>
                <w:sz w:val="20"/>
                <w:szCs w:val="20"/>
                <w:spacing w:val="-2"/>
              </w:rPr>
              <w:t>0.443</w:t>
            </w:r>
          </w:p>
        </w:tc>
        <w:tc>
          <w:tcPr>
            <w:tcW w:w="1269" w:type="dxa"/>
            <w:vAlign w:val="top"/>
          </w:tcPr>
          <w:p>
            <w:pPr>
              <w:rPr>
                <w:rFonts w:ascii="Arial"/>
                <w:sz w:val="21"/>
              </w:rPr>
            </w:pPr>
            <w:r/>
          </w:p>
        </w:tc>
        <w:tc>
          <w:tcPr>
            <w:tcW w:w="1689" w:type="dxa"/>
            <w:vAlign w:val="top"/>
          </w:tcPr>
          <w:p>
            <w:pPr>
              <w:pStyle w:val="TableText"/>
              <w:ind w:left="534"/>
              <w:spacing w:before="200" w:line="184" w:lineRule="auto"/>
              <w:rPr>
                <w:sz w:val="20"/>
                <w:szCs w:val="20"/>
              </w:rPr>
            </w:pPr>
            <w:r>
              <w:rPr>
                <w:sz w:val="20"/>
                <w:szCs w:val="20"/>
                <w:spacing w:val="-4"/>
              </w:rPr>
              <w:t>12.198</w:t>
            </w:r>
          </w:p>
        </w:tc>
        <w:tc>
          <w:tcPr>
            <w:tcW w:w="1578" w:type="dxa"/>
            <w:vAlign w:val="top"/>
          </w:tcPr>
          <w:p>
            <w:pPr>
              <w:pStyle w:val="TableText"/>
              <w:ind w:left="485"/>
              <w:spacing w:before="201" w:line="183" w:lineRule="auto"/>
              <w:rPr>
                <w:sz w:val="20"/>
                <w:szCs w:val="20"/>
              </w:rPr>
            </w:pPr>
            <w:r>
              <w:rPr>
                <w:sz w:val="20"/>
                <w:szCs w:val="20"/>
                <w:spacing w:val="-2"/>
              </w:rPr>
              <w:t>3.8345</w:t>
            </w:r>
          </w:p>
        </w:tc>
        <w:tc>
          <w:tcPr>
            <w:tcW w:w="1739" w:type="dxa"/>
            <w:vAlign w:val="top"/>
          </w:tcPr>
          <w:p>
            <w:pPr>
              <w:pStyle w:val="TableText"/>
              <w:ind w:left="617"/>
              <w:spacing w:before="201" w:line="183" w:lineRule="auto"/>
              <w:rPr>
                <w:sz w:val="20"/>
                <w:szCs w:val="20"/>
              </w:rPr>
            </w:pPr>
            <w:r>
              <w:rPr>
                <w:sz w:val="20"/>
                <w:szCs w:val="20"/>
                <w:spacing w:val="-2"/>
              </w:rPr>
              <w:t>0.493</w:t>
            </w:r>
          </w:p>
        </w:tc>
        <w:tc>
          <w:tcPr>
            <w:tcW w:w="1519" w:type="dxa"/>
            <w:vAlign w:val="top"/>
          </w:tcPr>
          <w:p>
            <w:pPr>
              <w:pStyle w:val="TableText"/>
              <w:ind w:left="408"/>
              <w:spacing w:before="200" w:line="184" w:lineRule="auto"/>
              <w:rPr>
                <w:sz w:val="20"/>
                <w:szCs w:val="20"/>
              </w:rPr>
            </w:pPr>
            <w:r>
              <w:rPr>
                <w:sz w:val="20"/>
                <w:szCs w:val="20"/>
                <w:spacing w:val="-3"/>
              </w:rPr>
              <w:t>15.9825</w:t>
            </w:r>
          </w:p>
        </w:tc>
        <w:tc>
          <w:tcPr>
            <w:tcW w:w="1274" w:type="dxa"/>
            <w:vAlign w:val="top"/>
          </w:tcPr>
          <w:p>
            <w:pPr>
              <w:pStyle w:val="TableText"/>
              <w:ind w:left="329"/>
              <w:spacing w:before="200" w:line="184" w:lineRule="auto"/>
              <w:rPr>
                <w:sz w:val="20"/>
                <w:szCs w:val="20"/>
              </w:rPr>
            </w:pPr>
            <w:r>
              <w:rPr>
                <w:sz w:val="20"/>
                <w:szCs w:val="20"/>
                <w:spacing w:val="-2"/>
              </w:rPr>
              <w:t>+15.54</w:t>
            </w:r>
          </w:p>
        </w:tc>
      </w:tr>
      <w:tr>
        <w:trPr>
          <w:trHeight w:val="490" w:hRule="atLeast"/>
        </w:trPr>
        <w:tc>
          <w:tcPr>
            <w:tcW w:w="1574" w:type="dxa"/>
            <w:vAlign w:val="top"/>
            <w:vMerge w:val="continue"/>
            <w:tcBorders>
              <w:top w:val="nil"/>
              <w:bottom w:val="nil"/>
            </w:tcBorders>
          </w:tcPr>
          <w:p>
            <w:pPr>
              <w:rPr>
                <w:rFonts w:ascii="Arial"/>
                <w:sz w:val="21"/>
              </w:rPr>
            </w:pPr>
            <w:r/>
          </w:p>
        </w:tc>
        <w:tc>
          <w:tcPr>
            <w:tcW w:w="1409" w:type="dxa"/>
            <w:vAlign w:val="top"/>
          </w:tcPr>
          <w:p>
            <w:pPr>
              <w:pStyle w:val="TableText"/>
              <w:ind w:left="491"/>
              <w:spacing w:before="183" w:line="183" w:lineRule="auto"/>
              <w:rPr>
                <w:rFonts w:ascii="Calibri" w:hAnsi="Calibri" w:eastAsia="Calibri" w:cs="Calibri"/>
                <w:sz w:val="20"/>
                <w:szCs w:val="20"/>
              </w:rPr>
            </w:pPr>
            <w:r>
              <w:rPr>
                <w:sz w:val="20"/>
                <w:szCs w:val="20"/>
                <w:spacing w:val="-3"/>
              </w:rPr>
              <w:t>SO</w:t>
            </w:r>
            <w:r>
              <w:rPr>
                <w:rFonts w:ascii="Calibri" w:hAnsi="Calibri" w:eastAsia="Calibri" w:cs="Calibri"/>
                <w:sz w:val="20"/>
                <w:szCs w:val="20"/>
                <w:spacing w:val="-3"/>
              </w:rPr>
              <w:t>₂</w:t>
            </w:r>
          </w:p>
        </w:tc>
        <w:tc>
          <w:tcPr>
            <w:tcW w:w="1709" w:type="dxa"/>
            <w:vAlign w:val="top"/>
          </w:tcPr>
          <w:p>
            <w:pPr>
              <w:pStyle w:val="TableText"/>
              <w:ind w:left="642"/>
              <w:spacing w:before="202" w:line="183" w:lineRule="auto"/>
              <w:rPr>
                <w:sz w:val="20"/>
                <w:szCs w:val="20"/>
              </w:rPr>
            </w:pPr>
            <w:r>
              <w:rPr>
                <w:sz w:val="20"/>
                <w:szCs w:val="20"/>
                <w:spacing w:val="-2"/>
              </w:rPr>
              <w:t>0.33</w:t>
            </w:r>
          </w:p>
        </w:tc>
        <w:tc>
          <w:tcPr>
            <w:tcW w:w="1269" w:type="dxa"/>
            <w:vAlign w:val="top"/>
          </w:tcPr>
          <w:p>
            <w:pPr>
              <w:pStyle w:val="TableText"/>
              <w:ind w:left="323"/>
              <w:spacing w:before="202" w:line="183" w:lineRule="auto"/>
              <w:rPr>
                <w:sz w:val="20"/>
                <w:szCs w:val="20"/>
              </w:rPr>
            </w:pPr>
            <w:r>
              <w:rPr>
                <w:sz w:val="20"/>
                <w:szCs w:val="20"/>
                <w:spacing w:val="-1"/>
              </w:rPr>
              <w:t>4.7040</w:t>
            </w:r>
          </w:p>
        </w:tc>
        <w:tc>
          <w:tcPr>
            <w:tcW w:w="1689" w:type="dxa"/>
            <w:vAlign w:val="top"/>
          </w:tcPr>
          <w:p>
            <w:pPr>
              <w:pStyle w:val="TableText"/>
              <w:ind w:left="584"/>
              <w:spacing w:before="201" w:line="184" w:lineRule="auto"/>
              <w:rPr>
                <w:sz w:val="20"/>
                <w:szCs w:val="20"/>
              </w:rPr>
            </w:pPr>
            <w:r>
              <w:rPr>
                <w:sz w:val="20"/>
                <w:szCs w:val="20"/>
                <w:spacing w:val="-4"/>
              </w:rPr>
              <w:t>1.792</w:t>
            </w:r>
          </w:p>
        </w:tc>
        <w:tc>
          <w:tcPr>
            <w:tcW w:w="1578" w:type="dxa"/>
            <w:vAlign w:val="top"/>
          </w:tcPr>
          <w:p>
            <w:pPr>
              <w:pStyle w:val="TableText"/>
              <w:ind w:left="485"/>
              <w:spacing w:before="201" w:line="184" w:lineRule="auto"/>
              <w:rPr>
                <w:sz w:val="20"/>
                <w:szCs w:val="20"/>
              </w:rPr>
            </w:pPr>
            <w:r>
              <w:rPr>
                <w:sz w:val="20"/>
                <w:szCs w:val="20"/>
                <w:spacing w:val="-2"/>
              </w:rPr>
              <w:t>3.5112</w:t>
            </w:r>
          </w:p>
        </w:tc>
        <w:tc>
          <w:tcPr>
            <w:tcW w:w="1739" w:type="dxa"/>
            <w:vAlign w:val="top"/>
          </w:tcPr>
          <w:p>
            <w:pPr>
              <w:pStyle w:val="TableText"/>
              <w:ind w:left="617"/>
              <w:spacing w:before="202" w:line="183" w:lineRule="auto"/>
              <w:rPr>
                <w:sz w:val="20"/>
                <w:szCs w:val="20"/>
              </w:rPr>
            </w:pPr>
            <w:r>
              <w:rPr>
                <w:sz w:val="20"/>
                <w:szCs w:val="20"/>
                <w:spacing w:val="-2"/>
              </w:rPr>
              <w:t>0.330</w:t>
            </w:r>
          </w:p>
        </w:tc>
        <w:tc>
          <w:tcPr>
            <w:tcW w:w="1519" w:type="dxa"/>
            <w:vAlign w:val="top"/>
          </w:tcPr>
          <w:p>
            <w:pPr>
              <w:pStyle w:val="TableText"/>
              <w:ind w:left="457"/>
              <w:spacing w:before="202" w:line="183" w:lineRule="auto"/>
              <w:rPr>
                <w:sz w:val="20"/>
                <w:szCs w:val="20"/>
              </w:rPr>
            </w:pPr>
            <w:r>
              <w:rPr>
                <w:sz w:val="20"/>
                <w:szCs w:val="20"/>
                <w:spacing w:val="-2"/>
              </w:rPr>
              <w:t>5.3032</w:t>
            </w:r>
          </w:p>
        </w:tc>
        <w:tc>
          <w:tcPr>
            <w:tcW w:w="1274" w:type="dxa"/>
            <w:vAlign w:val="top"/>
          </w:tcPr>
          <w:p>
            <w:pPr>
              <w:pStyle w:val="TableText"/>
              <w:ind w:left="329"/>
              <w:spacing w:before="202" w:line="183" w:lineRule="auto"/>
              <w:rPr>
                <w:sz w:val="20"/>
                <w:szCs w:val="20"/>
              </w:rPr>
            </w:pPr>
            <w:r>
              <w:rPr>
                <w:sz w:val="20"/>
                <w:szCs w:val="20"/>
                <w:spacing w:val="-2"/>
              </w:rPr>
              <w:t>+4.973</w:t>
            </w:r>
          </w:p>
        </w:tc>
      </w:tr>
      <w:tr>
        <w:trPr>
          <w:trHeight w:val="479" w:hRule="atLeast"/>
        </w:trPr>
        <w:tc>
          <w:tcPr>
            <w:tcW w:w="1574" w:type="dxa"/>
            <w:vAlign w:val="top"/>
            <w:vMerge w:val="continue"/>
            <w:tcBorders>
              <w:top w:val="nil"/>
              <w:bottom w:val="nil"/>
            </w:tcBorders>
          </w:tcPr>
          <w:p>
            <w:pPr>
              <w:rPr>
                <w:rFonts w:ascii="Arial"/>
                <w:sz w:val="21"/>
              </w:rPr>
            </w:pPr>
            <w:r/>
          </w:p>
        </w:tc>
        <w:tc>
          <w:tcPr>
            <w:tcW w:w="1409" w:type="dxa"/>
            <w:vAlign w:val="top"/>
          </w:tcPr>
          <w:p>
            <w:pPr>
              <w:pStyle w:val="TableText"/>
              <w:ind w:left="540"/>
              <w:spacing w:before="192" w:line="183" w:lineRule="auto"/>
              <w:rPr>
                <w:sz w:val="20"/>
                <w:szCs w:val="20"/>
              </w:rPr>
            </w:pPr>
            <w:r>
              <w:rPr>
                <w:sz w:val="20"/>
                <w:szCs w:val="20"/>
                <w:spacing w:val="-1"/>
              </w:rPr>
              <w:t>NOx</w:t>
            </w:r>
          </w:p>
        </w:tc>
        <w:tc>
          <w:tcPr>
            <w:tcW w:w="1709" w:type="dxa"/>
            <w:vAlign w:val="top"/>
          </w:tcPr>
          <w:p>
            <w:pPr>
              <w:pStyle w:val="TableText"/>
              <w:ind w:left="592"/>
              <w:spacing w:before="191" w:line="184" w:lineRule="auto"/>
              <w:rPr>
                <w:sz w:val="20"/>
                <w:szCs w:val="20"/>
              </w:rPr>
            </w:pPr>
            <w:r>
              <w:rPr>
                <w:sz w:val="20"/>
                <w:szCs w:val="20"/>
                <w:spacing w:val="-2"/>
              </w:rPr>
              <w:t>9.181</w:t>
            </w:r>
          </w:p>
        </w:tc>
        <w:tc>
          <w:tcPr>
            <w:tcW w:w="1269" w:type="dxa"/>
            <w:vAlign w:val="top"/>
          </w:tcPr>
          <w:p>
            <w:pPr>
              <w:pStyle w:val="TableText"/>
              <w:ind w:left="272"/>
              <w:spacing w:before="192" w:line="183" w:lineRule="auto"/>
              <w:rPr>
                <w:sz w:val="20"/>
                <w:szCs w:val="20"/>
              </w:rPr>
            </w:pPr>
            <w:r>
              <w:rPr>
                <w:sz w:val="20"/>
                <w:szCs w:val="20"/>
                <w:spacing w:val="-2"/>
              </w:rPr>
              <w:t>29.8720</w:t>
            </w:r>
          </w:p>
        </w:tc>
        <w:tc>
          <w:tcPr>
            <w:tcW w:w="1689" w:type="dxa"/>
            <w:vAlign w:val="top"/>
          </w:tcPr>
          <w:p>
            <w:pPr>
              <w:pStyle w:val="TableText"/>
              <w:ind w:left="534"/>
              <w:spacing w:before="192" w:line="183" w:lineRule="auto"/>
              <w:rPr>
                <w:sz w:val="20"/>
                <w:szCs w:val="20"/>
              </w:rPr>
            </w:pPr>
            <w:r>
              <w:rPr>
                <w:sz w:val="20"/>
                <w:szCs w:val="20"/>
                <w:spacing w:val="-2"/>
              </w:rPr>
              <w:t>29.872</w:t>
            </w:r>
          </w:p>
        </w:tc>
        <w:tc>
          <w:tcPr>
            <w:tcW w:w="1578" w:type="dxa"/>
            <w:vAlign w:val="top"/>
          </w:tcPr>
          <w:p>
            <w:pPr>
              <w:pStyle w:val="TableText"/>
              <w:ind w:left="485"/>
              <w:spacing w:before="192" w:line="183" w:lineRule="auto"/>
              <w:rPr>
                <w:sz w:val="20"/>
                <w:szCs w:val="20"/>
              </w:rPr>
            </w:pPr>
            <w:r>
              <w:rPr>
                <w:sz w:val="20"/>
                <w:szCs w:val="20"/>
                <w:spacing w:val="-2"/>
              </w:rPr>
              <w:t>9.4586</w:t>
            </w:r>
          </w:p>
        </w:tc>
        <w:tc>
          <w:tcPr>
            <w:tcW w:w="1739" w:type="dxa"/>
            <w:vAlign w:val="top"/>
          </w:tcPr>
          <w:p>
            <w:pPr>
              <w:pStyle w:val="TableText"/>
              <w:ind w:left="617"/>
              <w:spacing w:before="191" w:line="184" w:lineRule="auto"/>
              <w:rPr>
                <w:sz w:val="20"/>
                <w:szCs w:val="20"/>
              </w:rPr>
            </w:pPr>
            <w:r>
              <w:rPr>
                <w:sz w:val="20"/>
                <w:szCs w:val="20"/>
                <w:spacing w:val="-2"/>
              </w:rPr>
              <w:t>9.181</w:t>
            </w:r>
          </w:p>
        </w:tc>
        <w:tc>
          <w:tcPr>
            <w:tcW w:w="1519" w:type="dxa"/>
            <w:vAlign w:val="top"/>
          </w:tcPr>
          <w:p>
            <w:pPr>
              <w:pStyle w:val="TableText"/>
              <w:ind w:left="408"/>
              <w:spacing w:before="192" w:line="183" w:lineRule="auto"/>
              <w:rPr>
                <w:sz w:val="20"/>
                <w:szCs w:val="20"/>
              </w:rPr>
            </w:pPr>
            <w:r>
              <w:rPr>
                <w:sz w:val="20"/>
                <w:szCs w:val="20"/>
                <w:spacing w:val="-2"/>
              </w:rPr>
              <w:t>39.3306</w:t>
            </w:r>
          </w:p>
        </w:tc>
        <w:tc>
          <w:tcPr>
            <w:tcW w:w="1274" w:type="dxa"/>
            <w:vAlign w:val="top"/>
          </w:tcPr>
          <w:p>
            <w:pPr>
              <w:pStyle w:val="TableText"/>
              <w:ind w:left="229"/>
              <w:spacing w:before="191" w:line="184" w:lineRule="auto"/>
              <w:rPr>
                <w:sz w:val="20"/>
                <w:szCs w:val="20"/>
              </w:rPr>
            </w:pPr>
            <w:r>
              <w:rPr>
                <w:sz w:val="20"/>
                <w:szCs w:val="20"/>
                <w:spacing w:val="-1"/>
              </w:rPr>
              <w:t>+30.1496</w:t>
            </w:r>
          </w:p>
        </w:tc>
      </w:tr>
      <w:tr>
        <w:trPr>
          <w:trHeight w:val="490" w:hRule="atLeast"/>
        </w:trPr>
        <w:tc>
          <w:tcPr>
            <w:tcW w:w="1574" w:type="dxa"/>
            <w:vAlign w:val="top"/>
            <w:vMerge w:val="continue"/>
            <w:tcBorders>
              <w:top w:val="nil"/>
              <w:bottom w:val="nil"/>
            </w:tcBorders>
          </w:tcPr>
          <w:p>
            <w:pPr>
              <w:rPr>
                <w:rFonts w:ascii="Arial"/>
                <w:sz w:val="21"/>
              </w:rPr>
            </w:pPr>
            <w:r/>
          </w:p>
        </w:tc>
        <w:tc>
          <w:tcPr>
            <w:tcW w:w="1409" w:type="dxa"/>
            <w:vAlign w:val="top"/>
          </w:tcPr>
          <w:p>
            <w:pPr>
              <w:pStyle w:val="TableText"/>
              <w:ind w:left="491"/>
              <w:spacing w:before="183" w:line="182" w:lineRule="auto"/>
              <w:rPr>
                <w:rFonts w:ascii="Calibri" w:hAnsi="Calibri" w:eastAsia="Calibri" w:cs="Calibri"/>
                <w:sz w:val="20"/>
                <w:szCs w:val="20"/>
              </w:rPr>
            </w:pPr>
            <w:r>
              <w:rPr>
                <w:sz w:val="20"/>
                <w:szCs w:val="20"/>
                <w:spacing w:val="-1"/>
              </w:rPr>
              <w:t>NH</w:t>
            </w:r>
            <w:r>
              <w:rPr>
                <w:rFonts w:ascii="Calibri" w:hAnsi="Calibri" w:eastAsia="Calibri" w:cs="Calibri"/>
                <w:sz w:val="20"/>
                <w:szCs w:val="20"/>
                <w:spacing w:val="-1"/>
              </w:rPr>
              <w:t>₃</w:t>
            </w:r>
          </w:p>
        </w:tc>
        <w:tc>
          <w:tcPr>
            <w:tcW w:w="1709" w:type="dxa"/>
            <w:vAlign w:val="top"/>
          </w:tcPr>
          <w:p>
            <w:pPr>
              <w:pStyle w:val="TableText"/>
              <w:ind w:left="592"/>
              <w:spacing w:before="202" w:line="184" w:lineRule="auto"/>
              <w:rPr>
                <w:sz w:val="20"/>
                <w:szCs w:val="20"/>
              </w:rPr>
            </w:pPr>
            <w:r>
              <w:rPr>
                <w:sz w:val="20"/>
                <w:szCs w:val="20"/>
                <w:spacing w:val="-2"/>
              </w:rPr>
              <w:t>0.158</w:t>
            </w:r>
          </w:p>
        </w:tc>
        <w:tc>
          <w:tcPr>
            <w:tcW w:w="1269" w:type="dxa"/>
            <w:vAlign w:val="top"/>
          </w:tcPr>
          <w:p>
            <w:pPr>
              <w:rPr>
                <w:rFonts w:ascii="Arial"/>
                <w:sz w:val="21"/>
              </w:rPr>
            </w:pPr>
            <w:r/>
          </w:p>
        </w:tc>
        <w:tc>
          <w:tcPr>
            <w:tcW w:w="1689" w:type="dxa"/>
            <w:vAlign w:val="top"/>
          </w:tcPr>
          <w:p>
            <w:pPr>
              <w:pStyle w:val="TableText"/>
              <w:ind w:left="584"/>
              <w:spacing w:before="203" w:line="183" w:lineRule="auto"/>
              <w:rPr>
                <w:sz w:val="20"/>
                <w:szCs w:val="20"/>
              </w:rPr>
            </w:pPr>
            <w:r>
              <w:rPr>
                <w:sz w:val="20"/>
                <w:szCs w:val="20"/>
                <w:spacing w:val="-2"/>
              </w:rPr>
              <w:t>0.498</w:t>
            </w:r>
          </w:p>
        </w:tc>
        <w:tc>
          <w:tcPr>
            <w:tcW w:w="1578" w:type="dxa"/>
            <w:vAlign w:val="top"/>
          </w:tcPr>
          <w:p>
            <w:pPr>
              <w:pStyle w:val="TableText"/>
              <w:ind w:left="535"/>
              <w:spacing w:before="202" w:line="184" w:lineRule="auto"/>
              <w:rPr>
                <w:sz w:val="20"/>
                <w:szCs w:val="20"/>
              </w:rPr>
            </w:pPr>
            <w:r>
              <w:rPr>
                <w:sz w:val="20"/>
                <w:szCs w:val="20"/>
                <w:spacing w:val="-2"/>
              </w:rPr>
              <w:t>0.164</w:t>
            </w:r>
          </w:p>
        </w:tc>
        <w:tc>
          <w:tcPr>
            <w:tcW w:w="1739" w:type="dxa"/>
            <w:vAlign w:val="top"/>
          </w:tcPr>
          <w:p>
            <w:pPr>
              <w:pStyle w:val="TableText"/>
              <w:ind w:left="817"/>
              <w:spacing w:before="203" w:line="183" w:lineRule="auto"/>
              <w:rPr>
                <w:sz w:val="20"/>
                <w:szCs w:val="20"/>
              </w:rPr>
            </w:pPr>
            <w:r>
              <w:rPr>
                <w:sz w:val="20"/>
                <w:szCs w:val="20"/>
              </w:rPr>
              <w:t>0</w:t>
            </w:r>
          </w:p>
        </w:tc>
        <w:tc>
          <w:tcPr>
            <w:tcW w:w="1519" w:type="dxa"/>
            <w:vAlign w:val="top"/>
          </w:tcPr>
          <w:p>
            <w:pPr>
              <w:pStyle w:val="TableText"/>
              <w:ind w:left="507"/>
              <w:spacing w:before="203" w:line="183" w:lineRule="auto"/>
              <w:rPr>
                <w:sz w:val="20"/>
                <w:szCs w:val="20"/>
              </w:rPr>
            </w:pPr>
            <w:r>
              <w:rPr>
                <w:sz w:val="20"/>
                <w:szCs w:val="20"/>
                <w:spacing w:val="-2"/>
              </w:rPr>
              <w:t>0.820</w:t>
            </w:r>
          </w:p>
        </w:tc>
        <w:tc>
          <w:tcPr>
            <w:tcW w:w="1274" w:type="dxa"/>
            <w:vAlign w:val="top"/>
          </w:tcPr>
          <w:p>
            <w:pPr>
              <w:pStyle w:val="TableText"/>
              <w:ind w:left="329"/>
              <w:spacing w:before="203" w:line="183" w:lineRule="auto"/>
              <w:rPr>
                <w:sz w:val="20"/>
                <w:szCs w:val="20"/>
              </w:rPr>
            </w:pPr>
            <w:r>
              <w:rPr>
                <w:sz w:val="20"/>
                <w:szCs w:val="20"/>
                <w:spacing w:val="-2"/>
              </w:rPr>
              <w:t>+0.662</w:t>
            </w:r>
          </w:p>
        </w:tc>
      </w:tr>
      <w:tr>
        <w:trPr>
          <w:trHeight w:val="519" w:hRule="atLeast"/>
        </w:trPr>
        <w:tc>
          <w:tcPr>
            <w:tcW w:w="1574" w:type="dxa"/>
            <w:vAlign w:val="top"/>
            <w:vMerge w:val="continue"/>
            <w:tcBorders>
              <w:top w:val="nil"/>
            </w:tcBorders>
          </w:tcPr>
          <w:p>
            <w:pPr>
              <w:rPr>
                <w:rFonts w:ascii="Arial"/>
                <w:sz w:val="21"/>
              </w:rPr>
            </w:pPr>
            <w:r/>
          </w:p>
        </w:tc>
        <w:tc>
          <w:tcPr>
            <w:tcW w:w="1409" w:type="dxa"/>
            <w:vAlign w:val="top"/>
          </w:tcPr>
          <w:p>
            <w:pPr>
              <w:pStyle w:val="TableText"/>
              <w:ind w:left="491"/>
              <w:spacing w:before="194" w:line="183" w:lineRule="auto"/>
              <w:rPr>
                <w:sz w:val="20"/>
                <w:szCs w:val="20"/>
              </w:rPr>
            </w:pPr>
            <w:r>
              <w:rPr>
                <w:sz w:val="20"/>
                <w:szCs w:val="20"/>
                <w:spacing w:val="-2"/>
              </w:rPr>
              <w:t>H</w:t>
            </w:r>
            <w:r>
              <w:rPr>
                <w:rFonts w:ascii="Calibri" w:hAnsi="Calibri" w:eastAsia="Calibri" w:cs="Calibri"/>
                <w:sz w:val="20"/>
                <w:szCs w:val="20"/>
                <w:spacing w:val="-2"/>
              </w:rPr>
              <w:t>₂</w:t>
            </w:r>
            <w:r>
              <w:rPr>
                <w:sz w:val="20"/>
                <w:szCs w:val="20"/>
                <w:spacing w:val="-2"/>
              </w:rPr>
              <w:t>S</w:t>
            </w:r>
          </w:p>
        </w:tc>
        <w:tc>
          <w:tcPr>
            <w:tcW w:w="1709" w:type="dxa"/>
            <w:vAlign w:val="top"/>
          </w:tcPr>
          <w:p>
            <w:pPr>
              <w:pStyle w:val="TableText"/>
              <w:ind w:left="592"/>
              <w:spacing w:before="213" w:line="183" w:lineRule="auto"/>
              <w:rPr>
                <w:sz w:val="20"/>
                <w:szCs w:val="20"/>
              </w:rPr>
            </w:pPr>
            <w:r>
              <w:rPr>
                <w:sz w:val="20"/>
                <w:szCs w:val="20"/>
                <w:spacing w:val="-2"/>
              </w:rPr>
              <w:t>0.002</w:t>
            </w:r>
          </w:p>
        </w:tc>
        <w:tc>
          <w:tcPr>
            <w:tcW w:w="1269" w:type="dxa"/>
            <w:vAlign w:val="top"/>
          </w:tcPr>
          <w:p>
            <w:pPr>
              <w:rPr>
                <w:rFonts w:ascii="Arial"/>
                <w:sz w:val="21"/>
              </w:rPr>
            </w:pPr>
            <w:r/>
          </w:p>
        </w:tc>
        <w:tc>
          <w:tcPr>
            <w:tcW w:w="1689" w:type="dxa"/>
            <w:vAlign w:val="top"/>
          </w:tcPr>
          <w:p>
            <w:pPr>
              <w:pStyle w:val="TableText"/>
              <w:ind w:left="584"/>
              <w:spacing w:before="212" w:line="184" w:lineRule="auto"/>
              <w:rPr>
                <w:sz w:val="20"/>
                <w:szCs w:val="20"/>
              </w:rPr>
            </w:pPr>
            <w:r>
              <w:rPr>
                <w:sz w:val="20"/>
                <w:szCs w:val="20"/>
                <w:spacing w:val="-2"/>
              </w:rPr>
              <w:t>0.010</w:t>
            </w:r>
          </w:p>
        </w:tc>
        <w:tc>
          <w:tcPr>
            <w:tcW w:w="1578" w:type="dxa"/>
            <w:vAlign w:val="top"/>
          </w:tcPr>
          <w:p>
            <w:pPr>
              <w:pStyle w:val="TableText"/>
              <w:ind w:left="535"/>
              <w:spacing w:before="213" w:line="183" w:lineRule="auto"/>
              <w:rPr>
                <w:sz w:val="20"/>
                <w:szCs w:val="20"/>
              </w:rPr>
            </w:pPr>
            <w:r>
              <w:rPr>
                <w:sz w:val="20"/>
                <w:szCs w:val="20"/>
                <w:spacing w:val="-2"/>
              </w:rPr>
              <w:t>0.003</w:t>
            </w:r>
          </w:p>
        </w:tc>
        <w:tc>
          <w:tcPr>
            <w:tcW w:w="1739" w:type="dxa"/>
            <w:vAlign w:val="top"/>
          </w:tcPr>
          <w:p>
            <w:pPr>
              <w:pStyle w:val="TableText"/>
              <w:ind w:left="817"/>
              <w:spacing w:before="213" w:line="183" w:lineRule="auto"/>
              <w:rPr>
                <w:sz w:val="20"/>
                <w:szCs w:val="20"/>
              </w:rPr>
            </w:pPr>
            <w:r>
              <w:rPr>
                <w:sz w:val="20"/>
                <w:szCs w:val="20"/>
              </w:rPr>
              <w:t>0</w:t>
            </w:r>
          </w:p>
        </w:tc>
        <w:tc>
          <w:tcPr>
            <w:tcW w:w="1519" w:type="dxa"/>
            <w:vAlign w:val="top"/>
          </w:tcPr>
          <w:p>
            <w:pPr>
              <w:pStyle w:val="TableText"/>
              <w:ind w:left="507"/>
              <w:spacing w:before="212" w:line="184" w:lineRule="auto"/>
              <w:rPr>
                <w:sz w:val="20"/>
                <w:szCs w:val="20"/>
              </w:rPr>
            </w:pPr>
            <w:r>
              <w:rPr>
                <w:sz w:val="20"/>
                <w:szCs w:val="20"/>
                <w:spacing w:val="-2"/>
              </w:rPr>
              <w:t>0.015</w:t>
            </w:r>
          </w:p>
        </w:tc>
        <w:tc>
          <w:tcPr>
            <w:tcW w:w="1274" w:type="dxa"/>
            <w:vAlign w:val="top"/>
          </w:tcPr>
          <w:p>
            <w:pPr>
              <w:pStyle w:val="TableText"/>
              <w:ind w:left="329"/>
              <w:spacing w:before="212" w:line="184" w:lineRule="auto"/>
              <w:rPr>
                <w:sz w:val="20"/>
                <w:szCs w:val="20"/>
              </w:rPr>
            </w:pPr>
            <w:r>
              <w:rPr>
                <w:sz w:val="20"/>
                <w:szCs w:val="20"/>
                <w:spacing w:val="-2"/>
              </w:rPr>
              <w:t>+0.013</w:t>
            </w:r>
          </w:p>
        </w:tc>
      </w:tr>
      <w:tr>
        <w:trPr>
          <w:trHeight w:val="489" w:hRule="atLeast"/>
        </w:trPr>
        <w:tc>
          <w:tcPr>
            <w:tcW w:w="1574" w:type="dxa"/>
            <w:vAlign w:val="top"/>
            <w:vMerge w:val="restart"/>
            <w:tcBorders>
              <w:bottom w:val="nil"/>
            </w:tcBorders>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pStyle w:val="TableText"/>
              <w:ind w:left="575"/>
              <w:spacing w:before="65" w:line="219" w:lineRule="auto"/>
              <w:rPr>
                <w:sz w:val="20"/>
                <w:szCs w:val="20"/>
              </w:rPr>
            </w:pPr>
            <w:r>
              <w:rPr>
                <w:sz w:val="20"/>
                <w:szCs w:val="20"/>
                <w:spacing w:val="-2"/>
              </w:rPr>
              <w:t>废水</w:t>
            </w:r>
          </w:p>
        </w:tc>
        <w:tc>
          <w:tcPr>
            <w:tcW w:w="1409" w:type="dxa"/>
            <w:vAlign w:val="top"/>
          </w:tcPr>
          <w:p>
            <w:pPr>
              <w:pStyle w:val="TableText"/>
              <w:ind w:left="491"/>
              <w:spacing w:before="153" w:line="219" w:lineRule="auto"/>
              <w:rPr>
                <w:sz w:val="20"/>
                <w:szCs w:val="20"/>
              </w:rPr>
            </w:pPr>
            <w:r>
              <w:rPr>
                <w:sz w:val="20"/>
                <w:szCs w:val="20"/>
                <w:spacing w:val="-3"/>
              </w:rPr>
              <w:t>水量</w:t>
            </w:r>
          </w:p>
        </w:tc>
        <w:tc>
          <w:tcPr>
            <w:tcW w:w="1709" w:type="dxa"/>
            <w:vAlign w:val="top"/>
          </w:tcPr>
          <w:p>
            <w:pPr>
              <w:pStyle w:val="TableText"/>
              <w:ind w:left="542"/>
              <w:spacing w:before="204" w:line="183" w:lineRule="auto"/>
              <w:rPr>
                <w:sz w:val="20"/>
                <w:szCs w:val="20"/>
              </w:rPr>
            </w:pPr>
            <w:r>
              <w:rPr>
                <w:sz w:val="20"/>
                <w:szCs w:val="20"/>
                <w:spacing w:val="-2"/>
              </w:rPr>
              <w:t>209700</w:t>
            </w:r>
          </w:p>
        </w:tc>
        <w:tc>
          <w:tcPr>
            <w:tcW w:w="1269" w:type="dxa"/>
            <w:vAlign w:val="top"/>
          </w:tcPr>
          <w:p>
            <w:pPr>
              <w:rPr>
                <w:rFonts w:ascii="Arial"/>
                <w:sz w:val="21"/>
              </w:rPr>
            </w:pPr>
            <w:r/>
          </w:p>
        </w:tc>
        <w:tc>
          <w:tcPr>
            <w:tcW w:w="1689" w:type="dxa"/>
            <w:vAlign w:val="top"/>
          </w:tcPr>
          <w:p>
            <w:pPr>
              <w:pStyle w:val="TableText"/>
              <w:ind w:left="534"/>
              <w:spacing w:before="204" w:line="183" w:lineRule="auto"/>
              <w:rPr>
                <w:sz w:val="20"/>
                <w:szCs w:val="20"/>
              </w:rPr>
            </w:pPr>
            <w:r>
              <w:rPr>
                <w:sz w:val="20"/>
                <w:szCs w:val="20"/>
                <w:spacing w:val="-2"/>
              </w:rPr>
              <w:t>200700</w:t>
            </w:r>
          </w:p>
        </w:tc>
        <w:tc>
          <w:tcPr>
            <w:tcW w:w="1578" w:type="dxa"/>
            <w:vAlign w:val="top"/>
          </w:tcPr>
          <w:p>
            <w:pPr>
              <w:pStyle w:val="TableText"/>
              <w:ind w:left="535"/>
              <w:spacing w:before="204" w:line="183" w:lineRule="auto"/>
              <w:rPr>
                <w:sz w:val="20"/>
                <w:szCs w:val="20"/>
              </w:rPr>
            </w:pPr>
            <w:r>
              <w:rPr>
                <w:sz w:val="20"/>
                <w:szCs w:val="20"/>
                <w:spacing w:val="-2"/>
              </w:rPr>
              <w:t>65640</w:t>
            </w:r>
          </w:p>
        </w:tc>
        <w:tc>
          <w:tcPr>
            <w:tcW w:w="1739" w:type="dxa"/>
            <w:vAlign w:val="top"/>
          </w:tcPr>
          <w:p>
            <w:pPr>
              <w:pStyle w:val="TableText"/>
              <w:ind w:left="817"/>
              <w:spacing w:before="204" w:line="183" w:lineRule="auto"/>
              <w:rPr>
                <w:sz w:val="20"/>
                <w:szCs w:val="20"/>
              </w:rPr>
            </w:pPr>
            <w:r>
              <w:rPr>
                <w:sz w:val="20"/>
                <w:szCs w:val="20"/>
              </w:rPr>
              <w:t>0</w:t>
            </w:r>
          </w:p>
        </w:tc>
        <w:tc>
          <w:tcPr>
            <w:tcW w:w="1519" w:type="dxa"/>
            <w:vAlign w:val="top"/>
          </w:tcPr>
          <w:p>
            <w:pPr>
              <w:pStyle w:val="TableText"/>
              <w:ind w:left="457"/>
              <w:spacing w:before="204" w:line="183" w:lineRule="auto"/>
              <w:rPr>
                <w:sz w:val="20"/>
                <w:szCs w:val="20"/>
              </w:rPr>
            </w:pPr>
            <w:r>
              <w:rPr>
                <w:sz w:val="20"/>
                <w:szCs w:val="20"/>
                <w:spacing w:val="-1"/>
              </w:rPr>
              <w:t>476040</w:t>
            </w:r>
          </w:p>
        </w:tc>
        <w:tc>
          <w:tcPr>
            <w:tcW w:w="1274" w:type="dxa"/>
            <w:vAlign w:val="top"/>
          </w:tcPr>
          <w:p>
            <w:pPr>
              <w:pStyle w:val="TableText"/>
              <w:ind w:left="279"/>
              <w:spacing w:before="204" w:line="183" w:lineRule="auto"/>
              <w:rPr>
                <w:sz w:val="20"/>
                <w:szCs w:val="20"/>
              </w:rPr>
            </w:pPr>
            <w:r>
              <w:rPr>
                <w:sz w:val="20"/>
                <w:szCs w:val="20"/>
                <w:spacing w:val="-2"/>
              </w:rPr>
              <w:t>+266340</w:t>
            </w:r>
          </w:p>
        </w:tc>
      </w:tr>
      <w:tr>
        <w:trPr>
          <w:trHeight w:val="480" w:hRule="atLeast"/>
        </w:trPr>
        <w:tc>
          <w:tcPr>
            <w:tcW w:w="1574" w:type="dxa"/>
            <w:vAlign w:val="top"/>
            <w:vMerge w:val="continue"/>
            <w:tcBorders>
              <w:top w:val="nil"/>
              <w:bottom w:val="nil"/>
            </w:tcBorders>
          </w:tcPr>
          <w:p>
            <w:pPr>
              <w:rPr>
                <w:rFonts w:ascii="Arial"/>
                <w:sz w:val="21"/>
              </w:rPr>
            </w:pPr>
            <w:r/>
          </w:p>
        </w:tc>
        <w:tc>
          <w:tcPr>
            <w:tcW w:w="1409" w:type="dxa"/>
            <w:vAlign w:val="top"/>
          </w:tcPr>
          <w:p>
            <w:pPr>
              <w:pStyle w:val="TableText"/>
              <w:ind w:left="540"/>
              <w:spacing w:before="195" w:line="183" w:lineRule="auto"/>
              <w:rPr>
                <w:sz w:val="20"/>
                <w:szCs w:val="20"/>
              </w:rPr>
            </w:pPr>
            <w:r>
              <w:rPr>
                <w:sz w:val="20"/>
                <w:szCs w:val="20"/>
                <w:spacing w:val="-2"/>
              </w:rPr>
              <w:t>COD</w:t>
            </w:r>
          </w:p>
        </w:tc>
        <w:tc>
          <w:tcPr>
            <w:tcW w:w="1709" w:type="dxa"/>
            <w:vAlign w:val="top"/>
          </w:tcPr>
          <w:p>
            <w:pPr>
              <w:pStyle w:val="TableText"/>
              <w:ind w:left="592"/>
              <w:spacing w:before="195" w:line="183" w:lineRule="auto"/>
              <w:rPr>
                <w:sz w:val="20"/>
                <w:szCs w:val="20"/>
              </w:rPr>
            </w:pPr>
            <w:r>
              <w:rPr>
                <w:sz w:val="20"/>
                <w:szCs w:val="20"/>
                <w:spacing w:val="-3"/>
              </w:rPr>
              <w:t>7.377</w:t>
            </w:r>
          </w:p>
        </w:tc>
        <w:tc>
          <w:tcPr>
            <w:tcW w:w="1269" w:type="dxa"/>
            <w:vAlign w:val="top"/>
          </w:tcPr>
          <w:p>
            <w:pPr>
              <w:pStyle w:val="TableText"/>
              <w:ind w:left="323"/>
              <w:spacing w:before="194" w:line="184" w:lineRule="auto"/>
              <w:rPr>
                <w:sz w:val="20"/>
                <w:szCs w:val="20"/>
              </w:rPr>
            </w:pPr>
            <w:r>
              <w:rPr>
                <w:sz w:val="20"/>
                <w:szCs w:val="20"/>
                <w:spacing w:val="-4"/>
              </w:rPr>
              <w:t>1.9350</w:t>
            </w:r>
          </w:p>
        </w:tc>
        <w:tc>
          <w:tcPr>
            <w:tcW w:w="1689" w:type="dxa"/>
            <w:vAlign w:val="top"/>
          </w:tcPr>
          <w:p>
            <w:pPr>
              <w:pStyle w:val="TableText"/>
              <w:ind w:left="634"/>
              <w:spacing w:before="195" w:line="183" w:lineRule="auto"/>
              <w:rPr>
                <w:sz w:val="20"/>
                <w:szCs w:val="20"/>
              </w:rPr>
            </w:pPr>
            <w:r>
              <w:rPr>
                <w:sz w:val="20"/>
                <w:szCs w:val="20"/>
                <w:spacing w:val="-2"/>
              </w:rPr>
              <w:t>6.06</w:t>
            </w:r>
          </w:p>
        </w:tc>
        <w:tc>
          <w:tcPr>
            <w:tcW w:w="1578" w:type="dxa"/>
            <w:vAlign w:val="top"/>
          </w:tcPr>
          <w:p>
            <w:pPr>
              <w:pStyle w:val="TableText"/>
              <w:ind w:left="485"/>
              <w:spacing w:before="195" w:line="183" w:lineRule="auto"/>
              <w:rPr>
                <w:sz w:val="20"/>
                <w:szCs w:val="20"/>
              </w:rPr>
            </w:pPr>
            <w:r>
              <w:rPr>
                <w:sz w:val="20"/>
                <w:szCs w:val="20"/>
                <w:spacing w:val="-2"/>
              </w:rPr>
              <w:t>0.9945</w:t>
            </w:r>
          </w:p>
        </w:tc>
        <w:tc>
          <w:tcPr>
            <w:tcW w:w="1739" w:type="dxa"/>
            <w:vAlign w:val="top"/>
          </w:tcPr>
          <w:p>
            <w:pPr>
              <w:pStyle w:val="TableText"/>
              <w:ind w:left="817"/>
              <w:spacing w:before="195" w:line="183" w:lineRule="auto"/>
              <w:rPr>
                <w:sz w:val="20"/>
                <w:szCs w:val="20"/>
              </w:rPr>
            </w:pPr>
            <w:r>
              <w:rPr>
                <w:sz w:val="20"/>
                <w:szCs w:val="20"/>
              </w:rPr>
              <w:t>0</w:t>
            </w:r>
          </w:p>
        </w:tc>
        <w:tc>
          <w:tcPr>
            <w:tcW w:w="1519" w:type="dxa"/>
            <w:vAlign w:val="top"/>
          </w:tcPr>
          <w:p>
            <w:pPr>
              <w:pStyle w:val="TableText"/>
              <w:ind w:left="408"/>
              <w:spacing w:before="194" w:line="184" w:lineRule="auto"/>
              <w:rPr>
                <w:sz w:val="20"/>
                <w:szCs w:val="20"/>
              </w:rPr>
            </w:pPr>
            <w:r>
              <w:rPr>
                <w:sz w:val="20"/>
                <w:szCs w:val="20"/>
                <w:spacing w:val="-3"/>
              </w:rPr>
              <w:t>14.4315</w:t>
            </w:r>
          </w:p>
        </w:tc>
        <w:tc>
          <w:tcPr>
            <w:tcW w:w="1274" w:type="dxa"/>
            <w:vAlign w:val="top"/>
          </w:tcPr>
          <w:p>
            <w:pPr>
              <w:pStyle w:val="TableText"/>
              <w:ind w:left="329"/>
              <w:spacing w:before="195" w:line="183" w:lineRule="auto"/>
              <w:rPr>
                <w:sz w:val="20"/>
                <w:szCs w:val="20"/>
              </w:rPr>
            </w:pPr>
            <w:r>
              <w:rPr>
                <w:sz w:val="20"/>
                <w:szCs w:val="20"/>
                <w:spacing w:val="-2"/>
              </w:rPr>
              <w:t>+7.055</w:t>
            </w:r>
          </w:p>
        </w:tc>
      </w:tr>
      <w:tr>
        <w:trPr>
          <w:trHeight w:val="490" w:hRule="atLeast"/>
        </w:trPr>
        <w:tc>
          <w:tcPr>
            <w:tcW w:w="1574" w:type="dxa"/>
            <w:vAlign w:val="top"/>
            <w:vMerge w:val="continue"/>
            <w:tcBorders>
              <w:top w:val="nil"/>
              <w:bottom w:val="nil"/>
            </w:tcBorders>
          </w:tcPr>
          <w:p>
            <w:pPr>
              <w:rPr>
                <w:rFonts w:ascii="Arial"/>
                <w:sz w:val="21"/>
              </w:rPr>
            </w:pPr>
            <w:r/>
          </w:p>
        </w:tc>
        <w:tc>
          <w:tcPr>
            <w:tcW w:w="1409" w:type="dxa"/>
            <w:vAlign w:val="top"/>
          </w:tcPr>
          <w:p>
            <w:pPr>
              <w:pStyle w:val="TableText"/>
              <w:ind w:left="491"/>
              <w:spacing w:before="152" w:line="219" w:lineRule="auto"/>
              <w:rPr>
                <w:sz w:val="20"/>
                <w:szCs w:val="20"/>
              </w:rPr>
            </w:pPr>
            <w:r>
              <w:rPr>
                <w:sz w:val="20"/>
                <w:szCs w:val="20"/>
                <w:spacing w:val="-2"/>
              </w:rPr>
              <w:t>氨氮</w:t>
            </w:r>
          </w:p>
        </w:tc>
        <w:tc>
          <w:tcPr>
            <w:tcW w:w="1709" w:type="dxa"/>
            <w:vAlign w:val="top"/>
          </w:tcPr>
          <w:p>
            <w:pPr>
              <w:pStyle w:val="TableText"/>
              <w:ind w:left="592"/>
              <w:spacing w:before="205" w:line="183" w:lineRule="auto"/>
              <w:rPr>
                <w:sz w:val="20"/>
                <w:szCs w:val="20"/>
              </w:rPr>
            </w:pPr>
            <w:r>
              <w:rPr>
                <w:sz w:val="20"/>
                <w:szCs w:val="20"/>
                <w:spacing w:val="-2"/>
              </w:rPr>
              <w:t>0.738</w:t>
            </w:r>
          </w:p>
        </w:tc>
        <w:tc>
          <w:tcPr>
            <w:tcW w:w="1269" w:type="dxa"/>
            <w:vAlign w:val="top"/>
          </w:tcPr>
          <w:p>
            <w:pPr>
              <w:pStyle w:val="TableText"/>
              <w:ind w:left="323"/>
              <w:spacing w:before="204" w:line="184" w:lineRule="auto"/>
              <w:rPr>
                <w:sz w:val="20"/>
                <w:szCs w:val="20"/>
              </w:rPr>
            </w:pPr>
            <w:r>
              <w:rPr>
                <w:sz w:val="20"/>
                <w:szCs w:val="20"/>
                <w:spacing w:val="-2"/>
              </w:rPr>
              <w:t>0.1930</w:t>
            </w:r>
          </w:p>
        </w:tc>
        <w:tc>
          <w:tcPr>
            <w:tcW w:w="1689" w:type="dxa"/>
            <w:vAlign w:val="top"/>
          </w:tcPr>
          <w:p>
            <w:pPr>
              <w:pStyle w:val="TableText"/>
              <w:ind w:left="584"/>
              <w:spacing w:before="205" w:line="183" w:lineRule="auto"/>
              <w:rPr>
                <w:sz w:val="20"/>
                <w:szCs w:val="20"/>
              </w:rPr>
            </w:pPr>
            <w:r>
              <w:rPr>
                <w:sz w:val="20"/>
                <w:szCs w:val="20"/>
                <w:spacing w:val="-2"/>
              </w:rPr>
              <w:t>0.606</w:t>
            </w:r>
          </w:p>
        </w:tc>
        <w:tc>
          <w:tcPr>
            <w:tcW w:w="1578" w:type="dxa"/>
            <w:vAlign w:val="top"/>
          </w:tcPr>
          <w:p>
            <w:pPr>
              <w:pStyle w:val="TableText"/>
              <w:ind w:left="485"/>
              <w:spacing w:before="205" w:line="183" w:lineRule="auto"/>
              <w:rPr>
                <w:sz w:val="20"/>
                <w:szCs w:val="20"/>
              </w:rPr>
            </w:pPr>
            <w:r>
              <w:rPr>
                <w:sz w:val="20"/>
                <w:szCs w:val="20"/>
                <w:spacing w:val="-2"/>
              </w:rPr>
              <w:t>0.0994</w:t>
            </w:r>
          </w:p>
        </w:tc>
        <w:tc>
          <w:tcPr>
            <w:tcW w:w="1739" w:type="dxa"/>
            <w:vAlign w:val="top"/>
          </w:tcPr>
          <w:p>
            <w:pPr>
              <w:pStyle w:val="TableText"/>
              <w:ind w:left="817"/>
              <w:spacing w:before="205" w:line="183" w:lineRule="auto"/>
              <w:rPr>
                <w:sz w:val="20"/>
                <w:szCs w:val="20"/>
              </w:rPr>
            </w:pPr>
            <w:r>
              <w:rPr>
                <w:sz w:val="20"/>
                <w:szCs w:val="20"/>
              </w:rPr>
              <w:t>0</w:t>
            </w:r>
          </w:p>
        </w:tc>
        <w:tc>
          <w:tcPr>
            <w:tcW w:w="1519" w:type="dxa"/>
            <w:vAlign w:val="top"/>
          </w:tcPr>
          <w:p>
            <w:pPr>
              <w:pStyle w:val="TableText"/>
              <w:ind w:left="457"/>
              <w:spacing w:before="204" w:line="184" w:lineRule="auto"/>
              <w:rPr>
                <w:sz w:val="20"/>
                <w:szCs w:val="20"/>
              </w:rPr>
            </w:pPr>
            <w:r>
              <w:rPr>
                <w:sz w:val="20"/>
                <w:szCs w:val="20"/>
                <w:spacing w:val="-4"/>
              </w:rPr>
              <w:t>1.4434</w:t>
            </w:r>
          </w:p>
        </w:tc>
        <w:tc>
          <w:tcPr>
            <w:tcW w:w="1274" w:type="dxa"/>
            <w:vAlign w:val="top"/>
          </w:tcPr>
          <w:p>
            <w:pPr>
              <w:pStyle w:val="TableText"/>
              <w:ind w:left="329"/>
              <w:spacing w:before="205" w:line="183" w:lineRule="auto"/>
              <w:rPr>
                <w:sz w:val="20"/>
                <w:szCs w:val="20"/>
              </w:rPr>
            </w:pPr>
            <w:r>
              <w:rPr>
                <w:sz w:val="20"/>
                <w:szCs w:val="20"/>
                <w:spacing w:val="-2"/>
              </w:rPr>
              <w:t>+0.705</w:t>
            </w:r>
          </w:p>
        </w:tc>
      </w:tr>
      <w:tr>
        <w:trPr>
          <w:trHeight w:val="519" w:hRule="atLeast"/>
        </w:trPr>
        <w:tc>
          <w:tcPr>
            <w:tcW w:w="1574" w:type="dxa"/>
            <w:vAlign w:val="top"/>
            <w:vMerge w:val="continue"/>
            <w:tcBorders>
              <w:top w:val="nil"/>
              <w:bottom w:val="nil"/>
            </w:tcBorders>
          </w:tcPr>
          <w:p>
            <w:pPr>
              <w:rPr>
                <w:rFonts w:ascii="Arial"/>
                <w:sz w:val="21"/>
              </w:rPr>
            </w:pPr>
            <w:r/>
          </w:p>
        </w:tc>
        <w:tc>
          <w:tcPr>
            <w:tcW w:w="1409" w:type="dxa"/>
            <w:vAlign w:val="top"/>
          </w:tcPr>
          <w:p>
            <w:pPr>
              <w:pStyle w:val="TableText"/>
              <w:ind w:left="491"/>
              <w:spacing w:before="166" w:line="221" w:lineRule="auto"/>
              <w:rPr>
                <w:sz w:val="20"/>
                <w:szCs w:val="20"/>
              </w:rPr>
            </w:pPr>
            <w:r>
              <w:rPr>
                <w:sz w:val="20"/>
                <w:szCs w:val="20"/>
                <w:spacing w:val="4"/>
              </w:rPr>
              <w:t>总钴</w:t>
            </w:r>
          </w:p>
        </w:tc>
        <w:tc>
          <w:tcPr>
            <w:tcW w:w="1709" w:type="dxa"/>
            <w:vAlign w:val="top"/>
          </w:tcPr>
          <w:p>
            <w:pPr>
              <w:pStyle w:val="TableText"/>
              <w:ind w:left="491"/>
              <w:spacing w:before="214" w:line="184" w:lineRule="auto"/>
              <w:rPr>
                <w:sz w:val="20"/>
                <w:szCs w:val="20"/>
              </w:rPr>
            </w:pPr>
            <w:r>
              <w:rPr>
                <w:sz w:val="20"/>
                <w:szCs w:val="20"/>
                <w:spacing w:val="-2"/>
              </w:rPr>
              <w:t>0.00001</w:t>
            </w:r>
          </w:p>
        </w:tc>
        <w:tc>
          <w:tcPr>
            <w:tcW w:w="1269" w:type="dxa"/>
            <w:vAlign w:val="top"/>
          </w:tcPr>
          <w:p>
            <w:pPr>
              <w:rPr>
                <w:rFonts w:ascii="Arial"/>
                <w:sz w:val="21"/>
              </w:rPr>
            </w:pPr>
            <w:r/>
          </w:p>
        </w:tc>
        <w:tc>
          <w:tcPr>
            <w:tcW w:w="1689" w:type="dxa"/>
            <w:vAlign w:val="top"/>
          </w:tcPr>
          <w:p>
            <w:pPr>
              <w:pStyle w:val="TableText"/>
              <w:ind w:left="584"/>
              <w:spacing w:before="214" w:line="184" w:lineRule="auto"/>
              <w:rPr>
                <w:sz w:val="20"/>
                <w:szCs w:val="20"/>
              </w:rPr>
            </w:pPr>
            <w:r>
              <w:rPr>
                <w:sz w:val="20"/>
                <w:szCs w:val="20"/>
                <w:spacing w:val="-2"/>
              </w:rPr>
              <w:t>0.001</w:t>
            </w:r>
          </w:p>
        </w:tc>
        <w:tc>
          <w:tcPr>
            <w:tcW w:w="1578" w:type="dxa"/>
            <w:vAlign w:val="top"/>
          </w:tcPr>
          <w:p>
            <w:pPr>
              <w:pStyle w:val="TableText"/>
              <w:ind w:left="485"/>
              <w:spacing w:before="214" w:line="184" w:lineRule="auto"/>
              <w:rPr>
                <w:sz w:val="20"/>
                <w:szCs w:val="20"/>
              </w:rPr>
            </w:pPr>
            <w:r>
              <w:rPr>
                <w:sz w:val="20"/>
                <w:szCs w:val="20"/>
                <w:spacing w:val="-2"/>
              </w:rPr>
              <w:t>0.0010</w:t>
            </w:r>
          </w:p>
        </w:tc>
        <w:tc>
          <w:tcPr>
            <w:tcW w:w="1739" w:type="dxa"/>
            <w:vAlign w:val="top"/>
          </w:tcPr>
          <w:p>
            <w:pPr>
              <w:pStyle w:val="TableText"/>
              <w:ind w:left="817"/>
              <w:spacing w:before="215" w:line="183" w:lineRule="auto"/>
              <w:rPr>
                <w:sz w:val="20"/>
                <w:szCs w:val="20"/>
              </w:rPr>
            </w:pPr>
            <w:r>
              <w:rPr>
                <w:sz w:val="20"/>
                <w:szCs w:val="20"/>
              </w:rPr>
              <w:t>0</w:t>
            </w:r>
          </w:p>
        </w:tc>
        <w:tc>
          <w:tcPr>
            <w:tcW w:w="1519" w:type="dxa"/>
            <w:vAlign w:val="top"/>
          </w:tcPr>
          <w:p>
            <w:pPr>
              <w:pStyle w:val="TableText"/>
              <w:ind w:left="408"/>
              <w:spacing w:before="214" w:line="184" w:lineRule="auto"/>
              <w:rPr>
                <w:sz w:val="20"/>
                <w:szCs w:val="20"/>
              </w:rPr>
            </w:pPr>
            <w:r>
              <w:rPr>
                <w:sz w:val="20"/>
                <w:szCs w:val="20"/>
                <w:spacing w:val="-2"/>
              </w:rPr>
              <w:t>0.00201</w:t>
            </w:r>
          </w:p>
        </w:tc>
        <w:tc>
          <w:tcPr>
            <w:tcW w:w="1274" w:type="dxa"/>
            <w:vAlign w:val="top"/>
          </w:tcPr>
          <w:p>
            <w:pPr>
              <w:pStyle w:val="TableText"/>
              <w:ind w:left="329"/>
              <w:spacing w:before="215" w:line="183" w:lineRule="auto"/>
              <w:rPr>
                <w:sz w:val="20"/>
                <w:szCs w:val="20"/>
              </w:rPr>
            </w:pPr>
            <w:r>
              <w:rPr>
                <w:sz w:val="20"/>
                <w:szCs w:val="20"/>
                <w:spacing w:val="-2"/>
              </w:rPr>
              <w:t>+0.002</w:t>
            </w:r>
          </w:p>
        </w:tc>
      </w:tr>
      <w:tr>
        <w:trPr>
          <w:trHeight w:val="479" w:hRule="atLeast"/>
        </w:trPr>
        <w:tc>
          <w:tcPr>
            <w:tcW w:w="1574" w:type="dxa"/>
            <w:vAlign w:val="top"/>
            <w:vMerge w:val="continue"/>
            <w:tcBorders>
              <w:top w:val="nil"/>
            </w:tcBorders>
          </w:tcPr>
          <w:p>
            <w:pPr>
              <w:rPr>
                <w:rFonts w:ascii="Arial"/>
                <w:sz w:val="21"/>
              </w:rPr>
            </w:pPr>
            <w:r/>
          </w:p>
        </w:tc>
        <w:tc>
          <w:tcPr>
            <w:tcW w:w="1409" w:type="dxa"/>
            <w:vAlign w:val="top"/>
          </w:tcPr>
          <w:p>
            <w:pPr>
              <w:pStyle w:val="TableText"/>
              <w:ind w:left="491"/>
              <w:spacing w:before="145" w:line="220" w:lineRule="auto"/>
              <w:rPr>
                <w:sz w:val="20"/>
                <w:szCs w:val="20"/>
              </w:rPr>
            </w:pPr>
            <w:r>
              <w:rPr>
                <w:sz w:val="20"/>
                <w:szCs w:val="20"/>
                <w:spacing w:val="3"/>
              </w:rPr>
              <w:t>总镍</w:t>
            </w:r>
          </w:p>
        </w:tc>
        <w:tc>
          <w:tcPr>
            <w:tcW w:w="1709" w:type="dxa"/>
            <w:vAlign w:val="top"/>
          </w:tcPr>
          <w:p>
            <w:pPr>
              <w:pStyle w:val="TableText"/>
              <w:ind w:left="542"/>
              <w:spacing w:before="196" w:line="183" w:lineRule="auto"/>
              <w:rPr>
                <w:sz w:val="20"/>
                <w:szCs w:val="20"/>
              </w:rPr>
            </w:pPr>
            <w:r>
              <w:rPr>
                <w:sz w:val="20"/>
                <w:szCs w:val="20"/>
                <w:spacing w:val="-2"/>
              </w:rPr>
              <w:t>0.0003</w:t>
            </w:r>
          </w:p>
        </w:tc>
        <w:tc>
          <w:tcPr>
            <w:tcW w:w="1269" w:type="dxa"/>
            <w:vAlign w:val="top"/>
          </w:tcPr>
          <w:p>
            <w:pPr>
              <w:rPr>
                <w:rFonts w:ascii="Arial"/>
                <w:sz w:val="21"/>
              </w:rPr>
            </w:pPr>
            <w:r/>
          </w:p>
        </w:tc>
        <w:tc>
          <w:tcPr>
            <w:tcW w:w="1689" w:type="dxa"/>
            <w:vAlign w:val="top"/>
          </w:tcPr>
          <w:p>
            <w:pPr>
              <w:pStyle w:val="TableText"/>
              <w:ind w:left="534"/>
              <w:spacing w:before="195" w:line="184" w:lineRule="auto"/>
              <w:rPr>
                <w:sz w:val="20"/>
                <w:szCs w:val="20"/>
              </w:rPr>
            </w:pPr>
            <w:r>
              <w:rPr>
                <w:sz w:val="20"/>
                <w:szCs w:val="20"/>
                <w:spacing w:val="-2"/>
              </w:rPr>
              <w:t>0.0051</w:t>
            </w:r>
          </w:p>
        </w:tc>
        <w:tc>
          <w:tcPr>
            <w:tcW w:w="1578" w:type="dxa"/>
            <w:vAlign w:val="top"/>
          </w:tcPr>
          <w:p>
            <w:pPr>
              <w:pStyle w:val="TableText"/>
              <w:ind w:left="485"/>
              <w:spacing w:before="196" w:line="183" w:lineRule="auto"/>
              <w:rPr>
                <w:sz w:val="20"/>
                <w:szCs w:val="20"/>
              </w:rPr>
            </w:pPr>
            <w:r>
              <w:rPr>
                <w:sz w:val="20"/>
                <w:szCs w:val="20"/>
                <w:spacing w:val="-2"/>
              </w:rPr>
              <w:t>0.0002</w:t>
            </w:r>
          </w:p>
        </w:tc>
        <w:tc>
          <w:tcPr>
            <w:tcW w:w="1739" w:type="dxa"/>
            <w:vAlign w:val="top"/>
          </w:tcPr>
          <w:p>
            <w:pPr>
              <w:pStyle w:val="TableText"/>
              <w:ind w:left="567"/>
              <w:spacing w:before="196" w:line="183" w:lineRule="auto"/>
              <w:rPr>
                <w:sz w:val="20"/>
                <w:szCs w:val="20"/>
              </w:rPr>
            </w:pPr>
            <w:r>
              <w:rPr>
                <w:sz w:val="20"/>
                <w:szCs w:val="20"/>
                <w:spacing w:val="-2"/>
              </w:rPr>
              <w:t>0.0046</w:t>
            </w:r>
          </w:p>
        </w:tc>
        <w:tc>
          <w:tcPr>
            <w:tcW w:w="1519" w:type="dxa"/>
            <w:vAlign w:val="top"/>
          </w:tcPr>
          <w:p>
            <w:pPr>
              <w:pStyle w:val="TableText"/>
              <w:ind w:left="457"/>
              <w:spacing w:before="195" w:line="184" w:lineRule="auto"/>
              <w:rPr>
                <w:sz w:val="20"/>
                <w:szCs w:val="20"/>
              </w:rPr>
            </w:pPr>
            <w:r>
              <w:rPr>
                <w:sz w:val="20"/>
                <w:szCs w:val="20"/>
                <w:spacing w:val="-2"/>
              </w:rPr>
              <w:t>0.0010</w:t>
            </w:r>
          </w:p>
        </w:tc>
        <w:tc>
          <w:tcPr>
            <w:tcW w:w="1274" w:type="dxa"/>
            <w:vAlign w:val="top"/>
          </w:tcPr>
          <w:p>
            <w:pPr>
              <w:pStyle w:val="TableText"/>
              <w:ind w:left="279"/>
              <w:spacing w:before="196" w:line="183" w:lineRule="auto"/>
              <w:rPr>
                <w:sz w:val="20"/>
                <w:szCs w:val="20"/>
              </w:rPr>
            </w:pPr>
            <w:r>
              <w:rPr>
                <w:sz w:val="20"/>
                <w:szCs w:val="20"/>
                <w:spacing w:val="-2"/>
              </w:rPr>
              <w:t>+0.0007</w:t>
            </w:r>
          </w:p>
        </w:tc>
      </w:tr>
      <w:tr>
        <w:trPr>
          <w:trHeight w:val="489" w:hRule="atLeast"/>
        </w:trPr>
        <w:tc>
          <w:tcPr>
            <w:tcW w:w="1574" w:type="dxa"/>
            <w:vAlign w:val="top"/>
            <w:vMerge w:val="restart"/>
            <w:tcBorders>
              <w:bottom w:val="nil"/>
            </w:tcBorders>
          </w:tcPr>
          <w:p>
            <w:pPr>
              <w:pStyle w:val="TableText"/>
              <w:ind w:left="375"/>
              <w:spacing w:before="267" w:line="279" w:lineRule="exact"/>
              <w:rPr>
                <w:sz w:val="20"/>
                <w:szCs w:val="20"/>
              </w:rPr>
            </w:pPr>
            <w:r>
              <w:rPr>
                <w:sz w:val="20"/>
                <w:szCs w:val="20"/>
                <w:spacing w:val="-3"/>
                <w:position w:val="5"/>
              </w:rPr>
              <w:t>一般工业</w:t>
            </w:r>
          </w:p>
          <w:p>
            <w:pPr>
              <w:pStyle w:val="TableText"/>
              <w:ind w:left="375"/>
              <w:spacing w:line="220" w:lineRule="auto"/>
              <w:rPr>
                <w:sz w:val="20"/>
                <w:szCs w:val="20"/>
              </w:rPr>
            </w:pPr>
            <w:r>
              <w:rPr>
                <w:sz w:val="20"/>
                <w:szCs w:val="20"/>
                <w:spacing w:val="2"/>
              </w:rPr>
              <w:t>固体废物</w:t>
            </w:r>
          </w:p>
        </w:tc>
        <w:tc>
          <w:tcPr>
            <w:tcW w:w="1409" w:type="dxa"/>
            <w:vAlign w:val="top"/>
          </w:tcPr>
          <w:p>
            <w:pPr>
              <w:pStyle w:val="TableText"/>
              <w:ind w:left="231"/>
              <w:spacing w:before="156" w:line="220" w:lineRule="auto"/>
              <w:rPr>
                <w:sz w:val="20"/>
                <w:szCs w:val="20"/>
              </w:rPr>
            </w:pPr>
            <w:r>
              <w:rPr>
                <w:sz w:val="20"/>
                <w:szCs w:val="20"/>
                <w:spacing w:val="-3"/>
              </w:rPr>
              <w:t>N</w:t>
            </w:r>
            <w:r>
              <w:rPr>
                <w:sz w:val="20"/>
                <w:szCs w:val="20"/>
                <w:spacing w:val="-41"/>
              </w:rPr>
              <w:t xml:space="preserve"> </w:t>
            </w:r>
            <w:r>
              <w:rPr>
                <w:sz w:val="20"/>
                <w:szCs w:val="20"/>
                <w:spacing w:val="-3"/>
              </w:rPr>
              <w:t>M</w:t>
            </w:r>
            <w:r>
              <w:rPr>
                <w:sz w:val="20"/>
                <w:szCs w:val="20"/>
                <w:spacing w:val="-38"/>
              </w:rPr>
              <w:t xml:space="preserve"> </w:t>
            </w:r>
            <w:r>
              <w:rPr>
                <w:sz w:val="20"/>
                <w:szCs w:val="20"/>
                <w:spacing w:val="-3"/>
              </w:rPr>
              <w:t>P</w:t>
            </w:r>
            <w:r>
              <w:rPr>
                <w:sz w:val="20"/>
                <w:szCs w:val="20"/>
                <w:spacing w:val="-36"/>
              </w:rPr>
              <w:t xml:space="preserve"> </w:t>
            </w:r>
            <w:r>
              <w:rPr>
                <w:sz w:val="20"/>
                <w:szCs w:val="20"/>
                <w:spacing w:val="-3"/>
              </w:rPr>
              <w:t>废</w:t>
            </w:r>
            <w:r>
              <w:rPr>
                <w:sz w:val="20"/>
                <w:szCs w:val="20"/>
                <w:spacing w:val="-34"/>
              </w:rPr>
              <w:t xml:space="preserve"> </w:t>
            </w:r>
            <w:r>
              <w:rPr>
                <w:sz w:val="20"/>
                <w:szCs w:val="20"/>
                <w:spacing w:val="-3"/>
              </w:rPr>
              <w:t>液</w:t>
            </w:r>
          </w:p>
        </w:tc>
        <w:tc>
          <w:tcPr>
            <w:tcW w:w="1709" w:type="dxa"/>
            <w:vAlign w:val="top"/>
          </w:tcPr>
          <w:p>
            <w:pPr>
              <w:pStyle w:val="TableText"/>
              <w:ind w:left="491"/>
              <w:spacing w:before="207" w:line="183" w:lineRule="auto"/>
              <w:rPr>
                <w:sz w:val="20"/>
                <w:szCs w:val="20"/>
              </w:rPr>
            </w:pPr>
            <w:r>
              <w:rPr>
                <w:sz w:val="20"/>
                <w:szCs w:val="20"/>
                <w:spacing w:val="-2"/>
              </w:rPr>
              <w:t>8777.56</w:t>
            </w:r>
          </w:p>
        </w:tc>
        <w:tc>
          <w:tcPr>
            <w:tcW w:w="1269" w:type="dxa"/>
            <w:vAlign w:val="top"/>
          </w:tcPr>
          <w:p>
            <w:pPr>
              <w:rPr>
                <w:rFonts w:ascii="Arial"/>
                <w:sz w:val="21"/>
              </w:rPr>
            </w:pPr>
            <w:r/>
          </w:p>
        </w:tc>
        <w:tc>
          <w:tcPr>
            <w:tcW w:w="1689" w:type="dxa"/>
            <w:vAlign w:val="top"/>
          </w:tcPr>
          <w:p>
            <w:pPr>
              <w:pStyle w:val="TableText"/>
              <w:ind w:left="484"/>
              <w:spacing w:before="206" w:line="184" w:lineRule="auto"/>
              <w:rPr>
                <w:sz w:val="20"/>
                <w:szCs w:val="20"/>
              </w:rPr>
            </w:pPr>
            <w:r>
              <w:rPr>
                <w:sz w:val="20"/>
                <w:szCs w:val="20"/>
                <w:spacing w:val="-2"/>
              </w:rPr>
              <w:t>27371.3</w:t>
            </w:r>
          </w:p>
        </w:tc>
        <w:tc>
          <w:tcPr>
            <w:tcW w:w="1578" w:type="dxa"/>
            <w:vAlign w:val="top"/>
          </w:tcPr>
          <w:p>
            <w:pPr>
              <w:pStyle w:val="TableText"/>
              <w:ind w:left="385"/>
              <w:spacing w:before="207" w:line="183" w:lineRule="auto"/>
              <w:rPr>
                <w:sz w:val="20"/>
                <w:szCs w:val="20"/>
              </w:rPr>
            </w:pPr>
            <w:r>
              <w:rPr>
                <w:sz w:val="20"/>
                <w:szCs w:val="20"/>
                <w:spacing w:val="-1"/>
              </w:rPr>
              <w:t>9254.784</w:t>
            </w:r>
          </w:p>
        </w:tc>
        <w:tc>
          <w:tcPr>
            <w:tcW w:w="1739" w:type="dxa"/>
            <w:vAlign w:val="top"/>
          </w:tcPr>
          <w:p>
            <w:pPr>
              <w:pStyle w:val="TableText"/>
              <w:ind w:left="467"/>
              <w:spacing w:before="207" w:line="183" w:lineRule="auto"/>
              <w:rPr>
                <w:sz w:val="20"/>
                <w:szCs w:val="20"/>
              </w:rPr>
            </w:pPr>
            <w:r>
              <w:rPr>
                <w:sz w:val="20"/>
                <w:szCs w:val="20"/>
                <w:spacing w:val="-1"/>
              </w:rPr>
              <w:t>9254.784</w:t>
            </w:r>
          </w:p>
        </w:tc>
        <w:tc>
          <w:tcPr>
            <w:tcW w:w="1519" w:type="dxa"/>
            <w:vAlign w:val="top"/>
          </w:tcPr>
          <w:p>
            <w:pPr>
              <w:pStyle w:val="TableText"/>
              <w:ind w:left="358"/>
              <w:spacing w:before="206" w:line="184" w:lineRule="auto"/>
              <w:rPr>
                <w:sz w:val="20"/>
                <w:szCs w:val="20"/>
              </w:rPr>
            </w:pPr>
            <w:r>
              <w:rPr>
                <w:sz w:val="20"/>
                <w:szCs w:val="20"/>
                <w:spacing w:val="-2"/>
              </w:rPr>
              <w:t>36148.86</w:t>
            </w:r>
          </w:p>
        </w:tc>
        <w:tc>
          <w:tcPr>
            <w:tcW w:w="1274" w:type="dxa"/>
            <w:vAlign w:val="top"/>
          </w:tcPr>
          <w:p>
            <w:pPr>
              <w:pStyle w:val="TableText"/>
              <w:ind w:left="229"/>
              <w:spacing w:before="206" w:line="184" w:lineRule="auto"/>
              <w:rPr>
                <w:sz w:val="20"/>
                <w:szCs w:val="20"/>
              </w:rPr>
            </w:pPr>
            <w:r>
              <w:rPr>
                <w:sz w:val="20"/>
                <w:szCs w:val="20"/>
                <w:spacing w:val="-1"/>
              </w:rPr>
              <w:t>+27371.3</w:t>
            </w:r>
          </w:p>
        </w:tc>
      </w:tr>
      <w:tr>
        <w:trPr>
          <w:trHeight w:val="494" w:hRule="atLeast"/>
        </w:trPr>
        <w:tc>
          <w:tcPr>
            <w:tcW w:w="1574" w:type="dxa"/>
            <w:vAlign w:val="top"/>
            <w:vMerge w:val="continue"/>
            <w:tcBorders>
              <w:top w:val="nil"/>
            </w:tcBorders>
          </w:tcPr>
          <w:p>
            <w:pPr>
              <w:rPr>
                <w:rFonts w:ascii="Arial"/>
                <w:sz w:val="21"/>
              </w:rPr>
            </w:pPr>
            <w:r/>
          </w:p>
        </w:tc>
        <w:tc>
          <w:tcPr>
            <w:tcW w:w="1409" w:type="dxa"/>
            <w:vAlign w:val="top"/>
          </w:tcPr>
          <w:p>
            <w:pPr>
              <w:pStyle w:val="TableText"/>
              <w:ind w:left="391"/>
              <w:spacing w:before="157" w:line="220" w:lineRule="auto"/>
              <w:rPr>
                <w:sz w:val="20"/>
                <w:szCs w:val="20"/>
              </w:rPr>
            </w:pPr>
            <w:r>
              <w:rPr>
                <w:sz w:val="20"/>
                <w:szCs w:val="20"/>
                <w:spacing w:val="-2"/>
              </w:rPr>
              <w:t>废隔膜</w:t>
            </w:r>
          </w:p>
        </w:tc>
        <w:tc>
          <w:tcPr>
            <w:tcW w:w="1709" w:type="dxa"/>
            <w:vAlign w:val="top"/>
          </w:tcPr>
          <w:p>
            <w:pPr>
              <w:pStyle w:val="TableText"/>
              <w:ind w:left="592"/>
              <w:spacing w:before="207" w:line="184" w:lineRule="auto"/>
              <w:rPr>
                <w:sz w:val="20"/>
                <w:szCs w:val="20"/>
              </w:rPr>
            </w:pPr>
            <w:r>
              <w:rPr>
                <w:sz w:val="20"/>
                <w:szCs w:val="20"/>
                <w:spacing w:val="-2"/>
              </w:rPr>
              <w:t>51.31</w:t>
            </w:r>
          </w:p>
        </w:tc>
        <w:tc>
          <w:tcPr>
            <w:tcW w:w="1269" w:type="dxa"/>
            <w:vAlign w:val="top"/>
          </w:tcPr>
          <w:p>
            <w:pPr>
              <w:rPr>
                <w:rFonts w:ascii="Arial"/>
                <w:sz w:val="21"/>
              </w:rPr>
            </w:pPr>
            <w:r/>
          </w:p>
        </w:tc>
        <w:tc>
          <w:tcPr>
            <w:tcW w:w="1689" w:type="dxa"/>
            <w:vAlign w:val="top"/>
          </w:tcPr>
          <w:p>
            <w:pPr>
              <w:pStyle w:val="TableText"/>
              <w:ind w:left="534"/>
              <w:spacing w:before="207" w:line="184" w:lineRule="auto"/>
              <w:rPr>
                <w:sz w:val="20"/>
                <w:szCs w:val="20"/>
              </w:rPr>
            </w:pPr>
            <w:r>
              <w:rPr>
                <w:sz w:val="20"/>
                <w:szCs w:val="20"/>
                <w:spacing w:val="-4"/>
              </w:rPr>
              <w:t>105.62</w:t>
            </w:r>
          </w:p>
        </w:tc>
        <w:tc>
          <w:tcPr>
            <w:tcW w:w="1578" w:type="dxa"/>
            <w:vAlign w:val="top"/>
          </w:tcPr>
          <w:p>
            <w:pPr>
              <w:pStyle w:val="TableText"/>
              <w:ind w:left="735"/>
              <w:spacing w:before="208" w:line="183" w:lineRule="auto"/>
              <w:rPr>
                <w:sz w:val="20"/>
                <w:szCs w:val="20"/>
              </w:rPr>
            </w:pPr>
            <w:r>
              <w:rPr>
                <w:sz w:val="20"/>
                <w:szCs w:val="20"/>
              </w:rPr>
              <w:t>0</w:t>
            </w:r>
          </w:p>
        </w:tc>
        <w:tc>
          <w:tcPr>
            <w:tcW w:w="1739" w:type="dxa"/>
            <w:vAlign w:val="top"/>
          </w:tcPr>
          <w:p>
            <w:pPr>
              <w:pStyle w:val="TableText"/>
              <w:ind w:left="817"/>
              <w:spacing w:before="208" w:line="183" w:lineRule="auto"/>
              <w:rPr>
                <w:sz w:val="20"/>
                <w:szCs w:val="20"/>
              </w:rPr>
            </w:pPr>
            <w:r>
              <w:rPr>
                <w:sz w:val="20"/>
                <w:szCs w:val="20"/>
              </w:rPr>
              <w:t>0</w:t>
            </w:r>
          </w:p>
        </w:tc>
        <w:tc>
          <w:tcPr>
            <w:tcW w:w="1519" w:type="dxa"/>
            <w:vAlign w:val="top"/>
          </w:tcPr>
          <w:p>
            <w:pPr>
              <w:pStyle w:val="TableText"/>
              <w:ind w:left="457"/>
              <w:spacing w:before="207" w:line="184" w:lineRule="auto"/>
              <w:rPr>
                <w:sz w:val="20"/>
                <w:szCs w:val="20"/>
              </w:rPr>
            </w:pPr>
            <w:r>
              <w:rPr>
                <w:sz w:val="20"/>
                <w:szCs w:val="20"/>
                <w:spacing w:val="-4"/>
              </w:rPr>
              <w:t>166.93</w:t>
            </w:r>
          </w:p>
        </w:tc>
        <w:tc>
          <w:tcPr>
            <w:tcW w:w="1274" w:type="dxa"/>
            <w:vAlign w:val="top"/>
          </w:tcPr>
          <w:p>
            <w:pPr>
              <w:pStyle w:val="TableText"/>
              <w:ind w:left="279"/>
              <w:spacing w:before="207" w:line="184" w:lineRule="auto"/>
              <w:rPr>
                <w:sz w:val="20"/>
                <w:szCs w:val="20"/>
              </w:rPr>
            </w:pPr>
            <w:r>
              <w:rPr>
                <w:sz w:val="20"/>
                <w:szCs w:val="20"/>
                <w:spacing w:val="-2"/>
              </w:rPr>
              <w:t>+105.62</w:t>
            </w:r>
          </w:p>
        </w:tc>
      </w:tr>
    </w:tbl>
    <w:p>
      <w:pPr>
        <w:rPr>
          <w:rFonts w:ascii="Arial"/>
          <w:sz w:val="21"/>
        </w:rPr>
      </w:pPr>
      <w:r/>
    </w:p>
    <w:p>
      <w:pPr>
        <w:sectPr>
          <w:footerReference w:type="default" r:id="rId159"/>
          <w:pgSz w:w="16840" w:h="11900"/>
          <w:pgMar w:top="1011" w:right="1574" w:bottom="978" w:left="1494" w:header="0" w:footer="839" w:gutter="0"/>
        </w:sectPr>
        <w:rPr>
          <w:rFonts w:ascii="Arial" w:hAnsi="Arial" w:eastAsia="Arial" w:cs="Arial"/>
          <w:sz w:val="21"/>
          <w:szCs w:val="21"/>
        </w:rPr>
      </w:pPr>
    </w:p>
    <w:p>
      <w:pPr>
        <w:spacing w:before="15"/>
        <w:rPr/>
      </w:pPr>
      <w:r/>
    </w:p>
    <w:p>
      <w:pPr>
        <w:spacing w:before="15"/>
        <w:rPr/>
      </w:pPr>
      <w:r/>
    </w:p>
    <w:tbl>
      <w:tblPr>
        <w:tblStyle w:val="TableNormal"/>
        <w:tblW w:w="137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74"/>
        <w:gridCol w:w="1409"/>
        <w:gridCol w:w="1709"/>
        <w:gridCol w:w="1269"/>
        <w:gridCol w:w="1689"/>
        <w:gridCol w:w="1578"/>
        <w:gridCol w:w="1739"/>
        <w:gridCol w:w="1519"/>
        <w:gridCol w:w="1274"/>
      </w:tblGrid>
      <w:tr>
        <w:trPr>
          <w:trHeight w:val="844" w:hRule="atLeast"/>
        </w:trPr>
        <w:tc>
          <w:tcPr>
            <w:tcW w:w="1574" w:type="dxa"/>
            <w:vAlign w:val="top"/>
            <w:tcBorders>
              <w:tl2br w:val="single" w:color="000000" w:sz="4" w:space="0"/>
            </w:tcBorders>
          </w:tcPr>
          <w:p>
            <w:pPr>
              <w:pStyle w:val="TableText"/>
              <w:spacing w:before="183" w:line="220" w:lineRule="auto"/>
              <w:jc w:val="right"/>
              <w:rPr>
                <w:sz w:val="20"/>
                <w:szCs w:val="20"/>
              </w:rPr>
            </w:pPr>
            <w:r>
              <w:rPr>
                <w:sz w:val="20"/>
                <w:szCs w:val="20"/>
                <w:spacing w:val="-37"/>
              </w:rPr>
              <w:t>项</w:t>
            </w:r>
            <w:r>
              <w:rPr>
                <w:sz w:val="20"/>
                <w:szCs w:val="20"/>
                <w:spacing w:val="-9"/>
              </w:rPr>
              <w:t xml:space="preserve"> </w:t>
            </w:r>
            <w:r>
              <w:rPr>
                <w:sz w:val="20"/>
                <w:szCs w:val="20"/>
                <w:spacing w:val="-37"/>
              </w:rPr>
              <w:t>目</w:t>
            </w:r>
          </w:p>
          <w:p>
            <w:pPr>
              <w:pStyle w:val="TableText"/>
              <w:ind w:left="15"/>
              <w:spacing w:before="31" w:line="219" w:lineRule="auto"/>
              <w:rPr>
                <w:sz w:val="20"/>
                <w:szCs w:val="20"/>
              </w:rPr>
            </w:pPr>
            <w:r>
              <w:rPr>
                <w:sz w:val="20"/>
                <w:szCs w:val="20"/>
                <w:spacing w:val="-3"/>
              </w:rPr>
              <w:t>分类</w:t>
            </w:r>
          </w:p>
        </w:tc>
        <w:tc>
          <w:tcPr>
            <w:tcW w:w="1409" w:type="dxa"/>
            <w:vAlign w:val="top"/>
          </w:tcPr>
          <w:p>
            <w:pPr>
              <w:spacing w:line="257" w:lineRule="auto"/>
              <w:rPr>
                <w:rFonts w:ascii="Arial"/>
                <w:sz w:val="21"/>
              </w:rPr>
            </w:pPr>
            <w:r/>
          </w:p>
          <w:p>
            <w:pPr>
              <w:pStyle w:val="TableText"/>
              <w:ind w:left="191"/>
              <w:spacing w:before="65" w:line="220" w:lineRule="auto"/>
              <w:rPr>
                <w:sz w:val="20"/>
                <w:szCs w:val="20"/>
              </w:rPr>
            </w:pPr>
            <w:r>
              <w:rPr>
                <w:sz w:val="20"/>
                <w:szCs w:val="20"/>
                <w:spacing w:val="-2"/>
              </w:rPr>
              <w:t>污染物名称</w:t>
            </w:r>
          </w:p>
        </w:tc>
        <w:tc>
          <w:tcPr>
            <w:tcW w:w="1709" w:type="dxa"/>
            <w:vAlign w:val="top"/>
          </w:tcPr>
          <w:p>
            <w:pPr>
              <w:pStyle w:val="TableText"/>
              <w:ind w:left="442"/>
              <w:spacing w:before="53" w:line="220" w:lineRule="auto"/>
              <w:rPr>
                <w:sz w:val="20"/>
                <w:szCs w:val="20"/>
              </w:rPr>
            </w:pPr>
            <w:r>
              <w:rPr>
                <w:sz w:val="20"/>
                <w:szCs w:val="20"/>
                <w:spacing w:val="-2"/>
              </w:rPr>
              <w:t>现有工程</w:t>
            </w:r>
          </w:p>
          <w:p>
            <w:pPr>
              <w:pStyle w:val="TableText"/>
              <w:ind w:left="92"/>
              <w:spacing w:before="31" w:line="220" w:lineRule="auto"/>
              <w:rPr>
                <w:sz w:val="20"/>
                <w:szCs w:val="20"/>
              </w:rPr>
            </w:pPr>
            <w:r>
              <w:rPr>
                <w:sz w:val="20"/>
                <w:szCs w:val="20"/>
                <w:spacing w:val="-1"/>
              </w:rPr>
              <w:t>排放量(固体废物</w:t>
            </w:r>
          </w:p>
          <w:p>
            <w:pPr>
              <w:pStyle w:val="TableText"/>
              <w:ind w:left="392"/>
              <w:spacing w:before="28" w:line="217" w:lineRule="auto"/>
              <w:rPr>
                <w:sz w:val="20"/>
                <w:szCs w:val="20"/>
              </w:rPr>
            </w:pPr>
            <w:r>
              <w:rPr>
                <w:sz w:val="20"/>
                <w:szCs w:val="20"/>
                <w:spacing w:val="-2"/>
              </w:rPr>
              <w:t>产生量)①</w:t>
            </w:r>
          </w:p>
        </w:tc>
        <w:tc>
          <w:tcPr>
            <w:tcW w:w="1269" w:type="dxa"/>
            <w:vAlign w:val="top"/>
          </w:tcPr>
          <w:p>
            <w:pPr>
              <w:pStyle w:val="TableText"/>
              <w:ind w:left="223"/>
              <w:spacing w:before="33" w:line="220" w:lineRule="auto"/>
              <w:rPr>
                <w:sz w:val="20"/>
                <w:szCs w:val="20"/>
              </w:rPr>
            </w:pPr>
            <w:r>
              <w:rPr>
                <w:sz w:val="20"/>
                <w:szCs w:val="20"/>
                <w:spacing w:val="-2"/>
              </w:rPr>
              <w:t>现有工程</w:t>
            </w:r>
          </w:p>
          <w:p>
            <w:pPr>
              <w:pStyle w:val="TableText"/>
              <w:ind w:left="73"/>
              <w:spacing w:before="41" w:line="220" w:lineRule="auto"/>
              <w:rPr>
                <w:sz w:val="20"/>
                <w:szCs w:val="20"/>
              </w:rPr>
            </w:pPr>
            <w:r>
              <w:rPr>
                <w:sz w:val="20"/>
                <w:szCs w:val="20"/>
                <w:spacing w:val="-2"/>
              </w:rPr>
              <w:t>许可排放量*</w:t>
            </w:r>
          </w:p>
          <w:p>
            <w:pPr>
              <w:pStyle w:val="TableText"/>
              <w:ind w:left="523"/>
              <w:spacing w:before="38" w:line="217" w:lineRule="auto"/>
              <w:rPr>
                <w:sz w:val="20"/>
                <w:szCs w:val="20"/>
              </w:rPr>
            </w:pPr>
            <w:r>
              <w:rPr>
                <w:sz w:val="20"/>
                <w:szCs w:val="20"/>
              </w:rPr>
              <w:t>②</w:t>
            </w:r>
          </w:p>
        </w:tc>
        <w:tc>
          <w:tcPr>
            <w:tcW w:w="1689" w:type="dxa"/>
            <w:vAlign w:val="top"/>
          </w:tcPr>
          <w:p>
            <w:pPr>
              <w:pStyle w:val="TableText"/>
              <w:ind w:left="434"/>
              <w:spacing w:before="53" w:line="220" w:lineRule="auto"/>
              <w:rPr>
                <w:sz w:val="20"/>
                <w:szCs w:val="20"/>
              </w:rPr>
            </w:pPr>
            <w:r>
              <w:rPr>
                <w:sz w:val="20"/>
                <w:szCs w:val="20"/>
                <w:spacing w:val="-2"/>
              </w:rPr>
              <w:t>在建工程</w:t>
            </w:r>
          </w:p>
          <w:p>
            <w:pPr>
              <w:pStyle w:val="TableText"/>
              <w:ind w:left="84"/>
              <w:spacing w:before="31" w:line="220" w:lineRule="auto"/>
              <w:rPr>
                <w:sz w:val="20"/>
                <w:szCs w:val="20"/>
              </w:rPr>
            </w:pPr>
            <w:r>
              <w:rPr>
                <w:sz w:val="20"/>
                <w:szCs w:val="20"/>
                <w:spacing w:val="-1"/>
              </w:rPr>
              <w:t>排放量(固体废物</w:t>
            </w:r>
          </w:p>
          <w:p>
            <w:pPr>
              <w:pStyle w:val="TableText"/>
              <w:ind w:left="384"/>
              <w:spacing w:before="28" w:line="217" w:lineRule="auto"/>
              <w:rPr>
                <w:sz w:val="20"/>
                <w:szCs w:val="20"/>
              </w:rPr>
            </w:pPr>
            <w:r>
              <w:rPr>
                <w:sz w:val="20"/>
                <w:szCs w:val="20"/>
                <w:spacing w:val="-2"/>
              </w:rPr>
              <w:t>产生量)③</w:t>
            </w:r>
          </w:p>
        </w:tc>
        <w:tc>
          <w:tcPr>
            <w:tcW w:w="1578" w:type="dxa"/>
            <w:vAlign w:val="top"/>
          </w:tcPr>
          <w:p>
            <w:pPr>
              <w:pStyle w:val="TableText"/>
              <w:ind w:left="485"/>
              <w:spacing w:before="52" w:line="219" w:lineRule="auto"/>
              <w:rPr>
                <w:sz w:val="20"/>
                <w:szCs w:val="20"/>
              </w:rPr>
            </w:pPr>
            <w:r>
              <w:rPr>
                <w:sz w:val="20"/>
                <w:szCs w:val="20"/>
                <w:spacing w:val="12"/>
              </w:rPr>
              <w:t>本项目</w:t>
            </w:r>
          </w:p>
          <w:p>
            <w:pPr>
              <w:pStyle w:val="TableText"/>
              <w:ind w:left="34"/>
              <w:spacing w:before="34" w:line="220" w:lineRule="auto"/>
              <w:rPr>
                <w:sz w:val="20"/>
                <w:szCs w:val="20"/>
              </w:rPr>
            </w:pPr>
            <w:r>
              <w:rPr>
                <w:sz w:val="20"/>
                <w:szCs w:val="20"/>
                <w:spacing w:val="-1"/>
              </w:rPr>
              <w:t>排放量(固体废物</w:t>
            </w:r>
          </w:p>
          <w:p>
            <w:pPr>
              <w:pStyle w:val="TableText"/>
              <w:ind w:left="335"/>
              <w:spacing w:before="18" w:line="217" w:lineRule="auto"/>
              <w:rPr>
                <w:sz w:val="20"/>
                <w:szCs w:val="20"/>
              </w:rPr>
            </w:pPr>
            <w:r>
              <w:rPr>
                <w:sz w:val="20"/>
                <w:szCs w:val="20"/>
                <w:spacing w:val="-2"/>
              </w:rPr>
              <w:t>产生量)④</w:t>
            </w:r>
          </w:p>
        </w:tc>
        <w:tc>
          <w:tcPr>
            <w:tcW w:w="1739" w:type="dxa"/>
            <w:vAlign w:val="top"/>
          </w:tcPr>
          <w:p>
            <w:pPr>
              <w:pStyle w:val="TableText"/>
              <w:ind w:left="186" w:hanging="19"/>
              <w:spacing w:before="182" w:line="237" w:lineRule="auto"/>
              <w:rPr>
                <w:sz w:val="20"/>
                <w:szCs w:val="20"/>
              </w:rPr>
            </w:pPr>
            <w:r>
              <w:rPr>
                <w:sz w:val="20"/>
                <w:szCs w:val="20"/>
                <w:spacing w:val="-3"/>
              </w:rPr>
              <w:t>以新带老削减量  </w:t>
            </w:r>
            <w:r>
              <w:rPr>
                <w:sz w:val="20"/>
                <w:szCs w:val="20"/>
                <w:spacing w:val="-7"/>
              </w:rPr>
              <w:t>(新建项目不填)⑤</w:t>
            </w:r>
          </w:p>
        </w:tc>
        <w:tc>
          <w:tcPr>
            <w:tcW w:w="1519" w:type="dxa"/>
            <w:vAlign w:val="top"/>
          </w:tcPr>
          <w:p>
            <w:pPr>
              <w:pStyle w:val="TableText"/>
              <w:ind w:left="18" w:firstLine="139"/>
              <w:spacing w:before="52" w:line="238" w:lineRule="auto"/>
              <w:rPr>
                <w:sz w:val="20"/>
                <w:szCs w:val="20"/>
              </w:rPr>
            </w:pPr>
            <w:r>
              <w:rPr>
                <w:sz w:val="20"/>
                <w:szCs w:val="20"/>
                <w:spacing w:val="2"/>
              </w:rPr>
              <w:t>本项目建成后</w:t>
            </w:r>
            <w:r>
              <w:rPr>
                <w:sz w:val="20"/>
                <w:szCs w:val="20"/>
              </w:rPr>
              <w:t xml:space="preserve">  </w:t>
            </w:r>
            <w:r>
              <w:rPr>
                <w:sz w:val="20"/>
                <w:szCs w:val="20"/>
                <w:spacing w:val="-2"/>
              </w:rPr>
              <w:t>全厂排放量(固体</w:t>
            </w:r>
            <w:r>
              <w:rPr>
                <w:sz w:val="20"/>
                <w:szCs w:val="20"/>
                <w:spacing w:val="5"/>
              </w:rPr>
              <w:t xml:space="preserve"> </w:t>
            </w:r>
            <w:r>
              <w:rPr>
                <w:sz w:val="20"/>
                <w:szCs w:val="20"/>
                <w:spacing w:val="11"/>
              </w:rPr>
              <w:t>废物产生量)⑥</w:t>
            </w:r>
          </w:p>
        </w:tc>
        <w:tc>
          <w:tcPr>
            <w:tcW w:w="1274" w:type="dxa"/>
            <w:vAlign w:val="top"/>
          </w:tcPr>
          <w:p>
            <w:pPr>
              <w:pStyle w:val="TableText"/>
              <w:ind w:left="329"/>
              <w:spacing w:before="194" w:line="237" w:lineRule="auto"/>
              <w:rPr>
                <w:sz w:val="20"/>
                <w:szCs w:val="20"/>
              </w:rPr>
            </w:pPr>
            <w:r>
              <w:rPr>
                <w:sz w:val="20"/>
                <w:szCs w:val="20"/>
                <w:spacing w:val="-2"/>
              </w:rPr>
              <w:t>变化量</w:t>
            </w:r>
          </w:p>
          <w:p>
            <w:pPr>
              <w:pStyle w:val="TableText"/>
              <w:ind w:left="529"/>
              <w:spacing w:line="217" w:lineRule="auto"/>
              <w:rPr>
                <w:sz w:val="20"/>
                <w:szCs w:val="20"/>
              </w:rPr>
            </w:pPr>
            <w:r>
              <w:rPr>
                <w:sz w:val="20"/>
                <w:szCs w:val="20"/>
              </w:rPr>
              <w:t>⑦</w:t>
            </w:r>
          </w:p>
        </w:tc>
      </w:tr>
      <w:tr>
        <w:trPr>
          <w:trHeight w:val="579" w:hRule="atLeast"/>
        </w:trPr>
        <w:tc>
          <w:tcPr>
            <w:tcW w:w="1574" w:type="dxa"/>
            <w:vAlign w:val="top"/>
            <w:vMerge w:val="restart"/>
            <w:tcBorders>
              <w:bottom w:val="nil"/>
            </w:tcBorders>
          </w:tcPr>
          <w:p>
            <w:pPr>
              <w:rPr>
                <w:rFonts w:ascii="Arial"/>
                <w:sz w:val="21"/>
              </w:rPr>
            </w:pPr>
            <w:r/>
          </w:p>
        </w:tc>
        <w:tc>
          <w:tcPr>
            <w:tcW w:w="1409" w:type="dxa"/>
            <w:vAlign w:val="top"/>
          </w:tcPr>
          <w:p>
            <w:pPr>
              <w:pStyle w:val="TableText"/>
              <w:ind w:left="391"/>
              <w:spacing w:before="189" w:line="220" w:lineRule="auto"/>
              <w:rPr>
                <w:sz w:val="20"/>
                <w:szCs w:val="20"/>
              </w:rPr>
            </w:pPr>
            <w:r>
              <w:rPr>
                <w:sz w:val="20"/>
                <w:szCs w:val="20"/>
                <w:spacing w:val="5"/>
              </w:rPr>
              <w:t>废极片</w:t>
            </w:r>
          </w:p>
        </w:tc>
        <w:tc>
          <w:tcPr>
            <w:tcW w:w="1709" w:type="dxa"/>
            <w:vAlign w:val="top"/>
          </w:tcPr>
          <w:p>
            <w:pPr>
              <w:pStyle w:val="TableText"/>
              <w:ind w:left="491"/>
              <w:spacing w:before="239" w:line="184" w:lineRule="auto"/>
              <w:rPr>
                <w:sz w:val="20"/>
                <w:szCs w:val="20"/>
              </w:rPr>
            </w:pPr>
            <w:r>
              <w:rPr>
                <w:sz w:val="20"/>
                <w:szCs w:val="20"/>
                <w:spacing w:val="-3"/>
              </w:rPr>
              <w:t>1891.84</w:t>
            </w:r>
          </w:p>
        </w:tc>
        <w:tc>
          <w:tcPr>
            <w:tcW w:w="1269" w:type="dxa"/>
            <w:vAlign w:val="top"/>
          </w:tcPr>
          <w:p>
            <w:pPr>
              <w:rPr>
                <w:rFonts w:ascii="Arial"/>
                <w:sz w:val="21"/>
              </w:rPr>
            </w:pPr>
            <w:r/>
          </w:p>
        </w:tc>
        <w:tc>
          <w:tcPr>
            <w:tcW w:w="1689" w:type="dxa"/>
            <w:vAlign w:val="top"/>
          </w:tcPr>
          <w:p>
            <w:pPr>
              <w:pStyle w:val="TableText"/>
              <w:ind w:left="484"/>
              <w:spacing w:before="240" w:line="183" w:lineRule="auto"/>
              <w:rPr>
                <w:sz w:val="20"/>
                <w:szCs w:val="20"/>
              </w:rPr>
            </w:pPr>
            <w:r>
              <w:rPr>
                <w:sz w:val="20"/>
                <w:szCs w:val="20"/>
                <w:spacing w:val="-2"/>
              </w:rPr>
              <w:t>3783.68</w:t>
            </w:r>
          </w:p>
        </w:tc>
        <w:tc>
          <w:tcPr>
            <w:tcW w:w="1578" w:type="dxa"/>
            <w:vAlign w:val="top"/>
          </w:tcPr>
          <w:p>
            <w:pPr>
              <w:pStyle w:val="TableText"/>
              <w:ind w:left="435"/>
              <w:spacing w:before="239" w:line="184" w:lineRule="auto"/>
              <w:rPr>
                <w:sz w:val="20"/>
                <w:szCs w:val="20"/>
              </w:rPr>
            </w:pPr>
            <w:r>
              <w:rPr>
                <w:sz w:val="20"/>
                <w:szCs w:val="20"/>
                <w:spacing w:val="-3"/>
              </w:rPr>
              <w:t>1513.47</w:t>
            </w:r>
          </w:p>
        </w:tc>
        <w:tc>
          <w:tcPr>
            <w:tcW w:w="1739" w:type="dxa"/>
            <w:vAlign w:val="top"/>
          </w:tcPr>
          <w:p>
            <w:pPr>
              <w:pStyle w:val="TableText"/>
              <w:ind w:left="517"/>
              <w:spacing w:before="239" w:line="184" w:lineRule="auto"/>
              <w:rPr>
                <w:sz w:val="20"/>
                <w:szCs w:val="20"/>
              </w:rPr>
            </w:pPr>
            <w:r>
              <w:rPr>
                <w:sz w:val="20"/>
                <w:szCs w:val="20"/>
                <w:spacing w:val="-3"/>
              </w:rPr>
              <w:t>1513.47</w:t>
            </w:r>
          </w:p>
        </w:tc>
        <w:tc>
          <w:tcPr>
            <w:tcW w:w="1519" w:type="dxa"/>
            <w:vAlign w:val="top"/>
          </w:tcPr>
          <w:p>
            <w:pPr>
              <w:pStyle w:val="TableText"/>
              <w:ind w:left="408"/>
              <w:spacing w:before="240" w:line="183" w:lineRule="auto"/>
              <w:rPr>
                <w:sz w:val="20"/>
                <w:szCs w:val="20"/>
              </w:rPr>
            </w:pPr>
            <w:r>
              <w:rPr>
                <w:sz w:val="20"/>
                <w:szCs w:val="20"/>
                <w:spacing w:val="-2"/>
              </w:rPr>
              <w:t>5675.52</w:t>
            </w:r>
          </w:p>
        </w:tc>
        <w:tc>
          <w:tcPr>
            <w:tcW w:w="1274" w:type="dxa"/>
            <w:vAlign w:val="top"/>
          </w:tcPr>
          <w:p>
            <w:pPr>
              <w:pStyle w:val="TableText"/>
              <w:ind w:left="229"/>
              <w:spacing w:before="240" w:line="183" w:lineRule="auto"/>
              <w:rPr>
                <w:sz w:val="20"/>
                <w:szCs w:val="20"/>
              </w:rPr>
            </w:pPr>
            <w:r>
              <w:rPr>
                <w:sz w:val="20"/>
                <w:szCs w:val="20"/>
                <w:spacing w:val="-1"/>
              </w:rPr>
              <w:t>+3783.68</w:t>
            </w:r>
          </w:p>
        </w:tc>
      </w:tr>
      <w:tr>
        <w:trPr>
          <w:trHeight w:val="819" w:hRule="atLeast"/>
        </w:trPr>
        <w:tc>
          <w:tcPr>
            <w:tcW w:w="1574" w:type="dxa"/>
            <w:vAlign w:val="top"/>
            <w:vMerge w:val="continue"/>
            <w:tcBorders>
              <w:top w:val="nil"/>
              <w:bottom w:val="nil"/>
            </w:tcBorders>
          </w:tcPr>
          <w:p>
            <w:pPr>
              <w:rPr>
                <w:rFonts w:ascii="Arial"/>
                <w:sz w:val="21"/>
              </w:rPr>
            </w:pPr>
            <w:r/>
          </w:p>
        </w:tc>
        <w:tc>
          <w:tcPr>
            <w:tcW w:w="1409" w:type="dxa"/>
            <w:vAlign w:val="top"/>
          </w:tcPr>
          <w:p>
            <w:pPr>
              <w:pStyle w:val="TableText"/>
              <w:ind w:left="191" w:right="114" w:hanging="100"/>
              <w:spacing w:before="38" w:line="237" w:lineRule="auto"/>
              <w:rPr>
                <w:sz w:val="20"/>
                <w:szCs w:val="20"/>
              </w:rPr>
            </w:pPr>
            <w:r>
              <w:rPr>
                <w:sz w:val="20"/>
                <w:szCs w:val="20"/>
                <w:spacing w:val="-2"/>
              </w:rPr>
              <w:t>废铜箔、废铝</w:t>
            </w:r>
            <w:r>
              <w:rPr>
                <w:sz w:val="20"/>
                <w:szCs w:val="20"/>
                <w:spacing w:val="3"/>
              </w:rPr>
              <w:t xml:space="preserve"> </w:t>
            </w:r>
            <w:r>
              <w:rPr>
                <w:sz w:val="20"/>
                <w:szCs w:val="20"/>
                <w:spacing w:val="2"/>
              </w:rPr>
              <w:t>箔、废金属 </w:t>
            </w:r>
            <w:r>
              <w:rPr>
                <w:sz w:val="20"/>
                <w:szCs w:val="20"/>
                <w:spacing w:val="-3"/>
              </w:rPr>
              <w:t>片、废塑料</w:t>
            </w:r>
          </w:p>
        </w:tc>
        <w:tc>
          <w:tcPr>
            <w:tcW w:w="1709" w:type="dxa"/>
            <w:vAlign w:val="top"/>
          </w:tcPr>
          <w:p>
            <w:pPr>
              <w:spacing w:line="295" w:lineRule="auto"/>
              <w:rPr>
                <w:rFonts w:ascii="Arial"/>
                <w:sz w:val="21"/>
              </w:rPr>
            </w:pPr>
            <w:r/>
          </w:p>
          <w:p>
            <w:pPr>
              <w:pStyle w:val="TableText"/>
              <w:ind w:left="542"/>
              <w:spacing w:before="65" w:line="183" w:lineRule="auto"/>
              <w:rPr>
                <w:sz w:val="20"/>
                <w:szCs w:val="20"/>
              </w:rPr>
            </w:pPr>
            <w:r>
              <w:rPr>
                <w:sz w:val="20"/>
                <w:szCs w:val="20"/>
                <w:spacing w:val="-2"/>
              </w:rPr>
              <w:t>202.38</w:t>
            </w:r>
          </w:p>
        </w:tc>
        <w:tc>
          <w:tcPr>
            <w:tcW w:w="1269" w:type="dxa"/>
            <w:vAlign w:val="top"/>
          </w:tcPr>
          <w:p>
            <w:pPr>
              <w:rPr>
                <w:rFonts w:ascii="Arial"/>
                <w:sz w:val="21"/>
              </w:rPr>
            </w:pPr>
            <w:r/>
          </w:p>
        </w:tc>
        <w:tc>
          <w:tcPr>
            <w:tcW w:w="1689" w:type="dxa"/>
            <w:vAlign w:val="top"/>
          </w:tcPr>
          <w:p>
            <w:pPr>
              <w:spacing w:line="294" w:lineRule="auto"/>
              <w:rPr>
                <w:rFonts w:ascii="Arial"/>
                <w:sz w:val="21"/>
              </w:rPr>
            </w:pPr>
            <w:r/>
          </w:p>
          <w:p>
            <w:pPr>
              <w:pStyle w:val="TableText"/>
              <w:ind w:left="484"/>
              <w:spacing w:before="65" w:line="184" w:lineRule="auto"/>
              <w:rPr>
                <w:sz w:val="20"/>
                <w:szCs w:val="20"/>
              </w:rPr>
            </w:pPr>
            <w:r>
              <w:rPr>
                <w:sz w:val="20"/>
                <w:szCs w:val="20"/>
                <w:spacing w:val="-2"/>
              </w:rPr>
              <w:t>2116.14</w:t>
            </w:r>
          </w:p>
        </w:tc>
        <w:tc>
          <w:tcPr>
            <w:tcW w:w="1578" w:type="dxa"/>
            <w:vAlign w:val="top"/>
          </w:tcPr>
          <w:p>
            <w:pPr>
              <w:spacing w:line="295" w:lineRule="auto"/>
              <w:rPr>
                <w:rFonts w:ascii="Arial"/>
                <w:sz w:val="21"/>
              </w:rPr>
            </w:pPr>
            <w:r/>
          </w:p>
          <w:p>
            <w:pPr>
              <w:pStyle w:val="TableText"/>
              <w:ind w:left="735"/>
              <w:spacing w:before="65" w:line="183" w:lineRule="auto"/>
              <w:rPr>
                <w:sz w:val="20"/>
                <w:szCs w:val="20"/>
              </w:rPr>
            </w:pPr>
            <w:r>
              <w:rPr>
                <w:sz w:val="20"/>
                <w:szCs w:val="20"/>
              </w:rPr>
              <w:t>0</w:t>
            </w:r>
          </w:p>
        </w:tc>
        <w:tc>
          <w:tcPr>
            <w:tcW w:w="1739" w:type="dxa"/>
            <w:vAlign w:val="top"/>
          </w:tcPr>
          <w:p>
            <w:pPr>
              <w:spacing w:line="295" w:lineRule="auto"/>
              <w:rPr>
                <w:rFonts w:ascii="Arial"/>
                <w:sz w:val="21"/>
              </w:rPr>
            </w:pPr>
            <w:r/>
          </w:p>
          <w:p>
            <w:pPr>
              <w:pStyle w:val="TableText"/>
              <w:ind w:left="817"/>
              <w:spacing w:before="65" w:line="183" w:lineRule="auto"/>
              <w:rPr>
                <w:sz w:val="20"/>
                <w:szCs w:val="20"/>
              </w:rPr>
            </w:pPr>
            <w:r>
              <w:rPr>
                <w:sz w:val="20"/>
                <w:szCs w:val="20"/>
              </w:rPr>
              <w:t>0</w:t>
            </w:r>
          </w:p>
        </w:tc>
        <w:tc>
          <w:tcPr>
            <w:tcW w:w="1519" w:type="dxa"/>
            <w:vAlign w:val="top"/>
          </w:tcPr>
          <w:p>
            <w:pPr>
              <w:spacing w:line="294" w:lineRule="auto"/>
              <w:rPr>
                <w:rFonts w:ascii="Arial"/>
                <w:sz w:val="21"/>
              </w:rPr>
            </w:pPr>
            <w:r/>
          </w:p>
          <w:p>
            <w:pPr>
              <w:pStyle w:val="TableText"/>
              <w:ind w:left="408"/>
              <w:spacing w:before="65" w:line="184" w:lineRule="auto"/>
              <w:rPr>
                <w:sz w:val="20"/>
                <w:szCs w:val="20"/>
              </w:rPr>
            </w:pPr>
            <w:r>
              <w:rPr>
                <w:sz w:val="20"/>
                <w:szCs w:val="20"/>
                <w:spacing w:val="-2"/>
              </w:rPr>
              <w:t>2318.52</w:t>
            </w:r>
          </w:p>
        </w:tc>
        <w:tc>
          <w:tcPr>
            <w:tcW w:w="1274" w:type="dxa"/>
            <w:vAlign w:val="top"/>
          </w:tcPr>
          <w:p>
            <w:pPr>
              <w:spacing w:line="294" w:lineRule="auto"/>
              <w:rPr>
                <w:rFonts w:ascii="Arial"/>
                <w:sz w:val="21"/>
              </w:rPr>
            </w:pPr>
            <w:r/>
          </w:p>
          <w:p>
            <w:pPr>
              <w:pStyle w:val="TableText"/>
              <w:ind w:left="229"/>
              <w:spacing w:before="65" w:line="184" w:lineRule="auto"/>
              <w:rPr>
                <w:sz w:val="20"/>
                <w:szCs w:val="20"/>
              </w:rPr>
            </w:pPr>
            <w:r>
              <w:rPr>
                <w:sz w:val="20"/>
                <w:szCs w:val="20"/>
                <w:spacing w:val="-1"/>
              </w:rPr>
              <w:t>+2116.14</w:t>
            </w:r>
          </w:p>
        </w:tc>
      </w:tr>
      <w:tr>
        <w:trPr>
          <w:trHeight w:val="489" w:hRule="atLeast"/>
        </w:trPr>
        <w:tc>
          <w:tcPr>
            <w:tcW w:w="1574" w:type="dxa"/>
            <w:vAlign w:val="top"/>
            <w:vMerge w:val="continue"/>
            <w:tcBorders>
              <w:top w:val="nil"/>
              <w:bottom w:val="nil"/>
            </w:tcBorders>
          </w:tcPr>
          <w:p>
            <w:pPr>
              <w:rPr>
                <w:rFonts w:ascii="Arial"/>
                <w:sz w:val="21"/>
              </w:rPr>
            </w:pPr>
            <w:r/>
          </w:p>
        </w:tc>
        <w:tc>
          <w:tcPr>
            <w:tcW w:w="1409" w:type="dxa"/>
            <w:vAlign w:val="top"/>
          </w:tcPr>
          <w:p>
            <w:pPr>
              <w:pStyle w:val="TableText"/>
              <w:ind w:left="391"/>
              <w:spacing w:before="151" w:line="220" w:lineRule="auto"/>
              <w:rPr>
                <w:sz w:val="20"/>
                <w:szCs w:val="20"/>
              </w:rPr>
            </w:pPr>
            <w:r>
              <w:rPr>
                <w:sz w:val="20"/>
                <w:szCs w:val="20"/>
                <w:spacing w:val="-2"/>
              </w:rPr>
              <w:t>废电芯</w:t>
            </w:r>
          </w:p>
        </w:tc>
        <w:tc>
          <w:tcPr>
            <w:tcW w:w="1709" w:type="dxa"/>
            <w:vAlign w:val="top"/>
          </w:tcPr>
          <w:p>
            <w:pPr>
              <w:pStyle w:val="TableText"/>
              <w:ind w:left="491"/>
              <w:spacing w:before="201" w:line="184" w:lineRule="auto"/>
              <w:rPr>
                <w:sz w:val="20"/>
                <w:szCs w:val="20"/>
              </w:rPr>
            </w:pPr>
            <w:r>
              <w:rPr>
                <w:sz w:val="20"/>
                <w:szCs w:val="20"/>
                <w:spacing w:val="-3"/>
              </w:rPr>
              <w:t>1153.69</w:t>
            </w:r>
          </w:p>
        </w:tc>
        <w:tc>
          <w:tcPr>
            <w:tcW w:w="1269" w:type="dxa"/>
            <w:vAlign w:val="top"/>
          </w:tcPr>
          <w:p>
            <w:pPr>
              <w:rPr>
                <w:rFonts w:ascii="Arial"/>
                <w:sz w:val="21"/>
              </w:rPr>
            </w:pPr>
            <w:r/>
          </w:p>
        </w:tc>
        <w:tc>
          <w:tcPr>
            <w:tcW w:w="1689" w:type="dxa"/>
            <w:vAlign w:val="top"/>
          </w:tcPr>
          <w:p>
            <w:pPr>
              <w:pStyle w:val="TableText"/>
              <w:ind w:left="484"/>
              <w:spacing w:before="202" w:line="183" w:lineRule="auto"/>
              <w:rPr>
                <w:sz w:val="20"/>
                <w:szCs w:val="20"/>
              </w:rPr>
            </w:pPr>
            <w:r>
              <w:rPr>
                <w:sz w:val="20"/>
                <w:szCs w:val="20"/>
                <w:spacing w:val="-2"/>
              </w:rPr>
              <w:t>3994.02</w:t>
            </w:r>
          </w:p>
        </w:tc>
        <w:tc>
          <w:tcPr>
            <w:tcW w:w="1578" w:type="dxa"/>
            <w:vAlign w:val="top"/>
          </w:tcPr>
          <w:p>
            <w:pPr>
              <w:pStyle w:val="TableText"/>
              <w:ind w:left="735"/>
              <w:spacing w:before="202" w:line="183" w:lineRule="auto"/>
              <w:rPr>
                <w:sz w:val="20"/>
                <w:szCs w:val="20"/>
              </w:rPr>
            </w:pPr>
            <w:r>
              <w:rPr>
                <w:sz w:val="20"/>
                <w:szCs w:val="20"/>
              </w:rPr>
              <w:t>0</w:t>
            </w:r>
          </w:p>
        </w:tc>
        <w:tc>
          <w:tcPr>
            <w:tcW w:w="1739" w:type="dxa"/>
            <w:vAlign w:val="top"/>
          </w:tcPr>
          <w:p>
            <w:pPr>
              <w:pStyle w:val="TableText"/>
              <w:ind w:left="817"/>
              <w:spacing w:before="202" w:line="183" w:lineRule="auto"/>
              <w:rPr>
                <w:sz w:val="20"/>
                <w:szCs w:val="20"/>
              </w:rPr>
            </w:pPr>
            <w:r>
              <w:rPr>
                <w:sz w:val="20"/>
                <w:szCs w:val="20"/>
              </w:rPr>
              <w:t>0</w:t>
            </w:r>
          </w:p>
        </w:tc>
        <w:tc>
          <w:tcPr>
            <w:tcW w:w="1519" w:type="dxa"/>
            <w:vAlign w:val="top"/>
          </w:tcPr>
          <w:p>
            <w:pPr>
              <w:pStyle w:val="TableText"/>
              <w:ind w:left="408"/>
              <w:spacing w:before="201" w:line="184" w:lineRule="auto"/>
              <w:rPr>
                <w:sz w:val="20"/>
                <w:szCs w:val="20"/>
              </w:rPr>
            </w:pPr>
            <w:r>
              <w:rPr>
                <w:sz w:val="20"/>
                <w:szCs w:val="20"/>
                <w:spacing w:val="-2"/>
              </w:rPr>
              <w:t>5147.71</w:t>
            </w:r>
          </w:p>
        </w:tc>
        <w:tc>
          <w:tcPr>
            <w:tcW w:w="1274" w:type="dxa"/>
            <w:vAlign w:val="top"/>
          </w:tcPr>
          <w:p>
            <w:pPr>
              <w:pStyle w:val="TableText"/>
              <w:ind w:left="229"/>
              <w:spacing w:before="202" w:line="183" w:lineRule="auto"/>
              <w:rPr>
                <w:sz w:val="20"/>
                <w:szCs w:val="20"/>
              </w:rPr>
            </w:pPr>
            <w:r>
              <w:rPr>
                <w:sz w:val="20"/>
                <w:szCs w:val="20"/>
                <w:spacing w:val="-1"/>
              </w:rPr>
              <w:t>+3994.02</w:t>
            </w:r>
          </w:p>
        </w:tc>
      </w:tr>
      <w:tr>
        <w:trPr>
          <w:trHeight w:val="480" w:hRule="atLeast"/>
        </w:trPr>
        <w:tc>
          <w:tcPr>
            <w:tcW w:w="1574" w:type="dxa"/>
            <w:vAlign w:val="top"/>
            <w:vMerge w:val="continue"/>
            <w:tcBorders>
              <w:top w:val="nil"/>
              <w:bottom w:val="nil"/>
            </w:tcBorders>
          </w:tcPr>
          <w:p>
            <w:pPr>
              <w:rPr>
                <w:rFonts w:ascii="Arial"/>
                <w:sz w:val="21"/>
              </w:rPr>
            </w:pPr>
            <w:r/>
          </w:p>
        </w:tc>
        <w:tc>
          <w:tcPr>
            <w:tcW w:w="1409" w:type="dxa"/>
            <w:vAlign w:val="top"/>
          </w:tcPr>
          <w:p>
            <w:pPr>
              <w:pStyle w:val="TableText"/>
              <w:ind w:left="291"/>
              <w:spacing w:before="142" w:line="220" w:lineRule="auto"/>
              <w:rPr>
                <w:sz w:val="20"/>
                <w:szCs w:val="20"/>
              </w:rPr>
            </w:pPr>
            <w:r>
              <w:rPr>
                <w:sz w:val="20"/>
                <w:szCs w:val="20"/>
                <w:spacing w:val="-2"/>
              </w:rPr>
              <w:t>废包装袋</w:t>
            </w:r>
          </w:p>
        </w:tc>
        <w:tc>
          <w:tcPr>
            <w:tcW w:w="1709" w:type="dxa"/>
            <w:vAlign w:val="top"/>
          </w:tcPr>
          <w:p>
            <w:pPr>
              <w:pStyle w:val="TableText"/>
              <w:ind w:left="592"/>
              <w:spacing w:before="192" w:line="184" w:lineRule="auto"/>
              <w:rPr>
                <w:sz w:val="20"/>
                <w:szCs w:val="20"/>
              </w:rPr>
            </w:pPr>
            <w:r>
              <w:rPr>
                <w:sz w:val="20"/>
                <w:szCs w:val="20"/>
                <w:spacing w:val="-4"/>
              </w:rPr>
              <w:t>14.78</w:t>
            </w:r>
          </w:p>
        </w:tc>
        <w:tc>
          <w:tcPr>
            <w:tcW w:w="1269" w:type="dxa"/>
            <w:vAlign w:val="top"/>
          </w:tcPr>
          <w:p>
            <w:pPr>
              <w:rPr>
                <w:rFonts w:ascii="Arial"/>
                <w:sz w:val="21"/>
              </w:rPr>
            </w:pPr>
            <w:r/>
          </w:p>
        </w:tc>
        <w:tc>
          <w:tcPr>
            <w:tcW w:w="1689" w:type="dxa"/>
            <w:vAlign w:val="top"/>
          </w:tcPr>
          <w:p>
            <w:pPr>
              <w:pStyle w:val="TableText"/>
              <w:ind w:left="584"/>
              <w:spacing w:before="192" w:line="184" w:lineRule="auto"/>
              <w:rPr>
                <w:sz w:val="20"/>
                <w:szCs w:val="20"/>
              </w:rPr>
            </w:pPr>
            <w:r>
              <w:rPr>
                <w:sz w:val="20"/>
                <w:szCs w:val="20"/>
                <w:spacing w:val="-2"/>
              </w:rPr>
              <w:t>20.12</w:t>
            </w:r>
          </w:p>
        </w:tc>
        <w:tc>
          <w:tcPr>
            <w:tcW w:w="1578" w:type="dxa"/>
            <w:vAlign w:val="top"/>
          </w:tcPr>
          <w:p>
            <w:pPr>
              <w:pStyle w:val="TableText"/>
              <w:ind w:left="584"/>
              <w:spacing w:before="193" w:line="183" w:lineRule="auto"/>
              <w:rPr>
                <w:sz w:val="20"/>
                <w:szCs w:val="20"/>
              </w:rPr>
            </w:pPr>
            <w:r>
              <w:rPr>
                <w:sz w:val="20"/>
                <w:szCs w:val="20"/>
                <w:spacing w:val="-2"/>
              </w:rPr>
              <w:t>8.85</w:t>
            </w:r>
          </w:p>
        </w:tc>
        <w:tc>
          <w:tcPr>
            <w:tcW w:w="1739" w:type="dxa"/>
            <w:vAlign w:val="top"/>
          </w:tcPr>
          <w:p>
            <w:pPr>
              <w:pStyle w:val="TableText"/>
              <w:ind w:left="667"/>
              <w:spacing w:before="193" w:line="183" w:lineRule="auto"/>
              <w:rPr>
                <w:sz w:val="20"/>
                <w:szCs w:val="20"/>
              </w:rPr>
            </w:pPr>
            <w:r>
              <w:rPr>
                <w:sz w:val="20"/>
                <w:szCs w:val="20"/>
                <w:spacing w:val="-2"/>
              </w:rPr>
              <w:t>8.05</w:t>
            </w:r>
          </w:p>
        </w:tc>
        <w:tc>
          <w:tcPr>
            <w:tcW w:w="1519" w:type="dxa"/>
            <w:vAlign w:val="top"/>
          </w:tcPr>
          <w:p>
            <w:pPr>
              <w:pStyle w:val="TableText"/>
              <w:ind w:left="558"/>
              <w:spacing w:before="193" w:line="183" w:lineRule="auto"/>
              <w:rPr>
                <w:sz w:val="20"/>
                <w:szCs w:val="20"/>
              </w:rPr>
            </w:pPr>
            <w:r>
              <w:rPr>
                <w:sz w:val="20"/>
                <w:szCs w:val="20"/>
                <w:spacing w:val="-3"/>
              </w:rPr>
              <w:t>35.7</w:t>
            </w:r>
          </w:p>
        </w:tc>
        <w:tc>
          <w:tcPr>
            <w:tcW w:w="1274" w:type="dxa"/>
            <w:vAlign w:val="top"/>
          </w:tcPr>
          <w:p>
            <w:pPr>
              <w:pStyle w:val="TableText"/>
              <w:ind w:left="329"/>
              <w:spacing w:before="193" w:line="183" w:lineRule="auto"/>
              <w:rPr>
                <w:sz w:val="20"/>
                <w:szCs w:val="20"/>
              </w:rPr>
            </w:pPr>
            <w:r>
              <w:rPr>
                <w:sz w:val="20"/>
                <w:szCs w:val="20"/>
                <w:spacing w:val="-2"/>
              </w:rPr>
              <w:t>+20.92</w:t>
            </w:r>
          </w:p>
        </w:tc>
      </w:tr>
      <w:tr>
        <w:trPr>
          <w:trHeight w:val="569" w:hRule="atLeast"/>
        </w:trPr>
        <w:tc>
          <w:tcPr>
            <w:tcW w:w="1574" w:type="dxa"/>
            <w:vAlign w:val="top"/>
            <w:vMerge w:val="continue"/>
            <w:tcBorders>
              <w:top w:val="nil"/>
              <w:bottom w:val="nil"/>
            </w:tcBorders>
          </w:tcPr>
          <w:p>
            <w:pPr>
              <w:rPr>
                <w:rFonts w:ascii="Arial"/>
                <w:sz w:val="21"/>
              </w:rPr>
            </w:pPr>
            <w:r/>
          </w:p>
        </w:tc>
        <w:tc>
          <w:tcPr>
            <w:tcW w:w="1409" w:type="dxa"/>
            <w:vAlign w:val="top"/>
          </w:tcPr>
          <w:p>
            <w:pPr>
              <w:pStyle w:val="TableText"/>
              <w:ind w:left="141"/>
              <w:spacing w:before="72" w:line="219" w:lineRule="auto"/>
              <w:rPr>
                <w:sz w:val="20"/>
                <w:szCs w:val="20"/>
              </w:rPr>
            </w:pPr>
            <w:r>
              <w:rPr>
                <w:sz w:val="20"/>
                <w:szCs w:val="20"/>
                <w:spacing w:val="-1"/>
              </w:rPr>
              <w:t>废粉料(集尘</w:t>
            </w:r>
          </w:p>
          <w:p>
            <w:pPr>
              <w:pStyle w:val="TableText"/>
              <w:ind w:left="540"/>
              <w:spacing w:before="12" w:line="219" w:lineRule="auto"/>
              <w:rPr>
                <w:sz w:val="20"/>
                <w:szCs w:val="20"/>
              </w:rPr>
            </w:pPr>
            <w:r>
              <w:rPr>
                <w:sz w:val="20"/>
                <w:szCs w:val="20"/>
                <w:spacing w:val="-5"/>
              </w:rPr>
              <w:t>灰</w:t>
            </w:r>
            <w:r>
              <w:rPr>
                <w:sz w:val="20"/>
                <w:szCs w:val="20"/>
                <w:spacing w:val="-39"/>
              </w:rPr>
              <w:t xml:space="preserve"> </w:t>
            </w:r>
            <w:r>
              <w:rPr>
                <w:sz w:val="20"/>
                <w:szCs w:val="20"/>
                <w:spacing w:val="-5"/>
              </w:rPr>
              <w:t>)</w:t>
            </w:r>
          </w:p>
        </w:tc>
        <w:tc>
          <w:tcPr>
            <w:tcW w:w="1709" w:type="dxa"/>
            <w:vAlign w:val="top"/>
          </w:tcPr>
          <w:p>
            <w:pPr>
              <w:pStyle w:val="TableText"/>
              <w:ind w:left="692"/>
              <w:spacing w:before="242" w:line="184" w:lineRule="auto"/>
              <w:rPr>
                <w:sz w:val="20"/>
                <w:szCs w:val="20"/>
              </w:rPr>
            </w:pPr>
            <w:r>
              <w:rPr>
                <w:sz w:val="20"/>
                <w:szCs w:val="20"/>
                <w:spacing w:val="-6"/>
              </w:rPr>
              <w:t>144</w:t>
            </w:r>
          </w:p>
        </w:tc>
        <w:tc>
          <w:tcPr>
            <w:tcW w:w="1269" w:type="dxa"/>
            <w:vAlign w:val="top"/>
          </w:tcPr>
          <w:p>
            <w:pPr>
              <w:rPr>
                <w:rFonts w:ascii="Arial"/>
                <w:sz w:val="21"/>
              </w:rPr>
            </w:pPr>
            <w:r/>
          </w:p>
        </w:tc>
        <w:tc>
          <w:tcPr>
            <w:tcW w:w="1689" w:type="dxa"/>
            <w:vAlign w:val="top"/>
          </w:tcPr>
          <w:p>
            <w:pPr>
              <w:pStyle w:val="TableText"/>
              <w:ind w:left="684"/>
              <w:spacing w:before="243" w:line="183" w:lineRule="auto"/>
              <w:rPr>
                <w:sz w:val="20"/>
                <w:szCs w:val="20"/>
              </w:rPr>
            </w:pPr>
            <w:r>
              <w:rPr>
                <w:sz w:val="20"/>
                <w:szCs w:val="20"/>
                <w:spacing w:val="-3"/>
              </w:rPr>
              <w:t>288</w:t>
            </w:r>
          </w:p>
        </w:tc>
        <w:tc>
          <w:tcPr>
            <w:tcW w:w="1578" w:type="dxa"/>
            <w:vAlign w:val="top"/>
          </w:tcPr>
          <w:p>
            <w:pPr>
              <w:pStyle w:val="TableText"/>
              <w:ind w:left="584"/>
              <w:spacing w:before="243" w:line="183" w:lineRule="auto"/>
              <w:rPr>
                <w:sz w:val="20"/>
                <w:szCs w:val="20"/>
              </w:rPr>
            </w:pPr>
            <w:r>
              <w:rPr>
                <w:sz w:val="20"/>
                <w:szCs w:val="20"/>
                <w:spacing w:val="-3"/>
              </w:rPr>
              <w:t>5.06</w:t>
            </w:r>
          </w:p>
        </w:tc>
        <w:tc>
          <w:tcPr>
            <w:tcW w:w="1739" w:type="dxa"/>
            <w:vAlign w:val="top"/>
          </w:tcPr>
          <w:p>
            <w:pPr>
              <w:pStyle w:val="TableText"/>
              <w:ind w:left="667"/>
              <w:spacing w:before="243" w:line="183" w:lineRule="auto"/>
              <w:rPr>
                <w:sz w:val="20"/>
                <w:szCs w:val="20"/>
              </w:rPr>
            </w:pPr>
            <w:r>
              <w:rPr>
                <w:sz w:val="20"/>
                <w:szCs w:val="20"/>
                <w:spacing w:val="-3"/>
              </w:rPr>
              <w:t>5.00</w:t>
            </w:r>
          </w:p>
        </w:tc>
        <w:tc>
          <w:tcPr>
            <w:tcW w:w="1519" w:type="dxa"/>
            <w:vAlign w:val="top"/>
          </w:tcPr>
          <w:p>
            <w:pPr>
              <w:pStyle w:val="TableText"/>
              <w:ind w:left="457"/>
              <w:spacing w:before="243" w:line="183" w:lineRule="auto"/>
              <w:rPr>
                <w:sz w:val="20"/>
                <w:szCs w:val="20"/>
              </w:rPr>
            </w:pPr>
            <w:r>
              <w:rPr>
                <w:sz w:val="20"/>
                <w:szCs w:val="20"/>
                <w:spacing w:val="-1"/>
              </w:rPr>
              <w:t>432.06</w:t>
            </w:r>
          </w:p>
        </w:tc>
        <w:tc>
          <w:tcPr>
            <w:tcW w:w="1274" w:type="dxa"/>
            <w:vAlign w:val="top"/>
          </w:tcPr>
          <w:p>
            <w:pPr>
              <w:pStyle w:val="TableText"/>
              <w:ind w:left="279"/>
              <w:spacing w:before="243" w:line="183" w:lineRule="auto"/>
              <w:rPr>
                <w:sz w:val="20"/>
                <w:szCs w:val="20"/>
              </w:rPr>
            </w:pPr>
            <w:r>
              <w:rPr>
                <w:sz w:val="20"/>
                <w:szCs w:val="20"/>
                <w:spacing w:val="-2"/>
              </w:rPr>
              <w:t>+288.06</w:t>
            </w:r>
          </w:p>
        </w:tc>
      </w:tr>
      <w:tr>
        <w:trPr>
          <w:trHeight w:val="490" w:hRule="atLeast"/>
        </w:trPr>
        <w:tc>
          <w:tcPr>
            <w:tcW w:w="1574" w:type="dxa"/>
            <w:vAlign w:val="top"/>
            <w:vMerge w:val="continue"/>
            <w:tcBorders>
              <w:top w:val="nil"/>
              <w:bottom w:val="nil"/>
            </w:tcBorders>
          </w:tcPr>
          <w:p>
            <w:pPr>
              <w:rPr>
                <w:rFonts w:ascii="Arial"/>
                <w:sz w:val="21"/>
              </w:rPr>
            </w:pPr>
            <w:r/>
          </w:p>
        </w:tc>
        <w:tc>
          <w:tcPr>
            <w:tcW w:w="1409" w:type="dxa"/>
            <w:vAlign w:val="top"/>
          </w:tcPr>
          <w:p>
            <w:pPr>
              <w:pStyle w:val="TableText"/>
              <w:ind w:left="391"/>
              <w:spacing w:before="153" w:line="220" w:lineRule="auto"/>
              <w:rPr>
                <w:sz w:val="20"/>
                <w:szCs w:val="20"/>
              </w:rPr>
            </w:pPr>
            <w:r>
              <w:rPr>
                <w:sz w:val="20"/>
                <w:szCs w:val="20"/>
                <w:spacing w:val="-2"/>
              </w:rPr>
              <w:t>废手套</w:t>
            </w:r>
          </w:p>
        </w:tc>
        <w:tc>
          <w:tcPr>
            <w:tcW w:w="1709" w:type="dxa"/>
            <w:vAlign w:val="top"/>
          </w:tcPr>
          <w:p>
            <w:pPr>
              <w:pStyle w:val="TableText"/>
              <w:ind w:left="592"/>
              <w:spacing w:before="204" w:line="183" w:lineRule="auto"/>
              <w:rPr>
                <w:sz w:val="20"/>
                <w:szCs w:val="20"/>
              </w:rPr>
            </w:pPr>
            <w:r>
              <w:rPr>
                <w:sz w:val="20"/>
                <w:szCs w:val="20"/>
                <w:spacing w:val="-2"/>
              </w:rPr>
              <w:t>47.59</w:t>
            </w:r>
          </w:p>
        </w:tc>
        <w:tc>
          <w:tcPr>
            <w:tcW w:w="1269" w:type="dxa"/>
            <w:vAlign w:val="top"/>
          </w:tcPr>
          <w:p>
            <w:pPr>
              <w:rPr>
                <w:rFonts w:ascii="Arial"/>
                <w:sz w:val="21"/>
              </w:rPr>
            </w:pPr>
            <w:r/>
          </w:p>
        </w:tc>
        <w:tc>
          <w:tcPr>
            <w:tcW w:w="1689" w:type="dxa"/>
            <w:vAlign w:val="top"/>
          </w:tcPr>
          <w:p>
            <w:pPr>
              <w:pStyle w:val="TableText"/>
              <w:ind w:left="584"/>
              <w:spacing w:before="203" w:line="184" w:lineRule="auto"/>
              <w:rPr>
                <w:sz w:val="20"/>
                <w:szCs w:val="20"/>
              </w:rPr>
            </w:pPr>
            <w:r>
              <w:rPr>
                <w:sz w:val="20"/>
                <w:szCs w:val="20"/>
                <w:spacing w:val="-4"/>
              </w:rPr>
              <w:t>126.2</w:t>
            </w:r>
          </w:p>
        </w:tc>
        <w:tc>
          <w:tcPr>
            <w:tcW w:w="1578" w:type="dxa"/>
            <w:vAlign w:val="top"/>
          </w:tcPr>
          <w:p>
            <w:pPr>
              <w:pStyle w:val="TableText"/>
              <w:ind w:left="735"/>
              <w:spacing w:before="204" w:line="183" w:lineRule="auto"/>
              <w:rPr>
                <w:sz w:val="20"/>
                <w:szCs w:val="20"/>
              </w:rPr>
            </w:pPr>
            <w:r>
              <w:rPr>
                <w:sz w:val="20"/>
                <w:szCs w:val="20"/>
              </w:rPr>
              <w:t>0</w:t>
            </w:r>
          </w:p>
        </w:tc>
        <w:tc>
          <w:tcPr>
            <w:tcW w:w="1739" w:type="dxa"/>
            <w:vAlign w:val="top"/>
          </w:tcPr>
          <w:p>
            <w:pPr>
              <w:pStyle w:val="TableText"/>
              <w:ind w:left="817"/>
              <w:spacing w:before="204" w:line="183" w:lineRule="auto"/>
              <w:rPr>
                <w:sz w:val="20"/>
                <w:szCs w:val="20"/>
              </w:rPr>
            </w:pPr>
            <w:r>
              <w:rPr>
                <w:sz w:val="20"/>
                <w:szCs w:val="20"/>
              </w:rPr>
              <w:t>0</w:t>
            </w:r>
          </w:p>
        </w:tc>
        <w:tc>
          <w:tcPr>
            <w:tcW w:w="1519" w:type="dxa"/>
            <w:vAlign w:val="top"/>
          </w:tcPr>
          <w:p>
            <w:pPr>
              <w:pStyle w:val="TableText"/>
              <w:ind w:left="457"/>
              <w:spacing w:before="203" w:line="184" w:lineRule="auto"/>
              <w:rPr>
                <w:sz w:val="20"/>
                <w:szCs w:val="20"/>
              </w:rPr>
            </w:pPr>
            <w:r>
              <w:rPr>
                <w:sz w:val="20"/>
                <w:szCs w:val="20"/>
                <w:spacing w:val="-4"/>
              </w:rPr>
              <w:t>173.79</w:t>
            </w:r>
          </w:p>
        </w:tc>
        <w:tc>
          <w:tcPr>
            <w:tcW w:w="1274" w:type="dxa"/>
            <w:vAlign w:val="top"/>
          </w:tcPr>
          <w:p>
            <w:pPr>
              <w:pStyle w:val="TableText"/>
              <w:ind w:left="329"/>
              <w:spacing w:before="203" w:line="184" w:lineRule="auto"/>
              <w:rPr>
                <w:sz w:val="20"/>
                <w:szCs w:val="20"/>
              </w:rPr>
            </w:pPr>
            <w:r>
              <w:rPr>
                <w:sz w:val="20"/>
                <w:szCs w:val="20"/>
                <w:spacing w:val="-2"/>
              </w:rPr>
              <w:t>+126.2</w:t>
            </w:r>
          </w:p>
        </w:tc>
      </w:tr>
      <w:tr>
        <w:trPr>
          <w:trHeight w:val="489" w:hRule="atLeast"/>
        </w:trPr>
        <w:tc>
          <w:tcPr>
            <w:tcW w:w="1574" w:type="dxa"/>
            <w:vAlign w:val="top"/>
            <w:vMerge w:val="continue"/>
            <w:tcBorders>
              <w:top w:val="nil"/>
              <w:bottom w:val="nil"/>
            </w:tcBorders>
          </w:tcPr>
          <w:p>
            <w:pPr>
              <w:rPr>
                <w:rFonts w:ascii="Arial"/>
                <w:sz w:val="21"/>
              </w:rPr>
            </w:pPr>
            <w:r/>
          </w:p>
        </w:tc>
        <w:tc>
          <w:tcPr>
            <w:tcW w:w="1409" w:type="dxa"/>
            <w:vAlign w:val="top"/>
          </w:tcPr>
          <w:p>
            <w:pPr>
              <w:pStyle w:val="TableText"/>
              <w:ind w:left="141"/>
              <w:spacing w:before="153" w:line="219" w:lineRule="auto"/>
              <w:rPr>
                <w:sz w:val="20"/>
                <w:szCs w:val="20"/>
              </w:rPr>
            </w:pPr>
            <w:r>
              <w:rPr>
                <w:sz w:val="20"/>
                <w:szCs w:val="20"/>
                <w:spacing w:val="35"/>
              </w:rPr>
              <w:t>废LED灯管</w:t>
            </w:r>
          </w:p>
        </w:tc>
        <w:tc>
          <w:tcPr>
            <w:tcW w:w="1709" w:type="dxa"/>
            <w:vAlign w:val="top"/>
          </w:tcPr>
          <w:p>
            <w:pPr>
              <w:pStyle w:val="TableText"/>
              <w:ind w:left="792"/>
              <w:spacing w:before="204" w:line="183" w:lineRule="auto"/>
              <w:rPr>
                <w:sz w:val="20"/>
                <w:szCs w:val="20"/>
              </w:rPr>
            </w:pPr>
            <w:r>
              <w:rPr>
                <w:sz w:val="20"/>
                <w:szCs w:val="20"/>
              </w:rPr>
              <w:t>0</w:t>
            </w:r>
          </w:p>
        </w:tc>
        <w:tc>
          <w:tcPr>
            <w:tcW w:w="1269" w:type="dxa"/>
            <w:vAlign w:val="top"/>
          </w:tcPr>
          <w:p>
            <w:pPr>
              <w:rPr>
                <w:rFonts w:ascii="Arial"/>
                <w:sz w:val="21"/>
              </w:rPr>
            </w:pPr>
            <w:r/>
          </w:p>
        </w:tc>
        <w:tc>
          <w:tcPr>
            <w:tcW w:w="1689" w:type="dxa"/>
            <w:vAlign w:val="top"/>
          </w:tcPr>
          <w:p>
            <w:pPr>
              <w:pStyle w:val="TableText"/>
              <w:ind w:left="684"/>
              <w:spacing w:before="204" w:line="183" w:lineRule="auto"/>
              <w:rPr>
                <w:sz w:val="20"/>
                <w:szCs w:val="20"/>
              </w:rPr>
            </w:pPr>
            <w:r>
              <w:rPr>
                <w:sz w:val="20"/>
                <w:szCs w:val="20"/>
                <w:spacing w:val="-2"/>
              </w:rPr>
              <w:t>4.4</w:t>
            </w:r>
          </w:p>
        </w:tc>
        <w:tc>
          <w:tcPr>
            <w:tcW w:w="1578" w:type="dxa"/>
            <w:vAlign w:val="top"/>
          </w:tcPr>
          <w:p>
            <w:pPr>
              <w:pStyle w:val="TableText"/>
              <w:ind w:left="584"/>
              <w:spacing w:before="203" w:line="184" w:lineRule="auto"/>
              <w:rPr>
                <w:sz w:val="20"/>
                <w:szCs w:val="20"/>
              </w:rPr>
            </w:pPr>
            <w:r>
              <w:rPr>
                <w:sz w:val="20"/>
                <w:szCs w:val="20"/>
                <w:spacing w:val="-5"/>
              </w:rPr>
              <w:t>1.76</w:t>
            </w:r>
          </w:p>
        </w:tc>
        <w:tc>
          <w:tcPr>
            <w:tcW w:w="1739" w:type="dxa"/>
            <w:vAlign w:val="top"/>
          </w:tcPr>
          <w:p>
            <w:pPr>
              <w:pStyle w:val="TableText"/>
              <w:ind w:left="817"/>
              <w:spacing w:before="204" w:line="183" w:lineRule="auto"/>
              <w:rPr>
                <w:sz w:val="20"/>
                <w:szCs w:val="20"/>
              </w:rPr>
            </w:pPr>
            <w:r>
              <w:rPr>
                <w:sz w:val="20"/>
                <w:szCs w:val="20"/>
              </w:rPr>
              <w:t>0</w:t>
            </w:r>
          </w:p>
        </w:tc>
        <w:tc>
          <w:tcPr>
            <w:tcW w:w="1519" w:type="dxa"/>
            <w:vAlign w:val="top"/>
          </w:tcPr>
          <w:p>
            <w:pPr>
              <w:pStyle w:val="TableText"/>
              <w:ind w:left="558"/>
              <w:spacing w:before="203" w:line="184" w:lineRule="auto"/>
              <w:rPr>
                <w:sz w:val="20"/>
                <w:szCs w:val="20"/>
              </w:rPr>
            </w:pPr>
            <w:r>
              <w:rPr>
                <w:sz w:val="20"/>
                <w:szCs w:val="20"/>
                <w:spacing w:val="-2"/>
              </w:rPr>
              <w:t>6.16</w:t>
            </w:r>
          </w:p>
        </w:tc>
        <w:tc>
          <w:tcPr>
            <w:tcW w:w="1274" w:type="dxa"/>
            <w:vAlign w:val="top"/>
          </w:tcPr>
          <w:p>
            <w:pPr>
              <w:pStyle w:val="TableText"/>
              <w:ind w:left="379"/>
              <w:spacing w:before="203" w:line="184" w:lineRule="auto"/>
              <w:rPr>
                <w:sz w:val="20"/>
                <w:szCs w:val="20"/>
              </w:rPr>
            </w:pPr>
            <w:r>
              <w:rPr>
                <w:sz w:val="20"/>
                <w:szCs w:val="20"/>
                <w:spacing w:val="-2"/>
              </w:rPr>
              <w:t>+6.16</w:t>
            </w:r>
          </w:p>
        </w:tc>
      </w:tr>
      <w:tr>
        <w:trPr>
          <w:trHeight w:val="549" w:hRule="atLeast"/>
        </w:trPr>
        <w:tc>
          <w:tcPr>
            <w:tcW w:w="1574" w:type="dxa"/>
            <w:vAlign w:val="top"/>
            <w:vMerge w:val="continue"/>
            <w:tcBorders>
              <w:top w:val="nil"/>
              <w:bottom w:val="nil"/>
            </w:tcBorders>
          </w:tcPr>
          <w:p>
            <w:pPr>
              <w:rPr>
                <w:rFonts w:ascii="Arial"/>
                <w:sz w:val="21"/>
              </w:rPr>
            </w:pPr>
            <w:r/>
          </w:p>
        </w:tc>
        <w:tc>
          <w:tcPr>
            <w:tcW w:w="1409" w:type="dxa"/>
            <w:vAlign w:val="top"/>
          </w:tcPr>
          <w:p>
            <w:pPr>
              <w:pStyle w:val="TableText"/>
              <w:ind w:left="491" w:right="197" w:hanging="300"/>
              <w:spacing w:before="34" w:line="233" w:lineRule="auto"/>
              <w:rPr>
                <w:sz w:val="20"/>
                <w:szCs w:val="20"/>
              </w:rPr>
            </w:pPr>
            <w:r>
              <w:rPr>
                <w:sz w:val="20"/>
                <w:szCs w:val="20"/>
                <w:spacing w:val="2"/>
              </w:rPr>
              <w:t>纯水制备废</w:t>
            </w:r>
            <w:r>
              <w:rPr>
                <w:sz w:val="20"/>
                <w:szCs w:val="20"/>
              </w:rPr>
              <w:t xml:space="preserve"> </w:t>
            </w:r>
            <w:r>
              <w:rPr>
                <w:sz w:val="20"/>
                <w:szCs w:val="20"/>
                <w:spacing w:val="-3"/>
              </w:rPr>
              <w:t>滤芯</w:t>
            </w:r>
          </w:p>
        </w:tc>
        <w:tc>
          <w:tcPr>
            <w:tcW w:w="1709" w:type="dxa"/>
            <w:vAlign w:val="top"/>
          </w:tcPr>
          <w:p>
            <w:pPr>
              <w:pStyle w:val="TableText"/>
              <w:ind w:left="792"/>
              <w:spacing w:before="235" w:line="183" w:lineRule="auto"/>
              <w:rPr>
                <w:sz w:val="20"/>
                <w:szCs w:val="20"/>
              </w:rPr>
            </w:pPr>
            <w:r>
              <w:rPr>
                <w:sz w:val="20"/>
                <w:szCs w:val="20"/>
              </w:rPr>
              <w:t>0</w:t>
            </w:r>
          </w:p>
        </w:tc>
        <w:tc>
          <w:tcPr>
            <w:tcW w:w="1269" w:type="dxa"/>
            <w:vAlign w:val="top"/>
          </w:tcPr>
          <w:p>
            <w:pPr>
              <w:rPr>
                <w:rFonts w:ascii="Arial"/>
                <w:sz w:val="21"/>
              </w:rPr>
            </w:pPr>
            <w:r/>
          </w:p>
        </w:tc>
        <w:tc>
          <w:tcPr>
            <w:tcW w:w="1689" w:type="dxa"/>
            <w:vAlign w:val="top"/>
          </w:tcPr>
          <w:p>
            <w:pPr>
              <w:pStyle w:val="TableText"/>
              <w:ind w:left="684"/>
              <w:spacing w:before="236" w:line="182" w:lineRule="auto"/>
              <w:rPr>
                <w:sz w:val="20"/>
                <w:szCs w:val="20"/>
              </w:rPr>
            </w:pPr>
            <w:r>
              <w:rPr>
                <w:sz w:val="20"/>
                <w:szCs w:val="20"/>
                <w:spacing w:val="-3"/>
              </w:rPr>
              <w:t>5.5</w:t>
            </w:r>
          </w:p>
        </w:tc>
        <w:tc>
          <w:tcPr>
            <w:tcW w:w="1578" w:type="dxa"/>
            <w:vAlign w:val="top"/>
          </w:tcPr>
          <w:p>
            <w:pPr>
              <w:pStyle w:val="TableText"/>
              <w:ind w:left="634"/>
              <w:spacing w:before="235" w:line="183" w:lineRule="auto"/>
              <w:rPr>
                <w:sz w:val="20"/>
                <w:szCs w:val="20"/>
              </w:rPr>
            </w:pPr>
            <w:r>
              <w:rPr>
                <w:sz w:val="20"/>
                <w:szCs w:val="20"/>
                <w:spacing w:val="-3"/>
              </w:rPr>
              <w:t>2.2</w:t>
            </w:r>
          </w:p>
        </w:tc>
        <w:tc>
          <w:tcPr>
            <w:tcW w:w="1739" w:type="dxa"/>
            <w:vAlign w:val="top"/>
          </w:tcPr>
          <w:p>
            <w:pPr>
              <w:pStyle w:val="TableText"/>
              <w:ind w:left="817"/>
              <w:spacing w:before="235" w:line="183" w:lineRule="auto"/>
              <w:rPr>
                <w:sz w:val="20"/>
                <w:szCs w:val="20"/>
              </w:rPr>
            </w:pPr>
            <w:r>
              <w:rPr>
                <w:sz w:val="20"/>
                <w:szCs w:val="20"/>
              </w:rPr>
              <w:t>0</w:t>
            </w:r>
          </w:p>
        </w:tc>
        <w:tc>
          <w:tcPr>
            <w:tcW w:w="1519" w:type="dxa"/>
            <w:vAlign w:val="top"/>
          </w:tcPr>
          <w:p>
            <w:pPr>
              <w:pStyle w:val="TableText"/>
              <w:ind w:left="608"/>
              <w:spacing w:before="236" w:line="182" w:lineRule="auto"/>
              <w:rPr>
                <w:sz w:val="20"/>
                <w:szCs w:val="20"/>
              </w:rPr>
            </w:pPr>
            <w:r>
              <w:rPr>
                <w:sz w:val="20"/>
                <w:szCs w:val="20"/>
                <w:spacing w:val="-3"/>
              </w:rPr>
              <w:t>7.7</w:t>
            </w:r>
          </w:p>
        </w:tc>
        <w:tc>
          <w:tcPr>
            <w:tcW w:w="1274" w:type="dxa"/>
            <w:vAlign w:val="top"/>
          </w:tcPr>
          <w:p>
            <w:pPr>
              <w:pStyle w:val="TableText"/>
              <w:ind w:left="428"/>
              <w:spacing w:before="236" w:line="182" w:lineRule="auto"/>
              <w:rPr>
                <w:sz w:val="20"/>
                <w:szCs w:val="20"/>
              </w:rPr>
            </w:pPr>
            <w:r>
              <w:rPr>
                <w:sz w:val="20"/>
                <w:szCs w:val="20"/>
                <w:spacing w:val="-2"/>
              </w:rPr>
              <w:t>+7.7</w:t>
            </w:r>
          </w:p>
        </w:tc>
      </w:tr>
      <w:tr>
        <w:trPr>
          <w:trHeight w:val="480" w:hRule="atLeast"/>
        </w:trPr>
        <w:tc>
          <w:tcPr>
            <w:tcW w:w="1574" w:type="dxa"/>
            <w:vAlign w:val="top"/>
            <w:vMerge w:val="continue"/>
            <w:tcBorders>
              <w:top w:val="nil"/>
              <w:bottom w:val="nil"/>
            </w:tcBorders>
          </w:tcPr>
          <w:p>
            <w:pPr>
              <w:rPr>
                <w:rFonts w:ascii="Arial"/>
                <w:sz w:val="21"/>
              </w:rPr>
            </w:pPr>
            <w:r/>
          </w:p>
        </w:tc>
        <w:tc>
          <w:tcPr>
            <w:tcW w:w="1409" w:type="dxa"/>
            <w:vAlign w:val="top"/>
          </w:tcPr>
          <w:p>
            <w:pPr>
              <w:pStyle w:val="TableText"/>
              <w:ind w:left="291"/>
              <w:spacing w:before="145" w:line="220" w:lineRule="auto"/>
              <w:rPr>
                <w:sz w:val="20"/>
                <w:szCs w:val="20"/>
              </w:rPr>
            </w:pPr>
            <w:r>
              <w:rPr>
                <w:sz w:val="20"/>
                <w:szCs w:val="20"/>
                <w:spacing w:val="2"/>
              </w:rPr>
              <w:t>阴极污泥</w:t>
            </w:r>
          </w:p>
        </w:tc>
        <w:tc>
          <w:tcPr>
            <w:tcW w:w="1709" w:type="dxa"/>
            <w:vAlign w:val="top"/>
          </w:tcPr>
          <w:p>
            <w:pPr>
              <w:pStyle w:val="TableText"/>
              <w:ind w:left="642"/>
              <w:spacing w:before="196" w:line="183" w:lineRule="auto"/>
              <w:rPr>
                <w:sz w:val="20"/>
                <w:szCs w:val="20"/>
              </w:rPr>
            </w:pPr>
            <w:r>
              <w:rPr>
                <w:sz w:val="20"/>
                <w:szCs w:val="20"/>
                <w:spacing w:val="-3"/>
              </w:rPr>
              <w:t>7.29</w:t>
            </w:r>
          </w:p>
        </w:tc>
        <w:tc>
          <w:tcPr>
            <w:tcW w:w="1269" w:type="dxa"/>
            <w:vAlign w:val="top"/>
          </w:tcPr>
          <w:p>
            <w:pPr>
              <w:rPr>
                <w:rFonts w:ascii="Arial"/>
                <w:sz w:val="21"/>
              </w:rPr>
            </w:pPr>
            <w:r/>
          </w:p>
        </w:tc>
        <w:tc>
          <w:tcPr>
            <w:tcW w:w="1689" w:type="dxa"/>
            <w:vAlign w:val="top"/>
          </w:tcPr>
          <w:p>
            <w:pPr>
              <w:pStyle w:val="TableText"/>
              <w:ind w:left="634"/>
              <w:spacing w:before="196" w:line="183" w:lineRule="auto"/>
              <w:rPr>
                <w:sz w:val="20"/>
                <w:szCs w:val="20"/>
              </w:rPr>
            </w:pPr>
            <w:r>
              <w:rPr>
                <w:sz w:val="20"/>
                <w:szCs w:val="20"/>
                <w:spacing w:val="-2"/>
              </w:rPr>
              <w:t>9.66</w:t>
            </w:r>
          </w:p>
        </w:tc>
        <w:tc>
          <w:tcPr>
            <w:tcW w:w="1578" w:type="dxa"/>
            <w:vAlign w:val="top"/>
          </w:tcPr>
          <w:p>
            <w:pPr>
              <w:pStyle w:val="TableText"/>
              <w:ind w:left="584"/>
              <w:spacing w:before="196" w:line="183" w:lineRule="auto"/>
              <w:rPr>
                <w:sz w:val="20"/>
                <w:szCs w:val="20"/>
              </w:rPr>
            </w:pPr>
            <w:r>
              <w:rPr>
                <w:sz w:val="20"/>
                <w:szCs w:val="20"/>
                <w:spacing w:val="-3"/>
              </w:rPr>
              <w:t>3.05</w:t>
            </w:r>
          </w:p>
        </w:tc>
        <w:tc>
          <w:tcPr>
            <w:tcW w:w="1739" w:type="dxa"/>
            <w:vAlign w:val="top"/>
          </w:tcPr>
          <w:p>
            <w:pPr>
              <w:pStyle w:val="TableText"/>
              <w:ind w:left="817"/>
              <w:spacing w:before="196" w:line="183" w:lineRule="auto"/>
              <w:rPr>
                <w:sz w:val="20"/>
                <w:szCs w:val="20"/>
              </w:rPr>
            </w:pPr>
            <w:r>
              <w:rPr>
                <w:sz w:val="20"/>
                <w:szCs w:val="20"/>
              </w:rPr>
              <w:t>0</w:t>
            </w:r>
          </w:p>
        </w:tc>
        <w:tc>
          <w:tcPr>
            <w:tcW w:w="1519" w:type="dxa"/>
            <w:vAlign w:val="top"/>
          </w:tcPr>
          <w:p>
            <w:pPr>
              <w:pStyle w:val="TableText"/>
              <w:ind w:left="507"/>
              <w:spacing w:before="196" w:line="183" w:lineRule="auto"/>
              <w:rPr>
                <w:sz w:val="20"/>
                <w:szCs w:val="20"/>
              </w:rPr>
            </w:pPr>
            <w:r>
              <w:rPr>
                <w:sz w:val="20"/>
                <w:szCs w:val="20"/>
                <w:spacing w:val="-2"/>
              </w:rPr>
              <w:t>20.00</w:t>
            </w:r>
          </w:p>
        </w:tc>
        <w:tc>
          <w:tcPr>
            <w:tcW w:w="1274" w:type="dxa"/>
            <w:vAlign w:val="top"/>
          </w:tcPr>
          <w:p>
            <w:pPr>
              <w:pStyle w:val="TableText"/>
              <w:ind w:left="329"/>
              <w:spacing w:before="195" w:line="184" w:lineRule="auto"/>
              <w:rPr>
                <w:sz w:val="20"/>
                <w:szCs w:val="20"/>
              </w:rPr>
            </w:pPr>
            <w:r>
              <w:rPr>
                <w:sz w:val="20"/>
                <w:szCs w:val="20"/>
                <w:spacing w:val="-2"/>
              </w:rPr>
              <w:t>+12.71</w:t>
            </w:r>
          </w:p>
        </w:tc>
      </w:tr>
      <w:tr>
        <w:trPr>
          <w:trHeight w:val="489" w:hRule="atLeast"/>
        </w:trPr>
        <w:tc>
          <w:tcPr>
            <w:tcW w:w="1574" w:type="dxa"/>
            <w:vAlign w:val="top"/>
            <w:vMerge w:val="continue"/>
            <w:tcBorders>
              <w:top w:val="nil"/>
            </w:tcBorders>
          </w:tcPr>
          <w:p>
            <w:pPr>
              <w:rPr>
                <w:rFonts w:ascii="Arial"/>
                <w:sz w:val="21"/>
              </w:rPr>
            </w:pPr>
            <w:r/>
          </w:p>
        </w:tc>
        <w:tc>
          <w:tcPr>
            <w:tcW w:w="1409" w:type="dxa"/>
            <w:vAlign w:val="top"/>
          </w:tcPr>
          <w:p>
            <w:pPr>
              <w:pStyle w:val="TableText"/>
              <w:ind w:left="291"/>
              <w:spacing w:before="155" w:line="220" w:lineRule="auto"/>
              <w:rPr>
                <w:sz w:val="20"/>
                <w:szCs w:val="20"/>
              </w:rPr>
            </w:pPr>
            <w:r>
              <w:rPr>
                <w:sz w:val="20"/>
                <w:szCs w:val="20"/>
                <w:spacing w:val="2"/>
              </w:rPr>
              <w:t>综合污泥</w:t>
            </w:r>
          </w:p>
        </w:tc>
        <w:tc>
          <w:tcPr>
            <w:tcW w:w="1709" w:type="dxa"/>
            <w:vAlign w:val="top"/>
          </w:tcPr>
          <w:p>
            <w:pPr>
              <w:pStyle w:val="TableText"/>
              <w:ind w:left="642"/>
              <w:spacing w:before="206" w:line="183" w:lineRule="auto"/>
              <w:rPr>
                <w:sz w:val="20"/>
                <w:szCs w:val="20"/>
              </w:rPr>
            </w:pPr>
            <w:r>
              <w:rPr>
                <w:sz w:val="20"/>
                <w:szCs w:val="20"/>
                <w:spacing w:val="-2"/>
              </w:rPr>
              <w:t>8.04</w:t>
            </w:r>
          </w:p>
        </w:tc>
        <w:tc>
          <w:tcPr>
            <w:tcW w:w="1269" w:type="dxa"/>
            <w:vAlign w:val="top"/>
          </w:tcPr>
          <w:p>
            <w:pPr>
              <w:rPr>
                <w:rFonts w:ascii="Arial"/>
                <w:sz w:val="21"/>
              </w:rPr>
            </w:pPr>
            <w:r/>
          </w:p>
        </w:tc>
        <w:tc>
          <w:tcPr>
            <w:tcW w:w="1689" w:type="dxa"/>
            <w:vAlign w:val="top"/>
          </w:tcPr>
          <w:p>
            <w:pPr>
              <w:pStyle w:val="TableText"/>
              <w:ind w:left="584"/>
              <w:spacing w:before="205" w:line="184" w:lineRule="auto"/>
              <w:rPr>
                <w:sz w:val="20"/>
                <w:szCs w:val="20"/>
              </w:rPr>
            </w:pPr>
            <w:r>
              <w:rPr>
                <w:sz w:val="20"/>
                <w:szCs w:val="20"/>
                <w:spacing w:val="-4"/>
              </w:rPr>
              <w:t>11.34</w:t>
            </w:r>
          </w:p>
        </w:tc>
        <w:tc>
          <w:tcPr>
            <w:tcW w:w="1578" w:type="dxa"/>
            <w:vAlign w:val="top"/>
          </w:tcPr>
          <w:p>
            <w:pPr>
              <w:pStyle w:val="TableText"/>
              <w:ind w:left="584"/>
              <w:spacing w:before="205" w:line="184" w:lineRule="auto"/>
              <w:rPr>
                <w:sz w:val="20"/>
                <w:szCs w:val="20"/>
              </w:rPr>
            </w:pPr>
            <w:r>
              <w:rPr>
                <w:sz w:val="20"/>
                <w:szCs w:val="20"/>
                <w:spacing w:val="-3"/>
              </w:rPr>
              <w:t>5.14</w:t>
            </w:r>
          </w:p>
        </w:tc>
        <w:tc>
          <w:tcPr>
            <w:tcW w:w="1739" w:type="dxa"/>
            <w:vAlign w:val="top"/>
          </w:tcPr>
          <w:p>
            <w:pPr>
              <w:pStyle w:val="TableText"/>
              <w:ind w:left="817"/>
              <w:spacing w:before="206" w:line="183" w:lineRule="auto"/>
              <w:rPr>
                <w:sz w:val="20"/>
                <w:szCs w:val="20"/>
              </w:rPr>
            </w:pPr>
            <w:r>
              <w:rPr>
                <w:sz w:val="20"/>
                <w:szCs w:val="20"/>
              </w:rPr>
              <w:t>0</w:t>
            </w:r>
          </w:p>
        </w:tc>
        <w:tc>
          <w:tcPr>
            <w:tcW w:w="1519" w:type="dxa"/>
            <w:vAlign w:val="top"/>
          </w:tcPr>
          <w:p>
            <w:pPr>
              <w:pStyle w:val="TableText"/>
              <w:ind w:left="507"/>
              <w:spacing w:before="206" w:line="183" w:lineRule="auto"/>
              <w:rPr>
                <w:sz w:val="20"/>
                <w:szCs w:val="20"/>
              </w:rPr>
            </w:pPr>
            <w:r>
              <w:rPr>
                <w:sz w:val="20"/>
                <w:szCs w:val="20"/>
                <w:spacing w:val="-2"/>
              </w:rPr>
              <w:t>24.52</w:t>
            </w:r>
          </w:p>
        </w:tc>
        <w:tc>
          <w:tcPr>
            <w:tcW w:w="1274" w:type="dxa"/>
            <w:vAlign w:val="top"/>
          </w:tcPr>
          <w:p>
            <w:pPr>
              <w:pStyle w:val="TableText"/>
              <w:ind w:left="329"/>
              <w:spacing w:before="205" w:line="184" w:lineRule="auto"/>
              <w:rPr>
                <w:sz w:val="20"/>
                <w:szCs w:val="20"/>
              </w:rPr>
            </w:pPr>
            <w:r>
              <w:rPr>
                <w:sz w:val="20"/>
                <w:szCs w:val="20"/>
                <w:spacing w:val="-2"/>
              </w:rPr>
              <w:t>+16.48</w:t>
            </w:r>
          </w:p>
        </w:tc>
      </w:tr>
      <w:tr>
        <w:trPr>
          <w:trHeight w:val="519" w:hRule="atLeast"/>
        </w:trPr>
        <w:tc>
          <w:tcPr>
            <w:tcW w:w="1574" w:type="dxa"/>
            <w:vAlign w:val="top"/>
            <w:vMerge w:val="restart"/>
            <w:tcBorders>
              <w:bottom w:val="nil"/>
            </w:tcBorders>
          </w:tcPr>
          <w:p>
            <w:pPr>
              <w:spacing w:line="349" w:lineRule="auto"/>
              <w:rPr>
                <w:rFonts w:ascii="Arial"/>
                <w:sz w:val="21"/>
              </w:rPr>
            </w:pPr>
            <w:r/>
          </w:p>
          <w:p>
            <w:pPr>
              <w:pStyle w:val="TableText"/>
              <w:ind w:left="275"/>
              <w:spacing w:before="65" w:line="219" w:lineRule="auto"/>
              <w:rPr>
                <w:sz w:val="20"/>
                <w:szCs w:val="20"/>
              </w:rPr>
            </w:pPr>
            <w:r>
              <w:rPr>
                <w:sz w:val="20"/>
                <w:szCs w:val="20"/>
                <w:spacing w:val="-2"/>
              </w:rPr>
              <w:t>待鉴定废物</w:t>
            </w:r>
          </w:p>
        </w:tc>
        <w:tc>
          <w:tcPr>
            <w:tcW w:w="1409" w:type="dxa"/>
            <w:vAlign w:val="top"/>
          </w:tcPr>
          <w:p>
            <w:pPr>
              <w:pStyle w:val="TableText"/>
              <w:ind w:left="391"/>
              <w:spacing w:before="166" w:line="219" w:lineRule="auto"/>
              <w:rPr>
                <w:sz w:val="20"/>
                <w:szCs w:val="20"/>
              </w:rPr>
            </w:pPr>
            <w:r>
              <w:rPr>
                <w:sz w:val="20"/>
                <w:szCs w:val="20"/>
                <w:spacing w:val="-2"/>
              </w:rPr>
              <w:t>废浆料</w:t>
            </w:r>
          </w:p>
        </w:tc>
        <w:tc>
          <w:tcPr>
            <w:tcW w:w="1709" w:type="dxa"/>
            <w:vAlign w:val="top"/>
          </w:tcPr>
          <w:p>
            <w:pPr>
              <w:pStyle w:val="TableText"/>
              <w:ind w:left="542"/>
              <w:spacing w:before="217" w:line="183" w:lineRule="auto"/>
              <w:rPr>
                <w:sz w:val="20"/>
                <w:szCs w:val="20"/>
              </w:rPr>
            </w:pPr>
            <w:r>
              <w:rPr>
                <w:sz w:val="20"/>
                <w:szCs w:val="20"/>
                <w:spacing w:val="-1"/>
              </w:rPr>
              <w:t>495.59</w:t>
            </w:r>
          </w:p>
        </w:tc>
        <w:tc>
          <w:tcPr>
            <w:tcW w:w="1269" w:type="dxa"/>
            <w:vAlign w:val="top"/>
          </w:tcPr>
          <w:p>
            <w:pPr>
              <w:rPr>
                <w:rFonts w:ascii="Arial"/>
                <w:sz w:val="21"/>
              </w:rPr>
            </w:pPr>
            <w:r/>
          </w:p>
        </w:tc>
        <w:tc>
          <w:tcPr>
            <w:tcW w:w="1689" w:type="dxa"/>
            <w:vAlign w:val="top"/>
          </w:tcPr>
          <w:p>
            <w:pPr>
              <w:pStyle w:val="TableText"/>
              <w:ind w:left="534"/>
              <w:spacing w:before="217" w:line="183" w:lineRule="auto"/>
              <w:rPr>
                <w:sz w:val="20"/>
                <w:szCs w:val="20"/>
              </w:rPr>
            </w:pPr>
            <w:r>
              <w:rPr>
                <w:sz w:val="20"/>
                <w:szCs w:val="20"/>
                <w:spacing w:val="-2"/>
              </w:rPr>
              <w:t>904.48</w:t>
            </w:r>
          </w:p>
        </w:tc>
        <w:tc>
          <w:tcPr>
            <w:tcW w:w="1578" w:type="dxa"/>
            <w:vAlign w:val="top"/>
          </w:tcPr>
          <w:p>
            <w:pPr>
              <w:pStyle w:val="TableText"/>
              <w:ind w:left="485"/>
              <w:spacing w:before="216" w:line="184" w:lineRule="auto"/>
              <w:rPr>
                <w:sz w:val="20"/>
                <w:szCs w:val="20"/>
              </w:rPr>
            </w:pPr>
            <w:r>
              <w:rPr>
                <w:sz w:val="20"/>
                <w:szCs w:val="20"/>
                <w:spacing w:val="-1"/>
              </w:rPr>
              <w:t>434.15</w:t>
            </w:r>
          </w:p>
        </w:tc>
        <w:tc>
          <w:tcPr>
            <w:tcW w:w="1739" w:type="dxa"/>
            <w:vAlign w:val="top"/>
          </w:tcPr>
          <w:p>
            <w:pPr>
              <w:pStyle w:val="TableText"/>
              <w:ind w:left="567"/>
              <w:spacing w:before="216" w:line="184" w:lineRule="auto"/>
              <w:rPr>
                <w:sz w:val="20"/>
                <w:szCs w:val="20"/>
              </w:rPr>
            </w:pPr>
            <w:r>
              <w:rPr>
                <w:sz w:val="20"/>
                <w:szCs w:val="20"/>
                <w:spacing w:val="-2"/>
              </w:rPr>
              <w:t>361.79</w:t>
            </w:r>
          </w:p>
        </w:tc>
        <w:tc>
          <w:tcPr>
            <w:tcW w:w="1519" w:type="dxa"/>
            <w:vAlign w:val="top"/>
          </w:tcPr>
          <w:p>
            <w:pPr>
              <w:pStyle w:val="TableText"/>
              <w:ind w:left="408"/>
              <w:spacing w:before="216" w:line="184" w:lineRule="auto"/>
              <w:rPr>
                <w:sz w:val="20"/>
                <w:szCs w:val="20"/>
              </w:rPr>
            </w:pPr>
            <w:r>
              <w:rPr>
                <w:sz w:val="20"/>
                <w:szCs w:val="20"/>
                <w:spacing w:val="-3"/>
              </w:rPr>
              <w:t>1472.43</w:t>
            </w:r>
          </w:p>
        </w:tc>
        <w:tc>
          <w:tcPr>
            <w:tcW w:w="1274" w:type="dxa"/>
            <w:vAlign w:val="top"/>
          </w:tcPr>
          <w:p>
            <w:pPr>
              <w:pStyle w:val="TableText"/>
              <w:ind w:left="279"/>
              <w:spacing w:before="217" w:line="183" w:lineRule="auto"/>
              <w:rPr>
                <w:sz w:val="20"/>
                <w:szCs w:val="20"/>
              </w:rPr>
            </w:pPr>
            <w:r>
              <w:rPr>
                <w:sz w:val="20"/>
                <w:szCs w:val="20"/>
                <w:spacing w:val="-2"/>
              </w:rPr>
              <w:t>+976.84</w:t>
            </w:r>
          </w:p>
        </w:tc>
      </w:tr>
      <w:tr>
        <w:trPr>
          <w:trHeight w:val="490" w:hRule="atLeast"/>
        </w:trPr>
        <w:tc>
          <w:tcPr>
            <w:tcW w:w="1574" w:type="dxa"/>
            <w:vAlign w:val="top"/>
            <w:vMerge w:val="continue"/>
            <w:tcBorders>
              <w:top w:val="nil"/>
            </w:tcBorders>
          </w:tcPr>
          <w:p>
            <w:pPr>
              <w:rPr>
                <w:rFonts w:ascii="Arial"/>
                <w:sz w:val="21"/>
              </w:rPr>
            </w:pPr>
            <w:r/>
          </w:p>
        </w:tc>
        <w:tc>
          <w:tcPr>
            <w:tcW w:w="1409" w:type="dxa"/>
            <w:vAlign w:val="top"/>
          </w:tcPr>
          <w:p>
            <w:pPr>
              <w:pStyle w:val="TableText"/>
              <w:ind w:left="291"/>
              <w:spacing w:before="157" w:line="220" w:lineRule="auto"/>
              <w:rPr>
                <w:sz w:val="20"/>
                <w:szCs w:val="20"/>
              </w:rPr>
            </w:pPr>
            <w:r>
              <w:rPr>
                <w:sz w:val="20"/>
                <w:szCs w:val="20"/>
                <w:spacing w:val="2"/>
              </w:rPr>
              <w:t>阳极污泥</w:t>
            </w:r>
          </w:p>
        </w:tc>
        <w:tc>
          <w:tcPr>
            <w:tcW w:w="1709" w:type="dxa"/>
            <w:vAlign w:val="top"/>
          </w:tcPr>
          <w:p>
            <w:pPr>
              <w:pStyle w:val="TableText"/>
              <w:ind w:left="642"/>
              <w:spacing w:before="207" w:line="184" w:lineRule="auto"/>
              <w:rPr>
                <w:sz w:val="20"/>
                <w:szCs w:val="20"/>
              </w:rPr>
            </w:pPr>
            <w:r>
              <w:rPr>
                <w:sz w:val="20"/>
                <w:szCs w:val="20"/>
                <w:spacing w:val="-5"/>
              </w:rPr>
              <w:t>12.9</w:t>
            </w:r>
          </w:p>
        </w:tc>
        <w:tc>
          <w:tcPr>
            <w:tcW w:w="1269" w:type="dxa"/>
            <w:vAlign w:val="top"/>
          </w:tcPr>
          <w:p>
            <w:pPr>
              <w:rPr>
                <w:rFonts w:ascii="Arial"/>
                <w:sz w:val="21"/>
              </w:rPr>
            </w:pPr>
            <w:r/>
          </w:p>
        </w:tc>
        <w:tc>
          <w:tcPr>
            <w:tcW w:w="1689" w:type="dxa"/>
            <w:vAlign w:val="top"/>
          </w:tcPr>
          <w:p>
            <w:pPr>
              <w:pStyle w:val="TableText"/>
              <w:ind w:left="584"/>
              <w:spacing w:before="208" w:line="183" w:lineRule="auto"/>
              <w:rPr>
                <w:sz w:val="20"/>
                <w:szCs w:val="20"/>
              </w:rPr>
            </w:pPr>
            <w:r>
              <w:rPr>
                <w:sz w:val="20"/>
                <w:szCs w:val="20"/>
                <w:spacing w:val="-2"/>
              </w:rPr>
              <w:t>22.28</w:t>
            </w:r>
          </w:p>
        </w:tc>
        <w:tc>
          <w:tcPr>
            <w:tcW w:w="1578" w:type="dxa"/>
            <w:vAlign w:val="top"/>
          </w:tcPr>
          <w:p>
            <w:pPr>
              <w:pStyle w:val="TableText"/>
              <w:ind w:left="535"/>
              <w:spacing w:before="207" w:line="184" w:lineRule="auto"/>
              <w:rPr>
                <w:sz w:val="20"/>
                <w:szCs w:val="20"/>
              </w:rPr>
            </w:pPr>
            <w:r>
              <w:rPr>
                <w:sz w:val="20"/>
                <w:szCs w:val="20"/>
                <w:spacing w:val="-4"/>
              </w:rPr>
              <w:t>12.53</w:t>
            </w:r>
          </w:p>
        </w:tc>
        <w:tc>
          <w:tcPr>
            <w:tcW w:w="1739" w:type="dxa"/>
            <w:vAlign w:val="top"/>
          </w:tcPr>
          <w:p>
            <w:pPr>
              <w:pStyle w:val="TableText"/>
              <w:ind w:left="667"/>
              <w:spacing w:before="207" w:line="184" w:lineRule="auto"/>
              <w:rPr>
                <w:sz w:val="20"/>
                <w:szCs w:val="20"/>
              </w:rPr>
            </w:pPr>
            <w:r>
              <w:rPr>
                <w:sz w:val="20"/>
                <w:szCs w:val="20"/>
                <w:spacing w:val="-2"/>
              </w:rPr>
              <w:t>0.71</w:t>
            </w:r>
          </w:p>
        </w:tc>
        <w:tc>
          <w:tcPr>
            <w:tcW w:w="1519" w:type="dxa"/>
            <w:vAlign w:val="top"/>
          </w:tcPr>
          <w:p>
            <w:pPr>
              <w:pStyle w:val="TableText"/>
              <w:ind w:left="507"/>
              <w:spacing w:before="208" w:line="183" w:lineRule="auto"/>
              <w:rPr>
                <w:sz w:val="20"/>
                <w:szCs w:val="20"/>
              </w:rPr>
            </w:pPr>
            <w:r>
              <w:rPr>
                <w:sz w:val="20"/>
                <w:szCs w:val="20"/>
                <w:spacing w:val="-2"/>
              </w:rPr>
              <w:t>47.00</w:t>
            </w:r>
          </w:p>
        </w:tc>
        <w:tc>
          <w:tcPr>
            <w:tcW w:w="1274" w:type="dxa"/>
            <w:vAlign w:val="top"/>
          </w:tcPr>
          <w:p>
            <w:pPr>
              <w:pStyle w:val="TableText"/>
              <w:ind w:left="329"/>
              <w:spacing w:before="207" w:line="184" w:lineRule="auto"/>
              <w:rPr>
                <w:sz w:val="20"/>
                <w:szCs w:val="20"/>
              </w:rPr>
            </w:pPr>
            <w:r>
              <w:rPr>
                <w:sz w:val="20"/>
                <w:szCs w:val="20"/>
                <w:spacing w:val="-2"/>
              </w:rPr>
              <w:t>+34.10</w:t>
            </w:r>
          </w:p>
        </w:tc>
      </w:tr>
      <w:tr>
        <w:trPr>
          <w:trHeight w:val="490" w:hRule="atLeast"/>
        </w:trPr>
        <w:tc>
          <w:tcPr>
            <w:tcW w:w="1574" w:type="dxa"/>
            <w:vAlign w:val="top"/>
            <w:vMerge w:val="restart"/>
            <w:tcBorders>
              <w:bottom w:val="nil"/>
            </w:tcBorders>
          </w:tcPr>
          <w:p>
            <w:pPr>
              <w:spacing w:line="360" w:lineRule="auto"/>
              <w:rPr>
                <w:rFonts w:ascii="Arial"/>
                <w:sz w:val="21"/>
              </w:rPr>
            </w:pPr>
            <w:r/>
          </w:p>
          <w:p>
            <w:pPr>
              <w:pStyle w:val="TableText"/>
              <w:ind w:left="375"/>
              <w:spacing w:before="65" w:line="220" w:lineRule="auto"/>
              <w:rPr>
                <w:sz w:val="20"/>
                <w:szCs w:val="20"/>
              </w:rPr>
            </w:pPr>
            <w:r>
              <w:rPr>
                <w:sz w:val="20"/>
                <w:szCs w:val="20"/>
                <w:spacing w:val="2"/>
              </w:rPr>
              <w:t>危险废物</w:t>
            </w:r>
          </w:p>
        </w:tc>
        <w:tc>
          <w:tcPr>
            <w:tcW w:w="1409" w:type="dxa"/>
            <w:vAlign w:val="top"/>
          </w:tcPr>
          <w:p>
            <w:pPr>
              <w:pStyle w:val="TableText"/>
              <w:ind w:left="191"/>
              <w:spacing w:before="155" w:line="219" w:lineRule="auto"/>
              <w:rPr>
                <w:sz w:val="20"/>
                <w:szCs w:val="20"/>
              </w:rPr>
            </w:pPr>
            <w:r>
              <w:rPr>
                <w:sz w:val="20"/>
                <w:szCs w:val="20"/>
                <w:spacing w:val="-2"/>
              </w:rPr>
              <w:t>废有机溶剂</w:t>
            </w:r>
          </w:p>
        </w:tc>
        <w:tc>
          <w:tcPr>
            <w:tcW w:w="1709" w:type="dxa"/>
            <w:vAlign w:val="top"/>
          </w:tcPr>
          <w:p>
            <w:pPr>
              <w:pStyle w:val="TableText"/>
              <w:ind w:left="692"/>
              <w:spacing w:before="207" w:line="184" w:lineRule="auto"/>
              <w:rPr>
                <w:sz w:val="20"/>
                <w:szCs w:val="20"/>
              </w:rPr>
            </w:pPr>
            <w:r>
              <w:rPr>
                <w:sz w:val="20"/>
                <w:szCs w:val="20"/>
                <w:spacing w:val="-3"/>
              </w:rPr>
              <w:t>210</w:t>
            </w:r>
          </w:p>
        </w:tc>
        <w:tc>
          <w:tcPr>
            <w:tcW w:w="1269" w:type="dxa"/>
            <w:vAlign w:val="top"/>
          </w:tcPr>
          <w:p>
            <w:pPr>
              <w:rPr>
                <w:rFonts w:ascii="Arial"/>
                <w:sz w:val="21"/>
              </w:rPr>
            </w:pPr>
            <w:r/>
          </w:p>
        </w:tc>
        <w:tc>
          <w:tcPr>
            <w:tcW w:w="1689" w:type="dxa"/>
            <w:vAlign w:val="top"/>
          </w:tcPr>
          <w:p>
            <w:pPr>
              <w:pStyle w:val="TableText"/>
              <w:ind w:left="584"/>
              <w:spacing w:before="208" w:line="183" w:lineRule="auto"/>
              <w:rPr>
                <w:sz w:val="20"/>
                <w:szCs w:val="20"/>
              </w:rPr>
            </w:pPr>
            <w:r>
              <w:rPr>
                <w:sz w:val="20"/>
                <w:szCs w:val="20"/>
                <w:spacing w:val="-2"/>
              </w:rPr>
              <w:t>223.8</w:t>
            </w:r>
          </w:p>
        </w:tc>
        <w:tc>
          <w:tcPr>
            <w:tcW w:w="1578" w:type="dxa"/>
            <w:vAlign w:val="top"/>
          </w:tcPr>
          <w:p>
            <w:pPr>
              <w:pStyle w:val="TableText"/>
              <w:ind w:left="735"/>
              <w:spacing w:before="208" w:line="183" w:lineRule="auto"/>
              <w:rPr>
                <w:sz w:val="20"/>
                <w:szCs w:val="20"/>
              </w:rPr>
            </w:pPr>
            <w:r>
              <w:rPr>
                <w:sz w:val="20"/>
                <w:szCs w:val="20"/>
              </w:rPr>
              <w:t>0</w:t>
            </w:r>
          </w:p>
        </w:tc>
        <w:tc>
          <w:tcPr>
            <w:tcW w:w="1739" w:type="dxa"/>
            <w:vAlign w:val="top"/>
          </w:tcPr>
          <w:p>
            <w:pPr>
              <w:pStyle w:val="TableText"/>
              <w:ind w:left="817"/>
              <w:spacing w:before="208" w:line="183" w:lineRule="auto"/>
              <w:rPr>
                <w:sz w:val="20"/>
                <w:szCs w:val="20"/>
              </w:rPr>
            </w:pPr>
            <w:r>
              <w:rPr>
                <w:sz w:val="20"/>
                <w:szCs w:val="20"/>
              </w:rPr>
              <w:t>0</w:t>
            </w:r>
          </w:p>
        </w:tc>
        <w:tc>
          <w:tcPr>
            <w:tcW w:w="1519" w:type="dxa"/>
            <w:vAlign w:val="top"/>
          </w:tcPr>
          <w:p>
            <w:pPr>
              <w:pStyle w:val="TableText"/>
              <w:ind w:left="507"/>
              <w:spacing w:before="208" w:line="183" w:lineRule="auto"/>
              <w:rPr>
                <w:sz w:val="20"/>
                <w:szCs w:val="20"/>
              </w:rPr>
            </w:pPr>
            <w:r>
              <w:rPr>
                <w:sz w:val="20"/>
                <w:szCs w:val="20"/>
                <w:spacing w:val="-2"/>
              </w:rPr>
              <w:t>433.8</w:t>
            </w:r>
          </w:p>
        </w:tc>
        <w:tc>
          <w:tcPr>
            <w:tcW w:w="1274" w:type="dxa"/>
            <w:vAlign w:val="top"/>
          </w:tcPr>
          <w:p>
            <w:pPr>
              <w:pStyle w:val="TableText"/>
              <w:ind w:left="329"/>
              <w:spacing w:before="208" w:line="183" w:lineRule="auto"/>
              <w:rPr>
                <w:sz w:val="20"/>
                <w:szCs w:val="20"/>
              </w:rPr>
            </w:pPr>
            <w:r>
              <w:rPr>
                <w:sz w:val="20"/>
                <w:szCs w:val="20"/>
                <w:spacing w:val="-2"/>
              </w:rPr>
              <w:t>+223.8</w:t>
            </w:r>
          </w:p>
        </w:tc>
      </w:tr>
      <w:tr>
        <w:trPr>
          <w:trHeight w:val="544" w:hRule="atLeast"/>
        </w:trPr>
        <w:tc>
          <w:tcPr>
            <w:tcW w:w="1574" w:type="dxa"/>
            <w:vAlign w:val="top"/>
            <w:vMerge w:val="continue"/>
            <w:tcBorders>
              <w:top w:val="nil"/>
            </w:tcBorders>
          </w:tcPr>
          <w:p>
            <w:pPr>
              <w:rPr>
                <w:rFonts w:ascii="Arial"/>
                <w:sz w:val="21"/>
              </w:rPr>
            </w:pPr>
            <w:r/>
          </w:p>
        </w:tc>
        <w:tc>
          <w:tcPr>
            <w:tcW w:w="1409" w:type="dxa"/>
            <w:vAlign w:val="top"/>
          </w:tcPr>
          <w:p>
            <w:pPr>
              <w:pStyle w:val="TableText"/>
              <w:ind w:left="141" w:right="114"/>
              <w:spacing w:before="46" w:line="225" w:lineRule="auto"/>
              <w:rPr>
                <w:sz w:val="20"/>
                <w:szCs w:val="20"/>
              </w:rPr>
            </w:pPr>
            <w:r>
              <w:rPr>
                <w:sz w:val="20"/>
                <w:szCs w:val="20"/>
                <w:spacing w:val="-2"/>
              </w:rPr>
              <w:t>废胶罐(废化</w:t>
            </w:r>
            <w:r>
              <w:rPr>
                <w:sz w:val="20"/>
                <w:szCs w:val="20"/>
                <w:spacing w:val="3"/>
              </w:rPr>
              <w:t xml:space="preserve"> </w:t>
            </w:r>
            <w:r>
              <w:rPr>
                <w:sz w:val="20"/>
                <w:szCs w:val="20"/>
                <w:spacing w:val="7"/>
              </w:rPr>
              <w:t>学试剂空瓶)</w:t>
            </w:r>
          </w:p>
        </w:tc>
        <w:tc>
          <w:tcPr>
            <w:tcW w:w="1709" w:type="dxa"/>
            <w:vAlign w:val="top"/>
          </w:tcPr>
          <w:p>
            <w:pPr>
              <w:pStyle w:val="TableText"/>
              <w:ind w:left="642"/>
              <w:spacing w:before="228" w:line="183" w:lineRule="auto"/>
              <w:rPr>
                <w:sz w:val="20"/>
                <w:szCs w:val="20"/>
              </w:rPr>
            </w:pPr>
            <w:r>
              <w:rPr>
                <w:sz w:val="20"/>
                <w:szCs w:val="20"/>
                <w:spacing w:val="-2"/>
              </w:rPr>
              <w:t>22.0</w:t>
            </w:r>
          </w:p>
        </w:tc>
        <w:tc>
          <w:tcPr>
            <w:tcW w:w="1269" w:type="dxa"/>
            <w:vAlign w:val="top"/>
          </w:tcPr>
          <w:p>
            <w:pPr>
              <w:rPr>
                <w:rFonts w:ascii="Arial"/>
                <w:sz w:val="21"/>
              </w:rPr>
            </w:pPr>
            <w:r/>
          </w:p>
        </w:tc>
        <w:tc>
          <w:tcPr>
            <w:tcW w:w="1689" w:type="dxa"/>
            <w:vAlign w:val="top"/>
          </w:tcPr>
          <w:p>
            <w:pPr>
              <w:pStyle w:val="TableText"/>
              <w:ind w:left="584"/>
              <w:spacing w:before="227" w:line="184" w:lineRule="auto"/>
              <w:rPr>
                <w:sz w:val="20"/>
                <w:szCs w:val="20"/>
              </w:rPr>
            </w:pPr>
            <w:r>
              <w:rPr>
                <w:sz w:val="20"/>
                <w:szCs w:val="20"/>
                <w:spacing w:val="-2"/>
              </w:rPr>
              <w:t>24.12</w:t>
            </w:r>
          </w:p>
        </w:tc>
        <w:tc>
          <w:tcPr>
            <w:tcW w:w="1578" w:type="dxa"/>
            <w:vAlign w:val="top"/>
          </w:tcPr>
          <w:p>
            <w:pPr>
              <w:pStyle w:val="TableText"/>
              <w:ind w:left="735"/>
              <w:spacing w:before="228" w:line="183" w:lineRule="auto"/>
              <w:rPr>
                <w:sz w:val="20"/>
                <w:szCs w:val="20"/>
              </w:rPr>
            </w:pPr>
            <w:r>
              <w:rPr>
                <w:sz w:val="20"/>
                <w:szCs w:val="20"/>
              </w:rPr>
              <w:t>0</w:t>
            </w:r>
          </w:p>
        </w:tc>
        <w:tc>
          <w:tcPr>
            <w:tcW w:w="1739" w:type="dxa"/>
            <w:vAlign w:val="top"/>
          </w:tcPr>
          <w:p>
            <w:pPr>
              <w:pStyle w:val="TableText"/>
              <w:ind w:left="817"/>
              <w:spacing w:before="228" w:line="183" w:lineRule="auto"/>
              <w:rPr>
                <w:sz w:val="20"/>
                <w:szCs w:val="20"/>
              </w:rPr>
            </w:pPr>
            <w:r>
              <w:rPr>
                <w:sz w:val="20"/>
                <w:szCs w:val="20"/>
              </w:rPr>
              <w:t>0</w:t>
            </w:r>
          </w:p>
        </w:tc>
        <w:tc>
          <w:tcPr>
            <w:tcW w:w="1519" w:type="dxa"/>
            <w:vAlign w:val="top"/>
          </w:tcPr>
          <w:p>
            <w:pPr>
              <w:pStyle w:val="TableText"/>
              <w:ind w:left="507"/>
              <w:spacing w:before="227" w:line="184" w:lineRule="auto"/>
              <w:rPr>
                <w:sz w:val="20"/>
                <w:szCs w:val="20"/>
              </w:rPr>
            </w:pPr>
            <w:r>
              <w:rPr>
                <w:sz w:val="20"/>
                <w:szCs w:val="20"/>
                <w:spacing w:val="-2"/>
              </w:rPr>
              <w:t>46.12</w:t>
            </w:r>
          </w:p>
        </w:tc>
        <w:tc>
          <w:tcPr>
            <w:tcW w:w="1274" w:type="dxa"/>
            <w:vAlign w:val="top"/>
          </w:tcPr>
          <w:p>
            <w:pPr>
              <w:pStyle w:val="TableText"/>
              <w:ind w:left="329"/>
              <w:spacing w:before="227" w:line="184" w:lineRule="auto"/>
              <w:rPr>
                <w:sz w:val="20"/>
                <w:szCs w:val="20"/>
              </w:rPr>
            </w:pPr>
            <w:r>
              <w:rPr>
                <w:sz w:val="20"/>
                <w:szCs w:val="20"/>
                <w:spacing w:val="-2"/>
              </w:rPr>
              <w:t>+24.12</w:t>
            </w:r>
          </w:p>
        </w:tc>
      </w:tr>
    </w:tbl>
    <w:p>
      <w:pPr>
        <w:rPr>
          <w:rFonts w:ascii="Arial"/>
          <w:sz w:val="21"/>
        </w:rPr>
      </w:pPr>
      <w:r/>
    </w:p>
    <w:p>
      <w:pPr>
        <w:sectPr>
          <w:footerReference w:type="default" r:id="rId160"/>
          <w:pgSz w:w="16840" w:h="11900"/>
          <w:pgMar w:top="1011" w:right="1574" w:bottom="978" w:left="1494" w:header="0" w:footer="839" w:gutter="0"/>
        </w:sectPr>
        <w:rPr>
          <w:rFonts w:ascii="Arial" w:hAnsi="Arial" w:eastAsia="Arial" w:cs="Arial"/>
          <w:sz w:val="21"/>
          <w:szCs w:val="21"/>
        </w:rPr>
      </w:pPr>
    </w:p>
    <w:p>
      <w:pPr>
        <w:spacing w:before="10"/>
        <w:rPr/>
      </w:pPr>
      <w:r/>
    </w:p>
    <w:p>
      <w:pPr>
        <w:spacing w:before="10"/>
        <w:rPr/>
      </w:pPr>
      <w:r/>
    </w:p>
    <w:tbl>
      <w:tblPr>
        <w:tblStyle w:val="TableNormal"/>
        <w:tblW w:w="137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74"/>
        <w:gridCol w:w="1409"/>
        <w:gridCol w:w="1699"/>
        <w:gridCol w:w="1269"/>
        <w:gridCol w:w="1719"/>
        <w:gridCol w:w="1539"/>
        <w:gridCol w:w="1768"/>
        <w:gridCol w:w="1499"/>
        <w:gridCol w:w="1294"/>
      </w:tblGrid>
      <w:tr>
        <w:trPr>
          <w:trHeight w:val="854" w:hRule="atLeast"/>
        </w:trPr>
        <w:tc>
          <w:tcPr>
            <w:tcW w:w="1574" w:type="dxa"/>
            <w:vAlign w:val="top"/>
            <w:tcBorders>
              <w:tl2br w:val="single" w:color="000000" w:sz="4" w:space="0"/>
            </w:tcBorders>
          </w:tcPr>
          <w:p>
            <w:pPr>
              <w:pStyle w:val="TableText"/>
              <w:spacing w:before="193" w:line="220" w:lineRule="auto"/>
              <w:jc w:val="right"/>
              <w:rPr>
                <w:sz w:val="20"/>
                <w:szCs w:val="20"/>
              </w:rPr>
            </w:pPr>
            <w:r>
              <w:rPr>
                <w:sz w:val="20"/>
                <w:szCs w:val="20"/>
                <w:spacing w:val="-37"/>
              </w:rPr>
              <w:t>项</w:t>
            </w:r>
            <w:r>
              <w:rPr>
                <w:sz w:val="20"/>
                <w:szCs w:val="20"/>
                <w:spacing w:val="-9"/>
              </w:rPr>
              <w:t xml:space="preserve"> </w:t>
            </w:r>
            <w:r>
              <w:rPr>
                <w:sz w:val="20"/>
                <w:szCs w:val="20"/>
                <w:spacing w:val="-37"/>
              </w:rPr>
              <w:t>目</w:t>
            </w:r>
          </w:p>
          <w:p>
            <w:pPr>
              <w:pStyle w:val="TableText"/>
              <w:ind w:left="15"/>
              <w:spacing w:before="31" w:line="219" w:lineRule="auto"/>
              <w:rPr>
                <w:sz w:val="20"/>
                <w:szCs w:val="20"/>
              </w:rPr>
            </w:pPr>
            <w:r>
              <w:rPr>
                <w:sz w:val="20"/>
                <w:szCs w:val="20"/>
                <w:spacing w:val="-3"/>
              </w:rPr>
              <w:t>分类</w:t>
            </w:r>
          </w:p>
        </w:tc>
        <w:tc>
          <w:tcPr>
            <w:tcW w:w="1409" w:type="dxa"/>
            <w:vAlign w:val="top"/>
          </w:tcPr>
          <w:p>
            <w:pPr>
              <w:spacing w:line="267" w:lineRule="auto"/>
              <w:rPr>
                <w:rFonts w:ascii="Arial"/>
                <w:sz w:val="21"/>
              </w:rPr>
            </w:pPr>
            <w:r/>
          </w:p>
          <w:p>
            <w:pPr>
              <w:pStyle w:val="TableText"/>
              <w:ind w:left="191"/>
              <w:spacing w:before="65" w:line="220" w:lineRule="auto"/>
              <w:rPr>
                <w:sz w:val="20"/>
                <w:szCs w:val="20"/>
              </w:rPr>
            </w:pPr>
            <w:r>
              <w:rPr>
                <w:sz w:val="20"/>
                <w:szCs w:val="20"/>
                <w:spacing w:val="-2"/>
              </w:rPr>
              <w:t>污染物名称</w:t>
            </w:r>
          </w:p>
        </w:tc>
        <w:tc>
          <w:tcPr>
            <w:tcW w:w="1699" w:type="dxa"/>
            <w:vAlign w:val="top"/>
          </w:tcPr>
          <w:p>
            <w:pPr>
              <w:pStyle w:val="TableText"/>
              <w:ind w:left="442"/>
              <w:spacing w:before="63" w:line="220" w:lineRule="auto"/>
              <w:rPr>
                <w:sz w:val="20"/>
                <w:szCs w:val="20"/>
              </w:rPr>
            </w:pPr>
            <w:r>
              <w:rPr>
                <w:sz w:val="20"/>
                <w:szCs w:val="20"/>
                <w:spacing w:val="-2"/>
              </w:rPr>
              <w:t>现有工程</w:t>
            </w:r>
          </w:p>
          <w:p>
            <w:pPr>
              <w:pStyle w:val="TableText"/>
              <w:ind w:left="92"/>
              <w:spacing w:before="31" w:line="220" w:lineRule="auto"/>
              <w:rPr>
                <w:sz w:val="20"/>
                <w:szCs w:val="20"/>
              </w:rPr>
            </w:pPr>
            <w:r>
              <w:rPr>
                <w:sz w:val="20"/>
                <w:szCs w:val="20"/>
                <w:spacing w:val="-1"/>
              </w:rPr>
              <w:t>排放量(固体废物</w:t>
            </w:r>
          </w:p>
          <w:p>
            <w:pPr>
              <w:pStyle w:val="TableText"/>
              <w:ind w:left="392"/>
              <w:spacing w:before="38" w:line="215" w:lineRule="auto"/>
              <w:rPr>
                <w:sz w:val="20"/>
                <w:szCs w:val="20"/>
              </w:rPr>
            </w:pPr>
            <w:r>
              <w:rPr>
                <w:sz w:val="20"/>
                <w:szCs w:val="20"/>
                <w:spacing w:val="-2"/>
              </w:rPr>
              <w:t>产生量)①</w:t>
            </w:r>
          </w:p>
        </w:tc>
        <w:tc>
          <w:tcPr>
            <w:tcW w:w="1269" w:type="dxa"/>
            <w:vAlign w:val="top"/>
          </w:tcPr>
          <w:p>
            <w:pPr>
              <w:pStyle w:val="TableText"/>
              <w:ind w:left="223"/>
              <w:spacing w:before="53" w:line="220" w:lineRule="auto"/>
              <w:rPr>
                <w:sz w:val="20"/>
                <w:szCs w:val="20"/>
              </w:rPr>
            </w:pPr>
            <w:r>
              <w:rPr>
                <w:sz w:val="20"/>
                <w:szCs w:val="20"/>
                <w:spacing w:val="-2"/>
              </w:rPr>
              <w:t>现有工程</w:t>
            </w:r>
          </w:p>
          <w:p>
            <w:pPr>
              <w:pStyle w:val="TableText"/>
              <w:ind w:left="72"/>
              <w:spacing w:before="41" w:line="220" w:lineRule="auto"/>
              <w:rPr>
                <w:sz w:val="20"/>
                <w:szCs w:val="20"/>
              </w:rPr>
            </w:pPr>
            <w:r>
              <w:rPr>
                <w:sz w:val="20"/>
                <w:szCs w:val="20"/>
                <w:spacing w:val="-2"/>
              </w:rPr>
              <w:t>许可排放量*</w:t>
            </w:r>
          </w:p>
          <w:p>
            <w:pPr>
              <w:pStyle w:val="TableText"/>
              <w:ind w:left="523"/>
              <w:spacing w:before="38" w:line="215" w:lineRule="auto"/>
              <w:rPr>
                <w:sz w:val="20"/>
                <w:szCs w:val="20"/>
              </w:rPr>
            </w:pPr>
            <w:r>
              <w:rPr>
                <w:sz w:val="20"/>
                <w:szCs w:val="20"/>
              </w:rPr>
              <w:t>②</w:t>
            </w:r>
          </w:p>
        </w:tc>
        <w:tc>
          <w:tcPr>
            <w:tcW w:w="1719" w:type="dxa"/>
            <w:vAlign w:val="top"/>
          </w:tcPr>
          <w:p>
            <w:pPr>
              <w:pStyle w:val="TableText"/>
              <w:ind w:left="453"/>
              <w:spacing w:before="63" w:line="220" w:lineRule="auto"/>
              <w:rPr>
                <w:sz w:val="20"/>
                <w:szCs w:val="20"/>
              </w:rPr>
            </w:pPr>
            <w:r>
              <w:rPr>
                <w:sz w:val="20"/>
                <w:szCs w:val="20"/>
                <w:spacing w:val="-2"/>
              </w:rPr>
              <w:t>在建工程</w:t>
            </w:r>
          </w:p>
          <w:p>
            <w:pPr>
              <w:pStyle w:val="TableText"/>
              <w:ind w:left="104"/>
              <w:spacing w:before="41" w:line="220" w:lineRule="auto"/>
              <w:rPr>
                <w:sz w:val="20"/>
                <w:szCs w:val="20"/>
              </w:rPr>
            </w:pPr>
            <w:r>
              <w:rPr>
                <w:sz w:val="20"/>
                <w:szCs w:val="20"/>
                <w:spacing w:val="-1"/>
              </w:rPr>
              <w:t>排放量(固体废物</w:t>
            </w:r>
          </w:p>
          <w:p>
            <w:pPr>
              <w:pStyle w:val="TableText"/>
              <w:ind w:left="404"/>
              <w:spacing w:before="18" w:line="217" w:lineRule="auto"/>
              <w:rPr>
                <w:sz w:val="20"/>
                <w:szCs w:val="20"/>
              </w:rPr>
            </w:pPr>
            <w:r>
              <w:rPr>
                <w:sz w:val="20"/>
                <w:szCs w:val="20"/>
                <w:spacing w:val="-2"/>
              </w:rPr>
              <w:t>产生量)③</w:t>
            </w:r>
          </w:p>
        </w:tc>
        <w:tc>
          <w:tcPr>
            <w:tcW w:w="1539" w:type="dxa"/>
            <w:vAlign w:val="top"/>
          </w:tcPr>
          <w:p>
            <w:pPr>
              <w:pStyle w:val="TableText"/>
              <w:ind w:left="465"/>
              <w:spacing w:before="61" w:line="219" w:lineRule="auto"/>
              <w:rPr>
                <w:sz w:val="20"/>
                <w:szCs w:val="20"/>
              </w:rPr>
            </w:pPr>
            <w:r>
              <w:rPr>
                <w:sz w:val="20"/>
                <w:szCs w:val="20"/>
                <w:spacing w:val="12"/>
              </w:rPr>
              <w:t>本项目</w:t>
            </w:r>
          </w:p>
          <w:p>
            <w:pPr>
              <w:pStyle w:val="TableText"/>
              <w:ind w:left="14"/>
              <w:spacing w:before="44" w:line="220" w:lineRule="auto"/>
              <w:rPr>
                <w:sz w:val="20"/>
                <w:szCs w:val="20"/>
              </w:rPr>
            </w:pPr>
            <w:r>
              <w:rPr>
                <w:sz w:val="20"/>
                <w:szCs w:val="20"/>
                <w:spacing w:val="-1"/>
              </w:rPr>
              <w:t>排放量(固体废物</w:t>
            </w:r>
          </w:p>
          <w:p>
            <w:pPr>
              <w:pStyle w:val="TableText"/>
              <w:ind w:left="315"/>
              <w:spacing w:before="18" w:line="217" w:lineRule="auto"/>
              <w:rPr>
                <w:sz w:val="20"/>
                <w:szCs w:val="20"/>
              </w:rPr>
            </w:pPr>
            <w:r>
              <w:rPr>
                <w:sz w:val="20"/>
                <w:szCs w:val="20"/>
                <w:spacing w:val="-2"/>
              </w:rPr>
              <w:t>产生量)④</w:t>
            </w:r>
          </w:p>
        </w:tc>
        <w:tc>
          <w:tcPr>
            <w:tcW w:w="1768" w:type="dxa"/>
            <w:vAlign w:val="top"/>
          </w:tcPr>
          <w:p>
            <w:pPr>
              <w:pStyle w:val="TableText"/>
              <w:ind w:left="185" w:right="14" w:hanging="10"/>
              <w:spacing w:before="213" w:line="232" w:lineRule="auto"/>
              <w:rPr>
                <w:sz w:val="20"/>
                <w:szCs w:val="20"/>
              </w:rPr>
            </w:pPr>
            <w:r>
              <w:rPr>
                <w:sz w:val="20"/>
                <w:szCs w:val="20"/>
                <w:spacing w:val="1"/>
              </w:rPr>
              <w:t>以新带老削减量</w:t>
            </w:r>
            <w:r>
              <w:rPr>
                <w:sz w:val="20"/>
                <w:szCs w:val="20"/>
              </w:rPr>
              <w:t xml:space="preserve">  </w:t>
            </w:r>
            <w:r>
              <w:rPr>
                <w:sz w:val="20"/>
                <w:szCs w:val="20"/>
                <w:spacing w:val="-5"/>
              </w:rPr>
              <w:t>(新建项目不填)⑤</w:t>
            </w:r>
          </w:p>
        </w:tc>
        <w:tc>
          <w:tcPr>
            <w:tcW w:w="1499" w:type="dxa"/>
            <w:vAlign w:val="top"/>
          </w:tcPr>
          <w:p>
            <w:pPr>
              <w:pStyle w:val="TableText"/>
              <w:ind w:left="18" w:firstLine="128"/>
              <w:spacing w:before="64"/>
              <w:rPr>
                <w:sz w:val="20"/>
                <w:szCs w:val="20"/>
              </w:rPr>
            </w:pPr>
            <w:r>
              <w:rPr>
                <w:sz w:val="20"/>
                <w:szCs w:val="20"/>
                <w:spacing w:val="-1"/>
              </w:rPr>
              <w:t>本项目建成后</w:t>
            </w:r>
            <w:r>
              <w:rPr>
                <w:sz w:val="20"/>
                <w:szCs w:val="20"/>
                <w:spacing w:val="1"/>
              </w:rPr>
              <w:t xml:space="preserve">  </w:t>
            </w:r>
            <w:r>
              <w:rPr>
                <w:sz w:val="20"/>
                <w:szCs w:val="20"/>
                <w:spacing w:val="-4"/>
              </w:rPr>
              <w:t>全厂排放量(固体</w:t>
            </w:r>
            <w:r>
              <w:rPr>
                <w:sz w:val="20"/>
                <w:szCs w:val="20"/>
                <w:spacing w:val="1"/>
              </w:rPr>
              <w:t xml:space="preserve"> </w:t>
            </w:r>
            <w:r>
              <w:rPr>
                <w:sz w:val="20"/>
                <w:szCs w:val="20"/>
                <w:spacing w:val="7"/>
              </w:rPr>
              <w:t>废物产生量)⑥</w:t>
            </w:r>
          </w:p>
        </w:tc>
        <w:tc>
          <w:tcPr>
            <w:tcW w:w="1294" w:type="dxa"/>
            <w:vAlign w:val="top"/>
          </w:tcPr>
          <w:p>
            <w:pPr>
              <w:pStyle w:val="TableText"/>
              <w:ind w:left="339"/>
              <w:spacing w:before="204" w:line="237" w:lineRule="auto"/>
              <w:rPr>
                <w:sz w:val="20"/>
                <w:szCs w:val="20"/>
              </w:rPr>
            </w:pPr>
            <w:r>
              <w:rPr>
                <w:sz w:val="20"/>
                <w:szCs w:val="20"/>
                <w:spacing w:val="-2"/>
              </w:rPr>
              <w:t>变化量</w:t>
            </w:r>
          </w:p>
          <w:p>
            <w:pPr>
              <w:pStyle w:val="TableText"/>
              <w:ind w:left="539"/>
              <w:spacing w:line="217" w:lineRule="auto"/>
              <w:rPr>
                <w:sz w:val="20"/>
                <w:szCs w:val="20"/>
              </w:rPr>
            </w:pPr>
            <w:r>
              <w:rPr>
                <w:sz w:val="20"/>
                <w:szCs w:val="20"/>
              </w:rPr>
              <w:t>⑦</w:t>
            </w:r>
          </w:p>
        </w:tc>
      </w:tr>
      <w:tr>
        <w:trPr>
          <w:trHeight w:val="490" w:hRule="atLeast"/>
        </w:trPr>
        <w:tc>
          <w:tcPr>
            <w:tcW w:w="1574" w:type="dxa"/>
            <w:vAlign w:val="top"/>
            <w:vMerge w:val="restart"/>
            <w:tcBorders>
              <w:bottom w:val="nil"/>
            </w:tcBorders>
          </w:tcPr>
          <w:p>
            <w:pPr>
              <w:rPr>
                <w:rFonts w:ascii="Arial"/>
                <w:sz w:val="21"/>
              </w:rPr>
            </w:pPr>
            <w:r/>
          </w:p>
        </w:tc>
        <w:tc>
          <w:tcPr>
            <w:tcW w:w="1409" w:type="dxa"/>
            <w:vAlign w:val="top"/>
          </w:tcPr>
          <w:p>
            <w:pPr>
              <w:pStyle w:val="TableText"/>
              <w:ind w:left="291"/>
              <w:spacing w:before="149" w:line="220" w:lineRule="auto"/>
              <w:rPr>
                <w:sz w:val="20"/>
                <w:szCs w:val="20"/>
              </w:rPr>
            </w:pPr>
            <w:r>
              <w:rPr>
                <w:sz w:val="20"/>
                <w:szCs w:val="20"/>
                <w:spacing w:val="-2"/>
              </w:rPr>
              <w:t>废活性炭</w:t>
            </w:r>
          </w:p>
        </w:tc>
        <w:tc>
          <w:tcPr>
            <w:tcW w:w="1699" w:type="dxa"/>
            <w:vAlign w:val="top"/>
          </w:tcPr>
          <w:p>
            <w:pPr>
              <w:pStyle w:val="TableText"/>
              <w:ind w:left="692"/>
              <w:spacing w:before="200" w:line="183" w:lineRule="auto"/>
              <w:rPr>
                <w:sz w:val="20"/>
                <w:szCs w:val="20"/>
              </w:rPr>
            </w:pPr>
            <w:r>
              <w:rPr>
                <w:sz w:val="20"/>
                <w:szCs w:val="20"/>
                <w:spacing w:val="-3"/>
              </w:rPr>
              <w:t>3.0</w:t>
            </w:r>
          </w:p>
        </w:tc>
        <w:tc>
          <w:tcPr>
            <w:tcW w:w="1269" w:type="dxa"/>
            <w:vAlign w:val="top"/>
          </w:tcPr>
          <w:p>
            <w:pPr>
              <w:rPr>
                <w:rFonts w:ascii="Arial"/>
                <w:sz w:val="21"/>
              </w:rPr>
            </w:pPr>
            <w:r/>
          </w:p>
        </w:tc>
        <w:tc>
          <w:tcPr>
            <w:tcW w:w="1719" w:type="dxa"/>
            <w:vAlign w:val="top"/>
          </w:tcPr>
          <w:p>
            <w:pPr>
              <w:pStyle w:val="TableText"/>
              <w:ind w:left="554"/>
              <w:spacing w:before="200" w:line="183" w:lineRule="auto"/>
              <w:rPr>
                <w:sz w:val="20"/>
                <w:szCs w:val="20"/>
              </w:rPr>
            </w:pPr>
            <w:r>
              <w:rPr>
                <w:sz w:val="20"/>
                <w:szCs w:val="20"/>
                <w:spacing w:val="-2"/>
              </w:rPr>
              <w:t>26.573</w:t>
            </w:r>
          </w:p>
        </w:tc>
        <w:tc>
          <w:tcPr>
            <w:tcW w:w="1539" w:type="dxa"/>
            <w:vAlign w:val="top"/>
          </w:tcPr>
          <w:p>
            <w:pPr>
              <w:pStyle w:val="TableText"/>
              <w:ind w:left="715"/>
              <w:spacing w:before="200" w:line="183" w:lineRule="auto"/>
              <w:rPr>
                <w:sz w:val="20"/>
                <w:szCs w:val="20"/>
              </w:rPr>
            </w:pPr>
            <w:r>
              <w:rPr>
                <w:sz w:val="20"/>
                <w:szCs w:val="20"/>
              </w:rPr>
              <w:t>0</w:t>
            </w:r>
          </w:p>
        </w:tc>
        <w:tc>
          <w:tcPr>
            <w:tcW w:w="1768" w:type="dxa"/>
            <w:vAlign w:val="top"/>
          </w:tcPr>
          <w:p>
            <w:pPr>
              <w:pStyle w:val="TableText"/>
              <w:ind w:left="826"/>
              <w:spacing w:before="200" w:line="183" w:lineRule="auto"/>
              <w:rPr>
                <w:sz w:val="20"/>
                <w:szCs w:val="20"/>
              </w:rPr>
            </w:pPr>
            <w:r>
              <w:rPr>
                <w:sz w:val="20"/>
                <w:szCs w:val="20"/>
              </w:rPr>
              <w:t>0</w:t>
            </w:r>
          </w:p>
        </w:tc>
        <w:tc>
          <w:tcPr>
            <w:tcW w:w="1499" w:type="dxa"/>
            <w:vAlign w:val="top"/>
          </w:tcPr>
          <w:p>
            <w:pPr>
              <w:pStyle w:val="TableText"/>
              <w:ind w:left="447"/>
              <w:spacing w:before="200" w:line="183" w:lineRule="auto"/>
              <w:rPr>
                <w:sz w:val="20"/>
                <w:szCs w:val="20"/>
              </w:rPr>
            </w:pPr>
            <w:r>
              <w:rPr>
                <w:sz w:val="20"/>
                <w:szCs w:val="20"/>
                <w:spacing w:val="-2"/>
              </w:rPr>
              <w:t>29.573</w:t>
            </w:r>
          </w:p>
        </w:tc>
        <w:tc>
          <w:tcPr>
            <w:tcW w:w="1294" w:type="dxa"/>
            <w:vAlign w:val="top"/>
          </w:tcPr>
          <w:p>
            <w:pPr>
              <w:pStyle w:val="TableText"/>
              <w:ind w:left="289"/>
              <w:spacing w:before="200" w:line="183" w:lineRule="auto"/>
              <w:rPr>
                <w:sz w:val="20"/>
                <w:szCs w:val="20"/>
              </w:rPr>
            </w:pPr>
            <w:r>
              <w:rPr>
                <w:sz w:val="20"/>
                <w:szCs w:val="20"/>
                <w:spacing w:val="-2"/>
              </w:rPr>
              <w:t>+26.573</w:t>
            </w:r>
          </w:p>
        </w:tc>
      </w:tr>
      <w:tr>
        <w:trPr>
          <w:trHeight w:val="489" w:hRule="atLeast"/>
        </w:trPr>
        <w:tc>
          <w:tcPr>
            <w:tcW w:w="1574" w:type="dxa"/>
            <w:vAlign w:val="top"/>
            <w:vMerge w:val="continue"/>
            <w:tcBorders>
              <w:top w:val="nil"/>
              <w:bottom w:val="nil"/>
            </w:tcBorders>
          </w:tcPr>
          <w:p>
            <w:pPr>
              <w:rPr>
                <w:rFonts w:ascii="Arial"/>
                <w:sz w:val="21"/>
              </w:rPr>
            </w:pPr>
            <w:r/>
          </w:p>
        </w:tc>
        <w:tc>
          <w:tcPr>
            <w:tcW w:w="1409" w:type="dxa"/>
            <w:vAlign w:val="top"/>
          </w:tcPr>
          <w:p>
            <w:pPr>
              <w:pStyle w:val="TableText"/>
              <w:ind w:left="191"/>
              <w:spacing w:before="149" w:line="219" w:lineRule="auto"/>
              <w:rPr>
                <w:sz w:val="20"/>
                <w:szCs w:val="20"/>
              </w:rPr>
            </w:pPr>
            <w:r>
              <w:rPr>
                <w:sz w:val="20"/>
                <w:szCs w:val="20"/>
                <w:spacing w:val="-5"/>
              </w:rPr>
              <w:t>废</w:t>
            </w:r>
            <w:r>
              <w:rPr>
                <w:sz w:val="20"/>
                <w:szCs w:val="20"/>
                <w:spacing w:val="-41"/>
              </w:rPr>
              <w:t xml:space="preserve"> </w:t>
            </w:r>
            <w:r>
              <w:rPr>
                <w:sz w:val="20"/>
                <w:szCs w:val="20"/>
                <w:spacing w:val="-5"/>
              </w:rPr>
              <w:t>U</w:t>
            </w:r>
            <w:r>
              <w:rPr>
                <w:sz w:val="20"/>
                <w:szCs w:val="20"/>
                <w:spacing w:val="-42"/>
              </w:rPr>
              <w:t xml:space="preserve"> </w:t>
            </w:r>
            <w:r>
              <w:rPr>
                <w:sz w:val="20"/>
                <w:szCs w:val="20"/>
                <w:spacing w:val="-5"/>
              </w:rPr>
              <w:t>V</w:t>
            </w:r>
            <w:r>
              <w:rPr>
                <w:sz w:val="20"/>
                <w:szCs w:val="20"/>
                <w:spacing w:val="-37"/>
              </w:rPr>
              <w:t xml:space="preserve"> </w:t>
            </w:r>
            <w:r>
              <w:rPr>
                <w:sz w:val="20"/>
                <w:szCs w:val="20"/>
                <w:spacing w:val="-5"/>
              </w:rPr>
              <w:t>灯</w:t>
            </w:r>
            <w:r>
              <w:rPr>
                <w:sz w:val="20"/>
                <w:szCs w:val="20"/>
                <w:spacing w:val="-33"/>
              </w:rPr>
              <w:t xml:space="preserve"> </w:t>
            </w:r>
            <w:r>
              <w:rPr>
                <w:sz w:val="20"/>
                <w:szCs w:val="20"/>
                <w:spacing w:val="-5"/>
              </w:rPr>
              <w:t>管</w:t>
            </w:r>
          </w:p>
        </w:tc>
        <w:tc>
          <w:tcPr>
            <w:tcW w:w="1699" w:type="dxa"/>
            <w:vAlign w:val="top"/>
          </w:tcPr>
          <w:p>
            <w:pPr>
              <w:pStyle w:val="TableText"/>
              <w:ind w:left="642"/>
              <w:spacing w:before="200" w:line="183" w:lineRule="auto"/>
              <w:rPr>
                <w:sz w:val="20"/>
                <w:szCs w:val="20"/>
              </w:rPr>
            </w:pPr>
            <w:r>
              <w:rPr>
                <w:sz w:val="20"/>
                <w:szCs w:val="20"/>
                <w:spacing w:val="-2"/>
              </w:rPr>
              <w:t>0.24</w:t>
            </w:r>
          </w:p>
        </w:tc>
        <w:tc>
          <w:tcPr>
            <w:tcW w:w="1269" w:type="dxa"/>
            <w:vAlign w:val="top"/>
          </w:tcPr>
          <w:p>
            <w:pPr>
              <w:rPr>
                <w:rFonts w:ascii="Arial"/>
                <w:sz w:val="21"/>
              </w:rPr>
            </w:pPr>
            <w:r/>
          </w:p>
        </w:tc>
        <w:tc>
          <w:tcPr>
            <w:tcW w:w="1719" w:type="dxa"/>
            <w:vAlign w:val="top"/>
          </w:tcPr>
          <w:p>
            <w:pPr>
              <w:pStyle w:val="TableText"/>
              <w:ind w:left="654"/>
              <w:spacing w:before="199" w:line="184" w:lineRule="auto"/>
              <w:rPr>
                <w:sz w:val="20"/>
                <w:szCs w:val="20"/>
              </w:rPr>
            </w:pPr>
            <w:r>
              <w:rPr>
                <w:sz w:val="20"/>
                <w:szCs w:val="20"/>
                <w:spacing w:val="-5"/>
              </w:rPr>
              <w:t>1.02</w:t>
            </w:r>
          </w:p>
        </w:tc>
        <w:tc>
          <w:tcPr>
            <w:tcW w:w="1539" w:type="dxa"/>
            <w:vAlign w:val="top"/>
          </w:tcPr>
          <w:p>
            <w:pPr>
              <w:pStyle w:val="TableText"/>
              <w:ind w:left="715"/>
              <w:spacing w:before="200" w:line="183" w:lineRule="auto"/>
              <w:rPr>
                <w:sz w:val="20"/>
                <w:szCs w:val="20"/>
              </w:rPr>
            </w:pPr>
            <w:r>
              <w:rPr>
                <w:sz w:val="20"/>
                <w:szCs w:val="20"/>
              </w:rPr>
              <w:t>0</w:t>
            </w:r>
          </w:p>
        </w:tc>
        <w:tc>
          <w:tcPr>
            <w:tcW w:w="1768" w:type="dxa"/>
            <w:vAlign w:val="top"/>
          </w:tcPr>
          <w:p>
            <w:pPr>
              <w:pStyle w:val="TableText"/>
              <w:ind w:left="826"/>
              <w:spacing w:before="200" w:line="183" w:lineRule="auto"/>
              <w:rPr>
                <w:sz w:val="20"/>
                <w:szCs w:val="20"/>
              </w:rPr>
            </w:pPr>
            <w:r>
              <w:rPr>
                <w:sz w:val="20"/>
                <w:szCs w:val="20"/>
              </w:rPr>
              <w:t>0</w:t>
            </w:r>
          </w:p>
        </w:tc>
        <w:tc>
          <w:tcPr>
            <w:tcW w:w="1499" w:type="dxa"/>
            <w:vAlign w:val="top"/>
          </w:tcPr>
          <w:p>
            <w:pPr>
              <w:pStyle w:val="TableText"/>
              <w:ind w:left="548"/>
              <w:spacing w:before="199" w:line="184" w:lineRule="auto"/>
              <w:rPr>
                <w:sz w:val="20"/>
                <w:szCs w:val="20"/>
              </w:rPr>
            </w:pPr>
            <w:r>
              <w:rPr>
                <w:sz w:val="20"/>
                <w:szCs w:val="20"/>
                <w:spacing w:val="-5"/>
              </w:rPr>
              <w:t>1.26</w:t>
            </w:r>
          </w:p>
        </w:tc>
        <w:tc>
          <w:tcPr>
            <w:tcW w:w="1294" w:type="dxa"/>
            <w:vAlign w:val="top"/>
          </w:tcPr>
          <w:p>
            <w:pPr>
              <w:pStyle w:val="TableText"/>
              <w:ind w:left="389"/>
              <w:spacing w:before="199" w:line="184" w:lineRule="auto"/>
              <w:rPr>
                <w:sz w:val="20"/>
                <w:szCs w:val="20"/>
              </w:rPr>
            </w:pPr>
            <w:r>
              <w:rPr>
                <w:sz w:val="20"/>
                <w:szCs w:val="20"/>
                <w:spacing w:val="-2"/>
              </w:rPr>
              <w:t>+1.02</w:t>
            </w:r>
          </w:p>
        </w:tc>
      </w:tr>
      <w:tr>
        <w:trPr>
          <w:trHeight w:val="489" w:hRule="atLeast"/>
        </w:trPr>
        <w:tc>
          <w:tcPr>
            <w:tcW w:w="1574" w:type="dxa"/>
            <w:vAlign w:val="top"/>
            <w:vMerge w:val="continue"/>
            <w:tcBorders>
              <w:top w:val="nil"/>
              <w:bottom w:val="nil"/>
            </w:tcBorders>
          </w:tcPr>
          <w:p>
            <w:pPr>
              <w:rPr>
                <w:rFonts w:ascii="Arial"/>
                <w:sz w:val="21"/>
              </w:rPr>
            </w:pPr>
            <w:r/>
          </w:p>
        </w:tc>
        <w:tc>
          <w:tcPr>
            <w:tcW w:w="1409" w:type="dxa"/>
            <w:vAlign w:val="top"/>
          </w:tcPr>
          <w:p>
            <w:pPr>
              <w:pStyle w:val="TableText"/>
              <w:ind w:left="491"/>
              <w:spacing w:before="150" w:line="220" w:lineRule="auto"/>
              <w:rPr>
                <w:sz w:val="20"/>
                <w:szCs w:val="20"/>
              </w:rPr>
            </w:pPr>
            <w:r>
              <w:rPr>
                <w:sz w:val="20"/>
                <w:szCs w:val="20"/>
                <w:spacing w:val="-2"/>
              </w:rPr>
              <w:t>废酸</w:t>
            </w:r>
          </w:p>
        </w:tc>
        <w:tc>
          <w:tcPr>
            <w:tcW w:w="1699" w:type="dxa"/>
            <w:vAlign w:val="top"/>
          </w:tcPr>
          <w:p>
            <w:pPr>
              <w:pStyle w:val="TableText"/>
              <w:ind w:left="692"/>
              <w:spacing w:before="200" w:line="184" w:lineRule="auto"/>
              <w:rPr>
                <w:sz w:val="20"/>
                <w:szCs w:val="20"/>
              </w:rPr>
            </w:pPr>
            <w:r>
              <w:rPr>
                <w:sz w:val="20"/>
                <w:szCs w:val="20"/>
                <w:spacing w:val="-6"/>
              </w:rPr>
              <w:t>1.6</w:t>
            </w:r>
          </w:p>
        </w:tc>
        <w:tc>
          <w:tcPr>
            <w:tcW w:w="1269" w:type="dxa"/>
            <w:vAlign w:val="top"/>
          </w:tcPr>
          <w:p>
            <w:pPr>
              <w:rPr>
                <w:rFonts w:ascii="Arial"/>
                <w:sz w:val="21"/>
              </w:rPr>
            </w:pPr>
            <w:r/>
          </w:p>
        </w:tc>
        <w:tc>
          <w:tcPr>
            <w:tcW w:w="1719" w:type="dxa"/>
            <w:vAlign w:val="top"/>
          </w:tcPr>
          <w:p>
            <w:pPr>
              <w:pStyle w:val="TableText"/>
              <w:ind w:left="804"/>
              <w:spacing w:before="201" w:line="183" w:lineRule="auto"/>
              <w:rPr>
                <w:sz w:val="20"/>
                <w:szCs w:val="20"/>
              </w:rPr>
            </w:pPr>
            <w:r>
              <w:rPr>
                <w:sz w:val="20"/>
                <w:szCs w:val="20"/>
              </w:rPr>
              <w:t>0</w:t>
            </w:r>
          </w:p>
        </w:tc>
        <w:tc>
          <w:tcPr>
            <w:tcW w:w="1539" w:type="dxa"/>
            <w:vAlign w:val="top"/>
          </w:tcPr>
          <w:p>
            <w:pPr>
              <w:pStyle w:val="TableText"/>
              <w:ind w:left="715"/>
              <w:spacing w:before="201" w:line="183" w:lineRule="auto"/>
              <w:rPr>
                <w:sz w:val="20"/>
                <w:szCs w:val="20"/>
              </w:rPr>
            </w:pPr>
            <w:r>
              <w:rPr>
                <w:sz w:val="20"/>
                <w:szCs w:val="20"/>
              </w:rPr>
              <w:t>0</w:t>
            </w:r>
          </w:p>
        </w:tc>
        <w:tc>
          <w:tcPr>
            <w:tcW w:w="1768" w:type="dxa"/>
            <w:vAlign w:val="top"/>
          </w:tcPr>
          <w:p>
            <w:pPr>
              <w:pStyle w:val="TableText"/>
              <w:ind w:left="826"/>
              <w:spacing w:before="201" w:line="183" w:lineRule="auto"/>
              <w:rPr>
                <w:sz w:val="20"/>
                <w:szCs w:val="20"/>
              </w:rPr>
            </w:pPr>
            <w:r>
              <w:rPr>
                <w:sz w:val="20"/>
                <w:szCs w:val="20"/>
              </w:rPr>
              <w:t>0</w:t>
            </w:r>
          </w:p>
        </w:tc>
        <w:tc>
          <w:tcPr>
            <w:tcW w:w="1499" w:type="dxa"/>
            <w:vAlign w:val="top"/>
          </w:tcPr>
          <w:p>
            <w:pPr>
              <w:pStyle w:val="TableText"/>
              <w:ind w:left="598"/>
              <w:spacing w:before="200" w:line="184" w:lineRule="auto"/>
              <w:rPr>
                <w:sz w:val="20"/>
                <w:szCs w:val="20"/>
              </w:rPr>
            </w:pPr>
            <w:r>
              <w:rPr>
                <w:sz w:val="20"/>
                <w:szCs w:val="20"/>
                <w:spacing w:val="-6"/>
              </w:rPr>
              <w:t>1.6</w:t>
            </w:r>
          </w:p>
        </w:tc>
        <w:tc>
          <w:tcPr>
            <w:tcW w:w="1294" w:type="dxa"/>
            <w:vAlign w:val="top"/>
          </w:tcPr>
          <w:p>
            <w:pPr>
              <w:pStyle w:val="TableText"/>
              <w:ind w:left="589"/>
              <w:spacing w:before="201" w:line="183" w:lineRule="auto"/>
              <w:rPr>
                <w:sz w:val="20"/>
                <w:szCs w:val="20"/>
              </w:rPr>
            </w:pPr>
            <w:r>
              <w:rPr>
                <w:sz w:val="20"/>
                <w:szCs w:val="20"/>
              </w:rPr>
              <w:t>0</w:t>
            </w:r>
          </w:p>
        </w:tc>
      </w:tr>
      <w:tr>
        <w:trPr>
          <w:trHeight w:val="499" w:hRule="atLeast"/>
        </w:trPr>
        <w:tc>
          <w:tcPr>
            <w:tcW w:w="1574" w:type="dxa"/>
            <w:vAlign w:val="top"/>
            <w:vMerge w:val="continue"/>
            <w:tcBorders>
              <w:top w:val="nil"/>
              <w:bottom w:val="nil"/>
            </w:tcBorders>
          </w:tcPr>
          <w:p>
            <w:pPr>
              <w:rPr>
                <w:rFonts w:ascii="Arial"/>
                <w:sz w:val="21"/>
              </w:rPr>
            </w:pPr>
            <w:r/>
          </w:p>
        </w:tc>
        <w:tc>
          <w:tcPr>
            <w:tcW w:w="1409" w:type="dxa"/>
            <w:vAlign w:val="top"/>
          </w:tcPr>
          <w:p>
            <w:pPr>
              <w:pStyle w:val="TableText"/>
              <w:ind w:left="391"/>
              <w:spacing w:before="151" w:line="219" w:lineRule="auto"/>
              <w:rPr>
                <w:sz w:val="20"/>
                <w:szCs w:val="20"/>
              </w:rPr>
            </w:pPr>
            <w:r>
              <w:rPr>
                <w:sz w:val="20"/>
                <w:szCs w:val="20"/>
                <w:spacing w:val="-2"/>
              </w:rPr>
              <w:t>废胶水</w:t>
            </w:r>
          </w:p>
        </w:tc>
        <w:tc>
          <w:tcPr>
            <w:tcW w:w="1699" w:type="dxa"/>
            <w:vAlign w:val="top"/>
          </w:tcPr>
          <w:p>
            <w:pPr>
              <w:pStyle w:val="TableText"/>
              <w:ind w:left="642"/>
              <w:spacing w:before="201" w:line="184" w:lineRule="auto"/>
              <w:rPr>
                <w:sz w:val="20"/>
                <w:szCs w:val="20"/>
              </w:rPr>
            </w:pPr>
            <w:r>
              <w:rPr>
                <w:sz w:val="20"/>
                <w:szCs w:val="20"/>
                <w:spacing w:val="-3"/>
              </w:rPr>
              <w:t>31.0</w:t>
            </w:r>
          </w:p>
        </w:tc>
        <w:tc>
          <w:tcPr>
            <w:tcW w:w="1269" w:type="dxa"/>
            <w:vAlign w:val="top"/>
          </w:tcPr>
          <w:p>
            <w:pPr>
              <w:rPr>
                <w:rFonts w:ascii="Arial"/>
                <w:sz w:val="21"/>
              </w:rPr>
            </w:pPr>
            <w:r/>
          </w:p>
        </w:tc>
        <w:tc>
          <w:tcPr>
            <w:tcW w:w="1719" w:type="dxa"/>
            <w:vAlign w:val="top"/>
          </w:tcPr>
          <w:p>
            <w:pPr>
              <w:pStyle w:val="TableText"/>
              <w:ind w:left="704"/>
              <w:spacing w:before="202" w:line="183" w:lineRule="auto"/>
              <w:rPr>
                <w:sz w:val="20"/>
                <w:szCs w:val="20"/>
              </w:rPr>
            </w:pPr>
            <w:r>
              <w:rPr>
                <w:sz w:val="20"/>
                <w:szCs w:val="20"/>
                <w:spacing w:val="-2"/>
              </w:rPr>
              <w:t>467</w:t>
            </w:r>
          </w:p>
        </w:tc>
        <w:tc>
          <w:tcPr>
            <w:tcW w:w="1539" w:type="dxa"/>
            <w:vAlign w:val="top"/>
          </w:tcPr>
          <w:p>
            <w:pPr>
              <w:pStyle w:val="TableText"/>
              <w:ind w:left="715"/>
              <w:spacing w:before="202" w:line="183" w:lineRule="auto"/>
              <w:rPr>
                <w:sz w:val="20"/>
                <w:szCs w:val="20"/>
              </w:rPr>
            </w:pPr>
            <w:r>
              <w:rPr>
                <w:sz w:val="20"/>
                <w:szCs w:val="20"/>
              </w:rPr>
              <w:t>0</w:t>
            </w:r>
          </w:p>
        </w:tc>
        <w:tc>
          <w:tcPr>
            <w:tcW w:w="1768" w:type="dxa"/>
            <w:vAlign w:val="top"/>
          </w:tcPr>
          <w:p>
            <w:pPr>
              <w:pStyle w:val="TableText"/>
              <w:ind w:left="826"/>
              <w:spacing w:before="202" w:line="183" w:lineRule="auto"/>
              <w:rPr>
                <w:sz w:val="20"/>
                <w:szCs w:val="20"/>
              </w:rPr>
            </w:pPr>
            <w:r>
              <w:rPr>
                <w:sz w:val="20"/>
                <w:szCs w:val="20"/>
              </w:rPr>
              <w:t>0</w:t>
            </w:r>
          </w:p>
        </w:tc>
        <w:tc>
          <w:tcPr>
            <w:tcW w:w="1499" w:type="dxa"/>
            <w:vAlign w:val="top"/>
          </w:tcPr>
          <w:p>
            <w:pPr>
              <w:pStyle w:val="TableText"/>
              <w:ind w:left="598"/>
              <w:spacing w:before="202" w:line="183" w:lineRule="auto"/>
              <w:rPr>
                <w:sz w:val="20"/>
                <w:szCs w:val="20"/>
              </w:rPr>
            </w:pPr>
            <w:r>
              <w:rPr>
                <w:sz w:val="20"/>
                <w:szCs w:val="20"/>
                <w:spacing w:val="-2"/>
              </w:rPr>
              <w:t>498</w:t>
            </w:r>
          </w:p>
        </w:tc>
        <w:tc>
          <w:tcPr>
            <w:tcW w:w="1294" w:type="dxa"/>
            <w:vAlign w:val="top"/>
          </w:tcPr>
          <w:p>
            <w:pPr>
              <w:pStyle w:val="TableText"/>
              <w:ind w:left="438"/>
              <w:spacing w:before="202" w:line="183" w:lineRule="auto"/>
              <w:rPr>
                <w:sz w:val="20"/>
                <w:szCs w:val="20"/>
              </w:rPr>
            </w:pPr>
            <w:r>
              <w:rPr>
                <w:sz w:val="20"/>
                <w:szCs w:val="20"/>
                <w:spacing w:val="-2"/>
              </w:rPr>
              <w:t>+467</w:t>
            </w:r>
          </w:p>
        </w:tc>
      </w:tr>
      <w:tr>
        <w:trPr>
          <w:trHeight w:val="559" w:hRule="atLeast"/>
        </w:trPr>
        <w:tc>
          <w:tcPr>
            <w:tcW w:w="1574" w:type="dxa"/>
            <w:vAlign w:val="top"/>
            <w:vMerge w:val="continue"/>
            <w:tcBorders>
              <w:top w:val="nil"/>
              <w:bottom w:val="nil"/>
            </w:tcBorders>
          </w:tcPr>
          <w:p>
            <w:pPr>
              <w:rPr>
                <w:rFonts w:ascii="Arial"/>
                <w:sz w:val="21"/>
              </w:rPr>
            </w:pPr>
            <w:r/>
          </w:p>
        </w:tc>
        <w:tc>
          <w:tcPr>
            <w:tcW w:w="1409" w:type="dxa"/>
            <w:vAlign w:val="top"/>
          </w:tcPr>
          <w:p>
            <w:pPr>
              <w:pStyle w:val="TableText"/>
              <w:ind w:left="291" w:right="217" w:hanging="100"/>
              <w:spacing w:before="61" w:line="225" w:lineRule="auto"/>
              <w:rPr>
                <w:sz w:val="20"/>
                <w:szCs w:val="20"/>
              </w:rPr>
            </w:pPr>
            <w:r>
              <w:rPr>
                <w:sz w:val="20"/>
                <w:szCs w:val="20"/>
                <w:spacing w:val="-2"/>
              </w:rPr>
              <w:t>焚烧烟气处</w:t>
            </w:r>
            <w:r>
              <w:rPr>
                <w:sz w:val="20"/>
                <w:szCs w:val="20"/>
              </w:rPr>
              <w:t xml:space="preserve"> </w:t>
            </w:r>
            <w:r>
              <w:rPr>
                <w:sz w:val="20"/>
                <w:szCs w:val="20"/>
                <w:spacing w:val="2"/>
              </w:rPr>
              <w:t>理沉淀物</w:t>
            </w:r>
          </w:p>
        </w:tc>
        <w:tc>
          <w:tcPr>
            <w:tcW w:w="1699" w:type="dxa"/>
            <w:vAlign w:val="top"/>
          </w:tcPr>
          <w:p>
            <w:pPr>
              <w:pStyle w:val="TableText"/>
              <w:ind w:left="692"/>
              <w:spacing w:before="233" w:line="183" w:lineRule="auto"/>
              <w:rPr>
                <w:sz w:val="20"/>
                <w:szCs w:val="20"/>
              </w:rPr>
            </w:pPr>
            <w:r>
              <w:rPr>
                <w:sz w:val="20"/>
                <w:szCs w:val="20"/>
                <w:spacing w:val="-3"/>
              </w:rPr>
              <w:t>0.2</w:t>
            </w:r>
          </w:p>
        </w:tc>
        <w:tc>
          <w:tcPr>
            <w:tcW w:w="1269" w:type="dxa"/>
            <w:vAlign w:val="top"/>
          </w:tcPr>
          <w:p>
            <w:pPr>
              <w:rPr>
                <w:rFonts w:ascii="Arial"/>
                <w:sz w:val="21"/>
              </w:rPr>
            </w:pPr>
            <w:r/>
          </w:p>
        </w:tc>
        <w:tc>
          <w:tcPr>
            <w:tcW w:w="1719" w:type="dxa"/>
            <w:vAlign w:val="top"/>
          </w:tcPr>
          <w:p>
            <w:pPr>
              <w:pStyle w:val="TableText"/>
              <w:ind w:left="804"/>
              <w:spacing w:before="233" w:line="183" w:lineRule="auto"/>
              <w:rPr>
                <w:sz w:val="20"/>
                <w:szCs w:val="20"/>
              </w:rPr>
            </w:pPr>
            <w:r>
              <w:rPr>
                <w:sz w:val="20"/>
                <w:szCs w:val="20"/>
              </w:rPr>
              <w:t>0</w:t>
            </w:r>
          </w:p>
        </w:tc>
        <w:tc>
          <w:tcPr>
            <w:tcW w:w="1539" w:type="dxa"/>
            <w:vAlign w:val="top"/>
          </w:tcPr>
          <w:p>
            <w:pPr>
              <w:pStyle w:val="TableText"/>
              <w:ind w:left="715"/>
              <w:spacing w:before="233" w:line="183" w:lineRule="auto"/>
              <w:rPr>
                <w:sz w:val="20"/>
                <w:szCs w:val="20"/>
              </w:rPr>
            </w:pPr>
            <w:r>
              <w:rPr>
                <w:sz w:val="20"/>
                <w:szCs w:val="20"/>
              </w:rPr>
              <w:t>0</w:t>
            </w:r>
          </w:p>
        </w:tc>
        <w:tc>
          <w:tcPr>
            <w:tcW w:w="1768" w:type="dxa"/>
            <w:vAlign w:val="top"/>
          </w:tcPr>
          <w:p>
            <w:pPr>
              <w:pStyle w:val="TableText"/>
              <w:ind w:left="826"/>
              <w:spacing w:before="233" w:line="183" w:lineRule="auto"/>
              <w:rPr>
                <w:sz w:val="20"/>
                <w:szCs w:val="20"/>
              </w:rPr>
            </w:pPr>
            <w:r>
              <w:rPr>
                <w:sz w:val="20"/>
                <w:szCs w:val="20"/>
              </w:rPr>
              <w:t>0</w:t>
            </w:r>
          </w:p>
        </w:tc>
        <w:tc>
          <w:tcPr>
            <w:tcW w:w="1499" w:type="dxa"/>
            <w:vAlign w:val="top"/>
          </w:tcPr>
          <w:p>
            <w:pPr>
              <w:pStyle w:val="TableText"/>
              <w:ind w:left="598"/>
              <w:spacing w:before="233" w:line="183" w:lineRule="auto"/>
              <w:rPr>
                <w:sz w:val="20"/>
                <w:szCs w:val="20"/>
              </w:rPr>
            </w:pPr>
            <w:r>
              <w:rPr>
                <w:sz w:val="20"/>
                <w:szCs w:val="20"/>
                <w:spacing w:val="-3"/>
              </w:rPr>
              <w:t>0.2</w:t>
            </w:r>
          </w:p>
        </w:tc>
        <w:tc>
          <w:tcPr>
            <w:tcW w:w="1294" w:type="dxa"/>
            <w:vAlign w:val="top"/>
          </w:tcPr>
          <w:p>
            <w:pPr>
              <w:pStyle w:val="TableText"/>
              <w:ind w:left="589"/>
              <w:spacing w:before="233" w:line="183" w:lineRule="auto"/>
              <w:rPr>
                <w:sz w:val="20"/>
                <w:szCs w:val="20"/>
              </w:rPr>
            </w:pPr>
            <w:r>
              <w:rPr>
                <w:sz w:val="20"/>
                <w:szCs w:val="20"/>
              </w:rPr>
              <w:t>0</w:t>
            </w:r>
          </w:p>
        </w:tc>
      </w:tr>
      <w:tr>
        <w:trPr>
          <w:trHeight w:val="489" w:hRule="atLeast"/>
        </w:trPr>
        <w:tc>
          <w:tcPr>
            <w:tcW w:w="1574" w:type="dxa"/>
            <w:vAlign w:val="top"/>
            <w:vMerge w:val="continue"/>
            <w:tcBorders>
              <w:top w:val="nil"/>
              <w:bottom w:val="nil"/>
            </w:tcBorders>
          </w:tcPr>
          <w:p>
            <w:pPr>
              <w:rPr>
                <w:rFonts w:ascii="Arial"/>
                <w:sz w:val="21"/>
              </w:rPr>
            </w:pPr>
            <w:r/>
          </w:p>
        </w:tc>
        <w:tc>
          <w:tcPr>
            <w:tcW w:w="1409" w:type="dxa"/>
            <w:vAlign w:val="top"/>
          </w:tcPr>
          <w:p>
            <w:pPr>
              <w:pStyle w:val="TableText"/>
              <w:ind w:left="191"/>
              <w:spacing w:before="152" w:line="219" w:lineRule="auto"/>
              <w:rPr>
                <w:sz w:val="20"/>
                <w:szCs w:val="20"/>
              </w:rPr>
            </w:pPr>
            <w:r>
              <w:rPr>
                <w:sz w:val="20"/>
                <w:szCs w:val="20"/>
                <w:spacing w:val="-2"/>
              </w:rPr>
              <w:t>焚烧炉残渣</w:t>
            </w:r>
          </w:p>
        </w:tc>
        <w:tc>
          <w:tcPr>
            <w:tcW w:w="1699" w:type="dxa"/>
            <w:vAlign w:val="top"/>
          </w:tcPr>
          <w:p>
            <w:pPr>
              <w:pStyle w:val="TableText"/>
              <w:ind w:left="692"/>
              <w:spacing w:before="204" w:line="183" w:lineRule="auto"/>
              <w:rPr>
                <w:sz w:val="20"/>
                <w:szCs w:val="20"/>
              </w:rPr>
            </w:pPr>
            <w:r>
              <w:rPr>
                <w:sz w:val="20"/>
                <w:szCs w:val="20"/>
                <w:spacing w:val="-2"/>
              </w:rPr>
              <w:t>9.8</w:t>
            </w:r>
          </w:p>
        </w:tc>
        <w:tc>
          <w:tcPr>
            <w:tcW w:w="1269" w:type="dxa"/>
            <w:vAlign w:val="top"/>
          </w:tcPr>
          <w:p>
            <w:pPr>
              <w:rPr>
                <w:rFonts w:ascii="Arial"/>
                <w:sz w:val="21"/>
              </w:rPr>
            </w:pPr>
            <w:r/>
          </w:p>
        </w:tc>
        <w:tc>
          <w:tcPr>
            <w:tcW w:w="1719" w:type="dxa"/>
            <w:vAlign w:val="top"/>
          </w:tcPr>
          <w:p>
            <w:pPr>
              <w:pStyle w:val="TableText"/>
              <w:ind w:left="804"/>
              <w:spacing w:before="204" w:line="183" w:lineRule="auto"/>
              <w:rPr>
                <w:sz w:val="20"/>
                <w:szCs w:val="20"/>
              </w:rPr>
            </w:pPr>
            <w:r>
              <w:rPr>
                <w:sz w:val="20"/>
                <w:szCs w:val="20"/>
              </w:rPr>
              <w:t>0</w:t>
            </w:r>
          </w:p>
        </w:tc>
        <w:tc>
          <w:tcPr>
            <w:tcW w:w="1539" w:type="dxa"/>
            <w:vAlign w:val="top"/>
          </w:tcPr>
          <w:p>
            <w:pPr>
              <w:pStyle w:val="TableText"/>
              <w:ind w:left="715"/>
              <w:spacing w:before="204" w:line="183" w:lineRule="auto"/>
              <w:rPr>
                <w:sz w:val="20"/>
                <w:szCs w:val="20"/>
              </w:rPr>
            </w:pPr>
            <w:r>
              <w:rPr>
                <w:sz w:val="20"/>
                <w:szCs w:val="20"/>
              </w:rPr>
              <w:t>0</w:t>
            </w:r>
          </w:p>
        </w:tc>
        <w:tc>
          <w:tcPr>
            <w:tcW w:w="1768" w:type="dxa"/>
            <w:vAlign w:val="top"/>
          </w:tcPr>
          <w:p>
            <w:pPr>
              <w:pStyle w:val="TableText"/>
              <w:ind w:left="826"/>
              <w:spacing w:before="204" w:line="183" w:lineRule="auto"/>
              <w:rPr>
                <w:sz w:val="20"/>
                <w:szCs w:val="20"/>
              </w:rPr>
            </w:pPr>
            <w:r>
              <w:rPr>
                <w:sz w:val="20"/>
                <w:szCs w:val="20"/>
              </w:rPr>
              <w:t>0</w:t>
            </w:r>
          </w:p>
        </w:tc>
        <w:tc>
          <w:tcPr>
            <w:tcW w:w="1499" w:type="dxa"/>
            <w:vAlign w:val="top"/>
          </w:tcPr>
          <w:p>
            <w:pPr>
              <w:pStyle w:val="TableText"/>
              <w:ind w:left="598"/>
              <w:spacing w:before="204" w:line="183" w:lineRule="auto"/>
              <w:rPr>
                <w:sz w:val="20"/>
                <w:szCs w:val="20"/>
              </w:rPr>
            </w:pPr>
            <w:r>
              <w:rPr>
                <w:sz w:val="20"/>
                <w:szCs w:val="20"/>
                <w:spacing w:val="-2"/>
              </w:rPr>
              <w:t>9.8</w:t>
            </w:r>
          </w:p>
        </w:tc>
        <w:tc>
          <w:tcPr>
            <w:tcW w:w="1294" w:type="dxa"/>
            <w:vAlign w:val="top"/>
          </w:tcPr>
          <w:p>
            <w:pPr>
              <w:pStyle w:val="TableText"/>
              <w:ind w:left="589"/>
              <w:spacing w:before="204" w:line="183" w:lineRule="auto"/>
              <w:rPr>
                <w:sz w:val="20"/>
                <w:szCs w:val="20"/>
              </w:rPr>
            </w:pPr>
            <w:r>
              <w:rPr>
                <w:sz w:val="20"/>
                <w:szCs w:val="20"/>
              </w:rPr>
              <w:t>0</w:t>
            </w:r>
          </w:p>
        </w:tc>
      </w:tr>
      <w:tr>
        <w:trPr>
          <w:trHeight w:val="489" w:hRule="atLeast"/>
        </w:trPr>
        <w:tc>
          <w:tcPr>
            <w:tcW w:w="1574" w:type="dxa"/>
            <w:vAlign w:val="top"/>
            <w:vMerge w:val="continue"/>
            <w:tcBorders>
              <w:top w:val="nil"/>
              <w:bottom w:val="nil"/>
            </w:tcBorders>
          </w:tcPr>
          <w:p>
            <w:pPr>
              <w:rPr>
                <w:rFonts w:ascii="Arial"/>
                <w:sz w:val="21"/>
              </w:rPr>
            </w:pPr>
            <w:r/>
          </w:p>
        </w:tc>
        <w:tc>
          <w:tcPr>
            <w:tcW w:w="1409" w:type="dxa"/>
            <w:vAlign w:val="top"/>
          </w:tcPr>
          <w:p>
            <w:pPr>
              <w:pStyle w:val="TableText"/>
              <w:ind w:left="391"/>
              <w:spacing w:before="153" w:line="219" w:lineRule="auto"/>
              <w:rPr>
                <w:sz w:val="20"/>
                <w:szCs w:val="20"/>
              </w:rPr>
            </w:pPr>
            <w:r>
              <w:rPr>
                <w:sz w:val="20"/>
                <w:szCs w:val="20"/>
                <w:spacing w:val="6"/>
              </w:rPr>
              <w:t>废机油</w:t>
            </w:r>
          </w:p>
        </w:tc>
        <w:tc>
          <w:tcPr>
            <w:tcW w:w="1699" w:type="dxa"/>
            <w:vAlign w:val="top"/>
          </w:tcPr>
          <w:p>
            <w:pPr>
              <w:pStyle w:val="TableText"/>
              <w:ind w:left="692"/>
              <w:spacing w:before="205" w:line="183" w:lineRule="auto"/>
              <w:rPr>
                <w:sz w:val="20"/>
                <w:szCs w:val="20"/>
              </w:rPr>
            </w:pPr>
            <w:r>
              <w:rPr>
                <w:sz w:val="20"/>
                <w:szCs w:val="20"/>
                <w:spacing w:val="-2"/>
              </w:rPr>
              <w:t>8.0</w:t>
            </w:r>
          </w:p>
        </w:tc>
        <w:tc>
          <w:tcPr>
            <w:tcW w:w="1269" w:type="dxa"/>
            <w:vAlign w:val="top"/>
          </w:tcPr>
          <w:p>
            <w:pPr>
              <w:rPr>
                <w:rFonts w:ascii="Arial"/>
                <w:sz w:val="21"/>
              </w:rPr>
            </w:pPr>
            <w:r/>
          </w:p>
        </w:tc>
        <w:tc>
          <w:tcPr>
            <w:tcW w:w="1719" w:type="dxa"/>
            <w:vAlign w:val="top"/>
          </w:tcPr>
          <w:p>
            <w:pPr>
              <w:pStyle w:val="TableText"/>
              <w:ind w:left="604"/>
              <w:spacing w:before="205" w:line="183" w:lineRule="auto"/>
              <w:rPr>
                <w:sz w:val="20"/>
                <w:szCs w:val="20"/>
              </w:rPr>
            </w:pPr>
            <w:r>
              <w:rPr>
                <w:sz w:val="20"/>
                <w:szCs w:val="20"/>
                <w:spacing w:val="-2"/>
              </w:rPr>
              <w:t>48.88</w:t>
            </w:r>
          </w:p>
        </w:tc>
        <w:tc>
          <w:tcPr>
            <w:tcW w:w="1539" w:type="dxa"/>
            <w:vAlign w:val="top"/>
          </w:tcPr>
          <w:p>
            <w:pPr>
              <w:pStyle w:val="TableText"/>
              <w:ind w:left="614"/>
              <w:spacing w:before="205" w:line="183" w:lineRule="auto"/>
              <w:rPr>
                <w:sz w:val="20"/>
                <w:szCs w:val="20"/>
              </w:rPr>
            </w:pPr>
            <w:r>
              <w:rPr>
                <w:sz w:val="20"/>
                <w:szCs w:val="20"/>
                <w:spacing w:val="-3"/>
              </w:rPr>
              <w:t>0.5</w:t>
            </w:r>
          </w:p>
        </w:tc>
        <w:tc>
          <w:tcPr>
            <w:tcW w:w="1768" w:type="dxa"/>
            <w:vAlign w:val="top"/>
          </w:tcPr>
          <w:p>
            <w:pPr>
              <w:pStyle w:val="TableText"/>
              <w:ind w:left="826"/>
              <w:spacing w:before="205" w:line="183" w:lineRule="auto"/>
              <w:rPr>
                <w:sz w:val="20"/>
                <w:szCs w:val="20"/>
              </w:rPr>
            </w:pPr>
            <w:r>
              <w:rPr>
                <w:sz w:val="20"/>
                <w:szCs w:val="20"/>
              </w:rPr>
              <w:t>0</w:t>
            </w:r>
          </w:p>
        </w:tc>
        <w:tc>
          <w:tcPr>
            <w:tcW w:w="1499" w:type="dxa"/>
            <w:vAlign w:val="top"/>
          </w:tcPr>
          <w:p>
            <w:pPr>
              <w:pStyle w:val="TableText"/>
              <w:ind w:left="497"/>
              <w:spacing w:before="205" w:line="183" w:lineRule="auto"/>
              <w:rPr>
                <w:sz w:val="20"/>
                <w:szCs w:val="20"/>
              </w:rPr>
            </w:pPr>
            <w:r>
              <w:rPr>
                <w:sz w:val="20"/>
                <w:szCs w:val="20"/>
                <w:spacing w:val="-2"/>
              </w:rPr>
              <w:t>57.38</w:t>
            </w:r>
          </w:p>
        </w:tc>
        <w:tc>
          <w:tcPr>
            <w:tcW w:w="1294" w:type="dxa"/>
            <w:vAlign w:val="top"/>
          </w:tcPr>
          <w:p>
            <w:pPr>
              <w:pStyle w:val="TableText"/>
              <w:ind w:left="339"/>
              <w:spacing w:before="205" w:line="183" w:lineRule="auto"/>
              <w:rPr>
                <w:sz w:val="20"/>
                <w:szCs w:val="20"/>
              </w:rPr>
            </w:pPr>
            <w:r>
              <w:rPr>
                <w:sz w:val="20"/>
                <w:szCs w:val="20"/>
                <w:spacing w:val="-2"/>
              </w:rPr>
              <w:t>+49.38</w:t>
            </w:r>
          </w:p>
        </w:tc>
      </w:tr>
      <w:tr>
        <w:trPr>
          <w:trHeight w:val="819" w:hRule="atLeast"/>
        </w:trPr>
        <w:tc>
          <w:tcPr>
            <w:tcW w:w="1574" w:type="dxa"/>
            <w:vAlign w:val="top"/>
            <w:vMerge w:val="continue"/>
            <w:tcBorders>
              <w:top w:val="nil"/>
              <w:bottom w:val="nil"/>
            </w:tcBorders>
          </w:tcPr>
          <w:p>
            <w:pPr>
              <w:rPr>
                <w:rFonts w:ascii="Arial"/>
                <w:sz w:val="21"/>
              </w:rPr>
            </w:pPr>
            <w:r/>
          </w:p>
        </w:tc>
        <w:tc>
          <w:tcPr>
            <w:tcW w:w="1409" w:type="dxa"/>
            <w:vAlign w:val="top"/>
          </w:tcPr>
          <w:p>
            <w:pPr>
              <w:pStyle w:val="TableText"/>
              <w:ind w:left="191"/>
              <w:spacing w:before="34" w:line="219" w:lineRule="auto"/>
              <w:rPr>
                <w:sz w:val="20"/>
                <w:szCs w:val="20"/>
              </w:rPr>
            </w:pPr>
            <w:r>
              <w:rPr>
                <w:sz w:val="20"/>
                <w:szCs w:val="20"/>
                <w:spacing w:val="1"/>
              </w:rPr>
              <w:t>沾染有机溶</w:t>
            </w:r>
          </w:p>
          <w:p>
            <w:pPr>
              <w:pStyle w:val="TableText"/>
              <w:ind w:right="7"/>
              <w:spacing w:before="52" w:line="219" w:lineRule="auto"/>
              <w:jc w:val="right"/>
              <w:rPr>
                <w:sz w:val="20"/>
                <w:szCs w:val="20"/>
              </w:rPr>
            </w:pPr>
            <w:r>
              <w:rPr>
                <w:sz w:val="20"/>
                <w:szCs w:val="20"/>
                <w:spacing w:val="16"/>
              </w:rPr>
              <w:t>剂的废抹布、</w:t>
            </w:r>
          </w:p>
          <w:p>
            <w:pPr>
              <w:pStyle w:val="TableText"/>
              <w:ind w:left="491"/>
              <w:spacing w:before="34" w:line="197" w:lineRule="auto"/>
              <w:rPr>
                <w:sz w:val="20"/>
                <w:szCs w:val="20"/>
              </w:rPr>
            </w:pPr>
            <w:r>
              <w:rPr>
                <w:sz w:val="20"/>
                <w:szCs w:val="20"/>
                <w:spacing w:val="-2"/>
              </w:rPr>
              <w:t>手套</w:t>
            </w:r>
          </w:p>
        </w:tc>
        <w:tc>
          <w:tcPr>
            <w:tcW w:w="1699" w:type="dxa"/>
            <w:vAlign w:val="top"/>
          </w:tcPr>
          <w:p>
            <w:pPr>
              <w:spacing w:line="300" w:lineRule="auto"/>
              <w:rPr>
                <w:rFonts w:ascii="Arial"/>
                <w:sz w:val="21"/>
              </w:rPr>
            </w:pPr>
            <w:r/>
          </w:p>
          <w:p>
            <w:pPr>
              <w:pStyle w:val="TableText"/>
              <w:ind w:left="692"/>
              <w:spacing w:before="65" w:line="183" w:lineRule="auto"/>
              <w:rPr>
                <w:sz w:val="20"/>
                <w:szCs w:val="20"/>
              </w:rPr>
            </w:pPr>
            <w:r>
              <w:rPr>
                <w:sz w:val="20"/>
                <w:szCs w:val="20"/>
                <w:spacing w:val="-3"/>
              </w:rPr>
              <w:t>0.4</w:t>
            </w:r>
          </w:p>
        </w:tc>
        <w:tc>
          <w:tcPr>
            <w:tcW w:w="1269" w:type="dxa"/>
            <w:vAlign w:val="top"/>
          </w:tcPr>
          <w:p>
            <w:pPr>
              <w:rPr>
                <w:rFonts w:ascii="Arial"/>
                <w:sz w:val="21"/>
              </w:rPr>
            </w:pPr>
            <w:r/>
          </w:p>
        </w:tc>
        <w:tc>
          <w:tcPr>
            <w:tcW w:w="1719" w:type="dxa"/>
            <w:vAlign w:val="top"/>
          </w:tcPr>
          <w:p>
            <w:pPr>
              <w:spacing w:line="300" w:lineRule="auto"/>
              <w:rPr>
                <w:rFonts w:ascii="Arial"/>
                <w:sz w:val="21"/>
              </w:rPr>
            </w:pPr>
            <w:r/>
          </w:p>
          <w:p>
            <w:pPr>
              <w:pStyle w:val="TableText"/>
              <w:ind w:left="704"/>
              <w:spacing w:before="65" w:line="183" w:lineRule="auto"/>
              <w:rPr>
                <w:sz w:val="20"/>
                <w:szCs w:val="20"/>
              </w:rPr>
            </w:pPr>
            <w:r>
              <w:rPr>
                <w:sz w:val="20"/>
                <w:szCs w:val="20"/>
                <w:spacing w:val="-3"/>
              </w:rPr>
              <w:t>0.6</w:t>
            </w:r>
          </w:p>
        </w:tc>
        <w:tc>
          <w:tcPr>
            <w:tcW w:w="1539" w:type="dxa"/>
            <w:vAlign w:val="top"/>
          </w:tcPr>
          <w:p>
            <w:pPr>
              <w:spacing w:line="300" w:lineRule="auto"/>
              <w:rPr>
                <w:rFonts w:ascii="Arial"/>
                <w:sz w:val="21"/>
              </w:rPr>
            </w:pPr>
            <w:r/>
          </w:p>
          <w:p>
            <w:pPr>
              <w:pStyle w:val="TableText"/>
              <w:ind w:left="715"/>
              <w:spacing w:before="65" w:line="183" w:lineRule="auto"/>
              <w:rPr>
                <w:sz w:val="20"/>
                <w:szCs w:val="20"/>
              </w:rPr>
            </w:pPr>
            <w:r>
              <w:rPr>
                <w:sz w:val="20"/>
                <w:szCs w:val="20"/>
              </w:rPr>
              <w:t>0</w:t>
            </w:r>
          </w:p>
        </w:tc>
        <w:tc>
          <w:tcPr>
            <w:tcW w:w="1768" w:type="dxa"/>
            <w:vAlign w:val="top"/>
          </w:tcPr>
          <w:p>
            <w:pPr>
              <w:spacing w:line="300" w:lineRule="auto"/>
              <w:rPr>
                <w:rFonts w:ascii="Arial"/>
                <w:sz w:val="21"/>
              </w:rPr>
            </w:pPr>
            <w:r/>
          </w:p>
          <w:p>
            <w:pPr>
              <w:pStyle w:val="TableText"/>
              <w:ind w:left="826"/>
              <w:spacing w:before="65" w:line="183" w:lineRule="auto"/>
              <w:rPr>
                <w:sz w:val="20"/>
                <w:szCs w:val="20"/>
              </w:rPr>
            </w:pPr>
            <w:r>
              <w:rPr>
                <w:sz w:val="20"/>
                <w:szCs w:val="20"/>
              </w:rPr>
              <w:t>0</w:t>
            </w:r>
          </w:p>
        </w:tc>
        <w:tc>
          <w:tcPr>
            <w:tcW w:w="1499" w:type="dxa"/>
            <w:vAlign w:val="top"/>
          </w:tcPr>
          <w:p>
            <w:pPr>
              <w:spacing w:line="298" w:lineRule="auto"/>
              <w:rPr>
                <w:rFonts w:ascii="Arial"/>
                <w:sz w:val="21"/>
              </w:rPr>
            </w:pPr>
            <w:r/>
          </w:p>
          <w:p>
            <w:pPr>
              <w:pStyle w:val="TableText"/>
              <w:ind w:left="598"/>
              <w:spacing w:before="65" w:line="184" w:lineRule="auto"/>
              <w:rPr>
                <w:sz w:val="20"/>
                <w:szCs w:val="20"/>
              </w:rPr>
            </w:pPr>
            <w:r>
              <w:rPr>
                <w:sz w:val="20"/>
                <w:szCs w:val="20"/>
                <w:spacing w:val="-6"/>
              </w:rPr>
              <w:t>1.0</w:t>
            </w:r>
          </w:p>
        </w:tc>
        <w:tc>
          <w:tcPr>
            <w:tcW w:w="1294" w:type="dxa"/>
            <w:vAlign w:val="top"/>
          </w:tcPr>
          <w:p>
            <w:pPr>
              <w:spacing w:line="300" w:lineRule="auto"/>
              <w:rPr>
                <w:rFonts w:ascii="Arial"/>
                <w:sz w:val="21"/>
              </w:rPr>
            </w:pPr>
            <w:r/>
          </w:p>
          <w:p>
            <w:pPr>
              <w:pStyle w:val="TableText"/>
              <w:ind w:left="438"/>
              <w:spacing w:before="65" w:line="183" w:lineRule="auto"/>
              <w:rPr>
                <w:sz w:val="20"/>
                <w:szCs w:val="20"/>
              </w:rPr>
            </w:pPr>
            <w:r>
              <w:rPr>
                <w:sz w:val="20"/>
                <w:szCs w:val="20"/>
                <w:spacing w:val="-2"/>
              </w:rPr>
              <w:t>+0.6</w:t>
            </w:r>
          </w:p>
        </w:tc>
      </w:tr>
      <w:tr>
        <w:trPr>
          <w:trHeight w:val="569" w:hRule="atLeast"/>
        </w:trPr>
        <w:tc>
          <w:tcPr>
            <w:tcW w:w="1574" w:type="dxa"/>
            <w:vAlign w:val="top"/>
            <w:vMerge w:val="continue"/>
            <w:tcBorders>
              <w:top w:val="nil"/>
              <w:bottom w:val="nil"/>
            </w:tcBorders>
          </w:tcPr>
          <w:p>
            <w:pPr>
              <w:rPr>
                <w:rFonts w:ascii="Arial"/>
                <w:sz w:val="21"/>
              </w:rPr>
            </w:pPr>
            <w:r/>
          </w:p>
        </w:tc>
        <w:tc>
          <w:tcPr>
            <w:tcW w:w="1409" w:type="dxa"/>
            <w:vAlign w:val="top"/>
          </w:tcPr>
          <w:p>
            <w:pPr>
              <w:pStyle w:val="TableText"/>
              <w:ind w:left="191" w:right="215"/>
              <w:spacing w:before="64" w:line="228" w:lineRule="auto"/>
              <w:rPr>
                <w:sz w:val="20"/>
                <w:szCs w:val="20"/>
              </w:rPr>
            </w:pPr>
            <w:r>
              <w:rPr>
                <w:sz w:val="20"/>
                <w:szCs w:val="20"/>
                <w:spacing w:val="-2"/>
              </w:rPr>
              <w:t>含废油的废</w:t>
            </w:r>
            <w:r>
              <w:rPr>
                <w:sz w:val="20"/>
                <w:szCs w:val="20"/>
                <w:spacing w:val="1"/>
              </w:rPr>
              <w:t xml:space="preserve"> </w:t>
            </w:r>
            <w:r>
              <w:rPr>
                <w:sz w:val="20"/>
                <w:szCs w:val="20"/>
                <w:spacing w:val="-2"/>
              </w:rPr>
              <w:t>抹布、手套</w:t>
            </w:r>
          </w:p>
        </w:tc>
        <w:tc>
          <w:tcPr>
            <w:tcW w:w="1699" w:type="dxa"/>
            <w:vAlign w:val="top"/>
          </w:tcPr>
          <w:p>
            <w:pPr>
              <w:pStyle w:val="TableText"/>
              <w:ind w:left="792"/>
              <w:spacing w:before="247" w:line="183" w:lineRule="auto"/>
              <w:rPr>
                <w:sz w:val="20"/>
                <w:szCs w:val="20"/>
              </w:rPr>
            </w:pPr>
            <w:r>
              <w:rPr>
                <w:sz w:val="20"/>
                <w:szCs w:val="20"/>
              </w:rPr>
              <w:t>0</w:t>
            </w:r>
          </w:p>
        </w:tc>
        <w:tc>
          <w:tcPr>
            <w:tcW w:w="1269" w:type="dxa"/>
            <w:vAlign w:val="top"/>
          </w:tcPr>
          <w:p>
            <w:pPr>
              <w:rPr>
                <w:rFonts w:ascii="Arial"/>
                <w:sz w:val="21"/>
              </w:rPr>
            </w:pPr>
            <w:r/>
          </w:p>
        </w:tc>
        <w:tc>
          <w:tcPr>
            <w:tcW w:w="1719" w:type="dxa"/>
            <w:vAlign w:val="top"/>
          </w:tcPr>
          <w:p>
            <w:pPr>
              <w:pStyle w:val="TableText"/>
              <w:ind w:left="704"/>
              <w:spacing w:before="247" w:line="183" w:lineRule="auto"/>
              <w:rPr>
                <w:sz w:val="20"/>
                <w:szCs w:val="20"/>
              </w:rPr>
            </w:pPr>
            <w:r>
              <w:rPr>
                <w:sz w:val="20"/>
                <w:szCs w:val="20"/>
                <w:spacing w:val="-3"/>
              </w:rPr>
              <w:t>0.5</w:t>
            </w:r>
          </w:p>
        </w:tc>
        <w:tc>
          <w:tcPr>
            <w:tcW w:w="1539" w:type="dxa"/>
            <w:vAlign w:val="top"/>
          </w:tcPr>
          <w:p>
            <w:pPr>
              <w:pStyle w:val="TableText"/>
              <w:ind w:left="614"/>
              <w:spacing w:before="247" w:line="183" w:lineRule="auto"/>
              <w:rPr>
                <w:sz w:val="20"/>
                <w:szCs w:val="20"/>
              </w:rPr>
            </w:pPr>
            <w:r>
              <w:rPr>
                <w:sz w:val="20"/>
                <w:szCs w:val="20"/>
                <w:spacing w:val="-3"/>
              </w:rPr>
              <w:t>0.2</w:t>
            </w:r>
          </w:p>
        </w:tc>
        <w:tc>
          <w:tcPr>
            <w:tcW w:w="1768" w:type="dxa"/>
            <w:vAlign w:val="top"/>
          </w:tcPr>
          <w:p>
            <w:pPr>
              <w:pStyle w:val="TableText"/>
              <w:ind w:left="826"/>
              <w:spacing w:before="247" w:line="183" w:lineRule="auto"/>
              <w:rPr>
                <w:sz w:val="20"/>
                <w:szCs w:val="20"/>
              </w:rPr>
            </w:pPr>
            <w:r>
              <w:rPr>
                <w:sz w:val="20"/>
                <w:szCs w:val="20"/>
              </w:rPr>
              <w:t>0</w:t>
            </w:r>
          </w:p>
        </w:tc>
        <w:tc>
          <w:tcPr>
            <w:tcW w:w="1499" w:type="dxa"/>
            <w:vAlign w:val="top"/>
          </w:tcPr>
          <w:p>
            <w:pPr>
              <w:pStyle w:val="TableText"/>
              <w:ind w:left="598"/>
              <w:spacing w:before="247" w:line="183" w:lineRule="auto"/>
              <w:rPr>
                <w:sz w:val="20"/>
                <w:szCs w:val="20"/>
              </w:rPr>
            </w:pPr>
            <w:r>
              <w:rPr>
                <w:sz w:val="20"/>
                <w:szCs w:val="20"/>
                <w:spacing w:val="-3"/>
              </w:rPr>
              <w:t>0.7</w:t>
            </w:r>
          </w:p>
        </w:tc>
        <w:tc>
          <w:tcPr>
            <w:tcW w:w="1294" w:type="dxa"/>
            <w:vAlign w:val="top"/>
          </w:tcPr>
          <w:p>
            <w:pPr>
              <w:pStyle w:val="TableText"/>
              <w:ind w:left="438"/>
              <w:spacing w:before="247" w:line="183" w:lineRule="auto"/>
              <w:rPr>
                <w:sz w:val="20"/>
                <w:szCs w:val="20"/>
              </w:rPr>
            </w:pPr>
            <w:r>
              <w:rPr>
                <w:sz w:val="20"/>
                <w:szCs w:val="20"/>
                <w:spacing w:val="-2"/>
              </w:rPr>
              <w:t>+0.7</w:t>
            </w:r>
          </w:p>
        </w:tc>
      </w:tr>
      <w:tr>
        <w:trPr>
          <w:trHeight w:val="514" w:hRule="atLeast"/>
        </w:trPr>
        <w:tc>
          <w:tcPr>
            <w:tcW w:w="1574" w:type="dxa"/>
            <w:vAlign w:val="top"/>
            <w:vMerge w:val="continue"/>
            <w:tcBorders>
              <w:top w:val="nil"/>
            </w:tcBorders>
          </w:tcPr>
          <w:p>
            <w:pPr>
              <w:rPr>
                <w:rFonts w:ascii="Arial"/>
                <w:sz w:val="21"/>
              </w:rPr>
            </w:pPr>
            <w:r/>
          </w:p>
        </w:tc>
        <w:tc>
          <w:tcPr>
            <w:tcW w:w="1409" w:type="dxa"/>
            <w:vAlign w:val="top"/>
          </w:tcPr>
          <w:p>
            <w:pPr>
              <w:pStyle w:val="TableText"/>
              <w:ind w:left="391"/>
              <w:spacing w:before="167" w:line="220" w:lineRule="auto"/>
              <w:rPr>
                <w:sz w:val="20"/>
                <w:szCs w:val="20"/>
              </w:rPr>
            </w:pPr>
            <w:r>
              <w:rPr>
                <w:sz w:val="20"/>
                <w:szCs w:val="20"/>
                <w:spacing w:val="-2"/>
              </w:rPr>
              <w:t>废沸石</w:t>
            </w:r>
          </w:p>
        </w:tc>
        <w:tc>
          <w:tcPr>
            <w:tcW w:w="1699" w:type="dxa"/>
            <w:vAlign w:val="top"/>
          </w:tcPr>
          <w:p>
            <w:pPr>
              <w:pStyle w:val="TableText"/>
              <w:ind w:left="292"/>
              <w:spacing w:before="167" w:line="219" w:lineRule="auto"/>
              <w:rPr>
                <w:sz w:val="20"/>
                <w:szCs w:val="20"/>
              </w:rPr>
            </w:pPr>
            <w:r>
              <w:rPr>
                <w:sz w:val="20"/>
                <w:szCs w:val="20"/>
                <w:spacing w:val="-1"/>
              </w:rPr>
              <w:t>0.96/8~10年</w:t>
            </w:r>
          </w:p>
        </w:tc>
        <w:tc>
          <w:tcPr>
            <w:tcW w:w="1269" w:type="dxa"/>
            <w:vAlign w:val="top"/>
          </w:tcPr>
          <w:p>
            <w:pPr>
              <w:rPr>
                <w:rFonts w:ascii="Arial"/>
                <w:sz w:val="21"/>
              </w:rPr>
            </w:pPr>
            <w:r/>
          </w:p>
        </w:tc>
        <w:tc>
          <w:tcPr>
            <w:tcW w:w="1719" w:type="dxa"/>
            <w:vAlign w:val="top"/>
          </w:tcPr>
          <w:p>
            <w:pPr>
              <w:pStyle w:val="TableText"/>
              <w:ind w:left="304"/>
              <w:spacing w:before="167" w:line="219" w:lineRule="auto"/>
              <w:rPr>
                <w:sz w:val="20"/>
                <w:szCs w:val="20"/>
              </w:rPr>
            </w:pPr>
            <w:r>
              <w:rPr>
                <w:sz w:val="20"/>
                <w:szCs w:val="20"/>
                <w:spacing w:val="-1"/>
              </w:rPr>
              <w:t>0.96/8~10年</w:t>
            </w:r>
          </w:p>
        </w:tc>
        <w:tc>
          <w:tcPr>
            <w:tcW w:w="1539" w:type="dxa"/>
            <w:vAlign w:val="top"/>
          </w:tcPr>
          <w:p>
            <w:pPr>
              <w:pStyle w:val="TableText"/>
              <w:ind w:left="215"/>
              <w:spacing w:before="167" w:line="219" w:lineRule="auto"/>
              <w:rPr>
                <w:sz w:val="20"/>
                <w:szCs w:val="20"/>
              </w:rPr>
            </w:pPr>
            <w:r>
              <w:rPr>
                <w:sz w:val="20"/>
                <w:szCs w:val="20"/>
                <w:spacing w:val="-1"/>
              </w:rPr>
              <w:t>0.48/8~10年</w:t>
            </w:r>
          </w:p>
        </w:tc>
        <w:tc>
          <w:tcPr>
            <w:tcW w:w="1768" w:type="dxa"/>
            <w:vAlign w:val="top"/>
          </w:tcPr>
          <w:p>
            <w:pPr>
              <w:pStyle w:val="TableText"/>
              <w:ind w:left="826"/>
              <w:spacing w:before="218" w:line="183" w:lineRule="auto"/>
              <w:rPr>
                <w:sz w:val="20"/>
                <w:szCs w:val="20"/>
              </w:rPr>
            </w:pPr>
            <w:r>
              <w:rPr>
                <w:sz w:val="20"/>
                <w:szCs w:val="20"/>
              </w:rPr>
              <w:t>0</w:t>
            </w:r>
          </w:p>
        </w:tc>
        <w:tc>
          <w:tcPr>
            <w:tcW w:w="1499" w:type="dxa"/>
            <w:vAlign w:val="top"/>
          </w:tcPr>
          <w:p>
            <w:pPr>
              <w:pStyle w:val="TableText"/>
              <w:ind w:left="248"/>
              <w:spacing w:before="167" w:line="219" w:lineRule="auto"/>
              <w:rPr>
                <w:sz w:val="20"/>
                <w:szCs w:val="20"/>
              </w:rPr>
            </w:pPr>
            <w:r>
              <w:rPr>
                <w:sz w:val="20"/>
                <w:szCs w:val="20"/>
                <w:spacing w:val="-2"/>
              </w:rPr>
              <w:t>2.4/8~10年</w:t>
            </w:r>
          </w:p>
        </w:tc>
        <w:tc>
          <w:tcPr>
            <w:tcW w:w="1294" w:type="dxa"/>
            <w:vAlign w:val="top"/>
          </w:tcPr>
          <w:p>
            <w:pPr>
              <w:pStyle w:val="TableText"/>
              <w:ind w:left="538" w:right="153" w:hanging="399"/>
              <w:spacing w:before="72" w:line="199" w:lineRule="auto"/>
              <w:rPr>
                <w:sz w:val="20"/>
                <w:szCs w:val="20"/>
              </w:rPr>
            </w:pPr>
            <w:r>
              <w:rPr>
                <w:sz w:val="20"/>
                <w:szCs w:val="20"/>
                <w:spacing w:val="-1"/>
              </w:rPr>
              <w:t>+0.48/8~10</w:t>
            </w:r>
            <w:r>
              <w:rPr>
                <w:sz w:val="20"/>
                <w:szCs w:val="20"/>
              </w:rPr>
              <w:t xml:space="preserve"> </w:t>
            </w:r>
            <w:r>
              <w:rPr>
                <w:sz w:val="20"/>
                <w:szCs w:val="20"/>
              </w:rPr>
              <w:t>年</w:t>
            </w:r>
          </w:p>
        </w:tc>
      </w:tr>
    </w:tbl>
    <w:p>
      <w:pPr>
        <w:pStyle w:val="BodyText"/>
        <w:ind w:left="25"/>
        <w:spacing w:before="239" w:line="215" w:lineRule="auto"/>
        <w:rPr>
          <w:sz w:val="20"/>
          <w:szCs w:val="20"/>
        </w:rPr>
      </w:pPr>
      <w:r>
        <w:rPr>
          <w:sz w:val="20"/>
          <w:szCs w:val="20"/>
          <w:spacing w:val="1"/>
        </w:rPr>
        <w:t>注：</w:t>
      </w:r>
      <w:r>
        <w:rPr>
          <w:sz w:val="20"/>
          <w:szCs w:val="20"/>
          <w:spacing w:val="3"/>
        </w:rPr>
        <w:t xml:space="preserve">                           </w:t>
      </w:r>
      <w:r>
        <w:rPr>
          <w:sz w:val="20"/>
          <w:szCs w:val="20"/>
          <w:spacing w:val="1"/>
        </w:rPr>
        <w:t>单位为</w:t>
      </w:r>
      <w:r>
        <w:rPr>
          <w:rFonts w:ascii="Times New Roman" w:hAnsi="Times New Roman" w:eastAsia="Times New Roman" w:cs="Times New Roman"/>
          <w:sz w:val="20"/>
          <w:szCs w:val="20"/>
        </w:rPr>
        <w:t>ta</w:t>
      </w:r>
      <w:r>
        <w:rPr>
          <w:rFonts w:ascii="Times New Roman" w:hAnsi="Times New Roman" w:eastAsia="Times New Roman" w:cs="Times New Roman"/>
          <w:sz w:val="20"/>
          <w:szCs w:val="20"/>
          <w:spacing w:val="1"/>
        </w:rPr>
        <w:t>;*    </w:t>
      </w:r>
      <w:r>
        <w:rPr>
          <w:sz w:val="20"/>
          <w:szCs w:val="20"/>
          <w:spacing w:val="1"/>
        </w:rPr>
        <w:t>现有工程许可排放</w:t>
      </w:r>
      <w:r>
        <w:rPr>
          <w:sz w:val="20"/>
          <w:szCs w:val="20"/>
        </w:rPr>
        <w:t>量为已购买或调剂的总量。</w:t>
      </w:r>
    </w:p>
    <w:p>
      <w:pPr>
        <w:spacing w:line="215" w:lineRule="auto"/>
        <w:sectPr>
          <w:footerReference w:type="default" r:id="rId161"/>
          <w:pgSz w:w="16840" w:h="11900"/>
          <w:pgMar w:top="1011" w:right="1564" w:bottom="978" w:left="1494" w:header="0" w:footer="839" w:gutter="0"/>
        </w:sectPr>
        <w:rPr>
          <w:sz w:val="20"/>
          <w:szCs w:val="20"/>
        </w:rPr>
      </w:pP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BodyText"/>
        <w:ind w:left="800"/>
        <w:spacing w:before="114" w:line="932" w:lineRule="exact"/>
        <w:rPr>
          <w:sz w:val="35"/>
          <w:szCs w:val="35"/>
        </w:rPr>
      </w:pPr>
      <w:r>
        <w:rPr>
          <w:sz w:val="35"/>
          <w:szCs w:val="35"/>
          <w:b/>
          <w:bCs/>
          <w:spacing w:val="7"/>
          <w:position w:val="45"/>
        </w:rPr>
        <w:t>时代一汽二期年产20</w:t>
      </w:r>
      <w:r>
        <w:rPr>
          <w:rFonts w:ascii="Times New Roman" w:hAnsi="Times New Roman" w:eastAsia="Times New Roman" w:cs="Times New Roman"/>
          <w:sz w:val="35"/>
          <w:szCs w:val="35"/>
          <w:b/>
          <w:bCs/>
          <w:position w:val="45"/>
        </w:rPr>
        <w:t>gwh</w:t>
      </w:r>
      <w:r>
        <w:rPr>
          <w:rFonts w:ascii="Times New Roman" w:hAnsi="Times New Roman" w:eastAsia="Times New Roman" w:cs="Times New Roman"/>
          <w:sz w:val="35"/>
          <w:szCs w:val="35"/>
          <w:b/>
          <w:bCs/>
          <w:spacing w:val="53"/>
          <w:position w:val="45"/>
        </w:rPr>
        <w:t xml:space="preserve"> </w:t>
      </w:r>
      <w:r>
        <w:rPr>
          <w:sz w:val="35"/>
          <w:szCs w:val="35"/>
          <w:b/>
          <w:bCs/>
          <w:spacing w:val="7"/>
          <w:position w:val="45"/>
        </w:rPr>
        <w:t>动力电池扩建项目</w:t>
      </w:r>
    </w:p>
    <w:p>
      <w:pPr>
        <w:pStyle w:val="BodyText"/>
        <w:ind w:left="709"/>
        <w:spacing w:before="1" w:line="217" w:lineRule="auto"/>
        <w:rPr>
          <w:sz w:val="35"/>
          <w:szCs w:val="35"/>
        </w:rPr>
      </w:pPr>
      <w:r>
        <w:rPr>
          <w:sz w:val="35"/>
          <w:szCs w:val="35"/>
          <w:b/>
          <w:bCs/>
          <w:spacing w:val="-1"/>
        </w:rPr>
        <w:t>--凹版厂房及附属配套工程环境风险专项评价</w:t>
      </w:r>
    </w:p>
    <w:p>
      <w:pPr>
        <w:spacing w:line="217" w:lineRule="auto"/>
        <w:sectPr>
          <w:footerReference w:type="default" r:id="rId162"/>
          <w:pgSz w:w="11900" w:h="16840"/>
          <w:pgMar w:top="1431" w:right="1785" w:bottom="400" w:left="1785" w:header="0" w:footer="0" w:gutter="0"/>
        </w:sectPr>
        <w:rPr>
          <w:sz w:val="35"/>
          <w:szCs w:val="35"/>
        </w:rPr>
      </w:pPr>
    </w:p>
    <w:sdt>
      <w:sdtPr>
        <w:rPr>
          <w:rFonts w:ascii="SimSun" w:hAnsi="SimSun" w:eastAsia="SimSun" w:cs="SimSun"/>
          <w:sz w:val="29"/>
          <w:szCs w:val="29"/>
        </w:rPr>
        <w:docPartObj>
          <w:docPartGallery w:val="Table of Contents"/>
          <w:docPartUnique/>
        </w:docPartObj>
      </w:sdtPr>
      <w:sdtEndPr>
        <w:rPr>
          <w:rFonts w:ascii="Times New Roman" w:hAnsi="Times New Roman" w:eastAsia="Times New Roman" w:cs="Times New Roman"/>
          <w:sz w:val="22"/>
          <w:szCs w:val="22"/>
        </w:rPr>
      </w:sdtEndPr>
      <w:sdtContent>
        <w:p>
          <w:pPr>
            <w:pStyle w:val="BodyText"/>
            <w:ind w:left="3934"/>
            <w:spacing w:before="180" w:line="221" w:lineRule="auto"/>
            <w:rPr>
              <w:sz w:val="29"/>
              <w:szCs w:val="29"/>
            </w:rPr>
          </w:pPr>
          <w:r>
            <w:rPr>
              <w:sz w:val="29"/>
              <w:szCs w:val="29"/>
              <w:b/>
              <w:bCs/>
              <w:spacing w:val="-37"/>
            </w:rPr>
            <w:t>目</w:t>
          </w:r>
          <w:r>
            <w:rPr>
              <w:sz w:val="29"/>
              <w:szCs w:val="29"/>
              <w:spacing w:val="62"/>
            </w:rPr>
            <w:t xml:space="preserve">  </w:t>
          </w:r>
          <w:r>
            <w:rPr>
              <w:sz w:val="29"/>
              <w:szCs w:val="29"/>
              <w:b/>
              <w:bCs/>
              <w:spacing w:val="-37"/>
            </w:rPr>
            <w:t>录</w:t>
          </w:r>
        </w:p>
        <w:p>
          <w:pPr>
            <w:spacing w:line="244" w:lineRule="auto"/>
            <w:rPr>
              <w:rFonts w:ascii="Arial"/>
              <w:sz w:val="21"/>
            </w:rPr>
          </w:pPr>
          <w:r/>
        </w:p>
        <w:p>
          <w:pPr>
            <w:pStyle w:val="BodyText"/>
            <w:spacing w:before="72" w:line="220" w:lineRule="auto"/>
            <w:tabs>
              <w:tab w:val="right" w:leader="dot" w:pos="8655"/>
            </w:tabs>
            <w:rPr>
              <w:rFonts w:ascii="Times New Roman" w:hAnsi="Times New Roman" w:eastAsia="Times New Roman" w:cs="Times New Roman"/>
              <w:sz w:val="22"/>
              <w:szCs w:val="22"/>
            </w:rPr>
          </w:pPr>
          <w:r>
            <w:rPr>
              <w:rFonts w:ascii="Times New Roman" w:hAnsi="Times New Roman" w:eastAsia="Times New Roman" w:cs="Times New Roman"/>
              <w:sz w:val="22"/>
              <w:szCs w:val="22"/>
              <w:b/>
              <w:bCs/>
              <w:spacing w:val="1"/>
            </w:rPr>
            <w:t>1.</w:t>
          </w:r>
          <w:r>
            <w:rPr>
              <w:sz w:val="22"/>
              <w:szCs w:val="22"/>
              <w:b/>
              <w:bCs/>
              <w:spacing w:val="1"/>
            </w:rPr>
            <w:t>总则</w:t>
          </w:r>
          <w:r>
            <w:rPr>
              <w:sz w:val="22"/>
              <w:szCs w:val="22"/>
              <w:spacing w:val="-95"/>
            </w:rPr>
            <w:t xml:space="preserve"> </w:t>
          </w:r>
          <w:r>
            <w:rPr>
              <w:sz w:val="22"/>
              <w:szCs w:val="22"/>
            </w:rPr>
            <w:tab/>
          </w:r>
          <w:r>
            <w:rPr>
              <w:sz w:val="22"/>
              <w:szCs w:val="22"/>
              <w:spacing w:val="-82"/>
            </w:rPr>
            <w:t xml:space="preserve"> </w:t>
          </w:r>
          <w:hyperlink w:history="true" w:anchor="bookmark1">
            <w:r>
              <w:rPr>
                <w:rFonts w:ascii="Times New Roman" w:hAnsi="Times New Roman" w:eastAsia="Times New Roman" w:cs="Times New Roman"/>
                <w:sz w:val="22"/>
                <w:szCs w:val="22"/>
                <w:b/>
                <w:bCs/>
              </w:rPr>
              <w:t>1</w:t>
            </w:r>
          </w:hyperlink>
        </w:p>
        <w:p>
          <w:pPr>
            <w:pStyle w:val="BodyText"/>
            <w:ind w:left="409"/>
            <w:spacing w:before="217" w:line="219" w:lineRule="auto"/>
            <w:tabs>
              <w:tab w:val="right" w:leader="dot" w:pos="8675"/>
            </w:tabs>
            <w:rPr>
              <w:rFonts w:ascii="Times New Roman" w:hAnsi="Times New Roman" w:eastAsia="Times New Roman" w:cs="Times New Roman"/>
              <w:sz w:val="22"/>
              <w:szCs w:val="22"/>
            </w:rPr>
          </w:pPr>
          <w:r>
            <w:rPr>
              <w:rFonts w:ascii="Times New Roman" w:hAnsi="Times New Roman" w:eastAsia="Times New Roman" w:cs="Times New Roman"/>
              <w:sz w:val="22"/>
              <w:szCs w:val="22"/>
              <w:b/>
              <w:bCs/>
            </w:rPr>
            <w:t>1.1 </w:t>
          </w:r>
          <w:r>
            <w:rPr>
              <w:sz w:val="22"/>
              <w:szCs w:val="22"/>
              <w:b/>
              <w:bCs/>
            </w:rPr>
            <w:t>项目由来</w:t>
          </w:r>
          <w:r>
            <w:rPr>
              <w:sz w:val="22"/>
              <w:szCs w:val="22"/>
              <w:spacing w:val="-81"/>
            </w:rPr>
            <w:t xml:space="preserve"> </w:t>
          </w:r>
          <w:r>
            <w:rPr>
              <w:sz w:val="22"/>
              <w:szCs w:val="22"/>
            </w:rPr>
            <w:tab/>
          </w:r>
          <w:hyperlink w:history="true" w:anchor="bookmark2">
            <w:r>
              <w:rPr>
                <w:rFonts w:ascii="Times New Roman" w:hAnsi="Times New Roman" w:eastAsia="Times New Roman" w:cs="Times New Roman"/>
                <w:sz w:val="22"/>
                <w:szCs w:val="22"/>
                <w:b/>
                <w:bCs/>
              </w:rPr>
              <w:t>1</w:t>
            </w:r>
          </w:hyperlink>
        </w:p>
        <w:p>
          <w:pPr>
            <w:pStyle w:val="BodyText"/>
            <w:ind w:left="409"/>
            <w:spacing w:before="197" w:line="219" w:lineRule="auto"/>
            <w:tabs>
              <w:tab w:val="right" w:leader="dot" w:pos="8655"/>
            </w:tabs>
            <w:rPr>
              <w:rFonts w:ascii="Times New Roman" w:hAnsi="Times New Roman" w:eastAsia="Times New Roman" w:cs="Times New Roman"/>
              <w:sz w:val="22"/>
              <w:szCs w:val="22"/>
            </w:rPr>
          </w:pPr>
          <w:r>
            <w:rPr>
              <w:rFonts w:ascii="Times New Roman" w:hAnsi="Times New Roman" w:eastAsia="Times New Roman" w:cs="Times New Roman"/>
              <w:sz w:val="22"/>
              <w:szCs w:val="22"/>
              <w:b/>
              <w:bCs/>
            </w:rPr>
            <w:t>1.2 </w:t>
          </w:r>
          <w:r>
            <w:rPr>
              <w:sz w:val="22"/>
              <w:szCs w:val="22"/>
              <w:b/>
              <w:bCs/>
            </w:rPr>
            <w:t>编制依据</w:t>
          </w:r>
          <w:r>
            <w:rPr>
              <w:sz w:val="22"/>
              <w:szCs w:val="22"/>
              <w:spacing w:val="-90"/>
            </w:rPr>
            <w:t xml:space="preserve"> </w:t>
          </w:r>
          <w:r>
            <w:rPr>
              <w:sz w:val="22"/>
              <w:szCs w:val="22"/>
            </w:rPr>
            <w:tab/>
          </w:r>
          <w:hyperlink w:history="true" w:anchor="bookmark3">
            <w:r>
              <w:rPr>
                <w:rFonts w:ascii="Times New Roman" w:hAnsi="Times New Roman" w:eastAsia="Times New Roman" w:cs="Times New Roman"/>
                <w:sz w:val="22"/>
                <w:szCs w:val="22"/>
                <w:spacing w:val="7"/>
              </w:rPr>
              <w:t>2</w:t>
            </w:r>
          </w:hyperlink>
        </w:p>
        <w:p>
          <w:pPr>
            <w:pStyle w:val="BodyText"/>
            <w:ind w:left="409"/>
            <w:spacing w:before="218" w:line="218" w:lineRule="auto"/>
            <w:tabs>
              <w:tab w:val="right" w:leader="dot" w:pos="8665"/>
            </w:tabs>
            <w:rPr>
              <w:rFonts w:ascii="Times New Roman" w:hAnsi="Times New Roman" w:eastAsia="Times New Roman" w:cs="Times New Roman"/>
              <w:sz w:val="22"/>
              <w:szCs w:val="22"/>
            </w:rPr>
          </w:pPr>
          <w:r>
            <w:rPr>
              <w:rFonts w:ascii="Times New Roman" w:hAnsi="Times New Roman" w:eastAsia="Times New Roman" w:cs="Times New Roman"/>
              <w:sz w:val="22"/>
              <w:szCs w:val="22"/>
              <w:b/>
              <w:bCs/>
            </w:rPr>
            <w:t>1.3</w:t>
          </w:r>
          <w:r>
            <w:rPr>
              <w:rFonts w:ascii="Times New Roman" w:hAnsi="Times New Roman" w:eastAsia="Times New Roman" w:cs="Times New Roman"/>
              <w:sz w:val="22"/>
              <w:szCs w:val="22"/>
              <w:b/>
              <w:bCs/>
              <w:spacing w:val="27"/>
              <w:w w:val="101"/>
            </w:rPr>
            <w:t xml:space="preserve"> </w:t>
          </w:r>
          <w:r>
            <w:rPr>
              <w:sz w:val="22"/>
              <w:szCs w:val="22"/>
              <w:b/>
              <w:bCs/>
            </w:rPr>
            <w:t>环境风险评价的目的和重点</w:t>
          </w:r>
          <w:r>
            <w:rPr>
              <w:sz w:val="22"/>
              <w:szCs w:val="22"/>
              <w:spacing w:val="-97"/>
            </w:rPr>
            <w:t xml:space="preserve"> </w:t>
          </w:r>
          <w:r>
            <w:rPr>
              <w:sz w:val="22"/>
              <w:szCs w:val="22"/>
            </w:rPr>
            <w:tab/>
          </w:r>
          <w:r>
            <w:rPr>
              <w:sz w:val="22"/>
              <w:szCs w:val="22"/>
              <w:spacing w:val="-42"/>
            </w:rPr>
            <w:t xml:space="preserve"> </w:t>
          </w:r>
          <w:hyperlink w:history="true" w:anchor="bookmark4">
            <w:r>
              <w:rPr>
                <w:rFonts w:ascii="Times New Roman" w:hAnsi="Times New Roman" w:eastAsia="Times New Roman" w:cs="Times New Roman"/>
                <w:sz w:val="22"/>
                <w:szCs w:val="22"/>
                <w:b/>
                <w:bCs/>
              </w:rPr>
              <w:t>3</w:t>
            </w:r>
          </w:hyperlink>
        </w:p>
        <w:p>
          <w:pPr>
            <w:pStyle w:val="BodyText"/>
            <w:ind w:left="409"/>
            <w:spacing w:before="210" w:line="218" w:lineRule="auto"/>
            <w:tabs>
              <w:tab w:val="right" w:leader="dot" w:pos="8614"/>
            </w:tabs>
            <w:rPr>
              <w:rFonts w:ascii="Times New Roman" w:hAnsi="Times New Roman" w:eastAsia="Times New Roman" w:cs="Times New Roman"/>
              <w:sz w:val="22"/>
              <w:szCs w:val="22"/>
            </w:rPr>
          </w:pPr>
          <w:r>
            <w:rPr>
              <w:rFonts w:ascii="Times New Roman" w:hAnsi="Times New Roman" w:eastAsia="Times New Roman" w:cs="Times New Roman"/>
              <w:sz w:val="22"/>
              <w:szCs w:val="22"/>
              <w:b/>
              <w:bCs/>
            </w:rPr>
            <w:t>1.4</w:t>
          </w:r>
          <w:r>
            <w:rPr>
              <w:rFonts w:ascii="Times New Roman" w:hAnsi="Times New Roman" w:eastAsia="Times New Roman" w:cs="Times New Roman"/>
              <w:sz w:val="22"/>
              <w:szCs w:val="22"/>
              <w:b/>
              <w:bCs/>
              <w:spacing w:val="29"/>
            </w:rPr>
            <w:t xml:space="preserve"> </w:t>
          </w:r>
          <w:r>
            <w:rPr>
              <w:sz w:val="22"/>
              <w:szCs w:val="22"/>
              <w:b/>
              <w:bCs/>
            </w:rPr>
            <w:t>环境风险评价技术路线图</w:t>
          </w:r>
          <w:r>
            <w:rPr>
              <w:sz w:val="22"/>
              <w:szCs w:val="22"/>
              <w:spacing w:val="-96"/>
            </w:rPr>
            <w:t xml:space="preserve"> </w:t>
          </w:r>
          <w:r>
            <w:rPr>
              <w:sz w:val="22"/>
              <w:szCs w:val="22"/>
            </w:rPr>
            <w:tab/>
          </w:r>
          <w:hyperlink w:history="true" w:anchor="bookmark5">
            <w:r>
              <w:rPr>
                <w:rFonts w:ascii="Times New Roman" w:hAnsi="Times New Roman" w:eastAsia="Times New Roman" w:cs="Times New Roman"/>
                <w:sz w:val="22"/>
                <w:szCs w:val="22"/>
                <w:b/>
                <w:bCs/>
                <w:spacing w:val="13"/>
              </w:rPr>
              <w:t>4</w:t>
            </w:r>
          </w:hyperlink>
        </w:p>
        <w:p>
          <w:pPr>
            <w:pStyle w:val="BodyText"/>
            <w:spacing w:before="215" w:line="220" w:lineRule="auto"/>
            <w:tabs>
              <w:tab w:val="right" w:leader="dot" w:pos="8695"/>
            </w:tabs>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w:t>
          </w:r>
          <w:r>
            <w:rPr>
              <w:rFonts w:ascii="Times New Roman" w:hAnsi="Times New Roman" w:eastAsia="Times New Roman" w:cs="Times New Roman"/>
              <w:sz w:val="22"/>
              <w:szCs w:val="22"/>
              <w:spacing w:val="-12"/>
            </w:rPr>
            <w:t xml:space="preserve"> </w:t>
          </w:r>
          <w:r>
            <w:rPr>
              <w:sz w:val="22"/>
              <w:szCs w:val="22"/>
              <w:spacing w:val="2"/>
            </w:rPr>
            <w:t>风险调查</w:t>
          </w:r>
          <w:r>
            <w:rPr>
              <w:sz w:val="22"/>
              <w:szCs w:val="22"/>
            </w:rPr>
            <w:tab/>
          </w:r>
          <w:hyperlink w:history="true" w:anchor="bookmark6">
            <w:r>
              <w:rPr>
                <w:rFonts w:ascii="Times New Roman" w:hAnsi="Times New Roman" w:eastAsia="Times New Roman" w:cs="Times New Roman"/>
                <w:sz w:val="22"/>
                <w:szCs w:val="22"/>
                <w:spacing w:val="15"/>
              </w:rPr>
              <w:t>4</w:t>
            </w:r>
          </w:hyperlink>
        </w:p>
        <w:p>
          <w:pPr>
            <w:pStyle w:val="BodyText"/>
            <w:ind w:left="409"/>
            <w:spacing w:before="195" w:line="220" w:lineRule="auto"/>
            <w:tabs>
              <w:tab w:val="right" w:leader="dot" w:pos="8674"/>
            </w:tabs>
            <w:rPr>
              <w:rFonts w:ascii="Times New Roman" w:hAnsi="Times New Roman" w:eastAsia="Times New Roman" w:cs="Times New Roman"/>
              <w:sz w:val="22"/>
              <w:szCs w:val="22"/>
            </w:rPr>
          </w:pPr>
          <w:r>
            <w:rPr>
              <w:rFonts w:ascii="Times New Roman" w:hAnsi="Times New Roman" w:eastAsia="Times New Roman" w:cs="Times New Roman"/>
              <w:sz w:val="22"/>
              <w:szCs w:val="22"/>
              <w:b/>
              <w:bCs/>
              <w:spacing w:val="2"/>
            </w:rPr>
            <w:t>2.1 </w:t>
          </w:r>
          <w:r>
            <w:rPr>
              <w:sz w:val="22"/>
              <w:szCs w:val="22"/>
              <w:b/>
              <w:bCs/>
              <w:spacing w:val="2"/>
            </w:rPr>
            <w:t>风险源</w:t>
          </w:r>
          <w:r>
            <w:rPr>
              <w:sz w:val="22"/>
              <w:szCs w:val="22"/>
              <w:spacing w:val="-82"/>
            </w:rPr>
            <w:t xml:space="preserve"> </w:t>
          </w:r>
          <w:r>
            <w:rPr>
              <w:sz w:val="22"/>
              <w:szCs w:val="22"/>
            </w:rPr>
            <w:tab/>
          </w:r>
          <w:r>
            <w:rPr>
              <w:sz w:val="22"/>
              <w:szCs w:val="22"/>
              <w:spacing w:val="-12"/>
            </w:rPr>
            <w:t xml:space="preserve"> </w:t>
          </w:r>
          <w:hyperlink w:history="true" w:anchor="bookmark7">
            <w:r>
              <w:rPr>
                <w:rFonts w:ascii="Times New Roman" w:hAnsi="Times New Roman" w:eastAsia="Times New Roman" w:cs="Times New Roman"/>
                <w:sz w:val="22"/>
                <w:szCs w:val="22"/>
                <w:b/>
                <w:bCs/>
              </w:rPr>
              <w:t>4</w:t>
            </w:r>
          </w:hyperlink>
        </w:p>
        <w:p>
          <w:pPr>
            <w:pStyle w:val="BodyText"/>
            <w:ind w:left="409"/>
            <w:spacing w:before="198" w:line="219" w:lineRule="auto"/>
            <w:tabs>
              <w:tab w:val="right" w:leader="dot" w:pos="8672"/>
            </w:tabs>
            <w:rPr>
              <w:rFonts w:ascii="Times New Roman" w:hAnsi="Times New Roman" w:eastAsia="Times New Roman" w:cs="Times New Roman"/>
              <w:sz w:val="22"/>
              <w:szCs w:val="22"/>
            </w:rPr>
          </w:pPr>
          <w:r>
            <w:rPr>
              <w:rFonts w:ascii="Times New Roman" w:hAnsi="Times New Roman" w:eastAsia="Times New Roman" w:cs="Times New Roman"/>
              <w:sz w:val="22"/>
              <w:szCs w:val="22"/>
              <w:b/>
              <w:bCs/>
              <w:spacing w:val="2"/>
            </w:rPr>
            <w:t>2.2 </w:t>
          </w:r>
          <w:r>
            <w:rPr>
              <w:sz w:val="22"/>
              <w:szCs w:val="22"/>
              <w:b/>
              <w:bCs/>
              <w:spacing w:val="2"/>
            </w:rPr>
            <w:t>环境敏感目标</w:t>
          </w:r>
          <w:r>
            <w:rPr>
              <w:sz w:val="22"/>
              <w:szCs w:val="22"/>
              <w:spacing w:val="-85"/>
            </w:rPr>
            <w:t xml:space="preserve"> </w:t>
          </w:r>
          <w:r>
            <w:rPr>
              <w:sz w:val="22"/>
              <w:szCs w:val="22"/>
            </w:rPr>
            <w:tab/>
          </w:r>
          <w:r>
            <w:rPr>
              <w:sz w:val="22"/>
              <w:szCs w:val="22"/>
              <w:spacing w:val="-22"/>
            </w:rPr>
            <w:t xml:space="preserve"> </w:t>
          </w:r>
          <w:hyperlink w:history="true" w:anchor="bookmark8">
            <w:r>
              <w:rPr>
                <w:rFonts w:ascii="Times New Roman" w:hAnsi="Times New Roman" w:eastAsia="Times New Roman" w:cs="Times New Roman"/>
                <w:sz w:val="22"/>
                <w:szCs w:val="22"/>
                <w:b/>
                <w:bCs/>
              </w:rPr>
              <w:t>7</w:t>
            </w:r>
          </w:hyperlink>
        </w:p>
        <w:p>
          <w:pPr>
            <w:pStyle w:val="BodyText"/>
            <w:spacing w:before="209" w:line="219" w:lineRule="auto"/>
            <w:tabs>
              <w:tab w:val="right" w:leader="dot" w:pos="8665"/>
            </w:tabs>
            <w:rPr>
              <w:rFonts w:ascii="Times New Roman" w:hAnsi="Times New Roman" w:eastAsia="Times New Roman" w:cs="Times New Roman"/>
              <w:sz w:val="22"/>
              <w:szCs w:val="22"/>
            </w:rPr>
          </w:pPr>
          <w:r>
            <w:rPr>
              <w:rFonts w:ascii="Times New Roman" w:hAnsi="Times New Roman" w:eastAsia="Times New Roman" w:cs="Times New Roman"/>
              <w:sz w:val="22"/>
              <w:szCs w:val="22"/>
              <w:b/>
              <w:bCs/>
              <w:spacing w:val="11"/>
            </w:rPr>
            <w:t>3.</w:t>
          </w:r>
          <w:r>
            <w:rPr>
              <w:sz w:val="22"/>
              <w:szCs w:val="22"/>
              <w:b/>
              <w:bCs/>
              <w:spacing w:val="11"/>
            </w:rPr>
            <w:t>环境风险潜势初判</w:t>
          </w:r>
          <w:r>
            <w:rPr>
              <w:sz w:val="22"/>
              <w:szCs w:val="22"/>
              <w:spacing w:val="-85"/>
            </w:rPr>
            <w:t xml:space="preserve"> </w:t>
          </w:r>
          <w:r>
            <w:rPr>
              <w:sz w:val="22"/>
              <w:szCs w:val="22"/>
            </w:rPr>
            <w:tab/>
          </w:r>
          <w:hyperlink w:history="true" w:anchor="bookmark9">
            <w:r>
              <w:rPr>
                <w:rFonts w:ascii="Times New Roman" w:hAnsi="Times New Roman" w:eastAsia="Times New Roman" w:cs="Times New Roman"/>
                <w:sz w:val="22"/>
                <w:szCs w:val="22"/>
                <w:b/>
                <w:bCs/>
                <w:spacing w:val="2"/>
              </w:rPr>
              <w:t>10</w:t>
            </w:r>
          </w:hyperlink>
        </w:p>
        <w:p>
          <w:pPr>
            <w:pStyle w:val="BodyText"/>
            <w:spacing w:before="210" w:line="218" w:lineRule="auto"/>
            <w:tabs>
              <w:tab w:val="right" w:leader="dot" w:pos="8694"/>
            </w:tabs>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w:t>
          </w:r>
          <w:r>
            <w:rPr>
              <w:sz w:val="22"/>
              <w:szCs w:val="22"/>
              <w:spacing w:val="1"/>
            </w:rPr>
            <w:t>环境风险评价等级及评价范围</w:t>
          </w:r>
          <w:r>
            <w:rPr>
              <w:sz w:val="22"/>
              <w:szCs w:val="22"/>
              <w:spacing w:val="-92"/>
            </w:rPr>
            <w:t xml:space="preserve"> </w:t>
          </w:r>
          <w:r>
            <w:rPr>
              <w:sz w:val="22"/>
              <w:szCs w:val="22"/>
            </w:rPr>
            <w:tab/>
          </w:r>
          <w:hyperlink w:history="true" w:anchor="bookmark10">
            <w:r>
              <w:rPr>
                <w:rFonts w:ascii="Times New Roman" w:hAnsi="Times New Roman" w:eastAsia="Times New Roman" w:cs="Times New Roman"/>
                <w:sz w:val="22"/>
                <w:szCs w:val="22"/>
                <w:spacing w:val="-10"/>
              </w:rPr>
              <w:t>15</w:t>
            </w:r>
          </w:hyperlink>
        </w:p>
        <w:p>
          <w:pPr>
            <w:pStyle w:val="BodyText"/>
            <w:spacing w:before="213" w:line="220" w:lineRule="auto"/>
            <w:tabs>
              <w:tab w:val="right" w:leader="dot" w:pos="8604"/>
            </w:tabs>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5.</w:t>
          </w:r>
          <w:r>
            <w:rPr>
              <w:sz w:val="22"/>
              <w:szCs w:val="22"/>
              <w:spacing w:val="-1"/>
            </w:rPr>
            <w:t>风险识别</w:t>
          </w:r>
          <w:r>
            <w:rPr>
              <w:sz w:val="22"/>
              <w:szCs w:val="22"/>
              <w:spacing w:val="-81"/>
            </w:rPr>
            <w:t xml:space="preserve"> </w:t>
          </w:r>
          <w:r>
            <w:rPr>
              <w:sz w:val="22"/>
              <w:szCs w:val="22"/>
            </w:rPr>
            <w:tab/>
          </w:r>
          <w:hyperlink w:history="true" w:anchor="bookmark11">
            <w:r>
              <w:rPr>
                <w:rFonts w:ascii="Times New Roman" w:hAnsi="Times New Roman" w:eastAsia="Times New Roman" w:cs="Times New Roman"/>
                <w:sz w:val="22"/>
                <w:szCs w:val="22"/>
                <w:spacing w:val="-5"/>
              </w:rPr>
              <w:t>15</w:t>
            </w:r>
          </w:hyperlink>
        </w:p>
        <w:p>
          <w:pPr>
            <w:pStyle w:val="BodyText"/>
            <w:ind w:left="409"/>
            <w:spacing w:before="207" w:line="220" w:lineRule="auto"/>
            <w:tabs>
              <w:tab w:val="right" w:leader="dot" w:pos="8644"/>
            </w:tabs>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5.1 </w:t>
          </w:r>
          <w:r>
            <w:rPr>
              <w:sz w:val="22"/>
              <w:szCs w:val="22"/>
              <w:spacing w:val="2"/>
            </w:rPr>
            <w:t>物质风险识别</w:t>
          </w:r>
          <w:r>
            <w:rPr>
              <w:sz w:val="22"/>
              <w:szCs w:val="22"/>
              <w:spacing w:val="-91"/>
            </w:rPr>
            <w:t xml:space="preserve"> </w:t>
          </w:r>
          <w:r>
            <w:rPr>
              <w:sz w:val="22"/>
              <w:szCs w:val="22"/>
            </w:rPr>
            <w:tab/>
          </w:r>
          <w:hyperlink w:history="true" w:anchor="bookmark12">
            <w:r>
              <w:rPr>
                <w:rFonts w:ascii="Times New Roman" w:hAnsi="Times New Roman" w:eastAsia="Times New Roman" w:cs="Times New Roman"/>
                <w:sz w:val="22"/>
                <w:szCs w:val="22"/>
                <w:spacing w:val="-8"/>
              </w:rPr>
              <w:t>15</w:t>
            </w:r>
          </w:hyperlink>
        </w:p>
        <w:p>
          <w:pPr>
            <w:pStyle w:val="BodyText"/>
            <w:ind w:left="409"/>
            <w:spacing w:before="208" w:line="219" w:lineRule="auto"/>
            <w:tabs>
              <w:tab w:val="right" w:leader="dot" w:pos="8664"/>
            </w:tabs>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5.2</w:t>
          </w:r>
          <w:r>
            <w:rPr>
              <w:rFonts w:ascii="Times New Roman" w:hAnsi="Times New Roman" w:eastAsia="Times New Roman" w:cs="Times New Roman"/>
              <w:sz w:val="22"/>
              <w:szCs w:val="22"/>
              <w:spacing w:val="31"/>
            </w:rPr>
            <w:t xml:space="preserve"> </w:t>
          </w:r>
          <w:r>
            <w:rPr>
              <w:sz w:val="22"/>
              <w:szCs w:val="22"/>
              <w:spacing w:val="2"/>
            </w:rPr>
            <w:t>生产系统环境风险识别</w:t>
          </w:r>
          <w:r>
            <w:rPr>
              <w:sz w:val="22"/>
              <w:szCs w:val="22"/>
              <w:spacing w:val="-98"/>
            </w:rPr>
            <w:t xml:space="preserve"> </w:t>
          </w:r>
          <w:r>
            <w:rPr>
              <w:sz w:val="22"/>
              <w:szCs w:val="22"/>
            </w:rPr>
            <w:tab/>
          </w:r>
          <w:hyperlink w:history="true" w:anchor="bookmark13">
            <w:r>
              <w:rPr>
                <w:rFonts w:ascii="Times New Roman" w:hAnsi="Times New Roman" w:eastAsia="Times New Roman" w:cs="Times New Roman"/>
                <w:sz w:val="22"/>
                <w:szCs w:val="22"/>
                <w:spacing w:val="-5"/>
              </w:rPr>
              <w:t>16</w:t>
            </w:r>
          </w:hyperlink>
        </w:p>
        <w:p>
          <w:pPr>
            <w:pStyle w:val="BodyText"/>
            <w:ind w:left="409"/>
            <w:spacing w:before="209" w:line="219" w:lineRule="auto"/>
            <w:tabs>
              <w:tab w:val="right" w:leader="dot" w:pos="8664"/>
            </w:tabs>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5.3</w:t>
          </w:r>
          <w:r>
            <w:rPr>
              <w:rFonts w:ascii="Times New Roman" w:hAnsi="Times New Roman" w:eastAsia="Times New Roman" w:cs="Times New Roman"/>
              <w:sz w:val="22"/>
              <w:szCs w:val="22"/>
              <w:spacing w:val="30"/>
            </w:rPr>
            <w:t xml:space="preserve"> </w:t>
          </w:r>
          <w:r>
            <w:rPr>
              <w:sz w:val="22"/>
              <w:szCs w:val="22"/>
              <w:spacing w:val="2"/>
            </w:rPr>
            <w:t>环境风险类型及危害分析</w:t>
          </w:r>
          <w:r>
            <w:rPr>
              <w:sz w:val="22"/>
              <w:szCs w:val="22"/>
              <w:spacing w:val="-100"/>
            </w:rPr>
            <w:t xml:space="preserve"> </w:t>
          </w:r>
          <w:r>
            <w:rPr>
              <w:sz w:val="22"/>
              <w:szCs w:val="22"/>
            </w:rPr>
            <w:tab/>
          </w:r>
          <w:hyperlink w:history="true" w:anchor="bookmark14">
            <w:r>
              <w:rPr>
                <w:rFonts w:ascii="Times New Roman" w:hAnsi="Times New Roman" w:eastAsia="Times New Roman" w:cs="Times New Roman"/>
                <w:sz w:val="22"/>
                <w:szCs w:val="22"/>
                <w:spacing w:val="-5"/>
              </w:rPr>
              <w:t>16</w:t>
            </w:r>
          </w:hyperlink>
        </w:p>
        <w:p>
          <w:pPr>
            <w:pStyle w:val="BodyText"/>
            <w:ind w:left="409"/>
            <w:spacing w:before="209" w:line="220" w:lineRule="auto"/>
            <w:tabs>
              <w:tab w:val="right" w:leader="dot" w:pos="8664"/>
            </w:tabs>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5.4</w:t>
          </w:r>
          <w:r>
            <w:rPr>
              <w:rFonts w:ascii="Times New Roman" w:hAnsi="Times New Roman" w:eastAsia="Times New Roman" w:cs="Times New Roman"/>
              <w:sz w:val="22"/>
              <w:szCs w:val="22"/>
              <w:spacing w:val="29"/>
              <w:w w:val="101"/>
            </w:rPr>
            <w:t xml:space="preserve"> </w:t>
          </w:r>
          <w:r>
            <w:rPr>
              <w:sz w:val="22"/>
              <w:szCs w:val="22"/>
              <w:spacing w:val="2"/>
            </w:rPr>
            <w:t>环境风险识别结果</w:t>
          </w:r>
          <w:r>
            <w:rPr>
              <w:sz w:val="22"/>
              <w:szCs w:val="22"/>
              <w:spacing w:val="-93"/>
            </w:rPr>
            <w:t xml:space="preserve"> </w:t>
          </w:r>
          <w:r>
            <w:rPr>
              <w:sz w:val="22"/>
              <w:szCs w:val="22"/>
            </w:rPr>
            <w:tab/>
          </w:r>
          <w:hyperlink w:history="true" w:anchor="bookmark15">
            <w:r>
              <w:rPr>
                <w:rFonts w:ascii="Times New Roman" w:hAnsi="Times New Roman" w:eastAsia="Times New Roman" w:cs="Times New Roman"/>
                <w:sz w:val="22"/>
                <w:szCs w:val="22"/>
                <w:spacing w:val="-5"/>
              </w:rPr>
              <w:t>17</w:t>
            </w:r>
          </w:hyperlink>
        </w:p>
        <w:p>
          <w:pPr>
            <w:pStyle w:val="BodyText"/>
            <w:spacing w:before="198" w:line="220" w:lineRule="auto"/>
            <w:tabs>
              <w:tab w:val="right" w:leader="dot" w:pos="8644"/>
            </w:tabs>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6.</w:t>
          </w:r>
          <w:r>
            <w:rPr>
              <w:sz w:val="22"/>
              <w:szCs w:val="22"/>
              <w:spacing w:val="1"/>
            </w:rPr>
            <w:t>风险事故情形分析</w:t>
          </w:r>
          <w:r>
            <w:rPr>
              <w:sz w:val="22"/>
              <w:szCs w:val="22"/>
              <w:spacing w:val="-87"/>
            </w:rPr>
            <w:t xml:space="preserve"> </w:t>
          </w:r>
          <w:r>
            <w:rPr>
              <w:sz w:val="22"/>
              <w:szCs w:val="22"/>
            </w:rPr>
            <w:tab/>
          </w:r>
          <w:hyperlink w:history="true" w:anchor="bookmark16">
            <w:r>
              <w:rPr>
                <w:rFonts w:ascii="Times New Roman" w:hAnsi="Times New Roman" w:eastAsia="Times New Roman" w:cs="Times New Roman"/>
                <w:sz w:val="22"/>
                <w:szCs w:val="22"/>
                <w:spacing w:val="-5"/>
              </w:rPr>
              <w:t>18</w:t>
            </w:r>
          </w:hyperlink>
        </w:p>
        <w:p>
          <w:pPr>
            <w:pStyle w:val="BodyText"/>
            <w:ind w:left="409"/>
            <w:spacing w:before="218" w:line="220" w:lineRule="auto"/>
            <w:tabs>
              <w:tab w:val="right" w:leader="dot" w:pos="8664"/>
            </w:tabs>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6.1 </w:t>
          </w:r>
          <w:r>
            <w:rPr>
              <w:sz w:val="22"/>
              <w:szCs w:val="22"/>
              <w:spacing w:val="4"/>
            </w:rPr>
            <w:t>风险事故情形设定</w:t>
          </w:r>
          <w:r>
            <w:rPr>
              <w:sz w:val="22"/>
              <w:szCs w:val="22"/>
              <w:spacing w:val="-90"/>
            </w:rPr>
            <w:t xml:space="preserve"> </w:t>
          </w:r>
          <w:r>
            <w:rPr>
              <w:sz w:val="22"/>
              <w:szCs w:val="22"/>
            </w:rPr>
            <w:tab/>
          </w:r>
          <w:hyperlink w:history="true" w:anchor="bookmark17">
            <w:r>
              <w:rPr>
                <w:rFonts w:ascii="Times New Roman" w:hAnsi="Times New Roman" w:eastAsia="Times New Roman" w:cs="Times New Roman"/>
                <w:sz w:val="22"/>
                <w:szCs w:val="22"/>
                <w:spacing w:val="-5"/>
              </w:rPr>
              <w:t>18</w:t>
            </w:r>
          </w:hyperlink>
        </w:p>
        <w:p>
          <w:pPr>
            <w:pStyle w:val="BodyText"/>
            <w:ind w:left="409"/>
            <w:spacing w:before="195" w:line="220" w:lineRule="auto"/>
            <w:tabs>
              <w:tab w:val="right" w:leader="dot" w:pos="8675"/>
            </w:tabs>
            <w:rPr>
              <w:rFonts w:ascii="Times New Roman" w:hAnsi="Times New Roman" w:eastAsia="Times New Roman" w:cs="Times New Roman"/>
              <w:sz w:val="22"/>
              <w:szCs w:val="22"/>
            </w:rPr>
          </w:pPr>
          <w:r>
            <w:rPr>
              <w:rFonts w:ascii="Times New Roman" w:hAnsi="Times New Roman" w:eastAsia="Times New Roman" w:cs="Times New Roman"/>
              <w:sz w:val="22"/>
              <w:szCs w:val="22"/>
              <w:b/>
              <w:bCs/>
            </w:rPr>
            <w:t>6.2 </w:t>
          </w:r>
          <w:r>
            <w:rPr>
              <w:sz w:val="22"/>
              <w:szCs w:val="22"/>
              <w:b/>
              <w:bCs/>
            </w:rPr>
            <w:t>源项分析</w:t>
          </w:r>
          <w:r>
            <w:rPr>
              <w:sz w:val="22"/>
              <w:szCs w:val="22"/>
              <w:spacing w:val="-81"/>
            </w:rPr>
            <w:t xml:space="preserve"> </w:t>
          </w:r>
          <w:r>
            <w:rPr>
              <w:sz w:val="22"/>
              <w:szCs w:val="22"/>
            </w:rPr>
            <w:tab/>
          </w:r>
          <w:hyperlink w:history="true" w:anchor="bookmark18">
            <w:r>
              <w:rPr>
                <w:rFonts w:ascii="Times New Roman" w:hAnsi="Times New Roman" w:eastAsia="Times New Roman" w:cs="Times New Roman"/>
                <w:sz w:val="22"/>
                <w:szCs w:val="22"/>
                <w:b/>
                <w:bCs/>
                <w:spacing w:val="-2"/>
              </w:rPr>
              <w:t>18</w:t>
            </w:r>
          </w:hyperlink>
        </w:p>
        <w:p>
          <w:pPr>
            <w:pStyle w:val="BodyText"/>
            <w:spacing w:before="205" w:line="218" w:lineRule="auto"/>
            <w:tabs>
              <w:tab w:val="right" w:leader="dot" w:pos="8684"/>
            </w:tabs>
            <w:rPr>
              <w:rFonts w:ascii="Times New Roman" w:hAnsi="Times New Roman" w:eastAsia="Times New Roman" w:cs="Times New Roman"/>
              <w:sz w:val="22"/>
              <w:szCs w:val="22"/>
            </w:rPr>
          </w:pPr>
          <w:r>
            <w:rPr>
              <w:rFonts w:ascii="Times New Roman" w:hAnsi="Times New Roman" w:eastAsia="Times New Roman" w:cs="Times New Roman"/>
              <w:sz w:val="22"/>
              <w:szCs w:val="22"/>
              <w:b/>
              <w:bCs/>
              <w:spacing w:val="1"/>
            </w:rPr>
            <w:t>7.</w:t>
          </w:r>
          <w:r>
            <w:rPr>
              <w:sz w:val="22"/>
              <w:szCs w:val="22"/>
              <w:b/>
              <w:bCs/>
              <w:spacing w:val="1"/>
            </w:rPr>
            <w:t>环境风险预测与评价</w:t>
          </w:r>
          <w:r>
            <w:rPr>
              <w:sz w:val="22"/>
              <w:szCs w:val="22"/>
              <w:spacing w:val="-78"/>
            </w:rPr>
            <w:t xml:space="preserve"> </w:t>
          </w:r>
          <w:r>
            <w:rPr>
              <w:sz w:val="22"/>
              <w:szCs w:val="22"/>
            </w:rPr>
            <w:tab/>
          </w:r>
          <w:hyperlink w:history="true" w:anchor="bookmark19">
            <w:r>
              <w:rPr>
                <w:rFonts w:ascii="Times New Roman" w:hAnsi="Times New Roman" w:eastAsia="Times New Roman" w:cs="Times New Roman"/>
                <w:sz w:val="22"/>
                <w:szCs w:val="22"/>
                <w:b/>
                <w:bCs/>
                <w:spacing w:val="3"/>
              </w:rPr>
              <w:t>23</w:t>
            </w:r>
          </w:hyperlink>
        </w:p>
        <w:p>
          <w:pPr>
            <w:pStyle w:val="BodyText"/>
            <w:ind w:left="409"/>
            <w:spacing w:before="203" w:line="220" w:lineRule="auto"/>
            <w:tabs>
              <w:tab w:val="right" w:leader="dot" w:pos="8674"/>
            </w:tabs>
            <w:rPr>
              <w:rFonts w:ascii="Times New Roman" w:hAnsi="Times New Roman" w:eastAsia="Times New Roman" w:cs="Times New Roman"/>
              <w:sz w:val="22"/>
              <w:szCs w:val="22"/>
            </w:rPr>
          </w:pPr>
          <w:r>
            <w:rPr>
              <w:rFonts w:ascii="Times New Roman" w:hAnsi="Times New Roman" w:eastAsia="Times New Roman" w:cs="Times New Roman"/>
              <w:sz w:val="22"/>
              <w:szCs w:val="22"/>
              <w:b/>
              <w:bCs/>
            </w:rPr>
            <w:t>7.1 </w:t>
          </w:r>
          <w:r>
            <w:rPr>
              <w:sz w:val="22"/>
              <w:szCs w:val="22"/>
              <w:b/>
              <w:bCs/>
            </w:rPr>
            <w:t>大气环境风险分析</w:t>
          </w:r>
          <w:r>
            <w:rPr>
              <w:sz w:val="22"/>
              <w:szCs w:val="22"/>
              <w:spacing w:val="-80"/>
            </w:rPr>
            <w:t xml:space="preserve"> </w:t>
          </w:r>
          <w:r>
            <w:rPr>
              <w:sz w:val="22"/>
              <w:szCs w:val="22"/>
            </w:rPr>
            <w:tab/>
          </w:r>
          <w:hyperlink w:history="true" w:anchor="bookmark20">
            <w:r>
              <w:rPr>
                <w:rFonts w:ascii="Times New Roman" w:hAnsi="Times New Roman" w:eastAsia="Times New Roman" w:cs="Times New Roman"/>
                <w:sz w:val="22"/>
                <w:szCs w:val="22"/>
                <w:b/>
                <w:bCs/>
                <w:spacing w:val="3"/>
              </w:rPr>
              <w:t>23</w:t>
            </w:r>
          </w:hyperlink>
        </w:p>
        <w:p>
          <w:pPr>
            <w:pStyle w:val="BodyText"/>
            <w:ind w:left="409"/>
            <w:spacing w:before="207" w:line="219" w:lineRule="auto"/>
            <w:tabs>
              <w:tab w:val="right" w:leader="dot" w:pos="8674"/>
            </w:tabs>
            <w:rPr>
              <w:rFonts w:ascii="Times New Roman" w:hAnsi="Times New Roman" w:eastAsia="Times New Roman" w:cs="Times New Roman"/>
              <w:sz w:val="22"/>
              <w:szCs w:val="22"/>
            </w:rPr>
          </w:pPr>
          <w:r>
            <w:rPr>
              <w:rFonts w:ascii="Times New Roman" w:hAnsi="Times New Roman" w:eastAsia="Times New Roman" w:cs="Times New Roman"/>
              <w:sz w:val="22"/>
              <w:szCs w:val="22"/>
              <w:b/>
              <w:bCs/>
            </w:rPr>
            <w:t>7.2 </w:t>
          </w:r>
          <w:r>
            <w:rPr>
              <w:sz w:val="22"/>
              <w:szCs w:val="22"/>
              <w:b/>
              <w:bCs/>
            </w:rPr>
            <w:t>地表水环境风险分析</w:t>
          </w:r>
          <w:r>
            <w:rPr>
              <w:sz w:val="22"/>
              <w:szCs w:val="22"/>
              <w:spacing w:val="-82"/>
            </w:rPr>
            <w:t xml:space="preserve"> </w:t>
          </w:r>
          <w:r>
            <w:rPr>
              <w:sz w:val="22"/>
              <w:szCs w:val="22"/>
            </w:rPr>
            <w:tab/>
          </w:r>
          <w:hyperlink w:history="true" w:anchor="bookmark21">
            <w:r>
              <w:rPr>
                <w:rFonts w:ascii="Times New Roman" w:hAnsi="Times New Roman" w:eastAsia="Times New Roman" w:cs="Times New Roman"/>
                <w:sz w:val="22"/>
                <w:szCs w:val="22"/>
                <w:b/>
                <w:bCs/>
                <w:spacing w:val="3"/>
              </w:rPr>
              <w:t>27</w:t>
            </w:r>
          </w:hyperlink>
        </w:p>
        <w:p>
          <w:pPr>
            <w:pStyle w:val="BodyText"/>
            <w:ind w:left="409"/>
            <w:spacing w:before="199" w:line="219" w:lineRule="auto"/>
            <w:tabs>
              <w:tab w:val="right" w:leader="dot" w:pos="8644"/>
            </w:tabs>
            <w:rPr>
              <w:rFonts w:ascii="Times New Roman" w:hAnsi="Times New Roman" w:eastAsia="Times New Roman" w:cs="Times New Roman"/>
              <w:sz w:val="22"/>
              <w:szCs w:val="22"/>
            </w:rPr>
          </w:pPr>
          <w:r>
            <w:rPr>
              <w:rFonts w:ascii="Times New Roman" w:hAnsi="Times New Roman" w:eastAsia="Times New Roman" w:cs="Times New Roman"/>
              <w:sz w:val="22"/>
              <w:szCs w:val="22"/>
              <w:b/>
              <w:bCs/>
              <w:spacing w:val="-1"/>
            </w:rPr>
            <w:t>7.3 </w:t>
          </w:r>
          <w:r>
            <w:rPr>
              <w:sz w:val="22"/>
              <w:szCs w:val="22"/>
              <w:b/>
              <w:bCs/>
              <w:spacing w:val="-1"/>
            </w:rPr>
            <w:t>地下水、土壤环境风险分析</w:t>
          </w:r>
          <w:r>
            <w:rPr>
              <w:sz w:val="22"/>
              <w:szCs w:val="22"/>
              <w:spacing w:val="-73"/>
            </w:rPr>
            <w:t xml:space="preserve"> </w:t>
          </w:r>
          <w:r>
            <w:rPr>
              <w:sz w:val="22"/>
              <w:szCs w:val="22"/>
            </w:rPr>
            <w:tab/>
          </w:r>
          <w:hyperlink w:history="true" w:anchor="bookmark22">
            <w:r>
              <w:rPr>
                <w:rFonts w:ascii="Times New Roman" w:hAnsi="Times New Roman" w:eastAsia="Times New Roman" w:cs="Times New Roman"/>
                <w:sz w:val="22"/>
                <w:szCs w:val="22"/>
                <w:b/>
                <w:bCs/>
                <w:spacing w:val="3"/>
              </w:rPr>
              <w:t>28</w:t>
            </w:r>
          </w:hyperlink>
        </w:p>
        <w:p>
          <w:pPr>
            <w:pStyle w:val="BodyText"/>
            <w:ind w:left="409"/>
            <w:spacing w:before="209" w:line="219" w:lineRule="auto"/>
            <w:tabs>
              <w:tab w:val="right" w:leader="dot" w:pos="8674"/>
            </w:tabs>
            <w:rPr>
              <w:rFonts w:ascii="Times New Roman" w:hAnsi="Times New Roman" w:eastAsia="Times New Roman" w:cs="Times New Roman"/>
              <w:sz w:val="22"/>
              <w:szCs w:val="22"/>
            </w:rPr>
          </w:pPr>
          <w:r>
            <w:rPr>
              <w:rFonts w:ascii="Times New Roman" w:hAnsi="Times New Roman" w:eastAsia="Times New Roman" w:cs="Times New Roman"/>
              <w:sz w:val="22"/>
              <w:szCs w:val="22"/>
              <w:b/>
              <w:bCs/>
              <w:spacing w:val="-4"/>
            </w:rPr>
            <w:t>7.4</w:t>
          </w:r>
          <w:r>
            <w:rPr>
              <w:rFonts w:ascii="Times New Roman" w:hAnsi="Times New Roman" w:eastAsia="Times New Roman" w:cs="Times New Roman"/>
              <w:sz w:val="22"/>
              <w:szCs w:val="22"/>
              <w:b/>
              <w:bCs/>
              <w:spacing w:val="32"/>
              <w:w w:val="101"/>
            </w:rPr>
            <w:t xml:space="preserve"> </w:t>
          </w:r>
          <w:r>
            <w:rPr>
              <w:rFonts w:ascii="Times New Roman" w:hAnsi="Times New Roman" w:eastAsia="Times New Roman" w:cs="Times New Roman"/>
              <w:sz w:val="22"/>
              <w:szCs w:val="22"/>
              <w:b/>
              <w:bCs/>
              <w:spacing w:val="-4"/>
            </w:rPr>
            <w:t>NMP</w:t>
          </w:r>
          <w:r>
            <w:rPr>
              <w:rFonts w:ascii="Times New Roman" w:hAnsi="Times New Roman" w:eastAsia="Times New Roman" w:cs="Times New Roman"/>
              <w:sz w:val="22"/>
              <w:szCs w:val="22"/>
              <w:b/>
              <w:bCs/>
              <w:spacing w:val="-18"/>
            </w:rPr>
            <w:t xml:space="preserve"> </w:t>
          </w:r>
          <w:r>
            <w:rPr>
              <w:sz w:val="22"/>
              <w:szCs w:val="22"/>
              <w:b/>
              <w:bCs/>
              <w:spacing w:val="-4"/>
            </w:rPr>
            <w:t>泄漏对污水处理厂的影响分析</w:t>
          </w:r>
          <w:r>
            <w:rPr>
              <w:sz w:val="22"/>
              <w:szCs w:val="22"/>
              <w:spacing w:val="-86"/>
            </w:rPr>
            <w:t xml:space="preserve"> </w:t>
          </w:r>
          <w:r>
            <w:rPr>
              <w:sz w:val="22"/>
              <w:szCs w:val="22"/>
            </w:rPr>
            <w:tab/>
          </w:r>
          <w:hyperlink w:history="true" w:anchor="bookmark23">
            <w:r>
              <w:rPr>
                <w:rFonts w:ascii="Times New Roman" w:hAnsi="Times New Roman" w:eastAsia="Times New Roman" w:cs="Times New Roman"/>
                <w:sz w:val="22"/>
                <w:szCs w:val="22"/>
                <w:b/>
                <w:bCs/>
                <w:spacing w:val="3"/>
              </w:rPr>
              <w:t>28</w:t>
            </w:r>
          </w:hyperlink>
        </w:p>
        <w:p>
          <w:pPr>
            <w:pStyle w:val="BodyText"/>
            <w:ind w:left="409"/>
            <w:spacing w:before="219" w:line="220" w:lineRule="auto"/>
            <w:tabs>
              <w:tab w:val="right" w:leader="dot" w:pos="8585"/>
            </w:tabs>
            <w:rPr>
              <w:rFonts w:ascii="Times New Roman" w:hAnsi="Times New Roman" w:eastAsia="Times New Roman" w:cs="Times New Roman"/>
              <w:sz w:val="22"/>
              <w:szCs w:val="22"/>
            </w:rPr>
          </w:pPr>
          <w:r>
            <w:rPr>
              <w:rFonts w:ascii="Times New Roman" w:hAnsi="Times New Roman" w:eastAsia="Times New Roman" w:cs="Times New Roman"/>
              <w:sz w:val="22"/>
              <w:szCs w:val="22"/>
              <w:b/>
              <w:bCs/>
              <w:spacing w:val="-1"/>
            </w:rPr>
            <w:t>7.5</w:t>
          </w:r>
          <w:r>
            <w:rPr>
              <w:rFonts w:ascii="Times New Roman" w:hAnsi="Times New Roman" w:eastAsia="Times New Roman" w:cs="Times New Roman"/>
              <w:sz w:val="22"/>
              <w:szCs w:val="22"/>
              <w:b/>
              <w:bCs/>
              <w:spacing w:val="52"/>
              <w:w w:val="101"/>
            </w:rPr>
            <w:t xml:space="preserve"> </w:t>
          </w:r>
          <w:r>
            <w:rPr>
              <w:sz w:val="22"/>
              <w:szCs w:val="22"/>
              <w:b/>
              <w:bCs/>
              <w:spacing w:val="-1"/>
            </w:rPr>
            <w:t>后果综述及风险可接受分析</w:t>
          </w:r>
          <w:r>
            <w:rPr>
              <w:sz w:val="22"/>
              <w:szCs w:val="22"/>
              <w:b/>
              <w:bCs/>
            </w:rPr>
            <w:tab/>
          </w:r>
          <w:r>
            <w:rPr>
              <w:sz w:val="22"/>
              <w:szCs w:val="22"/>
              <w:spacing w:val="-5"/>
            </w:rPr>
            <w:t xml:space="preserve"> </w:t>
          </w:r>
          <w:hyperlink w:history="true" w:anchor="bookmark24">
            <w:r>
              <w:rPr>
                <w:rFonts w:ascii="Times New Roman" w:hAnsi="Times New Roman" w:eastAsia="Times New Roman" w:cs="Times New Roman"/>
                <w:sz w:val="22"/>
                <w:szCs w:val="22"/>
                <w:spacing w:val="-2"/>
              </w:rPr>
              <w:t>29</w:t>
            </w:r>
          </w:hyperlink>
        </w:p>
        <w:p>
          <w:pPr>
            <w:pStyle w:val="BodyText"/>
            <w:spacing w:before="201" w:line="220" w:lineRule="auto"/>
            <w:tabs>
              <w:tab w:val="right" w:leader="dot" w:pos="8674"/>
            </w:tabs>
            <w:rPr>
              <w:rFonts w:ascii="Times New Roman" w:hAnsi="Times New Roman" w:eastAsia="Times New Roman" w:cs="Times New Roman"/>
              <w:sz w:val="22"/>
              <w:szCs w:val="22"/>
            </w:rPr>
          </w:pPr>
          <w:r>
            <w:rPr>
              <w:rFonts w:ascii="Times New Roman" w:hAnsi="Times New Roman" w:eastAsia="Times New Roman" w:cs="Times New Roman"/>
              <w:sz w:val="22"/>
              <w:szCs w:val="22"/>
            </w:rPr>
            <w:t>8.</w:t>
          </w:r>
          <w:r>
            <w:rPr>
              <w:rFonts w:ascii="Times New Roman" w:hAnsi="Times New Roman" w:eastAsia="Times New Roman" w:cs="Times New Roman"/>
              <w:sz w:val="22"/>
              <w:szCs w:val="22"/>
              <w:spacing w:val="-11"/>
            </w:rPr>
            <w:t xml:space="preserve"> </w:t>
          </w:r>
          <w:r>
            <w:rPr>
              <w:sz w:val="22"/>
              <w:szCs w:val="22"/>
            </w:rPr>
            <w:t>风险防范措施</w:t>
          </w:r>
          <w:r>
            <w:rPr>
              <w:sz w:val="22"/>
              <w:szCs w:val="22"/>
              <w:spacing w:val="-91"/>
            </w:rPr>
            <w:t xml:space="preserve"> </w:t>
          </w:r>
          <w:r>
            <w:rPr>
              <w:sz w:val="22"/>
              <w:szCs w:val="22"/>
            </w:rPr>
            <w:tab/>
          </w:r>
          <w:hyperlink w:history="true" w:anchor="bookmark25">
            <w:r>
              <w:rPr>
                <w:rFonts w:ascii="Times New Roman" w:hAnsi="Times New Roman" w:eastAsia="Times New Roman" w:cs="Times New Roman"/>
                <w:sz w:val="22"/>
                <w:szCs w:val="22"/>
                <w:b/>
                <w:bCs/>
                <w:spacing w:val="3"/>
              </w:rPr>
              <w:t>29</w:t>
            </w:r>
          </w:hyperlink>
        </w:p>
        <w:p>
          <w:pPr>
            <w:pStyle w:val="BodyText"/>
            <w:ind w:left="409"/>
            <w:spacing w:before="203" w:line="219" w:lineRule="auto"/>
            <w:tabs>
              <w:tab w:val="right" w:leader="dot" w:pos="8675"/>
            </w:tabs>
            <w:rPr>
              <w:rFonts w:ascii="Times New Roman" w:hAnsi="Times New Roman" w:eastAsia="Times New Roman" w:cs="Times New Roman"/>
              <w:sz w:val="22"/>
              <w:szCs w:val="22"/>
            </w:rPr>
          </w:pPr>
          <w:r>
            <w:rPr>
              <w:rFonts w:ascii="Times New Roman" w:hAnsi="Times New Roman" w:eastAsia="Times New Roman" w:cs="Times New Roman"/>
              <w:sz w:val="22"/>
              <w:szCs w:val="22"/>
              <w:b/>
              <w:bCs/>
              <w:spacing w:val="-9"/>
            </w:rPr>
            <w:t>8.1 </w:t>
          </w:r>
          <w:r>
            <w:rPr>
              <w:sz w:val="22"/>
              <w:szCs w:val="22"/>
              <w:b/>
              <w:bCs/>
              <w:spacing w:val="-9"/>
            </w:rPr>
            <w:t>总平布置、建筑安全防范措施</w:t>
          </w:r>
          <w:r>
            <w:rPr>
              <w:sz w:val="22"/>
              <w:szCs w:val="22"/>
              <w:spacing w:val="-79"/>
            </w:rPr>
            <w:t xml:space="preserve"> </w:t>
          </w:r>
          <w:r>
            <w:rPr>
              <w:sz w:val="22"/>
              <w:szCs w:val="22"/>
            </w:rPr>
            <w:tab/>
          </w:r>
          <w:hyperlink w:history="true" w:anchor="bookmark26">
            <w:r>
              <w:rPr>
                <w:rFonts w:ascii="Times New Roman" w:hAnsi="Times New Roman" w:eastAsia="Times New Roman" w:cs="Times New Roman"/>
                <w:sz w:val="22"/>
                <w:szCs w:val="22"/>
              </w:rPr>
              <w:t>29</w:t>
            </w:r>
          </w:hyperlink>
        </w:p>
        <w:p>
          <w:pPr>
            <w:pStyle w:val="BodyText"/>
            <w:ind w:left="409"/>
            <w:spacing w:before="191" w:line="220" w:lineRule="auto"/>
            <w:tabs>
              <w:tab w:val="right" w:leader="dot" w:pos="8677"/>
            </w:tabs>
            <w:rPr>
              <w:rFonts w:ascii="Times New Roman" w:hAnsi="Times New Roman" w:eastAsia="Times New Roman" w:cs="Times New Roman"/>
              <w:sz w:val="22"/>
              <w:szCs w:val="22"/>
            </w:rPr>
          </w:pPr>
          <w:r>
            <w:rPr>
              <w:rFonts w:ascii="Times New Roman" w:hAnsi="Times New Roman" w:eastAsia="Times New Roman" w:cs="Times New Roman"/>
              <w:sz w:val="22"/>
              <w:szCs w:val="22"/>
              <w:b/>
              <w:bCs/>
              <w:spacing w:val="-9"/>
            </w:rPr>
            <w:t>8.2 </w:t>
          </w:r>
          <w:r>
            <w:rPr>
              <w:sz w:val="22"/>
              <w:szCs w:val="22"/>
              <w:b/>
              <w:bCs/>
              <w:spacing w:val="-9"/>
            </w:rPr>
            <w:t>电气安全防范措施</w:t>
          </w:r>
          <w:r>
            <w:rPr>
              <w:sz w:val="22"/>
              <w:szCs w:val="22"/>
              <w:spacing w:val="-82"/>
            </w:rPr>
            <w:t xml:space="preserve"> </w:t>
          </w:r>
          <w:r>
            <w:rPr>
              <w:sz w:val="22"/>
              <w:szCs w:val="22"/>
            </w:rPr>
            <w:tab/>
          </w:r>
          <w:hyperlink w:history="true" w:anchor="bookmark27">
            <w:r>
              <w:rPr>
                <w:rFonts w:ascii="Times New Roman" w:hAnsi="Times New Roman" w:eastAsia="Times New Roman" w:cs="Times New Roman"/>
                <w:sz w:val="22"/>
                <w:szCs w:val="22"/>
                <w:spacing w:val="-5"/>
              </w:rPr>
              <w:t>29</w:t>
            </w:r>
          </w:hyperlink>
        </w:p>
        <w:p>
          <w:pPr>
            <w:pStyle w:val="BodyText"/>
            <w:ind w:left="409"/>
            <w:spacing w:before="207" w:line="219" w:lineRule="auto"/>
            <w:tabs>
              <w:tab w:val="right" w:leader="dot" w:pos="8675"/>
            </w:tabs>
            <w:rPr>
              <w:rFonts w:ascii="Times New Roman" w:hAnsi="Times New Roman" w:eastAsia="Times New Roman" w:cs="Times New Roman"/>
              <w:sz w:val="22"/>
              <w:szCs w:val="22"/>
            </w:rPr>
          </w:pPr>
          <w:r>
            <w:rPr>
              <w:rFonts w:ascii="Times New Roman" w:hAnsi="Times New Roman" w:eastAsia="Times New Roman" w:cs="Times New Roman"/>
              <w:sz w:val="22"/>
              <w:szCs w:val="22"/>
              <w:b/>
              <w:bCs/>
              <w:spacing w:val="-9"/>
            </w:rPr>
            <w:t>8.3</w:t>
          </w:r>
          <w:r>
            <w:rPr>
              <w:rFonts w:ascii="Times New Roman" w:hAnsi="Times New Roman" w:eastAsia="Times New Roman" w:cs="Times New Roman"/>
              <w:sz w:val="22"/>
              <w:szCs w:val="22"/>
              <w:b/>
              <w:bCs/>
              <w:spacing w:val="-7"/>
            </w:rPr>
            <w:t xml:space="preserve"> </w:t>
          </w:r>
          <w:r>
            <w:rPr>
              <w:sz w:val="22"/>
              <w:szCs w:val="22"/>
              <w:b/>
              <w:bCs/>
              <w:spacing w:val="-9"/>
            </w:rPr>
            <w:t>工艺技术设计安全防范措施</w:t>
          </w:r>
          <w:r>
            <w:rPr>
              <w:sz w:val="22"/>
              <w:szCs w:val="22"/>
              <w:spacing w:val="-87"/>
            </w:rPr>
            <w:t xml:space="preserve"> </w:t>
          </w:r>
          <w:r>
            <w:rPr>
              <w:sz w:val="22"/>
              <w:szCs w:val="22"/>
            </w:rPr>
            <w:tab/>
          </w:r>
          <w:hyperlink w:history="true" w:anchor="bookmark28">
            <w:r>
              <w:rPr>
                <w:rFonts w:ascii="Times New Roman" w:hAnsi="Times New Roman" w:eastAsia="Times New Roman" w:cs="Times New Roman"/>
                <w:sz w:val="22"/>
                <w:szCs w:val="22"/>
                <w:b/>
                <w:bCs/>
                <w:spacing w:val="4"/>
              </w:rPr>
              <w:t>30</w:t>
            </w:r>
          </w:hyperlink>
        </w:p>
      </w:sdtContent>
    </w:sdt>
    <w:p>
      <w:pPr>
        <w:spacing w:line="219" w:lineRule="auto"/>
        <w:sectPr>
          <w:footerReference w:type="default" r:id="rId163"/>
          <w:pgSz w:w="11900" w:h="16840"/>
          <w:pgMar w:top="1431" w:right="1533" w:bottom="1180" w:left="1670" w:header="0" w:footer="982" w:gutter="0"/>
        </w:sectPr>
        <w:rPr>
          <w:rFonts w:ascii="Times New Roman" w:hAnsi="Times New Roman" w:eastAsia="Times New Roman" w:cs="Times New Roman"/>
          <w:sz w:val="22"/>
          <w:szCs w:val="22"/>
        </w:rPr>
      </w:pPr>
    </w:p>
    <w:sdt>
      <w:sdtPr>
        <w:rPr>
          <w:rFonts w:ascii="Times New Roman" w:hAnsi="Times New Roman" w:eastAsia="Times New Roman" w:cs="Times New Roman"/>
          <w:sz w:val="21"/>
          <w:szCs w:val="21"/>
        </w:rPr>
        <w:docPartObj>
          <w:docPartGallery w:val="Table of Contents"/>
          <w:docPartUnique/>
        </w:docPartObj>
      </w:sdtPr>
      <w:sdtEndPr>
        <w:rPr>
          <w:rFonts w:ascii="Times New Roman" w:hAnsi="Times New Roman" w:eastAsia="Times New Roman" w:cs="Times New Roman"/>
          <w:sz w:val="21"/>
          <w:szCs w:val="21"/>
        </w:rPr>
      </w:sdtEndPr>
      <w:sdtContent>
        <w:p>
          <w:pPr>
            <w:pStyle w:val="BodyText"/>
            <w:ind w:left="409"/>
            <w:spacing w:before="134" w:line="219" w:lineRule="auto"/>
            <w:tabs>
              <w:tab w:val="right" w:leader="dot" w:pos="8655"/>
            </w:tabs>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8.4 </w:t>
          </w:r>
          <w:r>
            <w:rPr>
              <w:sz w:val="21"/>
              <w:szCs w:val="21"/>
              <w:b/>
              <w:bCs/>
              <w:spacing w:val="-1"/>
            </w:rPr>
            <w:t>消防及火灾防范措施</w:t>
          </w:r>
          <w:r>
            <w:rPr>
              <w:sz w:val="21"/>
              <w:szCs w:val="21"/>
              <w:spacing w:val="-78"/>
            </w:rPr>
            <w:t xml:space="preserve"> </w:t>
          </w:r>
          <w:r>
            <w:rPr>
              <w:sz w:val="21"/>
              <w:szCs w:val="21"/>
            </w:rPr>
            <w:tab/>
          </w:r>
          <w:hyperlink w:history="true" w:anchor="bookmark29">
            <w:r>
              <w:rPr>
                <w:rFonts w:ascii="Times New Roman" w:hAnsi="Times New Roman" w:eastAsia="Times New Roman" w:cs="Times New Roman"/>
                <w:sz w:val="21"/>
                <w:szCs w:val="21"/>
                <w:b/>
                <w:bCs/>
                <w:spacing w:val="4"/>
              </w:rPr>
              <w:t>31</w:t>
            </w:r>
          </w:hyperlink>
        </w:p>
        <w:p>
          <w:pPr>
            <w:pStyle w:val="BodyText"/>
            <w:ind w:left="409"/>
            <w:spacing w:before="211" w:line="220" w:lineRule="auto"/>
            <w:tabs>
              <w:tab w:val="right" w:leader="dot" w:pos="8635"/>
            </w:tabs>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8.5 </w:t>
          </w:r>
          <w:r>
            <w:rPr>
              <w:sz w:val="21"/>
              <w:szCs w:val="21"/>
              <w:b/>
              <w:bCs/>
              <w:spacing w:val="-1"/>
            </w:rPr>
            <w:t>事故应急池容积量分析</w:t>
          </w:r>
          <w:r>
            <w:rPr>
              <w:sz w:val="21"/>
              <w:szCs w:val="21"/>
              <w:spacing w:val="-70"/>
            </w:rPr>
            <w:t xml:space="preserve"> </w:t>
          </w:r>
          <w:r>
            <w:rPr>
              <w:sz w:val="21"/>
              <w:szCs w:val="21"/>
            </w:rPr>
            <w:tab/>
          </w:r>
          <w:hyperlink w:history="true" w:anchor="bookmark30">
            <w:r>
              <w:rPr>
                <w:rFonts w:ascii="Times New Roman" w:hAnsi="Times New Roman" w:eastAsia="Times New Roman" w:cs="Times New Roman"/>
                <w:sz w:val="21"/>
                <w:szCs w:val="21"/>
                <w:b/>
                <w:bCs/>
                <w:spacing w:val="4"/>
              </w:rPr>
              <w:t>31</w:t>
            </w:r>
          </w:hyperlink>
        </w:p>
        <w:p>
          <w:pPr>
            <w:pStyle w:val="BodyText"/>
            <w:ind w:left="409"/>
            <w:spacing w:before="219" w:line="219" w:lineRule="auto"/>
            <w:tabs>
              <w:tab w:val="right" w:leader="dot" w:pos="8615"/>
            </w:tabs>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8.6 </w:t>
          </w:r>
          <w:r>
            <w:rPr>
              <w:sz w:val="21"/>
              <w:szCs w:val="21"/>
              <w:b/>
              <w:bCs/>
              <w:spacing w:val="-1"/>
            </w:rPr>
            <w:t>地下水、土壤环境污染风险防范</w:t>
          </w:r>
          <w:r>
            <w:rPr>
              <w:sz w:val="21"/>
              <w:szCs w:val="21"/>
              <w:spacing w:val="-74"/>
            </w:rPr>
            <w:t xml:space="preserve"> </w:t>
          </w:r>
          <w:r>
            <w:rPr>
              <w:sz w:val="21"/>
              <w:szCs w:val="21"/>
            </w:rPr>
            <w:tab/>
          </w:r>
          <w:hyperlink w:history="true" w:anchor="bookmark31">
            <w:r>
              <w:rPr>
                <w:rFonts w:ascii="Times New Roman" w:hAnsi="Times New Roman" w:eastAsia="Times New Roman" w:cs="Times New Roman"/>
                <w:sz w:val="21"/>
                <w:szCs w:val="21"/>
                <w:b/>
                <w:bCs/>
                <w:spacing w:val="4"/>
              </w:rPr>
              <w:t>32</w:t>
            </w:r>
          </w:hyperlink>
        </w:p>
        <w:p>
          <w:pPr>
            <w:pStyle w:val="BodyText"/>
            <w:ind w:left="409"/>
            <w:spacing w:before="220" w:line="219" w:lineRule="auto"/>
            <w:tabs>
              <w:tab w:val="right" w:leader="dot" w:pos="8650"/>
            </w:tabs>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8.7 </w:t>
          </w:r>
          <w:r>
            <w:rPr>
              <w:sz w:val="21"/>
              <w:szCs w:val="21"/>
              <w:b/>
              <w:bCs/>
              <w:spacing w:val="-1"/>
            </w:rPr>
            <w:t>事故工况下包络线范围内的管控要求</w:t>
          </w:r>
          <w:r>
            <w:rPr>
              <w:sz w:val="21"/>
              <w:szCs w:val="21"/>
              <w:spacing w:val="-77"/>
            </w:rPr>
            <w:t xml:space="preserve"> </w:t>
          </w:r>
          <w:r>
            <w:rPr>
              <w:sz w:val="21"/>
              <w:szCs w:val="21"/>
            </w:rPr>
            <w:tab/>
          </w:r>
          <w:hyperlink w:history="true" w:anchor="bookmark32">
            <w:r>
              <w:rPr>
                <w:rFonts w:ascii="Times New Roman" w:hAnsi="Times New Roman" w:eastAsia="Times New Roman" w:cs="Times New Roman"/>
                <w:sz w:val="21"/>
                <w:szCs w:val="21"/>
                <w:spacing w:val="2"/>
              </w:rPr>
              <w:t>32</w:t>
            </w:r>
          </w:hyperlink>
        </w:p>
        <w:p>
          <w:pPr>
            <w:pStyle w:val="BodyText"/>
            <w:ind w:left="409"/>
            <w:spacing w:before="211" w:line="220" w:lineRule="auto"/>
            <w:tabs>
              <w:tab w:val="right" w:leader="dot" w:pos="8635"/>
            </w:tabs>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8.8 </w:t>
          </w:r>
          <w:r>
            <w:rPr>
              <w:sz w:val="21"/>
              <w:szCs w:val="21"/>
              <w:b/>
              <w:bCs/>
              <w:spacing w:val="-1"/>
            </w:rPr>
            <w:t>三级环境风险防控措施</w:t>
          </w:r>
          <w:r>
            <w:rPr>
              <w:sz w:val="21"/>
              <w:szCs w:val="21"/>
              <w:spacing w:val="-70"/>
            </w:rPr>
            <w:t xml:space="preserve"> </w:t>
          </w:r>
          <w:r>
            <w:rPr>
              <w:sz w:val="21"/>
              <w:szCs w:val="21"/>
            </w:rPr>
            <w:tab/>
          </w:r>
          <w:hyperlink w:history="true" w:anchor="bookmark33">
            <w:r>
              <w:rPr>
                <w:rFonts w:ascii="Times New Roman" w:hAnsi="Times New Roman" w:eastAsia="Times New Roman" w:cs="Times New Roman"/>
                <w:sz w:val="21"/>
                <w:szCs w:val="21"/>
                <w:b/>
                <w:bCs/>
                <w:spacing w:val="4"/>
              </w:rPr>
              <w:t>33</w:t>
            </w:r>
          </w:hyperlink>
        </w:p>
        <w:p>
          <w:pPr>
            <w:pStyle w:val="BodyText"/>
            <w:ind w:left="409"/>
            <w:spacing w:before="222" w:line="221" w:lineRule="auto"/>
            <w:tabs>
              <w:tab w:val="right" w:leader="dot" w:pos="8605"/>
            </w:tabs>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8.9 </w:t>
          </w:r>
          <w:r>
            <w:rPr>
              <w:sz w:val="21"/>
              <w:szCs w:val="21"/>
              <w:b/>
              <w:bCs/>
              <w:spacing w:val="1"/>
            </w:rPr>
            <w:t>应急处置</w:t>
          </w:r>
          <w:r>
            <w:rPr>
              <w:sz w:val="21"/>
              <w:szCs w:val="21"/>
              <w:spacing w:val="-78"/>
            </w:rPr>
            <w:t xml:space="preserve"> </w:t>
          </w:r>
          <w:r>
            <w:rPr>
              <w:sz w:val="21"/>
              <w:szCs w:val="21"/>
            </w:rPr>
            <w:tab/>
          </w:r>
          <w:r>
            <w:rPr>
              <w:sz w:val="21"/>
              <w:szCs w:val="21"/>
              <w:spacing w:val="-18"/>
            </w:rPr>
            <w:t xml:space="preserve"> </w:t>
          </w:r>
          <w:hyperlink w:history="true" w:anchor="bookmark34">
            <w:r>
              <w:rPr>
                <w:rFonts w:ascii="Times New Roman" w:hAnsi="Times New Roman" w:eastAsia="Times New Roman" w:cs="Times New Roman"/>
                <w:sz w:val="21"/>
                <w:szCs w:val="21"/>
                <w:b/>
                <w:bCs/>
                <w:spacing w:val="-1"/>
              </w:rPr>
              <w:t>34</w:t>
            </w:r>
          </w:hyperlink>
        </w:p>
        <w:p>
          <w:pPr>
            <w:pStyle w:val="BodyText"/>
            <w:spacing w:before="229" w:line="220" w:lineRule="auto"/>
            <w:tabs>
              <w:tab w:val="right" w:leader="dot" w:pos="8575"/>
            </w:tabs>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9.</w:t>
          </w:r>
          <w:r>
            <w:rPr>
              <w:sz w:val="21"/>
              <w:szCs w:val="21"/>
              <w:spacing w:val="8"/>
            </w:rPr>
            <w:t>应急预案</w:t>
          </w:r>
          <w:r>
            <w:rPr>
              <w:sz w:val="21"/>
              <w:szCs w:val="21"/>
              <w:spacing w:val="-82"/>
            </w:rPr>
            <w:t xml:space="preserve"> </w:t>
          </w:r>
          <w:r>
            <w:rPr>
              <w:sz w:val="21"/>
              <w:szCs w:val="21"/>
            </w:rPr>
            <w:tab/>
          </w:r>
          <w:hyperlink w:history="true" w:anchor="bookmark35">
            <w:r>
              <w:rPr>
                <w:rFonts w:ascii="Times New Roman" w:hAnsi="Times New Roman" w:eastAsia="Times New Roman" w:cs="Times New Roman"/>
                <w:sz w:val="21"/>
                <w:szCs w:val="21"/>
                <w:b/>
                <w:bCs/>
                <w:spacing w:val="4"/>
              </w:rPr>
              <w:t>35</w:t>
            </w:r>
          </w:hyperlink>
        </w:p>
        <w:p>
          <w:pPr>
            <w:pStyle w:val="BodyText"/>
            <w:spacing w:before="214" w:line="218" w:lineRule="auto"/>
            <w:tabs>
              <w:tab w:val="right" w:leader="dot" w:pos="8625"/>
            </w:tabs>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7"/>
            </w:rPr>
            <w:t>10.</w:t>
          </w:r>
          <w:r>
            <w:rPr>
              <w:sz w:val="21"/>
              <w:szCs w:val="21"/>
              <w:b/>
              <w:bCs/>
              <w:spacing w:val="7"/>
            </w:rPr>
            <w:t>评价结论与建议</w:t>
          </w:r>
          <w:r>
            <w:rPr>
              <w:sz w:val="21"/>
              <w:szCs w:val="21"/>
              <w:spacing w:val="-74"/>
            </w:rPr>
            <w:t xml:space="preserve"> </w:t>
          </w:r>
          <w:r>
            <w:rPr>
              <w:sz w:val="21"/>
              <w:szCs w:val="21"/>
            </w:rPr>
            <w:tab/>
          </w:r>
          <w:r>
            <w:rPr>
              <w:sz w:val="21"/>
              <w:szCs w:val="21"/>
              <w:spacing w:val="-28"/>
            </w:rPr>
            <w:t xml:space="preserve"> </w:t>
          </w:r>
          <w:hyperlink w:history="true" w:anchor="bookmark36">
            <w:r>
              <w:rPr>
                <w:rFonts w:ascii="Times New Roman" w:hAnsi="Times New Roman" w:eastAsia="Times New Roman" w:cs="Times New Roman"/>
                <w:sz w:val="21"/>
                <w:szCs w:val="21"/>
                <w:b/>
                <w:bCs/>
                <w:spacing w:val="-1"/>
              </w:rPr>
              <w:t>37</w:t>
            </w:r>
          </w:hyperlink>
        </w:p>
        <w:p>
          <w:pPr>
            <w:pStyle w:val="BodyText"/>
            <w:spacing w:before="213" w:line="218" w:lineRule="auto"/>
            <w:tabs>
              <w:tab w:val="right" w:leader="dot" w:pos="8615"/>
            </w:tabs>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7"/>
            </w:rPr>
            <w:t>11.</w:t>
          </w:r>
          <w:r>
            <w:rPr>
              <w:sz w:val="21"/>
              <w:szCs w:val="21"/>
              <w:b/>
              <w:bCs/>
              <w:spacing w:val="7"/>
            </w:rPr>
            <w:t>环境风险评价自查表</w:t>
          </w:r>
          <w:r>
            <w:rPr>
              <w:sz w:val="21"/>
              <w:szCs w:val="21"/>
              <w:spacing w:val="-82"/>
            </w:rPr>
            <w:t xml:space="preserve"> </w:t>
          </w:r>
          <w:r>
            <w:rPr>
              <w:sz w:val="21"/>
              <w:szCs w:val="21"/>
            </w:rPr>
            <w:tab/>
          </w:r>
          <w:r>
            <w:rPr>
              <w:sz w:val="21"/>
              <w:szCs w:val="21"/>
              <w:spacing w:val="-48"/>
            </w:rPr>
            <w:t xml:space="preserve"> </w:t>
          </w:r>
          <w:hyperlink w:history="true" w:anchor="bookmark37">
            <w:r>
              <w:rPr>
                <w:rFonts w:ascii="Times New Roman" w:hAnsi="Times New Roman" w:eastAsia="Times New Roman" w:cs="Times New Roman"/>
                <w:sz w:val="21"/>
                <w:szCs w:val="21"/>
                <w:b/>
                <w:bCs/>
                <w:spacing w:val="-1"/>
              </w:rPr>
              <w:t>38</w:t>
            </w:r>
          </w:hyperlink>
        </w:p>
      </w:sdtContent>
    </w:sdt>
    <w:p>
      <w:pPr>
        <w:spacing w:line="218" w:lineRule="auto"/>
        <w:sectPr>
          <w:footerReference w:type="default" r:id="rId164"/>
          <w:pgSz w:w="11900" w:h="16840"/>
          <w:pgMar w:top="1431" w:right="1543" w:bottom="1184" w:left="1700" w:header="0" w:footer="994" w:gutter="0"/>
        </w:sectPr>
        <w:rPr>
          <w:rFonts w:ascii="Times New Roman" w:hAnsi="Times New Roman" w:eastAsia="Times New Roman" w:cs="Times New Roman"/>
          <w:sz w:val="21"/>
          <w:szCs w:val="21"/>
        </w:rPr>
      </w:pPr>
    </w:p>
    <w:p>
      <w:pPr>
        <w:pStyle w:val="BodyText"/>
        <w:ind w:right="119" w:firstLine="479"/>
        <w:spacing w:before="104" w:line="362" w:lineRule="auto"/>
        <w:jc w:val="both"/>
        <w:rPr>
          <w:sz w:val="24"/>
          <w:szCs w:val="24"/>
        </w:rPr>
      </w:pPr>
      <w:r>
        <w:rPr>
          <w:sz w:val="24"/>
          <w:szCs w:val="24"/>
          <w:spacing w:val="-4"/>
        </w:rPr>
        <w:t>根据《建设项目环境风险评价技术导则》</w:t>
      </w:r>
      <w:r>
        <w:rPr>
          <w:sz w:val="24"/>
          <w:szCs w:val="24"/>
          <w:spacing w:val="117"/>
        </w:rPr>
        <w:t xml:space="preserve"> </w:t>
      </w:r>
      <w:r>
        <w:rPr>
          <w:sz w:val="24"/>
          <w:szCs w:val="24"/>
          <w:spacing w:val="-4"/>
        </w:rPr>
        <w:t>(HJ169-2018)</w:t>
      </w:r>
      <w:r>
        <w:rPr>
          <w:sz w:val="24"/>
          <w:szCs w:val="24"/>
          <w:spacing w:val="42"/>
        </w:rPr>
        <w:t xml:space="preserve"> </w:t>
      </w:r>
      <w:r>
        <w:rPr>
          <w:sz w:val="24"/>
          <w:szCs w:val="24"/>
          <w:spacing w:val="-4"/>
        </w:rPr>
        <w:t>和《关于防范环境风 </w:t>
      </w:r>
      <w:r>
        <w:rPr>
          <w:sz w:val="24"/>
          <w:szCs w:val="24"/>
          <w:spacing w:val="3"/>
        </w:rPr>
        <w:t>险加强环境影响评价管理的通知》,环境风险评价的基本内容包括风险调查、环境</w:t>
      </w:r>
      <w:r>
        <w:rPr>
          <w:sz w:val="24"/>
          <w:szCs w:val="24"/>
        </w:rPr>
        <w:t xml:space="preserve">  </w:t>
      </w:r>
      <w:r>
        <w:rPr>
          <w:sz w:val="24"/>
          <w:szCs w:val="24"/>
          <w:spacing w:val="-4"/>
        </w:rPr>
        <w:t>风险潜势初判、风险识别、风险事故情形分析、风险预测与评价、环境风险管理等。</w:t>
      </w:r>
      <w:r>
        <w:rPr>
          <w:sz w:val="24"/>
          <w:szCs w:val="24"/>
          <w:spacing w:val="6"/>
        </w:rPr>
        <w:t xml:space="preserve"> </w:t>
      </w:r>
      <w:r>
        <w:rPr>
          <w:sz w:val="24"/>
          <w:szCs w:val="24"/>
        </w:rPr>
        <w:t>环境风险评价应以突发性事故导致的危险物质环境急性损</w:t>
      </w:r>
      <w:r>
        <w:rPr>
          <w:sz w:val="24"/>
          <w:szCs w:val="24"/>
          <w:spacing w:val="-1"/>
        </w:rPr>
        <w:t>害防控为目标，对建设项</w:t>
      </w:r>
      <w:r>
        <w:rPr>
          <w:sz w:val="24"/>
          <w:szCs w:val="24"/>
        </w:rPr>
        <w:t xml:space="preserve">  </w:t>
      </w:r>
      <w:r>
        <w:rPr>
          <w:sz w:val="24"/>
          <w:szCs w:val="24"/>
          <w:spacing w:val="-1"/>
        </w:rPr>
        <w:t>目的环境风险进行分析、预测和评估，提出环境风险预防、控制、减缓措施，明确</w:t>
      </w:r>
    </w:p>
    <w:p>
      <w:pPr>
        <w:pStyle w:val="BodyText"/>
        <w:spacing w:line="218" w:lineRule="auto"/>
        <w:rPr>
          <w:sz w:val="24"/>
          <w:szCs w:val="24"/>
        </w:rPr>
      </w:pPr>
      <w:r>
        <w:rPr>
          <w:sz w:val="24"/>
          <w:szCs w:val="24"/>
          <w:spacing w:val="-2"/>
        </w:rPr>
        <w:t>环境风险监控及应急建议要求，为建设项目的环境风险防控提供科学</w:t>
      </w:r>
      <w:r>
        <w:rPr>
          <w:sz w:val="24"/>
          <w:szCs w:val="24"/>
          <w:spacing w:val="-3"/>
        </w:rPr>
        <w:t>依据。</w:t>
      </w:r>
    </w:p>
    <w:p>
      <w:pPr>
        <w:pStyle w:val="BodyText"/>
        <w:ind w:left="4"/>
        <w:spacing w:before="225" w:line="220" w:lineRule="auto"/>
        <w:outlineLvl w:val="6"/>
        <w:rPr>
          <w:sz w:val="30"/>
          <w:szCs w:val="30"/>
        </w:rPr>
      </w:pPr>
      <w:r>
        <w:rPr>
          <w:sz w:val="30"/>
          <w:szCs w:val="30"/>
          <w:b/>
          <w:bCs/>
          <w:spacing w:val="-12"/>
        </w:rPr>
        <w:t>1.总则</w:t>
      </w:r>
    </w:p>
    <w:p>
      <w:pPr>
        <w:pStyle w:val="BodyText"/>
        <w:ind w:left="4"/>
        <w:spacing w:before="271" w:line="219" w:lineRule="auto"/>
        <w:outlineLvl w:val="6"/>
        <w:rPr>
          <w:sz w:val="30"/>
          <w:szCs w:val="30"/>
        </w:rPr>
      </w:pPr>
      <w:r>
        <w:rPr>
          <w:sz w:val="30"/>
          <w:szCs w:val="30"/>
          <w:b/>
          <w:bCs/>
          <w:spacing w:val="-8"/>
        </w:rPr>
        <w:t>1.1项目由来</w:t>
      </w:r>
    </w:p>
    <w:p>
      <w:pPr>
        <w:pStyle w:val="BodyText"/>
        <w:ind w:right="229" w:firstLine="479"/>
        <w:spacing w:before="217" w:line="361" w:lineRule="auto"/>
        <w:jc w:val="both"/>
        <w:rPr>
          <w:sz w:val="24"/>
          <w:szCs w:val="24"/>
        </w:rPr>
      </w:pPr>
      <w:r>
        <w:rPr>
          <w:sz w:val="24"/>
          <w:szCs w:val="24"/>
          <w:spacing w:val="-1"/>
        </w:rPr>
        <w:t>时代一汽动力电池有限公司是由宁德时代和一汽集团共同出资组建的一家新能</w:t>
      </w:r>
      <w:r>
        <w:rPr>
          <w:sz w:val="24"/>
          <w:szCs w:val="24"/>
          <w:spacing w:val="12"/>
        </w:rPr>
        <w:t xml:space="preserve"> </w:t>
      </w:r>
      <w:r>
        <w:rPr>
          <w:sz w:val="24"/>
          <w:szCs w:val="24"/>
          <w:spacing w:val="9"/>
        </w:rPr>
        <w:t>源公司，成立于2019年1月31日，主要从事锂离子电池、动力电池、超大容量储</w:t>
      </w:r>
    </w:p>
    <w:p>
      <w:pPr>
        <w:pStyle w:val="BodyText"/>
        <w:spacing w:line="218" w:lineRule="auto"/>
        <w:rPr>
          <w:sz w:val="24"/>
          <w:szCs w:val="24"/>
        </w:rPr>
      </w:pPr>
      <w:r>
        <w:rPr>
          <w:sz w:val="24"/>
          <w:szCs w:val="24"/>
          <w:spacing w:val="-2"/>
        </w:rPr>
        <w:t>能电池及电池系统的开发、生产、销售以及提供相关售后和技术咨询服务。</w:t>
      </w:r>
    </w:p>
    <w:p>
      <w:pPr>
        <w:pStyle w:val="BodyText"/>
        <w:ind w:right="206" w:firstLine="479"/>
        <w:spacing w:before="169" w:line="365" w:lineRule="auto"/>
        <w:jc w:val="both"/>
        <w:rPr>
          <w:sz w:val="24"/>
          <w:szCs w:val="24"/>
        </w:rPr>
      </w:pPr>
      <w:r>
        <w:rPr>
          <w:sz w:val="24"/>
          <w:szCs w:val="24"/>
          <w:spacing w:val="3"/>
        </w:rPr>
        <w:t>本项目为改扩建项目，现有工程含时代一汽动力电池项目(年产10</w:t>
      </w:r>
      <w:r>
        <w:rPr>
          <w:rFonts w:ascii="Times New Roman" w:hAnsi="Times New Roman" w:eastAsia="Times New Roman" w:cs="Times New Roman"/>
          <w:sz w:val="24"/>
          <w:szCs w:val="24"/>
        </w:rPr>
        <w:t>GWh</w:t>
      </w:r>
      <w:r>
        <w:rPr>
          <w:rFonts w:ascii="Times New Roman" w:hAnsi="Times New Roman" w:eastAsia="Times New Roman" w:cs="Times New Roman"/>
          <w:sz w:val="24"/>
          <w:szCs w:val="24"/>
          <w:spacing w:val="3"/>
        </w:rPr>
        <w:t>)    </w:t>
      </w:r>
      <w:r>
        <w:rPr>
          <w:sz w:val="24"/>
          <w:szCs w:val="24"/>
          <w:spacing w:val="3"/>
        </w:rPr>
        <w:t>(以</w:t>
      </w:r>
      <w:r>
        <w:rPr>
          <w:sz w:val="24"/>
          <w:szCs w:val="24"/>
          <w:spacing w:val="9"/>
        </w:rPr>
        <w:t xml:space="preserve"> </w:t>
      </w:r>
      <w:r>
        <w:rPr>
          <w:sz w:val="24"/>
          <w:szCs w:val="24"/>
          <w:spacing w:val="7"/>
        </w:rPr>
        <w:t>下称“一期工程”)和时代一汽年产20</w:t>
      </w:r>
      <w:r>
        <w:rPr>
          <w:rFonts w:ascii="Times New Roman" w:hAnsi="Times New Roman" w:eastAsia="Times New Roman" w:cs="Times New Roman"/>
          <w:sz w:val="24"/>
          <w:szCs w:val="24"/>
        </w:rPr>
        <w:t>gwh</w:t>
      </w:r>
      <w:r>
        <w:rPr>
          <w:rFonts w:ascii="Times New Roman" w:hAnsi="Times New Roman" w:eastAsia="Times New Roman" w:cs="Times New Roman"/>
          <w:sz w:val="24"/>
          <w:szCs w:val="24"/>
          <w:spacing w:val="7"/>
        </w:rPr>
        <w:t xml:space="preserve"> </w:t>
      </w:r>
      <w:r>
        <w:rPr>
          <w:sz w:val="24"/>
          <w:szCs w:val="24"/>
          <w:spacing w:val="7"/>
        </w:rPr>
        <w:t>动力电池生产线扩建项目(以下称“二</w:t>
      </w:r>
    </w:p>
    <w:p>
      <w:pPr>
        <w:pStyle w:val="BodyText"/>
        <w:spacing w:line="220" w:lineRule="auto"/>
        <w:rPr>
          <w:sz w:val="24"/>
          <w:szCs w:val="24"/>
        </w:rPr>
      </w:pPr>
      <w:r>
        <w:rPr>
          <w:sz w:val="24"/>
          <w:szCs w:val="24"/>
          <w:spacing w:val="8"/>
        </w:rPr>
        <w:t>期工程”)。</w:t>
      </w:r>
    </w:p>
    <w:p>
      <w:pPr>
        <w:pStyle w:val="BodyText"/>
        <w:ind w:right="207" w:firstLine="479"/>
        <w:spacing w:before="76" w:line="356" w:lineRule="auto"/>
        <w:jc w:val="both"/>
        <w:rPr>
          <w:sz w:val="24"/>
          <w:szCs w:val="24"/>
        </w:rPr>
      </w:pPr>
      <w:r>
        <w:rPr>
          <w:sz w:val="24"/>
          <w:szCs w:val="24"/>
        </w:rPr>
        <w:t>一期工程厂区总用地面积429436.30</w:t>
      </w:r>
      <w:r>
        <w:rPr>
          <w:rFonts w:ascii="Times New Roman" w:hAnsi="Times New Roman" w:eastAsia="Times New Roman" w:cs="Times New Roman"/>
          <w:sz w:val="24"/>
          <w:szCs w:val="24"/>
        </w:rPr>
        <w:t>m²,</w:t>
      </w:r>
      <w:r>
        <w:rPr>
          <w:rFonts w:ascii="Times New Roman" w:hAnsi="Times New Roman" w:eastAsia="Times New Roman" w:cs="Times New Roman"/>
          <w:sz w:val="24"/>
          <w:szCs w:val="24"/>
          <w:spacing w:val="26"/>
          <w:w w:val="101"/>
        </w:rPr>
        <w:t xml:space="preserve">  </w:t>
      </w:r>
      <w:r>
        <w:rPr>
          <w:sz w:val="24"/>
          <w:szCs w:val="24"/>
        </w:rPr>
        <w:t>总建筑面积240501.79</w:t>
      </w:r>
      <w:r>
        <w:rPr>
          <w:rFonts w:ascii="Times New Roman" w:hAnsi="Times New Roman" w:eastAsia="Times New Roman" w:cs="Times New Roman"/>
          <w:sz w:val="24"/>
          <w:szCs w:val="24"/>
        </w:rPr>
        <w:t>m²,</w:t>
      </w:r>
      <w:r>
        <w:rPr>
          <w:rFonts w:ascii="Times New Roman" w:hAnsi="Times New Roman" w:eastAsia="Times New Roman" w:cs="Times New Roman"/>
          <w:sz w:val="24"/>
          <w:szCs w:val="24"/>
          <w:spacing w:val="22"/>
        </w:rPr>
        <w:t xml:space="preserve">  </w:t>
      </w:r>
      <w:r>
        <w:rPr>
          <w:sz w:val="24"/>
          <w:szCs w:val="24"/>
        </w:rPr>
        <w:t>环评</w:t>
      </w:r>
      <w:r>
        <w:rPr>
          <w:sz w:val="24"/>
          <w:szCs w:val="24"/>
          <w:spacing w:val="-1"/>
        </w:rPr>
        <w:t>建设内</w:t>
      </w:r>
      <w:r>
        <w:rPr>
          <w:sz w:val="24"/>
          <w:szCs w:val="24"/>
        </w:rPr>
        <w:t xml:space="preserve"> </w:t>
      </w:r>
      <w:r>
        <w:rPr>
          <w:sz w:val="24"/>
          <w:szCs w:val="24"/>
          <w:spacing w:val="12"/>
        </w:rPr>
        <w:t>容为建设8条电芯生产线及10条模组线，年产锂离子电池10</w:t>
      </w:r>
      <w:r>
        <w:rPr>
          <w:rFonts w:ascii="Times New Roman" w:hAnsi="Times New Roman" w:eastAsia="Times New Roman" w:cs="Times New Roman"/>
          <w:sz w:val="24"/>
          <w:szCs w:val="24"/>
        </w:rPr>
        <w:t>GWh</w:t>
      </w:r>
      <w:r>
        <w:rPr>
          <w:rFonts w:ascii="Times New Roman" w:hAnsi="Times New Roman" w:eastAsia="Times New Roman" w:cs="Times New Roman"/>
          <w:sz w:val="24"/>
          <w:szCs w:val="24"/>
          <w:spacing w:val="12"/>
        </w:rPr>
        <w:t>;</w:t>
      </w:r>
      <w:r>
        <w:rPr>
          <w:rFonts w:ascii="Times New Roman" w:hAnsi="Times New Roman" w:eastAsia="Times New Roman" w:cs="Times New Roman"/>
          <w:sz w:val="24"/>
          <w:szCs w:val="24"/>
          <w:spacing w:val="1"/>
        </w:rPr>
        <w:t xml:space="preserve">   </w:t>
      </w:r>
      <w:r>
        <w:rPr>
          <w:sz w:val="24"/>
          <w:szCs w:val="24"/>
          <w:spacing w:val="12"/>
        </w:rPr>
        <w:t>现实际建设6</w:t>
      </w:r>
      <w:r>
        <w:rPr>
          <w:sz w:val="24"/>
          <w:szCs w:val="24"/>
          <w:spacing w:val="1"/>
        </w:rPr>
        <w:t xml:space="preserve"> </w:t>
      </w:r>
      <w:r>
        <w:rPr>
          <w:sz w:val="24"/>
          <w:szCs w:val="24"/>
          <w:spacing w:val="12"/>
        </w:rPr>
        <w:t>条电芯生产线及6条模组线，年产锂离子电池1</w:t>
      </w:r>
      <w:r>
        <w:rPr>
          <w:sz w:val="24"/>
          <w:szCs w:val="24"/>
          <w:spacing w:val="11"/>
        </w:rPr>
        <w:t>0</w:t>
      </w:r>
      <w:r>
        <w:rPr>
          <w:rFonts w:ascii="Times New Roman" w:hAnsi="Times New Roman" w:eastAsia="Times New Roman" w:cs="Times New Roman"/>
          <w:sz w:val="24"/>
          <w:szCs w:val="24"/>
        </w:rPr>
        <w:t>GWh</w:t>
      </w:r>
      <w:r>
        <w:rPr>
          <w:sz w:val="24"/>
          <w:szCs w:val="24"/>
          <w:spacing w:val="11"/>
        </w:rPr>
        <w:t>。已于2022年8月25日通过</w:t>
      </w:r>
      <w:r>
        <w:rPr>
          <w:sz w:val="24"/>
          <w:szCs w:val="24"/>
        </w:rPr>
        <w:t xml:space="preserve"> </w:t>
      </w:r>
      <w:r>
        <w:rPr>
          <w:sz w:val="24"/>
          <w:szCs w:val="24"/>
        </w:rPr>
        <w:t>竣工环境保护自主验收，其验收范围与内容： </w:t>
      </w:r>
      <w:r>
        <w:rPr>
          <w:rFonts w:ascii="Times New Roman" w:hAnsi="Times New Roman" w:eastAsia="Times New Roman" w:cs="Times New Roman"/>
          <w:sz w:val="24"/>
          <w:szCs w:val="24"/>
        </w:rPr>
        <w:t>X1 </w:t>
      </w:r>
      <w:r>
        <w:rPr>
          <w:sz w:val="24"/>
          <w:szCs w:val="24"/>
        </w:rPr>
        <w:t>厂房6条电芯</w:t>
      </w:r>
      <w:r>
        <w:rPr>
          <w:sz w:val="24"/>
          <w:szCs w:val="24"/>
          <w:spacing w:val="-1"/>
        </w:rPr>
        <w:t>生产线、</w:t>
      </w:r>
      <w:r>
        <w:rPr>
          <w:rFonts w:ascii="Times New Roman" w:hAnsi="Times New Roman" w:eastAsia="Times New Roman" w:cs="Times New Roman"/>
          <w:sz w:val="24"/>
          <w:szCs w:val="24"/>
          <w:spacing w:val="-1"/>
        </w:rPr>
        <w:t>X3 </w:t>
      </w:r>
      <w:r>
        <w:rPr>
          <w:sz w:val="24"/>
          <w:szCs w:val="24"/>
          <w:spacing w:val="-1"/>
        </w:rPr>
        <w:t>厂房对</w:t>
      </w:r>
      <w:r>
        <w:rPr>
          <w:sz w:val="24"/>
          <w:szCs w:val="24"/>
        </w:rPr>
        <w:t xml:space="preserve"> </w:t>
      </w:r>
      <w:r>
        <w:rPr>
          <w:sz w:val="24"/>
          <w:szCs w:val="24"/>
          <w:spacing w:val="1"/>
        </w:rPr>
        <w:t>应6条模组线及配套污水处理站、危废间等辅助设施，年产锂离子电池10</w:t>
      </w:r>
      <w:r>
        <w:rPr>
          <w:rFonts w:ascii="Times New Roman" w:hAnsi="Times New Roman" w:eastAsia="Times New Roman" w:cs="Times New Roman"/>
          <w:sz w:val="24"/>
          <w:szCs w:val="24"/>
        </w:rPr>
        <w:t>GWh</w:t>
      </w:r>
      <w:r>
        <w:rPr>
          <w:rFonts w:ascii="Times New Roman" w:hAnsi="Times New Roman" w:eastAsia="Times New Roman" w:cs="Times New Roman"/>
          <w:sz w:val="24"/>
          <w:szCs w:val="24"/>
          <w:spacing w:val="-22"/>
        </w:rPr>
        <w:t xml:space="preserve"> </w:t>
      </w:r>
      <w:r>
        <w:rPr>
          <w:sz w:val="24"/>
          <w:szCs w:val="24"/>
          <w:spacing w:val="1"/>
        </w:rPr>
        <w:t>。目</w:t>
      </w:r>
      <w:r>
        <w:rPr>
          <w:sz w:val="24"/>
          <w:szCs w:val="24"/>
        </w:rPr>
        <w:t xml:space="preserve"> </w:t>
      </w:r>
      <w:r>
        <w:rPr>
          <w:sz w:val="24"/>
          <w:szCs w:val="24"/>
          <w:spacing w:val="6"/>
        </w:rPr>
        <w:t>前一期工期已达到环评规划的产能，若日后继续建设剩余的2条电芯生产线及4条</w:t>
      </w:r>
    </w:p>
    <w:p>
      <w:pPr>
        <w:pStyle w:val="BodyText"/>
        <w:spacing w:before="1" w:line="219" w:lineRule="auto"/>
        <w:rPr>
          <w:sz w:val="24"/>
          <w:szCs w:val="24"/>
        </w:rPr>
      </w:pPr>
      <w:r>
        <w:rPr>
          <w:sz w:val="24"/>
          <w:szCs w:val="24"/>
          <w:spacing w:val="-2"/>
        </w:rPr>
        <w:t>模组线，建设单位将根据环评要求，向生态环境主管部门申报</w:t>
      </w:r>
      <w:r>
        <w:rPr>
          <w:sz w:val="24"/>
          <w:szCs w:val="24"/>
          <w:spacing w:val="-3"/>
        </w:rPr>
        <w:t>相关手续。</w:t>
      </w:r>
    </w:p>
    <w:p>
      <w:pPr>
        <w:pStyle w:val="BodyText"/>
        <w:ind w:firstLine="479"/>
        <w:spacing w:before="239" w:line="353" w:lineRule="auto"/>
        <w:rPr>
          <w:rFonts w:ascii="Times New Roman" w:hAnsi="Times New Roman" w:eastAsia="Times New Roman" w:cs="Times New Roman"/>
          <w:sz w:val="24"/>
          <w:szCs w:val="24"/>
        </w:rPr>
      </w:pPr>
      <w:r>
        <w:rPr>
          <w:sz w:val="24"/>
          <w:szCs w:val="24"/>
        </w:rPr>
        <w:t>二期工程利用原厂址闲置土地，建设厂房、办</w:t>
      </w:r>
      <w:r>
        <w:rPr>
          <w:sz w:val="24"/>
          <w:szCs w:val="24"/>
          <w:spacing w:val="-1"/>
        </w:rPr>
        <w:t>公室、宿舍楼等，总建筑面积25</w:t>
      </w:r>
      <w:r>
        <w:rPr>
          <w:sz w:val="24"/>
          <w:szCs w:val="24"/>
        </w:rPr>
        <w:t xml:space="preserve">   </w:t>
      </w:r>
      <w:r>
        <w:rPr>
          <w:sz w:val="24"/>
          <w:szCs w:val="24"/>
          <w:spacing w:val="9"/>
        </w:rPr>
        <w:t>万m², 建设动力电池电芯生产线6条，模组生产线5条；改造一期工程锅炉房(锅</w:t>
      </w:r>
      <w:r>
        <w:rPr>
          <w:sz w:val="24"/>
          <w:szCs w:val="24"/>
          <w:spacing w:val="8"/>
        </w:rPr>
        <w:t xml:space="preserve">  </w:t>
      </w:r>
      <w:r>
        <w:rPr>
          <w:sz w:val="24"/>
          <w:szCs w:val="24"/>
          <w:spacing w:val="-1"/>
        </w:rPr>
        <w:t>炉房供热设备调整为9台15</w:t>
      </w:r>
      <w:r>
        <w:rPr>
          <w:rFonts w:ascii="Times New Roman" w:hAnsi="Times New Roman" w:eastAsia="Times New Roman" w:cs="Times New Roman"/>
          <w:sz w:val="24"/>
          <w:szCs w:val="24"/>
          <w:spacing w:val="-1"/>
        </w:rPr>
        <w:t>t/h</w:t>
      </w:r>
      <w:r>
        <w:rPr>
          <w:sz w:val="24"/>
          <w:szCs w:val="24"/>
          <w:spacing w:val="-1"/>
        </w:rPr>
        <w:t>天然气锅炉，用于一期工程和二期工程生产线的供热)。</w:t>
      </w:r>
      <w:r>
        <w:rPr>
          <w:sz w:val="24"/>
          <w:szCs w:val="24"/>
          <w:spacing w:val="6"/>
        </w:rPr>
        <w:t xml:space="preserve"> </w:t>
      </w:r>
      <w:r>
        <w:rPr>
          <w:sz w:val="24"/>
          <w:szCs w:val="24"/>
          <w:spacing w:val="7"/>
        </w:rPr>
        <w:t>二期工程于2022年2月开工建设，因部分电芯生产线及5条模组生产线暂未建设，</w:t>
      </w:r>
      <w:r>
        <w:rPr>
          <w:sz w:val="24"/>
          <w:szCs w:val="24"/>
          <w:spacing w:val="6"/>
        </w:rPr>
        <w:t xml:space="preserve">  </w:t>
      </w:r>
      <w:r>
        <w:rPr>
          <w:sz w:val="24"/>
          <w:szCs w:val="24"/>
          <w:spacing w:val="9"/>
        </w:rPr>
        <w:t>于2023年4月15日通过了竣工环境保护自主阶段性验收，验收范围为动力电池电</w:t>
      </w:r>
      <w:r>
        <w:rPr>
          <w:sz w:val="24"/>
          <w:szCs w:val="24"/>
          <w:spacing w:val="8"/>
        </w:rPr>
        <w:t xml:space="preserve">  </w:t>
      </w:r>
      <w:r>
        <w:rPr>
          <w:sz w:val="24"/>
          <w:szCs w:val="24"/>
          <w:spacing w:val="6"/>
        </w:rPr>
        <w:t>芯生产线前工序6条，动力电池电芯生产线后工序2条，改造一期项目锅炉房，锅  </w:t>
      </w:r>
      <w:r>
        <w:rPr>
          <w:sz w:val="24"/>
          <w:szCs w:val="24"/>
          <w:spacing w:val="7"/>
        </w:rPr>
        <w:t>炉房供热设备由原本的5台15</w:t>
      </w:r>
      <w:r>
        <w:rPr>
          <w:rFonts w:ascii="Times New Roman" w:hAnsi="Times New Roman" w:eastAsia="Times New Roman" w:cs="Times New Roman"/>
          <w:sz w:val="24"/>
          <w:szCs w:val="24"/>
          <w:spacing w:val="7"/>
        </w:rPr>
        <w:t>t/h</w:t>
      </w:r>
      <w:r>
        <w:rPr>
          <w:sz w:val="24"/>
          <w:szCs w:val="24"/>
          <w:spacing w:val="7"/>
        </w:rPr>
        <w:t>天然气锅炉调整为5台15</w:t>
      </w:r>
      <w:r>
        <w:rPr>
          <w:rFonts w:ascii="Times New Roman" w:hAnsi="Times New Roman" w:eastAsia="Times New Roman" w:cs="Times New Roman"/>
          <w:sz w:val="24"/>
          <w:szCs w:val="24"/>
          <w:spacing w:val="7"/>
        </w:rPr>
        <w:t>t/h</w:t>
      </w:r>
      <w:r>
        <w:rPr>
          <w:sz w:val="24"/>
          <w:szCs w:val="24"/>
          <w:spacing w:val="7"/>
        </w:rPr>
        <w:t>天然气锅炉和2台12</w:t>
      </w:r>
      <w:r>
        <w:rPr>
          <w:rFonts w:ascii="Times New Roman" w:hAnsi="Times New Roman" w:eastAsia="Times New Roman" w:cs="Times New Roman"/>
          <w:sz w:val="24"/>
          <w:szCs w:val="24"/>
          <w:spacing w:val="7"/>
        </w:rPr>
        <w:t>t/h</w:t>
      </w:r>
    </w:p>
    <w:p>
      <w:pPr>
        <w:pStyle w:val="BodyText"/>
        <w:spacing w:line="216" w:lineRule="auto"/>
        <w:rPr>
          <w:sz w:val="24"/>
          <w:szCs w:val="24"/>
        </w:rPr>
      </w:pPr>
      <w:r>
        <w:rPr>
          <w:sz w:val="24"/>
          <w:szCs w:val="24"/>
          <w:spacing w:val="11"/>
        </w:rPr>
        <w:t>天然气锅炉，7台天然气锅炉分别为5台锅炉用于</w:t>
      </w:r>
      <w:r>
        <w:rPr>
          <w:sz w:val="24"/>
          <w:szCs w:val="24"/>
          <w:spacing w:val="10"/>
        </w:rPr>
        <w:t>一期工程(产能10</w:t>
      </w:r>
      <w:r>
        <w:rPr>
          <w:sz w:val="24"/>
          <w:szCs w:val="24"/>
        </w:rPr>
        <w:t>GWh</w:t>
      </w:r>
      <w:r>
        <w:rPr>
          <w:sz w:val="24"/>
          <w:szCs w:val="24"/>
          <w:spacing w:val="10"/>
        </w:rPr>
        <w:t>),2</w:t>
      </w:r>
      <w:r>
        <w:rPr>
          <w:sz w:val="24"/>
          <w:szCs w:val="24"/>
          <w:spacing w:val="1"/>
        </w:rPr>
        <w:t xml:space="preserve">    </w:t>
      </w:r>
      <w:r>
        <w:rPr>
          <w:sz w:val="24"/>
          <w:szCs w:val="24"/>
          <w:spacing w:val="10"/>
        </w:rPr>
        <w:t>台</w:t>
      </w:r>
    </w:p>
    <w:p>
      <w:pPr>
        <w:spacing w:line="216" w:lineRule="auto"/>
        <w:sectPr>
          <w:footerReference w:type="default" r:id="rId165"/>
          <w:pgSz w:w="11900" w:h="16840"/>
          <w:pgMar w:top="1431" w:right="1340" w:bottom="1128" w:left="1700" w:header="0" w:footer="989" w:gutter="0"/>
        </w:sectPr>
        <w:rPr>
          <w:sz w:val="24"/>
          <w:szCs w:val="24"/>
        </w:rPr>
      </w:pPr>
    </w:p>
    <w:p>
      <w:pPr>
        <w:pStyle w:val="BodyText"/>
        <w:ind w:left="29"/>
        <w:spacing w:before="51" w:line="212" w:lineRule="auto"/>
        <w:rPr>
          <w:sz w:val="24"/>
          <w:szCs w:val="24"/>
        </w:rPr>
      </w:pPr>
      <w:r>
        <w:rPr>
          <w:sz w:val="24"/>
          <w:szCs w:val="24"/>
          <w:spacing w:val="1"/>
        </w:rPr>
        <w:t>锅炉用于二期工程已建生产线(产能6.7</w:t>
      </w:r>
      <w:r>
        <w:rPr>
          <w:rFonts w:ascii="Times New Roman" w:hAnsi="Times New Roman" w:eastAsia="Times New Roman" w:cs="Times New Roman"/>
          <w:sz w:val="24"/>
          <w:szCs w:val="24"/>
        </w:rPr>
        <w:t>GWh</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30"/>
        </w:rPr>
        <w:t xml:space="preserve">  </w:t>
      </w:r>
      <w:r>
        <w:rPr>
          <w:sz w:val="24"/>
          <w:szCs w:val="24"/>
          <w:spacing w:val="1"/>
        </w:rPr>
        <w:t>的供热。不涉及凹版工序。</w:t>
      </w:r>
    </w:p>
    <w:p>
      <w:pPr>
        <w:pStyle w:val="BodyText"/>
        <w:ind w:left="29" w:firstLine="479"/>
        <w:spacing w:before="229" w:line="354" w:lineRule="auto"/>
        <w:jc w:val="both"/>
        <w:rPr>
          <w:rFonts w:ascii="Times New Roman" w:hAnsi="Times New Roman" w:eastAsia="Times New Roman" w:cs="Times New Roman"/>
          <w:sz w:val="24"/>
          <w:szCs w:val="24"/>
        </w:rPr>
      </w:pPr>
      <w:r>
        <w:rPr>
          <w:sz w:val="24"/>
          <w:szCs w:val="24"/>
        </w:rPr>
        <w:t>本项目新增用地49亩，位于现有工程用地的西北侧</w:t>
      </w:r>
      <w:r>
        <w:rPr>
          <w:sz w:val="24"/>
          <w:szCs w:val="24"/>
          <w:spacing w:val="-1"/>
        </w:rPr>
        <w:t>，主要建设凹版车间、凹版</w:t>
      </w:r>
      <w:r>
        <w:rPr>
          <w:sz w:val="24"/>
          <w:szCs w:val="24"/>
        </w:rPr>
        <w:t xml:space="preserve">  </w:t>
      </w:r>
      <w:r>
        <w:rPr>
          <w:sz w:val="24"/>
          <w:szCs w:val="24"/>
          <w:spacing w:val="-8"/>
        </w:rPr>
        <w:t>设施房、门卫房、厂区风雨连廊、</w:t>
      </w:r>
      <w:r>
        <w:rPr>
          <w:rFonts w:ascii="Times New Roman" w:hAnsi="Times New Roman" w:eastAsia="Times New Roman" w:cs="Times New Roman"/>
          <w:sz w:val="24"/>
          <w:szCs w:val="24"/>
          <w:spacing w:val="-8"/>
        </w:rPr>
        <w:t>NMP</w:t>
      </w:r>
      <w:r>
        <w:rPr>
          <w:rFonts w:ascii="Times New Roman" w:hAnsi="Times New Roman" w:eastAsia="Times New Roman" w:cs="Times New Roman"/>
          <w:sz w:val="24"/>
          <w:szCs w:val="24"/>
          <w:spacing w:val="30"/>
        </w:rPr>
        <w:t xml:space="preserve"> </w:t>
      </w:r>
      <w:r>
        <w:rPr>
          <w:sz w:val="24"/>
          <w:szCs w:val="24"/>
          <w:spacing w:val="-8"/>
        </w:rPr>
        <w:t>罐区</w:t>
      </w:r>
      <w:r>
        <w:rPr>
          <w:rFonts w:ascii="Times New Roman" w:hAnsi="Times New Roman" w:eastAsia="Times New Roman" w:cs="Times New Roman"/>
          <w:sz w:val="24"/>
          <w:szCs w:val="24"/>
          <w:spacing w:val="-8"/>
        </w:rPr>
        <w:t>C</w:t>
      </w:r>
      <w:r>
        <w:rPr>
          <w:sz w:val="24"/>
          <w:szCs w:val="24"/>
          <w:spacing w:val="-8"/>
        </w:rPr>
        <w:t>(丙类防火等级，设有容积均为101.7</w:t>
      </w:r>
      <w:r>
        <w:rPr>
          <w:rFonts w:ascii="Times New Roman" w:hAnsi="Times New Roman" w:eastAsia="Times New Roman" w:cs="Times New Roman"/>
          <w:sz w:val="24"/>
          <w:szCs w:val="24"/>
          <w:spacing w:val="-8"/>
        </w:rPr>
        <w:t>m³   </w:t>
      </w:r>
      <w:r>
        <w:rPr>
          <w:sz w:val="24"/>
          <w:szCs w:val="24"/>
          <w:spacing w:val="4"/>
        </w:rPr>
        <w:t>的</w:t>
      </w:r>
      <w:r>
        <w:rPr>
          <w:sz w:val="24"/>
          <w:szCs w:val="24"/>
          <w:spacing w:val="-67"/>
        </w:rPr>
        <w:t xml:space="preserve"> </w:t>
      </w:r>
      <w:r>
        <w:rPr>
          <w:sz w:val="24"/>
          <w:szCs w:val="24"/>
        </w:rPr>
        <w:t>NMP</w:t>
      </w:r>
      <w:r>
        <w:rPr>
          <w:sz w:val="24"/>
          <w:szCs w:val="24"/>
          <w:spacing w:val="92"/>
        </w:rPr>
        <w:t xml:space="preserve"> </w:t>
      </w:r>
      <w:r>
        <w:rPr>
          <w:sz w:val="24"/>
          <w:szCs w:val="24"/>
          <w:spacing w:val="4"/>
        </w:rPr>
        <w:t>储罐4个，其中</w:t>
      </w:r>
      <w:r>
        <w:rPr>
          <w:sz w:val="24"/>
          <w:szCs w:val="24"/>
        </w:rPr>
        <w:t>NMP</w:t>
      </w:r>
      <w:r>
        <w:rPr>
          <w:sz w:val="24"/>
          <w:szCs w:val="24"/>
          <w:spacing w:val="102"/>
        </w:rPr>
        <w:t xml:space="preserve"> </w:t>
      </w:r>
      <w:r>
        <w:rPr>
          <w:sz w:val="24"/>
          <w:szCs w:val="24"/>
          <w:spacing w:val="4"/>
        </w:rPr>
        <w:t>原料罐2个，</w:t>
      </w:r>
      <w:r>
        <w:rPr>
          <w:sz w:val="24"/>
          <w:szCs w:val="24"/>
          <w:spacing w:val="-30"/>
        </w:rPr>
        <w:t xml:space="preserve"> </w:t>
      </w:r>
      <w:r>
        <w:rPr>
          <w:sz w:val="24"/>
          <w:szCs w:val="24"/>
        </w:rPr>
        <w:t>NMP</w:t>
      </w:r>
      <w:r>
        <w:rPr>
          <w:sz w:val="24"/>
          <w:szCs w:val="24"/>
          <w:spacing w:val="112"/>
        </w:rPr>
        <w:t xml:space="preserve"> </w:t>
      </w:r>
      <w:r>
        <w:rPr>
          <w:sz w:val="24"/>
          <w:szCs w:val="24"/>
          <w:spacing w:val="4"/>
        </w:rPr>
        <w:t>废料罐2个，配套泵机计量系统)、</w:t>
      </w:r>
      <w:r>
        <w:rPr>
          <w:sz w:val="24"/>
          <w:szCs w:val="24"/>
        </w:rPr>
        <w:t xml:space="preserve"> </w:t>
      </w:r>
      <w:r>
        <w:rPr>
          <w:rFonts w:ascii="Times New Roman" w:hAnsi="Times New Roman" w:eastAsia="Times New Roman" w:cs="Times New Roman"/>
          <w:sz w:val="24"/>
          <w:szCs w:val="24"/>
          <w:spacing w:val="-2"/>
        </w:rPr>
        <w:t>NMP</w:t>
      </w:r>
      <w:r>
        <w:rPr>
          <w:sz w:val="24"/>
          <w:szCs w:val="24"/>
          <w:spacing w:val="-2"/>
        </w:rPr>
        <w:t>泵房二、给水管网等，总建筑面积38183.29</w:t>
      </w:r>
      <w:r>
        <w:rPr>
          <w:rFonts w:ascii="Times New Roman" w:hAnsi="Times New Roman" w:eastAsia="Times New Roman" w:cs="Times New Roman"/>
          <w:sz w:val="24"/>
          <w:szCs w:val="24"/>
          <w:spacing w:val="-2"/>
        </w:rPr>
        <w:t>m², </w:t>
      </w:r>
      <w:r>
        <w:rPr>
          <w:sz w:val="24"/>
          <w:szCs w:val="24"/>
          <w:spacing w:val="-2"/>
        </w:rPr>
        <w:t>主要购置包括搅拌机、涂布机、</w:t>
      </w:r>
      <w:r>
        <w:rPr>
          <w:sz w:val="24"/>
          <w:szCs w:val="24"/>
          <w:spacing w:val="18"/>
        </w:rPr>
        <w:t xml:space="preserve"> </w:t>
      </w:r>
      <w:r>
        <w:rPr>
          <w:sz w:val="24"/>
          <w:szCs w:val="24"/>
        </w:rPr>
        <w:t>凹版印刷机、锅炉等设备，建设阴、阳极片生产线各四条，阴、阳凹版生产线各一</w:t>
      </w:r>
      <w:r>
        <w:rPr>
          <w:sz w:val="24"/>
          <w:szCs w:val="24"/>
          <w:spacing w:val="1"/>
        </w:rPr>
        <w:t xml:space="preserve">  </w:t>
      </w:r>
      <w:r>
        <w:rPr>
          <w:sz w:val="24"/>
          <w:szCs w:val="24"/>
          <w:spacing w:val="6"/>
        </w:rPr>
        <w:t>条。新增凹版车间阴、阳极极片适配现有二期工程年产20</w:t>
      </w:r>
      <w:r>
        <w:rPr>
          <w:rFonts w:ascii="Times New Roman" w:hAnsi="Times New Roman" w:eastAsia="Times New Roman" w:cs="Times New Roman"/>
          <w:sz w:val="24"/>
          <w:szCs w:val="24"/>
        </w:rPr>
        <w:t>GWh</w:t>
      </w:r>
      <w:r>
        <w:rPr>
          <w:rFonts w:ascii="Times New Roman" w:hAnsi="Times New Roman" w:eastAsia="Times New Roman" w:cs="Times New Roman"/>
          <w:sz w:val="24"/>
          <w:szCs w:val="24"/>
          <w:spacing w:val="6"/>
        </w:rPr>
        <w:t xml:space="preserve"> </w:t>
      </w:r>
      <w:r>
        <w:rPr>
          <w:sz w:val="24"/>
          <w:szCs w:val="24"/>
          <w:spacing w:val="6"/>
        </w:rPr>
        <w:t>动力电池中8</w:t>
      </w:r>
      <w:r>
        <w:rPr>
          <w:rFonts w:ascii="Times New Roman" w:hAnsi="Times New Roman" w:eastAsia="Times New Roman" w:cs="Times New Roman"/>
          <w:sz w:val="24"/>
          <w:szCs w:val="24"/>
        </w:rPr>
        <w:t>GWh</w:t>
      </w:r>
    </w:p>
    <w:p>
      <w:pPr>
        <w:pStyle w:val="BodyText"/>
        <w:ind w:left="29"/>
        <w:spacing w:line="218" w:lineRule="auto"/>
        <w:rPr>
          <w:sz w:val="24"/>
          <w:szCs w:val="24"/>
        </w:rPr>
      </w:pPr>
      <w:r>
        <w:rPr>
          <w:sz w:val="24"/>
          <w:szCs w:val="24"/>
          <w:spacing w:val="-2"/>
        </w:rPr>
        <w:t>的极片，全厂整体产能不变。阴、阳凹版仅提供给本厂区生产，不外售。</w:t>
      </w:r>
    </w:p>
    <w:p>
      <w:pPr>
        <w:pStyle w:val="BodyText"/>
        <w:ind w:left="519"/>
        <w:spacing w:before="216" w:line="428" w:lineRule="exact"/>
        <w:rPr>
          <w:sz w:val="24"/>
          <w:szCs w:val="24"/>
        </w:rPr>
      </w:pPr>
      <w:r>
        <w:rPr>
          <w:sz w:val="24"/>
          <w:szCs w:val="24"/>
          <w:spacing w:val="6"/>
          <w:position w:val="14"/>
        </w:rPr>
        <w:t>项目于2023年10月10日通过霞浦县工业和信息化局备案，备案号为闽工信备</w:t>
      </w:r>
    </w:p>
    <w:p>
      <w:pPr>
        <w:pStyle w:val="BodyText"/>
        <w:ind w:left="149"/>
        <w:spacing w:before="1" w:line="217" w:lineRule="auto"/>
        <w:rPr>
          <w:sz w:val="24"/>
          <w:szCs w:val="24"/>
        </w:rPr>
      </w:pPr>
      <w:r>
        <w:rPr>
          <w:sz w:val="24"/>
          <w:szCs w:val="24"/>
          <w:spacing w:val="-6"/>
        </w:rPr>
        <w:t>(2022)J040019</w:t>
      </w:r>
      <w:r>
        <w:rPr>
          <w:sz w:val="24"/>
          <w:szCs w:val="24"/>
          <w:spacing w:val="104"/>
        </w:rPr>
        <w:t xml:space="preserve"> </w:t>
      </w:r>
      <w:r>
        <w:rPr>
          <w:sz w:val="24"/>
          <w:szCs w:val="24"/>
          <w:spacing w:val="-6"/>
        </w:rPr>
        <w:t>号。</w:t>
      </w:r>
    </w:p>
    <w:p>
      <w:pPr>
        <w:spacing w:line="244" w:lineRule="auto"/>
        <w:rPr>
          <w:rFonts w:ascii="Arial"/>
          <w:sz w:val="21"/>
        </w:rPr>
      </w:pPr>
      <w:r/>
    </w:p>
    <w:p>
      <w:pPr>
        <w:pStyle w:val="BodyText"/>
        <w:ind w:left="33"/>
        <w:spacing w:before="78" w:line="219" w:lineRule="auto"/>
        <w:outlineLvl w:val="6"/>
        <w:rPr>
          <w:sz w:val="24"/>
          <w:szCs w:val="24"/>
        </w:rPr>
      </w:pPr>
      <w:r>
        <w:rPr>
          <w:sz w:val="24"/>
          <w:szCs w:val="24"/>
          <w:b/>
          <w:bCs/>
          <w:spacing w:val="18"/>
        </w:rPr>
        <w:t>1</w:t>
      </w:r>
      <w:r>
        <w:rPr>
          <w:sz w:val="24"/>
          <w:szCs w:val="24"/>
          <w:spacing w:val="-51"/>
        </w:rPr>
        <w:t xml:space="preserve"> </w:t>
      </w:r>
      <w:r>
        <w:rPr>
          <w:sz w:val="24"/>
          <w:szCs w:val="24"/>
          <w:b/>
          <w:bCs/>
          <w:spacing w:val="18"/>
        </w:rPr>
        <w:t>.</w:t>
      </w:r>
      <w:r>
        <w:rPr>
          <w:sz w:val="24"/>
          <w:szCs w:val="24"/>
          <w:spacing w:val="-57"/>
        </w:rPr>
        <w:t xml:space="preserve"> </w:t>
      </w:r>
      <w:r>
        <w:rPr>
          <w:sz w:val="24"/>
          <w:szCs w:val="24"/>
          <w:b/>
          <w:bCs/>
          <w:spacing w:val="18"/>
        </w:rPr>
        <w:t>2编制依据</w:t>
      </w:r>
    </w:p>
    <w:p>
      <w:pPr>
        <w:spacing w:line="267" w:lineRule="auto"/>
        <w:rPr>
          <w:rFonts w:ascii="Arial"/>
          <w:sz w:val="21"/>
        </w:rPr>
      </w:pPr>
      <w:r/>
    </w:p>
    <w:p>
      <w:pPr>
        <w:pStyle w:val="BodyText"/>
        <w:ind w:left="33"/>
        <w:spacing w:before="79" w:line="219" w:lineRule="auto"/>
        <w:outlineLvl w:val="6"/>
        <w:rPr>
          <w:sz w:val="24"/>
          <w:szCs w:val="24"/>
        </w:rPr>
      </w:pPr>
      <w:r>
        <w:rPr>
          <w:sz w:val="24"/>
          <w:szCs w:val="24"/>
          <w:b/>
          <w:bCs/>
          <w:spacing w:val="10"/>
        </w:rPr>
        <w:t>1.2.1</w:t>
      </w:r>
      <w:r>
        <w:rPr>
          <w:sz w:val="24"/>
          <w:szCs w:val="24"/>
          <w:spacing w:val="10"/>
        </w:rPr>
        <w:t xml:space="preserve"> </w:t>
      </w:r>
      <w:r>
        <w:rPr>
          <w:sz w:val="24"/>
          <w:szCs w:val="24"/>
          <w:b/>
          <w:bCs/>
          <w:spacing w:val="10"/>
        </w:rPr>
        <w:t>国家环保法律法规</w:t>
      </w:r>
    </w:p>
    <w:p>
      <w:pPr>
        <w:pStyle w:val="BodyText"/>
        <w:ind w:left="609"/>
        <w:spacing w:before="228" w:line="471" w:lineRule="exact"/>
        <w:rPr>
          <w:sz w:val="24"/>
          <w:szCs w:val="24"/>
        </w:rPr>
      </w:pPr>
      <w:r>
        <w:rPr>
          <w:sz w:val="24"/>
          <w:szCs w:val="24"/>
          <w:spacing w:val="-16"/>
          <w:position w:val="17"/>
        </w:rPr>
        <w:t>(1)</w:t>
      </w:r>
      <w:r>
        <w:rPr>
          <w:sz w:val="24"/>
          <w:szCs w:val="24"/>
          <w:spacing w:val="18"/>
          <w:position w:val="17"/>
        </w:rPr>
        <w:t xml:space="preserve">  </w:t>
      </w:r>
      <w:r>
        <w:rPr>
          <w:sz w:val="24"/>
          <w:szCs w:val="24"/>
          <w:spacing w:val="-16"/>
          <w:position w:val="17"/>
        </w:rPr>
        <w:t>《中华人民共和国环境保护法》</w:t>
      </w:r>
      <w:r>
        <w:rPr>
          <w:sz w:val="24"/>
          <w:szCs w:val="24"/>
          <w:spacing w:val="101"/>
          <w:position w:val="17"/>
        </w:rPr>
        <w:t xml:space="preserve"> </w:t>
      </w:r>
      <w:r>
        <w:rPr>
          <w:sz w:val="24"/>
          <w:szCs w:val="24"/>
          <w:spacing w:val="24"/>
          <w:position w:val="17"/>
        </w:rPr>
        <w:t>(2014年4月24日修订，2015年1月1</w:t>
      </w:r>
    </w:p>
    <w:p>
      <w:pPr>
        <w:pStyle w:val="BodyText"/>
        <w:ind w:left="29"/>
        <w:spacing w:line="220" w:lineRule="auto"/>
        <w:rPr>
          <w:sz w:val="24"/>
          <w:szCs w:val="24"/>
        </w:rPr>
      </w:pPr>
      <w:r>
        <w:rPr>
          <w:sz w:val="24"/>
          <w:szCs w:val="24"/>
          <w:spacing w:val="15"/>
        </w:rPr>
        <w:t>日起施行);</w:t>
      </w:r>
    </w:p>
    <w:p>
      <w:pPr>
        <w:pStyle w:val="BodyText"/>
        <w:ind w:left="609"/>
        <w:spacing w:before="193" w:line="219" w:lineRule="auto"/>
        <w:rPr>
          <w:sz w:val="24"/>
          <w:szCs w:val="24"/>
        </w:rPr>
      </w:pPr>
      <w:r>
        <w:rPr>
          <w:sz w:val="24"/>
          <w:szCs w:val="24"/>
          <w:spacing w:val="-12"/>
        </w:rPr>
        <w:t>(2)  《中华人民共和国突发事件应对法》  </w:t>
      </w:r>
      <w:r>
        <w:rPr>
          <w:sz w:val="24"/>
          <w:szCs w:val="24"/>
          <w:spacing w:val="27"/>
        </w:rPr>
        <w:t>(2007年11月1日起施行);</w:t>
      </w:r>
    </w:p>
    <w:p>
      <w:pPr>
        <w:pStyle w:val="BodyText"/>
        <w:ind w:left="609"/>
        <w:spacing w:before="176" w:line="219" w:lineRule="auto"/>
        <w:rPr>
          <w:sz w:val="24"/>
          <w:szCs w:val="24"/>
        </w:rPr>
      </w:pPr>
      <w:r>
        <w:rPr>
          <w:sz w:val="24"/>
          <w:szCs w:val="24"/>
          <w:spacing w:val="4"/>
        </w:rPr>
        <w:t>(3)  《国家突发环境事件应急预案》  (国务院，2014年12月29日施行);</w:t>
      </w:r>
    </w:p>
    <w:p>
      <w:pPr>
        <w:pStyle w:val="BodyText"/>
        <w:ind w:left="609"/>
        <w:spacing w:before="185" w:line="480" w:lineRule="exact"/>
        <w:rPr>
          <w:sz w:val="24"/>
          <w:szCs w:val="24"/>
        </w:rPr>
      </w:pPr>
      <w:r>
        <w:rPr>
          <w:sz w:val="24"/>
          <w:szCs w:val="24"/>
          <w:spacing w:val="2"/>
          <w:position w:val="18"/>
        </w:rPr>
        <w:t>(4)</w:t>
      </w:r>
      <w:r>
        <w:rPr>
          <w:sz w:val="24"/>
          <w:szCs w:val="24"/>
          <w:spacing w:val="112"/>
          <w:position w:val="18"/>
        </w:rPr>
        <w:t xml:space="preserve"> </w:t>
      </w:r>
      <w:r>
        <w:rPr>
          <w:sz w:val="24"/>
          <w:szCs w:val="24"/>
          <w:spacing w:val="2"/>
          <w:position w:val="18"/>
        </w:rPr>
        <w:t>《危险化学品安全管理条例》</w:t>
      </w:r>
      <w:r>
        <w:rPr>
          <w:sz w:val="24"/>
          <w:szCs w:val="24"/>
          <w:spacing w:val="80"/>
          <w:position w:val="18"/>
        </w:rPr>
        <w:t xml:space="preserve"> </w:t>
      </w:r>
      <w:r>
        <w:rPr>
          <w:sz w:val="24"/>
          <w:szCs w:val="24"/>
          <w:spacing w:val="2"/>
          <w:position w:val="18"/>
        </w:rPr>
        <w:t>(国务院，2013年12</w:t>
      </w:r>
      <w:r>
        <w:rPr>
          <w:sz w:val="24"/>
          <w:szCs w:val="24"/>
          <w:spacing w:val="1"/>
          <w:position w:val="18"/>
        </w:rPr>
        <w:t>月4日修订，2013年</w:t>
      </w:r>
    </w:p>
    <w:p>
      <w:pPr>
        <w:pStyle w:val="BodyText"/>
        <w:ind w:left="29"/>
        <w:spacing w:line="219" w:lineRule="auto"/>
        <w:rPr>
          <w:sz w:val="24"/>
          <w:szCs w:val="24"/>
        </w:rPr>
      </w:pPr>
      <w:r>
        <w:rPr>
          <w:sz w:val="24"/>
          <w:szCs w:val="24"/>
          <w:spacing w:val="24"/>
        </w:rPr>
        <w:t>12月7日起施行);</w:t>
      </w:r>
    </w:p>
    <w:p>
      <w:pPr>
        <w:pStyle w:val="BodyText"/>
        <w:ind w:left="609"/>
        <w:spacing w:before="183" w:line="462" w:lineRule="exact"/>
        <w:rPr>
          <w:sz w:val="24"/>
          <w:szCs w:val="24"/>
        </w:rPr>
      </w:pPr>
      <w:r>
        <w:rPr>
          <w:sz w:val="24"/>
          <w:szCs w:val="24"/>
          <w:spacing w:val="-11"/>
          <w:position w:val="16"/>
        </w:rPr>
        <w:t>(5)  《生产安全事故调查报告与调查处理条例》  </w:t>
      </w:r>
      <w:r>
        <w:rPr>
          <w:sz w:val="24"/>
          <w:szCs w:val="24"/>
          <w:spacing w:val="27"/>
          <w:position w:val="16"/>
        </w:rPr>
        <w:t>(2007年6月1日起施行);</w:t>
      </w:r>
    </w:p>
    <w:p>
      <w:pPr>
        <w:pStyle w:val="BodyText"/>
        <w:ind w:left="609"/>
        <w:spacing w:line="219" w:lineRule="auto"/>
        <w:rPr>
          <w:sz w:val="24"/>
          <w:szCs w:val="24"/>
        </w:rPr>
      </w:pPr>
      <w:r>
        <w:rPr>
          <w:sz w:val="24"/>
          <w:szCs w:val="24"/>
          <w:spacing w:val="-21"/>
        </w:rPr>
        <w:t>(6)</w:t>
      </w:r>
      <w:r>
        <w:rPr>
          <w:sz w:val="24"/>
          <w:szCs w:val="24"/>
          <w:spacing w:val="14"/>
        </w:rPr>
        <w:t xml:space="preserve">  </w:t>
      </w:r>
      <w:r>
        <w:rPr>
          <w:sz w:val="24"/>
          <w:szCs w:val="24"/>
          <w:spacing w:val="-21"/>
        </w:rPr>
        <w:t>《国家危险废物名录》</w:t>
      </w:r>
      <w:r>
        <w:rPr>
          <w:sz w:val="24"/>
          <w:szCs w:val="24"/>
          <w:spacing w:val="5"/>
        </w:rPr>
        <w:t xml:space="preserve">  </w:t>
      </w:r>
      <w:r>
        <w:rPr>
          <w:sz w:val="24"/>
          <w:szCs w:val="24"/>
          <w:spacing w:val="22"/>
        </w:rPr>
        <w:t>(2021年版，2021年1月1日起施行);</w:t>
      </w:r>
    </w:p>
    <w:p>
      <w:pPr>
        <w:pStyle w:val="BodyText"/>
        <w:ind w:left="609"/>
        <w:spacing w:before="175" w:line="480" w:lineRule="exact"/>
        <w:rPr>
          <w:sz w:val="24"/>
          <w:szCs w:val="24"/>
        </w:rPr>
      </w:pPr>
      <w:r>
        <w:rPr>
          <w:sz w:val="24"/>
          <w:szCs w:val="24"/>
          <w:spacing w:val="-2"/>
          <w:position w:val="18"/>
        </w:rPr>
        <w:t>(7)  《福建省生态环境保护条例》  (福建省人民代表大会常务委员会，2022</w:t>
      </w:r>
    </w:p>
    <w:p>
      <w:pPr>
        <w:pStyle w:val="BodyText"/>
        <w:ind w:left="29"/>
        <w:spacing w:before="1" w:line="219" w:lineRule="auto"/>
        <w:rPr>
          <w:sz w:val="24"/>
          <w:szCs w:val="24"/>
        </w:rPr>
      </w:pPr>
      <w:r>
        <w:rPr>
          <w:sz w:val="24"/>
          <w:szCs w:val="24"/>
          <w:spacing w:val="27"/>
        </w:rPr>
        <w:t>年3月30日，2022年5月1日起施行)。</w:t>
      </w:r>
    </w:p>
    <w:p>
      <w:pPr>
        <w:pStyle w:val="BodyText"/>
        <w:ind w:left="609"/>
        <w:spacing w:before="175" w:line="479" w:lineRule="exact"/>
        <w:rPr>
          <w:sz w:val="24"/>
          <w:szCs w:val="24"/>
        </w:rPr>
      </w:pPr>
      <w:r>
        <w:rPr>
          <w:sz w:val="24"/>
          <w:szCs w:val="24"/>
          <w:spacing w:val="-3"/>
          <w:position w:val="18"/>
        </w:rPr>
        <w:t>(8)</w:t>
      </w:r>
      <w:r>
        <w:rPr>
          <w:sz w:val="24"/>
          <w:szCs w:val="24"/>
          <w:spacing w:val="115"/>
          <w:position w:val="18"/>
        </w:rPr>
        <w:t xml:space="preserve"> </w:t>
      </w:r>
      <w:r>
        <w:rPr>
          <w:sz w:val="24"/>
          <w:szCs w:val="24"/>
          <w:spacing w:val="-3"/>
          <w:position w:val="18"/>
        </w:rPr>
        <w:t>《福建省环保厅关于规范突发环境事件应急预案管理工作的通知》(闽环</w:t>
      </w:r>
    </w:p>
    <w:p>
      <w:pPr>
        <w:pStyle w:val="BodyText"/>
        <w:ind w:left="29"/>
        <w:spacing w:before="1" w:line="218" w:lineRule="auto"/>
        <w:rPr>
          <w:sz w:val="24"/>
          <w:szCs w:val="24"/>
        </w:rPr>
      </w:pPr>
      <w:r>
        <w:rPr>
          <w:sz w:val="24"/>
          <w:szCs w:val="24"/>
          <w:spacing w:val="16"/>
        </w:rPr>
        <w:t>保应急〔2013〕17号，2013年6月6日发布施行);</w:t>
      </w:r>
    </w:p>
    <w:p>
      <w:pPr>
        <w:pStyle w:val="BodyText"/>
        <w:ind w:left="29" w:right="85" w:firstLine="580"/>
        <w:spacing w:before="186" w:line="354" w:lineRule="auto"/>
        <w:rPr>
          <w:sz w:val="24"/>
          <w:szCs w:val="24"/>
        </w:rPr>
      </w:pPr>
      <w:r>
        <w:rPr>
          <w:sz w:val="24"/>
          <w:szCs w:val="24"/>
          <w:spacing w:val="-3"/>
        </w:rPr>
        <w:t>(9)  《福建省生态环境厅  福建省应急管理厅关于印发&lt;福建省废弃危险化学</w:t>
      </w:r>
      <w:r>
        <w:rPr>
          <w:sz w:val="24"/>
          <w:szCs w:val="24"/>
          <w:spacing w:val="16"/>
        </w:rPr>
        <w:t xml:space="preserve"> </w:t>
      </w:r>
      <w:r>
        <w:rPr>
          <w:sz w:val="24"/>
          <w:szCs w:val="24"/>
          <w:spacing w:val="1"/>
        </w:rPr>
        <w:t>品等危险废物风险集中治理实施方案&gt;的通知》  </w:t>
      </w:r>
      <w:r>
        <w:rPr>
          <w:sz w:val="24"/>
          <w:szCs w:val="24"/>
        </w:rPr>
        <w:t>(闽环保固体〔2022〕13号，2022</w:t>
      </w:r>
    </w:p>
    <w:p>
      <w:pPr>
        <w:pStyle w:val="BodyText"/>
        <w:spacing w:line="219" w:lineRule="auto"/>
        <w:rPr>
          <w:sz w:val="24"/>
          <w:szCs w:val="24"/>
        </w:rPr>
      </w:pPr>
      <w:r>
        <w:rPr>
          <w:sz w:val="24"/>
          <w:szCs w:val="24"/>
          <w:spacing w:val="37"/>
        </w:rPr>
        <w:t>年5月19日)。</w:t>
      </w:r>
    </w:p>
    <w:p>
      <w:pPr>
        <w:pStyle w:val="BodyText"/>
        <w:ind w:left="33"/>
        <w:spacing w:before="272" w:line="219" w:lineRule="auto"/>
        <w:outlineLvl w:val="6"/>
        <w:rPr>
          <w:sz w:val="24"/>
          <w:szCs w:val="24"/>
        </w:rPr>
      </w:pPr>
      <w:r>
        <w:rPr>
          <w:sz w:val="24"/>
          <w:szCs w:val="24"/>
          <w:b/>
          <w:bCs/>
          <w:spacing w:val="20"/>
        </w:rPr>
        <w:t>1.2.2技术标准、规范</w:t>
      </w:r>
    </w:p>
    <w:p>
      <w:pPr>
        <w:pStyle w:val="BodyText"/>
        <w:ind w:left="609"/>
        <w:spacing w:before="255" w:line="216" w:lineRule="auto"/>
        <w:rPr>
          <w:sz w:val="24"/>
          <w:szCs w:val="24"/>
        </w:rPr>
      </w:pPr>
      <w:r>
        <w:rPr>
          <w:sz w:val="24"/>
          <w:szCs w:val="24"/>
          <w:spacing w:val="-6"/>
        </w:rPr>
        <w:t>(1)  《建设项目环境影响评价技术导则</w:t>
      </w:r>
      <w:r>
        <w:rPr>
          <w:sz w:val="24"/>
          <w:szCs w:val="24"/>
          <w:spacing w:val="10"/>
        </w:rPr>
        <w:t xml:space="preserve">  </w:t>
      </w:r>
      <w:r>
        <w:rPr>
          <w:sz w:val="24"/>
          <w:szCs w:val="24"/>
          <w:spacing w:val="-6"/>
        </w:rPr>
        <w:t>总纲》,HJ2.1-201</w:t>
      </w:r>
      <w:r>
        <w:rPr>
          <w:sz w:val="24"/>
          <w:szCs w:val="24"/>
          <w:spacing w:val="-7"/>
        </w:rPr>
        <w:t>6;</w:t>
      </w:r>
    </w:p>
    <w:p>
      <w:pPr>
        <w:spacing w:line="216" w:lineRule="auto"/>
        <w:sectPr>
          <w:footerReference w:type="default" r:id="rId166"/>
          <w:pgSz w:w="11900" w:h="16840"/>
          <w:pgMar w:top="1391" w:right="1439" w:bottom="1145" w:left="1680" w:header="0" w:footer="996" w:gutter="0"/>
        </w:sectPr>
        <w:rPr>
          <w:sz w:val="24"/>
          <w:szCs w:val="24"/>
        </w:rPr>
      </w:pPr>
    </w:p>
    <w:p>
      <w:pPr>
        <w:pStyle w:val="BodyText"/>
        <w:ind w:left="580"/>
        <w:spacing w:before="105" w:line="216" w:lineRule="auto"/>
        <w:rPr>
          <w:sz w:val="24"/>
          <w:szCs w:val="24"/>
        </w:rPr>
      </w:pPr>
      <w:r>
        <w:rPr>
          <w:sz w:val="24"/>
          <w:szCs w:val="24"/>
          <w:spacing w:val="-9"/>
        </w:rPr>
        <w:t>(2)</w:t>
      </w:r>
      <w:r>
        <w:rPr>
          <w:sz w:val="24"/>
          <w:szCs w:val="24"/>
          <w:spacing w:val="20"/>
        </w:rPr>
        <w:t xml:space="preserve">  </w:t>
      </w:r>
      <w:r>
        <w:rPr>
          <w:sz w:val="24"/>
          <w:szCs w:val="24"/>
          <w:spacing w:val="-9"/>
        </w:rPr>
        <w:t>《环境影响评价技术导则  大气环境》,</w:t>
      </w:r>
      <w:r>
        <w:rPr>
          <w:sz w:val="24"/>
          <w:szCs w:val="24"/>
          <w:spacing w:val="-53"/>
        </w:rPr>
        <w:t xml:space="preserve"> </w:t>
      </w:r>
      <w:r>
        <w:rPr>
          <w:sz w:val="24"/>
          <w:szCs w:val="24"/>
          <w:spacing w:val="-10"/>
        </w:rPr>
        <w:t>HJ2.2-2018;</w:t>
      </w:r>
    </w:p>
    <w:p>
      <w:pPr>
        <w:pStyle w:val="BodyText"/>
        <w:ind w:left="580"/>
        <w:spacing w:before="190" w:line="468" w:lineRule="exact"/>
        <w:rPr>
          <w:sz w:val="24"/>
          <w:szCs w:val="24"/>
        </w:rPr>
      </w:pPr>
      <w:r>
        <w:rPr>
          <w:sz w:val="24"/>
          <w:szCs w:val="24"/>
          <w:spacing w:val="-8"/>
          <w:position w:val="16"/>
        </w:rPr>
        <w:t>(3)  《环境影响评价技术导则</w:t>
      </w:r>
      <w:r>
        <w:rPr>
          <w:sz w:val="24"/>
          <w:szCs w:val="24"/>
          <w:spacing w:val="5"/>
          <w:position w:val="16"/>
        </w:rPr>
        <w:t xml:space="preserve">  </w:t>
      </w:r>
      <w:r>
        <w:rPr>
          <w:sz w:val="24"/>
          <w:szCs w:val="24"/>
          <w:spacing w:val="-8"/>
          <w:position w:val="16"/>
        </w:rPr>
        <w:t>地表水环境》,</w:t>
      </w:r>
      <w:r>
        <w:rPr>
          <w:sz w:val="24"/>
          <w:szCs w:val="24"/>
          <w:spacing w:val="-64"/>
          <w:position w:val="16"/>
        </w:rPr>
        <w:t xml:space="preserve"> </w:t>
      </w:r>
      <w:r>
        <w:rPr>
          <w:sz w:val="24"/>
          <w:szCs w:val="24"/>
          <w:spacing w:val="-8"/>
          <w:position w:val="16"/>
        </w:rPr>
        <w:t>HJ2.3-2</w:t>
      </w:r>
      <w:r>
        <w:rPr>
          <w:sz w:val="24"/>
          <w:szCs w:val="24"/>
          <w:spacing w:val="-9"/>
          <w:position w:val="16"/>
        </w:rPr>
        <w:t>018;</w:t>
      </w:r>
    </w:p>
    <w:p>
      <w:pPr>
        <w:pStyle w:val="BodyText"/>
        <w:ind w:left="580"/>
        <w:spacing w:line="225" w:lineRule="auto"/>
        <w:rPr>
          <w:sz w:val="24"/>
          <w:szCs w:val="24"/>
        </w:rPr>
      </w:pPr>
      <w:r>
        <w:rPr>
          <w:sz w:val="24"/>
          <w:szCs w:val="24"/>
          <w:spacing w:val="-3"/>
        </w:rPr>
        <w:t>(4)  《环境影响评价技术导则</w:t>
      </w:r>
      <w:r>
        <w:rPr>
          <w:sz w:val="24"/>
          <w:szCs w:val="24"/>
          <w:spacing w:val="10"/>
        </w:rPr>
        <w:t xml:space="preserve">  </w:t>
      </w:r>
      <w:r>
        <w:rPr>
          <w:sz w:val="24"/>
          <w:szCs w:val="24"/>
          <w:spacing w:val="-3"/>
        </w:rPr>
        <w:t>地下水环境》,HJ610-</w:t>
      </w:r>
      <w:r>
        <w:rPr>
          <w:sz w:val="24"/>
          <w:szCs w:val="24"/>
          <w:spacing w:val="-4"/>
        </w:rPr>
        <w:t>2016;</w:t>
      </w:r>
    </w:p>
    <w:p>
      <w:pPr>
        <w:pStyle w:val="BodyText"/>
        <w:ind w:left="580"/>
        <w:spacing w:before="187" w:line="216" w:lineRule="auto"/>
        <w:rPr>
          <w:sz w:val="24"/>
          <w:szCs w:val="24"/>
        </w:rPr>
      </w:pPr>
      <w:r>
        <w:rPr>
          <w:sz w:val="24"/>
          <w:szCs w:val="24"/>
          <w:spacing w:val="-9"/>
        </w:rPr>
        <w:t>(5)</w:t>
      </w:r>
      <w:r>
        <w:rPr>
          <w:sz w:val="24"/>
          <w:szCs w:val="24"/>
          <w:spacing w:val="24"/>
        </w:rPr>
        <w:t xml:space="preserve">  </w:t>
      </w:r>
      <w:r>
        <w:rPr>
          <w:sz w:val="24"/>
          <w:szCs w:val="24"/>
          <w:spacing w:val="-9"/>
        </w:rPr>
        <w:t>《环境影响评价技术导则  土壤环境》,</w:t>
      </w:r>
      <w:r>
        <w:rPr>
          <w:sz w:val="24"/>
          <w:szCs w:val="24"/>
          <w:spacing w:val="-43"/>
        </w:rPr>
        <w:t xml:space="preserve"> </w:t>
      </w:r>
      <w:r>
        <w:rPr>
          <w:sz w:val="24"/>
          <w:szCs w:val="24"/>
          <w:spacing w:val="-9"/>
        </w:rPr>
        <w:t>HJ964-2018;</w:t>
      </w:r>
    </w:p>
    <w:p>
      <w:pPr>
        <w:pStyle w:val="BodyText"/>
        <w:ind w:left="580"/>
        <w:spacing w:before="179" w:line="216" w:lineRule="auto"/>
        <w:rPr>
          <w:sz w:val="24"/>
          <w:szCs w:val="24"/>
        </w:rPr>
      </w:pPr>
      <w:r>
        <w:rPr>
          <w:sz w:val="24"/>
          <w:szCs w:val="24"/>
          <w:spacing w:val="-10"/>
        </w:rPr>
        <w:t>(6)</w:t>
      </w:r>
      <w:r>
        <w:rPr>
          <w:sz w:val="24"/>
          <w:szCs w:val="24"/>
          <w:spacing w:val="20"/>
        </w:rPr>
        <w:t xml:space="preserve">  </w:t>
      </w:r>
      <w:r>
        <w:rPr>
          <w:sz w:val="24"/>
          <w:szCs w:val="24"/>
          <w:spacing w:val="-10"/>
        </w:rPr>
        <w:t>《建设项目环境风险评价技术导则》, HJ169-2</w:t>
      </w:r>
      <w:r>
        <w:rPr>
          <w:sz w:val="24"/>
          <w:szCs w:val="24"/>
          <w:spacing w:val="-11"/>
        </w:rPr>
        <w:t>018;</w:t>
      </w:r>
    </w:p>
    <w:p>
      <w:pPr>
        <w:pStyle w:val="BodyText"/>
        <w:ind w:left="580"/>
        <w:spacing w:before="178" w:line="482" w:lineRule="exact"/>
        <w:rPr>
          <w:sz w:val="24"/>
          <w:szCs w:val="24"/>
        </w:rPr>
      </w:pPr>
      <w:r>
        <w:rPr>
          <w:sz w:val="24"/>
          <w:szCs w:val="24"/>
          <w:spacing w:val="-2"/>
          <w:position w:val="18"/>
        </w:rPr>
        <w:t>(7)  《化工建设项目环境保护工程设</w:t>
      </w:r>
      <w:r>
        <w:rPr>
          <w:sz w:val="24"/>
          <w:szCs w:val="24"/>
          <w:spacing w:val="-3"/>
          <w:position w:val="18"/>
        </w:rPr>
        <w:t>计标准》,</w:t>
      </w:r>
      <w:r>
        <w:rPr>
          <w:sz w:val="24"/>
          <w:szCs w:val="24"/>
          <w:spacing w:val="-50"/>
          <w:position w:val="18"/>
        </w:rPr>
        <w:t xml:space="preserve"> </w:t>
      </w:r>
      <w:r>
        <w:rPr>
          <w:sz w:val="24"/>
          <w:szCs w:val="24"/>
          <w:spacing w:val="-3"/>
          <w:position w:val="18"/>
        </w:rPr>
        <w:t>GB/T50483-2019;</w:t>
      </w:r>
    </w:p>
    <w:p>
      <w:pPr>
        <w:pStyle w:val="BodyText"/>
        <w:ind w:left="580"/>
        <w:spacing w:before="1" w:line="217" w:lineRule="auto"/>
        <w:rPr>
          <w:sz w:val="24"/>
          <w:szCs w:val="24"/>
        </w:rPr>
      </w:pPr>
      <w:r>
        <w:rPr>
          <w:sz w:val="24"/>
          <w:szCs w:val="24"/>
          <w:spacing w:val="-10"/>
        </w:rPr>
        <w:t>(8)</w:t>
      </w:r>
      <w:r>
        <w:rPr>
          <w:sz w:val="24"/>
          <w:szCs w:val="24"/>
          <w:spacing w:val="26"/>
        </w:rPr>
        <w:t xml:space="preserve">  </w:t>
      </w:r>
      <w:r>
        <w:rPr>
          <w:sz w:val="24"/>
          <w:szCs w:val="24"/>
          <w:spacing w:val="-10"/>
        </w:rPr>
        <w:t>《建设项目危险废物环境影响评价指南》。</w:t>
      </w:r>
    </w:p>
    <w:p>
      <w:pPr>
        <w:pStyle w:val="BodyText"/>
        <w:ind w:left="3"/>
        <w:spacing w:before="266" w:line="219" w:lineRule="auto"/>
        <w:outlineLvl w:val="6"/>
        <w:rPr>
          <w:sz w:val="24"/>
          <w:szCs w:val="24"/>
        </w:rPr>
      </w:pPr>
      <w:r>
        <w:rPr>
          <w:sz w:val="24"/>
          <w:szCs w:val="24"/>
          <w:b/>
          <w:bCs/>
          <w:spacing w:val="24"/>
        </w:rPr>
        <w:t>1.2.3其它规范性文件及标准</w:t>
      </w:r>
    </w:p>
    <w:p>
      <w:pPr>
        <w:pStyle w:val="BodyText"/>
        <w:ind w:left="580"/>
        <w:spacing w:before="248" w:line="481" w:lineRule="exact"/>
        <w:rPr>
          <w:sz w:val="24"/>
          <w:szCs w:val="24"/>
        </w:rPr>
      </w:pPr>
      <w:r>
        <w:rPr>
          <w:sz w:val="24"/>
          <w:szCs w:val="24"/>
          <w:spacing w:val="-11"/>
          <w:position w:val="18"/>
        </w:rPr>
        <w:t>(1)</w:t>
      </w:r>
      <w:r>
        <w:rPr>
          <w:sz w:val="24"/>
          <w:szCs w:val="24"/>
          <w:spacing w:val="21"/>
          <w:position w:val="18"/>
        </w:rPr>
        <w:t xml:space="preserve">  </w:t>
      </w:r>
      <w:r>
        <w:rPr>
          <w:sz w:val="24"/>
          <w:szCs w:val="24"/>
          <w:spacing w:val="-11"/>
          <w:position w:val="18"/>
        </w:rPr>
        <w:t>《地表水环境质量标准》  (GB3833-2</w:t>
      </w:r>
      <w:r>
        <w:rPr>
          <w:sz w:val="24"/>
          <w:szCs w:val="24"/>
          <w:spacing w:val="-12"/>
          <w:position w:val="18"/>
        </w:rPr>
        <w:t>002);</w:t>
      </w:r>
    </w:p>
    <w:p>
      <w:pPr>
        <w:pStyle w:val="BodyText"/>
        <w:ind w:left="580"/>
        <w:spacing w:line="220" w:lineRule="auto"/>
        <w:rPr>
          <w:sz w:val="24"/>
          <w:szCs w:val="24"/>
        </w:rPr>
      </w:pPr>
      <w:r>
        <w:rPr>
          <w:sz w:val="24"/>
          <w:szCs w:val="24"/>
          <w:spacing w:val="-12"/>
        </w:rPr>
        <w:t>(2)</w:t>
      </w:r>
      <w:r>
        <w:rPr>
          <w:sz w:val="24"/>
          <w:szCs w:val="24"/>
          <w:spacing w:val="25"/>
        </w:rPr>
        <w:t xml:space="preserve">  </w:t>
      </w:r>
      <w:r>
        <w:rPr>
          <w:sz w:val="24"/>
          <w:szCs w:val="24"/>
          <w:spacing w:val="-12"/>
        </w:rPr>
        <w:t>《环境空气质量标准》</w:t>
      </w:r>
      <w:r>
        <w:rPr>
          <w:sz w:val="24"/>
          <w:szCs w:val="24"/>
          <w:spacing w:val="91"/>
        </w:rPr>
        <w:t xml:space="preserve"> </w:t>
      </w:r>
      <w:r>
        <w:rPr>
          <w:sz w:val="24"/>
          <w:szCs w:val="24"/>
          <w:spacing w:val="-12"/>
        </w:rPr>
        <w:t>(GB3095-2012);</w:t>
      </w:r>
    </w:p>
    <w:p>
      <w:pPr>
        <w:pStyle w:val="BodyText"/>
        <w:ind w:left="580"/>
        <w:spacing w:before="183" w:line="450" w:lineRule="exact"/>
        <w:rPr>
          <w:sz w:val="24"/>
          <w:szCs w:val="24"/>
        </w:rPr>
      </w:pPr>
      <w:r>
        <w:rPr>
          <w:sz w:val="24"/>
          <w:szCs w:val="24"/>
          <w:spacing w:val="-6"/>
          <w:position w:val="15"/>
        </w:rPr>
        <w:t>(3)  《土壤环境质量建设用地土壤污染风险管控标</w:t>
      </w:r>
      <w:r>
        <w:rPr>
          <w:sz w:val="24"/>
          <w:szCs w:val="24"/>
          <w:spacing w:val="-7"/>
          <w:position w:val="15"/>
        </w:rPr>
        <w:t>准》  (GB36600-2018);</w:t>
      </w:r>
    </w:p>
    <w:p>
      <w:pPr>
        <w:pStyle w:val="BodyText"/>
        <w:ind w:left="580"/>
        <w:spacing w:line="219" w:lineRule="auto"/>
        <w:rPr>
          <w:sz w:val="24"/>
          <w:szCs w:val="24"/>
        </w:rPr>
      </w:pPr>
      <w:r>
        <w:rPr>
          <w:sz w:val="24"/>
          <w:szCs w:val="24"/>
          <w:spacing w:val="-10"/>
        </w:rPr>
        <w:t>(4)</w:t>
      </w:r>
      <w:r>
        <w:rPr>
          <w:sz w:val="24"/>
          <w:szCs w:val="24"/>
          <w:spacing w:val="23"/>
        </w:rPr>
        <w:t xml:space="preserve">  </w:t>
      </w:r>
      <w:r>
        <w:rPr>
          <w:sz w:val="24"/>
          <w:szCs w:val="24"/>
          <w:spacing w:val="-10"/>
        </w:rPr>
        <w:t>《危险化学品重大危险源辨识》  (GB18218-2018);</w:t>
      </w:r>
    </w:p>
    <w:p>
      <w:pPr>
        <w:pStyle w:val="BodyText"/>
        <w:ind w:left="580"/>
        <w:spacing w:before="194" w:line="460" w:lineRule="exact"/>
        <w:rPr>
          <w:sz w:val="24"/>
          <w:szCs w:val="24"/>
        </w:rPr>
      </w:pPr>
      <w:r>
        <w:rPr>
          <w:sz w:val="24"/>
          <w:szCs w:val="24"/>
          <w:spacing w:val="-10"/>
          <w:position w:val="16"/>
        </w:rPr>
        <w:t>(5)</w:t>
      </w:r>
      <w:r>
        <w:rPr>
          <w:sz w:val="24"/>
          <w:szCs w:val="24"/>
          <w:spacing w:val="23"/>
          <w:position w:val="16"/>
        </w:rPr>
        <w:t xml:space="preserve">  </w:t>
      </w:r>
      <w:r>
        <w:rPr>
          <w:sz w:val="24"/>
          <w:szCs w:val="24"/>
          <w:spacing w:val="-10"/>
          <w:position w:val="16"/>
        </w:rPr>
        <w:t>《突发环境事件应急监测技术规范》  (HJ589-2010);</w:t>
      </w:r>
    </w:p>
    <w:p>
      <w:pPr>
        <w:pStyle w:val="BodyText"/>
        <w:ind w:left="580"/>
        <w:spacing w:before="1" w:line="217" w:lineRule="auto"/>
        <w:rPr>
          <w:sz w:val="24"/>
          <w:szCs w:val="24"/>
        </w:rPr>
      </w:pPr>
      <w:r>
        <w:rPr>
          <w:sz w:val="24"/>
          <w:szCs w:val="24"/>
          <w:spacing w:val="-10"/>
        </w:rPr>
        <w:t>(6)</w:t>
      </w:r>
      <w:r>
        <w:rPr>
          <w:sz w:val="24"/>
          <w:szCs w:val="24"/>
          <w:spacing w:val="23"/>
        </w:rPr>
        <w:t xml:space="preserve">  </w:t>
      </w:r>
      <w:r>
        <w:rPr>
          <w:sz w:val="24"/>
          <w:szCs w:val="24"/>
          <w:spacing w:val="-10"/>
        </w:rPr>
        <w:t>《土壤环境监测技术规范》  (HJ/T166-2004);</w:t>
      </w:r>
    </w:p>
    <w:p>
      <w:pPr>
        <w:pStyle w:val="BodyText"/>
        <w:ind w:left="580"/>
        <w:spacing w:before="198" w:line="470" w:lineRule="exact"/>
        <w:rPr>
          <w:sz w:val="24"/>
          <w:szCs w:val="24"/>
        </w:rPr>
      </w:pPr>
      <w:r>
        <w:rPr>
          <w:sz w:val="24"/>
          <w:szCs w:val="24"/>
          <w:spacing w:val="-8"/>
          <w:position w:val="17"/>
        </w:rPr>
        <w:t>(7)  《消防给水及消火栓系统技术规范》  (GB50974-2014);</w:t>
      </w:r>
    </w:p>
    <w:p>
      <w:pPr>
        <w:pStyle w:val="BodyText"/>
        <w:ind w:left="580"/>
        <w:spacing w:before="1" w:line="219" w:lineRule="auto"/>
        <w:rPr>
          <w:sz w:val="24"/>
          <w:szCs w:val="24"/>
        </w:rPr>
      </w:pPr>
      <w:r>
        <w:rPr>
          <w:sz w:val="24"/>
          <w:szCs w:val="24"/>
          <w:spacing w:val="-11"/>
        </w:rPr>
        <w:t>(8)</w:t>
      </w:r>
      <w:r>
        <w:rPr>
          <w:sz w:val="24"/>
          <w:szCs w:val="24"/>
          <w:spacing w:val="29"/>
        </w:rPr>
        <w:t xml:space="preserve">  </w:t>
      </w:r>
      <w:r>
        <w:rPr>
          <w:sz w:val="24"/>
          <w:szCs w:val="24"/>
          <w:spacing w:val="-11"/>
        </w:rPr>
        <w:t>《储罐区防护堤设计规范》  (GB50351-2014);</w:t>
      </w:r>
    </w:p>
    <w:p>
      <w:pPr>
        <w:pStyle w:val="BodyText"/>
        <w:ind w:left="580"/>
        <w:spacing w:before="185" w:line="219" w:lineRule="auto"/>
        <w:rPr>
          <w:sz w:val="24"/>
          <w:szCs w:val="24"/>
        </w:rPr>
      </w:pPr>
      <w:r>
        <w:rPr>
          <w:sz w:val="24"/>
          <w:szCs w:val="24"/>
          <w:spacing w:val="-4"/>
        </w:rPr>
        <w:t>(9)《化学品分类、警示标签和警示性说明安全规范》</w:t>
      </w:r>
      <w:r>
        <w:rPr>
          <w:sz w:val="24"/>
          <w:szCs w:val="24"/>
          <w:spacing w:val="42"/>
        </w:rPr>
        <w:t xml:space="preserve"> </w:t>
      </w:r>
      <w:r>
        <w:rPr>
          <w:sz w:val="24"/>
          <w:szCs w:val="24"/>
          <w:spacing w:val="-4"/>
        </w:rPr>
        <w:t>(GB20576~GB20602);</w:t>
      </w:r>
    </w:p>
    <w:p>
      <w:pPr>
        <w:pStyle w:val="BodyText"/>
        <w:ind w:left="580"/>
        <w:spacing w:before="175" w:line="480" w:lineRule="exact"/>
        <w:rPr>
          <w:sz w:val="24"/>
          <w:szCs w:val="24"/>
        </w:rPr>
      </w:pPr>
      <w:r>
        <w:rPr>
          <w:sz w:val="24"/>
          <w:szCs w:val="24"/>
          <w:spacing w:val="-6"/>
          <w:position w:val="18"/>
        </w:rPr>
        <w:t>(10)  《企业事业单位突发环境事件应急预案评审工作指南》  (试行)</w:t>
      </w:r>
      <w:r>
        <w:rPr>
          <w:sz w:val="24"/>
          <w:szCs w:val="24"/>
          <w:spacing w:val="73"/>
          <w:position w:val="18"/>
        </w:rPr>
        <w:t xml:space="preserve"> </w:t>
      </w:r>
      <w:r>
        <w:rPr>
          <w:sz w:val="24"/>
          <w:szCs w:val="24"/>
          <w:spacing w:val="-6"/>
          <w:position w:val="18"/>
        </w:rPr>
        <w:t>(2018</w:t>
      </w:r>
    </w:p>
    <w:p>
      <w:pPr>
        <w:pStyle w:val="BodyText"/>
        <w:spacing w:line="219" w:lineRule="auto"/>
        <w:rPr>
          <w:sz w:val="24"/>
          <w:szCs w:val="24"/>
        </w:rPr>
      </w:pPr>
      <w:r>
        <w:rPr>
          <w:sz w:val="24"/>
          <w:szCs w:val="24"/>
          <w:spacing w:val="43"/>
        </w:rPr>
        <w:t>年1月30日);</w:t>
      </w:r>
    </w:p>
    <w:p>
      <w:pPr>
        <w:pStyle w:val="BodyText"/>
        <w:ind w:left="580"/>
        <w:spacing w:before="163" w:line="218" w:lineRule="auto"/>
        <w:rPr>
          <w:sz w:val="24"/>
          <w:szCs w:val="24"/>
        </w:rPr>
      </w:pPr>
      <w:r>
        <w:rPr>
          <w:sz w:val="24"/>
          <w:szCs w:val="24"/>
          <w:spacing w:val="-9"/>
        </w:rPr>
        <w:t>(11)  《企业突发环境事件风险分级方法》  (HJ941-2018)。</w:t>
      </w:r>
    </w:p>
    <w:p>
      <w:pPr>
        <w:pStyle w:val="BodyText"/>
        <w:ind w:left="3"/>
        <w:spacing w:before="304" w:line="600" w:lineRule="exact"/>
        <w:rPr>
          <w:sz w:val="24"/>
          <w:szCs w:val="24"/>
        </w:rPr>
      </w:pPr>
      <w:r>
        <w:rPr>
          <w:sz w:val="24"/>
          <w:szCs w:val="24"/>
          <w:b/>
          <w:bCs/>
          <w:spacing w:val="-20"/>
          <w:position w:val="27"/>
        </w:rPr>
        <w:t>1</w:t>
      </w:r>
      <w:r>
        <w:rPr>
          <w:sz w:val="24"/>
          <w:szCs w:val="24"/>
          <w:spacing w:val="-35"/>
          <w:position w:val="27"/>
        </w:rPr>
        <w:t xml:space="preserve"> </w:t>
      </w:r>
      <w:r>
        <w:rPr>
          <w:sz w:val="24"/>
          <w:szCs w:val="24"/>
          <w:b/>
          <w:bCs/>
          <w:spacing w:val="-20"/>
          <w:position w:val="27"/>
        </w:rPr>
        <w:t>.</w:t>
      </w:r>
      <w:r>
        <w:rPr>
          <w:sz w:val="24"/>
          <w:szCs w:val="24"/>
          <w:spacing w:val="-47"/>
          <w:position w:val="27"/>
        </w:rPr>
        <w:t xml:space="preserve"> </w:t>
      </w:r>
      <w:r>
        <w:rPr>
          <w:sz w:val="24"/>
          <w:szCs w:val="24"/>
          <w:b/>
          <w:bCs/>
          <w:spacing w:val="-20"/>
          <w:position w:val="27"/>
        </w:rPr>
        <w:t>3</w:t>
      </w:r>
      <w:r>
        <w:rPr>
          <w:sz w:val="24"/>
          <w:szCs w:val="24"/>
          <w:spacing w:val="-53"/>
          <w:position w:val="27"/>
        </w:rPr>
        <w:t xml:space="preserve"> </w:t>
      </w:r>
      <w:r>
        <w:rPr>
          <w:sz w:val="24"/>
          <w:szCs w:val="24"/>
          <w:b/>
          <w:bCs/>
          <w:spacing w:val="-20"/>
          <w:position w:val="27"/>
        </w:rPr>
        <w:t>环</w:t>
      </w:r>
      <w:r>
        <w:rPr>
          <w:sz w:val="24"/>
          <w:szCs w:val="24"/>
          <w:spacing w:val="-52"/>
          <w:position w:val="27"/>
        </w:rPr>
        <w:t xml:space="preserve"> </w:t>
      </w:r>
      <w:r>
        <w:rPr>
          <w:sz w:val="24"/>
          <w:szCs w:val="24"/>
          <w:b/>
          <w:bCs/>
          <w:spacing w:val="-20"/>
          <w:position w:val="27"/>
        </w:rPr>
        <w:t>境</w:t>
      </w:r>
      <w:r>
        <w:rPr>
          <w:sz w:val="24"/>
          <w:szCs w:val="24"/>
          <w:spacing w:val="-52"/>
          <w:position w:val="27"/>
        </w:rPr>
        <w:t xml:space="preserve"> </w:t>
      </w:r>
      <w:r>
        <w:rPr>
          <w:sz w:val="24"/>
          <w:szCs w:val="24"/>
          <w:b/>
          <w:bCs/>
          <w:spacing w:val="-20"/>
          <w:position w:val="27"/>
        </w:rPr>
        <w:t>风</w:t>
      </w:r>
      <w:r>
        <w:rPr>
          <w:sz w:val="24"/>
          <w:szCs w:val="24"/>
          <w:spacing w:val="-39"/>
          <w:position w:val="27"/>
        </w:rPr>
        <w:t xml:space="preserve"> </w:t>
      </w:r>
      <w:r>
        <w:rPr>
          <w:sz w:val="24"/>
          <w:szCs w:val="24"/>
          <w:b/>
          <w:bCs/>
          <w:spacing w:val="-20"/>
          <w:position w:val="27"/>
        </w:rPr>
        <w:t>险</w:t>
      </w:r>
      <w:r>
        <w:rPr>
          <w:sz w:val="24"/>
          <w:szCs w:val="24"/>
          <w:spacing w:val="-54"/>
          <w:position w:val="27"/>
        </w:rPr>
        <w:t xml:space="preserve"> </w:t>
      </w:r>
      <w:r>
        <w:rPr>
          <w:sz w:val="24"/>
          <w:szCs w:val="24"/>
          <w:b/>
          <w:bCs/>
          <w:spacing w:val="-20"/>
          <w:position w:val="27"/>
        </w:rPr>
        <w:t>评</w:t>
      </w:r>
      <w:r>
        <w:rPr>
          <w:sz w:val="24"/>
          <w:szCs w:val="24"/>
          <w:spacing w:val="-51"/>
          <w:position w:val="27"/>
        </w:rPr>
        <w:t xml:space="preserve"> </w:t>
      </w:r>
      <w:r>
        <w:rPr>
          <w:sz w:val="24"/>
          <w:szCs w:val="24"/>
          <w:b/>
          <w:bCs/>
          <w:spacing w:val="-20"/>
          <w:position w:val="27"/>
        </w:rPr>
        <w:t>价</w:t>
      </w:r>
      <w:r>
        <w:rPr>
          <w:sz w:val="24"/>
          <w:szCs w:val="24"/>
          <w:spacing w:val="-33"/>
          <w:position w:val="27"/>
        </w:rPr>
        <w:t xml:space="preserve"> </w:t>
      </w:r>
      <w:r>
        <w:rPr>
          <w:sz w:val="24"/>
          <w:szCs w:val="24"/>
          <w:b/>
          <w:bCs/>
          <w:spacing w:val="-20"/>
          <w:position w:val="27"/>
        </w:rPr>
        <w:t>的</w:t>
      </w:r>
      <w:r>
        <w:rPr>
          <w:sz w:val="24"/>
          <w:szCs w:val="24"/>
          <w:spacing w:val="-20"/>
          <w:position w:val="27"/>
        </w:rPr>
        <w:t xml:space="preserve"> </w:t>
      </w:r>
      <w:r>
        <w:rPr>
          <w:sz w:val="24"/>
          <w:szCs w:val="24"/>
          <w:b/>
          <w:bCs/>
          <w:spacing w:val="-20"/>
          <w:position w:val="27"/>
        </w:rPr>
        <w:t>目</w:t>
      </w:r>
      <w:r>
        <w:rPr>
          <w:sz w:val="24"/>
          <w:szCs w:val="24"/>
          <w:spacing w:val="-33"/>
          <w:position w:val="27"/>
        </w:rPr>
        <w:t xml:space="preserve"> </w:t>
      </w:r>
      <w:r>
        <w:rPr>
          <w:sz w:val="24"/>
          <w:szCs w:val="24"/>
          <w:b/>
          <w:bCs/>
          <w:spacing w:val="-20"/>
          <w:position w:val="27"/>
        </w:rPr>
        <w:t>的</w:t>
      </w:r>
      <w:r>
        <w:rPr>
          <w:sz w:val="24"/>
          <w:szCs w:val="24"/>
          <w:spacing w:val="-52"/>
          <w:position w:val="27"/>
        </w:rPr>
        <w:t xml:space="preserve"> </w:t>
      </w:r>
      <w:r>
        <w:rPr>
          <w:sz w:val="24"/>
          <w:szCs w:val="24"/>
          <w:b/>
          <w:bCs/>
          <w:spacing w:val="-20"/>
          <w:position w:val="27"/>
        </w:rPr>
        <w:t>和</w:t>
      </w:r>
      <w:r>
        <w:rPr>
          <w:sz w:val="24"/>
          <w:szCs w:val="24"/>
          <w:spacing w:val="-52"/>
          <w:position w:val="27"/>
        </w:rPr>
        <w:t xml:space="preserve"> </w:t>
      </w:r>
      <w:r>
        <w:rPr>
          <w:sz w:val="24"/>
          <w:szCs w:val="24"/>
          <w:b/>
          <w:bCs/>
          <w:spacing w:val="-20"/>
          <w:position w:val="27"/>
        </w:rPr>
        <w:t>重</w:t>
      </w:r>
      <w:r>
        <w:rPr>
          <w:sz w:val="24"/>
          <w:szCs w:val="24"/>
          <w:spacing w:val="-40"/>
          <w:position w:val="27"/>
        </w:rPr>
        <w:t xml:space="preserve"> </w:t>
      </w:r>
      <w:r>
        <w:rPr>
          <w:sz w:val="24"/>
          <w:szCs w:val="24"/>
          <w:b/>
          <w:bCs/>
          <w:spacing w:val="-20"/>
          <w:position w:val="27"/>
        </w:rPr>
        <w:t>点</w:t>
      </w:r>
    </w:p>
    <w:p>
      <w:pPr>
        <w:pStyle w:val="BodyText"/>
        <w:ind w:left="3"/>
        <w:spacing w:before="1" w:line="217" w:lineRule="auto"/>
        <w:rPr>
          <w:sz w:val="24"/>
          <w:szCs w:val="24"/>
        </w:rPr>
      </w:pPr>
      <w:r>
        <w:rPr>
          <w:sz w:val="24"/>
          <w:szCs w:val="24"/>
          <w:b/>
          <w:bCs/>
          <w:spacing w:val="5"/>
        </w:rPr>
        <w:t>1.3.1</w:t>
      </w:r>
      <w:r>
        <w:rPr>
          <w:sz w:val="24"/>
          <w:szCs w:val="24"/>
          <w:spacing w:val="-26"/>
        </w:rPr>
        <w:t xml:space="preserve"> </w:t>
      </w:r>
      <w:r>
        <w:rPr>
          <w:sz w:val="24"/>
          <w:szCs w:val="24"/>
          <w:b/>
          <w:bCs/>
          <w:spacing w:val="5"/>
        </w:rPr>
        <w:t>评价目的</w:t>
      </w:r>
    </w:p>
    <w:p>
      <w:pPr>
        <w:pStyle w:val="BodyText"/>
        <w:ind w:firstLine="509"/>
        <w:spacing w:before="251" w:line="354" w:lineRule="auto"/>
        <w:jc w:val="both"/>
        <w:rPr>
          <w:sz w:val="24"/>
          <w:szCs w:val="24"/>
        </w:rPr>
      </w:pPr>
      <w:r>
        <w:rPr>
          <w:sz w:val="24"/>
          <w:szCs w:val="24"/>
        </w:rPr>
        <w:t>分析和预测本项目存在的潜在危险，有害因素</w:t>
      </w:r>
      <w:r>
        <w:rPr>
          <w:sz w:val="24"/>
          <w:szCs w:val="24"/>
          <w:spacing w:val="-1"/>
        </w:rPr>
        <w:t>，工程运行期间可能发生的突发</w:t>
      </w:r>
      <w:r>
        <w:rPr>
          <w:sz w:val="24"/>
          <w:szCs w:val="24"/>
        </w:rPr>
        <w:t xml:space="preserve"> </w:t>
      </w:r>
      <w:r>
        <w:rPr>
          <w:sz w:val="24"/>
          <w:szCs w:val="24"/>
          <w:spacing w:val="10"/>
        </w:rPr>
        <w:t>性事件和事故(一般不包括认为破坏及自然灾害),引起危</w:t>
      </w:r>
      <w:r>
        <w:rPr>
          <w:sz w:val="24"/>
          <w:szCs w:val="24"/>
          <w:spacing w:val="9"/>
        </w:rPr>
        <w:t>险物质泄漏，可能造成</w:t>
      </w:r>
      <w:r>
        <w:rPr>
          <w:sz w:val="24"/>
          <w:szCs w:val="24"/>
        </w:rPr>
        <w:t xml:space="preserve"> </w:t>
      </w:r>
      <w:r>
        <w:rPr>
          <w:sz w:val="24"/>
          <w:szCs w:val="24"/>
        </w:rPr>
        <w:t>的人身安全与环境影响损害程度，提出合理可行的防范、应</w:t>
      </w:r>
      <w:r>
        <w:rPr>
          <w:sz w:val="24"/>
          <w:szCs w:val="24"/>
          <w:spacing w:val="-1"/>
        </w:rPr>
        <w:t>急与减缓措施，以使本</w:t>
      </w:r>
    </w:p>
    <w:p>
      <w:pPr>
        <w:pStyle w:val="BodyText"/>
        <w:spacing w:line="219" w:lineRule="auto"/>
        <w:rPr>
          <w:sz w:val="24"/>
          <w:szCs w:val="24"/>
        </w:rPr>
      </w:pPr>
      <w:r>
        <w:rPr>
          <w:sz w:val="24"/>
          <w:szCs w:val="24"/>
          <w:spacing w:val="-5"/>
        </w:rPr>
        <w:t>项目环境风险尽可能降至最低。</w:t>
      </w:r>
    </w:p>
    <w:p>
      <w:pPr>
        <w:pStyle w:val="BodyText"/>
        <w:ind w:left="3"/>
        <w:spacing w:before="310" w:line="218" w:lineRule="auto"/>
        <w:outlineLvl w:val="6"/>
        <w:rPr>
          <w:sz w:val="24"/>
          <w:szCs w:val="24"/>
        </w:rPr>
      </w:pPr>
      <w:r>
        <w:rPr>
          <w:sz w:val="24"/>
          <w:szCs w:val="24"/>
          <w:b/>
          <w:bCs/>
          <w:spacing w:val="15"/>
        </w:rPr>
        <w:t>1.3.2评价重点</w:t>
      </w:r>
    </w:p>
    <w:p>
      <w:pPr>
        <w:pStyle w:val="BodyText"/>
        <w:ind w:right="27"/>
        <w:spacing w:before="232" w:line="219" w:lineRule="auto"/>
        <w:jc w:val="right"/>
        <w:rPr>
          <w:sz w:val="24"/>
          <w:szCs w:val="24"/>
        </w:rPr>
      </w:pPr>
      <w:r>
        <w:rPr>
          <w:sz w:val="24"/>
          <w:szCs w:val="24"/>
        </w:rPr>
        <w:t>(1)根据项目特点，对生产设施存在的风险识别和生产过程所涉及的物质风险</w:t>
      </w:r>
    </w:p>
    <w:p>
      <w:pPr>
        <w:spacing w:line="219" w:lineRule="auto"/>
        <w:sectPr>
          <w:footerReference w:type="default" r:id="rId167"/>
          <w:pgSz w:w="11900" w:h="16840"/>
          <w:pgMar w:top="1431" w:right="1542" w:bottom="1145" w:left="1700" w:header="0" w:footer="996" w:gutter="0"/>
        </w:sectPr>
        <w:rPr>
          <w:sz w:val="24"/>
          <w:szCs w:val="24"/>
        </w:rPr>
      </w:pPr>
    </w:p>
    <w:p>
      <w:pPr>
        <w:pStyle w:val="BodyText"/>
        <w:spacing w:before="109" w:line="220" w:lineRule="auto"/>
        <w:rPr>
          <w:sz w:val="24"/>
          <w:szCs w:val="24"/>
        </w:rPr>
      </w:pPr>
      <w:r>
        <w:rPr>
          <w:sz w:val="24"/>
          <w:szCs w:val="24"/>
          <w:spacing w:val="-11"/>
        </w:rPr>
        <w:t>识别。</w:t>
      </w:r>
    </w:p>
    <w:p>
      <w:pPr>
        <w:pStyle w:val="BodyText"/>
        <w:ind w:right="1"/>
        <w:spacing w:before="173" w:line="219" w:lineRule="auto"/>
        <w:jc w:val="right"/>
        <w:rPr>
          <w:sz w:val="24"/>
          <w:szCs w:val="24"/>
        </w:rPr>
      </w:pPr>
      <w:r>
        <w:rPr>
          <w:sz w:val="24"/>
          <w:szCs w:val="24"/>
        </w:rPr>
        <w:t>(2)针对可能发生的主要事故分析预测有毒有害物质泄漏到环境中所导</w:t>
      </w:r>
      <w:r>
        <w:rPr>
          <w:sz w:val="24"/>
          <w:szCs w:val="24"/>
          <w:spacing w:val="-1"/>
        </w:rPr>
        <w:t>致的后</w:t>
      </w:r>
    </w:p>
    <w:p>
      <w:pPr>
        <w:pStyle w:val="BodyText"/>
        <w:spacing w:before="203" w:line="219" w:lineRule="auto"/>
        <w:rPr>
          <w:sz w:val="24"/>
          <w:szCs w:val="24"/>
        </w:rPr>
      </w:pPr>
      <w:r>
        <w:rPr>
          <w:sz w:val="24"/>
          <w:szCs w:val="24"/>
          <w:spacing w:val="-8"/>
        </w:rPr>
        <w:t>果以及应采取的减缓措施；</w:t>
      </w:r>
    </w:p>
    <w:p>
      <w:pPr>
        <w:pStyle w:val="BodyText"/>
        <w:ind w:left="619"/>
        <w:spacing w:before="186" w:line="219" w:lineRule="auto"/>
        <w:rPr>
          <w:sz w:val="24"/>
          <w:szCs w:val="24"/>
        </w:rPr>
      </w:pPr>
      <w:r>
        <w:rPr>
          <w:sz w:val="24"/>
          <w:szCs w:val="24"/>
          <w:spacing w:val="3"/>
        </w:rPr>
        <w:t>(3)分析风险事故影响，并提出风险防范措施。</w:t>
      </w:r>
    </w:p>
    <w:p>
      <w:pPr>
        <w:pStyle w:val="BodyText"/>
        <w:ind w:left="4"/>
        <w:spacing w:before="210" w:line="218" w:lineRule="auto"/>
        <w:outlineLvl w:val="6"/>
        <w:rPr>
          <w:sz w:val="30"/>
          <w:szCs w:val="30"/>
        </w:rPr>
      </w:pPr>
      <w:r>
        <w:rPr>
          <w:sz w:val="30"/>
          <w:szCs w:val="30"/>
          <w:b/>
          <w:bCs/>
          <w:spacing w:val="-6"/>
        </w:rPr>
        <w:t>1.4环境风险评价技术路线图</w:t>
      </w:r>
    </w:p>
    <w:p>
      <w:pPr>
        <w:pStyle w:val="BodyText"/>
        <w:ind w:firstLine="769"/>
        <w:spacing w:before="231" w:line="6930" w:lineRule="exact"/>
        <w:rPr/>
      </w:pPr>
      <w:r>
        <w:rPr>
          <w:position w:val="-138"/>
        </w:rPr>
        <w:pict>
          <v:group id="_x0000_s54" style="mso-position-vertical-relative:line;mso-position-horizontal-relative:char;width:335.55pt;height:346.55pt;" filled="false" stroked="false" coordsize="6710,6930" coordorigin="0,0">
            <v:shape id="_x0000_s56" style="position:absolute;left:0;top:0;width:6710;height:6930;" filled="false" stroked="false" type="#_x0000_t75">
              <v:imagedata o:title="" r:id="rId169"/>
            </v:shape>
            <v:shape id="_x0000_s58" style="position:absolute;left:190;top:157;width:5330;height:6647;" filled="false" stroked="false" type="#_x0000_t202">
              <v:fill on="false"/>
              <v:stroke on="false"/>
              <v:path/>
              <v:imagedata o:title=""/>
              <o:lock v:ext="edit" aspectratio="false"/>
              <v:textbox inset="0mm,0mm,0mm,0mm">
                <w:txbxContent>
                  <w:p>
                    <w:pPr>
                      <w:ind w:left="2709"/>
                      <w:spacing w:before="20" w:line="220" w:lineRule="auto"/>
                      <w:rPr>
                        <w:rFonts w:ascii="SimSun" w:hAnsi="SimSun" w:eastAsia="SimSun" w:cs="SimSun"/>
                        <w:sz w:val="17"/>
                        <w:szCs w:val="17"/>
                      </w:rPr>
                    </w:pPr>
                    <w:r>
                      <w:rPr>
                        <w:rFonts w:ascii="SimSun" w:hAnsi="SimSun" w:eastAsia="SimSun" w:cs="SimSun"/>
                        <w:sz w:val="17"/>
                        <w:szCs w:val="17"/>
                        <w:spacing w:val="22"/>
                      </w:rPr>
                      <w:t>风险调查</w:t>
                    </w:r>
                  </w:p>
                  <w:p>
                    <w:pPr>
                      <w:spacing w:line="299" w:lineRule="auto"/>
                      <w:rPr>
                        <w:rFonts w:ascii="Arial"/>
                        <w:sz w:val="21"/>
                      </w:rPr>
                    </w:pPr>
                    <w:r/>
                  </w:p>
                  <w:p>
                    <w:pPr>
                      <w:ind w:left="2119"/>
                      <w:spacing w:before="55" w:line="236" w:lineRule="auto"/>
                      <w:rPr>
                        <w:rFonts w:ascii="SimSun" w:hAnsi="SimSun" w:eastAsia="SimSun" w:cs="SimSun"/>
                        <w:sz w:val="17"/>
                        <w:szCs w:val="17"/>
                      </w:rPr>
                    </w:pPr>
                    <w:r>
                      <w:rPr>
                        <w:rFonts w:ascii="Times New Roman" w:hAnsi="Times New Roman" w:eastAsia="Times New Roman" w:cs="Times New Roman"/>
                        <w:sz w:val="17"/>
                        <w:szCs w:val="17"/>
                        <w:spacing w:val="-13"/>
                        <w:position w:val="-2"/>
                      </w:rPr>
                      <w:t>Rm</w:t>
                    </w:r>
                    <w:r>
                      <w:rPr>
                        <w:rFonts w:ascii="Times New Roman" w:hAnsi="Times New Roman" w:eastAsia="Times New Roman" w:cs="Times New Roman"/>
                        <w:sz w:val="17"/>
                        <w:szCs w:val="17"/>
                        <w:spacing w:val="18"/>
                        <w:w w:val="101"/>
                        <w:position w:val="-2"/>
                      </w:rPr>
                      <w:t xml:space="preserve"> </w:t>
                    </w:r>
                    <w:r>
                      <w:rPr>
                        <w:rFonts w:ascii="SimSun" w:hAnsi="SimSun" w:eastAsia="SimSun" w:cs="SimSun"/>
                        <w:sz w:val="17"/>
                        <w:szCs w:val="17"/>
                        <w:spacing w:val="-13"/>
                        <w:position w:val="-2"/>
                      </w:rPr>
                      <w:t>源</w:t>
                    </w:r>
                    <w:r>
                      <w:rPr>
                        <w:rFonts w:ascii="SimSun" w:hAnsi="SimSun" w:eastAsia="SimSun" w:cs="SimSun"/>
                        <w:sz w:val="17"/>
                        <w:szCs w:val="17"/>
                        <w:spacing w:val="6"/>
                        <w:position w:val="-2"/>
                      </w:rPr>
                      <w:t xml:space="preserve">         </w:t>
                    </w:r>
                    <w:r>
                      <w:rPr>
                        <w:rFonts w:ascii="SimSun" w:hAnsi="SimSun" w:eastAsia="SimSun" w:cs="SimSun"/>
                        <w:sz w:val="17"/>
                        <w:szCs w:val="17"/>
                        <w:spacing w:val="-13"/>
                      </w:rPr>
                      <w:t>环境敏感目标</w:t>
                    </w:r>
                  </w:p>
                  <w:p>
                    <w:pPr>
                      <w:spacing w:line="345" w:lineRule="auto"/>
                      <w:rPr>
                        <w:rFonts w:ascii="Arial"/>
                        <w:sz w:val="21"/>
                      </w:rPr>
                    </w:pPr>
                    <w:r/>
                  </w:p>
                  <w:p>
                    <w:pPr>
                      <w:ind w:left="2340"/>
                      <w:spacing w:before="55" w:line="219" w:lineRule="auto"/>
                      <w:rPr>
                        <w:rFonts w:ascii="SimSun" w:hAnsi="SimSun" w:eastAsia="SimSun" w:cs="SimSun"/>
                        <w:sz w:val="17"/>
                        <w:szCs w:val="17"/>
                      </w:rPr>
                    </w:pPr>
                    <w:r>
                      <w:rPr>
                        <w:rFonts w:ascii="SimSun" w:hAnsi="SimSun" w:eastAsia="SimSun" w:cs="SimSun"/>
                        <w:sz w:val="17"/>
                        <w:szCs w:val="17"/>
                        <w:spacing w:val="22"/>
                      </w:rPr>
                      <w:t>环境风险潜势初判</w:t>
                    </w:r>
                  </w:p>
                  <w:p>
                    <w:pPr>
                      <w:spacing w:line="270" w:lineRule="auto"/>
                      <w:rPr>
                        <w:rFonts w:ascii="Arial"/>
                        <w:sz w:val="21"/>
                      </w:rPr>
                    </w:pPr>
                    <w:r/>
                  </w:p>
                  <w:p>
                    <w:pPr>
                      <w:ind w:left="2139"/>
                      <w:spacing w:before="56" w:line="232" w:lineRule="auto"/>
                      <w:rPr>
                        <w:rFonts w:ascii="SimSun" w:hAnsi="SimSun" w:eastAsia="SimSun" w:cs="SimSun"/>
                        <w:sz w:val="17"/>
                        <w:szCs w:val="17"/>
                      </w:rPr>
                    </w:pPr>
                    <w:r>
                      <w:rPr>
                        <w:rFonts w:ascii="SimSun" w:hAnsi="SimSun" w:eastAsia="SimSun" w:cs="SimSun"/>
                        <w:sz w:val="17"/>
                        <w:szCs w:val="17"/>
                        <w:spacing w:val="-13"/>
                        <w:position w:val="-1"/>
                      </w:rPr>
                      <w:t>危险性</w:t>
                    </w:r>
                    <w:r>
                      <w:rPr>
                        <w:rFonts w:ascii="SimSun" w:hAnsi="SimSun" w:eastAsia="SimSun" w:cs="SimSun"/>
                        <w:sz w:val="17"/>
                        <w:szCs w:val="17"/>
                        <w:position w:val="-1"/>
                      </w:rPr>
                      <w:t xml:space="preserve">          </w:t>
                    </w:r>
                    <w:r>
                      <w:rPr>
                        <w:rFonts w:ascii="SimSun" w:hAnsi="SimSun" w:eastAsia="SimSun" w:cs="SimSun"/>
                        <w:sz w:val="17"/>
                        <w:szCs w:val="17"/>
                        <w:spacing w:val="-13"/>
                      </w:rPr>
                      <w:t>环境敏感性</w:t>
                    </w:r>
                  </w:p>
                  <w:p>
                    <w:pPr>
                      <w:spacing w:line="279" w:lineRule="auto"/>
                      <w:rPr>
                        <w:rFonts w:ascii="Arial"/>
                        <w:sz w:val="21"/>
                      </w:rPr>
                    </w:pPr>
                    <w:r/>
                  </w:p>
                  <w:p>
                    <w:pPr>
                      <w:ind w:left="20"/>
                      <w:spacing w:before="55" w:line="231" w:lineRule="auto"/>
                      <w:rPr>
                        <w:rFonts w:ascii="Times New Roman" w:hAnsi="Times New Roman" w:eastAsia="Times New Roman" w:cs="Times New Roman"/>
                        <w:sz w:val="17"/>
                        <w:szCs w:val="17"/>
                      </w:rPr>
                    </w:pPr>
                    <w:r>
                      <w:rPr>
                        <w:rFonts w:ascii="SimSun" w:hAnsi="SimSun" w:eastAsia="SimSun" w:cs="SimSun"/>
                        <w:sz w:val="17"/>
                        <w:szCs w:val="17"/>
                        <w:spacing w:val="-16"/>
                        <w:position w:val="2"/>
                      </w:rPr>
                      <w:t>简单分析</w:t>
                    </w:r>
                    <w:r>
                      <w:rPr>
                        <w:rFonts w:ascii="SimSun" w:hAnsi="SimSun" w:eastAsia="SimSun" w:cs="SimSun"/>
                        <w:sz w:val="17"/>
                        <w:szCs w:val="17"/>
                        <w:spacing w:val="11"/>
                        <w:position w:val="2"/>
                      </w:rPr>
                      <w:t xml:space="preserve">      </w:t>
                    </w:r>
                    <w:r>
                      <w:rPr>
                        <w:rFonts w:ascii="SimSun" w:hAnsi="SimSun" w:eastAsia="SimSun" w:cs="SimSun"/>
                        <w:sz w:val="17"/>
                        <w:szCs w:val="17"/>
                        <w:spacing w:val="-16"/>
                        <w:position w:val="1"/>
                      </w:rPr>
                      <w:t>风险潜势为工      </w:t>
                    </w:r>
                    <w:r>
                      <w:rPr>
                        <w:rFonts w:ascii="SimSun" w:hAnsi="SimSun" w:eastAsia="SimSun" w:cs="SimSun"/>
                        <w:sz w:val="17"/>
                        <w:szCs w:val="17"/>
                        <w:spacing w:val="-16"/>
                        <w:position w:val="-1"/>
                      </w:rPr>
                      <w:t>风险潜势为I~IV</w:t>
                    </w:r>
                    <w:r>
                      <w:rPr>
                        <w:rFonts w:ascii="SimSun" w:hAnsi="SimSun" w:eastAsia="SimSun" w:cs="SimSun"/>
                        <w:sz w:val="17"/>
                        <w:szCs w:val="17"/>
                        <w:spacing w:val="17"/>
                        <w:position w:val="-1"/>
                      </w:rPr>
                      <w:t xml:space="preserve">    </w:t>
                    </w:r>
                    <w:r>
                      <w:rPr>
                        <w:rFonts w:ascii="SimSun" w:hAnsi="SimSun" w:eastAsia="SimSun" w:cs="SimSun"/>
                        <w:sz w:val="17"/>
                        <w:szCs w:val="17"/>
                        <w:spacing w:val="-16"/>
                        <w:position w:val="-1"/>
                      </w:rPr>
                      <w:t>风险潜势为</w:t>
                    </w:r>
                    <w:r>
                      <w:rPr>
                        <w:rFonts w:ascii="Times New Roman" w:hAnsi="Times New Roman" w:eastAsia="Times New Roman" w:cs="Times New Roman"/>
                        <w:sz w:val="17"/>
                        <w:szCs w:val="17"/>
                        <w:spacing w:val="-17"/>
                        <w:position w:val="-1"/>
                      </w:rPr>
                      <w:t>IV-</w:t>
                    </w:r>
                  </w:p>
                  <w:p>
                    <w:pPr>
                      <w:spacing w:line="271" w:lineRule="auto"/>
                      <w:rPr>
                        <w:rFonts w:ascii="Arial"/>
                        <w:sz w:val="21"/>
                      </w:rPr>
                    </w:pPr>
                    <w:r/>
                  </w:p>
                  <w:p>
                    <w:pPr>
                      <w:ind w:left="2709"/>
                      <w:spacing w:before="56" w:line="220" w:lineRule="auto"/>
                      <w:rPr>
                        <w:rFonts w:ascii="SimSun" w:hAnsi="SimSun" w:eastAsia="SimSun" w:cs="SimSun"/>
                        <w:sz w:val="17"/>
                        <w:szCs w:val="17"/>
                      </w:rPr>
                    </w:pPr>
                    <w:r>
                      <w:rPr>
                        <w:rFonts w:ascii="SimSun" w:hAnsi="SimSun" w:eastAsia="SimSun" w:cs="SimSun"/>
                        <w:sz w:val="17"/>
                        <w:szCs w:val="17"/>
                        <w:color w:val="18506D"/>
                        <w:spacing w:val="-10"/>
                      </w:rPr>
                      <w:t>风</w:t>
                    </w:r>
                    <w:r>
                      <w:rPr>
                        <w:rFonts w:ascii="SimSun" w:hAnsi="SimSun" w:eastAsia="SimSun" w:cs="SimSun"/>
                        <w:sz w:val="17"/>
                        <w:szCs w:val="17"/>
                        <w:color w:val="18506D"/>
                        <w:spacing w:val="-15"/>
                      </w:rPr>
                      <w:t xml:space="preserve"> </w:t>
                    </w:r>
                    <w:r>
                      <w:rPr>
                        <w:rFonts w:ascii="SimSun" w:hAnsi="SimSun" w:eastAsia="SimSun" w:cs="SimSun"/>
                        <w:sz w:val="17"/>
                        <w:szCs w:val="17"/>
                        <w:color w:val="18506D"/>
                        <w:spacing w:val="-10"/>
                      </w:rPr>
                      <w:t>险</w:t>
                    </w:r>
                    <w:r>
                      <w:rPr>
                        <w:rFonts w:ascii="SimSun" w:hAnsi="SimSun" w:eastAsia="SimSun" w:cs="SimSun"/>
                        <w:sz w:val="17"/>
                        <w:szCs w:val="17"/>
                        <w:spacing w:val="-10"/>
                      </w:rPr>
                      <w:t>识</w:t>
                    </w:r>
                    <w:r>
                      <w:rPr>
                        <w:rFonts w:ascii="SimSun" w:hAnsi="SimSun" w:eastAsia="SimSun" w:cs="SimSun"/>
                        <w:sz w:val="17"/>
                        <w:szCs w:val="17"/>
                        <w:spacing w:val="-14"/>
                      </w:rPr>
                      <w:t xml:space="preserve"> </w:t>
                    </w:r>
                    <w:r>
                      <w:rPr>
                        <w:rFonts w:ascii="SimSun" w:hAnsi="SimSun" w:eastAsia="SimSun" w:cs="SimSun"/>
                        <w:sz w:val="17"/>
                        <w:szCs w:val="17"/>
                        <w:spacing w:val="-10"/>
                      </w:rPr>
                      <w:t>别</w:t>
                    </w:r>
                  </w:p>
                  <w:p>
                    <w:pPr>
                      <w:ind w:right="3"/>
                      <w:spacing w:before="276" w:line="230" w:lineRule="auto"/>
                      <w:jc w:val="right"/>
                      <w:rPr>
                        <w:rFonts w:ascii="SimSun" w:hAnsi="SimSun" w:eastAsia="SimSun" w:cs="SimSun"/>
                        <w:sz w:val="17"/>
                        <w:szCs w:val="17"/>
                      </w:rPr>
                    </w:pPr>
                    <w:r>
                      <w:rPr>
                        <w:rFonts w:ascii="SimSun" w:hAnsi="SimSun" w:eastAsia="SimSun" w:cs="SimSun"/>
                        <w:sz w:val="17"/>
                        <w:szCs w:val="17"/>
                        <w:spacing w:val="-14"/>
                        <w:position w:val="3"/>
                      </w:rPr>
                      <w:t>风险源项       风险类型</w:t>
                    </w:r>
                    <w:r>
                      <w:rPr>
                        <w:rFonts w:ascii="SimSun" w:hAnsi="SimSun" w:eastAsia="SimSun" w:cs="SimSun"/>
                        <w:sz w:val="17"/>
                        <w:szCs w:val="17"/>
                        <w:spacing w:val="21"/>
                        <w:position w:val="3"/>
                      </w:rPr>
                      <w:t xml:space="preserve">    </w:t>
                    </w:r>
                    <w:r>
                      <w:rPr>
                        <w:rFonts w:ascii="SimSun" w:hAnsi="SimSun" w:eastAsia="SimSun" w:cs="SimSun"/>
                        <w:sz w:val="17"/>
                        <w:szCs w:val="17"/>
                        <w:spacing w:val="-14"/>
                        <w:position w:val="-6"/>
                      </w:rPr>
                      <w:t>可能扩散途径</w:t>
                    </w:r>
                    <w:r>
                      <w:rPr>
                        <w:rFonts w:ascii="SimSun" w:hAnsi="SimSun" w:eastAsia="SimSun" w:cs="SimSun"/>
                        <w:sz w:val="17"/>
                        <w:szCs w:val="17"/>
                        <w:spacing w:val="11"/>
                        <w:position w:val="-6"/>
                      </w:rPr>
                      <w:t xml:space="preserve">  </w:t>
                    </w:r>
                    <w:r>
                      <w:rPr>
                        <w:rFonts w:ascii="SimSun" w:hAnsi="SimSun" w:eastAsia="SimSun" w:cs="SimSun"/>
                        <w:sz w:val="17"/>
                        <w:szCs w:val="17"/>
                        <w:spacing w:val="-14"/>
                      </w:rPr>
                      <w:t>可能影响后果</w:t>
                    </w:r>
                  </w:p>
                  <w:p>
                    <w:pPr>
                      <w:spacing w:line="371" w:lineRule="auto"/>
                      <w:rPr>
                        <w:rFonts w:ascii="Arial"/>
                        <w:sz w:val="21"/>
                      </w:rPr>
                    </w:pPr>
                    <w:r/>
                  </w:p>
                  <w:p>
                    <w:pPr>
                      <w:ind w:left="2330"/>
                      <w:spacing w:before="56" w:line="220" w:lineRule="auto"/>
                      <w:rPr>
                        <w:rFonts w:ascii="SimSun" w:hAnsi="SimSun" w:eastAsia="SimSun" w:cs="SimSun"/>
                        <w:sz w:val="17"/>
                        <w:szCs w:val="17"/>
                      </w:rPr>
                    </w:pPr>
                    <w:r>
                      <w:rPr>
                        <w:rFonts w:ascii="SimSun" w:hAnsi="SimSun" w:eastAsia="SimSun" w:cs="SimSun"/>
                        <w:sz w:val="17"/>
                        <w:szCs w:val="17"/>
                        <w:spacing w:val="20"/>
                      </w:rPr>
                      <w:t>风险事故情形分析</w:t>
                    </w:r>
                  </w:p>
                  <w:p>
                    <w:pPr>
                      <w:spacing w:line="298" w:lineRule="auto"/>
                      <w:rPr>
                        <w:rFonts w:ascii="Arial"/>
                        <w:sz w:val="21"/>
                      </w:rPr>
                    </w:pPr>
                    <w:r/>
                  </w:p>
                  <w:p>
                    <w:pPr>
                      <w:ind w:left="1730"/>
                      <w:spacing w:before="57" w:line="230" w:lineRule="auto"/>
                      <w:rPr>
                        <w:rFonts w:ascii="STXinwei" w:hAnsi="STXinwei" w:eastAsia="STXinwei" w:cs="STXinwei"/>
                        <w:sz w:val="17"/>
                        <w:szCs w:val="17"/>
                      </w:rPr>
                    </w:pPr>
                    <w:r>
                      <w:rPr>
                        <w:rFonts w:ascii="SimSun" w:hAnsi="SimSun" w:eastAsia="SimSun" w:cs="SimSun"/>
                        <w:sz w:val="17"/>
                        <w:szCs w:val="17"/>
                        <w:color w:val="FFFFFF"/>
                        <w:spacing w:val="1"/>
                      </w:rPr>
                      <w:t>[风险源强</w:t>
                    </w:r>
                    <w:r>
                      <w:rPr>
                        <w:rFonts w:ascii="SimSun" w:hAnsi="SimSun" w:eastAsia="SimSun" w:cs="SimSun"/>
                        <w:sz w:val="17"/>
                        <w:szCs w:val="17"/>
                        <w:color w:val="FFFFFF"/>
                        <w:spacing w:val="44"/>
                      </w:rPr>
                      <w:t xml:space="preserve">  </w:t>
                    </w:r>
                    <w:r>
                      <w:rPr>
                        <w:rFonts w:ascii="SimHei" w:hAnsi="SimHei" w:eastAsia="SimHei" w:cs="SimHei"/>
                        <w:sz w:val="17"/>
                        <w:szCs w:val="17"/>
                        <w:color w:val="FFFFFF"/>
                        <w:spacing w:val="1"/>
                        <w:position w:val="1"/>
                      </w:rPr>
                      <w:t>模型选择</w:t>
                    </w:r>
                    <w:r>
                      <w:rPr>
                        <w:rFonts w:ascii="SimHei" w:hAnsi="SimHei" w:eastAsia="SimHei" w:cs="SimHei"/>
                        <w:sz w:val="17"/>
                        <w:szCs w:val="17"/>
                        <w:color w:val="FFFFFF"/>
                        <w:spacing w:val="32"/>
                        <w:position w:val="1"/>
                      </w:rPr>
                      <w:t xml:space="preserve">  </w:t>
                    </w:r>
                    <w:r>
                      <w:rPr>
                        <w:rFonts w:ascii="STXinwei" w:hAnsi="STXinwei" w:eastAsia="STXinwei" w:cs="STXinwei"/>
                        <w:sz w:val="17"/>
                        <w:szCs w:val="17"/>
                        <w:spacing w:val="1"/>
                        <w:position w:val="-2"/>
                      </w:rPr>
                      <w:t>参数设定</w:t>
                    </w:r>
                  </w:p>
                  <w:p>
                    <w:pPr>
                      <w:spacing w:line="273" w:lineRule="auto"/>
                      <w:rPr>
                        <w:rFonts w:ascii="Arial"/>
                        <w:sz w:val="21"/>
                      </w:rPr>
                    </w:pPr>
                    <w:r/>
                  </w:p>
                  <w:p>
                    <w:pPr>
                      <w:ind w:left="2429"/>
                      <w:spacing w:before="55" w:line="218" w:lineRule="auto"/>
                      <w:rPr>
                        <w:rFonts w:ascii="SimSun" w:hAnsi="SimSun" w:eastAsia="SimSun" w:cs="SimSun"/>
                        <w:sz w:val="17"/>
                        <w:szCs w:val="17"/>
                      </w:rPr>
                    </w:pPr>
                    <w:r>
                      <w:rPr>
                        <w:rFonts w:ascii="SimSun" w:hAnsi="SimSun" w:eastAsia="SimSun" w:cs="SimSun"/>
                        <w:sz w:val="17"/>
                        <w:szCs w:val="17"/>
                        <w:spacing w:val="19"/>
                      </w:rPr>
                      <w:t>风险预测与评价</w:t>
                    </w:r>
                  </w:p>
                  <w:p>
                    <w:pPr>
                      <w:spacing w:line="353" w:lineRule="auto"/>
                      <w:rPr>
                        <w:rFonts w:ascii="Arial"/>
                        <w:sz w:val="21"/>
                      </w:rPr>
                    </w:pPr>
                    <w:r/>
                  </w:p>
                  <w:p>
                    <w:pPr>
                      <w:ind w:left="2519"/>
                      <w:spacing w:before="56" w:line="219" w:lineRule="auto"/>
                      <w:rPr>
                        <w:rFonts w:ascii="SimSun" w:hAnsi="SimSun" w:eastAsia="SimSun" w:cs="SimSun"/>
                        <w:sz w:val="17"/>
                        <w:szCs w:val="17"/>
                      </w:rPr>
                    </w:pPr>
                    <w:r>
                      <w:rPr>
                        <w:rFonts w:ascii="SimSun" w:hAnsi="SimSun" w:eastAsia="SimSun" w:cs="SimSun"/>
                        <w:sz w:val="17"/>
                        <w:szCs w:val="17"/>
                        <w:spacing w:val="20"/>
                      </w:rPr>
                      <w:t>环境风险管理</w:t>
                    </w:r>
                  </w:p>
                  <w:p>
                    <w:pPr>
                      <w:spacing w:line="349" w:lineRule="auto"/>
                      <w:rPr>
                        <w:rFonts w:ascii="Arial"/>
                        <w:sz w:val="21"/>
                      </w:rPr>
                    </w:pPr>
                    <w:r/>
                  </w:p>
                  <w:p>
                    <w:pPr>
                      <w:ind w:left="2439"/>
                      <w:spacing w:before="56" w:line="218" w:lineRule="auto"/>
                      <w:rPr>
                        <w:rFonts w:ascii="SimSun" w:hAnsi="SimSun" w:eastAsia="SimSun" w:cs="SimSun"/>
                        <w:sz w:val="17"/>
                        <w:szCs w:val="17"/>
                      </w:rPr>
                    </w:pPr>
                    <w:r>
                      <w:rPr>
                        <w:rFonts w:ascii="SimSun" w:hAnsi="SimSun" w:eastAsia="SimSun" w:cs="SimSun"/>
                        <w:sz w:val="17"/>
                        <w:szCs w:val="17"/>
                        <w:spacing w:val="21"/>
                      </w:rPr>
                      <w:t>评价结论与建议</w:t>
                    </w:r>
                  </w:p>
                </w:txbxContent>
              </v:textbox>
            </v:shape>
            <v:shape id="_x0000_s60" style="position:absolute;left:5890;top:2366;width:637;height:212;" filled="false" stroked="false" type="#_x0000_t202">
              <v:fill on="false"/>
              <v:stroke on="false"/>
              <v:path/>
              <v:imagedata o:title=""/>
              <o:lock v:ext="edit" aspectratio="false"/>
              <v:textbox inset="0mm,0mm,0mm,0mm">
                <w:txbxContent>
                  <w:p>
                    <w:pPr>
                      <w:spacing w:before="20" w:line="222" w:lineRule="auto"/>
                      <w:jc w:val="right"/>
                      <w:rPr>
                        <w:rFonts w:ascii="SimHei" w:hAnsi="SimHei" w:eastAsia="SimHei" w:cs="SimHei"/>
                        <w:sz w:val="17"/>
                        <w:szCs w:val="17"/>
                      </w:rPr>
                    </w:pPr>
                    <w:r>
                      <w:rPr>
                        <w:rFonts w:ascii="SimHei" w:hAnsi="SimHei" w:eastAsia="SimHei" w:cs="SimHei"/>
                        <w:sz w:val="17"/>
                        <w:szCs w:val="17"/>
                        <w:spacing w:val="-14"/>
                        <w:w w:val="94"/>
                      </w:rPr>
                      <w:t>考</w:t>
                    </w:r>
                    <w:r>
                      <w:rPr>
                        <w:rFonts w:ascii="SimHei" w:hAnsi="SimHei" w:eastAsia="SimHei" w:cs="SimHei"/>
                        <w:sz w:val="17"/>
                        <w:szCs w:val="17"/>
                        <w:spacing w:val="-13"/>
                        <w:w w:val="94"/>
                      </w:rPr>
                      <w:t>虑调</w:t>
                    </w:r>
                    <w:r>
                      <w:rPr>
                        <w:rFonts w:ascii="SimHei" w:hAnsi="SimHei" w:eastAsia="SimHei" w:cs="SimHei"/>
                        <w:sz w:val="17"/>
                        <w:szCs w:val="17"/>
                        <w:spacing w:val="-8"/>
                        <w:w w:val="94"/>
                      </w:rPr>
                      <w:t>整</w:t>
                    </w:r>
                  </w:p>
                </w:txbxContent>
              </v:textbox>
            </v:shape>
            <v:shape id="_x0000_s62" style="position:absolute;left:5969;top:4222;width:181;height:715;" filled="false" stroked="false" type="#_x0000_t202">
              <v:fill on="false"/>
              <v:stroke on="false"/>
              <v:path/>
              <v:imagedata o:title=""/>
              <o:lock v:ext="edit" aspectratio="false"/>
              <v:textbox inset="0mm,0mm,0mm,0mm" style="layout-flow:vertical-ideographic;">
                <w:txbxContent>
                  <w:p>
                    <w:pPr>
                      <w:ind w:left="20"/>
                      <w:spacing w:before="20" w:line="216" w:lineRule="auto"/>
                      <w:rPr>
                        <w:rFonts w:ascii="SimSun" w:hAnsi="SimSun" w:eastAsia="SimSun" w:cs="SimSun"/>
                        <w:sz w:val="14"/>
                        <w:szCs w:val="14"/>
                      </w:rPr>
                    </w:pPr>
                    <w:r>
                      <w:rPr>
                        <w:rFonts w:ascii="SimSun" w:hAnsi="SimSun" w:eastAsia="SimSun" w:cs="SimSun"/>
                        <w:sz w:val="14"/>
                        <w:szCs w:val="14"/>
                        <w:spacing w:val="28"/>
                      </w:rPr>
                      <w:t>优化调整</w:t>
                    </w:r>
                  </w:p>
                </w:txbxContent>
              </v:textbox>
            </v:shape>
          </v:group>
        </w:pict>
      </w:r>
    </w:p>
    <w:p>
      <w:pPr>
        <w:pStyle w:val="BodyText"/>
        <w:ind w:left="2533"/>
        <w:spacing w:before="254" w:line="218" w:lineRule="auto"/>
        <w:rPr>
          <w:sz w:val="24"/>
          <w:szCs w:val="24"/>
        </w:rPr>
      </w:pPr>
      <w:r>
        <w:rPr>
          <w:sz w:val="24"/>
          <w:szCs w:val="24"/>
          <w:b/>
          <w:bCs/>
          <w:spacing w:val="-8"/>
        </w:rPr>
        <w:t>图1.4-1</w:t>
      </w:r>
      <w:r>
        <w:rPr>
          <w:sz w:val="24"/>
          <w:szCs w:val="24"/>
          <w:spacing w:val="-8"/>
        </w:rPr>
        <w:t xml:space="preserve">  </w:t>
      </w:r>
      <w:r>
        <w:rPr>
          <w:sz w:val="24"/>
          <w:szCs w:val="24"/>
          <w:b/>
          <w:bCs/>
          <w:spacing w:val="-8"/>
        </w:rPr>
        <w:t>环境风险评价技术路线图</w:t>
      </w:r>
    </w:p>
    <w:p>
      <w:pPr>
        <w:pStyle w:val="BodyText"/>
        <w:ind w:left="4"/>
        <w:spacing w:before="231" w:line="620" w:lineRule="exact"/>
        <w:rPr>
          <w:sz w:val="30"/>
          <w:szCs w:val="30"/>
        </w:rPr>
      </w:pPr>
      <w:r>
        <w:rPr>
          <w:sz w:val="30"/>
          <w:szCs w:val="30"/>
          <w:b/>
          <w:bCs/>
          <w:spacing w:val="-3"/>
          <w:position w:val="24"/>
        </w:rPr>
        <w:t>2.风险调查</w:t>
      </w:r>
    </w:p>
    <w:p>
      <w:pPr>
        <w:pStyle w:val="BodyText"/>
        <w:ind w:left="3"/>
        <w:spacing w:line="220" w:lineRule="auto"/>
        <w:rPr>
          <w:sz w:val="30"/>
          <w:szCs w:val="30"/>
        </w:rPr>
      </w:pPr>
      <w:r>
        <w:rPr>
          <w:sz w:val="30"/>
          <w:szCs w:val="30"/>
          <w:b/>
          <w:bCs/>
          <w:spacing w:val="-20"/>
        </w:rPr>
        <w:t>2.1</w:t>
      </w:r>
      <w:r>
        <w:rPr>
          <w:sz w:val="30"/>
          <w:szCs w:val="30"/>
          <w:spacing w:val="-58"/>
        </w:rPr>
        <w:t xml:space="preserve"> </w:t>
      </w:r>
      <w:r>
        <w:rPr>
          <w:sz w:val="30"/>
          <w:szCs w:val="30"/>
          <w:b/>
          <w:bCs/>
          <w:spacing w:val="-20"/>
        </w:rPr>
        <w:t>风险源</w:t>
      </w:r>
    </w:p>
    <w:p>
      <w:pPr>
        <w:pStyle w:val="BodyText"/>
        <w:ind w:firstLine="489"/>
        <w:spacing w:before="201" w:line="360" w:lineRule="auto"/>
        <w:jc w:val="both"/>
        <w:rPr>
          <w:sz w:val="24"/>
          <w:szCs w:val="24"/>
        </w:rPr>
      </w:pPr>
      <w:r>
        <w:rPr>
          <w:sz w:val="24"/>
          <w:szCs w:val="24"/>
          <w:spacing w:val="-4"/>
        </w:rPr>
        <w:t>根据《建设项目环境风险评价技术导则》</w:t>
      </w:r>
      <w:r>
        <w:rPr>
          <w:sz w:val="24"/>
          <w:szCs w:val="24"/>
          <w:spacing w:val="100"/>
        </w:rPr>
        <w:t xml:space="preserve"> </w:t>
      </w:r>
      <w:r>
        <w:rPr>
          <w:sz w:val="24"/>
          <w:szCs w:val="24"/>
          <w:spacing w:val="-4"/>
        </w:rPr>
        <w:t>(HJ169-2018)</w:t>
      </w:r>
      <w:r>
        <w:rPr>
          <w:sz w:val="24"/>
          <w:szCs w:val="24"/>
          <w:spacing w:val="61"/>
        </w:rPr>
        <w:t xml:space="preserve"> </w:t>
      </w:r>
      <w:r>
        <w:rPr>
          <w:sz w:val="24"/>
          <w:szCs w:val="24"/>
          <w:spacing w:val="-4"/>
        </w:rPr>
        <w:t>中相</w:t>
      </w:r>
      <w:r>
        <w:rPr>
          <w:sz w:val="24"/>
          <w:szCs w:val="24"/>
          <w:spacing w:val="-5"/>
        </w:rPr>
        <w:t>关规定，风险调</w:t>
      </w:r>
      <w:r>
        <w:rPr>
          <w:sz w:val="24"/>
          <w:szCs w:val="24"/>
        </w:rPr>
        <w:t xml:space="preserve"> </w:t>
      </w:r>
      <w:r>
        <w:rPr>
          <w:sz w:val="24"/>
          <w:szCs w:val="24"/>
        </w:rPr>
        <w:t>查主要包括危险物质数量和分布情况、生产工艺危险</w:t>
      </w:r>
      <w:r>
        <w:rPr>
          <w:sz w:val="24"/>
          <w:szCs w:val="24"/>
          <w:spacing w:val="-1"/>
        </w:rPr>
        <w:t>性、收集危险物质安全技术说</w:t>
      </w:r>
    </w:p>
    <w:p>
      <w:pPr>
        <w:pStyle w:val="BodyText"/>
        <w:spacing w:line="212" w:lineRule="auto"/>
        <w:rPr>
          <w:sz w:val="24"/>
          <w:szCs w:val="24"/>
        </w:rPr>
      </w:pPr>
      <w:r>
        <w:rPr>
          <w:sz w:val="24"/>
          <w:szCs w:val="24"/>
          <w:spacing w:val="-4"/>
        </w:rPr>
        <w:t>明书 </w:t>
      </w:r>
      <w:r>
        <w:rPr>
          <w:rFonts w:ascii="Times New Roman" w:hAnsi="Times New Roman" w:eastAsia="Times New Roman" w:cs="Times New Roman"/>
          <w:sz w:val="24"/>
          <w:szCs w:val="24"/>
          <w:spacing w:val="-4"/>
        </w:rPr>
        <w:t>(MSDS)   </w:t>
      </w:r>
      <w:r>
        <w:rPr>
          <w:sz w:val="24"/>
          <w:szCs w:val="24"/>
          <w:spacing w:val="-4"/>
        </w:rPr>
        <w:t>等基础资料。</w:t>
      </w:r>
    </w:p>
    <w:p>
      <w:pPr>
        <w:pStyle w:val="BodyText"/>
        <w:ind w:left="3"/>
        <w:spacing w:before="240" w:line="219" w:lineRule="auto"/>
        <w:outlineLvl w:val="6"/>
        <w:rPr>
          <w:sz w:val="30"/>
          <w:szCs w:val="30"/>
        </w:rPr>
      </w:pPr>
      <w:r>
        <w:rPr>
          <w:sz w:val="30"/>
          <w:szCs w:val="30"/>
          <w:b/>
          <w:bCs/>
          <w:spacing w:val="-24"/>
        </w:rPr>
        <w:t>2.1.1物质危险性判断</w:t>
      </w:r>
    </w:p>
    <w:p>
      <w:pPr>
        <w:pStyle w:val="BodyText"/>
        <w:ind w:left="519"/>
        <w:spacing w:before="245" w:line="219" w:lineRule="auto"/>
        <w:rPr>
          <w:sz w:val="24"/>
          <w:szCs w:val="24"/>
        </w:rPr>
      </w:pPr>
      <w:r>
        <w:rPr>
          <w:sz w:val="24"/>
          <w:szCs w:val="24"/>
          <w:spacing w:val="-7"/>
        </w:rPr>
        <w:t>1、主要危险物质贮存量</w:t>
      </w:r>
    </w:p>
    <w:p>
      <w:pPr>
        <w:spacing w:line="219" w:lineRule="auto"/>
        <w:sectPr>
          <w:footerReference w:type="default" r:id="rId168"/>
          <w:pgSz w:w="11900" w:h="16840"/>
          <w:pgMar w:top="1431" w:right="1550" w:bottom="1159" w:left="1700" w:header="0" w:footer="990" w:gutter="0"/>
        </w:sectPr>
        <w:rPr>
          <w:sz w:val="24"/>
          <w:szCs w:val="24"/>
        </w:rPr>
      </w:pPr>
    </w:p>
    <w:p>
      <w:pPr>
        <w:pStyle w:val="BodyText"/>
        <w:ind w:left="135" w:right="109" w:firstLine="469"/>
        <w:spacing w:before="46" w:line="362" w:lineRule="auto"/>
        <w:jc w:val="both"/>
        <w:rPr>
          <w:sz w:val="24"/>
          <w:szCs w:val="24"/>
        </w:rPr>
      </w:pPr>
      <w:r>
        <w:rPr>
          <w:sz w:val="24"/>
          <w:szCs w:val="24"/>
        </w:rPr>
        <w:t>本项目所用的化学品以货车或槽车运输到相应的贮</w:t>
      </w:r>
      <w:r>
        <w:rPr>
          <w:sz w:val="24"/>
          <w:szCs w:val="24"/>
          <w:spacing w:val="-1"/>
        </w:rPr>
        <w:t>存点固定位置，卸至相应的</w:t>
      </w:r>
      <w:r>
        <w:rPr>
          <w:sz w:val="24"/>
          <w:szCs w:val="24"/>
        </w:rPr>
        <w:t xml:space="preserve"> </w:t>
      </w:r>
      <w:r>
        <w:rPr>
          <w:sz w:val="24"/>
          <w:szCs w:val="24"/>
        </w:rPr>
        <w:t>储罐区、库房内，其中</w:t>
      </w:r>
      <w:r>
        <w:rPr>
          <w:rFonts w:ascii="Times New Roman" w:hAnsi="Times New Roman" w:eastAsia="Times New Roman" w:cs="Times New Roman"/>
          <w:sz w:val="24"/>
          <w:szCs w:val="24"/>
        </w:rPr>
        <w:t>NMP </w:t>
      </w:r>
      <w:r>
        <w:rPr>
          <w:sz w:val="24"/>
          <w:szCs w:val="24"/>
        </w:rPr>
        <w:t>储存位于新建的</w:t>
      </w:r>
      <w:r>
        <w:rPr>
          <w:rFonts w:ascii="Times New Roman" w:hAnsi="Times New Roman" w:eastAsia="Times New Roman" w:cs="Times New Roman"/>
          <w:sz w:val="24"/>
          <w:szCs w:val="24"/>
        </w:rPr>
        <w:t>NMP </w:t>
      </w:r>
      <w:r>
        <w:rPr>
          <w:sz w:val="24"/>
          <w:szCs w:val="24"/>
        </w:rPr>
        <w:t>罐 区</w:t>
      </w:r>
      <w:r>
        <w:rPr>
          <w:rFonts w:ascii="Times New Roman" w:hAnsi="Times New Roman" w:eastAsia="Times New Roman" w:cs="Times New Roman"/>
          <w:sz w:val="24"/>
          <w:szCs w:val="24"/>
        </w:rPr>
        <w:t>C,   </w:t>
      </w:r>
      <w:r>
        <w:rPr>
          <w:sz w:val="24"/>
          <w:szCs w:val="24"/>
        </w:rPr>
        <w:t>其他正、负极材料储存</w:t>
      </w:r>
    </w:p>
    <w:p>
      <w:pPr>
        <w:pStyle w:val="BodyText"/>
        <w:ind w:left="135"/>
        <w:spacing w:line="218" w:lineRule="auto"/>
        <w:rPr>
          <w:sz w:val="24"/>
          <w:szCs w:val="24"/>
        </w:rPr>
      </w:pPr>
      <w:r>
        <w:rPr>
          <w:sz w:val="24"/>
          <w:szCs w:val="24"/>
          <w:spacing w:val="1"/>
        </w:rPr>
        <w:t>均依托现有工程的原料仓</w:t>
      </w:r>
      <w:r>
        <w:rPr>
          <w:rFonts w:ascii="Times New Roman" w:hAnsi="Times New Roman" w:eastAsia="Times New Roman" w:cs="Times New Roman"/>
          <w:sz w:val="24"/>
          <w:szCs w:val="24"/>
          <w:spacing w:val="1"/>
        </w:rPr>
        <w:t>X7</w:t>
      </w:r>
      <w:r>
        <w:rPr>
          <w:sz w:val="24"/>
          <w:szCs w:val="24"/>
          <w:spacing w:val="1"/>
        </w:rPr>
        <w:t>。</w:t>
      </w:r>
    </w:p>
    <w:p>
      <w:pPr>
        <w:pStyle w:val="BodyText"/>
        <w:ind w:left="255" w:firstLine="349"/>
        <w:spacing w:before="174" w:line="362" w:lineRule="auto"/>
        <w:jc w:val="both"/>
        <w:rPr>
          <w:sz w:val="24"/>
          <w:szCs w:val="24"/>
        </w:rPr>
      </w:pPr>
      <w:r>
        <w:rPr>
          <w:sz w:val="24"/>
          <w:szCs w:val="24"/>
          <w:spacing w:val="-3"/>
        </w:rPr>
        <w:t>根据一、二期工程的环评、验收报告，对照《建设项目环境风险评</w:t>
      </w:r>
      <w:r>
        <w:rPr>
          <w:sz w:val="24"/>
          <w:szCs w:val="24"/>
          <w:spacing w:val="-4"/>
        </w:rPr>
        <w:t>价技术导则》</w:t>
      </w:r>
      <w:r>
        <w:rPr>
          <w:sz w:val="24"/>
          <w:szCs w:val="24"/>
        </w:rPr>
        <w:t xml:space="preserve"> </w:t>
      </w:r>
      <w:r>
        <w:rPr>
          <w:sz w:val="24"/>
          <w:szCs w:val="24"/>
          <w:spacing w:val="1"/>
        </w:rPr>
        <w:t>(</w:t>
      </w:r>
      <w:r>
        <w:rPr>
          <w:sz w:val="24"/>
          <w:szCs w:val="24"/>
        </w:rPr>
        <w:t>HJ</w:t>
      </w:r>
      <w:r>
        <w:rPr>
          <w:sz w:val="24"/>
          <w:szCs w:val="24"/>
          <w:spacing w:val="1"/>
        </w:rPr>
        <w:t>169-2018)</w:t>
      </w:r>
      <w:r>
        <w:rPr>
          <w:sz w:val="24"/>
          <w:szCs w:val="24"/>
          <w:spacing w:val="33"/>
        </w:rPr>
        <w:t xml:space="preserve"> </w:t>
      </w:r>
      <w:r>
        <w:rPr>
          <w:sz w:val="24"/>
          <w:szCs w:val="24"/>
          <w:spacing w:val="1"/>
        </w:rPr>
        <w:t>附录</w:t>
      </w:r>
      <w:r>
        <w:rPr>
          <w:rFonts w:ascii="Times New Roman" w:hAnsi="Times New Roman" w:eastAsia="Times New Roman" w:cs="Times New Roman"/>
          <w:sz w:val="24"/>
          <w:szCs w:val="24"/>
          <w:spacing w:val="1"/>
        </w:rPr>
        <w:t>B </w:t>
      </w:r>
      <w:r>
        <w:rPr>
          <w:sz w:val="24"/>
          <w:szCs w:val="24"/>
          <w:spacing w:val="1"/>
        </w:rPr>
        <w:t>表</w:t>
      </w:r>
      <w:r>
        <w:rPr>
          <w:sz w:val="24"/>
          <w:szCs w:val="24"/>
          <w:spacing w:val="-22"/>
        </w:rPr>
        <w:t xml:space="preserve"> </w:t>
      </w:r>
      <w:r>
        <w:rPr>
          <w:rFonts w:ascii="Times New Roman" w:hAnsi="Times New Roman" w:eastAsia="Times New Roman" w:cs="Times New Roman"/>
          <w:sz w:val="24"/>
          <w:szCs w:val="24"/>
          <w:spacing w:val="1"/>
        </w:rPr>
        <w:t>B.1</w:t>
      </w:r>
      <w:r>
        <w:rPr>
          <w:rFonts w:ascii="Times New Roman" w:hAnsi="Times New Roman" w:eastAsia="Times New Roman" w:cs="Times New Roman"/>
          <w:sz w:val="24"/>
          <w:szCs w:val="24"/>
          <w:spacing w:val="-16"/>
        </w:rPr>
        <w:t xml:space="preserve"> </w:t>
      </w:r>
      <w:r>
        <w:rPr>
          <w:sz w:val="24"/>
          <w:szCs w:val="24"/>
          <w:spacing w:val="1"/>
        </w:rPr>
        <w:t>及表</w:t>
      </w:r>
      <w:r>
        <w:rPr>
          <w:sz w:val="24"/>
          <w:szCs w:val="24"/>
          <w:spacing w:val="-31"/>
        </w:rPr>
        <w:t xml:space="preserve"> </w:t>
      </w:r>
      <w:r>
        <w:rPr>
          <w:rFonts w:ascii="Times New Roman" w:hAnsi="Times New Roman" w:eastAsia="Times New Roman" w:cs="Times New Roman"/>
          <w:sz w:val="24"/>
          <w:szCs w:val="24"/>
          <w:spacing w:val="1"/>
        </w:rPr>
        <w:t>B.2,   </w:t>
      </w:r>
      <w:r>
        <w:rPr>
          <w:sz w:val="24"/>
          <w:szCs w:val="24"/>
          <w:spacing w:val="1"/>
        </w:rPr>
        <w:t>本项目扩建后，厂区内危险物质数量和分</w:t>
      </w:r>
    </w:p>
    <w:p>
      <w:pPr>
        <w:pStyle w:val="BodyText"/>
        <w:ind w:left="135"/>
        <w:spacing w:line="218" w:lineRule="auto"/>
        <w:rPr>
          <w:sz w:val="24"/>
          <w:szCs w:val="24"/>
        </w:rPr>
      </w:pPr>
      <w:r>
        <w:rPr>
          <w:sz w:val="24"/>
          <w:szCs w:val="24"/>
          <w:spacing w:val="-8"/>
        </w:rPr>
        <w:t>布情况见表2.1-1。</w:t>
      </w:r>
    </w:p>
    <w:p>
      <w:pPr>
        <w:pStyle w:val="BodyText"/>
        <w:ind w:left="2108"/>
        <w:spacing w:before="252" w:line="219" w:lineRule="auto"/>
        <w:rPr>
          <w:sz w:val="24"/>
          <w:szCs w:val="24"/>
        </w:rPr>
      </w:pPr>
      <w:r>
        <w:rPr>
          <w:sz w:val="24"/>
          <w:szCs w:val="24"/>
          <w:b/>
          <w:bCs/>
          <w:spacing w:val="15"/>
        </w:rPr>
        <w:t>表2.1-1</w:t>
      </w:r>
      <w:r>
        <w:rPr>
          <w:sz w:val="24"/>
          <w:szCs w:val="24"/>
          <w:spacing w:val="15"/>
        </w:rPr>
        <w:t xml:space="preserve"> </w:t>
      </w:r>
      <w:r>
        <w:rPr>
          <w:sz w:val="24"/>
          <w:szCs w:val="24"/>
          <w:b/>
          <w:bCs/>
          <w:spacing w:val="15"/>
        </w:rPr>
        <w:t>厂区危险物质数量及分布一览表</w:t>
      </w:r>
    </w:p>
    <w:p>
      <w:pPr>
        <w:spacing w:line="66" w:lineRule="exact"/>
        <w:rPr/>
      </w:pPr>
      <w:r/>
    </w:p>
    <w:tbl>
      <w:tblPr>
        <w:tblStyle w:val="TableNormal"/>
        <w:tblW w:w="88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83"/>
        <w:gridCol w:w="2647"/>
        <w:gridCol w:w="1179"/>
        <w:gridCol w:w="739"/>
        <w:gridCol w:w="1039"/>
        <w:gridCol w:w="909"/>
        <w:gridCol w:w="984"/>
      </w:tblGrid>
      <w:tr>
        <w:trPr>
          <w:trHeight w:val="544" w:hRule="atLeast"/>
        </w:trPr>
        <w:tc>
          <w:tcPr>
            <w:tcW w:w="1383" w:type="dxa"/>
            <w:vAlign w:val="top"/>
          </w:tcPr>
          <w:p>
            <w:pPr>
              <w:pStyle w:val="TableText"/>
              <w:ind w:left="265"/>
              <w:spacing w:before="174" w:line="220" w:lineRule="auto"/>
              <w:rPr>
                <w:sz w:val="21"/>
                <w:szCs w:val="21"/>
              </w:rPr>
            </w:pPr>
            <w:r>
              <w:rPr>
                <w:sz w:val="21"/>
                <w:szCs w:val="21"/>
                <w:spacing w:val="-2"/>
              </w:rPr>
              <w:t>物料名称</w:t>
            </w:r>
          </w:p>
        </w:tc>
        <w:tc>
          <w:tcPr>
            <w:tcW w:w="2647" w:type="dxa"/>
            <w:vAlign w:val="top"/>
          </w:tcPr>
          <w:p>
            <w:pPr>
              <w:pStyle w:val="TableText"/>
              <w:ind w:left="892"/>
              <w:spacing w:before="174" w:line="220" w:lineRule="auto"/>
              <w:rPr>
                <w:sz w:val="21"/>
                <w:szCs w:val="21"/>
              </w:rPr>
            </w:pPr>
            <w:r>
              <w:rPr>
                <w:sz w:val="21"/>
                <w:szCs w:val="21"/>
                <w:spacing w:val="-2"/>
              </w:rPr>
              <w:t>主要成分</w:t>
            </w:r>
          </w:p>
        </w:tc>
        <w:tc>
          <w:tcPr>
            <w:tcW w:w="1179" w:type="dxa"/>
            <w:vAlign w:val="top"/>
          </w:tcPr>
          <w:p>
            <w:pPr>
              <w:pStyle w:val="TableText"/>
              <w:ind w:left="105"/>
              <w:spacing w:before="173" w:line="219" w:lineRule="auto"/>
              <w:rPr>
                <w:sz w:val="21"/>
                <w:szCs w:val="21"/>
              </w:rPr>
            </w:pPr>
            <w:r>
              <w:rPr>
                <w:sz w:val="21"/>
                <w:szCs w:val="21"/>
                <w:spacing w:val="8"/>
              </w:rPr>
              <w:t>贮存量(t)</w:t>
            </w:r>
          </w:p>
        </w:tc>
        <w:tc>
          <w:tcPr>
            <w:tcW w:w="739" w:type="dxa"/>
            <w:vAlign w:val="top"/>
          </w:tcPr>
          <w:p>
            <w:pPr>
              <w:pStyle w:val="TableText"/>
              <w:ind w:left="155"/>
              <w:spacing w:before="176" w:line="221" w:lineRule="auto"/>
              <w:rPr>
                <w:sz w:val="21"/>
                <w:szCs w:val="21"/>
              </w:rPr>
            </w:pPr>
            <w:r>
              <w:rPr>
                <w:sz w:val="21"/>
                <w:szCs w:val="21"/>
                <w:spacing w:val="5"/>
              </w:rPr>
              <w:t>形态</w:t>
            </w:r>
          </w:p>
        </w:tc>
        <w:tc>
          <w:tcPr>
            <w:tcW w:w="1039" w:type="dxa"/>
            <w:vAlign w:val="top"/>
          </w:tcPr>
          <w:p>
            <w:pPr>
              <w:pStyle w:val="TableText"/>
              <w:ind w:left="197"/>
              <w:spacing w:before="34" w:line="238" w:lineRule="auto"/>
              <w:rPr>
                <w:sz w:val="21"/>
                <w:szCs w:val="21"/>
              </w:rPr>
            </w:pPr>
            <w:r>
              <w:rPr>
                <w:sz w:val="21"/>
                <w:szCs w:val="21"/>
                <w:spacing w:val="-2"/>
              </w:rPr>
              <w:t>包装方</w:t>
            </w:r>
          </w:p>
          <w:p>
            <w:pPr>
              <w:pStyle w:val="TableText"/>
              <w:ind w:left="407"/>
              <w:spacing w:line="201" w:lineRule="auto"/>
              <w:rPr>
                <w:sz w:val="21"/>
                <w:szCs w:val="21"/>
              </w:rPr>
            </w:pPr>
            <w:r>
              <w:rPr>
                <w:sz w:val="21"/>
                <w:szCs w:val="21"/>
              </w:rPr>
              <w:t>式</w:t>
            </w:r>
          </w:p>
        </w:tc>
        <w:tc>
          <w:tcPr>
            <w:tcW w:w="909" w:type="dxa"/>
            <w:vAlign w:val="top"/>
          </w:tcPr>
          <w:p>
            <w:pPr>
              <w:pStyle w:val="TableText"/>
              <w:ind w:left="138" w:right="138"/>
              <w:spacing w:before="33" w:line="220" w:lineRule="auto"/>
              <w:rPr>
                <w:sz w:val="21"/>
                <w:szCs w:val="21"/>
              </w:rPr>
            </w:pPr>
            <w:r>
              <w:rPr>
                <w:sz w:val="21"/>
                <w:szCs w:val="21"/>
                <w:spacing w:val="-4"/>
              </w:rPr>
              <w:t>来料运</w:t>
            </w:r>
            <w:r>
              <w:rPr>
                <w:sz w:val="21"/>
                <w:szCs w:val="21"/>
                <w:spacing w:val="1"/>
              </w:rPr>
              <w:t xml:space="preserve"> </w:t>
            </w:r>
            <w:r>
              <w:rPr>
                <w:sz w:val="21"/>
                <w:szCs w:val="21"/>
                <w:spacing w:val="-3"/>
              </w:rPr>
              <w:t>输方式</w:t>
            </w:r>
          </w:p>
        </w:tc>
        <w:tc>
          <w:tcPr>
            <w:tcW w:w="984" w:type="dxa"/>
            <w:vAlign w:val="top"/>
          </w:tcPr>
          <w:p>
            <w:pPr>
              <w:pStyle w:val="TableText"/>
              <w:ind w:left="378" w:right="161" w:hanging="210"/>
              <w:spacing w:before="33" w:line="220" w:lineRule="auto"/>
              <w:rPr>
                <w:sz w:val="21"/>
                <w:szCs w:val="21"/>
              </w:rPr>
            </w:pPr>
            <w:r>
              <w:rPr>
                <w:sz w:val="21"/>
                <w:szCs w:val="21"/>
                <w:spacing w:val="4"/>
              </w:rPr>
              <w:t>储存场</w:t>
            </w:r>
            <w:r>
              <w:rPr>
                <w:sz w:val="21"/>
                <w:szCs w:val="21"/>
              </w:rPr>
              <w:t xml:space="preserve"> </w:t>
            </w:r>
            <w:r>
              <w:rPr>
                <w:sz w:val="21"/>
                <w:szCs w:val="21"/>
              </w:rPr>
              <w:t>所</w:t>
            </w:r>
          </w:p>
        </w:tc>
      </w:tr>
      <w:tr>
        <w:trPr>
          <w:trHeight w:val="370" w:hRule="atLeast"/>
        </w:trPr>
        <w:tc>
          <w:tcPr>
            <w:tcW w:w="8880" w:type="dxa"/>
            <w:vAlign w:val="top"/>
            <w:gridSpan w:val="7"/>
          </w:tcPr>
          <w:p>
            <w:pPr>
              <w:pStyle w:val="TableText"/>
              <w:ind w:left="3805"/>
              <w:spacing w:before="80" w:line="220" w:lineRule="auto"/>
              <w:rPr>
                <w:sz w:val="21"/>
                <w:szCs w:val="21"/>
              </w:rPr>
            </w:pPr>
            <w:r>
              <w:rPr>
                <w:sz w:val="21"/>
                <w:szCs w:val="21"/>
                <w:spacing w:val="3"/>
              </w:rPr>
              <w:t>一期工程范围</w:t>
            </w:r>
          </w:p>
        </w:tc>
      </w:tr>
      <w:tr>
        <w:trPr>
          <w:trHeight w:val="539" w:hRule="atLeast"/>
        </w:trPr>
        <w:tc>
          <w:tcPr>
            <w:tcW w:w="1383" w:type="dxa"/>
            <w:vAlign w:val="top"/>
          </w:tcPr>
          <w:p>
            <w:pPr>
              <w:pStyle w:val="TableText"/>
              <w:ind w:left="265"/>
              <w:spacing w:before="38" w:line="282" w:lineRule="exact"/>
              <w:rPr>
                <w:sz w:val="21"/>
                <w:szCs w:val="21"/>
              </w:rPr>
            </w:pPr>
            <w:r>
              <w:rPr>
                <w:sz w:val="21"/>
                <w:szCs w:val="21"/>
                <w:spacing w:val="-2"/>
                <w:position w:val="5"/>
              </w:rPr>
              <w:t>三元材料</w:t>
            </w:r>
          </w:p>
          <w:p>
            <w:pPr>
              <w:pStyle w:val="TableText"/>
              <w:ind w:left="415"/>
              <w:spacing w:line="183" w:lineRule="auto"/>
              <w:rPr>
                <w:sz w:val="21"/>
                <w:szCs w:val="21"/>
              </w:rPr>
            </w:pPr>
            <w:r>
              <w:rPr>
                <w:sz w:val="21"/>
                <w:szCs w:val="21"/>
                <w:spacing w:val="-10"/>
              </w:rPr>
              <w:t>(NCM)</w:t>
            </w:r>
          </w:p>
        </w:tc>
        <w:tc>
          <w:tcPr>
            <w:tcW w:w="2647" w:type="dxa"/>
            <w:vAlign w:val="top"/>
          </w:tcPr>
          <w:p>
            <w:pPr>
              <w:pStyle w:val="TableText"/>
              <w:ind w:left="312"/>
              <w:spacing w:before="164" w:line="215" w:lineRule="auto"/>
              <w:rPr>
                <w:rFonts w:ascii="Calibri" w:hAnsi="Calibri" w:eastAsia="Calibri" w:cs="Calibri"/>
                <w:sz w:val="21"/>
                <w:szCs w:val="21"/>
              </w:rPr>
            </w:pPr>
            <w:r>
              <w:rPr>
                <w:sz w:val="21"/>
                <w:szCs w:val="21"/>
                <w:spacing w:val="-1"/>
              </w:rPr>
              <w:t>LiNixCoyMn</w:t>
            </w:r>
            <w:r>
              <w:rPr>
                <w:rFonts w:ascii="Calibri" w:hAnsi="Calibri" w:eastAsia="Calibri" w:cs="Calibri"/>
                <w:sz w:val="21"/>
                <w:szCs w:val="21"/>
                <w:spacing w:val="-1"/>
              </w:rPr>
              <w:t>₁</w:t>
            </w:r>
            <w:r>
              <w:rPr>
                <w:sz w:val="21"/>
                <w:szCs w:val="21"/>
                <w:spacing w:val="-1"/>
              </w:rPr>
              <w:t>-x-yO</w:t>
            </w:r>
            <w:r>
              <w:rPr>
                <w:rFonts w:ascii="Calibri" w:hAnsi="Calibri" w:eastAsia="Calibri" w:cs="Calibri"/>
                <w:sz w:val="21"/>
                <w:szCs w:val="21"/>
                <w:spacing w:val="-1"/>
              </w:rPr>
              <w:t>₂</w:t>
            </w:r>
          </w:p>
        </w:tc>
        <w:tc>
          <w:tcPr>
            <w:tcW w:w="1179" w:type="dxa"/>
            <w:vAlign w:val="top"/>
            <w:vMerge w:val="restart"/>
            <w:tcBorders>
              <w:bottom w:val="nil"/>
            </w:tcBorders>
          </w:tcPr>
          <w:p>
            <w:pPr>
              <w:spacing w:line="293" w:lineRule="auto"/>
              <w:rPr>
                <w:rFonts w:ascii="Arial"/>
                <w:sz w:val="21"/>
              </w:rPr>
            </w:pPr>
            <w:r/>
          </w:p>
          <w:p>
            <w:pPr>
              <w:spacing w:line="294" w:lineRule="auto"/>
              <w:rPr>
                <w:rFonts w:ascii="Arial"/>
                <w:sz w:val="21"/>
              </w:rPr>
            </w:pPr>
            <w:r/>
          </w:p>
          <w:p>
            <w:pPr>
              <w:spacing w:line="294" w:lineRule="auto"/>
              <w:rPr>
                <w:rFonts w:ascii="Arial"/>
                <w:sz w:val="21"/>
              </w:rPr>
            </w:pPr>
            <w:r/>
          </w:p>
          <w:p>
            <w:pPr>
              <w:spacing w:line="294" w:lineRule="auto"/>
              <w:rPr>
                <w:rFonts w:ascii="Arial"/>
                <w:sz w:val="21"/>
              </w:rPr>
            </w:pPr>
            <w:r/>
          </w:p>
          <w:p>
            <w:pPr>
              <w:pStyle w:val="TableText"/>
              <w:ind w:left="374" w:right="51" w:hanging="319"/>
              <w:spacing w:before="68" w:line="229" w:lineRule="auto"/>
              <w:rPr>
                <w:sz w:val="21"/>
                <w:szCs w:val="21"/>
              </w:rPr>
            </w:pPr>
            <w:r>
              <w:rPr>
                <w:sz w:val="21"/>
                <w:szCs w:val="21"/>
                <w:spacing w:val="2"/>
              </w:rPr>
              <w:t>涉密，不予</w:t>
            </w:r>
            <w:r>
              <w:rPr>
                <w:sz w:val="21"/>
                <w:szCs w:val="21"/>
                <w:spacing w:val="1"/>
              </w:rPr>
              <w:t xml:space="preserve"> </w:t>
            </w:r>
            <w:r>
              <w:rPr>
                <w:sz w:val="21"/>
                <w:szCs w:val="21"/>
                <w:spacing w:val="4"/>
              </w:rPr>
              <w:t>公开</w:t>
            </w:r>
          </w:p>
        </w:tc>
        <w:tc>
          <w:tcPr>
            <w:tcW w:w="739" w:type="dxa"/>
            <w:vAlign w:val="top"/>
          </w:tcPr>
          <w:p>
            <w:pPr>
              <w:pStyle w:val="TableText"/>
              <w:ind w:left="155"/>
              <w:spacing w:before="170" w:line="220" w:lineRule="auto"/>
              <w:rPr>
                <w:sz w:val="21"/>
                <w:szCs w:val="21"/>
              </w:rPr>
            </w:pPr>
            <w:r>
              <w:rPr>
                <w:sz w:val="21"/>
                <w:szCs w:val="21"/>
                <w:spacing w:val="5"/>
              </w:rPr>
              <w:t>固态</w:t>
            </w:r>
          </w:p>
        </w:tc>
        <w:tc>
          <w:tcPr>
            <w:tcW w:w="1039" w:type="dxa"/>
            <w:vAlign w:val="top"/>
          </w:tcPr>
          <w:p>
            <w:pPr>
              <w:pStyle w:val="TableText"/>
              <w:ind w:left="306"/>
              <w:spacing w:before="170" w:line="220" w:lineRule="auto"/>
              <w:rPr>
                <w:sz w:val="21"/>
                <w:szCs w:val="21"/>
              </w:rPr>
            </w:pPr>
            <w:r>
              <w:rPr>
                <w:sz w:val="21"/>
                <w:szCs w:val="21"/>
                <w:spacing w:val="-3"/>
              </w:rPr>
              <w:t>袋装</w:t>
            </w:r>
          </w:p>
        </w:tc>
        <w:tc>
          <w:tcPr>
            <w:tcW w:w="909" w:type="dxa"/>
            <w:vAlign w:val="top"/>
          </w:tcPr>
          <w:p>
            <w:pPr>
              <w:pStyle w:val="TableText"/>
              <w:ind w:left="238"/>
              <w:spacing w:before="169" w:line="219" w:lineRule="auto"/>
              <w:rPr>
                <w:sz w:val="21"/>
                <w:szCs w:val="21"/>
              </w:rPr>
            </w:pPr>
            <w:r>
              <w:rPr>
                <w:sz w:val="21"/>
                <w:szCs w:val="21"/>
                <w:spacing w:val="-3"/>
              </w:rPr>
              <w:t>汽车</w:t>
            </w:r>
          </w:p>
        </w:tc>
        <w:tc>
          <w:tcPr>
            <w:tcW w:w="984" w:type="dxa"/>
            <w:vAlign w:val="top"/>
          </w:tcPr>
          <w:p>
            <w:pPr>
              <w:pStyle w:val="TableText"/>
              <w:ind w:left="279"/>
              <w:spacing w:before="169" w:line="219" w:lineRule="auto"/>
              <w:rPr>
                <w:sz w:val="21"/>
                <w:szCs w:val="21"/>
              </w:rPr>
            </w:pPr>
            <w:r>
              <w:rPr>
                <w:sz w:val="21"/>
                <w:szCs w:val="21"/>
                <w:spacing w:val="6"/>
              </w:rPr>
              <w:t>仓库</w:t>
            </w:r>
          </w:p>
        </w:tc>
      </w:tr>
      <w:tr>
        <w:trPr>
          <w:trHeight w:val="819" w:hRule="atLeast"/>
        </w:trPr>
        <w:tc>
          <w:tcPr>
            <w:tcW w:w="1383" w:type="dxa"/>
            <w:vAlign w:val="top"/>
          </w:tcPr>
          <w:p>
            <w:pPr>
              <w:spacing w:line="241" w:lineRule="auto"/>
              <w:rPr>
                <w:rFonts w:ascii="Arial"/>
                <w:sz w:val="21"/>
              </w:rPr>
            </w:pPr>
            <w:r/>
          </w:p>
          <w:p>
            <w:pPr>
              <w:pStyle w:val="TableText"/>
              <w:ind w:left="365"/>
              <w:spacing w:before="68" w:line="220" w:lineRule="auto"/>
              <w:rPr>
                <w:sz w:val="21"/>
                <w:szCs w:val="21"/>
              </w:rPr>
            </w:pPr>
            <w:r>
              <w:rPr>
                <w:sz w:val="21"/>
                <w:szCs w:val="21"/>
                <w:spacing w:val="3"/>
              </w:rPr>
              <w:t>电解液</w:t>
            </w:r>
          </w:p>
        </w:tc>
        <w:tc>
          <w:tcPr>
            <w:tcW w:w="2647" w:type="dxa"/>
            <w:vAlign w:val="top"/>
          </w:tcPr>
          <w:p>
            <w:pPr>
              <w:pStyle w:val="TableText"/>
              <w:ind w:left="52"/>
              <w:spacing w:before="30" w:line="219" w:lineRule="auto"/>
              <w:rPr>
                <w:sz w:val="21"/>
                <w:szCs w:val="21"/>
              </w:rPr>
            </w:pPr>
            <w:r>
              <w:rPr>
                <w:sz w:val="21"/>
                <w:szCs w:val="21"/>
              </w:rPr>
              <w:t>电解质盐为六氟磷酸锂，稀</w:t>
            </w:r>
          </w:p>
          <w:p>
            <w:pPr>
              <w:pStyle w:val="TableText"/>
              <w:ind w:left="52"/>
              <w:spacing w:before="49" w:line="219" w:lineRule="auto"/>
              <w:rPr>
                <w:sz w:val="21"/>
                <w:szCs w:val="21"/>
              </w:rPr>
            </w:pPr>
            <w:r>
              <w:rPr>
                <w:sz w:val="21"/>
                <w:szCs w:val="21"/>
                <w:spacing w:val="-1"/>
              </w:rPr>
              <w:t>释剂为碳酸乙烯酯、碳酸二</w:t>
            </w:r>
          </w:p>
          <w:p>
            <w:pPr>
              <w:pStyle w:val="TableText"/>
              <w:ind w:left="472"/>
              <w:spacing w:before="13" w:line="191" w:lineRule="auto"/>
              <w:rPr>
                <w:sz w:val="21"/>
                <w:szCs w:val="21"/>
              </w:rPr>
            </w:pPr>
            <w:r>
              <w:rPr>
                <w:sz w:val="21"/>
                <w:szCs w:val="21"/>
                <w:spacing w:val="1"/>
              </w:rPr>
              <w:t>甲酯、碳酸甲乙酯</w:t>
            </w:r>
          </w:p>
        </w:tc>
        <w:tc>
          <w:tcPr>
            <w:tcW w:w="1179" w:type="dxa"/>
            <w:vAlign w:val="top"/>
            <w:vMerge w:val="continue"/>
            <w:tcBorders>
              <w:top w:val="nil"/>
              <w:bottom w:val="nil"/>
            </w:tcBorders>
          </w:tcPr>
          <w:p>
            <w:pPr>
              <w:rPr>
                <w:rFonts w:ascii="Arial"/>
                <w:sz w:val="21"/>
              </w:rPr>
            </w:pPr>
            <w:r/>
          </w:p>
        </w:tc>
        <w:tc>
          <w:tcPr>
            <w:tcW w:w="739" w:type="dxa"/>
            <w:vAlign w:val="top"/>
          </w:tcPr>
          <w:p>
            <w:pPr>
              <w:spacing w:line="241" w:lineRule="auto"/>
              <w:rPr>
                <w:rFonts w:ascii="Arial"/>
                <w:sz w:val="21"/>
              </w:rPr>
            </w:pPr>
            <w:r/>
          </w:p>
          <w:p>
            <w:pPr>
              <w:pStyle w:val="TableText"/>
              <w:ind w:left="155"/>
              <w:spacing w:before="68" w:line="220" w:lineRule="auto"/>
              <w:rPr>
                <w:sz w:val="21"/>
                <w:szCs w:val="21"/>
              </w:rPr>
            </w:pPr>
            <w:r>
              <w:rPr>
                <w:sz w:val="21"/>
                <w:szCs w:val="21"/>
                <w:spacing w:val="5"/>
              </w:rPr>
              <w:t>液态</w:t>
            </w:r>
          </w:p>
        </w:tc>
        <w:tc>
          <w:tcPr>
            <w:tcW w:w="1039" w:type="dxa"/>
            <w:vAlign w:val="top"/>
          </w:tcPr>
          <w:p>
            <w:pPr>
              <w:rPr>
                <w:rFonts w:ascii="Arial"/>
                <w:sz w:val="21"/>
              </w:rPr>
            </w:pPr>
            <w:r/>
          </w:p>
          <w:p>
            <w:pPr>
              <w:pStyle w:val="TableText"/>
              <w:ind w:left="306"/>
              <w:spacing w:before="69" w:line="219" w:lineRule="auto"/>
              <w:rPr>
                <w:sz w:val="21"/>
                <w:szCs w:val="21"/>
              </w:rPr>
            </w:pPr>
            <w:r>
              <w:rPr>
                <w:sz w:val="21"/>
                <w:szCs w:val="21"/>
                <w:spacing w:val="-3"/>
              </w:rPr>
              <w:t>罐装</w:t>
            </w:r>
          </w:p>
        </w:tc>
        <w:tc>
          <w:tcPr>
            <w:tcW w:w="909" w:type="dxa"/>
            <w:vAlign w:val="top"/>
          </w:tcPr>
          <w:p>
            <w:pPr>
              <w:rPr>
                <w:rFonts w:ascii="Arial"/>
                <w:sz w:val="21"/>
              </w:rPr>
            </w:pPr>
            <w:r/>
          </w:p>
          <w:p>
            <w:pPr>
              <w:pStyle w:val="TableText"/>
              <w:ind w:left="238"/>
              <w:spacing w:before="69" w:line="219" w:lineRule="auto"/>
              <w:rPr>
                <w:sz w:val="21"/>
                <w:szCs w:val="21"/>
              </w:rPr>
            </w:pPr>
            <w:r>
              <w:rPr>
                <w:sz w:val="21"/>
                <w:szCs w:val="21"/>
                <w:spacing w:val="-3"/>
              </w:rPr>
              <w:t>汽车</w:t>
            </w:r>
          </w:p>
        </w:tc>
        <w:tc>
          <w:tcPr>
            <w:tcW w:w="984" w:type="dxa"/>
            <w:vAlign w:val="top"/>
          </w:tcPr>
          <w:p>
            <w:pPr>
              <w:pStyle w:val="TableText"/>
              <w:ind w:left="378" w:right="165" w:hanging="210"/>
              <w:spacing w:before="181" w:line="219" w:lineRule="auto"/>
              <w:rPr>
                <w:sz w:val="21"/>
                <w:szCs w:val="21"/>
              </w:rPr>
            </w:pPr>
            <w:r>
              <w:rPr>
                <w:sz w:val="21"/>
                <w:szCs w:val="21"/>
                <w:spacing w:val="3"/>
              </w:rPr>
              <w:t>电解液</w:t>
            </w:r>
            <w:r>
              <w:rPr>
                <w:sz w:val="21"/>
                <w:szCs w:val="21"/>
              </w:rPr>
              <w:t xml:space="preserve"> </w:t>
            </w:r>
            <w:r>
              <w:rPr>
                <w:sz w:val="21"/>
                <w:szCs w:val="21"/>
              </w:rPr>
              <w:t>库</w:t>
            </w:r>
          </w:p>
        </w:tc>
      </w:tr>
      <w:tr>
        <w:trPr>
          <w:trHeight w:val="579" w:hRule="atLeast"/>
        </w:trPr>
        <w:tc>
          <w:tcPr>
            <w:tcW w:w="1383" w:type="dxa"/>
            <w:vAlign w:val="top"/>
          </w:tcPr>
          <w:p>
            <w:pPr>
              <w:pStyle w:val="TableText"/>
              <w:ind w:left="525"/>
              <w:spacing w:before="246" w:line="182" w:lineRule="auto"/>
              <w:rPr>
                <w:sz w:val="21"/>
                <w:szCs w:val="21"/>
              </w:rPr>
            </w:pPr>
            <w:r>
              <w:rPr>
                <w:sz w:val="21"/>
                <w:szCs w:val="21"/>
                <w:spacing w:val="-1"/>
              </w:rPr>
              <w:t>NMP</w:t>
            </w:r>
          </w:p>
        </w:tc>
        <w:tc>
          <w:tcPr>
            <w:tcW w:w="2647" w:type="dxa"/>
            <w:vAlign w:val="top"/>
          </w:tcPr>
          <w:p>
            <w:pPr>
              <w:pStyle w:val="TableText"/>
              <w:ind w:left="582"/>
              <w:spacing w:before="192" w:line="220" w:lineRule="auto"/>
              <w:rPr>
                <w:sz w:val="21"/>
                <w:szCs w:val="21"/>
              </w:rPr>
            </w:pPr>
            <w:r>
              <w:rPr>
                <w:sz w:val="21"/>
                <w:szCs w:val="21"/>
                <w:spacing w:val="-1"/>
              </w:rPr>
              <w:t>N-甲基吡咯烷酮</w:t>
            </w:r>
          </w:p>
        </w:tc>
        <w:tc>
          <w:tcPr>
            <w:tcW w:w="1179" w:type="dxa"/>
            <w:vAlign w:val="top"/>
            <w:vMerge w:val="continue"/>
            <w:tcBorders>
              <w:top w:val="nil"/>
              <w:bottom w:val="nil"/>
            </w:tcBorders>
          </w:tcPr>
          <w:p>
            <w:pPr>
              <w:rPr>
                <w:rFonts w:ascii="Arial"/>
                <w:sz w:val="21"/>
              </w:rPr>
            </w:pPr>
            <w:r/>
          </w:p>
        </w:tc>
        <w:tc>
          <w:tcPr>
            <w:tcW w:w="739" w:type="dxa"/>
            <w:vAlign w:val="top"/>
          </w:tcPr>
          <w:p>
            <w:pPr>
              <w:pStyle w:val="TableText"/>
              <w:ind w:left="155"/>
              <w:spacing w:before="192" w:line="220" w:lineRule="auto"/>
              <w:rPr>
                <w:sz w:val="21"/>
                <w:szCs w:val="21"/>
              </w:rPr>
            </w:pPr>
            <w:r>
              <w:rPr>
                <w:sz w:val="21"/>
                <w:szCs w:val="21"/>
                <w:spacing w:val="5"/>
              </w:rPr>
              <w:t>液态</w:t>
            </w:r>
          </w:p>
        </w:tc>
        <w:tc>
          <w:tcPr>
            <w:tcW w:w="1039" w:type="dxa"/>
            <w:vAlign w:val="top"/>
          </w:tcPr>
          <w:p>
            <w:pPr>
              <w:pStyle w:val="TableText"/>
              <w:ind w:left="97"/>
              <w:spacing w:before="52" w:line="219" w:lineRule="auto"/>
              <w:rPr>
                <w:sz w:val="21"/>
                <w:szCs w:val="21"/>
              </w:rPr>
            </w:pPr>
            <w:r>
              <w:rPr>
                <w:sz w:val="21"/>
                <w:szCs w:val="21"/>
                <w:spacing w:val="-4"/>
              </w:rPr>
              <w:t>101.7m³</w:t>
            </w:r>
          </w:p>
          <w:p>
            <w:pPr>
              <w:pStyle w:val="TableText"/>
              <w:ind w:left="306"/>
              <w:spacing w:line="219" w:lineRule="auto"/>
              <w:rPr>
                <w:sz w:val="21"/>
                <w:szCs w:val="21"/>
              </w:rPr>
            </w:pPr>
            <w:r>
              <w:rPr>
                <w:sz w:val="21"/>
                <w:szCs w:val="21"/>
                <w:spacing w:val="-2"/>
              </w:rPr>
              <w:t>储罐</w:t>
            </w:r>
          </w:p>
        </w:tc>
        <w:tc>
          <w:tcPr>
            <w:tcW w:w="909" w:type="dxa"/>
            <w:vAlign w:val="top"/>
          </w:tcPr>
          <w:p>
            <w:pPr>
              <w:pStyle w:val="TableText"/>
              <w:ind w:left="238"/>
              <w:spacing w:before="191" w:line="219" w:lineRule="auto"/>
              <w:rPr>
                <w:sz w:val="21"/>
                <w:szCs w:val="21"/>
              </w:rPr>
            </w:pPr>
            <w:r>
              <w:rPr>
                <w:sz w:val="21"/>
                <w:szCs w:val="21"/>
                <w:spacing w:val="-2"/>
              </w:rPr>
              <w:t>槽车</w:t>
            </w:r>
          </w:p>
        </w:tc>
        <w:tc>
          <w:tcPr>
            <w:tcW w:w="984" w:type="dxa"/>
            <w:vAlign w:val="top"/>
          </w:tcPr>
          <w:p>
            <w:pPr>
              <w:pStyle w:val="TableText"/>
              <w:ind w:left="219"/>
              <w:spacing w:before="51" w:line="219" w:lineRule="auto"/>
              <w:rPr>
                <w:sz w:val="21"/>
                <w:szCs w:val="21"/>
              </w:rPr>
            </w:pPr>
            <w:r>
              <w:rPr>
                <w:sz w:val="21"/>
                <w:szCs w:val="21"/>
                <w:spacing w:val="-1"/>
              </w:rPr>
              <w:t>NMP罐</w:t>
            </w:r>
          </w:p>
          <w:p>
            <w:pPr>
              <w:pStyle w:val="TableText"/>
              <w:ind w:left="329"/>
              <w:spacing w:before="46" w:line="195" w:lineRule="auto"/>
              <w:rPr>
                <w:sz w:val="21"/>
                <w:szCs w:val="21"/>
              </w:rPr>
            </w:pPr>
            <w:r>
              <w:rPr>
                <w:sz w:val="21"/>
                <w:szCs w:val="21"/>
                <w:spacing w:val="-1"/>
              </w:rPr>
              <w:t>区A</w:t>
            </w:r>
          </w:p>
        </w:tc>
      </w:tr>
      <w:tr>
        <w:trPr>
          <w:trHeight w:val="599" w:hRule="atLeast"/>
        </w:trPr>
        <w:tc>
          <w:tcPr>
            <w:tcW w:w="1383" w:type="dxa"/>
            <w:vAlign w:val="top"/>
          </w:tcPr>
          <w:p>
            <w:pPr>
              <w:pStyle w:val="TableText"/>
              <w:ind w:left="415"/>
              <w:spacing w:before="203" w:line="220" w:lineRule="auto"/>
              <w:rPr>
                <w:sz w:val="21"/>
                <w:szCs w:val="21"/>
              </w:rPr>
            </w:pPr>
            <w:r>
              <w:rPr>
                <w:sz w:val="21"/>
                <w:szCs w:val="21"/>
                <w:spacing w:val="13"/>
              </w:rPr>
              <w:t>废</w:t>
            </w:r>
            <w:r>
              <w:rPr>
                <w:sz w:val="21"/>
                <w:szCs w:val="21"/>
              </w:rPr>
              <w:t>NMP</w:t>
            </w:r>
          </w:p>
        </w:tc>
        <w:tc>
          <w:tcPr>
            <w:tcW w:w="2647" w:type="dxa"/>
            <w:vAlign w:val="top"/>
          </w:tcPr>
          <w:p>
            <w:pPr>
              <w:pStyle w:val="TableText"/>
              <w:ind w:left="582"/>
              <w:spacing w:before="203" w:line="220" w:lineRule="auto"/>
              <w:rPr>
                <w:sz w:val="21"/>
                <w:szCs w:val="21"/>
              </w:rPr>
            </w:pPr>
            <w:r>
              <w:rPr>
                <w:sz w:val="21"/>
                <w:szCs w:val="21"/>
                <w:spacing w:val="-1"/>
              </w:rPr>
              <w:t>N-甲基吡咯烷酮</w:t>
            </w:r>
          </w:p>
        </w:tc>
        <w:tc>
          <w:tcPr>
            <w:tcW w:w="1179" w:type="dxa"/>
            <w:vAlign w:val="top"/>
            <w:vMerge w:val="continue"/>
            <w:tcBorders>
              <w:top w:val="nil"/>
              <w:bottom w:val="nil"/>
            </w:tcBorders>
          </w:tcPr>
          <w:p>
            <w:pPr>
              <w:rPr>
                <w:rFonts w:ascii="Arial"/>
                <w:sz w:val="21"/>
              </w:rPr>
            </w:pPr>
            <w:r/>
          </w:p>
        </w:tc>
        <w:tc>
          <w:tcPr>
            <w:tcW w:w="739" w:type="dxa"/>
            <w:vAlign w:val="top"/>
          </w:tcPr>
          <w:p>
            <w:pPr>
              <w:pStyle w:val="TableText"/>
              <w:ind w:left="155"/>
              <w:spacing w:before="203" w:line="220" w:lineRule="auto"/>
              <w:rPr>
                <w:sz w:val="21"/>
                <w:szCs w:val="21"/>
              </w:rPr>
            </w:pPr>
            <w:r>
              <w:rPr>
                <w:sz w:val="21"/>
                <w:szCs w:val="21"/>
                <w:spacing w:val="5"/>
              </w:rPr>
              <w:t>液态</w:t>
            </w:r>
          </w:p>
        </w:tc>
        <w:tc>
          <w:tcPr>
            <w:tcW w:w="1039" w:type="dxa"/>
            <w:vAlign w:val="top"/>
          </w:tcPr>
          <w:p>
            <w:pPr>
              <w:pStyle w:val="TableText"/>
              <w:ind w:left="97"/>
              <w:spacing w:before="63" w:line="219" w:lineRule="auto"/>
              <w:rPr>
                <w:sz w:val="21"/>
                <w:szCs w:val="21"/>
              </w:rPr>
            </w:pPr>
            <w:r>
              <w:rPr>
                <w:sz w:val="21"/>
                <w:szCs w:val="21"/>
                <w:spacing w:val="-4"/>
              </w:rPr>
              <w:t>101.7m³</w:t>
            </w:r>
          </w:p>
          <w:p>
            <w:pPr>
              <w:pStyle w:val="TableText"/>
              <w:ind w:left="306"/>
              <w:spacing w:line="219" w:lineRule="auto"/>
              <w:rPr>
                <w:sz w:val="21"/>
                <w:szCs w:val="21"/>
              </w:rPr>
            </w:pPr>
            <w:r>
              <w:rPr>
                <w:sz w:val="21"/>
                <w:szCs w:val="21"/>
                <w:spacing w:val="-2"/>
              </w:rPr>
              <w:t>储罐</w:t>
            </w:r>
          </w:p>
        </w:tc>
        <w:tc>
          <w:tcPr>
            <w:tcW w:w="909" w:type="dxa"/>
            <w:vAlign w:val="top"/>
          </w:tcPr>
          <w:p>
            <w:pPr>
              <w:pStyle w:val="TableText"/>
              <w:ind w:left="238"/>
              <w:spacing w:before="202" w:line="219" w:lineRule="auto"/>
              <w:rPr>
                <w:sz w:val="21"/>
                <w:szCs w:val="21"/>
              </w:rPr>
            </w:pPr>
            <w:r>
              <w:rPr>
                <w:sz w:val="21"/>
                <w:szCs w:val="21"/>
                <w:spacing w:val="4"/>
              </w:rPr>
              <w:t>管道</w:t>
            </w:r>
          </w:p>
        </w:tc>
        <w:tc>
          <w:tcPr>
            <w:tcW w:w="984" w:type="dxa"/>
            <w:vAlign w:val="top"/>
          </w:tcPr>
          <w:p>
            <w:pPr>
              <w:pStyle w:val="TableText"/>
              <w:ind w:left="219"/>
              <w:spacing w:before="62" w:line="242" w:lineRule="auto"/>
              <w:rPr>
                <w:sz w:val="21"/>
                <w:szCs w:val="21"/>
              </w:rPr>
            </w:pPr>
            <w:r>
              <w:rPr>
                <w:sz w:val="21"/>
                <w:szCs w:val="21"/>
                <w:spacing w:val="-1"/>
              </w:rPr>
              <w:t>NMP罐</w:t>
            </w:r>
          </w:p>
          <w:p>
            <w:pPr>
              <w:pStyle w:val="TableText"/>
              <w:ind w:left="269"/>
              <w:spacing w:line="220" w:lineRule="auto"/>
              <w:rPr>
                <w:sz w:val="21"/>
                <w:szCs w:val="21"/>
              </w:rPr>
            </w:pPr>
            <w:r>
              <w:rPr>
                <w:sz w:val="21"/>
                <w:szCs w:val="21"/>
                <w:spacing w:val="-12"/>
              </w:rPr>
              <w:t>区</w:t>
            </w:r>
            <w:r>
              <w:rPr>
                <w:sz w:val="21"/>
                <w:szCs w:val="21"/>
                <w:spacing w:val="49"/>
              </w:rPr>
              <w:t xml:space="preserve"> </w:t>
            </w:r>
            <w:r>
              <w:rPr>
                <w:sz w:val="21"/>
                <w:szCs w:val="21"/>
                <w:spacing w:val="-12"/>
              </w:rPr>
              <w:t>A</w:t>
            </w:r>
          </w:p>
        </w:tc>
      </w:tr>
      <w:tr>
        <w:trPr>
          <w:trHeight w:val="350" w:hRule="atLeast"/>
        </w:trPr>
        <w:tc>
          <w:tcPr>
            <w:tcW w:w="1383" w:type="dxa"/>
            <w:vAlign w:val="top"/>
          </w:tcPr>
          <w:p>
            <w:pPr>
              <w:pStyle w:val="TableText"/>
              <w:ind w:left="365"/>
              <w:spacing w:before="74" w:line="220" w:lineRule="auto"/>
              <w:rPr>
                <w:sz w:val="21"/>
                <w:szCs w:val="21"/>
              </w:rPr>
            </w:pPr>
            <w:r>
              <w:rPr>
                <w:sz w:val="21"/>
                <w:szCs w:val="21"/>
                <w:spacing w:val="4"/>
              </w:rPr>
              <w:t>天然气</w:t>
            </w:r>
          </w:p>
        </w:tc>
        <w:tc>
          <w:tcPr>
            <w:tcW w:w="2647" w:type="dxa"/>
            <w:vAlign w:val="top"/>
          </w:tcPr>
          <w:p>
            <w:pPr>
              <w:pStyle w:val="TableText"/>
              <w:ind w:left="1102"/>
              <w:spacing w:before="106" w:line="183" w:lineRule="auto"/>
              <w:rPr>
                <w:rFonts w:ascii="Calibri" w:hAnsi="Calibri" w:eastAsia="Calibri" w:cs="Calibri"/>
                <w:sz w:val="21"/>
                <w:szCs w:val="21"/>
              </w:rPr>
            </w:pPr>
            <w:r>
              <w:rPr>
                <w:sz w:val="21"/>
                <w:szCs w:val="21"/>
                <w:spacing w:val="-3"/>
              </w:rPr>
              <w:t>CH</w:t>
            </w:r>
            <w:r>
              <w:rPr>
                <w:rFonts w:ascii="Calibri" w:hAnsi="Calibri" w:eastAsia="Calibri" w:cs="Calibri"/>
                <w:sz w:val="21"/>
                <w:szCs w:val="21"/>
                <w:spacing w:val="-3"/>
              </w:rPr>
              <w:t>₄</w:t>
            </w:r>
          </w:p>
        </w:tc>
        <w:tc>
          <w:tcPr>
            <w:tcW w:w="1179" w:type="dxa"/>
            <w:vAlign w:val="top"/>
            <w:vMerge w:val="continue"/>
            <w:tcBorders>
              <w:top w:val="nil"/>
            </w:tcBorders>
          </w:tcPr>
          <w:p>
            <w:pPr>
              <w:rPr>
                <w:rFonts w:ascii="Arial"/>
                <w:sz w:val="21"/>
              </w:rPr>
            </w:pPr>
            <w:r/>
          </w:p>
        </w:tc>
        <w:tc>
          <w:tcPr>
            <w:tcW w:w="739" w:type="dxa"/>
            <w:vAlign w:val="top"/>
          </w:tcPr>
          <w:p>
            <w:pPr>
              <w:pStyle w:val="TableText"/>
              <w:ind w:left="155"/>
              <w:spacing w:before="74" w:line="221" w:lineRule="auto"/>
              <w:rPr>
                <w:sz w:val="21"/>
                <w:szCs w:val="21"/>
              </w:rPr>
            </w:pPr>
            <w:r>
              <w:rPr>
                <w:sz w:val="21"/>
                <w:szCs w:val="21"/>
                <w:spacing w:val="-3"/>
              </w:rPr>
              <w:t>气态</w:t>
            </w:r>
          </w:p>
        </w:tc>
        <w:tc>
          <w:tcPr>
            <w:tcW w:w="1039" w:type="dxa"/>
            <w:vAlign w:val="top"/>
          </w:tcPr>
          <w:p>
            <w:pPr>
              <w:pStyle w:val="TableText"/>
              <w:ind w:left="306"/>
              <w:spacing w:before="73" w:line="219" w:lineRule="auto"/>
              <w:rPr>
                <w:sz w:val="21"/>
                <w:szCs w:val="21"/>
              </w:rPr>
            </w:pPr>
            <w:r>
              <w:rPr>
                <w:sz w:val="21"/>
                <w:szCs w:val="21"/>
                <w:spacing w:val="4"/>
              </w:rPr>
              <w:t>管道</w:t>
            </w:r>
          </w:p>
        </w:tc>
        <w:tc>
          <w:tcPr>
            <w:tcW w:w="909" w:type="dxa"/>
            <w:vAlign w:val="top"/>
          </w:tcPr>
          <w:p>
            <w:pPr>
              <w:pStyle w:val="TableText"/>
              <w:ind w:left="238"/>
              <w:spacing w:before="73" w:line="219" w:lineRule="auto"/>
              <w:rPr>
                <w:sz w:val="21"/>
                <w:szCs w:val="21"/>
              </w:rPr>
            </w:pPr>
            <w:r>
              <w:rPr>
                <w:sz w:val="21"/>
                <w:szCs w:val="21"/>
                <w:spacing w:val="4"/>
              </w:rPr>
              <w:t>管道</w:t>
            </w:r>
          </w:p>
        </w:tc>
        <w:tc>
          <w:tcPr>
            <w:tcW w:w="984" w:type="dxa"/>
            <w:vAlign w:val="top"/>
          </w:tcPr>
          <w:p>
            <w:pPr>
              <w:pStyle w:val="TableText"/>
              <w:ind w:left="279"/>
              <w:spacing w:before="73" w:line="219" w:lineRule="auto"/>
              <w:rPr>
                <w:sz w:val="21"/>
                <w:szCs w:val="21"/>
              </w:rPr>
            </w:pPr>
            <w:r>
              <w:rPr>
                <w:sz w:val="21"/>
                <w:szCs w:val="21"/>
                <w:spacing w:val="4"/>
              </w:rPr>
              <w:t>管道</w:t>
            </w:r>
          </w:p>
        </w:tc>
      </w:tr>
      <w:tr>
        <w:trPr>
          <w:trHeight w:val="380" w:hRule="atLeast"/>
        </w:trPr>
        <w:tc>
          <w:tcPr>
            <w:tcW w:w="8880" w:type="dxa"/>
            <w:vAlign w:val="top"/>
            <w:gridSpan w:val="7"/>
          </w:tcPr>
          <w:p>
            <w:pPr>
              <w:pStyle w:val="TableText"/>
              <w:ind w:left="3805"/>
              <w:spacing w:before="94" w:line="220" w:lineRule="auto"/>
              <w:rPr>
                <w:sz w:val="21"/>
                <w:szCs w:val="21"/>
              </w:rPr>
            </w:pPr>
            <w:r>
              <w:rPr>
                <w:sz w:val="21"/>
                <w:szCs w:val="21"/>
                <w:spacing w:val="3"/>
              </w:rPr>
              <w:t>二期工程范围</w:t>
            </w:r>
          </w:p>
        </w:tc>
      </w:tr>
      <w:tr>
        <w:trPr>
          <w:trHeight w:val="579" w:hRule="atLeast"/>
        </w:trPr>
        <w:tc>
          <w:tcPr>
            <w:tcW w:w="1383" w:type="dxa"/>
            <w:vAlign w:val="top"/>
          </w:tcPr>
          <w:p>
            <w:pPr>
              <w:pStyle w:val="TableText"/>
              <w:ind w:left="525"/>
              <w:spacing w:before="248" w:line="182" w:lineRule="auto"/>
              <w:rPr>
                <w:sz w:val="21"/>
                <w:szCs w:val="21"/>
              </w:rPr>
            </w:pPr>
            <w:r>
              <w:rPr>
                <w:sz w:val="21"/>
                <w:szCs w:val="21"/>
                <w:spacing w:val="-1"/>
              </w:rPr>
              <w:t>NMP</w:t>
            </w:r>
          </w:p>
        </w:tc>
        <w:tc>
          <w:tcPr>
            <w:tcW w:w="2647" w:type="dxa"/>
            <w:vAlign w:val="top"/>
          </w:tcPr>
          <w:p>
            <w:pPr>
              <w:pStyle w:val="TableText"/>
              <w:ind w:left="582"/>
              <w:spacing w:before="194" w:line="220" w:lineRule="auto"/>
              <w:rPr>
                <w:sz w:val="21"/>
                <w:szCs w:val="21"/>
              </w:rPr>
            </w:pPr>
            <w:r>
              <w:rPr>
                <w:sz w:val="21"/>
                <w:szCs w:val="21"/>
                <w:spacing w:val="-1"/>
              </w:rPr>
              <w:t>N-甲基吡咯烷酮</w:t>
            </w:r>
          </w:p>
        </w:tc>
        <w:tc>
          <w:tcPr>
            <w:tcW w:w="1179" w:type="dxa"/>
            <w:vAlign w:val="top"/>
            <w:vMerge w:val="restart"/>
            <w:tcBorders>
              <w:bottom w:val="nil"/>
            </w:tcBorders>
          </w:tcPr>
          <w:p>
            <w:pPr>
              <w:spacing w:line="241" w:lineRule="auto"/>
              <w:rPr>
                <w:rFonts w:ascii="Arial"/>
                <w:sz w:val="21"/>
              </w:rPr>
            </w:pPr>
            <w:r/>
          </w:p>
          <w:p>
            <w:pPr>
              <w:spacing w:line="242" w:lineRule="auto"/>
              <w:rPr>
                <w:rFonts w:ascii="Arial"/>
                <w:sz w:val="21"/>
              </w:rPr>
            </w:pPr>
            <w:r/>
          </w:p>
          <w:p>
            <w:pPr>
              <w:pStyle w:val="TableText"/>
              <w:ind w:left="374" w:right="51" w:hanging="319"/>
              <w:spacing w:before="69" w:line="229" w:lineRule="auto"/>
              <w:rPr>
                <w:sz w:val="21"/>
                <w:szCs w:val="21"/>
              </w:rPr>
            </w:pPr>
            <w:r>
              <w:rPr>
                <w:sz w:val="21"/>
                <w:szCs w:val="21"/>
                <w:spacing w:val="2"/>
              </w:rPr>
              <w:t>涉密，不予</w:t>
            </w:r>
            <w:r>
              <w:rPr>
                <w:sz w:val="21"/>
                <w:szCs w:val="21"/>
                <w:spacing w:val="1"/>
              </w:rPr>
              <w:t xml:space="preserve"> </w:t>
            </w:r>
            <w:r>
              <w:rPr>
                <w:sz w:val="21"/>
                <w:szCs w:val="21"/>
                <w:spacing w:val="4"/>
              </w:rPr>
              <w:t>公开</w:t>
            </w:r>
          </w:p>
        </w:tc>
        <w:tc>
          <w:tcPr>
            <w:tcW w:w="739" w:type="dxa"/>
            <w:vAlign w:val="top"/>
          </w:tcPr>
          <w:p>
            <w:pPr>
              <w:pStyle w:val="TableText"/>
              <w:ind w:left="155"/>
              <w:spacing w:before="194" w:line="220" w:lineRule="auto"/>
              <w:rPr>
                <w:sz w:val="21"/>
                <w:szCs w:val="21"/>
              </w:rPr>
            </w:pPr>
            <w:r>
              <w:rPr>
                <w:sz w:val="21"/>
                <w:szCs w:val="21"/>
                <w:spacing w:val="5"/>
              </w:rPr>
              <w:t>液态</w:t>
            </w:r>
          </w:p>
        </w:tc>
        <w:tc>
          <w:tcPr>
            <w:tcW w:w="1039" w:type="dxa"/>
            <w:vAlign w:val="top"/>
          </w:tcPr>
          <w:p>
            <w:pPr>
              <w:pStyle w:val="TableText"/>
              <w:ind w:left="97"/>
              <w:spacing w:before="44" w:line="236" w:lineRule="auto"/>
              <w:rPr>
                <w:sz w:val="21"/>
                <w:szCs w:val="21"/>
              </w:rPr>
            </w:pPr>
            <w:r>
              <w:rPr>
                <w:sz w:val="21"/>
                <w:szCs w:val="21"/>
                <w:spacing w:val="-4"/>
              </w:rPr>
              <w:t>101.7m³</w:t>
            </w:r>
          </w:p>
          <w:p>
            <w:pPr>
              <w:pStyle w:val="TableText"/>
              <w:ind w:left="306"/>
              <w:spacing w:line="219" w:lineRule="auto"/>
              <w:rPr>
                <w:sz w:val="21"/>
                <w:szCs w:val="21"/>
              </w:rPr>
            </w:pPr>
            <w:r>
              <w:rPr>
                <w:sz w:val="21"/>
                <w:szCs w:val="21"/>
                <w:spacing w:val="-2"/>
              </w:rPr>
              <w:t>储罐</w:t>
            </w:r>
          </w:p>
        </w:tc>
        <w:tc>
          <w:tcPr>
            <w:tcW w:w="909" w:type="dxa"/>
            <w:vAlign w:val="top"/>
          </w:tcPr>
          <w:p>
            <w:pPr>
              <w:pStyle w:val="TableText"/>
              <w:ind w:left="238"/>
              <w:spacing w:before="193" w:line="219" w:lineRule="auto"/>
              <w:rPr>
                <w:sz w:val="21"/>
                <w:szCs w:val="21"/>
              </w:rPr>
            </w:pPr>
            <w:r>
              <w:rPr>
                <w:sz w:val="21"/>
                <w:szCs w:val="21"/>
                <w:spacing w:val="-2"/>
              </w:rPr>
              <w:t>槽车</w:t>
            </w:r>
          </w:p>
        </w:tc>
        <w:tc>
          <w:tcPr>
            <w:tcW w:w="984" w:type="dxa"/>
            <w:vAlign w:val="top"/>
          </w:tcPr>
          <w:p>
            <w:pPr>
              <w:pStyle w:val="TableText"/>
              <w:ind w:left="219"/>
              <w:spacing w:before="63" w:line="219" w:lineRule="auto"/>
              <w:rPr>
                <w:sz w:val="21"/>
                <w:szCs w:val="21"/>
              </w:rPr>
            </w:pPr>
            <w:r>
              <w:rPr>
                <w:sz w:val="21"/>
                <w:szCs w:val="21"/>
                <w:spacing w:val="-1"/>
              </w:rPr>
              <w:t>NMP罐</w:t>
            </w:r>
          </w:p>
          <w:p>
            <w:pPr>
              <w:pStyle w:val="TableText"/>
              <w:ind w:left="329"/>
              <w:spacing w:before="26" w:line="202" w:lineRule="auto"/>
              <w:rPr>
                <w:sz w:val="21"/>
                <w:szCs w:val="21"/>
              </w:rPr>
            </w:pPr>
            <w:r>
              <w:rPr>
                <w:sz w:val="21"/>
                <w:szCs w:val="21"/>
                <w:spacing w:val="1"/>
              </w:rPr>
              <w:t>区B</w:t>
            </w:r>
          </w:p>
        </w:tc>
      </w:tr>
      <w:tr>
        <w:trPr>
          <w:trHeight w:val="599" w:hRule="atLeast"/>
        </w:trPr>
        <w:tc>
          <w:tcPr>
            <w:tcW w:w="1383" w:type="dxa"/>
            <w:vAlign w:val="top"/>
          </w:tcPr>
          <w:p>
            <w:pPr>
              <w:pStyle w:val="TableText"/>
              <w:ind w:left="415"/>
              <w:spacing w:before="205" w:line="220" w:lineRule="auto"/>
              <w:rPr>
                <w:sz w:val="21"/>
                <w:szCs w:val="21"/>
              </w:rPr>
            </w:pPr>
            <w:r>
              <w:rPr>
                <w:sz w:val="21"/>
                <w:szCs w:val="21"/>
                <w:spacing w:val="13"/>
              </w:rPr>
              <w:t>废</w:t>
            </w:r>
            <w:r>
              <w:rPr>
                <w:sz w:val="21"/>
                <w:szCs w:val="21"/>
              </w:rPr>
              <w:t>NMP</w:t>
            </w:r>
          </w:p>
        </w:tc>
        <w:tc>
          <w:tcPr>
            <w:tcW w:w="2647" w:type="dxa"/>
            <w:vAlign w:val="top"/>
          </w:tcPr>
          <w:p>
            <w:pPr>
              <w:pStyle w:val="TableText"/>
              <w:ind w:left="582"/>
              <w:spacing w:before="205" w:line="220" w:lineRule="auto"/>
              <w:rPr>
                <w:sz w:val="21"/>
                <w:szCs w:val="21"/>
              </w:rPr>
            </w:pPr>
            <w:r>
              <w:rPr>
                <w:sz w:val="21"/>
                <w:szCs w:val="21"/>
                <w:spacing w:val="-1"/>
              </w:rPr>
              <w:t>N-甲基吡咯烷酮</w:t>
            </w:r>
          </w:p>
        </w:tc>
        <w:tc>
          <w:tcPr>
            <w:tcW w:w="1179" w:type="dxa"/>
            <w:vAlign w:val="top"/>
            <w:vMerge w:val="continue"/>
            <w:tcBorders>
              <w:top w:val="nil"/>
              <w:bottom w:val="nil"/>
            </w:tcBorders>
          </w:tcPr>
          <w:p>
            <w:pPr>
              <w:rPr>
                <w:rFonts w:ascii="Arial"/>
                <w:sz w:val="21"/>
              </w:rPr>
            </w:pPr>
            <w:r/>
          </w:p>
        </w:tc>
        <w:tc>
          <w:tcPr>
            <w:tcW w:w="739" w:type="dxa"/>
            <w:vAlign w:val="top"/>
          </w:tcPr>
          <w:p>
            <w:pPr>
              <w:pStyle w:val="TableText"/>
              <w:ind w:left="155"/>
              <w:spacing w:before="205" w:line="220" w:lineRule="auto"/>
              <w:rPr>
                <w:sz w:val="21"/>
                <w:szCs w:val="21"/>
              </w:rPr>
            </w:pPr>
            <w:r>
              <w:rPr>
                <w:sz w:val="21"/>
                <w:szCs w:val="21"/>
                <w:spacing w:val="5"/>
              </w:rPr>
              <w:t>液态</w:t>
            </w:r>
          </w:p>
        </w:tc>
        <w:tc>
          <w:tcPr>
            <w:tcW w:w="1039" w:type="dxa"/>
            <w:vAlign w:val="top"/>
          </w:tcPr>
          <w:p>
            <w:pPr>
              <w:pStyle w:val="TableText"/>
              <w:ind w:left="97"/>
              <w:spacing w:before="55" w:line="210" w:lineRule="auto"/>
              <w:rPr>
                <w:sz w:val="21"/>
                <w:szCs w:val="21"/>
              </w:rPr>
            </w:pPr>
            <w:r>
              <w:rPr>
                <w:sz w:val="21"/>
                <w:szCs w:val="21"/>
                <w:spacing w:val="-4"/>
              </w:rPr>
              <w:t>101.7m³</w:t>
            </w:r>
          </w:p>
          <w:p>
            <w:pPr>
              <w:pStyle w:val="TableText"/>
              <w:ind w:left="306"/>
              <w:spacing w:line="219" w:lineRule="auto"/>
              <w:rPr>
                <w:sz w:val="21"/>
                <w:szCs w:val="21"/>
              </w:rPr>
            </w:pPr>
            <w:r>
              <w:rPr>
                <w:sz w:val="21"/>
                <w:szCs w:val="21"/>
                <w:spacing w:val="-2"/>
              </w:rPr>
              <w:t>储罐</w:t>
            </w:r>
          </w:p>
        </w:tc>
        <w:tc>
          <w:tcPr>
            <w:tcW w:w="909" w:type="dxa"/>
            <w:vAlign w:val="top"/>
          </w:tcPr>
          <w:p>
            <w:pPr>
              <w:pStyle w:val="TableText"/>
              <w:ind w:left="238"/>
              <w:spacing w:before="204" w:line="219" w:lineRule="auto"/>
              <w:rPr>
                <w:sz w:val="21"/>
                <w:szCs w:val="21"/>
              </w:rPr>
            </w:pPr>
            <w:r>
              <w:rPr>
                <w:sz w:val="21"/>
                <w:szCs w:val="21"/>
                <w:spacing w:val="4"/>
              </w:rPr>
              <w:t>管道</w:t>
            </w:r>
          </w:p>
        </w:tc>
        <w:tc>
          <w:tcPr>
            <w:tcW w:w="984" w:type="dxa"/>
            <w:vAlign w:val="top"/>
          </w:tcPr>
          <w:p>
            <w:pPr>
              <w:pStyle w:val="TableText"/>
              <w:ind w:left="219"/>
              <w:spacing w:before="74" w:line="219" w:lineRule="auto"/>
              <w:rPr>
                <w:sz w:val="21"/>
                <w:szCs w:val="21"/>
              </w:rPr>
            </w:pPr>
            <w:r>
              <w:rPr>
                <w:sz w:val="21"/>
                <w:szCs w:val="21"/>
                <w:spacing w:val="-1"/>
              </w:rPr>
              <w:t>NMP罐</w:t>
            </w:r>
          </w:p>
          <w:p>
            <w:pPr>
              <w:pStyle w:val="TableText"/>
              <w:ind w:left="329"/>
              <w:spacing w:before="16" w:line="219" w:lineRule="auto"/>
              <w:rPr>
                <w:sz w:val="21"/>
                <w:szCs w:val="21"/>
              </w:rPr>
            </w:pPr>
            <w:r>
              <w:rPr>
                <w:sz w:val="21"/>
                <w:szCs w:val="21"/>
                <w:spacing w:val="1"/>
              </w:rPr>
              <w:t>区B</w:t>
            </w:r>
          </w:p>
        </w:tc>
      </w:tr>
      <w:tr>
        <w:trPr>
          <w:trHeight w:val="349" w:hRule="atLeast"/>
        </w:trPr>
        <w:tc>
          <w:tcPr>
            <w:tcW w:w="1383" w:type="dxa"/>
            <w:vAlign w:val="top"/>
          </w:tcPr>
          <w:p>
            <w:pPr>
              <w:pStyle w:val="TableText"/>
              <w:ind w:left="365"/>
              <w:spacing w:before="76" w:line="220" w:lineRule="auto"/>
              <w:rPr>
                <w:sz w:val="21"/>
                <w:szCs w:val="21"/>
              </w:rPr>
            </w:pPr>
            <w:r>
              <w:rPr>
                <w:sz w:val="21"/>
                <w:szCs w:val="21"/>
                <w:spacing w:val="4"/>
              </w:rPr>
              <w:t>天然气</w:t>
            </w:r>
          </w:p>
        </w:tc>
        <w:tc>
          <w:tcPr>
            <w:tcW w:w="2647" w:type="dxa"/>
            <w:vAlign w:val="top"/>
          </w:tcPr>
          <w:p>
            <w:pPr>
              <w:pStyle w:val="TableText"/>
              <w:ind w:left="1102"/>
              <w:spacing w:before="108" w:line="183" w:lineRule="auto"/>
              <w:rPr>
                <w:rFonts w:ascii="Calibri" w:hAnsi="Calibri" w:eastAsia="Calibri" w:cs="Calibri"/>
                <w:sz w:val="21"/>
                <w:szCs w:val="21"/>
              </w:rPr>
            </w:pPr>
            <w:r>
              <w:rPr>
                <w:sz w:val="21"/>
                <w:szCs w:val="21"/>
                <w:spacing w:val="-3"/>
              </w:rPr>
              <w:t>CH</w:t>
            </w:r>
            <w:r>
              <w:rPr>
                <w:rFonts w:ascii="Calibri" w:hAnsi="Calibri" w:eastAsia="Calibri" w:cs="Calibri"/>
                <w:sz w:val="21"/>
                <w:szCs w:val="21"/>
                <w:spacing w:val="-3"/>
              </w:rPr>
              <w:t>₄</w:t>
            </w:r>
          </w:p>
        </w:tc>
        <w:tc>
          <w:tcPr>
            <w:tcW w:w="1179" w:type="dxa"/>
            <w:vAlign w:val="top"/>
            <w:vMerge w:val="continue"/>
            <w:tcBorders>
              <w:top w:val="nil"/>
            </w:tcBorders>
          </w:tcPr>
          <w:p>
            <w:pPr>
              <w:rPr>
                <w:rFonts w:ascii="Arial"/>
                <w:sz w:val="21"/>
              </w:rPr>
            </w:pPr>
            <w:r/>
          </w:p>
        </w:tc>
        <w:tc>
          <w:tcPr>
            <w:tcW w:w="739" w:type="dxa"/>
            <w:vAlign w:val="top"/>
          </w:tcPr>
          <w:p>
            <w:pPr>
              <w:pStyle w:val="TableText"/>
              <w:ind w:left="155"/>
              <w:spacing w:before="76" w:line="221" w:lineRule="auto"/>
              <w:rPr>
                <w:sz w:val="21"/>
                <w:szCs w:val="21"/>
              </w:rPr>
            </w:pPr>
            <w:r>
              <w:rPr>
                <w:sz w:val="21"/>
                <w:szCs w:val="21"/>
                <w:spacing w:val="-3"/>
              </w:rPr>
              <w:t>气态</w:t>
            </w:r>
          </w:p>
        </w:tc>
        <w:tc>
          <w:tcPr>
            <w:tcW w:w="1039" w:type="dxa"/>
            <w:vAlign w:val="top"/>
          </w:tcPr>
          <w:p>
            <w:pPr>
              <w:pStyle w:val="TableText"/>
              <w:ind w:left="306"/>
              <w:spacing w:before="75" w:line="219" w:lineRule="auto"/>
              <w:rPr>
                <w:sz w:val="21"/>
                <w:szCs w:val="21"/>
              </w:rPr>
            </w:pPr>
            <w:r>
              <w:rPr>
                <w:sz w:val="21"/>
                <w:szCs w:val="21"/>
                <w:spacing w:val="4"/>
              </w:rPr>
              <w:t>管道</w:t>
            </w:r>
          </w:p>
        </w:tc>
        <w:tc>
          <w:tcPr>
            <w:tcW w:w="909" w:type="dxa"/>
            <w:vAlign w:val="top"/>
          </w:tcPr>
          <w:p>
            <w:pPr>
              <w:pStyle w:val="TableText"/>
              <w:ind w:left="238"/>
              <w:spacing w:before="75" w:line="219" w:lineRule="auto"/>
              <w:rPr>
                <w:sz w:val="21"/>
                <w:szCs w:val="21"/>
              </w:rPr>
            </w:pPr>
            <w:r>
              <w:rPr>
                <w:sz w:val="21"/>
                <w:szCs w:val="21"/>
                <w:spacing w:val="4"/>
              </w:rPr>
              <w:t>管道</w:t>
            </w:r>
          </w:p>
        </w:tc>
        <w:tc>
          <w:tcPr>
            <w:tcW w:w="984" w:type="dxa"/>
            <w:vAlign w:val="top"/>
          </w:tcPr>
          <w:p>
            <w:pPr>
              <w:pStyle w:val="TableText"/>
              <w:ind w:left="279"/>
              <w:spacing w:before="75" w:line="219" w:lineRule="auto"/>
              <w:rPr>
                <w:sz w:val="21"/>
                <w:szCs w:val="21"/>
              </w:rPr>
            </w:pPr>
            <w:r>
              <w:rPr>
                <w:sz w:val="21"/>
                <w:szCs w:val="21"/>
                <w:spacing w:val="4"/>
              </w:rPr>
              <w:t>管道</w:t>
            </w:r>
          </w:p>
        </w:tc>
      </w:tr>
      <w:tr>
        <w:trPr>
          <w:trHeight w:val="370" w:hRule="atLeast"/>
        </w:trPr>
        <w:tc>
          <w:tcPr>
            <w:tcW w:w="8880" w:type="dxa"/>
            <w:vAlign w:val="top"/>
            <w:gridSpan w:val="7"/>
          </w:tcPr>
          <w:p>
            <w:pPr>
              <w:pStyle w:val="TableText"/>
              <w:ind w:left="3385"/>
              <w:spacing w:before="85" w:line="219" w:lineRule="auto"/>
              <w:rPr>
                <w:sz w:val="21"/>
                <w:szCs w:val="21"/>
              </w:rPr>
            </w:pPr>
            <w:r>
              <w:rPr>
                <w:sz w:val="21"/>
                <w:szCs w:val="21"/>
                <w:spacing w:val="4"/>
              </w:rPr>
              <w:t>二期凹版范围(本项目)</w:t>
            </w:r>
          </w:p>
        </w:tc>
      </w:tr>
      <w:tr>
        <w:trPr>
          <w:trHeight w:val="589" w:hRule="atLeast"/>
        </w:trPr>
        <w:tc>
          <w:tcPr>
            <w:tcW w:w="1383" w:type="dxa"/>
            <w:vAlign w:val="top"/>
          </w:tcPr>
          <w:p>
            <w:pPr>
              <w:pStyle w:val="TableText"/>
              <w:ind w:left="525"/>
              <w:spacing w:before="251" w:line="182" w:lineRule="auto"/>
              <w:rPr>
                <w:sz w:val="21"/>
                <w:szCs w:val="21"/>
              </w:rPr>
            </w:pPr>
            <w:r>
              <w:rPr>
                <w:sz w:val="21"/>
                <w:szCs w:val="21"/>
                <w:spacing w:val="-1"/>
              </w:rPr>
              <w:t>NMP</w:t>
            </w:r>
          </w:p>
        </w:tc>
        <w:tc>
          <w:tcPr>
            <w:tcW w:w="2647" w:type="dxa"/>
            <w:vAlign w:val="top"/>
          </w:tcPr>
          <w:p>
            <w:pPr>
              <w:pStyle w:val="TableText"/>
              <w:ind w:left="582"/>
              <w:spacing w:before="197" w:line="220" w:lineRule="auto"/>
              <w:rPr>
                <w:sz w:val="21"/>
                <w:szCs w:val="21"/>
              </w:rPr>
            </w:pPr>
            <w:r>
              <w:rPr>
                <w:sz w:val="21"/>
                <w:szCs w:val="21"/>
                <w:spacing w:val="-1"/>
              </w:rPr>
              <w:t>N-甲基吡咯烷酮</w:t>
            </w:r>
          </w:p>
        </w:tc>
        <w:tc>
          <w:tcPr>
            <w:tcW w:w="1179" w:type="dxa"/>
            <w:vAlign w:val="top"/>
            <w:vMerge w:val="restart"/>
            <w:tcBorders>
              <w:bottom w:val="nil"/>
            </w:tcBorders>
          </w:tcPr>
          <w:p>
            <w:pPr>
              <w:spacing w:line="248" w:lineRule="auto"/>
              <w:rPr>
                <w:rFonts w:ascii="Arial"/>
                <w:sz w:val="21"/>
              </w:rPr>
            </w:pPr>
            <w:r/>
          </w:p>
          <w:p>
            <w:pPr>
              <w:spacing w:line="249" w:lineRule="auto"/>
              <w:rPr>
                <w:rFonts w:ascii="Arial"/>
                <w:sz w:val="21"/>
              </w:rPr>
            </w:pPr>
            <w:r/>
          </w:p>
          <w:p>
            <w:pPr>
              <w:pStyle w:val="TableText"/>
              <w:ind w:left="374" w:right="51" w:hanging="319"/>
              <w:spacing w:before="68" w:line="220" w:lineRule="auto"/>
              <w:rPr>
                <w:sz w:val="21"/>
                <w:szCs w:val="21"/>
              </w:rPr>
            </w:pPr>
            <w:r>
              <w:rPr>
                <w:sz w:val="21"/>
                <w:szCs w:val="21"/>
                <w:spacing w:val="2"/>
              </w:rPr>
              <w:t>涉密，不予</w:t>
            </w:r>
            <w:r>
              <w:rPr>
                <w:sz w:val="21"/>
                <w:szCs w:val="21"/>
                <w:spacing w:val="1"/>
              </w:rPr>
              <w:t xml:space="preserve"> </w:t>
            </w:r>
            <w:r>
              <w:rPr>
                <w:sz w:val="21"/>
                <w:szCs w:val="21"/>
                <w:spacing w:val="4"/>
              </w:rPr>
              <w:t>公开</w:t>
            </w:r>
          </w:p>
        </w:tc>
        <w:tc>
          <w:tcPr>
            <w:tcW w:w="739" w:type="dxa"/>
            <w:vAlign w:val="top"/>
          </w:tcPr>
          <w:p>
            <w:pPr>
              <w:pStyle w:val="TableText"/>
              <w:ind w:left="155"/>
              <w:spacing w:before="197" w:line="220" w:lineRule="auto"/>
              <w:rPr>
                <w:sz w:val="21"/>
                <w:szCs w:val="21"/>
              </w:rPr>
            </w:pPr>
            <w:r>
              <w:rPr>
                <w:sz w:val="21"/>
                <w:szCs w:val="21"/>
                <w:spacing w:val="5"/>
              </w:rPr>
              <w:t>液态</w:t>
            </w:r>
          </w:p>
        </w:tc>
        <w:tc>
          <w:tcPr>
            <w:tcW w:w="1039" w:type="dxa"/>
            <w:vAlign w:val="top"/>
          </w:tcPr>
          <w:p>
            <w:pPr>
              <w:pStyle w:val="TableText"/>
              <w:ind w:left="97"/>
              <w:spacing w:before="47" w:line="236" w:lineRule="auto"/>
              <w:rPr>
                <w:sz w:val="21"/>
                <w:szCs w:val="21"/>
              </w:rPr>
            </w:pPr>
            <w:r>
              <w:rPr>
                <w:sz w:val="21"/>
                <w:szCs w:val="21"/>
                <w:spacing w:val="-4"/>
              </w:rPr>
              <w:t>101.7m³</w:t>
            </w:r>
          </w:p>
          <w:p>
            <w:pPr>
              <w:pStyle w:val="TableText"/>
              <w:ind w:left="306"/>
              <w:spacing w:line="219" w:lineRule="auto"/>
              <w:rPr>
                <w:sz w:val="21"/>
                <w:szCs w:val="21"/>
              </w:rPr>
            </w:pPr>
            <w:r>
              <w:rPr>
                <w:sz w:val="21"/>
                <w:szCs w:val="21"/>
                <w:spacing w:val="-2"/>
              </w:rPr>
              <w:t>储罐</w:t>
            </w:r>
          </w:p>
        </w:tc>
        <w:tc>
          <w:tcPr>
            <w:tcW w:w="909" w:type="dxa"/>
            <w:vAlign w:val="top"/>
          </w:tcPr>
          <w:p>
            <w:pPr>
              <w:pStyle w:val="TableText"/>
              <w:ind w:left="238"/>
              <w:spacing w:before="196" w:line="219" w:lineRule="auto"/>
              <w:rPr>
                <w:sz w:val="21"/>
                <w:szCs w:val="21"/>
              </w:rPr>
            </w:pPr>
            <w:r>
              <w:rPr>
                <w:sz w:val="21"/>
                <w:szCs w:val="21"/>
                <w:spacing w:val="-2"/>
              </w:rPr>
              <w:t>槽车</w:t>
            </w:r>
          </w:p>
        </w:tc>
        <w:tc>
          <w:tcPr>
            <w:tcW w:w="984" w:type="dxa"/>
            <w:vAlign w:val="top"/>
          </w:tcPr>
          <w:p>
            <w:pPr>
              <w:pStyle w:val="TableText"/>
              <w:ind w:left="219"/>
              <w:spacing w:before="66" w:line="219" w:lineRule="auto"/>
              <w:rPr>
                <w:sz w:val="21"/>
                <w:szCs w:val="21"/>
              </w:rPr>
            </w:pPr>
            <w:r>
              <w:rPr>
                <w:sz w:val="21"/>
                <w:szCs w:val="21"/>
                <w:spacing w:val="-1"/>
              </w:rPr>
              <w:t>NMP罐</w:t>
            </w:r>
          </w:p>
          <w:p>
            <w:pPr>
              <w:pStyle w:val="TableText"/>
              <w:ind w:left="329"/>
              <w:spacing w:before="26" w:line="208" w:lineRule="auto"/>
              <w:rPr>
                <w:sz w:val="21"/>
                <w:szCs w:val="21"/>
              </w:rPr>
            </w:pPr>
            <w:r>
              <w:rPr>
                <w:sz w:val="21"/>
                <w:szCs w:val="21"/>
                <w:spacing w:val="1"/>
              </w:rPr>
              <w:t>区C</w:t>
            </w:r>
          </w:p>
        </w:tc>
      </w:tr>
      <w:tr>
        <w:trPr>
          <w:trHeight w:val="589" w:hRule="atLeast"/>
        </w:trPr>
        <w:tc>
          <w:tcPr>
            <w:tcW w:w="1383" w:type="dxa"/>
            <w:vAlign w:val="top"/>
          </w:tcPr>
          <w:p>
            <w:pPr>
              <w:pStyle w:val="TableText"/>
              <w:ind w:left="415"/>
              <w:spacing w:before="198" w:line="220" w:lineRule="auto"/>
              <w:rPr>
                <w:sz w:val="21"/>
                <w:szCs w:val="21"/>
              </w:rPr>
            </w:pPr>
            <w:r>
              <w:rPr>
                <w:sz w:val="21"/>
                <w:szCs w:val="21"/>
                <w:spacing w:val="13"/>
              </w:rPr>
              <w:t>废</w:t>
            </w:r>
            <w:r>
              <w:rPr>
                <w:sz w:val="21"/>
                <w:szCs w:val="21"/>
              </w:rPr>
              <w:t>NMP</w:t>
            </w:r>
          </w:p>
        </w:tc>
        <w:tc>
          <w:tcPr>
            <w:tcW w:w="2647" w:type="dxa"/>
            <w:vAlign w:val="top"/>
          </w:tcPr>
          <w:p>
            <w:pPr>
              <w:pStyle w:val="TableText"/>
              <w:ind w:left="582"/>
              <w:spacing w:before="198" w:line="220" w:lineRule="auto"/>
              <w:rPr>
                <w:sz w:val="21"/>
                <w:szCs w:val="21"/>
              </w:rPr>
            </w:pPr>
            <w:r>
              <w:rPr>
                <w:sz w:val="21"/>
                <w:szCs w:val="21"/>
                <w:spacing w:val="-1"/>
              </w:rPr>
              <w:t>N-甲基吡咯烷酮</w:t>
            </w:r>
          </w:p>
        </w:tc>
        <w:tc>
          <w:tcPr>
            <w:tcW w:w="1179" w:type="dxa"/>
            <w:vAlign w:val="top"/>
            <w:vMerge w:val="continue"/>
            <w:tcBorders>
              <w:top w:val="nil"/>
              <w:bottom w:val="nil"/>
            </w:tcBorders>
          </w:tcPr>
          <w:p>
            <w:pPr>
              <w:rPr>
                <w:rFonts w:ascii="Arial"/>
                <w:sz w:val="21"/>
              </w:rPr>
            </w:pPr>
            <w:r/>
          </w:p>
        </w:tc>
        <w:tc>
          <w:tcPr>
            <w:tcW w:w="739" w:type="dxa"/>
            <w:vAlign w:val="top"/>
          </w:tcPr>
          <w:p>
            <w:pPr>
              <w:pStyle w:val="TableText"/>
              <w:ind w:left="155"/>
              <w:spacing w:before="198" w:line="220" w:lineRule="auto"/>
              <w:rPr>
                <w:sz w:val="21"/>
                <w:szCs w:val="21"/>
              </w:rPr>
            </w:pPr>
            <w:r>
              <w:rPr>
                <w:sz w:val="21"/>
                <w:szCs w:val="21"/>
                <w:spacing w:val="5"/>
              </w:rPr>
              <w:t>液态</w:t>
            </w:r>
          </w:p>
        </w:tc>
        <w:tc>
          <w:tcPr>
            <w:tcW w:w="1039" w:type="dxa"/>
            <w:vAlign w:val="top"/>
          </w:tcPr>
          <w:p>
            <w:pPr>
              <w:pStyle w:val="TableText"/>
              <w:ind w:left="97"/>
              <w:spacing w:before="48" w:line="279" w:lineRule="exact"/>
              <w:rPr>
                <w:sz w:val="21"/>
                <w:szCs w:val="21"/>
              </w:rPr>
            </w:pPr>
            <w:r>
              <w:rPr>
                <w:sz w:val="21"/>
                <w:szCs w:val="21"/>
                <w:spacing w:val="-4"/>
                <w:position w:val="4"/>
              </w:rPr>
              <w:t>101.7m³</w:t>
            </w:r>
          </w:p>
          <w:p>
            <w:pPr>
              <w:pStyle w:val="TableText"/>
              <w:ind w:left="306"/>
              <w:spacing w:line="219" w:lineRule="auto"/>
              <w:rPr>
                <w:sz w:val="21"/>
                <w:szCs w:val="21"/>
              </w:rPr>
            </w:pPr>
            <w:r>
              <w:rPr>
                <w:sz w:val="21"/>
                <w:szCs w:val="21"/>
                <w:spacing w:val="-2"/>
              </w:rPr>
              <w:t>储罐</w:t>
            </w:r>
          </w:p>
        </w:tc>
        <w:tc>
          <w:tcPr>
            <w:tcW w:w="909" w:type="dxa"/>
            <w:vAlign w:val="top"/>
          </w:tcPr>
          <w:p>
            <w:pPr>
              <w:pStyle w:val="TableText"/>
              <w:ind w:left="238"/>
              <w:spacing w:before="197" w:line="219" w:lineRule="auto"/>
              <w:rPr>
                <w:sz w:val="21"/>
                <w:szCs w:val="21"/>
              </w:rPr>
            </w:pPr>
            <w:r>
              <w:rPr>
                <w:sz w:val="21"/>
                <w:szCs w:val="21"/>
                <w:spacing w:val="4"/>
              </w:rPr>
              <w:t>管道</w:t>
            </w:r>
          </w:p>
        </w:tc>
        <w:tc>
          <w:tcPr>
            <w:tcW w:w="984" w:type="dxa"/>
            <w:vAlign w:val="top"/>
          </w:tcPr>
          <w:p>
            <w:pPr>
              <w:pStyle w:val="TableText"/>
              <w:ind w:left="219"/>
              <w:spacing w:before="67" w:line="219" w:lineRule="auto"/>
              <w:rPr>
                <w:sz w:val="21"/>
                <w:szCs w:val="21"/>
              </w:rPr>
            </w:pPr>
            <w:r>
              <w:rPr>
                <w:sz w:val="21"/>
                <w:szCs w:val="21"/>
                <w:spacing w:val="-1"/>
              </w:rPr>
              <w:t>NMP罐</w:t>
            </w:r>
          </w:p>
          <w:p>
            <w:pPr>
              <w:pStyle w:val="TableText"/>
              <w:ind w:left="329"/>
              <w:spacing w:before="36" w:line="198" w:lineRule="auto"/>
              <w:rPr>
                <w:sz w:val="21"/>
                <w:szCs w:val="21"/>
              </w:rPr>
            </w:pPr>
            <w:r>
              <w:rPr>
                <w:sz w:val="21"/>
                <w:szCs w:val="21"/>
                <w:spacing w:val="1"/>
              </w:rPr>
              <w:t>区C</w:t>
            </w:r>
          </w:p>
        </w:tc>
      </w:tr>
      <w:tr>
        <w:trPr>
          <w:trHeight w:val="360" w:hRule="atLeast"/>
        </w:trPr>
        <w:tc>
          <w:tcPr>
            <w:tcW w:w="1383" w:type="dxa"/>
            <w:vAlign w:val="top"/>
          </w:tcPr>
          <w:p>
            <w:pPr>
              <w:pStyle w:val="TableText"/>
              <w:ind w:left="365"/>
              <w:spacing w:before="89" w:line="220" w:lineRule="auto"/>
              <w:rPr>
                <w:sz w:val="21"/>
                <w:szCs w:val="21"/>
              </w:rPr>
            </w:pPr>
            <w:r>
              <w:rPr>
                <w:sz w:val="21"/>
                <w:szCs w:val="21"/>
                <w:spacing w:val="4"/>
              </w:rPr>
              <w:t>天然气</w:t>
            </w:r>
          </w:p>
        </w:tc>
        <w:tc>
          <w:tcPr>
            <w:tcW w:w="2647" w:type="dxa"/>
            <w:vAlign w:val="top"/>
          </w:tcPr>
          <w:p>
            <w:pPr>
              <w:pStyle w:val="TableText"/>
              <w:ind w:left="1102"/>
              <w:spacing w:before="121" w:line="183" w:lineRule="auto"/>
              <w:rPr>
                <w:rFonts w:ascii="Calibri" w:hAnsi="Calibri" w:eastAsia="Calibri" w:cs="Calibri"/>
                <w:sz w:val="21"/>
                <w:szCs w:val="21"/>
              </w:rPr>
            </w:pPr>
            <w:r>
              <w:rPr>
                <w:sz w:val="21"/>
                <w:szCs w:val="21"/>
                <w:spacing w:val="-3"/>
              </w:rPr>
              <w:t>CH</w:t>
            </w:r>
            <w:r>
              <w:rPr>
                <w:rFonts w:ascii="Calibri" w:hAnsi="Calibri" w:eastAsia="Calibri" w:cs="Calibri"/>
                <w:sz w:val="21"/>
                <w:szCs w:val="21"/>
                <w:spacing w:val="-3"/>
              </w:rPr>
              <w:t>₄</w:t>
            </w:r>
          </w:p>
        </w:tc>
        <w:tc>
          <w:tcPr>
            <w:tcW w:w="1179" w:type="dxa"/>
            <w:vAlign w:val="top"/>
            <w:vMerge w:val="continue"/>
            <w:tcBorders>
              <w:top w:val="nil"/>
            </w:tcBorders>
          </w:tcPr>
          <w:p>
            <w:pPr>
              <w:rPr>
                <w:rFonts w:ascii="Arial"/>
                <w:sz w:val="21"/>
              </w:rPr>
            </w:pPr>
            <w:r/>
          </w:p>
        </w:tc>
        <w:tc>
          <w:tcPr>
            <w:tcW w:w="739" w:type="dxa"/>
            <w:vAlign w:val="top"/>
          </w:tcPr>
          <w:p>
            <w:pPr>
              <w:pStyle w:val="TableText"/>
              <w:ind w:left="155"/>
              <w:spacing w:before="89" w:line="221" w:lineRule="auto"/>
              <w:rPr>
                <w:sz w:val="21"/>
                <w:szCs w:val="21"/>
              </w:rPr>
            </w:pPr>
            <w:r>
              <w:rPr>
                <w:sz w:val="21"/>
                <w:szCs w:val="21"/>
                <w:spacing w:val="-3"/>
              </w:rPr>
              <w:t>气态</w:t>
            </w:r>
          </w:p>
        </w:tc>
        <w:tc>
          <w:tcPr>
            <w:tcW w:w="1039" w:type="dxa"/>
            <w:vAlign w:val="top"/>
          </w:tcPr>
          <w:p>
            <w:pPr>
              <w:pStyle w:val="TableText"/>
              <w:ind w:left="306"/>
              <w:spacing w:before="88" w:line="219" w:lineRule="auto"/>
              <w:rPr>
                <w:sz w:val="21"/>
                <w:szCs w:val="21"/>
              </w:rPr>
            </w:pPr>
            <w:r>
              <w:rPr>
                <w:sz w:val="21"/>
                <w:szCs w:val="21"/>
                <w:spacing w:val="4"/>
              </w:rPr>
              <w:t>管道</w:t>
            </w:r>
          </w:p>
        </w:tc>
        <w:tc>
          <w:tcPr>
            <w:tcW w:w="909" w:type="dxa"/>
            <w:vAlign w:val="top"/>
          </w:tcPr>
          <w:p>
            <w:pPr>
              <w:pStyle w:val="TableText"/>
              <w:ind w:left="238"/>
              <w:spacing w:before="88" w:line="219" w:lineRule="auto"/>
              <w:rPr>
                <w:sz w:val="21"/>
                <w:szCs w:val="21"/>
              </w:rPr>
            </w:pPr>
            <w:r>
              <w:rPr>
                <w:sz w:val="21"/>
                <w:szCs w:val="21"/>
                <w:spacing w:val="4"/>
              </w:rPr>
              <w:t>管道</w:t>
            </w:r>
          </w:p>
        </w:tc>
        <w:tc>
          <w:tcPr>
            <w:tcW w:w="984" w:type="dxa"/>
            <w:vAlign w:val="top"/>
          </w:tcPr>
          <w:p>
            <w:pPr>
              <w:pStyle w:val="TableText"/>
              <w:ind w:left="279"/>
              <w:spacing w:before="88" w:line="219" w:lineRule="auto"/>
              <w:rPr>
                <w:sz w:val="21"/>
                <w:szCs w:val="21"/>
              </w:rPr>
            </w:pPr>
            <w:r>
              <w:rPr>
                <w:sz w:val="21"/>
                <w:szCs w:val="21"/>
                <w:spacing w:val="4"/>
              </w:rPr>
              <w:t>管道</w:t>
            </w:r>
          </w:p>
        </w:tc>
      </w:tr>
      <w:tr>
        <w:trPr>
          <w:trHeight w:val="374" w:hRule="atLeast"/>
        </w:trPr>
        <w:tc>
          <w:tcPr>
            <w:tcW w:w="8880" w:type="dxa"/>
            <w:vAlign w:val="top"/>
            <w:gridSpan w:val="7"/>
          </w:tcPr>
          <w:p>
            <w:pPr>
              <w:pStyle w:val="TableText"/>
              <w:ind w:left="125"/>
              <w:spacing w:before="88" w:line="219" w:lineRule="auto"/>
              <w:rPr>
                <w:sz w:val="21"/>
                <w:szCs w:val="21"/>
              </w:rPr>
            </w:pPr>
            <w:r>
              <w:rPr>
                <w:sz w:val="21"/>
                <w:szCs w:val="21"/>
              </w:rPr>
              <w:t>备注：天然气在管道中的存量按10min用量折合计</w:t>
            </w:r>
            <w:r>
              <w:rPr>
                <w:sz w:val="21"/>
                <w:szCs w:val="21"/>
                <w:spacing w:val="-1"/>
              </w:rPr>
              <w:t>算。</w:t>
            </w:r>
          </w:p>
        </w:tc>
      </w:tr>
    </w:tbl>
    <w:p>
      <w:pPr>
        <w:pStyle w:val="BodyText"/>
        <w:ind w:left="604"/>
        <w:spacing w:before="275" w:line="220" w:lineRule="auto"/>
        <w:rPr>
          <w:sz w:val="24"/>
          <w:szCs w:val="24"/>
        </w:rPr>
      </w:pPr>
      <w:r>
        <w:rPr>
          <w:sz w:val="24"/>
          <w:szCs w:val="24"/>
          <w:spacing w:val="-2"/>
        </w:rPr>
        <w:t>2、化学品物理化学性质</w:t>
      </w:r>
    </w:p>
    <w:p>
      <w:pPr>
        <w:pStyle w:val="BodyText"/>
        <w:ind w:left="604"/>
        <w:spacing w:before="192" w:line="219" w:lineRule="auto"/>
        <w:rPr>
          <w:sz w:val="24"/>
          <w:szCs w:val="24"/>
        </w:rPr>
      </w:pPr>
      <w:r>
        <w:rPr>
          <w:sz w:val="24"/>
          <w:szCs w:val="24"/>
          <w:spacing w:val="-4"/>
        </w:rPr>
        <w:t>项目原辅材料中的化学品的物理化学性质详见表2.1-2。</w:t>
      </w:r>
    </w:p>
    <w:p>
      <w:pPr>
        <w:spacing w:line="219" w:lineRule="auto"/>
        <w:sectPr>
          <w:footerReference w:type="default" r:id="rId170"/>
          <w:pgSz w:w="11900" w:h="16840"/>
          <w:pgMar w:top="1420" w:right="1429" w:bottom="1127" w:left="1574" w:header="0" w:footer="989" w:gutter="0"/>
        </w:sectPr>
        <w:rPr>
          <w:sz w:val="24"/>
          <w:szCs w:val="24"/>
        </w:rPr>
      </w:pPr>
    </w:p>
    <w:p>
      <w:pPr>
        <w:pStyle w:val="BodyText"/>
        <w:ind w:left="2875"/>
        <w:spacing w:before="101" w:line="184" w:lineRule="auto"/>
        <w:rPr>
          <w:sz w:val="19"/>
          <w:szCs w:val="19"/>
        </w:rPr>
      </w:pPr>
      <w:r>
        <w:rPr>
          <w:sz w:val="19"/>
          <w:szCs w:val="19"/>
          <w:spacing w:val="-2"/>
        </w:rPr>
        <w:t>表2.1-2</w:t>
      </w:r>
    </w:p>
    <w:p>
      <w:pPr>
        <w:spacing w:line="14" w:lineRule="auto"/>
        <w:rPr>
          <w:rFonts w:ascii="Arial"/>
          <w:sz w:val="2"/>
        </w:rPr>
      </w:pPr>
      <w:r>
        <w:rPr>
          <w:rFonts w:ascii="Arial" w:hAnsi="Arial" w:eastAsia="Arial" w:cs="Arial"/>
          <w:sz w:val="2"/>
          <w:szCs w:val="2"/>
        </w:rPr>
        <w:br w:type="column"/>
      </w:r>
    </w:p>
    <w:p>
      <w:pPr>
        <w:pStyle w:val="BodyText"/>
        <w:spacing w:before="36" w:line="220" w:lineRule="auto"/>
        <w:rPr>
          <w:sz w:val="19"/>
          <w:szCs w:val="19"/>
        </w:rPr>
      </w:pPr>
      <w:r>
        <w:rPr>
          <w:sz w:val="19"/>
          <w:szCs w:val="19"/>
          <w:b/>
          <w:bCs/>
          <w:spacing w:val="-3"/>
        </w:rPr>
        <w:t>物质危险识别一览表</w:t>
      </w:r>
    </w:p>
    <w:p>
      <w:pPr>
        <w:spacing w:line="220" w:lineRule="auto"/>
        <w:sectPr>
          <w:footerReference w:type="default" r:id="rId171"/>
          <w:pgSz w:w="11900" w:h="16840"/>
          <w:pgMar w:top="1397" w:right="1425" w:bottom="1128" w:left="1574" w:header="0" w:footer="989" w:gutter="0"/>
          <w:cols w:equalWidth="0" w:num="2">
            <w:col w:w="4038" w:space="100"/>
            <w:col w:w="4763" w:space="0"/>
          </w:cols>
        </w:sectPr>
        <w:rPr>
          <w:sz w:val="19"/>
          <w:szCs w:val="19"/>
        </w:rPr>
      </w:pPr>
    </w:p>
    <w:p>
      <w:pPr>
        <w:spacing w:line="46" w:lineRule="exact"/>
        <w:rPr/>
      </w:pPr>
      <w:r/>
    </w:p>
    <w:tbl>
      <w:tblPr>
        <w:tblStyle w:val="TableNormal"/>
        <w:tblW w:w="88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95"/>
        <w:gridCol w:w="1119"/>
        <w:gridCol w:w="1279"/>
        <w:gridCol w:w="819"/>
        <w:gridCol w:w="849"/>
        <w:gridCol w:w="749"/>
        <w:gridCol w:w="729"/>
        <w:gridCol w:w="1488"/>
        <w:gridCol w:w="1363"/>
      </w:tblGrid>
      <w:tr>
        <w:trPr>
          <w:trHeight w:val="354" w:hRule="atLeast"/>
        </w:trPr>
        <w:tc>
          <w:tcPr>
            <w:tcW w:w="495" w:type="dxa"/>
            <w:vAlign w:val="top"/>
            <w:vMerge w:val="restart"/>
            <w:textDirection w:val="tbRlV"/>
            <w:tcBorders>
              <w:bottom w:val="nil"/>
            </w:tcBorders>
          </w:tcPr>
          <w:p>
            <w:pPr>
              <w:pStyle w:val="TableText"/>
              <w:ind w:left="373"/>
              <w:spacing w:before="140" w:line="217" w:lineRule="auto"/>
              <w:rPr>
                <w:sz w:val="21"/>
                <w:szCs w:val="21"/>
              </w:rPr>
            </w:pPr>
            <w:r>
              <w:rPr>
                <w:sz w:val="21"/>
                <w:szCs w:val="21"/>
              </w:rPr>
              <w:t>序号</w:t>
            </w:r>
          </w:p>
        </w:tc>
        <w:tc>
          <w:tcPr>
            <w:tcW w:w="1119" w:type="dxa"/>
            <w:vAlign w:val="top"/>
            <w:vMerge w:val="restart"/>
            <w:tcBorders>
              <w:bottom w:val="nil"/>
            </w:tcBorders>
          </w:tcPr>
          <w:p>
            <w:pPr>
              <w:spacing w:line="435" w:lineRule="auto"/>
              <w:rPr>
                <w:rFonts w:ascii="Arial"/>
                <w:sz w:val="21"/>
              </w:rPr>
            </w:pPr>
            <w:r/>
          </w:p>
          <w:p>
            <w:pPr>
              <w:pStyle w:val="TableText"/>
              <w:ind w:left="340"/>
              <w:spacing w:before="68" w:line="221" w:lineRule="auto"/>
              <w:rPr>
                <w:sz w:val="21"/>
                <w:szCs w:val="21"/>
              </w:rPr>
            </w:pPr>
            <w:r>
              <w:rPr>
                <w:sz w:val="21"/>
                <w:szCs w:val="21"/>
                <w:spacing w:val="5"/>
              </w:rPr>
              <w:t>名称</w:t>
            </w:r>
          </w:p>
        </w:tc>
        <w:tc>
          <w:tcPr>
            <w:tcW w:w="1279"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pStyle w:val="TableText"/>
              <w:ind w:left="261"/>
              <w:spacing w:before="68" w:line="185" w:lineRule="auto"/>
              <w:rPr>
                <w:sz w:val="21"/>
                <w:szCs w:val="21"/>
              </w:rPr>
            </w:pPr>
            <w:r>
              <w:rPr>
                <w:sz w:val="21"/>
                <w:szCs w:val="21"/>
                <w:spacing w:val="-2"/>
              </w:rPr>
              <w:t>CAS</w:t>
            </w:r>
            <w:r>
              <w:rPr>
                <w:sz w:val="21"/>
                <w:szCs w:val="21"/>
                <w:spacing w:val="72"/>
              </w:rPr>
              <w:t xml:space="preserve"> </w:t>
            </w:r>
            <w:r>
              <w:rPr>
                <w:sz w:val="21"/>
                <w:szCs w:val="21"/>
                <w:spacing w:val="-2"/>
              </w:rPr>
              <w:t>No.</w:t>
            </w:r>
          </w:p>
        </w:tc>
        <w:tc>
          <w:tcPr>
            <w:tcW w:w="819" w:type="dxa"/>
            <w:vAlign w:val="top"/>
            <w:vMerge w:val="restart"/>
            <w:tcBorders>
              <w:bottom w:val="nil"/>
            </w:tcBorders>
          </w:tcPr>
          <w:p>
            <w:pPr>
              <w:spacing w:line="314" w:lineRule="auto"/>
              <w:rPr>
                <w:rFonts w:ascii="Arial"/>
                <w:sz w:val="21"/>
              </w:rPr>
            </w:pPr>
            <w:r/>
          </w:p>
          <w:p>
            <w:pPr>
              <w:pStyle w:val="TableText"/>
              <w:ind w:left="192"/>
              <w:spacing w:before="68" w:line="237" w:lineRule="auto"/>
              <w:rPr>
                <w:sz w:val="21"/>
                <w:szCs w:val="21"/>
              </w:rPr>
            </w:pPr>
            <w:r>
              <w:rPr>
                <w:sz w:val="21"/>
                <w:szCs w:val="21"/>
                <w:spacing w:val="9"/>
              </w:rPr>
              <w:t>闪点</w:t>
            </w:r>
          </w:p>
          <w:p>
            <w:pPr>
              <w:pStyle w:val="TableText"/>
              <w:ind w:left="292"/>
              <w:spacing w:line="237" w:lineRule="auto"/>
              <w:rPr>
                <w:sz w:val="21"/>
                <w:szCs w:val="21"/>
              </w:rPr>
            </w:pPr>
            <w:r>
              <w:rPr>
                <w:sz w:val="21"/>
                <w:szCs w:val="21"/>
              </w:rPr>
              <w:t>℃</w:t>
            </w:r>
          </w:p>
        </w:tc>
        <w:tc>
          <w:tcPr>
            <w:tcW w:w="849" w:type="dxa"/>
            <w:vAlign w:val="top"/>
            <w:vMerge w:val="restart"/>
            <w:tcBorders>
              <w:bottom w:val="nil"/>
            </w:tcBorders>
          </w:tcPr>
          <w:p>
            <w:pPr>
              <w:spacing w:line="314" w:lineRule="auto"/>
              <w:rPr>
                <w:rFonts w:ascii="Arial"/>
                <w:sz w:val="21"/>
              </w:rPr>
            </w:pPr>
            <w:r/>
          </w:p>
          <w:p>
            <w:pPr>
              <w:pStyle w:val="TableText"/>
              <w:ind w:left="202"/>
              <w:spacing w:before="68" w:line="220" w:lineRule="auto"/>
              <w:rPr>
                <w:sz w:val="21"/>
                <w:szCs w:val="21"/>
              </w:rPr>
            </w:pPr>
            <w:r>
              <w:rPr>
                <w:sz w:val="21"/>
                <w:szCs w:val="21"/>
                <w:spacing w:val="9"/>
              </w:rPr>
              <w:t>熔点</w:t>
            </w:r>
          </w:p>
          <w:p>
            <w:pPr>
              <w:pStyle w:val="TableText"/>
              <w:ind w:left="313"/>
              <w:spacing w:before="19" w:line="237" w:lineRule="auto"/>
              <w:rPr>
                <w:sz w:val="21"/>
                <w:szCs w:val="21"/>
              </w:rPr>
            </w:pPr>
            <w:r>
              <w:rPr>
                <w:sz w:val="21"/>
                <w:szCs w:val="21"/>
              </w:rPr>
              <w:t>℃</w:t>
            </w:r>
          </w:p>
        </w:tc>
        <w:tc>
          <w:tcPr>
            <w:tcW w:w="749" w:type="dxa"/>
            <w:vAlign w:val="top"/>
            <w:vMerge w:val="restart"/>
            <w:tcBorders>
              <w:bottom w:val="nil"/>
            </w:tcBorders>
          </w:tcPr>
          <w:p>
            <w:pPr>
              <w:spacing w:line="314" w:lineRule="auto"/>
              <w:rPr>
                <w:rFonts w:ascii="Arial"/>
                <w:sz w:val="21"/>
              </w:rPr>
            </w:pPr>
            <w:r/>
          </w:p>
          <w:p>
            <w:pPr>
              <w:pStyle w:val="TableText"/>
              <w:ind w:left="154"/>
              <w:spacing w:before="68" w:line="221" w:lineRule="auto"/>
              <w:rPr>
                <w:sz w:val="21"/>
                <w:szCs w:val="21"/>
              </w:rPr>
            </w:pPr>
            <w:r>
              <w:rPr>
                <w:sz w:val="21"/>
                <w:szCs w:val="21"/>
                <w:spacing w:val="9"/>
              </w:rPr>
              <w:t>沸点</w:t>
            </w:r>
          </w:p>
          <w:p>
            <w:pPr>
              <w:pStyle w:val="TableText"/>
              <w:ind w:left="264"/>
              <w:spacing w:before="18" w:line="237" w:lineRule="auto"/>
              <w:rPr>
                <w:sz w:val="21"/>
                <w:szCs w:val="21"/>
              </w:rPr>
            </w:pPr>
            <w:r>
              <w:rPr>
                <w:sz w:val="21"/>
                <w:szCs w:val="21"/>
              </w:rPr>
              <w:t>℃</w:t>
            </w:r>
          </w:p>
        </w:tc>
        <w:tc>
          <w:tcPr>
            <w:tcW w:w="729" w:type="dxa"/>
            <w:vAlign w:val="top"/>
            <w:vMerge w:val="restart"/>
            <w:tcBorders>
              <w:bottom w:val="nil"/>
            </w:tcBorders>
          </w:tcPr>
          <w:p>
            <w:pPr>
              <w:pStyle w:val="TableText"/>
              <w:ind w:left="145" w:right="140"/>
              <w:spacing w:before="25" w:line="205" w:lineRule="auto"/>
              <w:jc w:val="both"/>
              <w:rPr>
                <w:sz w:val="21"/>
                <w:szCs w:val="21"/>
              </w:rPr>
            </w:pPr>
            <w:r>
              <w:rPr>
                <w:sz w:val="21"/>
                <w:szCs w:val="21"/>
                <w:spacing w:val="6"/>
              </w:rPr>
              <w:t>火灾</w:t>
            </w:r>
            <w:r>
              <w:rPr>
                <w:sz w:val="21"/>
                <w:szCs w:val="21"/>
              </w:rPr>
              <w:t xml:space="preserve"> </w:t>
            </w:r>
            <w:r>
              <w:rPr>
                <w:sz w:val="21"/>
                <w:szCs w:val="21"/>
                <w:spacing w:val="-6"/>
              </w:rPr>
              <w:t>危险</w:t>
            </w:r>
            <w:r>
              <w:rPr>
                <w:sz w:val="21"/>
                <w:szCs w:val="21"/>
              </w:rPr>
              <w:t xml:space="preserve"> </w:t>
            </w:r>
            <w:r>
              <w:rPr>
                <w:sz w:val="21"/>
                <w:szCs w:val="21"/>
                <w:spacing w:val="6"/>
              </w:rPr>
              <w:t>等级</w:t>
            </w:r>
            <w:r>
              <w:rPr>
                <w:sz w:val="21"/>
                <w:szCs w:val="21"/>
              </w:rPr>
              <w:t xml:space="preserve"> </w:t>
            </w:r>
            <w:r>
              <w:rPr>
                <w:sz w:val="21"/>
                <w:szCs w:val="21"/>
                <w:spacing w:val="18"/>
                <w:w w:val="121"/>
              </w:rPr>
              <w:t>(特</w:t>
            </w:r>
            <w:r>
              <w:rPr>
                <w:sz w:val="21"/>
                <w:szCs w:val="21"/>
              </w:rPr>
              <w:t xml:space="preserve"> </w:t>
            </w:r>
            <w:r>
              <w:rPr>
                <w:sz w:val="21"/>
                <w:szCs w:val="21"/>
                <w:spacing w:val="19"/>
              </w:rPr>
              <w:t>性</w:t>
            </w:r>
            <w:r>
              <w:rPr>
                <w:sz w:val="21"/>
                <w:szCs w:val="21"/>
                <w:spacing w:val="-34"/>
              </w:rPr>
              <w:t xml:space="preserve"> </w:t>
            </w:r>
            <w:r>
              <w:rPr>
                <w:sz w:val="21"/>
                <w:szCs w:val="21"/>
                <w:spacing w:val="19"/>
              </w:rPr>
              <w:t>)</w:t>
            </w:r>
          </w:p>
        </w:tc>
        <w:tc>
          <w:tcPr>
            <w:tcW w:w="2851" w:type="dxa"/>
            <w:vAlign w:val="top"/>
            <w:gridSpan w:val="2"/>
          </w:tcPr>
          <w:p>
            <w:pPr>
              <w:pStyle w:val="TableText"/>
              <w:ind w:left="1026"/>
              <w:spacing w:before="73" w:line="219" w:lineRule="auto"/>
              <w:rPr>
                <w:sz w:val="21"/>
                <w:szCs w:val="21"/>
              </w:rPr>
            </w:pPr>
            <w:r>
              <w:rPr>
                <w:sz w:val="21"/>
                <w:szCs w:val="21"/>
                <w:spacing w:val="2"/>
              </w:rPr>
              <w:t>急性毒性</w:t>
            </w:r>
          </w:p>
        </w:tc>
      </w:tr>
      <w:tr>
        <w:trPr>
          <w:trHeight w:val="837" w:hRule="atLeast"/>
        </w:trPr>
        <w:tc>
          <w:tcPr>
            <w:tcW w:w="495" w:type="dxa"/>
            <w:vAlign w:val="top"/>
            <w:vMerge w:val="continue"/>
            <w:textDirection w:val="tbRlV"/>
            <w:tcBorders>
              <w:top w:val="nil"/>
            </w:tcBorders>
          </w:tcPr>
          <w:p>
            <w:pPr>
              <w:rPr>
                <w:rFonts w:ascii="Arial"/>
                <w:sz w:val="21"/>
              </w:rPr>
            </w:pPr>
            <w:r/>
          </w:p>
        </w:tc>
        <w:tc>
          <w:tcPr>
            <w:tcW w:w="1119" w:type="dxa"/>
            <w:vAlign w:val="top"/>
            <w:vMerge w:val="continue"/>
            <w:tcBorders>
              <w:top w:val="nil"/>
            </w:tcBorders>
          </w:tcPr>
          <w:p>
            <w:pPr>
              <w:rPr>
                <w:rFonts w:ascii="Arial"/>
                <w:sz w:val="21"/>
              </w:rPr>
            </w:pPr>
            <w:r/>
          </w:p>
        </w:tc>
        <w:tc>
          <w:tcPr>
            <w:tcW w:w="1279" w:type="dxa"/>
            <w:vAlign w:val="top"/>
            <w:vMerge w:val="continue"/>
            <w:tcBorders>
              <w:top w:val="nil"/>
            </w:tcBorders>
          </w:tcPr>
          <w:p>
            <w:pPr>
              <w:rPr>
                <w:rFonts w:ascii="Arial"/>
                <w:sz w:val="21"/>
              </w:rPr>
            </w:pPr>
            <w:r/>
          </w:p>
        </w:tc>
        <w:tc>
          <w:tcPr>
            <w:tcW w:w="819" w:type="dxa"/>
            <w:vAlign w:val="top"/>
            <w:vMerge w:val="continue"/>
            <w:tcBorders>
              <w:top w:val="nil"/>
            </w:tcBorders>
          </w:tcPr>
          <w:p>
            <w:pPr>
              <w:rPr>
                <w:rFonts w:ascii="Arial"/>
                <w:sz w:val="21"/>
              </w:rPr>
            </w:pPr>
            <w:r/>
          </w:p>
        </w:tc>
        <w:tc>
          <w:tcPr>
            <w:tcW w:w="849" w:type="dxa"/>
            <w:vAlign w:val="top"/>
            <w:vMerge w:val="continue"/>
            <w:tcBorders>
              <w:top w:val="nil"/>
            </w:tcBorders>
          </w:tcPr>
          <w:p>
            <w:pPr>
              <w:rPr>
                <w:rFonts w:ascii="Arial"/>
                <w:sz w:val="21"/>
              </w:rPr>
            </w:pPr>
            <w:r/>
          </w:p>
        </w:tc>
        <w:tc>
          <w:tcPr>
            <w:tcW w:w="749" w:type="dxa"/>
            <w:vAlign w:val="top"/>
            <w:vMerge w:val="continue"/>
            <w:tcBorders>
              <w:top w:val="nil"/>
            </w:tcBorders>
          </w:tcPr>
          <w:p>
            <w:pPr>
              <w:rPr>
                <w:rFonts w:ascii="Arial"/>
                <w:sz w:val="21"/>
              </w:rPr>
            </w:pPr>
            <w:r/>
          </w:p>
        </w:tc>
        <w:tc>
          <w:tcPr>
            <w:tcW w:w="729" w:type="dxa"/>
            <w:vAlign w:val="top"/>
            <w:vMerge w:val="continue"/>
            <w:tcBorders>
              <w:top w:val="nil"/>
            </w:tcBorders>
          </w:tcPr>
          <w:p>
            <w:pPr>
              <w:rPr>
                <w:rFonts w:ascii="Arial"/>
                <w:sz w:val="21"/>
              </w:rPr>
            </w:pPr>
            <w:r/>
          </w:p>
        </w:tc>
        <w:tc>
          <w:tcPr>
            <w:tcW w:w="1488" w:type="dxa"/>
            <w:vAlign w:val="top"/>
          </w:tcPr>
          <w:p>
            <w:pPr>
              <w:spacing w:line="253" w:lineRule="auto"/>
              <w:rPr>
                <w:rFonts w:ascii="Arial"/>
                <w:sz w:val="21"/>
              </w:rPr>
            </w:pPr>
            <w:r/>
          </w:p>
          <w:p>
            <w:pPr>
              <w:pStyle w:val="TableText"/>
              <w:ind w:left="525"/>
              <w:spacing w:before="68" w:line="222" w:lineRule="auto"/>
              <w:rPr>
                <w:sz w:val="21"/>
                <w:szCs w:val="21"/>
              </w:rPr>
            </w:pPr>
            <w:r>
              <w:rPr>
                <w:sz w:val="21"/>
                <w:szCs w:val="21"/>
                <w:spacing w:val="-2"/>
              </w:rPr>
              <w:t>LDs(</w:t>
            </w:r>
          </w:p>
        </w:tc>
        <w:tc>
          <w:tcPr>
            <w:tcW w:w="1363" w:type="dxa"/>
            <w:vAlign w:val="top"/>
          </w:tcPr>
          <w:p>
            <w:pPr>
              <w:spacing w:line="303" w:lineRule="auto"/>
              <w:rPr>
                <w:rFonts w:ascii="Arial"/>
                <w:sz w:val="21"/>
              </w:rPr>
            </w:pPr>
            <w:r/>
          </w:p>
          <w:p>
            <w:pPr>
              <w:pStyle w:val="TableText"/>
              <w:ind w:left="468"/>
              <w:spacing w:before="68" w:line="183" w:lineRule="auto"/>
              <w:rPr>
                <w:sz w:val="21"/>
                <w:szCs w:val="21"/>
              </w:rPr>
            </w:pPr>
            <w:r>
              <w:rPr>
                <w:sz w:val="21"/>
                <w:szCs w:val="21"/>
                <w:spacing w:val="-2"/>
              </w:rPr>
              <w:t>LCso</w:t>
            </w:r>
          </w:p>
        </w:tc>
      </w:tr>
      <w:tr>
        <w:trPr>
          <w:trHeight w:val="478" w:hRule="atLeast"/>
        </w:trPr>
        <w:tc>
          <w:tcPr>
            <w:tcW w:w="495" w:type="dxa"/>
            <w:vAlign w:val="top"/>
          </w:tcPr>
          <w:p>
            <w:pPr>
              <w:pStyle w:val="TableText"/>
              <w:ind w:left="185"/>
              <w:spacing w:before="195" w:line="184" w:lineRule="auto"/>
              <w:rPr>
                <w:sz w:val="21"/>
                <w:szCs w:val="21"/>
              </w:rPr>
            </w:pPr>
            <w:r>
              <w:rPr>
                <w:sz w:val="21"/>
                <w:szCs w:val="21"/>
              </w:rPr>
              <w:t>1</w:t>
            </w:r>
          </w:p>
        </w:tc>
        <w:tc>
          <w:tcPr>
            <w:tcW w:w="1119" w:type="dxa"/>
            <w:vAlign w:val="top"/>
          </w:tcPr>
          <w:p>
            <w:pPr>
              <w:pStyle w:val="TableText"/>
              <w:ind w:left="279" w:right="147" w:hanging="150"/>
              <w:spacing w:before="10" w:line="201" w:lineRule="auto"/>
              <w:rPr>
                <w:sz w:val="21"/>
                <w:szCs w:val="21"/>
              </w:rPr>
            </w:pPr>
            <w:r>
              <w:rPr>
                <w:sz w:val="21"/>
                <w:szCs w:val="21"/>
                <w:spacing w:val="-3"/>
              </w:rPr>
              <w:t>三元材料</w:t>
            </w:r>
            <w:r>
              <w:rPr>
                <w:sz w:val="21"/>
                <w:szCs w:val="21"/>
                <w:spacing w:val="2"/>
              </w:rPr>
              <w:t xml:space="preserve"> </w:t>
            </w:r>
            <w:r>
              <w:rPr>
                <w:sz w:val="21"/>
                <w:szCs w:val="21"/>
                <w:spacing w:val="-10"/>
              </w:rPr>
              <w:t>(NCM)</w:t>
            </w:r>
          </w:p>
        </w:tc>
        <w:tc>
          <w:tcPr>
            <w:tcW w:w="1279" w:type="dxa"/>
            <w:vAlign w:val="top"/>
          </w:tcPr>
          <w:p>
            <w:pPr>
              <w:pStyle w:val="TableText"/>
              <w:ind w:left="571"/>
              <w:spacing w:before="148" w:line="224" w:lineRule="auto"/>
              <w:rPr>
                <w:sz w:val="21"/>
                <w:szCs w:val="21"/>
              </w:rPr>
            </w:pPr>
            <w:r>
              <w:rPr>
                <w:sz w:val="21"/>
                <w:szCs w:val="21"/>
              </w:rPr>
              <w:t>/</w:t>
            </w:r>
          </w:p>
        </w:tc>
        <w:tc>
          <w:tcPr>
            <w:tcW w:w="819" w:type="dxa"/>
            <w:vAlign w:val="top"/>
          </w:tcPr>
          <w:p>
            <w:pPr>
              <w:pStyle w:val="TableText"/>
              <w:ind w:left="342"/>
              <w:spacing w:before="148" w:line="224" w:lineRule="auto"/>
              <w:rPr>
                <w:sz w:val="21"/>
                <w:szCs w:val="21"/>
              </w:rPr>
            </w:pPr>
            <w:r>
              <w:rPr>
                <w:sz w:val="21"/>
                <w:szCs w:val="21"/>
              </w:rPr>
              <w:t>/</w:t>
            </w:r>
          </w:p>
        </w:tc>
        <w:tc>
          <w:tcPr>
            <w:tcW w:w="849" w:type="dxa"/>
            <w:vAlign w:val="top"/>
          </w:tcPr>
          <w:p>
            <w:pPr>
              <w:pStyle w:val="TableText"/>
              <w:ind w:left="363"/>
              <w:spacing w:before="148" w:line="224" w:lineRule="auto"/>
              <w:rPr>
                <w:sz w:val="21"/>
                <w:szCs w:val="21"/>
              </w:rPr>
            </w:pPr>
            <w:r>
              <w:rPr>
                <w:sz w:val="21"/>
                <w:szCs w:val="21"/>
              </w:rPr>
              <w:t>/</w:t>
            </w:r>
          </w:p>
        </w:tc>
        <w:tc>
          <w:tcPr>
            <w:tcW w:w="749" w:type="dxa"/>
            <w:vAlign w:val="top"/>
          </w:tcPr>
          <w:p>
            <w:pPr>
              <w:pStyle w:val="TableText"/>
              <w:ind w:left="314"/>
              <w:spacing w:before="148" w:line="224" w:lineRule="auto"/>
              <w:rPr>
                <w:sz w:val="21"/>
                <w:szCs w:val="21"/>
              </w:rPr>
            </w:pPr>
            <w:r>
              <w:rPr>
                <w:sz w:val="21"/>
                <w:szCs w:val="21"/>
              </w:rPr>
              <w:t>/</w:t>
            </w:r>
          </w:p>
        </w:tc>
        <w:tc>
          <w:tcPr>
            <w:tcW w:w="729" w:type="dxa"/>
            <w:vAlign w:val="top"/>
          </w:tcPr>
          <w:p>
            <w:pPr>
              <w:pStyle w:val="TableText"/>
              <w:ind w:left="145"/>
              <w:spacing w:before="145" w:line="222" w:lineRule="auto"/>
              <w:rPr>
                <w:sz w:val="21"/>
                <w:szCs w:val="21"/>
              </w:rPr>
            </w:pPr>
            <w:r>
              <w:rPr>
                <w:sz w:val="21"/>
                <w:szCs w:val="21"/>
                <w:spacing w:val="-3"/>
              </w:rPr>
              <w:t>不燃</w:t>
            </w:r>
          </w:p>
        </w:tc>
        <w:tc>
          <w:tcPr>
            <w:tcW w:w="1488" w:type="dxa"/>
            <w:vAlign w:val="top"/>
          </w:tcPr>
          <w:p>
            <w:pPr>
              <w:pStyle w:val="TableText"/>
              <w:ind w:left="215" w:right="165"/>
              <w:spacing w:before="15" w:line="199" w:lineRule="auto"/>
              <w:rPr>
                <w:sz w:val="21"/>
                <w:szCs w:val="21"/>
              </w:rPr>
            </w:pPr>
            <w:r>
              <w:rPr>
                <w:sz w:val="21"/>
                <w:szCs w:val="21"/>
                <w:spacing w:val="-2"/>
              </w:rPr>
              <w:t>&gt;5000mg/kg</w:t>
            </w:r>
            <w:r>
              <w:rPr>
                <w:sz w:val="21"/>
                <w:szCs w:val="21"/>
                <w:spacing w:val="5"/>
              </w:rPr>
              <w:t xml:space="preserve"> </w:t>
            </w:r>
            <w:r>
              <w:rPr>
                <w:sz w:val="21"/>
                <w:szCs w:val="21"/>
                <w:spacing w:val="7"/>
              </w:rPr>
              <w:t>(大鼠经口)</w:t>
            </w:r>
          </w:p>
        </w:tc>
        <w:tc>
          <w:tcPr>
            <w:tcW w:w="1363" w:type="dxa"/>
            <w:vAlign w:val="top"/>
          </w:tcPr>
          <w:p>
            <w:pPr>
              <w:pStyle w:val="TableText"/>
              <w:ind w:left="618"/>
              <w:spacing w:before="148" w:line="224" w:lineRule="auto"/>
              <w:rPr>
                <w:sz w:val="21"/>
                <w:szCs w:val="21"/>
              </w:rPr>
            </w:pPr>
            <w:r>
              <w:rPr>
                <w:sz w:val="21"/>
                <w:szCs w:val="21"/>
              </w:rPr>
              <w:t>/</w:t>
            </w:r>
          </w:p>
        </w:tc>
      </w:tr>
      <w:tr>
        <w:trPr>
          <w:trHeight w:val="717" w:hRule="atLeast"/>
        </w:trPr>
        <w:tc>
          <w:tcPr>
            <w:tcW w:w="495" w:type="dxa"/>
            <w:vAlign w:val="top"/>
          </w:tcPr>
          <w:p>
            <w:pPr>
              <w:spacing w:line="249" w:lineRule="auto"/>
              <w:rPr>
                <w:rFonts w:ascii="Arial"/>
                <w:sz w:val="21"/>
              </w:rPr>
            </w:pPr>
            <w:r/>
          </w:p>
          <w:p>
            <w:pPr>
              <w:pStyle w:val="TableText"/>
              <w:ind w:left="185"/>
              <w:spacing w:before="68" w:line="183" w:lineRule="auto"/>
              <w:rPr>
                <w:sz w:val="21"/>
                <w:szCs w:val="21"/>
              </w:rPr>
            </w:pPr>
            <w:r>
              <w:rPr>
                <w:sz w:val="21"/>
                <w:szCs w:val="21"/>
              </w:rPr>
              <w:t>2</w:t>
            </w:r>
          </w:p>
        </w:tc>
        <w:tc>
          <w:tcPr>
            <w:tcW w:w="1119" w:type="dxa"/>
            <w:vAlign w:val="top"/>
          </w:tcPr>
          <w:p>
            <w:pPr>
              <w:pStyle w:val="TableText"/>
              <w:ind w:left="129"/>
              <w:spacing w:before="47" w:line="200" w:lineRule="auto"/>
              <w:rPr>
                <w:sz w:val="21"/>
                <w:szCs w:val="21"/>
              </w:rPr>
            </w:pPr>
            <w:r>
              <w:rPr>
                <w:sz w:val="21"/>
                <w:szCs w:val="21"/>
                <w:spacing w:val="-1"/>
              </w:rPr>
              <w:t>N-甲基吡</w:t>
            </w:r>
          </w:p>
          <w:p>
            <w:pPr>
              <w:pStyle w:val="TableText"/>
              <w:ind w:left="230"/>
              <w:spacing w:line="186" w:lineRule="auto"/>
              <w:rPr>
                <w:sz w:val="21"/>
                <w:szCs w:val="21"/>
              </w:rPr>
            </w:pPr>
            <w:r>
              <w:rPr>
                <w:sz w:val="21"/>
                <w:szCs w:val="21"/>
                <w:spacing w:val="4"/>
              </w:rPr>
              <w:t>咯烷酮</w:t>
            </w:r>
          </w:p>
          <w:p>
            <w:pPr>
              <w:pStyle w:val="TableText"/>
              <w:ind w:left="280"/>
              <w:spacing w:line="192" w:lineRule="auto"/>
              <w:rPr>
                <w:sz w:val="21"/>
                <w:szCs w:val="21"/>
              </w:rPr>
            </w:pPr>
            <w:r>
              <w:rPr>
                <w:sz w:val="21"/>
                <w:szCs w:val="21"/>
                <w:spacing w:val="-10"/>
              </w:rPr>
              <w:t>(NMP)</w:t>
            </w:r>
          </w:p>
        </w:tc>
        <w:tc>
          <w:tcPr>
            <w:tcW w:w="1279" w:type="dxa"/>
            <w:vAlign w:val="top"/>
          </w:tcPr>
          <w:p>
            <w:pPr>
              <w:spacing w:line="249" w:lineRule="auto"/>
              <w:rPr>
                <w:rFonts w:ascii="Arial"/>
                <w:sz w:val="21"/>
              </w:rPr>
            </w:pPr>
            <w:r/>
          </w:p>
          <w:p>
            <w:pPr>
              <w:pStyle w:val="TableText"/>
              <w:ind w:left="210"/>
              <w:spacing w:before="68" w:line="183" w:lineRule="auto"/>
              <w:rPr>
                <w:sz w:val="21"/>
                <w:szCs w:val="21"/>
              </w:rPr>
            </w:pPr>
            <w:r>
              <w:rPr>
                <w:sz w:val="21"/>
                <w:szCs w:val="21"/>
                <w:spacing w:val="-2"/>
              </w:rPr>
              <w:t>872-50-4</w:t>
            </w:r>
          </w:p>
        </w:tc>
        <w:tc>
          <w:tcPr>
            <w:tcW w:w="819" w:type="dxa"/>
            <w:vAlign w:val="top"/>
          </w:tcPr>
          <w:p>
            <w:pPr>
              <w:spacing w:line="247" w:lineRule="auto"/>
              <w:rPr>
                <w:rFonts w:ascii="Arial"/>
                <w:sz w:val="21"/>
              </w:rPr>
            </w:pPr>
            <w:r/>
          </w:p>
          <w:p>
            <w:pPr>
              <w:pStyle w:val="TableText"/>
              <w:ind w:left="292"/>
              <w:spacing w:before="69" w:line="184" w:lineRule="auto"/>
              <w:rPr>
                <w:sz w:val="21"/>
                <w:szCs w:val="21"/>
              </w:rPr>
            </w:pPr>
            <w:r>
              <w:rPr>
                <w:sz w:val="21"/>
                <w:szCs w:val="21"/>
                <w:spacing w:val="-3"/>
              </w:rPr>
              <w:t>91</w:t>
            </w:r>
          </w:p>
        </w:tc>
        <w:tc>
          <w:tcPr>
            <w:tcW w:w="849" w:type="dxa"/>
            <w:vAlign w:val="top"/>
          </w:tcPr>
          <w:p>
            <w:pPr>
              <w:spacing w:line="249" w:lineRule="auto"/>
              <w:rPr>
                <w:rFonts w:ascii="Arial"/>
                <w:sz w:val="21"/>
              </w:rPr>
            </w:pPr>
            <w:r/>
          </w:p>
          <w:p>
            <w:pPr>
              <w:pStyle w:val="TableText"/>
              <w:ind w:left="253"/>
              <w:spacing w:before="68" w:line="183" w:lineRule="auto"/>
              <w:rPr>
                <w:sz w:val="21"/>
                <w:szCs w:val="21"/>
              </w:rPr>
            </w:pPr>
            <w:r>
              <w:rPr>
                <w:sz w:val="21"/>
                <w:szCs w:val="21"/>
                <w:spacing w:val="-2"/>
              </w:rPr>
              <w:t>-24</w:t>
            </w:r>
          </w:p>
        </w:tc>
        <w:tc>
          <w:tcPr>
            <w:tcW w:w="749" w:type="dxa"/>
            <w:vAlign w:val="top"/>
          </w:tcPr>
          <w:p>
            <w:pPr>
              <w:spacing w:line="249" w:lineRule="auto"/>
              <w:rPr>
                <w:rFonts w:ascii="Arial"/>
                <w:sz w:val="21"/>
              </w:rPr>
            </w:pPr>
            <w:r/>
          </w:p>
          <w:p>
            <w:pPr>
              <w:pStyle w:val="TableText"/>
              <w:ind w:left="203"/>
              <w:spacing w:before="68" w:line="183" w:lineRule="auto"/>
              <w:rPr>
                <w:sz w:val="21"/>
                <w:szCs w:val="21"/>
              </w:rPr>
            </w:pPr>
            <w:r>
              <w:rPr>
                <w:sz w:val="21"/>
                <w:szCs w:val="21"/>
                <w:spacing w:val="-3"/>
              </w:rPr>
              <w:t>202</w:t>
            </w:r>
          </w:p>
        </w:tc>
        <w:tc>
          <w:tcPr>
            <w:tcW w:w="729" w:type="dxa"/>
            <w:vAlign w:val="top"/>
          </w:tcPr>
          <w:p>
            <w:pPr>
              <w:pStyle w:val="TableText"/>
              <w:ind w:left="145"/>
              <w:spacing w:before="268" w:line="222" w:lineRule="auto"/>
              <w:rPr>
                <w:sz w:val="21"/>
                <w:szCs w:val="21"/>
              </w:rPr>
            </w:pPr>
            <w:r>
              <w:rPr>
                <w:sz w:val="21"/>
                <w:szCs w:val="21"/>
                <w:spacing w:val="-3"/>
              </w:rPr>
              <w:t>可燃</w:t>
            </w:r>
          </w:p>
        </w:tc>
        <w:tc>
          <w:tcPr>
            <w:tcW w:w="1488" w:type="dxa"/>
            <w:vAlign w:val="top"/>
          </w:tcPr>
          <w:p>
            <w:pPr>
              <w:pStyle w:val="TableText"/>
              <w:ind w:left="215" w:right="165" w:firstLine="50"/>
              <w:spacing w:before="167" w:line="210" w:lineRule="auto"/>
              <w:rPr>
                <w:sz w:val="21"/>
                <w:szCs w:val="21"/>
              </w:rPr>
            </w:pPr>
            <w:r>
              <w:rPr>
                <w:sz w:val="21"/>
                <w:szCs w:val="21"/>
                <w:spacing w:val="-2"/>
              </w:rPr>
              <w:t>3914mg/kg</w:t>
            </w:r>
            <w:r>
              <w:rPr>
                <w:sz w:val="21"/>
                <w:szCs w:val="21"/>
                <w:spacing w:val="2"/>
              </w:rPr>
              <w:t xml:space="preserve">  </w:t>
            </w:r>
            <w:r>
              <w:rPr>
                <w:sz w:val="21"/>
                <w:szCs w:val="21"/>
                <w:spacing w:val="7"/>
              </w:rPr>
              <w:t>(大鼠经口)</w:t>
            </w:r>
          </w:p>
        </w:tc>
        <w:tc>
          <w:tcPr>
            <w:tcW w:w="1363" w:type="dxa"/>
            <w:vAlign w:val="top"/>
          </w:tcPr>
          <w:p>
            <w:pPr>
              <w:pStyle w:val="TableText"/>
              <w:ind w:left="198"/>
              <w:spacing w:before="27" w:line="214" w:lineRule="auto"/>
              <w:rPr>
                <w:sz w:val="21"/>
                <w:szCs w:val="21"/>
              </w:rPr>
            </w:pPr>
            <w:r>
              <w:rPr>
                <w:sz w:val="21"/>
                <w:szCs w:val="21"/>
                <w:spacing w:val="-2"/>
              </w:rPr>
              <w:t>5130mg/kg</w:t>
            </w:r>
          </w:p>
          <w:p>
            <w:pPr>
              <w:pStyle w:val="TableText"/>
              <w:ind w:left="308"/>
              <w:spacing w:before="6" w:line="185" w:lineRule="auto"/>
              <w:rPr>
                <w:sz w:val="21"/>
                <w:szCs w:val="21"/>
              </w:rPr>
            </w:pPr>
            <w:r>
              <w:rPr>
                <w:sz w:val="21"/>
                <w:szCs w:val="21"/>
              </w:rPr>
              <w:t>(小鼠经</w:t>
            </w:r>
          </w:p>
          <w:p>
            <w:pPr>
              <w:pStyle w:val="TableText"/>
              <w:ind w:left="517"/>
              <w:spacing w:line="192" w:lineRule="auto"/>
              <w:rPr>
                <w:sz w:val="21"/>
                <w:szCs w:val="21"/>
              </w:rPr>
            </w:pPr>
            <w:r>
              <w:rPr>
                <w:sz w:val="21"/>
                <w:szCs w:val="21"/>
                <w:spacing w:val="-21"/>
              </w:rPr>
              <w:t>口</w:t>
            </w:r>
            <w:r>
              <w:rPr>
                <w:sz w:val="21"/>
                <w:szCs w:val="21"/>
                <w:spacing w:val="-14"/>
              </w:rPr>
              <w:t xml:space="preserve"> </w:t>
            </w:r>
            <w:r>
              <w:rPr>
                <w:sz w:val="21"/>
                <w:szCs w:val="21"/>
                <w:spacing w:val="-21"/>
              </w:rPr>
              <w:t>)</w:t>
            </w:r>
          </w:p>
        </w:tc>
      </w:tr>
      <w:tr>
        <w:trPr>
          <w:trHeight w:val="469" w:hRule="atLeast"/>
        </w:trPr>
        <w:tc>
          <w:tcPr>
            <w:tcW w:w="495" w:type="dxa"/>
            <w:vAlign w:val="top"/>
          </w:tcPr>
          <w:p>
            <w:pPr>
              <w:pStyle w:val="TableText"/>
              <w:ind w:left="185"/>
              <w:spacing w:before="191" w:line="183" w:lineRule="auto"/>
              <w:rPr>
                <w:sz w:val="21"/>
                <w:szCs w:val="21"/>
              </w:rPr>
            </w:pPr>
            <w:r>
              <w:rPr>
                <w:sz w:val="21"/>
                <w:szCs w:val="21"/>
              </w:rPr>
              <w:t>3</w:t>
            </w:r>
          </w:p>
        </w:tc>
        <w:tc>
          <w:tcPr>
            <w:tcW w:w="1119" w:type="dxa"/>
            <w:vAlign w:val="top"/>
          </w:tcPr>
          <w:p>
            <w:pPr>
              <w:pStyle w:val="TableText"/>
              <w:ind w:left="230"/>
              <w:spacing w:before="138" w:line="220" w:lineRule="auto"/>
              <w:rPr>
                <w:sz w:val="21"/>
                <w:szCs w:val="21"/>
              </w:rPr>
            </w:pPr>
            <w:r>
              <w:rPr>
                <w:sz w:val="21"/>
                <w:szCs w:val="21"/>
                <w:spacing w:val="3"/>
              </w:rPr>
              <w:t>电解液</w:t>
            </w:r>
          </w:p>
        </w:tc>
        <w:tc>
          <w:tcPr>
            <w:tcW w:w="1279" w:type="dxa"/>
            <w:vAlign w:val="top"/>
          </w:tcPr>
          <w:p>
            <w:pPr>
              <w:pStyle w:val="TableText"/>
              <w:ind w:left="571"/>
              <w:spacing w:before="143" w:line="224" w:lineRule="auto"/>
              <w:rPr>
                <w:sz w:val="21"/>
                <w:szCs w:val="21"/>
              </w:rPr>
            </w:pPr>
            <w:r>
              <w:rPr>
                <w:sz w:val="21"/>
                <w:szCs w:val="21"/>
              </w:rPr>
              <w:t>/</w:t>
            </w:r>
          </w:p>
        </w:tc>
        <w:tc>
          <w:tcPr>
            <w:tcW w:w="819" w:type="dxa"/>
            <w:vAlign w:val="top"/>
          </w:tcPr>
          <w:p>
            <w:pPr>
              <w:pStyle w:val="TableText"/>
              <w:ind w:left="342"/>
              <w:spacing w:before="143" w:line="224" w:lineRule="auto"/>
              <w:rPr>
                <w:sz w:val="21"/>
                <w:szCs w:val="21"/>
              </w:rPr>
            </w:pPr>
            <w:r>
              <w:rPr>
                <w:sz w:val="21"/>
                <w:szCs w:val="21"/>
              </w:rPr>
              <w:t>/</w:t>
            </w:r>
          </w:p>
        </w:tc>
        <w:tc>
          <w:tcPr>
            <w:tcW w:w="849" w:type="dxa"/>
            <w:vAlign w:val="top"/>
          </w:tcPr>
          <w:p>
            <w:pPr>
              <w:pStyle w:val="TableText"/>
              <w:ind w:left="363"/>
              <w:spacing w:before="143" w:line="224" w:lineRule="auto"/>
              <w:rPr>
                <w:sz w:val="21"/>
                <w:szCs w:val="21"/>
              </w:rPr>
            </w:pPr>
            <w:r>
              <w:rPr>
                <w:sz w:val="21"/>
                <w:szCs w:val="21"/>
              </w:rPr>
              <w:t>/</w:t>
            </w:r>
          </w:p>
        </w:tc>
        <w:tc>
          <w:tcPr>
            <w:tcW w:w="749" w:type="dxa"/>
            <w:vAlign w:val="top"/>
          </w:tcPr>
          <w:p>
            <w:pPr>
              <w:pStyle w:val="TableText"/>
              <w:ind w:left="314"/>
              <w:spacing w:before="143" w:line="224" w:lineRule="auto"/>
              <w:rPr>
                <w:sz w:val="21"/>
                <w:szCs w:val="21"/>
              </w:rPr>
            </w:pPr>
            <w:r>
              <w:rPr>
                <w:sz w:val="21"/>
                <w:szCs w:val="21"/>
              </w:rPr>
              <w:t>/</w:t>
            </w:r>
          </w:p>
        </w:tc>
        <w:tc>
          <w:tcPr>
            <w:tcW w:w="729" w:type="dxa"/>
            <w:vAlign w:val="top"/>
          </w:tcPr>
          <w:p>
            <w:pPr>
              <w:pStyle w:val="TableText"/>
              <w:ind w:left="145"/>
              <w:spacing w:before="138" w:line="221" w:lineRule="auto"/>
              <w:rPr>
                <w:sz w:val="21"/>
                <w:szCs w:val="21"/>
              </w:rPr>
            </w:pPr>
            <w:r>
              <w:rPr>
                <w:sz w:val="21"/>
                <w:szCs w:val="21"/>
                <w:spacing w:val="4"/>
              </w:rPr>
              <w:t>易燃</w:t>
            </w:r>
          </w:p>
        </w:tc>
        <w:tc>
          <w:tcPr>
            <w:tcW w:w="1488" w:type="dxa"/>
            <w:vAlign w:val="top"/>
          </w:tcPr>
          <w:p>
            <w:pPr>
              <w:pStyle w:val="TableText"/>
              <w:ind w:left="266"/>
              <w:spacing w:before="30" w:line="203" w:lineRule="auto"/>
              <w:rPr>
                <w:sz w:val="20"/>
                <w:szCs w:val="20"/>
              </w:rPr>
            </w:pPr>
            <w:r>
              <w:rPr>
                <w:sz w:val="20"/>
                <w:szCs w:val="20"/>
                <w:spacing w:val="-3"/>
              </w:rPr>
              <w:t>1702mg/kg</w:t>
            </w:r>
          </w:p>
          <w:p>
            <w:pPr>
              <w:pStyle w:val="TableText"/>
              <w:ind w:left="366"/>
              <w:spacing w:line="192" w:lineRule="auto"/>
              <w:rPr>
                <w:sz w:val="20"/>
                <w:szCs w:val="20"/>
              </w:rPr>
            </w:pPr>
            <w:r>
              <w:rPr>
                <w:sz w:val="20"/>
                <w:szCs w:val="20"/>
                <w:spacing w:val="-7"/>
              </w:rPr>
              <w:t>(LiPF6)</w:t>
            </w:r>
          </w:p>
        </w:tc>
        <w:tc>
          <w:tcPr>
            <w:tcW w:w="1363" w:type="dxa"/>
            <w:vAlign w:val="top"/>
          </w:tcPr>
          <w:p>
            <w:pPr>
              <w:pStyle w:val="TableText"/>
              <w:ind w:left="308"/>
              <w:spacing w:before="30" w:line="199" w:lineRule="auto"/>
              <w:rPr>
                <w:sz w:val="20"/>
                <w:szCs w:val="20"/>
              </w:rPr>
            </w:pPr>
            <w:r>
              <w:rPr>
                <w:sz w:val="20"/>
                <w:szCs w:val="20"/>
                <w:spacing w:val="-2"/>
              </w:rPr>
              <w:t>&gt;20mg/L</w:t>
            </w:r>
          </w:p>
          <w:p>
            <w:pPr>
              <w:pStyle w:val="TableText"/>
              <w:ind w:left="257"/>
              <w:spacing w:line="196" w:lineRule="auto"/>
              <w:rPr>
                <w:sz w:val="20"/>
                <w:szCs w:val="20"/>
              </w:rPr>
            </w:pPr>
            <w:r>
              <w:rPr>
                <w:sz w:val="20"/>
                <w:szCs w:val="20"/>
                <w:spacing w:val="-7"/>
              </w:rPr>
              <w:t>(LiPF</w:t>
            </w:r>
            <w:r>
              <w:rPr>
                <w:rFonts w:ascii="Calibri" w:hAnsi="Calibri" w:eastAsia="Calibri" w:cs="Calibri"/>
                <w:sz w:val="20"/>
                <w:szCs w:val="20"/>
                <w:spacing w:val="-7"/>
              </w:rPr>
              <w:t>₆</w:t>
            </w:r>
            <w:r>
              <w:rPr>
                <w:sz w:val="20"/>
                <w:szCs w:val="20"/>
                <w:spacing w:val="-7"/>
              </w:rPr>
              <w:t>)</w:t>
            </w:r>
          </w:p>
        </w:tc>
      </w:tr>
      <w:tr>
        <w:trPr>
          <w:trHeight w:val="354" w:hRule="atLeast"/>
        </w:trPr>
        <w:tc>
          <w:tcPr>
            <w:tcW w:w="495" w:type="dxa"/>
            <w:vAlign w:val="top"/>
          </w:tcPr>
          <w:p>
            <w:pPr>
              <w:pStyle w:val="TableText"/>
              <w:ind w:left="185"/>
              <w:spacing w:before="132" w:line="183" w:lineRule="auto"/>
              <w:rPr>
                <w:sz w:val="21"/>
                <w:szCs w:val="21"/>
              </w:rPr>
            </w:pPr>
            <w:r>
              <w:rPr>
                <w:sz w:val="21"/>
                <w:szCs w:val="21"/>
              </w:rPr>
              <w:t>4</w:t>
            </w:r>
          </w:p>
        </w:tc>
        <w:tc>
          <w:tcPr>
            <w:tcW w:w="1119" w:type="dxa"/>
            <w:vAlign w:val="top"/>
          </w:tcPr>
          <w:p>
            <w:pPr>
              <w:pStyle w:val="TableText"/>
              <w:ind w:left="230"/>
              <w:spacing w:before="79" w:line="220" w:lineRule="auto"/>
              <w:rPr>
                <w:sz w:val="21"/>
                <w:szCs w:val="21"/>
              </w:rPr>
            </w:pPr>
            <w:r>
              <w:rPr>
                <w:sz w:val="21"/>
                <w:szCs w:val="21"/>
                <w:spacing w:val="4"/>
              </w:rPr>
              <w:t>天然气</w:t>
            </w:r>
          </w:p>
        </w:tc>
        <w:tc>
          <w:tcPr>
            <w:tcW w:w="1279" w:type="dxa"/>
            <w:vAlign w:val="top"/>
          </w:tcPr>
          <w:p>
            <w:pPr>
              <w:pStyle w:val="TableText"/>
              <w:ind w:left="571"/>
              <w:spacing w:before="84" w:line="224" w:lineRule="auto"/>
              <w:rPr>
                <w:sz w:val="21"/>
                <w:szCs w:val="21"/>
              </w:rPr>
            </w:pPr>
            <w:r>
              <w:rPr>
                <w:sz w:val="21"/>
                <w:szCs w:val="21"/>
              </w:rPr>
              <w:t>/</w:t>
            </w:r>
          </w:p>
        </w:tc>
        <w:tc>
          <w:tcPr>
            <w:tcW w:w="819" w:type="dxa"/>
            <w:vAlign w:val="top"/>
          </w:tcPr>
          <w:p>
            <w:pPr>
              <w:pStyle w:val="TableText"/>
              <w:ind w:left="342"/>
              <w:spacing w:before="84" w:line="224" w:lineRule="auto"/>
              <w:rPr>
                <w:sz w:val="21"/>
                <w:szCs w:val="21"/>
              </w:rPr>
            </w:pPr>
            <w:r>
              <w:rPr>
                <w:sz w:val="21"/>
                <w:szCs w:val="21"/>
              </w:rPr>
              <w:t>/</w:t>
            </w:r>
          </w:p>
        </w:tc>
        <w:tc>
          <w:tcPr>
            <w:tcW w:w="849" w:type="dxa"/>
            <w:vAlign w:val="top"/>
          </w:tcPr>
          <w:p>
            <w:pPr>
              <w:pStyle w:val="TableText"/>
              <w:ind w:left="103"/>
              <w:spacing w:before="131" w:line="184" w:lineRule="auto"/>
              <w:rPr>
                <w:sz w:val="21"/>
                <w:szCs w:val="21"/>
              </w:rPr>
            </w:pPr>
            <w:r>
              <w:rPr>
                <w:sz w:val="21"/>
                <w:szCs w:val="21"/>
                <w:spacing w:val="-1"/>
              </w:rPr>
              <w:t>-182.5</w:t>
            </w:r>
          </w:p>
        </w:tc>
        <w:tc>
          <w:tcPr>
            <w:tcW w:w="749" w:type="dxa"/>
            <w:vAlign w:val="top"/>
          </w:tcPr>
          <w:p>
            <w:pPr>
              <w:pStyle w:val="TableText"/>
              <w:ind w:left="154"/>
              <w:spacing w:before="131" w:line="184" w:lineRule="auto"/>
              <w:rPr>
                <w:sz w:val="21"/>
                <w:szCs w:val="21"/>
              </w:rPr>
            </w:pPr>
            <w:r>
              <w:rPr>
                <w:sz w:val="21"/>
                <w:szCs w:val="21"/>
                <w:spacing w:val="-2"/>
              </w:rPr>
              <w:t>-160</w:t>
            </w:r>
          </w:p>
        </w:tc>
        <w:tc>
          <w:tcPr>
            <w:tcW w:w="729" w:type="dxa"/>
            <w:vAlign w:val="top"/>
          </w:tcPr>
          <w:p>
            <w:pPr>
              <w:pStyle w:val="TableText"/>
              <w:ind w:left="145"/>
              <w:spacing w:before="79" w:line="221" w:lineRule="auto"/>
              <w:rPr>
                <w:sz w:val="21"/>
                <w:szCs w:val="21"/>
              </w:rPr>
            </w:pPr>
            <w:r>
              <w:rPr>
                <w:sz w:val="21"/>
                <w:szCs w:val="21"/>
                <w:spacing w:val="4"/>
              </w:rPr>
              <w:t>易燃</w:t>
            </w:r>
          </w:p>
        </w:tc>
        <w:tc>
          <w:tcPr>
            <w:tcW w:w="1488" w:type="dxa"/>
            <w:vAlign w:val="top"/>
          </w:tcPr>
          <w:p>
            <w:pPr>
              <w:pStyle w:val="TableText"/>
              <w:ind w:left="686"/>
              <w:spacing w:before="84" w:line="224" w:lineRule="auto"/>
              <w:rPr>
                <w:sz w:val="21"/>
                <w:szCs w:val="21"/>
              </w:rPr>
            </w:pPr>
            <w:r>
              <w:rPr>
                <w:sz w:val="21"/>
                <w:szCs w:val="21"/>
              </w:rPr>
              <w:t>/</w:t>
            </w:r>
          </w:p>
        </w:tc>
        <w:tc>
          <w:tcPr>
            <w:tcW w:w="1363" w:type="dxa"/>
            <w:vAlign w:val="top"/>
          </w:tcPr>
          <w:p>
            <w:pPr>
              <w:pStyle w:val="TableText"/>
              <w:ind w:left="618"/>
              <w:spacing w:before="84" w:line="224" w:lineRule="auto"/>
              <w:rPr>
                <w:sz w:val="21"/>
                <w:szCs w:val="21"/>
              </w:rPr>
            </w:pPr>
            <w:r>
              <w:rPr>
                <w:sz w:val="21"/>
                <w:szCs w:val="21"/>
              </w:rPr>
              <w:t>/</w:t>
            </w:r>
          </w:p>
        </w:tc>
      </w:tr>
    </w:tbl>
    <w:p>
      <w:pPr>
        <w:pStyle w:val="BodyText"/>
        <w:ind w:left="604"/>
        <w:spacing w:before="115" w:line="220" w:lineRule="auto"/>
        <w:rPr>
          <w:sz w:val="24"/>
          <w:szCs w:val="24"/>
        </w:rPr>
      </w:pPr>
      <w:r>
        <w:rPr>
          <w:sz w:val="24"/>
          <w:szCs w:val="24"/>
          <w:spacing w:val="-2"/>
        </w:rPr>
        <w:t>3、物质危险性识别</w:t>
      </w:r>
    </w:p>
    <w:p>
      <w:pPr>
        <w:pStyle w:val="BodyText"/>
        <w:ind w:right="24"/>
        <w:spacing w:before="99" w:line="483" w:lineRule="exact"/>
        <w:jc w:val="right"/>
        <w:rPr>
          <w:sz w:val="24"/>
          <w:szCs w:val="24"/>
        </w:rPr>
      </w:pPr>
      <w:r>
        <w:rPr>
          <w:sz w:val="24"/>
          <w:szCs w:val="24"/>
          <w:spacing w:val="1"/>
          <w:position w:val="18"/>
        </w:rPr>
        <w:t>项目所用物质毒物危害程度见2.1-3,危险货物的危险性按照</w:t>
      </w:r>
      <w:r>
        <w:rPr>
          <w:sz w:val="24"/>
          <w:szCs w:val="24"/>
          <w:position w:val="18"/>
        </w:rPr>
        <w:t>GB</w:t>
      </w:r>
      <w:r>
        <w:rPr>
          <w:sz w:val="24"/>
          <w:szCs w:val="24"/>
          <w:spacing w:val="1"/>
          <w:position w:val="18"/>
        </w:rPr>
        <w:t>6944</w:t>
      </w:r>
      <w:r>
        <w:rPr>
          <w:sz w:val="24"/>
          <w:szCs w:val="24"/>
          <w:spacing w:val="51"/>
          <w:position w:val="18"/>
        </w:rPr>
        <w:t xml:space="preserve"> </w:t>
      </w:r>
      <w:r>
        <w:rPr>
          <w:sz w:val="24"/>
          <w:szCs w:val="24"/>
          <w:spacing w:val="1"/>
          <w:position w:val="18"/>
        </w:rPr>
        <w:t>分为9类，</w:t>
      </w:r>
    </w:p>
    <w:p>
      <w:pPr>
        <w:pStyle w:val="BodyText"/>
        <w:ind w:left="125"/>
        <w:spacing w:line="218" w:lineRule="auto"/>
        <w:rPr>
          <w:sz w:val="24"/>
          <w:szCs w:val="24"/>
        </w:rPr>
      </w:pPr>
      <w:r>
        <w:rPr>
          <w:sz w:val="24"/>
          <w:szCs w:val="24"/>
          <w:spacing w:val="-2"/>
        </w:rPr>
        <w:t>有些类别再分成项别。危险货物类别和项目分列见表2.1-4。</w:t>
      </w:r>
    </w:p>
    <w:p>
      <w:pPr>
        <w:pStyle w:val="BodyText"/>
        <w:ind w:left="2828"/>
        <w:spacing w:before="264" w:line="219" w:lineRule="auto"/>
        <w:rPr>
          <w:sz w:val="24"/>
          <w:szCs w:val="24"/>
        </w:rPr>
      </w:pPr>
      <w:r>
        <w:rPr>
          <w:sz w:val="24"/>
          <w:szCs w:val="24"/>
          <w:b/>
          <w:bCs/>
          <w:spacing w:val="12"/>
        </w:rPr>
        <w:t>表2.1-3</w:t>
      </w:r>
      <w:r>
        <w:rPr>
          <w:sz w:val="24"/>
          <w:szCs w:val="24"/>
          <w:spacing w:val="12"/>
        </w:rPr>
        <w:t xml:space="preserve">  </w:t>
      </w:r>
      <w:r>
        <w:rPr>
          <w:sz w:val="24"/>
          <w:szCs w:val="24"/>
          <w:b/>
          <w:bCs/>
          <w:spacing w:val="12"/>
        </w:rPr>
        <w:t>毒物危害程度分级</w:t>
      </w:r>
    </w:p>
    <w:p>
      <w:pPr>
        <w:spacing w:line="53" w:lineRule="exact"/>
        <w:rPr/>
      </w:pPr>
      <w:r/>
    </w:p>
    <w:tbl>
      <w:tblPr>
        <w:tblStyle w:val="TableNormal"/>
        <w:tblW w:w="88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54"/>
        <w:gridCol w:w="2018"/>
        <w:gridCol w:w="1519"/>
        <w:gridCol w:w="1528"/>
        <w:gridCol w:w="1538"/>
        <w:gridCol w:w="1533"/>
      </w:tblGrid>
      <w:tr>
        <w:trPr>
          <w:trHeight w:val="403" w:hRule="atLeast"/>
        </w:trPr>
        <w:tc>
          <w:tcPr>
            <w:tcW w:w="2772" w:type="dxa"/>
            <w:vAlign w:val="top"/>
            <w:gridSpan w:val="2"/>
            <w:vMerge w:val="restart"/>
            <w:tcBorders>
              <w:bottom w:val="nil"/>
            </w:tcBorders>
          </w:tcPr>
          <w:p>
            <w:pPr>
              <w:pStyle w:val="TableText"/>
              <w:ind w:left="1184"/>
              <w:spacing w:before="304" w:line="220" w:lineRule="auto"/>
              <w:rPr>
                <w:sz w:val="22"/>
                <w:szCs w:val="22"/>
              </w:rPr>
            </w:pPr>
            <w:r>
              <w:rPr>
                <w:sz w:val="22"/>
                <w:szCs w:val="22"/>
                <w:spacing w:val="-3"/>
              </w:rPr>
              <w:t>指标</w:t>
            </w:r>
          </w:p>
        </w:tc>
        <w:tc>
          <w:tcPr>
            <w:tcW w:w="6118" w:type="dxa"/>
            <w:vAlign w:val="top"/>
            <w:gridSpan w:val="4"/>
          </w:tcPr>
          <w:p>
            <w:pPr>
              <w:pStyle w:val="TableText"/>
              <w:ind w:left="2543"/>
              <w:spacing w:before="94" w:line="220" w:lineRule="auto"/>
              <w:rPr>
                <w:sz w:val="22"/>
                <w:szCs w:val="22"/>
              </w:rPr>
            </w:pPr>
            <w:r>
              <w:rPr>
                <w:sz w:val="22"/>
                <w:szCs w:val="22"/>
                <w:spacing w:val="-6"/>
              </w:rPr>
              <w:t>分</w:t>
            </w:r>
            <w:r>
              <w:rPr>
                <w:sz w:val="22"/>
                <w:szCs w:val="22"/>
                <w:spacing w:val="7"/>
              </w:rPr>
              <w:t xml:space="preserve">     </w:t>
            </w:r>
            <w:r>
              <w:rPr>
                <w:sz w:val="22"/>
                <w:szCs w:val="22"/>
                <w:spacing w:val="-6"/>
              </w:rPr>
              <w:t>级</w:t>
            </w:r>
          </w:p>
        </w:tc>
      </w:tr>
      <w:tr>
        <w:trPr>
          <w:trHeight w:val="398" w:hRule="atLeast"/>
        </w:trPr>
        <w:tc>
          <w:tcPr>
            <w:tcW w:w="2772" w:type="dxa"/>
            <w:vAlign w:val="top"/>
            <w:gridSpan w:val="2"/>
            <w:vMerge w:val="continue"/>
            <w:tcBorders>
              <w:top w:val="nil"/>
            </w:tcBorders>
          </w:tcPr>
          <w:p>
            <w:pPr>
              <w:rPr>
                <w:rFonts w:ascii="Arial"/>
                <w:sz w:val="21"/>
              </w:rPr>
            </w:pPr>
            <w:r/>
          </w:p>
        </w:tc>
        <w:tc>
          <w:tcPr>
            <w:tcW w:w="1519" w:type="dxa"/>
            <w:vAlign w:val="top"/>
          </w:tcPr>
          <w:p>
            <w:pPr>
              <w:pStyle w:val="TableText"/>
              <w:ind w:left="143"/>
              <w:spacing w:before="91" w:line="220" w:lineRule="auto"/>
              <w:rPr>
                <w:sz w:val="22"/>
                <w:szCs w:val="22"/>
              </w:rPr>
            </w:pPr>
            <w:r>
              <w:rPr>
                <w:sz w:val="22"/>
                <w:szCs w:val="22"/>
                <w:spacing w:val="6"/>
              </w:rPr>
              <w:t>I(极度危害)</w:t>
            </w:r>
          </w:p>
        </w:tc>
        <w:tc>
          <w:tcPr>
            <w:tcW w:w="1528" w:type="dxa"/>
            <w:vAlign w:val="top"/>
          </w:tcPr>
          <w:p>
            <w:pPr>
              <w:pStyle w:val="TableText"/>
              <w:ind w:left="94"/>
              <w:spacing w:before="91" w:line="219" w:lineRule="auto"/>
              <w:rPr>
                <w:sz w:val="22"/>
                <w:szCs w:val="22"/>
              </w:rPr>
            </w:pPr>
            <w:r>
              <w:rPr>
                <w:sz w:val="22"/>
                <w:szCs w:val="22"/>
                <w:spacing w:val="6"/>
              </w:rPr>
              <w:t>Ⅱ(高度危害)</w:t>
            </w:r>
          </w:p>
        </w:tc>
        <w:tc>
          <w:tcPr>
            <w:tcW w:w="1538" w:type="dxa"/>
            <w:vAlign w:val="top"/>
          </w:tcPr>
          <w:p>
            <w:pPr>
              <w:pStyle w:val="TableText"/>
              <w:ind w:left="155"/>
              <w:spacing w:before="91" w:line="220" w:lineRule="auto"/>
              <w:rPr>
                <w:sz w:val="22"/>
                <w:szCs w:val="22"/>
              </w:rPr>
            </w:pPr>
            <w:r>
              <w:rPr>
                <w:sz w:val="22"/>
                <w:szCs w:val="22"/>
                <w:spacing w:val="6"/>
              </w:rPr>
              <w:t>I(中度危害)</w:t>
            </w:r>
          </w:p>
        </w:tc>
        <w:tc>
          <w:tcPr>
            <w:tcW w:w="1533" w:type="dxa"/>
            <w:vAlign w:val="top"/>
          </w:tcPr>
          <w:p>
            <w:pPr>
              <w:pStyle w:val="TableText"/>
              <w:ind w:left="97"/>
              <w:spacing w:before="91" w:line="219" w:lineRule="auto"/>
              <w:rPr>
                <w:sz w:val="22"/>
                <w:szCs w:val="22"/>
              </w:rPr>
            </w:pPr>
            <w:r>
              <w:rPr>
                <w:sz w:val="22"/>
                <w:szCs w:val="22"/>
              </w:rPr>
              <w:t>IV</w:t>
            </w:r>
            <w:r>
              <w:rPr>
                <w:sz w:val="22"/>
                <w:szCs w:val="22"/>
                <w:spacing w:val="8"/>
              </w:rPr>
              <w:t>(轻度危害)</w:t>
            </w:r>
          </w:p>
        </w:tc>
      </w:tr>
      <w:tr>
        <w:trPr>
          <w:trHeight w:val="388" w:hRule="atLeast"/>
        </w:trPr>
        <w:tc>
          <w:tcPr>
            <w:tcW w:w="754" w:type="dxa"/>
            <w:vAlign w:val="top"/>
            <w:vMerge w:val="restart"/>
            <w:tcBorders>
              <w:bottom w:val="nil"/>
            </w:tcBorders>
          </w:tcPr>
          <w:p>
            <w:pPr>
              <w:spacing w:line="309" w:lineRule="auto"/>
              <w:rPr>
                <w:rFonts w:ascii="Arial"/>
                <w:sz w:val="21"/>
              </w:rPr>
            </w:pPr>
            <w:r/>
          </w:p>
          <w:p>
            <w:pPr>
              <w:pStyle w:val="TableText"/>
              <w:ind w:left="145" w:right="144"/>
              <w:spacing w:before="71" w:line="244" w:lineRule="auto"/>
              <w:rPr>
                <w:sz w:val="22"/>
                <w:szCs w:val="22"/>
              </w:rPr>
            </w:pPr>
            <w:r>
              <w:rPr>
                <w:sz w:val="22"/>
                <w:szCs w:val="22"/>
                <w:spacing w:val="7"/>
              </w:rPr>
              <w:t>危害</w:t>
            </w:r>
            <w:r>
              <w:rPr>
                <w:sz w:val="22"/>
                <w:szCs w:val="22"/>
              </w:rPr>
              <w:t xml:space="preserve"> </w:t>
            </w:r>
            <w:r>
              <w:rPr>
                <w:sz w:val="22"/>
                <w:szCs w:val="22"/>
                <w:spacing w:val="6"/>
              </w:rPr>
              <w:t>中毒</w:t>
            </w:r>
          </w:p>
        </w:tc>
        <w:tc>
          <w:tcPr>
            <w:tcW w:w="2018" w:type="dxa"/>
            <w:vAlign w:val="top"/>
          </w:tcPr>
          <w:p>
            <w:pPr>
              <w:pStyle w:val="TableText"/>
              <w:ind w:left="121"/>
              <w:spacing w:before="136" w:line="203" w:lineRule="auto"/>
              <w:rPr>
                <w:sz w:val="22"/>
                <w:szCs w:val="22"/>
              </w:rPr>
            </w:pPr>
            <w:r>
              <w:rPr>
                <w:sz w:val="22"/>
                <w:szCs w:val="22"/>
                <w:spacing w:val="22"/>
              </w:rPr>
              <w:t>吸入</w:t>
            </w:r>
            <w:r>
              <w:rPr>
                <w:sz w:val="22"/>
                <w:szCs w:val="22"/>
              </w:rPr>
              <w:t>LCso</w:t>
            </w:r>
            <w:r>
              <w:rPr>
                <w:sz w:val="22"/>
                <w:szCs w:val="22"/>
                <w:spacing w:val="22"/>
              </w:rPr>
              <w:t>(</w:t>
            </w:r>
            <w:r>
              <w:rPr>
                <w:sz w:val="22"/>
                <w:szCs w:val="22"/>
              </w:rPr>
              <w:t>mg</w:t>
            </w:r>
            <w:r>
              <w:rPr>
                <w:sz w:val="22"/>
                <w:szCs w:val="22"/>
                <w:spacing w:val="22"/>
              </w:rPr>
              <w:t>/m³)</w:t>
            </w:r>
          </w:p>
        </w:tc>
        <w:tc>
          <w:tcPr>
            <w:tcW w:w="1519" w:type="dxa"/>
            <w:vAlign w:val="top"/>
          </w:tcPr>
          <w:p>
            <w:pPr>
              <w:pStyle w:val="TableText"/>
              <w:ind w:left="532"/>
              <w:spacing w:before="175" w:line="170" w:lineRule="auto"/>
              <w:rPr>
                <w:sz w:val="22"/>
                <w:szCs w:val="22"/>
              </w:rPr>
            </w:pPr>
            <w:r>
              <w:rPr>
                <w:sz w:val="22"/>
                <w:szCs w:val="22"/>
                <w:spacing w:val="-3"/>
              </w:rPr>
              <w:t>&lt;200</w:t>
            </w:r>
          </w:p>
        </w:tc>
        <w:tc>
          <w:tcPr>
            <w:tcW w:w="1528" w:type="dxa"/>
            <w:vAlign w:val="top"/>
          </w:tcPr>
          <w:p>
            <w:pPr>
              <w:pStyle w:val="TableText"/>
              <w:ind w:left="264"/>
              <w:spacing w:before="209" w:line="168" w:lineRule="exact"/>
              <w:rPr>
                <w:sz w:val="22"/>
                <w:szCs w:val="22"/>
              </w:rPr>
            </w:pPr>
            <w:r>
              <w:rPr>
                <w:sz w:val="22"/>
                <w:szCs w:val="22"/>
                <w:spacing w:val="-2"/>
                <w:position w:val="-3"/>
              </w:rPr>
              <w:t>200～2000</w:t>
            </w:r>
          </w:p>
        </w:tc>
        <w:tc>
          <w:tcPr>
            <w:tcW w:w="1538" w:type="dxa"/>
            <w:vAlign w:val="top"/>
          </w:tcPr>
          <w:p>
            <w:pPr>
              <w:pStyle w:val="TableText"/>
              <w:ind w:left="155"/>
              <w:spacing w:before="209" w:line="168" w:lineRule="exact"/>
              <w:rPr>
                <w:sz w:val="22"/>
                <w:szCs w:val="22"/>
              </w:rPr>
            </w:pPr>
            <w:r>
              <w:rPr>
                <w:sz w:val="22"/>
                <w:szCs w:val="22"/>
                <w:spacing w:val="-2"/>
                <w:position w:val="-3"/>
              </w:rPr>
              <w:t>2000～20000</w:t>
            </w:r>
          </w:p>
        </w:tc>
        <w:tc>
          <w:tcPr>
            <w:tcW w:w="1533" w:type="dxa"/>
            <w:vAlign w:val="top"/>
          </w:tcPr>
          <w:p>
            <w:pPr>
              <w:pStyle w:val="TableText"/>
              <w:ind w:left="427"/>
              <w:spacing w:before="175" w:line="170" w:lineRule="auto"/>
              <w:rPr>
                <w:sz w:val="22"/>
                <w:szCs w:val="22"/>
              </w:rPr>
            </w:pPr>
            <w:r>
              <w:rPr>
                <w:sz w:val="22"/>
                <w:szCs w:val="22"/>
                <w:spacing w:val="-3"/>
              </w:rPr>
              <w:t>&gt;20000</w:t>
            </w:r>
          </w:p>
        </w:tc>
      </w:tr>
      <w:tr>
        <w:trPr>
          <w:trHeight w:val="398" w:hRule="atLeast"/>
        </w:trPr>
        <w:tc>
          <w:tcPr>
            <w:tcW w:w="754" w:type="dxa"/>
            <w:vAlign w:val="top"/>
            <w:vMerge w:val="continue"/>
            <w:tcBorders>
              <w:top w:val="nil"/>
              <w:bottom w:val="nil"/>
            </w:tcBorders>
          </w:tcPr>
          <w:p>
            <w:pPr>
              <w:rPr>
                <w:rFonts w:ascii="Arial"/>
                <w:sz w:val="21"/>
              </w:rPr>
            </w:pPr>
            <w:r/>
          </w:p>
        </w:tc>
        <w:tc>
          <w:tcPr>
            <w:tcW w:w="2018" w:type="dxa"/>
            <w:vAlign w:val="top"/>
          </w:tcPr>
          <w:p>
            <w:pPr>
              <w:pStyle w:val="TableText"/>
              <w:ind w:left="170"/>
              <w:spacing w:before="87" w:line="214" w:lineRule="auto"/>
              <w:rPr>
                <w:sz w:val="22"/>
                <w:szCs w:val="22"/>
              </w:rPr>
            </w:pPr>
            <w:r>
              <w:rPr>
                <w:sz w:val="22"/>
                <w:szCs w:val="22"/>
                <w:spacing w:val="9"/>
              </w:rPr>
              <w:t>经皮</w:t>
            </w:r>
            <w:r>
              <w:rPr>
                <w:sz w:val="22"/>
                <w:szCs w:val="22"/>
              </w:rPr>
              <w:t>LDso</w:t>
            </w:r>
            <w:r>
              <w:rPr>
                <w:sz w:val="22"/>
                <w:szCs w:val="22"/>
                <w:spacing w:val="9"/>
              </w:rPr>
              <w:t>(</w:t>
            </w:r>
            <w:r>
              <w:rPr>
                <w:sz w:val="22"/>
                <w:szCs w:val="22"/>
              </w:rPr>
              <w:t>mg</w:t>
            </w:r>
            <w:r>
              <w:rPr>
                <w:sz w:val="22"/>
                <w:szCs w:val="22"/>
                <w:spacing w:val="9"/>
              </w:rPr>
              <w:t>/</w:t>
            </w:r>
            <w:r>
              <w:rPr>
                <w:sz w:val="22"/>
                <w:szCs w:val="22"/>
              </w:rPr>
              <w:t>kg</w:t>
            </w:r>
            <w:r>
              <w:rPr>
                <w:sz w:val="22"/>
                <w:szCs w:val="22"/>
                <w:spacing w:val="9"/>
              </w:rPr>
              <w:t>)</w:t>
            </w:r>
          </w:p>
        </w:tc>
        <w:tc>
          <w:tcPr>
            <w:tcW w:w="1519" w:type="dxa"/>
            <w:vAlign w:val="top"/>
          </w:tcPr>
          <w:p>
            <w:pPr>
              <w:pStyle w:val="TableText"/>
              <w:ind w:left="532"/>
              <w:spacing w:before="177" w:line="177" w:lineRule="auto"/>
              <w:rPr>
                <w:sz w:val="22"/>
                <w:szCs w:val="22"/>
              </w:rPr>
            </w:pPr>
            <w:r>
              <w:rPr>
                <w:sz w:val="22"/>
                <w:szCs w:val="22"/>
                <w:spacing w:val="-3"/>
              </w:rPr>
              <w:t>&lt;100</w:t>
            </w:r>
          </w:p>
        </w:tc>
        <w:tc>
          <w:tcPr>
            <w:tcW w:w="1528" w:type="dxa"/>
            <w:vAlign w:val="top"/>
          </w:tcPr>
          <w:p>
            <w:pPr>
              <w:pStyle w:val="TableText"/>
              <w:ind w:left="314"/>
              <w:spacing w:before="210" w:line="177" w:lineRule="exact"/>
              <w:rPr>
                <w:sz w:val="22"/>
                <w:szCs w:val="22"/>
              </w:rPr>
            </w:pPr>
            <w:r>
              <w:rPr>
                <w:sz w:val="22"/>
                <w:szCs w:val="22"/>
                <w:spacing w:val="-4"/>
                <w:position w:val="-2"/>
              </w:rPr>
              <w:t>100～500</w:t>
            </w:r>
          </w:p>
        </w:tc>
        <w:tc>
          <w:tcPr>
            <w:tcW w:w="1538" w:type="dxa"/>
            <w:vAlign w:val="top"/>
          </w:tcPr>
          <w:p>
            <w:pPr>
              <w:pStyle w:val="TableText"/>
              <w:ind w:left="266"/>
              <w:spacing w:before="211" w:line="176" w:lineRule="exact"/>
              <w:rPr>
                <w:sz w:val="22"/>
                <w:szCs w:val="22"/>
              </w:rPr>
            </w:pPr>
            <w:r>
              <w:rPr>
                <w:sz w:val="22"/>
                <w:szCs w:val="22"/>
                <w:spacing w:val="-2"/>
                <w:position w:val="-2"/>
              </w:rPr>
              <w:t>500～2500</w:t>
            </w:r>
          </w:p>
        </w:tc>
        <w:tc>
          <w:tcPr>
            <w:tcW w:w="1533" w:type="dxa"/>
            <w:vAlign w:val="top"/>
          </w:tcPr>
          <w:p>
            <w:pPr>
              <w:pStyle w:val="TableText"/>
              <w:ind w:left="488"/>
              <w:spacing w:before="177" w:line="177" w:lineRule="auto"/>
              <w:rPr>
                <w:sz w:val="22"/>
                <w:szCs w:val="22"/>
              </w:rPr>
            </w:pPr>
            <w:r>
              <w:rPr>
                <w:sz w:val="22"/>
                <w:szCs w:val="22"/>
                <w:spacing w:val="-3"/>
              </w:rPr>
              <w:t>&gt;2500</w:t>
            </w:r>
          </w:p>
        </w:tc>
      </w:tr>
      <w:tr>
        <w:trPr>
          <w:trHeight w:val="403" w:hRule="atLeast"/>
        </w:trPr>
        <w:tc>
          <w:tcPr>
            <w:tcW w:w="754" w:type="dxa"/>
            <w:vAlign w:val="top"/>
            <w:vMerge w:val="continue"/>
            <w:tcBorders>
              <w:top w:val="nil"/>
            </w:tcBorders>
          </w:tcPr>
          <w:p>
            <w:pPr>
              <w:rPr>
                <w:rFonts w:ascii="Arial"/>
                <w:sz w:val="21"/>
              </w:rPr>
            </w:pPr>
            <w:r/>
          </w:p>
        </w:tc>
        <w:tc>
          <w:tcPr>
            <w:tcW w:w="2018" w:type="dxa"/>
            <w:vAlign w:val="top"/>
          </w:tcPr>
          <w:p>
            <w:pPr>
              <w:pStyle w:val="TableText"/>
              <w:ind w:left="170"/>
              <w:spacing w:before="89" w:line="214" w:lineRule="auto"/>
              <w:rPr>
                <w:sz w:val="22"/>
                <w:szCs w:val="22"/>
              </w:rPr>
            </w:pPr>
            <w:r>
              <w:rPr>
                <w:sz w:val="22"/>
                <w:szCs w:val="22"/>
                <w:spacing w:val="9"/>
              </w:rPr>
              <w:t>经口</w:t>
            </w:r>
            <w:r>
              <w:rPr>
                <w:sz w:val="22"/>
                <w:szCs w:val="22"/>
              </w:rPr>
              <w:t>LDso</w:t>
            </w:r>
            <w:r>
              <w:rPr>
                <w:sz w:val="22"/>
                <w:szCs w:val="22"/>
                <w:spacing w:val="9"/>
              </w:rPr>
              <w:t>(</w:t>
            </w:r>
            <w:r>
              <w:rPr>
                <w:sz w:val="22"/>
                <w:szCs w:val="22"/>
              </w:rPr>
              <w:t>mg</w:t>
            </w:r>
            <w:r>
              <w:rPr>
                <w:sz w:val="22"/>
                <w:szCs w:val="22"/>
                <w:spacing w:val="9"/>
              </w:rPr>
              <w:t>/</w:t>
            </w:r>
            <w:r>
              <w:rPr>
                <w:sz w:val="22"/>
                <w:szCs w:val="22"/>
              </w:rPr>
              <w:t>kg</w:t>
            </w:r>
            <w:r>
              <w:rPr>
                <w:sz w:val="22"/>
                <w:szCs w:val="22"/>
                <w:spacing w:val="9"/>
              </w:rPr>
              <w:t>)</w:t>
            </w:r>
          </w:p>
        </w:tc>
        <w:tc>
          <w:tcPr>
            <w:tcW w:w="1519" w:type="dxa"/>
            <w:vAlign w:val="top"/>
          </w:tcPr>
          <w:p>
            <w:pPr>
              <w:pStyle w:val="TableText"/>
              <w:ind w:left="583"/>
              <w:spacing w:before="189" w:line="171" w:lineRule="auto"/>
              <w:rPr>
                <w:sz w:val="22"/>
                <w:szCs w:val="22"/>
              </w:rPr>
            </w:pPr>
            <w:r>
              <w:rPr>
                <w:sz w:val="22"/>
                <w:szCs w:val="22"/>
                <w:spacing w:val="-4"/>
              </w:rPr>
              <w:t>&lt;25</w:t>
            </w:r>
          </w:p>
        </w:tc>
        <w:tc>
          <w:tcPr>
            <w:tcW w:w="1528" w:type="dxa"/>
            <w:vAlign w:val="top"/>
          </w:tcPr>
          <w:p>
            <w:pPr>
              <w:pStyle w:val="TableText"/>
              <w:ind w:left="374"/>
              <w:spacing w:before="223" w:line="169" w:lineRule="exact"/>
              <w:rPr>
                <w:sz w:val="22"/>
                <w:szCs w:val="22"/>
              </w:rPr>
            </w:pPr>
            <w:r>
              <w:rPr>
                <w:sz w:val="22"/>
                <w:szCs w:val="22"/>
                <w:spacing w:val="-2"/>
                <w:position w:val="-3"/>
              </w:rPr>
              <w:t>25～500</w:t>
            </w:r>
          </w:p>
        </w:tc>
        <w:tc>
          <w:tcPr>
            <w:tcW w:w="1538" w:type="dxa"/>
            <w:vAlign w:val="top"/>
          </w:tcPr>
          <w:p>
            <w:pPr>
              <w:pStyle w:val="TableText"/>
              <w:ind w:left="266"/>
              <w:spacing w:before="223" w:line="169" w:lineRule="exact"/>
              <w:rPr>
                <w:sz w:val="22"/>
                <w:szCs w:val="22"/>
              </w:rPr>
            </w:pPr>
            <w:r>
              <w:rPr>
                <w:sz w:val="22"/>
                <w:szCs w:val="22"/>
                <w:spacing w:val="-2"/>
                <w:position w:val="-3"/>
              </w:rPr>
              <w:t>500～5000</w:t>
            </w:r>
          </w:p>
        </w:tc>
        <w:tc>
          <w:tcPr>
            <w:tcW w:w="1533" w:type="dxa"/>
            <w:vAlign w:val="top"/>
          </w:tcPr>
          <w:p>
            <w:pPr>
              <w:pStyle w:val="TableText"/>
              <w:ind w:left="538"/>
              <w:spacing w:before="189" w:line="171" w:lineRule="auto"/>
              <w:rPr>
                <w:sz w:val="22"/>
                <w:szCs w:val="22"/>
              </w:rPr>
            </w:pPr>
            <w:r>
              <w:rPr>
                <w:sz w:val="22"/>
                <w:szCs w:val="22"/>
                <w:spacing w:val="-3"/>
              </w:rPr>
              <w:t>&gt;500</w:t>
            </w:r>
          </w:p>
        </w:tc>
      </w:tr>
    </w:tbl>
    <w:p>
      <w:pPr>
        <w:pStyle w:val="BodyText"/>
        <w:ind w:left="2288"/>
        <w:spacing w:before="120" w:line="219" w:lineRule="auto"/>
        <w:rPr>
          <w:sz w:val="24"/>
          <w:szCs w:val="24"/>
        </w:rPr>
      </w:pPr>
      <w:r>
        <w:rPr>
          <w:sz w:val="24"/>
          <w:szCs w:val="24"/>
          <w:b/>
          <w:bCs/>
          <w:spacing w:val="14"/>
        </w:rPr>
        <w:t>表2.1-4</w:t>
      </w:r>
      <w:r>
        <w:rPr>
          <w:sz w:val="24"/>
          <w:szCs w:val="24"/>
          <w:spacing w:val="14"/>
        </w:rPr>
        <w:t xml:space="preserve">  </w:t>
      </w:r>
      <w:r>
        <w:rPr>
          <w:sz w:val="24"/>
          <w:szCs w:val="24"/>
          <w:b/>
          <w:bCs/>
          <w:spacing w:val="14"/>
        </w:rPr>
        <w:t>危险货物类别和项目分列表</w:t>
      </w:r>
    </w:p>
    <w:p>
      <w:pPr>
        <w:spacing w:line="66" w:lineRule="exact"/>
        <w:rPr/>
      </w:pPr>
      <w:r/>
    </w:p>
    <w:tbl>
      <w:tblPr>
        <w:tblStyle w:val="TableNormal"/>
        <w:tblW w:w="887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641"/>
        <w:gridCol w:w="1318"/>
        <w:gridCol w:w="3911"/>
      </w:tblGrid>
      <w:tr>
        <w:trPr>
          <w:trHeight w:val="284" w:hRule="atLeast"/>
        </w:trPr>
        <w:tc>
          <w:tcPr>
            <w:tcW w:w="3641" w:type="dxa"/>
            <w:vAlign w:val="top"/>
          </w:tcPr>
          <w:p>
            <w:pPr>
              <w:pStyle w:val="TableText"/>
              <w:ind w:left="1605"/>
              <w:spacing w:before="43" w:line="203" w:lineRule="auto"/>
              <w:rPr>
                <w:sz w:val="21"/>
                <w:szCs w:val="21"/>
              </w:rPr>
            </w:pPr>
            <w:r>
              <w:rPr>
                <w:sz w:val="21"/>
                <w:szCs w:val="21"/>
                <w:spacing w:val="8"/>
              </w:rPr>
              <w:t>类别</w:t>
            </w:r>
          </w:p>
        </w:tc>
        <w:tc>
          <w:tcPr>
            <w:tcW w:w="1318" w:type="dxa"/>
            <w:vAlign w:val="top"/>
          </w:tcPr>
          <w:p>
            <w:pPr>
              <w:pStyle w:val="TableText"/>
              <w:ind w:left="444"/>
              <w:spacing w:before="44" w:line="202" w:lineRule="auto"/>
              <w:rPr>
                <w:sz w:val="21"/>
                <w:szCs w:val="21"/>
              </w:rPr>
            </w:pPr>
            <w:r>
              <w:rPr>
                <w:sz w:val="21"/>
                <w:szCs w:val="21"/>
                <w:spacing w:val="8"/>
              </w:rPr>
              <w:t>项别</w:t>
            </w:r>
          </w:p>
        </w:tc>
        <w:tc>
          <w:tcPr>
            <w:tcW w:w="3911" w:type="dxa"/>
            <w:vAlign w:val="top"/>
          </w:tcPr>
          <w:p>
            <w:pPr>
              <w:pStyle w:val="TableText"/>
              <w:ind w:left="1526"/>
              <w:spacing w:before="43" w:line="203" w:lineRule="auto"/>
              <w:rPr>
                <w:sz w:val="21"/>
                <w:szCs w:val="21"/>
              </w:rPr>
            </w:pPr>
            <w:r>
              <w:rPr>
                <w:sz w:val="21"/>
                <w:szCs w:val="21"/>
                <w:spacing w:val="2"/>
              </w:rPr>
              <w:t>项目内容</w:t>
            </w:r>
          </w:p>
        </w:tc>
      </w:tr>
      <w:tr>
        <w:trPr>
          <w:trHeight w:val="289" w:hRule="atLeast"/>
        </w:trPr>
        <w:tc>
          <w:tcPr>
            <w:tcW w:w="3641" w:type="dxa"/>
            <w:vAlign w:val="top"/>
            <w:vMerge w:val="restart"/>
            <w:tcBorders>
              <w:bottom w:val="nil"/>
            </w:tcBorders>
          </w:tcPr>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1125"/>
              <w:spacing w:before="69" w:line="218" w:lineRule="auto"/>
              <w:rPr>
                <w:sz w:val="21"/>
                <w:szCs w:val="21"/>
              </w:rPr>
            </w:pPr>
            <w:r>
              <w:rPr>
                <w:sz w:val="21"/>
                <w:szCs w:val="21"/>
                <w:spacing w:val="6"/>
              </w:rPr>
              <w:t>第1类(爆炸品)</w:t>
            </w:r>
          </w:p>
        </w:tc>
        <w:tc>
          <w:tcPr>
            <w:tcW w:w="1318" w:type="dxa"/>
            <w:vAlign w:val="top"/>
          </w:tcPr>
          <w:p>
            <w:pPr>
              <w:pStyle w:val="TableText"/>
              <w:ind w:left="384"/>
              <w:spacing w:before="40" w:line="210" w:lineRule="auto"/>
              <w:rPr>
                <w:sz w:val="21"/>
                <w:szCs w:val="21"/>
              </w:rPr>
            </w:pPr>
            <w:r>
              <w:rPr>
                <w:sz w:val="21"/>
                <w:szCs w:val="21"/>
                <w:spacing w:val="4"/>
              </w:rPr>
              <w:t>1.1项</w:t>
            </w:r>
          </w:p>
        </w:tc>
        <w:tc>
          <w:tcPr>
            <w:tcW w:w="3911" w:type="dxa"/>
            <w:vAlign w:val="top"/>
          </w:tcPr>
          <w:p>
            <w:pPr>
              <w:pStyle w:val="TableText"/>
              <w:ind w:left="876"/>
              <w:spacing w:before="37" w:line="212" w:lineRule="auto"/>
              <w:rPr>
                <w:sz w:val="21"/>
                <w:szCs w:val="21"/>
              </w:rPr>
            </w:pPr>
            <w:r>
              <w:rPr>
                <w:sz w:val="21"/>
                <w:szCs w:val="21"/>
                <w:spacing w:val="1"/>
              </w:rPr>
              <w:t>有整体爆炸危险的物质和物品</w:t>
            </w:r>
          </w:p>
        </w:tc>
      </w:tr>
      <w:tr>
        <w:trPr>
          <w:trHeight w:val="549" w:hRule="atLeast"/>
        </w:trPr>
        <w:tc>
          <w:tcPr>
            <w:tcW w:w="3641" w:type="dxa"/>
            <w:vAlign w:val="top"/>
            <w:vMerge w:val="continue"/>
            <w:tcBorders>
              <w:top w:val="nil"/>
              <w:bottom w:val="nil"/>
            </w:tcBorders>
          </w:tcPr>
          <w:p>
            <w:pPr>
              <w:rPr>
                <w:rFonts w:ascii="Arial"/>
                <w:sz w:val="21"/>
              </w:rPr>
            </w:pPr>
            <w:r/>
          </w:p>
        </w:tc>
        <w:tc>
          <w:tcPr>
            <w:tcW w:w="1318" w:type="dxa"/>
            <w:vAlign w:val="top"/>
          </w:tcPr>
          <w:p>
            <w:pPr>
              <w:pStyle w:val="TableText"/>
              <w:ind w:left="384"/>
              <w:spacing w:before="41" w:line="220" w:lineRule="auto"/>
              <w:rPr>
                <w:sz w:val="21"/>
                <w:szCs w:val="21"/>
              </w:rPr>
            </w:pPr>
            <w:r>
              <w:rPr>
                <w:sz w:val="21"/>
                <w:szCs w:val="21"/>
                <w:spacing w:val="4"/>
              </w:rPr>
              <w:t>1.2项</w:t>
            </w:r>
          </w:p>
        </w:tc>
        <w:tc>
          <w:tcPr>
            <w:tcW w:w="3911" w:type="dxa"/>
            <w:vAlign w:val="top"/>
          </w:tcPr>
          <w:p>
            <w:pPr>
              <w:pStyle w:val="TableText"/>
              <w:ind w:left="1736" w:right="47" w:hanging="1680"/>
              <w:spacing w:before="49" w:line="215" w:lineRule="auto"/>
              <w:rPr>
                <w:sz w:val="21"/>
                <w:szCs w:val="21"/>
              </w:rPr>
            </w:pPr>
            <w:r>
              <w:rPr>
                <w:sz w:val="21"/>
                <w:szCs w:val="21"/>
              </w:rPr>
              <w:t>有迸射危险，但无整体爆炸危险的物质和</w:t>
            </w:r>
            <w:r>
              <w:rPr>
                <w:sz w:val="21"/>
                <w:szCs w:val="21"/>
                <w:spacing w:val="16"/>
              </w:rPr>
              <w:t xml:space="preserve"> </w:t>
            </w:r>
            <w:r>
              <w:rPr>
                <w:sz w:val="21"/>
                <w:szCs w:val="21"/>
                <w:spacing w:val="10"/>
              </w:rPr>
              <w:t>物品</w:t>
            </w:r>
          </w:p>
        </w:tc>
      </w:tr>
      <w:tr>
        <w:trPr>
          <w:trHeight w:val="808" w:hRule="atLeast"/>
        </w:trPr>
        <w:tc>
          <w:tcPr>
            <w:tcW w:w="3641" w:type="dxa"/>
            <w:vAlign w:val="top"/>
            <w:vMerge w:val="continue"/>
            <w:tcBorders>
              <w:top w:val="nil"/>
              <w:bottom w:val="nil"/>
            </w:tcBorders>
          </w:tcPr>
          <w:p>
            <w:pPr>
              <w:rPr>
                <w:rFonts w:ascii="Arial"/>
                <w:sz w:val="21"/>
              </w:rPr>
            </w:pPr>
            <w:r/>
          </w:p>
        </w:tc>
        <w:tc>
          <w:tcPr>
            <w:tcW w:w="1318" w:type="dxa"/>
            <w:vAlign w:val="top"/>
          </w:tcPr>
          <w:p>
            <w:pPr>
              <w:pStyle w:val="TableText"/>
              <w:ind w:left="384"/>
              <w:spacing w:before="42" w:line="220" w:lineRule="auto"/>
              <w:rPr>
                <w:sz w:val="21"/>
                <w:szCs w:val="21"/>
              </w:rPr>
            </w:pPr>
            <w:r>
              <w:rPr>
                <w:sz w:val="21"/>
                <w:szCs w:val="21"/>
                <w:spacing w:val="4"/>
              </w:rPr>
              <w:t>1.3项</w:t>
            </w:r>
          </w:p>
        </w:tc>
        <w:tc>
          <w:tcPr>
            <w:tcW w:w="3911" w:type="dxa"/>
            <w:vAlign w:val="top"/>
          </w:tcPr>
          <w:p>
            <w:pPr>
              <w:pStyle w:val="TableText"/>
              <w:ind w:left="166"/>
              <w:spacing w:before="39" w:line="218" w:lineRule="auto"/>
              <w:rPr>
                <w:sz w:val="21"/>
                <w:szCs w:val="21"/>
              </w:rPr>
            </w:pPr>
            <w:r>
              <w:rPr>
                <w:sz w:val="21"/>
                <w:szCs w:val="21"/>
                <w:spacing w:val="-1"/>
              </w:rPr>
              <w:t>有燃烧危险并有局部爆炸危险或局部迸</w:t>
            </w:r>
          </w:p>
          <w:p>
            <w:pPr>
              <w:pStyle w:val="TableText"/>
              <w:ind w:left="56"/>
              <w:spacing w:before="22" w:line="218" w:lineRule="auto"/>
              <w:rPr>
                <w:sz w:val="21"/>
                <w:szCs w:val="21"/>
              </w:rPr>
            </w:pPr>
            <w:r>
              <w:rPr>
                <w:sz w:val="21"/>
                <w:szCs w:val="21"/>
                <w:spacing w:val="-1"/>
              </w:rPr>
              <w:t>射危险或这两种危险都有，但无整体爆炸</w:t>
            </w:r>
          </w:p>
          <w:p>
            <w:pPr>
              <w:pStyle w:val="TableText"/>
              <w:ind w:left="1106"/>
              <w:spacing w:before="24" w:line="190" w:lineRule="auto"/>
              <w:rPr>
                <w:sz w:val="21"/>
                <w:szCs w:val="21"/>
              </w:rPr>
            </w:pPr>
            <w:r>
              <w:rPr>
                <w:sz w:val="21"/>
                <w:szCs w:val="21"/>
                <w:spacing w:val="2"/>
              </w:rPr>
              <w:t>危险的物质和物品</w:t>
            </w:r>
          </w:p>
        </w:tc>
      </w:tr>
      <w:tr>
        <w:trPr>
          <w:trHeight w:val="279" w:hRule="atLeast"/>
        </w:trPr>
        <w:tc>
          <w:tcPr>
            <w:tcW w:w="3641" w:type="dxa"/>
            <w:vAlign w:val="top"/>
            <w:vMerge w:val="continue"/>
            <w:tcBorders>
              <w:top w:val="nil"/>
              <w:bottom w:val="nil"/>
            </w:tcBorders>
          </w:tcPr>
          <w:p>
            <w:pPr>
              <w:rPr>
                <w:rFonts w:ascii="Arial"/>
                <w:sz w:val="21"/>
              </w:rPr>
            </w:pPr>
            <w:r/>
          </w:p>
        </w:tc>
        <w:tc>
          <w:tcPr>
            <w:tcW w:w="1318" w:type="dxa"/>
            <w:vAlign w:val="top"/>
          </w:tcPr>
          <w:p>
            <w:pPr>
              <w:pStyle w:val="TableText"/>
              <w:ind w:left="384"/>
              <w:spacing w:before="43" w:line="198" w:lineRule="auto"/>
              <w:rPr>
                <w:sz w:val="21"/>
                <w:szCs w:val="21"/>
              </w:rPr>
            </w:pPr>
            <w:r>
              <w:rPr>
                <w:sz w:val="21"/>
                <w:szCs w:val="21"/>
                <w:spacing w:val="4"/>
              </w:rPr>
              <w:t>1.4项</w:t>
            </w:r>
          </w:p>
        </w:tc>
        <w:tc>
          <w:tcPr>
            <w:tcW w:w="3911" w:type="dxa"/>
            <w:vAlign w:val="top"/>
          </w:tcPr>
          <w:p>
            <w:pPr>
              <w:pStyle w:val="TableText"/>
              <w:ind w:left="586"/>
              <w:spacing w:before="43" w:line="198" w:lineRule="auto"/>
              <w:rPr>
                <w:sz w:val="21"/>
                <w:szCs w:val="21"/>
              </w:rPr>
            </w:pPr>
            <w:r>
              <w:rPr>
                <w:sz w:val="21"/>
                <w:szCs w:val="21"/>
                <w:spacing w:val="1"/>
              </w:rPr>
              <w:t>不呈现重大危险的物质和物品</w:t>
            </w:r>
          </w:p>
        </w:tc>
      </w:tr>
      <w:tr>
        <w:trPr>
          <w:trHeight w:val="279" w:hRule="atLeast"/>
        </w:trPr>
        <w:tc>
          <w:tcPr>
            <w:tcW w:w="3641" w:type="dxa"/>
            <w:vAlign w:val="top"/>
            <w:vMerge w:val="continue"/>
            <w:tcBorders>
              <w:top w:val="nil"/>
              <w:bottom w:val="nil"/>
            </w:tcBorders>
          </w:tcPr>
          <w:p>
            <w:pPr>
              <w:rPr>
                <w:rFonts w:ascii="Arial"/>
                <w:sz w:val="21"/>
              </w:rPr>
            </w:pPr>
            <w:r/>
          </w:p>
        </w:tc>
        <w:tc>
          <w:tcPr>
            <w:tcW w:w="1318" w:type="dxa"/>
            <w:vAlign w:val="top"/>
          </w:tcPr>
          <w:p>
            <w:pPr>
              <w:pStyle w:val="TableText"/>
              <w:ind w:left="384"/>
              <w:spacing w:before="44" w:line="197" w:lineRule="auto"/>
              <w:rPr>
                <w:sz w:val="21"/>
                <w:szCs w:val="21"/>
              </w:rPr>
            </w:pPr>
            <w:r>
              <w:rPr>
                <w:sz w:val="21"/>
                <w:szCs w:val="21"/>
                <w:spacing w:val="4"/>
              </w:rPr>
              <w:t>1.5项</w:t>
            </w:r>
          </w:p>
        </w:tc>
        <w:tc>
          <w:tcPr>
            <w:tcW w:w="3911" w:type="dxa"/>
            <w:vAlign w:val="top"/>
          </w:tcPr>
          <w:p>
            <w:pPr>
              <w:pStyle w:val="TableText"/>
              <w:ind w:left="376"/>
              <w:spacing w:before="42" w:line="199" w:lineRule="auto"/>
              <w:rPr>
                <w:sz w:val="21"/>
                <w:szCs w:val="21"/>
              </w:rPr>
            </w:pPr>
            <w:r>
              <w:rPr>
                <w:sz w:val="21"/>
                <w:szCs w:val="21"/>
                <w:spacing w:val="1"/>
              </w:rPr>
              <w:t>有整体爆炸危险的非常不敏感物质</w:t>
            </w:r>
          </w:p>
        </w:tc>
      </w:tr>
      <w:tr>
        <w:trPr>
          <w:trHeight w:val="290" w:hRule="atLeast"/>
        </w:trPr>
        <w:tc>
          <w:tcPr>
            <w:tcW w:w="3641" w:type="dxa"/>
            <w:vAlign w:val="top"/>
            <w:vMerge w:val="continue"/>
            <w:tcBorders>
              <w:top w:val="nil"/>
            </w:tcBorders>
          </w:tcPr>
          <w:p>
            <w:pPr>
              <w:rPr>
                <w:rFonts w:ascii="Arial"/>
                <w:sz w:val="21"/>
              </w:rPr>
            </w:pPr>
            <w:r/>
          </w:p>
        </w:tc>
        <w:tc>
          <w:tcPr>
            <w:tcW w:w="1318" w:type="dxa"/>
            <w:vAlign w:val="top"/>
          </w:tcPr>
          <w:p>
            <w:pPr>
              <w:pStyle w:val="TableText"/>
              <w:ind w:left="384"/>
              <w:spacing w:before="45" w:line="206" w:lineRule="auto"/>
              <w:rPr>
                <w:sz w:val="21"/>
                <w:szCs w:val="21"/>
              </w:rPr>
            </w:pPr>
            <w:r>
              <w:rPr>
                <w:sz w:val="21"/>
                <w:szCs w:val="21"/>
                <w:spacing w:val="4"/>
              </w:rPr>
              <w:t>1.6项</w:t>
            </w:r>
          </w:p>
        </w:tc>
        <w:tc>
          <w:tcPr>
            <w:tcW w:w="3911" w:type="dxa"/>
            <w:vAlign w:val="top"/>
          </w:tcPr>
          <w:p>
            <w:pPr>
              <w:pStyle w:val="TableText"/>
              <w:ind w:left="376"/>
              <w:spacing w:before="43" w:line="208" w:lineRule="auto"/>
              <w:rPr>
                <w:sz w:val="21"/>
                <w:szCs w:val="21"/>
              </w:rPr>
            </w:pPr>
            <w:r>
              <w:rPr>
                <w:sz w:val="21"/>
                <w:szCs w:val="21"/>
                <w:spacing w:val="1"/>
              </w:rPr>
              <w:t>无整体爆炸危险的极端不敏感物品</w:t>
            </w:r>
          </w:p>
        </w:tc>
      </w:tr>
      <w:tr>
        <w:trPr>
          <w:trHeight w:val="279" w:hRule="atLeast"/>
        </w:trPr>
        <w:tc>
          <w:tcPr>
            <w:tcW w:w="3641" w:type="dxa"/>
            <w:vAlign w:val="top"/>
            <w:vMerge w:val="restart"/>
            <w:tcBorders>
              <w:bottom w:val="nil"/>
            </w:tcBorders>
          </w:tcPr>
          <w:p>
            <w:pPr>
              <w:spacing w:line="265" w:lineRule="auto"/>
              <w:rPr>
                <w:rFonts w:ascii="Arial"/>
                <w:sz w:val="21"/>
              </w:rPr>
            </w:pPr>
            <w:r/>
          </w:p>
          <w:p>
            <w:pPr>
              <w:pStyle w:val="TableText"/>
              <w:ind w:left="1235"/>
              <w:spacing w:before="69" w:line="219" w:lineRule="auto"/>
              <w:rPr>
                <w:sz w:val="21"/>
                <w:szCs w:val="21"/>
              </w:rPr>
            </w:pPr>
            <w:r>
              <w:rPr>
                <w:sz w:val="21"/>
                <w:szCs w:val="21"/>
                <w:spacing w:val="5"/>
              </w:rPr>
              <w:t>第2类(气体)</w:t>
            </w:r>
          </w:p>
        </w:tc>
        <w:tc>
          <w:tcPr>
            <w:tcW w:w="1318" w:type="dxa"/>
            <w:vAlign w:val="top"/>
          </w:tcPr>
          <w:p>
            <w:pPr>
              <w:pStyle w:val="TableText"/>
              <w:ind w:left="384"/>
              <w:spacing w:before="46" w:line="196" w:lineRule="auto"/>
              <w:rPr>
                <w:sz w:val="21"/>
                <w:szCs w:val="21"/>
              </w:rPr>
            </w:pPr>
            <w:r>
              <w:rPr>
                <w:sz w:val="21"/>
                <w:szCs w:val="21"/>
                <w:spacing w:val="4"/>
              </w:rPr>
              <w:t>2.1项</w:t>
            </w:r>
          </w:p>
        </w:tc>
        <w:tc>
          <w:tcPr>
            <w:tcW w:w="3911" w:type="dxa"/>
            <w:vAlign w:val="top"/>
          </w:tcPr>
          <w:p>
            <w:pPr>
              <w:pStyle w:val="TableText"/>
              <w:ind w:left="1526"/>
              <w:spacing w:before="47" w:line="195" w:lineRule="auto"/>
              <w:rPr>
                <w:sz w:val="21"/>
                <w:szCs w:val="21"/>
              </w:rPr>
            </w:pPr>
            <w:r>
              <w:rPr>
                <w:sz w:val="21"/>
                <w:szCs w:val="21"/>
                <w:spacing w:val="2"/>
              </w:rPr>
              <w:t>易燃气体</w:t>
            </w:r>
          </w:p>
        </w:tc>
      </w:tr>
      <w:tr>
        <w:trPr>
          <w:trHeight w:val="289" w:hRule="atLeast"/>
        </w:trPr>
        <w:tc>
          <w:tcPr>
            <w:tcW w:w="3641" w:type="dxa"/>
            <w:vAlign w:val="top"/>
            <w:vMerge w:val="continue"/>
            <w:tcBorders>
              <w:top w:val="nil"/>
              <w:bottom w:val="nil"/>
            </w:tcBorders>
          </w:tcPr>
          <w:p>
            <w:pPr>
              <w:rPr>
                <w:rFonts w:ascii="Arial"/>
                <w:sz w:val="21"/>
              </w:rPr>
            </w:pPr>
            <w:r/>
          </w:p>
        </w:tc>
        <w:tc>
          <w:tcPr>
            <w:tcW w:w="1318" w:type="dxa"/>
            <w:vAlign w:val="top"/>
          </w:tcPr>
          <w:p>
            <w:pPr>
              <w:pStyle w:val="TableText"/>
              <w:ind w:left="384"/>
              <w:spacing w:before="46" w:line="204" w:lineRule="auto"/>
              <w:rPr>
                <w:sz w:val="21"/>
                <w:szCs w:val="21"/>
              </w:rPr>
            </w:pPr>
            <w:r>
              <w:rPr>
                <w:sz w:val="21"/>
                <w:szCs w:val="21"/>
                <w:spacing w:val="4"/>
              </w:rPr>
              <w:t>2.2项</w:t>
            </w:r>
          </w:p>
        </w:tc>
        <w:tc>
          <w:tcPr>
            <w:tcW w:w="3911" w:type="dxa"/>
            <w:vAlign w:val="top"/>
          </w:tcPr>
          <w:p>
            <w:pPr>
              <w:pStyle w:val="TableText"/>
              <w:ind w:left="1216"/>
              <w:spacing w:before="46" w:line="204" w:lineRule="auto"/>
              <w:rPr>
                <w:sz w:val="21"/>
                <w:szCs w:val="21"/>
              </w:rPr>
            </w:pPr>
            <w:r>
              <w:rPr>
                <w:sz w:val="21"/>
                <w:szCs w:val="21"/>
                <w:spacing w:val="1"/>
              </w:rPr>
              <w:t>非易燃无毒气体</w:t>
            </w:r>
          </w:p>
        </w:tc>
      </w:tr>
      <w:tr>
        <w:trPr>
          <w:trHeight w:val="280" w:hRule="atLeast"/>
        </w:trPr>
        <w:tc>
          <w:tcPr>
            <w:tcW w:w="3641" w:type="dxa"/>
            <w:vAlign w:val="top"/>
            <w:vMerge w:val="continue"/>
            <w:tcBorders>
              <w:top w:val="nil"/>
            </w:tcBorders>
          </w:tcPr>
          <w:p>
            <w:pPr>
              <w:rPr>
                <w:rFonts w:ascii="Arial"/>
                <w:sz w:val="21"/>
              </w:rPr>
            </w:pPr>
            <w:r/>
          </w:p>
        </w:tc>
        <w:tc>
          <w:tcPr>
            <w:tcW w:w="1318" w:type="dxa"/>
            <w:vAlign w:val="top"/>
          </w:tcPr>
          <w:p>
            <w:pPr>
              <w:pStyle w:val="TableText"/>
              <w:ind w:left="384"/>
              <w:spacing w:before="48" w:line="195" w:lineRule="auto"/>
              <w:rPr>
                <w:sz w:val="21"/>
                <w:szCs w:val="21"/>
              </w:rPr>
            </w:pPr>
            <w:r>
              <w:rPr>
                <w:sz w:val="21"/>
                <w:szCs w:val="21"/>
                <w:spacing w:val="4"/>
              </w:rPr>
              <w:t>2.3项</w:t>
            </w:r>
          </w:p>
        </w:tc>
        <w:tc>
          <w:tcPr>
            <w:tcW w:w="3911" w:type="dxa"/>
            <w:vAlign w:val="top"/>
          </w:tcPr>
          <w:p>
            <w:pPr>
              <w:pStyle w:val="TableText"/>
              <w:ind w:left="1526"/>
              <w:spacing w:before="47" w:line="196" w:lineRule="auto"/>
              <w:rPr>
                <w:sz w:val="21"/>
                <w:szCs w:val="21"/>
              </w:rPr>
            </w:pPr>
            <w:r>
              <w:rPr>
                <w:sz w:val="21"/>
                <w:szCs w:val="21"/>
                <w:spacing w:val="-2"/>
              </w:rPr>
              <w:t>毒性气体</w:t>
            </w:r>
          </w:p>
        </w:tc>
      </w:tr>
      <w:tr>
        <w:trPr>
          <w:trHeight w:val="279" w:hRule="atLeast"/>
        </w:trPr>
        <w:tc>
          <w:tcPr>
            <w:tcW w:w="3641" w:type="dxa"/>
            <w:vAlign w:val="top"/>
          </w:tcPr>
          <w:p>
            <w:pPr>
              <w:pStyle w:val="TableText"/>
              <w:ind w:left="1025"/>
              <w:spacing w:before="47" w:line="195" w:lineRule="auto"/>
              <w:rPr>
                <w:sz w:val="21"/>
                <w:szCs w:val="21"/>
              </w:rPr>
            </w:pPr>
            <w:r>
              <w:rPr>
                <w:sz w:val="21"/>
                <w:szCs w:val="21"/>
                <w:spacing w:val="4"/>
              </w:rPr>
              <w:t>第3类(易燃液体)</w:t>
            </w:r>
          </w:p>
        </w:tc>
        <w:tc>
          <w:tcPr>
            <w:tcW w:w="1318" w:type="dxa"/>
            <w:vAlign w:val="top"/>
          </w:tcPr>
          <w:p>
            <w:pPr>
              <w:rPr>
                <w:rFonts w:ascii="Arial"/>
                <w:sz w:val="21"/>
              </w:rPr>
            </w:pPr>
            <w:r>
              <w:pict>
                <v:shape id="_x0000_s64" style="position:absolute;margin-left:-34.6964pt;margin-top:-5.94669pt;mso-position-vertical-relative:top-margin-area;mso-position-horizontal-relative:right-margin-area;width:3.5pt;height:14.1pt;z-index:251929600;" filled="false" stroked="false" type="#_x0000_t202">
                  <v:fill on="false"/>
                  <v:stroke on="false"/>
                  <v:path/>
                  <v:imagedata o:title=""/>
                  <o:lock v:ext="edit" aspectratio="false"/>
                  <v:textbox inset="0mm,0mm,0mm,0mm">
                    <w:txbxContent>
                      <w:p>
                        <w:pPr>
                          <w:ind w:left="20"/>
                          <w:spacing w:before="20" w:line="241" w:lineRule="exact"/>
                          <w:tabs>
                            <w:tab w:val="left" w:pos="49"/>
                          </w:tabs>
                          <w:rPr>
                            <w:rFonts w:ascii="Arial"/>
                            <w:sz w:val="21"/>
                          </w:rPr>
                        </w:pPr>
                        <w:r>
                          <w:rPr>
                            <w:rFonts w:ascii="Arial" w:hAnsi="Arial" w:eastAsia="Arial" w:cs="Arial"/>
                            <w:sz w:val="21"/>
                            <w:szCs w:val="21"/>
                            <w:u w:val="single" w:color="auto"/>
                          </w:rPr>
                          <w:tab/>
                        </w:r>
                      </w:p>
                    </w:txbxContent>
                  </v:textbox>
                </v:shape>
              </w:pict>
            </w:r>
            <w:r/>
          </w:p>
        </w:tc>
        <w:tc>
          <w:tcPr>
            <w:tcW w:w="3911" w:type="dxa"/>
            <w:vAlign w:val="top"/>
          </w:tcPr>
          <w:p>
            <w:pPr>
              <w:pStyle w:val="TableText"/>
              <w:ind w:left="1936"/>
              <w:spacing w:before="87" w:line="20" w:lineRule="exact"/>
              <w:rPr>
                <w:sz w:val="3"/>
                <w:szCs w:val="3"/>
              </w:rPr>
            </w:pPr>
            <w:r>
              <w:rPr>
                <w:sz w:val="3"/>
                <w:szCs w:val="3"/>
              </w:rPr>
              <w:t>—</w:t>
            </w:r>
          </w:p>
        </w:tc>
      </w:tr>
      <w:tr>
        <w:trPr>
          <w:trHeight w:val="289" w:hRule="atLeast"/>
        </w:trPr>
        <w:tc>
          <w:tcPr>
            <w:tcW w:w="3641" w:type="dxa"/>
            <w:vAlign w:val="top"/>
            <w:vMerge w:val="restart"/>
            <w:tcBorders>
              <w:bottom w:val="nil"/>
            </w:tcBorders>
          </w:tcPr>
          <w:p>
            <w:pPr>
              <w:pStyle w:val="TableText"/>
              <w:ind w:left="135"/>
              <w:spacing w:before="238" w:line="219" w:lineRule="auto"/>
              <w:rPr>
                <w:sz w:val="21"/>
                <w:szCs w:val="21"/>
              </w:rPr>
            </w:pPr>
            <w:r>
              <w:rPr>
                <w:sz w:val="21"/>
                <w:szCs w:val="21"/>
                <w:spacing w:val="6"/>
              </w:rPr>
              <w:t>第4类(易燃固体、易于自然的物质、</w:t>
            </w:r>
          </w:p>
          <w:p>
            <w:pPr>
              <w:pStyle w:val="TableText"/>
              <w:ind w:left="604"/>
              <w:spacing w:before="10" w:line="219" w:lineRule="auto"/>
              <w:rPr>
                <w:sz w:val="21"/>
                <w:szCs w:val="21"/>
              </w:rPr>
            </w:pPr>
            <w:r>
              <w:rPr>
                <w:sz w:val="21"/>
                <w:szCs w:val="21"/>
                <w:spacing w:val="3"/>
              </w:rPr>
              <w:t>遇水放出易燃气体的物质)</w:t>
            </w:r>
          </w:p>
        </w:tc>
        <w:tc>
          <w:tcPr>
            <w:tcW w:w="1318" w:type="dxa"/>
            <w:vAlign w:val="top"/>
          </w:tcPr>
          <w:p>
            <w:pPr>
              <w:pStyle w:val="TableText"/>
              <w:ind w:left="384"/>
              <w:spacing w:before="49" w:line="202" w:lineRule="auto"/>
              <w:rPr>
                <w:sz w:val="21"/>
                <w:szCs w:val="21"/>
              </w:rPr>
            </w:pPr>
            <w:r>
              <w:rPr>
                <w:sz w:val="21"/>
                <w:szCs w:val="21"/>
                <w:spacing w:val="4"/>
              </w:rPr>
              <w:t>4.1项</w:t>
            </w:r>
          </w:p>
        </w:tc>
        <w:tc>
          <w:tcPr>
            <w:tcW w:w="3911" w:type="dxa"/>
            <w:vAlign w:val="top"/>
          </w:tcPr>
          <w:p>
            <w:pPr>
              <w:pStyle w:val="TableText"/>
              <w:ind w:left="56"/>
              <w:spacing w:before="46" w:line="204" w:lineRule="auto"/>
              <w:rPr>
                <w:sz w:val="21"/>
                <w:szCs w:val="21"/>
              </w:rPr>
            </w:pPr>
            <w:r>
              <w:rPr>
                <w:sz w:val="21"/>
                <w:szCs w:val="21"/>
                <w:spacing w:val="1"/>
              </w:rPr>
              <w:t>易燃固体、自反应物质和固态退敏爆炸品</w:t>
            </w:r>
          </w:p>
        </w:tc>
      </w:tr>
      <w:tr>
        <w:trPr>
          <w:trHeight w:val="280" w:hRule="atLeast"/>
        </w:trPr>
        <w:tc>
          <w:tcPr>
            <w:tcW w:w="3641" w:type="dxa"/>
            <w:vAlign w:val="top"/>
            <w:vMerge w:val="continue"/>
            <w:tcBorders>
              <w:top w:val="nil"/>
              <w:bottom w:val="nil"/>
            </w:tcBorders>
          </w:tcPr>
          <w:p>
            <w:pPr>
              <w:rPr>
                <w:rFonts w:ascii="Arial"/>
                <w:sz w:val="21"/>
              </w:rPr>
            </w:pPr>
            <w:r/>
          </w:p>
        </w:tc>
        <w:tc>
          <w:tcPr>
            <w:tcW w:w="1318" w:type="dxa"/>
            <w:vAlign w:val="top"/>
          </w:tcPr>
          <w:p>
            <w:pPr>
              <w:pStyle w:val="TableText"/>
              <w:ind w:left="384"/>
              <w:spacing w:before="50" w:line="193" w:lineRule="auto"/>
              <w:rPr>
                <w:sz w:val="21"/>
                <w:szCs w:val="21"/>
              </w:rPr>
            </w:pPr>
            <w:r>
              <w:rPr>
                <w:sz w:val="21"/>
                <w:szCs w:val="21"/>
                <w:spacing w:val="4"/>
              </w:rPr>
              <w:t>4.2项</w:t>
            </w:r>
          </w:p>
        </w:tc>
        <w:tc>
          <w:tcPr>
            <w:tcW w:w="3911" w:type="dxa"/>
            <w:vAlign w:val="top"/>
          </w:tcPr>
          <w:p>
            <w:pPr>
              <w:pStyle w:val="TableText"/>
              <w:ind w:left="1216"/>
              <w:spacing w:before="50" w:line="193" w:lineRule="auto"/>
              <w:rPr>
                <w:sz w:val="21"/>
                <w:szCs w:val="21"/>
              </w:rPr>
            </w:pPr>
            <w:r>
              <w:rPr>
                <w:sz w:val="21"/>
                <w:szCs w:val="21"/>
                <w:spacing w:val="3"/>
              </w:rPr>
              <w:t>易于自然的物质</w:t>
            </w:r>
          </w:p>
        </w:tc>
      </w:tr>
      <w:tr>
        <w:trPr>
          <w:trHeight w:val="300" w:hRule="atLeast"/>
        </w:trPr>
        <w:tc>
          <w:tcPr>
            <w:tcW w:w="3641" w:type="dxa"/>
            <w:vAlign w:val="top"/>
            <w:vMerge w:val="continue"/>
            <w:tcBorders>
              <w:top w:val="nil"/>
            </w:tcBorders>
          </w:tcPr>
          <w:p>
            <w:pPr>
              <w:rPr>
                <w:rFonts w:ascii="Arial"/>
                <w:sz w:val="21"/>
              </w:rPr>
            </w:pPr>
            <w:r/>
          </w:p>
        </w:tc>
        <w:tc>
          <w:tcPr>
            <w:tcW w:w="1318" w:type="dxa"/>
            <w:vAlign w:val="top"/>
          </w:tcPr>
          <w:p>
            <w:pPr>
              <w:pStyle w:val="TableText"/>
              <w:ind w:left="384"/>
              <w:spacing w:before="60" w:line="202" w:lineRule="auto"/>
              <w:rPr>
                <w:sz w:val="21"/>
                <w:szCs w:val="21"/>
              </w:rPr>
            </w:pPr>
            <w:r>
              <w:rPr>
                <w:sz w:val="21"/>
                <w:szCs w:val="21"/>
                <w:spacing w:val="4"/>
              </w:rPr>
              <w:t>4.3项</w:t>
            </w:r>
          </w:p>
        </w:tc>
        <w:tc>
          <w:tcPr>
            <w:tcW w:w="3911" w:type="dxa"/>
            <w:vAlign w:val="top"/>
          </w:tcPr>
          <w:p>
            <w:pPr>
              <w:pStyle w:val="TableText"/>
              <w:ind w:left="796"/>
              <w:spacing w:before="59" w:line="203" w:lineRule="auto"/>
              <w:rPr>
                <w:sz w:val="21"/>
                <w:szCs w:val="21"/>
              </w:rPr>
            </w:pPr>
            <w:r>
              <w:rPr>
                <w:sz w:val="21"/>
                <w:szCs w:val="21"/>
                <w:spacing w:val="2"/>
              </w:rPr>
              <w:t>遇水放出易燃气体的物质</w:t>
            </w:r>
          </w:p>
        </w:tc>
      </w:tr>
      <w:tr>
        <w:trPr>
          <w:trHeight w:val="270" w:hRule="atLeast"/>
        </w:trPr>
        <w:tc>
          <w:tcPr>
            <w:tcW w:w="3641" w:type="dxa"/>
            <w:vAlign w:val="top"/>
            <w:vMerge w:val="restart"/>
            <w:tcBorders>
              <w:bottom w:val="nil"/>
            </w:tcBorders>
          </w:tcPr>
          <w:p>
            <w:pPr>
              <w:pStyle w:val="TableText"/>
              <w:ind w:left="185"/>
              <w:spacing w:before="188" w:line="219" w:lineRule="auto"/>
              <w:rPr>
                <w:sz w:val="21"/>
                <w:szCs w:val="21"/>
              </w:rPr>
            </w:pPr>
            <w:r>
              <w:rPr>
                <w:sz w:val="21"/>
                <w:szCs w:val="21"/>
                <w:spacing w:val="2"/>
              </w:rPr>
              <w:t>第5类(氧化锌物质和有机过氧化物)</w:t>
            </w:r>
          </w:p>
        </w:tc>
        <w:tc>
          <w:tcPr>
            <w:tcW w:w="1318" w:type="dxa"/>
            <w:vAlign w:val="top"/>
          </w:tcPr>
          <w:p>
            <w:pPr>
              <w:pStyle w:val="TableText"/>
              <w:ind w:left="384"/>
              <w:spacing w:before="40" w:line="193" w:lineRule="auto"/>
              <w:rPr>
                <w:sz w:val="21"/>
                <w:szCs w:val="21"/>
              </w:rPr>
            </w:pPr>
            <w:r>
              <w:rPr>
                <w:sz w:val="21"/>
                <w:szCs w:val="21"/>
                <w:spacing w:val="4"/>
              </w:rPr>
              <w:t>5.1项</w:t>
            </w:r>
          </w:p>
        </w:tc>
        <w:tc>
          <w:tcPr>
            <w:tcW w:w="3911" w:type="dxa"/>
            <w:vAlign w:val="top"/>
          </w:tcPr>
          <w:p>
            <w:pPr>
              <w:pStyle w:val="TableText"/>
              <w:ind w:left="1426"/>
              <w:spacing w:before="38" w:line="195" w:lineRule="auto"/>
              <w:rPr>
                <w:sz w:val="21"/>
                <w:szCs w:val="21"/>
              </w:rPr>
            </w:pPr>
            <w:r>
              <w:rPr>
                <w:sz w:val="21"/>
                <w:szCs w:val="21"/>
                <w:spacing w:val="4"/>
              </w:rPr>
              <w:t>氧化性物质</w:t>
            </w:r>
          </w:p>
        </w:tc>
      </w:tr>
      <w:tr>
        <w:trPr>
          <w:trHeight w:val="280" w:hRule="atLeast"/>
        </w:trPr>
        <w:tc>
          <w:tcPr>
            <w:tcW w:w="3641" w:type="dxa"/>
            <w:vAlign w:val="top"/>
            <w:vMerge w:val="continue"/>
            <w:tcBorders>
              <w:top w:val="nil"/>
            </w:tcBorders>
          </w:tcPr>
          <w:p>
            <w:pPr>
              <w:rPr>
                <w:rFonts w:ascii="Arial"/>
                <w:sz w:val="21"/>
              </w:rPr>
            </w:pPr>
            <w:r/>
          </w:p>
        </w:tc>
        <w:tc>
          <w:tcPr>
            <w:tcW w:w="1318" w:type="dxa"/>
            <w:vAlign w:val="top"/>
          </w:tcPr>
          <w:p>
            <w:pPr>
              <w:pStyle w:val="TableText"/>
              <w:ind w:left="384"/>
              <w:spacing w:before="50" w:line="193" w:lineRule="auto"/>
              <w:rPr>
                <w:sz w:val="21"/>
                <w:szCs w:val="21"/>
              </w:rPr>
            </w:pPr>
            <w:r>
              <w:rPr>
                <w:sz w:val="21"/>
                <w:szCs w:val="21"/>
                <w:spacing w:val="4"/>
              </w:rPr>
              <w:t>5.2项</w:t>
            </w:r>
          </w:p>
        </w:tc>
        <w:tc>
          <w:tcPr>
            <w:tcW w:w="3911" w:type="dxa"/>
            <w:vAlign w:val="top"/>
          </w:tcPr>
          <w:p>
            <w:pPr>
              <w:pStyle w:val="TableText"/>
              <w:ind w:left="1315"/>
              <w:spacing w:before="48" w:line="195" w:lineRule="auto"/>
              <w:rPr>
                <w:sz w:val="21"/>
                <w:szCs w:val="21"/>
              </w:rPr>
            </w:pPr>
            <w:r>
              <w:rPr>
                <w:sz w:val="21"/>
                <w:szCs w:val="21"/>
                <w:spacing w:val="-2"/>
              </w:rPr>
              <w:t>有机过氧化物</w:t>
            </w:r>
          </w:p>
        </w:tc>
      </w:tr>
      <w:tr>
        <w:trPr>
          <w:trHeight w:val="294" w:hRule="atLeast"/>
        </w:trPr>
        <w:tc>
          <w:tcPr>
            <w:tcW w:w="3641" w:type="dxa"/>
            <w:vAlign w:val="top"/>
          </w:tcPr>
          <w:p>
            <w:pPr>
              <w:pStyle w:val="TableText"/>
              <w:ind w:left="395"/>
              <w:spacing w:before="49" w:line="206" w:lineRule="auto"/>
              <w:rPr>
                <w:sz w:val="21"/>
                <w:szCs w:val="21"/>
              </w:rPr>
            </w:pPr>
            <w:r>
              <w:rPr>
                <w:sz w:val="21"/>
                <w:szCs w:val="21"/>
                <w:spacing w:val="2"/>
              </w:rPr>
              <w:t>第6类(毒性物质和感染性物质)</w:t>
            </w:r>
          </w:p>
        </w:tc>
        <w:tc>
          <w:tcPr>
            <w:tcW w:w="1318" w:type="dxa"/>
            <w:vAlign w:val="top"/>
          </w:tcPr>
          <w:p>
            <w:pPr>
              <w:pStyle w:val="TableText"/>
              <w:ind w:left="384"/>
              <w:spacing w:before="49" w:line="206" w:lineRule="auto"/>
              <w:rPr>
                <w:sz w:val="21"/>
                <w:szCs w:val="21"/>
              </w:rPr>
            </w:pPr>
            <w:r>
              <w:rPr>
                <w:sz w:val="21"/>
                <w:szCs w:val="21"/>
                <w:spacing w:val="4"/>
              </w:rPr>
              <w:t>6.1项</w:t>
            </w:r>
          </w:p>
        </w:tc>
        <w:tc>
          <w:tcPr>
            <w:tcW w:w="3911" w:type="dxa"/>
            <w:vAlign w:val="top"/>
          </w:tcPr>
          <w:p>
            <w:pPr>
              <w:pStyle w:val="TableText"/>
              <w:ind w:left="1526"/>
              <w:spacing w:before="49" w:line="206" w:lineRule="auto"/>
              <w:rPr>
                <w:sz w:val="21"/>
                <w:szCs w:val="21"/>
              </w:rPr>
            </w:pPr>
            <w:r>
              <w:rPr>
                <w:sz w:val="21"/>
                <w:szCs w:val="21"/>
                <w:spacing w:val="5"/>
              </w:rPr>
              <w:t>毒性物质</w:t>
            </w:r>
          </w:p>
        </w:tc>
      </w:tr>
    </w:tbl>
    <w:p>
      <w:pPr>
        <w:spacing w:line="14" w:lineRule="auto"/>
        <w:rPr>
          <w:rFonts w:ascii="Arial"/>
          <w:sz w:val="2"/>
        </w:rPr>
      </w:pPr>
      <w:r/>
    </w:p>
    <w:p>
      <w:pPr>
        <w:spacing w:line="14" w:lineRule="auto"/>
        <w:sectPr>
          <w:type w:val="continuous"/>
          <w:pgSz w:w="11900" w:h="16840"/>
          <w:pgMar w:top="1397" w:right="1425" w:bottom="1128" w:left="1574" w:header="0" w:footer="989" w:gutter="0"/>
          <w:cols w:equalWidth="0" w:num="1">
            <w:col w:w="8901" w:space="0"/>
          </w:cols>
        </w:sectPr>
        <w:rPr>
          <w:rFonts w:ascii="Arial" w:hAnsi="Arial" w:eastAsia="Arial" w:cs="Arial"/>
          <w:sz w:val="2"/>
          <w:szCs w:val="2"/>
        </w:rPr>
      </w:pPr>
    </w:p>
    <w:tbl>
      <w:tblPr>
        <w:tblStyle w:val="TableNormal"/>
        <w:tblW w:w="88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641"/>
        <w:gridCol w:w="1318"/>
        <w:gridCol w:w="3931"/>
      </w:tblGrid>
      <w:tr>
        <w:trPr>
          <w:trHeight w:val="302" w:hRule="atLeast"/>
        </w:trPr>
        <w:tc>
          <w:tcPr>
            <w:tcW w:w="3641" w:type="dxa"/>
            <w:vAlign w:val="top"/>
          </w:tcPr>
          <w:p>
            <w:pPr>
              <w:rPr>
                <w:rFonts w:ascii="Arial"/>
                <w:sz w:val="21"/>
              </w:rPr>
            </w:pPr>
            <w:r/>
          </w:p>
        </w:tc>
        <w:tc>
          <w:tcPr>
            <w:tcW w:w="1318" w:type="dxa"/>
            <w:vAlign w:val="top"/>
          </w:tcPr>
          <w:p>
            <w:pPr>
              <w:pStyle w:val="TableText"/>
              <w:ind w:left="374"/>
              <w:spacing w:before="44" w:line="208" w:lineRule="auto"/>
              <w:rPr>
                <w:sz w:val="22"/>
                <w:szCs w:val="22"/>
              </w:rPr>
            </w:pPr>
            <w:r>
              <w:rPr>
                <w:sz w:val="22"/>
                <w:szCs w:val="22"/>
                <w:spacing w:val="3"/>
              </w:rPr>
              <w:t>6.2项</w:t>
            </w:r>
          </w:p>
        </w:tc>
        <w:tc>
          <w:tcPr>
            <w:tcW w:w="3931" w:type="dxa"/>
            <w:vAlign w:val="top"/>
          </w:tcPr>
          <w:p>
            <w:pPr>
              <w:pStyle w:val="TableText"/>
              <w:ind w:left="1406"/>
              <w:spacing w:before="44" w:line="208" w:lineRule="auto"/>
              <w:rPr>
                <w:sz w:val="22"/>
                <w:szCs w:val="22"/>
              </w:rPr>
            </w:pPr>
            <w:r>
              <w:rPr>
                <w:sz w:val="22"/>
                <w:szCs w:val="22"/>
                <w:spacing w:val="4"/>
              </w:rPr>
              <w:t>感染性物质</w:t>
            </w:r>
          </w:p>
        </w:tc>
      </w:tr>
      <w:tr>
        <w:trPr>
          <w:trHeight w:val="278" w:hRule="atLeast"/>
        </w:trPr>
        <w:tc>
          <w:tcPr>
            <w:tcW w:w="3641" w:type="dxa"/>
            <w:vAlign w:val="top"/>
          </w:tcPr>
          <w:p>
            <w:pPr>
              <w:pStyle w:val="TableText"/>
              <w:ind w:left="875"/>
              <w:spacing w:before="32" w:line="198" w:lineRule="auto"/>
              <w:rPr>
                <w:sz w:val="22"/>
                <w:szCs w:val="22"/>
              </w:rPr>
            </w:pPr>
            <w:r>
              <w:rPr>
                <w:sz w:val="22"/>
                <w:szCs w:val="22"/>
                <w:spacing w:val="4"/>
              </w:rPr>
              <w:t>第7类(放射性物质)</w:t>
            </w:r>
          </w:p>
        </w:tc>
        <w:tc>
          <w:tcPr>
            <w:tcW w:w="1318" w:type="dxa"/>
            <w:vAlign w:val="top"/>
          </w:tcPr>
          <w:p>
            <w:pPr>
              <w:rPr>
                <w:rFonts w:ascii="Arial"/>
                <w:sz w:val="21"/>
              </w:rPr>
            </w:pPr>
            <w:r/>
          </w:p>
        </w:tc>
        <w:tc>
          <w:tcPr>
            <w:tcW w:w="3931" w:type="dxa"/>
            <w:vAlign w:val="top"/>
          </w:tcPr>
          <w:p>
            <w:pPr>
              <w:rPr>
                <w:rFonts w:ascii="Arial"/>
                <w:sz w:val="21"/>
              </w:rPr>
            </w:pPr>
            <w:r/>
          </w:p>
        </w:tc>
      </w:tr>
      <w:tr>
        <w:trPr>
          <w:trHeight w:val="278" w:hRule="atLeast"/>
        </w:trPr>
        <w:tc>
          <w:tcPr>
            <w:tcW w:w="3641" w:type="dxa"/>
            <w:vAlign w:val="top"/>
          </w:tcPr>
          <w:p>
            <w:pPr>
              <w:pStyle w:val="TableText"/>
              <w:ind w:left="875"/>
              <w:spacing w:before="33" w:line="197" w:lineRule="auto"/>
              <w:rPr>
                <w:sz w:val="22"/>
                <w:szCs w:val="22"/>
              </w:rPr>
            </w:pPr>
            <w:r>
              <w:rPr>
                <w:sz w:val="22"/>
                <w:szCs w:val="22"/>
                <w:spacing w:val="4"/>
              </w:rPr>
              <w:t>第8类(腐蚀性物质)</w:t>
            </w:r>
          </w:p>
        </w:tc>
        <w:tc>
          <w:tcPr>
            <w:tcW w:w="1318" w:type="dxa"/>
            <w:vAlign w:val="top"/>
          </w:tcPr>
          <w:p>
            <w:pPr>
              <w:pStyle w:val="TableText"/>
              <w:ind w:left="594"/>
              <w:spacing w:before="141" w:line="41" w:lineRule="exact"/>
              <w:rPr>
                <w:sz w:val="6"/>
                <w:szCs w:val="6"/>
              </w:rPr>
            </w:pPr>
            <w:r>
              <w:rPr>
                <w:sz w:val="6"/>
                <w:szCs w:val="6"/>
                <w:spacing w:val="-1"/>
                <w:position w:val="-1"/>
              </w:rPr>
              <w:t>——</w:t>
            </w:r>
          </w:p>
        </w:tc>
        <w:tc>
          <w:tcPr>
            <w:tcW w:w="3931" w:type="dxa"/>
            <w:vAlign w:val="top"/>
          </w:tcPr>
          <w:p>
            <w:pPr>
              <w:pStyle w:val="TableText"/>
              <w:ind w:left="1925"/>
              <w:spacing w:before="141" w:line="41" w:lineRule="exact"/>
              <w:rPr>
                <w:sz w:val="6"/>
                <w:szCs w:val="6"/>
              </w:rPr>
            </w:pPr>
            <w:r>
              <w:rPr>
                <w:sz w:val="6"/>
                <w:szCs w:val="6"/>
                <w:position w:val="-1"/>
              </w:rPr>
              <w:t>—</w:t>
            </w:r>
          </w:p>
        </w:tc>
      </w:tr>
      <w:tr>
        <w:trPr>
          <w:trHeight w:val="541" w:hRule="atLeast"/>
        </w:trPr>
        <w:tc>
          <w:tcPr>
            <w:tcW w:w="3641" w:type="dxa"/>
            <w:vAlign w:val="top"/>
          </w:tcPr>
          <w:p>
            <w:pPr>
              <w:pStyle w:val="TableText"/>
              <w:ind w:left="165"/>
              <w:spacing w:before="55" w:line="202" w:lineRule="auto"/>
              <w:rPr>
                <w:sz w:val="22"/>
                <w:szCs w:val="22"/>
              </w:rPr>
            </w:pPr>
            <w:r>
              <w:rPr>
                <w:sz w:val="22"/>
                <w:szCs w:val="22"/>
                <w:spacing w:val="-1"/>
              </w:rPr>
              <w:t>第9类(杂项危险物质和物品，包括</w:t>
            </w:r>
          </w:p>
          <w:p>
            <w:pPr>
              <w:pStyle w:val="TableText"/>
              <w:ind w:left="1095"/>
              <w:spacing w:line="196" w:lineRule="auto"/>
              <w:rPr>
                <w:sz w:val="22"/>
                <w:szCs w:val="22"/>
              </w:rPr>
            </w:pPr>
            <w:r>
              <w:rPr>
                <w:sz w:val="22"/>
                <w:szCs w:val="22"/>
                <w:spacing w:val="6"/>
              </w:rPr>
              <w:t>危害环境物质)</w:t>
            </w:r>
          </w:p>
        </w:tc>
        <w:tc>
          <w:tcPr>
            <w:tcW w:w="1318" w:type="dxa"/>
            <w:vAlign w:val="top"/>
          </w:tcPr>
          <w:p>
            <w:pPr>
              <w:pStyle w:val="TableText"/>
              <w:ind w:left="624"/>
              <w:spacing w:before="133" w:line="41" w:lineRule="exact"/>
              <w:rPr>
                <w:sz w:val="6"/>
                <w:szCs w:val="6"/>
              </w:rPr>
            </w:pPr>
            <w:r>
              <w:rPr>
                <w:sz w:val="6"/>
                <w:szCs w:val="6"/>
                <w:position w:val="-1"/>
              </w:rPr>
              <w:t>—</w:t>
            </w:r>
          </w:p>
        </w:tc>
        <w:tc>
          <w:tcPr>
            <w:tcW w:w="3931" w:type="dxa"/>
            <w:vAlign w:val="top"/>
          </w:tcPr>
          <w:p>
            <w:pPr>
              <w:rPr>
                <w:rFonts w:ascii="Arial"/>
                <w:sz w:val="21"/>
              </w:rPr>
            </w:pPr>
            <w:r/>
          </w:p>
        </w:tc>
      </w:tr>
    </w:tbl>
    <w:p>
      <w:pPr>
        <w:pStyle w:val="BodyText"/>
        <w:ind w:left="614"/>
        <w:spacing w:before="265" w:line="219" w:lineRule="auto"/>
        <w:rPr>
          <w:sz w:val="24"/>
          <w:szCs w:val="24"/>
        </w:rPr>
      </w:pPr>
      <w:r>
        <w:rPr>
          <w:sz w:val="24"/>
          <w:szCs w:val="24"/>
          <w:spacing w:val="-3"/>
        </w:rPr>
        <w:t>项目涉及的危险化学品危险性分类见表2.1-5。</w:t>
      </w:r>
    </w:p>
    <w:p>
      <w:pPr>
        <w:pStyle w:val="BodyText"/>
        <w:ind w:left="1498"/>
        <w:spacing w:before="191" w:line="219" w:lineRule="auto"/>
        <w:rPr>
          <w:sz w:val="24"/>
          <w:szCs w:val="24"/>
        </w:rPr>
      </w:pPr>
      <w:r>
        <w:rPr>
          <w:sz w:val="24"/>
          <w:szCs w:val="24"/>
          <w:b/>
          <w:bCs/>
          <w:spacing w:val="16"/>
        </w:rPr>
        <w:t>表2.1-5</w:t>
      </w:r>
      <w:r>
        <w:rPr>
          <w:sz w:val="24"/>
          <w:szCs w:val="24"/>
          <w:spacing w:val="16"/>
        </w:rPr>
        <w:t xml:space="preserve">  </w:t>
      </w:r>
      <w:r>
        <w:rPr>
          <w:sz w:val="24"/>
          <w:szCs w:val="24"/>
          <w:b/>
          <w:bCs/>
          <w:spacing w:val="16"/>
        </w:rPr>
        <w:t>建设项目涉及的危险化学品危险性分类表</w:t>
      </w:r>
    </w:p>
    <w:p>
      <w:pPr>
        <w:spacing w:line="73" w:lineRule="exact"/>
        <w:rPr/>
      </w:pPr>
      <w:r/>
    </w:p>
    <w:tbl>
      <w:tblPr>
        <w:tblStyle w:val="TableNormal"/>
        <w:tblW w:w="917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94"/>
        <w:gridCol w:w="3806"/>
        <w:gridCol w:w="4670"/>
      </w:tblGrid>
      <w:tr>
        <w:trPr>
          <w:trHeight w:val="324" w:hRule="atLeast"/>
        </w:trPr>
        <w:tc>
          <w:tcPr>
            <w:tcW w:w="694" w:type="dxa"/>
            <w:vAlign w:val="top"/>
          </w:tcPr>
          <w:p>
            <w:pPr>
              <w:pStyle w:val="TableText"/>
              <w:ind w:left="115"/>
              <w:spacing w:before="55" w:line="217" w:lineRule="auto"/>
              <w:rPr>
                <w:sz w:val="22"/>
                <w:szCs w:val="22"/>
              </w:rPr>
            </w:pPr>
            <w:r>
              <w:rPr>
                <w:sz w:val="22"/>
                <w:szCs w:val="22"/>
                <w:spacing w:val="6"/>
              </w:rPr>
              <w:t>序号</w:t>
            </w:r>
          </w:p>
        </w:tc>
        <w:tc>
          <w:tcPr>
            <w:tcW w:w="3806" w:type="dxa"/>
            <w:vAlign w:val="top"/>
          </w:tcPr>
          <w:p>
            <w:pPr>
              <w:pStyle w:val="TableText"/>
              <w:ind w:left="1451"/>
              <w:spacing w:before="73" w:line="202" w:lineRule="auto"/>
              <w:rPr>
                <w:sz w:val="22"/>
                <w:szCs w:val="22"/>
              </w:rPr>
            </w:pPr>
            <w:r>
              <w:rPr>
                <w:sz w:val="22"/>
                <w:szCs w:val="22"/>
                <w:spacing w:val="2"/>
              </w:rPr>
              <w:t>分类名称</w:t>
            </w:r>
          </w:p>
        </w:tc>
        <w:tc>
          <w:tcPr>
            <w:tcW w:w="4670" w:type="dxa"/>
            <w:vAlign w:val="top"/>
          </w:tcPr>
          <w:p>
            <w:pPr>
              <w:pStyle w:val="TableText"/>
              <w:ind w:left="1555"/>
              <w:spacing w:before="73" w:line="202" w:lineRule="auto"/>
              <w:rPr>
                <w:sz w:val="22"/>
                <w:szCs w:val="22"/>
              </w:rPr>
            </w:pPr>
            <w:r>
              <w:rPr>
                <w:sz w:val="22"/>
                <w:szCs w:val="22"/>
                <w:spacing w:val="1"/>
              </w:rPr>
              <w:t>危险化学品种类</w:t>
            </w:r>
          </w:p>
        </w:tc>
      </w:tr>
      <w:tr>
        <w:trPr>
          <w:trHeight w:val="348" w:hRule="atLeast"/>
        </w:trPr>
        <w:tc>
          <w:tcPr>
            <w:tcW w:w="694" w:type="dxa"/>
            <w:vAlign w:val="top"/>
          </w:tcPr>
          <w:p>
            <w:pPr>
              <w:rPr>
                <w:rFonts w:ascii="Arial"/>
                <w:sz w:val="21"/>
              </w:rPr>
            </w:pPr>
            <w:r/>
          </w:p>
        </w:tc>
        <w:tc>
          <w:tcPr>
            <w:tcW w:w="3806" w:type="dxa"/>
            <w:vAlign w:val="top"/>
          </w:tcPr>
          <w:p>
            <w:pPr>
              <w:pStyle w:val="TableText"/>
              <w:ind w:left="1291"/>
              <w:spacing w:before="99" w:line="200" w:lineRule="auto"/>
              <w:rPr>
                <w:sz w:val="22"/>
                <w:szCs w:val="22"/>
              </w:rPr>
            </w:pPr>
            <w:r>
              <w:rPr>
                <w:sz w:val="22"/>
                <w:szCs w:val="22"/>
                <w:spacing w:val="6"/>
              </w:rPr>
              <w:t>第2类(气体)</w:t>
            </w:r>
          </w:p>
        </w:tc>
        <w:tc>
          <w:tcPr>
            <w:tcW w:w="4670" w:type="dxa"/>
            <w:vAlign w:val="top"/>
          </w:tcPr>
          <w:p>
            <w:pPr>
              <w:pStyle w:val="TableText"/>
              <w:ind w:left="1995"/>
              <w:spacing w:before="100" w:line="199" w:lineRule="auto"/>
              <w:rPr>
                <w:sz w:val="22"/>
                <w:szCs w:val="22"/>
              </w:rPr>
            </w:pPr>
            <w:r>
              <w:rPr>
                <w:sz w:val="22"/>
                <w:szCs w:val="22"/>
                <w:spacing w:val="4"/>
              </w:rPr>
              <w:t>天然气</w:t>
            </w:r>
          </w:p>
        </w:tc>
      </w:tr>
      <w:tr>
        <w:trPr>
          <w:trHeight w:val="488" w:hRule="atLeast"/>
        </w:trPr>
        <w:tc>
          <w:tcPr>
            <w:tcW w:w="694" w:type="dxa"/>
            <w:vAlign w:val="top"/>
          </w:tcPr>
          <w:p>
            <w:pPr>
              <w:pStyle w:val="TableText"/>
              <w:ind w:left="285"/>
              <w:spacing w:before="278" w:line="167" w:lineRule="auto"/>
              <w:rPr>
                <w:sz w:val="22"/>
                <w:szCs w:val="22"/>
              </w:rPr>
            </w:pPr>
            <w:r>
              <w:rPr>
                <w:sz w:val="22"/>
                <w:szCs w:val="22"/>
              </w:rPr>
              <w:t>2</w:t>
            </w:r>
          </w:p>
        </w:tc>
        <w:tc>
          <w:tcPr>
            <w:tcW w:w="3806" w:type="dxa"/>
            <w:vAlign w:val="top"/>
          </w:tcPr>
          <w:p>
            <w:pPr>
              <w:pStyle w:val="TableText"/>
              <w:ind w:left="1071"/>
              <w:spacing w:before="202" w:line="219" w:lineRule="auto"/>
              <w:rPr>
                <w:sz w:val="22"/>
                <w:szCs w:val="22"/>
              </w:rPr>
            </w:pPr>
            <w:r>
              <w:rPr>
                <w:sz w:val="22"/>
                <w:szCs w:val="22"/>
                <w:spacing w:val="5"/>
              </w:rPr>
              <w:t>第3类(易燃液体)</w:t>
            </w:r>
          </w:p>
        </w:tc>
        <w:tc>
          <w:tcPr>
            <w:tcW w:w="4670" w:type="dxa"/>
            <w:vAlign w:val="top"/>
          </w:tcPr>
          <w:p>
            <w:pPr>
              <w:pStyle w:val="TableText"/>
              <w:ind w:left="1665"/>
              <w:spacing w:before="32" w:line="193" w:lineRule="auto"/>
              <w:rPr>
                <w:sz w:val="21"/>
                <w:szCs w:val="21"/>
              </w:rPr>
            </w:pPr>
            <w:r>
              <w:rPr>
                <w:sz w:val="21"/>
                <w:szCs w:val="21"/>
                <w:spacing w:val="11"/>
              </w:rPr>
              <w:t>易燃：电解液</w:t>
            </w:r>
          </w:p>
          <w:p>
            <w:pPr>
              <w:pStyle w:val="TableText"/>
              <w:ind w:left="955"/>
              <w:spacing w:line="198" w:lineRule="auto"/>
              <w:rPr>
                <w:sz w:val="21"/>
                <w:szCs w:val="21"/>
              </w:rPr>
            </w:pPr>
            <w:r>
              <w:rPr>
                <w:sz w:val="21"/>
                <w:szCs w:val="21"/>
                <w:spacing w:val="13"/>
              </w:rPr>
              <w:t>可燃：N-甲基吡咯烷酮(</w:t>
            </w:r>
            <w:r>
              <w:rPr>
                <w:sz w:val="21"/>
                <w:szCs w:val="21"/>
              </w:rPr>
              <w:t>NMP</w:t>
            </w:r>
            <w:r>
              <w:rPr>
                <w:sz w:val="21"/>
                <w:szCs w:val="21"/>
                <w:spacing w:val="13"/>
              </w:rPr>
              <w:t>)</w:t>
            </w:r>
          </w:p>
        </w:tc>
      </w:tr>
      <w:tr>
        <w:trPr>
          <w:trHeight w:val="338" w:hRule="atLeast"/>
        </w:trPr>
        <w:tc>
          <w:tcPr>
            <w:tcW w:w="694" w:type="dxa"/>
            <w:vAlign w:val="top"/>
          </w:tcPr>
          <w:p>
            <w:pPr>
              <w:pStyle w:val="TableText"/>
              <w:ind w:left="285"/>
              <w:spacing w:before="150" w:line="178" w:lineRule="exact"/>
              <w:rPr>
                <w:sz w:val="22"/>
                <w:szCs w:val="22"/>
              </w:rPr>
            </w:pPr>
            <w:r>
              <w:rPr>
                <w:sz w:val="22"/>
                <w:szCs w:val="22"/>
                <w:position w:val="-2"/>
              </w:rPr>
              <w:t>3</w:t>
            </w:r>
          </w:p>
        </w:tc>
        <w:tc>
          <w:tcPr>
            <w:tcW w:w="3806" w:type="dxa"/>
            <w:vAlign w:val="top"/>
          </w:tcPr>
          <w:p>
            <w:pPr>
              <w:pStyle w:val="TableText"/>
              <w:ind w:left="1071"/>
              <w:spacing w:before="94" w:line="196" w:lineRule="auto"/>
              <w:rPr>
                <w:sz w:val="22"/>
                <w:szCs w:val="22"/>
              </w:rPr>
            </w:pPr>
            <w:r>
              <w:rPr>
                <w:sz w:val="22"/>
                <w:szCs w:val="22"/>
                <w:spacing w:val="5"/>
              </w:rPr>
              <w:t>第6类(毒性物质)</w:t>
            </w:r>
          </w:p>
        </w:tc>
        <w:tc>
          <w:tcPr>
            <w:tcW w:w="4670" w:type="dxa"/>
            <w:vAlign w:val="top"/>
          </w:tcPr>
          <w:p>
            <w:pPr>
              <w:pStyle w:val="TableText"/>
              <w:ind w:left="455"/>
              <w:spacing w:before="64" w:line="220" w:lineRule="auto"/>
              <w:rPr>
                <w:sz w:val="22"/>
                <w:szCs w:val="22"/>
              </w:rPr>
            </w:pPr>
            <w:r>
              <w:rPr>
                <w:sz w:val="22"/>
                <w:szCs w:val="22"/>
                <w:spacing w:val="2"/>
              </w:rPr>
              <w:t>N-甲基吡咯烷酮(</w:t>
            </w:r>
            <w:r>
              <w:rPr>
                <w:sz w:val="22"/>
                <w:szCs w:val="22"/>
              </w:rPr>
              <w:t>NMP</w:t>
            </w:r>
            <w:r>
              <w:rPr>
                <w:sz w:val="22"/>
                <w:szCs w:val="22"/>
                <w:spacing w:val="2"/>
              </w:rPr>
              <w:t>)、电解液(</w:t>
            </w:r>
            <w:r>
              <w:rPr>
                <w:sz w:val="22"/>
                <w:szCs w:val="22"/>
              </w:rPr>
              <w:t>LiPF</w:t>
            </w:r>
            <w:r>
              <w:rPr>
                <w:sz w:val="22"/>
                <w:szCs w:val="22"/>
                <w:spacing w:val="2"/>
              </w:rPr>
              <w:t>6)</w:t>
            </w:r>
          </w:p>
        </w:tc>
      </w:tr>
      <w:tr>
        <w:trPr>
          <w:trHeight w:val="672" w:hRule="atLeast"/>
        </w:trPr>
        <w:tc>
          <w:tcPr>
            <w:tcW w:w="694" w:type="dxa"/>
            <w:vAlign w:val="top"/>
          </w:tcPr>
          <w:p>
            <w:pPr>
              <w:spacing w:line="289" w:lineRule="auto"/>
              <w:rPr>
                <w:rFonts w:ascii="Arial"/>
                <w:sz w:val="21"/>
              </w:rPr>
            </w:pPr>
            <w:r/>
          </w:p>
          <w:p>
            <w:pPr>
              <w:pStyle w:val="TableText"/>
              <w:ind w:left="285"/>
              <w:spacing w:before="72" w:line="183" w:lineRule="auto"/>
              <w:rPr>
                <w:sz w:val="22"/>
                <w:szCs w:val="22"/>
              </w:rPr>
            </w:pPr>
            <w:r>
              <w:rPr>
                <w:sz w:val="22"/>
                <w:szCs w:val="22"/>
              </w:rPr>
              <w:t>4</w:t>
            </w:r>
          </w:p>
        </w:tc>
        <w:tc>
          <w:tcPr>
            <w:tcW w:w="3806" w:type="dxa"/>
            <w:vAlign w:val="top"/>
          </w:tcPr>
          <w:p>
            <w:pPr>
              <w:pStyle w:val="TableText"/>
              <w:ind w:left="131"/>
              <w:spacing w:before="116" w:line="219" w:lineRule="auto"/>
              <w:rPr>
                <w:sz w:val="22"/>
                <w:szCs w:val="22"/>
              </w:rPr>
            </w:pPr>
            <w:r>
              <w:rPr>
                <w:sz w:val="22"/>
                <w:szCs w:val="22"/>
                <w:spacing w:val="-1"/>
              </w:rPr>
              <w:t>第9类(杂项危险物质和物品，包括危</w:t>
            </w:r>
          </w:p>
          <w:p>
            <w:pPr>
              <w:pStyle w:val="TableText"/>
              <w:ind w:left="1291"/>
              <w:spacing w:before="49" w:line="197" w:lineRule="auto"/>
              <w:rPr>
                <w:sz w:val="22"/>
                <w:szCs w:val="22"/>
              </w:rPr>
            </w:pPr>
            <w:r>
              <w:rPr>
                <w:sz w:val="22"/>
                <w:szCs w:val="22"/>
                <w:spacing w:val="8"/>
              </w:rPr>
              <w:t>害环境物质)</w:t>
            </w:r>
          </w:p>
        </w:tc>
        <w:tc>
          <w:tcPr>
            <w:tcW w:w="4670" w:type="dxa"/>
            <w:vAlign w:val="top"/>
          </w:tcPr>
          <w:p>
            <w:pPr>
              <w:pStyle w:val="TableText"/>
              <w:ind w:left="1615"/>
              <w:spacing w:before="234" w:line="219" w:lineRule="auto"/>
              <w:rPr>
                <w:sz w:val="22"/>
                <w:szCs w:val="22"/>
              </w:rPr>
            </w:pPr>
            <w:r>
              <w:rPr>
                <w:sz w:val="22"/>
                <w:szCs w:val="22"/>
                <w:spacing w:val="8"/>
              </w:rPr>
              <w:t>三元材料(</w:t>
            </w:r>
            <w:r>
              <w:rPr>
                <w:sz w:val="22"/>
                <w:szCs w:val="22"/>
              </w:rPr>
              <w:t>NCM</w:t>
            </w:r>
            <w:r>
              <w:rPr>
                <w:sz w:val="22"/>
                <w:szCs w:val="22"/>
                <w:spacing w:val="8"/>
              </w:rPr>
              <w:t>)</w:t>
            </w:r>
          </w:p>
        </w:tc>
      </w:tr>
    </w:tbl>
    <w:p>
      <w:pPr>
        <w:pStyle w:val="BodyText"/>
        <w:ind w:left="128"/>
        <w:spacing w:before="173" w:line="219" w:lineRule="auto"/>
        <w:outlineLvl w:val="6"/>
        <w:rPr>
          <w:sz w:val="29"/>
          <w:szCs w:val="29"/>
        </w:rPr>
      </w:pPr>
      <w:r>
        <w:rPr>
          <w:sz w:val="29"/>
          <w:szCs w:val="29"/>
          <w:b/>
          <w:bCs/>
          <w:spacing w:val="-27"/>
        </w:rPr>
        <w:t>2.1.2</w:t>
      </w:r>
      <w:r>
        <w:rPr>
          <w:sz w:val="29"/>
          <w:szCs w:val="29"/>
          <w:spacing w:val="-38"/>
        </w:rPr>
        <w:t xml:space="preserve"> </w:t>
      </w:r>
      <w:r>
        <w:rPr>
          <w:sz w:val="29"/>
          <w:szCs w:val="29"/>
          <w:b/>
          <w:bCs/>
          <w:spacing w:val="-27"/>
        </w:rPr>
        <w:t>生产工艺特点</w:t>
      </w:r>
    </w:p>
    <w:p>
      <w:pPr>
        <w:pStyle w:val="BodyText"/>
        <w:ind w:left="125" w:right="350" w:firstLine="489"/>
        <w:spacing w:before="235" w:line="357" w:lineRule="auto"/>
        <w:jc w:val="both"/>
        <w:rPr>
          <w:sz w:val="24"/>
          <w:szCs w:val="24"/>
        </w:rPr>
      </w:pPr>
      <w:r>
        <w:rPr>
          <w:sz w:val="24"/>
          <w:szCs w:val="24"/>
          <w:spacing w:val="-7"/>
        </w:rPr>
        <w:t>对照《建设项目环境风险评价技术导则》</w:t>
      </w:r>
      <w:r>
        <w:rPr>
          <w:sz w:val="24"/>
          <w:szCs w:val="24"/>
          <w:spacing w:val="65"/>
        </w:rPr>
        <w:t xml:space="preserve"> </w:t>
      </w:r>
      <w:r>
        <w:rPr>
          <w:sz w:val="24"/>
          <w:szCs w:val="24"/>
          <w:spacing w:val="-7"/>
        </w:rPr>
        <w:t>(HJ169-2018)</w:t>
      </w:r>
      <w:r>
        <w:rPr>
          <w:sz w:val="24"/>
          <w:szCs w:val="24"/>
          <w:spacing w:val="32"/>
        </w:rPr>
        <w:t xml:space="preserve"> </w:t>
      </w:r>
      <w:r>
        <w:rPr>
          <w:sz w:val="24"/>
          <w:szCs w:val="24"/>
          <w:spacing w:val="-7"/>
        </w:rPr>
        <w:t>附录</w:t>
      </w:r>
      <w:r>
        <w:rPr>
          <w:rFonts w:ascii="Times New Roman" w:hAnsi="Times New Roman" w:eastAsia="Times New Roman" w:cs="Times New Roman"/>
          <w:sz w:val="24"/>
          <w:szCs w:val="24"/>
          <w:spacing w:val="-7"/>
        </w:rPr>
        <w:t>C</w:t>
      </w:r>
      <w:r>
        <w:rPr>
          <w:sz w:val="24"/>
          <w:szCs w:val="24"/>
          <w:spacing w:val="-7"/>
        </w:rPr>
        <w:t>中“表</w:t>
      </w:r>
      <w:r>
        <w:rPr>
          <w:rFonts w:ascii="Times New Roman" w:hAnsi="Times New Roman" w:eastAsia="Times New Roman" w:cs="Times New Roman"/>
          <w:sz w:val="24"/>
          <w:szCs w:val="24"/>
          <w:spacing w:val="-7"/>
        </w:rPr>
        <w:t>C.1</w:t>
      </w:r>
      <w:r>
        <w:rPr>
          <w:sz w:val="24"/>
          <w:szCs w:val="24"/>
          <w:spacing w:val="-7"/>
        </w:rPr>
        <w:t>其他：</w:t>
      </w:r>
      <w:r>
        <w:rPr>
          <w:sz w:val="24"/>
          <w:szCs w:val="24"/>
        </w:rPr>
        <w:t xml:space="preserve"> </w:t>
      </w:r>
      <w:r>
        <w:rPr>
          <w:sz w:val="24"/>
          <w:szCs w:val="24"/>
        </w:rPr>
        <w:t>涉及危险物质使用、贮存的项目”。项目原辅材料在处理、储存、运输、使用过程</w:t>
      </w:r>
      <w:r>
        <w:rPr>
          <w:sz w:val="24"/>
          <w:szCs w:val="24"/>
          <w:spacing w:val="17"/>
        </w:rPr>
        <w:t xml:space="preserve"> </w:t>
      </w:r>
      <w:r>
        <w:rPr>
          <w:sz w:val="24"/>
          <w:szCs w:val="24"/>
          <w:spacing w:val="-1"/>
        </w:rPr>
        <w:t>中，均可通过水、土壤等多种途径进入环境，对生态环境和人体健康具有潜在的危 </w:t>
      </w:r>
      <w:r>
        <w:rPr>
          <w:sz w:val="24"/>
          <w:szCs w:val="24"/>
        </w:rPr>
        <w:t>害。各生产装置、化学品库，存在潜在的危险因</w:t>
      </w:r>
      <w:r>
        <w:rPr>
          <w:sz w:val="24"/>
          <w:szCs w:val="24"/>
          <w:spacing w:val="-1"/>
        </w:rPr>
        <w:t>素。厂区内的危险单元主要为生产</w:t>
      </w:r>
    </w:p>
    <w:p>
      <w:pPr>
        <w:pStyle w:val="BodyText"/>
        <w:ind w:left="125"/>
        <w:spacing w:line="212" w:lineRule="auto"/>
        <w:rPr>
          <w:sz w:val="24"/>
          <w:szCs w:val="24"/>
        </w:rPr>
      </w:pPr>
      <w:r>
        <w:rPr>
          <w:sz w:val="24"/>
          <w:szCs w:val="24"/>
          <w:spacing w:val="-2"/>
        </w:rPr>
        <w:t>厂房，原料仓</w:t>
      </w:r>
      <w:r>
        <w:rPr>
          <w:rFonts w:ascii="Times New Roman" w:hAnsi="Times New Roman" w:eastAsia="Times New Roman" w:cs="Times New Roman"/>
          <w:sz w:val="24"/>
          <w:szCs w:val="24"/>
          <w:spacing w:val="-2"/>
        </w:rPr>
        <w:t>X7,   </w:t>
      </w:r>
      <w:r>
        <w:rPr>
          <w:sz w:val="24"/>
          <w:szCs w:val="24"/>
          <w:spacing w:val="-2"/>
        </w:rPr>
        <w:t>电解液库X13,</w:t>
      </w:r>
      <w:r>
        <w:rPr>
          <w:sz w:val="24"/>
          <w:szCs w:val="24"/>
          <w:spacing w:val="71"/>
        </w:rPr>
        <w:t xml:space="preserve"> </w:t>
      </w:r>
      <w:r>
        <w:rPr>
          <w:sz w:val="24"/>
          <w:szCs w:val="24"/>
          <w:spacing w:val="-2"/>
        </w:rPr>
        <w:t>危废暂存间等。</w:t>
      </w:r>
    </w:p>
    <w:p>
      <w:pPr>
        <w:pStyle w:val="BodyText"/>
        <w:ind w:left="129"/>
        <w:spacing w:before="248" w:line="219" w:lineRule="auto"/>
        <w:outlineLvl w:val="6"/>
        <w:rPr>
          <w:sz w:val="29"/>
          <w:szCs w:val="29"/>
        </w:rPr>
      </w:pPr>
      <w:r>
        <w:rPr>
          <w:sz w:val="29"/>
          <w:szCs w:val="29"/>
          <w:b/>
          <w:bCs/>
          <w:spacing w:val="3"/>
        </w:rPr>
        <w:t>2.2环境敏感目标</w:t>
      </w:r>
    </w:p>
    <w:p>
      <w:pPr>
        <w:spacing w:line="219" w:lineRule="auto"/>
        <w:sectPr>
          <w:footerReference w:type="default" r:id="rId172"/>
          <w:pgSz w:w="11900" w:h="16840"/>
          <w:pgMar w:top="1425" w:right="1135" w:bottom="1127" w:left="1574" w:header="0" w:footer="989" w:gutter="0"/>
        </w:sectPr>
        <w:rPr>
          <w:sz w:val="29"/>
          <w:szCs w:val="29"/>
        </w:rPr>
      </w:pPr>
    </w:p>
    <w:p>
      <w:pPr>
        <w:spacing w:line="355" w:lineRule="auto"/>
        <w:rPr>
          <w:rFonts w:ascii="Arial"/>
          <w:sz w:val="21"/>
        </w:rPr>
      </w:pPr>
      <w:r/>
    </w:p>
    <w:p>
      <w:pPr>
        <w:spacing w:line="355" w:lineRule="auto"/>
        <w:rPr>
          <w:rFonts w:ascii="Arial"/>
          <w:sz w:val="21"/>
        </w:rPr>
      </w:pPr>
      <w:r/>
    </w:p>
    <w:p>
      <w:pPr>
        <w:pStyle w:val="BodyText"/>
        <w:ind w:left="4548"/>
        <w:spacing w:before="78" w:line="218" w:lineRule="auto"/>
        <w:rPr>
          <w:sz w:val="24"/>
          <w:szCs w:val="24"/>
        </w:rPr>
      </w:pPr>
      <w:r>
        <w:rPr>
          <w:sz w:val="24"/>
          <w:szCs w:val="24"/>
          <w:b/>
          <w:bCs/>
          <w:spacing w:val="-6"/>
        </w:rPr>
        <w:t>表2.2-1</w:t>
      </w:r>
      <w:r>
        <w:rPr>
          <w:sz w:val="24"/>
          <w:szCs w:val="24"/>
          <w:spacing w:val="126"/>
        </w:rPr>
        <w:t xml:space="preserve"> </w:t>
      </w:r>
      <w:r>
        <w:rPr>
          <w:sz w:val="24"/>
          <w:szCs w:val="24"/>
          <w:b/>
          <w:bCs/>
          <w:spacing w:val="-6"/>
        </w:rPr>
        <w:t>项目环境风险评价环境敏感目标一览表</w:t>
      </w:r>
    </w:p>
    <w:p>
      <w:pPr>
        <w:spacing w:line="77" w:lineRule="exact"/>
        <w:rPr/>
      </w:pPr>
      <w:r/>
    </w:p>
    <w:tbl>
      <w:tblPr>
        <w:tblStyle w:val="TableNormal"/>
        <w:tblW w:w="1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85"/>
        <w:gridCol w:w="1409"/>
        <w:gridCol w:w="2099"/>
        <w:gridCol w:w="2128"/>
        <w:gridCol w:w="1419"/>
        <w:gridCol w:w="2418"/>
        <w:gridCol w:w="1809"/>
        <w:gridCol w:w="2153"/>
      </w:tblGrid>
      <w:tr>
        <w:trPr>
          <w:trHeight w:val="424" w:hRule="atLeast"/>
        </w:trPr>
        <w:tc>
          <w:tcPr>
            <w:tcW w:w="685" w:type="dxa"/>
            <w:vAlign w:val="top"/>
            <w:vMerge w:val="restart"/>
            <w:tcBorders>
              <w:bottom w:val="nil"/>
            </w:tcBorders>
          </w:tcPr>
          <w:p>
            <w:pPr>
              <w:pStyle w:val="TableText"/>
              <w:ind w:left="135"/>
              <w:spacing w:before="143" w:line="309" w:lineRule="exact"/>
              <w:rPr>
                <w:sz w:val="20"/>
                <w:szCs w:val="20"/>
              </w:rPr>
            </w:pPr>
            <w:r>
              <w:rPr>
                <w:sz w:val="20"/>
                <w:szCs w:val="20"/>
                <w:spacing w:val="-2"/>
                <w:position w:val="8"/>
              </w:rPr>
              <w:t>环境</w:t>
            </w:r>
          </w:p>
          <w:p>
            <w:pPr>
              <w:pStyle w:val="TableText"/>
              <w:ind w:left="135"/>
              <w:spacing w:line="219" w:lineRule="auto"/>
              <w:rPr>
                <w:sz w:val="20"/>
                <w:szCs w:val="20"/>
              </w:rPr>
            </w:pPr>
            <w:r>
              <w:rPr>
                <w:sz w:val="20"/>
                <w:szCs w:val="20"/>
                <w:spacing w:val="-3"/>
              </w:rPr>
              <w:t>要素</w:t>
            </w:r>
          </w:p>
        </w:tc>
        <w:tc>
          <w:tcPr>
            <w:tcW w:w="1409" w:type="dxa"/>
            <w:vAlign w:val="top"/>
            <w:vMerge w:val="restart"/>
            <w:tcBorders>
              <w:bottom w:val="nil"/>
            </w:tcBorders>
          </w:tcPr>
          <w:p>
            <w:pPr>
              <w:pStyle w:val="TableText"/>
              <w:ind w:left="589" w:right="183" w:hanging="399"/>
              <w:spacing w:before="133" w:line="250" w:lineRule="auto"/>
              <w:rPr>
                <w:sz w:val="20"/>
                <w:szCs w:val="20"/>
              </w:rPr>
            </w:pPr>
            <w:r>
              <w:rPr>
                <w:sz w:val="20"/>
                <w:szCs w:val="20"/>
                <w:spacing w:val="5"/>
              </w:rPr>
              <w:t>敏感目标名</w:t>
            </w:r>
            <w:r>
              <w:rPr>
                <w:sz w:val="20"/>
                <w:szCs w:val="20"/>
              </w:rPr>
              <w:t xml:space="preserve"> </w:t>
            </w:r>
            <w:r>
              <w:rPr>
                <w:sz w:val="20"/>
                <w:szCs w:val="20"/>
              </w:rPr>
              <w:t>称</w:t>
            </w:r>
          </w:p>
        </w:tc>
        <w:tc>
          <w:tcPr>
            <w:tcW w:w="4227" w:type="dxa"/>
            <w:vAlign w:val="top"/>
            <w:gridSpan w:val="2"/>
          </w:tcPr>
          <w:p>
            <w:pPr>
              <w:pStyle w:val="TableText"/>
              <w:ind w:left="1911"/>
              <w:spacing w:before="113" w:line="220" w:lineRule="auto"/>
              <w:rPr>
                <w:sz w:val="20"/>
                <w:szCs w:val="20"/>
              </w:rPr>
            </w:pPr>
            <w:r>
              <w:rPr>
                <w:sz w:val="20"/>
                <w:szCs w:val="20"/>
                <w:spacing w:val="-3"/>
              </w:rPr>
              <w:t>坐标</w:t>
            </w:r>
          </w:p>
        </w:tc>
        <w:tc>
          <w:tcPr>
            <w:tcW w:w="1419" w:type="dxa"/>
            <w:vAlign w:val="top"/>
            <w:vMerge w:val="restart"/>
            <w:tcBorders>
              <w:bottom w:val="nil"/>
            </w:tcBorders>
          </w:tcPr>
          <w:p>
            <w:pPr>
              <w:pStyle w:val="TableText"/>
              <w:ind w:left="334"/>
              <w:spacing w:before="293" w:line="219" w:lineRule="auto"/>
              <w:rPr>
                <w:sz w:val="20"/>
                <w:szCs w:val="20"/>
              </w:rPr>
            </w:pPr>
            <w:r>
              <w:rPr>
                <w:sz w:val="20"/>
                <w:szCs w:val="20"/>
                <w:spacing w:val="-2"/>
              </w:rPr>
              <w:t>保护对象</w:t>
            </w:r>
          </w:p>
        </w:tc>
        <w:tc>
          <w:tcPr>
            <w:tcW w:w="2418" w:type="dxa"/>
            <w:vAlign w:val="top"/>
            <w:vMerge w:val="restart"/>
            <w:tcBorders>
              <w:bottom w:val="nil"/>
            </w:tcBorders>
          </w:tcPr>
          <w:p>
            <w:pPr>
              <w:pStyle w:val="TableText"/>
              <w:ind w:left="705"/>
              <w:spacing w:before="293" w:line="220" w:lineRule="auto"/>
              <w:rPr>
                <w:sz w:val="20"/>
                <w:szCs w:val="20"/>
              </w:rPr>
            </w:pPr>
            <w:r>
              <w:rPr>
                <w:sz w:val="20"/>
                <w:szCs w:val="20"/>
                <w:spacing w:val="3"/>
              </w:rPr>
              <w:t>环境功能区</w:t>
            </w:r>
          </w:p>
        </w:tc>
        <w:tc>
          <w:tcPr>
            <w:tcW w:w="1809" w:type="dxa"/>
            <w:vAlign w:val="top"/>
            <w:vMerge w:val="restart"/>
            <w:tcBorders>
              <w:bottom w:val="nil"/>
            </w:tcBorders>
          </w:tcPr>
          <w:p>
            <w:pPr>
              <w:pStyle w:val="TableText"/>
              <w:ind w:left="696" w:right="192" w:hanging="499"/>
              <w:spacing w:before="153"/>
              <w:rPr>
                <w:sz w:val="20"/>
                <w:szCs w:val="20"/>
              </w:rPr>
            </w:pPr>
            <w:r>
              <w:rPr>
                <w:sz w:val="20"/>
                <w:szCs w:val="20"/>
                <w:spacing w:val="1"/>
              </w:rPr>
              <w:t>与项目相对厂址 </w:t>
            </w:r>
            <w:r>
              <w:rPr>
                <w:sz w:val="20"/>
                <w:szCs w:val="20"/>
                <w:spacing w:val="-3"/>
              </w:rPr>
              <w:t>方位</w:t>
            </w:r>
          </w:p>
        </w:tc>
        <w:tc>
          <w:tcPr>
            <w:tcW w:w="2153" w:type="dxa"/>
            <w:vAlign w:val="top"/>
            <w:vMerge w:val="restart"/>
            <w:tcBorders>
              <w:bottom w:val="nil"/>
            </w:tcBorders>
          </w:tcPr>
          <w:p>
            <w:pPr>
              <w:pStyle w:val="TableText"/>
              <w:ind w:left="667" w:right="162" w:hanging="499"/>
              <w:spacing w:before="154" w:line="243" w:lineRule="auto"/>
              <w:rPr>
                <w:sz w:val="20"/>
                <w:szCs w:val="20"/>
              </w:rPr>
            </w:pPr>
            <w:r>
              <w:rPr>
                <w:sz w:val="20"/>
                <w:szCs w:val="20"/>
                <w:spacing w:val="1"/>
              </w:rPr>
              <w:t>与项目相对厂界距离 </w:t>
            </w:r>
            <w:r>
              <w:rPr>
                <w:sz w:val="20"/>
                <w:szCs w:val="20"/>
              </w:rPr>
              <w:t>(最近)/m</w:t>
            </w:r>
          </w:p>
        </w:tc>
      </w:tr>
      <w:tr>
        <w:trPr>
          <w:trHeight w:val="339" w:hRule="atLeast"/>
        </w:trPr>
        <w:tc>
          <w:tcPr>
            <w:tcW w:w="685" w:type="dxa"/>
            <w:vAlign w:val="top"/>
            <w:vMerge w:val="continue"/>
            <w:tcBorders>
              <w:top w:val="nil"/>
            </w:tcBorders>
          </w:tcPr>
          <w:p>
            <w:pPr>
              <w:rPr>
                <w:rFonts w:ascii="Arial"/>
                <w:sz w:val="21"/>
              </w:rPr>
            </w:pPr>
            <w:r/>
          </w:p>
        </w:tc>
        <w:tc>
          <w:tcPr>
            <w:tcW w:w="1409" w:type="dxa"/>
            <w:vAlign w:val="top"/>
            <w:vMerge w:val="continue"/>
            <w:tcBorders>
              <w:top w:val="nil"/>
            </w:tcBorders>
          </w:tcPr>
          <w:p>
            <w:pPr>
              <w:rPr>
                <w:rFonts w:ascii="Arial"/>
                <w:sz w:val="21"/>
              </w:rPr>
            </w:pPr>
            <w:r/>
          </w:p>
        </w:tc>
        <w:tc>
          <w:tcPr>
            <w:tcW w:w="2099" w:type="dxa"/>
            <w:vAlign w:val="top"/>
          </w:tcPr>
          <w:p>
            <w:pPr>
              <w:pStyle w:val="TableText"/>
              <w:ind w:left="831"/>
              <w:spacing w:before="69" w:line="220" w:lineRule="auto"/>
              <w:rPr>
                <w:sz w:val="20"/>
                <w:szCs w:val="20"/>
              </w:rPr>
            </w:pPr>
            <w:r>
              <w:rPr>
                <w:sz w:val="20"/>
                <w:szCs w:val="20"/>
                <w:spacing w:val="5"/>
              </w:rPr>
              <w:t>经度</w:t>
            </w:r>
          </w:p>
        </w:tc>
        <w:tc>
          <w:tcPr>
            <w:tcW w:w="2128" w:type="dxa"/>
            <w:vAlign w:val="top"/>
          </w:tcPr>
          <w:p>
            <w:pPr>
              <w:pStyle w:val="TableText"/>
              <w:ind w:left="872"/>
              <w:spacing w:before="69" w:line="220" w:lineRule="auto"/>
              <w:rPr>
                <w:sz w:val="20"/>
                <w:szCs w:val="20"/>
              </w:rPr>
            </w:pPr>
            <w:r>
              <w:rPr>
                <w:sz w:val="20"/>
                <w:szCs w:val="20"/>
                <w:spacing w:val="5"/>
              </w:rPr>
              <w:t>纬度</w:t>
            </w:r>
          </w:p>
        </w:tc>
        <w:tc>
          <w:tcPr>
            <w:tcW w:w="1419" w:type="dxa"/>
            <w:vAlign w:val="top"/>
            <w:vMerge w:val="continue"/>
            <w:tcBorders>
              <w:top w:val="nil"/>
            </w:tcBorders>
          </w:tcPr>
          <w:p>
            <w:pPr>
              <w:rPr>
                <w:rFonts w:ascii="Arial"/>
                <w:sz w:val="21"/>
              </w:rPr>
            </w:pPr>
            <w:r/>
          </w:p>
        </w:tc>
        <w:tc>
          <w:tcPr>
            <w:tcW w:w="2418" w:type="dxa"/>
            <w:vAlign w:val="top"/>
            <w:vMerge w:val="continue"/>
            <w:tcBorders>
              <w:top w:val="nil"/>
            </w:tcBorders>
          </w:tcPr>
          <w:p>
            <w:pPr>
              <w:rPr>
                <w:rFonts w:ascii="Arial"/>
                <w:sz w:val="21"/>
              </w:rPr>
            </w:pPr>
            <w:r/>
          </w:p>
        </w:tc>
        <w:tc>
          <w:tcPr>
            <w:tcW w:w="1809" w:type="dxa"/>
            <w:vAlign w:val="top"/>
            <w:vMerge w:val="continue"/>
            <w:tcBorders>
              <w:top w:val="nil"/>
            </w:tcBorders>
          </w:tcPr>
          <w:p>
            <w:pPr>
              <w:rPr>
                <w:rFonts w:ascii="Arial"/>
                <w:sz w:val="21"/>
              </w:rPr>
            </w:pPr>
            <w:r/>
          </w:p>
        </w:tc>
        <w:tc>
          <w:tcPr>
            <w:tcW w:w="2153" w:type="dxa"/>
            <w:vAlign w:val="top"/>
            <w:vMerge w:val="continue"/>
            <w:tcBorders>
              <w:top w:val="nil"/>
            </w:tcBorders>
          </w:tcPr>
          <w:p>
            <w:pPr>
              <w:rPr>
                <w:rFonts w:ascii="Arial"/>
                <w:sz w:val="21"/>
              </w:rPr>
            </w:pPr>
            <w:r/>
          </w:p>
        </w:tc>
      </w:tr>
      <w:tr>
        <w:trPr>
          <w:trHeight w:val="339" w:hRule="atLeast"/>
        </w:trPr>
        <w:tc>
          <w:tcPr>
            <w:tcW w:w="685" w:type="dxa"/>
            <w:vAlign w:val="top"/>
            <w:vMerge w:val="restart"/>
            <w:tcBorders>
              <w:bottom w:val="nil"/>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135"/>
              <w:spacing w:before="65" w:line="310" w:lineRule="exact"/>
              <w:rPr>
                <w:sz w:val="20"/>
                <w:szCs w:val="20"/>
              </w:rPr>
            </w:pPr>
            <w:r>
              <w:rPr>
                <w:sz w:val="20"/>
                <w:szCs w:val="20"/>
                <w:spacing w:val="-2"/>
                <w:position w:val="8"/>
              </w:rPr>
              <w:t>环境</w:t>
            </w:r>
          </w:p>
          <w:p>
            <w:pPr>
              <w:pStyle w:val="TableText"/>
              <w:ind w:left="135"/>
              <w:spacing w:line="220" w:lineRule="auto"/>
              <w:rPr>
                <w:sz w:val="20"/>
                <w:szCs w:val="20"/>
              </w:rPr>
            </w:pPr>
            <w:r>
              <w:rPr>
                <w:sz w:val="20"/>
                <w:szCs w:val="20"/>
                <w:spacing w:val="-3"/>
              </w:rPr>
              <w:t>风险</w:t>
            </w:r>
          </w:p>
        </w:tc>
        <w:tc>
          <w:tcPr>
            <w:tcW w:w="1409" w:type="dxa"/>
            <w:vAlign w:val="top"/>
          </w:tcPr>
          <w:p>
            <w:pPr>
              <w:pStyle w:val="TableText"/>
              <w:ind w:left="290"/>
              <w:spacing w:before="69" w:line="219" w:lineRule="auto"/>
              <w:rPr>
                <w:sz w:val="20"/>
                <w:szCs w:val="20"/>
              </w:rPr>
            </w:pPr>
            <w:r>
              <w:rPr>
                <w:sz w:val="20"/>
                <w:szCs w:val="20"/>
                <w:spacing w:val="-2"/>
              </w:rPr>
              <w:t>石雷洋村</w:t>
            </w:r>
          </w:p>
        </w:tc>
        <w:tc>
          <w:tcPr>
            <w:tcW w:w="2099" w:type="dxa"/>
            <w:vAlign w:val="top"/>
          </w:tcPr>
          <w:p>
            <w:pPr>
              <w:rPr>
                <w:rFonts w:ascii="Arial"/>
                <w:sz w:val="21"/>
              </w:rPr>
            </w:pPr>
            <w:r/>
          </w:p>
        </w:tc>
        <w:tc>
          <w:tcPr>
            <w:tcW w:w="2128" w:type="dxa"/>
            <w:vAlign w:val="top"/>
          </w:tcPr>
          <w:p>
            <w:pPr>
              <w:rPr>
                <w:rFonts w:ascii="Arial"/>
                <w:sz w:val="21"/>
              </w:rPr>
            </w:pPr>
            <w:r/>
          </w:p>
        </w:tc>
        <w:tc>
          <w:tcPr>
            <w:tcW w:w="1419" w:type="dxa"/>
            <w:vAlign w:val="top"/>
          </w:tcPr>
          <w:p>
            <w:pPr>
              <w:rPr>
                <w:rFonts w:ascii="Arial"/>
                <w:sz w:val="21"/>
              </w:rPr>
            </w:pPr>
            <w:r/>
          </w:p>
        </w:tc>
        <w:tc>
          <w:tcPr>
            <w:tcW w:w="2418"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255"/>
              <w:spacing w:before="65" w:line="219" w:lineRule="auto"/>
              <w:rPr>
                <w:sz w:val="20"/>
                <w:szCs w:val="20"/>
              </w:rPr>
            </w:pPr>
            <w:r>
              <w:rPr>
                <w:sz w:val="20"/>
                <w:szCs w:val="20"/>
              </w:rPr>
              <w:t>GB</w:t>
            </w:r>
            <w:r>
              <w:rPr>
                <w:sz w:val="20"/>
                <w:szCs w:val="20"/>
                <w:spacing w:val="1"/>
              </w:rPr>
              <w:t>3095-2012中二类区</w:t>
            </w:r>
          </w:p>
        </w:tc>
        <w:tc>
          <w:tcPr>
            <w:tcW w:w="1809" w:type="dxa"/>
            <w:vAlign w:val="top"/>
          </w:tcPr>
          <w:p>
            <w:pPr>
              <w:pStyle w:val="TableText"/>
              <w:ind w:left="697"/>
              <w:spacing w:before="70" w:line="219" w:lineRule="auto"/>
              <w:rPr>
                <w:sz w:val="20"/>
                <w:szCs w:val="20"/>
              </w:rPr>
            </w:pPr>
            <w:r>
              <w:rPr>
                <w:sz w:val="20"/>
                <w:szCs w:val="20"/>
                <w:spacing w:val="6"/>
              </w:rPr>
              <w:t>南侧</w:t>
            </w:r>
          </w:p>
        </w:tc>
        <w:tc>
          <w:tcPr>
            <w:tcW w:w="2153" w:type="dxa"/>
            <w:vAlign w:val="top"/>
          </w:tcPr>
          <w:p>
            <w:pPr>
              <w:pStyle w:val="TableText"/>
              <w:ind w:left="918"/>
              <w:spacing w:before="121" w:line="183" w:lineRule="auto"/>
              <w:rPr>
                <w:sz w:val="20"/>
                <w:szCs w:val="20"/>
              </w:rPr>
            </w:pPr>
            <w:r>
              <w:rPr>
                <w:sz w:val="20"/>
                <w:szCs w:val="20"/>
                <w:spacing w:val="-3"/>
              </w:rPr>
              <w:t>500</w:t>
            </w:r>
          </w:p>
        </w:tc>
      </w:tr>
      <w:tr>
        <w:trPr>
          <w:trHeight w:val="329" w:hRule="atLeast"/>
        </w:trPr>
        <w:tc>
          <w:tcPr>
            <w:tcW w:w="685" w:type="dxa"/>
            <w:vAlign w:val="top"/>
            <w:vMerge w:val="continue"/>
            <w:tcBorders>
              <w:top w:val="nil"/>
              <w:bottom w:val="nil"/>
            </w:tcBorders>
          </w:tcPr>
          <w:p>
            <w:pPr>
              <w:rPr>
                <w:rFonts w:ascii="Arial"/>
                <w:sz w:val="21"/>
              </w:rPr>
            </w:pPr>
            <w:r/>
          </w:p>
        </w:tc>
        <w:tc>
          <w:tcPr>
            <w:tcW w:w="1409" w:type="dxa"/>
            <w:vAlign w:val="top"/>
          </w:tcPr>
          <w:p>
            <w:pPr>
              <w:pStyle w:val="TableText"/>
              <w:ind w:left="390"/>
              <w:spacing w:before="70" w:line="219" w:lineRule="auto"/>
              <w:rPr>
                <w:sz w:val="20"/>
                <w:szCs w:val="20"/>
              </w:rPr>
            </w:pPr>
            <w:r>
              <w:rPr>
                <w:sz w:val="20"/>
                <w:szCs w:val="20"/>
                <w:spacing w:val="-3"/>
              </w:rPr>
              <w:t>大沙村</w:t>
            </w:r>
          </w:p>
        </w:tc>
        <w:tc>
          <w:tcPr>
            <w:tcW w:w="2099" w:type="dxa"/>
            <w:vAlign w:val="top"/>
          </w:tcPr>
          <w:p>
            <w:pPr>
              <w:rPr>
                <w:rFonts w:ascii="Arial"/>
                <w:sz w:val="21"/>
              </w:rPr>
            </w:pPr>
            <w:r/>
          </w:p>
        </w:tc>
        <w:tc>
          <w:tcPr>
            <w:tcW w:w="2128" w:type="dxa"/>
            <w:vAlign w:val="top"/>
          </w:tcPr>
          <w:p>
            <w:pPr>
              <w:rPr>
                <w:rFonts w:ascii="Arial"/>
                <w:sz w:val="21"/>
              </w:rPr>
            </w:pPr>
            <w:r/>
          </w:p>
        </w:tc>
        <w:tc>
          <w:tcPr>
            <w:tcW w:w="1419" w:type="dxa"/>
            <w:vAlign w:val="top"/>
          </w:tcPr>
          <w:p>
            <w:pPr>
              <w:rPr>
                <w:rFonts w:ascii="Arial"/>
                <w:sz w:val="21"/>
              </w:rPr>
            </w:pPr>
            <w:r/>
          </w:p>
        </w:tc>
        <w:tc>
          <w:tcPr>
            <w:tcW w:w="2418" w:type="dxa"/>
            <w:vAlign w:val="top"/>
            <w:vMerge w:val="continue"/>
            <w:tcBorders>
              <w:top w:val="nil"/>
              <w:bottom w:val="nil"/>
            </w:tcBorders>
          </w:tcPr>
          <w:p>
            <w:pPr>
              <w:rPr>
                <w:rFonts w:ascii="Arial"/>
                <w:sz w:val="21"/>
              </w:rPr>
            </w:pPr>
            <w:r/>
          </w:p>
        </w:tc>
        <w:tc>
          <w:tcPr>
            <w:tcW w:w="1809" w:type="dxa"/>
            <w:vAlign w:val="top"/>
          </w:tcPr>
          <w:p>
            <w:pPr>
              <w:pStyle w:val="TableText"/>
              <w:ind w:left="697"/>
              <w:spacing w:before="71" w:line="219" w:lineRule="auto"/>
              <w:rPr>
                <w:sz w:val="20"/>
                <w:szCs w:val="20"/>
              </w:rPr>
            </w:pPr>
            <w:r>
              <w:rPr>
                <w:sz w:val="20"/>
                <w:szCs w:val="20"/>
                <w:spacing w:val="6"/>
              </w:rPr>
              <w:t>北侧</w:t>
            </w:r>
          </w:p>
        </w:tc>
        <w:tc>
          <w:tcPr>
            <w:tcW w:w="2153" w:type="dxa"/>
            <w:vAlign w:val="top"/>
          </w:tcPr>
          <w:p>
            <w:pPr>
              <w:pStyle w:val="TableText"/>
              <w:ind w:left="918"/>
              <w:spacing w:before="121" w:line="182" w:lineRule="auto"/>
              <w:rPr>
                <w:sz w:val="20"/>
                <w:szCs w:val="20"/>
              </w:rPr>
            </w:pPr>
            <w:r>
              <w:rPr>
                <w:sz w:val="20"/>
                <w:szCs w:val="20"/>
                <w:spacing w:val="-3"/>
              </w:rPr>
              <w:t>310</w:t>
            </w:r>
          </w:p>
        </w:tc>
      </w:tr>
      <w:tr>
        <w:trPr>
          <w:trHeight w:val="300" w:hRule="atLeast"/>
        </w:trPr>
        <w:tc>
          <w:tcPr>
            <w:tcW w:w="685" w:type="dxa"/>
            <w:vAlign w:val="top"/>
            <w:vMerge w:val="continue"/>
            <w:tcBorders>
              <w:top w:val="nil"/>
              <w:bottom w:val="nil"/>
            </w:tcBorders>
          </w:tcPr>
          <w:p>
            <w:pPr>
              <w:rPr>
                <w:rFonts w:ascii="Arial"/>
                <w:sz w:val="21"/>
              </w:rPr>
            </w:pPr>
            <w:r/>
          </w:p>
        </w:tc>
        <w:tc>
          <w:tcPr>
            <w:tcW w:w="1409" w:type="dxa"/>
            <w:vAlign w:val="top"/>
          </w:tcPr>
          <w:p>
            <w:pPr>
              <w:pStyle w:val="TableText"/>
              <w:ind w:left="390"/>
              <w:spacing w:before="51" w:line="219" w:lineRule="auto"/>
              <w:rPr>
                <w:sz w:val="20"/>
                <w:szCs w:val="20"/>
              </w:rPr>
            </w:pPr>
            <w:r>
              <w:rPr>
                <w:sz w:val="20"/>
                <w:szCs w:val="20"/>
                <w:spacing w:val="-2"/>
              </w:rPr>
              <w:t>池头村</w:t>
            </w:r>
          </w:p>
        </w:tc>
        <w:tc>
          <w:tcPr>
            <w:tcW w:w="2099" w:type="dxa"/>
            <w:vAlign w:val="top"/>
          </w:tcPr>
          <w:p>
            <w:pPr>
              <w:rPr>
                <w:rFonts w:ascii="Arial"/>
                <w:sz w:val="21"/>
              </w:rPr>
            </w:pPr>
            <w:r/>
          </w:p>
        </w:tc>
        <w:tc>
          <w:tcPr>
            <w:tcW w:w="2128" w:type="dxa"/>
            <w:vAlign w:val="top"/>
          </w:tcPr>
          <w:p>
            <w:pPr>
              <w:rPr>
                <w:rFonts w:ascii="Arial"/>
                <w:sz w:val="21"/>
              </w:rPr>
            </w:pPr>
            <w:r/>
          </w:p>
        </w:tc>
        <w:tc>
          <w:tcPr>
            <w:tcW w:w="1419" w:type="dxa"/>
            <w:vAlign w:val="top"/>
          </w:tcPr>
          <w:p>
            <w:pPr>
              <w:rPr>
                <w:rFonts w:ascii="Arial"/>
                <w:sz w:val="21"/>
              </w:rPr>
            </w:pPr>
            <w:r/>
          </w:p>
        </w:tc>
        <w:tc>
          <w:tcPr>
            <w:tcW w:w="2418" w:type="dxa"/>
            <w:vAlign w:val="top"/>
            <w:vMerge w:val="continue"/>
            <w:tcBorders>
              <w:top w:val="nil"/>
              <w:bottom w:val="nil"/>
            </w:tcBorders>
          </w:tcPr>
          <w:p>
            <w:pPr>
              <w:rPr>
                <w:rFonts w:ascii="Arial"/>
                <w:sz w:val="21"/>
              </w:rPr>
            </w:pPr>
            <w:r/>
          </w:p>
        </w:tc>
        <w:tc>
          <w:tcPr>
            <w:tcW w:w="1809" w:type="dxa"/>
            <w:vAlign w:val="top"/>
          </w:tcPr>
          <w:p>
            <w:pPr>
              <w:pStyle w:val="TableText"/>
              <w:ind w:left="597"/>
              <w:spacing w:before="52" w:line="219" w:lineRule="auto"/>
              <w:rPr>
                <w:sz w:val="20"/>
                <w:szCs w:val="20"/>
              </w:rPr>
            </w:pPr>
            <w:r>
              <w:rPr>
                <w:sz w:val="20"/>
                <w:szCs w:val="20"/>
                <w:spacing w:val="4"/>
              </w:rPr>
              <w:t>东北侧</w:t>
            </w:r>
          </w:p>
        </w:tc>
        <w:tc>
          <w:tcPr>
            <w:tcW w:w="2153" w:type="dxa"/>
            <w:vAlign w:val="top"/>
          </w:tcPr>
          <w:p>
            <w:pPr>
              <w:pStyle w:val="TableText"/>
              <w:ind w:left="918"/>
              <w:spacing w:before="103" w:line="172" w:lineRule="auto"/>
              <w:rPr>
                <w:sz w:val="20"/>
                <w:szCs w:val="20"/>
              </w:rPr>
            </w:pPr>
            <w:r>
              <w:rPr>
                <w:sz w:val="20"/>
                <w:szCs w:val="20"/>
                <w:spacing w:val="-3"/>
              </w:rPr>
              <w:t>290</w:t>
            </w:r>
          </w:p>
        </w:tc>
      </w:tr>
      <w:tr>
        <w:trPr>
          <w:trHeight w:val="330" w:hRule="atLeast"/>
        </w:trPr>
        <w:tc>
          <w:tcPr>
            <w:tcW w:w="685" w:type="dxa"/>
            <w:vAlign w:val="top"/>
            <w:vMerge w:val="continue"/>
            <w:tcBorders>
              <w:top w:val="nil"/>
              <w:bottom w:val="nil"/>
            </w:tcBorders>
          </w:tcPr>
          <w:p>
            <w:pPr>
              <w:rPr>
                <w:rFonts w:ascii="Arial"/>
                <w:sz w:val="21"/>
              </w:rPr>
            </w:pPr>
            <w:r/>
          </w:p>
        </w:tc>
        <w:tc>
          <w:tcPr>
            <w:tcW w:w="1409" w:type="dxa"/>
            <w:vAlign w:val="top"/>
          </w:tcPr>
          <w:p>
            <w:pPr>
              <w:pStyle w:val="TableText"/>
              <w:ind w:left="390"/>
              <w:spacing w:before="70" w:line="219" w:lineRule="auto"/>
              <w:rPr>
                <w:sz w:val="20"/>
                <w:szCs w:val="20"/>
              </w:rPr>
            </w:pPr>
            <w:r>
              <w:rPr>
                <w:sz w:val="20"/>
                <w:szCs w:val="20"/>
                <w:spacing w:val="-3"/>
              </w:rPr>
              <w:t>宝清村</w:t>
            </w:r>
          </w:p>
        </w:tc>
        <w:tc>
          <w:tcPr>
            <w:tcW w:w="2099" w:type="dxa"/>
            <w:vAlign w:val="top"/>
          </w:tcPr>
          <w:p>
            <w:pPr>
              <w:rPr>
                <w:rFonts w:ascii="Arial"/>
                <w:sz w:val="21"/>
              </w:rPr>
            </w:pPr>
            <w:r/>
          </w:p>
        </w:tc>
        <w:tc>
          <w:tcPr>
            <w:tcW w:w="2128" w:type="dxa"/>
            <w:vAlign w:val="top"/>
          </w:tcPr>
          <w:p>
            <w:pPr>
              <w:rPr>
                <w:rFonts w:ascii="Arial"/>
                <w:sz w:val="21"/>
              </w:rPr>
            </w:pPr>
            <w:r/>
          </w:p>
        </w:tc>
        <w:tc>
          <w:tcPr>
            <w:tcW w:w="1419" w:type="dxa"/>
            <w:vAlign w:val="top"/>
          </w:tcPr>
          <w:p>
            <w:pPr>
              <w:rPr>
                <w:rFonts w:ascii="Arial"/>
                <w:sz w:val="21"/>
              </w:rPr>
            </w:pPr>
            <w:r/>
          </w:p>
        </w:tc>
        <w:tc>
          <w:tcPr>
            <w:tcW w:w="2418" w:type="dxa"/>
            <w:vAlign w:val="top"/>
            <w:vMerge w:val="continue"/>
            <w:tcBorders>
              <w:top w:val="nil"/>
              <w:bottom w:val="nil"/>
            </w:tcBorders>
          </w:tcPr>
          <w:p>
            <w:pPr>
              <w:rPr>
                <w:rFonts w:ascii="Arial"/>
                <w:sz w:val="21"/>
              </w:rPr>
            </w:pPr>
            <w:r/>
          </w:p>
        </w:tc>
        <w:tc>
          <w:tcPr>
            <w:tcW w:w="1809" w:type="dxa"/>
            <w:vAlign w:val="top"/>
          </w:tcPr>
          <w:p>
            <w:pPr>
              <w:pStyle w:val="TableText"/>
              <w:ind w:left="697"/>
              <w:spacing w:before="72" w:line="219" w:lineRule="auto"/>
              <w:rPr>
                <w:sz w:val="20"/>
                <w:szCs w:val="20"/>
              </w:rPr>
            </w:pPr>
            <w:r>
              <w:rPr>
                <w:sz w:val="20"/>
                <w:szCs w:val="20"/>
                <w:spacing w:val="6"/>
              </w:rPr>
              <w:t>西侧</w:t>
            </w:r>
          </w:p>
        </w:tc>
        <w:tc>
          <w:tcPr>
            <w:tcW w:w="2153" w:type="dxa"/>
            <w:vAlign w:val="top"/>
          </w:tcPr>
          <w:p>
            <w:pPr>
              <w:pStyle w:val="TableText"/>
              <w:ind w:left="868"/>
              <w:spacing w:before="123" w:line="181" w:lineRule="auto"/>
              <w:rPr>
                <w:sz w:val="20"/>
                <w:szCs w:val="20"/>
              </w:rPr>
            </w:pPr>
            <w:r>
              <w:rPr>
                <w:sz w:val="20"/>
                <w:szCs w:val="20"/>
                <w:spacing w:val="-2"/>
              </w:rPr>
              <w:t>2205</w:t>
            </w:r>
          </w:p>
        </w:tc>
      </w:tr>
      <w:tr>
        <w:trPr>
          <w:trHeight w:val="350" w:hRule="atLeast"/>
        </w:trPr>
        <w:tc>
          <w:tcPr>
            <w:tcW w:w="685" w:type="dxa"/>
            <w:vAlign w:val="top"/>
            <w:vMerge w:val="continue"/>
            <w:tcBorders>
              <w:top w:val="nil"/>
              <w:bottom w:val="nil"/>
            </w:tcBorders>
          </w:tcPr>
          <w:p>
            <w:pPr>
              <w:rPr>
                <w:rFonts w:ascii="Arial"/>
                <w:sz w:val="21"/>
              </w:rPr>
            </w:pPr>
            <w:r/>
          </w:p>
        </w:tc>
        <w:tc>
          <w:tcPr>
            <w:tcW w:w="1409" w:type="dxa"/>
            <w:vAlign w:val="top"/>
          </w:tcPr>
          <w:p>
            <w:pPr>
              <w:pStyle w:val="TableText"/>
              <w:ind w:left="390"/>
              <w:spacing w:before="80" w:line="219" w:lineRule="auto"/>
              <w:rPr>
                <w:sz w:val="20"/>
                <w:szCs w:val="20"/>
              </w:rPr>
            </w:pPr>
            <w:r>
              <w:rPr>
                <w:sz w:val="20"/>
                <w:szCs w:val="20"/>
                <w:spacing w:val="-2"/>
              </w:rPr>
              <w:t>长沙村</w:t>
            </w:r>
          </w:p>
        </w:tc>
        <w:tc>
          <w:tcPr>
            <w:tcW w:w="5646" w:type="dxa"/>
            <w:vAlign w:val="top"/>
            <w:gridSpan w:val="3"/>
            <w:vMerge w:val="restart"/>
            <w:tcBorders>
              <w:bottom w:val="nil"/>
            </w:tcBorders>
          </w:tcPr>
          <w:p>
            <w:pPr>
              <w:pStyle w:val="TableText"/>
              <w:ind w:left="1654"/>
              <w:spacing w:before="230" w:line="219" w:lineRule="auto"/>
              <w:rPr>
                <w:sz w:val="25"/>
                <w:szCs w:val="25"/>
              </w:rPr>
            </w:pPr>
            <w:r>
              <w:rPr>
                <w:sz w:val="25"/>
                <w:szCs w:val="25"/>
                <w:b/>
                <w:bCs/>
                <w:spacing w:val="-4"/>
              </w:rPr>
              <w:t>涉公共安全，不予公开</w:t>
            </w:r>
          </w:p>
        </w:tc>
        <w:tc>
          <w:tcPr>
            <w:tcW w:w="2418" w:type="dxa"/>
            <w:vAlign w:val="top"/>
            <w:vMerge w:val="continue"/>
            <w:tcBorders>
              <w:top w:val="nil"/>
              <w:bottom w:val="nil"/>
            </w:tcBorders>
          </w:tcPr>
          <w:p>
            <w:pPr>
              <w:rPr>
                <w:rFonts w:ascii="Arial"/>
                <w:sz w:val="21"/>
              </w:rPr>
            </w:pPr>
            <w:r/>
          </w:p>
        </w:tc>
        <w:tc>
          <w:tcPr>
            <w:tcW w:w="1809" w:type="dxa"/>
            <w:vAlign w:val="top"/>
          </w:tcPr>
          <w:p>
            <w:pPr>
              <w:pStyle w:val="TableText"/>
              <w:ind w:left="697"/>
              <w:spacing w:before="82" w:line="219" w:lineRule="auto"/>
              <w:rPr>
                <w:sz w:val="20"/>
                <w:szCs w:val="20"/>
              </w:rPr>
            </w:pPr>
            <w:r>
              <w:rPr>
                <w:sz w:val="20"/>
                <w:szCs w:val="20"/>
                <w:spacing w:val="6"/>
              </w:rPr>
              <w:t>南侧</w:t>
            </w:r>
          </w:p>
        </w:tc>
        <w:tc>
          <w:tcPr>
            <w:tcW w:w="2153" w:type="dxa"/>
            <w:vAlign w:val="top"/>
          </w:tcPr>
          <w:p>
            <w:pPr>
              <w:pStyle w:val="TableText"/>
              <w:ind w:left="918"/>
              <w:spacing w:before="133" w:line="183" w:lineRule="auto"/>
              <w:rPr>
                <w:sz w:val="20"/>
                <w:szCs w:val="20"/>
              </w:rPr>
            </w:pPr>
            <w:r>
              <w:rPr>
                <w:sz w:val="20"/>
                <w:szCs w:val="20"/>
                <w:spacing w:val="-2"/>
              </w:rPr>
              <w:t>803</w:t>
            </w:r>
          </w:p>
        </w:tc>
      </w:tr>
      <w:tr>
        <w:trPr>
          <w:trHeight w:val="339" w:hRule="atLeast"/>
        </w:trPr>
        <w:tc>
          <w:tcPr>
            <w:tcW w:w="685" w:type="dxa"/>
            <w:vAlign w:val="top"/>
            <w:vMerge w:val="continue"/>
            <w:tcBorders>
              <w:top w:val="nil"/>
              <w:bottom w:val="nil"/>
            </w:tcBorders>
          </w:tcPr>
          <w:p>
            <w:pPr>
              <w:rPr>
                <w:rFonts w:ascii="Arial"/>
                <w:sz w:val="21"/>
              </w:rPr>
            </w:pPr>
            <w:r/>
          </w:p>
        </w:tc>
        <w:tc>
          <w:tcPr>
            <w:tcW w:w="1409" w:type="dxa"/>
            <w:vAlign w:val="top"/>
          </w:tcPr>
          <w:p>
            <w:pPr>
              <w:pStyle w:val="TableText"/>
              <w:ind w:left="290"/>
              <w:spacing w:before="71" w:line="219" w:lineRule="auto"/>
              <w:rPr>
                <w:sz w:val="20"/>
                <w:szCs w:val="20"/>
              </w:rPr>
            </w:pPr>
            <w:r>
              <w:rPr>
                <w:sz w:val="20"/>
                <w:szCs w:val="20"/>
                <w:spacing w:val="-2"/>
              </w:rPr>
              <w:t>大墓里村</w:t>
            </w:r>
          </w:p>
        </w:tc>
        <w:tc>
          <w:tcPr>
            <w:tcW w:w="5646" w:type="dxa"/>
            <w:vAlign w:val="top"/>
            <w:gridSpan w:val="3"/>
            <w:vMerge w:val="continue"/>
            <w:tcBorders>
              <w:top w:val="nil"/>
            </w:tcBorders>
          </w:tcPr>
          <w:p>
            <w:pPr>
              <w:rPr>
                <w:rFonts w:ascii="Arial"/>
                <w:sz w:val="21"/>
              </w:rPr>
            </w:pPr>
            <w:r/>
          </w:p>
        </w:tc>
        <w:tc>
          <w:tcPr>
            <w:tcW w:w="2418" w:type="dxa"/>
            <w:vAlign w:val="top"/>
            <w:vMerge w:val="continue"/>
            <w:tcBorders>
              <w:top w:val="nil"/>
              <w:bottom w:val="nil"/>
            </w:tcBorders>
          </w:tcPr>
          <w:p>
            <w:pPr>
              <w:rPr>
                <w:rFonts w:ascii="Arial"/>
                <w:sz w:val="21"/>
              </w:rPr>
            </w:pPr>
            <w:r/>
          </w:p>
        </w:tc>
        <w:tc>
          <w:tcPr>
            <w:tcW w:w="1809" w:type="dxa"/>
            <w:vAlign w:val="top"/>
          </w:tcPr>
          <w:p>
            <w:pPr>
              <w:pStyle w:val="TableText"/>
              <w:ind w:left="697"/>
              <w:spacing w:before="72" w:line="219" w:lineRule="auto"/>
              <w:rPr>
                <w:sz w:val="20"/>
                <w:szCs w:val="20"/>
              </w:rPr>
            </w:pPr>
            <w:r>
              <w:rPr>
                <w:sz w:val="20"/>
                <w:szCs w:val="20"/>
                <w:spacing w:val="6"/>
              </w:rPr>
              <w:t>南侧</w:t>
            </w:r>
          </w:p>
        </w:tc>
        <w:tc>
          <w:tcPr>
            <w:tcW w:w="2153" w:type="dxa"/>
            <w:vAlign w:val="top"/>
          </w:tcPr>
          <w:p>
            <w:pPr>
              <w:pStyle w:val="TableText"/>
              <w:ind w:left="868"/>
              <w:spacing w:before="123" w:line="183" w:lineRule="auto"/>
              <w:rPr>
                <w:sz w:val="20"/>
                <w:szCs w:val="20"/>
              </w:rPr>
            </w:pPr>
            <w:r>
              <w:rPr>
                <w:sz w:val="20"/>
                <w:szCs w:val="20"/>
                <w:spacing w:val="-2"/>
              </w:rPr>
              <w:t>2977</w:t>
            </w:r>
          </w:p>
        </w:tc>
      </w:tr>
      <w:tr>
        <w:trPr>
          <w:trHeight w:val="330" w:hRule="atLeast"/>
        </w:trPr>
        <w:tc>
          <w:tcPr>
            <w:tcW w:w="685" w:type="dxa"/>
            <w:vAlign w:val="top"/>
            <w:vMerge w:val="continue"/>
            <w:tcBorders>
              <w:top w:val="nil"/>
              <w:bottom w:val="nil"/>
            </w:tcBorders>
          </w:tcPr>
          <w:p>
            <w:pPr>
              <w:rPr>
                <w:rFonts w:ascii="Arial"/>
                <w:sz w:val="21"/>
              </w:rPr>
            </w:pPr>
            <w:r/>
          </w:p>
        </w:tc>
        <w:tc>
          <w:tcPr>
            <w:tcW w:w="1409" w:type="dxa"/>
            <w:vAlign w:val="top"/>
          </w:tcPr>
          <w:p>
            <w:pPr>
              <w:pStyle w:val="TableText"/>
              <w:ind w:left="290"/>
              <w:spacing w:before="72" w:line="219" w:lineRule="auto"/>
              <w:rPr>
                <w:sz w:val="20"/>
                <w:szCs w:val="20"/>
              </w:rPr>
            </w:pPr>
            <w:r>
              <w:rPr>
                <w:sz w:val="20"/>
                <w:szCs w:val="20"/>
                <w:spacing w:val="-2"/>
              </w:rPr>
              <w:t>沙塘里村</w:t>
            </w:r>
          </w:p>
        </w:tc>
        <w:tc>
          <w:tcPr>
            <w:tcW w:w="2099" w:type="dxa"/>
            <w:vAlign w:val="top"/>
          </w:tcPr>
          <w:p>
            <w:pPr>
              <w:rPr>
                <w:rFonts w:ascii="Arial"/>
                <w:sz w:val="21"/>
              </w:rPr>
            </w:pPr>
            <w:r/>
          </w:p>
        </w:tc>
        <w:tc>
          <w:tcPr>
            <w:tcW w:w="2128" w:type="dxa"/>
            <w:vAlign w:val="top"/>
          </w:tcPr>
          <w:p>
            <w:pPr>
              <w:rPr>
                <w:rFonts w:ascii="Arial"/>
                <w:sz w:val="21"/>
              </w:rPr>
            </w:pPr>
            <w:r/>
          </w:p>
        </w:tc>
        <w:tc>
          <w:tcPr>
            <w:tcW w:w="1419" w:type="dxa"/>
            <w:vAlign w:val="top"/>
          </w:tcPr>
          <w:p>
            <w:pPr>
              <w:rPr>
                <w:rFonts w:ascii="Arial"/>
                <w:sz w:val="21"/>
              </w:rPr>
            </w:pPr>
            <w:r/>
          </w:p>
        </w:tc>
        <w:tc>
          <w:tcPr>
            <w:tcW w:w="2418" w:type="dxa"/>
            <w:vAlign w:val="top"/>
            <w:vMerge w:val="continue"/>
            <w:tcBorders>
              <w:top w:val="nil"/>
              <w:bottom w:val="nil"/>
            </w:tcBorders>
          </w:tcPr>
          <w:p>
            <w:pPr>
              <w:rPr>
                <w:rFonts w:ascii="Arial"/>
                <w:sz w:val="21"/>
              </w:rPr>
            </w:pPr>
            <w:r/>
          </w:p>
        </w:tc>
        <w:tc>
          <w:tcPr>
            <w:tcW w:w="1809" w:type="dxa"/>
            <w:vAlign w:val="top"/>
          </w:tcPr>
          <w:p>
            <w:pPr>
              <w:pStyle w:val="TableText"/>
              <w:ind w:left="697"/>
              <w:spacing w:before="73" w:line="219" w:lineRule="auto"/>
              <w:rPr>
                <w:sz w:val="20"/>
                <w:szCs w:val="20"/>
              </w:rPr>
            </w:pPr>
            <w:r>
              <w:rPr>
                <w:sz w:val="20"/>
                <w:szCs w:val="20"/>
                <w:spacing w:val="6"/>
              </w:rPr>
              <w:t>南侧</w:t>
            </w:r>
          </w:p>
        </w:tc>
        <w:tc>
          <w:tcPr>
            <w:tcW w:w="2153" w:type="dxa"/>
            <w:vAlign w:val="top"/>
          </w:tcPr>
          <w:p>
            <w:pPr>
              <w:pStyle w:val="TableText"/>
              <w:ind w:left="868"/>
              <w:spacing w:before="125" w:line="180" w:lineRule="auto"/>
              <w:rPr>
                <w:sz w:val="20"/>
                <w:szCs w:val="20"/>
              </w:rPr>
            </w:pPr>
            <w:r>
              <w:rPr>
                <w:sz w:val="20"/>
                <w:szCs w:val="20"/>
                <w:spacing w:val="-2"/>
              </w:rPr>
              <w:t>2976</w:t>
            </w:r>
          </w:p>
        </w:tc>
      </w:tr>
      <w:tr>
        <w:trPr>
          <w:trHeight w:val="339" w:hRule="atLeast"/>
        </w:trPr>
        <w:tc>
          <w:tcPr>
            <w:tcW w:w="685" w:type="dxa"/>
            <w:vAlign w:val="top"/>
            <w:vMerge w:val="continue"/>
            <w:tcBorders>
              <w:top w:val="nil"/>
              <w:bottom w:val="nil"/>
            </w:tcBorders>
          </w:tcPr>
          <w:p>
            <w:pPr>
              <w:rPr>
                <w:rFonts w:ascii="Arial"/>
                <w:sz w:val="21"/>
              </w:rPr>
            </w:pPr>
            <w:r/>
          </w:p>
        </w:tc>
        <w:tc>
          <w:tcPr>
            <w:tcW w:w="1409" w:type="dxa"/>
            <w:vAlign w:val="top"/>
          </w:tcPr>
          <w:p>
            <w:pPr>
              <w:pStyle w:val="TableText"/>
              <w:ind w:left="290"/>
              <w:spacing w:before="72" w:line="219" w:lineRule="auto"/>
              <w:rPr>
                <w:sz w:val="20"/>
                <w:szCs w:val="20"/>
              </w:rPr>
            </w:pPr>
            <w:r>
              <w:rPr>
                <w:sz w:val="20"/>
                <w:szCs w:val="20"/>
                <w:spacing w:val="-2"/>
              </w:rPr>
              <w:t>沙塘街村</w:t>
            </w:r>
          </w:p>
        </w:tc>
        <w:tc>
          <w:tcPr>
            <w:tcW w:w="2099" w:type="dxa"/>
            <w:vAlign w:val="top"/>
          </w:tcPr>
          <w:p>
            <w:pPr>
              <w:rPr>
                <w:rFonts w:ascii="Arial"/>
                <w:sz w:val="21"/>
              </w:rPr>
            </w:pPr>
            <w:r/>
          </w:p>
        </w:tc>
        <w:tc>
          <w:tcPr>
            <w:tcW w:w="2128" w:type="dxa"/>
            <w:vAlign w:val="top"/>
          </w:tcPr>
          <w:p>
            <w:pPr>
              <w:rPr>
                <w:rFonts w:ascii="Arial"/>
                <w:sz w:val="21"/>
              </w:rPr>
            </w:pPr>
            <w:r/>
          </w:p>
        </w:tc>
        <w:tc>
          <w:tcPr>
            <w:tcW w:w="1419" w:type="dxa"/>
            <w:vAlign w:val="top"/>
          </w:tcPr>
          <w:p>
            <w:pPr>
              <w:rPr>
                <w:rFonts w:ascii="Arial"/>
                <w:sz w:val="21"/>
              </w:rPr>
            </w:pPr>
            <w:r/>
          </w:p>
        </w:tc>
        <w:tc>
          <w:tcPr>
            <w:tcW w:w="2418" w:type="dxa"/>
            <w:vAlign w:val="top"/>
            <w:vMerge w:val="continue"/>
            <w:tcBorders>
              <w:top w:val="nil"/>
              <w:bottom w:val="nil"/>
            </w:tcBorders>
          </w:tcPr>
          <w:p>
            <w:pPr>
              <w:rPr>
                <w:rFonts w:ascii="Arial"/>
                <w:sz w:val="21"/>
              </w:rPr>
            </w:pPr>
            <w:r/>
          </w:p>
        </w:tc>
        <w:tc>
          <w:tcPr>
            <w:tcW w:w="1809" w:type="dxa"/>
            <w:vAlign w:val="top"/>
          </w:tcPr>
          <w:p>
            <w:pPr>
              <w:pStyle w:val="TableText"/>
              <w:ind w:left="697"/>
              <w:spacing w:before="73" w:line="219" w:lineRule="auto"/>
              <w:rPr>
                <w:sz w:val="20"/>
                <w:szCs w:val="20"/>
              </w:rPr>
            </w:pPr>
            <w:r>
              <w:rPr>
                <w:sz w:val="20"/>
                <w:szCs w:val="20"/>
                <w:spacing w:val="6"/>
              </w:rPr>
              <w:t>南侧</w:t>
            </w:r>
          </w:p>
        </w:tc>
        <w:tc>
          <w:tcPr>
            <w:tcW w:w="2153" w:type="dxa"/>
            <w:vAlign w:val="top"/>
          </w:tcPr>
          <w:p>
            <w:pPr>
              <w:pStyle w:val="TableText"/>
              <w:ind w:left="868"/>
              <w:spacing w:before="124" w:line="183" w:lineRule="auto"/>
              <w:rPr>
                <w:sz w:val="20"/>
                <w:szCs w:val="20"/>
              </w:rPr>
            </w:pPr>
            <w:r>
              <w:rPr>
                <w:sz w:val="20"/>
                <w:szCs w:val="20"/>
                <w:spacing w:val="-3"/>
              </w:rPr>
              <w:t>3345</w:t>
            </w:r>
          </w:p>
        </w:tc>
      </w:tr>
      <w:tr>
        <w:trPr>
          <w:trHeight w:val="359" w:hRule="atLeast"/>
        </w:trPr>
        <w:tc>
          <w:tcPr>
            <w:tcW w:w="685" w:type="dxa"/>
            <w:vAlign w:val="top"/>
            <w:vMerge w:val="continue"/>
            <w:tcBorders>
              <w:top w:val="nil"/>
              <w:bottom w:val="nil"/>
            </w:tcBorders>
          </w:tcPr>
          <w:p>
            <w:pPr>
              <w:rPr>
                <w:rFonts w:ascii="Arial"/>
                <w:sz w:val="21"/>
              </w:rPr>
            </w:pPr>
            <w:r/>
          </w:p>
        </w:tc>
        <w:tc>
          <w:tcPr>
            <w:tcW w:w="1409" w:type="dxa"/>
            <w:vAlign w:val="top"/>
          </w:tcPr>
          <w:p>
            <w:pPr>
              <w:pStyle w:val="TableText"/>
              <w:ind w:left="390"/>
              <w:spacing w:before="83" w:line="219" w:lineRule="auto"/>
              <w:rPr>
                <w:sz w:val="20"/>
                <w:szCs w:val="20"/>
              </w:rPr>
            </w:pPr>
            <w:r>
              <w:rPr>
                <w:sz w:val="20"/>
                <w:szCs w:val="20"/>
                <w:spacing w:val="3"/>
              </w:rPr>
              <w:t>古县村</w:t>
            </w:r>
          </w:p>
        </w:tc>
        <w:tc>
          <w:tcPr>
            <w:tcW w:w="2099" w:type="dxa"/>
            <w:vAlign w:val="top"/>
          </w:tcPr>
          <w:p>
            <w:pPr>
              <w:rPr>
                <w:rFonts w:ascii="Arial"/>
                <w:sz w:val="21"/>
              </w:rPr>
            </w:pPr>
            <w:r/>
          </w:p>
        </w:tc>
        <w:tc>
          <w:tcPr>
            <w:tcW w:w="2128" w:type="dxa"/>
            <w:vAlign w:val="top"/>
          </w:tcPr>
          <w:p>
            <w:pPr>
              <w:rPr>
                <w:rFonts w:ascii="Arial"/>
                <w:sz w:val="21"/>
              </w:rPr>
            </w:pPr>
            <w:r/>
          </w:p>
        </w:tc>
        <w:tc>
          <w:tcPr>
            <w:tcW w:w="1419" w:type="dxa"/>
            <w:vAlign w:val="top"/>
          </w:tcPr>
          <w:p>
            <w:pPr>
              <w:rPr>
                <w:rFonts w:ascii="Arial"/>
                <w:sz w:val="21"/>
              </w:rPr>
            </w:pPr>
            <w:r/>
          </w:p>
        </w:tc>
        <w:tc>
          <w:tcPr>
            <w:tcW w:w="2418" w:type="dxa"/>
            <w:vAlign w:val="top"/>
            <w:vMerge w:val="continue"/>
            <w:tcBorders>
              <w:top w:val="nil"/>
              <w:bottom w:val="nil"/>
            </w:tcBorders>
          </w:tcPr>
          <w:p>
            <w:pPr>
              <w:rPr>
                <w:rFonts w:ascii="Arial"/>
                <w:sz w:val="21"/>
              </w:rPr>
            </w:pPr>
            <w:r/>
          </w:p>
        </w:tc>
        <w:tc>
          <w:tcPr>
            <w:tcW w:w="1809" w:type="dxa"/>
            <w:vAlign w:val="top"/>
          </w:tcPr>
          <w:p>
            <w:pPr>
              <w:pStyle w:val="TableText"/>
              <w:ind w:left="697"/>
              <w:spacing w:before="84" w:line="219" w:lineRule="auto"/>
              <w:rPr>
                <w:sz w:val="20"/>
                <w:szCs w:val="20"/>
              </w:rPr>
            </w:pPr>
            <w:r>
              <w:rPr>
                <w:sz w:val="20"/>
                <w:szCs w:val="20"/>
                <w:spacing w:val="6"/>
              </w:rPr>
              <w:t>南侧</w:t>
            </w:r>
          </w:p>
        </w:tc>
        <w:tc>
          <w:tcPr>
            <w:tcW w:w="2153" w:type="dxa"/>
            <w:vAlign w:val="top"/>
          </w:tcPr>
          <w:p>
            <w:pPr>
              <w:pStyle w:val="TableText"/>
              <w:ind w:left="868"/>
              <w:spacing w:before="135" w:line="183" w:lineRule="auto"/>
              <w:rPr>
                <w:sz w:val="20"/>
                <w:szCs w:val="20"/>
              </w:rPr>
            </w:pPr>
            <w:r>
              <w:rPr>
                <w:sz w:val="20"/>
                <w:szCs w:val="20"/>
                <w:spacing w:val="-2"/>
              </w:rPr>
              <w:t>4234</w:t>
            </w:r>
          </w:p>
        </w:tc>
      </w:tr>
      <w:tr>
        <w:trPr>
          <w:trHeight w:val="330" w:hRule="atLeast"/>
        </w:trPr>
        <w:tc>
          <w:tcPr>
            <w:tcW w:w="685" w:type="dxa"/>
            <w:vAlign w:val="top"/>
            <w:vMerge w:val="continue"/>
            <w:tcBorders>
              <w:top w:val="nil"/>
              <w:bottom w:val="nil"/>
            </w:tcBorders>
          </w:tcPr>
          <w:p>
            <w:pPr>
              <w:rPr>
                <w:rFonts w:ascii="Arial"/>
                <w:sz w:val="21"/>
              </w:rPr>
            </w:pPr>
            <w:r/>
          </w:p>
        </w:tc>
        <w:tc>
          <w:tcPr>
            <w:tcW w:w="1409" w:type="dxa"/>
            <w:vAlign w:val="top"/>
          </w:tcPr>
          <w:p>
            <w:pPr>
              <w:pStyle w:val="TableText"/>
              <w:ind w:left="390"/>
              <w:spacing w:before="73" w:line="219" w:lineRule="auto"/>
              <w:rPr>
                <w:sz w:val="20"/>
                <w:szCs w:val="20"/>
              </w:rPr>
            </w:pPr>
            <w:r>
              <w:rPr>
                <w:sz w:val="20"/>
                <w:szCs w:val="20"/>
                <w:spacing w:val="-2"/>
              </w:rPr>
              <w:t>青福村</w:t>
            </w:r>
          </w:p>
        </w:tc>
        <w:tc>
          <w:tcPr>
            <w:tcW w:w="2099" w:type="dxa"/>
            <w:vAlign w:val="top"/>
          </w:tcPr>
          <w:p>
            <w:pPr>
              <w:rPr>
                <w:rFonts w:ascii="Arial"/>
                <w:sz w:val="21"/>
              </w:rPr>
            </w:pPr>
            <w:r/>
          </w:p>
        </w:tc>
        <w:tc>
          <w:tcPr>
            <w:tcW w:w="2128" w:type="dxa"/>
            <w:vAlign w:val="top"/>
          </w:tcPr>
          <w:p>
            <w:pPr>
              <w:rPr>
                <w:rFonts w:ascii="Arial"/>
                <w:sz w:val="21"/>
              </w:rPr>
            </w:pPr>
            <w:r/>
          </w:p>
        </w:tc>
        <w:tc>
          <w:tcPr>
            <w:tcW w:w="1419" w:type="dxa"/>
            <w:vAlign w:val="top"/>
          </w:tcPr>
          <w:p>
            <w:pPr>
              <w:rPr>
                <w:rFonts w:ascii="Arial"/>
                <w:sz w:val="21"/>
              </w:rPr>
            </w:pPr>
            <w:r/>
          </w:p>
        </w:tc>
        <w:tc>
          <w:tcPr>
            <w:tcW w:w="2418" w:type="dxa"/>
            <w:vAlign w:val="top"/>
            <w:vMerge w:val="continue"/>
            <w:tcBorders>
              <w:top w:val="nil"/>
              <w:bottom w:val="nil"/>
            </w:tcBorders>
          </w:tcPr>
          <w:p>
            <w:pPr>
              <w:rPr>
                <w:rFonts w:ascii="Arial"/>
                <w:sz w:val="21"/>
              </w:rPr>
            </w:pPr>
            <w:r/>
          </w:p>
        </w:tc>
        <w:tc>
          <w:tcPr>
            <w:tcW w:w="1809" w:type="dxa"/>
            <w:vAlign w:val="top"/>
          </w:tcPr>
          <w:p>
            <w:pPr>
              <w:pStyle w:val="TableText"/>
              <w:ind w:left="597"/>
              <w:spacing w:before="75" w:line="219" w:lineRule="auto"/>
              <w:rPr>
                <w:sz w:val="20"/>
                <w:szCs w:val="20"/>
              </w:rPr>
            </w:pPr>
            <w:r>
              <w:rPr>
                <w:sz w:val="20"/>
                <w:szCs w:val="20"/>
                <w:spacing w:val="4"/>
              </w:rPr>
              <w:t>西北侧</w:t>
            </w:r>
          </w:p>
        </w:tc>
        <w:tc>
          <w:tcPr>
            <w:tcW w:w="2153" w:type="dxa"/>
            <w:vAlign w:val="top"/>
          </w:tcPr>
          <w:p>
            <w:pPr>
              <w:pStyle w:val="TableText"/>
              <w:ind w:left="868"/>
              <w:spacing w:before="127" w:line="178" w:lineRule="auto"/>
              <w:rPr>
                <w:sz w:val="20"/>
                <w:szCs w:val="20"/>
              </w:rPr>
            </w:pPr>
            <w:r>
              <w:rPr>
                <w:sz w:val="20"/>
                <w:szCs w:val="20"/>
                <w:spacing w:val="-2"/>
              </w:rPr>
              <w:t>4602</w:t>
            </w:r>
          </w:p>
        </w:tc>
      </w:tr>
      <w:tr>
        <w:trPr>
          <w:trHeight w:val="330" w:hRule="atLeast"/>
        </w:trPr>
        <w:tc>
          <w:tcPr>
            <w:tcW w:w="685" w:type="dxa"/>
            <w:vAlign w:val="top"/>
            <w:vMerge w:val="continue"/>
            <w:tcBorders>
              <w:top w:val="nil"/>
              <w:bottom w:val="nil"/>
            </w:tcBorders>
          </w:tcPr>
          <w:p>
            <w:pPr>
              <w:rPr>
                <w:rFonts w:ascii="Arial"/>
                <w:sz w:val="21"/>
              </w:rPr>
            </w:pPr>
            <w:r/>
          </w:p>
        </w:tc>
        <w:tc>
          <w:tcPr>
            <w:tcW w:w="1409" w:type="dxa"/>
            <w:vAlign w:val="top"/>
          </w:tcPr>
          <w:p>
            <w:pPr>
              <w:pStyle w:val="TableText"/>
              <w:ind w:left="390"/>
              <w:spacing w:before="73" w:line="219" w:lineRule="auto"/>
              <w:rPr>
                <w:sz w:val="20"/>
                <w:szCs w:val="20"/>
              </w:rPr>
            </w:pPr>
            <w:r>
              <w:rPr>
                <w:sz w:val="20"/>
                <w:szCs w:val="20"/>
                <w:spacing w:val="-2"/>
              </w:rPr>
              <w:t>墓斗村</w:t>
            </w:r>
          </w:p>
        </w:tc>
        <w:tc>
          <w:tcPr>
            <w:tcW w:w="2099" w:type="dxa"/>
            <w:vAlign w:val="top"/>
          </w:tcPr>
          <w:p>
            <w:pPr>
              <w:rPr>
                <w:rFonts w:ascii="Arial"/>
                <w:sz w:val="21"/>
              </w:rPr>
            </w:pPr>
            <w:r/>
          </w:p>
        </w:tc>
        <w:tc>
          <w:tcPr>
            <w:tcW w:w="2128" w:type="dxa"/>
            <w:vAlign w:val="top"/>
          </w:tcPr>
          <w:p>
            <w:pPr>
              <w:rPr>
                <w:rFonts w:ascii="Arial"/>
                <w:sz w:val="21"/>
              </w:rPr>
            </w:pPr>
            <w:r/>
          </w:p>
        </w:tc>
        <w:tc>
          <w:tcPr>
            <w:tcW w:w="1419" w:type="dxa"/>
            <w:vAlign w:val="top"/>
          </w:tcPr>
          <w:p>
            <w:pPr>
              <w:rPr>
                <w:rFonts w:ascii="Arial"/>
                <w:sz w:val="21"/>
              </w:rPr>
            </w:pPr>
            <w:r/>
          </w:p>
        </w:tc>
        <w:tc>
          <w:tcPr>
            <w:tcW w:w="2418" w:type="dxa"/>
            <w:vAlign w:val="top"/>
            <w:vMerge w:val="continue"/>
            <w:tcBorders>
              <w:top w:val="nil"/>
              <w:bottom w:val="nil"/>
            </w:tcBorders>
          </w:tcPr>
          <w:p>
            <w:pPr>
              <w:rPr>
                <w:rFonts w:ascii="Arial"/>
                <w:sz w:val="21"/>
              </w:rPr>
            </w:pPr>
            <w:r/>
          </w:p>
        </w:tc>
        <w:tc>
          <w:tcPr>
            <w:tcW w:w="1809" w:type="dxa"/>
            <w:vAlign w:val="top"/>
          </w:tcPr>
          <w:p>
            <w:pPr>
              <w:pStyle w:val="TableText"/>
              <w:ind w:left="597"/>
              <w:spacing w:before="75" w:line="219" w:lineRule="auto"/>
              <w:rPr>
                <w:sz w:val="20"/>
                <w:szCs w:val="20"/>
              </w:rPr>
            </w:pPr>
            <w:r>
              <w:rPr>
                <w:sz w:val="20"/>
                <w:szCs w:val="20"/>
                <w:spacing w:val="4"/>
              </w:rPr>
              <w:t>西北侧</w:t>
            </w:r>
          </w:p>
        </w:tc>
        <w:tc>
          <w:tcPr>
            <w:tcW w:w="2153" w:type="dxa"/>
            <w:vAlign w:val="top"/>
          </w:tcPr>
          <w:p>
            <w:pPr>
              <w:pStyle w:val="TableText"/>
              <w:ind w:left="868"/>
              <w:spacing w:before="126" w:line="179" w:lineRule="auto"/>
              <w:rPr>
                <w:sz w:val="20"/>
                <w:szCs w:val="20"/>
              </w:rPr>
            </w:pPr>
            <w:r>
              <w:rPr>
                <w:sz w:val="20"/>
                <w:szCs w:val="20"/>
                <w:spacing w:val="-3"/>
              </w:rPr>
              <w:t>3910</w:t>
            </w:r>
          </w:p>
        </w:tc>
      </w:tr>
      <w:tr>
        <w:trPr>
          <w:trHeight w:val="359" w:hRule="atLeast"/>
        </w:trPr>
        <w:tc>
          <w:tcPr>
            <w:tcW w:w="685" w:type="dxa"/>
            <w:vAlign w:val="top"/>
            <w:vMerge w:val="continue"/>
            <w:tcBorders>
              <w:top w:val="nil"/>
              <w:bottom w:val="nil"/>
            </w:tcBorders>
          </w:tcPr>
          <w:p>
            <w:pPr>
              <w:rPr>
                <w:rFonts w:ascii="Arial"/>
                <w:sz w:val="21"/>
              </w:rPr>
            </w:pPr>
            <w:r/>
          </w:p>
        </w:tc>
        <w:tc>
          <w:tcPr>
            <w:tcW w:w="1409" w:type="dxa"/>
            <w:vAlign w:val="top"/>
          </w:tcPr>
          <w:p>
            <w:pPr>
              <w:pStyle w:val="TableText"/>
              <w:ind w:left="390"/>
              <w:spacing w:before="84" w:line="219" w:lineRule="auto"/>
              <w:rPr>
                <w:sz w:val="20"/>
                <w:szCs w:val="20"/>
              </w:rPr>
            </w:pPr>
            <w:r>
              <w:rPr>
                <w:sz w:val="20"/>
                <w:szCs w:val="20"/>
                <w:spacing w:val="-2"/>
              </w:rPr>
              <w:t>玉潭村</w:t>
            </w:r>
          </w:p>
        </w:tc>
        <w:tc>
          <w:tcPr>
            <w:tcW w:w="2099" w:type="dxa"/>
            <w:vAlign w:val="top"/>
          </w:tcPr>
          <w:p>
            <w:pPr>
              <w:rPr>
                <w:rFonts w:ascii="Arial"/>
                <w:sz w:val="21"/>
              </w:rPr>
            </w:pPr>
            <w:r/>
          </w:p>
        </w:tc>
        <w:tc>
          <w:tcPr>
            <w:tcW w:w="2128" w:type="dxa"/>
            <w:vAlign w:val="top"/>
          </w:tcPr>
          <w:p>
            <w:pPr>
              <w:rPr>
                <w:rFonts w:ascii="Arial"/>
                <w:sz w:val="21"/>
              </w:rPr>
            </w:pPr>
            <w:r/>
          </w:p>
        </w:tc>
        <w:tc>
          <w:tcPr>
            <w:tcW w:w="1419" w:type="dxa"/>
            <w:vAlign w:val="top"/>
          </w:tcPr>
          <w:p>
            <w:pPr>
              <w:rPr>
                <w:rFonts w:ascii="Arial"/>
                <w:sz w:val="21"/>
              </w:rPr>
            </w:pPr>
            <w:r/>
          </w:p>
        </w:tc>
        <w:tc>
          <w:tcPr>
            <w:tcW w:w="2418" w:type="dxa"/>
            <w:vAlign w:val="top"/>
            <w:vMerge w:val="continue"/>
            <w:tcBorders>
              <w:top w:val="nil"/>
              <w:bottom w:val="nil"/>
            </w:tcBorders>
          </w:tcPr>
          <w:p>
            <w:pPr>
              <w:rPr>
                <w:rFonts w:ascii="Arial"/>
                <w:sz w:val="21"/>
              </w:rPr>
            </w:pPr>
            <w:r/>
          </w:p>
        </w:tc>
        <w:tc>
          <w:tcPr>
            <w:tcW w:w="1809" w:type="dxa"/>
            <w:vAlign w:val="top"/>
          </w:tcPr>
          <w:p>
            <w:pPr>
              <w:pStyle w:val="TableText"/>
              <w:ind w:left="697"/>
              <w:spacing w:before="85" w:line="219" w:lineRule="auto"/>
              <w:rPr>
                <w:sz w:val="20"/>
                <w:szCs w:val="20"/>
              </w:rPr>
            </w:pPr>
            <w:r>
              <w:rPr>
                <w:sz w:val="20"/>
                <w:szCs w:val="20"/>
                <w:spacing w:val="6"/>
              </w:rPr>
              <w:t>北侧</w:t>
            </w:r>
          </w:p>
        </w:tc>
        <w:tc>
          <w:tcPr>
            <w:tcW w:w="2153" w:type="dxa"/>
            <w:vAlign w:val="top"/>
          </w:tcPr>
          <w:p>
            <w:pPr>
              <w:pStyle w:val="TableText"/>
              <w:ind w:left="868"/>
              <w:spacing w:before="135" w:line="184" w:lineRule="auto"/>
              <w:rPr>
                <w:sz w:val="20"/>
                <w:szCs w:val="20"/>
              </w:rPr>
            </w:pPr>
            <w:r>
              <w:rPr>
                <w:sz w:val="20"/>
                <w:szCs w:val="20"/>
                <w:spacing w:val="-5"/>
              </w:rPr>
              <w:t>1327</w:t>
            </w:r>
          </w:p>
        </w:tc>
      </w:tr>
      <w:tr>
        <w:trPr>
          <w:trHeight w:val="330" w:hRule="atLeast"/>
        </w:trPr>
        <w:tc>
          <w:tcPr>
            <w:tcW w:w="685" w:type="dxa"/>
            <w:vAlign w:val="top"/>
            <w:vMerge w:val="continue"/>
            <w:tcBorders>
              <w:top w:val="nil"/>
              <w:bottom w:val="nil"/>
            </w:tcBorders>
          </w:tcPr>
          <w:p>
            <w:pPr>
              <w:rPr>
                <w:rFonts w:ascii="Arial"/>
                <w:sz w:val="21"/>
              </w:rPr>
            </w:pPr>
            <w:r/>
          </w:p>
        </w:tc>
        <w:tc>
          <w:tcPr>
            <w:tcW w:w="1409" w:type="dxa"/>
            <w:vAlign w:val="top"/>
          </w:tcPr>
          <w:p>
            <w:pPr>
              <w:pStyle w:val="TableText"/>
              <w:ind w:left="390"/>
              <w:spacing w:before="75" w:line="219" w:lineRule="auto"/>
              <w:rPr>
                <w:sz w:val="20"/>
                <w:szCs w:val="20"/>
              </w:rPr>
            </w:pPr>
            <w:r>
              <w:rPr>
                <w:sz w:val="20"/>
                <w:szCs w:val="20"/>
                <w:spacing w:val="3"/>
              </w:rPr>
              <w:t>小沙村</w:t>
            </w:r>
          </w:p>
        </w:tc>
        <w:tc>
          <w:tcPr>
            <w:tcW w:w="2099" w:type="dxa"/>
            <w:vAlign w:val="top"/>
          </w:tcPr>
          <w:p>
            <w:pPr>
              <w:rPr>
                <w:rFonts w:ascii="Arial"/>
                <w:sz w:val="21"/>
              </w:rPr>
            </w:pPr>
            <w:r/>
          </w:p>
        </w:tc>
        <w:tc>
          <w:tcPr>
            <w:tcW w:w="2128" w:type="dxa"/>
            <w:vAlign w:val="top"/>
          </w:tcPr>
          <w:p>
            <w:pPr>
              <w:rPr>
                <w:rFonts w:ascii="Arial"/>
                <w:sz w:val="21"/>
              </w:rPr>
            </w:pPr>
            <w:r/>
          </w:p>
        </w:tc>
        <w:tc>
          <w:tcPr>
            <w:tcW w:w="1419" w:type="dxa"/>
            <w:vAlign w:val="top"/>
          </w:tcPr>
          <w:p>
            <w:pPr>
              <w:rPr>
                <w:rFonts w:ascii="Arial"/>
                <w:sz w:val="21"/>
              </w:rPr>
            </w:pPr>
            <w:r/>
          </w:p>
        </w:tc>
        <w:tc>
          <w:tcPr>
            <w:tcW w:w="2418" w:type="dxa"/>
            <w:vAlign w:val="top"/>
            <w:vMerge w:val="continue"/>
            <w:tcBorders>
              <w:top w:val="nil"/>
              <w:bottom w:val="nil"/>
            </w:tcBorders>
          </w:tcPr>
          <w:p>
            <w:pPr>
              <w:rPr>
                <w:rFonts w:ascii="Arial"/>
                <w:sz w:val="21"/>
              </w:rPr>
            </w:pPr>
            <w:r/>
          </w:p>
        </w:tc>
        <w:tc>
          <w:tcPr>
            <w:tcW w:w="1809" w:type="dxa"/>
            <w:vAlign w:val="top"/>
          </w:tcPr>
          <w:p>
            <w:pPr>
              <w:pStyle w:val="TableText"/>
              <w:ind w:left="597"/>
              <w:spacing w:before="76" w:line="219" w:lineRule="auto"/>
              <w:rPr>
                <w:sz w:val="20"/>
                <w:szCs w:val="20"/>
              </w:rPr>
            </w:pPr>
            <w:r>
              <w:rPr>
                <w:sz w:val="20"/>
                <w:szCs w:val="20"/>
                <w:spacing w:val="4"/>
              </w:rPr>
              <w:t>东北侧</w:t>
            </w:r>
          </w:p>
        </w:tc>
        <w:tc>
          <w:tcPr>
            <w:tcW w:w="2153" w:type="dxa"/>
            <w:vAlign w:val="top"/>
          </w:tcPr>
          <w:p>
            <w:pPr>
              <w:pStyle w:val="TableText"/>
              <w:ind w:left="868"/>
              <w:spacing w:before="127" w:line="178" w:lineRule="auto"/>
              <w:rPr>
                <w:sz w:val="20"/>
                <w:szCs w:val="20"/>
              </w:rPr>
            </w:pPr>
            <w:r>
              <w:rPr>
                <w:sz w:val="20"/>
                <w:szCs w:val="20"/>
                <w:spacing w:val="-5"/>
              </w:rPr>
              <w:t>1924</w:t>
            </w:r>
          </w:p>
        </w:tc>
      </w:tr>
      <w:tr>
        <w:trPr>
          <w:trHeight w:val="330" w:hRule="atLeast"/>
        </w:trPr>
        <w:tc>
          <w:tcPr>
            <w:tcW w:w="685" w:type="dxa"/>
            <w:vAlign w:val="top"/>
            <w:vMerge w:val="continue"/>
            <w:tcBorders>
              <w:top w:val="nil"/>
              <w:bottom w:val="nil"/>
            </w:tcBorders>
          </w:tcPr>
          <w:p>
            <w:pPr>
              <w:rPr>
                <w:rFonts w:ascii="Arial"/>
                <w:sz w:val="21"/>
              </w:rPr>
            </w:pPr>
            <w:r/>
          </w:p>
        </w:tc>
        <w:tc>
          <w:tcPr>
            <w:tcW w:w="1409" w:type="dxa"/>
            <w:vAlign w:val="top"/>
          </w:tcPr>
          <w:p>
            <w:pPr>
              <w:pStyle w:val="TableText"/>
              <w:ind w:left="290"/>
              <w:spacing w:before="76" w:line="219" w:lineRule="auto"/>
              <w:rPr>
                <w:sz w:val="20"/>
                <w:szCs w:val="20"/>
              </w:rPr>
            </w:pPr>
            <w:r>
              <w:rPr>
                <w:sz w:val="20"/>
                <w:szCs w:val="20"/>
                <w:spacing w:val="-2"/>
              </w:rPr>
              <w:t>滨海新城</w:t>
            </w:r>
          </w:p>
        </w:tc>
        <w:tc>
          <w:tcPr>
            <w:tcW w:w="2099" w:type="dxa"/>
            <w:vAlign w:val="top"/>
          </w:tcPr>
          <w:p>
            <w:pPr>
              <w:rPr>
                <w:rFonts w:ascii="Arial"/>
                <w:sz w:val="21"/>
              </w:rPr>
            </w:pPr>
            <w:r/>
          </w:p>
        </w:tc>
        <w:tc>
          <w:tcPr>
            <w:tcW w:w="2128" w:type="dxa"/>
            <w:vAlign w:val="top"/>
          </w:tcPr>
          <w:p>
            <w:pPr>
              <w:rPr>
                <w:rFonts w:ascii="Arial"/>
                <w:sz w:val="21"/>
              </w:rPr>
            </w:pPr>
            <w:r/>
          </w:p>
        </w:tc>
        <w:tc>
          <w:tcPr>
            <w:tcW w:w="1419" w:type="dxa"/>
            <w:vAlign w:val="top"/>
          </w:tcPr>
          <w:p>
            <w:pPr>
              <w:rPr>
                <w:rFonts w:ascii="Arial"/>
                <w:sz w:val="21"/>
              </w:rPr>
            </w:pPr>
            <w:r/>
          </w:p>
        </w:tc>
        <w:tc>
          <w:tcPr>
            <w:tcW w:w="2418" w:type="dxa"/>
            <w:vAlign w:val="top"/>
            <w:vMerge w:val="continue"/>
            <w:tcBorders>
              <w:top w:val="nil"/>
              <w:bottom w:val="nil"/>
            </w:tcBorders>
          </w:tcPr>
          <w:p>
            <w:pPr>
              <w:rPr>
                <w:rFonts w:ascii="Arial"/>
                <w:sz w:val="21"/>
              </w:rPr>
            </w:pPr>
            <w:r/>
          </w:p>
        </w:tc>
        <w:tc>
          <w:tcPr>
            <w:tcW w:w="1809" w:type="dxa"/>
            <w:vAlign w:val="top"/>
          </w:tcPr>
          <w:p>
            <w:pPr>
              <w:pStyle w:val="TableText"/>
              <w:ind w:left="697"/>
              <w:spacing w:before="76" w:line="219" w:lineRule="auto"/>
              <w:rPr>
                <w:sz w:val="20"/>
                <w:szCs w:val="20"/>
              </w:rPr>
            </w:pPr>
            <w:r>
              <w:rPr>
                <w:sz w:val="20"/>
                <w:szCs w:val="20"/>
                <w:spacing w:val="6"/>
              </w:rPr>
              <w:t>北侧</w:t>
            </w:r>
          </w:p>
        </w:tc>
        <w:tc>
          <w:tcPr>
            <w:tcW w:w="2153" w:type="dxa"/>
            <w:vAlign w:val="top"/>
          </w:tcPr>
          <w:p>
            <w:pPr>
              <w:pStyle w:val="TableText"/>
              <w:ind w:left="868"/>
              <w:spacing w:before="127" w:line="178" w:lineRule="auto"/>
              <w:rPr>
                <w:sz w:val="20"/>
                <w:szCs w:val="20"/>
              </w:rPr>
            </w:pPr>
            <w:r>
              <w:rPr>
                <w:sz w:val="20"/>
                <w:szCs w:val="20"/>
                <w:spacing w:val="-2"/>
              </w:rPr>
              <w:t>2516</w:t>
            </w:r>
          </w:p>
        </w:tc>
      </w:tr>
      <w:tr>
        <w:trPr>
          <w:trHeight w:val="339" w:hRule="atLeast"/>
        </w:trPr>
        <w:tc>
          <w:tcPr>
            <w:tcW w:w="685" w:type="dxa"/>
            <w:vAlign w:val="top"/>
            <w:vMerge w:val="continue"/>
            <w:tcBorders>
              <w:top w:val="nil"/>
              <w:bottom w:val="nil"/>
            </w:tcBorders>
          </w:tcPr>
          <w:p>
            <w:pPr>
              <w:rPr>
                <w:rFonts w:ascii="Arial"/>
                <w:sz w:val="21"/>
              </w:rPr>
            </w:pPr>
            <w:r/>
          </w:p>
        </w:tc>
        <w:tc>
          <w:tcPr>
            <w:tcW w:w="1409" w:type="dxa"/>
            <w:vAlign w:val="top"/>
          </w:tcPr>
          <w:p>
            <w:pPr>
              <w:pStyle w:val="TableText"/>
              <w:ind w:left="390"/>
              <w:spacing w:before="75" w:line="219" w:lineRule="auto"/>
              <w:rPr>
                <w:sz w:val="20"/>
                <w:szCs w:val="20"/>
              </w:rPr>
            </w:pPr>
            <w:r>
              <w:rPr>
                <w:sz w:val="20"/>
                <w:szCs w:val="20"/>
                <w:spacing w:val="-3"/>
              </w:rPr>
              <w:t>沙头村</w:t>
            </w:r>
          </w:p>
        </w:tc>
        <w:tc>
          <w:tcPr>
            <w:tcW w:w="2099" w:type="dxa"/>
            <w:vAlign w:val="top"/>
          </w:tcPr>
          <w:p>
            <w:pPr>
              <w:rPr>
                <w:rFonts w:ascii="Arial"/>
                <w:sz w:val="21"/>
              </w:rPr>
            </w:pPr>
            <w:r/>
          </w:p>
        </w:tc>
        <w:tc>
          <w:tcPr>
            <w:tcW w:w="2128" w:type="dxa"/>
            <w:vAlign w:val="top"/>
          </w:tcPr>
          <w:p>
            <w:pPr>
              <w:rPr>
                <w:rFonts w:ascii="Arial"/>
                <w:sz w:val="21"/>
              </w:rPr>
            </w:pPr>
            <w:r/>
          </w:p>
        </w:tc>
        <w:tc>
          <w:tcPr>
            <w:tcW w:w="1419" w:type="dxa"/>
            <w:vAlign w:val="top"/>
          </w:tcPr>
          <w:p>
            <w:pPr>
              <w:rPr>
                <w:rFonts w:ascii="Arial"/>
                <w:sz w:val="21"/>
              </w:rPr>
            </w:pPr>
            <w:r/>
          </w:p>
        </w:tc>
        <w:tc>
          <w:tcPr>
            <w:tcW w:w="2418" w:type="dxa"/>
            <w:vAlign w:val="top"/>
            <w:vMerge w:val="continue"/>
            <w:tcBorders>
              <w:top w:val="nil"/>
              <w:bottom w:val="nil"/>
            </w:tcBorders>
          </w:tcPr>
          <w:p>
            <w:pPr>
              <w:rPr>
                <w:rFonts w:ascii="Arial"/>
                <w:sz w:val="21"/>
              </w:rPr>
            </w:pPr>
            <w:r/>
          </w:p>
        </w:tc>
        <w:tc>
          <w:tcPr>
            <w:tcW w:w="1809" w:type="dxa"/>
            <w:vAlign w:val="top"/>
          </w:tcPr>
          <w:p>
            <w:pPr>
              <w:pStyle w:val="TableText"/>
              <w:ind w:left="597"/>
              <w:spacing w:before="76" w:line="219" w:lineRule="auto"/>
              <w:rPr>
                <w:sz w:val="20"/>
                <w:szCs w:val="20"/>
              </w:rPr>
            </w:pPr>
            <w:r>
              <w:rPr>
                <w:sz w:val="20"/>
                <w:szCs w:val="20"/>
                <w:spacing w:val="4"/>
              </w:rPr>
              <w:t>东北侧</w:t>
            </w:r>
          </w:p>
        </w:tc>
        <w:tc>
          <w:tcPr>
            <w:tcW w:w="2153" w:type="dxa"/>
            <w:vAlign w:val="top"/>
          </w:tcPr>
          <w:p>
            <w:pPr>
              <w:pStyle w:val="TableText"/>
              <w:ind w:left="868"/>
              <w:spacing w:before="127" w:line="183" w:lineRule="auto"/>
              <w:rPr>
                <w:sz w:val="20"/>
                <w:szCs w:val="20"/>
              </w:rPr>
            </w:pPr>
            <w:r>
              <w:rPr>
                <w:sz w:val="20"/>
                <w:szCs w:val="20"/>
                <w:spacing w:val="-3"/>
              </w:rPr>
              <w:t>3685</w:t>
            </w:r>
          </w:p>
        </w:tc>
      </w:tr>
      <w:tr>
        <w:trPr>
          <w:trHeight w:val="360" w:hRule="atLeast"/>
        </w:trPr>
        <w:tc>
          <w:tcPr>
            <w:tcW w:w="685" w:type="dxa"/>
            <w:vAlign w:val="top"/>
            <w:vMerge w:val="continue"/>
            <w:tcBorders>
              <w:top w:val="nil"/>
              <w:bottom w:val="nil"/>
            </w:tcBorders>
          </w:tcPr>
          <w:p>
            <w:pPr>
              <w:rPr>
                <w:rFonts w:ascii="Arial"/>
                <w:sz w:val="21"/>
              </w:rPr>
            </w:pPr>
            <w:r/>
          </w:p>
        </w:tc>
        <w:tc>
          <w:tcPr>
            <w:tcW w:w="1409" w:type="dxa"/>
            <w:vAlign w:val="top"/>
          </w:tcPr>
          <w:p>
            <w:pPr>
              <w:pStyle w:val="TableText"/>
              <w:ind w:left="390"/>
              <w:spacing w:before="85" w:line="219" w:lineRule="auto"/>
              <w:rPr>
                <w:sz w:val="20"/>
                <w:szCs w:val="20"/>
              </w:rPr>
            </w:pPr>
            <w:r>
              <w:rPr>
                <w:sz w:val="20"/>
                <w:szCs w:val="20"/>
                <w:spacing w:val="-2"/>
              </w:rPr>
              <w:t>塔下村</w:t>
            </w:r>
          </w:p>
        </w:tc>
        <w:tc>
          <w:tcPr>
            <w:tcW w:w="2099" w:type="dxa"/>
            <w:vAlign w:val="top"/>
          </w:tcPr>
          <w:p>
            <w:pPr>
              <w:rPr>
                <w:rFonts w:ascii="Arial"/>
                <w:sz w:val="21"/>
              </w:rPr>
            </w:pPr>
            <w:r/>
          </w:p>
        </w:tc>
        <w:tc>
          <w:tcPr>
            <w:tcW w:w="2128" w:type="dxa"/>
            <w:vAlign w:val="top"/>
          </w:tcPr>
          <w:p>
            <w:pPr>
              <w:rPr>
                <w:rFonts w:ascii="Arial"/>
                <w:sz w:val="21"/>
              </w:rPr>
            </w:pPr>
            <w:r/>
          </w:p>
        </w:tc>
        <w:tc>
          <w:tcPr>
            <w:tcW w:w="1419" w:type="dxa"/>
            <w:vAlign w:val="top"/>
          </w:tcPr>
          <w:p>
            <w:pPr>
              <w:rPr>
                <w:rFonts w:ascii="Arial"/>
                <w:sz w:val="21"/>
              </w:rPr>
            </w:pPr>
            <w:r/>
          </w:p>
        </w:tc>
        <w:tc>
          <w:tcPr>
            <w:tcW w:w="2418" w:type="dxa"/>
            <w:vAlign w:val="top"/>
            <w:vMerge w:val="continue"/>
            <w:tcBorders>
              <w:top w:val="nil"/>
              <w:bottom w:val="nil"/>
            </w:tcBorders>
          </w:tcPr>
          <w:p>
            <w:pPr>
              <w:rPr>
                <w:rFonts w:ascii="Arial"/>
                <w:sz w:val="21"/>
              </w:rPr>
            </w:pPr>
            <w:r/>
          </w:p>
        </w:tc>
        <w:tc>
          <w:tcPr>
            <w:tcW w:w="1809" w:type="dxa"/>
            <w:vAlign w:val="top"/>
          </w:tcPr>
          <w:p>
            <w:pPr>
              <w:pStyle w:val="TableText"/>
              <w:ind w:left="597"/>
              <w:spacing w:before="87" w:line="219" w:lineRule="auto"/>
              <w:rPr>
                <w:sz w:val="20"/>
                <w:szCs w:val="20"/>
              </w:rPr>
            </w:pPr>
            <w:r>
              <w:rPr>
                <w:sz w:val="20"/>
                <w:szCs w:val="20"/>
                <w:spacing w:val="4"/>
              </w:rPr>
              <w:t>东北侧</w:t>
            </w:r>
          </w:p>
        </w:tc>
        <w:tc>
          <w:tcPr>
            <w:tcW w:w="2153" w:type="dxa"/>
            <w:vAlign w:val="top"/>
          </w:tcPr>
          <w:p>
            <w:pPr>
              <w:pStyle w:val="TableText"/>
              <w:ind w:left="868"/>
              <w:spacing w:before="138" w:line="183" w:lineRule="auto"/>
              <w:rPr>
                <w:sz w:val="20"/>
                <w:szCs w:val="20"/>
              </w:rPr>
            </w:pPr>
            <w:r>
              <w:rPr>
                <w:sz w:val="20"/>
                <w:szCs w:val="20"/>
                <w:spacing w:val="-2"/>
              </w:rPr>
              <w:t>4847</w:t>
            </w:r>
          </w:p>
        </w:tc>
      </w:tr>
      <w:tr>
        <w:trPr>
          <w:trHeight w:val="330" w:hRule="atLeast"/>
        </w:trPr>
        <w:tc>
          <w:tcPr>
            <w:tcW w:w="685" w:type="dxa"/>
            <w:vAlign w:val="top"/>
            <w:vMerge w:val="continue"/>
            <w:tcBorders>
              <w:top w:val="nil"/>
              <w:bottom w:val="nil"/>
            </w:tcBorders>
          </w:tcPr>
          <w:p>
            <w:pPr>
              <w:rPr>
                <w:rFonts w:ascii="Arial"/>
                <w:sz w:val="21"/>
              </w:rPr>
            </w:pPr>
            <w:r/>
          </w:p>
        </w:tc>
        <w:tc>
          <w:tcPr>
            <w:tcW w:w="1409" w:type="dxa"/>
            <w:vAlign w:val="top"/>
          </w:tcPr>
          <w:p>
            <w:pPr>
              <w:pStyle w:val="TableText"/>
              <w:ind w:left="390"/>
              <w:spacing w:before="76" w:line="219" w:lineRule="auto"/>
              <w:rPr>
                <w:sz w:val="20"/>
                <w:szCs w:val="20"/>
              </w:rPr>
            </w:pPr>
            <w:r>
              <w:rPr>
                <w:sz w:val="20"/>
                <w:szCs w:val="20"/>
                <w:spacing w:val="3"/>
              </w:rPr>
              <w:t>北岐村</w:t>
            </w:r>
          </w:p>
        </w:tc>
        <w:tc>
          <w:tcPr>
            <w:tcW w:w="2099" w:type="dxa"/>
            <w:vAlign w:val="top"/>
          </w:tcPr>
          <w:p>
            <w:pPr>
              <w:rPr>
                <w:rFonts w:ascii="Arial"/>
                <w:sz w:val="21"/>
              </w:rPr>
            </w:pPr>
            <w:r/>
          </w:p>
        </w:tc>
        <w:tc>
          <w:tcPr>
            <w:tcW w:w="2128" w:type="dxa"/>
            <w:vAlign w:val="top"/>
          </w:tcPr>
          <w:p>
            <w:pPr>
              <w:rPr>
                <w:rFonts w:ascii="Arial"/>
                <w:sz w:val="21"/>
              </w:rPr>
            </w:pPr>
            <w:r/>
          </w:p>
        </w:tc>
        <w:tc>
          <w:tcPr>
            <w:tcW w:w="1419" w:type="dxa"/>
            <w:vAlign w:val="top"/>
          </w:tcPr>
          <w:p>
            <w:pPr>
              <w:rPr>
                <w:rFonts w:ascii="Arial"/>
                <w:sz w:val="21"/>
              </w:rPr>
            </w:pPr>
            <w:r/>
          </w:p>
        </w:tc>
        <w:tc>
          <w:tcPr>
            <w:tcW w:w="2418" w:type="dxa"/>
            <w:vAlign w:val="top"/>
            <w:vMerge w:val="continue"/>
            <w:tcBorders>
              <w:top w:val="nil"/>
              <w:bottom w:val="nil"/>
            </w:tcBorders>
          </w:tcPr>
          <w:p>
            <w:pPr>
              <w:rPr>
                <w:rFonts w:ascii="Arial"/>
                <w:sz w:val="21"/>
              </w:rPr>
            </w:pPr>
            <w:r/>
          </w:p>
        </w:tc>
        <w:tc>
          <w:tcPr>
            <w:tcW w:w="1809" w:type="dxa"/>
            <w:vAlign w:val="top"/>
          </w:tcPr>
          <w:p>
            <w:pPr>
              <w:pStyle w:val="TableText"/>
              <w:ind w:left="597"/>
              <w:spacing w:before="77" w:line="219" w:lineRule="auto"/>
              <w:rPr>
                <w:sz w:val="20"/>
                <w:szCs w:val="20"/>
              </w:rPr>
            </w:pPr>
            <w:r>
              <w:rPr>
                <w:sz w:val="20"/>
                <w:szCs w:val="20"/>
                <w:spacing w:val="4"/>
              </w:rPr>
              <w:t>东北侧</w:t>
            </w:r>
          </w:p>
        </w:tc>
        <w:tc>
          <w:tcPr>
            <w:tcW w:w="2153" w:type="dxa"/>
            <w:vAlign w:val="top"/>
          </w:tcPr>
          <w:p>
            <w:pPr>
              <w:pStyle w:val="TableText"/>
              <w:ind w:left="868"/>
              <w:spacing w:before="129" w:line="176" w:lineRule="auto"/>
              <w:rPr>
                <w:sz w:val="20"/>
                <w:szCs w:val="20"/>
              </w:rPr>
            </w:pPr>
            <w:r>
              <w:rPr>
                <w:sz w:val="20"/>
                <w:szCs w:val="20"/>
                <w:spacing w:val="-2"/>
              </w:rPr>
              <w:t>4233</w:t>
            </w:r>
          </w:p>
        </w:tc>
      </w:tr>
      <w:tr>
        <w:trPr>
          <w:trHeight w:val="330" w:hRule="atLeast"/>
        </w:trPr>
        <w:tc>
          <w:tcPr>
            <w:tcW w:w="685" w:type="dxa"/>
            <w:vAlign w:val="top"/>
            <w:vMerge w:val="continue"/>
            <w:tcBorders>
              <w:top w:val="nil"/>
              <w:bottom w:val="nil"/>
            </w:tcBorders>
          </w:tcPr>
          <w:p>
            <w:pPr>
              <w:rPr>
                <w:rFonts w:ascii="Arial"/>
                <w:sz w:val="21"/>
              </w:rPr>
            </w:pPr>
            <w:r/>
          </w:p>
        </w:tc>
        <w:tc>
          <w:tcPr>
            <w:tcW w:w="1409" w:type="dxa"/>
            <w:vAlign w:val="top"/>
          </w:tcPr>
          <w:p>
            <w:pPr>
              <w:pStyle w:val="TableText"/>
              <w:ind w:left="390"/>
              <w:spacing w:before="76" w:line="219" w:lineRule="auto"/>
              <w:rPr>
                <w:sz w:val="20"/>
                <w:szCs w:val="20"/>
              </w:rPr>
            </w:pPr>
            <w:r>
              <w:rPr>
                <w:sz w:val="20"/>
                <w:szCs w:val="20"/>
                <w:spacing w:val="-2"/>
              </w:rPr>
              <w:t>松农村</w:t>
            </w:r>
          </w:p>
        </w:tc>
        <w:tc>
          <w:tcPr>
            <w:tcW w:w="2099" w:type="dxa"/>
            <w:vAlign w:val="top"/>
          </w:tcPr>
          <w:p>
            <w:pPr>
              <w:rPr>
                <w:rFonts w:ascii="Arial"/>
                <w:sz w:val="21"/>
              </w:rPr>
            </w:pPr>
            <w:r/>
          </w:p>
        </w:tc>
        <w:tc>
          <w:tcPr>
            <w:tcW w:w="2128" w:type="dxa"/>
            <w:vAlign w:val="top"/>
          </w:tcPr>
          <w:p>
            <w:pPr>
              <w:rPr>
                <w:rFonts w:ascii="Arial"/>
                <w:sz w:val="21"/>
              </w:rPr>
            </w:pPr>
            <w:r/>
          </w:p>
        </w:tc>
        <w:tc>
          <w:tcPr>
            <w:tcW w:w="1419" w:type="dxa"/>
            <w:vAlign w:val="top"/>
          </w:tcPr>
          <w:p>
            <w:pPr>
              <w:rPr>
                <w:rFonts w:ascii="Arial"/>
                <w:sz w:val="21"/>
              </w:rPr>
            </w:pPr>
            <w:r/>
          </w:p>
        </w:tc>
        <w:tc>
          <w:tcPr>
            <w:tcW w:w="2418" w:type="dxa"/>
            <w:vAlign w:val="top"/>
            <w:vMerge w:val="continue"/>
            <w:tcBorders>
              <w:top w:val="nil"/>
              <w:bottom w:val="nil"/>
            </w:tcBorders>
          </w:tcPr>
          <w:p>
            <w:pPr>
              <w:rPr>
                <w:rFonts w:ascii="Arial"/>
                <w:sz w:val="21"/>
              </w:rPr>
            </w:pPr>
            <w:r/>
          </w:p>
        </w:tc>
        <w:tc>
          <w:tcPr>
            <w:tcW w:w="1809" w:type="dxa"/>
            <w:vAlign w:val="top"/>
          </w:tcPr>
          <w:p>
            <w:pPr>
              <w:pStyle w:val="TableText"/>
              <w:ind w:left="597"/>
              <w:spacing w:before="77" w:line="219" w:lineRule="auto"/>
              <w:rPr>
                <w:sz w:val="20"/>
                <w:szCs w:val="20"/>
              </w:rPr>
            </w:pPr>
            <w:r>
              <w:rPr>
                <w:sz w:val="20"/>
                <w:szCs w:val="20"/>
                <w:spacing w:val="4"/>
              </w:rPr>
              <w:t>东北侧</w:t>
            </w:r>
          </w:p>
        </w:tc>
        <w:tc>
          <w:tcPr>
            <w:tcW w:w="2153" w:type="dxa"/>
            <w:vAlign w:val="top"/>
          </w:tcPr>
          <w:p>
            <w:pPr>
              <w:pStyle w:val="TableText"/>
              <w:ind w:left="868"/>
              <w:spacing w:before="129" w:line="176" w:lineRule="auto"/>
              <w:rPr>
                <w:sz w:val="20"/>
                <w:szCs w:val="20"/>
              </w:rPr>
            </w:pPr>
            <w:r>
              <w:rPr>
                <w:sz w:val="20"/>
                <w:szCs w:val="20"/>
                <w:spacing w:val="-2"/>
              </w:rPr>
              <w:t>4225</w:t>
            </w:r>
          </w:p>
        </w:tc>
      </w:tr>
      <w:tr>
        <w:trPr>
          <w:trHeight w:val="359" w:hRule="atLeast"/>
        </w:trPr>
        <w:tc>
          <w:tcPr>
            <w:tcW w:w="685" w:type="dxa"/>
            <w:vAlign w:val="top"/>
            <w:vMerge w:val="continue"/>
            <w:tcBorders>
              <w:top w:val="nil"/>
              <w:bottom w:val="nil"/>
            </w:tcBorders>
          </w:tcPr>
          <w:p>
            <w:pPr>
              <w:rPr>
                <w:rFonts w:ascii="Arial"/>
                <w:sz w:val="21"/>
              </w:rPr>
            </w:pPr>
            <w:r/>
          </w:p>
        </w:tc>
        <w:tc>
          <w:tcPr>
            <w:tcW w:w="1409" w:type="dxa"/>
            <w:vAlign w:val="top"/>
          </w:tcPr>
          <w:p>
            <w:pPr>
              <w:pStyle w:val="TableText"/>
              <w:ind w:left="390"/>
              <w:spacing w:before="86" w:line="219" w:lineRule="auto"/>
              <w:rPr>
                <w:sz w:val="20"/>
                <w:szCs w:val="20"/>
              </w:rPr>
            </w:pPr>
            <w:r>
              <w:rPr>
                <w:sz w:val="20"/>
                <w:szCs w:val="20"/>
                <w:spacing w:val="-2"/>
              </w:rPr>
              <w:t>松渔村</w:t>
            </w:r>
          </w:p>
        </w:tc>
        <w:tc>
          <w:tcPr>
            <w:tcW w:w="2099" w:type="dxa"/>
            <w:vAlign w:val="top"/>
          </w:tcPr>
          <w:p>
            <w:pPr>
              <w:rPr>
                <w:rFonts w:ascii="Arial"/>
                <w:sz w:val="21"/>
              </w:rPr>
            </w:pPr>
            <w:r/>
          </w:p>
        </w:tc>
        <w:tc>
          <w:tcPr>
            <w:tcW w:w="2128" w:type="dxa"/>
            <w:vAlign w:val="top"/>
          </w:tcPr>
          <w:p>
            <w:pPr>
              <w:rPr>
                <w:rFonts w:ascii="Arial"/>
                <w:sz w:val="21"/>
              </w:rPr>
            </w:pPr>
            <w:r/>
          </w:p>
        </w:tc>
        <w:tc>
          <w:tcPr>
            <w:tcW w:w="1419" w:type="dxa"/>
            <w:vAlign w:val="top"/>
          </w:tcPr>
          <w:p>
            <w:pPr>
              <w:rPr>
                <w:rFonts w:ascii="Arial"/>
                <w:sz w:val="21"/>
              </w:rPr>
            </w:pPr>
            <w:r/>
          </w:p>
        </w:tc>
        <w:tc>
          <w:tcPr>
            <w:tcW w:w="2418" w:type="dxa"/>
            <w:vAlign w:val="top"/>
            <w:vMerge w:val="continue"/>
            <w:tcBorders>
              <w:top w:val="nil"/>
              <w:bottom w:val="nil"/>
            </w:tcBorders>
          </w:tcPr>
          <w:p>
            <w:pPr>
              <w:rPr>
                <w:rFonts w:ascii="Arial"/>
                <w:sz w:val="21"/>
              </w:rPr>
            </w:pPr>
            <w:r/>
          </w:p>
        </w:tc>
        <w:tc>
          <w:tcPr>
            <w:tcW w:w="1809" w:type="dxa"/>
            <w:vAlign w:val="top"/>
          </w:tcPr>
          <w:p>
            <w:pPr>
              <w:pStyle w:val="TableText"/>
              <w:ind w:left="597"/>
              <w:spacing w:before="87" w:line="219" w:lineRule="auto"/>
              <w:rPr>
                <w:sz w:val="20"/>
                <w:szCs w:val="20"/>
              </w:rPr>
            </w:pPr>
            <w:r>
              <w:rPr>
                <w:sz w:val="20"/>
                <w:szCs w:val="20"/>
                <w:spacing w:val="4"/>
              </w:rPr>
              <w:t>东北侧</w:t>
            </w:r>
          </w:p>
        </w:tc>
        <w:tc>
          <w:tcPr>
            <w:tcW w:w="2153" w:type="dxa"/>
            <w:vAlign w:val="top"/>
          </w:tcPr>
          <w:p>
            <w:pPr>
              <w:pStyle w:val="TableText"/>
              <w:ind w:left="868"/>
              <w:spacing w:before="138" w:line="183" w:lineRule="auto"/>
              <w:rPr>
                <w:sz w:val="20"/>
                <w:szCs w:val="20"/>
              </w:rPr>
            </w:pPr>
            <w:r>
              <w:rPr>
                <w:sz w:val="20"/>
                <w:szCs w:val="20"/>
                <w:spacing w:val="-3"/>
              </w:rPr>
              <w:t>3836</w:t>
            </w:r>
          </w:p>
        </w:tc>
      </w:tr>
      <w:tr>
        <w:trPr>
          <w:trHeight w:val="330" w:hRule="atLeast"/>
        </w:trPr>
        <w:tc>
          <w:tcPr>
            <w:tcW w:w="685" w:type="dxa"/>
            <w:vAlign w:val="top"/>
            <w:vMerge w:val="continue"/>
            <w:tcBorders>
              <w:top w:val="nil"/>
              <w:bottom w:val="nil"/>
            </w:tcBorders>
          </w:tcPr>
          <w:p>
            <w:pPr>
              <w:rPr>
                <w:rFonts w:ascii="Arial"/>
                <w:sz w:val="21"/>
              </w:rPr>
            </w:pPr>
            <w:r/>
          </w:p>
        </w:tc>
        <w:tc>
          <w:tcPr>
            <w:tcW w:w="1409" w:type="dxa"/>
            <w:vAlign w:val="top"/>
          </w:tcPr>
          <w:p>
            <w:pPr>
              <w:pStyle w:val="TableText"/>
              <w:ind w:left="390"/>
              <w:spacing w:before="77" w:line="219" w:lineRule="auto"/>
              <w:rPr>
                <w:sz w:val="20"/>
                <w:szCs w:val="20"/>
              </w:rPr>
            </w:pPr>
            <w:r>
              <w:rPr>
                <w:sz w:val="20"/>
                <w:szCs w:val="20"/>
                <w:spacing w:val="-2"/>
              </w:rPr>
              <w:t>利埕村</w:t>
            </w:r>
          </w:p>
        </w:tc>
        <w:tc>
          <w:tcPr>
            <w:tcW w:w="2099" w:type="dxa"/>
            <w:vAlign w:val="top"/>
          </w:tcPr>
          <w:p>
            <w:pPr>
              <w:rPr>
                <w:rFonts w:ascii="Arial"/>
                <w:sz w:val="21"/>
              </w:rPr>
            </w:pPr>
            <w:r/>
          </w:p>
        </w:tc>
        <w:tc>
          <w:tcPr>
            <w:tcW w:w="2128" w:type="dxa"/>
            <w:vAlign w:val="top"/>
          </w:tcPr>
          <w:p>
            <w:pPr>
              <w:rPr>
                <w:rFonts w:ascii="Arial"/>
                <w:sz w:val="21"/>
              </w:rPr>
            </w:pPr>
            <w:r/>
          </w:p>
        </w:tc>
        <w:tc>
          <w:tcPr>
            <w:tcW w:w="1419" w:type="dxa"/>
            <w:vAlign w:val="top"/>
          </w:tcPr>
          <w:p>
            <w:pPr>
              <w:rPr>
                <w:rFonts w:ascii="Arial"/>
                <w:sz w:val="21"/>
              </w:rPr>
            </w:pPr>
            <w:r/>
          </w:p>
        </w:tc>
        <w:tc>
          <w:tcPr>
            <w:tcW w:w="2418" w:type="dxa"/>
            <w:vAlign w:val="top"/>
            <w:vMerge w:val="continue"/>
            <w:tcBorders>
              <w:top w:val="nil"/>
              <w:bottom w:val="nil"/>
            </w:tcBorders>
          </w:tcPr>
          <w:p>
            <w:pPr>
              <w:rPr>
                <w:rFonts w:ascii="Arial"/>
                <w:sz w:val="21"/>
              </w:rPr>
            </w:pPr>
            <w:r/>
          </w:p>
        </w:tc>
        <w:tc>
          <w:tcPr>
            <w:tcW w:w="1809" w:type="dxa"/>
            <w:vAlign w:val="top"/>
          </w:tcPr>
          <w:p>
            <w:pPr>
              <w:pStyle w:val="TableText"/>
              <w:ind w:left="697"/>
              <w:spacing w:before="78" w:line="219" w:lineRule="auto"/>
              <w:rPr>
                <w:sz w:val="20"/>
                <w:szCs w:val="20"/>
              </w:rPr>
            </w:pPr>
            <w:r>
              <w:rPr>
                <w:sz w:val="20"/>
                <w:szCs w:val="20"/>
                <w:spacing w:val="6"/>
              </w:rPr>
              <w:t>北侧</w:t>
            </w:r>
          </w:p>
        </w:tc>
        <w:tc>
          <w:tcPr>
            <w:tcW w:w="2153" w:type="dxa"/>
            <w:vAlign w:val="top"/>
          </w:tcPr>
          <w:p>
            <w:pPr>
              <w:pStyle w:val="TableText"/>
              <w:ind w:left="868"/>
              <w:spacing w:before="129" w:line="176" w:lineRule="auto"/>
              <w:rPr>
                <w:sz w:val="20"/>
                <w:szCs w:val="20"/>
              </w:rPr>
            </w:pPr>
            <w:r>
              <w:rPr>
                <w:sz w:val="20"/>
                <w:szCs w:val="20"/>
                <w:spacing w:val="-3"/>
              </w:rPr>
              <w:t>3199</w:t>
            </w:r>
          </w:p>
        </w:tc>
      </w:tr>
      <w:tr>
        <w:trPr>
          <w:trHeight w:val="334" w:hRule="atLeast"/>
        </w:trPr>
        <w:tc>
          <w:tcPr>
            <w:tcW w:w="685" w:type="dxa"/>
            <w:vAlign w:val="top"/>
            <w:vMerge w:val="continue"/>
            <w:tcBorders>
              <w:top w:val="nil"/>
            </w:tcBorders>
          </w:tcPr>
          <w:p>
            <w:pPr>
              <w:rPr>
                <w:rFonts w:ascii="Arial"/>
                <w:sz w:val="21"/>
              </w:rPr>
            </w:pPr>
            <w:r/>
          </w:p>
        </w:tc>
        <w:tc>
          <w:tcPr>
            <w:tcW w:w="1409" w:type="dxa"/>
            <w:vAlign w:val="top"/>
          </w:tcPr>
          <w:p>
            <w:pPr>
              <w:pStyle w:val="TableText"/>
              <w:ind w:left="290"/>
              <w:spacing w:before="78" w:line="219" w:lineRule="auto"/>
              <w:rPr>
                <w:sz w:val="20"/>
                <w:szCs w:val="20"/>
              </w:rPr>
            </w:pPr>
            <w:r>
              <w:rPr>
                <w:sz w:val="20"/>
                <w:szCs w:val="20"/>
                <w:spacing w:val="4"/>
              </w:rPr>
              <w:t>东异社区</w:t>
            </w:r>
          </w:p>
        </w:tc>
        <w:tc>
          <w:tcPr>
            <w:tcW w:w="2099" w:type="dxa"/>
            <w:vAlign w:val="top"/>
          </w:tcPr>
          <w:p>
            <w:pPr>
              <w:rPr>
                <w:rFonts w:ascii="Arial"/>
                <w:sz w:val="21"/>
              </w:rPr>
            </w:pPr>
            <w:r/>
          </w:p>
        </w:tc>
        <w:tc>
          <w:tcPr>
            <w:tcW w:w="2128" w:type="dxa"/>
            <w:vAlign w:val="top"/>
          </w:tcPr>
          <w:p>
            <w:pPr>
              <w:rPr>
                <w:rFonts w:ascii="Arial"/>
                <w:sz w:val="21"/>
              </w:rPr>
            </w:pPr>
            <w:r/>
          </w:p>
        </w:tc>
        <w:tc>
          <w:tcPr>
            <w:tcW w:w="1419" w:type="dxa"/>
            <w:vAlign w:val="top"/>
          </w:tcPr>
          <w:p>
            <w:pPr>
              <w:rPr>
                <w:rFonts w:ascii="Arial"/>
                <w:sz w:val="21"/>
              </w:rPr>
            </w:pPr>
            <w:r/>
          </w:p>
        </w:tc>
        <w:tc>
          <w:tcPr>
            <w:tcW w:w="2418" w:type="dxa"/>
            <w:vAlign w:val="top"/>
            <w:vMerge w:val="continue"/>
            <w:tcBorders>
              <w:top w:val="nil"/>
            </w:tcBorders>
          </w:tcPr>
          <w:p>
            <w:pPr>
              <w:rPr>
                <w:rFonts w:ascii="Arial"/>
                <w:sz w:val="21"/>
              </w:rPr>
            </w:pPr>
            <w:r/>
          </w:p>
        </w:tc>
        <w:tc>
          <w:tcPr>
            <w:tcW w:w="1809" w:type="dxa"/>
            <w:vAlign w:val="top"/>
          </w:tcPr>
          <w:p>
            <w:pPr>
              <w:pStyle w:val="TableText"/>
              <w:ind w:left="697"/>
              <w:spacing w:before="78" w:line="219" w:lineRule="auto"/>
              <w:rPr>
                <w:sz w:val="20"/>
                <w:szCs w:val="20"/>
              </w:rPr>
            </w:pPr>
            <w:r>
              <w:rPr>
                <w:sz w:val="20"/>
                <w:szCs w:val="20"/>
                <w:spacing w:val="6"/>
              </w:rPr>
              <w:t>北侧</w:t>
            </w:r>
          </w:p>
        </w:tc>
        <w:tc>
          <w:tcPr>
            <w:tcW w:w="2153" w:type="dxa"/>
            <w:vAlign w:val="top"/>
          </w:tcPr>
          <w:p>
            <w:pPr>
              <w:pStyle w:val="TableText"/>
              <w:ind w:left="868"/>
              <w:spacing w:before="130" w:line="179" w:lineRule="auto"/>
              <w:rPr>
                <w:sz w:val="20"/>
                <w:szCs w:val="20"/>
              </w:rPr>
            </w:pPr>
            <w:r>
              <w:rPr>
                <w:sz w:val="20"/>
                <w:szCs w:val="20"/>
                <w:spacing w:val="-3"/>
              </w:rPr>
              <w:t>3874</w:t>
            </w:r>
          </w:p>
        </w:tc>
      </w:tr>
    </w:tbl>
    <w:p>
      <w:pPr>
        <w:rPr>
          <w:rFonts w:ascii="Arial"/>
          <w:sz w:val="21"/>
        </w:rPr>
      </w:pPr>
      <w:r/>
    </w:p>
    <w:p>
      <w:pPr>
        <w:sectPr>
          <w:footerReference w:type="default" r:id="rId173"/>
          <w:pgSz w:w="16840" w:h="11900"/>
          <w:pgMar w:top="1011" w:right="1395" w:bottom="1118" w:left="1314" w:header="0" w:footer="979" w:gutter="0"/>
        </w:sectPr>
        <w:rPr>
          <w:rFonts w:ascii="Arial" w:hAnsi="Arial" w:eastAsia="Arial" w:cs="Arial"/>
          <w:sz w:val="21"/>
          <w:szCs w:val="21"/>
        </w:rPr>
      </w:pPr>
    </w:p>
    <w:p>
      <w:pPr>
        <w:spacing w:before="95"/>
        <w:rPr/>
      </w:pPr>
      <w:r/>
    </w:p>
    <w:p>
      <w:pPr>
        <w:spacing w:before="95"/>
        <w:rPr/>
      </w:pPr>
      <w:r/>
    </w:p>
    <w:tbl>
      <w:tblPr>
        <w:tblStyle w:val="TableNormal"/>
        <w:tblW w:w="1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45"/>
        <w:gridCol w:w="1409"/>
        <w:gridCol w:w="2129"/>
        <w:gridCol w:w="2128"/>
        <w:gridCol w:w="1409"/>
        <w:gridCol w:w="2408"/>
        <w:gridCol w:w="1839"/>
        <w:gridCol w:w="2153"/>
      </w:tblGrid>
      <w:tr>
        <w:trPr>
          <w:trHeight w:val="434" w:hRule="atLeast"/>
        </w:trPr>
        <w:tc>
          <w:tcPr>
            <w:tcW w:w="645" w:type="dxa"/>
            <w:vAlign w:val="top"/>
            <w:vMerge w:val="restart"/>
            <w:tcBorders>
              <w:bottom w:val="nil"/>
            </w:tcBorders>
          </w:tcPr>
          <w:p>
            <w:pPr>
              <w:pStyle w:val="TableText"/>
              <w:ind w:left="114"/>
              <w:spacing w:before="153" w:line="309" w:lineRule="exact"/>
              <w:rPr>
                <w:sz w:val="20"/>
                <w:szCs w:val="20"/>
              </w:rPr>
            </w:pPr>
            <w:r>
              <w:rPr>
                <w:sz w:val="20"/>
                <w:szCs w:val="20"/>
                <w:spacing w:val="-2"/>
                <w:position w:val="8"/>
              </w:rPr>
              <w:t>环境</w:t>
            </w:r>
          </w:p>
          <w:p>
            <w:pPr>
              <w:pStyle w:val="TableText"/>
              <w:ind w:left="114"/>
              <w:spacing w:line="219" w:lineRule="auto"/>
              <w:rPr>
                <w:sz w:val="20"/>
                <w:szCs w:val="20"/>
              </w:rPr>
            </w:pPr>
            <w:r>
              <w:rPr>
                <w:sz w:val="20"/>
                <w:szCs w:val="20"/>
                <w:spacing w:val="-3"/>
              </w:rPr>
              <w:t>要素</w:t>
            </w:r>
          </w:p>
        </w:tc>
        <w:tc>
          <w:tcPr>
            <w:tcW w:w="1409" w:type="dxa"/>
            <w:vAlign w:val="top"/>
            <w:vMerge w:val="restart"/>
            <w:tcBorders>
              <w:bottom w:val="nil"/>
            </w:tcBorders>
          </w:tcPr>
          <w:p>
            <w:pPr>
              <w:pStyle w:val="TableText"/>
              <w:ind w:left="588" w:right="183" w:hanging="399"/>
              <w:spacing w:before="142" w:line="255" w:lineRule="auto"/>
              <w:rPr>
                <w:sz w:val="20"/>
                <w:szCs w:val="20"/>
              </w:rPr>
            </w:pPr>
            <w:r>
              <w:rPr>
                <w:sz w:val="20"/>
                <w:szCs w:val="20"/>
                <w:spacing w:val="5"/>
              </w:rPr>
              <w:t>敏感目标名</w:t>
            </w:r>
            <w:r>
              <w:rPr>
                <w:sz w:val="20"/>
                <w:szCs w:val="20"/>
              </w:rPr>
              <w:t xml:space="preserve"> </w:t>
            </w:r>
            <w:r>
              <w:rPr>
                <w:sz w:val="20"/>
                <w:szCs w:val="20"/>
              </w:rPr>
              <w:t>称</w:t>
            </w:r>
          </w:p>
        </w:tc>
        <w:tc>
          <w:tcPr>
            <w:tcW w:w="4257" w:type="dxa"/>
            <w:vAlign w:val="top"/>
            <w:gridSpan w:val="2"/>
          </w:tcPr>
          <w:p>
            <w:pPr>
              <w:pStyle w:val="TableText"/>
              <w:ind w:left="1941"/>
              <w:spacing w:before="123" w:line="220" w:lineRule="auto"/>
              <w:rPr>
                <w:sz w:val="20"/>
                <w:szCs w:val="20"/>
              </w:rPr>
            </w:pPr>
            <w:r>
              <w:rPr>
                <w:sz w:val="20"/>
                <w:szCs w:val="20"/>
                <w:spacing w:val="-3"/>
              </w:rPr>
              <w:t>坐标</w:t>
            </w:r>
          </w:p>
        </w:tc>
        <w:tc>
          <w:tcPr>
            <w:tcW w:w="1409" w:type="dxa"/>
            <w:vAlign w:val="top"/>
            <w:vMerge w:val="restart"/>
            <w:tcBorders>
              <w:bottom w:val="nil"/>
            </w:tcBorders>
          </w:tcPr>
          <w:p>
            <w:pPr>
              <w:pStyle w:val="TableText"/>
              <w:ind w:left="333"/>
              <w:spacing w:before="303" w:line="219" w:lineRule="auto"/>
              <w:rPr>
                <w:sz w:val="20"/>
                <w:szCs w:val="20"/>
              </w:rPr>
            </w:pPr>
            <w:r>
              <w:rPr>
                <w:sz w:val="20"/>
                <w:szCs w:val="20"/>
                <w:spacing w:val="-2"/>
              </w:rPr>
              <w:t>保护对象</w:t>
            </w:r>
          </w:p>
        </w:tc>
        <w:tc>
          <w:tcPr>
            <w:tcW w:w="2408" w:type="dxa"/>
            <w:vAlign w:val="top"/>
            <w:vMerge w:val="restart"/>
            <w:tcBorders>
              <w:bottom w:val="nil"/>
            </w:tcBorders>
          </w:tcPr>
          <w:p>
            <w:pPr>
              <w:pStyle w:val="TableText"/>
              <w:ind w:left="704"/>
              <w:spacing w:before="303" w:line="220" w:lineRule="auto"/>
              <w:rPr>
                <w:sz w:val="20"/>
                <w:szCs w:val="20"/>
              </w:rPr>
            </w:pPr>
            <w:r>
              <w:rPr>
                <w:sz w:val="20"/>
                <w:szCs w:val="20"/>
                <w:spacing w:val="3"/>
              </w:rPr>
              <w:t>环境功能区</w:t>
            </w:r>
          </w:p>
        </w:tc>
        <w:tc>
          <w:tcPr>
            <w:tcW w:w="1839" w:type="dxa"/>
            <w:vAlign w:val="top"/>
            <w:vMerge w:val="restart"/>
            <w:tcBorders>
              <w:bottom w:val="nil"/>
            </w:tcBorders>
          </w:tcPr>
          <w:p>
            <w:pPr>
              <w:pStyle w:val="TableText"/>
              <w:ind w:left="716" w:right="202" w:hanging="499"/>
              <w:spacing w:before="164" w:line="249" w:lineRule="auto"/>
              <w:rPr>
                <w:sz w:val="20"/>
                <w:szCs w:val="20"/>
              </w:rPr>
            </w:pPr>
            <w:r>
              <w:rPr>
                <w:sz w:val="20"/>
                <w:szCs w:val="20"/>
                <w:spacing w:val="1"/>
              </w:rPr>
              <w:t>与项目相对厂址 </w:t>
            </w:r>
            <w:r>
              <w:rPr>
                <w:sz w:val="20"/>
                <w:szCs w:val="20"/>
                <w:spacing w:val="-3"/>
              </w:rPr>
              <w:t>方位</w:t>
            </w:r>
          </w:p>
        </w:tc>
        <w:tc>
          <w:tcPr>
            <w:tcW w:w="2153" w:type="dxa"/>
            <w:vAlign w:val="top"/>
            <w:vMerge w:val="restart"/>
            <w:tcBorders>
              <w:bottom w:val="nil"/>
            </w:tcBorders>
          </w:tcPr>
          <w:p>
            <w:pPr>
              <w:pStyle w:val="TableText"/>
              <w:ind w:left="666" w:right="163" w:hanging="499"/>
              <w:spacing w:before="164" w:line="252" w:lineRule="auto"/>
              <w:rPr>
                <w:sz w:val="20"/>
                <w:szCs w:val="20"/>
              </w:rPr>
            </w:pPr>
            <w:r>
              <w:rPr>
                <w:sz w:val="20"/>
                <w:szCs w:val="20"/>
                <w:spacing w:val="1"/>
              </w:rPr>
              <w:t>与项目相对厂界距离 </w:t>
            </w:r>
            <w:r>
              <w:rPr>
                <w:sz w:val="20"/>
                <w:szCs w:val="20"/>
              </w:rPr>
              <w:t>(最近)/m</w:t>
            </w:r>
          </w:p>
        </w:tc>
      </w:tr>
      <w:tr>
        <w:trPr>
          <w:trHeight w:val="349" w:hRule="atLeast"/>
        </w:trPr>
        <w:tc>
          <w:tcPr>
            <w:tcW w:w="645" w:type="dxa"/>
            <w:vAlign w:val="top"/>
            <w:vMerge w:val="continue"/>
            <w:tcBorders>
              <w:top w:val="nil"/>
            </w:tcBorders>
          </w:tcPr>
          <w:p>
            <w:pPr>
              <w:rPr>
                <w:rFonts w:ascii="Arial"/>
                <w:sz w:val="21"/>
              </w:rPr>
            </w:pPr>
            <w:r/>
          </w:p>
        </w:tc>
        <w:tc>
          <w:tcPr>
            <w:tcW w:w="1409" w:type="dxa"/>
            <w:vAlign w:val="top"/>
            <w:vMerge w:val="continue"/>
            <w:tcBorders>
              <w:top w:val="nil"/>
            </w:tcBorders>
          </w:tcPr>
          <w:p>
            <w:pPr>
              <w:rPr>
                <w:rFonts w:ascii="Arial"/>
                <w:sz w:val="21"/>
              </w:rPr>
            </w:pPr>
            <w:r/>
          </w:p>
        </w:tc>
        <w:tc>
          <w:tcPr>
            <w:tcW w:w="2129" w:type="dxa"/>
            <w:vAlign w:val="top"/>
          </w:tcPr>
          <w:p>
            <w:pPr>
              <w:pStyle w:val="TableText"/>
              <w:ind w:left="861"/>
              <w:spacing w:before="79" w:line="220" w:lineRule="auto"/>
              <w:rPr>
                <w:sz w:val="20"/>
                <w:szCs w:val="20"/>
              </w:rPr>
            </w:pPr>
            <w:r>
              <w:rPr>
                <w:sz w:val="20"/>
                <w:szCs w:val="20"/>
                <w:spacing w:val="5"/>
              </w:rPr>
              <w:t>经度</w:t>
            </w:r>
          </w:p>
        </w:tc>
        <w:tc>
          <w:tcPr>
            <w:tcW w:w="2128" w:type="dxa"/>
            <w:vAlign w:val="top"/>
          </w:tcPr>
          <w:p>
            <w:pPr>
              <w:pStyle w:val="TableText"/>
              <w:ind w:left="871"/>
              <w:spacing w:before="79" w:line="220" w:lineRule="auto"/>
              <w:rPr>
                <w:sz w:val="20"/>
                <w:szCs w:val="20"/>
              </w:rPr>
            </w:pPr>
            <w:r>
              <w:rPr>
                <w:sz w:val="20"/>
                <w:szCs w:val="20"/>
                <w:spacing w:val="5"/>
              </w:rPr>
              <w:t>纬度</w:t>
            </w:r>
          </w:p>
        </w:tc>
        <w:tc>
          <w:tcPr>
            <w:tcW w:w="1409" w:type="dxa"/>
            <w:vAlign w:val="top"/>
            <w:vMerge w:val="continue"/>
            <w:tcBorders>
              <w:top w:val="nil"/>
            </w:tcBorders>
          </w:tcPr>
          <w:p>
            <w:pPr>
              <w:rPr>
                <w:rFonts w:ascii="Arial"/>
                <w:sz w:val="21"/>
              </w:rPr>
            </w:pPr>
            <w:r/>
          </w:p>
        </w:tc>
        <w:tc>
          <w:tcPr>
            <w:tcW w:w="2408" w:type="dxa"/>
            <w:vAlign w:val="top"/>
            <w:vMerge w:val="continue"/>
            <w:tcBorders>
              <w:top w:val="nil"/>
            </w:tcBorders>
          </w:tcPr>
          <w:p>
            <w:pPr>
              <w:rPr>
                <w:rFonts w:ascii="Arial"/>
                <w:sz w:val="21"/>
              </w:rPr>
            </w:pPr>
            <w:r/>
          </w:p>
        </w:tc>
        <w:tc>
          <w:tcPr>
            <w:tcW w:w="1839" w:type="dxa"/>
            <w:vAlign w:val="top"/>
            <w:vMerge w:val="continue"/>
            <w:tcBorders>
              <w:top w:val="nil"/>
            </w:tcBorders>
          </w:tcPr>
          <w:p>
            <w:pPr>
              <w:rPr>
                <w:rFonts w:ascii="Arial"/>
                <w:sz w:val="21"/>
              </w:rPr>
            </w:pPr>
            <w:r/>
          </w:p>
        </w:tc>
        <w:tc>
          <w:tcPr>
            <w:tcW w:w="2153" w:type="dxa"/>
            <w:vAlign w:val="top"/>
            <w:vMerge w:val="continue"/>
            <w:tcBorders>
              <w:top w:val="nil"/>
            </w:tcBorders>
          </w:tcPr>
          <w:p>
            <w:pPr>
              <w:rPr>
                <w:rFonts w:ascii="Arial"/>
                <w:sz w:val="21"/>
              </w:rPr>
            </w:pPr>
            <w:r/>
          </w:p>
        </w:tc>
      </w:tr>
      <w:tr>
        <w:trPr>
          <w:trHeight w:val="340" w:hRule="atLeast"/>
        </w:trPr>
        <w:tc>
          <w:tcPr>
            <w:tcW w:w="645" w:type="dxa"/>
            <w:vAlign w:val="top"/>
            <w:vMerge w:val="restart"/>
            <w:tcBorders>
              <w:bottom w:val="nil"/>
            </w:tcBorders>
          </w:tcPr>
          <w:p>
            <w:pPr>
              <w:rPr>
                <w:rFonts w:ascii="Arial"/>
                <w:sz w:val="21"/>
              </w:rPr>
            </w:pPr>
            <w:r/>
          </w:p>
        </w:tc>
        <w:tc>
          <w:tcPr>
            <w:tcW w:w="1409" w:type="dxa"/>
            <w:vAlign w:val="top"/>
          </w:tcPr>
          <w:p>
            <w:pPr>
              <w:pStyle w:val="TableText"/>
              <w:ind w:left="290"/>
              <w:spacing w:before="70" w:line="219" w:lineRule="auto"/>
              <w:rPr>
                <w:sz w:val="20"/>
                <w:szCs w:val="20"/>
              </w:rPr>
            </w:pPr>
            <w:r>
              <w:rPr>
                <w:sz w:val="20"/>
                <w:szCs w:val="20"/>
                <w:spacing w:val="4"/>
              </w:rPr>
              <w:t>东兴社区</w:t>
            </w:r>
          </w:p>
        </w:tc>
        <w:tc>
          <w:tcPr>
            <w:tcW w:w="2129" w:type="dxa"/>
            <w:vAlign w:val="top"/>
          </w:tcPr>
          <w:p>
            <w:pPr>
              <w:rPr>
                <w:rFonts w:ascii="Arial"/>
                <w:sz w:val="21"/>
              </w:rPr>
            </w:pPr>
            <w:r/>
          </w:p>
        </w:tc>
        <w:tc>
          <w:tcPr>
            <w:tcW w:w="2128" w:type="dxa"/>
            <w:vAlign w:val="top"/>
          </w:tcPr>
          <w:p>
            <w:pPr>
              <w:rPr>
                <w:rFonts w:ascii="Arial"/>
                <w:sz w:val="21"/>
              </w:rPr>
            </w:pPr>
            <w:r/>
          </w:p>
        </w:tc>
        <w:tc>
          <w:tcPr>
            <w:tcW w:w="1409" w:type="dxa"/>
            <w:vAlign w:val="top"/>
          </w:tcPr>
          <w:p>
            <w:pPr>
              <w:rPr>
                <w:rFonts w:ascii="Arial"/>
                <w:sz w:val="21"/>
              </w:rPr>
            </w:pPr>
            <w:r/>
          </w:p>
        </w:tc>
        <w:tc>
          <w:tcPr>
            <w:tcW w:w="2408" w:type="dxa"/>
            <w:vAlign w:val="top"/>
            <w:vMerge w:val="restart"/>
            <w:tcBorders>
              <w:bottom w:val="nil"/>
            </w:tcBorders>
          </w:tcPr>
          <w:p>
            <w:pPr>
              <w:rPr>
                <w:rFonts w:ascii="Arial"/>
                <w:sz w:val="21"/>
              </w:rPr>
            </w:pPr>
            <w:r/>
          </w:p>
        </w:tc>
        <w:tc>
          <w:tcPr>
            <w:tcW w:w="1839" w:type="dxa"/>
            <w:vAlign w:val="top"/>
          </w:tcPr>
          <w:p>
            <w:pPr>
              <w:pStyle w:val="TableText"/>
              <w:ind w:left="717"/>
              <w:spacing w:before="70" w:line="219" w:lineRule="auto"/>
              <w:rPr>
                <w:sz w:val="20"/>
                <w:szCs w:val="20"/>
              </w:rPr>
            </w:pPr>
            <w:r>
              <w:rPr>
                <w:sz w:val="20"/>
                <w:szCs w:val="20"/>
                <w:spacing w:val="6"/>
              </w:rPr>
              <w:t>北侧</w:t>
            </w:r>
          </w:p>
        </w:tc>
        <w:tc>
          <w:tcPr>
            <w:tcW w:w="2153" w:type="dxa"/>
            <w:vAlign w:val="top"/>
          </w:tcPr>
          <w:p>
            <w:pPr>
              <w:pStyle w:val="TableText"/>
              <w:ind w:left="867"/>
              <w:spacing w:before="121" w:line="183" w:lineRule="auto"/>
              <w:rPr>
                <w:sz w:val="20"/>
                <w:szCs w:val="20"/>
              </w:rPr>
            </w:pPr>
            <w:r>
              <w:rPr>
                <w:sz w:val="20"/>
                <w:szCs w:val="20"/>
                <w:spacing w:val="-3"/>
              </w:rPr>
              <w:t>3525</w:t>
            </w:r>
          </w:p>
        </w:tc>
      </w:tr>
      <w:tr>
        <w:trPr>
          <w:trHeight w:val="330" w:hRule="atLeast"/>
        </w:trPr>
        <w:tc>
          <w:tcPr>
            <w:tcW w:w="645" w:type="dxa"/>
            <w:vAlign w:val="top"/>
            <w:vMerge w:val="continue"/>
            <w:tcBorders>
              <w:top w:val="nil"/>
              <w:bottom w:val="nil"/>
            </w:tcBorders>
          </w:tcPr>
          <w:p>
            <w:pPr>
              <w:rPr>
                <w:rFonts w:ascii="Arial"/>
                <w:sz w:val="21"/>
              </w:rPr>
            </w:pPr>
            <w:r/>
          </w:p>
        </w:tc>
        <w:tc>
          <w:tcPr>
            <w:tcW w:w="1409" w:type="dxa"/>
            <w:vAlign w:val="top"/>
          </w:tcPr>
          <w:p>
            <w:pPr>
              <w:pStyle w:val="TableText"/>
              <w:ind w:left="290"/>
              <w:spacing w:before="70" w:line="219" w:lineRule="auto"/>
              <w:rPr>
                <w:sz w:val="20"/>
                <w:szCs w:val="20"/>
              </w:rPr>
            </w:pPr>
            <w:r>
              <w:rPr>
                <w:sz w:val="20"/>
                <w:szCs w:val="20"/>
                <w:spacing w:val="4"/>
              </w:rPr>
              <w:t>东阳社区</w:t>
            </w:r>
          </w:p>
        </w:tc>
        <w:tc>
          <w:tcPr>
            <w:tcW w:w="2129" w:type="dxa"/>
            <w:vAlign w:val="top"/>
          </w:tcPr>
          <w:p>
            <w:pPr>
              <w:rPr>
                <w:rFonts w:ascii="Arial"/>
                <w:sz w:val="21"/>
              </w:rPr>
            </w:pPr>
            <w:r/>
          </w:p>
        </w:tc>
        <w:tc>
          <w:tcPr>
            <w:tcW w:w="2128" w:type="dxa"/>
            <w:vAlign w:val="top"/>
          </w:tcPr>
          <w:p>
            <w:pPr>
              <w:rPr>
                <w:rFonts w:ascii="Arial"/>
                <w:sz w:val="21"/>
              </w:rPr>
            </w:pPr>
            <w:r/>
          </w:p>
        </w:tc>
        <w:tc>
          <w:tcPr>
            <w:tcW w:w="1409" w:type="dxa"/>
            <w:vAlign w:val="top"/>
          </w:tcPr>
          <w:p>
            <w:pPr>
              <w:rPr>
                <w:rFonts w:ascii="Arial"/>
                <w:sz w:val="21"/>
              </w:rPr>
            </w:pPr>
            <w:r/>
          </w:p>
        </w:tc>
        <w:tc>
          <w:tcPr>
            <w:tcW w:w="2408" w:type="dxa"/>
            <w:vAlign w:val="top"/>
            <w:vMerge w:val="continue"/>
            <w:tcBorders>
              <w:top w:val="nil"/>
              <w:bottom w:val="nil"/>
            </w:tcBorders>
          </w:tcPr>
          <w:p>
            <w:pPr>
              <w:rPr>
                <w:rFonts w:ascii="Arial"/>
                <w:sz w:val="21"/>
              </w:rPr>
            </w:pPr>
            <w:r/>
          </w:p>
        </w:tc>
        <w:tc>
          <w:tcPr>
            <w:tcW w:w="1839" w:type="dxa"/>
            <w:vAlign w:val="top"/>
          </w:tcPr>
          <w:p>
            <w:pPr>
              <w:pStyle w:val="TableText"/>
              <w:ind w:left="717"/>
              <w:spacing w:before="70" w:line="219" w:lineRule="auto"/>
              <w:rPr>
                <w:sz w:val="20"/>
                <w:szCs w:val="20"/>
              </w:rPr>
            </w:pPr>
            <w:r>
              <w:rPr>
                <w:sz w:val="20"/>
                <w:szCs w:val="20"/>
                <w:spacing w:val="6"/>
              </w:rPr>
              <w:t>北侧</w:t>
            </w:r>
          </w:p>
        </w:tc>
        <w:tc>
          <w:tcPr>
            <w:tcW w:w="2153" w:type="dxa"/>
            <w:vAlign w:val="top"/>
          </w:tcPr>
          <w:p>
            <w:pPr>
              <w:pStyle w:val="TableText"/>
              <w:ind w:left="867"/>
              <w:spacing w:before="121" w:line="183" w:lineRule="auto"/>
              <w:rPr>
                <w:sz w:val="20"/>
                <w:szCs w:val="20"/>
              </w:rPr>
            </w:pPr>
            <w:r>
              <w:rPr>
                <w:sz w:val="20"/>
                <w:szCs w:val="20"/>
                <w:spacing w:val="-2"/>
              </w:rPr>
              <w:t>4249</w:t>
            </w:r>
          </w:p>
        </w:tc>
      </w:tr>
      <w:tr>
        <w:trPr>
          <w:trHeight w:val="329" w:hRule="atLeast"/>
        </w:trPr>
        <w:tc>
          <w:tcPr>
            <w:tcW w:w="645" w:type="dxa"/>
            <w:vAlign w:val="top"/>
            <w:vMerge w:val="continue"/>
            <w:tcBorders>
              <w:top w:val="nil"/>
              <w:bottom w:val="nil"/>
            </w:tcBorders>
          </w:tcPr>
          <w:p>
            <w:pPr>
              <w:rPr>
                <w:rFonts w:ascii="Arial"/>
                <w:sz w:val="21"/>
              </w:rPr>
            </w:pPr>
            <w:r/>
          </w:p>
        </w:tc>
        <w:tc>
          <w:tcPr>
            <w:tcW w:w="1409" w:type="dxa"/>
            <w:vAlign w:val="top"/>
          </w:tcPr>
          <w:p>
            <w:pPr>
              <w:pStyle w:val="TableText"/>
              <w:ind w:left="290"/>
              <w:spacing w:before="70" w:line="219" w:lineRule="auto"/>
              <w:rPr>
                <w:sz w:val="20"/>
                <w:szCs w:val="20"/>
              </w:rPr>
            </w:pPr>
            <w:r>
              <w:rPr>
                <w:sz w:val="20"/>
                <w:szCs w:val="20"/>
                <w:spacing w:val="4"/>
              </w:rPr>
              <w:t>东景社区</w:t>
            </w:r>
          </w:p>
        </w:tc>
        <w:tc>
          <w:tcPr>
            <w:tcW w:w="2129" w:type="dxa"/>
            <w:vAlign w:val="top"/>
          </w:tcPr>
          <w:p>
            <w:pPr>
              <w:rPr>
                <w:rFonts w:ascii="Arial"/>
                <w:sz w:val="21"/>
              </w:rPr>
            </w:pPr>
            <w:r/>
          </w:p>
        </w:tc>
        <w:tc>
          <w:tcPr>
            <w:tcW w:w="2128" w:type="dxa"/>
            <w:vAlign w:val="top"/>
          </w:tcPr>
          <w:p>
            <w:pPr>
              <w:rPr>
                <w:rFonts w:ascii="Arial"/>
                <w:sz w:val="21"/>
              </w:rPr>
            </w:pPr>
            <w:r/>
          </w:p>
        </w:tc>
        <w:tc>
          <w:tcPr>
            <w:tcW w:w="1409" w:type="dxa"/>
            <w:vAlign w:val="top"/>
          </w:tcPr>
          <w:p>
            <w:pPr>
              <w:rPr>
                <w:rFonts w:ascii="Arial"/>
                <w:sz w:val="21"/>
              </w:rPr>
            </w:pPr>
            <w:r/>
          </w:p>
        </w:tc>
        <w:tc>
          <w:tcPr>
            <w:tcW w:w="2408" w:type="dxa"/>
            <w:vAlign w:val="top"/>
            <w:vMerge w:val="continue"/>
            <w:tcBorders>
              <w:top w:val="nil"/>
              <w:bottom w:val="nil"/>
            </w:tcBorders>
          </w:tcPr>
          <w:p>
            <w:pPr>
              <w:rPr>
                <w:rFonts w:ascii="Arial"/>
                <w:sz w:val="21"/>
              </w:rPr>
            </w:pPr>
            <w:r/>
          </w:p>
        </w:tc>
        <w:tc>
          <w:tcPr>
            <w:tcW w:w="1839" w:type="dxa"/>
            <w:vAlign w:val="top"/>
          </w:tcPr>
          <w:p>
            <w:pPr>
              <w:pStyle w:val="TableText"/>
              <w:ind w:left="717"/>
              <w:spacing w:before="70" w:line="219" w:lineRule="auto"/>
              <w:rPr>
                <w:sz w:val="20"/>
                <w:szCs w:val="20"/>
              </w:rPr>
            </w:pPr>
            <w:r>
              <w:rPr>
                <w:sz w:val="20"/>
                <w:szCs w:val="20"/>
                <w:spacing w:val="6"/>
              </w:rPr>
              <w:t>北侧</w:t>
            </w:r>
          </w:p>
        </w:tc>
        <w:tc>
          <w:tcPr>
            <w:tcW w:w="2153" w:type="dxa"/>
            <w:vAlign w:val="top"/>
          </w:tcPr>
          <w:p>
            <w:pPr>
              <w:pStyle w:val="TableText"/>
              <w:ind w:left="867"/>
              <w:spacing w:before="121" w:line="182" w:lineRule="auto"/>
              <w:rPr>
                <w:sz w:val="20"/>
                <w:szCs w:val="20"/>
              </w:rPr>
            </w:pPr>
            <w:r>
              <w:rPr>
                <w:sz w:val="20"/>
                <w:szCs w:val="20"/>
                <w:spacing w:val="-2"/>
              </w:rPr>
              <w:t>4343</w:t>
            </w:r>
          </w:p>
        </w:tc>
      </w:tr>
      <w:tr>
        <w:trPr>
          <w:trHeight w:val="359" w:hRule="atLeast"/>
        </w:trPr>
        <w:tc>
          <w:tcPr>
            <w:tcW w:w="645" w:type="dxa"/>
            <w:vAlign w:val="top"/>
            <w:vMerge w:val="continue"/>
            <w:tcBorders>
              <w:top w:val="nil"/>
              <w:bottom w:val="nil"/>
            </w:tcBorders>
          </w:tcPr>
          <w:p>
            <w:pPr>
              <w:rPr>
                <w:rFonts w:ascii="Arial"/>
                <w:sz w:val="21"/>
              </w:rPr>
            </w:pPr>
            <w:r/>
          </w:p>
        </w:tc>
        <w:tc>
          <w:tcPr>
            <w:tcW w:w="1409" w:type="dxa"/>
            <w:vAlign w:val="top"/>
          </w:tcPr>
          <w:p>
            <w:pPr>
              <w:pStyle w:val="TableText"/>
              <w:ind w:left="290"/>
              <w:spacing w:before="81" w:line="219" w:lineRule="auto"/>
              <w:rPr>
                <w:sz w:val="20"/>
                <w:szCs w:val="20"/>
              </w:rPr>
            </w:pPr>
            <w:r>
              <w:rPr>
                <w:sz w:val="20"/>
                <w:szCs w:val="20"/>
                <w:spacing w:val="4"/>
              </w:rPr>
              <w:t>东关社区</w:t>
            </w:r>
          </w:p>
        </w:tc>
        <w:tc>
          <w:tcPr>
            <w:tcW w:w="2129" w:type="dxa"/>
            <w:vAlign w:val="top"/>
          </w:tcPr>
          <w:p>
            <w:pPr>
              <w:rPr>
                <w:rFonts w:ascii="Arial"/>
                <w:sz w:val="21"/>
              </w:rPr>
            </w:pPr>
            <w:r/>
          </w:p>
        </w:tc>
        <w:tc>
          <w:tcPr>
            <w:tcW w:w="2128" w:type="dxa"/>
            <w:vAlign w:val="top"/>
          </w:tcPr>
          <w:p>
            <w:pPr>
              <w:rPr>
                <w:rFonts w:ascii="Arial"/>
                <w:sz w:val="21"/>
              </w:rPr>
            </w:pPr>
            <w:r/>
          </w:p>
        </w:tc>
        <w:tc>
          <w:tcPr>
            <w:tcW w:w="1409" w:type="dxa"/>
            <w:vAlign w:val="top"/>
          </w:tcPr>
          <w:p>
            <w:pPr>
              <w:rPr>
                <w:rFonts w:ascii="Arial"/>
                <w:sz w:val="21"/>
              </w:rPr>
            </w:pPr>
            <w:r/>
          </w:p>
        </w:tc>
        <w:tc>
          <w:tcPr>
            <w:tcW w:w="2408" w:type="dxa"/>
            <w:vAlign w:val="top"/>
            <w:vMerge w:val="continue"/>
            <w:tcBorders>
              <w:top w:val="nil"/>
              <w:bottom w:val="nil"/>
            </w:tcBorders>
          </w:tcPr>
          <w:p>
            <w:pPr>
              <w:rPr>
                <w:rFonts w:ascii="Arial"/>
                <w:sz w:val="21"/>
              </w:rPr>
            </w:pPr>
            <w:r/>
          </w:p>
        </w:tc>
        <w:tc>
          <w:tcPr>
            <w:tcW w:w="1839" w:type="dxa"/>
            <w:vAlign w:val="top"/>
          </w:tcPr>
          <w:p>
            <w:pPr>
              <w:pStyle w:val="TableText"/>
              <w:ind w:left="717"/>
              <w:spacing w:before="81" w:line="219" w:lineRule="auto"/>
              <w:rPr>
                <w:sz w:val="20"/>
                <w:szCs w:val="20"/>
              </w:rPr>
            </w:pPr>
            <w:r>
              <w:rPr>
                <w:sz w:val="20"/>
                <w:szCs w:val="20"/>
                <w:spacing w:val="6"/>
              </w:rPr>
              <w:t>北侧</w:t>
            </w:r>
          </w:p>
        </w:tc>
        <w:tc>
          <w:tcPr>
            <w:tcW w:w="2153" w:type="dxa"/>
            <w:vAlign w:val="top"/>
          </w:tcPr>
          <w:p>
            <w:pPr>
              <w:pStyle w:val="TableText"/>
              <w:ind w:left="867"/>
              <w:spacing w:before="132" w:line="183" w:lineRule="auto"/>
              <w:rPr>
                <w:sz w:val="20"/>
                <w:szCs w:val="20"/>
              </w:rPr>
            </w:pPr>
            <w:r>
              <w:rPr>
                <w:sz w:val="20"/>
                <w:szCs w:val="20"/>
                <w:spacing w:val="-2"/>
              </w:rPr>
              <w:t>2797</w:t>
            </w:r>
          </w:p>
        </w:tc>
      </w:tr>
      <w:tr>
        <w:trPr>
          <w:trHeight w:val="329" w:hRule="atLeast"/>
        </w:trPr>
        <w:tc>
          <w:tcPr>
            <w:tcW w:w="645" w:type="dxa"/>
            <w:vAlign w:val="top"/>
            <w:vMerge w:val="continue"/>
            <w:tcBorders>
              <w:top w:val="nil"/>
              <w:bottom w:val="nil"/>
            </w:tcBorders>
          </w:tcPr>
          <w:p>
            <w:pPr>
              <w:rPr>
                <w:rFonts w:ascii="Arial"/>
                <w:sz w:val="21"/>
              </w:rPr>
            </w:pPr>
            <w:r/>
          </w:p>
        </w:tc>
        <w:tc>
          <w:tcPr>
            <w:tcW w:w="1409" w:type="dxa"/>
            <w:vAlign w:val="top"/>
          </w:tcPr>
          <w:p>
            <w:pPr>
              <w:pStyle w:val="TableText"/>
              <w:ind w:left="290"/>
              <w:spacing w:before="72" w:line="219" w:lineRule="auto"/>
              <w:rPr>
                <w:sz w:val="20"/>
                <w:szCs w:val="20"/>
              </w:rPr>
            </w:pPr>
            <w:r>
              <w:rPr>
                <w:sz w:val="20"/>
                <w:szCs w:val="20"/>
                <w:spacing w:val="4"/>
              </w:rPr>
              <w:t>俊贤社区</w:t>
            </w:r>
          </w:p>
        </w:tc>
        <w:tc>
          <w:tcPr>
            <w:tcW w:w="2129" w:type="dxa"/>
            <w:vAlign w:val="top"/>
          </w:tcPr>
          <w:p>
            <w:pPr>
              <w:rPr>
                <w:rFonts w:ascii="Arial"/>
                <w:sz w:val="21"/>
              </w:rPr>
            </w:pPr>
            <w:r/>
          </w:p>
        </w:tc>
        <w:tc>
          <w:tcPr>
            <w:tcW w:w="2128" w:type="dxa"/>
            <w:vAlign w:val="top"/>
          </w:tcPr>
          <w:p>
            <w:pPr>
              <w:rPr>
                <w:rFonts w:ascii="Arial"/>
                <w:sz w:val="21"/>
              </w:rPr>
            </w:pPr>
            <w:r/>
          </w:p>
        </w:tc>
        <w:tc>
          <w:tcPr>
            <w:tcW w:w="1409" w:type="dxa"/>
            <w:vAlign w:val="top"/>
          </w:tcPr>
          <w:p>
            <w:pPr>
              <w:rPr>
                <w:rFonts w:ascii="Arial"/>
                <w:sz w:val="21"/>
              </w:rPr>
            </w:pPr>
            <w:r/>
          </w:p>
        </w:tc>
        <w:tc>
          <w:tcPr>
            <w:tcW w:w="2408" w:type="dxa"/>
            <w:vAlign w:val="top"/>
            <w:vMerge w:val="continue"/>
            <w:tcBorders>
              <w:top w:val="nil"/>
              <w:bottom w:val="nil"/>
            </w:tcBorders>
          </w:tcPr>
          <w:p>
            <w:pPr>
              <w:rPr>
                <w:rFonts w:ascii="Arial"/>
                <w:sz w:val="21"/>
              </w:rPr>
            </w:pPr>
            <w:r/>
          </w:p>
        </w:tc>
        <w:tc>
          <w:tcPr>
            <w:tcW w:w="1839" w:type="dxa"/>
            <w:vAlign w:val="top"/>
          </w:tcPr>
          <w:p>
            <w:pPr>
              <w:pStyle w:val="TableText"/>
              <w:ind w:left="717"/>
              <w:spacing w:before="72" w:line="219" w:lineRule="auto"/>
              <w:rPr>
                <w:sz w:val="20"/>
                <w:szCs w:val="20"/>
              </w:rPr>
            </w:pPr>
            <w:r>
              <w:rPr>
                <w:sz w:val="20"/>
                <w:szCs w:val="20"/>
                <w:spacing w:val="6"/>
              </w:rPr>
              <w:t>北侧</w:t>
            </w:r>
          </w:p>
        </w:tc>
        <w:tc>
          <w:tcPr>
            <w:tcW w:w="2153" w:type="dxa"/>
            <w:vAlign w:val="top"/>
          </w:tcPr>
          <w:p>
            <w:pPr>
              <w:pStyle w:val="TableText"/>
              <w:ind w:left="867"/>
              <w:spacing w:before="124" w:line="180" w:lineRule="auto"/>
              <w:rPr>
                <w:sz w:val="20"/>
                <w:szCs w:val="20"/>
              </w:rPr>
            </w:pPr>
            <w:r>
              <w:rPr>
                <w:sz w:val="20"/>
                <w:szCs w:val="20"/>
                <w:spacing w:val="-2"/>
              </w:rPr>
              <w:t>2776</w:t>
            </w:r>
          </w:p>
        </w:tc>
      </w:tr>
      <w:tr>
        <w:trPr>
          <w:trHeight w:val="339" w:hRule="atLeast"/>
        </w:trPr>
        <w:tc>
          <w:tcPr>
            <w:tcW w:w="645" w:type="dxa"/>
            <w:vAlign w:val="top"/>
            <w:vMerge w:val="continue"/>
            <w:tcBorders>
              <w:top w:val="nil"/>
              <w:bottom w:val="nil"/>
            </w:tcBorders>
          </w:tcPr>
          <w:p>
            <w:pPr>
              <w:rPr>
                <w:rFonts w:ascii="Arial"/>
                <w:sz w:val="21"/>
              </w:rPr>
            </w:pPr>
            <w:r/>
          </w:p>
        </w:tc>
        <w:tc>
          <w:tcPr>
            <w:tcW w:w="1409" w:type="dxa"/>
            <w:vAlign w:val="top"/>
          </w:tcPr>
          <w:p>
            <w:pPr>
              <w:pStyle w:val="TableText"/>
              <w:ind w:left="290"/>
              <w:spacing w:before="73" w:line="219" w:lineRule="auto"/>
              <w:rPr>
                <w:sz w:val="20"/>
                <w:szCs w:val="20"/>
              </w:rPr>
            </w:pPr>
            <w:r>
              <w:rPr>
                <w:sz w:val="20"/>
                <w:szCs w:val="20"/>
                <w:spacing w:val="4"/>
              </w:rPr>
              <w:t>兴贤社区</w:t>
            </w:r>
          </w:p>
        </w:tc>
        <w:tc>
          <w:tcPr>
            <w:tcW w:w="2129" w:type="dxa"/>
            <w:vAlign w:val="top"/>
          </w:tcPr>
          <w:p>
            <w:pPr>
              <w:rPr>
                <w:rFonts w:ascii="Arial"/>
                <w:sz w:val="21"/>
              </w:rPr>
            </w:pPr>
            <w:r/>
          </w:p>
        </w:tc>
        <w:tc>
          <w:tcPr>
            <w:tcW w:w="2128" w:type="dxa"/>
            <w:vAlign w:val="top"/>
          </w:tcPr>
          <w:p>
            <w:pPr>
              <w:rPr>
                <w:rFonts w:ascii="Arial"/>
                <w:sz w:val="21"/>
              </w:rPr>
            </w:pPr>
            <w:r/>
          </w:p>
        </w:tc>
        <w:tc>
          <w:tcPr>
            <w:tcW w:w="1409" w:type="dxa"/>
            <w:vAlign w:val="top"/>
          </w:tcPr>
          <w:p>
            <w:pPr>
              <w:rPr>
                <w:rFonts w:ascii="Arial"/>
                <w:sz w:val="21"/>
              </w:rPr>
            </w:pPr>
            <w:r/>
          </w:p>
        </w:tc>
        <w:tc>
          <w:tcPr>
            <w:tcW w:w="2408" w:type="dxa"/>
            <w:vAlign w:val="top"/>
            <w:vMerge w:val="continue"/>
            <w:tcBorders>
              <w:top w:val="nil"/>
              <w:bottom w:val="nil"/>
            </w:tcBorders>
          </w:tcPr>
          <w:p>
            <w:pPr>
              <w:rPr>
                <w:rFonts w:ascii="Arial"/>
                <w:sz w:val="21"/>
              </w:rPr>
            </w:pPr>
            <w:r/>
          </w:p>
        </w:tc>
        <w:tc>
          <w:tcPr>
            <w:tcW w:w="1839" w:type="dxa"/>
            <w:vAlign w:val="top"/>
          </w:tcPr>
          <w:p>
            <w:pPr>
              <w:pStyle w:val="TableText"/>
              <w:ind w:left="717"/>
              <w:spacing w:before="73" w:line="219" w:lineRule="auto"/>
              <w:rPr>
                <w:sz w:val="20"/>
                <w:szCs w:val="20"/>
              </w:rPr>
            </w:pPr>
            <w:r>
              <w:rPr>
                <w:sz w:val="20"/>
                <w:szCs w:val="20"/>
                <w:spacing w:val="6"/>
              </w:rPr>
              <w:t>北侧</w:t>
            </w:r>
          </w:p>
        </w:tc>
        <w:tc>
          <w:tcPr>
            <w:tcW w:w="2153" w:type="dxa"/>
            <w:vAlign w:val="top"/>
          </w:tcPr>
          <w:p>
            <w:pPr>
              <w:pStyle w:val="TableText"/>
              <w:ind w:left="867"/>
              <w:spacing w:before="124" w:line="183" w:lineRule="auto"/>
              <w:rPr>
                <w:sz w:val="20"/>
                <w:szCs w:val="20"/>
              </w:rPr>
            </w:pPr>
            <w:r>
              <w:rPr>
                <w:sz w:val="20"/>
                <w:szCs w:val="20"/>
                <w:spacing w:val="-3"/>
              </w:rPr>
              <w:t>3026</w:t>
            </w:r>
          </w:p>
        </w:tc>
      </w:tr>
      <w:tr>
        <w:trPr>
          <w:trHeight w:val="350" w:hRule="atLeast"/>
        </w:trPr>
        <w:tc>
          <w:tcPr>
            <w:tcW w:w="645" w:type="dxa"/>
            <w:vAlign w:val="top"/>
            <w:vMerge w:val="continue"/>
            <w:tcBorders>
              <w:top w:val="nil"/>
              <w:bottom w:val="nil"/>
            </w:tcBorders>
          </w:tcPr>
          <w:p>
            <w:pPr>
              <w:rPr>
                <w:rFonts w:ascii="Arial"/>
                <w:sz w:val="21"/>
              </w:rPr>
            </w:pPr>
            <w:r/>
          </w:p>
        </w:tc>
        <w:tc>
          <w:tcPr>
            <w:tcW w:w="1409" w:type="dxa"/>
            <w:vAlign w:val="top"/>
          </w:tcPr>
          <w:p>
            <w:pPr>
              <w:pStyle w:val="TableText"/>
              <w:ind w:left="290"/>
              <w:spacing w:before="84" w:line="219" w:lineRule="auto"/>
              <w:rPr>
                <w:sz w:val="20"/>
                <w:szCs w:val="20"/>
              </w:rPr>
            </w:pPr>
            <w:r>
              <w:rPr>
                <w:sz w:val="20"/>
                <w:szCs w:val="20"/>
                <w:spacing w:val="4"/>
              </w:rPr>
              <w:t>龙贤社区</w:t>
            </w:r>
          </w:p>
        </w:tc>
        <w:tc>
          <w:tcPr>
            <w:tcW w:w="2129" w:type="dxa"/>
            <w:vAlign w:val="top"/>
          </w:tcPr>
          <w:p>
            <w:pPr>
              <w:rPr>
                <w:rFonts w:ascii="Arial"/>
                <w:sz w:val="21"/>
              </w:rPr>
            </w:pPr>
            <w:r/>
          </w:p>
        </w:tc>
        <w:tc>
          <w:tcPr>
            <w:tcW w:w="2128" w:type="dxa"/>
            <w:vAlign w:val="top"/>
          </w:tcPr>
          <w:p>
            <w:pPr>
              <w:rPr>
                <w:rFonts w:ascii="Arial"/>
                <w:sz w:val="21"/>
              </w:rPr>
            </w:pPr>
            <w:r/>
          </w:p>
        </w:tc>
        <w:tc>
          <w:tcPr>
            <w:tcW w:w="1409" w:type="dxa"/>
            <w:vAlign w:val="top"/>
          </w:tcPr>
          <w:p>
            <w:pPr>
              <w:rPr>
                <w:rFonts w:ascii="Arial"/>
                <w:sz w:val="21"/>
              </w:rPr>
            </w:pPr>
            <w:r/>
          </w:p>
        </w:tc>
        <w:tc>
          <w:tcPr>
            <w:tcW w:w="2408" w:type="dxa"/>
            <w:vAlign w:val="top"/>
            <w:vMerge w:val="continue"/>
            <w:tcBorders>
              <w:top w:val="nil"/>
              <w:bottom w:val="nil"/>
            </w:tcBorders>
          </w:tcPr>
          <w:p>
            <w:pPr>
              <w:rPr>
                <w:rFonts w:ascii="Arial"/>
                <w:sz w:val="21"/>
              </w:rPr>
            </w:pPr>
            <w:r/>
          </w:p>
        </w:tc>
        <w:tc>
          <w:tcPr>
            <w:tcW w:w="1839" w:type="dxa"/>
            <w:vAlign w:val="top"/>
          </w:tcPr>
          <w:p>
            <w:pPr>
              <w:pStyle w:val="TableText"/>
              <w:ind w:left="717"/>
              <w:spacing w:before="84" w:line="219" w:lineRule="auto"/>
              <w:rPr>
                <w:sz w:val="20"/>
                <w:szCs w:val="20"/>
              </w:rPr>
            </w:pPr>
            <w:r>
              <w:rPr>
                <w:sz w:val="20"/>
                <w:szCs w:val="20"/>
                <w:spacing w:val="6"/>
              </w:rPr>
              <w:t>北侧</w:t>
            </w:r>
          </w:p>
        </w:tc>
        <w:tc>
          <w:tcPr>
            <w:tcW w:w="2153" w:type="dxa"/>
            <w:vAlign w:val="top"/>
          </w:tcPr>
          <w:p>
            <w:pPr>
              <w:pStyle w:val="TableText"/>
              <w:ind w:left="867"/>
              <w:spacing w:before="135" w:line="183" w:lineRule="auto"/>
              <w:rPr>
                <w:sz w:val="20"/>
                <w:szCs w:val="20"/>
              </w:rPr>
            </w:pPr>
            <w:r>
              <w:rPr>
                <w:sz w:val="20"/>
                <w:szCs w:val="20"/>
                <w:spacing w:val="-3"/>
              </w:rPr>
              <w:t>3255</w:t>
            </w:r>
          </w:p>
        </w:tc>
      </w:tr>
      <w:tr>
        <w:trPr>
          <w:trHeight w:val="339" w:hRule="atLeast"/>
        </w:trPr>
        <w:tc>
          <w:tcPr>
            <w:tcW w:w="645" w:type="dxa"/>
            <w:vAlign w:val="top"/>
            <w:vMerge w:val="continue"/>
            <w:tcBorders>
              <w:top w:val="nil"/>
              <w:bottom w:val="nil"/>
            </w:tcBorders>
          </w:tcPr>
          <w:p>
            <w:pPr>
              <w:rPr>
                <w:rFonts w:ascii="Arial"/>
                <w:sz w:val="21"/>
              </w:rPr>
            </w:pPr>
            <w:r/>
          </w:p>
        </w:tc>
        <w:tc>
          <w:tcPr>
            <w:tcW w:w="1409" w:type="dxa"/>
            <w:vAlign w:val="top"/>
          </w:tcPr>
          <w:p>
            <w:pPr>
              <w:pStyle w:val="TableText"/>
              <w:ind w:left="290"/>
              <w:spacing w:before="74" w:line="219" w:lineRule="auto"/>
              <w:rPr>
                <w:sz w:val="20"/>
                <w:szCs w:val="20"/>
              </w:rPr>
            </w:pPr>
            <w:r>
              <w:rPr>
                <w:sz w:val="20"/>
                <w:szCs w:val="20"/>
                <w:spacing w:val="4"/>
              </w:rPr>
              <w:t>集贤社区</w:t>
            </w:r>
          </w:p>
        </w:tc>
        <w:tc>
          <w:tcPr>
            <w:tcW w:w="2129" w:type="dxa"/>
            <w:vAlign w:val="top"/>
          </w:tcPr>
          <w:p>
            <w:pPr>
              <w:rPr>
                <w:rFonts w:ascii="Arial"/>
                <w:sz w:val="21"/>
              </w:rPr>
            </w:pPr>
            <w:r/>
          </w:p>
        </w:tc>
        <w:tc>
          <w:tcPr>
            <w:tcW w:w="2128" w:type="dxa"/>
            <w:vAlign w:val="top"/>
          </w:tcPr>
          <w:p>
            <w:pPr>
              <w:rPr>
                <w:rFonts w:ascii="Arial"/>
                <w:sz w:val="21"/>
              </w:rPr>
            </w:pPr>
            <w:r/>
          </w:p>
        </w:tc>
        <w:tc>
          <w:tcPr>
            <w:tcW w:w="1409" w:type="dxa"/>
            <w:vAlign w:val="top"/>
          </w:tcPr>
          <w:p>
            <w:pPr>
              <w:rPr>
                <w:rFonts w:ascii="Arial"/>
                <w:sz w:val="21"/>
              </w:rPr>
            </w:pPr>
            <w:r/>
          </w:p>
        </w:tc>
        <w:tc>
          <w:tcPr>
            <w:tcW w:w="2408" w:type="dxa"/>
            <w:vAlign w:val="top"/>
            <w:vMerge w:val="continue"/>
            <w:tcBorders>
              <w:top w:val="nil"/>
              <w:bottom w:val="nil"/>
            </w:tcBorders>
          </w:tcPr>
          <w:p>
            <w:pPr>
              <w:rPr>
                <w:rFonts w:ascii="Arial"/>
                <w:sz w:val="21"/>
              </w:rPr>
            </w:pPr>
            <w:r/>
          </w:p>
        </w:tc>
        <w:tc>
          <w:tcPr>
            <w:tcW w:w="1839" w:type="dxa"/>
            <w:vAlign w:val="top"/>
          </w:tcPr>
          <w:p>
            <w:pPr>
              <w:pStyle w:val="TableText"/>
              <w:ind w:left="717"/>
              <w:spacing w:before="74" w:line="219" w:lineRule="auto"/>
              <w:rPr>
                <w:sz w:val="20"/>
                <w:szCs w:val="20"/>
              </w:rPr>
            </w:pPr>
            <w:r>
              <w:rPr>
                <w:sz w:val="20"/>
                <w:szCs w:val="20"/>
                <w:spacing w:val="6"/>
              </w:rPr>
              <w:t>北侧</w:t>
            </w:r>
          </w:p>
        </w:tc>
        <w:tc>
          <w:tcPr>
            <w:tcW w:w="2153" w:type="dxa"/>
            <w:vAlign w:val="top"/>
          </w:tcPr>
          <w:p>
            <w:pPr>
              <w:pStyle w:val="TableText"/>
              <w:ind w:left="867"/>
              <w:spacing w:before="125" w:line="183" w:lineRule="auto"/>
              <w:rPr>
                <w:sz w:val="20"/>
                <w:szCs w:val="20"/>
              </w:rPr>
            </w:pPr>
            <w:r>
              <w:rPr>
                <w:sz w:val="20"/>
                <w:szCs w:val="20"/>
                <w:spacing w:val="-3"/>
              </w:rPr>
              <w:t>3453</w:t>
            </w:r>
          </w:p>
        </w:tc>
      </w:tr>
      <w:tr>
        <w:trPr>
          <w:trHeight w:val="330" w:hRule="atLeast"/>
        </w:trPr>
        <w:tc>
          <w:tcPr>
            <w:tcW w:w="645" w:type="dxa"/>
            <w:vAlign w:val="top"/>
            <w:vMerge w:val="continue"/>
            <w:tcBorders>
              <w:top w:val="nil"/>
              <w:bottom w:val="nil"/>
            </w:tcBorders>
          </w:tcPr>
          <w:p>
            <w:pPr>
              <w:rPr>
                <w:rFonts w:ascii="Arial"/>
                <w:sz w:val="21"/>
              </w:rPr>
            </w:pPr>
            <w:r/>
          </w:p>
        </w:tc>
        <w:tc>
          <w:tcPr>
            <w:tcW w:w="1409" w:type="dxa"/>
            <w:vAlign w:val="top"/>
          </w:tcPr>
          <w:p>
            <w:pPr>
              <w:pStyle w:val="TableText"/>
              <w:ind w:left="290"/>
              <w:spacing w:before="75" w:line="219" w:lineRule="auto"/>
              <w:rPr>
                <w:sz w:val="20"/>
                <w:szCs w:val="20"/>
              </w:rPr>
            </w:pPr>
            <w:r>
              <w:rPr>
                <w:sz w:val="20"/>
                <w:szCs w:val="20"/>
                <w:spacing w:val="4"/>
              </w:rPr>
              <w:t>万贤社区</w:t>
            </w:r>
          </w:p>
        </w:tc>
        <w:tc>
          <w:tcPr>
            <w:tcW w:w="2129" w:type="dxa"/>
            <w:vAlign w:val="top"/>
          </w:tcPr>
          <w:p>
            <w:pPr>
              <w:rPr>
                <w:rFonts w:ascii="Arial"/>
                <w:sz w:val="21"/>
              </w:rPr>
            </w:pPr>
            <w:r/>
          </w:p>
        </w:tc>
        <w:tc>
          <w:tcPr>
            <w:tcW w:w="2128" w:type="dxa"/>
            <w:vAlign w:val="top"/>
          </w:tcPr>
          <w:p>
            <w:pPr>
              <w:rPr>
                <w:rFonts w:ascii="Arial"/>
                <w:sz w:val="21"/>
              </w:rPr>
            </w:pPr>
            <w:r/>
          </w:p>
        </w:tc>
        <w:tc>
          <w:tcPr>
            <w:tcW w:w="1409" w:type="dxa"/>
            <w:vAlign w:val="top"/>
          </w:tcPr>
          <w:p>
            <w:pPr>
              <w:rPr>
                <w:rFonts w:ascii="Arial"/>
                <w:sz w:val="21"/>
              </w:rPr>
            </w:pPr>
            <w:r/>
          </w:p>
        </w:tc>
        <w:tc>
          <w:tcPr>
            <w:tcW w:w="2408" w:type="dxa"/>
            <w:vAlign w:val="top"/>
            <w:vMerge w:val="continue"/>
            <w:tcBorders>
              <w:top w:val="nil"/>
              <w:bottom w:val="nil"/>
            </w:tcBorders>
          </w:tcPr>
          <w:p>
            <w:pPr>
              <w:rPr>
                <w:rFonts w:ascii="Arial"/>
                <w:sz w:val="21"/>
              </w:rPr>
            </w:pPr>
            <w:r/>
          </w:p>
        </w:tc>
        <w:tc>
          <w:tcPr>
            <w:tcW w:w="1839" w:type="dxa"/>
            <w:vAlign w:val="top"/>
          </w:tcPr>
          <w:p>
            <w:pPr>
              <w:pStyle w:val="TableText"/>
              <w:ind w:left="717"/>
              <w:spacing w:before="75" w:line="219" w:lineRule="auto"/>
              <w:rPr>
                <w:sz w:val="20"/>
                <w:szCs w:val="20"/>
              </w:rPr>
            </w:pPr>
            <w:r>
              <w:rPr>
                <w:sz w:val="20"/>
                <w:szCs w:val="20"/>
                <w:spacing w:val="6"/>
              </w:rPr>
              <w:t>北侧</w:t>
            </w:r>
          </w:p>
        </w:tc>
        <w:tc>
          <w:tcPr>
            <w:tcW w:w="2153" w:type="dxa"/>
            <w:vAlign w:val="top"/>
          </w:tcPr>
          <w:p>
            <w:pPr>
              <w:pStyle w:val="TableText"/>
              <w:ind w:left="867"/>
              <w:spacing w:before="126" w:line="179" w:lineRule="auto"/>
              <w:rPr>
                <w:sz w:val="20"/>
                <w:szCs w:val="20"/>
              </w:rPr>
            </w:pPr>
            <w:r>
              <w:rPr>
                <w:sz w:val="20"/>
                <w:szCs w:val="20"/>
                <w:spacing w:val="-3"/>
              </w:rPr>
              <w:t>3131</w:t>
            </w:r>
          </w:p>
        </w:tc>
      </w:tr>
      <w:tr>
        <w:trPr>
          <w:trHeight w:val="359" w:hRule="atLeast"/>
        </w:trPr>
        <w:tc>
          <w:tcPr>
            <w:tcW w:w="645" w:type="dxa"/>
            <w:vAlign w:val="top"/>
            <w:vMerge w:val="continue"/>
            <w:tcBorders>
              <w:top w:val="nil"/>
              <w:bottom w:val="nil"/>
            </w:tcBorders>
          </w:tcPr>
          <w:p>
            <w:pPr>
              <w:rPr>
                <w:rFonts w:ascii="Arial"/>
                <w:sz w:val="21"/>
              </w:rPr>
            </w:pPr>
            <w:r/>
          </w:p>
        </w:tc>
        <w:tc>
          <w:tcPr>
            <w:tcW w:w="1409" w:type="dxa"/>
            <w:vAlign w:val="top"/>
          </w:tcPr>
          <w:p>
            <w:pPr>
              <w:pStyle w:val="TableText"/>
              <w:ind w:left="290"/>
              <w:spacing w:before="85" w:line="219" w:lineRule="auto"/>
              <w:rPr>
                <w:sz w:val="20"/>
                <w:szCs w:val="20"/>
              </w:rPr>
            </w:pPr>
            <w:r>
              <w:rPr>
                <w:sz w:val="20"/>
                <w:szCs w:val="20"/>
                <w:spacing w:val="4"/>
              </w:rPr>
              <w:t>彩虹社区</w:t>
            </w:r>
          </w:p>
        </w:tc>
        <w:tc>
          <w:tcPr>
            <w:tcW w:w="2129" w:type="dxa"/>
            <w:vAlign w:val="top"/>
          </w:tcPr>
          <w:p>
            <w:pPr>
              <w:rPr>
                <w:rFonts w:ascii="Arial"/>
                <w:sz w:val="21"/>
              </w:rPr>
            </w:pPr>
            <w:r/>
          </w:p>
        </w:tc>
        <w:tc>
          <w:tcPr>
            <w:tcW w:w="2128" w:type="dxa"/>
            <w:vAlign w:val="top"/>
          </w:tcPr>
          <w:p>
            <w:pPr>
              <w:rPr>
                <w:rFonts w:ascii="Arial"/>
                <w:sz w:val="21"/>
              </w:rPr>
            </w:pPr>
            <w:r/>
          </w:p>
        </w:tc>
        <w:tc>
          <w:tcPr>
            <w:tcW w:w="1409" w:type="dxa"/>
            <w:vAlign w:val="top"/>
          </w:tcPr>
          <w:p>
            <w:pPr>
              <w:rPr>
                <w:rFonts w:ascii="Arial"/>
                <w:sz w:val="21"/>
              </w:rPr>
            </w:pPr>
            <w:r/>
          </w:p>
        </w:tc>
        <w:tc>
          <w:tcPr>
            <w:tcW w:w="2408" w:type="dxa"/>
            <w:vAlign w:val="top"/>
            <w:vMerge w:val="continue"/>
            <w:tcBorders>
              <w:top w:val="nil"/>
              <w:bottom w:val="nil"/>
            </w:tcBorders>
          </w:tcPr>
          <w:p>
            <w:pPr>
              <w:rPr>
                <w:rFonts w:ascii="Arial"/>
                <w:sz w:val="21"/>
              </w:rPr>
            </w:pPr>
            <w:r/>
          </w:p>
        </w:tc>
        <w:tc>
          <w:tcPr>
            <w:tcW w:w="1839" w:type="dxa"/>
            <w:vAlign w:val="top"/>
          </w:tcPr>
          <w:p>
            <w:pPr>
              <w:pStyle w:val="TableText"/>
              <w:ind w:left="717"/>
              <w:spacing w:before="85" w:line="219" w:lineRule="auto"/>
              <w:rPr>
                <w:sz w:val="20"/>
                <w:szCs w:val="20"/>
              </w:rPr>
            </w:pPr>
            <w:r>
              <w:rPr>
                <w:sz w:val="20"/>
                <w:szCs w:val="20"/>
                <w:spacing w:val="6"/>
              </w:rPr>
              <w:t>北侧</w:t>
            </w:r>
          </w:p>
        </w:tc>
        <w:tc>
          <w:tcPr>
            <w:tcW w:w="2153" w:type="dxa"/>
            <w:vAlign w:val="top"/>
          </w:tcPr>
          <w:p>
            <w:pPr>
              <w:pStyle w:val="TableText"/>
              <w:ind w:left="867"/>
              <w:spacing w:before="136" w:line="183" w:lineRule="auto"/>
              <w:rPr>
                <w:sz w:val="20"/>
                <w:szCs w:val="20"/>
              </w:rPr>
            </w:pPr>
            <w:r>
              <w:rPr>
                <w:sz w:val="20"/>
                <w:szCs w:val="20"/>
                <w:spacing w:val="-3"/>
              </w:rPr>
              <w:t>3452</w:t>
            </w:r>
          </w:p>
        </w:tc>
      </w:tr>
      <w:tr>
        <w:trPr>
          <w:trHeight w:val="329" w:hRule="atLeast"/>
        </w:trPr>
        <w:tc>
          <w:tcPr>
            <w:tcW w:w="645" w:type="dxa"/>
            <w:vAlign w:val="top"/>
            <w:vMerge w:val="continue"/>
            <w:tcBorders>
              <w:top w:val="nil"/>
              <w:bottom w:val="nil"/>
            </w:tcBorders>
          </w:tcPr>
          <w:p>
            <w:pPr>
              <w:rPr>
                <w:rFonts w:ascii="Arial"/>
                <w:sz w:val="21"/>
              </w:rPr>
            </w:pPr>
            <w:r/>
          </w:p>
        </w:tc>
        <w:tc>
          <w:tcPr>
            <w:tcW w:w="1409" w:type="dxa"/>
            <w:vAlign w:val="top"/>
          </w:tcPr>
          <w:p>
            <w:pPr>
              <w:pStyle w:val="TableText"/>
              <w:ind w:left="290"/>
              <w:spacing w:before="76" w:line="219" w:lineRule="auto"/>
              <w:rPr>
                <w:sz w:val="20"/>
                <w:szCs w:val="20"/>
              </w:rPr>
            </w:pPr>
            <w:r>
              <w:rPr>
                <w:sz w:val="20"/>
                <w:szCs w:val="20"/>
                <w:spacing w:val="4"/>
              </w:rPr>
              <w:t>俊星社区</w:t>
            </w:r>
          </w:p>
        </w:tc>
        <w:tc>
          <w:tcPr>
            <w:tcW w:w="2129" w:type="dxa"/>
            <w:vAlign w:val="top"/>
          </w:tcPr>
          <w:p>
            <w:pPr>
              <w:rPr>
                <w:rFonts w:ascii="Arial"/>
                <w:sz w:val="21"/>
              </w:rPr>
            </w:pPr>
            <w:r/>
          </w:p>
        </w:tc>
        <w:tc>
          <w:tcPr>
            <w:tcW w:w="2128" w:type="dxa"/>
            <w:vAlign w:val="top"/>
          </w:tcPr>
          <w:p>
            <w:pPr>
              <w:rPr>
                <w:rFonts w:ascii="Arial"/>
                <w:sz w:val="21"/>
              </w:rPr>
            </w:pPr>
            <w:r/>
          </w:p>
        </w:tc>
        <w:tc>
          <w:tcPr>
            <w:tcW w:w="1409" w:type="dxa"/>
            <w:vAlign w:val="top"/>
          </w:tcPr>
          <w:p>
            <w:pPr>
              <w:rPr>
                <w:rFonts w:ascii="Arial"/>
                <w:sz w:val="21"/>
              </w:rPr>
            </w:pPr>
            <w:r/>
          </w:p>
        </w:tc>
        <w:tc>
          <w:tcPr>
            <w:tcW w:w="2408" w:type="dxa"/>
            <w:vAlign w:val="top"/>
            <w:vMerge w:val="continue"/>
            <w:tcBorders>
              <w:top w:val="nil"/>
              <w:bottom w:val="nil"/>
            </w:tcBorders>
          </w:tcPr>
          <w:p>
            <w:pPr>
              <w:rPr>
                <w:rFonts w:ascii="Arial"/>
                <w:sz w:val="21"/>
              </w:rPr>
            </w:pPr>
            <w:r/>
          </w:p>
        </w:tc>
        <w:tc>
          <w:tcPr>
            <w:tcW w:w="1839" w:type="dxa"/>
            <w:vAlign w:val="top"/>
          </w:tcPr>
          <w:p>
            <w:pPr>
              <w:pStyle w:val="TableText"/>
              <w:ind w:left="717"/>
              <w:spacing w:before="76" w:line="219" w:lineRule="auto"/>
              <w:rPr>
                <w:sz w:val="20"/>
                <w:szCs w:val="20"/>
              </w:rPr>
            </w:pPr>
            <w:r>
              <w:rPr>
                <w:sz w:val="20"/>
                <w:szCs w:val="20"/>
                <w:spacing w:val="6"/>
              </w:rPr>
              <w:t>北侧</w:t>
            </w:r>
          </w:p>
        </w:tc>
        <w:tc>
          <w:tcPr>
            <w:tcW w:w="2153" w:type="dxa"/>
            <w:vAlign w:val="top"/>
          </w:tcPr>
          <w:p>
            <w:pPr>
              <w:pStyle w:val="TableText"/>
              <w:ind w:left="867"/>
              <w:spacing w:before="127" w:line="177" w:lineRule="auto"/>
              <w:rPr>
                <w:sz w:val="20"/>
                <w:szCs w:val="20"/>
              </w:rPr>
            </w:pPr>
            <w:r>
              <w:rPr>
                <w:sz w:val="20"/>
                <w:szCs w:val="20"/>
                <w:spacing w:val="-3"/>
              </w:rPr>
              <w:t>3502</w:t>
            </w:r>
          </w:p>
        </w:tc>
      </w:tr>
      <w:tr>
        <w:trPr>
          <w:trHeight w:val="329" w:hRule="atLeast"/>
        </w:trPr>
        <w:tc>
          <w:tcPr>
            <w:tcW w:w="645" w:type="dxa"/>
            <w:vAlign w:val="top"/>
            <w:vMerge w:val="continue"/>
            <w:tcBorders>
              <w:top w:val="nil"/>
              <w:bottom w:val="nil"/>
            </w:tcBorders>
          </w:tcPr>
          <w:p>
            <w:pPr>
              <w:rPr>
                <w:rFonts w:ascii="Arial"/>
                <w:sz w:val="21"/>
              </w:rPr>
            </w:pPr>
            <w:r/>
          </w:p>
        </w:tc>
        <w:tc>
          <w:tcPr>
            <w:tcW w:w="1409" w:type="dxa"/>
            <w:vAlign w:val="top"/>
          </w:tcPr>
          <w:p>
            <w:pPr>
              <w:pStyle w:val="TableText"/>
              <w:ind w:left="290"/>
              <w:spacing w:before="77" w:line="219" w:lineRule="auto"/>
              <w:rPr>
                <w:sz w:val="20"/>
                <w:szCs w:val="20"/>
              </w:rPr>
            </w:pPr>
            <w:r>
              <w:rPr>
                <w:sz w:val="20"/>
                <w:szCs w:val="20"/>
                <w:spacing w:val="4"/>
              </w:rPr>
              <w:t>中乘社区</w:t>
            </w:r>
          </w:p>
        </w:tc>
        <w:tc>
          <w:tcPr>
            <w:tcW w:w="2129" w:type="dxa"/>
            <w:vAlign w:val="top"/>
          </w:tcPr>
          <w:p>
            <w:pPr>
              <w:rPr>
                <w:rFonts w:ascii="Arial"/>
                <w:sz w:val="21"/>
              </w:rPr>
            </w:pPr>
            <w:r/>
          </w:p>
        </w:tc>
        <w:tc>
          <w:tcPr>
            <w:tcW w:w="2128" w:type="dxa"/>
            <w:vAlign w:val="top"/>
          </w:tcPr>
          <w:p>
            <w:pPr>
              <w:rPr>
                <w:rFonts w:ascii="Arial"/>
                <w:sz w:val="21"/>
              </w:rPr>
            </w:pPr>
            <w:r/>
          </w:p>
        </w:tc>
        <w:tc>
          <w:tcPr>
            <w:tcW w:w="1409" w:type="dxa"/>
            <w:vAlign w:val="top"/>
          </w:tcPr>
          <w:p>
            <w:pPr>
              <w:rPr>
                <w:rFonts w:ascii="Arial"/>
                <w:sz w:val="21"/>
              </w:rPr>
            </w:pPr>
            <w:r/>
          </w:p>
        </w:tc>
        <w:tc>
          <w:tcPr>
            <w:tcW w:w="2408" w:type="dxa"/>
            <w:vAlign w:val="top"/>
            <w:vMerge w:val="continue"/>
            <w:tcBorders>
              <w:top w:val="nil"/>
              <w:bottom w:val="nil"/>
            </w:tcBorders>
          </w:tcPr>
          <w:p>
            <w:pPr>
              <w:rPr>
                <w:rFonts w:ascii="Arial"/>
                <w:sz w:val="21"/>
              </w:rPr>
            </w:pPr>
            <w:r/>
          </w:p>
        </w:tc>
        <w:tc>
          <w:tcPr>
            <w:tcW w:w="1839" w:type="dxa"/>
            <w:vAlign w:val="top"/>
          </w:tcPr>
          <w:p>
            <w:pPr>
              <w:pStyle w:val="TableText"/>
              <w:ind w:left="717"/>
              <w:spacing w:before="77" w:line="219" w:lineRule="auto"/>
              <w:rPr>
                <w:sz w:val="20"/>
                <w:szCs w:val="20"/>
              </w:rPr>
            </w:pPr>
            <w:r>
              <w:rPr>
                <w:sz w:val="20"/>
                <w:szCs w:val="20"/>
                <w:spacing w:val="6"/>
              </w:rPr>
              <w:t>北侧</w:t>
            </w:r>
          </w:p>
        </w:tc>
        <w:tc>
          <w:tcPr>
            <w:tcW w:w="2153" w:type="dxa"/>
            <w:vAlign w:val="top"/>
          </w:tcPr>
          <w:p>
            <w:pPr>
              <w:pStyle w:val="TableText"/>
              <w:ind w:left="867"/>
              <w:spacing w:before="128" w:line="176" w:lineRule="auto"/>
              <w:rPr>
                <w:sz w:val="20"/>
                <w:szCs w:val="20"/>
              </w:rPr>
            </w:pPr>
            <w:r>
              <w:rPr>
                <w:sz w:val="20"/>
                <w:szCs w:val="20"/>
                <w:spacing w:val="-3"/>
              </w:rPr>
              <w:t>3291</w:t>
            </w:r>
          </w:p>
        </w:tc>
      </w:tr>
      <w:tr>
        <w:trPr>
          <w:trHeight w:val="360" w:hRule="atLeast"/>
        </w:trPr>
        <w:tc>
          <w:tcPr>
            <w:tcW w:w="645" w:type="dxa"/>
            <w:vAlign w:val="top"/>
            <w:vMerge w:val="continue"/>
            <w:tcBorders>
              <w:top w:val="nil"/>
              <w:bottom w:val="nil"/>
            </w:tcBorders>
          </w:tcPr>
          <w:p>
            <w:pPr>
              <w:rPr>
                <w:rFonts w:ascii="Arial"/>
                <w:sz w:val="21"/>
              </w:rPr>
            </w:pPr>
            <w:r/>
          </w:p>
        </w:tc>
        <w:tc>
          <w:tcPr>
            <w:tcW w:w="1409" w:type="dxa"/>
            <w:vAlign w:val="top"/>
          </w:tcPr>
          <w:p>
            <w:pPr>
              <w:pStyle w:val="TableText"/>
              <w:ind w:left="290"/>
              <w:spacing w:before="88" w:line="219" w:lineRule="auto"/>
              <w:rPr>
                <w:sz w:val="20"/>
                <w:szCs w:val="20"/>
              </w:rPr>
            </w:pPr>
            <w:r>
              <w:rPr>
                <w:sz w:val="20"/>
                <w:szCs w:val="20"/>
                <w:spacing w:val="4"/>
              </w:rPr>
              <w:t>西关社区</w:t>
            </w:r>
          </w:p>
        </w:tc>
        <w:tc>
          <w:tcPr>
            <w:tcW w:w="2129" w:type="dxa"/>
            <w:vAlign w:val="top"/>
          </w:tcPr>
          <w:p>
            <w:pPr>
              <w:rPr>
                <w:rFonts w:ascii="Arial"/>
                <w:sz w:val="21"/>
              </w:rPr>
            </w:pPr>
            <w:r/>
          </w:p>
        </w:tc>
        <w:tc>
          <w:tcPr>
            <w:tcW w:w="2128" w:type="dxa"/>
            <w:vAlign w:val="top"/>
          </w:tcPr>
          <w:p>
            <w:pPr>
              <w:rPr>
                <w:rFonts w:ascii="Arial"/>
                <w:sz w:val="21"/>
              </w:rPr>
            </w:pPr>
            <w:r/>
          </w:p>
        </w:tc>
        <w:tc>
          <w:tcPr>
            <w:tcW w:w="1409" w:type="dxa"/>
            <w:vAlign w:val="top"/>
          </w:tcPr>
          <w:p>
            <w:pPr>
              <w:rPr>
                <w:rFonts w:ascii="Arial"/>
                <w:sz w:val="21"/>
              </w:rPr>
            </w:pPr>
            <w:r/>
          </w:p>
        </w:tc>
        <w:tc>
          <w:tcPr>
            <w:tcW w:w="2408" w:type="dxa"/>
            <w:vAlign w:val="top"/>
            <w:vMerge w:val="continue"/>
            <w:tcBorders>
              <w:top w:val="nil"/>
              <w:bottom w:val="nil"/>
            </w:tcBorders>
          </w:tcPr>
          <w:p>
            <w:pPr>
              <w:rPr>
                <w:rFonts w:ascii="Arial"/>
                <w:sz w:val="21"/>
              </w:rPr>
            </w:pPr>
            <w:r/>
          </w:p>
        </w:tc>
        <w:tc>
          <w:tcPr>
            <w:tcW w:w="1839" w:type="dxa"/>
            <w:vAlign w:val="top"/>
          </w:tcPr>
          <w:p>
            <w:pPr>
              <w:pStyle w:val="TableText"/>
              <w:ind w:left="717"/>
              <w:spacing w:before="88" w:line="219" w:lineRule="auto"/>
              <w:rPr>
                <w:sz w:val="20"/>
                <w:szCs w:val="20"/>
              </w:rPr>
            </w:pPr>
            <w:r>
              <w:rPr>
                <w:sz w:val="20"/>
                <w:szCs w:val="20"/>
                <w:spacing w:val="6"/>
              </w:rPr>
              <w:t>北侧</w:t>
            </w:r>
          </w:p>
        </w:tc>
        <w:tc>
          <w:tcPr>
            <w:tcW w:w="2153" w:type="dxa"/>
            <w:vAlign w:val="top"/>
          </w:tcPr>
          <w:p>
            <w:pPr>
              <w:pStyle w:val="TableText"/>
              <w:ind w:left="867"/>
              <w:spacing w:before="139" w:line="183" w:lineRule="auto"/>
              <w:rPr>
                <w:sz w:val="20"/>
                <w:szCs w:val="20"/>
              </w:rPr>
            </w:pPr>
            <w:r>
              <w:rPr>
                <w:sz w:val="20"/>
                <w:szCs w:val="20"/>
                <w:spacing w:val="-3"/>
              </w:rPr>
              <w:t>3683</w:t>
            </w:r>
          </w:p>
        </w:tc>
      </w:tr>
      <w:tr>
        <w:trPr>
          <w:trHeight w:val="329" w:hRule="atLeast"/>
        </w:trPr>
        <w:tc>
          <w:tcPr>
            <w:tcW w:w="645" w:type="dxa"/>
            <w:vAlign w:val="top"/>
            <w:vMerge w:val="continue"/>
            <w:tcBorders>
              <w:top w:val="nil"/>
              <w:bottom w:val="nil"/>
            </w:tcBorders>
          </w:tcPr>
          <w:p>
            <w:pPr>
              <w:rPr>
                <w:rFonts w:ascii="Arial"/>
                <w:sz w:val="21"/>
              </w:rPr>
            </w:pPr>
            <w:r/>
          </w:p>
        </w:tc>
        <w:tc>
          <w:tcPr>
            <w:tcW w:w="1409" w:type="dxa"/>
            <w:vAlign w:val="top"/>
          </w:tcPr>
          <w:p>
            <w:pPr>
              <w:pStyle w:val="TableText"/>
              <w:ind w:left="290"/>
              <w:spacing w:before="78" w:line="219" w:lineRule="auto"/>
              <w:rPr>
                <w:sz w:val="20"/>
                <w:szCs w:val="20"/>
              </w:rPr>
            </w:pPr>
            <w:r>
              <w:rPr>
                <w:sz w:val="20"/>
                <w:szCs w:val="20"/>
                <w:spacing w:val="4"/>
              </w:rPr>
              <w:t>龙津社区</w:t>
            </w:r>
          </w:p>
        </w:tc>
        <w:tc>
          <w:tcPr>
            <w:tcW w:w="2129" w:type="dxa"/>
            <w:vAlign w:val="top"/>
          </w:tcPr>
          <w:p>
            <w:pPr>
              <w:rPr>
                <w:rFonts w:ascii="Arial"/>
                <w:sz w:val="21"/>
              </w:rPr>
            </w:pPr>
            <w:r/>
          </w:p>
        </w:tc>
        <w:tc>
          <w:tcPr>
            <w:tcW w:w="2128" w:type="dxa"/>
            <w:vAlign w:val="top"/>
          </w:tcPr>
          <w:p>
            <w:pPr>
              <w:rPr>
                <w:rFonts w:ascii="Arial"/>
                <w:sz w:val="21"/>
              </w:rPr>
            </w:pPr>
            <w:r/>
          </w:p>
        </w:tc>
        <w:tc>
          <w:tcPr>
            <w:tcW w:w="1409" w:type="dxa"/>
            <w:vAlign w:val="top"/>
          </w:tcPr>
          <w:p>
            <w:pPr>
              <w:rPr>
                <w:rFonts w:ascii="Arial"/>
                <w:sz w:val="21"/>
              </w:rPr>
            </w:pPr>
            <w:r/>
          </w:p>
        </w:tc>
        <w:tc>
          <w:tcPr>
            <w:tcW w:w="2408" w:type="dxa"/>
            <w:vAlign w:val="top"/>
            <w:vMerge w:val="continue"/>
            <w:tcBorders>
              <w:top w:val="nil"/>
              <w:bottom w:val="nil"/>
            </w:tcBorders>
          </w:tcPr>
          <w:p>
            <w:pPr>
              <w:rPr>
                <w:rFonts w:ascii="Arial"/>
                <w:sz w:val="21"/>
              </w:rPr>
            </w:pPr>
            <w:r/>
          </w:p>
        </w:tc>
        <w:tc>
          <w:tcPr>
            <w:tcW w:w="1839" w:type="dxa"/>
            <w:vAlign w:val="top"/>
          </w:tcPr>
          <w:p>
            <w:pPr>
              <w:pStyle w:val="TableText"/>
              <w:ind w:left="717"/>
              <w:spacing w:before="78" w:line="219" w:lineRule="auto"/>
              <w:rPr>
                <w:sz w:val="20"/>
                <w:szCs w:val="20"/>
              </w:rPr>
            </w:pPr>
            <w:r>
              <w:rPr>
                <w:sz w:val="20"/>
                <w:szCs w:val="20"/>
                <w:spacing w:val="6"/>
              </w:rPr>
              <w:t>北侧</w:t>
            </w:r>
          </w:p>
        </w:tc>
        <w:tc>
          <w:tcPr>
            <w:tcW w:w="2153" w:type="dxa"/>
            <w:vAlign w:val="top"/>
          </w:tcPr>
          <w:p>
            <w:pPr>
              <w:pStyle w:val="TableText"/>
              <w:ind w:left="867"/>
              <w:spacing w:before="129" w:line="175" w:lineRule="auto"/>
              <w:rPr>
                <w:sz w:val="20"/>
                <w:szCs w:val="20"/>
              </w:rPr>
            </w:pPr>
            <w:r>
              <w:rPr>
                <w:sz w:val="20"/>
                <w:szCs w:val="20"/>
                <w:spacing w:val="-3"/>
              </w:rPr>
              <w:t>3644</w:t>
            </w:r>
          </w:p>
        </w:tc>
      </w:tr>
      <w:tr>
        <w:trPr>
          <w:trHeight w:val="325" w:hRule="atLeast"/>
        </w:trPr>
        <w:tc>
          <w:tcPr>
            <w:tcW w:w="645" w:type="dxa"/>
            <w:vAlign w:val="top"/>
            <w:vMerge w:val="continue"/>
            <w:tcBorders>
              <w:top w:val="nil"/>
            </w:tcBorders>
          </w:tcPr>
          <w:p>
            <w:pPr>
              <w:rPr>
                <w:rFonts w:ascii="Arial"/>
                <w:sz w:val="21"/>
              </w:rPr>
            </w:pPr>
            <w:r/>
          </w:p>
        </w:tc>
        <w:tc>
          <w:tcPr>
            <w:tcW w:w="1409" w:type="dxa"/>
            <w:vAlign w:val="top"/>
          </w:tcPr>
          <w:p>
            <w:pPr>
              <w:pStyle w:val="TableText"/>
              <w:ind w:left="290"/>
              <w:spacing w:before="69" w:line="219" w:lineRule="auto"/>
              <w:rPr>
                <w:sz w:val="20"/>
                <w:szCs w:val="20"/>
              </w:rPr>
            </w:pPr>
            <w:r>
              <w:rPr>
                <w:sz w:val="20"/>
                <w:szCs w:val="20"/>
                <w:spacing w:val="4"/>
              </w:rPr>
              <w:t>松兴社区</w:t>
            </w:r>
          </w:p>
        </w:tc>
        <w:tc>
          <w:tcPr>
            <w:tcW w:w="2129" w:type="dxa"/>
            <w:vAlign w:val="top"/>
          </w:tcPr>
          <w:p>
            <w:pPr>
              <w:rPr>
                <w:rFonts w:ascii="Arial"/>
                <w:sz w:val="21"/>
              </w:rPr>
            </w:pPr>
            <w:r/>
          </w:p>
        </w:tc>
        <w:tc>
          <w:tcPr>
            <w:tcW w:w="2128" w:type="dxa"/>
            <w:vAlign w:val="top"/>
          </w:tcPr>
          <w:p>
            <w:pPr>
              <w:rPr>
                <w:rFonts w:ascii="Arial"/>
                <w:sz w:val="21"/>
              </w:rPr>
            </w:pPr>
            <w:r/>
          </w:p>
        </w:tc>
        <w:tc>
          <w:tcPr>
            <w:tcW w:w="1409" w:type="dxa"/>
            <w:vAlign w:val="top"/>
          </w:tcPr>
          <w:p>
            <w:pPr>
              <w:rPr>
                <w:rFonts w:ascii="Arial"/>
                <w:sz w:val="21"/>
              </w:rPr>
            </w:pPr>
            <w:r/>
          </w:p>
        </w:tc>
        <w:tc>
          <w:tcPr>
            <w:tcW w:w="2408" w:type="dxa"/>
            <w:vAlign w:val="top"/>
            <w:vMerge w:val="continue"/>
            <w:tcBorders>
              <w:top w:val="nil"/>
            </w:tcBorders>
          </w:tcPr>
          <w:p>
            <w:pPr>
              <w:rPr>
                <w:rFonts w:ascii="Arial"/>
                <w:sz w:val="21"/>
              </w:rPr>
            </w:pPr>
            <w:r/>
          </w:p>
        </w:tc>
        <w:tc>
          <w:tcPr>
            <w:tcW w:w="1839" w:type="dxa"/>
            <w:vAlign w:val="top"/>
          </w:tcPr>
          <w:p>
            <w:pPr>
              <w:pStyle w:val="TableText"/>
              <w:ind w:left="717"/>
              <w:spacing w:before="69" w:line="219" w:lineRule="auto"/>
              <w:rPr>
                <w:sz w:val="20"/>
                <w:szCs w:val="20"/>
              </w:rPr>
            </w:pPr>
            <w:r>
              <w:rPr>
                <w:sz w:val="20"/>
                <w:szCs w:val="20"/>
                <w:spacing w:val="6"/>
              </w:rPr>
              <w:t>北侧</w:t>
            </w:r>
          </w:p>
        </w:tc>
        <w:tc>
          <w:tcPr>
            <w:tcW w:w="2153" w:type="dxa"/>
            <w:vAlign w:val="top"/>
          </w:tcPr>
          <w:p>
            <w:pPr>
              <w:pStyle w:val="TableText"/>
              <w:ind w:left="867"/>
              <w:spacing w:before="121" w:line="179" w:lineRule="auto"/>
              <w:rPr>
                <w:sz w:val="20"/>
                <w:szCs w:val="20"/>
              </w:rPr>
            </w:pPr>
            <w:r>
              <w:rPr>
                <w:sz w:val="20"/>
                <w:szCs w:val="20"/>
                <w:spacing w:val="-3"/>
              </w:rPr>
              <w:t>3974</w:t>
            </w:r>
          </w:p>
        </w:tc>
      </w:tr>
    </w:tbl>
    <w:p>
      <w:pPr>
        <w:rPr>
          <w:rFonts w:ascii="Arial"/>
          <w:sz w:val="21"/>
        </w:rPr>
      </w:pPr>
      <w:r/>
    </w:p>
    <w:p>
      <w:pPr>
        <w:sectPr>
          <w:footerReference w:type="default" r:id="rId174"/>
          <w:pgSz w:w="16840" w:h="11900"/>
          <w:pgMar w:top="1011" w:right="1384" w:bottom="1131" w:left="1325" w:header="0" w:footer="1002" w:gutter="0"/>
        </w:sectPr>
        <w:rPr>
          <w:rFonts w:ascii="Arial" w:hAnsi="Arial" w:eastAsia="Arial" w:cs="Arial"/>
          <w:sz w:val="21"/>
          <w:szCs w:val="21"/>
        </w:rPr>
      </w:pPr>
    </w:p>
    <w:p>
      <w:pPr>
        <w:pStyle w:val="BodyText"/>
        <w:ind w:left="119"/>
        <w:spacing w:before="60" w:line="219" w:lineRule="auto"/>
        <w:outlineLvl w:val="6"/>
        <w:rPr>
          <w:sz w:val="30"/>
          <w:szCs w:val="30"/>
        </w:rPr>
      </w:pPr>
      <w:r>
        <w:rPr>
          <w:sz w:val="30"/>
          <w:szCs w:val="30"/>
          <w:b/>
          <w:bCs/>
          <w:spacing w:val="7"/>
        </w:rPr>
        <w:t>3.环境风险潜势初判</w:t>
      </w:r>
    </w:p>
    <w:p>
      <w:pPr>
        <w:pStyle w:val="BodyText"/>
        <w:ind w:left="118"/>
        <w:spacing w:before="273" w:line="219" w:lineRule="auto"/>
        <w:outlineLvl w:val="6"/>
        <w:rPr>
          <w:sz w:val="26"/>
          <w:szCs w:val="26"/>
        </w:rPr>
      </w:pPr>
      <w:r>
        <w:rPr>
          <w:sz w:val="26"/>
          <w:szCs w:val="26"/>
          <w:b/>
          <w:bCs/>
          <w:spacing w:val="4"/>
        </w:rPr>
        <w:t>3.1</w:t>
      </w:r>
      <w:r>
        <w:rPr>
          <w:sz w:val="26"/>
          <w:szCs w:val="26"/>
          <w:spacing w:val="-41"/>
        </w:rPr>
        <w:t xml:space="preserve"> </w:t>
      </w:r>
      <w:r>
        <w:rPr>
          <w:sz w:val="26"/>
          <w:szCs w:val="26"/>
          <w:b/>
          <w:bCs/>
          <w:spacing w:val="4"/>
        </w:rPr>
        <w:t>环境风险潜势划分</w:t>
      </w:r>
    </w:p>
    <w:p>
      <w:pPr>
        <w:pStyle w:val="BodyText"/>
        <w:ind w:left="114" w:right="28" w:firstLine="510"/>
        <w:spacing w:before="43" w:line="386" w:lineRule="auto"/>
        <w:jc w:val="both"/>
        <w:rPr>
          <w:sz w:val="22"/>
          <w:szCs w:val="22"/>
        </w:rPr>
      </w:pPr>
      <w:r>
        <w:rPr>
          <w:sz w:val="22"/>
          <w:szCs w:val="22"/>
          <w:spacing w:val="11"/>
        </w:rPr>
        <w:t>建设项目环境分析潜势划分为</w:t>
      </w:r>
      <w:r>
        <w:rPr>
          <w:rFonts w:ascii="Times New Roman" w:hAnsi="Times New Roman" w:eastAsia="Times New Roman" w:cs="Times New Roman"/>
          <w:sz w:val="22"/>
          <w:szCs w:val="22"/>
          <w:spacing w:val="11"/>
        </w:rPr>
        <w:t>I</w:t>
      </w:r>
      <w:r>
        <w:rPr>
          <w:rFonts w:ascii="Times New Roman" w:hAnsi="Times New Roman" w:eastAsia="Times New Roman" w:cs="Times New Roman"/>
          <w:sz w:val="22"/>
          <w:szCs w:val="22"/>
          <w:spacing w:val="-31"/>
        </w:rPr>
        <w:t xml:space="preserve"> </w:t>
      </w:r>
      <w:r>
        <w:rPr>
          <w:sz w:val="22"/>
          <w:szCs w:val="22"/>
          <w:spacing w:val="11"/>
        </w:rPr>
        <w:t>、</w:t>
      </w:r>
      <w:r>
        <w:rPr>
          <w:rFonts w:ascii="Times New Roman" w:hAnsi="Times New Roman" w:eastAsia="Times New Roman" w:cs="Times New Roman"/>
          <w:sz w:val="22"/>
          <w:szCs w:val="22"/>
          <w:spacing w:val="11"/>
        </w:rPr>
        <w:t>Ⅱ</w:t>
      </w:r>
      <w:r>
        <w:rPr>
          <w:rFonts w:ascii="Times New Roman" w:hAnsi="Times New Roman" w:eastAsia="Times New Roman" w:cs="Times New Roman"/>
          <w:sz w:val="22"/>
          <w:szCs w:val="22"/>
          <w:spacing w:val="-31"/>
        </w:rPr>
        <w:t xml:space="preserve"> </w:t>
      </w:r>
      <w:r>
        <w:rPr>
          <w:sz w:val="22"/>
          <w:szCs w:val="22"/>
          <w:spacing w:val="11"/>
        </w:rPr>
        <w:t>、</w:t>
      </w:r>
      <w:r>
        <w:rPr>
          <w:rFonts w:ascii="Times New Roman" w:hAnsi="Times New Roman" w:eastAsia="Times New Roman" w:cs="Times New Roman"/>
          <w:sz w:val="22"/>
          <w:szCs w:val="22"/>
          <w:spacing w:val="11"/>
        </w:rPr>
        <w:t>Ⅲ</w:t>
      </w:r>
      <w:r>
        <w:rPr>
          <w:rFonts w:ascii="Times New Roman" w:hAnsi="Times New Roman" w:eastAsia="Times New Roman" w:cs="Times New Roman"/>
          <w:sz w:val="22"/>
          <w:szCs w:val="22"/>
          <w:spacing w:val="-31"/>
        </w:rPr>
        <w:t xml:space="preserve"> </w:t>
      </w:r>
      <w:r>
        <w:rPr>
          <w:sz w:val="22"/>
          <w:szCs w:val="22"/>
          <w:spacing w:val="11"/>
        </w:rPr>
        <w:t>、</w:t>
      </w:r>
      <w:r>
        <w:rPr>
          <w:rFonts w:ascii="Times New Roman" w:hAnsi="Times New Roman" w:eastAsia="Times New Roman" w:cs="Times New Roman"/>
          <w:sz w:val="22"/>
          <w:szCs w:val="22"/>
        </w:rPr>
        <w:t>IV</w:t>
      </w:r>
      <w:r>
        <w:rPr>
          <w:rFonts w:ascii="Times New Roman" w:hAnsi="Times New Roman" w:eastAsia="Times New Roman" w:cs="Times New Roman"/>
          <w:sz w:val="22"/>
          <w:szCs w:val="22"/>
          <w:spacing w:val="-31"/>
        </w:rPr>
        <w:t xml:space="preserve"> </w:t>
      </w:r>
      <w:r>
        <w:rPr>
          <w:sz w:val="22"/>
          <w:szCs w:val="22"/>
          <w:spacing w:val="11"/>
        </w:rPr>
        <w:t>、</w:t>
      </w:r>
      <w:r>
        <w:rPr>
          <w:rFonts w:ascii="Times New Roman" w:hAnsi="Times New Roman" w:eastAsia="Times New Roman" w:cs="Times New Roman"/>
          <w:sz w:val="22"/>
          <w:szCs w:val="22"/>
        </w:rPr>
        <w:t>IV</w:t>
      </w:r>
      <w:r>
        <w:rPr>
          <w:rFonts w:ascii="Times New Roman" w:hAnsi="Times New Roman" w:eastAsia="Times New Roman" w:cs="Times New Roman"/>
          <w:sz w:val="22"/>
          <w:szCs w:val="22"/>
          <w:spacing w:val="11"/>
        </w:rPr>
        <w:t>+</w:t>
      </w:r>
      <w:r>
        <w:rPr>
          <w:sz w:val="22"/>
          <w:szCs w:val="22"/>
          <w:spacing w:val="11"/>
        </w:rPr>
        <w:t>级。根据建设项目</w:t>
      </w:r>
      <w:r>
        <w:rPr>
          <w:sz w:val="22"/>
          <w:szCs w:val="22"/>
          <w:spacing w:val="10"/>
        </w:rPr>
        <w:t>涉及的危险物</w:t>
      </w:r>
      <w:r>
        <w:rPr>
          <w:sz w:val="22"/>
          <w:szCs w:val="22"/>
        </w:rPr>
        <w:t xml:space="preserve"> </w:t>
      </w:r>
      <w:r>
        <w:rPr>
          <w:sz w:val="22"/>
          <w:szCs w:val="22"/>
          <w:spacing w:val="19"/>
        </w:rPr>
        <w:t>质及工艺系统危险性 </w:t>
      </w:r>
      <w:r>
        <w:rPr>
          <w:rFonts w:ascii="Times New Roman" w:hAnsi="Times New Roman" w:eastAsia="Times New Roman" w:cs="Times New Roman"/>
          <w:sz w:val="22"/>
          <w:szCs w:val="22"/>
          <w:spacing w:val="19"/>
        </w:rPr>
        <w:t>(P)</w:t>
      </w:r>
      <w:r>
        <w:rPr>
          <w:rFonts w:ascii="Times New Roman" w:hAnsi="Times New Roman" w:eastAsia="Times New Roman" w:cs="Times New Roman"/>
          <w:sz w:val="22"/>
          <w:szCs w:val="22"/>
          <w:spacing w:val="4"/>
        </w:rPr>
        <w:t xml:space="preserve">    </w:t>
      </w:r>
      <w:r>
        <w:rPr>
          <w:sz w:val="22"/>
          <w:szCs w:val="22"/>
          <w:spacing w:val="19"/>
        </w:rPr>
        <w:t>及其所在地的环境敏感程度，结合事故情形下环境影响途</w:t>
      </w:r>
    </w:p>
    <w:p>
      <w:pPr>
        <w:pStyle w:val="BodyText"/>
        <w:ind w:left="114"/>
        <w:spacing w:line="219" w:lineRule="auto"/>
        <w:rPr>
          <w:sz w:val="22"/>
          <w:szCs w:val="22"/>
        </w:rPr>
      </w:pPr>
      <w:r>
        <w:rPr>
          <w:sz w:val="22"/>
          <w:szCs w:val="22"/>
          <w:spacing w:val="18"/>
        </w:rPr>
        <w:t>径，对建设项目潜在的环境危害程度进行概化分析。按照下表确定环</w:t>
      </w:r>
      <w:r>
        <w:rPr>
          <w:sz w:val="22"/>
          <w:szCs w:val="22"/>
          <w:spacing w:val="17"/>
        </w:rPr>
        <w:t>境风险潜势力。</w:t>
      </w:r>
    </w:p>
    <w:p>
      <w:pPr>
        <w:pStyle w:val="BodyText"/>
        <w:ind w:left="2458"/>
        <w:spacing w:before="215" w:line="219" w:lineRule="auto"/>
        <w:rPr>
          <w:sz w:val="22"/>
          <w:szCs w:val="22"/>
        </w:rPr>
      </w:pPr>
      <w:r>
        <w:rPr>
          <w:sz w:val="22"/>
          <w:szCs w:val="22"/>
          <w:b/>
          <w:bCs/>
          <w:spacing w:val="31"/>
        </w:rPr>
        <w:t>表3.1-1</w:t>
      </w:r>
      <w:r>
        <w:rPr>
          <w:sz w:val="22"/>
          <w:szCs w:val="22"/>
          <w:spacing w:val="31"/>
        </w:rPr>
        <w:t xml:space="preserve"> </w:t>
      </w:r>
      <w:r>
        <w:rPr>
          <w:sz w:val="22"/>
          <w:szCs w:val="22"/>
          <w:b/>
          <w:bCs/>
          <w:spacing w:val="31"/>
        </w:rPr>
        <w:t>建设项目环境风险潜势划分</w:t>
      </w:r>
    </w:p>
    <w:p>
      <w:pPr>
        <w:spacing w:line="158" w:lineRule="exact"/>
        <w:rPr/>
      </w:pPr>
      <w:r/>
    </w:p>
    <w:tbl>
      <w:tblPr>
        <w:tblStyle w:val="TableNormal"/>
        <w:tblW w:w="85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092"/>
        <w:gridCol w:w="1558"/>
        <w:gridCol w:w="1698"/>
        <w:gridCol w:w="1558"/>
        <w:gridCol w:w="1613"/>
      </w:tblGrid>
      <w:tr>
        <w:trPr>
          <w:trHeight w:val="264" w:hRule="atLeast"/>
        </w:trPr>
        <w:tc>
          <w:tcPr>
            <w:tcW w:w="2092" w:type="dxa"/>
            <w:vAlign w:val="top"/>
            <w:vMerge w:val="restart"/>
            <w:tcBorders>
              <w:bottom w:val="nil"/>
            </w:tcBorders>
          </w:tcPr>
          <w:p>
            <w:pPr>
              <w:pStyle w:val="TableText"/>
              <w:ind w:left="245"/>
              <w:spacing w:before="263" w:line="219" w:lineRule="auto"/>
              <w:rPr>
                <w:sz w:val="21"/>
                <w:szCs w:val="21"/>
              </w:rPr>
            </w:pPr>
            <w:r>
              <w:rPr>
                <w:sz w:val="21"/>
                <w:szCs w:val="21"/>
                <w:spacing w:val="5"/>
              </w:rPr>
              <w:t>环境敏感程度(E)</w:t>
            </w:r>
          </w:p>
        </w:tc>
        <w:tc>
          <w:tcPr>
            <w:tcW w:w="6427" w:type="dxa"/>
            <w:vAlign w:val="top"/>
            <w:gridSpan w:val="4"/>
          </w:tcPr>
          <w:p>
            <w:pPr>
              <w:pStyle w:val="TableText"/>
              <w:ind w:left="1692"/>
              <w:spacing w:before="34" w:line="193" w:lineRule="auto"/>
              <w:rPr>
                <w:sz w:val="21"/>
                <w:szCs w:val="21"/>
              </w:rPr>
            </w:pPr>
            <w:r>
              <w:rPr>
                <w:sz w:val="21"/>
                <w:szCs w:val="21"/>
                <w:spacing w:val="2"/>
              </w:rPr>
              <w:t>危险物质及工艺系统危险性(P)</w:t>
            </w:r>
          </w:p>
        </w:tc>
      </w:tr>
      <w:tr>
        <w:trPr>
          <w:trHeight w:val="458" w:hRule="atLeast"/>
        </w:trPr>
        <w:tc>
          <w:tcPr>
            <w:tcW w:w="2092" w:type="dxa"/>
            <w:vAlign w:val="top"/>
            <w:vMerge w:val="continue"/>
            <w:tcBorders>
              <w:top w:val="nil"/>
            </w:tcBorders>
          </w:tcPr>
          <w:p>
            <w:pPr>
              <w:rPr>
                <w:rFonts w:ascii="Arial"/>
                <w:sz w:val="21"/>
              </w:rPr>
            </w:pPr>
            <w:r/>
          </w:p>
        </w:tc>
        <w:tc>
          <w:tcPr>
            <w:tcW w:w="1558" w:type="dxa"/>
            <w:vAlign w:val="top"/>
          </w:tcPr>
          <w:p>
            <w:pPr>
              <w:pStyle w:val="TableText"/>
              <w:ind w:left="142"/>
              <w:spacing w:before="129" w:line="219" w:lineRule="auto"/>
              <w:rPr>
                <w:sz w:val="21"/>
                <w:szCs w:val="21"/>
              </w:rPr>
            </w:pPr>
            <w:r>
              <w:rPr>
                <w:sz w:val="21"/>
                <w:szCs w:val="21"/>
                <w:spacing w:val="5"/>
              </w:rPr>
              <w:t>极高危害(P1)</w:t>
            </w:r>
          </w:p>
        </w:tc>
        <w:tc>
          <w:tcPr>
            <w:tcW w:w="1698" w:type="dxa"/>
            <w:vAlign w:val="top"/>
          </w:tcPr>
          <w:p>
            <w:pPr>
              <w:pStyle w:val="TableText"/>
              <w:ind w:left="214"/>
              <w:spacing w:before="129" w:line="219" w:lineRule="auto"/>
              <w:rPr>
                <w:sz w:val="21"/>
                <w:szCs w:val="21"/>
              </w:rPr>
            </w:pPr>
            <w:r>
              <w:rPr>
                <w:sz w:val="21"/>
                <w:szCs w:val="21"/>
                <w:spacing w:val="5"/>
              </w:rPr>
              <w:t>高度危害(P2)</w:t>
            </w:r>
          </w:p>
        </w:tc>
        <w:tc>
          <w:tcPr>
            <w:tcW w:w="1558" w:type="dxa"/>
            <w:vAlign w:val="top"/>
          </w:tcPr>
          <w:p>
            <w:pPr>
              <w:pStyle w:val="TableText"/>
              <w:ind w:left="146"/>
              <w:spacing w:before="130" w:line="220" w:lineRule="auto"/>
              <w:rPr>
                <w:sz w:val="21"/>
                <w:szCs w:val="21"/>
              </w:rPr>
            </w:pPr>
            <w:r>
              <w:rPr>
                <w:sz w:val="21"/>
                <w:szCs w:val="21"/>
                <w:spacing w:val="5"/>
              </w:rPr>
              <w:t>中度危害(P3)</w:t>
            </w:r>
          </w:p>
        </w:tc>
        <w:tc>
          <w:tcPr>
            <w:tcW w:w="1613" w:type="dxa"/>
            <w:vAlign w:val="top"/>
          </w:tcPr>
          <w:p>
            <w:pPr>
              <w:pStyle w:val="TableText"/>
              <w:ind w:left="169"/>
              <w:spacing w:before="129" w:line="219" w:lineRule="auto"/>
              <w:rPr>
                <w:sz w:val="21"/>
                <w:szCs w:val="21"/>
              </w:rPr>
            </w:pPr>
            <w:r>
              <w:rPr>
                <w:sz w:val="21"/>
                <w:szCs w:val="21"/>
                <w:spacing w:val="5"/>
              </w:rPr>
              <w:t>轻度危害(P4)</w:t>
            </w:r>
          </w:p>
        </w:tc>
      </w:tr>
      <w:tr>
        <w:trPr>
          <w:trHeight w:val="538" w:hRule="atLeast"/>
        </w:trPr>
        <w:tc>
          <w:tcPr>
            <w:tcW w:w="2092" w:type="dxa"/>
            <w:vAlign w:val="top"/>
          </w:tcPr>
          <w:p>
            <w:pPr>
              <w:pStyle w:val="TableText"/>
              <w:ind w:left="304"/>
              <w:spacing w:before="51" w:line="219" w:lineRule="auto"/>
              <w:rPr>
                <w:sz w:val="21"/>
                <w:szCs w:val="21"/>
              </w:rPr>
            </w:pPr>
            <w:r>
              <w:rPr>
                <w:sz w:val="21"/>
                <w:szCs w:val="21"/>
                <w:spacing w:val="2"/>
              </w:rPr>
              <w:t>环境高度敏感区</w:t>
            </w:r>
          </w:p>
          <w:p>
            <w:pPr>
              <w:pStyle w:val="TableText"/>
              <w:ind w:left="825"/>
              <w:spacing w:before="4" w:line="196" w:lineRule="auto"/>
              <w:rPr>
                <w:sz w:val="21"/>
                <w:szCs w:val="21"/>
              </w:rPr>
            </w:pPr>
            <w:r>
              <w:rPr>
                <w:sz w:val="21"/>
                <w:szCs w:val="21"/>
                <w:spacing w:val="-9"/>
              </w:rPr>
              <w:t>(E1)</w:t>
            </w:r>
          </w:p>
        </w:tc>
        <w:tc>
          <w:tcPr>
            <w:tcW w:w="1558" w:type="dxa"/>
            <w:vAlign w:val="top"/>
          </w:tcPr>
          <w:p>
            <w:pPr>
              <w:pStyle w:val="TableText"/>
              <w:ind w:left="612"/>
              <w:spacing w:before="226" w:line="182" w:lineRule="auto"/>
              <w:rPr>
                <w:sz w:val="21"/>
                <w:szCs w:val="21"/>
              </w:rPr>
            </w:pPr>
            <w:r>
              <w:rPr>
                <w:sz w:val="21"/>
                <w:szCs w:val="21"/>
                <w:spacing w:val="-5"/>
              </w:rPr>
              <w:t>IV+</w:t>
            </w:r>
          </w:p>
        </w:tc>
        <w:tc>
          <w:tcPr>
            <w:tcW w:w="1698" w:type="dxa"/>
            <w:vAlign w:val="top"/>
          </w:tcPr>
          <w:p>
            <w:pPr>
              <w:pStyle w:val="TableText"/>
              <w:ind w:left="734"/>
              <w:spacing w:before="226" w:line="182" w:lineRule="auto"/>
              <w:rPr>
                <w:sz w:val="21"/>
                <w:szCs w:val="21"/>
              </w:rPr>
            </w:pPr>
            <w:r>
              <w:rPr>
                <w:sz w:val="21"/>
                <w:szCs w:val="21"/>
                <w:spacing w:val="-5"/>
              </w:rPr>
              <w:t>IV</w:t>
            </w:r>
          </w:p>
        </w:tc>
        <w:tc>
          <w:tcPr>
            <w:tcW w:w="1558" w:type="dxa"/>
            <w:vAlign w:val="top"/>
          </w:tcPr>
          <w:p>
            <w:pPr>
              <w:pStyle w:val="TableText"/>
              <w:ind w:left="666"/>
              <w:spacing w:before="189" w:line="235" w:lineRule="auto"/>
              <w:rPr>
                <w:sz w:val="21"/>
                <w:szCs w:val="21"/>
              </w:rPr>
            </w:pPr>
            <w:r>
              <w:rPr>
                <w:sz w:val="21"/>
                <w:szCs w:val="21"/>
              </w:rPr>
              <w:t>Ⅲ</w:t>
            </w:r>
          </w:p>
        </w:tc>
        <w:tc>
          <w:tcPr>
            <w:tcW w:w="1613" w:type="dxa"/>
            <w:vAlign w:val="top"/>
          </w:tcPr>
          <w:p>
            <w:pPr>
              <w:pStyle w:val="TableText"/>
              <w:ind w:left="698"/>
              <w:spacing w:before="189" w:line="235" w:lineRule="auto"/>
              <w:rPr>
                <w:sz w:val="21"/>
                <w:szCs w:val="21"/>
              </w:rPr>
            </w:pPr>
            <w:r>
              <w:rPr>
                <w:sz w:val="21"/>
                <w:szCs w:val="21"/>
              </w:rPr>
              <w:t>Ⅲ</w:t>
            </w:r>
          </w:p>
        </w:tc>
      </w:tr>
      <w:tr>
        <w:trPr>
          <w:trHeight w:val="557" w:hRule="atLeast"/>
        </w:trPr>
        <w:tc>
          <w:tcPr>
            <w:tcW w:w="2092" w:type="dxa"/>
            <w:vAlign w:val="top"/>
          </w:tcPr>
          <w:p>
            <w:pPr>
              <w:pStyle w:val="TableText"/>
              <w:ind w:left="304"/>
              <w:spacing w:before="63" w:line="219" w:lineRule="auto"/>
              <w:rPr>
                <w:sz w:val="21"/>
                <w:szCs w:val="21"/>
              </w:rPr>
            </w:pPr>
            <w:r>
              <w:rPr>
                <w:sz w:val="21"/>
                <w:szCs w:val="21"/>
                <w:spacing w:val="2"/>
              </w:rPr>
              <w:t>环境中度敏感区</w:t>
            </w:r>
          </w:p>
          <w:p>
            <w:pPr>
              <w:pStyle w:val="TableText"/>
              <w:ind w:left="825"/>
              <w:spacing w:before="13" w:line="194" w:lineRule="auto"/>
              <w:rPr>
                <w:sz w:val="21"/>
                <w:szCs w:val="21"/>
              </w:rPr>
            </w:pPr>
            <w:r>
              <w:rPr>
                <w:sz w:val="21"/>
                <w:szCs w:val="21"/>
                <w:spacing w:val="-9"/>
              </w:rPr>
              <w:t>(E2)</w:t>
            </w:r>
          </w:p>
        </w:tc>
        <w:tc>
          <w:tcPr>
            <w:tcW w:w="1558" w:type="dxa"/>
            <w:vAlign w:val="top"/>
          </w:tcPr>
          <w:p>
            <w:pPr>
              <w:pStyle w:val="TableText"/>
              <w:ind w:left="662"/>
              <w:spacing w:before="238" w:line="182" w:lineRule="auto"/>
              <w:rPr>
                <w:sz w:val="21"/>
                <w:szCs w:val="21"/>
              </w:rPr>
            </w:pPr>
            <w:r>
              <w:rPr>
                <w:sz w:val="21"/>
                <w:szCs w:val="21"/>
                <w:spacing w:val="-5"/>
              </w:rPr>
              <w:t>IV</w:t>
            </w:r>
          </w:p>
        </w:tc>
        <w:tc>
          <w:tcPr>
            <w:tcW w:w="1698" w:type="dxa"/>
            <w:vAlign w:val="top"/>
          </w:tcPr>
          <w:p>
            <w:pPr>
              <w:pStyle w:val="TableText"/>
              <w:ind w:left="734"/>
              <w:spacing w:before="201" w:line="235" w:lineRule="auto"/>
              <w:rPr>
                <w:sz w:val="21"/>
                <w:szCs w:val="21"/>
              </w:rPr>
            </w:pPr>
            <w:r>
              <w:rPr>
                <w:sz w:val="21"/>
                <w:szCs w:val="21"/>
              </w:rPr>
              <w:t>Ⅲ</w:t>
            </w:r>
          </w:p>
        </w:tc>
        <w:tc>
          <w:tcPr>
            <w:tcW w:w="1558" w:type="dxa"/>
            <w:vAlign w:val="top"/>
          </w:tcPr>
          <w:p>
            <w:pPr>
              <w:pStyle w:val="TableText"/>
              <w:ind w:left="666"/>
              <w:spacing w:before="201" w:line="235" w:lineRule="auto"/>
              <w:rPr>
                <w:sz w:val="21"/>
                <w:szCs w:val="21"/>
              </w:rPr>
            </w:pPr>
            <w:r>
              <w:rPr>
                <w:sz w:val="21"/>
                <w:szCs w:val="21"/>
              </w:rPr>
              <w:t>Ⅲ</w:t>
            </w:r>
          </w:p>
        </w:tc>
        <w:tc>
          <w:tcPr>
            <w:tcW w:w="1613" w:type="dxa"/>
            <w:vAlign w:val="top"/>
          </w:tcPr>
          <w:p>
            <w:pPr>
              <w:pStyle w:val="TableText"/>
              <w:ind w:left="698"/>
              <w:spacing w:before="201" w:line="235" w:lineRule="auto"/>
              <w:rPr>
                <w:sz w:val="21"/>
                <w:szCs w:val="21"/>
              </w:rPr>
            </w:pPr>
            <w:r>
              <w:rPr>
                <w:sz w:val="21"/>
                <w:szCs w:val="21"/>
              </w:rPr>
              <w:t>Ⅱ</w:t>
            </w:r>
          </w:p>
        </w:tc>
      </w:tr>
      <w:tr>
        <w:trPr>
          <w:trHeight w:val="538" w:hRule="atLeast"/>
        </w:trPr>
        <w:tc>
          <w:tcPr>
            <w:tcW w:w="2092" w:type="dxa"/>
            <w:vAlign w:val="top"/>
          </w:tcPr>
          <w:p>
            <w:pPr>
              <w:pStyle w:val="TableText"/>
              <w:ind w:left="304"/>
              <w:spacing w:before="46" w:line="219" w:lineRule="auto"/>
              <w:rPr>
                <w:sz w:val="21"/>
                <w:szCs w:val="21"/>
              </w:rPr>
            </w:pPr>
            <w:r>
              <w:rPr>
                <w:sz w:val="21"/>
                <w:szCs w:val="21"/>
                <w:spacing w:val="2"/>
              </w:rPr>
              <w:t>环境低度敏感区</w:t>
            </w:r>
          </w:p>
          <w:p>
            <w:pPr>
              <w:pStyle w:val="TableText"/>
              <w:ind w:left="825"/>
              <w:spacing w:before="34" w:line="174" w:lineRule="auto"/>
              <w:rPr>
                <w:sz w:val="21"/>
                <w:szCs w:val="21"/>
              </w:rPr>
            </w:pPr>
            <w:r>
              <w:rPr>
                <w:sz w:val="21"/>
                <w:szCs w:val="21"/>
                <w:spacing w:val="-9"/>
              </w:rPr>
              <w:t>(E3)</w:t>
            </w:r>
          </w:p>
        </w:tc>
        <w:tc>
          <w:tcPr>
            <w:tcW w:w="1558" w:type="dxa"/>
            <w:vAlign w:val="top"/>
          </w:tcPr>
          <w:p>
            <w:pPr>
              <w:pStyle w:val="TableText"/>
              <w:ind w:left="662"/>
              <w:spacing w:before="194" w:line="235" w:lineRule="auto"/>
              <w:rPr>
                <w:sz w:val="21"/>
                <w:szCs w:val="21"/>
              </w:rPr>
            </w:pPr>
            <w:r>
              <w:rPr>
                <w:sz w:val="21"/>
                <w:szCs w:val="21"/>
              </w:rPr>
              <w:t>Ⅲ</w:t>
            </w:r>
          </w:p>
        </w:tc>
        <w:tc>
          <w:tcPr>
            <w:tcW w:w="1698" w:type="dxa"/>
            <w:vAlign w:val="top"/>
          </w:tcPr>
          <w:p>
            <w:pPr>
              <w:pStyle w:val="TableText"/>
              <w:ind w:left="734"/>
              <w:spacing w:before="194" w:line="235" w:lineRule="auto"/>
              <w:rPr>
                <w:sz w:val="21"/>
                <w:szCs w:val="21"/>
              </w:rPr>
            </w:pPr>
            <w:r>
              <w:rPr>
                <w:sz w:val="21"/>
                <w:szCs w:val="21"/>
              </w:rPr>
              <w:t>Ⅲ</w:t>
            </w:r>
          </w:p>
        </w:tc>
        <w:tc>
          <w:tcPr>
            <w:tcW w:w="1558" w:type="dxa"/>
            <w:vAlign w:val="top"/>
          </w:tcPr>
          <w:p>
            <w:pPr>
              <w:pStyle w:val="TableText"/>
              <w:ind w:left="666"/>
              <w:spacing w:before="194" w:line="235" w:lineRule="auto"/>
              <w:rPr>
                <w:sz w:val="21"/>
                <w:szCs w:val="21"/>
              </w:rPr>
            </w:pPr>
            <w:r>
              <w:rPr>
                <w:sz w:val="21"/>
                <w:szCs w:val="21"/>
              </w:rPr>
              <w:t>Ⅱ</w:t>
            </w:r>
          </w:p>
        </w:tc>
        <w:tc>
          <w:tcPr>
            <w:tcW w:w="1613" w:type="dxa"/>
            <w:vAlign w:val="top"/>
          </w:tcPr>
          <w:p>
            <w:pPr>
              <w:pStyle w:val="TableText"/>
              <w:ind w:left="748"/>
              <w:spacing w:before="231" w:line="182" w:lineRule="auto"/>
              <w:rPr>
                <w:sz w:val="21"/>
                <w:szCs w:val="21"/>
              </w:rPr>
            </w:pPr>
            <w:r>
              <w:rPr>
                <w:sz w:val="21"/>
                <w:szCs w:val="21"/>
              </w:rPr>
              <w:t>I</w:t>
            </w:r>
          </w:p>
        </w:tc>
      </w:tr>
      <w:tr>
        <w:trPr>
          <w:trHeight w:val="264" w:hRule="atLeast"/>
        </w:trPr>
        <w:tc>
          <w:tcPr>
            <w:tcW w:w="8519" w:type="dxa"/>
            <w:vAlign w:val="top"/>
            <w:gridSpan w:val="5"/>
          </w:tcPr>
          <w:p>
            <w:pPr>
              <w:pStyle w:val="TableText"/>
              <w:ind w:left="114"/>
              <w:spacing w:before="37" w:line="190" w:lineRule="auto"/>
              <w:rPr>
                <w:sz w:val="21"/>
                <w:szCs w:val="21"/>
              </w:rPr>
            </w:pPr>
            <w:r>
              <w:rPr>
                <w:sz w:val="21"/>
                <w:szCs w:val="21"/>
                <w:spacing w:val="-1"/>
              </w:rPr>
              <w:t>注：IV+为极高环境风险</w:t>
            </w:r>
          </w:p>
        </w:tc>
      </w:tr>
    </w:tbl>
    <w:p>
      <w:pPr>
        <w:pStyle w:val="BodyText"/>
        <w:ind w:left="138"/>
        <w:spacing w:before="63" w:line="220" w:lineRule="auto"/>
        <w:outlineLvl w:val="6"/>
        <w:rPr>
          <w:sz w:val="28"/>
          <w:szCs w:val="28"/>
        </w:rPr>
      </w:pPr>
      <w:r>
        <w:rPr>
          <w:sz w:val="28"/>
          <w:szCs w:val="28"/>
          <w:b/>
          <w:bCs/>
          <w:spacing w:val="-2"/>
        </w:rPr>
        <w:t>3.2P的分级确定</w:t>
      </w:r>
    </w:p>
    <w:p>
      <w:pPr>
        <w:pStyle w:val="BodyText"/>
        <w:ind w:left="624"/>
        <w:spacing w:before="212" w:line="212" w:lineRule="auto"/>
        <w:rPr>
          <w:sz w:val="22"/>
          <w:szCs w:val="22"/>
        </w:rPr>
      </w:pPr>
      <w:r>
        <w:rPr>
          <w:sz w:val="22"/>
          <w:szCs w:val="22"/>
          <w:spacing w:val="17"/>
        </w:rPr>
        <w:t>1)物质总量与其临界量比值</w:t>
      </w:r>
      <w:r>
        <w:rPr>
          <w:sz w:val="22"/>
          <w:szCs w:val="22"/>
          <w:spacing w:val="-19"/>
        </w:rPr>
        <w:t xml:space="preserve"> </w:t>
      </w:r>
      <w:r>
        <w:rPr>
          <w:rFonts w:ascii="Times New Roman" w:hAnsi="Times New Roman" w:eastAsia="Times New Roman" w:cs="Times New Roman"/>
          <w:sz w:val="22"/>
          <w:szCs w:val="22"/>
          <w:spacing w:val="17"/>
        </w:rPr>
        <w:t>(Q)   </w:t>
      </w:r>
      <w:r>
        <w:rPr>
          <w:rFonts w:ascii="Times New Roman" w:hAnsi="Times New Roman" w:eastAsia="Times New Roman" w:cs="Times New Roman"/>
          <w:sz w:val="22"/>
          <w:szCs w:val="22"/>
          <w:spacing w:val="16"/>
        </w:rPr>
        <w:t xml:space="preserve"> </w:t>
      </w:r>
      <w:r>
        <w:rPr>
          <w:sz w:val="22"/>
          <w:szCs w:val="22"/>
          <w:spacing w:val="16"/>
        </w:rPr>
        <w:t>分析</w:t>
      </w:r>
    </w:p>
    <w:p>
      <w:pPr>
        <w:pStyle w:val="BodyText"/>
        <w:ind w:left="114" w:right="27" w:firstLine="510"/>
        <w:spacing w:before="177" w:line="412" w:lineRule="auto"/>
        <w:rPr>
          <w:sz w:val="22"/>
          <w:szCs w:val="22"/>
        </w:rPr>
      </w:pPr>
      <w:r>
        <w:rPr>
          <w:sz w:val="22"/>
          <w:szCs w:val="22"/>
          <w:spacing w:val="3"/>
        </w:rPr>
        <w:t>根据表2.1-2可知，</w:t>
      </w:r>
      <w:r>
        <w:rPr>
          <w:sz w:val="22"/>
          <w:szCs w:val="22"/>
          <w:spacing w:val="-25"/>
        </w:rPr>
        <w:t xml:space="preserve"> </w:t>
      </w:r>
      <w:r>
        <w:rPr>
          <w:rFonts w:ascii="Times New Roman" w:hAnsi="Times New Roman" w:eastAsia="Times New Roman" w:cs="Times New Roman"/>
          <w:sz w:val="22"/>
          <w:szCs w:val="22"/>
          <w:spacing w:val="3"/>
        </w:rPr>
        <w:t>N-</w:t>
      </w:r>
      <w:r>
        <w:rPr>
          <w:rFonts w:ascii="Times New Roman" w:hAnsi="Times New Roman" w:eastAsia="Times New Roman" w:cs="Times New Roman"/>
          <w:sz w:val="22"/>
          <w:szCs w:val="22"/>
          <w:spacing w:val="20"/>
          <w:w w:val="101"/>
        </w:rPr>
        <w:t xml:space="preserve"> </w:t>
      </w:r>
      <w:r>
        <w:rPr>
          <w:sz w:val="22"/>
          <w:szCs w:val="22"/>
          <w:spacing w:val="3"/>
        </w:rPr>
        <w:t>甲基吡咯烷酮 </w:t>
      </w:r>
      <w:r>
        <w:rPr>
          <w:rFonts w:ascii="Times New Roman" w:hAnsi="Times New Roman" w:eastAsia="Times New Roman" w:cs="Times New Roman"/>
          <w:sz w:val="22"/>
          <w:szCs w:val="22"/>
          <w:spacing w:val="3"/>
        </w:rPr>
        <w:t>(</w:t>
      </w:r>
      <w:r>
        <w:rPr>
          <w:rFonts w:ascii="Times New Roman" w:hAnsi="Times New Roman" w:eastAsia="Times New Roman" w:cs="Times New Roman"/>
          <w:sz w:val="22"/>
          <w:szCs w:val="22"/>
        </w:rPr>
        <w:t>NMP</w:t>
      </w:r>
      <w:r>
        <w:rPr>
          <w:rFonts w:ascii="Times New Roman" w:hAnsi="Times New Roman" w:eastAsia="Times New Roman" w:cs="Times New Roman"/>
          <w:sz w:val="22"/>
          <w:szCs w:val="22"/>
          <w:spacing w:val="3"/>
        </w:rPr>
        <w:t>)</w:t>
      </w:r>
      <w:r>
        <w:rPr>
          <w:rFonts w:ascii="Times New Roman" w:hAnsi="Times New Roman" w:eastAsia="Times New Roman" w:cs="Times New Roman"/>
          <w:sz w:val="22"/>
          <w:szCs w:val="22"/>
        </w:rPr>
        <w:t>LD</w:t>
      </w:r>
      <w:r>
        <w:rPr>
          <w:rFonts w:ascii="Times New Roman" w:hAnsi="Times New Roman" w:eastAsia="Times New Roman" w:cs="Times New Roman"/>
          <w:sz w:val="22"/>
          <w:szCs w:val="22"/>
          <w:spacing w:val="3"/>
        </w:rPr>
        <w:t>₅o     </w:t>
      </w:r>
      <w:r>
        <w:rPr>
          <w:sz w:val="22"/>
          <w:szCs w:val="22"/>
          <w:spacing w:val="3"/>
        </w:rPr>
        <w:t>为3914</w:t>
      </w:r>
      <w:r>
        <w:rPr>
          <w:rFonts w:ascii="Times New Roman" w:hAnsi="Times New Roman" w:eastAsia="Times New Roman" w:cs="Times New Roman"/>
          <w:sz w:val="22"/>
          <w:szCs w:val="22"/>
        </w:rPr>
        <w:t>mg</w:t>
      </w:r>
      <w:r>
        <w:rPr>
          <w:rFonts w:ascii="Times New Roman" w:hAnsi="Times New Roman" w:eastAsia="Times New Roman" w:cs="Times New Roman"/>
          <w:sz w:val="22"/>
          <w:szCs w:val="22"/>
          <w:spacing w:val="3"/>
        </w:rPr>
        <w:t>/</w:t>
      </w:r>
      <w:r>
        <w:rPr>
          <w:rFonts w:ascii="Times New Roman" w:hAnsi="Times New Roman" w:eastAsia="Times New Roman" w:cs="Times New Roman"/>
          <w:sz w:val="22"/>
          <w:szCs w:val="22"/>
        </w:rPr>
        <w:t>kg</w:t>
      </w:r>
      <w:r>
        <w:rPr>
          <w:rFonts w:ascii="Times New Roman" w:hAnsi="Times New Roman" w:eastAsia="Times New Roman" w:cs="Times New Roman"/>
          <w:sz w:val="22"/>
          <w:szCs w:val="22"/>
          <w:spacing w:val="3"/>
        </w:rPr>
        <w:t xml:space="preserve">   </w:t>
      </w:r>
      <w:r>
        <w:rPr>
          <w:sz w:val="22"/>
          <w:szCs w:val="22"/>
          <w:spacing w:val="3"/>
        </w:rPr>
        <w:t>(</w:t>
      </w:r>
      <w:r>
        <w:rPr>
          <w:sz w:val="22"/>
          <w:szCs w:val="22"/>
          <w:spacing w:val="-46"/>
        </w:rPr>
        <w:t xml:space="preserve"> </w:t>
      </w:r>
      <w:r>
        <w:rPr>
          <w:sz w:val="22"/>
          <w:szCs w:val="22"/>
          <w:spacing w:val="3"/>
        </w:rPr>
        <w:t>大</w:t>
      </w:r>
      <w:r>
        <w:rPr>
          <w:sz w:val="22"/>
          <w:szCs w:val="22"/>
          <w:spacing w:val="-23"/>
        </w:rPr>
        <w:t xml:space="preserve"> </w:t>
      </w:r>
      <w:r>
        <w:rPr>
          <w:sz w:val="22"/>
          <w:szCs w:val="22"/>
          <w:spacing w:val="3"/>
        </w:rPr>
        <w:t>鼠</w:t>
      </w:r>
      <w:r>
        <w:rPr>
          <w:sz w:val="22"/>
          <w:szCs w:val="22"/>
          <w:spacing w:val="-47"/>
        </w:rPr>
        <w:t xml:space="preserve"> </w:t>
      </w:r>
      <w:r>
        <w:rPr>
          <w:sz w:val="22"/>
          <w:szCs w:val="22"/>
          <w:spacing w:val="3"/>
        </w:rPr>
        <w:t>经 口</w:t>
      </w:r>
      <w:r>
        <w:rPr>
          <w:sz w:val="22"/>
          <w:szCs w:val="22"/>
          <w:spacing w:val="-48"/>
        </w:rPr>
        <w:t xml:space="preserve"> </w:t>
      </w:r>
      <w:r>
        <w:rPr>
          <w:sz w:val="22"/>
          <w:szCs w:val="22"/>
          <w:spacing w:val="3"/>
        </w:rPr>
        <w:t>)</w:t>
      </w:r>
      <w:r>
        <w:rPr>
          <w:sz w:val="22"/>
          <w:szCs w:val="22"/>
          <w:spacing w:val="-45"/>
        </w:rPr>
        <w:t xml:space="preserve"> </w:t>
      </w:r>
      <w:r>
        <w:rPr>
          <w:sz w:val="22"/>
          <w:szCs w:val="22"/>
          <w:spacing w:val="3"/>
        </w:rPr>
        <w:t>,</w:t>
      </w:r>
      <w:r>
        <w:rPr>
          <w:sz w:val="22"/>
          <w:szCs w:val="22"/>
        </w:rPr>
        <w:t xml:space="preserve"> </w:t>
      </w:r>
      <w:r>
        <w:rPr>
          <w:sz w:val="22"/>
          <w:szCs w:val="22"/>
          <w:spacing w:val="9"/>
        </w:rPr>
        <w:t>查询《化学品分类和标签规范第18部分：急性毒性》</w:t>
      </w:r>
      <w:r>
        <w:rPr>
          <w:sz w:val="22"/>
          <w:szCs w:val="22"/>
          <w:spacing w:val="80"/>
        </w:rPr>
        <w:t xml:space="preserve"> </w:t>
      </w:r>
      <w:r>
        <w:rPr>
          <w:sz w:val="22"/>
          <w:szCs w:val="22"/>
          <w:spacing w:val="9"/>
        </w:rPr>
        <w:t>(</w:t>
      </w:r>
      <w:r>
        <w:rPr>
          <w:sz w:val="22"/>
          <w:szCs w:val="22"/>
        </w:rPr>
        <w:t>GB</w:t>
      </w:r>
      <w:r>
        <w:rPr>
          <w:sz w:val="22"/>
          <w:szCs w:val="22"/>
          <w:spacing w:val="8"/>
        </w:rPr>
        <w:t>30000.18-2013)</w:t>
      </w:r>
      <w:r>
        <w:rPr>
          <w:sz w:val="22"/>
          <w:szCs w:val="22"/>
          <w:spacing w:val="49"/>
        </w:rPr>
        <w:t xml:space="preserve">  </w:t>
      </w:r>
      <w:r>
        <w:rPr>
          <w:sz w:val="22"/>
          <w:szCs w:val="22"/>
          <w:spacing w:val="8"/>
        </w:rPr>
        <w:t>表 1 , 不</w:t>
      </w:r>
    </w:p>
    <w:p>
      <w:pPr>
        <w:pStyle w:val="BodyText"/>
        <w:ind w:left="114"/>
        <w:spacing w:line="216" w:lineRule="auto"/>
        <w:rPr>
          <w:sz w:val="22"/>
          <w:szCs w:val="22"/>
        </w:rPr>
      </w:pPr>
      <w:r>
        <w:rPr>
          <w:sz w:val="22"/>
          <w:szCs w:val="22"/>
          <w:spacing w:val="36"/>
        </w:rPr>
        <w:t>属于健康危险急性毒性物质(类别2,类别3)。</w:t>
      </w:r>
    </w:p>
    <w:p>
      <w:pPr>
        <w:pStyle w:val="BodyText"/>
        <w:spacing w:before="213" w:line="216" w:lineRule="auto"/>
        <w:jc w:val="right"/>
        <w:rPr>
          <w:sz w:val="22"/>
          <w:szCs w:val="22"/>
        </w:rPr>
      </w:pPr>
      <w:r>
        <w:rPr>
          <w:sz w:val="22"/>
          <w:szCs w:val="22"/>
          <w:spacing w:val="10"/>
        </w:rPr>
        <w:t>根据《建设项目环境风险评价技术导则》</w:t>
      </w:r>
      <w:r>
        <w:rPr>
          <w:sz w:val="22"/>
          <w:szCs w:val="22"/>
          <w:spacing w:val="118"/>
        </w:rPr>
        <w:t xml:space="preserve"> </w:t>
      </w:r>
      <w:r>
        <w:rPr>
          <w:sz w:val="22"/>
          <w:szCs w:val="22"/>
          <w:spacing w:val="10"/>
        </w:rPr>
        <w:t>(</w:t>
      </w:r>
      <w:r>
        <w:rPr>
          <w:sz w:val="22"/>
          <w:szCs w:val="22"/>
        </w:rPr>
        <w:t>HJ</w:t>
      </w:r>
      <w:r>
        <w:rPr>
          <w:sz w:val="22"/>
          <w:szCs w:val="22"/>
          <w:spacing w:val="10"/>
        </w:rPr>
        <w:t>169-2018),   对照《建设项目环境</w:t>
      </w:r>
    </w:p>
    <w:p>
      <w:pPr>
        <w:pStyle w:val="BodyText"/>
        <w:ind w:left="114"/>
        <w:spacing w:before="204" w:line="218" w:lineRule="auto"/>
        <w:rPr>
          <w:sz w:val="22"/>
          <w:szCs w:val="22"/>
        </w:rPr>
      </w:pPr>
      <w:r>
        <w:rPr>
          <w:sz w:val="22"/>
          <w:szCs w:val="22"/>
          <w:spacing w:val="8"/>
        </w:rPr>
        <w:t>风险评价技术导则》  (</w:t>
      </w:r>
      <w:r>
        <w:rPr>
          <w:sz w:val="22"/>
          <w:szCs w:val="22"/>
        </w:rPr>
        <w:t>HJ</w:t>
      </w:r>
      <w:r>
        <w:rPr>
          <w:sz w:val="22"/>
          <w:szCs w:val="22"/>
          <w:spacing w:val="8"/>
        </w:rPr>
        <w:t>169-2018)    中附</w:t>
      </w:r>
      <w:r>
        <w:rPr>
          <w:sz w:val="22"/>
          <w:szCs w:val="22"/>
          <w:spacing w:val="7"/>
        </w:rPr>
        <w:t>录</w:t>
      </w:r>
      <w:r>
        <w:rPr>
          <w:sz w:val="22"/>
          <w:szCs w:val="22"/>
          <w:spacing w:val="-41"/>
        </w:rPr>
        <w:t xml:space="preserve"> </w:t>
      </w:r>
      <w:r>
        <w:rPr>
          <w:sz w:val="22"/>
          <w:szCs w:val="22"/>
          <w:spacing w:val="7"/>
        </w:rPr>
        <w:t>B—— 重点关注的危险物质及临界量，</w:t>
      </w:r>
    </w:p>
    <w:p>
      <w:pPr>
        <w:pStyle w:val="BodyText"/>
        <w:ind w:left="114" w:right="50"/>
        <w:spacing w:before="194" w:line="389" w:lineRule="auto"/>
        <w:rPr>
          <w:sz w:val="22"/>
          <w:szCs w:val="22"/>
        </w:rPr>
      </w:pPr>
      <w:r>
        <w:rPr>
          <w:sz w:val="22"/>
          <w:szCs w:val="22"/>
          <w:spacing w:val="21"/>
        </w:rPr>
        <w:t>本项目涉及的危险物质有废</w:t>
      </w:r>
      <w:r>
        <w:rPr>
          <w:sz w:val="22"/>
          <w:szCs w:val="22"/>
        </w:rPr>
        <w:t>NMP</w:t>
      </w:r>
      <w:r>
        <w:rPr>
          <w:sz w:val="22"/>
          <w:szCs w:val="22"/>
          <w:spacing w:val="21"/>
        </w:rPr>
        <w:t>(</w:t>
      </w:r>
      <w:r>
        <w:rPr>
          <w:sz w:val="22"/>
          <w:szCs w:val="22"/>
        </w:rPr>
        <w:t>COD</w:t>
      </w:r>
      <w:r>
        <w:rPr>
          <w:sz w:val="22"/>
          <w:szCs w:val="22"/>
          <w:spacing w:val="6"/>
        </w:rPr>
        <w:t xml:space="preserve">     </w:t>
      </w:r>
      <w:r>
        <w:rPr>
          <w:sz w:val="22"/>
          <w:szCs w:val="22"/>
          <w:spacing w:val="21"/>
        </w:rPr>
        <w:t>浓度≥10000</w:t>
      </w:r>
      <w:r>
        <w:rPr>
          <w:sz w:val="22"/>
          <w:szCs w:val="22"/>
        </w:rPr>
        <w:t>mg</w:t>
      </w:r>
      <w:r>
        <w:rPr>
          <w:sz w:val="22"/>
          <w:szCs w:val="22"/>
          <w:spacing w:val="21"/>
        </w:rPr>
        <w:t>/L</w:t>
      </w:r>
      <w:r>
        <w:rPr>
          <w:sz w:val="22"/>
          <w:szCs w:val="22"/>
          <w:spacing w:val="-26"/>
        </w:rPr>
        <w:t xml:space="preserve"> </w:t>
      </w:r>
      <w:r>
        <w:rPr>
          <w:sz w:val="22"/>
          <w:szCs w:val="22"/>
          <w:spacing w:val="21"/>
        </w:rPr>
        <w:t>的有机废液)、天然气，</w:t>
      </w:r>
      <w:r>
        <w:rPr>
          <w:sz w:val="22"/>
          <w:szCs w:val="22"/>
        </w:rPr>
        <w:t xml:space="preserve"> </w:t>
      </w:r>
      <w:r>
        <w:rPr>
          <w:sz w:val="22"/>
          <w:szCs w:val="22"/>
          <w:spacing w:val="15"/>
        </w:rPr>
        <w:t>电解液中的六氟磷酸锂，三元材料</w:t>
      </w:r>
      <w:r>
        <w:rPr>
          <w:sz w:val="22"/>
          <w:szCs w:val="22"/>
          <w:spacing w:val="-18"/>
        </w:rPr>
        <w:t xml:space="preserve"> </w:t>
      </w:r>
      <w:r>
        <w:rPr>
          <w:rFonts w:ascii="Times New Roman" w:hAnsi="Times New Roman" w:eastAsia="Times New Roman" w:cs="Times New Roman"/>
          <w:sz w:val="22"/>
          <w:szCs w:val="22"/>
          <w:spacing w:val="15"/>
        </w:rPr>
        <w:t>(</w:t>
      </w:r>
      <w:r>
        <w:rPr>
          <w:rFonts w:ascii="Times New Roman" w:hAnsi="Times New Roman" w:eastAsia="Times New Roman" w:cs="Times New Roman"/>
          <w:sz w:val="22"/>
          <w:szCs w:val="22"/>
        </w:rPr>
        <w:t>NCM</w:t>
      </w:r>
      <w:r>
        <w:rPr>
          <w:rFonts w:ascii="Times New Roman" w:hAnsi="Times New Roman" w:eastAsia="Times New Roman" w:cs="Times New Roman"/>
          <w:sz w:val="22"/>
          <w:szCs w:val="22"/>
          <w:spacing w:val="15"/>
        </w:rPr>
        <w:t>)    </w:t>
      </w:r>
      <w:r>
        <w:rPr>
          <w:sz w:val="22"/>
          <w:szCs w:val="22"/>
          <w:spacing w:val="15"/>
        </w:rPr>
        <w:t>的镍化合物、锰化合物、</w:t>
      </w:r>
      <w:r>
        <w:rPr>
          <w:sz w:val="22"/>
          <w:szCs w:val="22"/>
          <w:spacing w:val="14"/>
        </w:rPr>
        <w:t>钴化合物的储存</w:t>
      </w:r>
    </w:p>
    <w:p>
      <w:pPr>
        <w:pStyle w:val="BodyText"/>
        <w:ind w:left="114"/>
        <w:spacing w:before="1" w:line="219" w:lineRule="auto"/>
        <w:rPr>
          <w:sz w:val="22"/>
          <w:szCs w:val="22"/>
        </w:rPr>
      </w:pPr>
      <w:r>
        <w:rPr>
          <w:sz w:val="22"/>
          <w:szCs w:val="22"/>
          <w:spacing w:val="9"/>
        </w:rPr>
        <w:t>量和规定的临界量列于表3.2-1</w:t>
      </w:r>
      <w:r>
        <w:rPr>
          <w:sz w:val="22"/>
          <w:szCs w:val="22"/>
          <w:spacing w:val="-23"/>
        </w:rPr>
        <w:t xml:space="preserve"> </w:t>
      </w:r>
      <w:r>
        <w:rPr>
          <w:sz w:val="22"/>
          <w:szCs w:val="22"/>
          <w:spacing w:val="9"/>
        </w:rPr>
        <w:t>中。</w:t>
      </w:r>
    </w:p>
    <w:p>
      <w:pPr>
        <w:pStyle w:val="BodyText"/>
        <w:ind w:left="2508"/>
        <w:spacing w:before="226" w:line="219" w:lineRule="auto"/>
        <w:rPr>
          <w:sz w:val="22"/>
          <w:szCs w:val="22"/>
        </w:rPr>
      </w:pPr>
      <w:r>
        <w:rPr>
          <w:sz w:val="22"/>
          <w:szCs w:val="22"/>
          <w:b/>
          <w:bCs/>
          <w:spacing w:val="21"/>
        </w:rPr>
        <w:t>表3.2-</w:t>
      </w:r>
      <w:r>
        <w:rPr>
          <w:sz w:val="22"/>
          <w:szCs w:val="22"/>
          <w:spacing w:val="-56"/>
        </w:rPr>
        <w:t xml:space="preserve"> </w:t>
      </w:r>
      <w:r>
        <w:rPr>
          <w:sz w:val="22"/>
          <w:szCs w:val="22"/>
          <w:b/>
          <w:bCs/>
          <w:spacing w:val="21"/>
        </w:rPr>
        <w:t>1</w:t>
      </w:r>
      <w:r>
        <w:rPr>
          <w:sz w:val="22"/>
          <w:szCs w:val="22"/>
          <w:spacing w:val="21"/>
        </w:rPr>
        <w:t xml:space="preserve">  </w:t>
      </w:r>
      <w:r>
        <w:rPr>
          <w:sz w:val="22"/>
          <w:szCs w:val="22"/>
          <w:b/>
          <w:bCs/>
          <w:spacing w:val="21"/>
        </w:rPr>
        <w:t>危险物质及临界量</w:t>
      </w:r>
      <w:r>
        <w:rPr>
          <w:sz w:val="22"/>
          <w:szCs w:val="22"/>
          <w:spacing w:val="-50"/>
        </w:rPr>
        <w:t xml:space="preserve"> </w:t>
      </w:r>
      <w:r>
        <w:rPr>
          <w:sz w:val="22"/>
          <w:szCs w:val="22"/>
          <w:b/>
          <w:bCs/>
          <w:spacing w:val="21"/>
        </w:rPr>
        <w:t>一</w:t>
      </w:r>
      <w:r>
        <w:rPr>
          <w:sz w:val="22"/>
          <w:szCs w:val="22"/>
          <w:spacing w:val="-50"/>
        </w:rPr>
        <w:t xml:space="preserve"> </w:t>
      </w:r>
      <w:r>
        <w:rPr>
          <w:sz w:val="22"/>
          <w:szCs w:val="22"/>
          <w:b/>
          <w:bCs/>
          <w:spacing w:val="21"/>
        </w:rPr>
        <w:t>览表</w:t>
      </w:r>
    </w:p>
    <w:p>
      <w:pPr>
        <w:spacing w:line="148" w:lineRule="exact"/>
        <w:rPr/>
      </w:pPr>
      <w:r/>
    </w:p>
    <w:tbl>
      <w:tblPr>
        <w:tblStyle w:val="TableNormal"/>
        <w:tblW w:w="89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043"/>
        <w:gridCol w:w="2677"/>
        <w:gridCol w:w="1798"/>
        <w:gridCol w:w="1578"/>
        <w:gridCol w:w="1853"/>
      </w:tblGrid>
      <w:tr>
        <w:trPr>
          <w:trHeight w:val="284" w:hRule="atLeast"/>
        </w:trPr>
        <w:tc>
          <w:tcPr>
            <w:tcW w:w="3720" w:type="dxa"/>
            <w:vAlign w:val="top"/>
            <w:gridSpan w:val="2"/>
          </w:tcPr>
          <w:p>
            <w:pPr>
              <w:pStyle w:val="TableText"/>
              <w:ind w:left="1224"/>
              <w:spacing w:before="44" w:line="202" w:lineRule="auto"/>
              <w:rPr>
                <w:sz w:val="21"/>
                <w:szCs w:val="21"/>
              </w:rPr>
            </w:pPr>
            <w:r>
              <w:rPr>
                <w:sz w:val="21"/>
                <w:szCs w:val="21"/>
                <w:spacing w:val="1"/>
              </w:rPr>
              <w:t>危险物质名称</w:t>
            </w:r>
          </w:p>
        </w:tc>
        <w:tc>
          <w:tcPr>
            <w:tcW w:w="1798" w:type="dxa"/>
            <w:vAlign w:val="top"/>
          </w:tcPr>
          <w:p>
            <w:pPr>
              <w:pStyle w:val="TableText"/>
              <w:ind w:left="154"/>
              <w:spacing w:before="37" w:line="208" w:lineRule="auto"/>
              <w:rPr>
                <w:sz w:val="21"/>
                <w:szCs w:val="21"/>
              </w:rPr>
            </w:pPr>
            <w:r>
              <w:rPr>
                <w:sz w:val="21"/>
                <w:szCs w:val="21"/>
                <w:spacing w:val="5"/>
              </w:rPr>
              <w:t>最大储存量q(t)</w:t>
            </w:r>
          </w:p>
        </w:tc>
        <w:tc>
          <w:tcPr>
            <w:tcW w:w="1578" w:type="dxa"/>
            <w:vAlign w:val="top"/>
          </w:tcPr>
          <w:p>
            <w:pPr>
              <w:pStyle w:val="TableText"/>
              <w:ind w:left="176"/>
              <w:spacing w:before="43" w:line="203" w:lineRule="auto"/>
              <w:rPr>
                <w:sz w:val="21"/>
                <w:szCs w:val="21"/>
              </w:rPr>
            </w:pPr>
            <w:r>
              <w:rPr>
                <w:sz w:val="21"/>
                <w:szCs w:val="21"/>
                <w:spacing w:val="6"/>
              </w:rPr>
              <w:t>临界量Q(t)</w:t>
            </w:r>
          </w:p>
        </w:tc>
        <w:tc>
          <w:tcPr>
            <w:tcW w:w="1853" w:type="dxa"/>
            <w:vAlign w:val="top"/>
          </w:tcPr>
          <w:p>
            <w:pPr>
              <w:pStyle w:val="TableText"/>
              <w:ind w:left="658"/>
              <w:spacing w:before="37" w:line="208" w:lineRule="auto"/>
              <w:rPr>
                <w:sz w:val="21"/>
                <w:szCs w:val="21"/>
              </w:rPr>
            </w:pPr>
            <w:r>
              <w:rPr>
                <w:sz w:val="21"/>
                <w:szCs w:val="21"/>
                <w:spacing w:val="-2"/>
              </w:rPr>
              <w:t>qi/Qi</w:t>
            </w:r>
          </w:p>
        </w:tc>
      </w:tr>
      <w:tr>
        <w:trPr>
          <w:trHeight w:val="269" w:hRule="atLeast"/>
        </w:trPr>
        <w:tc>
          <w:tcPr>
            <w:tcW w:w="1043" w:type="dxa"/>
            <w:vAlign w:val="top"/>
            <w:vMerge w:val="restart"/>
            <w:tcBorders>
              <w:bottom w:val="nil"/>
            </w:tcBorders>
          </w:tcPr>
          <w:p>
            <w:pPr>
              <w:pStyle w:val="TableText"/>
              <w:ind w:left="194"/>
              <w:spacing w:before="179" w:line="212" w:lineRule="auto"/>
              <w:rPr>
                <w:sz w:val="21"/>
                <w:szCs w:val="21"/>
              </w:rPr>
            </w:pPr>
            <w:r>
              <w:rPr>
                <w:sz w:val="21"/>
                <w:szCs w:val="21"/>
                <w:spacing w:val="-2"/>
              </w:rPr>
              <w:t>三元材</w:t>
            </w:r>
          </w:p>
          <w:p>
            <w:pPr>
              <w:pStyle w:val="TableText"/>
              <w:ind w:left="404"/>
              <w:spacing w:line="220" w:lineRule="auto"/>
              <w:rPr>
                <w:sz w:val="21"/>
                <w:szCs w:val="21"/>
              </w:rPr>
            </w:pPr>
            <w:r>
              <w:rPr>
                <w:sz w:val="21"/>
                <w:szCs w:val="21"/>
              </w:rPr>
              <w:t>料</w:t>
            </w:r>
          </w:p>
        </w:tc>
        <w:tc>
          <w:tcPr>
            <w:tcW w:w="2677" w:type="dxa"/>
            <w:vAlign w:val="top"/>
          </w:tcPr>
          <w:p>
            <w:pPr>
              <w:pStyle w:val="TableText"/>
              <w:ind w:left="281"/>
              <w:spacing w:before="30" w:line="201" w:lineRule="auto"/>
              <w:rPr>
                <w:sz w:val="21"/>
                <w:szCs w:val="21"/>
              </w:rPr>
            </w:pPr>
            <w:r>
              <w:rPr>
                <w:sz w:val="21"/>
                <w:szCs w:val="21"/>
                <w:spacing w:val="4"/>
              </w:rPr>
              <w:t>镍及其化合物(以镍计)</w:t>
            </w:r>
          </w:p>
        </w:tc>
        <w:tc>
          <w:tcPr>
            <w:tcW w:w="5229" w:type="dxa"/>
            <w:vAlign w:val="top"/>
            <w:gridSpan w:val="3"/>
            <w:vMerge w:val="restart"/>
            <w:tcBorders>
              <w:bottom w:val="nil"/>
            </w:tcBorders>
          </w:tcPr>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1905"/>
              <w:spacing w:before="68" w:line="221" w:lineRule="auto"/>
              <w:rPr>
                <w:sz w:val="21"/>
                <w:szCs w:val="21"/>
              </w:rPr>
            </w:pPr>
            <w:r>
              <w:rPr>
                <w:sz w:val="21"/>
                <w:szCs w:val="21"/>
                <w:spacing w:val="-2"/>
              </w:rPr>
              <w:t>涉密，不予公开</w:t>
            </w:r>
          </w:p>
        </w:tc>
      </w:tr>
      <w:tr>
        <w:trPr>
          <w:trHeight w:val="269" w:hRule="atLeast"/>
        </w:trPr>
        <w:tc>
          <w:tcPr>
            <w:tcW w:w="1043" w:type="dxa"/>
            <w:vAlign w:val="top"/>
            <w:vMerge w:val="continue"/>
            <w:tcBorders>
              <w:top w:val="nil"/>
              <w:bottom w:val="nil"/>
            </w:tcBorders>
          </w:tcPr>
          <w:p>
            <w:pPr>
              <w:rPr>
                <w:rFonts w:ascii="Arial"/>
                <w:sz w:val="21"/>
              </w:rPr>
            </w:pPr>
            <w:r/>
          </w:p>
        </w:tc>
        <w:tc>
          <w:tcPr>
            <w:tcW w:w="2677" w:type="dxa"/>
            <w:vAlign w:val="top"/>
          </w:tcPr>
          <w:p>
            <w:pPr>
              <w:pStyle w:val="TableText"/>
              <w:ind w:left="281"/>
              <w:spacing w:before="32" w:line="199" w:lineRule="auto"/>
              <w:rPr>
                <w:sz w:val="21"/>
                <w:szCs w:val="21"/>
              </w:rPr>
            </w:pPr>
            <w:r>
              <w:rPr>
                <w:sz w:val="21"/>
                <w:szCs w:val="21"/>
                <w:spacing w:val="4"/>
              </w:rPr>
              <w:t>锰及其化合物(以锰计)</w:t>
            </w:r>
          </w:p>
        </w:tc>
        <w:tc>
          <w:tcPr>
            <w:tcW w:w="5229" w:type="dxa"/>
            <w:vAlign w:val="top"/>
            <w:gridSpan w:val="3"/>
            <w:vMerge w:val="continue"/>
            <w:tcBorders>
              <w:top w:val="nil"/>
              <w:bottom w:val="nil"/>
            </w:tcBorders>
          </w:tcPr>
          <w:p>
            <w:pPr>
              <w:rPr>
                <w:rFonts w:ascii="Arial"/>
                <w:sz w:val="21"/>
              </w:rPr>
            </w:pPr>
            <w:r/>
          </w:p>
        </w:tc>
      </w:tr>
      <w:tr>
        <w:trPr>
          <w:trHeight w:val="269" w:hRule="atLeast"/>
        </w:trPr>
        <w:tc>
          <w:tcPr>
            <w:tcW w:w="1043" w:type="dxa"/>
            <w:vAlign w:val="top"/>
            <w:vMerge w:val="continue"/>
            <w:tcBorders>
              <w:top w:val="nil"/>
            </w:tcBorders>
          </w:tcPr>
          <w:p>
            <w:pPr>
              <w:rPr>
                <w:rFonts w:ascii="Arial"/>
                <w:sz w:val="21"/>
              </w:rPr>
            </w:pPr>
            <w:r/>
          </w:p>
        </w:tc>
        <w:tc>
          <w:tcPr>
            <w:tcW w:w="2677" w:type="dxa"/>
            <w:vAlign w:val="top"/>
          </w:tcPr>
          <w:p>
            <w:pPr>
              <w:pStyle w:val="TableText"/>
              <w:ind w:left="281"/>
              <w:spacing w:before="32" w:line="199" w:lineRule="auto"/>
              <w:rPr>
                <w:sz w:val="21"/>
                <w:szCs w:val="21"/>
              </w:rPr>
            </w:pPr>
            <w:r>
              <w:rPr>
                <w:sz w:val="21"/>
                <w:szCs w:val="21"/>
                <w:spacing w:val="4"/>
              </w:rPr>
              <w:t>钴及其化合物(以钴计)</w:t>
            </w:r>
          </w:p>
        </w:tc>
        <w:tc>
          <w:tcPr>
            <w:tcW w:w="5229" w:type="dxa"/>
            <w:vAlign w:val="top"/>
            <w:gridSpan w:val="3"/>
            <w:vMerge w:val="continue"/>
            <w:tcBorders>
              <w:top w:val="nil"/>
              <w:bottom w:val="nil"/>
            </w:tcBorders>
          </w:tcPr>
          <w:p>
            <w:pPr>
              <w:rPr>
                <w:rFonts w:ascii="Arial"/>
                <w:sz w:val="21"/>
              </w:rPr>
            </w:pPr>
            <w:r/>
          </w:p>
        </w:tc>
      </w:tr>
      <w:tr>
        <w:trPr>
          <w:trHeight w:val="279" w:hRule="atLeast"/>
        </w:trPr>
        <w:tc>
          <w:tcPr>
            <w:tcW w:w="1043" w:type="dxa"/>
            <w:vAlign w:val="top"/>
          </w:tcPr>
          <w:p>
            <w:pPr>
              <w:pStyle w:val="TableText"/>
              <w:ind w:left="194"/>
              <w:spacing w:before="43" w:line="198" w:lineRule="auto"/>
              <w:rPr>
                <w:sz w:val="21"/>
                <w:szCs w:val="21"/>
              </w:rPr>
            </w:pPr>
            <w:r>
              <w:rPr>
                <w:sz w:val="21"/>
                <w:szCs w:val="21"/>
                <w:spacing w:val="3"/>
              </w:rPr>
              <w:t>电解液</w:t>
            </w:r>
          </w:p>
        </w:tc>
        <w:tc>
          <w:tcPr>
            <w:tcW w:w="2677" w:type="dxa"/>
            <w:vAlign w:val="top"/>
          </w:tcPr>
          <w:p>
            <w:pPr>
              <w:pStyle w:val="TableText"/>
              <w:ind w:left="801"/>
              <w:spacing w:before="42" w:line="199" w:lineRule="auto"/>
              <w:rPr>
                <w:sz w:val="21"/>
                <w:szCs w:val="21"/>
              </w:rPr>
            </w:pPr>
            <w:r>
              <w:rPr>
                <w:sz w:val="21"/>
                <w:szCs w:val="21"/>
                <w:spacing w:val="-2"/>
              </w:rPr>
              <w:t>六氟磷酸锂</w:t>
            </w:r>
          </w:p>
        </w:tc>
        <w:tc>
          <w:tcPr>
            <w:tcW w:w="5229" w:type="dxa"/>
            <w:vAlign w:val="top"/>
            <w:gridSpan w:val="3"/>
            <w:vMerge w:val="continue"/>
            <w:tcBorders>
              <w:top w:val="nil"/>
              <w:bottom w:val="nil"/>
            </w:tcBorders>
          </w:tcPr>
          <w:p>
            <w:pPr>
              <w:rPr>
                <w:rFonts w:ascii="Arial"/>
                <w:sz w:val="21"/>
              </w:rPr>
            </w:pPr>
            <w:r/>
          </w:p>
        </w:tc>
      </w:tr>
      <w:tr>
        <w:trPr>
          <w:trHeight w:val="549" w:hRule="atLeast"/>
        </w:trPr>
        <w:tc>
          <w:tcPr>
            <w:tcW w:w="3720" w:type="dxa"/>
            <w:vAlign w:val="top"/>
            <w:gridSpan w:val="2"/>
          </w:tcPr>
          <w:p>
            <w:pPr>
              <w:pStyle w:val="TableText"/>
              <w:ind w:left="275"/>
              <w:spacing w:before="46" w:line="214" w:lineRule="auto"/>
              <w:rPr>
                <w:sz w:val="21"/>
                <w:szCs w:val="21"/>
              </w:rPr>
            </w:pPr>
            <w:r>
              <w:rPr>
                <w:sz w:val="21"/>
                <w:szCs w:val="21"/>
                <w:spacing w:val="-1"/>
              </w:rPr>
              <w:t>废NMP(COD浓度≥10000mg/L的有机</w:t>
            </w:r>
          </w:p>
          <w:p>
            <w:pPr>
              <w:pStyle w:val="TableText"/>
              <w:ind w:left="1584"/>
              <w:spacing w:before="23" w:line="198" w:lineRule="auto"/>
              <w:rPr>
                <w:sz w:val="21"/>
                <w:szCs w:val="21"/>
              </w:rPr>
            </w:pPr>
            <w:r>
              <w:rPr>
                <w:sz w:val="21"/>
                <w:szCs w:val="21"/>
                <w:spacing w:val="17"/>
              </w:rPr>
              <w:t>废液)</w:t>
            </w:r>
          </w:p>
        </w:tc>
        <w:tc>
          <w:tcPr>
            <w:tcW w:w="5229" w:type="dxa"/>
            <w:vAlign w:val="top"/>
            <w:gridSpan w:val="3"/>
            <w:vMerge w:val="continue"/>
            <w:tcBorders>
              <w:top w:val="nil"/>
              <w:bottom w:val="nil"/>
            </w:tcBorders>
          </w:tcPr>
          <w:p>
            <w:pPr>
              <w:rPr>
                <w:rFonts w:ascii="Arial"/>
                <w:sz w:val="21"/>
              </w:rPr>
            </w:pPr>
            <w:r/>
          </w:p>
        </w:tc>
      </w:tr>
      <w:tr>
        <w:trPr>
          <w:trHeight w:val="259" w:hRule="atLeast"/>
        </w:trPr>
        <w:tc>
          <w:tcPr>
            <w:tcW w:w="3720" w:type="dxa"/>
            <w:vAlign w:val="top"/>
            <w:gridSpan w:val="2"/>
          </w:tcPr>
          <w:p>
            <w:pPr>
              <w:pStyle w:val="TableText"/>
              <w:ind w:left="1534"/>
              <w:spacing w:before="35" w:line="188" w:lineRule="auto"/>
              <w:rPr>
                <w:sz w:val="21"/>
                <w:szCs w:val="21"/>
              </w:rPr>
            </w:pPr>
            <w:r>
              <w:rPr>
                <w:sz w:val="21"/>
                <w:szCs w:val="21"/>
                <w:spacing w:val="4"/>
              </w:rPr>
              <w:t>天然气</w:t>
            </w:r>
          </w:p>
        </w:tc>
        <w:tc>
          <w:tcPr>
            <w:tcW w:w="5229" w:type="dxa"/>
            <w:vAlign w:val="top"/>
            <w:gridSpan w:val="3"/>
            <w:vMerge w:val="continue"/>
            <w:tcBorders>
              <w:top w:val="nil"/>
            </w:tcBorders>
          </w:tcPr>
          <w:p>
            <w:pPr>
              <w:rPr>
                <w:rFonts w:ascii="Arial"/>
                <w:sz w:val="21"/>
              </w:rPr>
            </w:pPr>
            <w:r/>
          </w:p>
        </w:tc>
      </w:tr>
      <w:tr>
        <w:trPr>
          <w:trHeight w:val="309" w:hRule="atLeast"/>
        </w:trPr>
        <w:tc>
          <w:tcPr>
            <w:tcW w:w="3720" w:type="dxa"/>
            <w:vAlign w:val="top"/>
            <w:gridSpan w:val="2"/>
          </w:tcPr>
          <w:p>
            <w:pPr>
              <w:pStyle w:val="TableText"/>
              <w:ind w:left="1644"/>
              <w:spacing w:before="56" w:line="213" w:lineRule="auto"/>
              <w:rPr>
                <w:sz w:val="21"/>
                <w:szCs w:val="21"/>
              </w:rPr>
            </w:pPr>
            <w:r>
              <w:rPr>
                <w:sz w:val="21"/>
                <w:szCs w:val="21"/>
                <w:spacing w:val="-3"/>
              </w:rPr>
              <w:t>合计</w:t>
            </w:r>
          </w:p>
        </w:tc>
        <w:tc>
          <w:tcPr>
            <w:tcW w:w="1798" w:type="dxa"/>
            <w:vAlign w:val="top"/>
          </w:tcPr>
          <w:p>
            <w:pPr>
              <w:pStyle w:val="TableText"/>
              <w:ind w:left="834"/>
              <w:spacing w:before="61" w:line="209" w:lineRule="auto"/>
              <w:rPr>
                <w:sz w:val="21"/>
                <w:szCs w:val="21"/>
              </w:rPr>
            </w:pPr>
            <w:r>
              <w:rPr>
                <w:sz w:val="21"/>
                <w:szCs w:val="21"/>
              </w:rPr>
              <w:t>/</w:t>
            </w:r>
          </w:p>
        </w:tc>
        <w:tc>
          <w:tcPr>
            <w:tcW w:w="1578" w:type="dxa"/>
            <w:vAlign w:val="top"/>
          </w:tcPr>
          <w:p>
            <w:pPr>
              <w:pStyle w:val="TableText"/>
              <w:ind w:left="726"/>
              <w:spacing w:before="61" w:line="209" w:lineRule="auto"/>
              <w:rPr>
                <w:sz w:val="21"/>
                <w:szCs w:val="21"/>
              </w:rPr>
            </w:pPr>
            <w:r>
              <w:rPr>
                <w:sz w:val="21"/>
                <w:szCs w:val="21"/>
              </w:rPr>
              <w:t>/</w:t>
            </w:r>
          </w:p>
        </w:tc>
        <w:tc>
          <w:tcPr>
            <w:tcW w:w="1853" w:type="dxa"/>
            <w:vAlign w:val="top"/>
          </w:tcPr>
          <w:p>
            <w:pPr>
              <w:pStyle w:val="TableText"/>
              <w:ind w:left="498"/>
              <w:spacing w:before="109" w:line="167" w:lineRule="auto"/>
              <w:rPr>
                <w:sz w:val="21"/>
                <w:szCs w:val="21"/>
              </w:rPr>
            </w:pPr>
            <w:r>
              <w:rPr>
                <w:sz w:val="21"/>
                <w:szCs w:val="21"/>
                <w:spacing w:val="-3"/>
              </w:rPr>
              <w:t>1486.462</w:t>
            </w:r>
          </w:p>
        </w:tc>
      </w:tr>
      <w:tr>
        <w:trPr>
          <w:trHeight w:val="553" w:hRule="atLeast"/>
        </w:trPr>
        <w:tc>
          <w:tcPr>
            <w:tcW w:w="8949" w:type="dxa"/>
            <w:vAlign w:val="top"/>
            <w:gridSpan w:val="5"/>
          </w:tcPr>
          <w:p>
            <w:pPr>
              <w:pStyle w:val="TableText"/>
              <w:ind w:left="124" w:right="812" w:firstLine="9"/>
              <w:spacing w:before="33" w:line="224" w:lineRule="auto"/>
              <w:rPr>
                <w:sz w:val="21"/>
                <w:szCs w:val="21"/>
              </w:rPr>
            </w:pPr>
            <w:r>
              <w:rPr>
                <w:sz w:val="21"/>
                <w:szCs w:val="21"/>
              </w:rPr>
              <w:t>备注：三元材料(NCM)存储量约597.1t,其中Ni、Co、Mn含量约20.3%、20.4%、19.0%;电</w:t>
            </w:r>
            <w:r>
              <w:rPr>
                <w:sz w:val="21"/>
                <w:szCs w:val="21"/>
                <w:spacing w:val="10"/>
              </w:rPr>
              <w:t xml:space="preserve"> </w:t>
            </w:r>
            <w:r>
              <w:rPr>
                <w:sz w:val="21"/>
                <w:szCs w:val="21"/>
              </w:rPr>
              <w:t>解液存储量约82.2t,六氟磷酸锂约占25%,参照急性经口毒性类别为3,其临界量为50t。</w:t>
            </w:r>
          </w:p>
        </w:tc>
      </w:tr>
    </w:tbl>
    <w:p>
      <w:pPr>
        <w:rPr>
          <w:rFonts w:ascii="Arial"/>
          <w:sz w:val="21"/>
        </w:rPr>
      </w:pPr>
      <w:r/>
    </w:p>
    <w:p>
      <w:pPr>
        <w:sectPr>
          <w:footerReference w:type="default" r:id="rId175"/>
          <w:pgSz w:w="11900" w:h="16840"/>
          <w:pgMar w:top="1267" w:right="1530" w:bottom="988" w:left="1405" w:header="0" w:footer="849" w:gutter="0"/>
        </w:sectPr>
        <w:rPr>
          <w:rFonts w:ascii="Arial" w:hAnsi="Arial" w:eastAsia="Arial" w:cs="Arial"/>
          <w:sz w:val="21"/>
          <w:szCs w:val="21"/>
        </w:rPr>
      </w:pPr>
    </w:p>
    <w:p>
      <w:pPr>
        <w:pStyle w:val="BodyText"/>
        <w:ind w:left="144" w:right="104" w:firstLine="480"/>
        <w:spacing w:before="48" w:line="362" w:lineRule="auto"/>
        <w:jc w:val="both"/>
        <w:rPr>
          <w:sz w:val="24"/>
          <w:szCs w:val="24"/>
        </w:rPr>
      </w:pPr>
      <w:r>
        <w:rPr>
          <w:sz w:val="24"/>
          <w:szCs w:val="24"/>
          <w:spacing w:val="-5"/>
        </w:rPr>
        <w:t>根据《建设项目环境风险评价技术导则》</w:t>
      </w:r>
      <w:r>
        <w:rPr>
          <w:sz w:val="24"/>
          <w:szCs w:val="24"/>
          <w:spacing w:val="88"/>
        </w:rPr>
        <w:t xml:space="preserve"> </w:t>
      </w:r>
      <w:r>
        <w:rPr>
          <w:sz w:val="24"/>
          <w:szCs w:val="24"/>
          <w:spacing w:val="-5"/>
        </w:rPr>
        <w:t>(HJ169-2018)</w:t>
      </w:r>
      <w:r>
        <w:rPr>
          <w:sz w:val="24"/>
          <w:szCs w:val="24"/>
          <w:spacing w:val="51"/>
        </w:rPr>
        <w:t xml:space="preserve"> </w:t>
      </w:r>
      <w:r>
        <w:rPr>
          <w:sz w:val="24"/>
          <w:szCs w:val="24"/>
          <w:spacing w:val="-5"/>
        </w:rPr>
        <w:t>中危险物质数量与临界</w:t>
      </w:r>
      <w:r>
        <w:rPr>
          <w:sz w:val="24"/>
          <w:szCs w:val="24"/>
        </w:rPr>
        <w:t xml:space="preserve"> </w:t>
      </w:r>
      <w:r>
        <w:rPr>
          <w:sz w:val="24"/>
          <w:szCs w:val="24"/>
          <w:spacing w:val="-1"/>
        </w:rPr>
        <w:t>量比值 </w:t>
      </w:r>
      <w:r>
        <w:rPr>
          <w:rFonts w:ascii="Times New Roman" w:hAnsi="Times New Roman" w:eastAsia="Times New Roman" w:cs="Times New Roman"/>
          <w:sz w:val="24"/>
          <w:szCs w:val="24"/>
          <w:spacing w:val="-1"/>
        </w:rPr>
        <w:t>(Q):      </w:t>
      </w:r>
      <w:r>
        <w:rPr>
          <w:sz w:val="24"/>
          <w:szCs w:val="24"/>
          <w:spacing w:val="-1"/>
        </w:rPr>
        <w:t>当只涉及一种危险物质时，计算该物质的总量与其临界量比值，即为</w:t>
      </w:r>
    </w:p>
    <w:p>
      <w:pPr>
        <w:pStyle w:val="BodyText"/>
        <w:ind w:left="134"/>
        <w:spacing w:line="219" w:lineRule="auto"/>
        <w:rPr>
          <w:sz w:val="24"/>
          <w:szCs w:val="24"/>
        </w:rPr>
      </w:pPr>
      <w:r>
        <w:rPr>
          <w:sz w:val="24"/>
          <w:szCs w:val="24"/>
          <w:spacing w:val="-2"/>
        </w:rPr>
        <w:t>Q;</w:t>
      </w:r>
      <w:r>
        <w:rPr>
          <w:sz w:val="24"/>
          <w:szCs w:val="24"/>
          <w:spacing w:val="56"/>
        </w:rPr>
        <w:t xml:space="preserve"> </w:t>
      </w:r>
      <w:r>
        <w:rPr>
          <w:sz w:val="24"/>
          <w:szCs w:val="24"/>
          <w:spacing w:val="-2"/>
        </w:rPr>
        <w:t>当存在多种危险物质时，则按下式计算物质总量与其临界量 (Q):</w:t>
      </w:r>
    </w:p>
    <w:p>
      <w:pPr>
        <w:ind w:firstLine="3235"/>
        <w:spacing w:before="225" w:line="540" w:lineRule="exact"/>
        <w:rPr/>
      </w:pPr>
      <w:r>
        <w:rPr>
          <w:position w:val="-10"/>
        </w:rPr>
        <w:drawing>
          <wp:inline distT="0" distB="0" distL="0" distR="0">
            <wp:extent cx="1968468" cy="342830"/>
            <wp:effectExtent l="0" t="0" r="0" b="0"/>
            <wp:docPr id="26" name="IM 26"/>
            <wp:cNvGraphicFramePr/>
            <a:graphic>
              <a:graphicData uri="http://schemas.openxmlformats.org/drawingml/2006/picture">
                <pic:pic>
                  <pic:nvPicPr>
                    <pic:cNvPr id="26" name="IM 26"/>
                    <pic:cNvPicPr/>
                  </pic:nvPicPr>
                  <pic:blipFill>
                    <a:blip r:embed="rId177"/>
                    <a:stretch>
                      <a:fillRect/>
                    </a:stretch>
                  </pic:blipFill>
                  <pic:spPr>
                    <a:xfrm rot="0">
                      <a:off x="0" y="0"/>
                      <a:ext cx="1968468" cy="342830"/>
                    </a:xfrm>
                    <a:prstGeom prst="rect">
                      <a:avLst/>
                    </a:prstGeom>
                  </pic:spPr>
                </pic:pic>
              </a:graphicData>
            </a:graphic>
          </wp:inline>
        </w:drawing>
      </w:r>
    </w:p>
    <w:p>
      <w:pPr>
        <w:pStyle w:val="BodyText"/>
        <w:ind w:left="144"/>
        <w:spacing w:before="182" w:line="212" w:lineRule="auto"/>
        <w:rPr>
          <w:rFonts w:ascii="Times New Roman" w:hAnsi="Times New Roman" w:eastAsia="Times New Roman" w:cs="Times New Roman"/>
          <w:sz w:val="24"/>
          <w:szCs w:val="24"/>
        </w:rPr>
      </w:pPr>
      <w:r>
        <w:rPr>
          <w:sz w:val="24"/>
          <w:szCs w:val="24"/>
          <w:spacing w:val="-10"/>
        </w:rPr>
        <w:t>式中：</w:t>
      </w:r>
      <w:r>
        <w:rPr>
          <w:sz w:val="24"/>
          <w:szCs w:val="24"/>
          <w:spacing w:val="-40"/>
        </w:rPr>
        <w:t xml:space="preserve"> </w:t>
      </w:r>
      <w:r>
        <w:rPr>
          <w:rFonts w:ascii="Times New Roman" w:hAnsi="Times New Roman" w:eastAsia="Times New Roman" w:cs="Times New Roman"/>
          <w:sz w:val="24"/>
          <w:szCs w:val="24"/>
          <w:spacing w:val="-10"/>
        </w:rPr>
        <w:t>q1</w:t>
      </w:r>
      <w:r>
        <w:rPr>
          <w:rFonts w:ascii="Times New Roman" w:hAnsi="Times New Roman" w:eastAsia="Times New Roman" w:cs="Times New Roman"/>
          <w:sz w:val="24"/>
          <w:szCs w:val="24"/>
          <w:spacing w:val="-35"/>
        </w:rPr>
        <w:t xml:space="preserve"> </w:t>
      </w:r>
      <w:r>
        <w:rPr>
          <w:sz w:val="24"/>
          <w:szCs w:val="24"/>
          <w:spacing w:val="-10"/>
        </w:rPr>
        <w:t>、</w:t>
      </w:r>
      <w:r>
        <w:rPr>
          <w:rFonts w:ascii="Times New Roman" w:hAnsi="Times New Roman" w:eastAsia="Times New Roman" w:cs="Times New Roman"/>
          <w:sz w:val="24"/>
          <w:szCs w:val="24"/>
          <w:spacing w:val="-10"/>
        </w:rPr>
        <w:t>q2</w:t>
      </w:r>
      <w:r>
        <w:rPr>
          <w:rFonts w:ascii="Times New Roman" w:hAnsi="Times New Roman" w:eastAsia="Times New Roman" w:cs="Times New Roman"/>
          <w:sz w:val="24"/>
          <w:szCs w:val="24"/>
          <w:spacing w:val="-34"/>
        </w:rPr>
        <w:t xml:space="preserve"> </w:t>
      </w:r>
      <w:r>
        <w:rPr>
          <w:sz w:val="24"/>
          <w:szCs w:val="24"/>
          <w:spacing w:val="-10"/>
        </w:rPr>
        <w:t>、</w:t>
      </w:r>
      <w:r>
        <w:rPr>
          <w:rFonts w:ascii="Times New Roman" w:hAnsi="Times New Roman" w:eastAsia="Times New Roman" w:cs="Times New Roman"/>
          <w:sz w:val="24"/>
          <w:szCs w:val="24"/>
          <w:spacing w:val="-10"/>
        </w:rPr>
        <w:t>…</w:t>
      </w:r>
      <w:r>
        <w:rPr>
          <w:rFonts w:ascii="Times New Roman" w:hAnsi="Times New Roman" w:eastAsia="Times New Roman" w:cs="Times New Roman"/>
          <w:sz w:val="24"/>
          <w:szCs w:val="24"/>
          <w:spacing w:val="-34"/>
        </w:rPr>
        <w:t xml:space="preserve"> </w:t>
      </w:r>
      <w:r>
        <w:rPr>
          <w:sz w:val="24"/>
          <w:szCs w:val="24"/>
          <w:spacing w:val="-10"/>
        </w:rPr>
        <w:t>、</w:t>
      </w:r>
      <w:r>
        <w:rPr>
          <w:rFonts w:ascii="Times New Roman" w:hAnsi="Times New Roman" w:eastAsia="Times New Roman" w:cs="Times New Roman"/>
          <w:sz w:val="24"/>
          <w:szCs w:val="24"/>
          <w:spacing w:val="-10"/>
        </w:rPr>
        <w:t>qn——</w:t>
      </w:r>
      <w:r>
        <w:rPr>
          <w:sz w:val="24"/>
          <w:szCs w:val="24"/>
          <w:spacing w:val="-10"/>
        </w:rPr>
        <w:t>每种危险物质的最大存在总量， </w:t>
      </w:r>
      <w:r>
        <w:rPr>
          <w:rFonts w:ascii="Times New Roman" w:hAnsi="Times New Roman" w:eastAsia="Times New Roman" w:cs="Times New Roman"/>
          <w:sz w:val="24"/>
          <w:szCs w:val="24"/>
          <w:spacing w:val="-10"/>
        </w:rPr>
        <w:t>t;</w:t>
      </w:r>
    </w:p>
    <w:p>
      <w:pPr>
        <w:pStyle w:val="BodyText"/>
        <w:ind w:left="585"/>
        <w:spacing w:before="188" w:line="354" w:lineRule="auto"/>
        <w:rPr>
          <w:sz w:val="24"/>
          <w:szCs w:val="24"/>
        </w:rPr>
      </w:pPr>
      <w:r>
        <w:rPr>
          <w:rFonts w:ascii="Times New Roman" w:hAnsi="Times New Roman" w:eastAsia="Times New Roman" w:cs="Times New Roman"/>
          <w:sz w:val="24"/>
          <w:szCs w:val="24"/>
          <w:spacing w:val="-9"/>
        </w:rPr>
        <w:t>Q1</w:t>
      </w:r>
      <w:r>
        <w:rPr>
          <w:rFonts w:ascii="Times New Roman" w:hAnsi="Times New Roman" w:eastAsia="Times New Roman" w:cs="Times New Roman"/>
          <w:sz w:val="24"/>
          <w:szCs w:val="24"/>
          <w:spacing w:val="-21"/>
        </w:rPr>
        <w:t xml:space="preserve"> </w:t>
      </w:r>
      <w:r>
        <w:rPr>
          <w:sz w:val="24"/>
          <w:szCs w:val="24"/>
          <w:spacing w:val="-9"/>
        </w:rPr>
        <w:t>、</w:t>
      </w:r>
      <w:r>
        <w:rPr>
          <w:rFonts w:ascii="Times New Roman" w:hAnsi="Times New Roman" w:eastAsia="Times New Roman" w:cs="Times New Roman"/>
          <w:sz w:val="24"/>
          <w:szCs w:val="24"/>
          <w:spacing w:val="-9"/>
        </w:rPr>
        <w:t>Q2</w:t>
      </w:r>
      <w:r>
        <w:rPr>
          <w:rFonts w:ascii="Times New Roman" w:hAnsi="Times New Roman" w:eastAsia="Times New Roman" w:cs="Times New Roman"/>
          <w:sz w:val="24"/>
          <w:szCs w:val="24"/>
          <w:spacing w:val="-34"/>
        </w:rPr>
        <w:t xml:space="preserve"> </w:t>
      </w:r>
      <w:r>
        <w:rPr>
          <w:sz w:val="24"/>
          <w:szCs w:val="24"/>
          <w:spacing w:val="-9"/>
        </w:rPr>
        <w:t>、</w:t>
      </w:r>
      <w:r>
        <w:rPr>
          <w:rFonts w:ascii="Times New Roman" w:hAnsi="Times New Roman" w:eastAsia="Times New Roman" w:cs="Times New Roman"/>
          <w:sz w:val="24"/>
          <w:szCs w:val="24"/>
          <w:spacing w:val="-9"/>
        </w:rPr>
        <w:t>…Qn</w:t>
      </w:r>
      <w:r>
        <w:rPr>
          <w:rFonts w:ascii="Times New Roman" w:hAnsi="Times New Roman" w:eastAsia="Times New Roman" w:cs="Times New Roman"/>
          <w:sz w:val="24"/>
          <w:szCs w:val="24"/>
          <w:spacing w:val="-41"/>
        </w:rPr>
        <w:t xml:space="preserve"> </w:t>
      </w:r>
      <w:r>
        <w:rPr>
          <w:rFonts w:ascii="Times New Roman" w:hAnsi="Times New Roman" w:eastAsia="Times New Roman" w:cs="Times New Roman"/>
          <w:sz w:val="24"/>
          <w:szCs w:val="24"/>
          <w:u w:val="single" w:color="auto"/>
          <w:spacing w:val="-9"/>
        </w:rPr>
        <w:t xml:space="preserve">         </w:t>
      </w:r>
      <w:r>
        <w:rPr>
          <w:sz w:val="24"/>
          <w:szCs w:val="24"/>
          <w:spacing w:val="-9"/>
        </w:rPr>
        <w:t>每种危险物质的临界量， </w:t>
      </w:r>
      <w:r>
        <w:rPr>
          <w:rFonts w:ascii="Times New Roman" w:hAnsi="Times New Roman" w:eastAsia="Times New Roman" w:cs="Times New Roman"/>
          <w:sz w:val="24"/>
          <w:szCs w:val="24"/>
          <w:spacing w:val="-9"/>
        </w:rPr>
        <w:t>t</w:t>
      </w:r>
      <w:r>
        <w:rPr>
          <w:sz w:val="24"/>
          <w:szCs w:val="24"/>
          <w:spacing w:val="-9"/>
        </w:rPr>
        <w:t>。</w:t>
      </w:r>
    </w:p>
    <w:p>
      <w:pPr>
        <w:pStyle w:val="BodyText"/>
        <w:ind w:left="614"/>
        <w:spacing w:line="212" w:lineRule="auto"/>
        <w:rPr>
          <w:sz w:val="24"/>
          <w:szCs w:val="24"/>
        </w:rPr>
      </w:pPr>
      <w:r>
        <w:rPr>
          <w:sz w:val="24"/>
          <w:szCs w:val="24"/>
          <w:spacing w:val="-1"/>
        </w:rPr>
        <w:t>当</w:t>
      </w:r>
      <w:r>
        <w:rPr>
          <w:sz w:val="24"/>
          <w:szCs w:val="24"/>
          <w:spacing w:val="-63"/>
        </w:rPr>
        <w:t xml:space="preserve"> </w:t>
      </w:r>
      <w:r>
        <w:rPr>
          <w:rFonts w:ascii="Times New Roman" w:hAnsi="Times New Roman" w:eastAsia="Times New Roman" w:cs="Times New Roman"/>
          <w:sz w:val="24"/>
          <w:szCs w:val="24"/>
          <w:spacing w:val="-1"/>
        </w:rPr>
        <w:t>Q&lt;1   </w:t>
      </w:r>
      <w:r>
        <w:rPr>
          <w:sz w:val="24"/>
          <w:szCs w:val="24"/>
          <w:spacing w:val="-1"/>
        </w:rPr>
        <w:t>时，该项目环境风险潜势为</w:t>
      </w:r>
      <w:r>
        <w:rPr>
          <w:sz w:val="24"/>
          <w:szCs w:val="24"/>
          <w:spacing w:val="-62"/>
        </w:rPr>
        <w:t xml:space="preserve"> </w:t>
      </w:r>
      <w:r>
        <w:rPr>
          <w:rFonts w:ascii="Times New Roman" w:hAnsi="Times New Roman" w:eastAsia="Times New Roman" w:cs="Times New Roman"/>
          <w:sz w:val="24"/>
          <w:szCs w:val="24"/>
          <w:spacing w:val="-1"/>
        </w:rPr>
        <w:t>I</w:t>
      </w:r>
      <w:r>
        <w:rPr>
          <w:sz w:val="24"/>
          <w:szCs w:val="24"/>
          <w:spacing w:val="-1"/>
        </w:rPr>
        <w:t>。</w:t>
      </w:r>
    </w:p>
    <w:p>
      <w:pPr>
        <w:pStyle w:val="BodyText"/>
        <w:ind w:left="634"/>
        <w:spacing w:before="200" w:line="212" w:lineRule="auto"/>
        <w:rPr>
          <w:sz w:val="24"/>
          <w:szCs w:val="24"/>
        </w:rPr>
      </w:pPr>
      <w:r>
        <w:rPr>
          <w:sz w:val="24"/>
          <w:szCs w:val="24"/>
          <w:spacing w:val="-3"/>
        </w:rPr>
        <w:t>当</w:t>
      </w:r>
      <w:r>
        <w:rPr>
          <w:rFonts w:ascii="Times New Roman" w:hAnsi="Times New Roman" w:eastAsia="Times New Roman" w:cs="Times New Roman"/>
          <w:sz w:val="24"/>
          <w:szCs w:val="24"/>
          <w:spacing w:val="-3"/>
        </w:rPr>
        <w:t>Q≥1   </w:t>
      </w:r>
      <w:r>
        <w:rPr>
          <w:sz w:val="24"/>
          <w:szCs w:val="24"/>
          <w:spacing w:val="-3"/>
        </w:rPr>
        <w:t>时，将</w:t>
      </w:r>
      <w:r>
        <w:rPr>
          <w:rFonts w:ascii="Times New Roman" w:hAnsi="Times New Roman" w:eastAsia="Times New Roman" w:cs="Times New Roman"/>
          <w:sz w:val="24"/>
          <w:szCs w:val="24"/>
          <w:spacing w:val="-3"/>
        </w:rPr>
        <w:t>Q </w:t>
      </w:r>
      <w:r>
        <w:rPr>
          <w:sz w:val="24"/>
          <w:szCs w:val="24"/>
          <w:spacing w:val="-3"/>
        </w:rPr>
        <w:t>值划分为：  (1)1≤</w:t>
      </w:r>
      <w:r>
        <w:rPr>
          <w:sz w:val="24"/>
          <w:szCs w:val="24"/>
          <w:spacing w:val="32"/>
        </w:rPr>
        <w:t xml:space="preserve"> </w:t>
      </w:r>
      <w:r>
        <w:rPr>
          <w:rFonts w:ascii="Times New Roman" w:hAnsi="Times New Roman" w:eastAsia="Times New Roman" w:cs="Times New Roman"/>
          <w:sz w:val="24"/>
          <w:szCs w:val="24"/>
          <w:spacing w:val="-3"/>
        </w:rPr>
        <w:t>Q&lt;10</w:t>
      </w:r>
      <w:r>
        <w:rPr>
          <w:rFonts w:ascii="Times New Roman" w:hAnsi="Times New Roman" w:eastAsia="Times New Roman" w:cs="Times New Roman"/>
          <w:sz w:val="24"/>
          <w:szCs w:val="24"/>
          <w:spacing w:val="-4"/>
        </w:rPr>
        <w:t>;       (2)10≤Q&lt;100;           (3)Q≥100</w:t>
      </w:r>
      <w:r>
        <w:rPr>
          <w:sz w:val="24"/>
          <w:szCs w:val="24"/>
          <w:spacing w:val="-4"/>
        </w:rPr>
        <w:t>。</w:t>
      </w:r>
    </w:p>
    <w:p>
      <w:pPr>
        <w:pStyle w:val="BodyText"/>
        <w:ind w:left="604"/>
        <w:spacing w:before="201" w:line="423" w:lineRule="exact"/>
        <w:rPr>
          <w:sz w:val="24"/>
          <w:szCs w:val="24"/>
        </w:rPr>
      </w:pPr>
      <w:r>
        <w:rPr>
          <w:sz w:val="24"/>
          <w:szCs w:val="24"/>
          <w:spacing w:val="-2"/>
          <w:position w:val="13"/>
        </w:rPr>
        <w:t>扩建后全厂危险物质数量与临界量比值</w:t>
      </w:r>
      <w:r>
        <w:rPr>
          <w:sz w:val="24"/>
          <w:szCs w:val="24"/>
          <w:spacing w:val="-53"/>
          <w:position w:val="13"/>
        </w:rPr>
        <w:t xml:space="preserve"> </w:t>
      </w:r>
      <w:r>
        <w:rPr>
          <w:sz w:val="24"/>
          <w:szCs w:val="24"/>
          <w:spacing w:val="-2"/>
          <w:position w:val="13"/>
        </w:rPr>
        <w:t>Q=1486.462≥100。</w:t>
      </w:r>
    </w:p>
    <w:p>
      <w:pPr>
        <w:pStyle w:val="BodyText"/>
        <w:ind w:left="614"/>
        <w:spacing w:line="212" w:lineRule="auto"/>
        <w:rPr>
          <w:sz w:val="24"/>
          <w:szCs w:val="24"/>
        </w:rPr>
      </w:pPr>
      <w:r>
        <w:rPr>
          <w:sz w:val="24"/>
          <w:szCs w:val="24"/>
          <w:spacing w:val="6"/>
        </w:rPr>
        <w:t>2)行业及生产工艺</w:t>
      </w:r>
      <w:r>
        <w:rPr>
          <w:sz w:val="24"/>
          <w:szCs w:val="24"/>
          <w:spacing w:val="-13"/>
        </w:rPr>
        <w:t xml:space="preserve"> </w:t>
      </w:r>
      <w:r>
        <w:rPr>
          <w:rFonts w:ascii="Times New Roman" w:hAnsi="Times New Roman" w:eastAsia="Times New Roman" w:cs="Times New Roman"/>
          <w:sz w:val="24"/>
          <w:szCs w:val="24"/>
          <w:spacing w:val="6"/>
        </w:rPr>
        <w:t>(M)   </w:t>
      </w:r>
      <w:r>
        <w:rPr>
          <w:sz w:val="24"/>
          <w:szCs w:val="24"/>
          <w:spacing w:val="6"/>
        </w:rPr>
        <w:t>分析</w:t>
      </w:r>
    </w:p>
    <w:p>
      <w:pPr>
        <w:pStyle w:val="BodyText"/>
        <w:ind w:left="614"/>
        <w:spacing w:before="230" w:line="218" w:lineRule="auto"/>
        <w:rPr>
          <w:sz w:val="24"/>
          <w:szCs w:val="24"/>
        </w:rPr>
      </w:pPr>
      <w:r>
        <w:rPr>
          <w:sz w:val="24"/>
          <w:szCs w:val="24"/>
          <w:spacing w:val="-1"/>
        </w:rPr>
        <w:t>分析项目所属行业及生产工艺特点，根据《建设项目环境风险评价技术导则》</w:t>
      </w:r>
    </w:p>
    <w:p>
      <w:pPr>
        <w:pStyle w:val="BodyText"/>
        <w:ind w:left="255"/>
        <w:spacing w:before="161" w:line="474" w:lineRule="exact"/>
        <w:rPr>
          <w:sz w:val="24"/>
          <w:szCs w:val="24"/>
        </w:rPr>
      </w:pPr>
      <w:r>
        <w:rPr>
          <w:rFonts w:ascii="Times New Roman" w:hAnsi="Times New Roman" w:eastAsia="Times New Roman" w:cs="Times New Roman"/>
          <w:sz w:val="24"/>
          <w:szCs w:val="24"/>
          <w:spacing w:val="-1"/>
          <w:position w:val="18"/>
        </w:rPr>
        <w:t>(HJ169-2018)</w:t>
      </w:r>
      <w:r>
        <w:rPr>
          <w:rFonts w:ascii="Times New Roman" w:hAnsi="Times New Roman" w:eastAsia="Times New Roman" w:cs="Times New Roman"/>
          <w:sz w:val="24"/>
          <w:szCs w:val="24"/>
          <w:spacing w:val="26"/>
          <w:w w:val="101"/>
          <w:position w:val="18"/>
        </w:rPr>
        <w:t xml:space="preserve">  </w:t>
      </w:r>
      <w:r>
        <w:rPr>
          <w:sz w:val="24"/>
          <w:szCs w:val="24"/>
          <w:spacing w:val="-1"/>
          <w:position w:val="18"/>
        </w:rPr>
        <w:t>附录</w:t>
      </w:r>
      <w:r>
        <w:rPr>
          <w:rFonts w:ascii="Times New Roman" w:hAnsi="Times New Roman" w:eastAsia="Times New Roman" w:cs="Times New Roman"/>
          <w:sz w:val="24"/>
          <w:szCs w:val="24"/>
          <w:spacing w:val="-1"/>
          <w:position w:val="18"/>
        </w:rPr>
        <w:t>C</w:t>
      </w:r>
      <w:r>
        <w:rPr>
          <w:sz w:val="24"/>
          <w:szCs w:val="24"/>
          <w:spacing w:val="-1"/>
          <w:position w:val="18"/>
        </w:rPr>
        <w:t>中表</w:t>
      </w:r>
      <w:r>
        <w:rPr>
          <w:rFonts w:ascii="Times New Roman" w:hAnsi="Times New Roman" w:eastAsia="Times New Roman" w:cs="Times New Roman"/>
          <w:sz w:val="24"/>
          <w:szCs w:val="24"/>
          <w:spacing w:val="-1"/>
          <w:position w:val="18"/>
        </w:rPr>
        <w:t>C.1</w:t>
      </w:r>
      <w:r>
        <w:rPr>
          <w:sz w:val="24"/>
          <w:szCs w:val="24"/>
          <w:spacing w:val="-1"/>
          <w:position w:val="18"/>
        </w:rPr>
        <w:t>评估生产工艺情况，本项目为涉及危险物</w:t>
      </w:r>
      <w:r>
        <w:rPr>
          <w:sz w:val="24"/>
          <w:szCs w:val="24"/>
          <w:spacing w:val="-2"/>
          <w:position w:val="18"/>
        </w:rPr>
        <w:t>质使用、贮存</w:t>
      </w:r>
    </w:p>
    <w:p>
      <w:pPr>
        <w:pStyle w:val="BodyText"/>
        <w:ind w:left="144"/>
        <w:spacing w:line="216" w:lineRule="auto"/>
        <w:rPr>
          <w:sz w:val="24"/>
          <w:szCs w:val="24"/>
        </w:rPr>
      </w:pPr>
      <w:r>
        <w:rPr>
          <w:sz w:val="24"/>
          <w:szCs w:val="24"/>
        </w:rPr>
        <w:t>的项目，</w:t>
      </w:r>
      <w:r>
        <w:rPr>
          <w:sz w:val="24"/>
          <w:szCs w:val="24"/>
          <w:spacing w:val="-39"/>
        </w:rPr>
        <w:t xml:space="preserve"> </w:t>
      </w:r>
      <w:r>
        <w:rPr>
          <w:rFonts w:ascii="Times New Roman" w:hAnsi="Times New Roman" w:eastAsia="Times New Roman" w:cs="Times New Roman"/>
          <w:sz w:val="24"/>
          <w:szCs w:val="24"/>
        </w:rPr>
        <w:t>M</w:t>
      </w:r>
      <w:r>
        <w:rPr>
          <w:sz w:val="24"/>
          <w:szCs w:val="24"/>
        </w:rPr>
        <w:t>分值为5,即为</w:t>
      </w:r>
      <w:r>
        <w:rPr>
          <w:rFonts w:ascii="Times New Roman" w:hAnsi="Times New Roman" w:eastAsia="Times New Roman" w:cs="Times New Roman"/>
          <w:sz w:val="24"/>
          <w:szCs w:val="24"/>
        </w:rPr>
        <w:t>M4</w:t>
      </w:r>
      <w:r>
        <w:rPr>
          <w:sz w:val="24"/>
          <w:szCs w:val="24"/>
        </w:rPr>
        <w:t>。</w:t>
      </w:r>
    </w:p>
    <w:p>
      <w:pPr>
        <w:pStyle w:val="BodyText"/>
        <w:ind w:left="2834"/>
        <w:spacing w:before="293" w:line="219" w:lineRule="auto"/>
        <w:rPr>
          <w:sz w:val="24"/>
          <w:szCs w:val="24"/>
        </w:rPr>
      </w:pPr>
      <w:r>
        <w:rPr>
          <w:sz w:val="24"/>
          <w:szCs w:val="24"/>
          <w:spacing w:val="-5"/>
        </w:rPr>
        <w:t>表3.2-2</w:t>
      </w:r>
      <w:r>
        <w:rPr>
          <w:sz w:val="24"/>
          <w:szCs w:val="24"/>
          <w:spacing w:val="119"/>
        </w:rPr>
        <w:t xml:space="preserve"> </w:t>
      </w:r>
      <w:r>
        <w:rPr>
          <w:sz w:val="24"/>
          <w:szCs w:val="24"/>
          <w:spacing w:val="-5"/>
        </w:rPr>
        <w:t>行业及生产工艺</w:t>
      </w:r>
      <w:r>
        <w:rPr>
          <w:sz w:val="24"/>
          <w:szCs w:val="24"/>
          <w:spacing w:val="-25"/>
        </w:rPr>
        <w:t xml:space="preserve"> </w:t>
      </w:r>
      <w:r>
        <w:rPr>
          <w:sz w:val="24"/>
          <w:szCs w:val="24"/>
          <w:spacing w:val="-5"/>
        </w:rPr>
        <w:t>(M)</w:t>
      </w:r>
    </w:p>
    <w:p>
      <w:pPr>
        <w:spacing w:line="110" w:lineRule="auto"/>
        <w:rPr>
          <w:rFonts w:ascii="Arial"/>
          <w:sz w:val="2"/>
        </w:rPr>
      </w:pPr>
      <w:r>
        <w:rPr>
          <w:rFonts w:ascii="Arial"/>
          <w:sz w:val="2"/>
        </w:rPr>
      </w:r>
    </w:p>
    <w:tbl>
      <w:tblPr>
        <w:tblStyle w:val="TableNormal"/>
        <w:tblW w:w="90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84"/>
        <w:gridCol w:w="1478"/>
        <w:gridCol w:w="4005"/>
        <w:gridCol w:w="1438"/>
        <w:gridCol w:w="1154"/>
      </w:tblGrid>
      <w:tr>
        <w:trPr>
          <w:trHeight w:val="344" w:hRule="atLeast"/>
        </w:trPr>
        <w:tc>
          <w:tcPr>
            <w:tcW w:w="984" w:type="dxa"/>
            <w:vAlign w:val="top"/>
          </w:tcPr>
          <w:p>
            <w:pPr>
              <w:pStyle w:val="TableText"/>
              <w:ind w:left="275"/>
              <w:spacing w:before="74" w:line="221" w:lineRule="auto"/>
              <w:rPr>
                <w:sz w:val="21"/>
                <w:szCs w:val="21"/>
              </w:rPr>
            </w:pPr>
            <w:r>
              <w:rPr>
                <w:sz w:val="21"/>
                <w:szCs w:val="21"/>
                <w:spacing w:val="6"/>
              </w:rPr>
              <w:t>序号</w:t>
            </w:r>
          </w:p>
        </w:tc>
        <w:tc>
          <w:tcPr>
            <w:tcW w:w="1478" w:type="dxa"/>
            <w:vAlign w:val="top"/>
          </w:tcPr>
          <w:p>
            <w:pPr>
              <w:pStyle w:val="TableText"/>
              <w:ind w:left="520"/>
              <w:spacing w:before="74" w:line="220" w:lineRule="auto"/>
              <w:rPr>
                <w:sz w:val="21"/>
                <w:szCs w:val="21"/>
              </w:rPr>
            </w:pPr>
            <w:r>
              <w:rPr>
                <w:sz w:val="21"/>
                <w:szCs w:val="21"/>
                <w:spacing w:val="-3"/>
              </w:rPr>
              <w:t>行业</w:t>
            </w:r>
          </w:p>
        </w:tc>
        <w:tc>
          <w:tcPr>
            <w:tcW w:w="4005" w:type="dxa"/>
            <w:vAlign w:val="top"/>
          </w:tcPr>
          <w:p>
            <w:pPr>
              <w:pStyle w:val="TableText"/>
              <w:ind w:left="1572"/>
              <w:spacing w:before="71" w:line="218" w:lineRule="auto"/>
              <w:rPr>
                <w:sz w:val="21"/>
                <w:szCs w:val="21"/>
              </w:rPr>
            </w:pPr>
            <w:r>
              <w:rPr>
                <w:sz w:val="21"/>
                <w:szCs w:val="21"/>
                <w:spacing w:val="-2"/>
              </w:rPr>
              <w:t>评估依据</w:t>
            </w:r>
          </w:p>
        </w:tc>
        <w:tc>
          <w:tcPr>
            <w:tcW w:w="1438" w:type="dxa"/>
            <w:vAlign w:val="top"/>
          </w:tcPr>
          <w:p>
            <w:pPr>
              <w:pStyle w:val="TableText"/>
              <w:ind w:left="507"/>
              <w:spacing w:before="73" w:line="219" w:lineRule="auto"/>
              <w:rPr>
                <w:sz w:val="21"/>
                <w:szCs w:val="21"/>
              </w:rPr>
            </w:pPr>
            <w:r>
              <w:rPr>
                <w:sz w:val="21"/>
                <w:szCs w:val="21"/>
                <w:spacing w:val="-3"/>
              </w:rPr>
              <w:t>分值</w:t>
            </w:r>
          </w:p>
        </w:tc>
        <w:tc>
          <w:tcPr>
            <w:tcW w:w="1154" w:type="dxa"/>
            <w:vAlign w:val="top"/>
          </w:tcPr>
          <w:p>
            <w:pPr>
              <w:pStyle w:val="TableText"/>
              <w:ind w:left="259"/>
              <w:spacing w:before="72" w:line="219" w:lineRule="auto"/>
              <w:rPr>
                <w:sz w:val="21"/>
                <w:szCs w:val="21"/>
              </w:rPr>
            </w:pPr>
            <w:r>
              <w:rPr>
                <w:sz w:val="21"/>
                <w:szCs w:val="21"/>
                <w:spacing w:val="13"/>
              </w:rPr>
              <w:t>本项目</w:t>
            </w:r>
          </w:p>
        </w:tc>
      </w:tr>
      <w:tr>
        <w:trPr>
          <w:trHeight w:val="1897" w:hRule="atLeast"/>
        </w:trPr>
        <w:tc>
          <w:tcPr>
            <w:tcW w:w="984"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pStyle w:val="TableText"/>
              <w:ind w:left="424"/>
              <w:spacing w:before="68" w:line="184" w:lineRule="auto"/>
              <w:rPr>
                <w:sz w:val="21"/>
                <w:szCs w:val="21"/>
              </w:rPr>
            </w:pPr>
            <w:r>
              <w:rPr>
                <w:sz w:val="21"/>
                <w:szCs w:val="21"/>
              </w:rPr>
              <w:t>1</w:t>
            </w:r>
          </w:p>
        </w:tc>
        <w:tc>
          <w:tcPr>
            <w:tcW w:w="1478" w:type="dxa"/>
            <w:vAlign w:val="top"/>
            <w:vMerge w:val="restart"/>
            <w:tcBorders>
              <w:bottom w:val="nil"/>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120"/>
              <w:spacing w:before="68" w:line="235" w:lineRule="auto"/>
              <w:jc w:val="both"/>
              <w:rPr>
                <w:sz w:val="21"/>
                <w:szCs w:val="21"/>
              </w:rPr>
            </w:pPr>
            <w:r>
              <w:rPr>
                <w:sz w:val="21"/>
                <w:szCs w:val="21"/>
                <w:spacing w:val="14"/>
              </w:rPr>
              <w:t>石化、化工、</w:t>
            </w:r>
            <w:r>
              <w:rPr>
                <w:sz w:val="21"/>
                <w:szCs w:val="21"/>
                <w:spacing w:val="2"/>
              </w:rPr>
              <w:t xml:space="preserve"> </w:t>
            </w:r>
            <w:r>
              <w:rPr>
                <w:sz w:val="21"/>
                <w:szCs w:val="21"/>
                <w:spacing w:val="14"/>
              </w:rPr>
              <w:t>医药、轻工、</w:t>
            </w:r>
            <w:r>
              <w:rPr>
                <w:sz w:val="21"/>
                <w:szCs w:val="21"/>
                <w:spacing w:val="2"/>
              </w:rPr>
              <w:t xml:space="preserve"> </w:t>
            </w:r>
            <w:r>
              <w:rPr>
                <w:sz w:val="21"/>
                <w:szCs w:val="21"/>
                <w:spacing w:val="-1"/>
              </w:rPr>
              <w:t>化纤、有色冶</w:t>
            </w:r>
            <w:r>
              <w:rPr>
                <w:sz w:val="21"/>
                <w:szCs w:val="21"/>
                <w:spacing w:val="1"/>
              </w:rPr>
              <w:t xml:space="preserve">  </w:t>
            </w:r>
            <w:r>
              <w:rPr>
                <w:sz w:val="21"/>
                <w:szCs w:val="21"/>
                <w:spacing w:val="-4"/>
              </w:rPr>
              <w:t>炼等</w:t>
            </w:r>
          </w:p>
        </w:tc>
        <w:tc>
          <w:tcPr>
            <w:tcW w:w="4005" w:type="dxa"/>
            <w:vAlign w:val="top"/>
          </w:tcPr>
          <w:p>
            <w:pPr>
              <w:pStyle w:val="TableText"/>
              <w:ind w:left="102" w:firstLine="19"/>
              <w:spacing w:before="40" w:line="233" w:lineRule="auto"/>
              <w:rPr>
                <w:sz w:val="21"/>
                <w:szCs w:val="21"/>
              </w:rPr>
            </w:pPr>
            <w:r>
              <w:rPr>
                <w:sz w:val="21"/>
                <w:szCs w:val="21"/>
                <w:spacing w:val="-6"/>
              </w:rPr>
              <w:t>涉及光气及光气化工艺、电解工艺(氯碱)、</w:t>
            </w:r>
            <w:r>
              <w:rPr>
                <w:sz w:val="21"/>
                <w:szCs w:val="21"/>
                <w:spacing w:val="1"/>
              </w:rPr>
              <w:t xml:space="preserve"> </w:t>
            </w:r>
            <w:r>
              <w:rPr>
                <w:sz w:val="21"/>
                <w:szCs w:val="21"/>
                <w:spacing w:val="-6"/>
              </w:rPr>
              <w:t>氯化工艺、硝化工艺、合成氨工艺、裂解</w:t>
            </w:r>
          </w:p>
          <w:p>
            <w:pPr>
              <w:pStyle w:val="TableText"/>
              <w:ind w:left="102" w:right="97" w:firstLine="110"/>
              <w:spacing w:before="19" w:line="228" w:lineRule="auto"/>
              <w:jc w:val="both"/>
              <w:rPr>
                <w:sz w:val="21"/>
                <w:szCs w:val="21"/>
              </w:rPr>
            </w:pPr>
            <w:r>
              <w:rPr>
                <w:sz w:val="21"/>
                <w:szCs w:val="21"/>
              </w:rPr>
              <w:t>(裂化)工艺、氟化工艺、加氢工艺、重</w:t>
            </w:r>
            <w:r>
              <w:rPr>
                <w:sz w:val="21"/>
                <w:szCs w:val="21"/>
                <w:spacing w:val="4"/>
              </w:rPr>
              <w:t xml:space="preserve">  </w:t>
            </w:r>
            <w:r>
              <w:rPr>
                <w:sz w:val="21"/>
                <w:szCs w:val="21"/>
                <w:spacing w:val="-1"/>
              </w:rPr>
              <w:t>氮化工艺、氧化工艺、过氧化工艺、胺基</w:t>
            </w:r>
            <w:r>
              <w:rPr>
                <w:sz w:val="21"/>
                <w:szCs w:val="21"/>
                <w:spacing w:val="10"/>
              </w:rPr>
              <w:t xml:space="preserve"> </w:t>
            </w:r>
            <w:r>
              <w:rPr>
                <w:sz w:val="21"/>
                <w:szCs w:val="21"/>
              </w:rPr>
              <w:t>化工艺、磺化工艺、聚合工艺、烷基化工</w:t>
            </w:r>
            <w:r>
              <w:rPr>
                <w:sz w:val="21"/>
                <w:szCs w:val="21"/>
                <w:spacing w:val="10"/>
              </w:rPr>
              <w:t xml:space="preserve"> </w:t>
            </w:r>
            <w:r>
              <w:rPr>
                <w:sz w:val="21"/>
                <w:szCs w:val="21"/>
              </w:rPr>
              <w:t>艺、新型煤化工工艺、电石生产工艺、偶</w:t>
            </w:r>
            <w:r>
              <w:rPr>
                <w:sz w:val="21"/>
                <w:szCs w:val="21"/>
                <w:spacing w:val="13"/>
              </w:rPr>
              <w:t xml:space="preserve"> </w:t>
            </w:r>
            <w:r>
              <w:rPr>
                <w:sz w:val="21"/>
                <w:szCs w:val="21"/>
                <w:spacing w:val="-2"/>
              </w:rPr>
              <w:t>氮化工艺</w:t>
            </w:r>
          </w:p>
        </w:tc>
        <w:tc>
          <w:tcPr>
            <w:tcW w:w="1438" w:type="dxa"/>
            <w:vAlign w:val="top"/>
          </w:tcPr>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348"/>
              <w:spacing w:before="69" w:line="219" w:lineRule="auto"/>
              <w:rPr>
                <w:sz w:val="21"/>
                <w:szCs w:val="21"/>
              </w:rPr>
            </w:pPr>
            <w:r>
              <w:rPr>
                <w:sz w:val="21"/>
                <w:szCs w:val="21"/>
                <w:spacing w:val="1"/>
              </w:rPr>
              <w:t>10/每套</w:t>
            </w:r>
          </w:p>
        </w:tc>
        <w:tc>
          <w:tcPr>
            <w:tcW w:w="1154" w:type="dxa"/>
            <w:vAlign w:val="top"/>
          </w:tcPr>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pStyle w:val="TableText"/>
              <w:ind w:left="519"/>
              <w:spacing w:before="68" w:line="183" w:lineRule="auto"/>
              <w:rPr>
                <w:sz w:val="21"/>
                <w:szCs w:val="21"/>
              </w:rPr>
            </w:pPr>
            <w:r>
              <w:rPr>
                <w:sz w:val="21"/>
                <w:szCs w:val="21"/>
              </w:rPr>
              <w:t>0</w:t>
            </w:r>
          </w:p>
        </w:tc>
      </w:tr>
      <w:tr>
        <w:trPr>
          <w:trHeight w:val="300" w:hRule="atLeast"/>
        </w:trPr>
        <w:tc>
          <w:tcPr>
            <w:tcW w:w="984" w:type="dxa"/>
            <w:vAlign w:val="top"/>
            <w:vMerge w:val="continue"/>
            <w:tcBorders>
              <w:top w:val="nil"/>
              <w:bottom w:val="nil"/>
            </w:tcBorders>
          </w:tcPr>
          <w:p>
            <w:pPr>
              <w:rPr>
                <w:rFonts w:ascii="Arial"/>
                <w:sz w:val="21"/>
              </w:rPr>
            </w:pPr>
            <w:r/>
          </w:p>
        </w:tc>
        <w:tc>
          <w:tcPr>
            <w:tcW w:w="1478" w:type="dxa"/>
            <w:vAlign w:val="top"/>
            <w:vMerge w:val="continue"/>
            <w:tcBorders>
              <w:top w:val="nil"/>
              <w:bottom w:val="nil"/>
            </w:tcBorders>
          </w:tcPr>
          <w:p>
            <w:pPr>
              <w:rPr>
                <w:rFonts w:ascii="Arial"/>
                <w:sz w:val="21"/>
              </w:rPr>
            </w:pPr>
            <w:r/>
          </w:p>
        </w:tc>
        <w:tc>
          <w:tcPr>
            <w:tcW w:w="4005" w:type="dxa"/>
            <w:vAlign w:val="top"/>
          </w:tcPr>
          <w:p>
            <w:pPr>
              <w:pStyle w:val="TableText"/>
              <w:ind w:left="122"/>
              <w:spacing w:before="52" w:line="209" w:lineRule="auto"/>
              <w:rPr>
                <w:sz w:val="21"/>
                <w:szCs w:val="21"/>
              </w:rPr>
            </w:pPr>
            <w:r>
              <w:rPr>
                <w:sz w:val="21"/>
                <w:szCs w:val="21"/>
                <w:spacing w:val="1"/>
              </w:rPr>
              <w:t>无机酸制酸工艺、焦化工艺</w:t>
            </w:r>
          </w:p>
        </w:tc>
        <w:tc>
          <w:tcPr>
            <w:tcW w:w="1438" w:type="dxa"/>
            <w:vAlign w:val="top"/>
          </w:tcPr>
          <w:p>
            <w:pPr>
              <w:pStyle w:val="TableText"/>
              <w:ind w:left="397"/>
              <w:spacing w:before="52" w:line="209" w:lineRule="auto"/>
              <w:rPr>
                <w:sz w:val="21"/>
                <w:szCs w:val="21"/>
              </w:rPr>
            </w:pPr>
            <w:r>
              <w:rPr>
                <w:sz w:val="21"/>
                <w:szCs w:val="21"/>
                <w:spacing w:val="2"/>
              </w:rPr>
              <w:t>5/每套</w:t>
            </w:r>
          </w:p>
        </w:tc>
        <w:tc>
          <w:tcPr>
            <w:tcW w:w="1154" w:type="dxa"/>
            <w:vAlign w:val="top"/>
          </w:tcPr>
          <w:p>
            <w:pPr>
              <w:pStyle w:val="TableText"/>
              <w:ind w:left="519"/>
              <w:spacing w:before="106" w:line="161" w:lineRule="auto"/>
              <w:rPr>
                <w:sz w:val="21"/>
                <w:szCs w:val="21"/>
              </w:rPr>
            </w:pPr>
            <w:r>
              <w:rPr>
                <w:sz w:val="21"/>
                <w:szCs w:val="21"/>
              </w:rPr>
              <w:t>0</w:t>
            </w:r>
          </w:p>
        </w:tc>
      </w:tr>
      <w:tr>
        <w:trPr>
          <w:trHeight w:val="539" w:hRule="atLeast"/>
        </w:trPr>
        <w:tc>
          <w:tcPr>
            <w:tcW w:w="984" w:type="dxa"/>
            <w:vAlign w:val="top"/>
            <w:vMerge w:val="continue"/>
            <w:tcBorders>
              <w:top w:val="nil"/>
            </w:tcBorders>
          </w:tcPr>
          <w:p>
            <w:pPr>
              <w:rPr>
                <w:rFonts w:ascii="Arial"/>
                <w:sz w:val="21"/>
              </w:rPr>
            </w:pPr>
            <w:r/>
          </w:p>
        </w:tc>
        <w:tc>
          <w:tcPr>
            <w:tcW w:w="1478" w:type="dxa"/>
            <w:vAlign w:val="top"/>
            <w:vMerge w:val="continue"/>
            <w:tcBorders>
              <w:top w:val="nil"/>
            </w:tcBorders>
          </w:tcPr>
          <w:p>
            <w:pPr>
              <w:rPr>
                <w:rFonts w:ascii="Arial"/>
                <w:sz w:val="21"/>
              </w:rPr>
            </w:pPr>
            <w:r/>
          </w:p>
        </w:tc>
        <w:tc>
          <w:tcPr>
            <w:tcW w:w="4005" w:type="dxa"/>
            <w:vAlign w:val="top"/>
          </w:tcPr>
          <w:p>
            <w:pPr>
              <w:pStyle w:val="TableText"/>
              <w:ind w:left="131" w:right="95" w:hanging="29"/>
              <w:spacing w:before="39" w:line="215" w:lineRule="auto"/>
              <w:rPr>
                <w:sz w:val="21"/>
                <w:szCs w:val="21"/>
              </w:rPr>
            </w:pPr>
            <w:r>
              <w:rPr>
                <w:sz w:val="21"/>
                <w:szCs w:val="21"/>
              </w:rPr>
              <w:t>其他高温或高压、涉及易燃易爆等物质的</w:t>
            </w:r>
            <w:r>
              <w:rPr>
                <w:sz w:val="21"/>
                <w:szCs w:val="21"/>
                <w:spacing w:val="15"/>
              </w:rPr>
              <w:t xml:space="preserve"> </w:t>
            </w:r>
            <w:r>
              <w:rPr>
                <w:sz w:val="21"/>
                <w:szCs w:val="21"/>
              </w:rPr>
              <w:t>工艺过程a、危险物质储罐罐区</w:t>
            </w:r>
          </w:p>
        </w:tc>
        <w:tc>
          <w:tcPr>
            <w:tcW w:w="1438" w:type="dxa"/>
            <w:vAlign w:val="top"/>
          </w:tcPr>
          <w:p>
            <w:pPr>
              <w:pStyle w:val="TableText"/>
              <w:ind w:left="237"/>
              <w:spacing w:before="22" w:line="219" w:lineRule="auto"/>
              <w:rPr>
                <w:sz w:val="21"/>
                <w:szCs w:val="21"/>
              </w:rPr>
            </w:pPr>
            <w:r>
              <w:rPr>
                <w:sz w:val="21"/>
                <w:szCs w:val="21"/>
                <w:spacing w:val="2"/>
              </w:rPr>
              <w:t>5/每套(罐</w:t>
            </w:r>
          </w:p>
          <w:p>
            <w:pPr>
              <w:pStyle w:val="TableText"/>
              <w:ind w:left="557"/>
              <w:spacing w:before="34" w:line="196" w:lineRule="auto"/>
              <w:rPr>
                <w:sz w:val="21"/>
                <w:szCs w:val="21"/>
              </w:rPr>
            </w:pPr>
            <w:r>
              <w:rPr>
                <w:sz w:val="21"/>
                <w:szCs w:val="21"/>
                <w:spacing w:val="-12"/>
              </w:rPr>
              <w:t>区</w:t>
            </w:r>
            <w:r>
              <w:rPr>
                <w:sz w:val="21"/>
                <w:szCs w:val="21"/>
                <w:spacing w:val="-32"/>
              </w:rPr>
              <w:t xml:space="preserve"> </w:t>
            </w:r>
            <w:r>
              <w:rPr>
                <w:sz w:val="21"/>
                <w:szCs w:val="21"/>
                <w:spacing w:val="-12"/>
              </w:rPr>
              <w:t>)</w:t>
            </w:r>
          </w:p>
        </w:tc>
        <w:tc>
          <w:tcPr>
            <w:tcW w:w="1154" w:type="dxa"/>
            <w:vAlign w:val="top"/>
          </w:tcPr>
          <w:p>
            <w:pPr>
              <w:pStyle w:val="TableText"/>
              <w:ind w:left="519"/>
              <w:spacing w:before="226" w:line="183" w:lineRule="auto"/>
              <w:rPr>
                <w:sz w:val="21"/>
                <w:szCs w:val="21"/>
              </w:rPr>
            </w:pPr>
            <w:r>
              <w:rPr>
                <w:sz w:val="21"/>
                <w:szCs w:val="21"/>
              </w:rPr>
              <w:t>0</w:t>
            </w:r>
          </w:p>
        </w:tc>
      </w:tr>
      <w:tr>
        <w:trPr>
          <w:trHeight w:val="559" w:hRule="atLeast"/>
        </w:trPr>
        <w:tc>
          <w:tcPr>
            <w:tcW w:w="984" w:type="dxa"/>
            <w:vAlign w:val="top"/>
          </w:tcPr>
          <w:p>
            <w:pPr>
              <w:pStyle w:val="TableText"/>
              <w:ind w:left="424"/>
              <w:spacing w:before="237" w:line="183" w:lineRule="auto"/>
              <w:rPr>
                <w:sz w:val="21"/>
                <w:szCs w:val="21"/>
              </w:rPr>
            </w:pPr>
            <w:r>
              <w:rPr>
                <w:sz w:val="21"/>
                <w:szCs w:val="21"/>
              </w:rPr>
              <w:t>2</w:t>
            </w:r>
          </w:p>
        </w:tc>
        <w:tc>
          <w:tcPr>
            <w:tcW w:w="1478" w:type="dxa"/>
            <w:vAlign w:val="top"/>
          </w:tcPr>
          <w:p>
            <w:pPr>
              <w:pStyle w:val="TableText"/>
              <w:ind w:left="120" w:right="205"/>
              <w:spacing w:before="43" w:line="222" w:lineRule="auto"/>
              <w:rPr>
                <w:sz w:val="21"/>
                <w:szCs w:val="21"/>
              </w:rPr>
            </w:pPr>
            <w:r>
              <w:rPr>
                <w:sz w:val="21"/>
                <w:szCs w:val="21"/>
                <w:spacing w:val="-3"/>
              </w:rPr>
              <w:t>管道、港口/</w:t>
            </w:r>
            <w:r>
              <w:rPr>
                <w:sz w:val="21"/>
                <w:szCs w:val="21"/>
                <w:spacing w:val="3"/>
              </w:rPr>
              <w:t xml:space="preserve"> </w:t>
            </w:r>
            <w:r>
              <w:rPr>
                <w:sz w:val="21"/>
                <w:szCs w:val="21"/>
                <w:spacing w:val="-2"/>
              </w:rPr>
              <w:t>码头等</w:t>
            </w:r>
          </w:p>
        </w:tc>
        <w:tc>
          <w:tcPr>
            <w:tcW w:w="4005" w:type="dxa"/>
            <w:vAlign w:val="top"/>
          </w:tcPr>
          <w:p>
            <w:pPr>
              <w:pStyle w:val="TableText"/>
              <w:ind w:left="153"/>
              <w:spacing w:before="183" w:line="219" w:lineRule="auto"/>
              <w:rPr>
                <w:sz w:val="21"/>
                <w:szCs w:val="21"/>
              </w:rPr>
            </w:pPr>
            <w:r>
              <w:rPr>
                <w:sz w:val="21"/>
                <w:szCs w:val="21"/>
              </w:rPr>
              <w:t>涉及危险物质管道运输项目、港口/码头</w:t>
            </w:r>
          </w:p>
        </w:tc>
        <w:tc>
          <w:tcPr>
            <w:tcW w:w="1438" w:type="dxa"/>
            <w:vAlign w:val="top"/>
          </w:tcPr>
          <w:p>
            <w:pPr>
              <w:pStyle w:val="TableText"/>
              <w:ind w:left="608"/>
              <w:spacing w:before="236" w:line="184" w:lineRule="auto"/>
              <w:rPr>
                <w:sz w:val="21"/>
                <w:szCs w:val="21"/>
              </w:rPr>
            </w:pPr>
            <w:r>
              <w:rPr>
                <w:sz w:val="21"/>
                <w:szCs w:val="21"/>
                <w:spacing w:val="-6"/>
              </w:rPr>
              <w:t>10</w:t>
            </w:r>
          </w:p>
        </w:tc>
        <w:tc>
          <w:tcPr>
            <w:tcW w:w="1154" w:type="dxa"/>
            <w:vAlign w:val="top"/>
          </w:tcPr>
          <w:p>
            <w:pPr>
              <w:pStyle w:val="TableText"/>
              <w:ind w:left="519"/>
              <w:spacing w:before="237" w:line="183" w:lineRule="auto"/>
              <w:rPr>
                <w:sz w:val="21"/>
                <w:szCs w:val="21"/>
              </w:rPr>
            </w:pPr>
            <w:r>
              <w:rPr>
                <w:sz w:val="21"/>
                <w:szCs w:val="21"/>
              </w:rPr>
              <w:t>0</w:t>
            </w:r>
          </w:p>
        </w:tc>
      </w:tr>
      <w:tr>
        <w:trPr>
          <w:trHeight w:val="1078" w:hRule="atLeast"/>
        </w:trPr>
        <w:tc>
          <w:tcPr>
            <w:tcW w:w="984" w:type="dxa"/>
            <w:vAlign w:val="top"/>
          </w:tcPr>
          <w:p>
            <w:pPr>
              <w:spacing w:line="427" w:lineRule="auto"/>
              <w:rPr>
                <w:rFonts w:ascii="Arial"/>
                <w:sz w:val="21"/>
              </w:rPr>
            </w:pPr>
            <w:r/>
          </w:p>
          <w:p>
            <w:pPr>
              <w:pStyle w:val="TableText"/>
              <w:ind w:left="424"/>
              <w:spacing w:before="69" w:line="183" w:lineRule="auto"/>
              <w:rPr>
                <w:sz w:val="21"/>
                <w:szCs w:val="21"/>
              </w:rPr>
            </w:pPr>
            <w:r>
              <w:rPr>
                <w:sz w:val="21"/>
                <w:szCs w:val="21"/>
              </w:rPr>
              <w:t>3</w:t>
            </w:r>
          </w:p>
        </w:tc>
        <w:tc>
          <w:tcPr>
            <w:tcW w:w="1478" w:type="dxa"/>
            <w:vAlign w:val="top"/>
          </w:tcPr>
          <w:p>
            <w:pPr>
              <w:spacing w:line="374" w:lineRule="auto"/>
              <w:rPr>
                <w:rFonts w:ascii="Arial"/>
                <w:sz w:val="21"/>
              </w:rPr>
            </w:pPr>
            <w:r/>
          </w:p>
          <w:p>
            <w:pPr>
              <w:pStyle w:val="TableText"/>
              <w:ind w:left="120"/>
              <w:spacing w:before="69" w:line="220" w:lineRule="auto"/>
              <w:rPr>
                <w:sz w:val="21"/>
                <w:szCs w:val="21"/>
              </w:rPr>
            </w:pPr>
            <w:r>
              <w:rPr>
                <w:sz w:val="21"/>
                <w:szCs w:val="21"/>
                <w:spacing w:val="2"/>
              </w:rPr>
              <w:t>石油天然气</w:t>
            </w:r>
          </w:p>
        </w:tc>
        <w:tc>
          <w:tcPr>
            <w:tcW w:w="4005" w:type="dxa"/>
            <w:vAlign w:val="top"/>
          </w:tcPr>
          <w:p>
            <w:pPr>
              <w:pStyle w:val="TableText"/>
              <w:ind w:left="261" w:right="106" w:hanging="49"/>
              <w:spacing w:before="43" w:line="233" w:lineRule="auto"/>
              <w:rPr>
                <w:sz w:val="21"/>
                <w:szCs w:val="21"/>
              </w:rPr>
            </w:pPr>
            <w:r>
              <w:rPr>
                <w:sz w:val="21"/>
                <w:szCs w:val="21"/>
                <w:spacing w:val="5"/>
              </w:rPr>
              <w:t>石油、天然气、页岩气开采(含净化)、</w:t>
            </w:r>
            <w:r>
              <w:rPr>
                <w:sz w:val="21"/>
                <w:szCs w:val="21"/>
                <w:spacing w:val="14"/>
              </w:rPr>
              <w:t xml:space="preserve"> </w:t>
            </w:r>
            <w:r>
              <w:rPr>
                <w:sz w:val="21"/>
                <w:szCs w:val="21"/>
                <w:spacing w:val="-1"/>
              </w:rPr>
              <w:t>气库(不含加气站的气库)、油库(不含</w:t>
            </w:r>
          </w:p>
          <w:p>
            <w:pPr>
              <w:pStyle w:val="TableText"/>
              <w:ind w:left="112" w:right="275" w:firstLine="150"/>
              <w:spacing w:before="9" w:line="213" w:lineRule="auto"/>
              <w:rPr>
                <w:sz w:val="21"/>
                <w:szCs w:val="21"/>
              </w:rPr>
            </w:pPr>
            <w:r>
              <w:rPr>
                <w:sz w:val="21"/>
                <w:szCs w:val="21"/>
                <w:spacing w:val="-1"/>
              </w:rPr>
              <w:t>加气站的油库)、油气管线b(不含城镇</w:t>
            </w:r>
            <w:r>
              <w:rPr>
                <w:sz w:val="21"/>
                <w:szCs w:val="21"/>
                <w:spacing w:val="8"/>
              </w:rPr>
              <w:t xml:space="preserve"> </w:t>
            </w:r>
            <w:r>
              <w:rPr>
                <w:sz w:val="21"/>
                <w:szCs w:val="21"/>
                <w:spacing w:val="8"/>
              </w:rPr>
              <w:t>燃气管线)</w:t>
            </w:r>
          </w:p>
        </w:tc>
        <w:tc>
          <w:tcPr>
            <w:tcW w:w="1438" w:type="dxa"/>
            <w:vAlign w:val="top"/>
          </w:tcPr>
          <w:p>
            <w:pPr>
              <w:spacing w:line="426" w:lineRule="auto"/>
              <w:rPr>
                <w:rFonts w:ascii="Arial"/>
                <w:sz w:val="21"/>
              </w:rPr>
            </w:pPr>
            <w:r/>
          </w:p>
          <w:p>
            <w:pPr>
              <w:pStyle w:val="TableText"/>
              <w:ind w:left="608"/>
              <w:spacing w:before="69" w:line="184" w:lineRule="auto"/>
              <w:rPr>
                <w:sz w:val="21"/>
                <w:szCs w:val="21"/>
              </w:rPr>
            </w:pPr>
            <w:r>
              <w:rPr>
                <w:sz w:val="21"/>
                <w:szCs w:val="21"/>
                <w:spacing w:val="-6"/>
              </w:rPr>
              <w:t>10</w:t>
            </w:r>
          </w:p>
        </w:tc>
        <w:tc>
          <w:tcPr>
            <w:tcW w:w="1154" w:type="dxa"/>
            <w:vAlign w:val="top"/>
          </w:tcPr>
          <w:p>
            <w:pPr>
              <w:spacing w:line="427" w:lineRule="auto"/>
              <w:rPr>
                <w:rFonts w:ascii="Arial"/>
                <w:sz w:val="21"/>
              </w:rPr>
            </w:pPr>
            <w:r/>
          </w:p>
          <w:p>
            <w:pPr>
              <w:pStyle w:val="TableText"/>
              <w:ind w:left="519"/>
              <w:spacing w:before="69" w:line="183" w:lineRule="auto"/>
              <w:rPr>
                <w:sz w:val="21"/>
                <w:szCs w:val="21"/>
              </w:rPr>
            </w:pPr>
            <w:r>
              <w:rPr>
                <w:sz w:val="21"/>
                <w:szCs w:val="21"/>
              </w:rPr>
              <w:t>0</w:t>
            </w:r>
          </w:p>
        </w:tc>
      </w:tr>
      <w:tr>
        <w:trPr>
          <w:trHeight w:val="319" w:hRule="atLeast"/>
        </w:trPr>
        <w:tc>
          <w:tcPr>
            <w:tcW w:w="984" w:type="dxa"/>
            <w:vAlign w:val="top"/>
          </w:tcPr>
          <w:p>
            <w:pPr>
              <w:pStyle w:val="TableText"/>
              <w:ind w:left="424"/>
              <w:spacing w:before="121" w:line="165" w:lineRule="auto"/>
              <w:rPr>
                <w:sz w:val="21"/>
                <w:szCs w:val="21"/>
              </w:rPr>
            </w:pPr>
            <w:r>
              <w:rPr>
                <w:sz w:val="21"/>
                <w:szCs w:val="21"/>
              </w:rPr>
              <w:t>4</w:t>
            </w:r>
          </w:p>
        </w:tc>
        <w:tc>
          <w:tcPr>
            <w:tcW w:w="1478" w:type="dxa"/>
            <w:vAlign w:val="top"/>
          </w:tcPr>
          <w:p>
            <w:pPr>
              <w:pStyle w:val="TableText"/>
              <w:ind w:left="540"/>
              <w:spacing w:before="66" w:line="213" w:lineRule="auto"/>
              <w:rPr>
                <w:sz w:val="21"/>
                <w:szCs w:val="21"/>
              </w:rPr>
            </w:pPr>
            <w:r>
              <w:rPr>
                <w:sz w:val="21"/>
                <w:szCs w:val="21"/>
                <w:spacing w:val="-3"/>
              </w:rPr>
              <w:t>其他</w:t>
            </w:r>
          </w:p>
        </w:tc>
        <w:tc>
          <w:tcPr>
            <w:tcW w:w="4005" w:type="dxa"/>
            <w:vAlign w:val="top"/>
          </w:tcPr>
          <w:p>
            <w:pPr>
              <w:pStyle w:val="TableText"/>
              <w:ind w:left="522"/>
              <w:spacing w:before="66" w:line="213" w:lineRule="auto"/>
              <w:rPr>
                <w:sz w:val="21"/>
                <w:szCs w:val="21"/>
              </w:rPr>
            </w:pPr>
            <w:r>
              <w:rPr>
                <w:sz w:val="21"/>
                <w:szCs w:val="21"/>
                <w:spacing w:val="2"/>
              </w:rPr>
              <w:t>涉及危险物质使用、贮存的项目</w:t>
            </w:r>
          </w:p>
        </w:tc>
        <w:tc>
          <w:tcPr>
            <w:tcW w:w="1438" w:type="dxa"/>
            <w:vAlign w:val="top"/>
          </w:tcPr>
          <w:p>
            <w:pPr>
              <w:pStyle w:val="TableText"/>
              <w:ind w:left="658"/>
              <w:spacing w:before="122" w:line="164" w:lineRule="auto"/>
              <w:rPr>
                <w:sz w:val="21"/>
                <w:szCs w:val="21"/>
              </w:rPr>
            </w:pPr>
            <w:r>
              <w:rPr>
                <w:sz w:val="21"/>
                <w:szCs w:val="21"/>
              </w:rPr>
              <w:t>5</w:t>
            </w:r>
          </w:p>
        </w:tc>
        <w:tc>
          <w:tcPr>
            <w:tcW w:w="1154" w:type="dxa"/>
            <w:vAlign w:val="top"/>
          </w:tcPr>
          <w:p>
            <w:pPr>
              <w:pStyle w:val="TableText"/>
              <w:ind w:left="519"/>
              <w:spacing w:before="122" w:line="164" w:lineRule="auto"/>
              <w:rPr>
                <w:sz w:val="21"/>
                <w:szCs w:val="21"/>
              </w:rPr>
            </w:pPr>
            <w:r>
              <w:rPr>
                <w:sz w:val="21"/>
                <w:szCs w:val="21"/>
              </w:rPr>
              <w:t>5</w:t>
            </w:r>
          </w:p>
        </w:tc>
      </w:tr>
      <w:tr>
        <w:trPr>
          <w:trHeight w:val="340" w:hRule="atLeast"/>
        </w:trPr>
        <w:tc>
          <w:tcPr>
            <w:tcW w:w="6467" w:type="dxa"/>
            <w:vAlign w:val="top"/>
            <w:gridSpan w:val="3"/>
          </w:tcPr>
          <w:p>
            <w:pPr>
              <w:pStyle w:val="TableText"/>
              <w:ind w:left="2684"/>
              <w:spacing w:before="77" w:line="219" w:lineRule="auto"/>
              <w:rPr>
                <w:sz w:val="21"/>
                <w:szCs w:val="21"/>
              </w:rPr>
            </w:pPr>
            <w:r>
              <w:rPr>
                <w:sz w:val="21"/>
                <w:szCs w:val="21"/>
                <w:spacing w:val="-14"/>
              </w:rPr>
              <w:t>项</w:t>
            </w:r>
            <w:r>
              <w:rPr>
                <w:sz w:val="21"/>
                <w:szCs w:val="21"/>
                <w:spacing w:val="9"/>
              </w:rPr>
              <w:t xml:space="preserve"> </w:t>
            </w:r>
            <w:r>
              <w:rPr>
                <w:sz w:val="21"/>
                <w:szCs w:val="21"/>
                <w:spacing w:val="-14"/>
              </w:rPr>
              <w:t>目</w:t>
            </w:r>
            <w:r>
              <w:rPr>
                <w:sz w:val="21"/>
                <w:szCs w:val="21"/>
                <w:spacing w:val="-38"/>
              </w:rPr>
              <w:t xml:space="preserve"> </w:t>
            </w:r>
            <w:r>
              <w:rPr>
                <w:sz w:val="21"/>
                <w:szCs w:val="21"/>
                <w:spacing w:val="-14"/>
              </w:rPr>
              <w:t>M</w:t>
            </w:r>
            <w:r>
              <w:rPr>
                <w:sz w:val="21"/>
                <w:szCs w:val="21"/>
                <w:spacing w:val="-31"/>
              </w:rPr>
              <w:t xml:space="preserve"> </w:t>
            </w:r>
            <w:r>
              <w:rPr>
                <w:sz w:val="21"/>
                <w:szCs w:val="21"/>
                <w:spacing w:val="-14"/>
              </w:rPr>
              <w:t>值</w:t>
            </w:r>
            <w:r>
              <w:rPr>
                <w:sz w:val="21"/>
                <w:szCs w:val="21"/>
                <w:spacing w:val="-28"/>
              </w:rPr>
              <w:t xml:space="preserve"> </w:t>
            </w:r>
            <w:r>
              <w:rPr>
                <w:sz w:val="21"/>
                <w:szCs w:val="21"/>
                <w:spacing w:val="-14"/>
              </w:rPr>
              <w:t>2</w:t>
            </w:r>
          </w:p>
        </w:tc>
        <w:tc>
          <w:tcPr>
            <w:tcW w:w="1438" w:type="dxa"/>
            <w:vAlign w:val="top"/>
          </w:tcPr>
          <w:p>
            <w:pPr>
              <w:pStyle w:val="TableText"/>
              <w:ind w:left="658"/>
              <w:spacing w:before="83" w:line="217" w:lineRule="auto"/>
              <w:rPr>
                <w:sz w:val="21"/>
                <w:szCs w:val="21"/>
              </w:rPr>
            </w:pPr>
            <w:r>
              <w:rPr>
                <w:sz w:val="21"/>
                <w:szCs w:val="21"/>
              </w:rPr>
              <w:t>/</w:t>
            </w:r>
          </w:p>
        </w:tc>
        <w:tc>
          <w:tcPr>
            <w:tcW w:w="1154" w:type="dxa"/>
            <w:vAlign w:val="top"/>
          </w:tcPr>
          <w:p>
            <w:pPr>
              <w:pStyle w:val="TableText"/>
              <w:ind w:left="519"/>
              <w:spacing w:before="133" w:line="173" w:lineRule="auto"/>
              <w:rPr>
                <w:sz w:val="21"/>
                <w:szCs w:val="21"/>
              </w:rPr>
            </w:pPr>
            <w:r>
              <w:rPr>
                <w:sz w:val="21"/>
                <w:szCs w:val="21"/>
              </w:rPr>
              <w:t>5</w:t>
            </w:r>
          </w:p>
        </w:tc>
      </w:tr>
      <w:tr>
        <w:trPr>
          <w:trHeight w:val="544" w:hRule="atLeast"/>
        </w:trPr>
        <w:tc>
          <w:tcPr>
            <w:tcW w:w="9059" w:type="dxa"/>
            <w:vAlign w:val="top"/>
            <w:gridSpan w:val="5"/>
          </w:tcPr>
          <w:p>
            <w:pPr>
              <w:pStyle w:val="TableText"/>
              <w:ind w:left="114"/>
              <w:spacing w:before="34" w:line="239" w:lineRule="auto"/>
              <w:rPr>
                <w:sz w:val="21"/>
                <w:szCs w:val="21"/>
              </w:rPr>
            </w:pPr>
            <w:r>
              <w:rPr>
                <w:sz w:val="21"/>
                <w:szCs w:val="21"/>
                <w:spacing w:val="1"/>
              </w:rPr>
              <w:t>a高温指工艺温度≥300℃,高压指压力容器的设计压力(P)≥10.0</w:t>
            </w:r>
            <w:r>
              <w:rPr>
                <w:sz w:val="21"/>
                <w:szCs w:val="21"/>
              </w:rPr>
              <w:t>MPa</w:t>
            </w:r>
            <w:r>
              <w:rPr>
                <w:sz w:val="21"/>
                <w:szCs w:val="21"/>
                <w:spacing w:val="1"/>
              </w:rPr>
              <w:t>;</w:t>
            </w:r>
          </w:p>
          <w:p>
            <w:pPr>
              <w:pStyle w:val="TableText"/>
              <w:ind w:left="114"/>
              <w:spacing w:line="200" w:lineRule="auto"/>
              <w:rPr>
                <w:sz w:val="21"/>
                <w:szCs w:val="21"/>
              </w:rPr>
            </w:pPr>
            <w:r>
              <w:rPr>
                <w:sz w:val="21"/>
                <w:szCs w:val="21"/>
              </w:rPr>
              <w:t>b长输管道运输项目应按站场、管线分段进行评</w:t>
            </w:r>
            <w:r>
              <w:rPr>
                <w:sz w:val="21"/>
                <w:szCs w:val="21"/>
                <w:spacing w:val="-1"/>
              </w:rPr>
              <w:t>价。</w:t>
            </w:r>
          </w:p>
        </w:tc>
      </w:tr>
    </w:tbl>
    <w:p>
      <w:pPr>
        <w:pStyle w:val="BodyText"/>
        <w:ind w:left="744"/>
        <w:spacing w:before="66" w:line="220" w:lineRule="auto"/>
        <w:rPr>
          <w:sz w:val="25"/>
          <w:szCs w:val="25"/>
        </w:rPr>
      </w:pPr>
      <w:r>
        <w:rPr>
          <w:sz w:val="25"/>
          <w:szCs w:val="25"/>
        </w:rPr>
        <w:t>(3)危险物质及工艺系统危险性(P)分级</w:t>
      </w:r>
    </w:p>
    <w:p>
      <w:pPr>
        <w:spacing w:line="220" w:lineRule="auto"/>
        <w:sectPr>
          <w:footerReference w:type="default" r:id="rId176"/>
          <w:pgSz w:w="11900" w:h="16840"/>
          <w:pgMar w:top="1259" w:right="1425" w:bottom="988" w:left="1405" w:header="0" w:footer="849" w:gutter="0"/>
        </w:sectPr>
        <w:rPr>
          <w:sz w:val="25"/>
          <w:szCs w:val="25"/>
        </w:rPr>
      </w:pPr>
    </w:p>
    <w:p>
      <w:pPr>
        <w:pStyle w:val="BodyText"/>
        <w:ind w:left="134"/>
        <w:spacing w:before="47" w:line="455" w:lineRule="exact"/>
        <w:rPr>
          <w:sz w:val="24"/>
          <w:szCs w:val="24"/>
        </w:rPr>
      </w:pPr>
      <w:r>
        <w:rPr>
          <w:sz w:val="24"/>
          <w:szCs w:val="24"/>
          <w:spacing w:val="-5"/>
          <w:position w:val="16"/>
        </w:rPr>
        <w:t>目环境风险评价技术导则》</w:t>
      </w:r>
      <w:r>
        <w:rPr>
          <w:sz w:val="24"/>
          <w:szCs w:val="24"/>
          <w:spacing w:val="90"/>
          <w:position w:val="16"/>
        </w:rPr>
        <w:t xml:space="preserve"> </w:t>
      </w:r>
      <w:r>
        <w:rPr>
          <w:sz w:val="24"/>
          <w:szCs w:val="24"/>
          <w:spacing w:val="-5"/>
          <w:position w:val="16"/>
        </w:rPr>
        <w:t>(HJ169-2018)</w:t>
      </w:r>
      <w:r>
        <w:rPr>
          <w:sz w:val="24"/>
          <w:szCs w:val="24"/>
          <w:spacing w:val="42"/>
          <w:position w:val="16"/>
        </w:rPr>
        <w:t xml:space="preserve"> </w:t>
      </w:r>
      <w:r>
        <w:rPr>
          <w:sz w:val="24"/>
          <w:szCs w:val="24"/>
          <w:spacing w:val="-5"/>
          <w:position w:val="16"/>
        </w:rPr>
        <w:t>附录</w:t>
      </w:r>
      <w:r>
        <w:rPr>
          <w:rFonts w:ascii="Times New Roman" w:hAnsi="Times New Roman" w:eastAsia="Times New Roman" w:cs="Times New Roman"/>
          <w:sz w:val="24"/>
          <w:szCs w:val="24"/>
          <w:spacing w:val="-5"/>
          <w:position w:val="16"/>
        </w:rPr>
        <w:t>C</w:t>
      </w:r>
      <w:r>
        <w:rPr>
          <w:rFonts w:ascii="Times New Roman" w:hAnsi="Times New Roman" w:eastAsia="Times New Roman" w:cs="Times New Roman"/>
          <w:sz w:val="24"/>
          <w:szCs w:val="24"/>
          <w:spacing w:val="29"/>
          <w:position w:val="16"/>
        </w:rPr>
        <w:t xml:space="preserve"> </w:t>
      </w:r>
      <w:r>
        <w:rPr>
          <w:sz w:val="24"/>
          <w:szCs w:val="24"/>
          <w:spacing w:val="-5"/>
          <w:position w:val="16"/>
        </w:rPr>
        <w:t>中表</w:t>
      </w:r>
      <w:r>
        <w:rPr>
          <w:sz w:val="24"/>
          <w:szCs w:val="24"/>
          <w:spacing w:val="-51"/>
          <w:position w:val="16"/>
        </w:rPr>
        <w:t xml:space="preserve"> </w:t>
      </w:r>
      <w:r>
        <w:rPr>
          <w:rFonts w:ascii="Times New Roman" w:hAnsi="Times New Roman" w:eastAsia="Times New Roman" w:cs="Times New Roman"/>
          <w:sz w:val="24"/>
          <w:szCs w:val="24"/>
          <w:spacing w:val="-5"/>
          <w:position w:val="16"/>
        </w:rPr>
        <w:t>C.2 </w:t>
      </w:r>
      <w:r>
        <w:rPr>
          <w:sz w:val="24"/>
          <w:szCs w:val="24"/>
          <w:spacing w:val="-5"/>
          <w:position w:val="16"/>
        </w:rPr>
        <w:t>确定危险物质及工艺系统</w:t>
      </w:r>
    </w:p>
    <w:p>
      <w:pPr>
        <w:pStyle w:val="BodyText"/>
        <w:ind w:left="134"/>
        <w:spacing w:line="212" w:lineRule="auto"/>
        <w:rPr>
          <w:sz w:val="24"/>
          <w:szCs w:val="24"/>
        </w:rPr>
      </w:pPr>
      <w:r>
        <w:rPr>
          <w:sz w:val="24"/>
          <w:szCs w:val="24"/>
          <w:spacing w:val="5"/>
        </w:rPr>
        <w:t>危险性等级</w:t>
      </w:r>
      <w:r>
        <w:rPr>
          <w:sz w:val="24"/>
          <w:szCs w:val="24"/>
          <w:spacing w:val="-37"/>
        </w:rPr>
        <w:t xml:space="preserve"> </w:t>
      </w:r>
      <w:r>
        <w:rPr>
          <w:rFonts w:ascii="Times New Roman" w:hAnsi="Times New Roman" w:eastAsia="Times New Roman" w:cs="Times New Roman"/>
          <w:sz w:val="24"/>
          <w:szCs w:val="24"/>
          <w:spacing w:val="5"/>
        </w:rPr>
        <w:t>(P),      </w:t>
      </w:r>
      <w:r>
        <w:rPr>
          <w:sz w:val="24"/>
          <w:szCs w:val="24"/>
          <w:spacing w:val="5"/>
        </w:rPr>
        <w:t>本项目</w:t>
      </w:r>
      <w:r>
        <w:rPr>
          <w:rFonts w:ascii="Times New Roman" w:hAnsi="Times New Roman" w:eastAsia="Times New Roman" w:cs="Times New Roman"/>
          <w:sz w:val="24"/>
          <w:szCs w:val="24"/>
          <w:spacing w:val="5"/>
        </w:rPr>
        <w:t>P </w:t>
      </w:r>
      <w:r>
        <w:rPr>
          <w:sz w:val="24"/>
          <w:szCs w:val="24"/>
          <w:spacing w:val="5"/>
        </w:rPr>
        <w:t>值分级为</w:t>
      </w:r>
      <w:r>
        <w:rPr>
          <w:rFonts w:ascii="Times New Roman" w:hAnsi="Times New Roman" w:eastAsia="Times New Roman" w:cs="Times New Roman"/>
          <w:sz w:val="24"/>
          <w:szCs w:val="24"/>
          <w:spacing w:val="5"/>
        </w:rPr>
        <w:t>P3</w:t>
      </w:r>
      <w:r>
        <w:rPr>
          <w:sz w:val="24"/>
          <w:szCs w:val="24"/>
          <w:spacing w:val="5"/>
        </w:rPr>
        <w:t>。</w:t>
      </w:r>
    </w:p>
    <w:p>
      <w:pPr>
        <w:pStyle w:val="BodyText"/>
        <w:ind w:left="1648"/>
        <w:spacing w:before="187" w:line="212" w:lineRule="auto"/>
        <w:rPr>
          <w:rFonts w:ascii="Times New Roman" w:hAnsi="Times New Roman" w:eastAsia="Times New Roman" w:cs="Times New Roman"/>
          <w:sz w:val="24"/>
          <w:szCs w:val="24"/>
        </w:rPr>
      </w:pPr>
      <w:r>
        <w:rPr>
          <w:sz w:val="24"/>
          <w:szCs w:val="24"/>
          <w:b/>
          <w:bCs/>
          <w:spacing w:val="13"/>
        </w:rPr>
        <w:t>表3.2-3</w:t>
      </w:r>
      <w:r>
        <w:rPr>
          <w:sz w:val="24"/>
          <w:szCs w:val="24"/>
          <w:spacing w:val="13"/>
        </w:rPr>
        <w:t xml:space="preserve">  </w:t>
      </w:r>
      <w:r>
        <w:rPr>
          <w:sz w:val="24"/>
          <w:szCs w:val="24"/>
          <w:b/>
          <w:bCs/>
          <w:spacing w:val="13"/>
        </w:rPr>
        <w:t>危险物质及工艺系统危险等级判断</w:t>
      </w:r>
      <w:r>
        <w:rPr>
          <w:sz w:val="24"/>
          <w:szCs w:val="24"/>
          <w:spacing w:val="13"/>
        </w:rPr>
        <w:t xml:space="preserve"> </w:t>
      </w:r>
      <w:r>
        <w:rPr>
          <w:rFonts w:ascii="Times New Roman" w:hAnsi="Times New Roman" w:eastAsia="Times New Roman" w:cs="Times New Roman"/>
          <w:sz w:val="24"/>
          <w:szCs w:val="24"/>
          <w:b/>
          <w:bCs/>
          <w:spacing w:val="13"/>
        </w:rPr>
        <w:t>(P)</w:t>
      </w:r>
    </w:p>
    <w:p>
      <w:pPr>
        <w:spacing w:line="183" w:lineRule="exact"/>
        <w:rPr/>
      </w:pPr>
      <w:r/>
    </w:p>
    <w:tbl>
      <w:tblPr>
        <w:tblStyle w:val="TableNormal"/>
        <w:tblW w:w="85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092"/>
        <w:gridCol w:w="1558"/>
        <w:gridCol w:w="1698"/>
        <w:gridCol w:w="1558"/>
        <w:gridCol w:w="1613"/>
      </w:tblGrid>
      <w:tr>
        <w:trPr>
          <w:trHeight w:val="264" w:hRule="atLeast"/>
        </w:trPr>
        <w:tc>
          <w:tcPr>
            <w:tcW w:w="2092" w:type="dxa"/>
            <w:vAlign w:val="top"/>
            <w:vMerge w:val="restart"/>
            <w:tcBorders>
              <w:bottom w:val="nil"/>
            </w:tcBorders>
          </w:tcPr>
          <w:p>
            <w:pPr>
              <w:pStyle w:val="TableText"/>
              <w:ind w:left="154"/>
              <w:spacing w:before="134" w:line="219" w:lineRule="auto"/>
              <w:rPr>
                <w:sz w:val="22"/>
                <w:szCs w:val="22"/>
              </w:rPr>
            </w:pPr>
            <w:r>
              <w:rPr>
                <w:sz w:val="22"/>
                <w:szCs w:val="22"/>
                <w:spacing w:val="2"/>
              </w:rPr>
              <w:t>危险物质数量与临</w:t>
            </w:r>
          </w:p>
          <w:p>
            <w:pPr>
              <w:pStyle w:val="TableText"/>
              <w:ind w:left="434"/>
              <w:spacing w:before="29" w:line="219" w:lineRule="auto"/>
              <w:rPr>
                <w:sz w:val="22"/>
                <w:szCs w:val="22"/>
              </w:rPr>
            </w:pPr>
            <w:r>
              <w:rPr>
                <w:sz w:val="22"/>
                <w:szCs w:val="22"/>
                <w:spacing w:val="6"/>
              </w:rPr>
              <w:t>界量比值(Q)</w:t>
            </w:r>
          </w:p>
        </w:tc>
        <w:tc>
          <w:tcPr>
            <w:tcW w:w="6427" w:type="dxa"/>
            <w:vAlign w:val="top"/>
            <w:gridSpan w:val="4"/>
          </w:tcPr>
          <w:p>
            <w:pPr>
              <w:pStyle w:val="TableText"/>
              <w:ind w:left="2202"/>
              <w:spacing w:before="24" w:line="193" w:lineRule="auto"/>
              <w:rPr>
                <w:sz w:val="22"/>
                <w:szCs w:val="22"/>
              </w:rPr>
            </w:pPr>
            <w:r>
              <w:rPr>
                <w:sz w:val="22"/>
                <w:szCs w:val="22"/>
                <w:spacing w:val="4"/>
              </w:rPr>
              <w:t>行业及生产工艺(M)</w:t>
            </w:r>
          </w:p>
        </w:tc>
      </w:tr>
      <w:tr>
        <w:trPr>
          <w:trHeight w:val="457" w:hRule="atLeast"/>
        </w:trPr>
        <w:tc>
          <w:tcPr>
            <w:tcW w:w="2092" w:type="dxa"/>
            <w:vAlign w:val="top"/>
            <w:vMerge w:val="continue"/>
            <w:tcBorders>
              <w:top w:val="nil"/>
            </w:tcBorders>
          </w:tcPr>
          <w:p>
            <w:pPr>
              <w:rPr>
                <w:rFonts w:ascii="Arial"/>
                <w:sz w:val="21"/>
              </w:rPr>
            </w:pPr>
            <w:r/>
          </w:p>
        </w:tc>
        <w:tc>
          <w:tcPr>
            <w:tcW w:w="1558" w:type="dxa"/>
            <w:vAlign w:val="top"/>
          </w:tcPr>
          <w:p>
            <w:pPr>
              <w:pStyle w:val="TableText"/>
              <w:ind w:left="662"/>
              <w:spacing w:before="175" w:line="184" w:lineRule="auto"/>
              <w:rPr>
                <w:sz w:val="22"/>
                <w:szCs w:val="22"/>
              </w:rPr>
            </w:pPr>
            <w:r>
              <w:rPr>
                <w:sz w:val="22"/>
                <w:szCs w:val="22"/>
                <w:spacing w:val="-1"/>
              </w:rPr>
              <w:t>M1</w:t>
            </w:r>
          </w:p>
        </w:tc>
        <w:tc>
          <w:tcPr>
            <w:tcW w:w="1698" w:type="dxa"/>
            <w:vAlign w:val="top"/>
          </w:tcPr>
          <w:p>
            <w:pPr>
              <w:pStyle w:val="TableText"/>
              <w:ind w:left="734"/>
              <w:spacing w:before="176" w:line="183" w:lineRule="auto"/>
              <w:rPr>
                <w:sz w:val="22"/>
                <w:szCs w:val="22"/>
              </w:rPr>
            </w:pPr>
            <w:r>
              <w:rPr>
                <w:sz w:val="22"/>
                <w:szCs w:val="22"/>
                <w:spacing w:val="-1"/>
              </w:rPr>
              <w:t>M2</w:t>
            </w:r>
          </w:p>
        </w:tc>
        <w:tc>
          <w:tcPr>
            <w:tcW w:w="1558" w:type="dxa"/>
            <w:vAlign w:val="top"/>
          </w:tcPr>
          <w:p>
            <w:pPr>
              <w:pStyle w:val="TableText"/>
              <w:ind w:left="666"/>
              <w:spacing w:before="176" w:line="183" w:lineRule="auto"/>
              <w:rPr>
                <w:sz w:val="22"/>
                <w:szCs w:val="22"/>
              </w:rPr>
            </w:pPr>
            <w:r>
              <w:rPr>
                <w:sz w:val="22"/>
                <w:szCs w:val="22"/>
                <w:spacing w:val="-1"/>
              </w:rPr>
              <w:t>M3</w:t>
            </w:r>
          </w:p>
        </w:tc>
        <w:tc>
          <w:tcPr>
            <w:tcW w:w="1613" w:type="dxa"/>
            <w:vAlign w:val="top"/>
          </w:tcPr>
          <w:p>
            <w:pPr>
              <w:pStyle w:val="TableText"/>
              <w:ind w:left="688"/>
              <w:spacing w:before="176" w:line="183" w:lineRule="auto"/>
              <w:rPr>
                <w:sz w:val="22"/>
                <w:szCs w:val="22"/>
              </w:rPr>
            </w:pPr>
            <w:r>
              <w:rPr>
                <w:sz w:val="22"/>
                <w:szCs w:val="22"/>
                <w:spacing w:val="-1"/>
              </w:rPr>
              <w:t>M4</w:t>
            </w:r>
          </w:p>
        </w:tc>
      </w:tr>
      <w:tr>
        <w:trPr>
          <w:trHeight w:val="258" w:hRule="atLeast"/>
        </w:trPr>
        <w:tc>
          <w:tcPr>
            <w:tcW w:w="2092" w:type="dxa"/>
            <w:vAlign w:val="top"/>
          </w:tcPr>
          <w:p>
            <w:pPr>
              <w:pStyle w:val="TableText"/>
              <w:ind w:left="704"/>
              <w:spacing w:before="28" w:line="184" w:lineRule="auto"/>
              <w:rPr>
                <w:sz w:val="22"/>
                <w:szCs w:val="22"/>
              </w:rPr>
            </w:pPr>
            <w:r>
              <w:rPr>
                <w:sz w:val="22"/>
                <w:szCs w:val="22"/>
                <w:spacing w:val="-2"/>
              </w:rPr>
              <w:t>Q≥100</w:t>
            </w:r>
          </w:p>
        </w:tc>
        <w:tc>
          <w:tcPr>
            <w:tcW w:w="1558" w:type="dxa"/>
            <w:vAlign w:val="top"/>
          </w:tcPr>
          <w:p>
            <w:pPr>
              <w:pStyle w:val="TableText"/>
              <w:ind w:left="662"/>
              <w:spacing w:before="78" w:line="170" w:lineRule="exact"/>
              <w:rPr>
                <w:sz w:val="22"/>
                <w:szCs w:val="22"/>
              </w:rPr>
            </w:pPr>
            <w:r>
              <w:rPr>
                <w:sz w:val="22"/>
                <w:szCs w:val="22"/>
                <w:spacing w:val="-2"/>
                <w:position w:val="-3"/>
              </w:rPr>
              <w:t>P1</w:t>
            </w:r>
          </w:p>
        </w:tc>
        <w:tc>
          <w:tcPr>
            <w:tcW w:w="1698" w:type="dxa"/>
            <w:vAlign w:val="top"/>
          </w:tcPr>
          <w:p>
            <w:pPr>
              <w:pStyle w:val="TableText"/>
              <w:ind w:left="734"/>
              <w:spacing w:before="78" w:line="170" w:lineRule="exact"/>
              <w:rPr>
                <w:sz w:val="22"/>
                <w:szCs w:val="22"/>
              </w:rPr>
            </w:pPr>
            <w:r>
              <w:rPr>
                <w:sz w:val="22"/>
                <w:szCs w:val="22"/>
                <w:spacing w:val="-2"/>
                <w:position w:val="-3"/>
              </w:rPr>
              <w:t>P1</w:t>
            </w:r>
          </w:p>
        </w:tc>
        <w:tc>
          <w:tcPr>
            <w:tcW w:w="1558" w:type="dxa"/>
            <w:vAlign w:val="top"/>
          </w:tcPr>
          <w:p>
            <w:pPr>
              <w:pStyle w:val="TableText"/>
              <w:ind w:left="666"/>
              <w:spacing w:before="79" w:line="169" w:lineRule="exact"/>
              <w:rPr>
                <w:sz w:val="22"/>
                <w:szCs w:val="22"/>
              </w:rPr>
            </w:pPr>
            <w:r>
              <w:rPr>
                <w:sz w:val="22"/>
                <w:szCs w:val="22"/>
                <w:spacing w:val="-2"/>
                <w:position w:val="-3"/>
              </w:rPr>
              <w:t>P2</w:t>
            </w:r>
          </w:p>
        </w:tc>
        <w:tc>
          <w:tcPr>
            <w:shd w:val="clear" w:fill="EEEBE0"/>
            <w:tcW w:w="1613" w:type="dxa"/>
            <w:vAlign w:val="top"/>
          </w:tcPr>
          <w:p>
            <w:pPr>
              <w:pStyle w:val="TableText"/>
              <w:ind w:left="688"/>
              <w:spacing w:before="79" w:line="169" w:lineRule="exact"/>
              <w:rPr>
                <w:sz w:val="22"/>
                <w:szCs w:val="22"/>
              </w:rPr>
            </w:pPr>
            <w:r>
              <w:rPr>
                <w:sz w:val="22"/>
                <w:szCs w:val="22"/>
                <w:spacing w:val="-2"/>
                <w:position w:val="-3"/>
              </w:rPr>
              <w:t>P3</w:t>
            </w:r>
          </w:p>
        </w:tc>
      </w:tr>
      <w:tr>
        <w:trPr>
          <w:trHeight w:val="288" w:hRule="atLeast"/>
        </w:trPr>
        <w:tc>
          <w:tcPr>
            <w:tcW w:w="2092" w:type="dxa"/>
            <w:vAlign w:val="top"/>
          </w:tcPr>
          <w:p>
            <w:pPr>
              <w:pStyle w:val="TableText"/>
              <w:ind w:left="545"/>
              <w:spacing w:before="51" w:line="190" w:lineRule="auto"/>
              <w:rPr>
                <w:sz w:val="22"/>
                <w:szCs w:val="22"/>
              </w:rPr>
            </w:pPr>
            <w:r>
              <w:rPr>
                <w:sz w:val="22"/>
                <w:szCs w:val="22"/>
                <w:spacing w:val="-3"/>
              </w:rPr>
              <w:t>10≤Q&lt;100</w:t>
            </w:r>
          </w:p>
        </w:tc>
        <w:tc>
          <w:tcPr>
            <w:tcW w:w="1558" w:type="dxa"/>
            <w:vAlign w:val="top"/>
          </w:tcPr>
          <w:p>
            <w:pPr>
              <w:pStyle w:val="TableText"/>
              <w:ind w:left="662"/>
              <w:spacing w:before="100" w:line="178" w:lineRule="exact"/>
              <w:rPr>
                <w:sz w:val="22"/>
                <w:szCs w:val="22"/>
              </w:rPr>
            </w:pPr>
            <w:r>
              <w:rPr>
                <w:sz w:val="22"/>
                <w:szCs w:val="22"/>
                <w:spacing w:val="-2"/>
                <w:position w:val="-3"/>
              </w:rPr>
              <w:t>P1</w:t>
            </w:r>
          </w:p>
        </w:tc>
        <w:tc>
          <w:tcPr>
            <w:tcW w:w="1698" w:type="dxa"/>
            <w:vAlign w:val="top"/>
          </w:tcPr>
          <w:p>
            <w:pPr>
              <w:pStyle w:val="TableText"/>
              <w:ind w:left="734"/>
              <w:spacing w:before="101" w:line="177" w:lineRule="exact"/>
              <w:rPr>
                <w:sz w:val="22"/>
                <w:szCs w:val="22"/>
              </w:rPr>
            </w:pPr>
            <w:r>
              <w:rPr>
                <w:sz w:val="22"/>
                <w:szCs w:val="22"/>
                <w:spacing w:val="-2"/>
                <w:position w:val="-2"/>
              </w:rPr>
              <w:t>P2</w:t>
            </w:r>
          </w:p>
        </w:tc>
        <w:tc>
          <w:tcPr>
            <w:tcW w:w="1558" w:type="dxa"/>
            <w:vAlign w:val="top"/>
          </w:tcPr>
          <w:p>
            <w:pPr>
              <w:pStyle w:val="TableText"/>
              <w:ind w:left="666"/>
              <w:spacing w:before="101" w:line="177" w:lineRule="exact"/>
              <w:rPr>
                <w:sz w:val="22"/>
                <w:szCs w:val="22"/>
              </w:rPr>
            </w:pPr>
            <w:r>
              <w:rPr>
                <w:sz w:val="22"/>
                <w:szCs w:val="22"/>
                <w:spacing w:val="-2"/>
                <w:position w:val="-2"/>
              </w:rPr>
              <w:t>P3</w:t>
            </w:r>
          </w:p>
        </w:tc>
        <w:tc>
          <w:tcPr>
            <w:tcW w:w="1613" w:type="dxa"/>
            <w:vAlign w:val="top"/>
          </w:tcPr>
          <w:p>
            <w:pPr>
              <w:pStyle w:val="TableText"/>
              <w:ind w:left="688"/>
              <w:spacing w:before="101" w:line="177" w:lineRule="exact"/>
              <w:rPr>
                <w:sz w:val="22"/>
                <w:szCs w:val="22"/>
              </w:rPr>
            </w:pPr>
            <w:r>
              <w:rPr>
                <w:sz w:val="22"/>
                <w:szCs w:val="22"/>
                <w:spacing w:val="-2"/>
                <w:position w:val="-2"/>
              </w:rPr>
              <w:t>P4</w:t>
            </w:r>
          </w:p>
        </w:tc>
      </w:tr>
      <w:tr>
        <w:trPr>
          <w:trHeight w:val="263" w:hRule="atLeast"/>
        </w:trPr>
        <w:tc>
          <w:tcPr>
            <w:tcW w:w="2092" w:type="dxa"/>
            <w:vAlign w:val="top"/>
          </w:tcPr>
          <w:p>
            <w:pPr>
              <w:pStyle w:val="TableText"/>
              <w:ind w:left="654"/>
              <w:spacing w:before="46" w:line="173" w:lineRule="auto"/>
              <w:rPr>
                <w:sz w:val="22"/>
                <w:szCs w:val="22"/>
              </w:rPr>
            </w:pPr>
            <w:r>
              <w:rPr>
                <w:sz w:val="22"/>
                <w:szCs w:val="22"/>
                <w:spacing w:val="-4"/>
              </w:rPr>
              <w:t>1≤0&lt;10</w:t>
            </w:r>
          </w:p>
        </w:tc>
        <w:tc>
          <w:tcPr>
            <w:tcW w:w="1558" w:type="dxa"/>
            <w:vAlign w:val="top"/>
          </w:tcPr>
          <w:p>
            <w:pPr>
              <w:pStyle w:val="TableText"/>
              <w:ind w:left="662"/>
              <w:spacing w:before="83" w:line="170" w:lineRule="exact"/>
              <w:rPr>
                <w:sz w:val="22"/>
                <w:szCs w:val="22"/>
              </w:rPr>
            </w:pPr>
            <w:r>
              <w:rPr>
                <w:sz w:val="22"/>
                <w:szCs w:val="22"/>
                <w:spacing w:val="-2"/>
                <w:position w:val="-3"/>
              </w:rPr>
              <w:t>P2</w:t>
            </w:r>
          </w:p>
        </w:tc>
        <w:tc>
          <w:tcPr>
            <w:tcW w:w="1698" w:type="dxa"/>
            <w:vAlign w:val="top"/>
          </w:tcPr>
          <w:p>
            <w:pPr>
              <w:pStyle w:val="TableText"/>
              <w:ind w:left="734"/>
              <w:spacing w:before="83" w:line="170" w:lineRule="exact"/>
              <w:rPr>
                <w:sz w:val="22"/>
                <w:szCs w:val="22"/>
              </w:rPr>
            </w:pPr>
            <w:r>
              <w:rPr>
                <w:sz w:val="22"/>
                <w:szCs w:val="22"/>
                <w:spacing w:val="-2"/>
                <w:position w:val="-3"/>
              </w:rPr>
              <w:t>P3</w:t>
            </w:r>
          </w:p>
        </w:tc>
        <w:tc>
          <w:tcPr>
            <w:tcW w:w="1558" w:type="dxa"/>
            <w:vAlign w:val="top"/>
          </w:tcPr>
          <w:p>
            <w:pPr>
              <w:pStyle w:val="TableText"/>
              <w:ind w:left="666"/>
              <w:spacing w:before="83" w:line="170" w:lineRule="exact"/>
              <w:rPr>
                <w:sz w:val="22"/>
                <w:szCs w:val="22"/>
              </w:rPr>
            </w:pPr>
            <w:r>
              <w:rPr>
                <w:sz w:val="22"/>
                <w:szCs w:val="22"/>
                <w:spacing w:val="-2"/>
                <w:position w:val="-3"/>
              </w:rPr>
              <w:t>P4</w:t>
            </w:r>
          </w:p>
        </w:tc>
        <w:tc>
          <w:tcPr>
            <w:tcW w:w="1613" w:type="dxa"/>
            <w:vAlign w:val="top"/>
          </w:tcPr>
          <w:p>
            <w:pPr>
              <w:pStyle w:val="TableText"/>
              <w:ind w:left="688"/>
              <w:spacing w:before="83" w:line="170" w:lineRule="exact"/>
              <w:rPr>
                <w:sz w:val="22"/>
                <w:szCs w:val="22"/>
              </w:rPr>
            </w:pPr>
            <w:r>
              <w:rPr>
                <w:sz w:val="22"/>
                <w:szCs w:val="22"/>
                <w:spacing w:val="-2"/>
                <w:position w:val="-3"/>
              </w:rPr>
              <w:t>P4</w:t>
            </w:r>
          </w:p>
        </w:tc>
      </w:tr>
    </w:tbl>
    <w:p>
      <w:pPr>
        <w:pStyle w:val="BodyText"/>
        <w:ind w:left="724"/>
        <w:spacing w:before="53" w:line="461" w:lineRule="exact"/>
        <w:rPr>
          <w:sz w:val="22"/>
          <w:szCs w:val="22"/>
        </w:rPr>
      </w:pPr>
      <w:r>
        <w:rPr>
          <w:sz w:val="22"/>
          <w:szCs w:val="22"/>
          <w:position w:val="18"/>
        </w:rPr>
        <w:t>(4)环境敏感程度(E)分析</w:t>
      </w:r>
    </w:p>
    <w:p>
      <w:pPr>
        <w:pStyle w:val="BodyText"/>
        <w:ind w:left="604"/>
        <w:spacing w:line="219" w:lineRule="auto"/>
        <w:rPr>
          <w:sz w:val="24"/>
          <w:szCs w:val="24"/>
        </w:rPr>
      </w:pPr>
      <w:r>
        <w:rPr>
          <w:sz w:val="24"/>
          <w:szCs w:val="24"/>
          <w:spacing w:val="8"/>
        </w:rPr>
        <w:t>1)大气环境敏感程度</w:t>
      </w:r>
    </w:p>
    <w:p>
      <w:pPr>
        <w:pStyle w:val="BodyText"/>
        <w:ind w:left="134" w:right="237" w:firstLine="470"/>
        <w:spacing w:before="174" w:line="358" w:lineRule="auto"/>
        <w:jc w:val="both"/>
        <w:rPr>
          <w:sz w:val="24"/>
          <w:szCs w:val="24"/>
        </w:rPr>
      </w:pPr>
      <w:r>
        <w:rPr>
          <w:sz w:val="24"/>
          <w:szCs w:val="24"/>
          <w:spacing w:val="-2"/>
        </w:rPr>
        <w:t>依据环境敏感目标环境敏感性及人口密度划分环境风</w:t>
      </w:r>
      <w:r>
        <w:rPr>
          <w:sz w:val="24"/>
          <w:szCs w:val="24"/>
          <w:spacing w:val="-3"/>
        </w:rPr>
        <w:t>险受体的敏感性，共分为三</w:t>
      </w:r>
      <w:r>
        <w:rPr>
          <w:sz w:val="24"/>
          <w:szCs w:val="24"/>
        </w:rPr>
        <w:t xml:space="preserve"> </w:t>
      </w:r>
      <w:r>
        <w:rPr>
          <w:sz w:val="24"/>
          <w:szCs w:val="24"/>
          <w:spacing w:val="-6"/>
        </w:rPr>
        <w:t>种类型，</w:t>
      </w:r>
      <w:r>
        <w:rPr>
          <w:rFonts w:ascii="Times New Roman" w:hAnsi="Times New Roman" w:eastAsia="Times New Roman" w:cs="Times New Roman"/>
          <w:sz w:val="24"/>
          <w:szCs w:val="24"/>
          <w:spacing w:val="-6"/>
        </w:rPr>
        <w:t>E1</w:t>
      </w:r>
      <w:r>
        <w:rPr>
          <w:rFonts w:ascii="Times New Roman" w:hAnsi="Times New Roman" w:eastAsia="Times New Roman" w:cs="Times New Roman"/>
          <w:sz w:val="24"/>
          <w:szCs w:val="24"/>
          <w:spacing w:val="18"/>
          <w:w w:val="101"/>
        </w:rPr>
        <w:t xml:space="preserve"> </w:t>
      </w:r>
      <w:r>
        <w:rPr>
          <w:sz w:val="24"/>
          <w:szCs w:val="24"/>
          <w:spacing w:val="-6"/>
        </w:rPr>
        <w:t>为环境高度敏感区， </w:t>
      </w:r>
      <w:r>
        <w:rPr>
          <w:rFonts w:ascii="Times New Roman" w:hAnsi="Times New Roman" w:eastAsia="Times New Roman" w:cs="Times New Roman"/>
          <w:sz w:val="24"/>
          <w:szCs w:val="24"/>
          <w:spacing w:val="-6"/>
        </w:rPr>
        <w:t>E2</w:t>
      </w:r>
      <w:r>
        <w:rPr>
          <w:rFonts w:ascii="Times New Roman" w:hAnsi="Times New Roman" w:eastAsia="Times New Roman" w:cs="Times New Roman"/>
          <w:sz w:val="24"/>
          <w:szCs w:val="24"/>
          <w:spacing w:val="18"/>
          <w:w w:val="101"/>
        </w:rPr>
        <w:t xml:space="preserve"> </w:t>
      </w:r>
      <w:r>
        <w:rPr>
          <w:sz w:val="24"/>
          <w:szCs w:val="24"/>
          <w:spacing w:val="-6"/>
        </w:rPr>
        <w:t>为环境</w:t>
      </w:r>
      <w:r>
        <w:rPr>
          <w:sz w:val="24"/>
          <w:szCs w:val="24"/>
          <w:spacing w:val="-7"/>
        </w:rPr>
        <w:t>中度敏感区，</w:t>
      </w:r>
      <w:r>
        <w:rPr>
          <w:rFonts w:ascii="Times New Roman" w:hAnsi="Times New Roman" w:eastAsia="Times New Roman" w:cs="Times New Roman"/>
          <w:sz w:val="24"/>
          <w:szCs w:val="24"/>
          <w:spacing w:val="-7"/>
        </w:rPr>
        <w:t>E3</w:t>
      </w:r>
      <w:r>
        <w:rPr>
          <w:rFonts w:ascii="Times New Roman" w:hAnsi="Times New Roman" w:eastAsia="Times New Roman" w:cs="Times New Roman"/>
          <w:sz w:val="24"/>
          <w:szCs w:val="24"/>
          <w:spacing w:val="18"/>
          <w:w w:val="101"/>
        </w:rPr>
        <w:t xml:space="preserve"> </w:t>
      </w:r>
      <w:r>
        <w:rPr>
          <w:sz w:val="24"/>
          <w:szCs w:val="24"/>
          <w:spacing w:val="-7"/>
        </w:rPr>
        <w:t>为环境低度敏感区，分级</w:t>
      </w:r>
    </w:p>
    <w:p>
      <w:pPr>
        <w:pStyle w:val="BodyText"/>
        <w:ind w:left="134"/>
        <w:spacing w:before="1" w:line="219" w:lineRule="auto"/>
        <w:rPr>
          <w:sz w:val="24"/>
          <w:szCs w:val="24"/>
        </w:rPr>
      </w:pPr>
      <w:r>
        <w:rPr>
          <w:sz w:val="24"/>
          <w:szCs w:val="24"/>
          <w:spacing w:val="-10"/>
        </w:rPr>
        <w:t>原则见表3.2-4。</w:t>
      </w:r>
    </w:p>
    <w:p>
      <w:pPr>
        <w:pStyle w:val="BodyText"/>
        <w:ind w:left="2698"/>
        <w:spacing w:before="171" w:line="212" w:lineRule="auto"/>
        <w:rPr>
          <w:sz w:val="24"/>
          <w:szCs w:val="24"/>
        </w:rPr>
      </w:pPr>
      <w:r>
        <w:rPr>
          <w:sz w:val="24"/>
          <w:szCs w:val="24"/>
          <w:b/>
          <w:bCs/>
          <w:spacing w:val="9"/>
        </w:rPr>
        <w:t>表3.2-4</w:t>
      </w:r>
      <w:r>
        <w:rPr>
          <w:sz w:val="24"/>
          <w:szCs w:val="24"/>
          <w:spacing w:val="9"/>
        </w:rPr>
        <w:t xml:space="preserve">  </w:t>
      </w:r>
      <w:r>
        <w:rPr>
          <w:sz w:val="24"/>
          <w:szCs w:val="24"/>
          <w:b/>
          <w:bCs/>
          <w:spacing w:val="9"/>
        </w:rPr>
        <w:t>环境敏感度</w:t>
      </w:r>
      <w:r>
        <w:rPr>
          <w:sz w:val="24"/>
          <w:szCs w:val="24"/>
          <w:spacing w:val="9"/>
        </w:rPr>
        <w:t xml:space="preserve"> </w:t>
      </w:r>
      <w:r>
        <w:rPr>
          <w:rFonts w:ascii="Times New Roman" w:hAnsi="Times New Roman" w:eastAsia="Times New Roman" w:cs="Times New Roman"/>
          <w:sz w:val="24"/>
          <w:szCs w:val="24"/>
          <w:b/>
          <w:bCs/>
          <w:spacing w:val="9"/>
        </w:rPr>
        <w:t>(E)    </w:t>
      </w:r>
      <w:r>
        <w:rPr>
          <w:sz w:val="24"/>
          <w:szCs w:val="24"/>
          <w:b/>
          <w:bCs/>
          <w:spacing w:val="9"/>
        </w:rPr>
        <w:t>分级</w:t>
      </w:r>
    </w:p>
    <w:p>
      <w:pPr>
        <w:spacing w:line="173" w:lineRule="exact"/>
        <w:rPr/>
      </w:pPr>
      <w:r/>
    </w:p>
    <w:tbl>
      <w:tblPr>
        <w:tblStyle w:val="TableNormal"/>
        <w:tblW w:w="917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54"/>
        <w:gridCol w:w="8216"/>
      </w:tblGrid>
      <w:tr>
        <w:trPr>
          <w:trHeight w:val="264" w:hRule="atLeast"/>
        </w:trPr>
        <w:tc>
          <w:tcPr>
            <w:tcW w:w="954" w:type="dxa"/>
            <w:vAlign w:val="top"/>
          </w:tcPr>
          <w:p>
            <w:pPr>
              <w:pStyle w:val="TableText"/>
              <w:ind w:left="255"/>
              <w:spacing w:before="34" w:line="193" w:lineRule="auto"/>
              <w:rPr>
                <w:sz w:val="21"/>
                <w:szCs w:val="21"/>
              </w:rPr>
            </w:pPr>
            <w:r>
              <w:rPr>
                <w:sz w:val="21"/>
                <w:szCs w:val="21"/>
                <w:spacing w:val="6"/>
              </w:rPr>
              <w:t>分级</w:t>
            </w:r>
          </w:p>
        </w:tc>
        <w:tc>
          <w:tcPr>
            <w:tcW w:w="8216" w:type="dxa"/>
            <w:vAlign w:val="top"/>
          </w:tcPr>
          <w:p>
            <w:pPr>
              <w:pStyle w:val="TableText"/>
              <w:ind w:left="3360"/>
              <w:spacing w:before="33" w:line="194" w:lineRule="auto"/>
              <w:rPr>
                <w:sz w:val="21"/>
                <w:szCs w:val="21"/>
              </w:rPr>
            </w:pPr>
            <w:r>
              <w:rPr>
                <w:sz w:val="21"/>
                <w:szCs w:val="21"/>
                <w:spacing w:val="-2"/>
              </w:rPr>
              <w:t>大气环境敏感性</w:t>
            </w:r>
          </w:p>
        </w:tc>
      </w:tr>
      <w:tr>
        <w:trPr>
          <w:trHeight w:val="826" w:hRule="atLeast"/>
        </w:trPr>
        <w:tc>
          <w:tcPr>
            <w:tcW w:w="954" w:type="dxa"/>
            <w:vAlign w:val="top"/>
          </w:tcPr>
          <w:p>
            <w:pPr>
              <w:spacing w:line="292" w:lineRule="auto"/>
              <w:rPr>
                <w:rFonts w:ascii="Arial"/>
                <w:sz w:val="21"/>
              </w:rPr>
            </w:pPr>
            <w:r/>
          </w:p>
          <w:p>
            <w:pPr>
              <w:pStyle w:val="TableText"/>
              <w:ind w:left="364"/>
              <w:spacing w:before="68" w:line="184" w:lineRule="auto"/>
              <w:rPr>
                <w:sz w:val="21"/>
                <w:szCs w:val="21"/>
              </w:rPr>
            </w:pPr>
            <w:r>
              <w:rPr>
                <w:sz w:val="21"/>
                <w:szCs w:val="21"/>
                <w:spacing w:val="-2"/>
              </w:rPr>
              <w:t>E1</w:t>
            </w:r>
          </w:p>
        </w:tc>
        <w:tc>
          <w:tcPr>
            <w:tcW w:w="8216" w:type="dxa"/>
            <w:vAlign w:val="top"/>
          </w:tcPr>
          <w:p>
            <w:pPr>
              <w:pStyle w:val="TableText"/>
              <w:ind w:left="110" w:right="119" w:firstLine="100"/>
              <w:spacing w:before="58" w:line="222" w:lineRule="auto"/>
              <w:jc w:val="both"/>
              <w:rPr>
                <w:sz w:val="21"/>
                <w:szCs w:val="21"/>
              </w:rPr>
            </w:pPr>
            <w:r>
              <w:rPr>
                <w:sz w:val="21"/>
                <w:szCs w:val="21"/>
              </w:rPr>
              <w:t>周边5km范围内居住区、医疗卫生、文化教育、科研、行政办公等机构人口总数大于5</w:t>
            </w:r>
            <w:r>
              <w:rPr>
                <w:sz w:val="21"/>
                <w:szCs w:val="21"/>
                <w:spacing w:val="6"/>
              </w:rPr>
              <w:t xml:space="preserve">  </w:t>
            </w:r>
            <w:r>
              <w:rPr>
                <w:sz w:val="21"/>
                <w:szCs w:val="21"/>
                <w:spacing w:val="5"/>
              </w:rPr>
              <w:t>万人，或其他需要特殊保护的区域；或周边500m范围内人口总数大于1000人；油气、</w:t>
            </w:r>
            <w:r>
              <w:rPr>
                <w:sz w:val="21"/>
                <w:szCs w:val="21"/>
              </w:rPr>
              <w:t xml:space="preserve"> </w:t>
            </w:r>
            <w:r>
              <w:rPr>
                <w:sz w:val="21"/>
                <w:szCs w:val="21"/>
              </w:rPr>
              <w:t>化学品输送管线管段周边200m范围内，每千米管段人口数大于200人。</w:t>
            </w:r>
          </w:p>
        </w:tc>
      </w:tr>
      <w:tr>
        <w:trPr>
          <w:trHeight w:val="817" w:hRule="atLeast"/>
        </w:trPr>
        <w:tc>
          <w:tcPr>
            <w:tcW w:w="954" w:type="dxa"/>
            <w:vAlign w:val="top"/>
          </w:tcPr>
          <w:p>
            <w:pPr>
              <w:spacing w:line="297" w:lineRule="auto"/>
              <w:rPr>
                <w:rFonts w:ascii="Arial"/>
                <w:sz w:val="21"/>
              </w:rPr>
            </w:pPr>
            <w:r/>
          </w:p>
          <w:p>
            <w:pPr>
              <w:pStyle w:val="TableText"/>
              <w:ind w:left="364"/>
              <w:spacing w:before="68" w:line="183" w:lineRule="auto"/>
              <w:rPr>
                <w:sz w:val="21"/>
                <w:szCs w:val="21"/>
              </w:rPr>
            </w:pPr>
            <w:r>
              <w:rPr>
                <w:sz w:val="21"/>
                <w:szCs w:val="21"/>
                <w:spacing w:val="-2"/>
              </w:rPr>
              <w:t>E2</w:t>
            </w:r>
          </w:p>
        </w:tc>
        <w:tc>
          <w:tcPr>
            <w:tcW w:w="8216" w:type="dxa"/>
            <w:vAlign w:val="top"/>
          </w:tcPr>
          <w:p>
            <w:pPr>
              <w:pStyle w:val="TableText"/>
              <w:ind w:left="211"/>
              <w:spacing w:before="22" w:line="219" w:lineRule="auto"/>
              <w:rPr>
                <w:sz w:val="21"/>
                <w:szCs w:val="21"/>
              </w:rPr>
            </w:pPr>
            <w:r>
              <w:rPr>
                <w:sz w:val="21"/>
                <w:szCs w:val="21"/>
                <w:spacing w:val="1"/>
              </w:rPr>
              <w:t>周边5</w:t>
            </w:r>
            <w:r>
              <w:rPr>
                <w:sz w:val="21"/>
                <w:szCs w:val="21"/>
              </w:rPr>
              <w:t>km</w:t>
            </w:r>
            <w:r>
              <w:rPr>
                <w:sz w:val="21"/>
                <w:szCs w:val="21"/>
                <w:spacing w:val="1"/>
              </w:rPr>
              <w:t>范围内居住区、医疗卫生、文化教育、</w:t>
            </w:r>
            <w:r>
              <w:rPr>
                <w:sz w:val="21"/>
                <w:szCs w:val="21"/>
              </w:rPr>
              <w:t>科研、行政办公等机构人口总数大于1</w:t>
            </w:r>
          </w:p>
          <w:p>
            <w:pPr>
              <w:pStyle w:val="TableText"/>
              <w:ind w:left="130" w:right="316" w:firstLine="190"/>
              <w:spacing w:before="32" w:line="221" w:lineRule="auto"/>
              <w:rPr>
                <w:sz w:val="21"/>
                <w:szCs w:val="21"/>
              </w:rPr>
            </w:pPr>
            <w:r>
              <w:rPr>
                <w:sz w:val="21"/>
                <w:szCs w:val="21"/>
              </w:rPr>
              <w:t>万人，小于5万人；或周边500m范围内人口总数大于500人，小于1000人；油气、化</w:t>
            </w:r>
            <w:r>
              <w:rPr>
                <w:sz w:val="21"/>
                <w:szCs w:val="21"/>
                <w:spacing w:val="7"/>
              </w:rPr>
              <w:t xml:space="preserve"> </w:t>
            </w:r>
            <w:r>
              <w:rPr>
                <w:sz w:val="21"/>
                <w:szCs w:val="21"/>
              </w:rPr>
              <w:t>学品输送管线管段周边200m范围内，每千米管段人口数大于100人，小</w:t>
            </w:r>
            <w:r>
              <w:rPr>
                <w:sz w:val="21"/>
                <w:szCs w:val="21"/>
                <w:spacing w:val="-1"/>
              </w:rPr>
              <w:t>于200人。</w:t>
            </w:r>
          </w:p>
        </w:tc>
      </w:tr>
      <w:tr>
        <w:trPr>
          <w:trHeight w:val="812" w:hRule="atLeast"/>
        </w:trPr>
        <w:tc>
          <w:tcPr>
            <w:tcW w:w="954" w:type="dxa"/>
            <w:vAlign w:val="top"/>
          </w:tcPr>
          <w:p>
            <w:pPr>
              <w:spacing w:line="290" w:lineRule="auto"/>
              <w:rPr>
                <w:rFonts w:ascii="Arial"/>
                <w:sz w:val="21"/>
              </w:rPr>
            </w:pPr>
            <w:r/>
          </w:p>
          <w:p>
            <w:pPr>
              <w:pStyle w:val="TableText"/>
              <w:ind w:left="364"/>
              <w:spacing w:before="68" w:line="183" w:lineRule="auto"/>
              <w:rPr>
                <w:sz w:val="21"/>
                <w:szCs w:val="21"/>
              </w:rPr>
            </w:pPr>
            <w:r>
              <w:rPr>
                <w:sz w:val="21"/>
                <w:szCs w:val="21"/>
                <w:spacing w:val="-2"/>
              </w:rPr>
              <w:t>E3</w:t>
            </w:r>
          </w:p>
        </w:tc>
        <w:tc>
          <w:tcPr>
            <w:tcW w:w="8216" w:type="dxa"/>
            <w:vAlign w:val="top"/>
          </w:tcPr>
          <w:p>
            <w:pPr>
              <w:pStyle w:val="TableText"/>
              <w:ind w:left="211"/>
              <w:spacing w:before="25" w:line="219" w:lineRule="auto"/>
              <w:rPr>
                <w:sz w:val="21"/>
                <w:szCs w:val="21"/>
              </w:rPr>
            </w:pPr>
            <w:r>
              <w:rPr>
                <w:sz w:val="21"/>
                <w:szCs w:val="21"/>
                <w:spacing w:val="1"/>
              </w:rPr>
              <w:t>周边5</w:t>
            </w:r>
            <w:r>
              <w:rPr>
                <w:sz w:val="21"/>
                <w:szCs w:val="21"/>
              </w:rPr>
              <w:t>km</w:t>
            </w:r>
            <w:r>
              <w:rPr>
                <w:sz w:val="21"/>
                <w:szCs w:val="21"/>
                <w:spacing w:val="1"/>
              </w:rPr>
              <w:t>范围内居住区、医疗卫生、文化教育、</w:t>
            </w:r>
            <w:r>
              <w:rPr>
                <w:sz w:val="21"/>
                <w:szCs w:val="21"/>
              </w:rPr>
              <w:t>科研、行政办公等机构人口总数小于1</w:t>
            </w:r>
          </w:p>
          <w:p>
            <w:pPr>
              <w:pStyle w:val="TableText"/>
              <w:ind w:left="120" w:right="293" w:firstLine="140"/>
              <w:spacing w:before="31" w:line="218" w:lineRule="auto"/>
              <w:rPr>
                <w:sz w:val="21"/>
                <w:szCs w:val="21"/>
              </w:rPr>
            </w:pPr>
            <w:r>
              <w:rPr>
                <w:sz w:val="21"/>
                <w:szCs w:val="21"/>
              </w:rPr>
              <w:t>万人；或周边500m范围内人口总数小于500人；油气、</w:t>
            </w:r>
            <w:r>
              <w:rPr>
                <w:sz w:val="21"/>
                <w:szCs w:val="21"/>
                <w:spacing w:val="-1"/>
              </w:rPr>
              <w:t>化学品输送管线管段周边200m</w:t>
            </w:r>
            <w:r>
              <w:rPr>
                <w:sz w:val="21"/>
                <w:szCs w:val="21"/>
              </w:rPr>
              <w:t xml:space="preserve"> </w:t>
            </w:r>
            <w:r>
              <w:rPr>
                <w:sz w:val="21"/>
                <w:szCs w:val="21"/>
                <w:spacing w:val="-1"/>
              </w:rPr>
              <w:t>范围内，每千米管段人口数小于100人。</w:t>
            </w:r>
          </w:p>
        </w:tc>
      </w:tr>
    </w:tbl>
    <w:p>
      <w:pPr>
        <w:pStyle w:val="BodyText"/>
        <w:ind w:left="624"/>
        <w:spacing w:before="35" w:line="480" w:lineRule="exact"/>
        <w:rPr>
          <w:sz w:val="24"/>
          <w:szCs w:val="24"/>
        </w:rPr>
      </w:pPr>
      <w:r>
        <w:rPr>
          <w:sz w:val="24"/>
          <w:szCs w:val="24"/>
          <w:position w:val="18"/>
        </w:rPr>
        <w:t>根据项目周边环境分析，项目周边500m范围内人口数大于1000人，项目大气环</w:t>
      </w:r>
    </w:p>
    <w:p>
      <w:pPr>
        <w:pStyle w:val="BodyText"/>
        <w:ind w:left="134"/>
        <w:spacing w:line="219" w:lineRule="auto"/>
        <w:rPr>
          <w:sz w:val="24"/>
          <w:szCs w:val="24"/>
        </w:rPr>
      </w:pPr>
      <w:r>
        <w:rPr>
          <w:sz w:val="24"/>
          <w:szCs w:val="24"/>
          <w:spacing w:val="-2"/>
        </w:rPr>
        <w:t>境敏感程度分级为</w:t>
      </w:r>
      <w:r>
        <w:rPr>
          <w:rFonts w:ascii="Times New Roman" w:hAnsi="Times New Roman" w:eastAsia="Times New Roman" w:cs="Times New Roman"/>
          <w:sz w:val="24"/>
          <w:szCs w:val="24"/>
          <w:spacing w:val="-2"/>
        </w:rPr>
        <w:t>E1</w:t>
      </w:r>
      <w:r>
        <w:rPr>
          <w:rFonts w:ascii="Times New Roman" w:hAnsi="Times New Roman" w:eastAsia="Times New Roman" w:cs="Times New Roman"/>
          <w:sz w:val="24"/>
          <w:szCs w:val="24"/>
          <w:spacing w:val="19"/>
          <w:w w:val="101"/>
        </w:rPr>
        <w:t xml:space="preserve"> </w:t>
      </w:r>
      <w:r>
        <w:rPr>
          <w:sz w:val="24"/>
          <w:szCs w:val="24"/>
          <w:spacing w:val="-2"/>
        </w:rPr>
        <w:t>环境高度敏感区。</w:t>
      </w:r>
    </w:p>
    <w:p>
      <w:pPr>
        <w:pStyle w:val="BodyText"/>
        <w:ind w:left="604"/>
        <w:spacing w:before="186" w:line="219" w:lineRule="auto"/>
        <w:rPr>
          <w:sz w:val="24"/>
          <w:szCs w:val="24"/>
        </w:rPr>
      </w:pPr>
      <w:r>
        <w:rPr>
          <w:sz w:val="24"/>
          <w:szCs w:val="24"/>
          <w:spacing w:val="10"/>
        </w:rPr>
        <w:t>2)地表水敏感程度</w:t>
      </w:r>
    </w:p>
    <w:p>
      <w:pPr>
        <w:pStyle w:val="BodyText"/>
        <w:ind w:left="134" w:right="154" w:firstLine="470"/>
        <w:spacing w:before="184" w:line="354" w:lineRule="auto"/>
        <w:rPr>
          <w:sz w:val="24"/>
          <w:szCs w:val="24"/>
        </w:rPr>
      </w:pPr>
      <w:r>
        <w:rPr>
          <w:sz w:val="24"/>
          <w:szCs w:val="24"/>
          <w:spacing w:val="-2"/>
        </w:rPr>
        <w:t>依据事故情况下危险物质泄漏到水体的排放点受纳地表水体</w:t>
      </w:r>
      <w:r>
        <w:rPr>
          <w:sz w:val="24"/>
          <w:szCs w:val="24"/>
          <w:spacing w:val="-3"/>
        </w:rPr>
        <w:t>功能敏感性，与下游</w:t>
      </w:r>
      <w:r>
        <w:rPr>
          <w:sz w:val="24"/>
          <w:szCs w:val="24"/>
        </w:rPr>
        <w:t xml:space="preserve">  </w:t>
      </w:r>
      <w:r>
        <w:rPr>
          <w:sz w:val="24"/>
          <w:szCs w:val="24"/>
          <w:spacing w:val="-4"/>
        </w:rPr>
        <w:t>环境敏感目标情况，共分为三种类型，E1</w:t>
      </w:r>
      <w:r>
        <w:rPr>
          <w:sz w:val="24"/>
          <w:szCs w:val="24"/>
          <w:spacing w:val="-34"/>
        </w:rPr>
        <w:t xml:space="preserve"> </w:t>
      </w:r>
      <w:r>
        <w:rPr>
          <w:sz w:val="24"/>
          <w:szCs w:val="24"/>
          <w:spacing w:val="-4"/>
        </w:rPr>
        <w:t>为环境高度敏感区，E2</w:t>
      </w:r>
      <w:r>
        <w:rPr>
          <w:sz w:val="24"/>
          <w:szCs w:val="24"/>
          <w:spacing w:val="-23"/>
        </w:rPr>
        <w:t xml:space="preserve"> </w:t>
      </w:r>
      <w:r>
        <w:rPr>
          <w:sz w:val="24"/>
          <w:szCs w:val="24"/>
          <w:spacing w:val="-4"/>
        </w:rPr>
        <w:t>为</w:t>
      </w:r>
      <w:r>
        <w:rPr>
          <w:sz w:val="24"/>
          <w:szCs w:val="24"/>
          <w:spacing w:val="-5"/>
        </w:rPr>
        <w:t>环境中度敏感区，</w:t>
      </w:r>
      <w:r>
        <w:rPr>
          <w:sz w:val="24"/>
          <w:szCs w:val="24"/>
        </w:rPr>
        <w:t xml:space="preserve"> </w:t>
      </w:r>
      <w:r>
        <w:rPr>
          <w:rFonts w:ascii="Times New Roman" w:hAnsi="Times New Roman" w:eastAsia="Times New Roman" w:cs="Times New Roman"/>
          <w:sz w:val="24"/>
          <w:szCs w:val="24"/>
          <w:spacing w:val="-3"/>
        </w:rPr>
        <w:t>E3 </w:t>
      </w:r>
      <w:r>
        <w:rPr>
          <w:sz w:val="24"/>
          <w:szCs w:val="24"/>
          <w:spacing w:val="-3"/>
        </w:rPr>
        <w:t>为环境低度敏感区，分级原则见表3.2-5</w:t>
      </w:r>
      <w:r>
        <w:rPr>
          <w:rFonts w:ascii="Times New Roman" w:hAnsi="Times New Roman" w:eastAsia="Times New Roman" w:cs="Times New Roman"/>
          <w:sz w:val="24"/>
          <w:szCs w:val="24"/>
          <w:spacing w:val="-3"/>
        </w:rPr>
        <w:t>a</w:t>
      </w:r>
      <w:r>
        <w:rPr>
          <w:sz w:val="24"/>
          <w:szCs w:val="24"/>
          <w:spacing w:val="-3"/>
        </w:rPr>
        <w:t>。地表水功能敏感性分区和环境敏感目标</w:t>
      </w:r>
    </w:p>
    <w:p>
      <w:pPr>
        <w:pStyle w:val="BodyText"/>
        <w:ind w:left="134"/>
        <w:spacing w:before="1" w:line="219" w:lineRule="auto"/>
        <w:rPr>
          <w:sz w:val="24"/>
          <w:szCs w:val="24"/>
        </w:rPr>
      </w:pPr>
      <w:r>
        <w:rPr>
          <w:sz w:val="24"/>
          <w:szCs w:val="24"/>
          <w:spacing w:val="-7"/>
        </w:rPr>
        <w:t>分级分别见表3.2-5</w:t>
      </w:r>
      <w:r>
        <w:rPr>
          <w:rFonts w:ascii="Times New Roman" w:hAnsi="Times New Roman" w:eastAsia="Times New Roman" w:cs="Times New Roman"/>
          <w:sz w:val="24"/>
          <w:szCs w:val="24"/>
          <w:spacing w:val="-7"/>
        </w:rPr>
        <w:t>b </w:t>
      </w:r>
      <w:r>
        <w:rPr>
          <w:sz w:val="24"/>
          <w:szCs w:val="24"/>
          <w:spacing w:val="-7"/>
        </w:rPr>
        <w:t>和3.2-5</w:t>
      </w:r>
      <w:r>
        <w:rPr>
          <w:rFonts w:ascii="Times New Roman" w:hAnsi="Times New Roman" w:eastAsia="Times New Roman" w:cs="Times New Roman"/>
          <w:sz w:val="24"/>
          <w:szCs w:val="24"/>
          <w:spacing w:val="-7"/>
        </w:rPr>
        <w:t>c</w:t>
      </w:r>
      <w:r>
        <w:rPr>
          <w:sz w:val="24"/>
          <w:szCs w:val="24"/>
          <w:spacing w:val="-7"/>
        </w:rPr>
        <w:t>。</w:t>
      </w:r>
    </w:p>
    <w:p>
      <w:pPr>
        <w:pStyle w:val="BodyText"/>
        <w:ind w:left="2718"/>
        <w:spacing w:before="191" w:line="219" w:lineRule="auto"/>
        <w:rPr>
          <w:sz w:val="24"/>
          <w:szCs w:val="24"/>
        </w:rPr>
      </w:pPr>
      <w:r>
        <w:rPr>
          <w:sz w:val="24"/>
          <w:szCs w:val="24"/>
          <w:b/>
          <w:bCs/>
          <w:spacing w:val="-7"/>
        </w:rPr>
        <w:t>表3.2-5</w:t>
      </w:r>
      <w:r>
        <w:rPr>
          <w:rFonts w:ascii="Times New Roman" w:hAnsi="Times New Roman" w:eastAsia="Times New Roman" w:cs="Times New Roman"/>
          <w:sz w:val="24"/>
          <w:szCs w:val="24"/>
          <w:b/>
          <w:bCs/>
          <w:spacing w:val="-7"/>
        </w:rPr>
        <w:t>a  </w:t>
      </w:r>
      <w:r>
        <w:rPr>
          <w:sz w:val="24"/>
          <w:szCs w:val="24"/>
          <w:b/>
          <w:bCs/>
          <w:spacing w:val="-7"/>
        </w:rPr>
        <w:t>地表水环境敏感程度分级</w:t>
      </w:r>
    </w:p>
    <w:p>
      <w:pPr>
        <w:spacing w:line="134" w:lineRule="exact"/>
        <w:rPr/>
      </w:pPr>
      <w:r/>
    </w:p>
    <w:tbl>
      <w:tblPr>
        <w:tblStyle w:val="TableNormal"/>
        <w:tblW w:w="90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93"/>
        <w:gridCol w:w="2287"/>
        <w:gridCol w:w="2277"/>
        <w:gridCol w:w="2302"/>
      </w:tblGrid>
      <w:tr>
        <w:trPr>
          <w:trHeight w:val="352" w:hRule="atLeast"/>
        </w:trPr>
        <w:tc>
          <w:tcPr>
            <w:tcW w:w="2193" w:type="dxa"/>
            <w:vAlign w:val="top"/>
            <w:vMerge w:val="restart"/>
            <w:tcBorders>
              <w:bottom w:val="nil"/>
            </w:tcBorders>
          </w:tcPr>
          <w:p>
            <w:pPr>
              <w:pStyle w:val="TableText"/>
              <w:ind w:left="484"/>
              <w:spacing w:before="253" w:line="219" w:lineRule="auto"/>
              <w:rPr>
                <w:sz w:val="20"/>
                <w:szCs w:val="20"/>
              </w:rPr>
            </w:pPr>
            <w:r>
              <w:rPr>
                <w:sz w:val="20"/>
                <w:szCs w:val="20"/>
                <w:spacing w:val="-2"/>
              </w:rPr>
              <w:t>环境敏感目标</w:t>
            </w:r>
          </w:p>
        </w:tc>
        <w:tc>
          <w:tcPr>
            <w:tcW w:w="6866" w:type="dxa"/>
            <w:vAlign w:val="top"/>
            <w:gridSpan w:val="3"/>
          </w:tcPr>
          <w:p>
            <w:pPr>
              <w:pStyle w:val="TableText"/>
              <w:ind w:left="2621"/>
              <w:spacing w:before="83" w:line="219" w:lineRule="auto"/>
              <w:rPr>
                <w:sz w:val="20"/>
                <w:szCs w:val="20"/>
              </w:rPr>
            </w:pPr>
            <w:r>
              <w:rPr>
                <w:sz w:val="20"/>
                <w:szCs w:val="20"/>
                <w:spacing w:val="-1"/>
              </w:rPr>
              <w:t>地表水功能敏感性</w:t>
            </w:r>
          </w:p>
        </w:tc>
      </w:tr>
      <w:tr>
        <w:trPr>
          <w:trHeight w:val="337" w:hRule="atLeast"/>
        </w:trPr>
        <w:tc>
          <w:tcPr>
            <w:tcW w:w="2193" w:type="dxa"/>
            <w:vAlign w:val="top"/>
            <w:vMerge w:val="continue"/>
            <w:tcBorders>
              <w:top w:val="nil"/>
            </w:tcBorders>
          </w:tcPr>
          <w:p>
            <w:pPr>
              <w:rPr>
                <w:rFonts w:ascii="Arial"/>
                <w:sz w:val="21"/>
              </w:rPr>
            </w:pPr>
            <w:r/>
          </w:p>
        </w:tc>
        <w:tc>
          <w:tcPr>
            <w:tcW w:w="2287" w:type="dxa"/>
            <w:vAlign w:val="top"/>
          </w:tcPr>
          <w:p>
            <w:pPr>
              <w:pStyle w:val="TableText"/>
              <w:ind w:left="1032"/>
              <w:spacing w:before="121" w:line="184" w:lineRule="auto"/>
              <w:rPr>
                <w:sz w:val="20"/>
                <w:szCs w:val="20"/>
              </w:rPr>
            </w:pPr>
            <w:r>
              <w:rPr>
                <w:sz w:val="20"/>
                <w:szCs w:val="20"/>
                <w:spacing w:val="-2"/>
              </w:rPr>
              <w:t>F1</w:t>
            </w:r>
          </w:p>
        </w:tc>
        <w:tc>
          <w:tcPr>
            <w:tcW w:w="2277" w:type="dxa"/>
            <w:vAlign w:val="top"/>
          </w:tcPr>
          <w:p>
            <w:pPr>
              <w:pStyle w:val="TableText"/>
              <w:ind w:left="1034"/>
              <w:spacing w:before="122" w:line="183" w:lineRule="auto"/>
              <w:rPr>
                <w:sz w:val="20"/>
                <w:szCs w:val="20"/>
              </w:rPr>
            </w:pPr>
            <w:r>
              <w:rPr>
                <w:sz w:val="20"/>
                <w:szCs w:val="20"/>
                <w:spacing w:val="-2"/>
              </w:rPr>
              <w:t>F2</w:t>
            </w:r>
          </w:p>
        </w:tc>
        <w:tc>
          <w:tcPr>
            <w:tcW w:w="2302" w:type="dxa"/>
            <w:vAlign w:val="top"/>
          </w:tcPr>
          <w:p>
            <w:pPr>
              <w:pStyle w:val="TableText"/>
              <w:ind w:left="1047"/>
              <w:spacing w:before="122" w:line="183" w:lineRule="auto"/>
              <w:rPr>
                <w:sz w:val="20"/>
                <w:szCs w:val="20"/>
              </w:rPr>
            </w:pPr>
            <w:r>
              <w:rPr>
                <w:sz w:val="20"/>
                <w:szCs w:val="20"/>
                <w:spacing w:val="-2"/>
              </w:rPr>
              <w:t>F3</w:t>
            </w:r>
          </w:p>
        </w:tc>
      </w:tr>
      <w:tr>
        <w:trPr>
          <w:trHeight w:val="338" w:hRule="atLeast"/>
        </w:trPr>
        <w:tc>
          <w:tcPr>
            <w:tcW w:w="2193" w:type="dxa"/>
            <w:vAlign w:val="top"/>
          </w:tcPr>
          <w:p>
            <w:pPr>
              <w:pStyle w:val="TableText"/>
              <w:ind w:left="984"/>
              <w:spacing w:before="124" w:line="184" w:lineRule="auto"/>
              <w:rPr>
                <w:sz w:val="20"/>
                <w:szCs w:val="20"/>
              </w:rPr>
            </w:pPr>
            <w:r>
              <w:rPr>
                <w:sz w:val="20"/>
                <w:szCs w:val="20"/>
                <w:spacing w:val="-3"/>
              </w:rPr>
              <w:t>S1</w:t>
            </w:r>
          </w:p>
        </w:tc>
        <w:tc>
          <w:tcPr>
            <w:tcW w:w="2287" w:type="dxa"/>
            <w:vAlign w:val="top"/>
          </w:tcPr>
          <w:p>
            <w:pPr>
              <w:pStyle w:val="TableText"/>
              <w:ind w:left="1032"/>
              <w:spacing w:before="124" w:line="184" w:lineRule="auto"/>
              <w:rPr>
                <w:sz w:val="20"/>
                <w:szCs w:val="20"/>
              </w:rPr>
            </w:pPr>
            <w:r>
              <w:rPr>
                <w:sz w:val="20"/>
                <w:szCs w:val="20"/>
                <w:spacing w:val="-2"/>
              </w:rPr>
              <w:t>E1</w:t>
            </w:r>
          </w:p>
        </w:tc>
        <w:tc>
          <w:tcPr>
            <w:tcW w:w="2277" w:type="dxa"/>
            <w:vAlign w:val="top"/>
          </w:tcPr>
          <w:p>
            <w:pPr>
              <w:pStyle w:val="TableText"/>
              <w:ind w:left="1034"/>
              <w:spacing w:before="124" w:line="184" w:lineRule="auto"/>
              <w:rPr>
                <w:sz w:val="20"/>
                <w:szCs w:val="20"/>
              </w:rPr>
            </w:pPr>
            <w:r>
              <w:rPr>
                <w:sz w:val="20"/>
                <w:szCs w:val="20"/>
                <w:spacing w:val="-2"/>
              </w:rPr>
              <w:t>E1</w:t>
            </w:r>
          </w:p>
        </w:tc>
        <w:tc>
          <w:tcPr>
            <w:tcW w:w="2302" w:type="dxa"/>
            <w:vAlign w:val="top"/>
          </w:tcPr>
          <w:p>
            <w:pPr>
              <w:pStyle w:val="TableText"/>
              <w:ind w:left="1047"/>
              <w:spacing w:before="125" w:line="183" w:lineRule="auto"/>
              <w:rPr>
                <w:sz w:val="20"/>
                <w:szCs w:val="20"/>
              </w:rPr>
            </w:pPr>
            <w:r>
              <w:rPr>
                <w:sz w:val="20"/>
                <w:szCs w:val="20"/>
                <w:spacing w:val="-2"/>
              </w:rPr>
              <w:t>E2</w:t>
            </w:r>
          </w:p>
        </w:tc>
      </w:tr>
      <w:tr>
        <w:trPr>
          <w:trHeight w:val="333" w:hRule="atLeast"/>
        </w:trPr>
        <w:tc>
          <w:tcPr>
            <w:tcW w:w="2193" w:type="dxa"/>
            <w:vAlign w:val="top"/>
          </w:tcPr>
          <w:p>
            <w:pPr>
              <w:pStyle w:val="TableText"/>
              <w:ind w:left="984"/>
              <w:spacing w:before="128" w:line="180" w:lineRule="auto"/>
              <w:rPr>
                <w:sz w:val="20"/>
                <w:szCs w:val="20"/>
              </w:rPr>
            </w:pPr>
            <w:r>
              <w:rPr>
                <w:sz w:val="20"/>
                <w:szCs w:val="20"/>
                <w:spacing w:val="-3"/>
              </w:rPr>
              <w:t>S2</w:t>
            </w:r>
          </w:p>
        </w:tc>
        <w:tc>
          <w:tcPr>
            <w:tcW w:w="2287" w:type="dxa"/>
            <w:vAlign w:val="top"/>
          </w:tcPr>
          <w:p>
            <w:pPr>
              <w:pStyle w:val="TableText"/>
              <w:ind w:left="1032"/>
              <w:spacing w:before="126" w:line="181" w:lineRule="auto"/>
              <w:rPr>
                <w:sz w:val="20"/>
                <w:szCs w:val="20"/>
              </w:rPr>
            </w:pPr>
            <w:r>
              <w:rPr>
                <w:sz w:val="20"/>
                <w:szCs w:val="20"/>
                <w:spacing w:val="-2"/>
              </w:rPr>
              <w:t>E1</w:t>
            </w:r>
          </w:p>
        </w:tc>
        <w:tc>
          <w:tcPr>
            <w:tcW w:w="2277" w:type="dxa"/>
            <w:vAlign w:val="top"/>
          </w:tcPr>
          <w:p>
            <w:pPr>
              <w:pStyle w:val="TableText"/>
              <w:ind w:left="1034"/>
              <w:spacing w:before="128" w:line="180" w:lineRule="auto"/>
              <w:rPr>
                <w:sz w:val="20"/>
                <w:szCs w:val="20"/>
              </w:rPr>
            </w:pPr>
            <w:r>
              <w:rPr>
                <w:sz w:val="20"/>
                <w:szCs w:val="20"/>
                <w:spacing w:val="-2"/>
              </w:rPr>
              <w:t>E2</w:t>
            </w:r>
          </w:p>
        </w:tc>
        <w:tc>
          <w:tcPr>
            <w:tcW w:w="2302" w:type="dxa"/>
            <w:vAlign w:val="top"/>
          </w:tcPr>
          <w:p>
            <w:pPr>
              <w:pStyle w:val="TableText"/>
              <w:ind w:left="1047"/>
              <w:spacing w:before="128" w:line="180" w:lineRule="auto"/>
              <w:rPr>
                <w:sz w:val="20"/>
                <w:szCs w:val="20"/>
              </w:rPr>
            </w:pPr>
            <w:r>
              <w:rPr>
                <w:sz w:val="20"/>
                <w:szCs w:val="20"/>
                <w:spacing w:val="-2"/>
              </w:rPr>
              <w:t>E3</w:t>
            </w:r>
          </w:p>
        </w:tc>
      </w:tr>
    </w:tbl>
    <w:p>
      <w:pPr>
        <w:rPr>
          <w:rFonts w:ascii="Arial"/>
          <w:sz w:val="21"/>
        </w:rPr>
      </w:pPr>
      <w:r/>
    </w:p>
    <w:p>
      <w:pPr>
        <w:sectPr>
          <w:footerReference w:type="default" r:id="rId178"/>
          <w:pgSz w:w="11900" w:h="16840"/>
          <w:pgMar w:top="1250" w:right="1304" w:bottom="1005" w:left="1405" w:header="0" w:footer="856" w:gutter="0"/>
        </w:sectPr>
        <w:rPr>
          <w:rFonts w:ascii="Arial" w:hAnsi="Arial" w:eastAsia="Arial" w:cs="Arial"/>
          <w:sz w:val="21"/>
          <w:szCs w:val="21"/>
        </w:rPr>
      </w:pPr>
    </w:p>
    <w:tbl>
      <w:tblPr>
        <w:tblStyle w:val="TableNormal"/>
        <w:tblW w:w="906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93"/>
        <w:gridCol w:w="2287"/>
        <w:gridCol w:w="2297"/>
        <w:gridCol w:w="2292"/>
      </w:tblGrid>
      <w:tr>
        <w:trPr>
          <w:trHeight w:val="330" w:hRule="atLeast"/>
        </w:trPr>
        <w:tc>
          <w:tcPr>
            <w:tcW w:w="2193" w:type="dxa"/>
            <w:vAlign w:val="top"/>
          </w:tcPr>
          <w:p>
            <w:pPr>
              <w:pStyle w:val="TableText"/>
              <w:ind w:left="984"/>
              <w:spacing w:before="125" w:line="180" w:lineRule="auto"/>
              <w:rPr>
                <w:sz w:val="20"/>
                <w:szCs w:val="20"/>
              </w:rPr>
            </w:pPr>
            <w:r>
              <w:rPr>
                <w:sz w:val="20"/>
                <w:szCs w:val="20"/>
                <w:spacing w:val="-3"/>
              </w:rPr>
              <w:t>S3</w:t>
            </w:r>
          </w:p>
        </w:tc>
        <w:tc>
          <w:tcPr>
            <w:tcW w:w="2287" w:type="dxa"/>
            <w:vAlign w:val="top"/>
          </w:tcPr>
          <w:p>
            <w:pPr>
              <w:pStyle w:val="TableText"/>
              <w:ind w:left="1012"/>
              <w:spacing w:before="123" w:line="181" w:lineRule="auto"/>
              <w:rPr>
                <w:sz w:val="20"/>
                <w:szCs w:val="20"/>
              </w:rPr>
            </w:pPr>
            <w:r>
              <w:rPr>
                <w:sz w:val="20"/>
                <w:szCs w:val="20"/>
                <w:spacing w:val="-2"/>
              </w:rPr>
              <w:t>E1</w:t>
            </w:r>
          </w:p>
        </w:tc>
        <w:tc>
          <w:tcPr>
            <w:tcW w:w="2297" w:type="dxa"/>
            <w:vAlign w:val="top"/>
          </w:tcPr>
          <w:p>
            <w:pPr>
              <w:pStyle w:val="TableText"/>
              <w:ind w:left="1034"/>
              <w:spacing w:before="125" w:line="180" w:lineRule="auto"/>
              <w:rPr>
                <w:sz w:val="20"/>
                <w:szCs w:val="20"/>
              </w:rPr>
            </w:pPr>
            <w:r>
              <w:rPr>
                <w:sz w:val="20"/>
                <w:szCs w:val="20"/>
                <w:spacing w:val="-2"/>
              </w:rPr>
              <w:t>E2</w:t>
            </w:r>
          </w:p>
        </w:tc>
        <w:tc>
          <w:tcPr>
            <w:tcW w:w="2292" w:type="dxa"/>
            <w:vAlign w:val="top"/>
          </w:tcPr>
          <w:p>
            <w:pPr>
              <w:pStyle w:val="TableText"/>
              <w:ind w:left="1027"/>
              <w:spacing w:before="125" w:line="180" w:lineRule="auto"/>
              <w:rPr>
                <w:sz w:val="20"/>
                <w:szCs w:val="20"/>
              </w:rPr>
            </w:pPr>
            <w:r>
              <w:rPr>
                <w:sz w:val="20"/>
                <w:szCs w:val="20"/>
                <w:spacing w:val="-2"/>
              </w:rPr>
              <w:t>E3</w:t>
            </w:r>
          </w:p>
        </w:tc>
      </w:tr>
    </w:tbl>
    <w:p>
      <w:pPr>
        <w:pStyle w:val="BodyText"/>
        <w:ind w:left="2788"/>
        <w:spacing w:before="51" w:line="219" w:lineRule="auto"/>
        <w:rPr>
          <w:sz w:val="23"/>
          <w:szCs w:val="23"/>
        </w:rPr>
      </w:pPr>
      <w:r>
        <w:rPr>
          <w:sz w:val="23"/>
          <w:szCs w:val="23"/>
          <w:b/>
          <w:bCs/>
          <w:spacing w:val="-2"/>
        </w:rPr>
        <w:t>表3.2-5b</w:t>
      </w:r>
      <w:r>
        <w:rPr>
          <w:sz w:val="23"/>
          <w:szCs w:val="23"/>
          <w:spacing w:val="-2"/>
        </w:rPr>
        <w:t xml:space="preserve">  </w:t>
      </w:r>
      <w:r>
        <w:rPr>
          <w:sz w:val="23"/>
          <w:szCs w:val="23"/>
          <w:b/>
          <w:bCs/>
          <w:spacing w:val="-2"/>
        </w:rPr>
        <w:t>地表水功能敏感性分区</w:t>
      </w:r>
    </w:p>
    <w:p>
      <w:pPr>
        <w:spacing w:line="135" w:lineRule="exact"/>
        <w:rPr/>
      </w:pPr>
      <w:r/>
    </w:p>
    <w:tbl>
      <w:tblPr>
        <w:tblStyle w:val="TableNormal"/>
        <w:tblW w:w="9069"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2"/>
        <w:gridCol w:w="6867"/>
      </w:tblGrid>
      <w:tr>
        <w:trPr>
          <w:trHeight w:val="353" w:hRule="atLeast"/>
        </w:trPr>
        <w:tc>
          <w:tcPr>
            <w:tcW w:w="2202" w:type="dxa"/>
            <w:vAlign w:val="top"/>
          </w:tcPr>
          <w:p>
            <w:pPr>
              <w:pStyle w:val="TableText"/>
              <w:ind w:left="794"/>
              <w:spacing w:before="83" w:line="219" w:lineRule="auto"/>
              <w:rPr>
                <w:sz w:val="20"/>
                <w:szCs w:val="20"/>
              </w:rPr>
            </w:pPr>
            <w:r>
              <w:rPr>
                <w:sz w:val="20"/>
                <w:szCs w:val="20"/>
                <w:spacing w:val="-2"/>
              </w:rPr>
              <w:t>敏感性</w:t>
            </w:r>
          </w:p>
        </w:tc>
        <w:tc>
          <w:tcPr>
            <w:tcW w:w="6867" w:type="dxa"/>
            <w:vAlign w:val="top"/>
          </w:tcPr>
          <w:p>
            <w:pPr>
              <w:pStyle w:val="TableText"/>
              <w:ind w:left="2523"/>
              <w:spacing w:before="83" w:line="219" w:lineRule="auto"/>
              <w:rPr>
                <w:sz w:val="20"/>
                <w:szCs w:val="20"/>
              </w:rPr>
            </w:pPr>
            <w:r>
              <w:rPr>
                <w:sz w:val="20"/>
                <w:szCs w:val="20"/>
                <w:spacing w:val="-1"/>
              </w:rPr>
              <w:t>地表水环境敏感特征</w:t>
            </w:r>
          </w:p>
        </w:tc>
      </w:tr>
      <w:tr>
        <w:trPr>
          <w:trHeight w:val="816" w:hRule="atLeast"/>
        </w:trPr>
        <w:tc>
          <w:tcPr>
            <w:tcW w:w="2202" w:type="dxa"/>
            <w:vAlign w:val="top"/>
          </w:tcPr>
          <w:p>
            <w:pPr>
              <w:spacing w:line="243" w:lineRule="auto"/>
              <w:rPr>
                <w:rFonts w:ascii="Arial"/>
                <w:sz w:val="21"/>
              </w:rPr>
            </w:pPr>
            <w:r/>
          </w:p>
          <w:p>
            <w:pPr>
              <w:pStyle w:val="TableText"/>
              <w:ind w:left="794"/>
              <w:spacing w:before="65" w:line="219" w:lineRule="auto"/>
              <w:rPr>
                <w:sz w:val="20"/>
                <w:szCs w:val="20"/>
              </w:rPr>
            </w:pPr>
            <w:r>
              <w:rPr>
                <w:sz w:val="20"/>
                <w:szCs w:val="20"/>
                <w:spacing w:val="9"/>
              </w:rPr>
              <w:t>敏感</w:t>
            </w:r>
            <w:r>
              <w:rPr>
                <w:sz w:val="20"/>
                <w:szCs w:val="20"/>
              </w:rPr>
              <w:t>FI</w:t>
            </w:r>
          </w:p>
        </w:tc>
        <w:tc>
          <w:tcPr>
            <w:tcW w:w="6867" w:type="dxa"/>
            <w:vAlign w:val="top"/>
          </w:tcPr>
          <w:p>
            <w:pPr>
              <w:pStyle w:val="TableText"/>
              <w:ind w:left="222"/>
              <w:spacing w:before="40" w:line="219" w:lineRule="auto"/>
              <w:rPr>
                <w:sz w:val="20"/>
                <w:szCs w:val="20"/>
              </w:rPr>
            </w:pPr>
            <w:r>
              <w:rPr>
                <w:sz w:val="20"/>
                <w:szCs w:val="20"/>
                <w:spacing w:val="4"/>
              </w:rPr>
              <w:t>排放点进入地表水水域环境功能为Ⅱ类及以上，</w:t>
            </w:r>
            <w:r>
              <w:rPr>
                <w:sz w:val="20"/>
                <w:szCs w:val="20"/>
                <w:spacing w:val="3"/>
              </w:rPr>
              <w:t>或海水水质分类第一类；</w:t>
            </w:r>
          </w:p>
          <w:p>
            <w:pPr>
              <w:pStyle w:val="TableText"/>
              <w:ind w:left="123" w:right="244" w:firstLine="99"/>
              <w:spacing w:before="21" w:line="234" w:lineRule="auto"/>
              <w:rPr>
                <w:sz w:val="20"/>
                <w:szCs w:val="20"/>
              </w:rPr>
            </w:pPr>
            <w:r>
              <w:rPr>
                <w:sz w:val="20"/>
                <w:szCs w:val="20"/>
              </w:rPr>
              <w:t>或以发生事故时，危险物质泄漏到水体的排放</w:t>
            </w:r>
            <w:r>
              <w:rPr>
                <w:sz w:val="20"/>
                <w:szCs w:val="20"/>
                <w:spacing w:val="-1"/>
              </w:rPr>
              <w:t>点算起，排放进入收纳河流</w:t>
            </w:r>
            <w:r>
              <w:rPr>
                <w:sz w:val="20"/>
                <w:szCs w:val="20"/>
              </w:rPr>
              <w:t xml:space="preserve"> </w:t>
            </w:r>
            <w:r>
              <w:rPr>
                <w:sz w:val="20"/>
                <w:szCs w:val="20"/>
              </w:rPr>
              <w:t>最大流速时，24h流经范围内涉跨国界的</w:t>
            </w:r>
          </w:p>
        </w:tc>
      </w:tr>
      <w:tr>
        <w:trPr>
          <w:trHeight w:val="816" w:hRule="atLeast"/>
        </w:trPr>
        <w:tc>
          <w:tcPr>
            <w:tcW w:w="2202" w:type="dxa"/>
            <w:vAlign w:val="top"/>
          </w:tcPr>
          <w:p>
            <w:pPr>
              <w:spacing w:line="247" w:lineRule="auto"/>
              <w:rPr>
                <w:rFonts w:ascii="Arial"/>
                <w:sz w:val="21"/>
              </w:rPr>
            </w:pPr>
            <w:r/>
          </w:p>
          <w:p>
            <w:pPr>
              <w:pStyle w:val="TableText"/>
              <w:ind w:left="694"/>
              <w:spacing w:before="65" w:line="219" w:lineRule="auto"/>
              <w:rPr>
                <w:sz w:val="20"/>
                <w:szCs w:val="20"/>
              </w:rPr>
            </w:pPr>
            <w:r>
              <w:rPr>
                <w:sz w:val="20"/>
                <w:szCs w:val="20"/>
                <w:spacing w:val="2"/>
              </w:rPr>
              <w:t>较敏感F2</w:t>
            </w:r>
          </w:p>
        </w:tc>
        <w:tc>
          <w:tcPr>
            <w:tcW w:w="6867" w:type="dxa"/>
            <w:vAlign w:val="top"/>
          </w:tcPr>
          <w:p>
            <w:pPr>
              <w:pStyle w:val="TableText"/>
              <w:ind w:left="222"/>
              <w:spacing w:before="24" w:line="219" w:lineRule="auto"/>
              <w:rPr>
                <w:sz w:val="20"/>
                <w:szCs w:val="20"/>
              </w:rPr>
            </w:pPr>
            <w:r>
              <w:rPr>
                <w:sz w:val="20"/>
                <w:szCs w:val="20"/>
              </w:rPr>
              <w:t>排放点进入地表水水域环境功能为Ⅲ类，或海水水质</w:t>
            </w:r>
            <w:r>
              <w:rPr>
                <w:sz w:val="20"/>
                <w:szCs w:val="20"/>
                <w:spacing w:val="-1"/>
              </w:rPr>
              <w:t>分类第二类；或以发</w:t>
            </w:r>
          </w:p>
          <w:p>
            <w:pPr>
              <w:pStyle w:val="TableText"/>
              <w:ind w:left="113" w:right="243" w:firstLine="109"/>
              <w:spacing w:before="63" w:line="222" w:lineRule="auto"/>
              <w:rPr>
                <w:sz w:val="20"/>
                <w:szCs w:val="20"/>
              </w:rPr>
            </w:pPr>
            <w:r>
              <w:rPr>
                <w:sz w:val="20"/>
                <w:szCs w:val="20"/>
              </w:rPr>
              <w:t>生事故时，危险物质泄漏到水体的排放点算起，</w:t>
            </w:r>
            <w:r>
              <w:rPr>
                <w:sz w:val="20"/>
                <w:szCs w:val="20"/>
                <w:spacing w:val="-1"/>
              </w:rPr>
              <w:t>排放进入收纳河流最大流</w:t>
            </w:r>
            <w:r>
              <w:rPr>
                <w:sz w:val="20"/>
                <w:szCs w:val="20"/>
              </w:rPr>
              <w:t xml:space="preserve"> </w:t>
            </w:r>
            <w:r>
              <w:rPr>
                <w:sz w:val="20"/>
                <w:szCs w:val="20"/>
              </w:rPr>
              <w:t>速时，24h流经范围内涉跨省级的</w:t>
            </w:r>
          </w:p>
        </w:tc>
      </w:tr>
      <w:tr>
        <w:trPr>
          <w:trHeight w:val="334" w:hRule="atLeast"/>
        </w:trPr>
        <w:tc>
          <w:tcPr>
            <w:tcW w:w="2202" w:type="dxa"/>
            <w:vAlign w:val="top"/>
          </w:tcPr>
          <w:p>
            <w:pPr>
              <w:pStyle w:val="TableText"/>
              <w:ind w:left="694"/>
              <w:spacing w:before="78" w:line="219" w:lineRule="auto"/>
              <w:rPr>
                <w:sz w:val="20"/>
                <w:szCs w:val="20"/>
              </w:rPr>
            </w:pPr>
            <w:r>
              <w:rPr>
                <w:sz w:val="20"/>
                <w:szCs w:val="20"/>
                <w:spacing w:val="-2"/>
              </w:rPr>
              <w:t>低敏感F3</w:t>
            </w:r>
          </w:p>
        </w:tc>
        <w:tc>
          <w:tcPr>
            <w:tcW w:w="6867" w:type="dxa"/>
            <w:vAlign w:val="top"/>
          </w:tcPr>
          <w:p>
            <w:pPr>
              <w:pStyle w:val="TableText"/>
              <w:ind w:left="2322"/>
              <w:spacing w:before="78" w:line="220" w:lineRule="auto"/>
              <w:rPr>
                <w:sz w:val="20"/>
                <w:szCs w:val="20"/>
              </w:rPr>
            </w:pPr>
            <w:r>
              <w:rPr>
                <w:sz w:val="20"/>
                <w:szCs w:val="20"/>
                <w:spacing w:val="1"/>
              </w:rPr>
              <w:t>上述地区之外的其他地区</w:t>
            </w:r>
          </w:p>
        </w:tc>
      </w:tr>
    </w:tbl>
    <w:p>
      <w:pPr>
        <w:pStyle w:val="BodyText"/>
        <w:ind w:left="3028"/>
        <w:spacing w:before="41" w:line="219" w:lineRule="auto"/>
        <w:rPr>
          <w:sz w:val="24"/>
          <w:szCs w:val="24"/>
        </w:rPr>
      </w:pPr>
      <w:r>
        <w:rPr>
          <w:sz w:val="24"/>
          <w:szCs w:val="24"/>
          <w:b/>
          <w:bCs/>
          <w:spacing w:val="-3"/>
        </w:rPr>
        <w:t>表3.2-5</w:t>
      </w:r>
      <w:r>
        <w:rPr>
          <w:rFonts w:ascii="Times New Roman" w:hAnsi="Times New Roman" w:eastAsia="Times New Roman" w:cs="Times New Roman"/>
          <w:sz w:val="24"/>
          <w:szCs w:val="24"/>
          <w:b/>
          <w:bCs/>
          <w:spacing w:val="-3"/>
        </w:rPr>
        <w:t>c   </w:t>
      </w:r>
      <w:r>
        <w:rPr>
          <w:sz w:val="24"/>
          <w:szCs w:val="24"/>
          <w:b/>
          <w:bCs/>
          <w:spacing w:val="-3"/>
        </w:rPr>
        <w:t>环境敏感目标分级</w:t>
      </w:r>
    </w:p>
    <w:p>
      <w:pPr>
        <w:spacing w:line="133" w:lineRule="exact"/>
        <w:rPr/>
      </w:pPr>
      <w:r/>
    </w:p>
    <w:tbl>
      <w:tblPr>
        <w:tblStyle w:val="TableNormal"/>
        <w:tblW w:w="9073"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14"/>
        <w:gridCol w:w="8159"/>
      </w:tblGrid>
      <w:tr>
        <w:trPr>
          <w:trHeight w:val="364" w:hRule="atLeast"/>
        </w:trPr>
        <w:tc>
          <w:tcPr>
            <w:tcW w:w="914" w:type="dxa"/>
            <w:vAlign w:val="top"/>
          </w:tcPr>
          <w:p>
            <w:pPr>
              <w:pStyle w:val="TableText"/>
              <w:ind w:left="235"/>
              <w:spacing w:before="84" w:line="220" w:lineRule="auto"/>
              <w:rPr>
                <w:sz w:val="21"/>
                <w:szCs w:val="21"/>
              </w:rPr>
            </w:pPr>
            <w:r>
              <w:rPr>
                <w:sz w:val="21"/>
                <w:szCs w:val="21"/>
                <w:spacing w:val="6"/>
              </w:rPr>
              <w:t>分级</w:t>
            </w:r>
          </w:p>
        </w:tc>
        <w:tc>
          <w:tcPr>
            <w:tcW w:w="8159" w:type="dxa"/>
            <w:vAlign w:val="top"/>
          </w:tcPr>
          <w:p>
            <w:pPr>
              <w:pStyle w:val="TableText"/>
              <w:ind w:left="3440"/>
              <w:spacing w:before="83" w:line="219" w:lineRule="auto"/>
              <w:rPr>
                <w:sz w:val="21"/>
                <w:szCs w:val="21"/>
              </w:rPr>
            </w:pPr>
            <w:r>
              <w:rPr>
                <w:sz w:val="21"/>
                <w:szCs w:val="21"/>
                <w:spacing w:val="-2"/>
              </w:rPr>
              <w:t>环境敏感目标</w:t>
            </w:r>
          </w:p>
        </w:tc>
      </w:tr>
      <w:tr>
        <w:trPr>
          <w:trHeight w:val="2155" w:hRule="atLeast"/>
        </w:trPr>
        <w:tc>
          <w:tcPr>
            <w:tcW w:w="914" w:type="dxa"/>
            <w:vAlign w:val="top"/>
          </w:tcPr>
          <w:p>
            <w:pPr>
              <w:spacing w:line="319" w:lineRule="auto"/>
              <w:rPr>
                <w:rFonts w:ascii="Arial"/>
                <w:sz w:val="21"/>
              </w:rPr>
            </w:pPr>
            <w:r/>
          </w:p>
          <w:p>
            <w:pPr>
              <w:spacing w:line="319" w:lineRule="auto"/>
              <w:rPr>
                <w:rFonts w:ascii="Arial"/>
                <w:sz w:val="21"/>
              </w:rPr>
            </w:pPr>
            <w:r/>
          </w:p>
          <w:p>
            <w:pPr>
              <w:spacing w:line="320" w:lineRule="auto"/>
              <w:rPr>
                <w:rFonts w:ascii="Arial"/>
                <w:sz w:val="21"/>
              </w:rPr>
            </w:pPr>
            <w:r/>
          </w:p>
          <w:p>
            <w:pPr>
              <w:pStyle w:val="TableText"/>
              <w:ind w:left="344"/>
              <w:spacing w:before="68" w:line="184" w:lineRule="auto"/>
              <w:rPr>
                <w:sz w:val="21"/>
                <w:szCs w:val="21"/>
              </w:rPr>
            </w:pPr>
            <w:r>
              <w:rPr>
                <w:sz w:val="21"/>
                <w:szCs w:val="21"/>
                <w:spacing w:val="-3"/>
              </w:rPr>
              <w:t>S1</w:t>
            </w:r>
          </w:p>
        </w:tc>
        <w:tc>
          <w:tcPr>
            <w:tcW w:w="8159" w:type="dxa"/>
            <w:vAlign w:val="top"/>
          </w:tcPr>
          <w:p>
            <w:pPr>
              <w:pStyle w:val="TableText"/>
              <w:ind w:left="180"/>
              <w:spacing w:before="29" w:line="219" w:lineRule="auto"/>
              <w:rPr>
                <w:sz w:val="21"/>
                <w:szCs w:val="21"/>
              </w:rPr>
            </w:pPr>
            <w:r>
              <w:rPr>
                <w:sz w:val="21"/>
                <w:szCs w:val="21"/>
              </w:rPr>
              <w:t>发生事故时，危险物质泄漏到内陆水体的排放点下游(顺水流向)10km范围内、近岸海</w:t>
            </w:r>
          </w:p>
          <w:p>
            <w:pPr>
              <w:pStyle w:val="TableText"/>
              <w:ind w:left="80"/>
              <w:spacing w:before="18" w:line="232" w:lineRule="auto"/>
              <w:rPr>
                <w:sz w:val="21"/>
                <w:szCs w:val="21"/>
              </w:rPr>
            </w:pPr>
            <w:r>
              <w:rPr>
                <w:sz w:val="21"/>
                <w:szCs w:val="21"/>
                <w:spacing w:val="-3"/>
              </w:rPr>
              <w:t>域一个潮周期水质点可能达到的最大水平距离的两倍范围内，有如</w:t>
            </w:r>
            <w:r>
              <w:rPr>
                <w:sz w:val="21"/>
                <w:szCs w:val="21"/>
                <w:spacing w:val="-4"/>
              </w:rPr>
              <w:t>下一类或多类环境风</w:t>
            </w:r>
            <w:r>
              <w:rPr>
                <w:sz w:val="21"/>
                <w:szCs w:val="21"/>
              </w:rPr>
              <w:t xml:space="preserve">   </w:t>
            </w:r>
            <w:r>
              <w:rPr>
                <w:sz w:val="21"/>
                <w:szCs w:val="21"/>
                <w:spacing w:val="-1"/>
              </w:rPr>
              <w:t>险受体：集中式地表水饮用水水源保护区(包括一级保护区、二级保护区及准保护区);</w:t>
            </w:r>
            <w:r>
              <w:rPr>
                <w:sz w:val="21"/>
                <w:szCs w:val="21"/>
                <w:spacing w:val="5"/>
              </w:rPr>
              <w:t xml:space="preserve">   </w:t>
            </w:r>
            <w:r>
              <w:rPr>
                <w:sz w:val="21"/>
                <w:szCs w:val="21"/>
                <w:spacing w:val="-3"/>
              </w:rPr>
              <w:t>农村及分散式饮用水水源保护区；自然保护区；重要湿地；珍稀濒危</w:t>
            </w:r>
            <w:r>
              <w:rPr>
                <w:sz w:val="21"/>
                <w:szCs w:val="21"/>
                <w:spacing w:val="-4"/>
              </w:rPr>
              <w:t>野生动植物天然集</w:t>
            </w:r>
            <w:r>
              <w:rPr>
                <w:sz w:val="21"/>
                <w:szCs w:val="21"/>
              </w:rPr>
              <w:t xml:space="preserve">   </w:t>
            </w:r>
            <w:r>
              <w:rPr>
                <w:sz w:val="21"/>
                <w:szCs w:val="21"/>
                <w:spacing w:val="-3"/>
              </w:rPr>
              <w:t>中分布区；重要水生生物的自然产卵场及索饵场、越冬场和洄游通道；世界文化和自然</w:t>
            </w:r>
            <w:r>
              <w:rPr>
                <w:sz w:val="21"/>
                <w:szCs w:val="21"/>
                <w:spacing w:val="3"/>
              </w:rPr>
              <w:t xml:space="preserve">   </w:t>
            </w:r>
            <w:r>
              <w:rPr>
                <w:sz w:val="21"/>
                <w:szCs w:val="21"/>
                <w:spacing w:val="-3"/>
              </w:rPr>
              <w:t>遗产地；红树林、珊瑚礁等滨海湿地生态系统；珍稀、濒危海洋生物的天然</w:t>
            </w:r>
            <w:r>
              <w:rPr>
                <w:sz w:val="21"/>
                <w:szCs w:val="21"/>
                <w:spacing w:val="-4"/>
              </w:rPr>
              <w:t>集中分布区；</w:t>
            </w:r>
            <w:r>
              <w:rPr>
                <w:sz w:val="21"/>
                <w:szCs w:val="21"/>
              </w:rPr>
              <w:t xml:space="preserve"> </w:t>
            </w:r>
            <w:r>
              <w:rPr>
                <w:sz w:val="21"/>
                <w:szCs w:val="21"/>
                <w:spacing w:val="-3"/>
              </w:rPr>
              <w:t>海洋特别保护区；海上自然保护区；盐场保护区；海水浴场；海洋自然</w:t>
            </w:r>
            <w:r>
              <w:rPr>
                <w:sz w:val="21"/>
                <w:szCs w:val="21"/>
                <w:spacing w:val="-4"/>
              </w:rPr>
              <w:t>历史遗址；风景</w:t>
            </w:r>
            <w:r>
              <w:rPr>
                <w:sz w:val="21"/>
                <w:szCs w:val="21"/>
              </w:rPr>
              <w:t xml:space="preserve">   </w:t>
            </w:r>
            <w:r>
              <w:rPr>
                <w:sz w:val="21"/>
                <w:szCs w:val="21"/>
                <w:spacing w:val="-1"/>
              </w:rPr>
              <w:t>名胜区；或其他特殊重要保护区域。</w:t>
            </w:r>
          </w:p>
        </w:tc>
      </w:tr>
      <w:tr>
        <w:trPr>
          <w:trHeight w:val="1097" w:hRule="atLeast"/>
        </w:trPr>
        <w:tc>
          <w:tcPr>
            <w:tcW w:w="914" w:type="dxa"/>
            <w:vAlign w:val="top"/>
          </w:tcPr>
          <w:p>
            <w:pPr>
              <w:spacing w:line="437" w:lineRule="auto"/>
              <w:rPr>
                <w:rFonts w:ascii="Arial"/>
                <w:sz w:val="21"/>
              </w:rPr>
            </w:pPr>
            <w:r/>
          </w:p>
          <w:p>
            <w:pPr>
              <w:pStyle w:val="TableText"/>
              <w:ind w:left="344"/>
              <w:spacing w:before="69" w:line="183" w:lineRule="auto"/>
              <w:rPr>
                <w:sz w:val="21"/>
                <w:szCs w:val="21"/>
              </w:rPr>
            </w:pPr>
            <w:r>
              <w:rPr>
                <w:sz w:val="21"/>
                <w:szCs w:val="21"/>
                <w:spacing w:val="-3"/>
              </w:rPr>
              <w:t>S2</w:t>
            </w:r>
          </w:p>
        </w:tc>
        <w:tc>
          <w:tcPr>
            <w:tcW w:w="8159" w:type="dxa"/>
            <w:vAlign w:val="top"/>
          </w:tcPr>
          <w:p>
            <w:pPr>
              <w:pStyle w:val="TableText"/>
              <w:ind w:left="80" w:right="77" w:firstLine="99"/>
              <w:spacing w:before="54" w:line="227" w:lineRule="auto"/>
              <w:rPr>
                <w:sz w:val="21"/>
                <w:szCs w:val="21"/>
              </w:rPr>
            </w:pPr>
            <w:r>
              <w:rPr>
                <w:sz w:val="21"/>
                <w:szCs w:val="21"/>
              </w:rPr>
              <w:t>发生事故时，危险物质泄漏到内陆水体的排放点下游(顺水流向)10km范围内、近岸海</w:t>
            </w:r>
            <w:r>
              <w:rPr>
                <w:sz w:val="21"/>
                <w:szCs w:val="21"/>
                <w:spacing w:val="4"/>
              </w:rPr>
              <w:t xml:space="preserve">  </w:t>
            </w:r>
            <w:r>
              <w:rPr>
                <w:sz w:val="21"/>
                <w:szCs w:val="21"/>
              </w:rPr>
              <w:t>域一个潮周期水质点可能达到的最大水平距离的两倍范围内，</w:t>
            </w:r>
            <w:r>
              <w:rPr>
                <w:sz w:val="21"/>
                <w:szCs w:val="21"/>
                <w:spacing w:val="-1"/>
              </w:rPr>
              <w:t>有如下一类或多类环境风</w:t>
            </w:r>
            <w:r>
              <w:rPr>
                <w:sz w:val="21"/>
                <w:szCs w:val="21"/>
              </w:rPr>
              <w:t xml:space="preserve"> </w:t>
            </w:r>
            <w:r>
              <w:rPr>
                <w:sz w:val="21"/>
                <w:szCs w:val="21"/>
              </w:rPr>
              <w:t>险受体的：水产养殖区；天然渔场；森林公园；地质公园；海滨风景旅游区；具有重要</w:t>
            </w:r>
            <w:r>
              <w:rPr>
                <w:sz w:val="21"/>
                <w:szCs w:val="21"/>
                <w:spacing w:val="9"/>
              </w:rPr>
              <w:t xml:space="preserve"> </w:t>
            </w:r>
            <w:r>
              <w:rPr>
                <w:sz w:val="21"/>
                <w:szCs w:val="21"/>
                <w:spacing w:val="2"/>
              </w:rPr>
              <w:t>经济价值的海洋生物生存区域。</w:t>
            </w:r>
          </w:p>
        </w:tc>
      </w:tr>
      <w:tr>
        <w:trPr>
          <w:trHeight w:val="544" w:hRule="atLeast"/>
        </w:trPr>
        <w:tc>
          <w:tcPr>
            <w:tcW w:w="914" w:type="dxa"/>
            <w:vAlign w:val="top"/>
          </w:tcPr>
          <w:p>
            <w:pPr>
              <w:pStyle w:val="TableText"/>
              <w:ind w:left="344"/>
              <w:spacing w:before="231" w:line="183" w:lineRule="auto"/>
              <w:rPr>
                <w:sz w:val="21"/>
                <w:szCs w:val="21"/>
              </w:rPr>
            </w:pPr>
            <w:r>
              <w:rPr>
                <w:sz w:val="21"/>
                <w:szCs w:val="21"/>
                <w:spacing w:val="-3"/>
              </w:rPr>
              <w:t>S3</w:t>
            </w:r>
          </w:p>
        </w:tc>
        <w:tc>
          <w:tcPr>
            <w:tcW w:w="8159" w:type="dxa"/>
            <w:vAlign w:val="top"/>
          </w:tcPr>
          <w:p>
            <w:pPr>
              <w:pStyle w:val="TableText"/>
              <w:ind w:left="120" w:right="206" w:firstLine="59"/>
              <w:spacing w:before="38" w:line="218" w:lineRule="auto"/>
              <w:rPr>
                <w:sz w:val="21"/>
                <w:szCs w:val="21"/>
              </w:rPr>
            </w:pPr>
            <w:r>
              <w:rPr>
                <w:sz w:val="21"/>
                <w:szCs w:val="21"/>
              </w:rPr>
              <w:t>排放点下游(顺水流向)10km范围、近岸海域一个潮周期水质点</w:t>
            </w:r>
            <w:r>
              <w:rPr>
                <w:sz w:val="21"/>
                <w:szCs w:val="21"/>
                <w:spacing w:val="-1"/>
              </w:rPr>
              <w:t>可能达到的最大水平距</w:t>
            </w:r>
            <w:r>
              <w:rPr>
                <w:sz w:val="21"/>
                <w:szCs w:val="21"/>
              </w:rPr>
              <w:t xml:space="preserve"> </w:t>
            </w:r>
            <w:r>
              <w:rPr>
                <w:sz w:val="21"/>
                <w:szCs w:val="21"/>
              </w:rPr>
              <w:t>离的两倍范围内无上述类型1和类型2包括的敏</w:t>
            </w:r>
            <w:r>
              <w:rPr>
                <w:sz w:val="21"/>
                <w:szCs w:val="21"/>
                <w:spacing w:val="-1"/>
              </w:rPr>
              <w:t>感保护目标。</w:t>
            </w:r>
          </w:p>
        </w:tc>
      </w:tr>
    </w:tbl>
    <w:p>
      <w:pPr>
        <w:pStyle w:val="BodyText"/>
        <w:ind w:left="624"/>
        <w:spacing w:before="54" w:line="219" w:lineRule="auto"/>
        <w:rPr>
          <w:sz w:val="23"/>
          <w:szCs w:val="23"/>
        </w:rPr>
      </w:pPr>
      <w:r>
        <w:rPr>
          <w:sz w:val="23"/>
          <w:szCs w:val="23"/>
        </w:rPr>
        <w:t>项目厂区设有事故应急池，雨水系统设有防控措施，事故情况下危险物质不直接</w:t>
      </w:r>
    </w:p>
    <w:p>
      <w:pPr>
        <w:pStyle w:val="BodyText"/>
        <w:ind w:left="124"/>
        <w:spacing w:before="162" w:line="470" w:lineRule="exact"/>
        <w:rPr>
          <w:sz w:val="24"/>
          <w:szCs w:val="24"/>
        </w:rPr>
      </w:pPr>
      <w:r>
        <w:rPr>
          <w:sz w:val="24"/>
          <w:szCs w:val="24"/>
          <w:spacing w:val="-1"/>
          <w:position w:val="17"/>
        </w:rPr>
        <w:t>进入地表水水域环境。则项目地表水功能敏感性分区属于低敏感</w:t>
      </w:r>
      <w:r>
        <w:rPr>
          <w:rFonts w:ascii="Times New Roman" w:hAnsi="Times New Roman" w:eastAsia="Times New Roman" w:cs="Times New Roman"/>
          <w:sz w:val="24"/>
          <w:szCs w:val="24"/>
          <w:spacing w:val="-1"/>
          <w:position w:val="17"/>
        </w:rPr>
        <w:t>F3;  </w:t>
      </w:r>
      <w:r>
        <w:rPr>
          <w:sz w:val="24"/>
          <w:szCs w:val="24"/>
          <w:spacing w:val="-1"/>
          <w:position w:val="17"/>
        </w:rPr>
        <w:t>环境敏感目标分</w:t>
      </w:r>
    </w:p>
    <w:p>
      <w:pPr>
        <w:pStyle w:val="BodyText"/>
        <w:ind w:left="124"/>
        <w:spacing w:line="212" w:lineRule="auto"/>
        <w:rPr>
          <w:sz w:val="24"/>
          <w:szCs w:val="24"/>
        </w:rPr>
      </w:pPr>
      <w:r>
        <w:rPr>
          <w:sz w:val="24"/>
          <w:szCs w:val="24"/>
          <w:spacing w:val="-4"/>
        </w:rPr>
        <w:t>级属于</w:t>
      </w:r>
      <w:r>
        <w:rPr>
          <w:sz w:val="24"/>
          <w:szCs w:val="24"/>
          <w:spacing w:val="-33"/>
        </w:rPr>
        <w:t xml:space="preserve"> </w:t>
      </w:r>
      <w:r>
        <w:rPr>
          <w:rFonts w:ascii="Times New Roman" w:hAnsi="Times New Roman" w:eastAsia="Times New Roman" w:cs="Times New Roman"/>
          <w:sz w:val="24"/>
          <w:szCs w:val="24"/>
          <w:spacing w:val="-4"/>
        </w:rPr>
        <w:t>S3;</w:t>
      </w:r>
      <w:r>
        <w:rPr>
          <w:rFonts w:ascii="Times New Roman" w:hAnsi="Times New Roman" w:eastAsia="Times New Roman" w:cs="Times New Roman"/>
          <w:sz w:val="24"/>
          <w:szCs w:val="24"/>
          <w:spacing w:val="28"/>
        </w:rPr>
        <w:t xml:space="preserve">  </w:t>
      </w:r>
      <w:r>
        <w:rPr>
          <w:sz w:val="24"/>
          <w:szCs w:val="24"/>
          <w:spacing w:val="-4"/>
        </w:rPr>
        <w:t>项目地表水环境敏感程度分级为</w:t>
      </w:r>
      <w:r>
        <w:rPr>
          <w:sz w:val="24"/>
          <w:szCs w:val="24"/>
          <w:spacing w:val="-37"/>
        </w:rPr>
        <w:t xml:space="preserve"> </w:t>
      </w:r>
      <w:r>
        <w:rPr>
          <w:rFonts w:ascii="Times New Roman" w:hAnsi="Times New Roman" w:eastAsia="Times New Roman" w:cs="Times New Roman"/>
          <w:sz w:val="24"/>
          <w:szCs w:val="24"/>
          <w:spacing w:val="-4"/>
        </w:rPr>
        <w:t>E3 </w:t>
      </w:r>
      <w:r>
        <w:rPr>
          <w:sz w:val="24"/>
          <w:szCs w:val="24"/>
          <w:spacing w:val="-4"/>
        </w:rPr>
        <w:t>环境低度敏感区。</w:t>
      </w:r>
    </w:p>
    <w:p>
      <w:pPr>
        <w:pStyle w:val="BodyText"/>
        <w:ind w:left="585"/>
        <w:spacing w:before="211" w:line="219" w:lineRule="auto"/>
        <w:rPr>
          <w:sz w:val="24"/>
          <w:szCs w:val="24"/>
        </w:rPr>
      </w:pPr>
      <w:r>
        <w:rPr>
          <w:sz w:val="24"/>
          <w:szCs w:val="24"/>
          <w:spacing w:val="15"/>
        </w:rPr>
        <w:t>3)地下水环境</w:t>
      </w:r>
    </w:p>
    <w:p>
      <w:pPr>
        <w:pStyle w:val="BodyText"/>
        <w:ind w:left="124" w:right="140" w:firstLine="500"/>
        <w:spacing w:before="273" w:line="316" w:lineRule="auto"/>
        <w:jc w:val="both"/>
        <w:rPr>
          <w:sz w:val="24"/>
          <w:szCs w:val="24"/>
        </w:rPr>
      </w:pPr>
      <w:r>
        <w:rPr>
          <w:sz w:val="24"/>
          <w:szCs w:val="24"/>
          <w:spacing w:val="-3"/>
        </w:rPr>
        <w:t>依据地下水功能敏感性与包气带防污性能，共分为三种类型，</w:t>
      </w:r>
      <w:r>
        <w:rPr>
          <w:rFonts w:ascii="Times New Roman" w:hAnsi="Times New Roman" w:eastAsia="Times New Roman" w:cs="Times New Roman"/>
          <w:sz w:val="24"/>
          <w:szCs w:val="24"/>
          <w:spacing w:val="-3"/>
        </w:rPr>
        <w:t>E1</w:t>
      </w:r>
      <w:r>
        <w:rPr>
          <w:sz w:val="24"/>
          <w:szCs w:val="24"/>
          <w:spacing w:val="-3"/>
        </w:rPr>
        <w:t>为环境高度敏感</w:t>
      </w:r>
      <w:r>
        <w:rPr>
          <w:sz w:val="24"/>
          <w:szCs w:val="24"/>
          <w:spacing w:val="8"/>
        </w:rPr>
        <w:t xml:space="preserve"> </w:t>
      </w:r>
      <w:r>
        <w:rPr>
          <w:sz w:val="24"/>
          <w:szCs w:val="24"/>
          <w:spacing w:val="-5"/>
        </w:rPr>
        <w:t>区，</w:t>
      </w:r>
      <w:r>
        <w:rPr>
          <w:rFonts w:ascii="Times New Roman" w:hAnsi="Times New Roman" w:eastAsia="Times New Roman" w:cs="Times New Roman"/>
          <w:sz w:val="24"/>
          <w:szCs w:val="24"/>
          <w:spacing w:val="-5"/>
        </w:rPr>
        <w:t>E2</w:t>
      </w:r>
      <w:r>
        <w:rPr>
          <w:sz w:val="24"/>
          <w:szCs w:val="24"/>
          <w:spacing w:val="-5"/>
        </w:rPr>
        <w:t>为环境中度敏感区， </w:t>
      </w:r>
      <w:r>
        <w:rPr>
          <w:rFonts w:ascii="Times New Roman" w:hAnsi="Times New Roman" w:eastAsia="Times New Roman" w:cs="Times New Roman"/>
          <w:sz w:val="24"/>
          <w:szCs w:val="24"/>
          <w:spacing w:val="-5"/>
        </w:rPr>
        <w:t>E3</w:t>
      </w:r>
      <w:r>
        <w:rPr>
          <w:sz w:val="24"/>
          <w:szCs w:val="24"/>
          <w:spacing w:val="-5"/>
        </w:rPr>
        <w:t>为环境低度敏感区，分级原</w:t>
      </w:r>
      <w:r>
        <w:rPr>
          <w:sz w:val="24"/>
          <w:szCs w:val="24"/>
          <w:spacing w:val="-6"/>
        </w:rPr>
        <w:t>则见表3.2-6</w:t>
      </w:r>
      <w:r>
        <w:rPr>
          <w:rFonts w:ascii="Times New Roman" w:hAnsi="Times New Roman" w:eastAsia="Times New Roman" w:cs="Times New Roman"/>
          <w:sz w:val="24"/>
          <w:szCs w:val="24"/>
          <w:spacing w:val="-6"/>
        </w:rPr>
        <w:t>a</w:t>
      </w:r>
      <w:r>
        <w:rPr>
          <w:sz w:val="24"/>
          <w:szCs w:val="24"/>
          <w:spacing w:val="-6"/>
        </w:rPr>
        <w:t>。其中地下水</w:t>
      </w:r>
    </w:p>
    <w:p>
      <w:pPr>
        <w:pStyle w:val="BodyText"/>
        <w:ind w:left="124"/>
        <w:spacing w:line="219" w:lineRule="auto"/>
        <w:rPr>
          <w:sz w:val="24"/>
          <w:szCs w:val="24"/>
        </w:rPr>
      </w:pPr>
      <w:r>
        <w:rPr>
          <w:sz w:val="24"/>
          <w:szCs w:val="24"/>
          <w:spacing w:val="-7"/>
        </w:rPr>
        <w:t>功能敏感性分区和包气带防污性能分级分别见表3.2-6</w:t>
      </w:r>
      <w:r>
        <w:rPr>
          <w:rFonts w:ascii="Times New Roman" w:hAnsi="Times New Roman" w:eastAsia="Times New Roman" w:cs="Times New Roman"/>
          <w:sz w:val="24"/>
          <w:szCs w:val="24"/>
          <w:spacing w:val="-7"/>
        </w:rPr>
        <w:t>b</w:t>
      </w:r>
      <w:r>
        <w:rPr>
          <w:sz w:val="24"/>
          <w:szCs w:val="24"/>
          <w:spacing w:val="-7"/>
        </w:rPr>
        <w:t>和表3.2-6</w:t>
      </w:r>
      <w:r>
        <w:rPr>
          <w:rFonts w:ascii="Times New Roman" w:hAnsi="Times New Roman" w:eastAsia="Times New Roman" w:cs="Times New Roman"/>
          <w:sz w:val="24"/>
          <w:szCs w:val="24"/>
          <w:spacing w:val="-7"/>
        </w:rPr>
        <w:t>c</w:t>
      </w:r>
      <w:r>
        <w:rPr>
          <w:sz w:val="24"/>
          <w:szCs w:val="24"/>
          <w:spacing w:val="-7"/>
        </w:rPr>
        <w:t>。</w:t>
      </w:r>
    </w:p>
    <w:p>
      <w:pPr>
        <w:pStyle w:val="BodyText"/>
        <w:ind w:left="2658"/>
        <w:spacing w:before="62" w:line="219" w:lineRule="auto"/>
        <w:rPr>
          <w:sz w:val="24"/>
          <w:szCs w:val="24"/>
        </w:rPr>
      </w:pPr>
      <w:r>
        <w:rPr>
          <w:sz w:val="24"/>
          <w:szCs w:val="24"/>
          <w:b/>
          <w:bCs/>
          <w:spacing w:val="-5"/>
        </w:rPr>
        <w:t>表3.2-6</w:t>
      </w:r>
      <w:r>
        <w:rPr>
          <w:rFonts w:ascii="Times New Roman" w:hAnsi="Times New Roman" w:eastAsia="Times New Roman" w:cs="Times New Roman"/>
          <w:sz w:val="24"/>
          <w:szCs w:val="24"/>
          <w:b/>
          <w:bCs/>
          <w:spacing w:val="-5"/>
        </w:rPr>
        <w:t>a</w:t>
      </w:r>
      <w:r>
        <w:rPr>
          <w:rFonts w:ascii="Times New Roman" w:hAnsi="Times New Roman" w:eastAsia="Times New Roman" w:cs="Times New Roman"/>
          <w:sz w:val="24"/>
          <w:szCs w:val="24"/>
          <w:b/>
          <w:bCs/>
          <w:spacing w:val="14"/>
        </w:rPr>
        <w:t xml:space="preserve">   </w:t>
      </w:r>
      <w:r>
        <w:rPr>
          <w:sz w:val="24"/>
          <w:szCs w:val="24"/>
          <w:b/>
          <w:bCs/>
          <w:spacing w:val="-5"/>
        </w:rPr>
        <w:t>地下水环境敏感程度分级</w:t>
      </w:r>
    </w:p>
    <w:p>
      <w:pPr>
        <w:spacing w:line="144" w:lineRule="exact"/>
        <w:rPr/>
      </w:pPr>
      <w:r/>
    </w:p>
    <w:tbl>
      <w:tblPr>
        <w:tblStyle w:val="TableNormal"/>
        <w:tblW w:w="906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93"/>
        <w:gridCol w:w="2287"/>
        <w:gridCol w:w="2287"/>
        <w:gridCol w:w="2302"/>
      </w:tblGrid>
      <w:tr>
        <w:trPr>
          <w:trHeight w:val="343" w:hRule="atLeast"/>
        </w:trPr>
        <w:tc>
          <w:tcPr>
            <w:tcW w:w="2193" w:type="dxa"/>
            <w:vAlign w:val="top"/>
            <w:vMerge w:val="restart"/>
            <w:tcBorders>
              <w:bottom w:val="nil"/>
            </w:tcBorders>
          </w:tcPr>
          <w:p>
            <w:pPr>
              <w:pStyle w:val="TableText"/>
              <w:ind w:left="384"/>
              <w:spacing w:before="243" w:line="219" w:lineRule="auto"/>
              <w:rPr>
                <w:sz w:val="20"/>
                <w:szCs w:val="20"/>
              </w:rPr>
            </w:pPr>
            <w:r>
              <w:rPr>
                <w:sz w:val="20"/>
                <w:szCs w:val="20"/>
                <w:spacing w:val="-1"/>
              </w:rPr>
              <w:t>包气带防污性能</w:t>
            </w:r>
          </w:p>
        </w:tc>
        <w:tc>
          <w:tcPr>
            <w:tcW w:w="6876" w:type="dxa"/>
            <w:vAlign w:val="top"/>
            <w:gridSpan w:val="3"/>
          </w:tcPr>
          <w:p>
            <w:pPr>
              <w:pStyle w:val="TableText"/>
              <w:ind w:left="2591"/>
              <w:spacing w:before="73" w:line="219" w:lineRule="auto"/>
              <w:rPr>
                <w:sz w:val="20"/>
                <w:szCs w:val="20"/>
              </w:rPr>
            </w:pPr>
            <w:r>
              <w:rPr>
                <w:sz w:val="20"/>
                <w:szCs w:val="20"/>
                <w:spacing w:val="-1"/>
              </w:rPr>
              <w:t>地下水功能敏感性</w:t>
            </w:r>
          </w:p>
        </w:tc>
      </w:tr>
      <w:tr>
        <w:trPr>
          <w:trHeight w:val="328" w:hRule="atLeast"/>
        </w:trPr>
        <w:tc>
          <w:tcPr>
            <w:tcW w:w="2193" w:type="dxa"/>
            <w:vAlign w:val="top"/>
            <w:vMerge w:val="continue"/>
            <w:tcBorders>
              <w:top w:val="nil"/>
            </w:tcBorders>
          </w:tcPr>
          <w:p>
            <w:pPr>
              <w:rPr>
                <w:rFonts w:ascii="Arial"/>
                <w:sz w:val="21"/>
              </w:rPr>
            </w:pPr>
            <w:r/>
          </w:p>
        </w:tc>
        <w:tc>
          <w:tcPr>
            <w:tcW w:w="2287" w:type="dxa"/>
            <w:vAlign w:val="top"/>
          </w:tcPr>
          <w:p>
            <w:pPr>
              <w:pStyle w:val="TableText"/>
              <w:ind w:left="1032"/>
              <w:spacing w:before="120" w:line="182" w:lineRule="auto"/>
              <w:rPr>
                <w:sz w:val="20"/>
                <w:szCs w:val="20"/>
              </w:rPr>
            </w:pPr>
            <w:r>
              <w:rPr>
                <w:sz w:val="20"/>
                <w:szCs w:val="20"/>
                <w:spacing w:val="-2"/>
              </w:rPr>
              <w:t>G1</w:t>
            </w:r>
          </w:p>
        </w:tc>
        <w:tc>
          <w:tcPr>
            <w:tcW w:w="2287" w:type="dxa"/>
            <w:vAlign w:val="top"/>
          </w:tcPr>
          <w:p>
            <w:pPr>
              <w:pStyle w:val="TableText"/>
              <w:ind w:left="1034"/>
              <w:spacing w:before="121" w:line="181" w:lineRule="auto"/>
              <w:rPr>
                <w:sz w:val="20"/>
                <w:szCs w:val="20"/>
              </w:rPr>
            </w:pPr>
            <w:r>
              <w:rPr>
                <w:sz w:val="20"/>
                <w:szCs w:val="20"/>
                <w:spacing w:val="-2"/>
              </w:rPr>
              <w:t>G2</w:t>
            </w:r>
          </w:p>
        </w:tc>
        <w:tc>
          <w:tcPr>
            <w:tcW w:w="2302" w:type="dxa"/>
            <w:vAlign w:val="top"/>
          </w:tcPr>
          <w:p>
            <w:pPr>
              <w:pStyle w:val="TableText"/>
              <w:ind w:left="1047"/>
              <w:spacing w:before="121" w:line="181" w:lineRule="auto"/>
              <w:rPr>
                <w:sz w:val="20"/>
                <w:szCs w:val="20"/>
              </w:rPr>
            </w:pPr>
            <w:r>
              <w:rPr>
                <w:sz w:val="20"/>
                <w:szCs w:val="20"/>
                <w:spacing w:val="-2"/>
              </w:rPr>
              <w:t>G3</w:t>
            </w:r>
          </w:p>
        </w:tc>
      </w:tr>
      <w:tr>
        <w:trPr>
          <w:trHeight w:val="338" w:hRule="atLeast"/>
        </w:trPr>
        <w:tc>
          <w:tcPr>
            <w:tcW w:w="2193" w:type="dxa"/>
            <w:vAlign w:val="top"/>
          </w:tcPr>
          <w:p>
            <w:pPr>
              <w:pStyle w:val="TableText"/>
              <w:ind w:left="984"/>
              <w:spacing w:before="122" w:line="184" w:lineRule="auto"/>
              <w:rPr>
                <w:sz w:val="20"/>
                <w:szCs w:val="20"/>
              </w:rPr>
            </w:pPr>
            <w:r>
              <w:rPr>
                <w:sz w:val="20"/>
                <w:szCs w:val="20"/>
                <w:spacing w:val="-1"/>
              </w:rPr>
              <w:t>D1</w:t>
            </w:r>
          </w:p>
        </w:tc>
        <w:tc>
          <w:tcPr>
            <w:tcW w:w="2287" w:type="dxa"/>
            <w:vAlign w:val="top"/>
          </w:tcPr>
          <w:p>
            <w:pPr>
              <w:pStyle w:val="TableText"/>
              <w:ind w:left="1032"/>
              <w:spacing w:before="122" w:line="184" w:lineRule="auto"/>
              <w:rPr>
                <w:sz w:val="20"/>
                <w:szCs w:val="20"/>
              </w:rPr>
            </w:pPr>
            <w:r>
              <w:rPr>
                <w:sz w:val="20"/>
                <w:szCs w:val="20"/>
                <w:spacing w:val="-2"/>
              </w:rPr>
              <w:t>E1</w:t>
            </w:r>
          </w:p>
        </w:tc>
        <w:tc>
          <w:tcPr>
            <w:tcW w:w="2287" w:type="dxa"/>
            <w:vAlign w:val="top"/>
          </w:tcPr>
          <w:p>
            <w:pPr>
              <w:pStyle w:val="TableText"/>
              <w:ind w:left="1034"/>
              <w:spacing w:before="122" w:line="184" w:lineRule="auto"/>
              <w:rPr>
                <w:sz w:val="20"/>
                <w:szCs w:val="20"/>
              </w:rPr>
            </w:pPr>
            <w:r>
              <w:rPr>
                <w:sz w:val="20"/>
                <w:szCs w:val="20"/>
                <w:spacing w:val="-2"/>
              </w:rPr>
              <w:t>E1</w:t>
            </w:r>
          </w:p>
        </w:tc>
        <w:tc>
          <w:tcPr>
            <w:tcW w:w="2302" w:type="dxa"/>
            <w:vAlign w:val="top"/>
          </w:tcPr>
          <w:p>
            <w:pPr>
              <w:pStyle w:val="TableText"/>
              <w:ind w:left="1047"/>
              <w:spacing w:before="123" w:line="183" w:lineRule="auto"/>
              <w:rPr>
                <w:sz w:val="20"/>
                <w:szCs w:val="20"/>
              </w:rPr>
            </w:pPr>
            <w:r>
              <w:rPr>
                <w:sz w:val="20"/>
                <w:szCs w:val="20"/>
                <w:spacing w:val="-2"/>
              </w:rPr>
              <w:t>E2</w:t>
            </w:r>
          </w:p>
        </w:tc>
      </w:tr>
      <w:tr>
        <w:trPr>
          <w:trHeight w:val="338" w:hRule="atLeast"/>
        </w:trPr>
        <w:tc>
          <w:tcPr>
            <w:tcW w:w="2193" w:type="dxa"/>
            <w:vAlign w:val="top"/>
          </w:tcPr>
          <w:p>
            <w:pPr>
              <w:pStyle w:val="TableText"/>
              <w:ind w:left="984"/>
              <w:spacing w:before="125" w:line="183" w:lineRule="auto"/>
              <w:rPr>
                <w:sz w:val="20"/>
                <w:szCs w:val="20"/>
              </w:rPr>
            </w:pPr>
            <w:r>
              <w:rPr>
                <w:sz w:val="20"/>
                <w:szCs w:val="20"/>
                <w:spacing w:val="-1"/>
              </w:rPr>
              <w:t>D2</w:t>
            </w:r>
          </w:p>
        </w:tc>
        <w:tc>
          <w:tcPr>
            <w:tcW w:w="2287" w:type="dxa"/>
            <w:vAlign w:val="top"/>
          </w:tcPr>
          <w:p>
            <w:pPr>
              <w:pStyle w:val="TableText"/>
              <w:ind w:left="1032"/>
              <w:spacing w:before="124" w:line="184" w:lineRule="auto"/>
              <w:rPr>
                <w:sz w:val="20"/>
                <w:szCs w:val="20"/>
              </w:rPr>
            </w:pPr>
            <w:r>
              <w:rPr>
                <w:sz w:val="20"/>
                <w:szCs w:val="20"/>
                <w:spacing w:val="-2"/>
              </w:rPr>
              <w:t>E1</w:t>
            </w:r>
          </w:p>
        </w:tc>
        <w:tc>
          <w:tcPr>
            <w:tcW w:w="2287" w:type="dxa"/>
            <w:vAlign w:val="top"/>
          </w:tcPr>
          <w:p>
            <w:pPr>
              <w:pStyle w:val="TableText"/>
              <w:ind w:left="1034"/>
              <w:spacing w:before="125" w:line="183" w:lineRule="auto"/>
              <w:rPr>
                <w:sz w:val="20"/>
                <w:szCs w:val="20"/>
              </w:rPr>
            </w:pPr>
            <w:r>
              <w:rPr>
                <w:sz w:val="20"/>
                <w:szCs w:val="20"/>
                <w:spacing w:val="-2"/>
              </w:rPr>
              <w:t>E2</w:t>
            </w:r>
          </w:p>
        </w:tc>
        <w:tc>
          <w:tcPr>
            <w:tcW w:w="2302" w:type="dxa"/>
            <w:vAlign w:val="top"/>
          </w:tcPr>
          <w:p>
            <w:pPr>
              <w:pStyle w:val="TableText"/>
              <w:ind w:left="1047"/>
              <w:spacing w:before="125" w:line="183" w:lineRule="auto"/>
              <w:rPr>
                <w:sz w:val="20"/>
                <w:szCs w:val="20"/>
              </w:rPr>
            </w:pPr>
            <w:r>
              <w:rPr>
                <w:sz w:val="20"/>
                <w:szCs w:val="20"/>
                <w:spacing w:val="-2"/>
              </w:rPr>
              <w:t>E3</w:t>
            </w:r>
          </w:p>
        </w:tc>
      </w:tr>
      <w:tr>
        <w:trPr>
          <w:trHeight w:val="353" w:hRule="atLeast"/>
        </w:trPr>
        <w:tc>
          <w:tcPr>
            <w:tcW w:w="2193" w:type="dxa"/>
            <w:vAlign w:val="top"/>
          </w:tcPr>
          <w:p>
            <w:pPr>
              <w:pStyle w:val="TableText"/>
              <w:ind w:left="984"/>
              <w:spacing w:before="137" w:line="183" w:lineRule="auto"/>
              <w:rPr>
                <w:sz w:val="20"/>
                <w:szCs w:val="20"/>
              </w:rPr>
            </w:pPr>
            <w:r>
              <w:rPr>
                <w:sz w:val="20"/>
                <w:szCs w:val="20"/>
                <w:spacing w:val="-1"/>
              </w:rPr>
              <w:t>D3</w:t>
            </w:r>
          </w:p>
        </w:tc>
        <w:tc>
          <w:tcPr>
            <w:tcW w:w="2287" w:type="dxa"/>
            <w:vAlign w:val="top"/>
          </w:tcPr>
          <w:p>
            <w:pPr>
              <w:pStyle w:val="TableText"/>
              <w:ind w:left="1032"/>
              <w:spacing w:before="137" w:line="183" w:lineRule="auto"/>
              <w:rPr>
                <w:sz w:val="20"/>
                <w:szCs w:val="20"/>
              </w:rPr>
            </w:pPr>
            <w:r>
              <w:rPr>
                <w:sz w:val="20"/>
                <w:szCs w:val="20"/>
                <w:spacing w:val="-2"/>
              </w:rPr>
              <w:t>E2</w:t>
            </w:r>
          </w:p>
        </w:tc>
        <w:tc>
          <w:tcPr>
            <w:tcW w:w="2287" w:type="dxa"/>
            <w:vAlign w:val="top"/>
          </w:tcPr>
          <w:p>
            <w:pPr>
              <w:pStyle w:val="TableText"/>
              <w:ind w:left="1034"/>
              <w:spacing w:before="137" w:line="183" w:lineRule="auto"/>
              <w:rPr>
                <w:sz w:val="20"/>
                <w:szCs w:val="20"/>
              </w:rPr>
            </w:pPr>
            <w:r>
              <w:rPr>
                <w:sz w:val="20"/>
                <w:szCs w:val="20"/>
                <w:spacing w:val="-2"/>
              </w:rPr>
              <w:t>E3</w:t>
            </w:r>
          </w:p>
        </w:tc>
        <w:tc>
          <w:tcPr>
            <w:tcW w:w="2302" w:type="dxa"/>
            <w:vAlign w:val="top"/>
          </w:tcPr>
          <w:p>
            <w:pPr>
              <w:pStyle w:val="TableText"/>
              <w:ind w:left="1047"/>
              <w:spacing w:before="137" w:line="183" w:lineRule="auto"/>
              <w:rPr>
                <w:sz w:val="20"/>
                <w:szCs w:val="20"/>
              </w:rPr>
            </w:pPr>
            <w:r>
              <w:rPr>
                <w:sz w:val="20"/>
                <w:szCs w:val="20"/>
                <w:spacing w:val="-2"/>
              </w:rPr>
              <w:t>E3</w:t>
            </w:r>
          </w:p>
        </w:tc>
      </w:tr>
    </w:tbl>
    <w:p>
      <w:pPr>
        <w:rPr>
          <w:rFonts w:ascii="Arial"/>
          <w:sz w:val="21"/>
        </w:rPr>
      </w:pPr>
      <w:r/>
    </w:p>
    <w:p>
      <w:pPr>
        <w:sectPr>
          <w:footerReference w:type="default" r:id="rId179"/>
          <w:pgSz w:w="11900" w:h="16840"/>
          <w:pgMar w:top="1275" w:right="1401" w:bottom="988" w:left="1405" w:header="0" w:footer="849" w:gutter="0"/>
        </w:sectPr>
        <w:rPr>
          <w:rFonts w:ascii="Arial" w:hAnsi="Arial" w:eastAsia="Arial" w:cs="Arial"/>
          <w:sz w:val="21"/>
          <w:szCs w:val="21"/>
        </w:rPr>
      </w:pPr>
    </w:p>
    <w:p>
      <w:pPr>
        <w:pStyle w:val="BodyText"/>
        <w:ind w:left="2778"/>
        <w:spacing w:before="48" w:line="219" w:lineRule="auto"/>
        <w:rPr>
          <w:sz w:val="24"/>
          <w:szCs w:val="24"/>
        </w:rPr>
      </w:pPr>
      <w:r>
        <w:rPr>
          <w:sz w:val="24"/>
          <w:szCs w:val="24"/>
          <w:b/>
          <w:bCs/>
          <w:spacing w:val="-9"/>
        </w:rPr>
        <w:t>表3.2-6</w:t>
      </w:r>
      <w:r>
        <w:rPr>
          <w:rFonts w:ascii="Arial" w:hAnsi="Arial" w:eastAsia="Arial" w:cs="Arial"/>
          <w:sz w:val="24"/>
          <w:szCs w:val="24"/>
          <w:b/>
          <w:bCs/>
          <w:spacing w:val="-9"/>
        </w:rPr>
        <w:t>b</w:t>
      </w:r>
      <w:r>
        <w:rPr>
          <w:rFonts w:ascii="Arial" w:hAnsi="Arial" w:eastAsia="Arial" w:cs="Arial"/>
          <w:sz w:val="24"/>
          <w:szCs w:val="24"/>
          <w:b/>
          <w:bCs/>
          <w:spacing w:val="15"/>
        </w:rPr>
        <w:t xml:space="preserve">   </w:t>
      </w:r>
      <w:r>
        <w:rPr>
          <w:sz w:val="24"/>
          <w:szCs w:val="24"/>
          <w:b/>
          <w:bCs/>
          <w:spacing w:val="-9"/>
        </w:rPr>
        <w:t>地下水功能敏感性分级</w:t>
      </w:r>
    </w:p>
    <w:p>
      <w:pPr>
        <w:spacing w:line="143" w:lineRule="exact"/>
        <w:rPr/>
      </w:pPr>
      <w:r/>
    </w:p>
    <w:tbl>
      <w:tblPr>
        <w:tblStyle w:val="TableNormal"/>
        <w:tblW w:w="906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2"/>
        <w:gridCol w:w="6867"/>
      </w:tblGrid>
      <w:tr>
        <w:trPr>
          <w:trHeight w:val="344" w:hRule="atLeast"/>
        </w:trPr>
        <w:tc>
          <w:tcPr>
            <w:tcW w:w="2202" w:type="dxa"/>
            <w:vAlign w:val="top"/>
          </w:tcPr>
          <w:p>
            <w:pPr>
              <w:pStyle w:val="TableText"/>
              <w:ind w:left="894"/>
              <w:spacing w:before="73" w:line="220" w:lineRule="auto"/>
              <w:rPr>
                <w:sz w:val="20"/>
                <w:szCs w:val="20"/>
              </w:rPr>
            </w:pPr>
            <w:r>
              <w:rPr>
                <w:sz w:val="20"/>
                <w:szCs w:val="20"/>
                <w:spacing w:val="6"/>
              </w:rPr>
              <w:t>分级</w:t>
            </w:r>
          </w:p>
        </w:tc>
        <w:tc>
          <w:tcPr>
            <w:tcW w:w="6867" w:type="dxa"/>
            <w:vAlign w:val="top"/>
          </w:tcPr>
          <w:p>
            <w:pPr>
              <w:pStyle w:val="TableText"/>
              <w:ind w:left="2523"/>
              <w:spacing w:before="73" w:line="219" w:lineRule="auto"/>
              <w:rPr>
                <w:sz w:val="20"/>
                <w:szCs w:val="20"/>
              </w:rPr>
            </w:pPr>
            <w:r>
              <w:rPr>
                <w:sz w:val="20"/>
                <w:szCs w:val="20"/>
                <w:spacing w:val="-1"/>
              </w:rPr>
              <w:t>地下水环境敏感特征</w:t>
            </w:r>
          </w:p>
        </w:tc>
      </w:tr>
      <w:tr>
        <w:trPr>
          <w:trHeight w:val="1086" w:hRule="atLeast"/>
        </w:trPr>
        <w:tc>
          <w:tcPr>
            <w:tcW w:w="2202" w:type="dxa"/>
            <w:vAlign w:val="top"/>
          </w:tcPr>
          <w:p>
            <w:pPr>
              <w:spacing w:line="381" w:lineRule="auto"/>
              <w:rPr>
                <w:rFonts w:ascii="Arial"/>
                <w:sz w:val="21"/>
              </w:rPr>
            </w:pPr>
            <w:r/>
          </w:p>
          <w:p>
            <w:pPr>
              <w:pStyle w:val="TableText"/>
              <w:ind w:left="794"/>
              <w:spacing w:before="65" w:line="219" w:lineRule="auto"/>
              <w:rPr>
                <w:sz w:val="20"/>
                <w:szCs w:val="20"/>
              </w:rPr>
            </w:pPr>
            <w:r>
              <w:rPr>
                <w:sz w:val="20"/>
                <w:szCs w:val="20"/>
                <w:spacing w:val="5"/>
              </w:rPr>
              <w:t>敏感G1</w:t>
            </w:r>
          </w:p>
        </w:tc>
        <w:tc>
          <w:tcPr>
            <w:tcW w:w="6867" w:type="dxa"/>
            <w:vAlign w:val="top"/>
          </w:tcPr>
          <w:p>
            <w:pPr>
              <w:pStyle w:val="TableText"/>
              <w:ind w:left="272"/>
              <w:spacing w:before="39" w:line="219" w:lineRule="auto"/>
              <w:rPr>
                <w:sz w:val="20"/>
                <w:szCs w:val="20"/>
              </w:rPr>
            </w:pPr>
            <w:r>
              <w:rPr>
                <w:sz w:val="20"/>
                <w:szCs w:val="20"/>
              </w:rPr>
              <w:t>集中式饮用水水源(包括已建成的在用、备用、应急水源，在建和规划的</w:t>
            </w:r>
          </w:p>
          <w:p>
            <w:pPr>
              <w:pStyle w:val="TableText"/>
              <w:ind w:left="272"/>
              <w:spacing w:before="41" w:line="219" w:lineRule="auto"/>
              <w:rPr>
                <w:sz w:val="20"/>
                <w:szCs w:val="20"/>
              </w:rPr>
            </w:pPr>
            <w:r>
              <w:rPr>
                <w:sz w:val="20"/>
                <w:szCs w:val="20"/>
              </w:rPr>
              <w:t>饮用水水源)准保护区；除集中式饮用水水源以外的国家或地方政府设定</w:t>
            </w:r>
          </w:p>
          <w:p>
            <w:pPr>
              <w:pStyle w:val="TableText"/>
              <w:ind w:left="123" w:right="224" w:firstLine="99"/>
              <w:spacing w:before="24" w:line="229" w:lineRule="auto"/>
              <w:rPr>
                <w:sz w:val="20"/>
                <w:szCs w:val="20"/>
              </w:rPr>
            </w:pPr>
            <w:r>
              <w:rPr>
                <w:sz w:val="20"/>
                <w:szCs w:val="20"/>
              </w:rPr>
              <w:t>的与地下水环境相关的其他保护区，如热水、矿泉水、温泉等特殊地下水</w:t>
            </w:r>
            <w:r>
              <w:rPr>
                <w:sz w:val="20"/>
                <w:szCs w:val="20"/>
                <w:spacing w:val="8"/>
              </w:rPr>
              <w:t xml:space="preserve"> </w:t>
            </w:r>
            <w:r>
              <w:rPr>
                <w:sz w:val="20"/>
                <w:szCs w:val="20"/>
                <w:spacing w:val="3"/>
              </w:rPr>
              <w:t>资源保护区</w:t>
            </w:r>
          </w:p>
        </w:tc>
      </w:tr>
      <w:tr>
        <w:trPr>
          <w:trHeight w:val="1356" w:hRule="atLeast"/>
        </w:trPr>
        <w:tc>
          <w:tcPr>
            <w:tcW w:w="2202" w:type="dxa"/>
            <w:vAlign w:val="top"/>
          </w:tcPr>
          <w:p>
            <w:pPr>
              <w:spacing w:line="257" w:lineRule="auto"/>
              <w:rPr>
                <w:rFonts w:ascii="Arial"/>
                <w:sz w:val="21"/>
              </w:rPr>
            </w:pPr>
            <w:r/>
          </w:p>
          <w:p>
            <w:pPr>
              <w:spacing w:line="258" w:lineRule="auto"/>
              <w:rPr>
                <w:rFonts w:ascii="Arial"/>
                <w:sz w:val="21"/>
              </w:rPr>
            </w:pPr>
            <w:r/>
          </w:p>
          <w:p>
            <w:pPr>
              <w:pStyle w:val="TableText"/>
              <w:ind w:left="694"/>
              <w:spacing w:before="65" w:line="219" w:lineRule="auto"/>
              <w:rPr>
                <w:sz w:val="20"/>
                <w:szCs w:val="20"/>
              </w:rPr>
            </w:pPr>
            <w:r>
              <w:rPr>
                <w:sz w:val="20"/>
                <w:szCs w:val="20"/>
                <w:spacing w:val="2"/>
              </w:rPr>
              <w:t>较敏感G2</w:t>
            </w:r>
          </w:p>
        </w:tc>
        <w:tc>
          <w:tcPr>
            <w:tcW w:w="6867" w:type="dxa"/>
            <w:vAlign w:val="top"/>
          </w:tcPr>
          <w:p>
            <w:pPr>
              <w:pStyle w:val="TableText"/>
              <w:ind w:left="272"/>
              <w:spacing w:before="43" w:line="219" w:lineRule="auto"/>
              <w:rPr>
                <w:sz w:val="20"/>
                <w:szCs w:val="20"/>
              </w:rPr>
            </w:pPr>
            <w:r>
              <w:rPr>
                <w:sz w:val="20"/>
                <w:szCs w:val="20"/>
              </w:rPr>
              <w:t>集中式饮用水水源(包括已建成的在用、备用、应急水源，在建和规划的</w:t>
            </w:r>
          </w:p>
          <w:p>
            <w:pPr>
              <w:pStyle w:val="TableText"/>
              <w:ind w:left="272"/>
              <w:spacing w:before="42" w:line="219" w:lineRule="auto"/>
              <w:rPr>
                <w:sz w:val="20"/>
                <w:szCs w:val="20"/>
              </w:rPr>
            </w:pPr>
            <w:r>
              <w:rPr>
                <w:sz w:val="20"/>
                <w:szCs w:val="20"/>
                <w:spacing w:val="1"/>
              </w:rPr>
              <w:t>饮用水水源)准保护区以外的补给径流区；未划定准</w:t>
            </w:r>
            <w:r>
              <w:rPr>
                <w:sz w:val="20"/>
                <w:szCs w:val="20"/>
              </w:rPr>
              <w:t>保护区的集中式饮用</w:t>
            </w:r>
          </w:p>
          <w:p>
            <w:pPr>
              <w:pStyle w:val="TableText"/>
              <w:ind w:left="222"/>
              <w:spacing w:before="42" w:line="219" w:lineRule="auto"/>
              <w:rPr>
                <w:sz w:val="20"/>
                <w:szCs w:val="20"/>
              </w:rPr>
            </w:pPr>
            <w:r>
              <w:rPr>
                <w:sz w:val="20"/>
                <w:szCs w:val="20"/>
              </w:rPr>
              <w:t>水水源，其保护区以外的补给径流区；分散式饮</w:t>
            </w:r>
            <w:r>
              <w:rPr>
                <w:sz w:val="20"/>
                <w:szCs w:val="20"/>
                <w:spacing w:val="-1"/>
              </w:rPr>
              <w:t>用水水源地；特殊地下水</w:t>
            </w:r>
          </w:p>
          <w:p>
            <w:pPr>
              <w:pStyle w:val="TableText"/>
              <w:ind w:left="322"/>
              <w:spacing w:before="1" w:line="219" w:lineRule="auto"/>
              <w:rPr>
                <w:sz w:val="20"/>
                <w:szCs w:val="20"/>
              </w:rPr>
            </w:pPr>
            <w:r>
              <w:rPr>
                <w:sz w:val="20"/>
                <w:szCs w:val="20"/>
              </w:rPr>
              <w:t>资源(如热水、矿泉水、温泉等)保护区以外的分布区等其他未列入上述</w:t>
            </w:r>
          </w:p>
          <w:p>
            <w:pPr>
              <w:pStyle w:val="TableText"/>
              <w:ind w:left="123"/>
              <w:spacing w:before="64" w:line="187" w:lineRule="auto"/>
              <w:rPr>
                <w:sz w:val="20"/>
                <w:szCs w:val="20"/>
              </w:rPr>
            </w:pPr>
            <w:r>
              <w:rPr>
                <w:sz w:val="20"/>
                <w:szCs w:val="20"/>
                <w:spacing w:val="1"/>
              </w:rPr>
              <w:t>敏感分级的环境敏感区</w:t>
            </w:r>
          </w:p>
        </w:tc>
      </w:tr>
      <w:tr>
        <w:trPr>
          <w:trHeight w:val="339" w:hRule="atLeast"/>
        </w:trPr>
        <w:tc>
          <w:tcPr>
            <w:tcW w:w="2202" w:type="dxa"/>
            <w:vAlign w:val="top"/>
          </w:tcPr>
          <w:p>
            <w:pPr>
              <w:pStyle w:val="TableText"/>
              <w:ind w:left="694"/>
              <w:spacing w:before="77" w:line="219" w:lineRule="auto"/>
              <w:rPr>
                <w:sz w:val="20"/>
                <w:szCs w:val="20"/>
              </w:rPr>
            </w:pPr>
            <w:r>
              <w:rPr>
                <w:sz w:val="20"/>
                <w:szCs w:val="20"/>
                <w:spacing w:val="-2"/>
              </w:rPr>
              <w:t>低敏感G3</w:t>
            </w:r>
          </w:p>
        </w:tc>
        <w:tc>
          <w:tcPr>
            <w:tcW w:w="6867" w:type="dxa"/>
            <w:vAlign w:val="top"/>
          </w:tcPr>
          <w:p>
            <w:pPr>
              <w:pStyle w:val="TableText"/>
              <w:ind w:left="133"/>
              <w:spacing w:before="77" w:line="220" w:lineRule="auto"/>
              <w:rPr>
                <w:sz w:val="20"/>
                <w:szCs w:val="20"/>
              </w:rPr>
            </w:pPr>
            <w:r>
              <w:rPr>
                <w:sz w:val="20"/>
                <w:szCs w:val="20"/>
                <w:spacing w:val="1"/>
              </w:rPr>
              <w:t>上述地区之外的其他地区</w:t>
            </w:r>
          </w:p>
        </w:tc>
      </w:tr>
      <w:tr>
        <w:trPr>
          <w:trHeight w:val="334" w:hRule="atLeast"/>
        </w:trPr>
        <w:tc>
          <w:tcPr>
            <w:tcW w:w="9069" w:type="dxa"/>
            <w:vAlign w:val="top"/>
            <w:gridSpan w:val="2"/>
          </w:tcPr>
          <w:p>
            <w:pPr>
              <w:pStyle w:val="TableText"/>
              <w:ind w:left="114"/>
              <w:spacing w:before="76" w:line="218" w:lineRule="auto"/>
              <w:rPr>
                <w:sz w:val="20"/>
                <w:szCs w:val="20"/>
              </w:rPr>
            </w:pPr>
            <w:r>
              <w:rPr>
                <w:sz w:val="20"/>
                <w:szCs w:val="20"/>
              </w:rPr>
              <w:t>a“环境敏感区”是指《建设项目环境影响评价分类管理名录》中所界定的</w:t>
            </w:r>
            <w:r>
              <w:rPr>
                <w:sz w:val="20"/>
                <w:szCs w:val="20"/>
                <w:spacing w:val="-1"/>
              </w:rPr>
              <w:t>涉及地下水的环境敏感区。</w:t>
            </w:r>
          </w:p>
        </w:tc>
      </w:tr>
    </w:tbl>
    <w:p>
      <w:pPr>
        <w:pStyle w:val="BodyText"/>
        <w:ind w:left="2908"/>
        <w:spacing w:before="51" w:line="219" w:lineRule="auto"/>
        <w:rPr>
          <w:sz w:val="24"/>
          <w:szCs w:val="24"/>
        </w:rPr>
      </w:pPr>
      <w:r>
        <w:rPr>
          <w:sz w:val="24"/>
          <w:szCs w:val="24"/>
          <w:b/>
          <w:bCs/>
          <w:spacing w:val="-8"/>
        </w:rPr>
        <w:t>表3.2-6c</w:t>
      </w:r>
      <w:r>
        <w:rPr>
          <w:sz w:val="24"/>
          <w:szCs w:val="24"/>
          <w:spacing w:val="108"/>
        </w:rPr>
        <w:t xml:space="preserve"> </w:t>
      </w:r>
      <w:r>
        <w:rPr>
          <w:sz w:val="24"/>
          <w:szCs w:val="24"/>
          <w:b/>
          <w:bCs/>
          <w:spacing w:val="-8"/>
        </w:rPr>
        <w:t>包气带防污性能分级</w:t>
      </w:r>
    </w:p>
    <w:p>
      <w:pPr>
        <w:spacing w:line="143" w:lineRule="exact"/>
        <w:rPr/>
      </w:pPr>
      <w:r/>
    </w:p>
    <w:tbl>
      <w:tblPr>
        <w:tblStyle w:val="TableNormal"/>
        <w:tblW w:w="906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92"/>
        <w:gridCol w:w="6877"/>
      </w:tblGrid>
      <w:tr>
        <w:trPr>
          <w:trHeight w:val="343" w:hRule="atLeast"/>
        </w:trPr>
        <w:tc>
          <w:tcPr>
            <w:tcW w:w="2192" w:type="dxa"/>
            <w:vAlign w:val="top"/>
          </w:tcPr>
          <w:p>
            <w:pPr>
              <w:pStyle w:val="TableText"/>
              <w:ind w:left="875"/>
              <w:spacing w:before="74" w:line="220" w:lineRule="auto"/>
              <w:rPr>
                <w:sz w:val="21"/>
                <w:szCs w:val="21"/>
              </w:rPr>
            </w:pPr>
            <w:r>
              <w:rPr>
                <w:sz w:val="21"/>
                <w:szCs w:val="21"/>
                <w:spacing w:val="6"/>
              </w:rPr>
              <w:t>分级</w:t>
            </w:r>
          </w:p>
        </w:tc>
        <w:tc>
          <w:tcPr>
            <w:tcW w:w="6877" w:type="dxa"/>
            <w:vAlign w:val="top"/>
          </w:tcPr>
          <w:p>
            <w:pPr>
              <w:pStyle w:val="TableText"/>
              <w:ind w:left="2412"/>
              <w:spacing w:before="73" w:line="219" w:lineRule="auto"/>
              <w:rPr>
                <w:sz w:val="21"/>
                <w:szCs w:val="21"/>
              </w:rPr>
            </w:pPr>
            <w:r>
              <w:rPr>
                <w:sz w:val="21"/>
                <w:szCs w:val="21"/>
                <w:spacing w:val="-1"/>
              </w:rPr>
              <w:t>包气带岩土的渗透性能</w:t>
            </w:r>
          </w:p>
        </w:tc>
      </w:tr>
      <w:tr>
        <w:trPr>
          <w:trHeight w:val="338" w:hRule="atLeast"/>
        </w:trPr>
        <w:tc>
          <w:tcPr>
            <w:tcW w:w="2192" w:type="dxa"/>
            <w:vAlign w:val="top"/>
          </w:tcPr>
          <w:p>
            <w:pPr>
              <w:pStyle w:val="TableText"/>
              <w:ind w:left="984"/>
              <w:spacing w:before="124" w:line="179" w:lineRule="auto"/>
              <w:rPr>
                <w:sz w:val="21"/>
                <w:szCs w:val="21"/>
              </w:rPr>
            </w:pPr>
            <w:r>
              <w:rPr>
                <w:sz w:val="21"/>
                <w:szCs w:val="21"/>
                <w:spacing w:val="-2"/>
              </w:rPr>
              <w:t>D3</w:t>
            </w:r>
          </w:p>
        </w:tc>
        <w:tc>
          <w:tcPr>
            <w:tcW w:w="6877" w:type="dxa"/>
            <w:vAlign w:val="top"/>
          </w:tcPr>
          <w:p>
            <w:pPr>
              <w:pStyle w:val="TableText"/>
              <w:ind w:left="133"/>
              <w:spacing w:before="67" w:line="216" w:lineRule="auto"/>
              <w:rPr>
                <w:sz w:val="21"/>
                <w:szCs w:val="21"/>
              </w:rPr>
            </w:pPr>
            <w:r>
              <w:rPr>
                <w:sz w:val="21"/>
                <w:szCs w:val="21"/>
              </w:rPr>
              <w:t>Mb≥1.0m,K≤1.0×10-cm/s,且分布连续</w:t>
            </w:r>
            <w:r>
              <w:rPr>
                <w:sz w:val="21"/>
                <w:szCs w:val="21"/>
                <w:spacing w:val="-1"/>
              </w:rPr>
              <w:t>、稳定</w:t>
            </w:r>
          </w:p>
        </w:tc>
      </w:tr>
      <w:tr>
        <w:trPr>
          <w:trHeight w:val="527" w:hRule="atLeast"/>
        </w:trPr>
        <w:tc>
          <w:tcPr>
            <w:tcW w:w="2192" w:type="dxa"/>
            <w:vAlign w:val="top"/>
          </w:tcPr>
          <w:p>
            <w:pPr>
              <w:pStyle w:val="TableText"/>
              <w:ind w:left="984"/>
              <w:spacing w:before="216" w:line="183" w:lineRule="auto"/>
              <w:rPr>
                <w:sz w:val="21"/>
                <w:szCs w:val="21"/>
              </w:rPr>
            </w:pPr>
            <w:r>
              <w:rPr>
                <w:sz w:val="21"/>
                <w:szCs w:val="21"/>
                <w:spacing w:val="-2"/>
              </w:rPr>
              <w:t>D2</w:t>
            </w:r>
          </w:p>
        </w:tc>
        <w:tc>
          <w:tcPr>
            <w:tcW w:w="6877" w:type="dxa"/>
            <w:vAlign w:val="top"/>
          </w:tcPr>
          <w:p>
            <w:pPr>
              <w:pStyle w:val="TableText"/>
              <w:ind w:left="133"/>
              <w:spacing w:before="49" w:line="211" w:lineRule="auto"/>
              <w:rPr>
                <w:sz w:val="21"/>
                <w:szCs w:val="21"/>
              </w:rPr>
            </w:pPr>
            <w:r>
              <w:rPr>
                <w:sz w:val="21"/>
                <w:szCs w:val="21"/>
              </w:rPr>
              <w:t>0.5m≤Mb&lt;1.0m,K≤1.0×10cm</w:t>
            </w:r>
            <w:r>
              <w:rPr>
                <w:sz w:val="21"/>
                <w:szCs w:val="21"/>
                <w:spacing w:val="-1"/>
              </w:rPr>
              <w:t>/s,且分布连续、稳定</w:t>
            </w:r>
          </w:p>
          <w:p>
            <w:pPr>
              <w:pStyle w:val="TableText"/>
              <w:ind w:left="133"/>
              <w:spacing w:line="200" w:lineRule="auto"/>
              <w:rPr>
                <w:sz w:val="21"/>
                <w:szCs w:val="21"/>
              </w:rPr>
            </w:pPr>
            <w:r>
              <w:rPr>
                <w:sz w:val="21"/>
                <w:szCs w:val="21"/>
              </w:rPr>
              <w:t>Mb≥1.0m,1.0×10cm/&lt;K≤1.0×10*cm/s,且分布连续</w:t>
            </w:r>
            <w:r>
              <w:rPr>
                <w:sz w:val="21"/>
                <w:szCs w:val="21"/>
                <w:spacing w:val="-1"/>
              </w:rPr>
              <w:t>、稳定</w:t>
            </w:r>
          </w:p>
        </w:tc>
      </w:tr>
      <w:tr>
        <w:trPr>
          <w:trHeight w:val="358" w:hRule="atLeast"/>
        </w:trPr>
        <w:tc>
          <w:tcPr>
            <w:tcW w:w="2192" w:type="dxa"/>
            <w:vAlign w:val="top"/>
          </w:tcPr>
          <w:p>
            <w:pPr>
              <w:pStyle w:val="TableText"/>
              <w:ind w:left="984"/>
              <w:spacing w:before="138" w:line="184" w:lineRule="auto"/>
              <w:rPr>
                <w:sz w:val="21"/>
                <w:szCs w:val="21"/>
              </w:rPr>
            </w:pPr>
            <w:r>
              <w:rPr>
                <w:sz w:val="21"/>
                <w:szCs w:val="21"/>
                <w:spacing w:val="-2"/>
              </w:rPr>
              <w:t>D1</w:t>
            </w:r>
          </w:p>
        </w:tc>
        <w:tc>
          <w:tcPr>
            <w:tcW w:w="6877" w:type="dxa"/>
            <w:vAlign w:val="top"/>
          </w:tcPr>
          <w:p>
            <w:pPr>
              <w:pStyle w:val="TableText"/>
              <w:ind w:left="133"/>
              <w:spacing w:before="85" w:line="219" w:lineRule="auto"/>
              <w:rPr>
                <w:sz w:val="21"/>
                <w:szCs w:val="21"/>
              </w:rPr>
            </w:pPr>
            <w:r>
              <w:rPr>
                <w:sz w:val="21"/>
                <w:szCs w:val="21"/>
                <w:spacing w:val="-1"/>
              </w:rPr>
              <w:t>岩(土)层不满足上述D2和D3条件</w:t>
            </w:r>
          </w:p>
        </w:tc>
      </w:tr>
      <w:tr>
        <w:trPr>
          <w:trHeight w:val="333" w:hRule="atLeast"/>
        </w:trPr>
        <w:tc>
          <w:tcPr>
            <w:tcW w:w="9069" w:type="dxa"/>
            <w:vAlign w:val="top"/>
            <w:gridSpan w:val="2"/>
          </w:tcPr>
          <w:p>
            <w:pPr>
              <w:pStyle w:val="TableText"/>
              <w:ind w:left="114"/>
              <w:spacing w:before="67" w:line="219" w:lineRule="auto"/>
              <w:rPr>
                <w:sz w:val="21"/>
                <w:szCs w:val="21"/>
              </w:rPr>
            </w:pPr>
            <w:r>
              <w:rPr>
                <w:sz w:val="21"/>
                <w:szCs w:val="21"/>
                <w:spacing w:val="-1"/>
              </w:rPr>
              <w:t>注：Mb-岩土层单层厚度；K-渗透系数</w:t>
            </w:r>
          </w:p>
        </w:tc>
      </w:tr>
    </w:tbl>
    <w:p>
      <w:pPr>
        <w:pStyle w:val="BodyText"/>
        <w:ind w:left="114" w:right="129" w:firstLine="490"/>
        <w:spacing w:before="136" w:line="301" w:lineRule="auto"/>
        <w:tabs>
          <w:tab w:val="left" w:pos="255"/>
        </w:tabs>
        <w:rPr>
          <w:sz w:val="24"/>
          <w:szCs w:val="24"/>
        </w:rPr>
      </w:pPr>
      <w:r>
        <w:rPr>
          <w:sz w:val="24"/>
          <w:szCs w:val="24"/>
          <w:spacing w:val="-2"/>
        </w:rPr>
        <w:t>项目周边无集中式饮用水水源准保护区或其他与地下水相关的保护区等，项目地</w:t>
      </w:r>
      <w:r>
        <w:rPr>
          <w:sz w:val="24"/>
          <w:szCs w:val="24"/>
          <w:spacing w:val="8"/>
        </w:rPr>
        <w:t xml:space="preserve"> </w:t>
      </w:r>
      <w:r>
        <w:rPr>
          <w:sz w:val="24"/>
          <w:szCs w:val="24"/>
          <w:spacing w:val="16"/>
        </w:rPr>
        <w:t>下水功能敏感性属于不敏感</w:t>
      </w:r>
      <w:r>
        <w:rPr>
          <w:rFonts w:ascii="Times New Roman" w:hAnsi="Times New Roman" w:eastAsia="Times New Roman" w:cs="Times New Roman"/>
          <w:sz w:val="24"/>
          <w:szCs w:val="24"/>
          <w:spacing w:val="16"/>
        </w:rPr>
        <w:t>G3;   </w:t>
      </w:r>
      <w:r>
        <w:rPr>
          <w:sz w:val="24"/>
          <w:szCs w:val="24"/>
          <w:spacing w:val="16"/>
        </w:rPr>
        <w:t>所在区域地下水水质执行</w:t>
      </w:r>
      <w:r>
        <w:rPr>
          <w:sz w:val="24"/>
          <w:szCs w:val="24"/>
          <w:spacing w:val="15"/>
        </w:rPr>
        <w:t>《地下水质量标准》</w:t>
      </w:r>
      <w:r>
        <w:rPr>
          <w:sz w:val="24"/>
          <w:szCs w:val="24"/>
        </w:rPr>
        <w:t xml:space="preserve"> </w:t>
      </w:r>
      <w:r>
        <w:rPr>
          <w:sz w:val="24"/>
          <w:szCs w:val="24"/>
        </w:rPr>
        <w:tab/>
      </w:r>
      <w:r>
        <w:rPr>
          <w:sz w:val="24"/>
          <w:szCs w:val="24"/>
          <w:spacing w:val="-2"/>
        </w:rPr>
        <w:t>(GB/T14848-2017)Ⅲ</w:t>
      </w:r>
      <w:r>
        <w:rPr>
          <w:sz w:val="24"/>
          <w:szCs w:val="24"/>
          <w:spacing w:val="42"/>
        </w:rPr>
        <w:t xml:space="preserve"> </w:t>
      </w:r>
      <w:r>
        <w:rPr>
          <w:sz w:val="24"/>
          <w:szCs w:val="24"/>
          <w:spacing w:val="-2"/>
        </w:rPr>
        <w:t>类标准；根</w:t>
      </w:r>
      <w:r>
        <w:rPr>
          <w:sz w:val="24"/>
          <w:szCs w:val="24"/>
          <w:spacing w:val="-3"/>
        </w:rPr>
        <w:t>据项目岩土工程勘察报告，场地区域包气带土层主</w:t>
      </w:r>
      <w:r>
        <w:rPr>
          <w:sz w:val="24"/>
          <w:szCs w:val="24"/>
        </w:rPr>
        <w:t xml:space="preserve"> </w:t>
      </w:r>
      <w:r>
        <w:rPr>
          <w:sz w:val="24"/>
          <w:szCs w:val="24"/>
        </w:rPr>
        <w:t>要为素填土①、填石① </w:t>
      </w:r>
      <w:r>
        <w:rPr>
          <w:rFonts w:ascii="Times New Roman" w:hAnsi="Times New Roman" w:eastAsia="Times New Roman" w:cs="Times New Roman"/>
          <w:sz w:val="24"/>
          <w:szCs w:val="24"/>
        </w:rPr>
        <w:t>(Q₄ml)</w:t>
      </w:r>
      <w:r>
        <w:rPr>
          <w:rFonts w:ascii="Times New Roman" w:hAnsi="Times New Roman" w:eastAsia="Times New Roman" w:cs="Times New Roman"/>
          <w:sz w:val="24"/>
          <w:szCs w:val="24"/>
          <w:spacing w:val="-23"/>
        </w:rPr>
        <w:t xml:space="preserve"> </w:t>
      </w:r>
      <w:r>
        <w:rPr>
          <w:sz w:val="24"/>
          <w:szCs w:val="24"/>
        </w:rPr>
        <w:t>、 淤泥质土②</w:t>
      </w:r>
      <w:r>
        <w:rPr>
          <w:sz w:val="24"/>
          <w:szCs w:val="24"/>
          <w:spacing w:val="-39"/>
        </w:rPr>
        <w:t xml:space="preserve"> </w:t>
      </w:r>
      <w:r>
        <w:rPr>
          <w:rFonts w:ascii="Times New Roman" w:hAnsi="Times New Roman" w:eastAsia="Times New Roman" w:cs="Times New Roman"/>
          <w:sz w:val="24"/>
          <w:szCs w:val="24"/>
        </w:rPr>
        <w:t>(Q₄")</w:t>
      </w:r>
      <w:r>
        <w:rPr>
          <w:rFonts w:ascii="Times New Roman" w:hAnsi="Times New Roman" w:eastAsia="Times New Roman" w:cs="Times New Roman"/>
          <w:sz w:val="24"/>
          <w:szCs w:val="24"/>
          <w:spacing w:val="-34"/>
        </w:rPr>
        <w:t xml:space="preserve"> </w:t>
      </w:r>
      <w:r>
        <w:rPr>
          <w:sz w:val="24"/>
          <w:szCs w:val="24"/>
        </w:rPr>
        <w:t>、  中砂④</w:t>
      </w:r>
      <w:r>
        <w:rPr>
          <w:sz w:val="24"/>
          <w:szCs w:val="24"/>
          <w:spacing w:val="-38"/>
        </w:rPr>
        <w:t xml:space="preserve"> </w:t>
      </w:r>
      <w:r>
        <w:rPr>
          <w:rFonts w:ascii="Times New Roman" w:hAnsi="Times New Roman" w:eastAsia="Times New Roman" w:cs="Times New Roman"/>
          <w:sz w:val="24"/>
          <w:szCs w:val="24"/>
        </w:rPr>
        <w:t>(Q₄+pl)</w:t>
      </w:r>
      <w:r>
        <w:rPr>
          <w:rFonts w:ascii="Times New Roman" w:hAnsi="Times New Roman" w:eastAsia="Times New Roman" w:cs="Times New Roman"/>
          <w:sz w:val="24"/>
          <w:szCs w:val="24"/>
          <w:spacing w:val="-34"/>
        </w:rPr>
        <w:t xml:space="preserve"> </w:t>
      </w:r>
      <w:r>
        <w:rPr>
          <w:sz w:val="24"/>
          <w:szCs w:val="24"/>
        </w:rPr>
        <w:t>、</w:t>
      </w:r>
      <w:r>
        <w:rPr>
          <w:sz w:val="24"/>
          <w:szCs w:val="24"/>
          <w:spacing w:val="94"/>
        </w:rPr>
        <w:t xml:space="preserve"> </w:t>
      </w:r>
      <w:r>
        <w:rPr>
          <w:sz w:val="24"/>
          <w:szCs w:val="24"/>
        </w:rPr>
        <w:t>淤泥夹砂 </w:t>
      </w:r>
      <w:r>
        <w:rPr>
          <w:sz w:val="24"/>
          <w:szCs w:val="24"/>
          <w:spacing w:val="-10"/>
        </w:rPr>
        <w:t>④1(Q4”)、  卵石⑤</w:t>
      </w:r>
      <w:r>
        <w:rPr>
          <w:sz w:val="24"/>
          <w:szCs w:val="24"/>
          <w:spacing w:val="-38"/>
        </w:rPr>
        <w:t xml:space="preserve"> </w:t>
      </w:r>
      <w:r>
        <w:rPr>
          <w:sz w:val="24"/>
          <w:szCs w:val="24"/>
          <w:spacing w:val="-10"/>
        </w:rPr>
        <w:t>(Q</w:t>
      </w:r>
      <w:r>
        <w:rPr>
          <w:rFonts w:ascii="Calibri" w:hAnsi="Calibri" w:eastAsia="Calibri" w:cs="Calibri"/>
          <w:sz w:val="24"/>
          <w:szCs w:val="24"/>
          <w:spacing w:val="-10"/>
        </w:rPr>
        <w:t>₄</w:t>
      </w:r>
      <w:r>
        <w:rPr>
          <w:sz w:val="24"/>
          <w:szCs w:val="24"/>
          <w:spacing w:val="-10"/>
        </w:rPr>
        <w:t>pl)、</w:t>
      </w:r>
      <w:r>
        <w:rPr>
          <w:sz w:val="24"/>
          <w:szCs w:val="24"/>
          <w:spacing w:val="9"/>
        </w:rPr>
        <w:t xml:space="preserve">   </w:t>
      </w:r>
      <w:r>
        <w:rPr>
          <w:sz w:val="24"/>
          <w:szCs w:val="24"/>
          <w:spacing w:val="-11"/>
        </w:rPr>
        <w:t>淤泥夹砂⑤1 (Q</w:t>
      </w:r>
      <w:r>
        <w:rPr>
          <w:rFonts w:ascii="Calibri" w:hAnsi="Calibri" w:eastAsia="Calibri" w:cs="Calibri"/>
          <w:sz w:val="24"/>
          <w:szCs w:val="24"/>
          <w:spacing w:val="-11"/>
        </w:rPr>
        <w:t>₄</w:t>
      </w:r>
      <w:r>
        <w:rPr>
          <w:sz w:val="24"/>
          <w:szCs w:val="24"/>
          <w:spacing w:val="-11"/>
        </w:rPr>
        <w:t>”)、</w:t>
      </w:r>
      <w:r>
        <w:rPr>
          <w:sz w:val="24"/>
          <w:szCs w:val="24"/>
          <w:spacing w:val="48"/>
        </w:rPr>
        <w:t xml:space="preserve"> </w:t>
      </w:r>
      <w:r>
        <w:rPr>
          <w:sz w:val="24"/>
          <w:szCs w:val="24"/>
          <w:spacing w:val="-11"/>
        </w:rPr>
        <w:t>粉质黏土⑩</w:t>
      </w:r>
      <w:r>
        <w:rPr>
          <w:sz w:val="24"/>
          <w:szCs w:val="24"/>
          <w:spacing w:val="-28"/>
        </w:rPr>
        <w:t xml:space="preserve"> </w:t>
      </w:r>
      <w:r>
        <w:rPr>
          <w:sz w:val="24"/>
          <w:szCs w:val="24"/>
          <w:spacing w:val="-11"/>
        </w:rPr>
        <w:t>(Q</w:t>
      </w:r>
      <w:r>
        <w:rPr>
          <w:rFonts w:ascii="Calibri" w:hAnsi="Calibri" w:eastAsia="Calibri" w:cs="Calibri"/>
          <w:sz w:val="24"/>
          <w:szCs w:val="24"/>
          <w:spacing w:val="-11"/>
        </w:rPr>
        <w:t>₄</w:t>
      </w:r>
      <w:r>
        <w:rPr>
          <w:rFonts w:ascii="Calibri" w:hAnsi="Calibri" w:eastAsia="Calibri" w:cs="Calibri"/>
          <w:sz w:val="24"/>
          <w:szCs w:val="24"/>
          <w:spacing w:val="-31"/>
        </w:rPr>
        <w:t xml:space="preserve"> </w:t>
      </w:r>
      <w:r>
        <w:rPr>
          <w:sz w:val="24"/>
          <w:szCs w:val="24"/>
          <w:spacing w:val="-11"/>
        </w:rPr>
        <w:t>l+pl)、</w:t>
      </w:r>
      <w:r>
        <w:rPr>
          <w:sz w:val="24"/>
          <w:szCs w:val="24"/>
          <w:spacing w:val="40"/>
        </w:rPr>
        <w:t xml:space="preserve"> </w:t>
      </w:r>
      <w:r>
        <w:rPr>
          <w:sz w:val="24"/>
          <w:szCs w:val="24"/>
          <w:spacing w:val="-11"/>
        </w:rPr>
        <w:t>凝灰</w:t>
      </w:r>
      <w:r>
        <w:rPr>
          <w:sz w:val="24"/>
          <w:szCs w:val="24"/>
        </w:rPr>
        <w:t xml:space="preserve"> </w:t>
      </w:r>
      <w:r>
        <w:rPr>
          <w:sz w:val="24"/>
          <w:szCs w:val="24"/>
          <w:spacing w:val="-2"/>
        </w:rPr>
        <w:t>岩残积砂质黏性土</w:t>
      </w:r>
      <w:r>
        <w:rPr>
          <w:sz w:val="24"/>
          <w:szCs w:val="24"/>
          <w:spacing w:val="-37"/>
        </w:rPr>
        <w:t xml:space="preserve"> </w:t>
      </w:r>
      <w:r>
        <w:rPr>
          <w:rFonts w:ascii="Times New Roman" w:hAnsi="Times New Roman" w:eastAsia="Times New Roman" w:cs="Times New Roman"/>
          <w:sz w:val="24"/>
          <w:szCs w:val="24"/>
          <w:spacing w:val="-2"/>
        </w:rPr>
        <w:t>(Q),        </w:t>
      </w:r>
      <w:r>
        <w:rPr>
          <w:sz w:val="24"/>
          <w:szCs w:val="24"/>
          <w:spacing w:val="-2"/>
        </w:rPr>
        <w:t>岩土层平均厚度大于1.0</w:t>
      </w:r>
      <w:r>
        <w:rPr>
          <w:rFonts w:ascii="Times New Roman" w:hAnsi="Times New Roman" w:eastAsia="Times New Roman" w:cs="Times New Roman"/>
          <w:sz w:val="24"/>
          <w:szCs w:val="24"/>
          <w:spacing w:val="-2"/>
        </w:rPr>
        <w:t>m,   </w:t>
      </w:r>
      <w:r>
        <w:rPr>
          <w:sz w:val="24"/>
          <w:szCs w:val="24"/>
          <w:spacing w:val="-2"/>
        </w:rPr>
        <w:t>其渗透系数5.1×10</w:t>
      </w:r>
      <w:r>
        <w:rPr>
          <w:rFonts w:ascii="Times New Roman" w:hAnsi="Times New Roman" w:eastAsia="Times New Roman" w:cs="Times New Roman"/>
          <w:sz w:val="24"/>
          <w:szCs w:val="24"/>
          <w:spacing w:val="-2"/>
        </w:rPr>
        <w:t>cm/s,     </w:t>
      </w:r>
      <w:r>
        <w:rPr>
          <w:sz w:val="24"/>
          <w:szCs w:val="24"/>
          <w:spacing w:val="-2"/>
        </w:rPr>
        <w:t>包</w:t>
      </w:r>
    </w:p>
    <w:p>
      <w:pPr>
        <w:pStyle w:val="BodyText"/>
        <w:ind w:left="114"/>
        <w:spacing w:before="171" w:line="219" w:lineRule="auto"/>
        <w:rPr>
          <w:sz w:val="24"/>
          <w:szCs w:val="24"/>
        </w:rPr>
      </w:pPr>
      <w:r>
        <w:rPr>
          <w:sz w:val="24"/>
          <w:szCs w:val="24"/>
          <w:spacing w:val="-4"/>
        </w:rPr>
        <w:t>气带防污性能级别为</w:t>
      </w:r>
      <w:r>
        <w:rPr>
          <w:rFonts w:ascii="Times New Roman" w:hAnsi="Times New Roman" w:eastAsia="Times New Roman" w:cs="Times New Roman"/>
          <w:sz w:val="24"/>
          <w:szCs w:val="24"/>
          <w:spacing w:val="-4"/>
        </w:rPr>
        <w:t>D2</w:t>
      </w:r>
      <w:r>
        <w:rPr>
          <w:sz w:val="24"/>
          <w:szCs w:val="24"/>
          <w:spacing w:val="-4"/>
        </w:rPr>
        <w:t>。</w:t>
      </w:r>
    </w:p>
    <w:p>
      <w:pPr>
        <w:pStyle w:val="BodyText"/>
        <w:ind w:left="604"/>
        <w:spacing w:before="45" w:line="219" w:lineRule="auto"/>
        <w:rPr>
          <w:sz w:val="24"/>
          <w:szCs w:val="24"/>
        </w:rPr>
      </w:pPr>
      <w:r>
        <w:rPr>
          <w:sz w:val="24"/>
          <w:szCs w:val="24"/>
          <w:spacing w:val="-4"/>
        </w:rPr>
        <w:t>则地下水环境敏感程度分级为</w:t>
      </w:r>
      <w:r>
        <w:rPr>
          <w:sz w:val="24"/>
          <w:szCs w:val="24"/>
          <w:spacing w:val="-32"/>
        </w:rPr>
        <w:t xml:space="preserve"> </w:t>
      </w:r>
      <w:r>
        <w:rPr>
          <w:rFonts w:ascii="Times New Roman" w:hAnsi="Times New Roman" w:eastAsia="Times New Roman" w:cs="Times New Roman"/>
          <w:sz w:val="24"/>
          <w:szCs w:val="24"/>
          <w:spacing w:val="-4"/>
        </w:rPr>
        <w:t>E3 </w:t>
      </w:r>
      <w:r>
        <w:rPr>
          <w:sz w:val="24"/>
          <w:szCs w:val="24"/>
          <w:spacing w:val="-4"/>
        </w:rPr>
        <w:t>环境低度敏感区。</w:t>
      </w:r>
    </w:p>
    <w:p>
      <w:pPr>
        <w:pStyle w:val="BodyText"/>
        <w:ind w:left="118"/>
        <w:spacing w:before="173" w:line="219" w:lineRule="auto"/>
        <w:outlineLvl w:val="6"/>
        <w:rPr>
          <w:sz w:val="28"/>
          <w:szCs w:val="28"/>
        </w:rPr>
      </w:pPr>
      <w:r>
        <w:rPr>
          <w:sz w:val="28"/>
          <w:szCs w:val="28"/>
          <w:b/>
          <w:bCs/>
          <w:spacing w:val="-5"/>
        </w:rPr>
        <w:t>3.3环境风险潜势初判</w:t>
      </w:r>
    </w:p>
    <w:p>
      <w:pPr>
        <w:rPr>
          <w:rFonts w:ascii="Arial"/>
          <w:sz w:val="21"/>
        </w:rPr>
      </w:pPr>
      <w:r/>
    </w:p>
    <w:p>
      <w:pPr>
        <w:pStyle w:val="BodyText"/>
        <w:ind w:left="604"/>
        <w:spacing w:before="79" w:line="219" w:lineRule="auto"/>
        <w:rPr>
          <w:sz w:val="24"/>
          <w:szCs w:val="24"/>
        </w:rPr>
      </w:pPr>
      <w:r>
        <w:rPr>
          <w:sz w:val="24"/>
          <w:szCs w:val="24"/>
          <w:spacing w:val="-2"/>
        </w:rPr>
        <w:t>根据以上分析，项目大气环境风险潜势划分为Ⅲ级，地表水、地下水风险潜势划</w:t>
      </w:r>
    </w:p>
    <w:p>
      <w:pPr>
        <w:pStyle w:val="BodyText"/>
        <w:ind w:left="114"/>
        <w:spacing w:before="136" w:line="219" w:lineRule="auto"/>
        <w:rPr>
          <w:sz w:val="24"/>
          <w:szCs w:val="24"/>
        </w:rPr>
      </w:pPr>
      <w:r>
        <w:rPr>
          <w:sz w:val="24"/>
          <w:szCs w:val="24"/>
          <w:spacing w:val="-7"/>
        </w:rPr>
        <w:t>分为Ⅱ级，其判断标准见表3.3-1。</w:t>
      </w:r>
    </w:p>
    <w:p>
      <w:pPr>
        <w:pStyle w:val="BodyText"/>
        <w:ind w:left="2388"/>
        <w:spacing w:before="21" w:line="219" w:lineRule="auto"/>
        <w:rPr>
          <w:sz w:val="24"/>
          <w:szCs w:val="24"/>
        </w:rPr>
      </w:pPr>
      <w:r>
        <w:rPr>
          <w:sz w:val="24"/>
          <w:szCs w:val="24"/>
          <w:b/>
          <w:bCs/>
          <w:spacing w:val="14"/>
        </w:rPr>
        <w:t>表3.3-1</w:t>
      </w:r>
      <w:r>
        <w:rPr>
          <w:sz w:val="24"/>
          <w:szCs w:val="24"/>
          <w:spacing w:val="14"/>
        </w:rPr>
        <w:t xml:space="preserve">  </w:t>
      </w:r>
      <w:r>
        <w:rPr>
          <w:sz w:val="24"/>
          <w:szCs w:val="24"/>
          <w:b/>
          <w:bCs/>
          <w:spacing w:val="14"/>
        </w:rPr>
        <w:t>建设项目环境风险潜势划分</w:t>
      </w:r>
    </w:p>
    <w:p>
      <w:pPr>
        <w:spacing w:line="164" w:lineRule="exact"/>
        <w:rPr/>
      </w:pPr>
      <w:r/>
    </w:p>
    <w:tbl>
      <w:tblPr>
        <w:tblStyle w:val="TableNormal"/>
        <w:tblW w:w="89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342"/>
        <w:gridCol w:w="1638"/>
        <w:gridCol w:w="1518"/>
        <w:gridCol w:w="1658"/>
        <w:gridCol w:w="1793"/>
      </w:tblGrid>
      <w:tr>
        <w:trPr>
          <w:trHeight w:val="333" w:hRule="atLeast"/>
        </w:trPr>
        <w:tc>
          <w:tcPr>
            <w:tcW w:w="2342" w:type="dxa"/>
            <w:vAlign w:val="top"/>
            <w:vMerge w:val="restart"/>
            <w:tcBorders>
              <w:bottom w:val="nil"/>
            </w:tcBorders>
          </w:tcPr>
          <w:p>
            <w:pPr>
              <w:pStyle w:val="TableText"/>
              <w:ind w:left="334"/>
              <w:spacing w:before="234" w:line="219" w:lineRule="auto"/>
              <w:rPr>
                <w:sz w:val="22"/>
                <w:szCs w:val="22"/>
              </w:rPr>
            </w:pPr>
            <w:r>
              <w:rPr>
                <w:sz w:val="22"/>
                <w:szCs w:val="22"/>
                <w:spacing w:val="5"/>
              </w:rPr>
              <w:t>环境敏感程度(E)</w:t>
            </w:r>
          </w:p>
        </w:tc>
        <w:tc>
          <w:tcPr>
            <w:tcW w:w="6607" w:type="dxa"/>
            <w:vAlign w:val="top"/>
            <w:gridSpan w:val="4"/>
          </w:tcPr>
          <w:p>
            <w:pPr>
              <w:pStyle w:val="TableText"/>
              <w:ind w:left="1793"/>
              <w:spacing w:before="64" w:line="217" w:lineRule="auto"/>
              <w:rPr>
                <w:sz w:val="22"/>
                <w:szCs w:val="22"/>
              </w:rPr>
            </w:pPr>
            <w:r>
              <w:rPr>
                <w:sz w:val="22"/>
                <w:szCs w:val="22"/>
                <w:spacing w:val="3"/>
              </w:rPr>
              <w:t>危险物质及工艺系统危险性(P)</w:t>
            </w:r>
          </w:p>
        </w:tc>
      </w:tr>
      <w:tr>
        <w:trPr>
          <w:trHeight w:val="338" w:hRule="atLeast"/>
        </w:trPr>
        <w:tc>
          <w:tcPr>
            <w:tcW w:w="2342" w:type="dxa"/>
            <w:vAlign w:val="top"/>
            <w:vMerge w:val="continue"/>
            <w:tcBorders>
              <w:top w:val="nil"/>
            </w:tcBorders>
          </w:tcPr>
          <w:p>
            <w:pPr>
              <w:rPr>
                <w:rFonts w:ascii="Arial"/>
                <w:sz w:val="21"/>
              </w:rPr>
            </w:pPr>
            <w:r/>
          </w:p>
        </w:tc>
        <w:tc>
          <w:tcPr>
            <w:tcW w:w="1638" w:type="dxa"/>
            <w:vAlign w:val="top"/>
          </w:tcPr>
          <w:p>
            <w:pPr>
              <w:pStyle w:val="TableText"/>
              <w:ind w:left="152"/>
              <w:spacing w:before="61" w:line="219" w:lineRule="auto"/>
              <w:rPr>
                <w:sz w:val="22"/>
                <w:szCs w:val="22"/>
              </w:rPr>
            </w:pPr>
            <w:r>
              <w:rPr>
                <w:sz w:val="22"/>
                <w:szCs w:val="22"/>
                <w:spacing w:val="6"/>
              </w:rPr>
              <w:t>极高危害(P1)</w:t>
            </w:r>
          </w:p>
        </w:tc>
        <w:tc>
          <w:tcPr>
            <w:tcW w:w="1518" w:type="dxa"/>
            <w:vAlign w:val="top"/>
          </w:tcPr>
          <w:p>
            <w:pPr>
              <w:pStyle w:val="TableText"/>
              <w:ind w:left="94"/>
              <w:spacing w:before="61" w:line="219" w:lineRule="auto"/>
              <w:rPr>
                <w:sz w:val="22"/>
                <w:szCs w:val="22"/>
              </w:rPr>
            </w:pPr>
            <w:r>
              <w:rPr>
                <w:sz w:val="22"/>
                <w:szCs w:val="22"/>
                <w:spacing w:val="6"/>
              </w:rPr>
              <w:t>高度危害(P2)</w:t>
            </w:r>
          </w:p>
        </w:tc>
        <w:tc>
          <w:tcPr>
            <w:tcW w:w="1658" w:type="dxa"/>
            <w:vAlign w:val="top"/>
          </w:tcPr>
          <w:p>
            <w:pPr>
              <w:pStyle w:val="TableText"/>
              <w:ind w:left="166"/>
              <w:spacing w:before="61" w:line="220" w:lineRule="auto"/>
              <w:rPr>
                <w:sz w:val="22"/>
                <w:szCs w:val="22"/>
              </w:rPr>
            </w:pPr>
            <w:r>
              <w:rPr>
                <w:sz w:val="22"/>
                <w:szCs w:val="22"/>
                <w:spacing w:val="6"/>
              </w:rPr>
              <w:t>中度危害(P3)</w:t>
            </w:r>
          </w:p>
        </w:tc>
        <w:tc>
          <w:tcPr>
            <w:tcW w:w="1793" w:type="dxa"/>
            <w:vAlign w:val="top"/>
          </w:tcPr>
          <w:p>
            <w:pPr>
              <w:pStyle w:val="TableText"/>
              <w:ind w:left="229"/>
              <w:spacing w:before="61" w:line="219" w:lineRule="auto"/>
              <w:rPr>
                <w:sz w:val="22"/>
                <w:szCs w:val="22"/>
              </w:rPr>
            </w:pPr>
            <w:r>
              <w:rPr>
                <w:sz w:val="22"/>
                <w:szCs w:val="22"/>
                <w:spacing w:val="6"/>
              </w:rPr>
              <w:t>轻度危害(P4)</w:t>
            </w:r>
          </w:p>
        </w:tc>
      </w:tr>
      <w:tr>
        <w:trPr>
          <w:trHeight w:val="328" w:hRule="atLeast"/>
        </w:trPr>
        <w:tc>
          <w:tcPr>
            <w:tcW w:w="2342" w:type="dxa"/>
            <w:vAlign w:val="top"/>
          </w:tcPr>
          <w:p>
            <w:pPr>
              <w:pStyle w:val="TableText"/>
              <w:ind w:left="174"/>
              <w:spacing w:before="62" w:line="214" w:lineRule="auto"/>
              <w:rPr>
                <w:sz w:val="22"/>
                <w:szCs w:val="22"/>
              </w:rPr>
            </w:pPr>
            <w:r>
              <w:rPr>
                <w:sz w:val="22"/>
                <w:szCs w:val="22"/>
                <w:spacing w:val="4"/>
              </w:rPr>
              <w:t>环境高度敏感区(E1)</w:t>
            </w:r>
          </w:p>
        </w:tc>
        <w:tc>
          <w:tcPr>
            <w:tcW w:w="1638" w:type="dxa"/>
            <w:vAlign w:val="top"/>
          </w:tcPr>
          <w:p>
            <w:pPr>
              <w:pStyle w:val="TableText"/>
              <w:ind w:left="642"/>
              <w:spacing w:before="121" w:line="165" w:lineRule="auto"/>
              <w:rPr>
                <w:sz w:val="22"/>
                <w:szCs w:val="22"/>
              </w:rPr>
            </w:pPr>
            <w:r>
              <w:rPr>
                <w:sz w:val="22"/>
                <w:szCs w:val="22"/>
                <w:spacing w:val="-5"/>
              </w:rPr>
              <w:t>IV+</w:t>
            </w:r>
          </w:p>
        </w:tc>
        <w:tc>
          <w:tcPr>
            <w:tcW w:w="1518" w:type="dxa"/>
            <w:vAlign w:val="top"/>
          </w:tcPr>
          <w:p>
            <w:pPr>
              <w:pStyle w:val="TableText"/>
              <w:ind w:left="644"/>
              <w:spacing w:before="121" w:line="165" w:lineRule="auto"/>
              <w:rPr>
                <w:sz w:val="22"/>
                <w:szCs w:val="22"/>
              </w:rPr>
            </w:pPr>
            <w:r>
              <w:rPr>
                <w:sz w:val="22"/>
                <w:szCs w:val="22"/>
                <w:spacing w:val="-6"/>
              </w:rPr>
              <w:t>IV</w:t>
            </w:r>
          </w:p>
        </w:tc>
        <w:tc>
          <w:tcPr>
            <w:shd w:val="clear" w:fill="EDEBDF"/>
            <w:tcW w:w="1658" w:type="dxa"/>
            <w:vAlign w:val="top"/>
          </w:tcPr>
          <w:p>
            <w:pPr>
              <w:pStyle w:val="TableText"/>
              <w:ind w:left="717"/>
              <w:spacing w:before="82" w:line="198" w:lineRule="auto"/>
              <w:rPr>
                <w:sz w:val="22"/>
                <w:szCs w:val="22"/>
              </w:rPr>
            </w:pPr>
            <w:r>
              <w:rPr>
                <w:sz w:val="22"/>
                <w:szCs w:val="22"/>
              </w:rPr>
              <w:t>Ⅲ</w:t>
            </w:r>
          </w:p>
        </w:tc>
        <w:tc>
          <w:tcPr>
            <w:tcW w:w="1793" w:type="dxa"/>
            <w:vAlign w:val="top"/>
          </w:tcPr>
          <w:p>
            <w:pPr>
              <w:pStyle w:val="TableText"/>
              <w:ind w:left="778"/>
              <w:spacing w:before="82" w:line="198" w:lineRule="auto"/>
              <w:rPr>
                <w:sz w:val="22"/>
                <w:szCs w:val="22"/>
              </w:rPr>
            </w:pPr>
            <w:r>
              <w:rPr>
                <w:sz w:val="22"/>
                <w:szCs w:val="22"/>
              </w:rPr>
              <w:t>Ⅲ</w:t>
            </w:r>
          </w:p>
        </w:tc>
      </w:tr>
      <w:tr>
        <w:trPr>
          <w:trHeight w:val="319" w:hRule="atLeast"/>
        </w:trPr>
        <w:tc>
          <w:tcPr>
            <w:tcW w:w="2342" w:type="dxa"/>
            <w:vAlign w:val="top"/>
          </w:tcPr>
          <w:p>
            <w:pPr>
              <w:pStyle w:val="TableText"/>
              <w:ind w:left="174"/>
              <w:spacing w:before="55" w:line="213" w:lineRule="auto"/>
              <w:rPr>
                <w:sz w:val="22"/>
                <w:szCs w:val="22"/>
              </w:rPr>
            </w:pPr>
            <w:r>
              <w:rPr>
                <w:sz w:val="22"/>
                <w:szCs w:val="22"/>
                <w:spacing w:val="4"/>
              </w:rPr>
              <w:t>环境中度敏感区(E2)</w:t>
            </w:r>
          </w:p>
        </w:tc>
        <w:tc>
          <w:tcPr>
            <w:tcW w:w="1638" w:type="dxa"/>
            <w:vAlign w:val="top"/>
          </w:tcPr>
          <w:p>
            <w:pPr>
              <w:pStyle w:val="TableText"/>
              <w:ind w:left="702"/>
              <w:spacing w:before="113" w:line="164" w:lineRule="auto"/>
              <w:rPr>
                <w:sz w:val="22"/>
                <w:szCs w:val="22"/>
              </w:rPr>
            </w:pPr>
            <w:r>
              <w:rPr>
                <w:sz w:val="22"/>
                <w:szCs w:val="22"/>
                <w:spacing w:val="-6"/>
              </w:rPr>
              <w:t>IV</w:t>
            </w:r>
          </w:p>
        </w:tc>
        <w:tc>
          <w:tcPr>
            <w:tcW w:w="1518" w:type="dxa"/>
            <w:vAlign w:val="top"/>
          </w:tcPr>
          <w:p>
            <w:pPr>
              <w:pStyle w:val="TableText"/>
              <w:ind w:left="644"/>
              <w:spacing w:before="74" w:line="197" w:lineRule="auto"/>
              <w:rPr>
                <w:sz w:val="22"/>
                <w:szCs w:val="22"/>
              </w:rPr>
            </w:pPr>
            <w:r>
              <w:rPr>
                <w:sz w:val="22"/>
                <w:szCs w:val="22"/>
              </w:rPr>
              <w:t>Ⅲ</w:t>
            </w:r>
          </w:p>
        </w:tc>
        <w:tc>
          <w:tcPr>
            <w:tcW w:w="1658" w:type="dxa"/>
            <w:vAlign w:val="top"/>
          </w:tcPr>
          <w:p>
            <w:pPr>
              <w:pStyle w:val="TableText"/>
              <w:ind w:left="717"/>
              <w:spacing w:before="74" w:line="197" w:lineRule="auto"/>
              <w:rPr>
                <w:sz w:val="22"/>
                <w:szCs w:val="22"/>
              </w:rPr>
            </w:pPr>
            <w:r>
              <w:rPr>
                <w:sz w:val="22"/>
                <w:szCs w:val="22"/>
              </w:rPr>
              <w:t>Ⅲ</w:t>
            </w:r>
          </w:p>
        </w:tc>
        <w:tc>
          <w:tcPr>
            <w:tcW w:w="1793" w:type="dxa"/>
            <w:vAlign w:val="top"/>
          </w:tcPr>
          <w:p>
            <w:pPr>
              <w:pStyle w:val="TableText"/>
              <w:ind w:left="778"/>
              <w:spacing w:before="74" w:line="197" w:lineRule="auto"/>
              <w:rPr>
                <w:sz w:val="22"/>
                <w:szCs w:val="22"/>
              </w:rPr>
            </w:pPr>
            <w:r>
              <w:rPr>
                <w:sz w:val="22"/>
                <w:szCs w:val="22"/>
              </w:rPr>
              <w:t>Ⅱ</w:t>
            </w:r>
          </w:p>
        </w:tc>
      </w:tr>
      <w:tr>
        <w:trPr>
          <w:trHeight w:val="328" w:hRule="atLeast"/>
        </w:trPr>
        <w:tc>
          <w:tcPr>
            <w:tcW w:w="2342" w:type="dxa"/>
            <w:vAlign w:val="top"/>
          </w:tcPr>
          <w:p>
            <w:pPr>
              <w:pStyle w:val="TableText"/>
              <w:ind w:left="174"/>
              <w:spacing w:before="65" w:line="212" w:lineRule="auto"/>
              <w:rPr>
                <w:sz w:val="22"/>
                <w:szCs w:val="22"/>
              </w:rPr>
            </w:pPr>
            <w:r>
              <w:rPr>
                <w:sz w:val="22"/>
                <w:szCs w:val="22"/>
                <w:spacing w:val="4"/>
              </w:rPr>
              <w:t>环境低度敏感区(E3)</w:t>
            </w:r>
          </w:p>
        </w:tc>
        <w:tc>
          <w:tcPr>
            <w:tcW w:w="1638" w:type="dxa"/>
            <w:vAlign w:val="top"/>
          </w:tcPr>
          <w:p>
            <w:pPr>
              <w:pStyle w:val="TableText"/>
              <w:ind w:left="702"/>
              <w:spacing w:before="84" w:line="196" w:lineRule="auto"/>
              <w:rPr>
                <w:sz w:val="22"/>
                <w:szCs w:val="22"/>
              </w:rPr>
            </w:pPr>
            <w:r>
              <w:rPr>
                <w:sz w:val="22"/>
                <w:szCs w:val="22"/>
              </w:rPr>
              <w:t>Ⅲ</w:t>
            </w:r>
          </w:p>
        </w:tc>
        <w:tc>
          <w:tcPr>
            <w:tcW w:w="1518" w:type="dxa"/>
            <w:vAlign w:val="top"/>
          </w:tcPr>
          <w:p>
            <w:pPr>
              <w:pStyle w:val="TableText"/>
              <w:ind w:left="644"/>
              <w:spacing w:before="84" w:line="196" w:lineRule="auto"/>
              <w:rPr>
                <w:sz w:val="22"/>
                <w:szCs w:val="22"/>
              </w:rPr>
            </w:pPr>
            <w:r>
              <w:rPr>
                <w:sz w:val="22"/>
                <w:szCs w:val="22"/>
              </w:rPr>
              <w:t>Ⅲ</w:t>
            </w:r>
          </w:p>
        </w:tc>
        <w:tc>
          <w:tcPr>
            <w:shd w:val="clear" w:fill="EEEBE0"/>
            <w:tcW w:w="1658" w:type="dxa"/>
            <w:vAlign w:val="top"/>
          </w:tcPr>
          <w:p>
            <w:pPr>
              <w:pStyle w:val="TableText"/>
              <w:ind w:left="717"/>
              <w:spacing w:before="84" w:line="196" w:lineRule="auto"/>
              <w:rPr>
                <w:sz w:val="22"/>
                <w:szCs w:val="22"/>
              </w:rPr>
            </w:pPr>
            <w:r>
              <w:rPr>
                <w:sz w:val="22"/>
                <w:szCs w:val="22"/>
              </w:rPr>
              <w:t>Ⅱ</w:t>
            </w:r>
          </w:p>
        </w:tc>
        <w:tc>
          <w:tcPr>
            <w:tcW w:w="1793" w:type="dxa"/>
            <w:vAlign w:val="top"/>
          </w:tcPr>
          <w:p>
            <w:pPr>
              <w:pStyle w:val="TableText"/>
              <w:ind w:left="839"/>
              <w:spacing w:before="124" w:line="162" w:lineRule="auto"/>
              <w:rPr>
                <w:sz w:val="22"/>
                <w:szCs w:val="22"/>
              </w:rPr>
            </w:pPr>
            <w:r>
              <w:rPr>
                <w:sz w:val="22"/>
                <w:szCs w:val="22"/>
              </w:rPr>
              <w:t>I</w:t>
            </w:r>
          </w:p>
        </w:tc>
      </w:tr>
      <w:tr>
        <w:trPr>
          <w:trHeight w:val="343" w:hRule="atLeast"/>
        </w:trPr>
        <w:tc>
          <w:tcPr>
            <w:tcW w:w="8949" w:type="dxa"/>
            <w:vAlign w:val="top"/>
            <w:gridSpan w:val="5"/>
          </w:tcPr>
          <w:p>
            <w:pPr>
              <w:pStyle w:val="TableText"/>
              <w:ind w:left="114"/>
              <w:spacing w:before="68" w:line="219" w:lineRule="auto"/>
              <w:rPr>
                <w:sz w:val="22"/>
                <w:szCs w:val="22"/>
              </w:rPr>
            </w:pPr>
            <w:r>
              <w:rPr>
                <w:sz w:val="22"/>
                <w:szCs w:val="22"/>
              </w:rPr>
              <w:t>注：IV+为极高环境风险。</w:t>
            </w:r>
          </w:p>
        </w:tc>
      </w:tr>
    </w:tbl>
    <w:p>
      <w:pPr>
        <w:rPr>
          <w:rFonts w:ascii="Arial"/>
          <w:sz w:val="21"/>
        </w:rPr>
      </w:pPr>
      <w:r/>
    </w:p>
    <w:p>
      <w:pPr>
        <w:sectPr>
          <w:footerReference w:type="default" r:id="rId180"/>
          <w:pgSz w:w="11900" w:h="16840"/>
          <w:pgMar w:top="1258" w:right="1415" w:bottom="988" w:left="1405" w:header="0" w:footer="849" w:gutter="0"/>
        </w:sectPr>
        <w:rPr>
          <w:rFonts w:ascii="Arial" w:hAnsi="Arial" w:eastAsia="Arial" w:cs="Arial"/>
          <w:sz w:val="21"/>
          <w:szCs w:val="21"/>
        </w:rPr>
      </w:pPr>
    </w:p>
    <w:p>
      <w:pPr>
        <w:pStyle w:val="BodyText"/>
        <w:ind w:left="4"/>
        <w:spacing w:before="57" w:line="591" w:lineRule="exact"/>
        <w:rPr>
          <w:sz w:val="29"/>
          <w:szCs w:val="29"/>
        </w:rPr>
      </w:pPr>
      <w:r>
        <w:rPr>
          <w:sz w:val="29"/>
          <w:szCs w:val="29"/>
          <w:b/>
          <w:bCs/>
          <w:spacing w:val="19"/>
          <w:position w:val="22"/>
        </w:rPr>
        <w:t>4.环境风险评价等级及评价范围</w:t>
      </w:r>
    </w:p>
    <w:p>
      <w:pPr>
        <w:pStyle w:val="BodyText"/>
        <w:ind w:left="4"/>
        <w:spacing w:before="1" w:line="217" w:lineRule="auto"/>
        <w:rPr>
          <w:sz w:val="29"/>
          <w:szCs w:val="29"/>
        </w:rPr>
      </w:pPr>
      <w:r>
        <w:rPr>
          <w:sz w:val="29"/>
          <w:szCs w:val="29"/>
          <w:b/>
          <w:bCs/>
          <w:spacing w:val="-12"/>
        </w:rPr>
        <w:t>4.1风险评价等级判定</w:t>
      </w:r>
    </w:p>
    <w:p>
      <w:pPr>
        <w:pStyle w:val="BodyText"/>
        <w:ind w:left="500"/>
        <w:spacing w:before="219" w:line="218" w:lineRule="auto"/>
        <w:rPr>
          <w:sz w:val="24"/>
          <w:szCs w:val="24"/>
        </w:rPr>
      </w:pPr>
      <w:r>
        <w:rPr>
          <w:sz w:val="24"/>
          <w:szCs w:val="24"/>
          <w:spacing w:val="-3"/>
        </w:rPr>
        <w:t>根据《建设项目环境风险评价技术导则》(HJ169-2018)评价工作等级划</w:t>
      </w:r>
      <w:r>
        <w:rPr>
          <w:sz w:val="24"/>
          <w:szCs w:val="24"/>
          <w:spacing w:val="-4"/>
        </w:rPr>
        <w:t>分依据，</w:t>
      </w:r>
    </w:p>
    <w:p>
      <w:pPr>
        <w:pStyle w:val="BodyText"/>
        <w:spacing w:before="166" w:line="218" w:lineRule="auto"/>
        <w:jc w:val="right"/>
        <w:rPr>
          <w:sz w:val="24"/>
          <w:szCs w:val="24"/>
        </w:rPr>
      </w:pPr>
      <w:r>
        <w:rPr>
          <w:sz w:val="24"/>
          <w:szCs w:val="24"/>
          <w:spacing w:val="-11"/>
        </w:rPr>
        <w:t>本项目大气环境风险评价等级为二级，地表水、地下水风险评价等级为三级，见表4.1-1。</w:t>
      </w:r>
    </w:p>
    <w:p>
      <w:pPr>
        <w:pStyle w:val="BodyText"/>
        <w:ind w:left="2053"/>
        <w:spacing w:before="173" w:line="218" w:lineRule="auto"/>
        <w:rPr>
          <w:sz w:val="24"/>
          <w:szCs w:val="24"/>
        </w:rPr>
      </w:pPr>
      <w:r>
        <w:rPr>
          <w:sz w:val="24"/>
          <w:szCs w:val="24"/>
          <w:b/>
          <w:bCs/>
          <w:spacing w:val="1"/>
        </w:rPr>
        <w:t>表4.1-1</w:t>
      </w:r>
      <w:r>
        <w:rPr>
          <w:sz w:val="24"/>
          <w:szCs w:val="24"/>
          <w:spacing w:val="1"/>
        </w:rPr>
        <w:t xml:space="preserve">  </w:t>
      </w:r>
      <w:r>
        <w:rPr>
          <w:sz w:val="24"/>
          <w:szCs w:val="24"/>
          <w:b/>
          <w:bCs/>
          <w:spacing w:val="1"/>
        </w:rPr>
        <w:t>环境风险评价工作等级划分一览表</w:t>
      </w:r>
    </w:p>
    <w:p>
      <w:pPr>
        <w:spacing w:line="167" w:lineRule="exact"/>
        <w:rPr/>
      </w:pPr>
      <w:r/>
    </w:p>
    <w:tbl>
      <w:tblPr>
        <w:tblStyle w:val="TableNormal"/>
        <w:tblW w:w="8449" w:type="dxa"/>
        <w:tblInd w:w="21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03"/>
        <w:gridCol w:w="1658"/>
        <w:gridCol w:w="1678"/>
        <w:gridCol w:w="1857"/>
        <w:gridCol w:w="1453"/>
      </w:tblGrid>
      <w:tr>
        <w:trPr>
          <w:trHeight w:val="262" w:hRule="atLeast"/>
        </w:trPr>
        <w:tc>
          <w:tcPr>
            <w:tcW w:w="1803" w:type="dxa"/>
            <w:vAlign w:val="top"/>
          </w:tcPr>
          <w:p>
            <w:pPr>
              <w:pStyle w:val="TableText"/>
              <w:ind w:left="268"/>
              <w:spacing w:before="30" w:line="195" w:lineRule="auto"/>
              <w:rPr>
                <w:sz w:val="21"/>
                <w:szCs w:val="21"/>
              </w:rPr>
            </w:pPr>
            <w:r>
              <w:rPr>
                <w:sz w:val="21"/>
                <w:szCs w:val="21"/>
                <w:b/>
                <w:bCs/>
                <w:spacing w:val="-4"/>
              </w:rPr>
              <w:t>环境风险潜势</w:t>
            </w:r>
          </w:p>
        </w:tc>
        <w:tc>
          <w:tcPr>
            <w:tcW w:w="1658" w:type="dxa"/>
            <w:vAlign w:val="top"/>
          </w:tcPr>
          <w:p>
            <w:pPr>
              <w:pStyle w:val="TableText"/>
              <w:ind w:left="484"/>
              <w:spacing w:before="83" w:line="168" w:lineRule="exact"/>
              <w:rPr>
                <w:sz w:val="21"/>
                <w:szCs w:val="21"/>
              </w:rPr>
            </w:pPr>
            <w:r>
              <w:rPr>
                <w:sz w:val="21"/>
                <w:szCs w:val="21"/>
                <w:b/>
                <w:bCs/>
                <w:spacing w:val="-6"/>
                <w:position w:val="-2"/>
              </w:rPr>
              <w:t>IV、IV+</w:t>
            </w:r>
          </w:p>
        </w:tc>
        <w:tc>
          <w:tcPr>
            <w:tcW w:w="1678" w:type="dxa"/>
            <w:vAlign w:val="top"/>
          </w:tcPr>
          <w:p>
            <w:pPr>
              <w:pStyle w:val="TableText"/>
              <w:ind w:left="723"/>
              <w:spacing w:before="51" w:line="176" w:lineRule="auto"/>
              <w:rPr>
                <w:sz w:val="21"/>
                <w:szCs w:val="21"/>
              </w:rPr>
            </w:pPr>
            <w:r>
              <w:rPr>
                <w:sz w:val="21"/>
                <w:szCs w:val="21"/>
              </w:rPr>
              <w:t>Ⅲ</w:t>
            </w:r>
          </w:p>
        </w:tc>
        <w:tc>
          <w:tcPr>
            <w:tcW w:w="1857" w:type="dxa"/>
            <w:vAlign w:val="top"/>
          </w:tcPr>
          <w:p>
            <w:pPr>
              <w:pStyle w:val="TableText"/>
              <w:ind w:left="815"/>
              <w:spacing w:before="51" w:line="176" w:lineRule="auto"/>
              <w:rPr>
                <w:sz w:val="21"/>
                <w:szCs w:val="21"/>
              </w:rPr>
            </w:pPr>
            <w:r>
              <w:rPr>
                <w:sz w:val="21"/>
                <w:szCs w:val="21"/>
              </w:rPr>
              <w:t>Ⅱ</w:t>
            </w:r>
          </w:p>
        </w:tc>
        <w:tc>
          <w:tcPr>
            <w:tcW w:w="1453" w:type="dxa"/>
            <w:vAlign w:val="top"/>
          </w:tcPr>
          <w:p>
            <w:pPr>
              <w:pStyle w:val="TableText"/>
              <w:ind w:left="669"/>
              <w:spacing w:before="89" w:line="162" w:lineRule="exact"/>
              <w:rPr>
                <w:sz w:val="21"/>
                <w:szCs w:val="21"/>
              </w:rPr>
            </w:pPr>
            <w:r>
              <w:rPr>
                <w:sz w:val="21"/>
                <w:szCs w:val="21"/>
                <w:position w:val="-2"/>
              </w:rPr>
              <w:t>I</w:t>
            </w:r>
          </w:p>
        </w:tc>
      </w:tr>
      <w:tr>
        <w:trPr>
          <w:trHeight w:val="267" w:hRule="atLeast"/>
        </w:trPr>
        <w:tc>
          <w:tcPr>
            <w:tcW w:w="1803" w:type="dxa"/>
            <w:vAlign w:val="top"/>
          </w:tcPr>
          <w:p>
            <w:pPr>
              <w:pStyle w:val="TableText"/>
              <w:ind w:left="265"/>
              <w:spacing w:before="29" w:line="200" w:lineRule="auto"/>
              <w:rPr>
                <w:sz w:val="21"/>
                <w:szCs w:val="21"/>
              </w:rPr>
            </w:pPr>
            <w:r>
              <w:rPr>
                <w:sz w:val="21"/>
                <w:szCs w:val="21"/>
                <w:spacing w:val="2"/>
              </w:rPr>
              <w:t>评价工作等级</w:t>
            </w:r>
          </w:p>
        </w:tc>
        <w:tc>
          <w:tcPr>
            <w:tcW w:w="1658" w:type="dxa"/>
            <w:vAlign w:val="top"/>
          </w:tcPr>
          <w:p>
            <w:pPr>
              <w:rPr>
                <w:rFonts w:ascii="Arial"/>
                <w:sz w:val="21"/>
              </w:rPr>
            </w:pPr>
            <w:r/>
          </w:p>
        </w:tc>
        <w:tc>
          <w:tcPr>
            <w:shd w:val="clear" w:fill="EEEBE0"/>
            <w:tcW w:w="1678" w:type="dxa"/>
            <w:vAlign w:val="top"/>
          </w:tcPr>
          <w:p>
            <w:pPr>
              <w:pStyle w:val="TableText"/>
              <w:ind w:left="723"/>
              <w:spacing w:before="91" w:line="165" w:lineRule="exact"/>
              <w:rPr>
                <w:sz w:val="21"/>
                <w:szCs w:val="21"/>
              </w:rPr>
            </w:pPr>
            <w:r>
              <w:rPr>
                <w:sz w:val="21"/>
                <w:szCs w:val="21"/>
                <w:position w:val="-2"/>
              </w:rPr>
              <w:t>二</w:t>
            </w:r>
          </w:p>
        </w:tc>
        <w:tc>
          <w:tcPr>
            <w:tcW w:w="1857" w:type="dxa"/>
            <w:vAlign w:val="top"/>
          </w:tcPr>
          <w:p>
            <w:pPr>
              <w:pStyle w:val="TableText"/>
              <w:ind w:left="815"/>
              <w:spacing w:before="51" w:line="181" w:lineRule="auto"/>
              <w:rPr>
                <w:sz w:val="21"/>
                <w:szCs w:val="21"/>
              </w:rPr>
            </w:pPr>
            <w:r>
              <w:rPr>
                <w:sz w:val="21"/>
                <w:szCs w:val="21"/>
              </w:rPr>
              <w:t>三</w:t>
            </w:r>
          </w:p>
        </w:tc>
        <w:tc>
          <w:tcPr>
            <w:tcW w:w="1453" w:type="dxa"/>
            <w:vAlign w:val="top"/>
          </w:tcPr>
          <w:p>
            <w:pPr>
              <w:pStyle w:val="TableText"/>
              <w:ind w:left="298"/>
              <w:spacing w:before="30" w:line="199" w:lineRule="auto"/>
              <w:rPr>
                <w:sz w:val="21"/>
                <w:szCs w:val="21"/>
              </w:rPr>
            </w:pPr>
            <w:r>
              <w:rPr>
                <w:sz w:val="21"/>
                <w:szCs w:val="21"/>
                <w:spacing w:val="2"/>
              </w:rPr>
              <w:t>简单分析</w:t>
            </w:r>
          </w:p>
        </w:tc>
      </w:tr>
      <w:tr>
        <w:trPr>
          <w:trHeight w:val="540" w:hRule="atLeast"/>
        </w:trPr>
        <w:tc>
          <w:tcPr>
            <w:tcW w:w="8449" w:type="dxa"/>
            <w:vAlign w:val="top"/>
            <w:gridSpan w:val="5"/>
          </w:tcPr>
          <w:p>
            <w:pPr>
              <w:pStyle w:val="TableText"/>
              <w:ind w:left="123" w:right="48" w:hanging="19"/>
              <w:spacing w:before="43" w:line="214" w:lineRule="auto"/>
              <w:rPr>
                <w:sz w:val="21"/>
                <w:szCs w:val="21"/>
              </w:rPr>
            </w:pPr>
            <w:r>
              <w:rPr>
                <w:sz w:val="21"/>
                <w:szCs w:val="21"/>
              </w:rPr>
              <w:t>a是相对于详细评价工作内容而言，在描述危险物质、环境影响途</w:t>
            </w:r>
            <w:r>
              <w:rPr>
                <w:sz w:val="21"/>
                <w:szCs w:val="21"/>
                <w:spacing w:val="-1"/>
              </w:rPr>
              <w:t>径、环境危害后果、风险</w:t>
            </w:r>
            <w:r>
              <w:rPr>
                <w:sz w:val="21"/>
                <w:szCs w:val="21"/>
              </w:rPr>
              <w:t xml:space="preserve"> </w:t>
            </w:r>
            <w:r>
              <w:rPr>
                <w:sz w:val="21"/>
                <w:szCs w:val="21"/>
                <w:spacing w:val="-1"/>
              </w:rPr>
              <w:t>防范措施等方面给出定性的说明，见附录A</w:t>
            </w:r>
          </w:p>
        </w:tc>
      </w:tr>
    </w:tbl>
    <w:p>
      <w:pPr>
        <w:pStyle w:val="BodyText"/>
        <w:ind w:left="520"/>
        <w:spacing w:before="52" w:line="218" w:lineRule="auto"/>
        <w:rPr>
          <w:sz w:val="23"/>
          <w:szCs w:val="23"/>
        </w:rPr>
      </w:pPr>
      <w:r>
        <w:rPr>
          <w:sz w:val="23"/>
          <w:szCs w:val="23"/>
        </w:rPr>
        <w:t>本项目环境风险评价工作等级为二级评价，选取最不利</w:t>
      </w:r>
      <w:r>
        <w:rPr>
          <w:sz w:val="23"/>
          <w:szCs w:val="23"/>
          <w:spacing w:val="-1"/>
        </w:rPr>
        <w:t>气象条件，选择适用的数</w:t>
      </w:r>
    </w:p>
    <w:p>
      <w:pPr>
        <w:pStyle w:val="BodyText"/>
        <w:spacing w:before="211" w:line="451" w:lineRule="exact"/>
        <w:rPr>
          <w:sz w:val="24"/>
          <w:szCs w:val="24"/>
        </w:rPr>
      </w:pPr>
      <w:r>
        <w:rPr>
          <w:sz w:val="24"/>
          <w:szCs w:val="24"/>
          <w:spacing w:val="-1"/>
          <w:position w:val="15"/>
        </w:rPr>
        <w:t>值方法进行分析预测，给出风险事故情形下危险物质释放可能造</w:t>
      </w:r>
      <w:r>
        <w:rPr>
          <w:sz w:val="24"/>
          <w:szCs w:val="24"/>
          <w:spacing w:val="-2"/>
          <w:position w:val="15"/>
        </w:rPr>
        <w:t>成的大气环境影响范</w:t>
      </w:r>
    </w:p>
    <w:p>
      <w:pPr>
        <w:pStyle w:val="BodyText"/>
        <w:spacing w:line="220" w:lineRule="auto"/>
        <w:rPr>
          <w:sz w:val="24"/>
          <w:szCs w:val="24"/>
        </w:rPr>
      </w:pPr>
      <w:r>
        <w:rPr>
          <w:sz w:val="24"/>
          <w:szCs w:val="24"/>
          <w:spacing w:val="-11"/>
        </w:rPr>
        <w:t>围和程度。</w:t>
      </w:r>
    </w:p>
    <w:p>
      <w:pPr>
        <w:pStyle w:val="BodyText"/>
        <w:ind w:left="4"/>
        <w:spacing w:before="159" w:line="218" w:lineRule="auto"/>
        <w:outlineLvl w:val="6"/>
        <w:rPr>
          <w:sz w:val="29"/>
          <w:szCs w:val="29"/>
        </w:rPr>
      </w:pPr>
      <w:r>
        <w:rPr>
          <w:sz w:val="29"/>
          <w:szCs w:val="29"/>
          <w:b/>
          <w:bCs/>
          <w:spacing w:val="-9"/>
        </w:rPr>
        <w:t>4.2评价范围</w:t>
      </w:r>
    </w:p>
    <w:p>
      <w:pPr>
        <w:pStyle w:val="BodyText"/>
        <w:ind w:left="500"/>
        <w:spacing w:before="220" w:line="468" w:lineRule="exact"/>
        <w:rPr>
          <w:sz w:val="24"/>
          <w:szCs w:val="24"/>
        </w:rPr>
      </w:pPr>
      <w:r>
        <w:rPr>
          <w:sz w:val="24"/>
          <w:szCs w:val="24"/>
          <w:position w:val="17"/>
        </w:rPr>
        <w:t>大气风险评价范围为项目边界外5km 大气环境区域，敏</w:t>
      </w:r>
      <w:r>
        <w:rPr>
          <w:sz w:val="24"/>
          <w:szCs w:val="24"/>
          <w:spacing w:val="-1"/>
          <w:position w:val="17"/>
        </w:rPr>
        <w:t>感目标见表2.2-1</w:t>
      </w:r>
      <w:r>
        <w:rPr>
          <w:sz w:val="24"/>
          <w:szCs w:val="24"/>
          <w:spacing w:val="-54"/>
          <w:position w:val="17"/>
        </w:rPr>
        <w:t xml:space="preserve"> </w:t>
      </w:r>
      <w:r>
        <w:rPr>
          <w:sz w:val="24"/>
          <w:szCs w:val="24"/>
          <w:spacing w:val="-1"/>
          <w:position w:val="17"/>
        </w:rPr>
        <w:t>及附图</w:t>
      </w:r>
    </w:p>
    <w:p>
      <w:pPr>
        <w:pStyle w:val="BodyText"/>
        <w:spacing w:before="1" w:line="182" w:lineRule="auto"/>
        <w:rPr>
          <w:sz w:val="29"/>
          <w:szCs w:val="29"/>
        </w:rPr>
      </w:pPr>
      <w:r>
        <w:rPr>
          <w:sz w:val="29"/>
          <w:szCs w:val="29"/>
          <w:spacing w:val="-9"/>
        </w:rPr>
        <w:t>4。</w:t>
      </w:r>
    </w:p>
    <w:p>
      <w:pPr>
        <w:pStyle w:val="BodyText"/>
        <w:ind w:left="4"/>
        <w:spacing w:before="206" w:line="220" w:lineRule="auto"/>
        <w:outlineLvl w:val="6"/>
        <w:rPr>
          <w:sz w:val="29"/>
          <w:szCs w:val="29"/>
        </w:rPr>
      </w:pPr>
      <w:r>
        <w:rPr>
          <w:sz w:val="29"/>
          <w:szCs w:val="29"/>
          <w:b/>
          <w:bCs/>
          <w:spacing w:val="6"/>
        </w:rPr>
        <w:t>5.风险识别</w:t>
      </w:r>
    </w:p>
    <w:p>
      <w:pPr>
        <w:pStyle w:val="BodyText"/>
        <w:ind w:left="4"/>
        <w:spacing w:before="274" w:line="220" w:lineRule="auto"/>
        <w:outlineLvl w:val="6"/>
        <w:rPr>
          <w:sz w:val="29"/>
          <w:szCs w:val="29"/>
        </w:rPr>
      </w:pPr>
      <w:r>
        <w:rPr>
          <w:sz w:val="29"/>
          <w:szCs w:val="29"/>
          <w:b/>
          <w:bCs/>
          <w:spacing w:val="1"/>
        </w:rPr>
        <w:t>5.1物质风险识别</w:t>
      </w:r>
    </w:p>
    <w:p>
      <w:pPr>
        <w:pStyle w:val="BodyText"/>
        <w:ind w:left="3"/>
        <w:spacing w:before="202" w:line="219" w:lineRule="auto"/>
        <w:outlineLvl w:val="6"/>
        <w:rPr>
          <w:sz w:val="29"/>
          <w:szCs w:val="29"/>
        </w:rPr>
      </w:pPr>
      <w:r>
        <w:rPr>
          <w:sz w:val="29"/>
          <w:szCs w:val="29"/>
          <w:b/>
          <w:bCs/>
          <w:spacing w:val="-23"/>
        </w:rPr>
        <w:t>5.1.1</w:t>
      </w:r>
      <w:r>
        <w:rPr>
          <w:sz w:val="29"/>
          <w:szCs w:val="29"/>
          <w:spacing w:val="-49"/>
        </w:rPr>
        <w:t xml:space="preserve"> </w:t>
      </w:r>
      <w:r>
        <w:rPr>
          <w:sz w:val="29"/>
          <w:szCs w:val="29"/>
          <w:b/>
          <w:bCs/>
          <w:spacing w:val="-23"/>
        </w:rPr>
        <w:t>原辅材料、燃料、产品</w:t>
      </w:r>
    </w:p>
    <w:p>
      <w:pPr>
        <w:pStyle w:val="BodyText"/>
        <w:ind w:left="500"/>
        <w:spacing w:before="24" w:line="465" w:lineRule="exact"/>
        <w:rPr>
          <w:rFonts w:ascii="Times New Roman" w:hAnsi="Times New Roman" w:eastAsia="Times New Roman" w:cs="Times New Roman"/>
          <w:sz w:val="24"/>
          <w:szCs w:val="24"/>
        </w:rPr>
      </w:pPr>
      <w:r>
        <w:rPr>
          <w:sz w:val="24"/>
          <w:szCs w:val="24"/>
          <w:spacing w:val="-2"/>
          <w:position w:val="17"/>
        </w:rPr>
        <w:t>对照《建设项目环境风险评价技术导则》</w:t>
      </w:r>
      <w:r>
        <w:rPr>
          <w:sz w:val="24"/>
          <w:szCs w:val="24"/>
          <w:spacing w:val="110"/>
          <w:position w:val="17"/>
        </w:rPr>
        <w:t xml:space="preserve"> </w:t>
      </w:r>
      <w:r>
        <w:rPr>
          <w:sz w:val="24"/>
          <w:szCs w:val="24"/>
          <w:spacing w:val="-2"/>
          <w:position w:val="17"/>
        </w:rPr>
        <w:t>(HJ</w:t>
      </w:r>
      <w:r>
        <w:rPr>
          <w:sz w:val="24"/>
          <w:szCs w:val="24"/>
          <w:spacing w:val="-3"/>
          <w:position w:val="17"/>
        </w:rPr>
        <w:t>169-2018)</w:t>
      </w:r>
      <w:r>
        <w:rPr>
          <w:sz w:val="24"/>
          <w:szCs w:val="24"/>
          <w:spacing w:val="52"/>
          <w:position w:val="17"/>
        </w:rPr>
        <w:t xml:space="preserve"> </w:t>
      </w:r>
      <w:r>
        <w:rPr>
          <w:sz w:val="24"/>
          <w:szCs w:val="24"/>
          <w:spacing w:val="-3"/>
          <w:position w:val="17"/>
        </w:rPr>
        <w:t>附录</w:t>
      </w:r>
      <w:r>
        <w:rPr>
          <w:rFonts w:ascii="Times New Roman" w:hAnsi="Times New Roman" w:eastAsia="Times New Roman" w:cs="Times New Roman"/>
          <w:sz w:val="24"/>
          <w:szCs w:val="24"/>
          <w:spacing w:val="-3"/>
          <w:position w:val="17"/>
        </w:rPr>
        <w:t>B</w:t>
      </w:r>
      <w:r>
        <w:rPr>
          <w:sz w:val="24"/>
          <w:szCs w:val="24"/>
          <w:spacing w:val="-3"/>
          <w:position w:val="17"/>
        </w:rPr>
        <w:t>表</w:t>
      </w:r>
      <w:r>
        <w:rPr>
          <w:rFonts w:ascii="Times New Roman" w:hAnsi="Times New Roman" w:eastAsia="Times New Roman" w:cs="Times New Roman"/>
          <w:sz w:val="24"/>
          <w:szCs w:val="24"/>
          <w:spacing w:val="-3"/>
          <w:position w:val="17"/>
        </w:rPr>
        <w:t>B.1</w:t>
      </w:r>
      <w:r>
        <w:rPr>
          <w:sz w:val="24"/>
          <w:szCs w:val="24"/>
          <w:spacing w:val="-3"/>
          <w:position w:val="17"/>
        </w:rPr>
        <w:t>及表</w:t>
      </w:r>
      <w:r>
        <w:rPr>
          <w:rFonts w:ascii="Times New Roman" w:hAnsi="Times New Roman" w:eastAsia="Times New Roman" w:cs="Times New Roman"/>
          <w:sz w:val="24"/>
          <w:szCs w:val="24"/>
          <w:spacing w:val="-3"/>
          <w:position w:val="17"/>
        </w:rPr>
        <w:t>B.2,</w:t>
      </w:r>
    </w:p>
    <w:p>
      <w:pPr>
        <w:pStyle w:val="BodyText"/>
        <w:spacing w:before="1" w:line="218" w:lineRule="auto"/>
        <w:rPr>
          <w:sz w:val="24"/>
          <w:szCs w:val="24"/>
        </w:rPr>
      </w:pPr>
      <w:r>
        <w:rPr>
          <w:sz w:val="24"/>
          <w:szCs w:val="24"/>
          <w:spacing w:val="-5"/>
        </w:rPr>
        <w:t>本项目厂区危险物质数量和分布情况见表3</w:t>
      </w:r>
      <w:r>
        <w:rPr>
          <w:sz w:val="24"/>
          <w:szCs w:val="24"/>
          <w:spacing w:val="-6"/>
        </w:rPr>
        <w:t>.2-1。</w:t>
      </w:r>
    </w:p>
    <w:p>
      <w:pPr>
        <w:pStyle w:val="BodyText"/>
        <w:ind w:left="3"/>
        <w:spacing w:before="175" w:line="220" w:lineRule="auto"/>
        <w:outlineLvl w:val="6"/>
        <w:rPr>
          <w:sz w:val="29"/>
          <w:szCs w:val="29"/>
        </w:rPr>
      </w:pPr>
      <w:r>
        <w:rPr>
          <w:sz w:val="29"/>
          <w:szCs w:val="29"/>
          <w:b/>
          <w:bCs/>
          <w:spacing w:val="-18"/>
        </w:rPr>
        <w:t>5.1.2污染物</w:t>
      </w:r>
    </w:p>
    <w:p>
      <w:pPr>
        <w:pStyle w:val="BodyText"/>
        <w:ind w:right="187" w:firstLine="500"/>
        <w:spacing w:before="34" w:line="362" w:lineRule="auto"/>
        <w:jc w:val="both"/>
        <w:rPr>
          <w:sz w:val="24"/>
          <w:szCs w:val="24"/>
        </w:rPr>
      </w:pPr>
      <w:r>
        <w:rPr>
          <w:sz w:val="24"/>
          <w:szCs w:val="24"/>
          <w:spacing w:val="-2"/>
        </w:rPr>
        <w:t>项目外排废气污染物主要有非甲烷总烃、颗粒物、二氧化硫、氮氧化物；外排废</w:t>
      </w:r>
      <w:r>
        <w:rPr>
          <w:sz w:val="24"/>
          <w:szCs w:val="24"/>
          <w:spacing w:val="1"/>
        </w:rPr>
        <w:t xml:space="preserve"> </w:t>
      </w:r>
      <w:r>
        <w:rPr>
          <w:sz w:val="24"/>
          <w:szCs w:val="24"/>
          <w:spacing w:val="2"/>
        </w:rPr>
        <w:t>水污染物主要有</w:t>
      </w:r>
      <w:r>
        <w:rPr>
          <w:sz w:val="24"/>
          <w:szCs w:val="24"/>
          <w:spacing w:val="-47"/>
        </w:rPr>
        <w:t xml:space="preserve"> </w:t>
      </w:r>
      <w:r>
        <w:rPr>
          <w:rFonts w:ascii="Times New Roman" w:hAnsi="Times New Roman" w:eastAsia="Times New Roman" w:cs="Times New Roman"/>
          <w:sz w:val="24"/>
          <w:szCs w:val="24"/>
        </w:rPr>
        <w:t>COD</w:t>
      </w:r>
      <w:r>
        <w:rPr>
          <w:rFonts w:ascii="Times New Roman" w:hAnsi="Times New Roman" w:eastAsia="Times New Roman" w:cs="Times New Roman"/>
          <w:sz w:val="24"/>
          <w:szCs w:val="24"/>
          <w:spacing w:val="-34"/>
        </w:rPr>
        <w:t xml:space="preserve"> </w:t>
      </w:r>
      <w:r>
        <w:rPr>
          <w:sz w:val="24"/>
          <w:szCs w:val="24"/>
          <w:spacing w:val="2"/>
        </w:rPr>
        <w:t>、氨氮、镍、钴、锰等，产生危险废物主要有废机油等</w:t>
      </w:r>
      <w:r>
        <w:rPr>
          <w:sz w:val="24"/>
          <w:szCs w:val="24"/>
          <w:spacing w:val="1"/>
        </w:rPr>
        <w:t>，其危</w:t>
      </w:r>
    </w:p>
    <w:p>
      <w:pPr>
        <w:pStyle w:val="BodyText"/>
        <w:spacing w:before="1" w:line="219" w:lineRule="auto"/>
        <w:rPr>
          <w:sz w:val="24"/>
          <w:szCs w:val="24"/>
        </w:rPr>
      </w:pPr>
      <w:r>
        <w:rPr>
          <w:sz w:val="24"/>
          <w:szCs w:val="24"/>
          <w:spacing w:val="-6"/>
        </w:rPr>
        <w:t>害程度识别见表5.1-1。</w:t>
      </w:r>
    </w:p>
    <w:p>
      <w:pPr>
        <w:pStyle w:val="BodyText"/>
        <w:ind w:left="2972"/>
        <w:spacing w:before="162" w:line="220" w:lineRule="auto"/>
        <w:rPr>
          <w:sz w:val="24"/>
          <w:szCs w:val="24"/>
        </w:rPr>
      </w:pPr>
      <w:r>
        <w:rPr>
          <w:sz w:val="24"/>
          <w:szCs w:val="24"/>
          <w:b/>
          <w:bCs/>
          <w:spacing w:val="-13"/>
        </w:rPr>
        <w:t>表5.1-1</w:t>
      </w:r>
      <w:r>
        <w:rPr>
          <w:sz w:val="24"/>
          <w:szCs w:val="24"/>
          <w:spacing w:val="114"/>
        </w:rPr>
        <w:t xml:space="preserve"> </w:t>
      </w:r>
      <w:r>
        <w:rPr>
          <w:sz w:val="24"/>
          <w:szCs w:val="24"/>
          <w:b/>
          <w:bCs/>
          <w:spacing w:val="-13"/>
        </w:rPr>
        <w:t>项目污染物危险性</w:t>
      </w:r>
    </w:p>
    <w:p>
      <w:pPr>
        <w:spacing w:line="152" w:lineRule="exact"/>
        <w:rPr/>
      </w:pPr>
      <w:r/>
    </w:p>
    <w:tbl>
      <w:tblPr>
        <w:tblStyle w:val="TableNormal"/>
        <w:tblW w:w="8479" w:type="dxa"/>
        <w:tblInd w:w="19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73"/>
        <w:gridCol w:w="2227"/>
        <w:gridCol w:w="1548"/>
        <w:gridCol w:w="3131"/>
      </w:tblGrid>
      <w:tr>
        <w:trPr>
          <w:trHeight w:val="294" w:hRule="atLeast"/>
        </w:trPr>
        <w:tc>
          <w:tcPr>
            <w:tcW w:w="1573" w:type="dxa"/>
            <w:vAlign w:val="top"/>
          </w:tcPr>
          <w:p>
            <w:pPr>
              <w:pStyle w:val="TableText"/>
              <w:ind w:left="374"/>
              <w:spacing w:before="53" w:line="213" w:lineRule="auto"/>
              <w:rPr>
                <w:sz w:val="20"/>
                <w:szCs w:val="20"/>
              </w:rPr>
            </w:pPr>
            <w:r>
              <w:rPr>
                <w:sz w:val="20"/>
                <w:szCs w:val="20"/>
                <w:spacing w:val="-2"/>
              </w:rPr>
              <w:t>污染要素</w:t>
            </w:r>
          </w:p>
        </w:tc>
        <w:tc>
          <w:tcPr>
            <w:tcW w:w="2227" w:type="dxa"/>
            <w:vAlign w:val="top"/>
          </w:tcPr>
          <w:p>
            <w:pPr>
              <w:pStyle w:val="TableText"/>
              <w:ind w:left="601"/>
              <w:spacing w:before="54" w:line="212" w:lineRule="auto"/>
              <w:rPr>
                <w:sz w:val="20"/>
                <w:szCs w:val="20"/>
              </w:rPr>
            </w:pPr>
            <w:r>
              <w:rPr>
                <w:sz w:val="20"/>
                <w:szCs w:val="20"/>
                <w:spacing w:val="-2"/>
              </w:rPr>
              <w:t>主要污染物</w:t>
            </w:r>
          </w:p>
        </w:tc>
        <w:tc>
          <w:tcPr>
            <w:tcW w:w="1548" w:type="dxa"/>
            <w:vAlign w:val="top"/>
          </w:tcPr>
          <w:p>
            <w:pPr>
              <w:pStyle w:val="TableText"/>
              <w:ind w:left="364"/>
              <w:spacing w:before="53" w:line="213" w:lineRule="auto"/>
              <w:rPr>
                <w:sz w:val="20"/>
                <w:szCs w:val="20"/>
              </w:rPr>
            </w:pPr>
            <w:r>
              <w:rPr>
                <w:sz w:val="20"/>
                <w:szCs w:val="20"/>
                <w:spacing w:val="-2"/>
              </w:rPr>
              <w:t>产生单元</w:t>
            </w:r>
          </w:p>
        </w:tc>
        <w:tc>
          <w:tcPr>
            <w:tcW w:w="3131" w:type="dxa"/>
            <w:vAlign w:val="top"/>
          </w:tcPr>
          <w:p>
            <w:pPr>
              <w:pStyle w:val="TableText"/>
              <w:ind w:left="1157"/>
              <w:spacing w:before="54" w:line="212" w:lineRule="auto"/>
              <w:rPr>
                <w:sz w:val="20"/>
                <w:szCs w:val="20"/>
              </w:rPr>
            </w:pPr>
            <w:r>
              <w:rPr>
                <w:sz w:val="20"/>
                <w:szCs w:val="20"/>
                <w:spacing w:val="4"/>
              </w:rPr>
              <w:t>危险识别</w:t>
            </w:r>
          </w:p>
        </w:tc>
      </w:tr>
      <w:tr>
        <w:trPr>
          <w:trHeight w:val="538" w:hRule="atLeast"/>
        </w:trPr>
        <w:tc>
          <w:tcPr>
            <w:tcW w:w="1573" w:type="dxa"/>
            <w:vAlign w:val="top"/>
            <w:vMerge w:val="restart"/>
            <w:tcBorders>
              <w:bottom w:val="nil"/>
            </w:tcBorders>
          </w:tcPr>
          <w:p>
            <w:pPr>
              <w:spacing w:line="382" w:lineRule="auto"/>
              <w:rPr>
                <w:rFonts w:ascii="Arial"/>
                <w:sz w:val="21"/>
              </w:rPr>
            </w:pPr>
            <w:r/>
          </w:p>
          <w:p>
            <w:pPr>
              <w:pStyle w:val="TableText"/>
              <w:ind w:left="575"/>
              <w:spacing w:before="65" w:line="220" w:lineRule="auto"/>
              <w:rPr>
                <w:sz w:val="20"/>
                <w:szCs w:val="20"/>
              </w:rPr>
            </w:pPr>
            <w:r>
              <w:rPr>
                <w:sz w:val="20"/>
                <w:szCs w:val="20"/>
                <w:spacing w:val="6"/>
              </w:rPr>
              <w:t>废气</w:t>
            </w:r>
          </w:p>
        </w:tc>
        <w:tc>
          <w:tcPr>
            <w:tcW w:w="2227" w:type="dxa"/>
            <w:vAlign w:val="top"/>
          </w:tcPr>
          <w:p>
            <w:pPr>
              <w:pStyle w:val="TableText"/>
              <w:ind w:left="202"/>
              <w:spacing w:before="169" w:line="220" w:lineRule="auto"/>
              <w:rPr>
                <w:sz w:val="20"/>
                <w:szCs w:val="20"/>
              </w:rPr>
            </w:pPr>
            <w:r>
              <w:rPr>
                <w:sz w:val="20"/>
                <w:szCs w:val="20"/>
                <w:spacing w:val="1"/>
              </w:rPr>
              <w:t>非甲烷总烃、颗粒物</w:t>
            </w:r>
          </w:p>
        </w:tc>
        <w:tc>
          <w:tcPr>
            <w:tcW w:w="1548" w:type="dxa"/>
            <w:vAlign w:val="top"/>
          </w:tcPr>
          <w:p>
            <w:pPr>
              <w:pStyle w:val="TableText"/>
              <w:ind w:left="364"/>
              <w:spacing w:before="169" w:line="219" w:lineRule="auto"/>
              <w:rPr>
                <w:sz w:val="20"/>
                <w:szCs w:val="20"/>
              </w:rPr>
            </w:pPr>
            <w:r>
              <w:rPr>
                <w:sz w:val="20"/>
                <w:szCs w:val="20"/>
                <w:spacing w:val="4"/>
              </w:rPr>
              <w:t>生产车间</w:t>
            </w:r>
          </w:p>
        </w:tc>
        <w:tc>
          <w:tcPr>
            <w:tcW w:w="3131" w:type="dxa"/>
            <w:vAlign w:val="top"/>
          </w:tcPr>
          <w:p>
            <w:pPr>
              <w:pStyle w:val="TableText"/>
              <w:ind w:left="256" w:right="73" w:hanging="200"/>
              <w:spacing w:before="38" w:line="226" w:lineRule="auto"/>
              <w:rPr>
                <w:sz w:val="20"/>
                <w:szCs w:val="20"/>
              </w:rPr>
            </w:pPr>
            <w:r>
              <w:rPr>
                <w:sz w:val="20"/>
                <w:szCs w:val="20"/>
                <w:spacing w:val="-1"/>
              </w:rPr>
              <w:t>车间超标危害操作工人身体；外环</w:t>
            </w:r>
            <w:r>
              <w:rPr>
                <w:sz w:val="20"/>
                <w:szCs w:val="20"/>
                <w:spacing w:val="4"/>
              </w:rPr>
              <w:t xml:space="preserve"> </w:t>
            </w:r>
            <w:r>
              <w:rPr>
                <w:sz w:val="20"/>
                <w:szCs w:val="20"/>
                <w:spacing w:val="-1"/>
              </w:rPr>
              <w:t>境超标造成大气环境质量下降</w:t>
            </w:r>
          </w:p>
        </w:tc>
      </w:tr>
      <w:tr>
        <w:trPr>
          <w:trHeight w:val="538" w:hRule="atLeast"/>
        </w:trPr>
        <w:tc>
          <w:tcPr>
            <w:tcW w:w="1573" w:type="dxa"/>
            <w:vAlign w:val="top"/>
            <w:vMerge w:val="continue"/>
            <w:tcBorders>
              <w:top w:val="nil"/>
            </w:tcBorders>
          </w:tcPr>
          <w:p>
            <w:pPr>
              <w:rPr>
                <w:rFonts w:ascii="Arial"/>
                <w:sz w:val="21"/>
              </w:rPr>
            </w:pPr>
            <w:r/>
          </w:p>
        </w:tc>
        <w:tc>
          <w:tcPr>
            <w:tcW w:w="2227" w:type="dxa"/>
            <w:vAlign w:val="top"/>
          </w:tcPr>
          <w:p>
            <w:pPr>
              <w:pStyle w:val="TableText"/>
              <w:ind w:left="202"/>
              <w:spacing w:before="170" w:line="219" w:lineRule="auto"/>
              <w:rPr>
                <w:sz w:val="20"/>
                <w:szCs w:val="20"/>
              </w:rPr>
            </w:pPr>
            <w:r>
              <w:rPr>
                <w:sz w:val="20"/>
                <w:szCs w:val="20"/>
                <w:spacing w:val="1"/>
              </w:rPr>
              <w:t>二氧化硫、氮氧化物</w:t>
            </w:r>
          </w:p>
        </w:tc>
        <w:tc>
          <w:tcPr>
            <w:tcW w:w="1548" w:type="dxa"/>
            <w:vAlign w:val="top"/>
          </w:tcPr>
          <w:p>
            <w:pPr>
              <w:pStyle w:val="TableText"/>
              <w:ind w:left="464"/>
              <w:spacing w:before="171" w:line="220" w:lineRule="auto"/>
              <w:rPr>
                <w:sz w:val="20"/>
                <w:szCs w:val="20"/>
              </w:rPr>
            </w:pPr>
            <w:r>
              <w:rPr>
                <w:sz w:val="20"/>
                <w:szCs w:val="20"/>
                <w:spacing w:val="4"/>
              </w:rPr>
              <w:t>锅炉房</w:t>
            </w:r>
          </w:p>
        </w:tc>
        <w:tc>
          <w:tcPr>
            <w:tcW w:w="3131" w:type="dxa"/>
            <w:vAlign w:val="top"/>
          </w:tcPr>
          <w:p>
            <w:pPr>
              <w:pStyle w:val="TableText"/>
              <w:ind w:left="1456" w:right="150" w:hanging="1300"/>
              <w:spacing w:before="51" w:line="220" w:lineRule="auto"/>
              <w:rPr>
                <w:sz w:val="20"/>
                <w:szCs w:val="20"/>
              </w:rPr>
            </w:pPr>
            <w:r>
              <w:rPr>
                <w:sz w:val="20"/>
                <w:szCs w:val="20"/>
              </w:rPr>
              <w:t>外环境超标造成大气环境质量下</w:t>
            </w:r>
            <w:r>
              <w:rPr>
                <w:sz w:val="20"/>
                <w:szCs w:val="20"/>
                <w:spacing w:val="12"/>
              </w:rPr>
              <w:t xml:space="preserve"> </w:t>
            </w:r>
            <w:r>
              <w:rPr>
                <w:sz w:val="20"/>
                <w:szCs w:val="20"/>
              </w:rPr>
              <w:t>降</w:t>
            </w:r>
          </w:p>
        </w:tc>
      </w:tr>
      <w:tr>
        <w:trPr>
          <w:trHeight w:val="826" w:hRule="atLeast"/>
        </w:trPr>
        <w:tc>
          <w:tcPr>
            <w:tcW w:w="1573" w:type="dxa"/>
            <w:vAlign w:val="top"/>
          </w:tcPr>
          <w:p>
            <w:pPr>
              <w:spacing w:line="256" w:lineRule="auto"/>
              <w:rPr>
                <w:rFonts w:ascii="Arial"/>
                <w:sz w:val="21"/>
              </w:rPr>
            </w:pPr>
            <w:r/>
          </w:p>
          <w:p>
            <w:pPr>
              <w:pStyle w:val="TableText"/>
              <w:ind w:left="575"/>
              <w:spacing w:before="65" w:line="219" w:lineRule="auto"/>
              <w:rPr>
                <w:sz w:val="20"/>
                <w:szCs w:val="20"/>
              </w:rPr>
            </w:pPr>
            <w:r>
              <w:rPr>
                <w:sz w:val="20"/>
                <w:szCs w:val="20"/>
                <w:spacing w:val="-2"/>
              </w:rPr>
              <w:t>废水</w:t>
            </w:r>
          </w:p>
        </w:tc>
        <w:tc>
          <w:tcPr>
            <w:tcW w:w="2227" w:type="dxa"/>
            <w:vAlign w:val="top"/>
          </w:tcPr>
          <w:p>
            <w:pPr>
              <w:pStyle w:val="TableText"/>
              <w:ind w:left="901" w:right="165" w:hanging="850"/>
              <w:spacing w:before="203" w:line="225" w:lineRule="auto"/>
              <w:rPr>
                <w:sz w:val="20"/>
                <w:szCs w:val="20"/>
              </w:rPr>
            </w:pPr>
            <w:r>
              <w:rPr>
                <w:sz w:val="20"/>
                <w:szCs w:val="20"/>
              </w:rPr>
              <w:t>COD</w:t>
            </w:r>
            <w:r>
              <w:rPr>
                <w:sz w:val="20"/>
                <w:szCs w:val="20"/>
                <w:spacing w:val="12"/>
              </w:rPr>
              <w:t>、氨氮、镍、钴、</w:t>
            </w:r>
            <w:r>
              <w:rPr>
                <w:sz w:val="20"/>
                <w:szCs w:val="20"/>
                <w:spacing w:val="2"/>
              </w:rPr>
              <w:t xml:space="preserve"> </w:t>
            </w:r>
            <w:r>
              <w:rPr>
                <w:sz w:val="20"/>
                <w:szCs w:val="20"/>
                <w:spacing w:val="-2"/>
              </w:rPr>
              <w:t>锰等</w:t>
            </w:r>
          </w:p>
        </w:tc>
        <w:tc>
          <w:tcPr>
            <w:tcW w:w="1548" w:type="dxa"/>
            <w:vAlign w:val="top"/>
          </w:tcPr>
          <w:p>
            <w:pPr>
              <w:spacing w:line="256" w:lineRule="auto"/>
              <w:rPr>
                <w:rFonts w:ascii="Arial"/>
                <w:sz w:val="21"/>
              </w:rPr>
            </w:pPr>
            <w:r/>
          </w:p>
          <w:p>
            <w:pPr>
              <w:pStyle w:val="TableText"/>
              <w:ind w:left="364"/>
              <w:spacing w:before="65" w:line="219" w:lineRule="auto"/>
              <w:rPr>
                <w:sz w:val="20"/>
                <w:szCs w:val="20"/>
              </w:rPr>
            </w:pPr>
            <w:r>
              <w:rPr>
                <w:sz w:val="20"/>
                <w:szCs w:val="20"/>
                <w:spacing w:val="4"/>
              </w:rPr>
              <w:t>生产车间</w:t>
            </w:r>
          </w:p>
        </w:tc>
        <w:tc>
          <w:tcPr>
            <w:tcW w:w="3131" w:type="dxa"/>
            <w:vAlign w:val="top"/>
          </w:tcPr>
          <w:p>
            <w:pPr>
              <w:pStyle w:val="TableText"/>
              <w:ind w:left="56"/>
              <w:spacing w:before="53" w:line="219" w:lineRule="auto"/>
              <w:rPr>
                <w:sz w:val="20"/>
                <w:szCs w:val="20"/>
              </w:rPr>
            </w:pPr>
            <w:r>
              <w:rPr>
                <w:sz w:val="20"/>
                <w:szCs w:val="20"/>
                <w:spacing w:val="-1"/>
              </w:rPr>
              <w:t>泄漏污染项目周边地下水；超标排</w:t>
            </w:r>
          </w:p>
          <w:p>
            <w:pPr>
              <w:pStyle w:val="TableText"/>
              <w:ind w:left="156"/>
              <w:spacing w:before="42" w:line="219" w:lineRule="auto"/>
              <w:rPr>
                <w:sz w:val="20"/>
                <w:szCs w:val="20"/>
              </w:rPr>
            </w:pPr>
            <w:r>
              <w:rPr>
                <w:sz w:val="20"/>
                <w:szCs w:val="20"/>
                <w:spacing w:val="-1"/>
              </w:rPr>
              <w:t>放对城市污水处理厂运行造成不</w:t>
            </w:r>
          </w:p>
          <w:p>
            <w:pPr>
              <w:pStyle w:val="TableText"/>
              <w:ind w:left="1256"/>
              <w:spacing w:before="35" w:line="194" w:lineRule="auto"/>
              <w:rPr>
                <w:sz w:val="20"/>
                <w:szCs w:val="20"/>
              </w:rPr>
            </w:pPr>
            <w:r>
              <w:rPr>
                <w:sz w:val="20"/>
                <w:szCs w:val="20"/>
                <w:spacing w:val="5"/>
              </w:rPr>
              <w:t>利影响</w:t>
            </w:r>
          </w:p>
        </w:tc>
      </w:tr>
      <w:tr>
        <w:trPr>
          <w:trHeight w:val="284" w:hRule="atLeast"/>
        </w:trPr>
        <w:tc>
          <w:tcPr>
            <w:tcW w:w="1573" w:type="dxa"/>
            <w:vAlign w:val="top"/>
          </w:tcPr>
          <w:p>
            <w:pPr>
              <w:pStyle w:val="TableText"/>
              <w:ind w:left="374"/>
              <w:spacing w:before="47" w:line="209" w:lineRule="auto"/>
              <w:rPr>
                <w:sz w:val="20"/>
                <w:szCs w:val="20"/>
              </w:rPr>
            </w:pPr>
            <w:r>
              <w:rPr>
                <w:sz w:val="20"/>
                <w:szCs w:val="20"/>
                <w:spacing w:val="2"/>
              </w:rPr>
              <w:t>固体废物</w:t>
            </w:r>
          </w:p>
        </w:tc>
        <w:tc>
          <w:tcPr>
            <w:tcW w:w="2227" w:type="dxa"/>
            <w:vAlign w:val="top"/>
          </w:tcPr>
          <w:p>
            <w:pPr>
              <w:pStyle w:val="TableText"/>
              <w:ind w:left="851"/>
              <w:spacing w:before="47" w:line="209" w:lineRule="auto"/>
              <w:rPr>
                <w:sz w:val="20"/>
                <w:szCs w:val="20"/>
              </w:rPr>
            </w:pPr>
            <w:r>
              <w:rPr>
                <w:sz w:val="20"/>
                <w:szCs w:val="20"/>
                <w:spacing w:val="-2"/>
              </w:rPr>
              <w:t>废NMP</w:t>
            </w:r>
          </w:p>
        </w:tc>
        <w:tc>
          <w:tcPr>
            <w:tcW w:w="1548" w:type="dxa"/>
            <w:vAlign w:val="top"/>
          </w:tcPr>
          <w:p>
            <w:pPr>
              <w:pStyle w:val="TableText"/>
              <w:ind w:left="305"/>
              <w:spacing w:before="46" w:line="210" w:lineRule="auto"/>
              <w:rPr>
                <w:sz w:val="20"/>
                <w:szCs w:val="20"/>
              </w:rPr>
            </w:pPr>
            <w:r>
              <w:rPr>
                <w:sz w:val="20"/>
                <w:szCs w:val="20"/>
                <w:spacing w:val="-4"/>
              </w:rPr>
              <w:t>N</w:t>
            </w:r>
            <w:r>
              <w:rPr>
                <w:sz w:val="20"/>
                <w:szCs w:val="20"/>
                <w:spacing w:val="-37"/>
              </w:rPr>
              <w:t xml:space="preserve"> </w:t>
            </w:r>
            <w:r>
              <w:rPr>
                <w:sz w:val="20"/>
                <w:szCs w:val="20"/>
                <w:spacing w:val="-4"/>
              </w:rPr>
              <w:t>M</w:t>
            </w:r>
            <w:r>
              <w:rPr>
                <w:sz w:val="20"/>
                <w:szCs w:val="20"/>
                <w:spacing w:val="-36"/>
              </w:rPr>
              <w:t xml:space="preserve"> </w:t>
            </w:r>
            <w:r>
              <w:rPr>
                <w:sz w:val="20"/>
                <w:szCs w:val="20"/>
                <w:spacing w:val="-4"/>
              </w:rPr>
              <w:t>P</w:t>
            </w:r>
            <w:r>
              <w:rPr>
                <w:sz w:val="20"/>
                <w:szCs w:val="20"/>
                <w:spacing w:val="-31"/>
              </w:rPr>
              <w:t xml:space="preserve"> </w:t>
            </w:r>
            <w:r>
              <w:rPr>
                <w:sz w:val="20"/>
                <w:szCs w:val="20"/>
                <w:spacing w:val="-4"/>
              </w:rPr>
              <w:t>罐</w:t>
            </w:r>
            <w:r>
              <w:rPr>
                <w:sz w:val="20"/>
                <w:szCs w:val="20"/>
                <w:spacing w:val="-18"/>
              </w:rPr>
              <w:t xml:space="preserve"> </w:t>
            </w:r>
            <w:r>
              <w:rPr>
                <w:sz w:val="20"/>
                <w:szCs w:val="20"/>
                <w:spacing w:val="-4"/>
              </w:rPr>
              <w:t>区</w:t>
            </w:r>
          </w:p>
        </w:tc>
        <w:tc>
          <w:tcPr>
            <w:tcW w:w="3131" w:type="dxa"/>
            <w:vAlign w:val="top"/>
          </w:tcPr>
          <w:p>
            <w:pPr>
              <w:pStyle w:val="TableText"/>
              <w:ind w:left="156"/>
              <w:spacing w:before="46" w:line="210" w:lineRule="auto"/>
              <w:rPr>
                <w:sz w:val="20"/>
                <w:szCs w:val="20"/>
              </w:rPr>
            </w:pPr>
            <w:r>
              <w:rPr>
                <w:sz w:val="20"/>
                <w:szCs w:val="20"/>
              </w:rPr>
              <w:t>泄漏污染项目周边地表水、地下</w:t>
            </w:r>
          </w:p>
        </w:tc>
      </w:tr>
    </w:tbl>
    <w:p>
      <w:pPr>
        <w:rPr>
          <w:rFonts w:ascii="Arial"/>
          <w:sz w:val="21"/>
        </w:rPr>
      </w:pPr>
      <w:r/>
    </w:p>
    <w:p>
      <w:pPr>
        <w:sectPr>
          <w:footerReference w:type="default" r:id="rId181"/>
          <w:pgSz w:w="11900" w:h="16840"/>
          <w:pgMar w:top="1277" w:right="1370" w:bottom="988" w:left="1509" w:header="0" w:footer="849" w:gutter="0"/>
        </w:sectPr>
        <w:rPr>
          <w:rFonts w:ascii="Arial" w:hAnsi="Arial" w:eastAsia="Arial" w:cs="Arial"/>
          <w:sz w:val="21"/>
          <w:szCs w:val="21"/>
        </w:rPr>
      </w:pPr>
    </w:p>
    <w:tbl>
      <w:tblPr>
        <w:tblStyle w:val="TableNormal"/>
        <w:tblW w:w="8469" w:type="dxa"/>
        <w:tblInd w:w="30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53"/>
        <w:gridCol w:w="2227"/>
        <w:gridCol w:w="1568"/>
        <w:gridCol w:w="3121"/>
      </w:tblGrid>
      <w:tr>
        <w:trPr>
          <w:trHeight w:val="281" w:hRule="atLeast"/>
        </w:trPr>
        <w:tc>
          <w:tcPr>
            <w:tcW w:w="1553" w:type="dxa"/>
            <w:vAlign w:val="top"/>
            <w:vMerge w:val="restart"/>
            <w:tcBorders>
              <w:bottom w:val="nil"/>
            </w:tcBorders>
          </w:tcPr>
          <w:p>
            <w:pPr>
              <w:rPr>
                <w:rFonts w:ascii="Arial"/>
                <w:sz w:val="21"/>
              </w:rPr>
            </w:pPr>
            <w:r/>
          </w:p>
        </w:tc>
        <w:tc>
          <w:tcPr>
            <w:tcW w:w="2227" w:type="dxa"/>
            <w:vAlign w:val="top"/>
          </w:tcPr>
          <w:p>
            <w:pPr>
              <w:rPr>
                <w:rFonts w:ascii="Arial"/>
                <w:sz w:val="21"/>
              </w:rPr>
            </w:pPr>
            <w:r/>
          </w:p>
        </w:tc>
        <w:tc>
          <w:tcPr>
            <w:tcW w:w="1568" w:type="dxa"/>
            <w:vAlign w:val="top"/>
          </w:tcPr>
          <w:p>
            <w:pPr>
              <w:rPr>
                <w:rFonts w:ascii="Arial"/>
                <w:sz w:val="21"/>
              </w:rPr>
            </w:pPr>
            <w:r/>
          </w:p>
        </w:tc>
        <w:tc>
          <w:tcPr>
            <w:tcW w:w="3121" w:type="dxa"/>
            <w:vAlign w:val="top"/>
          </w:tcPr>
          <w:p>
            <w:pPr>
              <w:pStyle w:val="TableText"/>
              <w:ind w:left="1157"/>
              <w:spacing w:before="43" w:line="210" w:lineRule="auto"/>
              <w:rPr>
                <w:sz w:val="20"/>
                <w:szCs w:val="20"/>
              </w:rPr>
            </w:pPr>
            <w:r>
              <w:rPr>
                <w:sz w:val="20"/>
                <w:szCs w:val="20"/>
                <w:spacing w:val="-2"/>
              </w:rPr>
              <w:t>水、土壤</w:t>
            </w:r>
          </w:p>
        </w:tc>
      </w:tr>
      <w:tr>
        <w:trPr>
          <w:trHeight w:val="538" w:hRule="atLeast"/>
        </w:trPr>
        <w:tc>
          <w:tcPr>
            <w:tcW w:w="1553" w:type="dxa"/>
            <w:vAlign w:val="top"/>
            <w:vMerge w:val="continue"/>
            <w:tcBorders>
              <w:top w:val="nil"/>
            </w:tcBorders>
          </w:tcPr>
          <w:p>
            <w:pPr>
              <w:rPr>
                <w:rFonts w:ascii="Arial"/>
                <w:sz w:val="21"/>
              </w:rPr>
            </w:pPr>
            <w:r/>
          </w:p>
        </w:tc>
        <w:tc>
          <w:tcPr>
            <w:tcW w:w="2227" w:type="dxa"/>
            <w:vAlign w:val="top"/>
          </w:tcPr>
          <w:p>
            <w:pPr>
              <w:pStyle w:val="TableText"/>
              <w:ind w:left="822"/>
              <w:spacing w:before="170" w:line="219" w:lineRule="auto"/>
              <w:rPr>
                <w:sz w:val="20"/>
                <w:szCs w:val="20"/>
              </w:rPr>
            </w:pPr>
            <w:r>
              <w:rPr>
                <w:sz w:val="20"/>
                <w:szCs w:val="20"/>
                <w:spacing w:val="7"/>
              </w:rPr>
              <w:t>废机油</w:t>
            </w:r>
          </w:p>
        </w:tc>
        <w:tc>
          <w:tcPr>
            <w:tcW w:w="1568" w:type="dxa"/>
            <w:vAlign w:val="top"/>
          </w:tcPr>
          <w:p>
            <w:pPr>
              <w:pStyle w:val="TableText"/>
              <w:ind w:left="284"/>
              <w:spacing w:before="172" w:line="219" w:lineRule="auto"/>
              <w:rPr>
                <w:sz w:val="20"/>
                <w:szCs w:val="20"/>
              </w:rPr>
            </w:pPr>
            <w:r>
              <w:rPr>
                <w:sz w:val="20"/>
                <w:szCs w:val="20"/>
                <w:spacing w:val="3"/>
              </w:rPr>
              <w:t>危废暂存间</w:t>
            </w:r>
          </w:p>
        </w:tc>
        <w:tc>
          <w:tcPr>
            <w:tcW w:w="3121" w:type="dxa"/>
            <w:vAlign w:val="top"/>
          </w:tcPr>
          <w:p>
            <w:pPr>
              <w:pStyle w:val="TableText"/>
              <w:ind w:left="755" w:right="40" w:hanging="699"/>
              <w:spacing w:before="51" w:line="220" w:lineRule="auto"/>
              <w:rPr>
                <w:sz w:val="20"/>
                <w:szCs w:val="20"/>
              </w:rPr>
            </w:pPr>
            <w:r>
              <w:rPr>
                <w:sz w:val="20"/>
                <w:szCs w:val="20"/>
              </w:rPr>
              <w:t>遗撒或泄漏易对周围地表水、地下</w:t>
            </w:r>
            <w:r>
              <w:rPr>
                <w:sz w:val="20"/>
                <w:szCs w:val="20"/>
                <w:spacing w:val="12"/>
              </w:rPr>
              <w:t xml:space="preserve"> </w:t>
            </w:r>
            <w:r>
              <w:rPr>
                <w:sz w:val="20"/>
                <w:szCs w:val="20"/>
                <w:spacing w:val="-2"/>
              </w:rPr>
              <w:t>水、土壤造成污染</w:t>
            </w:r>
          </w:p>
        </w:tc>
      </w:tr>
    </w:tbl>
    <w:p>
      <w:pPr>
        <w:pStyle w:val="BodyText"/>
        <w:ind w:left="118"/>
        <w:spacing w:before="92" w:line="219" w:lineRule="auto"/>
        <w:outlineLvl w:val="6"/>
        <w:rPr>
          <w:sz w:val="27"/>
          <w:szCs w:val="27"/>
        </w:rPr>
      </w:pPr>
      <w:r>
        <w:rPr>
          <w:sz w:val="27"/>
          <w:szCs w:val="27"/>
          <w:b/>
          <w:bCs/>
          <w:spacing w:val="21"/>
        </w:rPr>
        <w:t>5.2生产系统环境风险识别</w:t>
      </w:r>
    </w:p>
    <w:p>
      <w:pPr>
        <w:pStyle w:val="BodyText"/>
        <w:ind w:left="118"/>
        <w:spacing w:before="239" w:line="219" w:lineRule="auto"/>
        <w:outlineLvl w:val="6"/>
        <w:rPr>
          <w:sz w:val="27"/>
          <w:szCs w:val="27"/>
        </w:rPr>
      </w:pPr>
      <w:r>
        <w:rPr>
          <w:sz w:val="27"/>
          <w:szCs w:val="27"/>
          <w:b/>
          <w:bCs/>
          <w:spacing w:val="-16"/>
        </w:rPr>
        <w:t>5.2.1</w:t>
      </w:r>
      <w:r>
        <w:rPr>
          <w:sz w:val="27"/>
          <w:szCs w:val="27"/>
          <w:spacing w:val="-26"/>
        </w:rPr>
        <w:t xml:space="preserve"> </w:t>
      </w:r>
      <w:r>
        <w:rPr>
          <w:sz w:val="27"/>
          <w:szCs w:val="27"/>
          <w:b/>
          <w:bCs/>
          <w:spacing w:val="-16"/>
        </w:rPr>
        <w:t>识别内容</w:t>
      </w:r>
    </w:p>
    <w:p>
      <w:pPr>
        <w:pStyle w:val="BodyText"/>
        <w:ind w:left="624"/>
        <w:spacing w:before="131" w:line="219" w:lineRule="auto"/>
        <w:rPr>
          <w:sz w:val="22"/>
          <w:szCs w:val="22"/>
        </w:rPr>
      </w:pPr>
      <w:r>
        <w:rPr>
          <w:sz w:val="22"/>
          <w:szCs w:val="22"/>
          <w:spacing w:val="18"/>
        </w:rPr>
        <w:t>生产系统环境风险识别，主要包括生产装置、储运设施、公用工程和辅助生产设</w:t>
      </w:r>
    </w:p>
    <w:p>
      <w:pPr>
        <w:pStyle w:val="BodyText"/>
        <w:ind w:left="114"/>
        <w:spacing w:before="169" w:line="219" w:lineRule="auto"/>
        <w:rPr>
          <w:sz w:val="22"/>
          <w:szCs w:val="22"/>
        </w:rPr>
      </w:pPr>
      <w:r>
        <w:rPr>
          <w:sz w:val="22"/>
          <w:szCs w:val="22"/>
          <w:spacing w:val="12"/>
        </w:rPr>
        <w:t>施，以及环保设施等。</w:t>
      </w:r>
    </w:p>
    <w:p>
      <w:pPr>
        <w:pStyle w:val="BodyText"/>
        <w:ind w:left="118"/>
        <w:spacing w:before="47" w:line="220" w:lineRule="auto"/>
        <w:outlineLvl w:val="6"/>
        <w:rPr>
          <w:sz w:val="27"/>
          <w:szCs w:val="27"/>
        </w:rPr>
      </w:pPr>
      <w:r>
        <w:rPr>
          <w:sz w:val="27"/>
          <w:szCs w:val="27"/>
          <w:b/>
          <w:bCs/>
          <w:spacing w:val="-6"/>
        </w:rPr>
        <w:t>5.2.2</w:t>
      </w:r>
      <w:r>
        <w:rPr>
          <w:sz w:val="27"/>
          <w:szCs w:val="27"/>
          <w:spacing w:val="-23"/>
        </w:rPr>
        <w:t xml:space="preserve"> </w:t>
      </w:r>
      <w:r>
        <w:rPr>
          <w:sz w:val="27"/>
          <w:szCs w:val="27"/>
          <w:b/>
          <w:bCs/>
          <w:spacing w:val="-6"/>
        </w:rPr>
        <w:t>危险单元划分及潜在风险源</w:t>
      </w:r>
    </w:p>
    <w:p>
      <w:pPr>
        <w:pStyle w:val="BodyText"/>
        <w:ind w:left="624"/>
        <w:spacing w:before="48" w:line="471" w:lineRule="exact"/>
        <w:rPr>
          <w:sz w:val="22"/>
          <w:szCs w:val="22"/>
        </w:rPr>
      </w:pPr>
      <w:r>
        <w:rPr>
          <w:sz w:val="22"/>
          <w:szCs w:val="22"/>
          <w:spacing w:val="18"/>
          <w:position w:val="19"/>
        </w:rPr>
        <w:t>根据项目工艺流程和平面布置，结合项目物质危险性识别结果，本项目危险单元</w:t>
      </w:r>
    </w:p>
    <w:p>
      <w:pPr>
        <w:pStyle w:val="BodyText"/>
        <w:ind w:left="114"/>
        <w:spacing w:line="219" w:lineRule="auto"/>
        <w:rPr>
          <w:sz w:val="22"/>
          <w:szCs w:val="22"/>
        </w:rPr>
      </w:pPr>
      <w:r>
        <w:rPr>
          <w:sz w:val="22"/>
          <w:szCs w:val="22"/>
          <w:spacing w:val="7"/>
        </w:rPr>
        <w:t>划分结果见下表。</w:t>
      </w:r>
    </w:p>
    <w:p>
      <w:pPr>
        <w:pStyle w:val="BodyText"/>
        <w:ind w:left="1977"/>
        <w:spacing w:before="197" w:line="220" w:lineRule="auto"/>
        <w:rPr>
          <w:sz w:val="22"/>
          <w:szCs w:val="22"/>
        </w:rPr>
      </w:pPr>
      <w:r>
        <w:rPr>
          <w:sz w:val="22"/>
          <w:szCs w:val="22"/>
          <w:b/>
          <w:bCs/>
          <w:spacing w:val="10"/>
        </w:rPr>
        <w:t>表5.2-1</w:t>
      </w:r>
      <w:r>
        <w:rPr>
          <w:sz w:val="22"/>
          <w:szCs w:val="22"/>
          <w:spacing w:val="10"/>
        </w:rPr>
        <w:t xml:space="preserve">  </w:t>
      </w:r>
      <w:r>
        <w:rPr>
          <w:sz w:val="22"/>
          <w:szCs w:val="22"/>
          <w:b/>
          <w:bCs/>
          <w:spacing w:val="10"/>
        </w:rPr>
        <w:t>危险单元划分结果及潜在风险源一览表</w:t>
      </w:r>
    </w:p>
    <w:p>
      <w:pPr>
        <w:spacing w:line="146" w:lineRule="exact"/>
        <w:rPr/>
      </w:pPr>
      <w:r/>
    </w:p>
    <w:tbl>
      <w:tblPr>
        <w:tblStyle w:val="TableNormal"/>
        <w:tblW w:w="90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94"/>
        <w:gridCol w:w="1878"/>
        <w:gridCol w:w="3566"/>
        <w:gridCol w:w="2921"/>
      </w:tblGrid>
      <w:tr>
        <w:trPr>
          <w:trHeight w:val="303" w:hRule="atLeast"/>
        </w:trPr>
        <w:tc>
          <w:tcPr>
            <w:tcW w:w="694" w:type="dxa"/>
            <w:vAlign w:val="top"/>
          </w:tcPr>
          <w:p>
            <w:pPr>
              <w:pStyle w:val="TableText"/>
              <w:ind w:left="124"/>
              <w:spacing w:before="55" w:line="209" w:lineRule="auto"/>
              <w:rPr>
                <w:sz w:val="21"/>
                <w:szCs w:val="21"/>
              </w:rPr>
            </w:pPr>
            <w:r>
              <w:rPr>
                <w:sz w:val="21"/>
                <w:szCs w:val="21"/>
                <w:spacing w:val="6"/>
              </w:rPr>
              <w:t>序号</w:t>
            </w:r>
          </w:p>
        </w:tc>
        <w:tc>
          <w:tcPr>
            <w:tcW w:w="1878" w:type="dxa"/>
            <w:vAlign w:val="top"/>
          </w:tcPr>
          <w:p>
            <w:pPr>
              <w:pStyle w:val="TableText"/>
              <w:ind w:left="510"/>
              <w:spacing w:before="54" w:line="210" w:lineRule="auto"/>
              <w:rPr>
                <w:sz w:val="21"/>
                <w:szCs w:val="21"/>
              </w:rPr>
            </w:pPr>
            <w:r>
              <w:rPr>
                <w:sz w:val="21"/>
                <w:szCs w:val="21"/>
                <w:spacing w:val="-3"/>
              </w:rPr>
              <w:t>危险单元</w:t>
            </w:r>
          </w:p>
        </w:tc>
        <w:tc>
          <w:tcPr>
            <w:tcW w:w="3566" w:type="dxa"/>
            <w:vAlign w:val="top"/>
          </w:tcPr>
          <w:p>
            <w:pPr>
              <w:pStyle w:val="TableText"/>
              <w:ind w:left="1142"/>
              <w:spacing w:before="54" w:line="210" w:lineRule="auto"/>
              <w:rPr>
                <w:sz w:val="21"/>
                <w:szCs w:val="21"/>
              </w:rPr>
            </w:pPr>
            <w:r>
              <w:rPr>
                <w:sz w:val="21"/>
                <w:szCs w:val="21"/>
                <w:spacing w:val="-2"/>
              </w:rPr>
              <w:t>潜在的风险源</w:t>
            </w:r>
          </w:p>
        </w:tc>
        <w:tc>
          <w:tcPr>
            <w:tcW w:w="2921" w:type="dxa"/>
            <w:vAlign w:val="top"/>
          </w:tcPr>
          <w:p>
            <w:pPr>
              <w:pStyle w:val="TableText"/>
              <w:ind w:left="826"/>
              <w:spacing w:before="54" w:line="210" w:lineRule="auto"/>
              <w:rPr>
                <w:sz w:val="21"/>
                <w:szCs w:val="21"/>
              </w:rPr>
            </w:pPr>
            <w:r>
              <w:rPr>
                <w:sz w:val="21"/>
                <w:szCs w:val="21"/>
                <w:spacing w:val="3"/>
              </w:rPr>
              <w:t>主要危险物质</w:t>
            </w:r>
          </w:p>
        </w:tc>
      </w:tr>
      <w:tr>
        <w:trPr>
          <w:trHeight w:val="279" w:hRule="atLeast"/>
        </w:trPr>
        <w:tc>
          <w:tcPr>
            <w:tcW w:w="694" w:type="dxa"/>
            <w:vAlign w:val="top"/>
            <w:vMerge w:val="restart"/>
            <w:tcBorders>
              <w:bottom w:val="nil"/>
            </w:tcBorders>
          </w:tcPr>
          <w:p>
            <w:pPr>
              <w:spacing w:line="293" w:lineRule="auto"/>
              <w:rPr>
                <w:rFonts w:ascii="Arial"/>
                <w:sz w:val="21"/>
              </w:rPr>
            </w:pPr>
            <w:r/>
          </w:p>
          <w:p>
            <w:pPr>
              <w:pStyle w:val="TableText"/>
              <w:ind w:left="285"/>
              <w:spacing w:before="68" w:line="184" w:lineRule="auto"/>
              <w:rPr>
                <w:sz w:val="21"/>
                <w:szCs w:val="21"/>
              </w:rPr>
            </w:pPr>
            <w:r>
              <w:rPr>
                <w:sz w:val="21"/>
                <w:szCs w:val="21"/>
              </w:rPr>
              <w:t>1</w:t>
            </w:r>
          </w:p>
        </w:tc>
        <w:tc>
          <w:tcPr>
            <w:tcW w:w="1878" w:type="dxa"/>
            <w:vAlign w:val="top"/>
            <w:vMerge w:val="restart"/>
            <w:tcBorders>
              <w:bottom w:val="nil"/>
            </w:tcBorders>
          </w:tcPr>
          <w:p>
            <w:pPr>
              <w:pStyle w:val="TableText"/>
              <w:ind w:left="820" w:right="197" w:hanging="629"/>
              <w:spacing w:before="180"/>
              <w:rPr>
                <w:sz w:val="21"/>
                <w:szCs w:val="21"/>
              </w:rPr>
            </w:pPr>
            <w:r>
              <w:rPr>
                <w:sz w:val="21"/>
                <w:szCs w:val="21"/>
                <w:spacing w:val="1"/>
              </w:rPr>
              <w:t>凹版厂房生产车 </w:t>
            </w:r>
            <w:r>
              <w:rPr>
                <w:sz w:val="21"/>
                <w:szCs w:val="21"/>
              </w:rPr>
              <w:t>间</w:t>
            </w:r>
          </w:p>
        </w:tc>
        <w:tc>
          <w:tcPr>
            <w:tcW w:w="3566" w:type="dxa"/>
            <w:vAlign w:val="top"/>
          </w:tcPr>
          <w:p>
            <w:pPr>
              <w:pStyle w:val="TableText"/>
              <w:ind w:left="302"/>
              <w:spacing w:before="39" w:line="202" w:lineRule="auto"/>
              <w:rPr>
                <w:sz w:val="21"/>
                <w:szCs w:val="21"/>
              </w:rPr>
            </w:pPr>
            <w:r>
              <w:rPr>
                <w:sz w:val="21"/>
                <w:szCs w:val="21"/>
              </w:rPr>
              <w:t>输送管线破损，导致原材料泄漏</w:t>
            </w:r>
          </w:p>
        </w:tc>
        <w:tc>
          <w:tcPr>
            <w:tcW w:w="2921" w:type="dxa"/>
            <w:vAlign w:val="top"/>
          </w:tcPr>
          <w:p>
            <w:pPr>
              <w:pStyle w:val="TableText"/>
              <w:ind w:left="766"/>
              <w:spacing w:before="39" w:line="202" w:lineRule="auto"/>
              <w:rPr>
                <w:sz w:val="21"/>
                <w:szCs w:val="21"/>
              </w:rPr>
            </w:pPr>
            <w:r>
              <w:rPr>
                <w:sz w:val="21"/>
                <w:szCs w:val="21"/>
                <w:spacing w:val="8"/>
              </w:rPr>
              <w:t>三元材料(</w:t>
            </w:r>
            <w:r>
              <w:rPr>
                <w:sz w:val="21"/>
                <w:szCs w:val="21"/>
              </w:rPr>
              <w:t>NCM</w:t>
            </w:r>
            <w:r>
              <w:rPr>
                <w:sz w:val="21"/>
                <w:szCs w:val="21"/>
                <w:spacing w:val="8"/>
              </w:rPr>
              <w:t>)</w:t>
            </w:r>
          </w:p>
        </w:tc>
      </w:tr>
      <w:tr>
        <w:trPr>
          <w:trHeight w:val="538" w:hRule="atLeast"/>
        </w:trPr>
        <w:tc>
          <w:tcPr>
            <w:tcW w:w="694" w:type="dxa"/>
            <w:vAlign w:val="top"/>
            <w:vMerge w:val="continue"/>
            <w:tcBorders>
              <w:top w:val="nil"/>
            </w:tcBorders>
          </w:tcPr>
          <w:p>
            <w:pPr>
              <w:rPr>
                <w:rFonts w:ascii="Arial"/>
                <w:sz w:val="21"/>
              </w:rPr>
            </w:pPr>
            <w:r/>
          </w:p>
        </w:tc>
        <w:tc>
          <w:tcPr>
            <w:tcW w:w="1878" w:type="dxa"/>
            <w:vAlign w:val="top"/>
            <w:vMerge w:val="continue"/>
            <w:tcBorders>
              <w:top w:val="nil"/>
            </w:tcBorders>
          </w:tcPr>
          <w:p>
            <w:pPr>
              <w:rPr>
                <w:rFonts w:ascii="Arial"/>
                <w:sz w:val="21"/>
              </w:rPr>
            </w:pPr>
            <w:r/>
          </w:p>
        </w:tc>
        <w:tc>
          <w:tcPr>
            <w:tcW w:w="3566" w:type="dxa"/>
            <w:vAlign w:val="top"/>
          </w:tcPr>
          <w:p>
            <w:pPr>
              <w:pStyle w:val="TableText"/>
              <w:ind w:left="933" w:right="89" w:hanging="840"/>
              <w:spacing w:before="11" w:line="227" w:lineRule="auto"/>
              <w:rPr>
                <w:sz w:val="21"/>
                <w:szCs w:val="21"/>
              </w:rPr>
            </w:pPr>
            <w:r>
              <w:rPr>
                <w:sz w:val="21"/>
                <w:szCs w:val="21"/>
              </w:rPr>
              <w:t>生产设备电路出现故障，引发火灾导</w:t>
            </w:r>
            <w:r>
              <w:rPr>
                <w:sz w:val="21"/>
                <w:szCs w:val="21"/>
                <w:spacing w:val="12"/>
              </w:rPr>
              <w:t xml:space="preserve"> </w:t>
            </w:r>
            <w:r>
              <w:rPr>
                <w:sz w:val="21"/>
                <w:szCs w:val="21"/>
                <w:spacing w:val="-1"/>
              </w:rPr>
              <w:t>致的次生污染风险</w:t>
            </w:r>
          </w:p>
        </w:tc>
        <w:tc>
          <w:tcPr>
            <w:tcW w:w="2921" w:type="dxa"/>
            <w:vAlign w:val="top"/>
          </w:tcPr>
          <w:p>
            <w:pPr>
              <w:pStyle w:val="TableText"/>
              <w:ind w:left="647"/>
              <w:spacing w:before="170" w:line="219" w:lineRule="auto"/>
              <w:rPr>
                <w:sz w:val="21"/>
                <w:szCs w:val="21"/>
              </w:rPr>
            </w:pPr>
            <w:r>
              <w:rPr>
                <w:sz w:val="21"/>
                <w:szCs w:val="21"/>
                <w:spacing w:val="50"/>
              </w:rPr>
              <w:t>三元材料(</w:t>
            </w:r>
            <w:r>
              <w:rPr>
                <w:sz w:val="21"/>
                <w:szCs w:val="21"/>
              </w:rPr>
              <w:t>NCM</w:t>
            </w:r>
            <w:r>
              <w:rPr>
                <w:sz w:val="21"/>
                <w:szCs w:val="21"/>
                <w:spacing w:val="50"/>
              </w:rPr>
              <w:t>)</w:t>
            </w:r>
          </w:p>
        </w:tc>
      </w:tr>
      <w:tr>
        <w:trPr>
          <w:trHeight w:val="279" w:hRule="atLeast"/>
        </w:trPr>
        <w:tc>
          <w:tcPr>
            <w:tcW w:w="694" w:type="dxa"/>
            <w:vAlign w:val="top"/>
          </w:tcPr>
          <w:p>
            <w:pPr>
              <w:pStyle w:val="TableText"/>
              <w:ind w:left="285"/>
              <w:spacing w:before="97" w:line="172" w:lineRule="exact"/>
              <w:rPr>
                <w:sz w:val="21"/>
                <w:szCs w:val="21"/>
              </w:rPr>
            </w:pPr>
            <w:r>
              <w:rPr>
                <w:sz w:val="21"/>
                <w:szCs w:val="21"/>
                <w:position w:val="-2"/>
              </w:rPr>
              <w:t>2</w:t>
            </w:r>
          </w:p>
        </w:tc>
        <w:tc>
          <w:tcPr>
            <w:tcW w:w="1878" w:type="dxa"/>
            <w:vAlign w:val="top"/>
          </w:tcPr>
          <w:p>
            <w:pPr>
              <w:pStyle w:val="TableText"/>
              <w:ind w:left="400"/>
              <w:spacing w:before="43" w:line="198" w:lineRule="auto"/>
              <w:rPr>
                <w:sz w:val="21"/>
                <w:szCs w:val="21"/>
              </w:rPr>
            </w:pPr>
            <w:r>
              <w:rPr>
                <w:sz w:val="21"/>
                <w:szCs w:val="21"/>
                <w:spacing w:val="-1"/>
              </w:rPr>
              <w:t>NMP储罐区C</w:t>
            </w:r>
          </w:p>
        </w:tc>
        <w:tc>
          <w:tcPr>
            <w:tcW w:w="3566" w:type="dxa"/>
            <w:vAlign w:val="top"/>
          </w:tcPr>
          <w:p>
            <w:pPr>
              <w:pStyle w:val="TableText"/>
              <w:ind w:left="832"/>
              <w:spacing w:before="43" w:line="198" w:lineRule="auto"/>
              <w:rPr>
                <w:sz w:val="21"/>
                <w:szCs w:val="21"/>
              </w:rPr>
            </w:pPr>
            <w:r>
              <w:rPr>
                <w:sz w:val="21"/>
                <w:szCs w:val="21"/>
                <w:spacing w:val="1"/>
              </w:rPr>
              <w:t>储罐破损、管线泄漏</w:t>
            </w:r>
          </w:p>
        </w:tc>
        <w:tc>
          <w:tcPr>
            <w:tcW w:w="2921" w:type="dxa"/>
            <w:vAlign w:val="top"/>
          </w:tcPr>
          <w:p>
            <w:pPr>
              <w:pStyle w:val="TableText"/>
              <w:ind w:left="796"/>
              <w:spacing w:before="43" w:line="198" w:lineRule="auto"/>
              <w:rPr>
                <w:sz w:val="21"/>
                <w:szCs w:val="21"/>
              </w:rPr>
            </w:pPr>
            <w:r>
              <w:rPr>
                <w:sz w:val="21"/>
                <w:szCs w:val="21"/>
                <w:spacing w:val="24"/>
              </w:rPr>
              <w:t>N</w:t>
            </w:r>
            <w:r>
              <w:rPr>
                <w:sz w:val="21"/>
                <w:szCs w:val="21"/>
                <w:spacing w:val="-62"/>
              </w:rPr>
              <w:t xml:space="preserve"> </w:t>
            </w:r>
            <w:r>
              <w:rPr>
                <w:sz w:val="21"/>
                <w:szCs w:val="21"/>
                <w:spacing w:val="24"/>
              </w:rPr>
              <w:t>MP、废N</w:t>
            </w:r>
            <w:r>
              <w:rPr>
                <w:sz w:val="21"/>
                <w:szCs w:val="21"/>
                <w:spacing w:val="-63"/>
              </w:rPr>
              <w:t xml:space="preserve"> </w:t>
            </w:r>
            <w:r>
              <w:rPr>
                <w:sz w:val="21"/>
                <w:szCs w:val="21"/>
                <w:spacing w:val="24"/>
              </w:rPr>
              <w:t>MP</w:t>
            </w:r>
          </w:p>
        </w:tc>
      </w:tr>
      <w:tr>
        <w:trPr>
          <w:trHeight w:val="548" w:hRule="atLeast"/>
        </w:trPr>
        <w:tc>
          <w:tcPr>
            <w:tcW w:w="694" w:type="dxa"/>
            <w:vAlign w:val="top"/>
          </w:tcPr>
          <w:p>
            <w:pPr>
              <w:pStyle w:val="TableText"/>
              <w:ind w:left="285"/>
              <w:spacing w:before="228" w:line="183" w:lineRule="auto"/>
              <w:rPr>
                <w:sz w:val="21"/>
                <w:szCs w:val="21"/>
              </w:rPr>
            </w:pPr>
            <w:r>
              <w:rPr>
                <w:sz w:val="21"/>
                <w:szCs w:val="21"/>
              </w:rPr>
              <w:t>3</w:t>
            </w:r>
          </w:p>
        </w:tc>
        <w:tc>
          <w:tcPr>
            <w:tcW w:w="1878" w:type="dxa"/>
            <w:vAlign w:val="top"/>
          </w:tcPr>
          <w:p>
            <w:pPr>
              <w:pStyle w:val="TableText"/>
              <w:ind w:left="141"/>
              <w:spacing w:before="54" w:line="219" w:lineRule="auto"/>
              <w:rPr>
                <w:sz w:val="21"/>
                <w:szCs w:val="21"/>
              </w:rPr>
            </w:pPr>
            <w:r>
              <w:rPr>
                <w:sz w:val="21"/>
                <w:szCs w:val="21"/>
                <w:spacing w:val="1"/>
              </w:rPr>
              <w:t>凹版设施房(含锅</w:t>
            </w:r>
          </w:p>
          <w:p>
            <w:pPr>
              <w:pStyle w:val="TableText"/>
              <w:ind w:left="660"/>
              <w:spacing w:before="11" w:line="196" w:lineRule="auto"/>
              <w:rPr>
                <w:sz w:val="21"/>
                <w:szCs w:val="21"/>
              </w:rPr>
            </w:pPr>
            <w:r>
              <w:rPr>
                <w:sz w:val="21"/>
                <w:szCs w:val="21"/>
                <w:spacing w:val="17"/>
              </w:rPr>
              <w:t>炉房)</w:t>
            </w:r>
          </w:p>
        </w:tc>
        <w:tc>
          <w:tcPr>
            <w:tcW w:w="3566" w:type="dxa"/>
            <w:vAlign w:val="top"/>
          </w:tcPr>
          <w:p>
            <w:pPr>
              <w:pStyle w:val="TableText"/>
              <w:ind w:left="832"/>
              <w:spacing w:before="174" w:line="219" w:lineRule="auto"/>
              <w:rPr>
                <w:sz w:val="21"/>
                <w:szCs w:val="21"/>
              </w:rPr>
            </w:pPr>
            <w:r>
              <w:rPr>
                <w:sz w:val="21"/>
                <w:szCs w:val="21"/>
                <w:spacing w:val="2"/>
              </w:rPr>
              <w:t>操作失误、管理不当</w:t>
            </w:r>
          </w:p>
        </w:tc>
        <w:tc>
          <w:tcPr>
            <w:tcW w:w="2921" w:type="dxa"/>
            <w:vAlign w:val="top"/>
          </w:tcPr>
          <w:p>
            <w:pPr>
              <w:pStyle w:val="TableText"/>
              <w:ind w:left="1136"/>
              <w:spacing w:before="175" w:line="220" w:lineRule="auto"/>
              <w:rPr>
                <w:sz w:val="21"/>
                <w:szCs w:val="21"/>
              </w:rPr>
            </w:pPr>
            <w:r>
              <w:rPr>
                <w:sz w:val="21"/>
                <w:szCs w:val="21"/>
                <w:spacing w:val="4"/>
              </w:rPr>
              <w:t>天然气</w:t>
            </w:r>
          </w:p>
        </w:tc>
      </w:tr>
      <w:tr>
        <w:trPr>
          <w:trHeight w:val="538" w:hRule="atLeast"/>
        </w:trPr>
        <w:tc>
          <w:tcPr>
            <w:tcW w:w="694" w:type="dxa"/>
            <w:vAlign w:val="top"/>
          </w:tcPr>
          <w:p>
            <w:pPr>
              <w:pStyle w:val="TableText"/>
              <w:ind w:left="285"/>
              <w:spacing w:before="230" w:line="183" w:lineRule="auto"/>
              <w:rPr>
                <w:sz w:val="21"/>
                <w:szCs w:val="21"/>
              </w:rPr>
            </w:pPr>
            <w:r>
              <w:rPr>
                <w:sz w:val="21"/>
                <w:szCs w:val="21"/>
              </w:rPr>
              <w:t>4</w:t>
            </w:r>
          </w:p>
        </w:tc>
        <w:tc>
          <w:tcPr>
            <w:tcW w:w="1878" w:type="dxa"/>
            <w:vAlign w:val="top"/>
          </w:tcPr>
          <w:p>
            <w:pPr>
              <w:pStyle w:val="TableText"/>
              <w:ind w:left="191"/>
              <w:spacing w:before="176" w:line="219" w:lineRule="auto"/>
              <w:rPr>
                <w:sz w:val="21"/>
                <w:szCs w:val="21"/>
              </w:rPr>
            </w:pPr>
            <w:r>
              <w:rPr>
                <w:sz w:val="21"/>
                <w:szCs w:val="21"/>
                <w:spacing w:val="1"/>
              </w:rPr>
              <w:t>生产污水处理站</w:t>
            </w:r>
          </w:p>
        </w:tc>
        <w:tc>
          <w:tcPr>
            <w:tcW w:w="3566" w:type="dxa"/>
            <w:vAlign w:val="top"/>
          </w:tcPr>
          <w:p>
            <w:pPr>
              <w:pStyle w:val="TableText"/>
              <w:ind w:left="512"/>
              <w:spacing w:before="176" w:line="219" w:lineRule="auto"/>
              <w:rPr>
                <w:sz w:val="21"/>
                <w:szCs w:val="21"/>
              </w:rPr>
            </w:pPr>
            <w:r>
              <w:rPr>
                <w:sz w:val="21"/>
                <w:szCs w:val="21"/>
                <w:spacing w:val="1"/>
              </w:rPr>
              <w:t>设备故障、管线破裂或泄漏</w:t>
            </w:r>
          </w:p>
        </w:tc>
        <w:tc>
          <w:tcPr>
            <w:tcW w:w="2921" w:type="dxa"/>
            <w:vAlign w:val="top"/>
          </w:tcPr>
          <w:p>
            <w:pPr>
              <w:pStyle w:val="TableText"/>
              <w:ind w:left="1345" w:right="133" w:hanging="1209"/>
              <w:spacing w:before="36" w:line="216" w:lineRule="auto"/>
              <w:rPr>
                <w:sz w:val="21"/>
                <w:szCs w:val="21"/>
              </w:rPr>
            </w:pPr>
            <w:r>
              <w:rPr>
                <w:sz w:val="21"/>
                <w:szCs w:val="21"/>
                <w:spacing w:val="1"/>
              </w:rPr>
              <w:t>含镍、钴、锰、</w:t>
            </w:r>
            <w:r>
              <w:rPr>
                <w:sz w:val="21"/>
                <w:szCs w:val="21"/>
              </w:rPr>
              <w:t>COD</w:t>
            </w:r>
            <w:r>
              <w:rPr>
                <w:sz w:val="21"/>
                <w:szCs w:val="21"/>
                <w:spacing w:val="1"/>
              </w:rPr>
              <w:t>、氨氮废</w:t>
            </w:r>
            <w:r>
              <w:rPr>
                <w:sz w:val="21"/>
                <w:szCs w:val="21"/>
                <w:spacing w:val="3"/>
              </w:rPr>
              <w:t xml:space="preserve"> </w:t>
            </w:r>
            <w:r>
              <w:rPr>
                <w:sz w:val="21"/>
                <w:szCs w:val="21"/>
              </w:rPr>
              <w:t>水</w:t>
            </w:r>
          </w:p>
        </w:tc>
      </w:tr>
      <w:tr>
        <w:trPr>
          <w:trHeight w:val="284" w:hRule="atLeast"/>
        </w:trPr>
        <w:tc>
          <w:tcPr>
            <w:tcW w:w="694" w:type="dxa"/>
            <w:vAlign w:val="top"/>
          </w:tcPr>
          <w:p>
            <w:pPr>
              <w:pStyle w:val="TableText"/>
              <w:ind w:left="285"/>
              <w:spacing w:before="104" w:line="170" w:lineRule="exact"/>
              <w:rPr>
                <w:sz w:val="21"/>
                <w:szCs w:val="21"/>
              </w:rPr>
            </w:pPr>
            <w:r>
              <w:rPr>
                <w:sz w:val="21"/>
                <w:szCs w:val="21"/>
                <w:position w:val="-2"/>
              </w:rPr>
              <w:t>5</w:t>
            </w:r>
          </w:p>
        </w:tc>
        <w:tc>
          <w:tcPr>
            <w:tcW w:w="1878" w:type="dxa"/>
            <w:vAlign w:val="top"/>
          </w:tcPr>
          <w:p>
            <w:pPr>
              <w:pStyle w:val="TableText"/>
              <w:ind w:left="510"/>
              <w:spacing w:before="48" w:line="198" w:lineRule="auto"/>
              <w:rPr>
                <w:sz w:val="21"/>
                <w:szCs w:val="21"/>
              </w:rPr>
            </w:pPr>
            <w:r>
              <w:rPr>
                <w:sz w:val="21"/>
                <w:szCs w:val="21"/>
                <w:spacing w:val="3"/>
              </w:rPr>
              <w:t>危废仓库</w:t>
            </w:r>
          </w:p>
        </w:tc>
        <w:tc>
          <w:tcPr>
            <w:tcW w:w="3566" w:type="dxa"/>
            <w:vAlign w:val="top"/>
          </w:tcPr>
          <w:p>
            <w:pPr>
              <w:pStyle w:val="TableText"/>
              <w:ind w:left="933"/>
              <w:spacing w:before="48" w:line="198" w:lineRule="auto"/>
              <w:rPr>
                <w:sz w:val="21"/>
                <w:szCs w:val="21"/>
              </w:rPr>
            </w:pPr>
            <w:r>
              <w:rPr>
                <w:sz w:val="21"/>
                <w:szCs w:val="21"/>
                <w:spacing w:val="2"/>
              </w:rPr>
              <w:t>暂存设施发生破损</w:t>
            </w:r>
          </w:p>
        </w:tc>
        <w:tc>
          <w:tcPr>
            <w:tcW w:w="2921" w:type="dxa"/>
            <w:vAlign w:val="top"/>
          </w:tcPr>
          <w:p>
            <w:pPr>
              <w:pStyle w:val="TableText"/>
              <w:ind w:left="1036"/>
              <w:spacing w:before="47" w:line="199" w:lineRule="auto"/>
              <w:rPr>
                <w:sz w:val="21"/>
                <w:szCs w:val="21"/>
              </w:rPr>
            </w:pPr>
            <w:r>
              <w:rPr>
                <w:sz w:val="21"/>
                <w:szCs w:val="21"/>
                <w:spacing w:val="-2"/>
              </w:rPr>
              <w:t>废机油等</w:t>
            </w:r>
          </w:p>
        </w:tc>
      </w:tr>
    </w:tbl>
    <w:p>
      <w:pPr>
        <w:pStyle w:val="BodyText"/>
        <w:ind w:left="118"/>
        <w:spacing w:before="73" w:line="220" w:lineRule="auto"/>
        <w:outlineLvl w:val="6"/>
        <w:rPr>
          <w:sz w:val="27"/>
          <w:szCs w:val="27"/>
        </w:rPr>
      </w:pPr>
      <w:r>
        <w:rPr>
          <w:sz w:val="27"/>
          <w:szCs w:val="27"/>
          <w:b/>
          <w:bCs/>
          <w:spacing w:val="-6"/>
        </w:rPr>
        <w:t>5.2.3</w:t>
      </w:r>
      <w:r>
        <w:rPr>
          <w:sz w:val="27"/>
          <w:szCs w:val="27"/>
          <w:spacing w:val="-23"/>
        </w:rPr>
        <w:t xml:space="preserve"> </w:t>
      </w:r>
      <w:r>
        <w:rPr>
          <w:sz w:val="27"/>
          <w:szCs w:val="27"/>
          <w:b/>
          <w:bCs/>
          <w:spacing w:val="-6"/>
        </w:rPr>
        <w:t>危险单元风险源危险性分析</w:t>
      </w:r>
    </w:p>
    <w:p>
      <w:pPr>
        <w:pStyle w:val="BodyText"/>
        <w:ind w:left="624"/>
        <w:spacing w:before="40" w:line="219" w:lineRule="auto"/>
        <w:rPr>
          <w:sz w:val="22"/>
          <w:szCs w:val="22"/>
        </w:rPr>
      </w:pPr>
      <w:r>
        <w:rPr>
          <w:sz w:val="22"/>
          <w:szCs w:val="22"/>
          <w:spacing w:val="18"/>
        </w:rPr>
        <w:t>项目危险单元风险源的危险性、存在条件和转化</w:t>
      </w:r>
      <w:r>
        <w:rPr>
          <w:sz w:val="22"/>
          <w:szCs w:val="22"/>
          <w:spacing w:val="17"/>
        </w:rPr>
        <w:t>为事故的触发因素详见下表。</w:t>
      </w:r>
    </w:p>
    <w:p>
      <w:pPr>
        <w:pStyle w:val="BodyText"/>
        <w:ind w:left="1037"/>
        <w:spacing w:before="216" w:line="219" w:lineRule="auto"/>
        <w:rPr>
          <w:sz w:val="22"/>
          <w:szCs w:val="22"/>
        </w:rPr>
      </w:pPr>
      <w:r>
        <w:rPr>
          <w:sz w:val="22"/>
          <w:szCs w:val="22"/>
          <w:b/>
          <w:bCs/>
          <w:spacing w:val="13"/>
        </w:rPr>
        <w:t>表5.2-2</w:t>
      </w:r>
      <w:r>
        <w:rPr>
          <w:sz w:val="22"/>
          <w:szCs w:val="22"/>
          <w:spacing w:val="6"/>
        </w:rPr>
        <w:t xml:space="preserve">  </w:t>
      </w:r>
      <w:r>
        <w:rPr>
          <w:sz w:val="22"/>
          <w:szCs w:val="22"/>
          <w:b/>
          <w:bCs/>
          <w:spacing w:val="13"/>
        </w:rPr>
        <w:t>项目风险源的危险性、存在条件和转化为事故</w:t>
      </w:r>
      <w:r>
        <w:rPr>
          <w:sz w:val="22"/>
          <w:szCs w:val="22"/>
          <w:b/>
          <w:bCs/>
          <w:spacing w:val="12"/>
        </w:rPr>
        <w:t>的触发因素</w:t>
      </w:r>
    </w:p>
    <w:p>
      <w:pPr>
        <w:spacing w:line="128" w:lineRule="exact"/>
        <w:rPr/>
      </w:pPr>
      <w:r/>
    </w:p>
    <w:tbl>
      <w:tblPr>
        <w:tblStyle w:val="TableNormal"/>
        <w:tblW w:w="9059"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74"/>
        <w:gridCol w:w="1458"/>
        <w:gridCol w:w="1758"/>
        <w:gridCol w:w="1878"/>
        <w:gridCol w:w="1208"/>
        <w:gridCol w:w="2083"/>
      </w:tblGrid>
      <w:tr>
        <w:trPr>
          <w:trHeight w:val="304" w:hRule="atLeast"/>
        </w:trPr>
        <w:tc>
          <w:tcPr>
            <w:tcW w:w="674" w:type="dxa"/>
            <w:vAlign w:val="top"/>
          </w:tcPr>
          <w:p>
            <w:pPr>
              <w:pStyle w:val="TableText"/>
              <w:ind w:left="124"/>
              <w:spacing w:before="54" w:line="221" w:lineRule="auto"/>
              <w:rPr>
                <w:sz w:val="20"/>
                <w:szCs w:val="20"/>
              </w:rPr>
            </w:pPr>
            <w:r>
              <w:rPr>
                <w:sz w:val="20"/>
                <w:szCs w:val="20"/>
                <w:spacing w:val="-2"/>
              </w:rPr>
              <w:t>序号</w:t>
            </w:r>
          </w:p>
        </w:tc>
        <w:tc>
          <w:tcPr>
            <w:tcW w:w="1458" w:type="dxa"/>
            <w:vAlign w:val="top"/>
          </w:tcPr>
          <w:p>
            <w:pPr>
              <w:pStyle w:val="TableText"/>
              <w:ind w:left="320"/>
              <w:spacing w:before="53" w:line="220" w:lineRule="auto"/>
              <w:rPr>
                <w:sz w:val="20"/>
                <w:szCs w:val="20"/>
              </w:rPr>
            </w:pPr>
            <w:r>
              <w:rPr>
                <w:sz w:val="20"/>
                <w:szCs w:val="20"/>
                <w:spacing w:val="-2"/>
              </w:rPr>
              <w:t>危险单元</w:t>
            </w:r>
          </w:p>
        </w:tc>
        <w:tc>
          <w:tcPr>
            <w:tcW w:w="1758" w:type="dxa"/>
            <w:vAlign w:val="top"/>
          </w:tcPr>
          <w:p>
            <w:pPr>
              <w:pStyle w:val="TableText"/>
              <w:ind w:left="272"/>
              <w:spacing w:before="53" w:line="220" w:lineRule="auto"/>
              <w:rPr>
                <w:sz w:val="20"/>
                <w:szCs w:val="20"/>
              </w:rPr>
            </w:pPr>
            <w:r>
              <w:rPr>
                <w:sz w:val="20"/>
                <w:szCs w:val="20"/>
                <w:spacing w:val="-1"/>
              </w:rPr>
              <w:t>潜在的风险源</w:t>
            </w:r>
          </w:p>
        </w:tc>
        <w:tc>
          <w:tcPr>
            <w:tcW w:w="1878" w:type="dxa"/>
            <w:vAlign w:val="top"/>
          </w:tcPr>
          <w:p>
            <w:pPr>
              <w:pStyle w:val="TableText"/>
              <w:ind w:left="634"/>
              <w:spacing w:before="53" w:line="220" w:lineRule="auto"/>
              <w:rPr>
                <w:sz w:val="20"/>
                <w:szCs w:val="20"/>
              </w:rPr>
            </w:pPr>
            <w:r>
              <w:rPr>
                <w:sz w:val="20"/>
                <w:szCs w:val="20"/>
                <w:spacing w:val="-3"/>
              </w:rPr>
              <w:t>危险性</w:t>
            </w:r>
          </w:p>
        </w:tc>
        <w:tc>
          <w:tcPr>
            <w:tcW w:w="1208" w:type="dxa"/>
            <w:vAlign w:val="top"/>
          </w:tcPr>
          <w:p>
            <w:pPr>
              <w:pStyle w:val="TableText"/>
              <w:ind w:left="196"/>
              <w:spacing w:before="53" w:line="219" w:lineRule="auto"/>
              <w:rPr>
                <w:sz w:val="20"/>
                <w:szCs w:val="20"/>
              </w:rPr>
            </w:pPr>
            <w:r>
              <w:rPr>
                <w:sz w:val="20"/>
                <w:szCs w:val="20"/>
                <w:spacing w:val="-2"/>
              </w:rPr>
              <w:t>存在条件</w:t>
            </w:r>
          </w:p>
        </w:tc>
        <w:tc>
          <w:tcPr>
            <w:tcW w:w="2083" w:type="dxa"/>
            <w:vAlign w:val="top"/>
          </w:tcPr>
          <w:p>
            <w:pPr>
              <w:pStyle w:val="TableText"/>
              <w:ind w:left="638"/>
              <w:spacing w:before="53" w:line="219" w:lineRule="auto"/>
              <w:rPr>
                <w:sz w:val="20"/>
                <w:szCs w:val="20"/>
              </w:rPr>
            </w:pPr>
            <w:r>
              <w:rPr>
                <w:sz w:val="20"/>
                <w:szCs w:val="20"/>
                <w:spacing w:val="-2"/>
              </w:rPr>
              <w:t>触发因素</w:t>
            </w:r>
          </w:p>
        </w:tc>
      </w:tr>
      <w:tr>
        <w:trPr>
          <w:trHeight w:val="538" w:hRule="atLeast"/>
        </w:trPr>
        <w:tc>
          <w:tcPr>
            <w:tcW w:w="674" w:type="dxa"/>
            <w:vAlign w:val="top"/>
            <w:vMerge w:val="restart"/>
            <w:tcBorders>
              <w:bottom w:val="nil"/>
            </w:tcBorders>
          </w:tcPr>
          <w:p>
            <w:pPr>
              <w:spacing w:line="431" w:lineRule="auto"/>
              <w:rPr>
                <w:rFonts w:ascii="Arial"/>
                <w:sz w:val="21"/>
              </w:rPr>
            </w:pPr>
            <w:r/>
          </w:p>
          <w:p>
            <w:pPr>
              <w:pStyle w:val="TableText"/>
              <w:ind w:left="275"/>
              <w:spacing w:before="65" w:line="184" w:lineRule="auto"/>
              <w:rPr>
                <w:sz w:val="20"/>
                <w:szCs w:val="20"/>
              </w:rPr>
            </w:pPr>
            <w:r>
              <w:rPr>
                <w:sz w:val="20"/>
                <w:szCs w:val="20"/>
              </w:rPr>
              <w:t>1</w:t>
            </w:r>
          </w:p>
        </w:tc>
        <w:tc>
          <w:tcPr>
            <w:tcW w:w="1458" w:type="dxa"/>
            <w:vAlign w:val="top"/>
            <w:vMerge w:val="restart"/>
            <w:tcBorders>
              <w:bottom w:val="nil"/>
            </w:tcBorders>
          </w:tcPr>
          <w:p>
            <w:pPr>
              <w:spacing w:line="253" w:lineRule="auto"/>
              <w:rPr>
                <w:rFonts w:ascii="Arial"/>
                <w:sz w:val="21"/>
              </w:rPr>
            </w:pPr>
            <w:r/>
          </w:p>
          <w:p>
            <w:pPr>
              <w:pStyle w:val="TableText"/>
              <w:ind w:left="419" w:right="217" w:hanging="199"/>
              <w:spacing w:before="65" w:line="229" w:lineRule="auto"/>
              <w:rPr>
                <w:sz w:val="20"/>
                <w:szCs w:val="20"/>
              </w:rPr>
            </w:pPr>
            <w:r>
              <w:rPr>
                <w:sz w:val="20"/>
                <w:szCs w:val="20"/>
                <w:spacing w:val="1"/>
              </w:rPr>
              <w:t>凹版厂房生</w:t>
            </w:r>
            <w:r>
              <w:rPr>
                <w:sz w:val="20"/>
                <w:szCs w:val="20"/>
                <w:spacing w:val="3"/>
              </w:rPr>
              <w:t xml:space="preserve"> </w:t>
            </w:r>
            <w:r>
              <w:rPr>
                <w:sz w:val="20"/>
                <w:szCs w:val="20"/>
                <w:spacing w:val="6"/>
              </w:rPr>
              <w:t>产车间</w:t>
            </w:r>
          </w:p>
        </w:tc>
        <w:tc>
          <w:tcPr>
            <w:tcW w:w="1758" w:type="dxa"/>
            <w:vAlign w:val="top"/>
          </w:tcPr>
          <w:p>
            <w:pPr>
              <w:pStyle w:val="TableText"/>
              <w:ind w:left="473"/>
              <w:spacing w:before="169" w:line="219" w:lineRule="auto"/>
              <w:rPr>
                <w:sz w:val="20"/>
                <w:szCs w:val="20"/>
              </w:rPr>
            </w:pPr>
            <w:r>
              <w:rPr>
                <w:sz w:val="20"/>
                <w:szCs w:val="20"/>
                <w:spacing w:val="4"/>
              </w:rPr>
              <w:t>管线破损</w:t>
            </w:r>
          </w:p>
        </w:tc>
        <w:tc>
          <w:tcPr>
            <w:tcW w:w="1878" w:type="dxa"/>
            <w:vAlign w:val="top"/>
          </w:tcPr>
          <w:p>
            <w:pPr>
              <w:pStyle w:val="TableText"/>
              <w:ind w:left="535"/>
              <w:spacing w:before="169" w:line="220" w:lineRule="auto"/>
              <w:rPr>
                <w:sz w:val="20"/>
                <w:szCs w:val="20"/>
              </w:rPr>
            </w:pPr>
            <w:r>
              <w:rPr>
                <w:sz w:val="20"/>
                <w:szCs w:val="20"/>
                <w:spacing w:val="3"/>
              </w:rPr>
              <w:t>原料泄漏</w:t>
            </w:r>
          </w:p>
        </w:tc>
        <w:tc>
          <w:tcPr>
            <w:tcW w:w="1208" w:type="dxa"/>
            <w:vAlign w:val="top"/>
          </w:tcPr>
          <w:p>
            <w:pPr>
              <w:pStyle w:val="TableText"/>
              <w:ind w:left="196"/>
              <w:spacing w:before="169" w:line="219" w:lineRule="auto"/>
              <w:rPr>
                <w:sz w:val="20"/>
                <w:szCs w:val="20"/>
              </w:rPr>
            </w:pPr>
            <w:r>
              <w:rPr>
                <w:sz w:val="20"/>
                <w:szCs w:val="20"/>
                <w:spacing w:val="4"/>
              </w:rPr>
              <w:t>管线破损</w:t>
            </w:r>
          </w:p>
        </w:tc>
        <w:tc>
          <w:tcPr>
            <w:tcW w:w="2083" w:type="dxa"/>
            <w:vAlign w:val="top"/>
          </w:tcPr>
          <w:p>
            <w:pPr>
              <w:pStyle w:val="TableText"/>
              <w:ind w:left="638" w:right="115" w:hanging="499"/>
              <w:spacing w:before="38" w:line="226" w:lineRule="auto"/>
              <w:rPr>
                <w:sz w:val="20"/>
                <w:szCs w:val="20"/>
              </w:rPr>
            </w:pPr>
            <w:r>
              <w:rPr>
                <w:sz w:val="20"/>
                <w:szCs w:val="20"/>
                <w:spacing w:val="2"/>
              </w:rPr>
              <w:t>设备破损、操作不当</w:t>
            </w:r>
            <w:r>
              <w:rPr>
                <w:sz w:val="20"/>
                <w:szCs w:val="20"/>
              </w:rPr>
              <w:t xml:space="preserve"> </w:t>
            </w:r>
            <w:r>
              <w:rPr>
                <w:sz w:val="20"/>
                <w:szCs w:val="20"/>
                <w:spacing w:val="-2"/>
              </w:rPr>
              <w:t>造成泄漏</w:t>
            </w:r>
          </w:p>
        </w:tc>
      </w:tr>
      <w:tr>
        <w:trPr>
          <w:trHeight w:val="539" w:hRule="atLeast"/>
        </w:trPr>
        <w:tc>
          <w:tcPr>
            <w:tcW w:w="674" w:type="dxa"/>
            <w:vAlign w:val="top"/>
            <w:vMerge w:val="continue"/>
            <w:tcBorders>
              <w:top w:val="nil"/>
            </w:tcBorders>
          </w:tcPr>
          <w:p>
            <w:pPr>
              <w:rPr>
                <w:rFonts w:ascii="Arial"/>
                <w:sz w:val="21"/>
              </w:rPr>
            </w:pPr>
            <w:r/>
          </w:p>
        </w:tc>
        <w:tc>
          <w:tcPr>
            <w:tcW w:w="1458" w:type="dxa"/>
            <w:vAlign w:val="top"/>
            <w:vMerge w:val="continue"/>
            <w:tcBorders>
              <w:top w:val="nil"/>
            </w:tcBorders>
          </w:tcPr>
          <w:p>
            <w:pPr>
              <w:rPr>
                <w:rFonts w:ascii="Arial"/>
                <w:sz w:val="21"/>
              </w:rPr>
            </w:pPr>
            <w:r/>
          </w:p>
        </w:tc>
        <w:tc>
          <w:tcPr>
            <w:tcW w:w="1758" w:type="dxa"/>
            <w:vAlign w:val="top"/>
          </w:tcPr>
          <w:p>
            <w:pPr>
              <w:pStyle w:val="TableText"/>
              <w:ind w:left="572" w:right="150" w:hanging="399"/>
              <w:spacing w:before="41" w:line="225" w:lineRule="auto"/>
              <w:rPr>
                <w:sz w:val="20"/>
                <w:szCs w:val="20"/>
              </w:rPr>
            </w:pPr>
            <w:r>
              <w:rPr>
                <w:sz w:val="20"/>
                <w:szCs w:val="20"/>
                <w:spacing w:val="3"/>
              </w:rPr>
              <w:t>生产设备电路出</w:t>
            </w:r>
            <w:r>
              <w:rPr>
                <w:sz w:val="20"/>
                <w:szCs w:val="20"/>
                <w:spacing w:val="2"/>
              </w:rPr>
              <w:t xml:space="preserve"> </w:t>
            </w:r>
            <w:r>
              <w:rPr>
                <w:sz w:val="20"/>
                <w:szCs w:val="20"/>
                <w:spacing w:val="-3"/>
              </w:rPr>
              <w:t>现故障</w:t>
            </w:r>
          </w:p>
        </w:tc>
        <w:tc>
          <w:tcPr>
            <w:tcW w:w="1878" w:type="dxa"/>
            <w:vAlign w:val="top"/>
          </w:tcPr>
          <w:p>
            <w:pPr>
              <w:pStyle w:val="TableText"/>
              <w:ind w:left="235"/>
              <w:spacing w:before="51" w:line="219" w:lineRule="auto"/>
              <w:rPr>
                <w:sz w:val="20"/>
                <w:szCs w:val="20"/>
              </w:rPr>
            </w:pPr>
            <w:r>
              <w:rPr>
                <w:sz w:val="20"/>
                <w:szCs w:val="20"/>
                <w:spacing w:val="2"/>
              </w:rPr>
              <w:t>引发火灾导致的</w:t>
            </w:r>
          </w:p>
          <w:p>
            <w:pPr>
              <w:pStyle w:val="TableText"/>
              <w:ind w:left="334"/>
              <w:spacing w:before="42" w:line="183" w:lineRule="auto"/>
              <w:rPr>
                <w:sz w:val="20"/>
                <w:szCs w:val="20"/>
              </w:rPr>
            </w:pPr>
            <w:r>
              <w:rPr>
                <w:sz w:val="20"/>
                <w:szCs w:val="20"/>
                <w:spacing w:val="1"/>
              </w:rPr>
              <w:t>次生污染风险</w:t>
            </w:r>
          </w:p>
        </w:tc>
        <w:tc>
          <w:tcPr>
            <w:tcW w:w="1208" w:type="dxa"/>
            <w:vAlign w:val="top"/>
          </w:tcPr>
          <w:p>
            <w:pPr>
              <w:pStyle w:val="TableText"/>
              <w:ind w:left="196" w:right="192"/>
              <w:spacing w:before="30" w:line="230" w:lineRule="auto"/>
              <w:rPr>
                <w:sz w:val="20"/>
                <w:szCs w:val="20"/>
              </w:rPr>
            </w:pPr>
            <w:r>
              <w:rPr>
                <w:sz w:val="20"/>
                <w:szCs w:val="20"/>
                <w:spacing w:val="-3"/>
              </w:rPr>
              <w:t>设备电路</w:t>
            </w:r>
            <w:r>
              <w:rPr>
                <w:sz w:val="20"/>
                <w:szCs w:val="20"/>
              </w:rPr>
              <w:t xml:space="preserve"> </w:t>
            </w:r>
            <w:r>
              <w:rPr>
                <w:sz w:val="20"/>
                <w:szCs w:val="20"/>
                <w:spacing w:val="2"/>
              </w:rPr>
              <w:t>出现故障</w:t>
            </w:r>
          </w:p>
        </w:tc>
        <w:tc>
          <w:tcPr>
            <w:tcW w:w="2083" w:type="dxa"/>
            <w:vAlign w:val="top"/>
          </w:tcPr>
          <w:p>
            <w:pPr>
              <w:pStyle w:val="TableText"/>
              <w:ind w:left="739"/>
              <w:spacing w:before="171" w:line="219" w:lineRule="auto"/>
              <w:rPr>
                <w:sz w:val="20"/>
                <w:szCs w:val="20"/>
              </w:rPr>
            </w:pPr>
            <w:r>
              <w:rPr>
                <w:sz w:val="20"/>
                <w:szCs w:val="20"/>
                <w:spacing w:val="-2"/>
              </w:rPr>
              <w:t>遇明火</w:t>
            </w:r>
          </w:p>
        </w:tc>
      </w:tr>
      <w:tr>
        <w:trPr>
          <w:trHeight w:val="538" w:hRule="atLeast"/>
        </w:trPr>
        <w:tc>
          <w:tcPr>
            <w:tcW w:w="674" w:type="dxa"/>
            <w:vAlign w:val="top"/>
            <w:vMerge w:val="restart"/>
            <w:tcBorders>
              <w:bottom w:val="nil"/>
            </w:tcBorders>
          </w:tcPr>
          <w:p>
            <w:pPr>
              <w:spacing w:line="435" w:lineRule="auto"/>
              <w:rPr>
                <w:rFonts w:ascii="Arial"/>
                <w:sz w:val="21"/>
              </w:rPr>
            </w:pPr>
            <w:r/>
          </w:p>
          <w:p>
            <w:pPr>
              <w:pStyle w:val="TableText"/>
              <w:ind w:left="275"/>
              <w:spacing w:before="65" w:line="183" w:lineRule="auto"/>
              <w:rPr>
                <w:sz w:val="20"/>
                <w:szCs w:val="20"/>
              </w:rPr>
            </w:pPr>
            <w:r>
              <w:rPr>
                <w:sz w:val="20"/>
                <w:szCs w:val="20"/>
              </w:rPr>
              <w:t>2</w:t>
            </w:r>
          </w:p>
        </w:tc>
        <w:tc>
          <w:tcPr>
            <w:tcW w:w="1458" w:type="dxa"/>
            <w:vAlign w:val="top"/>
            <w:vMerge w:val="restart"/>
            <w:tcBorders>
              <w:bottom w:val="nil"/>
            </w:tcBorders>
          </w:tcPr>
          <w:p>
            <w:pPr>
              <w:spacing w:line="384" w:lineRule="auto"/>
              <w:rPr>
                <w:rFonts w:ascii="Arial"/>
                <w:sz w:val="21"/>
              </w:rPr>
            </w:pPr>
            <w:r/>
          </w:p>
          <w:p>
            <w:pPr>
              <w:pStyle w:val="TableText"/>
              <w:ind w:left="100"/>
              <w:spacing w:before="65" w:line="219" w:lineRule="auto"/>
              <w:rPr>
                <w:sz w:val="20"/>
                <w:szCs w:val="20"/>
              </w:rPr>
            </w:pPr>
            <w:r>
              <w:rPr>
                <w:sz w:val="20"/>
                <w:szCs w:val="20"/>
              </w:rPr>
              <w:t>N</w:t>
            </w:r>
            <w:r>
              <w:rPr>
                <w:sz w:val="20"/>
                <w:szCs w:val="20"/>
                <w:spacing w:val="-54"/>
              </w:rPr>
              <w:t xml:space="preserve"> </w:t>
            </w:r>
            <w:r>
              <w:rPr>
                <w:sz w:val="20"/>
                <w:szCs w:val="20"/>
              </w:rPr>
              <w:t>MP</w:t>
            </w:r>
            <w:r>
              <w:rPr>
                <w:sz w:val="20"/>
                <w:szCs w:val="20"/>
                <w:spacing w:val="50"/>
              </w:rPr>
              <w:t>储罐区C</w:t>
            </w:r>
          </w:p>
        </w:tc>
        <w:tc>
          <w:tcPr>
            <w:tcW w:w="1758" w:type="dxa"/>
            <w:vAlign w:val="top"/>
          </w:tcPr>
          <w:p>
            <w:pPr>
              <w:pStyle w:val="TableText"/>
              <w:ind w:left="672" w:right="161" w:hanging="499"/>
              <w:spacing w:before="42" w:line="224" w:lineRule="auto"/>
              <w:rPr>
                <w:sz w:val="20"/>
                <w:szCs w:val="20"/>
              </w:rPr>
            </w:pPr>
            <w:r>
              <w:rPr>
                <w:sz w:val="20"/>
                <w:szCs w:val="20"/>
                <w:spacing w:val="1"/>
              </w:rPr>
              <w:t>储罐破损、管线</w:t>
            </w:r>
            <w:r>
              <w:rPr>
                <w:sz w:val="20"/>
                <w:szCs w:val="20"/>
                <w:spacing w:val="5"/>
              </w:rPr>
              <w:t xml:space="preserve"> </w:t>
            </w:r>
            <w:r>
              <w:rPr>
                <w:sz w:val="20"/>
                <w:szCs w:val="20"/>
                <w:spacing w:val="6"/>
              </w:rPr>
              <w:t>泄漏</w:t>
            </w:r>
          </w:p>
        </w:tc>
        <w:tc>
          <w:tcPr>
            <w:tcW w:w="1878" w:type="dxa"/>
            <w:vAlign w:val="top"/>
          </w:tcPr>
          <w:p>
            <w:pPr>
              <w:pStyle w:val="TableText"/>
              <w:ind w:left="734"/>
              <w:spacing w:before="173" w:line="221" w:lineRule="auto"/>
              <w:rPr>
                <w:sz w:val="20"/>
                <w:szCs w:val="20"/>
              </w:rPr>
            </w:pPr>
            <w:r>
              <w:rPr>
                <w:sz w:val="20"/>
                <w:szCs w:val="20"/>
                <w:spacing w:val="6"/>
              </w:rPr>
              <w:t>泄漏</w:t>
            </w:r>
          </w:p>
        </w:tc>
        <w:tc>
          <w:tcPr>
            <w:tcW w:w="1208" w:type="dxa"/>
            <w:vAlign w:val="top"/>
          </w:tcPr>
          <w:p>
            <w:pPr>
              <w:pStyle w:val="TableText"/>
              <w:ind w:left="196"/>
              <w:spacing w:before="172" w:line="220" w:lineRule="auto"/>
              <w:rPr>
                <w:sz w:val="20"/>
                <w:szCs w:val="20"/>
              </w:rPr>
            </w:pPr>
            <w:r>
              <w:rPr>
                <w:sz w:val="20"/>
                <w:szCs w:val="20"/>
                <w:spacing w:val="4"/>
              </w:rPr>
              <w:t>包装破损</w:t>
            </w:r>
          </w:p>
        </w:tc>
        <w:tc>
          <w:tcPr>
            <w:tcW w:w="2083" w:type="dxa"/>
            <w:vAlign w:val="top"/>
          </w:tcPr>
          <w:p>
            <w:pPr>
              <w:pStyle w:val="TableText"/>
              <w:ind w:left="538"/>
              <w:spacing w:before="172" w:line="219" w:lineRule="auto"/>
              <w:rPr>
                <w:sz w:val="20"/>
                <w:szCs w:val="20"/>
              </w:rPr>
            </w:pPr>
            <w:r>
              <w:rPr>
                <w:sz w:val="20"/>
                <w:szCs w:val="20"/>
                <w:spacing w:val="-2"/>
              </w:rPr>
              <w:t>操作不当等</w:t>
            </w:r>
          </w:p>
        </w:tc>
      </w:tr>
      <w:tr>
        <w:trPr>
          <w:trHeight w:val="549" w:hRule="atLeast"/>
        </w:trPr>
        <w:tc>
          <w:tcPr>
            <w:tcW w:w="674" w:type="dxa"/>
            <w:vAlign w:val="top"/>
            <w:vMerge w:val="continue"/>
            <w:tcBorders>
              <w:top w:val="nil"/>
            </w:tcBorders>
          </w:tcPr>
          <w:p>
            <w:pPr>
              <w:rPr>
                <w:rFonts w:ascii="Arial"/>
                <w:sz w:val="21"/>
              </w:rPr>
            </w:pPr>
            <w:r/>
          </w:p>
        </w:tc>
        <w:tc>
          <w:tcPr>
            <w:tcW w:w="1458" w:type="dxa"/>
            <w:vAlign w:val="top"/>
            <w:vMerge w:val="continue"/>
            <w:tcBorders>
              <w:top w:val="nil"/>
            </w:tcBorders>
          </w:tcPr>
          <w:p>
            <w:pPr>
              <w:rPr>
                <w:rFonts w:ascii="Arial"/>
                <w:sz w:val="21"/>
              </w:rPr>
            </w:pPr>
            <w:r/>
          </w:p>
        </w:tc>
        <w:tc>
          <w:tcPr>
            <w:tcW w:w="1758" w:type="dxa"/>
            <w:vAlign w:val="top"/>
          </w:tcPr>
          <w:p>
            <w:pPr>
              <w:pStyle w:val="TableText"/>
              <w:ind w:left="272"/>
              <w:spacing w:before="184" w:line="219" w:lineRule="auto"/>
              <w:rPr>
                <w:sz w:val="20"/>
                <w:szCs w:val="20"/>
              </w:rPr>
            </w:pPr>
            <w:r>
              <w:rPr>
                <w:sz w:val="20"/>
                <w:szCs w:val="20"/>
                <w:spacing w:val="1"/>
              </w:rPr>
              <w:t>电路出现故障</w:t>
            </w:r>
          </w:p>
        </w:tc>
        <w:tc>
          <w:tcPr>
            <w:tcW w:w="1878" w:type="dxa"/>
            <w:vAlign w:val="top"/>
          </w:tcPr>
          <w:p>
            <w:pPr>
              <w:pStyle w:val="TableText"/>
              <w:ind w:left="235"/>
              <w:spacing w:before="64" w:line="219" w:lineRule="auto"/>
              <w:rPr>
                <w:sz w:val="20"/>
                <w:szCs w:val="20"/>
              </w:rPr>
            </w:pPr>
            <w:r>
              <w:rPr>
                <w:sz w:val="20"/>
                <w:szCs w:val="20"/>
                <w:spacing w:val="2"/>
              </w:rPr>
              <w:t>引发火灾导致的</w:t>
            </w:r>
          </w:p>
          <w:p>
            <w:pPr>
              <w:pStyle w:val="TableText"/>
              <w:ind w:left="334"/>
              <w:spacing w:before="32" w:line="189" w:lineRule="auto"/>
              <w:rPr>
                <w:sz w:val="20"/>
                <w:szCs w:val="20"/>
              </w:rPr>
            </w:pPr>
            <w:r>
              <w:rPr>
                <w:sz w:val="20"/>
                <w:szCs w:val="20"/>
                <w:spacing w:val="1"/>
              </w:rPr>
              <w:t>次生污染风险</w:t>
            </w:r>
          </w:p>
        </w:tc>
        <w:tc>
          <w:tcPr>
            <w:tcW w:w="1208" w:type="dxa"/>
            <w:vAlign w:val="top"/>
          </w:tcPr>
          <w:p>
            <w:pPr>
              <w:pStyle w:val="TableText"/>
              <w:ind w:left="396" w:right="193" w:hanging="200"/>
              <w:spacing w:before="44" w:line="228" w:lineRule="auto"/>
              <w:rPr>
                <w:sz w:val="20"/>
                <w:szCs w:val="20"/>
              </w:rPr>
            </w:pPr>
            <w:r>
              <w:rPr>
                <w:sz w:val="20"/>
                <w:szCs w:val="20"/>
                <w:spacing w:val="1"/>
              </w:rPr>
              <w:t>电路出现</w:t>
            </w:r>
            <w:r>
              <w:rPr>
                <w:sz w:val="20"/>
                <w:szCs w:val="20"/>
                <w:spacing w:val="2"/>
              </w:rPr>
              <w:t xml:space="preserve"> </w:t>
            </w:r>
            <w:r>
              <w:rPr>
                <w:sz w:val="20"/>
                <w:szCs w:val="20"/>
                <w:spacing w:val="-3"/>
              </w:rPr>
              <w:t>故障</w:t>
            </w:r>
          </w:p>
        </w:tc>
        <w:tc>
          <w:tcPr>
            <w:tcW w:w="2083" w:type="dxa"/>
            <w:vAlign w:val="top"/>
          </w:tcPr>
          <w:p>
            <w:pPr>
              <w:pStyle w:val="TableText"/>
              <w:ind w:left="739"/>
              <w:spacing w:before="184" w:line="219" w:lineRule="auto"/>
              <w:rPr>
                <w:sz w:val="20"/>
                <w:szCs w:val="20"/>
              </w:rPr>
            </w:pPr>
            <w:r>
              <w:rPr>
                <w:sz w:val="20"/>
                <w:szCs w:val="20"/>
                <w:spacing w:val="-2"/>
              </w:rPr>
              <w:t>遇明火</w:t>
            </w:r>
          </w:p>
        </w:tc>
      </w:tr>
      <w:tr>
        <w:trPr>
          <w:trHeight w:val="539" w:hRule="atLeast"/>
        </w:trPr>
        <w:tc>
          <w:tcPr>
            <w:tcW w:w="674" w:type="dxa"/>
            <w:vAlign w:val="top"/>
          </w:tcPr>
          <w:p>
            <w:pPr>
              <w:pStyle w:val="TableText"/>
              <w:ind w:left="275"/>
              <w:spacing w:before="226" w:line="183" w:lineRule="auto"/>
              <w:rPr>
                <w:sz w:val="20"/>
                <w:szCs w:val="20"/>
              </w:rPr>
            </w:pPr>
            <w:r>
              <w:rPr>
                <w:sz w:val="20"/>
                <w:szCs w:val="20"/>
              </w:rPr>
              <w:t>3</w:t>
            </w:r>
          </w:p>
        </w:tc>
        <w:tc>
          <w:tcPr>
            <w:tcW w:w="1458" w:type="dxa"/>
            <w:vAlign w:val="top"/>
          </w:tcPr>
          <w:p>
            <w:pPr>
              <w:pStyle w:val="TableText"/>
              <w:ind w:left="220" w:right="183"/>
              <w:spacing w:before="45" w:line="223" w:lineRule="auto"/>
              <w:rPr>
                <w:sz w:val="20"/>
                <w:szCs w:val="20"/>
              </w:rPr>
            </w:pPr>
            <w:r>
              <w:rPr>
                <w:sz w:val="20"/>
                <w:szCs w:val="20"/>
                <w:spacing w:val="2"/>
              </w:rPr>
              <w:t>凹版设施房 </w:t>
            </w:r>
            <w:r>
              <w:rPr>
                <w:sz w:val="20"/>
                <w:szCs w:val="20"/>
                <w:spacing w:val="7"/>
              </w:rPr>
              <w:t>(含锅炉房)</w:t>
            </w:r>
          </w:p>
        </w:tc>
        <w:tc>
          <w:tcPr>
            <w:tcW w:w="1758" w:type="dxa"/>
            <w:vAlign w:val="top"/>
          </w:tcPr>
          <w:p>
            <w:pPr>
              <w:pStyle w:val="TableText"/>
              <w:ind w:left="672" w:right="161" w:hanging="499"/>
              <w:spacing w:before="45" w:line="223" w:lineRule="auto"/>
              <w:rPr>
                <w:sz w:val="20"/>
                <w:szCs w:val="20"/>
              </w:rPr>
            </w:pPr>
            <w:r>
              <w:rPr>
                <w:sz w:val="20"/>
                <w:szCs w:val="20"/>
                <w:spacing w:val="1"/>
              </w:rPr>
              <w:t>设备故障、管线</w:t>
            </w:r>
            <w:r>
              <w:rPr>
                <w:sz w:val="20"/>
                <w:szCs w:val="20"/>
                <w:spacing w:val="5"/>
              </w:rPr>
              <w:t xml:space="preserve"> </w:t>
            </w:r>
            <w:r>
              <w:rPr>
                <w:sz w:val="20"/>
                <w:szCs w:val="20"/>
                <w:spacing w:val="-2"/>
              </w:rPr>
              <w:t>破裂</w:t>
            </w:r>
          </w:p>
        </w:tc>
        <w:tc>
          <w:tcPr>
            <w:tcW w:w="1878" w:type="dxa"/>
            <w:vAlign w:val="top"/>
          </w:tcPr>
          <w:p>
            <w:pPr>
              <w:pStyle w:val="TableText"/>
              <w:ind w:left="235"/>
              <w:spacing w:before="45" w:line="219" w:lineRule="auto"/>
              <w:rPr>
                <w:sz w:val="20"/>
                <w:szCs w:val="20"/>
              </w:rPr>
            </w:pPr>
            <w:r>
              <w:rPr>
                <w:sz w:val="20"/>
                <w:szCs w:val="20"/>
                <w:spacing w:val="2"/>
              </w:rPr>
              <w:t>引发火灾导致的</w:t>
            </w:r>
          </w:p>
          <w:p>
            <w:pPr>
              <w:pStyle w:val="TableText"/>
              <w:ind w:left="334"/>
              <w:spacing w:before="31" w:line="198" w:lineRule="auto"/>
              <w:rPr>
                <w:sz w:val="20"/>
                <w:szCs w:val="20"/>
              </w:rPr>
            </w:pPr>
            <w:r>
              <w:rPr>
                <w:sz w:val="20"/>
                <w:szCs w:val="20"/>
                <w:spacing w:val="1"/>
              </w:rPr>
              <w:t>次生污染风险</w:t>
            </w:r>
          </w:p>
        </w:tc>
        <w:tc>
          <w:tcPr>
            <w:tcW w:w="1208" w:type="dxa"/>
            <w:vAlign w:val="top"/>
          </w:tcPr>
          <w:p>
            <w:pPr>
              <w:pStyle w:val="TableText"/>
              <w:ind w:right="1"/>
              <w:spacing w:before="45" w:line="219" w:lineRule="auto"/>
              <w:jc w:val="right"/>
              <w:rPr>
                <w:sz w:val="20"/>
                <w:szCs w:val="20"/>
              </w:rPr>
            </w:pPr>
            <w:r>
              <w:rPr>
                <w:sz w:val="20"/>
                <w:szCs w:val="20"/>
                <w:spacing w:val="19"/>
              </w:rPr>
              <w:t>设备故障、</w:t>
            </w:r>
          </w:p>
          <w:p>
            <w:pPr>
              <w:pStyle w:val="TableText"/>
              <w:ind w:left="196"/>
              <w:spacing w:before="31" w:line="198" w:lineRule="auto"/>
              <w:rPr>
                <w:sz w:val="20"/>
                <w:szCs w:val="20"/>
              </w:rPr>
            </w:pPr>
            <w:r>
              <w:rPr>
                <w:sz w:val="20"/>
                <w:szCs w:val="20"/>
                <w:spacing w:val="2"/>
              </w:rPr>
              <w:t>管线破裂</w:t>
            </w:r>
          </w:p>
        </w:tc>
        <w:tc>
          <w:tcPr>
            <w:tcW w:w="2083" w:type="dxa"/>
            <w:vAlign w:val="top"/>
          </w:tcPr>
          <w:p>
            <w:pPr>
              <w:pStyle w:val="TableText"/>
              <w:ind w:left="139"/>
              <w:spacing w:before="175" w:line="219" w:lineRule="auto"/>
              <w:rPr>
                <w:sz w:val="20"/>
                <w:szCs w:val="20"/>
              </w:rPr>
            </w:pPr>
            <w:r>
              <w:rPr>
                <w:sz w:val="20"/>
                <w:szCs w:val="20"/>
                <w:spacing w:val="-2"/>
              </w:rPr>
              <w:t>设备故障、管线破裂</w:t>
            </w:r>
          </w:p>
        </w:tc>
      </w:tr>
      <w:tr>
        <w:trPr>
          <w:trHeight w:val="539" w:hRule="atLeast"/>
        </w:trPr>
        <w:tc>
          <w:tcPr>
            <w:tcW w:w="674" w:type="dxa"/>
            <w:vAlign w:val="top"/>
          </w:tcPr>
          <w:p>
            <w:pPr>
              <w:pStyle w:val="TableText"/>
              <w:ind w:left="275"/>
              <w:spacing w:before="227" w:line="183" w:lineRule="auto"/>
              <w:rPr>
                <w:sz w:val="20"/>
                <w:szCs w:val="20"/>
              </w:rPr>
            </w:pPr>
            <w:r>
              <w:rPr>
                <w:sz w:val="20"/>
                <w:szCs w:val="20"/>
              </w:rPr>
              <w:t>4</w:t>
            </w:r>
          </w:p>
        </w:tc>
        <w:tc>
          <w:tcPr>
            <w:tcW w:w="1458" w:type="dxa"/>
            <w:vAlign w:val="top"/>
          </w:tcPr>
          <w:p>
            <w:pPr>
              <w:pStyle w:val="TableText"/>
              <w:ind w:left="519" w:right="236" w:hanging="299"/>
              <w:spacing w:before="45" w:line="223" w:lineRule="auto"/>
              <w:rPr>
                <w:sz w:val="20"/>
                <w:szCs w:val="20"/>
              </w:rPr>
            </w:pPr>
            <w:r>
              <w:rPr>
                <w:sz w:val="20"/>
                <w:szCs w:val="20"/>
                <w:spacing w:val="-2"/>
              </w:rPr>
              <w:t>生产污水处</w:t>
            </w:r>
            <w:r>
              <w:rPr>
                <w:sz w:val="20"/>
                <w:szCs w:val="20"/>
              </w:rPr>
              <w:t xml:space="preserve"> </w:t>
            </w:r>
            <w:r>
              <w:rPr>
                <w:sz w:val="20"/>
                <w:szCs w:val="20"/>
                <w:spacing w:val="5"/>
              </w:rPr>
              <w:t>理站</w:t>
            </w:r>
          </w:p>
        </w:tc>
        <w:tc>
          <w:tcPr>
            <w:tcW w:w="1758" w:type="dxa"/>
            <w:vAlign w:val="top"/>
          </w:tcPr>
          <w:p>
            <w:pPr>
              <w:pStyle w:val="TableText"/>
              <w:ind w:left="672" w:right="161" w:hanging="499"/>
              <w:spacing w:before="45" w:line="223" w:lineRule="auto"/>
              <w:rPr>
                <w:sz w:val="20"/>
                <w:szCs w:val="20"/>
              </w:rPr>
            </w:pPr>
            <w:r>
              <w:rPr>
                <w:sz w:val="20"/>
                <w:szCs w:val="20"/>
                <w:spacing w:val="1"/>
              </w:rPr>
              <w:t>设备故障、管线</w:t>
            </w:r>
            <w:r>
              <w:rPr>
                <w:sz w:val="20"/>
                <w:szCs w:val="20"/>
                <w:spacing w:val="5"/>
              </w:rPr>
              <w:t xml:space="preserve"> </w:t>
            </w:r>
            <w:r>
              <w:rPr>
                <w:sz w:val="20"/>
                <w:szCs w:val="20"/>
                <w:spacing w:val="-2"/>
              </w:rPr>
              <w:t>破裂</w:t>
            </w:r>
          </w:p>
        </w:tc>
        <w:tc>
          <w:tcPr>
            <w:tcW w:w="1878" w:type="dxa"/>
            <w:vAlign w:val="top"/>
          </w:tcPr>
          <w:p>
            <w:pPr>
              <w:pStyle w:val="TableText"/>
              <w:ind w:left="235"/>
              <w:spacing w:before="176" w:line="220" w:lineRule="auto"/>
              <w:rPr>
                <w:sz w:val="20"/>
                <w:szCs w:val="20"/>
              </w:rPr>
            </w:pPr>
            <w:r>
              <w:rPr>
                <w:sz w:val="20"/>
                <w:szCs w:val="20"/>
                <w:spacing w:val="-2"/>
              </w:rPr>
              <w:t>泄漏、超标排放</w:t>
            </w:r>
          </w:p>
        </w:tc>
        <w:tc>
          <w:tcPr>
            <w:tcW w:w="1208" w:type="dxa"/>
            <w:vAlign w:val="top"/>
          </w:tcPr>
          <w:p>
            <w:pPr>
              <w:pStyle w:val="TableText"/>
              <w:ind w:right="1"/>
              <w:spacing w:before="66" w:line="219" w:lineRule="auto"/>
              <w:jc w:val="right"/>
              <w:rPr>
                <w:sz w:val="20"/>
                <w:szCs w:val="20"/>
              </w:rPr>
            </w:pPr>
            <w:r>
              <w:rPr>
                <w:sz w:val="20"/>
                <w:szCs w:val="20"/>
                <w:spacing w:val="19"/>
              </w:rPr>
              <w:t>设备故障、</w:t>
            </w:r>
          </w:p>
          <w:p>
            <w:pPr>
              <w:pStyle w:val="TableText"/>
              <w:ind w:left="196"/>
              <w:spacing w:before="22" w:line="187" w:lineRule="auto"/>
              <w:rPr>
                <w:sz w:val="20"/>
                <w:szCs w:val="20"/>
              </w:rPr>
            </w:pPr>
            <w:r>
              <w:rPr>
                <w:sz w:val="20"/>
                <w:szCs w:val="20"/>
                <w:spacing w:val="2"/>
              </w:rPr>
              <w:t>管线破裂</w:t>
            </w:r>
          </w:p>
        </w:tc>
        <w:tc>
          <w:tcPr>
            <w:tcW w:w="2083" w:type="dxa"/>
            <w:vAlign w:val="top"/>
          </w:tcPr>
          <w:p>
            <w:pPr>
              <w:pStyle w:val="TableText"/>
              <w:ind w:left="139"/>
              <w:spacing w:before="176" w:line="219" w:lineRule="auto"/>
              <w:rPr>
                <w:sz w:val="20"/>
                <w:szCs w:val="20"/>
              </w:rPr>
            </w:pPr>
            <w:r>
              <w:rPr>
                <w:sz w:val="20"/>
                <w:szCs w:val="20"/>
                <w:spacing w:val="-2"/>
              </w:rPr>
              <w:t>设备故障、管线破裂</w:t>
            </w:r>
          </w:p>
        </w:tc>
      </w:tr>
      <w:tr>
        <w:trPr>
          <w:trHeight w:val="553" w:hRule="atLeast"/>
        </w:trPr>
        <w:tc>
          <w:tcPr>
            <w:tcW w:w="674" w:type="dxa"/>
            <w:vAlign w:val="top"/>
          </w:tcPr>
          <w:p>
            <w:pPr>
              <w:pStyle w:val="TableText"/>
              <w:ind w:left="275"/>
              <w:spacing w:before="239" w:line="182" w:lineRule="auto"/>
              <w:rPr>
                <w:sz w:val="20"/>
                <w:szCs w:val="20"/>
              </w:rPr>
            </w:pPr>
            <w:r>
              <w:rPr>
                <w:sz w:val="20"/>
                <w:szCs w:val="20"/>
              </w:rPr>
              <w:t>5</w:t>
            </w:r>
          </w:p>
        </w:tc>
        <w:tc>
          <w:tcPr>
            <w:tcW w:w="1458" w:type="dxa"/>
            <w:vAlign w:val="top"/>
          </w:tcPr>
          <w:p>
            <w:pPr>
              <w:pStyle w:val="TableText"/>
              <w:ind w:left="220"/>
              <w:spacing w:before="187" w:line="219" w:lineRule="auto"/>
              <w:rPr>
                <w:sz w:val="20"/>
                <w:szCs w:val="20"/>
              </w:rPr>
            </w:pPr>
            <w:r>
              <w:rPr>
                <w:sz w:val="20"/>
                <w:szCs w:val="20"/>
                <w:spacing w:val="3"/>
              </w:rPr>
              <w:t>危废暂存间</w:t>
            </w:r>
          </w:p>
        </w:tc>
        <w:tc>
          <w:tcPr>
            <w:tcW w:w="1758" w:type="dxa"/>
            <w:vAlign w:val="top"/>
          </w:tcPr>
          <w:p>
            <w:pPr>
              <w:pStyle w:val="TableText"/>
              <w:ind w:left="772" w:right="166" w:hanging="599"/>
              <w:spacing w:before="66" w:line="220" w:lineRule="auto"/>
              <w:rPr>
                <w:sz w:val="20"/>
                <w:szCs w:val="20"/>
              </w:rPr>
            </w:pPr>
            <w:r>
              <w:rPr>
                <w:sz w:val="20"/>
                <w:szCs w:val="20"/>
                <w:spacing w:val="1"/>
              </w:rPr>
              <w:t>暂存设施发生破</w:t>
            </w:r>
            <w:r>
              <w:rPr>
                <w:sz w:val="20"/>
                <w:szCs w:val="20"/>
              </w:rPr>
              <w:t xml:space="preserve"> </w:t>
            </w:r>
            <w:r>
              <w:rPr>
                <w:sz w:val="20"/>
                <w:szCs w:val="20"/>
              </w:rPr>
              <w:t>损</w:t>
            </w:r>
          </w:p>
        </w:tc>
        <w:tc>
          <w:tcPr>
            <w:tcW w:w="1878" w:type="dxa"/>
            <w:vAlign w:val="top"/>
          </w:tcPr>
          <w:p>
            <w:pPr>
              <w:pStyle w:val="TableText"/>
              <w:ind w:left="534" w:right="219" w:hanging="299"/>
              <w:spacing w:before="68" w:line="219" w:lineRule="auto"/>
              <w:rPr>
                <w:sz w:val="20"/>
                <w:szCs w:val="20"/>
              </w:rPr>
            </w:pPr>
            <w:r>
              <w:rPr>
                <w:sz w:val="20"/>
                <w:szCs w:val="20"/>
                <w:spacing w:val="1"/>
              </w:rPr>
              <w:t>污染大气、地下</w:t>
            </w:r>
            <w:r>
              <w:rPr>
                <w:sz w:val="20"/>
                <w:szCs w:val="20"/>
                <w:spacing w:val="5"/>
              </w:rPr>
              <w:t xml:space="preserve"> </w:t>
            </w:r>
            <w:r>
              <w:rPr>
                <w:sz w:val="20"/>
                <w:szCs w:val="20"/>
                <w:spacing w:val="-2"/>
              </w:rPr>
              <w:t>水、土壤</w:t>
            </w:r>
          </w:p>
        </w:tc>
        <w:tc>
          <w:tcPr>
            <w:tcW w:w="1208" w:type="dxa"/>
            <w:vAlign w:val="top"/>
          </w:tcPr>
          <w:p>
            <w:pPr>
              <w:pStyle w:val="TableText"/>
              <w:ind w:left="196" w:right="184"/>
              <w:spacing w:before="46" w:line="229" w:lineRule="auto"/>
              <w:rPr>
                <w:sz w:val="20"/>
                <w:szCs w:val="20"/>
              </w:rPr>
            </w:pPr>
            <w:r>
              <w:rPr>
                <w:sz w:val="20"/>
                <w:szCs w:val="20"/>
                <w:spacing w:val="2"/>
              </w:rPr>
              <w:t>暂存设施</w:t>
            </w:r>
            <w:r>
              <w:rPr>
                <w:sz w:val="20"/>
                <w:szCs w:val="20"/>
              </w:rPr>
              <w:t xml:space="preserve"> </w:t>
            </w:r>
            <w:r>
              <w:rPr>
                <w:sz w:val="20"/>
                <w:szCs w:val="20"/>
                <w:spacing w:val="4"/>
              </w:rPr>
              <w:t>发生破损</w:t>
            </w:r>
          </w:p>
        </w:tc>
        <w:tc>
          <w:tcPr>
            <w:tcW w:w="2083" w:type="dxa"/>
            <w:vAlign w:val="top"/>
          </w:tcPr>
          <w:p>
            <w:pPr>
              <w:pStyle w:val="TableText"/>
              <w:ind w:left="538"/>
              <w:spacing w:before="187" w:line="219" w:lineRule="auto"/>
              <w:rPr>
                <w:sz w:val="20"/>
                <w:szCs w:val="20"/>
              </w:rPr>
            </w:pPr>
            <w:r>
              <w:rPr>
                <w:sz w:val="20"/>
                <w:szCs w:val="20"/>
                <w:spacing w:val="-2"/>
              </w:rPr>
              <w:t>操作不当等</w:t>
            </w:r>
          </w:p>
        </w:tc>
      </w:tr>
    </w:tbl>
    <w:p>
      <w:pPr>
        <w:pStyle w:val="BodyText"/>
        <w:ind w:left="118"/>
        <w:spacing w:before="72" w:line="219" w:lineRule="auto"/>
        <w:outlineLvl w:val="6"/>
        <w:rPr>
          <w:sz w:val="27"/>
          <w:szCs w:val="27"/>
        </w:rPr>
      </w:pPr>
      <w:r>
        <w:rPr>
          <w:sz w:val="27"/>
          <w:szCs w:val="27"/>
          <w:b/>
          <w:bCs/>
          <w:spacing w:val="22"/>
        </w:rPr>
        <w:t>5.3环境风险类型及危害分析</w:t>
      </w:r>
    </w:p>
    <w:p>
      <w:pPr>
        <w:pStyle w:val="BodyText"/>
        <w:ind w:left="744"/>
        <w:spacing w:before="262" w:line="219" w:lineRule="auto"/>
        <w:rPr>
          <w:sz w:val="22"/>
          <w:szCs w:val="22"/>
        </w:rPr>
      </w:pPr>
      <w:r>
        <w:rPr>
          <w:sz w:val="22"/>
          <w:szCs w:val="22"/>
          <w:spacing w:val="26"/>
        </w:rPr>
        <w:t>(1)环境风险类型</w:t>
      </w:r>
    </w:p>
    <w:p>
      <w:pPr>
        <w:spacing w:line="219" w:lineRule="auto"/>
        <w:sectPr>
          <w:footerReference w:type="default" r:id="rId182"/>
          <w:pgSz w:w="11900" w:h="16840"/>
          <w:pgMar w:top="1265" w:right="1415" w:bottom="988" w:left="1405" w:header="0" w:footer="849" w:gutter="0"/>
        </w:sectPr>
        <w:rPr>
          <w:sz w:val="22"/>
          <w:szCs w:val="22"/>
        </w:rPr>
      </w:pPr>
    </w:p>
    <w:p>
      <w:pPr>
        <w:pStyle w:val="BodyText"/>
        <w:ind w:left="614"/>
        <w:spacing w:before="48" w:line="219" w:lineRule="auto"/>
        <w:rPr>
          <w:sz w:val="24"/>
          <w:szCs w:val="24"/>
        </w:rPr>
      </w:pPr>
      <w:r>
        <w:rPr>
          <w:sz w:val="24"/>
          <w:szCs w:val="24"/>
          <w:spacing w:val="-3"/>
        </w:rPr>
        <w:t>环境风险类型包括危险物质泄漏，以及火灾等引发的伴</w:t>
      </w:r>
      <w:r>
        <w:rPr>
          <w:sz w:val="24"/>
          <w:szCs w:val="24"/>
          <w:spacing w:val="-4"/>
        </w:rPr>
        <w:t>生/次生污染排放。</w:t>
      </w:r>
    </w:p>
    <w:p>
      <w:pPr>
        <w:pStyle w:val="BodyText"/>
        <w:ind w:left="734"/>
        <w:spacing w:before="185" w:line="219" w:lineRule="auto"/>
        <w:rPr>
          <w:sz w:val="24"/>
          <w:szCs w:val="24"/>
        </w:rPr>
      </w:pPr>
      <w:r>
        <w:rPr>
          <w:sz w:val="24"/>
          <w:szCs w:val="24"/>
          <w:spacing w:val="6"/>
        </w:rPr>
        <w:t>(2)危险物质向环境转移途径</w:t>
      </w:r>
    </w:p>
    <w:p>
      <w:pPr>
        <w:pStyle w:val="BodyText"/>
        <w:ind w:left="614"/>
        <w:spacing w:before="175" w:line="219" w:lineRule="auto"/>
        <w:rPr>
          <w:sz w:val="24"/>
          <w:szCs w:val="24"/>
        </w:rPr>
      </w:pPr>
      <w:r>
        <w:rPr>
          <w:sz w:val="24"/>
          <w:szCs w:val="24"/>
          <w:spacing w:val="-2"/>
        </w:rPr>
        <w:t>根据项目特征，环境危险物质向环境转移途径见下表。</w:t>
      </w:r>
    </w:p>
    <w:p>
      <w:pPr>
        <w:pStyle w:val="BodyText"/>
        <w:ind w:left="1687"/>
        <w:spacing w:before="191" w:line="219" w:lineRule="auto"/>
        <w:rPr>
          <w:sz w:val="24"/>
          <w:szCs w:val="24"/>
        </w:rPr>
      </w:pPr>
      <w:r>
        <w:rPr>
          <w:sz w:val="24"/>
          <w:szCs w:val="24"/>
          <w:b/>
          <w:bCs/>
          <w:spacing w:val="-13"/>
        </w:rPr>
        <w:t>表5.3-1</w:t>
      </w:r>
      <w:r>
        <w:rPr>
          <w:sz w:val="24"/>
          <w:szCs w:val="24"/>
          <w:spacing w:val="-13"/>
        </w:rPr>
        <w:t xml:space="preserve">  </w:t>
      </w:r>
      <w:r>
        <w:rPr>
          <w:sz w:val="24"/>
          <w:szCs w:val="24"/>
          <w:b/>
          <w:bCs/>
          <w:spacing w:val="-13"/>
        </w:rPr>
        <w:t>项目环境风险类型、</w:t>
      </w:r>
      <w:r>
        <w:rPr>
          <w:sz w:val="24"/>
          <w:szCs w:val="24"/>
          <w:spacing w:val="23"/>
        </w:rPr>
        <w:t xml:space="preserve">  </w:t>
      </w:r>
      <w:r>
        <w:rPr>
          <w:sz w:val="24"/>
          <w:szCs w:val="24"/>
          <w:b/>
          <w:bCs/>
          <w:spacing w:val="-13"/>
        </w:rPr>
        <w:t>转移的可能途径一览表</w:t>
      </w:r>
    </w:p>
    <w:p>
      <w:pPr>
        <w:spacing w:line="133" w:lineRule="exact"/>
        <w:rPr/>
      </w:pPr>
      <w:r/>
    </w:p>
    <w:tbl>
      <w:tblPr>
        <w:tblStyle w:val="TableNormal"/>
        <w:tblW w:w="8959" w:type="dxa"/>
        <w:tblInd w:w="5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71"/>
        <w:gridCol w:w="1967"/>
        <w:gridCol w:w="3821"/>
      </w:tblGrid>
      <w:tr>
        <w:trPr>
          <w:trHeight w:val="284" w:hRule="atLeast"/>
        </w:trPr>
        <w:tc>
          <w:tcPr>
            <w:tcW w:w="3171" w:type="dxa"/>
            <w:vAlign w:val="top"/>
          </w:tcPr>
          <w:p>
            <w:pPr>
              <w:pStyle w:val="TableText"/>
              <w:ind w:left="1274"/>
              <w:spacing w:before="43" w:line="213" w:lineRule="auto"/>
              <w:rPr>
                <w:sz w:val="20"/>
                <w:szCs w:val="20"/>
              </w:rPr>
            </w:pPr>
            <w:r>
              <w:rPr>
                <w:sz w:val="20"/>
                <w:szCs w:val="20"/>
                <w:spacing w:val="-2"/>
              </w:rPr>
              <w:t>风险源</w:t>
            </w:r>
          </w:p>
        </w:tc>
        <w:tc>
          <w:tcPr>
            <w:tcW w:w="1967" w:type="dxa"/>
            <w:vAlign w:val="top"/>
          </w:tcPr>
          <w:p>
            <w:pPr>
              <w:pStyle w:val="TableText"/>
              <w:ind w:left="374"/>
              <w:spacing w:before="43" w:line="213" w:lineRule="auto"/>
              <w:rPr>
                <w:sz w:val="20"/>
                <w:szCs w:val="20"/>
              </w:rPr>
            </w:pPr>
            <w:r>
              <w:rPr>
                <w:sz w:val="20"/>
                <w:szCs w:val="20"/>
                <w:spacing w:val="2"/>
              </w:rPr>
              <w:t>环境风险类型</w:t>
            </w:r>
          </w:p>
        </w:tc>
        <w:tc>
          <w:tcPr>
            <w:tcW w:w="3821" w:type="dxa"/>
            <w:vAlign w:val="top"/>
          </w:tcPr>
          <w:p>
            <w:pPr>
              <w:pStyle w:val="TableText"/>
              <w:ind w:left="507"/>
              <w:spacing w:before="43" w:line="213" w:lineRule="auto"/>
              <w:rPr>
                <w:sz w:val="20"/>
                <w:szCs w:val="20"/>
              </w:rPr>
            </w:pPr>
            <w:r>
              <w:rPr>
                <w:sz w:val="20"/>
                <w:szCs w:val="20"/>
              </w:rPr>
              <w:t>危险物质向环境转移的可能途径</w:t>
            </w:r>
          </w:p>
        </w:tc>
      </w:tr>
      <w:tr>
        <w:trPr>
          <w:trHeight w:val="259" w:hRule="atLeast"/>
        </w:trPr>
        <w:tc>
          <w:tcPr>
            <w:tcW w:w="3171" w:type="dxa"/>
            <w:vAlign w:val="top"/>
          </w:tcPr>
          <w:p>
            <w:pPr>
              <w:pStyle w:val="TableText"/>
              <w:ind w:left="575"/>
              <w:spacing w:before="29" w:line="203" w:lineRule="auto"/>
              <w:rPr>
                <w:sz w:val="20"/>
                <w:szCs w:val="20"/>
              </w:rPr>
            </w:pPr>
            <w:r>
              <w:rPr>
                <w:sz w:val="20"/>
                <w:szCs w:val="20"/>
                <w:spacing w:val="-1"/>
              </w:rPr>
              <w:t>生产车间输送管线破裂</w:t>
            </w:r>
          </w:p>
        </w:tc>
        <w:tc>
          <w:tcPr>
            <w:tcW w:w="1967" w:type="dxa"/>
            <w:vAlign w:val="top"/>
          </w:tcPr>
          <w:p>
            <w:pPr>
              <w:pStyle w:val="TableText"/>
              <w:ind w:left="773"/>
              <w:spacing w:before="30" w:line="202" w:lineRule="auto"/>
              <w:rPr>
                <w:sz w:val="20"/>
                <w:szCs w:val="20"/>
              </w:rPr>
            </w:pPr>
            <w:r>
              <w:rPr>
                <w:sz w:val="20"/>
                <w:szCs w:val="20"/>
                <w:spacing w:val="6"/>
              </w:rPr>
              <w:t>泄漏</w:t>
            </w:r>
          </w:p>
        </w:tc>
        <w:tc>
          <w:tcPr>
            <w:tcW w:w="3821" w:type="dxa"/>
            <w:vAlign w:val="top"/>
          </w:tcPr>
          <w:p>
            <w:pPr>
              <w:pStyle w:val="TableText"/>
              <w:ind w:left="906"/>
              <w:spacing w:before="28" w:line="204" w:lineRule="auto"/>
              <w:rPr>
                <w:sz w:val="20"/>
                <w:szCs w:val="20"/>
              </w:rPr>
            </w:pPr>
            <w:r>
              <w:rPr>
                <w:sz w:val="20"/>
                <w:szCs w:val="20"/>
                <w:spacing w:val="2"/>
              </w:rPr>
              <w:t>原材料均截留在厂房内</w:t>
            </w:r>
          </w:p>
        </w:tc>
      </w:tr>
      <w:tr>
        <w:trPr>
          <w:trHeight w:val="279" w:hRule="atLeast"/>
        </w:trPr>
        <w:tc>
          <w:tcPr>
            <w:tcW w:w="3171" w:type="dxa"/>
            <w:vAlign w:val="top"/>
          </w:tcPr>
          <w:p>
            <w:pPr>
              <w:pStyle w:val="TableText"/>
              <w:ind w:left="374"/>
              <w:spacing w:before="40" w:line="211" w:lineRule="auto"/>
              <w:rPr>
                <w:sz w:val="20"/>
                <w:szCs w:val="20"/>
              </w:rPr>
            </w:pPr>
            <w:r>
              <w:rPr>
                <w:sz w:val="20"/>
                <w:szCs w:val="20"/>
                <w:spacing w:val="-1"/>
              </w:rPr>
              <w:t>生产车间废水收集管道破裂</w:t>
            </w:r>
          </w:p>
        </w:tc>
        <w:tc>
          <w:tcPr>
            <w:tcW w:w="1967" w:type="dxa"/>
            <w:vAlign w:val="top"/>
          </w:tcPr>
          <w:p>
            <w:pPr>
              <w:pStyle w:val="TableText"/>
              <w:ind w:left="773"/>
              <w:spacing w:before="41" w:line="210" w:lineRule="auto"/>
              <w:rPr>
                <w:sz w:val="20"/>
                <w:szCs w:val="20"/>
              </w:rPr>
            </w:pPr>
            <w:r>
              <w:rPr>
                <w:sz w:val="20"/>
                <w:szCs w:val="20"/>
                <w:spacing w:val="6"/>
              </w:rPr>
              <w:t>泄漏</w:t>
            </w:r>
          </w:p>
        </w:tc>
        <w:tc>
          <w:tcPr>
            <w:tcW w:w="3821" w:type="dxa"/>
            <w:vAlign w:val="top"/>
          </w:tcPr>
          <w:p>
            <w:pPr>
              <w:pStyle w:val="TableText"/>
              <w:ind w:left="1007"/>
              <w:spacing w:before="40" w:line="211" w:lineRule="auto"/>
              <w:rPr>
                <w:sz w:val="20"/>
                <w:szCs w:val="20"/>
              </w:rPr>
            </w:pPr>
            <w:r>
              <w:rPr>
                <w:sz w:val="20"/>
                <w:szCs w:val="20"/>
                <w:spacing w:val="-1"/>
              </w:rPr>
              <w:t>排入厂区污水处理站</w:t>
            </w:r>
          </w:p>
        </w:tc>
      </w:tr>
      <w:tr>
        <w:trPr>
          <w:trHeight w:val="259" w:hRule="atLeast"/>
        </w:trPr>
        <w:tc>
          <w:tcPr>
            <w:tcW w:w="3171" w:type="dxa"/>
            <w:vAlign w:val="top"/>
          </w:tcPr>
          <w:p>
            <w:pPr>
              <w:pStyle w:val="TableText"/>
              <w:ind w:left="1175"/>
              <w:spacing w:before="31" w:line="201" w:lineRule="auto"/>
              <w:rPr>
                <w:sz w:val="20"/>
                <w:szCs w:val="20"/>
              </w:rPr>
            </w:pPr>
            <w:r>
              <w:rPr>
                <w:sz w:val="20"/>
                <w:szCs w:val="20"/>
                <w:spacing w:val="2"/>
              </w:rPr>
              <w:t>电路故障</w:t>
            </w:r>
          </w:p>
        </w:tc>
        <w:tc>
          <w:tcPr>
            <w:tcW w:w="1967" w:type="dxa"/>
            <w:vAlign w:val="top"/>
          </w:tcPr>
          <w:p>
            <w:pPr>
              <w:pStyle w:val="TableText"/>
              <w:ind w:left="773"/>
              <w:spacing w:before="31" w:line="201" w:lineRule="auto"/>
              <w:rPr>
                <w:sz w:val="20"/>
                <w:szCs w:val="20"/>
              </w:rPr>
            </w:pPr>
            <w:r>
              <w:rPr>
                <w:sz w:val="20"/>
                <w:szCs w:val="20"/>
                <w:spacing w:val="6"/>
              </w:rPr>
              <w:t>火灾</w:t>
            </w:r>
          </w:p>
        </w:tc>
        <w:tc>
          <w:tcPr>
            <w:tcW w:w="3821" w:type="dxa"/>
            <w:vAlign w:val="top"/>
          </w:tcPr>
          <w:p>
            <w:pPr>
              <w:pStyle w:val="TableText"/>
              <w:ind w:left="407"/>
              <w:spacing w:before="31" w:line="201" w:lineRule="auto"/>
              <w:rPr>
                <w:sz w:val="20"/>
                <w:szCs w:val="20"/>
              </w:rPr>
            </w:pPr>
            <w:r>
              <w:rPr>
                <w:sz w:val="20"/>
                <w:szCs w:val="20"/>
                <w:spacing w:val="-1"/>
              </w:rPr>
              <w:t>遇明火引起火灾造成消防废水污染</w:t>
            </w:r>
          </w:p>
        </w:tc>
      </w:tr>
      <w:tr>
        <w:trPr>
          <w:trHeight w:val="548" w:hRule="atLeast"/>
        </w:trPr>
        <w:tc>
          <w:tcPr>
            <w:tcW w:w="3171" w:type="dxa"/>
            <w:vAlign w:val="top"/>
          </w:tcPr>
          <w:p>
            <w:pPr>
              <w:pStyle w:val="TableText"/>
              <w:ind w:left="1374" w:right="194" w:hanging="1199"/>
              <w:spacing w:before="52" w:line="224" w:lineRule="auto"/>
              <w:rPr>
                <w:sz w:val="20"/>
                <w:szCs w:val="20"/>
              </w:rPr>
            </w:pPr>
            <w:r>
              <w:rPr>
                <w:sz w:val="20"/>
                <w:szCs w:val="20"/>
                <w:spacing w:val="-1"/>
              </w:rPr>
              <w:t>化学品包装桶/袋破损、NMP储罐</w:t>
            </w:r>
            <w:r>
              <w:rPr>
                <w:sz w:val="20"/>
                <w:szCs w:val="20"/>
                <w:spacing w:val="6"/>
              </w:rPr>
              <w:t xml:space="preserve"> </w:t>
            </w:r>
            <w:r>
              <w:rPr>
                <w:sz w:val="20"/>
                <w:szCs w:val="20"/>
                <w:spacing w:val="8"/>
              </w:rPr>
              <w:t>破损</w:t>
            </w:r>
          </w:p>
        </w:tc>
        <w:tc>
          <w:tcPr>
            <w:tcW w:w="1967" w:type="dxa"/>
            <w:vAlign w:val="top"/>
          </w:tcPr>
          <w:p>
            <w:pPr>
              <w:pStyle w:val="TableText"/>
              <w:ind w:left="773"/>
              <w:spacing w:before="183" w:line="221" w:lineRule="auto"/>
              <w:rPr>
                <w:sz w:val="20"/>
                <w:szCs w:val="20"/>
              </w:rPr>
            </w:pPr>
            <w:r>
              <w:rPr>
                <w:sz w:val="20"/>
                <w:szCs w:val="20"/>
                <w:spacing w:val="6"/>
              </w:rPr>
              <w:t>泄漏</w:t>
            </w:r>
          </w:p>
        </w:tc>
        <w:tc>
          <w:tcPr>
            <w:tcW w:w="3821" w:type="dxa"/>
            <w:vAlign w:val="top"/>
          </w:tcPr>
          <w:p>
            <w:pPr>
              <w:pStyle w:val="TableText"/>
              <w:ind w:left="906"/>
              <w:spacing w:before="182" w:line="220" w:lineRule="auto"/>
              <w:rPr>
                <w:sz w:val="20"/>
                <w:szCs w:val="20"/>
              </w:rPr>
            </w:pPr>
            <w:r>
              <w:rPr>
                <w:sz w:val="20"/>
                <w:szCs w:val="20"/>
                <w:spacing w:val="1"/>
              </w:rPr>
              <w:t>用量不大，泄漏量较小</w:t>
            </w:r>
          </w:p>
        </w:tc>
      </w:tr>
      <w:tr>
        <w:trPr>
          <w:trHeight w:val="279" w:hRule="atLeast"/>
        </w:trPr>
        <w:tc>
          <w:tcPr>
            <w:tcW w:w="3171" w:type="dxa"/>
            <w:vAlign w:val="top"/>
          </w:tcPr>
          <w:p>
            <w:pPr>
              <w:pStyle w:val="TableText"/>
              <w:ind w:left="374"/>
              <w:spacing w:before="43" w:line="208" w:lineRule="auto"/>
              <w:rPr>
                <w:sz w:val="20"/>
                <w:szCs w:val="20"/>
              </w:rPr>
            </w:pPr>
            <w:r>
              <w:rPr>
                <w:sz w:val="20"/>
                <w:szCs w:val="20"/>
                <w:spacing w:val="-1"/>
              </w:rPr>
              <w:t>锅炉房设备故障、管线破裂</w:t>
            </w:r>
          </w:p>
        </w:tc>
        <w:tc>
          <w:tcPr>
            <w:tcW w:w="1967" w:type="dxa"/>
            <w:vAlign w:val="top"/>
          </w:tcPr>
          <w:p>
            <w:pPr>
              <w:pStyle w:val="TableText"/>
              <w:ind w:left="773"/>
              <w:spacing w:before="43" w:line="208" w:lineRule="auto"/>
              <w:rPr>
                <w:sz w:val="20"/>
                <w:szCs w:val="20"/>
              </w:rPr>
            </w:pPr>
            <w:r>
              <w:rPr>
                <w:sz w:val="20"/>
                <w:szCs w:val="20"/>
                <w:spacing w:val="6"/>
              </w:rPr>
              <w:t>火灾</w:t>
            </w:r>
          </w:p>
        </w:tc>
        <w:tc>
          <w:tcPr>
            <w:tcW w:w="3821" w:type="dxa"/>
            <w:vAlign w:val="top"/>
          </w:tcPr>
          <w:p>
            <w:pPr>
              <w:pStyle w:val="TableText"/>
              <w:ind w:left="906"/>
              <w:spacing w:before="43" w:line="208" w:lineRule="auto"/>
              <w:rPr>
                <w:sz w:val="20"/>
                <w:szCs w:val="20"/>
              </w:rPr>
            </w:pPr>
            <w:r>
              <w:rPr>
                <w:sz w:val="20"/>
                <w:szCs w:val="20"/>
                <w:spacing w:val="-1"/>
              </w:rPr>
              <w:t>火灾造成消防废水污染</w:t>
            </w:r>
          </w:p>
        </w:tc>
      </w:tr>
      <w:tr>
        <w:trPr>
          <w:trHeight w:val="529" w:hRule="atLeast"/>
        </w:trPr>
        <w:tc>
          <w:tcPr>
            <w:tcW w:w="3171" w:type="dxa"/>
            <w:vAlign w:val="top"/>
          </w:tcPr>
          <w:p>
            <w:pPr>
              <w:pStyle w:val="TableText"/>
              <w:ind w:left="974"/>
              <w:spacing w:before="175" w:line="219" w:lineRule="auto"/>
              <w:rPr>
                <w:sz w:val="20"/>
                <w:szCs w:val="20"/>
              </w:rPr>
            </w:pPr>
            <w:r>
              <w:rPr>
                <w:sz w:val="20"/>
                <w:szCs w:val="20"/>
                <w:spacing w:val="-1"/>
              </w:rPr>
              <w:t>废水事故排放</w:t>
            </w:r>
          </w:p>
        </w:tc>
        <w:tc>
          <w:tcPr>
            <w:tcW w:w="1967" w:type="dxa"/>
            <w:vAlign w:val="top"/>
          </w:tcPr>
          <w:p>
            <w:pPr>
              <w:pStyle w:val="TableText"/>
              <w:ind w:left="274"/>
              <w:spacing w:before="175" w:line="220" w:lineRule="auto"/>
              <w:rPr>
                <w:sz w:val="20"/>
                <w:szCs w:val="20"/>
              </w:rPr>
            </w:pPr>
            <w:r>
              <w:rPr>
                <w:sz w:val="20"/>
                <w:szCs w:val="20"/>
                <w:spacing w:val="-2"/>
              </w:rPr>
              <w:t>泄漏，超标排放</w:t>
            </w:r>
          </w:p>
        </w:tc>
        <w:tc>
          <w:tcPr>
            <w:tcW w:w="3821" w:type="dxa"/>
            <w:vAlign w:val="top"/>
          </w:tcPr>
          <w:p>
            <w:pPr>
              <w:pStyle w:val="TableText"/>
              <w:ind w:left="1406" w:right="110" w:hanging="1299"/>
              <w:spacing w:before="44" w:line="219" w:lineRule="auto"/>
              <w:rPr>
                <w:sz w:val="20"/>
                <w:szCs w:val="20"/>
              </w:rPr>
            </w:pPr>
            <w:r>
              <w:rPr>
                <w:sz w:val="20"/>
                <w:szCs w:val="20"/>
                <w:spacing w:val="-1"/>
              </w:rPr>
              <w:t>废水泄露进入土壤、地下水，超标排放影</w:t>
            </w:r>
            <w:r>
              <w:rPr>
                <w:sz w:val="20"/>
                <w:szCs w:val="20"/>
                <w:spacing w:val="10"/>
              </w:rPr>
              <w:t xml:space="preserve"> </w:t>
            </w:r>
            <w:r>
              <w:rPr>
                <w:sz w:val="20"/>
                <w:szCs w:val="20"/>
                <w:spacing w:val="1"/>
              </w:rPr>
              <w:t>响纳污水域</w:t>
            </w:r>
          </w:p>
        </w:tc>
      </w:tr>
      <w:tr>
        <w:trPr>
          <w:trHeight w:val="279" w:hRule="atLeast"/>
        </w:trPr>
        <w:tc>
          <w:tcPr>
            <w:tcW w:w="3171" w:type="dxa"/>
            <w:vAlign w:val="top"/>
          </w:tcPr>
          <w:p>
            <w:pPr>
              <w:pStyle w:val="TableText"/>
              <w:ind w:left="775"/>
              <w:spacing w:before="45" w:line="206" w:lineRule="auto"/>
              <w:rPr>
                <w:sz w:val="20"/>
                <w:szCs w:val="20"/>
              </w:rPr>
            </w:pPr>
            <w:r>
              <w:rPr>
                <w:sz w:val="20"/>
                <w:szCs w:val="20"/>
                <w:spacing w:val="2"/>
              </w:rPr>
              <w:t>危废暂存设施破损</w:t>
            </w:r>
          </w:p>
        </w:tc>
        <w:tc>
          <w:tcPr>
            <w:tcW w:w="1967" w:type="dxa"/>
            <w:vAlign w:val="top"/>
          </w:tcPr>
          <w:p>
            <w:pPr>
              <w:pStyle w:val="TableText"/>
              <w:ind w:left="773"/>
              <w:spacing w:before="48" w:line="204" w:lineRule="auto"/>
              <w:rPr>
                <w:sz w:val="20"/>
                <w:szCs w:val="20"/>
              </w:rPr>
            </w:pPr>
            <w:r>
              <w:rPr>
                <w:sz w:val="20"/>
                <w:szCs w:val="20"/>
                <w:spacing w:val="6"/>
              </w:rPr>
              <w:t>泄漏</w:t>
            </w:r>
          </w:p>
        </w:tc>
        <w:tc>
          <w:tcPr>
            <w:tcW w:w="3821" w:type="dxa"/>
            <w:vAlign w:val="top"/>
          </w:tcPr>
          <w:p>
            <w:pPr>
              <w:pStyle w:val="TableText"/>
              <w:ind w:left="507"/>
              <w:spacing w:before="45" w:line="206" w:lineRule="auto"/>
              <w:rPr>
                <w:sz w:val="20"/>
                <w:szCs w:val="20"/>
              </w:rPr>
            </w:pPr>
            <w:r>
              <w:rPr>
                <w:sz w:val="20"/>
                <w:szCs w:val="20"/>
                <w:spacing w:val="1"/>
              </w:rPr>
              <w:t>泄漏危废均截留在危废暂存间内</w:t>
            </w:r>
          </w:p>
        </w:tc>
      </w:tr>
      <w:tr>
        <w:trPr>
          <w:trHeight w:val="554" w:hRule="atLeast"/>
        </w:trPr>
        <w:tc>
          <w:tcPr>
            <w:tcW w:w="3171" w:type="dxa"/>
            <w:vAlign w:val="top"/>
          </w:tcPr>
          <w:p>
            <w:pPr>
              <w:pStyle w:val="TableText"/>
              <w:ind w:left="775"/>
              <w:spacing w:before="187" w:line="219" w:lineRule="auto"/>
              <w:rPr>
                <w:sz w:val="20"/>
                <w:szCs w:val="20"/>
              </w:rPr>
            </w:pPr>
            <w:r>
              <w:rPr>
                <w:sz w:val="20"/>
                <w:szCs w:val="20"/>
                <w:spacing w:val="-2"/>
              </w:rPr>
              <w:t>火灾次生消防废水</w:t>
            </w:r>
          </w:p>
        </w:tc>
        <w:tc>
          <w:tcPr>
            <w:tcW w:w="1967" w:type="dxa"/>
            <w:vAlign w:val="top"/>
          </w:tcPr>
          <w:p>
            <w:pPr>
              <w:pStyle w:val="TableText"/>
              <w:ind w:left="773"/>
              <w:spacing w:before="188" w:line="221" w:lineRule="auto"/>
              <w:rPr>
                <w:sz w:val="20"/>
                <w:szCs w:val="20"/>
              </w:rPr>
            </w:pPr>
            <w:r>
              <w:rPr>
                <w:sz w:val="20"/>
                <w:szCs w:val="20"/>
                <w:spacing w:val="6"/>
              </w:rPr>
              <w:t>泄漏</w:t>
            </w:r>
          </w:p>
        </w:tc>
        <w:tc>
          <w:tcPr>
            <w:tcW w:w="3821" w:type="dxa"/>
            <w:vAlign w:val="top"/>
          </w:tcPr>
          <w:p>
            <w:pPr>
              <w:pStyle w:val="TableText"/>
              <w:ind w:left="1106" w:right="215" w:hanging="899"/>
              <w:spacing w:before="56" w:line="225" w:lineRule="auto"/>
              <w:rPr>
                <w:sz w:val="20"/>
                <w:szCs w:val="20"/>
              </w:rPr>
            </w:pPr>
            <w:r>
              <w:rPr>
                <w:sz w:val="20"/>
                <w:szCs w:val="20"/>
                <w:spacing w:val="-1"/>
              </w:rPr>
              <w:t>消防废水含有少量的危险物质可能通过</w:t>
            </w:r>
            <w:r>
              <w:rPr>
                <w:sz w:val="20"/>
                <w:szCs w:val="20"/>
                <w:spacing w:val="4"/>
              </w:rPr>
              <w:t xml:space="preserve"> </w:t>
            </w:r>
            <w:r>
              <w:rPr>
                <w:sz w:val="20"/>
                <w:szCs w:val="20"/>
                <w:spacing w:val="-2"/>
              </w:rPr>
              <w:t>厂区雨水管道外排</w:t>
            </w:r>
          </w:p>
        </w:tc>
      </w:tr>
    </w:tbl>
    <w:p>
      <w:pPr>
        <w:pStyle w:val="BodyText"/>
        <w:ind w:left="129"/>
        <w:spacing w:before="34" w:line="220" w:lineRule="auto"/>
        <w:outlineLvl w:val="6"/>
        <w:rPr>
          <w:sz w:val="30"/>
          <w:szCs w:val="30"/>
        </w:rPr>
      </w:pPr>
      <w:r>
        <w:rPr>
          <w:sz w:val="30"/>
          <w:szCs w:val="30"/>
          <w:b/>
          <w:bCs/>
          <w:spacing w:val="-5"/>
        </w:rPr>
        <w:t>5.4环境风险识别结果</w:t>
      </w:r>
    </w:p>
    <w:p>
      <w:pPr>
        <w:spacing w:line="261" w:lineRule="auto"/>
        <w:rPr>
          <w:rFonts w:ascii="Arial"/>
          <w:sz w:val="21"/>
        </w:rPr>
      </w:pPr>
      <w:r/>
    </w:p>
    <w:p>
      <w:pPr>
        <w:pStyle w:val="BodyText"/>
        <w:ind w:left="124" w:right="113" w:firstLine="490"/>
        <w:spacing w:before="78" w:line="362" w:lineRule="auto"/>
        <w:rPr>
          <w:sz w:val="24"/>
          <w:szCs w:val="24"/>
        </w:rPr>
      </w:pPr>
      <w:r>
        <w:rPr>
          <w:sz w:val="24"/>
          <w:szCs w:val="24"/>
          <w:spacing w:val="2"/>
        </w:rPr>
        <w:t>本项目危险单元主要为生产车间、</w:t>
      </w:r>
      <w:r>
        <w:rPr>
          <w:rFonts w:ascii="Times New Roman" w:hAnsi="Times New Roman" w:eastAsia="Times New Roman" w:cs="Times New Roman"/>
          <w:sz w:val="24"/>
          <w:szCs w:val="24"/>
        </w:rPr>
        <w:t>NMP</w:t>
      </w:r>
      <w:r>
        <w:rPr>
          <w:rFonts w:ascii="Times New Roman" w:hAnsi="Times New Roman" w:eastAsia="Times New Roman" w:cs="Times New Roman"/>
          <w:sz w:val="24"/>
          <w:szCs w:val="24"/>
          <w:spacing w:val="17"/>
          <w:w w:val="101"/>
        </w:rPr>
        <w:t xml:space="preserve"> </w:t>
      </w:r>
      <w:r>
        <w:rPr>
          <w:sz w:val="24"/>
          <w:szCs w:val="24"/>
          <w:spacing w:val="2"/>
        </w:rPr>
        <w:t>储罐区</w:t>
      </w:r>
      <w:r>
        <w:rPr>
          <w:sz w:val="24"/>
          <w:szCs w:val="24"/>
          <w:spacing w:val="-52"/>
        </w:rPr>
        <w:t xml:space="preserve"> </w:t>
      </w:r>
      <w:r>
        <w:rPr>
          <w:rFonts w:ascii="Times New Roman" w:hAnsi="Times New Roman" w:eastAsia="Times New Roman" w:cs="Times New Roman"/>
          <w:sz w:val="24"/>
          <w:szCs w:val="24"/>
          <w:spacing w:val="2"/>
        </w:rPr>
        <w:t>C</w:t>
      </w:r>
      <w:r>
        <w:rPr>
          <w:sz w:val="24"/>
          <w:szCs w:val="24"/>
          <w:spacing w:val="2"/>
        </w:rPr>
        <w:t>、凹版设施房(含锅炉房)</w:t>
      </w:r>
      <w:r>
        <w:rPr>
          <w:sz w:val="24"/>
          <w:szCs w:val="24"/>
          <w:spacing w:val="1"/>
        </w:rPr>
        <w:t>和生</w:t>
      </w:r>
      <w:r>
        <w:rPr>
          <w:sz w:val="24"/>
          <w:szCs w:val="24"/>
        </w:rPr>
        <w:t xml:space="preserve"> </w:t>
      </w:r>
      <w:r>
        <w:rPr>
          <w:sz w:val="24"/>
          <w:szCs w:val="24"/>
          <w:spacing w:val="-2"/>
        </w:rPr>
        <w:t>产废水处理站，主要危险物质为三元材料 </w:t>
      </w:r>
      <w:r>
        <w:rPr>
          <w:rFonts w:ascii="Times New Roman" w:hAnsi="Times New Roman" w:eastAsia="Times New Roman" w:cs="Times New Roman"/>
          <w:sz w:val="24"/>
          <w:szCs w:val="24"/>
          <w:spacing w:val="-2"/>
        </w:rPr>
        <w:t>(NCM)</w:t>
      </w:r>
      <w:r>
        <w:rPr>
          <w:rFonts w:ascii="Times New Roman" w:hAnsi="Times New Roman" w:eastAsia="Times New Roman" w:cs="Times New Roman"/>
          <w:sz w:val="24"/>
          <w:szCs w:val="24"/>
          <w:spacing w:val="-30"/>
        </w:rPr>
        <w:t xml:space="preserve"> </w:t>
      </w:r>
      <w:r>
        <w:rPr>
          <w:sz w:val="24"/>
          <w:szCs w:val="24"/>
          <w:spacing w:val="-2"/>
        </w:rPr>
        <w:t>、</w:t>
      </w:r>
      <w:r>
        <w:rPr>
          <w:rFonts w:ascii="Times New Roman" w:hAnsi="Times New Roman" w:eastAsia="Times New Roman" w:cs="Times New Roman"/>
          <w:sz w:val="24"/>
          <w:szCs w:val="24"/>
          <w:spacing w:val="-2"/>
        </w:rPr>
        <w:t>NMP</w:t>
      </w:r>
      <w:r>
        <w:rPr>
          <w:rFonts w:ascii="Times New Roman" w:hAnsi="Times New Roman" w:eastAsia="Times New Roman" w:cs="Times New Roman"/>
          <w:sz w:val="24"/>
          <w:szCs w:val="24"/>
          <w:spacing w:val="-34"/>
        </w:rPr>
        <w:t xml:space="preserve"> </w:t>
      </w:r>
      <w:r>
        <w:rPr>
          <w:sz w:val="24"/>
          <w:szCs w:val="24"/>
          <w:spacing w:val="-2"/>
        </w:rPr>
        <w:t>、</w:t>
      </w:r>
      <w:r>
        <w:rPr>
          <w:sz w:val="24"/>
          <w:szCs w:val="24"/>
          <w:spacing w:val="114"/>
        </w:rPr>
        <w:t xml:space="preserve"> </w:t>
      </w:r>
      <w:r>
        <w:rPr>
          <w:sz w:val="24"/>
          <w:szCs w:val="24"/>
          <w:spacing w:val="-2"/>
        </w:rPr>
        <w:t>天然气等危险化学品，</w:t>
      </w:r>
      <w:r>
        <w:rPr>
          <w:sz w:val="24"/>
          <w:szCs w:val="24"/>
        </w:rPr>
        <w:t xml:space="preserve"> </w:t>
      </w:r>
      <w:r>
        <w:rPr>
          <w:sz w:val="24"/>
          <w:szCs w:val="24"/>
          <w:spacing w:val="-1"/>
        </w:rPr>
        <w:t>环境风险类型主要是化学品泄漏，生产设备电路故障，</w:t>
      </w:r>
      <w:r>
        <w:rPr>
          <w:sz w:val="24"/>
          <w:szCs w:val="24"/>
          <w:spacing w:val="-2"/>
        </w:rPr>
        <w:t>遇明火时引起的火灾事故等引</w:t>
      </w:r>
    </w:p>
    <w:p>
      <w:pPr>
        <w:pStyle w:val="BodyText"/>
        <w:ind w:left="124"/>
        <w:spacing w:before="1" w:line="218" w:lineRule="auto"/>
        <w:rPr>
          <w:sz w:val="24"/>
          <w:szCs w:val="24"/>
        </w:rPr>
      </w:pPr>
      <w:r>
        <w:rPr>
          <w:sz w:val="24"/>
          <w:szCs w:val="24"/>
          <w:spacing w:val="-5"/>
        </w:rPr>
        <w:t>发的伴生/次生污染排放。本项目的风险识别见表5.4-1。</w:t>
      </w:r>
    </w:p>
    <w:p>
      <w:pPr>
        <w:pStyle w:val="BodyText"/>
        <w:ind w:left="2967"/>
        <w:spacing w:before="182" w:line="219" w:lineRule="auto"/>
        <w:rPr>
          <w:sz w:val="24"/>
          <w:szCs w:val="24"/>
        </w:rPr>
      </w:pPr>
      <w:r>
        <w:rPr>
          <w:sz w:val="24"/>
          <w:szCs w:val="24"/>
          <w:b/>
          <w:bCs/>
          <w:spacing w:val="-12"/>
        </w:rPr>
        <w:t>表5.4-1</w:t>
      </w:r>
      <w:r>
        <w:rPr>
          <w:sz w:val="24"/>
          <w:szCs w:val="24"/>
          <w:spacing w:val="112"/>
        </w:rPr>
        <w:t xml:space="preserve"> </w:t>
      </w:r>
      <w:r>
        <w:rPr>
          <w:sz w:val="24"/>
          <w:szCs w:val="24"/>
          <w:b/>
          <w:bCs/>
          <w:spacing w:val="-12"/>
        </w:rPr>
        <w:t>本项目风险识别结果</w:t>
      </w:r>
    </w:p>
    <w:p>
      <w:pPr>
        <w:spacing w:line="135" w:lineRule="exact"/>
        <w:rPr/>
      </w:pPr>
      <w:r/>
    </w:p>
    <w:tbl>
      <w:tblPr>
        <w:tblStyle w:val="TableNormal"/>
        <w:tblW w:w="90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4"/>
        <w:gridCol w:w="1388"/>
        <w:gridCol w:w="1139"/>
        <w:gridCol w:w="1219"/>
        <w:gridCol w:w="959"/>
        <w:gridCol w:w="2367"/>
        <w:gridCol w:w="1473"/>
      </w:tblGrid>
      <w:tr>
        <w:trPr>
          <w:trHeight w:val="833" w:hRule="atLeast"/>
        </w:trPr>
        <w:tc>
          <w:tcPr>
            <w:tcW w:w="514" w:type="dxa"/>
            <w:vAlign w:val="top"/>
            <w:textDirection w:val="tbRlV"/>
          </w:tcPr>
          <w:p>
            <w:pPr>
              <w:pStyle w:val="TableText"/>
              <w:ind w:left="204"/>
              <w:spacing w:before="159" w:line="217" w:lineRule="auto"/>
              <w:rPr>
                <w:sz w:val="20"/>
                <w:szCs w:val="20"/>
              </w:rPr>
            </w:pPr>
            <w:r>
              <w:rPr>
                <w:sz w:val="20"/>
                <w:szCs w:val="20"/>
              </w:rPr>
              <w:t>序号</w:t>
            </w:r>
          </w:p>
        </w:tc>
        <w:tc>
          <w:tcPr>
            <w:tcW w:w="1388" w:type="dxa"/>
            <w:vAlign w:val="top"/>
          </w:tcPr>
          <w:p>
            <w:pPr>
              <w:spacing w:line="257" w:lineRule="auto"/>
              <w:rPr>
                <w:rFonts w:ascii="Arial"/>
                <w:sz w:val="21"/>
              </w:rPr>
            </w:pPr>
            <w:r/>
          </w:p>
          <w:p>
            <w:pPr>
              <w:pStyle w:val="TableText"/>
              <w:ind w:left="280"/>
              <w:spacing w:before="65" w:line="220" w:lineRule="auto"/>
              <w:rPr>
                <w:sz w:val="20"/>
                <w:szCs w:val="20"/>
              </w:rPr>
            </w:pPr>
            <w:r>
              <w:rPr>
                <w:sz w:val="20"/>
                <w:szCs w:val="20"/>
                <w:spacing w:val="-2"/>
              </w:rPr>
              <w:t>危险单元</w:t>
            </w:r>
          </w:p>
        </w:tc>
        <w:tc>
          <w:tcPr>
            <w:tcW w:w="1139" w:type="dxa"/>
            <w:vAlign w:val="top"/>
          </w:tcPr>
          <w:p>
            <w:pPr>
              <w:spacing w:line="257" w:lineRule="auto"/>
              <w:rPr>
                <w:rFonts w:ascii="Arial"/>
                <w:sz w:val="21"/>
              </w:rPr>
            </w:pPr>
            <w:r/>
          </w:p>
          <w:p>
            <w:pPr>
              <w:pStyle w:val="TableText"/>
              <w:ind w:left="262"/>
              <w:spacing w:before="65" w:line="220" w:lineRule="auto"/>
              <w:rPr>
                <w:sz w:val="20"/>
                <w:szCs w:val="20"/>
              </w:rPr>
            </w:pPr>
            <w:r>
              <w:rPr>
                <w:sz w:val="20"/>
                <w:szCs w:val="20"/>
                <w:spacing w:val="-2"/>
              </w:rPr>
              <w:t>风险源</w:t>
            </w:r>
          </w:p>
        </w:tc>
        <w:tc>
          <w:tcPr>
            <w:tcW w:w="1219" w:type="dxa"/>
            <w:vAlign w:val="top"/>
          </w:tcPr>
          <w:p>
            <w:pPr>
              <w:pStyle w:val="TableText"/>
              <w:ind w:left="403" w:right="214" w:hanging="199"/>
              <w:spacing w:before="183" w:line="230" w:lineRule="auto"/>
              <w:rPr>
                <w:sz w:val="20"/>
                <w:szCs w:val="20"/>
              </w:rPr>
            </w:pPr>
            <w:r>
              <w:rPr>
                <w:sz w:val="20"/>
                <w:szCs w:val="20"/>
                <w:spacing w:val="-3"/>
              </w:rPr>
              <w:t>主要风险</w:t>
            </w:r>
            <w:r>
              <w:rPr>
                <w:sz w:val="20"/>
                <w:szCs w:val="20"/>
                <w:spacing w:val="1"/>
              </w:rPr>
              <w:t xml:space="preserve"> </w:t>
            </w:r>
            <w:r>
              <w:rPr>
                <w:sz w:val="20"/>
                <w:szCs w:val="20"/>
                <w:spacing w:val="11"/>
              </w:rPr>
              <w:t>物质</w:t>
            </w:r>
          </w:p>
        </w:tc>
        <w:tc>
          <w:tcPr>
            <w:tcW w:w="959" w:type="dxa"/>
            <w:vAlign w:val="top"/>
          </w:tcPr>
          <w:p>
            <w:pPr>
              <w:pStyle w:val="TableText"/>
              <w:ind w:left="175" w:right="160"/>
              <w:spacing w:before="193" w:line="225" w:lineRule="auto"/>
              <w:rPr>
                <w:sz w:val="20"/>
                <w:szCs w:val="20"/>
              </w:rPr>
            </w:pPr>
            <w:r>
              <w:rPr>
                <w:sz w:val="20"/>
                <w:szCs w:val="20"/>
                <w:spacing w:val="-3"/>
              </w:rPr>
              <w:t>环境风</w:t>
            </w:r>
            <w:r>
              <w:rPr>
                <w:sz w:val="20"/>
                <w:szCs w:val="20"/>
              </w:rPr>
              <w:t xml:space="preserve"> </w:t>
            </w:r>
            <w:r>
              <w:rPr>
                <w:sz w:val="20"/>
                <w:szCs w:val="20"/>
                <w:spacing w:val="4"/>
              </w:rPr>
              <w:t>险类型</w:t>
            </w:r>
          </w:p>
        </w:tc>
        <w:tc>
          <w:tcPr>
            <w:tcW w:w="2367" w:type="dxa"/>
            <w:vAlign w:val="top"/>
          </w:tcPr>
          <w:p>
            <w:pPr>
              <w:spacing w:line="256" w:lineRule="auto"/>
              <w:rPr>
                <w:rFonts w:ascii="Arial"/>
                <w:sz w:val="21"/>
              </w:rPr>
            </w:pPr>
            <w:r/>
          </w:p>
          <w:p>
            <w:pPr>
              <w:pStyle w:val="TableText"/>
              <w:ind w:left="575"/>
              <w:spacing w:before="65" w:line="219" w:lineRule="auto"/>
              <w:rPr>
                <w:sz w:val="20"/>
                <w:szCs w:val="20"/>
              </w:rPr>
            </w:pPr>
            <w:r>
              <w:rPr>
                <w:sz w:val="20"/>
                <w:szCs w:val="20"/>
                <w:spacing w:val="-2"/>
              </w:rPr>
              <w:t>环境影响途径</w:t>
            </w:r>
          </w:p>
        </w:tc>
        <w:tc>
          <w:tcPr>
            <w:tcW w:w="1473" w:type="dxa"/>
            <w:vAlign w:val="top"/>
          </w:tcPr>
          <w:p>
            <w:pPr>
              <w:pStyle w:val="TableText"/>
              <w:ind w:left="228"/>
              <w:spacing w:before="54" w:line="221" w:lineRule="auto"/>
              <w:rPr>
                <w:sz w:val="20"/>
                <w:szCs w:val="20"/>
              </w:rPr>
            </w:pPr>
            <w:r>
              <w:rPr>
                <w:sz w:val="20"/>
                <w:szCs w:val="20"/>
                <w:spacing w:val="3"/>
              </w:rPr>
              <w:t>可能受影响</w:t>
            </w:r>
          </w:p>
          <w:p>
            <w:pPr>
              <w:pStyle w:val="TableText"/>
              <w:ind w:left="228"/>
              <w:spacing w:before="29" w:line="219" w:lineRule="auto"/>
              <w:rPr>
                <w:sz w:val="20"/>
                <w:szCs w:val="20"/>
              </w:rPr>
            </w:pPr>
            <w:r>
              <w:rPr>
                <w:sz w:val="20"/>
                <w:szCs w:val="20"/>
                <w:spacing w:val="1"/>
              </w:rPr>
              <w:t>的环境敏感</w:t>
            </w:r>
          </w:p>
          <w:p>
            <w:pPr>
              <w:pStyle w:val="TableText"/>
              <w:ind w:left="528"/>
              <w:spacing w:before="23" w:line="220" w:lineRule="auto"/>
              <w:rPr>
                <w:sz w:val="20"/>
                <w:szCs w:val="20"/>
              </w:rPr>
            </w:pPr>
            <w:r>
              <w:rPr>
                <w:sz w:val="20"/>
                <w:szCs w:val="20"/>
                <w:spacing w:val="8"/>
              </w:rPr>
              <w:t>目标</w:t>
            </w:r>
          </w:p>
        </w:tc>
      </w:tr>
      <w:tr>
        <w:trPr>
          <w:trHeight w:val="818" w:hRule="atLeast"/>
        </w:trPr>
        <w:tc>
          <w:tcPr>
            <w:tcW w:w="514" w:type="dxa"/>
            <w:vAlign w:val="top"/>
          </w:tcPr>
          <w:p>
            <w:pPr>
              <w:spacing w:line="293" w:lineRule="auto"/>
              <w:rPr>
                <w:rFonts w:ascii="Arial"/>
                <w:sz w:val="21"/>
              </w:rPr>
            </w:pPr>
            <w:r/>
          </w:p>
          <w:p>
            <w:pPr>
              <w:pStyle w:val="TableText"/>
              <w:ind w:left="194"/>
              <w:spacing w:before="65" w:line="184" w:lineRule="auto"/>
              <w:rPr>
                <w:sz w:val="20"/>
                <w:szCs w:val="20"/>
              </w:rPr>
            </w:pPr>
            <w:r>
              <w:rPr>
                <w:sz w:val="20"/>
                <w:szCs w:val="20"/>
              </w:rPr>
              <w:t>1</w:t>
            </w:r>
          </w:p>
        </w:tc>
        <w:tc>
          <w:tcPr>
            <w:tcW w:w="1388" w:type="dxa"/>
            <w:vAlign w:val="top"/>
          </w:tcPr>
          <w:p>
            <w:pPr>
              <w:spacing w:line="243" w:lineRule="auto"/>
              <w:rPr>
                <w:rFonts w:ascii="Arial"/>
                <w:sz w:val="21"/>
              </w:rPr>
            </w:pPr>
            <w:r/>
          </w:p>
          <w:p>
            <w:pPr>
              <w:pStyle w:val="TableText"/>
              <w:ind w:left="280"/>
              <w:spacing w:before="65" w:line="219" w:lineRule="auto"/>
              <w:rPr>
                <w:sz w:val="20"/>
                <w:szCs w:val="20"/>
              </w:rPr>
            </w:pPr>
            <w:r>
              <w:rPr>
                <w:sz w:val="20"/>
                <w:szCs w:val="20"/>
                <w:spacing w:val="4"/>
              </w:rPr>
              <w:t>生产车间</w:t>
            </w:r>
          </w:p>
        </w:tc>
        <w:tc>
          <w:tcPr>
            <w:tcW w:w="1139" w:type="dxa"/>
            <w:vAlign w:val="top"/>
          </w:tcPr>
          <w:p>
            <w:pPr>
              <w:spacing w:line="243" w:lineRule="auto"/>
              <w:rPr>
                <w:rFonts w:ascii="Arial"/>
                <w:sz w:val="21"/>
              </w:rPr>
            </w:pPr>
            <w:r/>
          </w:p>
          <w:p>
            <w:pPr>
              <w:pStyle w:val="TableText"/>
              <w:ind w:left="163"/>
              <w:spacing w:before="65" w:line="219" w:lineRule="auto"/>
              <w:rPr>
                <w:sz w:val="20"/>
                <w:szCs w:val="20"/>
              </w:rPr>
            </w:pPr>
            <w:r>
              <w:rPr>
                <w:sz w:val="20"/>
                <w:szCs w:val="20"/>
                <w:spacing w:val="-2"/>
              </w:rPr>
              <w:t>生产设备</w:t>
            </w:r>
          </w:p>
        </w:tc>
        <w:tc>
          <w:tcPr>
            <w:tcW w:w="1219" w:type="dxa"/>
            <w:vAlign w:val="top"/>
          </w:tcPr>
          <w:p>
            <w:pPr>
              <w:pStyle w:val="TableText"/>
              <w:ind w:left="403" w:right="156" w:hanging="250"/>
              <w:spacing w:before="179" w:line="229" w:lineRule="auto"/>
              <w:rPr>
                <w:sz w:val="20"/>
                <w:szCs w:val="20"/>
              </w:rPr>
            </w:pPr>
            <w:r>
              <w:rPr>
                <w:sz w:val="20"/>
                <w:szCs w:val="20"/>
                <w:spacing w:val="-1"/>
              </w:rPr>
              <w:t>NMP、三元</w:t>
            </w:r>
            <w:r>
              <w:rPr>
                <w:sz w:val="20"/>
                <w:szCs w:val="20"/>
                <w:spacing w:val="3"/>
              </w:rPr>
              <w:t xml:space="preserve"> </w:t>
            </w:r>
            <w:r>
              <w:rPr>
                <w:sz w:val="20"/>
                <w:szCs w:val="20"/>
                <w:spacing w:val="-2"/>
              </w:rPr>
              <w:t>材料</w:t>
            </w:r>
          </w:p>
        </w:tc>
        <w:tc>
          <w:tcPr>
            <w:tcW w:w="959" w:type="dxa"/>
            <w:vAlign w:val="top"/>
          </w:tcPr>
          <w:p>
            <w:pPr>
              <w:pStyle w:val="TableText"/>
              <w:ind w:left="373" w:right="85" w:hanging="299"/>
              <w:spacing w:before="170" w:line="231" w:lineRule="auto"/>
              <w:rPr>
                <w:sz w:val="20"/>
                <w:szCs w:val="20"/>
              </w:rPr>
            </w:pPr>
            <w:r>
              <w:rPr>
                <w:sz w:val="20"/>
                <w:szCs w:val="20"/>
                <w:spacing w:val="-3"/>
              </w:rPr>
              <w:t>泄漏、火</w:t>
            </w:r>
            <w:r>
              <w:rPr>
                <w:sz w:val="20"/>
                <w:szCs w:val="20"/>
              </w:rPr>
              <w:t xml:space="preserve"> </w:t>
            </w:r>
            <w:r>
              <w:rPr>
                <w:sz w:val="20"/>
                <w:szCs w:val="20"/>
              </w:rPr>
              <w:t>灾</w:t>
            </w:r>
          </w:p>
        </w:tc>
        <w:tc>
          <w:tcPr>
            <w:tcW w:w="2367" w:type="dxa"/>
            <w:vAlign w:val="top"/>
          </w:tcPr>
          <w:p>
            <w:pPr>
              <w:pStyle w:val="TableText"/>
              <w:ind w:left="175"/>
              <w:spacing w:before="40" w:line="219" w:lineRule="auto"/>
              <w:rPr>
                <w:sz w:val="20"/>
                <w:szCs w:val="20"/>
              </w:rPr>
            </w:pPr>
            <w:r>
              <w:rPr>
                <w:sz w:val="20"/>
                <w:szCs w:val="20"/>
                <w:spacing w:val="1"/>
              </w:rPr>
              <w:t>蒸发进入大气，径流污</w:t>
            </w:r>
          </w:p>
          <w:p>
            <w:pPr>
              <w:pStyle w:val="TableText"/>
              <w:ind w:left="175"/>
              <w:spacing w:before="42" w:line="219" w:lineRule="auto"/>
              <w:rPr>
                <w:sz w:val="20"/>
                <w:szCs w:val="20"/>
              </w:rPr>
            </w:pPr>
            <w:r>
              <w:rPr>
                <w:sz w:val="20"/>
                <w:szCs w:val="20"/>
              </w:rPr>
              <w:t>染地表水、地下水、土</w:t>
            </w:r>
          </w:p>
          <w:p>
            <w:pPr>
              <w:pStyle w:val="TableText"/>
              <w:ind w:left="1075"/>
              <w:spacing w:before="3" w:line="221" w:lineRule="auto"/>
              <w:rPr>
                <w:sz w:val="20"/>
                <w:szCs w:val="20"/>
              </w:rPr>
            </w:pPr>
            <w:r>
              <w:rPr>
                <w:sz w:val="20"/>
                <w:szCs w:val="20"/>
              </w:rPr>
              <w:t>壤</w:t>
            </w:r>
          </w:p>
        </w:tc>
        <w:tc>
          <w:tcPr>
            <w:tcW w:w="1473" w:type="dxa"/>
            <w:vAlign w:val="top"/>
            <w:vMerge w:val="restart"/>
            <w:tcBorders>
              <w:bottom w:val="nil"/>
            </w:tcBorders>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278"/>
              <w:spacing w:before="65" w:line="219" w:lineRule="auto"/>
              <w:rPr>
                <w:sz w:val="20"/>
                <w:szCs w:val="20"/>
              </w:rPr>
            </w:pPr>
            <w:r>
              <w:rPr>
                <w:sz w:val="20"/>
                <w:szCs w:val="20"/>
                <w:spacing w:val="2"/>
              </w:rPr>
              <w:t>见表2.2-1</w:t>
            </w:r>
          </w:p>
        </w:tc>
      </w:tr>
      <w:tr>
        <w:trPr>
          <w:trHeight w:val="279" w:hRule="atLeast"/>
        </w:trPr>
        <w:tc>
          <w:tcPr>
            <w:tcW w:w="514" w:type="dxa"/>
            <w:vAlign w:val="top"/>
          </w:tcPr>
          <w:p>
            <w:pPr>
              <w:pStyle w:val="TableText"/>
              <w:ind w:left="194"/>
              <w:spacing w:before="93" w:line="162" w:lineRule="auto"/>
              <w:rPr>
                <w:sz w:val="20"/>
                <w:szCs w:val="20"/>
              </w:rPr>
            </w:pPr>
            <w:r>
              <w:rPr>
                <w:sz w:val="20"/>
                <w:szCs w:val="20"/>
              </w:rPr>
              <w:t>2</w:t>
            </w:r>
          </w:p>
        </w:tc>
        <w:tc>
          <w:tcPr>
            <w:tcW w:w="1388" w:type="dxa"/>
            <w:vAlign w:val="top"/>
          </w:tcPr>
          <w:p>
            <w:pPr>
              <w:pStyle w:val="TableText"/>
              <w:ind w:left="180"/>
              <w:spacing w:before="41" w:line="210" w:lineRule="auto"/>
              <w:rPr>
                <w:sz w:val="20"/>
                <w:szCs w:val="20"/>
              </w:rPr>
            </w:pPr>
            <w:r>
              <w:rPr>
                <w:sz w:val="20"/>
                <w:szCs w:val="20"/>
                <w:spacing w:val="3"/>
              </w:rPr>
              <w:t>危废暂存间</w:t>
            </w:r>
          </w:p>
        </w:tc>
        <w:tc>
          <w:tcPr>
            <w:tcW w:w="1139" w:type="dxa"/>
            <w:vAlign w:val="top"/>
          </w:tcPr>
          <w:p>
            <w:pPr>
              <w:pStyle w:val="TableText"/>
              <w:ind w:left="262"/>
              <w:spacing w:before="41" w:line="210" w:lineRule="auto"/>
              <w:rPr>
                <w:sz w:val="20"/>
                <w:szCs w:val="20"/>
              </w:rPr>
            </w:pPr>
            <w:r>
              <w:rPr>
                <w:sz w:val="20"/>
                <w:szCs w:val="20"/>
                <w:spacing w:val="5"/>
              </w:rPr>
              <w:t>储存区</w:t>
            </w:r>
          </w:p>
        </w:tc>
        <w:tc>
          <w:tcPr>
            <w:tcW w:w="1219" w:type="dxa"/>
            <w:vAlign w:val="top"/>
          </w:tcPr>
          <w:p>
            <w:pPr>
              <w:pStyle w:val="TableText"/>
              <w:ind w:left="303"/>
              <w:spacing w:before="41" w:line="210" w:lineRule="auto"/>
              <w:rPr>
                <w:sz w:val="20"/>
                <w:szCs w:val="20"/>
              </w:rPr>
            </w:pPr>
            <w:r>
              <w:rPr>
                <w:sz w:val="20"/>
                <w:szCs w:val="20"/>
                <w:spacing w:val="6"/>
              </w:rPr>
              <w:t>废机油</w:t>
            </w:r>
          </w:p>
        </w:tc>
        <w:tc>
          <w:tcPr>
            <w:tcW w:w="959" w:type="dxa"/>
            <w:vAlign w:val="top"/>
            <w:vMerge w:val="restart"/>
            <w:tcBorders>
              <w:bottom w:val="nil"/>
            </w:tcBorders>
          </w:tcPr>
          <w:p>
            <w:pPr>
              <w:spacing w:line="374" w:lineRule="auto"/>
              <w:rPr>
                <w:rFonts w:ascii="Arial"/>
                <w:sz w:val="21"/>
              </w:rPr>
            </w:pPr>
            <w:r/>
          </w:p>
          <w:p>
            <w:pPr>
              <w:pStyle w:val="TableText"/>
              <w:ind w:left="103" w:right="85" w:hanging="29"/>
              <w:spacing w:before="65" w:line="231" w:lineRule="auto"/>
              <w:rPr>
                <w:sz w:val="20"/>
                <w:szCs w:val="20"/>
              </w:rPr>
            </w:pPr>
            <w:r>
              <w:rPr>
                <w:sz w:val="20"/>
                <w:szCs w:val="20"/>
                <w:spacing w:val="-3"/>
              </w:rPr>
              <w:t>泄漏、火</w:t>
            </w:r>
            <w:r>
              <w:rPr>
                <w:sz w:val="20"/>
                <w:szCs w:val="20"/>
              </w:rPr>
              <w:t xml:space="preserve"> </w:t>
            </w:r>
            <w:r>
              <w:rPr>
                <w:sz w:val="20"/>
                <w:szCs w:val="20"/>
              </w:rPr>
              <w:t>灾</w:t>
            </w:r>
          </w:p>
        </w:tc>
        <w:tc>
          <w:tcPr>
            <w:tcW w:w="2367" w:type="dxa"/>
            <w:vAlign w:val="top"/>
            <w:vMerge w:val="restart"/>
            <w:tcBorders>
              <w:bottom w:val="nil"/>
            </w:tcBorders>
          </w:tcPr>
          <w:p>
            <w:pPr>
              <w:spacing w:line="255" w:lineRule="auto"/>
              <w:rPr>
                <w:rFonts w:ascii="Arial"/>
                <w:sz w:val="21"/>
              </w:rPr>
            </w:pPr>
            <w:r/>
          </w:p>
          <w:p>
            <w:pPr>
              <w:pStyle w:val="TableText"/>
              <w:ind w:left="175"/>
              <w:spacing w:before="65" w:line="219" w:lineRule="auto"/>
              <w:rPr>
                <w:sz w:val="20"/>
                <w:szCs w:val="20"/>
              </w:rPr>
            </w:pPr>
            <w:r>
              <w:rPr>
                <w:sz w:val="20"/>
                <w:szCs w:val="20"/>
                <w:spacing w:val="1"/>
              </w:rPr>
              <w:t>蒸发进入大气，径流污</w:t>
            </w:r>
          </w:p>
          <w:p>
            <w:pPr>
              <w:pStyle w:val="TableText"/>
              <w:ind w:left="175"/>
              <w:spacing w:before="22" w:line="219" w:lineRule="auto"/>
              <w:rPr>
                <w:sz w:val="20"/>
                <w:szCs w:val="20"/>
              </w:rPr>
            </w:pPr>
            <w:r>
              <w:rPr>
                <w:sz w:val="20"/>
                <w:szCs w:val="20"/>
              </w:rPr>
              <w:t>染地表水、地下水、土</w:t>
            </w:r>
          </w:p>
          <w:p>
            <w:pPr>
              <w:pStyle w:val="TableText"/>
              <w:ind w:left="1075"/>
              <w:spacing w:before="33" w:line="221" w:lineRule="auto"/>
              <w:rPr>
                <w:sz w:val="20"/>
                <w:szCs w:val="20"/>
              </w:rPr>
            </w:pPr>
            <w:r>
              <w:rPr>
                <w:sz w:val="20"/>
                <w:szCs w:val="20"/>
              </w:rPr>
              <w:t>壤</w:t>
            </w:r>
          </w:p>
        </w:tc>
        <w:tc>
          <w:tcPr>
            <w:tcW w:w="1473" w:type="dxa"/>
            <w:vAlign w:val="top"/>
            <w:vMerge w:val="continue"/>
            <w:tcBorders>
              <w:top w:val="nil"/>
              <w:bottom w:val="nil"/>
            </w:tcBorders>
          </w:tcPr>
          <w:p>
            <w:pPr>
              <w:rPr>
                <w:rFonts w:ascii="Arial"/>
                <w:sz w:val="21"/>
              </w:rPr>
            </w:pPr>
            <w:r/>
          </w:p>
        </w:tc>
      </w:tr>
      <w:tr>
        <w:trPr>
          <w:trHeight w:val="498" w:hRule="atLeast"/>
        </w:trPr>
        <w:tc>
          <w:tcPr>
            <w:tcW w:w="514" w:type="dxa"/>
            <w:vAlign w:val="top"/>
          </w:tcPr>
          <w:p>
            <w:pPr>
              <w:pStyle w:val="TableText"/>
              <w:ind w:left="194"/>
              <w:spacing w:before="204" w:line="183" w:lineRule="auto"/>
              <w:rPr>
                <w:sz w:val="20"/>
                <w:szCs w:val="20"/>
              </w:rPr>
            </w:pPr>
            <w:r>
              <w:rPr>
                <w:sz w:val="20"/>
                <w:szCs w:val="20"/>
              </w:rPr>
              <w:t>3</w:t>
            </w:r>
          </w:p>
        </w:tc>
        <w:tc>
          <w:tcPr>
            <w:tcW w:w="1388" w:type="dxa"/>
            <w:vAlign w:val="top"/>
          </w:tcPr>
          <w:p>
            <w:pPr>
              <w:pStyle w:val="TableText"/>
              <w:ind w:left="630" w:right="119" w:hanging="510"/>
              <w:spacing w:before="52" w:line="201" w:lineRule="auto"/>
              <w:rPr>
                <w:sz w:val="20"/>
                <w:szCs w:val="20"/>
              </w:rPr>
            </w:pPr>
            <w:r>
              <w:rPr>
                <w:sz w:val="20"/>
                <w:szCs w:val="20"/>
                <w:spacing w:val="-8"/>
              </w:rPr>
              <w:t>N</w:t>
            </w:r>
            <w:r>
              <w:rPr>
                <w:sz w:val="20"/>
                <w:szCs w:val="20"/>
                <w:spacing w:val="-51"/>
              </w:rPr>
              <w:t xml:space="preserve"> </w:t>
            </w:r>
            <w:r>
              <w:rPr>
                <w:sz w:val="20"/>
                <w:szCs w:val="20"/>
                <w:spacing w:val="-8"/>
              </w:rPr>
              <w:t>M</w:t>
            </w:r>
            <w:r>
              <w:rPr>
                <w:sz w:val="20"/>
                <w:szCs w:val="20"/>
                <w:spacing w:val="-48"/>
              </w:rPr>
              <w:t xml:space="preserve"> </w:t>
            </w:r>
            <w:r>
              <w:rPr>
                <w:sz w:val="20"/>
                <w:szCs w:val="20"/>
                <w:spacing w:val="-8"/>
              </w:rPr>
              <w:t>P</w:t>
            </w:r>
            <w:r>
              <w:rPr>
                <w:sz w:val="20"/>
                <w:szCs w:val="20"/>
                <w:spacing w:val="-45"/>
              </w:rPr>
              <w:t xml:space="preserve"> </w:t>
            </w:r>
            <w:r>
              <w:rPr>
                <w:sz w:val="20"/>
                <w:szCs w:val="20"/>
                <w:spacing w:val="-8"/>
              </w:rPr>
              <w:t>储</w:t>
            </w:r>
            <w:r>
              <w:rPr>
                <w:sz w:val="20"/>
                <w:szCs w:val="20"/>
                <w:spacing w:val="-43"/>
              </w:rPr>
              <w:t xml:space="preserve"> </w:t>
            </w:r>
            <w:r>
              <w:rPr>
                <w:sz w:val="20"/>
                <w:szCs w:val="20"/>
                <w:spacing w:val="-8"/>
              </w:rPr>
              <w:t>罐</w:t>
            </w:r>
            <w:r>
              <w:rPr>
                <w:sz w:val="20"/>
                <w:szCs w:val="20"/>
                <w:spacing w:val="-29"/>
              </w:rPr>
              <w:t xml:space="preserve"> </w:t>
            </w:r>
            <w:r>
              <w:rPr>
                <w:sz w:val="20"/>
                <w:szCs w:val="20"/>
                <w:spacing w:val="-8"/>
              </w:rPr>
              <w:t>区</w:t>
            </w:r>
            <w:r>
              <w:rPr>
                <w:sz w:val="20"/>
                <w:szCs w:val="20"/>
              </w:rPr>
              <w:t xml:space="preserve"> </w:t>
            </w:r>
            <w:r>
              <w:rPr>
                <w:sz w:val="20"/>
                <w:szCs w:val="20"/>
              </w:rPr>
              <w:t>C</w:t>
            </w:r>
          </w:p>
        </w:tc>
        <w:tc>
          <w:tcPr>
            <w:tcW w:w="1139" w:type="dxa"/>
            <w:vAlign w:val="top"/>
          </w:tcPr>
          <w:p>
            <w:pPr>
              <w:pStyle w:val="TableText"/>
              <w:ind w:left="262"/>
              <w:spacing w:before="153" w:line="219" w:lineRule="auto"/>
              <w:rPr>
                <w:sz w:val="20"/>
                <w:szCs w:val="20"/>
              </w:rPr>
            </w:pPr>
            <w:r>
              <w:rPr>
                <w:sz w:val="20"/>
                <w:szCs w:val="20"/>
                <w:spacing w:val="5"/>
              </w:rPr>
              <w:t>储罐区</w:t>
            </w:r>
          </w:p>
        </w:tc>
        <w:tc>
          <w:tcPr>
            <w:tcW w:w="1219" w:type="dxa"/>
            <w:vAlign w:val="top"/>
          </w:tcPr>
          <w:p>
            <w:pPr>
              <w:pStyle w:val="TableText"/>
              <w:ind w:left="454" w:right="154" w:hanging="290"/>
              <w:spacing w:before="39" w:line="207" w:lineRule="auto"/>
              <w:rPr>
                <w:sz w:val="20"/>
                <w:szCs w:val="20"/>
              </w:rPr>
            </w:pPr>
            <w:r>
              <w:rPr>
                <w:sz w:val="20"/>
                <w:szCs w:val="20"/>
                <w:spacing w:val="-6"/>
              </w:rPr>
              <w:t>N</w:t>
            </w:r>
            <w:r>
              <w:rPr>
                <w:sz w:val="20"/>
                <w:szCs w:val="20"/>
                <w:spacing w:val="-23"/>
              </w:rPr>
              <w:t xml:space="preserve"> </w:t>
            </w:r>
            <w:r>
              <w:rPr>
                <w:sz w:val="20"/>
                <w:szCs w:val="20"/>
                <w:spacing w:val="-6"/>
              </w:rPr>
              <w:t>M</w:t>
            </w:r>
            <w:r>
              <w:rPr>
                <w:sz w:val="20"/>
                <w:szCs w:val="20"/>
                <w:spacing w:val="-22"/>
              </w:rPr>
              <w:t xml:space="preserve"> </w:t>
            </w:r>
            <w:r>
              <w:rPr>
                <w:sz w:val="20"/>
                <w:szCs w:val="20"/>
                <w:spacing w:val="-6"/>
              </w:rPr>
              <w:t>P</w:t>
            </w:r>
            <w:r>
              <w:rPr>
                <w:sz w:val="20"/>
                <w:szCs w:val="20"/>
                <w:spacing w:val="-16"/>
              </w:rPr>
              <w:t xml:space="preserve"> </w:t>
            </w:r>
            <w:r>
              <w:rPr>
                <w:sz w:val="20"/>
                <w:szCs w:val="20"/>
                <w:spacing w:val="-6"/>
              </w:rPr>
              <w:t>,</w:t>
            </w:r>
            <w:r>
              <w:rPr>
                <w:sz w:val="20"/>
                <w:szCs w:val="20"/>
                <w:spacing w:val="-20"/>
              </w:rPr>
              <w:t xml:space="preserve"> </w:t>
            </w:r>
            <w:r>
              <w:rPr>
                <w:sz w:val="20"/>
                <w:szCs w:val="20"/>
                <w:spacing w:val="-6"/>
              </w:rPr>
              <w:t>废</w:t>
            </w:r>
            <w:r>
              <w:rPr>
                <w:sz w:val="20"/>
                <w:szCs w:val="20"/>
              </w:rPr>
              <w:t xml:space="preserve"> </w:t>
            </w:r>
            <w:r>
              <w:rPr>
                <w:sz w:val="20"/>
                <w:szCs w:val="20"/>
                <w:spacing w:val="-1"/>
              </w:rPr>
              <w:t>NMP</w:t>
            </w:r>
          </w:p>
        </w:tc>
        <w:tc>
          <w:tcPr>
            <w:tcW w:w="959" w:type="dxa"/>
            <w:vAlign w:val="top"/>
            <w:vMerge w:val="continue"/>
            <w:tcBorders>
              <w:top w:val="nil"/>
              <w:bottom w:val="nil"/>
            </w:tcBorders>
          </w:tcPr>
          <w:p>
            <w:pPr>
              <w:rPr>
                <w:rFonts w:ascii="Arial"/>
                <w:sz w:val="21"/>
              </w:rPr>
            </w:pPr>
            <w:r/>
          </w:p>
        </w:tc>
        <w:tc>
          <w:tcPr>
            <w:tcW w:w="2367" w:type="dxa"/>
            <w:vAlign w:val="top"/>
            <w:vMerge w:val="continue"/>
            <w:tcBorders>
              <w:top w:val="nil"/>
              <w:bottom w:val="nil"/>
            </w:tcBorders>
          </w:tcPr>
          <w:p>
            <w:pPr>
              <w:rPr>
                <w:rFonts w:ascii="Arial"/>
                <w:sz w:val="21"/>
              </w:rPr>
            </w:pPr>
            <w:r/>
          </w:p>
        </w:tc>
        <w:tc>
          <w:tcPr>
            <w:tcW w:w="1473" w:type="dxa"/>
            <w:vAlign w:val="top"/>
            <w:vMerge w:val="continue"/>
            <w:tcBorders>
              <w:top w:val="nil"/>
              <w:bottom w:val="nil"/>
            </w:tcBorders>
          </w:tcPr>
          <w:p>
            <w:pPr>
              <w:rPr>
                <w:rFonts w:ascii="Arial"/>
                <w:sz w:val="21"/>
              </w:rPr>
            </w:pPr>
            <w:r/>
          </w:p>
        </w:tc>
      </w:tr>
      <w:tr>
        <w:trPr>
          <w:trHeight w:val="558" w:hRule="atLeast"/>
        </w:trPr>
        <w:tc>
          <w:tcPr>
            <w:tcW w:w="514" w:type="dxa"/>
            <w:vAlign w:val="top"/>
          </w:tcPr>
          <w:p>
            <w:pPr>
              <w:pStyle w:val="TableText"/>
              <w:ind w:left="194"/>
              <w:spacing w:before="236" w:line="183" w:lineRule="auto"/>
              <w:rPr>
                <w:sz w:val="20"/>
                <w:szCs w:val="20"/>
              </w:rPr>
            </w:pPr>
            <w:r>
              <w:rPr>
                <w:sz w:val="20"/>
                <w:szCs w:val="20"/>
              </w:rPr>
              <w:t>4</w:t>
            </w:r>
          </w:p>
        </w:tc>
        <w:tc>
          <w:tcPr>
            <w:tcW w:w="1388" w:type="dxa"/>
            <w:vAlign w:val="top"/>
          </w:tcPr>
          <w:p>
            <w:pPr>
              <w:pStyle w:val="TableText"/>
              <w:ind w:left="180" w:right="153"/>
              <w:spacing w:before="56" w:line="227" w:lineRule="auto"/>
              <w:rPr>
                <w:sz w:val="20"/>
                <w:szCs w:val="20"/>
              </w:rPr>
            </w:pPr>
            <w:r>
              <w:rPr>
                <w:sz w:val="20"/>
                <w:szCs w:val="20"/>
                <w:spacing w:val="2"/>
              </w:rPr>
              <w:t>凹版设施房 </w:t>
            </w:r>
            <w:r>
              <w:rPr>
                <w:sz w:val="20"/>
                <w:szCs w:val="20"/>
                <w:spacing w:val="7"/>
              </w:rPr>
              <w:t>(含锅炉房)</w:t>
            </w:r>
          </w:p>
        </w:tc>
        <w:tc>
          <w:tcPr>
            <w:tcW w:w="1139" w:type="dxa"/>
            <w:vAlign w:val="top"/>
          </w:tcPr>
          <w:p>
            <w:pPr>
              <w:pStyle w:val="TableText"/>
              <w:ind w:left="163" w:right="173"/>
              <w:spacing w:before="56" w:line="227" w:lineRule="auto"/>
              <w:rPr>
                <w:sz w:val="20"/>
                <w:szCs w:val="20"/>
              </w:rPr>
            </w:pPr>
            <w:r>
              <w:rPr>
                <w:sz w:val="20"/>
                <w:szCs w:val="20"/>
                <w:spacing w:val="-2"/>
              </w:rPr>
              <w:t>锅炉、天</w:t>
            </w:r>
            <w:r>
              <w:rPr>
                <w:sz w:val="20"/>
                <w:szCs w:val="20"/>
              </w:rPr>
              <w:t xml:space="preserve"> </w:t>
            </w:r>
            <w:r>
              <w:rPr>
                <w:sz w:val="20"/>
                <w:szCs w:val="20"/>
                <w:spacing w:val="-3"/>
              </w:rPr>
              <w:t>然气管道</w:t>
            </w:r>
          </w:p>
        </w:tc>
        <w:tc>
          <w:tcPr>
            <w:tcW w:w="1219" w:type="dxa"/>
            <w:vAlign w:val="top"/>
          </w:tcPr>
          <w:p>
            <w:pPr>
              <w:pStyle w:val="TableText"/>
              <w:ind w:left="303"/>
              <w:spacing w:before="185" w:line="220" w:lineRule="auto"/>
              <w:rPr>
                <w:sz w:val="20"/>
                <w:szCs w:val="20"/>
              </w:rPr>
            </w:pPr>
            <w:r>
              <w:rPr>
                <w:sz w:val="20"/>
                <w:szCs w:val="20"/>
                <w:spacing w:val="4"/>
              </w:rPr>
              <w:t>天然气</w:t>
            </w:r>
          </w:p>
        </w:tc>
        <w:tc>
          <w:tcPr>
            <w:tcW w:w="959" w:type="dxa"/>
            <w:vAlign w:val="top"/>
            <w:vMerge w:val="continue"/>
            <w:tcBorders>
              <w:top w:val="nil"/>
            </w:tcBorders>
          </w:tcPr>
          <w:p>
            <w:pPr>
              <w:rPr>
                <w:rFonts w:ascii="Arial"/>
                <w:sz w:val="21"/>
              </w:rPr>
            </w:pPr>
            <w:r/>
          </w:p>
        </w:tc>
        <w:tc>
          <w:tcPr>
            <w:tcW w:w="2367" w:type="dxa"/>
            <w:vAlign w:val="top"/>
            <w:vMerge w:val="continue"/>
            <w:tcBorders>
              <w:top w:val="nil"/>
            </w:tcBorders>
          </w:tcPr>
          <w:p>
            <w:pPr>
              <w:rPr>
                <w:rFonts w:ascii="Arial"/>
                <w:sz w:val="21"/>
              </w:rPr>
            </w:pPr>
            <w:r/>
          </w:p>
        </w:tc>
        <w:tc>
          <w:tcPr>
            <w:tcW w:w="1473" w:type="dxa"/>
            <w:vAlign w:val="top"/>
            <w:vMerge w:val="continue"/>
            <w:tcBorders>
              <w:top w:val="nil"/>
              <w:bottom w:val="nil"/>
            </w:tcBorders>
          </w:tcPr>
          <w:p>
            <w:pPr>
              <w:rPr>
                <w:rFonts w:ascii="Arial"/>
                <w:sz w:val="21"/>
              </w:rPr>
            </w:pPr>
            <w:r/>
          </w:p>
        </w:tc>
      </w:tr>
      <w:tr>
        <w:trPr>
          <w:trHeight w:val="813" w:hRule="atLeast"/>
        </w:trPr>
        <w:tc>
          <w:tcPr>
            <w:tcW w:w="514" w:type="dxa"/>
            <w:vAlign w:val="top"/>
          </w:tcPr>
          <w:p>
            <w:pPr>
              <w:spacing w:line="303" w:lineRule="auto"/>
              <w:rPr>
                <w:rFonts w:ascii="Arial"/>
                <w:sz w:val="21"/>
              </w:rPr>
            </w:pPr>
            <w:r/>
          </w:p>
          <w:p>
            <w:pPr>
              <w:pStyle w:val="TableText"/>
              <w:ind w:left="194"/>
              <w:spacing w:before="65" w:line="182" w:lineRule="auto"/>
              <w:rPr>
                <w:sz w:val="20"/>
                <w:szCs w:val="20"/>
              </w:rPr>
            </w:pPr>
            <w:r>
              <w:rPr>
                <w:sz w:val="20"/>
                <w:szCs w:val="20"/>
              </w:rPr>
              <w:t>5</w:t>
            </w:r>
          </w:p>
        </w:tc>
        <w:tc>
          <w:tcPr>
            <w:tcW w:w="1388" w:type="dxa"/>
            <w:vAlign w:val="top"/>
          </w:tcPr>
          <w:p>
            <w:pPr>
              <w:pStyle w:val="TableText"/>
              <w:ind w:left="479" w:right="206" w:hanging="299"/>
              <w:spacing w:before="196" w:line="233" w:lineRule="auto"/>
              <w:rPr>
                <w:sz w:val="20"/>
                <w:szCs w:val="20"/>
              </w:rPr>
            </w:pPr>
            <w:r>
              <w:rPr>
                <w:sz w:val="20"/>
                <w:szCs w:val="20"/>
                <w:spacing w:val="-2"/>
              </w:rPr>
              <w:t>生产废水处</w:t>
            </w:r>
            <w:r>
              <w:rPr>
                <w:sz w:val="20"/>
                <w:szCs w:val="20"/>
              </w:rPr>
              <w:t xml:space="preserve"> </w:t>
            </w:r>
            <w:r>
              <w:rPr>
                <w:sz w:val="20"/>
                <w:szCs w:val="20"/>
                <w:spacing w:val="5"/>
              </w:rPr>
              <w:t>理站</w:t>
            </w:r>
          </w:p>
        </w:tc>
        <w:tc>
          <w:tcPr>
            <w:tcW w:w="1139" w:type="dxa"/>
            <w:vAlign w:val="top"/>
          </w:tcPr>
          <w:p>
            <w:pPr>
              <w:pStyle w:val="TableText"/>
              <w:ind w:left="462" w:right="172" w:hanging="299"/>
              <w:spacing w:before="197" w:line="239" w:lineRule="auto"/>
              <w:rPr>
                <w:sz w:val="20"/>
                <w:szCs w:val="20"/>
              </w:rPr>
            </w:pPr>
            <w:r>
              <w:rPr>
                <w:sz w:val="20"/>
                <w:szCs w:val="20"/>
                <w:spacing w:val="-2"/>
              </w:rPr>
              <w:t>废水处理</w:t>
            </w:r>
            <w:r>
              <w:rPr>
                <w:sz w:val="20"/>
                <w:szCs w:val="20"/>
              </w:rPr>
              <w:t xml:space="preserve"> </w:t>
            </w:r>
            <w:r>
              <w:rPr>
                <w:sz w:val="20"/>
                <w:szCs w:val="20"/>
              </w:rPr>
              <w:t>池</w:t>
            </w:r>
          </w:p>
        </w:tc>
        <w:tc>
          <w:tcPr>
            <w:tcW w:w="1219" w:type="dxa"/>
            <w:vAlign w:val="top"/>
          </w:tcPr>
          <w:p>
            <w:pPr>
              <w:spacing w:line="250" w:lineRule="auto"/>
              <w:rPr>
                <w:rFonts w:ascii="Arial"/>
                <w:sz w:val="21"/>
              </w:rPr>
            </w:pPr>
            <w:r/>
          </w:p>
          <w:p>
            <w:pPr>
              <w:pStyle w:val="TableText"/>
              <w:ind w:left="204"/>
              <w:spacing w:before="65" w:line="219" w:lineRule="auto"/>
              <w:rPr>
                <w:sz w:val="20"/>
                <w:szCs w:val="20"/>
              </w:rPr>
            </w:pPr>
            <w:r>
              <w:rPr>
                <w:sz w:val="20"/>
                <w:szCs w:val="20"/>
                <w:spacing w:val="-2"/>
              </w:rPr>
              <w:t>超标废水</w:t>
            </w:r>
          </w:p>
        </w:tc>
        <w:tc>
          <w:tcPr>
            <w:tcW w:w="959" w:type="dxa"/>
            <w:vAlign w:val="top"/>
          </w:tcPr>
          <w:p>
            <w:pPr>
              <w:spacing w:line="251" w:lineRule="auto"/>
              <w:rPr>
                <w:rFonts w:ascii="Arial"/>
                <w:sz w:val="21"/>
              </w:rPr>
            </w:pPr>
            <w:r/>
          </w:p>
          <w:p>
            <w:pPr>
              <w:pStyle w:val="TableText"/>
              <w:ind w:left="274"/>
              <w:spacing w:before="65" w:line="221" w:lineRule="auto"/>
              <w:rPr>
                <w:sz w:val="20"/>
                <w:szCs w:val="20"/>
              </w:rPr>
            </w:pPr>
            <w:r>
              <w:rPr>
                <w:sz w:val="20"/>
                <w:szCs w:val="20"/>
                <w:spacing w:val="6"/>
              </w:rPr>
              <w:t>泄漏</w:t>
            </w:r>
          </w:p>
        </w:tc>
        <w:tc>
          <w:tcPr>
            <w:tcW w:w="2367" w:type="dxa"/>
            <w:vAlign w:val="top"/>
          </w:tcPr>
          <w:p>
            <w:pPr>
              <w:pStyle w:val="TableText"/>
              <w:ind w:left="175"/>
              <w:spacing w:before="57" w:line="219" w:lineRule="auto"/>
              <w:rPr>
                <w:sz w:val="20"/>
                <w:szCs w:val="20"/>
              </w:rPr>
            </w:pPr>
            <w:r>
              <w:rPr>
                <w:sz w:val="20"/>
                <w:szCs w:val="20"/>
                <w:spacing w:val="-1"/>
              </w:rPr>
              <w:t>废水泄漏进入土壤、地</w:t>
            </w:r>
          </w:p>
          <w:p>
            <w:pPr>
              <w:pStyle w:val="TableText"/>
              <w:ind w:left="175"/>
              <w:spacing w:before="42" w:line="219" w:lineRule="auto"/>
              <w:rPr>
                <w:sz w:val="20"/>
                <w:szCs w:val="20"/>
              </w:rPr>
            </w:pPr>
            <w:r>
              <w:rPr>
                <w:sz w:val="20"/>
                <w:szCs w:val="20"/>
                <w:spacing w:val="1"/>
              </w:rPr>
              <w:t>下水，超标排放影响纳</w:t>
            </w:r>
          </w:p>
          <w:p>
            <w:pPr>
              <w:pStyle w:val="TableText"/>
              <w:ind w:left="875"/>
              <w:spacing w:before="12" w:line="199" w:lineRule="auto"/>
              <w:rPr>
                <w:sz w:val="20"/>
                <w:szCs w:val="20"/>
              </w:rPr>
            </w:pPr>
            <w:r>
              <w:rPr>
                <w:sz w:val="20"/>
                <w:szCs w:val="20"/>
                <w:spacing w:val="-3"/>
              </w:rPr>
              <w:t>污水域</w:t>
            </w:r>
          </w:p>
        </w:tc>
        <w:tc>
          <w:tcPr>
            <w:tcW w:w="1473" w:type="dxa"/>
            <w:vAlign w:val="top"/>
            <w:vMerge w:val="continue"/>
            <w:tcBorders>
              <w:top w:val="nil"/>
            </w:tcBorders>
          </w:tcPr>
          <w:p>
            <w:pPr>
              <w:rPr>
                <w:rFonts w:ascii="Arial"/>
                <w:sz w:val="21"/>
              </w:rPr>
            </w:pPr>
            <w:r/>
          </w:p>
        </w:tc>
      </w:tr>
    </w:tbl>
    <w:p>
      <w:pPr>
        <w:rPr>
          <w:rFonts w:ascii="Arial"/>
          <w:sz w:val="21"/>
        </w:rPr>
      </w:pPr>
      <w:r/>
    </w:p>
    <w:p>
      <w:pPr>
        <w:sectPr>
          <w:footerReference w:type="default" r:id="rId183"/>
          <w:pgSz w:w="11900" w:h="16840"/>
          <w:pgMar w:top="1261" w:right="1425" w:bottom="988" w:left="1405" w:header="0" w:footer="849" w:gutter="0"/>
        </w:sectPr>
        <w:rPr>
          <w:rFonts w:ascii="Arial" w:hAnsi="Arial" w:eastAsia="Arial" w:cs="Arial"/>
          <w:sz w:val="21"/>
          <w:szCs w:val="21"/>
        </w:rPr>
      </w:pPr>
    </w:p>
    <w:p>
      <w:pPr>
        <w:pStyle w:val="BodyText"/>
        <w:ind w:left="4"/>
        <w:spacing w:before="59" w:line="600" w:lineRule="exact"/>
        <w:rPr>
          <w:sz w:val="30"/>
          <w:szCs w:val="30"/>
        </w:rPr>
      </w:pPr>
      <w:r>
        <w:rPr>
          <w:sz w:val="30"/>
          <w:szCs w:val="30"/>
          <w:b/>
          <w:bCs/>
          <w:spacing w:val="4"/>
          <w:position w:val="22"/>
        </w:rPr>
        <w:t>6.风险事故情形分析</w:t>
      </w:r>
    </w:p>
    <w:p>
      <w:pPr>
        <w:pStyle w:val="BodyText"/>
        <w:ind w:left="3"/>
        <w:spacing w:line="220" w:lineRule="auto"/>
        <w:rPr>
          <w:sz w:val="30"/>
          <w:szCs w:val="30"/>
        </w:rPr>
      </w:pPr>
      <w:r>
        <w:rPr>
          <w:sz w:val="30"/>
          <w:szCs w:val="30"/>
          <w:b/>
          <w:bCs/>
          <w:spacing w:val="-14"/>
        </w:rPr>
        <w:t>6.1</w:t>
      </w:r>
      <w:r>
        <w:rPr>
          <w:sz w:val="30"/>
          <w:szCs w:val="30"/>
          <w:spacing w:val="-53"/>
        </w:rPr>
        <w:t xml:space="preserve"> </w:t>
      </w:r>
      <w:r>
        <w:rPr>
          <w:sz w:val="30"/>
          <w:szCs w:val="30"/>
          <w:b/>
          <w:bCs/>
          <w:spacing w:val="-14"/>
        </w:rPr>
        <w:t>风险事故情形设定</w:t>
      </w:r>
    </w:p>
    <w:p>
      <w:pPr>
        <w:pStyle w:val="BodyText"/>
        <w:ind w:right="3"/>
        <w:spacing w:before="223" w:line="469" w:lineRule="exact"/>
        <w:jc w:val="right"/>
        <w:rPr>
          <w:sz w:val="24"/>
          <w:szCs w:val="24"/>
        </w:rPr>
      </w:pPr>
      <w:r>
        <w:rPr>
          <w:sz w:val="24"/>
          <w:szCs w:val="24"/>
          <w:spacing w:val="-2"/>
          <w:position w:val="17"/>
        </w:rPr>
        <w:t>根据环境风险识别结果及风险事故情形设定原则，并结合我国近年来锂离子电池</w:t>
      </w:r>
    </w:p>
    <w:p>
      <w:pPr>
        <w:pStyle w:val="BodyText"/>
        <w:spacing w:line="218" w:lineRule="auto"/>
        <w:rPr>
          <w:sz w:val="24"/>
          <w:szCs w:val="24"/>
        </w:rPr>
      </w:pPr>
      <w:r>
        <w:rPr>
          <w:sz w:val="24"/>
          <w:szCs w:val="24"/>
          <w:spacing w:val="-3"/>
        </w:rPr>
        <w:t>生产项目事故的统计结果，本项目最大可信事故情形设定如下：</w:t>
      </w:r>
    </w:p>
    <w:p>
      <w:pPr>
        <w:pStyle w:val="BodyText"/>
        <w:ind w:right="1" w:firstLine="619"/>
        <w:spacing w:before="175" w:line="354" w:lineRule="auto"/>
        <w:rPr>
          <w:sz w:val="24"/>
          <w:szCs w:val="24"/>
        </w:rPr>
      </w:pPr>
      <w:r>
        <w:rPr>
          <w:sz w:val="24"/>
          <w:szCs w:val="24"/>
          <w:spacing w:val="6"/>
        </w:rPr>
        <w:t>(1)有毒有害原料(如</w:t>
      </w:r>
      <w:r>
        <w:rPr>
          <w:sz w:val="24"/>
          <w:szCs w:val="24"/>
          <w:spacing w:val="-61"/>
        </w:rPr>
        <w:t xml:space="preserve"> </w:t>
      </w:r>
      <w:r>
        <w:rPr>
          <w:sz w:val="24"/>
          <w:szCs w:val="24"/>
        </w:rPr>
        <w:t>NMP</w:t>
      </w:r>
      <w:r>
        <w:rPr>
          <w:sz w:val="24"/>
          <w:szCs w:val="24"/>
          <w:spacing w:val="6"/>
        </w:rPr>
        <w:t>、  电解液等)在贮运过程中由于碰撞、交通事故；</w:t>
      </w:r>
      <w:r>
        <w:rPr>
          <w:sz w:val="24"/>
          <w:szCs w:val="24"/>
        </w:rPr>
        <w:t xml:space="preserve"> </w:t>
      </w:r>
      <w:r>
        <w:rPr>
          <w:sz w:val="24"/>
          <w:szCs w:val="24"/>
          <w:spacing w:val="-2"/>
        </w:rPr>
        <w:t>有发生倾覆及泄漏事故的可能。虽然发生机率小，但是一旦发生将会造成其外溢，对</w:t>
      </w:r>
      <w:r>
        <w:rPr>
          <w:sz w:val="24"/>
          <w:szCs w:val="24"/>
          <w:spacing w:val="13"/>
        </w:rPr>
        <w:t xml:space="preserve"> </w:t>
      </w:r>
      <w:r>
        <w:rPr>
          <w:sz w:val="24"/>
          <w:szCs w:val="24"/>
          <w:spacing w:val="-2"/>
        </w:rPr>
        <w:t>环境造成明显影响，甚至是重大影响。分析发生贮运系统泄漏事故的主要原因有以下</w:t>
      </w:r>
    </w:p>
    <w:p>
      <w:pPr>
        <w:pStyle w:val="BodyText"/>
        <w:spacing w:before="1" w:line="218" w:lineRule="auto"/>
        <w:rPr>
          <w:sz w:val="24"/>
          <w:szCs w:val="24"/>
        </w:rPr>
      </w:pPr>
      <w:r>
        <w:rPr>
          <w:sz w:val="24"/>
          <w:szCs w:val="24"/>
          <w:spacing w:val="-12"/>
        </w:rPr>
        <w:t>几个方面：</w:t>
      </w:r>
    </w:p>
    <w:p>
      <w:pPr>
        <w:pStyle w:val="BodyText"/>
        <w:ind w:left="490"/>
        <w:spacing w:before="204" w:line="480" w:lineRule="exact"/>
        <w:rPr>
          <w:sz w:val="24"/>
          <w:szCs w:val="24"/>
        </w:rPr>
      </w:pPr>
      <w:r>
        <w:rPr>
          <w:sz w:val="24"/>
          <w:szCs w:val="24"/>
          <w:spacing w:val="-4"/>
          <w:position w:val="18"/>
        </w:rPr>
        <w:t>① 容器腐蚀、老化，年久失修、勉强使用；</w:t>
      </w:r>
    </w:p>
    <w:p>
      <w:pPr>
        <w:pStyle w:val="BodyText"/>
        <w:ind w:left="490"/>
        <w:spacing w:line="217" w:lineRule="auto"/>
        <w:rPr>
          <w:sz w:val="24"/>
          <w:szCs w:val="24"/>
        </w:rPr>
      </w:pPr>
      <w:r>
        <w:rPr>
          <w:sz w:val="24"/>
          <w:szCs w:val="24"/>
          <w:spacing w:val="-4"/>
        </w:rPr>
        <w:t>② 材质不符合要求及设备安装质量问题等；</w:t>
      </w:r>
    </w:p>
    <w:p>
      <w:pPr>
        <w:pStyle w:val="BodyText"/>
        <w:ind w:left="490"/>
        <w:spacing w:before="178" w:line="470" w:lineRule="exact"/>
        <w:rPr>
          <w:sz w:val="24"/>
          <w:szCs w:val="24"/>
        </w:rPr>
      </w:pPr>
      <w:r>
        <w:rPr>
          <w:sz w:val="24"/>
          <w:szCs w:val="24"/>
          <w:spacing w:val="-3"/>
          <w:position w:val="17"/>
        </w:rPr>
        <w:t>③ 设备超期服役或安装不符合有关安全规定，如爆裂、机械故障等；</w:t>
      </w:r>
    </w:p>
    <w:p>
      <w:pPr>
        <w:pStyle w:val="BodyText"/>
        <w:ind w:left="490"/>
        <w:spacing w:line="217" w:lineRule="auto"/>
        <w:rPr>
          <w:sz w:val="24"/>
          <w:szCs w:val="24"/>
        </w:rPr>
      </w:pPr>
      <w:r>
        <w:rPr>
          <w:sz w:val="24"/>
          <w:szCs w:val="24"/>
          <w:spacing w:val="-3"/>
        </w:rPr>
        <w:t>④ 由于违章操作或作业，而引起事故。</w:t>
      </w:r>
    </w:p>
    <w:p>
      <w:pPr>
        <w:pStyle w:val="BodyText"/>
        <w:ind w:left="619"/>
        <w:spacing w:before="178" w:line="218" w:lineRule="auto"/>
        <w:rPr>
          <w:sz w:val="24"/>
          <w:szCs w:val="24"/>
        </w:rPr>
      </w:pPr>
      <w:r>
        <w:rPr>
          <w:sz w:val="24"/>
          <w:szCs w:val="24"/>
          <w:spacing w:val="1"/>
        </w:rPr>
        <w:t>(2)高压电器及生产过程静电作用造成的火灾、爆炸事故；</w:t>
      </w:r>
    </w:p>
    <w:p>
      <w:pPr>
        <w:pStyle w:val="BodyText"/>
        <w:ind w:right="2" w:firstLine="619"/>
        <w:spacing w:before="177" w:line="362" w:lineRule="auto"/>
        <w:rPr>
          <w:sz w:val="24"/>
          <w:szCs w:val="24"/>
        </w:rPr>
      </w:pPr>
      <w:r>
        <w:rPr>
          <w:sz w:val="24"/>
          <w:szCs w:val="24"/>
          <w:spacing w:val="11"/>
        </w:rPr>
        <w:t>(3)废气治理装置易发生的事故主要有：区域性停(断)电导致动力设备不能</w:t>
      </w:r>
      <w:r>
        <w:rPr>
          <w:sz w:val="24"/>
          <w:szCs w:val="24"/>
          <w:spacing w:val="15"/>
        </w:rPr>
        <w:t xml:space="preserve"> </w:t>
      </w:r>
      <w:r>
        <w:rPr>
          <w:sz w:val="24"/>
          <w:szCs w:val="24"/>
          <w:spacing w:val="-2"/>
        </w:rPr>
        <w:t>正常运转；动力设备自身出现故障不能运转；废气处理设施出现故障等。其直接后果</w:t>
      </w:r>
    </w:p>
    <w:p>
      <w:pPr>
        <w:pStyle w:val="BodyText"/>
        <w:spacing w:before="1" w:line="219" w:lineRule="auto"/>
        <w:rPr>
          <w:sz w:val="24"/>
          <w:szCs w:val="24"/>
        </w:rPr>
      </w:pPr>
      <w:r>
        <w:rPr>
          <w:sz w:val="24"/>
          <w:szCs w:val="24"/>
          <w:spacing w:val="-4"/>
        </w:rPr>
        <w:t>是造成区域环境空气质量下降，危害人体健康。</w:t>
      </w:r>
    </w:p>
    <w:p>
      <w:pPr>
        <w:pStyle w:val="BodyText"/>
        <w:ind w:left="4"/>
        <w:spacing w:before="184" w:line="220" w:lineRule="auto"/>
        <w:outlineLvl w:val="6"/>
        <w:rPr>
          <w:sz w:val="30"/>
          <w:szCs w:val="30"/>
        </w:rPr>
      </w:pPr>
      <w:r>
        <w:rPr>
          <w:sz w:val="30"/>
          <w:szCs w:val="30"/>
          <w:b/>
          <w:bCs/>
          <w:spacing w:val="-6"/>
        </w:rPr>
        <w:t>6.2源项分析</w:t>
      </w:r>
    </w:p>
    <w:p>
      <w:pPr>
        <w:pStyle w:val="BodyText"/>
        <w:ind w:left="3"/>
        <w:spacing w:before="202" w:line="219" w:lineRule="auto"/>
        <w:outlineLvl w:val="6"/>
        <w:rPr>
          <w:sz w:val="30"/>
          <w:szCs w:val="30"/>
        </w:rPr>
      </w:pPr>
      <w:r>
        <w:rPr>
          <w:sz w:val="30"/>
          <w:szCs w:val="30"/>
          <w:b/>
          <w:bCs/>
          <w:spacing w:val="-30"/>
        </w:rPr>
        <w:t>6.2.1</w:t>
      </w:r>
      <w:r>
        <w:rPr>
          <w:sz w:val="30"/>
          <w:szCs w:val="30"/>
          <w:spacing w:val="-54"/>
        </w:rPr>
        <w:t xml:space="preserve"> </w:t>
      </w:r>
      <w:r>
        <w:rPr>
          <w:sz w:val="30"/>
          <w:szCs w:val="30"/>
          <w:b/>
          <w:bCs/>
          <w:spacing w:val="-30"/>
        </w:rPr>
        <w:t>最大可行事故确定及概率</w:t>
      </w:r>
    </w:p>
    <w:p>
      <w:pPr>
        <w:pStyle w:val="BodyText"/>
        <w:ind w:left="490"/>
        <w:spacing w:before="36" w:line="219" w:lineRule="auto"/>
        <w:rPr>
          <w:sz w:val="24"/>
          <w:szCs w:val="24"/>
        </w:rPr>
      </w:pPr>
      <w:r>
        <w:rPr>
          <w:sz w:val="24"/>
          <w:szCs w:val="24"/>
          <w:spacing w:val="-4"/>
        </w:rPr>
        <w:t>1、最大事故类型</w:t>
      </w:r>
    </w:p>
    <w:p>
      <w:pPr>
        <w:pStyle w:val="BodyText"/>
        <w:ind w:right="5"/>
        <w:spacing w:before="175" w:line="461" w:lineRule="exact"/>
        <w:jc w:val="right"/>
        <w:rPr>
          <w:sz w:val="24"/>
          <w:szCs w:val="24"/>
        </w:rPr>
      </w:pPr>
      <w:r>
        <w:rPr>
          <w:sz w:val="24"/>
          <w:szCs w:val="24"/>
          <w:spacing w:val="5"/>
          <w:position w:val="16"/>
        </w:rPr>
        <w:t>最大可信事故是指在所有预测的概率不为零的事故中，对环境(或健康</w:t>
      </w:r>
      <w:r>
        <w:rPr>
          <w:sz w:val="24"/>
          <w:szCs w:val="24"/>
          <w:spacing w:val="4"/>
          <w:position w:val="16"/>
        </w:rPr>
        <w:t>)危害最</w:t>
      </w:r>
    </w:p>
    <w:p>
      <w:pPr>
        <w:pStyle w:val="BodyText"/>
        <w:spacing w:line="220" w:lineRule="auto"/>
        <w:rPr>
          <w:sz w:val="24"/>
          <w:szCs w:val="24"/>
        </w:rPr>
      </w:pPr>
      <w:r>
        <w:rPr>
          <w:sz w:val="24"/>
          <w:szCs w:val="24"/>
          <w:spacing w:val="-8"/>
        </w:rPr>
        <w:t>严重的重大事故。</w:t>
      </w:r>
    </w:p>
    <w:p>
      <w:pPr>
        <w:pStyle w:val="BodyText"/>
        <w:ind w:left="490"/>
        <w:spacing w:before="183" w:line="219" w:lineRule="auto"/>
        <w:rPr>
          <w:sz w:val="24"/>
          <w:szCs w:val="24"/>
        </w:rPr>
      </w:pPr>
      <w:r>
        <w:rPr>
          <w:sz w:val="24"/>
          <w:szCs w:val="24"/>
          <w:spacing w:val="-5"/>
        </w:rPr>
        <w:t>扩建后厂区风险类型主要为：</w:t>
      </w:r>
    </w:p>
    <w:p>
      <w:pPr>
        <w:pStyle w:val="BodyText"/>
        <w:ind w:left="619"/>
        <w:spacing w:before="168" w:line="487" w:lineRule="exact"/>
        <w:rPr>
          <w:sz w:val="24"/>
          <w:szCs w:val="24"/>
        </w:rPr>
      </w:pPr>
      <w:r>
        <w:rPr>
          <w:rFonts w:ascii="Times New Roman" w:hAnsi="Times New Roman" w:eastAsia="Times New Roman" w:cs="Times New Roman"/>
          <w:sz w:val="24"/>
          <w:szCs w:val="24"/>
          <w:spacing w:val="-3"/>
          <w:position w:val="19"/>
        </w:rPr>
        <w:t>(1)NMP</w:t>
      </w:r>
      <w:r>
        <w:rPr>
          <w:rFonts w:ascii="Times New Roman" w:hAnsi="Times New Roman" w:eastAsia="Times New Roman" w:cs="Times New Roman"/>
          <w:sz w:val="24"/>
          <w:szCs w:val="24"/>
          <w:spacing w:val="-34"/>
          <w:position w:val="19"/>
        </w:rPr>
        <w:t xml:space="preserve"> </w:t>
      </w:r>
      <w:r>
        <w:rPr>
          <w:sz w:val="24"/>
          <w:szCs w:val="24"/>
          <w:spacing w:val="-3"/>
          <w:position w:val="19"/>
        </w:rPr>
        <w:t>、</w:t>
      </w:r>
      <w:r>
        <w:rPr>
          <w:sz w:val="24"/>
          <w:szCs w:val="24"/>
          <w:spacing w:val="70"/>
          <w:position w:val="19"/>
        </w:rPr>
        <w:t xml:space="preserve"> </w:t>
      </w:r>
      <w:r>
        <w:rPr>
          <w:sz w:val="24"/>
          <w:szCs w:val="24"/>
          <w:spacing w:val="-3"/>
          <w:position w:val="19"/>
        </w:rPr>
        <w:t>电解液如遇明火将造成火灾事故。</w:t>
      </w:r>
    </w:p>
    <w:p>
      <w:pPr>
        <w:pStyle w:val="BodyText"/>
        <w:ind w:left="619"/>
        <w:spacing w:line="219" w:lineRule="auto"/>
        <w:rPr>
          <w:sz w:val="24"/>
          <w:szCs w:val="24"/>
        </w:rPr>
      </w:pPr>
      <w:r>
        <w:rPr>
          <w:sz w:val="24"/>
          <w:szCs w:val="24"/>
          <w:spacing w:val="2"/>
        </w:rPr>
        <w:t>(2)含重金属物质泄漏引起环境污染事故。</w:t>
      </w:r>
    </w:p>
    <w:p>
      <w:pPr>
        <w:pStyle w:val="BodyText"/>
        <w:spacing w:before="195" w:line="459" w:lineRule="exact"/>
        <w:jc w:val="right"/>
        <w:rPr>
          <w:sz w:val="24"/>
          <w:szCs w:val="24"/>
        </w:rPr>
      </w:pPr>
      <w:r>
        <w:rPr>
          <w:sz w:val="24"/>
          <w:szCs w:val="24"/>
          <w:spacing w:val="-2"/>
          <w:position w:val="16"/>
        </w:rPr>
        <w:t>根据工程特点，扩建后厂区风险事故主要为火灾风险和泄漏对环境的不利影响，</w:t>
      </w:r>
    </w:p>
    <w:p>
      <w:pPr>
        <w:pStyle w:val="BodyText"/>
        <w:spacing w:before="1" w:line="218" w:lineRule="auto"/>
        <w:rPr>
          <w:sz w:val="24"/>
          <w:szCs w:val="24"/>
        </w:rPr>
      </w:pPr>
      <w:r>
        <w:rPr>
          <w:sz w:val="24"/>
          <w:szCs w:val="24"/>
          <w:spacing w:val="-4"/>
        </w:rPr>
        <w:t>项目顶端事故与基本关联见图6.2-1。</w:t>
      </w:r>
    </w:p>
    <w:p>
      <w:pPr>
        <w:spacing w:line="218" w:lineRule="auto"/>
        <w:sectPr>
          <w:footerReference w:type="default" r:id="rId184"/>
          <w:pgSz w:w="11900" w:h="16840"/>
          <w:pgMar w:top="1268" w:right="1552" w:bottom="988" w:left="1519" w:header="0" w:footer="849" w:gutter="0"/>
        </w:sectPr>
        <w:rPr>
          <w:sz w:val="24"/>
          <w:szCs w:val="24"/>
        </w:rPr>
      </w:pPr>
    </w:p>
    <w:p>
      <w:pPr>
        <w:pStyle w:val="BodyText"/>
        <w:ind w:firstLine="2399"/>
        <w:spacing w:before="38" w:line="4260" w:lineRule="exact"/>
        <w:rPr/>
      </w:pPr>
      <w:r>
        <w:rPr>
          <w:position w:val="-85"/>
        </w:rPr>
        <w:pict>
          <v:group id="_x0000_s66" style="mso-position-vertical-relative:line;mso-position-horizontal-relative:char;width:226pt;height:213.05pt;" filled="false" stroked="false" coordsize="4520,4261" coordorigin="0,0">
            <v:shape id="_x0000_s68" style="position:absolute;left:0;top:0;width:4520;height:4261;" filled="false" stroked="false" type="#_x0000_t75">
              <v:imagedata o:title="" r:id="rId186"/>
            </v:shape>
            <v:shape id="_x0000_s70" style="position:absolute;left:93;top:3162;width:4332;height:963;" filled="false" stroked="false" type="#_x0000_t202">
              <v:fill on="false"/>
              <v:stroke on="false"/>
              <v:path/>
              <v:imagedata o:title=""/>
              <o:lock v:ext="edit" aspectratio="false"/>
              <v:textbox inset="0mm,0mm,0mm,0mm" style="layout-flow:vertical-ideographic;">
                <w:txbxContent>
                  <w:p>
                    <w:pPr>
                      <w:ind w:left="69"/>
                      <w:spacing w:before="20" w:line="216" w:lineRule="auto"/>
                      <w:rPr>
                        <w:rFonts w:ascii="SimSun" w:hAnsi="SimSun" w:eastAsia="SimSun" w:cs="SimSun"/>
                        <w:sz w:val="18"/>
                        <w:szCs w:val="18"/>
                      </w:rPr>
                    </w:pPr>
                    <w:r>
                      <w:rPr>
                        <w:rFonts w:ascii="SimSun" w:hAnsi="SimSun" w:eastAsia="SimSun" w:cs="SimSun"/>
                        <w:sz w:val="18"/>
                        <w:szCs w:val="18"/>
                        <w:spacing w:val="35"/>
                      </w:rPr>
                      <w:t>撞击聲操</w:t>
                    </w:r>
                  </w:p>
                  <w:p>
                    <w:pPr>
                      <w:spacing w:line="287" w:lineRule="auto"/>
                      <w:rPr>
                        <w:rFonts w:ascii="Arial"/>
                        <w:sz w:val="21"/>
                      </w:rPr>
                    </w:pPr>
                    <w:r/>
                  </w:p>
                  <w:p>
                    <w:pPr>
                      <w:spacing w:line="288" w:lineRule="auto"/>
                      <w:rPr>
                        <w:rFonts w:ascii="Arial"/>
                        <w:sz w:val="21"/>
                      </w:rPr>
                    </w:pPr>
                    <w:r/>
                  </w:p>
                  <w:p>
                    <w:pPr>
                      <w:ind w:left="259"/>
                      <w:spacing w:before="60" w:line="215" w:lineRule="auto"/>
                      <w:rPr>
                        <w:rFonts w:ascii="SimSun" w:hAnsi="SimSun" w:eastAsia="SimSun" w:cs="SimSun"/>
                        <w:sz w:val="18"/>
                        <w:szCs w:val="18"/>
                      </w:rPr>
                    </w:pPr>
                    <w:r>
                      <w:rPr>
                        <w:rFonts w:ascii="SimSun" w:hAnsi="SimSun" w:eastAsia="SimSun" w:cs="SimSun"/>
                        <w:sz w:val="18"/>
                        <w:szCs w:val="18"/>
                        <w:spacing w:val="-1"/>
                      </w:rPr>
                      <w:t>静 电</w:t>
                    </w:r>
                  </w:p>
                  <w:p>
                    <w:pPr>
                      <w:ind w:left="139"/>
                      <w:spacing w:before="303" w:line="216" w:lineRule="auto"/>
                      <w:rPr>
                        <w:rFonts w:ascii="SimSun" w:hAnsi="SimSun" w:eastAsia="SimSun" w:cs="SimSun"/>
                        <w:sz w:val="18"/>
                        <w:szCs w:val="18"/>
                      </w:rPr>
                    </w:pPr>
                    <w:r>
                      <w:rPr>
                        <w:rFonts w:ascii="SimSun" w:hAnsi="SimSun" w:eastAsia="SimSun" w:cs="SimSun"/>
                        <w:sz w:val="18"/>
                        <w:szCs w:val="18"/>
                      </w:rPr>
                      <w:t>产生明火</w:t>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ind w:left="80"/>
                      <w:spacing w:before="60" w:line="215" w:lineRule="auto"/>
                      <w:rPr>
                        <w:rFonts w:ascii="SimSun" w:hAnsi="SimSun" w:eastAsia="SimSun" w:cs="SimSun"/>
                        <w:sz w:val="18"/>
                        <w:szCs w:val="18"/>
                      </w:rPr>
                    </w:pPr>
                    <w:r>
                      <w:rPr>
                        <w:rFonts w:ascii="SimSun" w:hAnsi="SimSun" w:eastAsia="SimSun" w:cs="SimSun"/>
                        <w:sz w:val="18"/>
                        <w:szCs w:val="18"/>
                        <w:spacing w:val="20"/>
                      </w:rPr>
                      <w:t>机泵损坏</w:t>
                    </w:r>
                  </w:p>
                  <w:p>
                    <w:pPr>
                      <w:spacing w:line="246" w:lineRule="auto"/>
                      <w:rPr>
                        <w:rFonts w:ascii="Arial"/>
                        <w:sz w:val="21"/>
                      </w:rPr>
                    </w:pPr>
                    <w:r/>
                  </w:p>
                  <w:p>
                    <w:pPr>
                      <w:ind w:left="20"/>
                      <w:spacing w:before="60" w:line="216" w:lineRule="auto"/>
                      <w:rPr>
                        <w:rFonts w:ascii="SimSun" w:hAnsi="SimSun" w:eastAsia="SimSun" w:cs="SimSun"/>
                        <w:sz w:val="18"/>
                        <w:szCs w:val="18"/>
                      </w:rPr>
                    </w:pPr>
                    <w:r>
                      <w:rPr>
                        <w:rFonts w:ascii="SimSun" w:hAnsi="SimSun" w:eastAsia="SimSun" w:cs="SimSun"/>
                        <w:sz w:val="18"/>
                        <w:szCs w:val="18"/>
                      </w:rPr>
                      <w:t>管</w:t>
                    </w:r>
                    <w:r>
                      <w:rPr>
                        <w:rFonts w:ascii="SimSun" w:hAnsi="SimSun" w:eastAsia="SimSun" w:cs="SimSun"/>
                        <w:sz w:val="18"/>
                        <w:szCs w:val="18"/>
                        <w:spacing w:val="-23"/>
                      </w:rPr>
                      <w:t xml:space="preserve"> </w:t>
                    </w:r>
                    <w:r>
                      <w:rPr>
                        <w:rFonts w:ascii="SimSun" w:hAnsi="SimSun" w:eastAsia="SimSun" w:cs="SimSun"/>
                        <w:sz w:val="18"/>
                        <w:szCs w:val="18"/>
                      </w:rPr>
                      <w:t>道</w:t>
                    </w:r>
                    <w:r>
                      <w:rPr>
                        <w:rFonts w:ascii="SimSun" w:hAnsi="SimSun" w:eastAsia="SimSun" w:cs="SimSun"/>
                        <w:sz w:val="18"/>
                        <w:szCs w:val="18"/>
                        <w:spacing w:val="-23"/>
                      </w:rPr>
                      <w:t xml:space="preserve"> </w:t>
                    </w:r>
                    <w:r>
                      <w:rPr>
                        <w:rFonts w:ascii="SimSun" w:hAnsi="SimSun" w:eastAsia="SimSun" w:cs="SimSun"/>
                        <w:sz w:val="18"/>
                        <w:szCs w:val="18"/>
                      </w:rPr>
                      <w:t>破</w:t>
                    </w:r>
                    <w:r>
                      <w:rPr>
                        <w:rFonts w:ascii="SimSun" w:hAnsi="SimSun" w:eastAsia="SimSun" w:cs="SimSun"/>
                        <w:sz w:val="18"/>
                        <w:szCs w:val="18"/>
                        <w:spacing w:val="-23"/>
                      </w:rPr>
                      <w:t xml:space="preserve"> </w:t>
                    </w:r>
                    <w:r>
                      <w:rPr>
                        <w:rFonts w:ascii="SimSun" w:hAnsi="SimSun" w:eastAsia="SimSun" w:cs="SimSun"/>
                        <w:sz w:val="18"/>
                        <w:szCs w:val="18"/>
                      </w:rPr>
                      <w:t>裂</w:t>
                    </w:r>
                  </w:p>
                  <w:p>
                    <w:pPr>
                      <w:ind w:left="68"/>
                      <w:spacing w:before="254" w:line="217" w:lineRule="auto"/>
                      <w:rPr>
                        <w:rFonts w:ascii="SimSun" w:hAnsi="SimSun" w:eastAsia="SimSun" w:cs="SimSun"/>
                        <w:sz w:val="18"/>
                        <w:szCs w:val="18"/>
                      </w:rPr>
                    </w:pPr>
                    <w:r>
                      <w:rPr>
                        <w:rFonts w:ascii="SimSun" w:hAnsi="SimSun" w:eastAsia="SimSun" w:cs="SimSun"/>
                        <w:sz w:val="18"/>
                        <w:szCs w:val="18"/>
                        <w:spacing w:val="36"/>
                      </w:rPr>
                      <w:t>阀门破裂</w:t>
                    </w:r>
                  </w:p>
                  <w:p>
                    <w:pPr>
                      <w:spacing w:line="253" w:lineRule="auto"/>
                      <w:rPr>
                        <w:rFonts w:ascii="Arial"/>
                        <w:sz w:val="21"/>
                      </w:rPr>
                    </w:pPr>
                    <w:r/>
                  </w:p>
                  <w:p>
                    <w:pPr>
                      <w:ind w:left="69"/>
                      <w:spacing w:before="61" w:line="216" w:lineRule="auto"/>
                      <w:rPr>
                        <w:rFonts w:ascii="SimSun" w:hAnsi="SimSun" w:eastAsia="SimSun" w:cs="SimSun"/>
                        <w:sz w:val="18"/>
                        <w:szCs w:val="18"/>
                      </w:rPr>
                    </w:pPr>
                    <w:r>
                      <w:rPr>
                        <w:rFonts w:ascii="SimSun" w:hAnsi="SimSun" w:eastAsia="SimSun" w:cs="SimSun"/>
                        <w:sz w:val="18"/>
                        <w:szCs w:val="18"/>
                        <w:spacing w:val="35"/>
                      </w:rPr>
                      <w:t>端体破裂</w:t>
                    </w:r>
                  </w:p>
                </w:txbxContent>
              </v:textbox>
            </v:shape>
            <v:shape id="_x0000_s72" style="position:absolute;left:1870;top:115;width:1014;height:212;"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7"/>
                        <w:szCs w:val="17"/>
                      </w:rPr>
                    </w:pPr>
                    <w:r>
                      <w:rPr>
                        <w:rFonts w:ascii="SimHei" w:hAnsi="SimHei" w:eastAsia="SimHei" w:cs="SimHei"/>
                        <w:sz w:val="17"/>
                        <w:szCs w:val="17"/>
                        <w:spacing w:val="-7"/>
                      </w:rPr>
                      <w:t>顶端事故发生</w:t>
                    </w:r>
                  </w:p>
                </w:txbxContent>
              </v:textbox>
            </v:shape>
            <v:shape id="_x0000_s74" style="position:absolute;left:770;top:1226;width:685;height:212;" filled="false" stroked="false" type="#_x0000_t202">
              <v:fill on="false"/>
              <v:stroke on="false"/>
              <v:path/>
              <v:imagedata o:title=""/>
              <o:lock v:ext="edit" aspectratio="false"/>
              <v:textbox inset="0mm,0mm,0mm,0mm">
                <w:txbxContent>
                  <w:p>
                    <w:pPr>
                      <w:ind w:left="20"/>
                      <w:spacing w:before="19" w:line="222" w:lineRule="auto"/>
                      <w:rPr>
                        <w:rFonts w:ascii="SimHei" w:hAnsi="SimHei" w:eastAsia="SimHei" w:cs="SimHei"/>
                        <w:sz w:val="17"/>
                        <w:szCs w:val="17"/>
                      </w:rPr>
                    </w:pPr>
                    <w:r>
                      <w:rPr>
                        <w:rFonts w:ascii="SimHei" w:hAnsi="SimHei" w:eastAsia="SimHei" w:cs="SimHei"/>
                        <w:sz w:val="17"/>
                        <w:szCs w:val="17"/>
                        <w:spacing w:val="-7"/>
                      </w:rPr>
                      <w:t>泄漏事故</w:t>
                    </w:r>
                  </w:p>
                </w:txbxContent>
              </v:textbox>
            </v:shape>
            <v:shape id="_x0000_s76" style="position:absolute;left:3400;top:1226;width:688;height:21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17"/>
                        <w:szCs w:val="17"/>
                      </w:rPr>
                    </w:pPr>
                    <w:r>
                      <w:rPr>
                        <w:rFonts w:ascii="SimSun" w:hAnsi="SimSun" w:eastAsia="SimSun" w:cs="SimSun"/>
                        <w:sz w:val="17"/>
                        <w:szCs w:val="17"/>
                        <w:spacing w:val="-7"/>
                      </w:rPr>
                      <w:t>火灾事故</w:t>
                    </w:r>
                  </w:p>
                </w:txbxContent>
              </v:textbox>
            </v:shape>
            <v:shape id="_x0000_s78" style="position:absolute;left:770;top:2137;width:670;height:210;"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17"/>
                        <w:szCs w:val="17"/>
                      </w:rPr>
                    </w:pPr>
                    <w:r>
                      <w:rPr>
                        <w:rFonts w:ascii="SimSun" w:hAnsi="SimSun" w:eastAsia="SimSun" w:cs="SimSun"/>
                        <w:sz w:val="17"/>
                        <w:szCs w:val="17"/>
                        <w:spacing w:val="-10"/>
                      </w:rPr>
                      <w:t>液体泄漏</w:t>
                    </w:r>
                  </w:p>
                </w:txbxContent>
              </v:textbox>
            </v:shape>
            <v:shape id="_x0000_s80" style="position:absolute;left:3559;top:2146;width:372;height:21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17"/>
                        <w:szCs w:val="17"/>
                      </w:rPr>
                    </w:pPr>
                    <w:r>
                      <w:rPr>
                        <w:rFonts w:ascii="SimSun" w:hAnsi="SimSun" w:eastAsia="SimSun" w:cs="SimSun"/>
                        <w:sz w:val="17"/>
                        <w:szCs w:val="17"/>
                        <w:spacing w:val="-2"/>
                      </w:rPr>
                      <w:t>火源</w:t>
                    </w:r>
                  </w:p>
                </w:txbxContent>
              </v:textbox>
            </v:shape>
            <v:shape id="_x0000_s82" style="position:absolute;left:3750;top:3662;width:192;height:220;" filled="false" stroked="false" type="#_x0000_t202">
              <v:fill on="false"/>
              <v:stroke on="false"/>
              <v:path/>
              <v:imagedata o:title=""/>
              <o:lock v:ext="edit" aspectratio="false"/>
              <v:textbox inset="0mm,0mm,0mm,0mm">
                <w:txbxContent>
                  <w:p>
                    <w:pPr>
                      <w:spacing w:before="20" w:line="225" w:lineRule="auto"/>
                      <w:jc w:val="right"/>
                      <w:rPr>
                        <w:rFonts w:ascii="SimSun" w:hAnsi="SimSun" w:eastAsia="SimSun" w:cs="SimSun"/>
                        <w:sz w:val="18"/>
                        <w:szCs w:val="18"/>
                      </w:rPr>
                    </w:pPr>
                    <w:r>
                      <w:rPr>
                        <w:rFonts w:ascii="SimSun" w:hAnsi="SimSun" w:eastAsia="SimSun" w:cs="SimSun"/>
                        <w:sz w:val="18"/>
                        <w:szCs w:val="18"/>
                        <w:spacing w:val="-20"/>
                        <w:w w:val="95"/>
                      </w:rPr>
                      <w:t>电</w:t>
                    </w:r>
                  </w:p>
                </w:txbxContent>
              </v:textbox>
            </v:shape>
            <v:shape id="_x0000_s84" style="position:absolute;left:1040;top:2745;width:91;height:150;" filled="false" stroked="false" type="#_x0000_t202">
              <v:fill on="false"/>
              <v:stroke on="false"/>
              <v:path/>
              <v:imagedata o:title=""/>
              <o:lock v:ext="edit" aspectratio="false"/>
              <v:textbox inset="0mm,0mm,0mm,0mm">
                <w:txbxContent>
                  <w:p>
                    <w:pPr>
                      <w:ind w:left="20"/>
                      <w:spacing w:before="20" w:line="155" w:lineRule="exact"/>
                      <w:rPr>
                        <w:rFonts w:ascii="SimSun" w:hAnsi="SimSun" w:eastAsia="SimSun" w:cs="SimSun"/>
                        <w:sz w:val="11"/>
                        <w:szCs w:val="11"/>
                      </w:rPr>
                    </w:pPr>
                    <w:r>
                      <w:rPr>
                        <w:rFonts w:ascii="SimSun" w:hAnsi="SimSun" w:eastAsia="SimSun" w:cs="SimSun"/>
                        <w:sz w:val="11"/>
                        <w:szCs w:val="11"/>
                        <w:position w:val="1"/>
                      </w:rPr>
                      <w:t>+</w:t>
                    </w:r>
                  </w:p>
                </w:txbxContent>
              </v:textbox>
            </v:shape>
            <v:shape id="_x0000_s86" style="position:absolute;left:3670;top:2754;width:106;height:113;" filled="false" stroked="false" type="#_x0000_t202">
              <v:fill on="false"/>
              <v:stroke on="false"/>
              <v:path/>
              <v:imagedata o:title=""/>
              <o:lock v:ext="edit" aspectratio="false"/>
              <v:textbox inset="0mm,0mm,0mm,0mm">
                <w:txbxContent>
                  <w:p>
                    <w:pPr>
                      <w:ind w:left="20"/>
                      <w:spacing w:before="19" w:line="231" w:lineRule="auto"/>
                      <w:rPr>
                        <w:rFonts w:ascii="KaiTi" w:hAnsi="KaiTi" w:eastAsia="KaiTi" w:cs="KaiTi"/>
                        <w:sz w:val="7"/>
                        <w:szCs w:val="7"/>
                      </w:rPr>
                    </w:pPr>
                    <w:r>
                      <w:rPr>
                        <w:rFonts w:ascii="KaiTi" w:hAnsi="KaiTi" w:eastAsia="KaiTi" w:cs="KaiTi"/>
                        <w:sz w:val="7"/>
                        <w:szCs w:val="7"/>
                      </w:rPr>
                      <w:t>十</w:t>
                    </w:r>
                  </w:p>
                </w:txbxContent>
              </v:textbox>
            </v:shape>
          </v:group>
        </w:pict>
      </w:r>
    </w:p>
    <w:p>
      <w:pPr>
        <w:pStyle w:val="BodyText"/>
        <w:ind w:left="2713"/>
        <w:spacing w:before="95" w:line="219" w:lineRule="auto"/>
        <w:rPr>
          <w:sz w:val="24"/>
          <w:szCs w:val="24"/>
        </w:rPr>
      </w:pPr>
      <w:r>
        <w:rPr>
          <w:sz w:val="24"/>
          <w:szCs w:val="24"/>
          <w:b/>
          <w:bCs/>
          <w:spacing w:val="-5"/>
        </w:rPr>
        <w:t>图6.2-1</w:t>
      </w:r>
      <w:r>
        <w:rPr>
          <w:sz w:val="24"/>
          <w:szCs w:val="24"/>
          <w:spacing w:val="117"/>
        </w:rPr>
        <w:t xml:space="preserve"> </w:t>
      </w:r>
      <w:r>
        <w:rPr>
          <w:sz w:val="24"/>
          <w:szCs w:val="24"/>
          <w:b/>
          <w:bCs/>
          <w:spacing w:val="-5"/>
        </w:rPr>
        <w:t>顶端事故与基本事件管理图</w:t>
      </w:r>
    </w:p>
    <w:p>
      <w:pPr>
        <w:pStyle w:val="BodyText"/>
        <w:ind w:left="460"/>
        <w:spacing w:before="180" w:line="219" w:lineRule="auto"/>
        <w:rPr>
          <w:sz w:val="24"/>
          <w:szCs w:val="24"/>
        </w:rPr>
      </w:pPr>
      <w:r>
        <w:rPr>
          <w:sz w:val="24"/>
          <w:szCs w:val="24"/>
          <w:spacing w:val="-6"/>
        </w:rPr>
        <w:t>容器、管道系统事件树见图6.2-2。</w:t>
      </w:r>
    </w:p>
    <w:p>
      <w:pPr>
        <w:pStyle w:val="BodyText"/>
        <w:ind w:firstLine="450"/>
        <w:spacing w:before="165" w:line="2897" w:lineRule="exact"/>
        <w:rPr/>
      </w:pPr>
      <w:r>
        <w:rPr>
          <w:position w:val="-57"/>
        </w:rPr>
        <w:pict>
          <v:group id="_x0000_s88" style="mso-position-vertical-relative:line;mso-position-horizontal-relative:char;width:383.5pt;height:144.9pt;" filled="false" stroked="false" coordsize="7670,2897" coordorigin="0,0">
            <v:shape id="_x0000_s90" style="position:absolute;left:0;top:0;width:7670;height:2890;" filled="false" stroked="false" type="#_x0000_t75">
              <v:imagedata o:title="" r:id="rId187"/>
            </v:shape>
            <v:shape id="_x0000_s92" style="position:absolute;left:2789;top:116;width:3280;height:270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17"/>
                        <w:szCs w:val="17"/>
                      </w:rPr>
                    </w:pPr>
                    <w:r>
                      <w:rPr>
                        <w:rFonts w:ascii="SimSun" w:hAnsi="SimSun" w:eastAsia="SimSun" w:cs="SimSun"/>
                        <w:sz w:val="17"/>
                        <w:szCs w:val="17"/>
                        <w:spacing w:val="6"/>
                      </w:rPr>
                      <w:t>监测仪表已显示，立即关闭有关阀门</w:t>
                    </w:r>
                  </w:p>
                  <w:p>
                    <w:pPr>
                      <w:spacing w:line="360" w:lineRule="auto"/>
                      <w:rPr>
                        <w:rFonts w:ascii="Arial"/>
                        <w:sz w:val="21"/>
                      </w:rPr>
                    </w:pPr>
                    <w:r/>
                  </w:p>
                  <w:p>
                    <w:pPr>
                      <w:ind w:right="20"/>
                      <w:spacing w:before="56" w:line="219" w:lineRule="auto"/>
                      <w:jc w:val="right"/>
                      <w:rPr>
                        <w:rFonts w:ascii="SimSun" w:hAnsi="SimSun" w:eastAsia="SimSun" w:cs="SimSun"/>
                        <w:sz w:val="17"/>
                        <w:szCs w:val="17"/>
                      </w:rPr>
                    </w:pPr>
                    <w:r>
                      <w:rPr>
                        <w:rFonts w:ascii="SimSun" w:hAnsi="SimSun" w:eastAsia="SimSun" w:cs="SimSun"/>
                        <w:sz w:val="17"/>
                        <w:szCs w:val="17"/>
                        <w:spacing w:val="5"/>
                      </w:rPr>
                      <w:t>监测仪表故障，经操作发现，关闭阀门</w:t>
                    </w:r>
                  </w:p>
                  <w:p>
                    <w:pPr>
                      <w:spacing w:line="350" w:lineRule="auto"/>
                      <w:rPr>
                        <w:rFonts w:ascii="Arial"/>
                        <w:sz w:val="21"/>
                      </w:rPr>
                    </w:pPr>
                    <w:r/>
                  </w:p>
                  <w:p>
                    <w:pPr>
                      <w:ind w:left="1970"/>
                      <w:spacing w:before="56" w:line="219" w:lineRule="auto"/>
                      <w:rPr>
                        <w:rFonts w:ascii="SimSun" w:hAnsi="SimSun" w:eastAsia="SimSun" w:cs="SimSun"/>
                        <w:sz w:val="17"/>
                        <w:szCs w:val="17"/>
                      </w:rPr>
                    </w:pPr>
                    <w:r>
                      <w:rPr>
                        <w:rFonts w:ascii="SimSun" w:hAnsi="SimSun" w:eastAsia="SimSun" w:cs="SimSun"/>
                        <w:sz w:val="17"/>
                        <w:szCs w:val="17"/>
                        <w:spacing w:val="12"/>
                      </w:rPr>
                      <w:t>遇明火</w:t>
                    </w:r>
                  </w:p>
                  <w:p>
                    <w:pPr>
                      <w:spacing w:line="380" w:lineRule="auto"/>
                      <w:rPr>
                        <w:rFonts w:ascii="Arial"/>
                        <w:sz w:val="21"/>
                      </w:rPr>
                    </w:pPr>
                    <w:r/>
                  </w:p>
                  <w:p>
                    <w:pPr>
                      <w:ind w:left="160"/>
                      <w:spacing w:before="55" w:line="292" w:lineRule="exact"/>
                      <w:rPr>
                        <w:rFonts w:ascii="SimSun" w:hAnsi="SimSun" w:eastAsia="SimSun" w:cs="SimSun"/>
                        <w:sz w:val="17"/>
                        <w:szCs w:val="17"/>
                      </w:rPr>
                    </w:pPr>
                    <w:r>
                      <w:rPr>
                        <w:rFonts w:ascii="SimSun" w:hAnsi="SimSun" w:eastAsia="SimSun" w:cs="SimSun"/>
                        <w:sz w:val="17"/>
                        <w:szCs w:val="17"/>
                        <w:spacing w:val="3"/>
                        <w:position w:val="9"/>
                      </w:rPr>
                      <w:t>操作未发现</w:t>
                    </w:r>
                  </w:p>
                  <w:p>
                    <w:pPr>
                      <w:ind w:left="170"/>
                      <w:spacing w:line="220" w:lineRule="auto"/>
                      <w:rPr>
                        <w:rFonts w:ascii="SimSun" w:hAnsi="SimSun" w:eastAsia="SimSun" w:cs="SimSun"/>
                        <w:sz w:val="17"/>
                        <w:szCs w:val="17"/>
                      </w:rPr>
                    </w:pPr>
                    <w:r>
                      <w:rPr>
                        <w:rFonts w:ascii="SimSun" w:hAnsi="SimSun" w:eastAsia="SimSun" w:cs="SimSun"/>
                        <w:sz w:val="17"/>
                        <w:szCs w:val="17"/>
                        <w:spacing w:val="6"/>
                      </w:rPr>
                      <w:t>或阀</w:t>
                    </w:r>
                    <w:r>
                      <w:rPr>
                        <w:rFonts w:ascii="SimSun" w:hAnsi="SimSun" w:eastAsia="SimSun" w:cs="SimSun"/>
                        <w:sz w:val="17"/>
                        <w:szCs w:val="17"/>
                        <w:color w:val="A06820"/>
                        <w:spacing w:val="6"/>
                      </w:rPr>
                      <w:t>门</w:t>
                    </w:r>
                    <w:r>
                      <w:rPr>
                        <w:rFonts w:ascii="SimSun" w:hAnsi="SimSun" w:eastAsia="SimSun" w:cs="SimSun"/>
                        <w:sz w:val="17"/>
                        <w:szCs w:val="17"/>
                        <w:spacing w:val="6"/>
                      </w:rPr>
                      <w:t>失灵</w:t>
                    </w:r>
                  </w:p>
                  <w:p>
                    <w:pPr>
                      <w:ind w:left="1899"/>
                      <w:spacing w:before="125" w:line="219" w:lineRule="auto"/>
                      <w:rPr>
                        <w:rFonts w:ascii="SimSun" w:hAnsi="SimSun" w:eastAsia="SimSun" w:cs="SimSun"/>
                        <w:sz w:val="17"/>
                        <w:szCs w:val="17"/>
                      </w:rPr>
                    </w:pPr>
                    <w:r>
                      <w:rPr>
                        <w:rFonts w:ascii="SimSun" w:hAnsi="SimSun" w:eastAsia="SimSun" w:cs="SimSun"/>
                        <w:sz w:val="17"/>
                        <w:szCs w:val="17"/>
                        <w:spacing w:val="6"/>
                      </w:rPr>
                      <w:t>自然扩散</w:t>
                    </w:r>
                  </w:p>
                </w:txbxContent>
              </v:textbox>
            </v:shape>
            <v:shape id="_x0000_s94" style="position:absolute;left:6299;top:207;width:1278;height:1448;"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17"/>
                        <w:szCs w:val="17"/>
                      </w:rPr>
                    </w:pPr>
                    <w:r>
                      <w:rPr>
                        <w:rFonts w:ascii="SimSun" w:hAnsi="SimSun" w:eastAsia="SimSun" w:cs="SimSun"/>
                        <w:sz w:val="17"/>
                        <w:szCs w:val="17"/>
                        <w:spacing w:val="7"/>
                      </w:rPr>
                      <w:t>未造成事故</w:t>
                    </w:r>
                  </w:p>
                  <w:p>
                    <w:pPr>
                      <w:spacing w:line="349" w:lineRule="auto"/>
                      <w:rPr>
                        <w:rFonts w:ascii="Arial"/>
                        <w:sz w:val="21"/>
                      </w:rPr>
                    </w:pPr>
                    <w:r/>
                  </w:p>
                  <w:p>
                    <w:pPr>
                      <w:ind w:left="20"/>
                      <w:spacing w:before="56" w:line="220" w:lineRule="auto"/>
                      <w:rPr>
                        <w:rFonts w:ascii="SimSun" w:hAnsi="SimSun" w:eastAsia="SimSun" w:cs="SimSun"/>
                        <w:sz w:val="17"/>
                        <w:szCs w:val="17"/>
                      </w:rPr>
                    </w:pPr>
                    <w:r>
                      <w:rPr>
                        <w:rFonts w:ascii="SimSun" w:hAnsi="SimSun" w:eastAsia="SimSun" w:cs="SimSun"/>
                        <w:sz w:val="17"/>
                        <w:szCs w:val="17"/>
                        <w:spacing w:val="7"/>
                      </w:rPr>
                      <w:t>未造成事故</w:t>
                    </w:r>
                  </w:p>
                  <w:p>
                    <w:pPr>
                      <w:spacing w:line="367" w:lineRule="auto"/>
                      <w:rPr>
                        <w:rFonts w:ascii="Arial"/>
                        <w:sz w:val="21"/>
                      </w:rPr>
                    </w:pPr>
                    <w:r/>
                  </w:p>
                  <w:p>
                    <w:pPr>
                      <w:ind w:left="20"/>
                      <w:spacing w:before="56" w:line="218" w:lineRule="auto"/>
                      <w:rPr>
                        <w:rFonts w:ascii="SimSun" w:hAnsi="SimSun" w:eastAsia="SimSun" w:cs="SimSun"/>
                        <w:sz w:val="17"/>
                        <w:szCs w:val="17"/>
                      </w:rPr>
                    </w:pPr>
                    <w:r>
                      <w:rPr>
                        <w:rFonts w:ascii="SimSun" w:hAnsi="SimSun" w:eastAsia="SimSun" w:cs="SimSun"/>
                        <w:sz w:val="17"/>
                        <w:szCs w:val="17"/>
                        <w:spacing w:val="6"/>
                      </w:rPr>
                      <w:t>燃烧、爆炸事故</w:t>
                    </w:r>
                  </w:p>
                </w:txbxContent>
              </v:textbox>
            </v:shape>
            <v:shape id="_x0000_s96" style="position:absolute;left:389;top:716;width:1451;height:21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17"/>
                        <w:szCs w:val="17"/>
                      </w:rPr>
                    </w:pPr>
                    <w:r>
                      <w:rPr>
                        <w:rFonts w:ascii="SimSun" w:hAnsi="SimSun" w:eastAsia="SimSun" w:cs="SimSun"/>
                        <w:sz w:val="17"/>
                        <w:szCs w:val="17"/>
                        <w:spacing w:val="6"/>
                      </w:rPr>
                      <w:t>容器和管线等泄漏</w:t>
                    </w:r>
                  </w:p>
                </w:txbxContent>
              </v:textbox>
            </v:shape>
            <v:shape id="_x0000_s98" style="position:absolute;left:6299;top:2707;width:768;height:210;"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17"/>
                        <w:szCs w:val="17"/>
                      </w:rPr>
                    </w:pPr>
                    <w:r>
                      <w:rPr>
                        <w:rFonts w:ascii="SimSun" w:hAnsi="SimSun" w:eastAsia="SimSun" w:cs="SimSun"/>
                        <w:sz w:val="17"/>
                        <w:szCs w:val="17"/>
                        <w:spacing w:val="11"/>
                      </w:rPr>
                      <w:t>泄漏事故</w:t>
                    </w:r>
                  </w:p>
                </w:txbxContent>
              </v:textbox>
            </v:shape>
          </v:group>
        </w:pict>
      </w:r>
    </w:p>
    <w:p>
      <w:pPr>
        <w:pStyle w:val="BodyText"/>
        <w:ind w:left="3193"/>
        <w:spacing w:before="119" w:line="219" w:lineRule="auto"/>
        <w:rPr>
          <w:sz w:val="24"/>
          <w:szCs w:val="24"/>
        </w:rPr>
      </w:pPr>
      <w:r>
        <w:rPr>
          <w:sz w:val="24"/>
          <w:szCs w:val="24"/>
          <w:b/>
          <w:bCs/>
          <w:spacing w:val="-8"/>
        </w:rPr>
        <w:t>图6.2-2</w:t>
      </w:r>
      <w:r>
        <w:rPr>
          <w:sz w:val="24"/>
          <w:szCs w:val="24"/>
          <w:spacing w:val="-8"/>
        </w:rPr>
        <w:t xml:space="preserve">  </w:t>
      </w:r>
      <w:r>
        <w:rPr>
          <w:sz w:val="24"/>
          <w:szCs w:val="24"/>
          <w:b/>
          <w:bCs/>
          <w:spacing w:val="-8"/>
        </w:rPr>
        <w:t>泄漏事故树分析图</w:t>
      </w:r>
    </w:p>
    <w:p>
      <w:pPr>
        <w:pStyle w:val="BodyText"/>
        <w:ind w:right="20" w:firstLine="460"/>
        <w:spacing w:before="184" w:line="362" w:lineRule="auto"/>
        <w:rPr>
          <w:sz w:val="24"/>
          <w:szCs w:val="24"/>
        </w:rPr>
      </w:pPr>
      <w:r>
        <w:rPr>
          <w:sz w:val="24"/>
          <w:szCs w:val="24"/>
          <w:spacing w:val="2"/>
        </w:rPr>
        <w:t>由上图可知，燃烧爆炸是由两个“中间事故”</w:t>
      </w:r>
      <w:r>
        <w:rPr>
          <w:sz w:val="24"/>
          <w:szCs w:val="24"/>
          <w:spacing w:val="-32"/>
        </w:rPr>
        <w:t xml:space="preserve"> </w:t>
      </w:r>
      <w:r>
        <w:rPr>
          <w:sz w:val="24"/>
          <w:szCs w:val="24"/>
          <w:spacing w:val="2"/>
        </w:rPr>
        <w:t>(泄漏和火源)同时发生造成的，</w:t>
      </w:r>
      <w:r>
        <w:rPr>
          <w:sz w:val="24"/>
          <w:szCs w:val="24"/>
        </w:rPr>
        <w:t xml:space="preserve"> </w:t>
      </w:r>
      <w:r>
        <w:rPr>
          <w:sz w:val="24"/>
          <w:szCs w:val="24"/>
          <w:spacing w:val="-2"/>
        </w:rPr>
        <w:t>因此防止设备物料泄漏是避免燃烧爆炸事件的关键。另外，加强原辅材料储存区的安</w:t>
      </w:r>
      <w:r>
        <w:rPr>
          <w:sz w:val="24"/>
          <w:szCs w:val="24"/>
          <w:spacing w:val="7"/>
        </w:rPr>
        <w:t xml:space="preserve"> </w:t>
      </w:r>
      <w:r>
        <w:rPr>
          <w:sz w:val="24"/>
          <w:szCs w:val="24"/>
          <w:spacing w:val="-2"/>
        </w:rPr>
        <w:t>全管理，采取避雷和防静电措施，严禁吸烟和明火，防止铁器撞击，放置静电产生火</w:t>
      </w:r>
    </w:p>
    <w:p>
      <w:pPr>
        <w:pStyle w:val="BodyText"/>
        <w:spacing w:before="1" w:line="217" w:lineRule="auto"/>
        <w:jc w:val="right"/>
        <w:rPr>
          <w:sz w:val="24"/>
          <w:szCs w:val="24"/>
        </w:rPr>
      </w:pPr>
      <w:r>
        <w:rPr>
          <w:sz w:val="24"/>
          <w:szCs w:val="24"/>
          <w:spacing w:val="-1"/>
        </w:rPr>
        <w:t>花及危化品储存区电气设备符合防火防爆要求，也是防止燃烧</w:t>
      </w:r>
      <w:r>
        <w:rPr>
          <w:sz w:val="24"/>
          <w:szCs w:val="24"/>
          <w:spacing w:val="-2"/>
        </w:rPr>
        <w:t>爆炸事故的必要条件。</w:t>
      </w:r>
    </w:p>
    <w:p>
      <w:pPr>
        <w:pStyle w:val="BodyText"/>
        <w:ind w:right="41"/>
        <w:spacing w:before="157" w:line="503" w:lineRule="exact"/>
        <w:jc w:val="right"/>
        <w:rPr>
          <w:sz w:val="24"/>
          <w:szCs w:val="24"/>
        </w:rPr>
      </w:pPr>
      <w:r>
        <w:rPr>
          <w:sz w:val="24"/>
          <w:szCs w:val="24"/>
          <w:spacing w:val="-2"/>
          <w:position w:val="20"/>
        </w:rPr>
        <w:t>同时，容器、管道等设备物料泄漏，可能引起燃爆危害事故或扩散污染事故。风</w:t>
      </w:r>
    </w:p>
    <w:p>
      <w:pPr>
        <w:pStyle w:val="BodyText"/>
        <w:spacing w:line="220" w:lineRule="auto"/>
        <w:rPr>
          <w:sz w:val="24"/>
          <w:szCs w:val="24"/>
        </w:rPr>
      </w:pPr>
      <w:r>
        <w:rPr>
          <w:sz w:val="24"/>
          <w:szCs w:val="24"/>
          <w:spacing w:val="-2"/>
        </w:rPr>
        <w:t>险事故对环境的影响与泄漏时间及各种应急处理措施的有效性密切相关。</w:t>
      </w:r>
    </w:p>
    <w:p>
      <w:pPr>
        <w:pStyle w:val="BodyText"/>
        <w:ind w:left="460"/>
        <w:spacing w:before="163" w:line="219" w:lineRule="auto"/>
        <w:rPr>
          <w:sz w:val="24"/>
          <w:szCs w:val="24"/>
        </w:rPr>
      </w:pPr>
      <w:r>
        <w:rPr>
          <w:sz w:val="24"/>
          <w:szCs w:val="24"/>
          <w:spacing w:val="-2"/>
        </w:rPr>
        <w:t>2、可能危害及向环境转移途径</w:t>
      </w:r>
    </w:p>
    <w:p>
      <w:pPr>
        <w:pStyle w:val="BodyText"/>
        <w:ind w:right="21" w:firstLine="460"/>
        <w:spacing w:before="164" w:line="362" w:lineRule="auto"/>
        <w:rPr>
          <w:sz w:val="24"/>
          <w:szCs w:val="24"/>
        </w:rPr>
      </w:pPr>
      <w:r>
        <w:rPr>
          <w:sz w:val="24"/>
          <w:szCs w:val="24"/>
          <w:spacing w:val="-1"/>
        </w:rPr>
        <w:t>厂区内物料如发生泄漏、火灾或爆炸，事故后果</w:t>
      </w:r>
      <w:r>
        <w:rPr>
          <w:sz w:val="24"/>
          <w:szCs w:val="24"/>
          <w:spacing w:val="-2"/>
        </w:rPr>
        <w:t>主要为：物料跑损、人员伤亡、</w:t>
      </w:r>
      <w:r>
        <w:rPr>
          <w:sz w:val="24"/>
          <w:szCs w:val="24"/>
        </w:rPr>
        <w:t xml:space="preserve"> </w:t>
      </w:r>
      <w:r>
        <w:rPr>
          <w:sz w:val="24"/>
          <w:szCs w:val="24"/>
          <w:spacing w:val="-2"/>
        </w:rPr>
        <w:t>停产、人员中毒、造成严重经济损失等。厂区内发生物料泄漏事故后的危害及转移途</w:t>
      </w:r>
    </w:p>
    <w:p>
      <w:pPr>
        <w:pStyle w:val="BodyText"/>
        <w:spacing w:line="219" w:lineRule="auto"/>
        <w:rPr>
          <w:sz w:val="24"/>
          <w:szCs w:val="24"/>
        </w:rPr>
      </w:pPr>
      <w:r>
        <w:rPr>
          <w:sz w:val="24"/>
          <w:szCs w:val="24"/>
          <w:spacing w:val="-10"/>
        </w:rPr>
        <w:t>径具体分析如下：</w:t>
      </w:r>
    </w:p>
    <w:p>
      <w:pPr>
        <w:pStyle w:val="BodyText"/>
        <w:ind w:right="22"/>
        <w:spacing w:before="193" w:line="218" w:lineRule="auto"/>
        <w:jc w:val="right"/>
        <w:rPr>
          <w:sz w:val="24"/>
          <w:szCs w:val="24"/>
        </w:rPr>
      </w:pPr>
      <w:r>
        <w:rPr>
          <w:rFonts w:ascii="Times New Roman" w:hAnsi="Times New Roman" w:eastAsia="Times New Roman" w:cs="Times New Roman"/>
          <w:sz w:val="24"/>
          <w:szCs w:val="24"/>
          <w:spacing w:val="-3"/>
        </w:rPr>
        <w:t>NMP</w:t>
      </w:r>
      <w:r>
        <w:rPr>
          <w:rFonts w:ascii="Times New Roman" w:hAnsi="Times New Roman" w:eastAsia="Times New Roman" w:cs="Times New Roman"/>
          <w:sz w:val="24"/>
          <w:szCs w:val="24"/>
          <w:spacing w:val="-34"/>
        </w:rPr>
        <w:t xml:space="preserve"> </w:t>
      </w:r>
      <w:r>
        <w:rPr>
          <w:sz w:val="24"/>
          <w:szCs w:val="24"/>
          <w:spacing w:val="-3"/>
        </w:rPr>
        <w:t>、电解液遇明火、高热都容易引起燃烧爆炸。若存放容器</w:t>
      </w:r>
      <w:r>
        <w:rPr>
          <w:sz w:val="24"/>
          <w:szCs w:val="24"/>
          <w:spacing w:val="-4"/>
        </w:rPr>
        <w:t>遇高温高热，出现</w:t>
      </w:r>
    </w:p>
    <w:p>
      <w:pPr>
        <w:spacing w:line="218" w:lineRule="auto"/>
        <w:sectPr>
          <w:footerReference w:type="default" r:id="rId185"/>
          <w:pgSz w:w="11900" w:h="16840"/>
          <w:pgMar w:top="1431" w:right="1525" w:bottom="988" w:left="1539" w:header="0" w:footer="849" w:gutter="0"/>
        </w:sectPr>
        <w:rPr>
          <w:sz w:val="24"/>
          <w:szCs w:val="24"/>
        </w:rPr>
      </w:pPr>
    </w:p>
    <w:p>
      <w:pPr>
        <w:pStyle w:val="BodyText"/>
        <w:ind w:left="134" w:right="122"/>
        <w:spacing w:before="49" w:line="354" w:lineRule="auto"/>
        <w:jc w:val="both"/>
        <w:rPr>
          <w:sz w:val="24"/>
          <w:szCs w:val="24"/>
        </w:rPr>
      </w:pPr>
      <w:r>
        <w:rPr>
          <w:sz w:val="24"/>
          <w:szCs w:val="24"/>
          <w:spacing w:val="-2"/>
        </w:rPr>
        <w:t>大量放热现象，可引起容器破裂和爆炸事故。发生泄漏事故后，事故后果主要为：①</w:t>
      </w:r>
      <w:r>
        <w:rPr>
          <w:sz w:val="24"/>
          <w:szCs w:val="24"/>
        </w:rPr>
        <w:t xml:space="preserve"> </w:t>
      </w:r>
      <w:r>
        <w:rPr>
          <w:sz w:val="24"/>
          <w:szCs w:val="24"/>
          <w:spacing w:val="-2"/>
        </w:rPr>
        <w:t>泄漏会引发火灾或爆炸对厂内的构筑物、设备等造成破坏，同时对附近的人员造成伤</w:t>
      </w:r>
      <w:r>
        <w:rPr>
          <w:sz w:val="24"/>
          <w:szCs w:val="24"/>
          <w:spacing w:val="5"/>
        </w:rPr>
        <w:t xml:space="preserve"> </w:t>
      </w:r>
      <w:r>
        <w:rPr>
          <w:sz w:val="24"/>
          <w:szCs w:val="24"/>
          <w:spacing w:val="-2"/>
        </w:rPr>
        <w:t>亡等事故；②燃烧产物主要为一氧化碳、二氧化碳等；③在燃烧时释放的大量烟尘对</w:t>
      </w:r>
    </w:p>
    <w:p>
      <w:pPr>
        <w:pStyle w:val="BodyText"/>
        <w:ind w:left="134"/>
        <w:spacing w:line="219" w:lineRule="auto"/>
        <w:rPr>
          <w:sz w:val="24"/>
          <w:szCs w:val="24"/>
        </w:rPr>
      </w:pPr>
      <w:r>
        <w:rPr>
          <w:sz w:val="24"/>
          <w:szCs w:val="24"/>
          <w:spacing w:val="-5"/>
        </w:rPr>
        <w:t>周围局部大气环境造成污染。</w:t>
      </w:r>
    </w:p>
    <w:p>
      <w:pPr>
        <w:pStyle w:val="BodyText"/>
        <w:ind w:right="48"/>
        <w:spacing w:before="204" w:line="460" w:lineRule="exact"/>
        <w:jc w:val="right"/>
        <w:rPr>
          <w:sz w:val="24"/>
          <w:szCs w:val="24"/>
        </w:rPr>
      </w:pPr>
      <w:r>
        <w:rPr>
          <w:sz w:val="24"/>
          <w:szCs w:val="24"/>
          <w:spacing w:val="-6"/>
          <w:position w:val="16"/>
        </w:rPr>
        <w:t>三元材料为含重金属镍、钴和锰物质，若发生泄漏未及时收集处理，而随消防水、</w:t>
      </w:r>
    </w:p>
    <w:p>
      <w:pPr>
        <w:pStyle w:val="BodyText"/>
        <w:ind w:left="134"/>
        <w:spacing w:line="219" w:lineRule="auto"/>
        <w:rPr>
          <w:sz w:val="24"/>
          <w:szCs w:val="24"/>
        </w:rPr>
      </w:pPr>
      <w:r>
        <w:rPr>
          <w:sz w:val="24"/>
          <w:szCs w:val="24"/>
          <w:spacing w:val="-2"/>
        </w:rPr>
        <w:t>雨水等进入地表水系统，对地表水乃至土壤将造成</w:t>
      </w:r>
      <w:r>
        <w:rPr>
          <w:sz w:val="24"/>
          <w:szCs w:val="24"/>
          <w:spacing w:val="-3"/>
        </w:rPr>
        <w:t>污染。</w:t>
      </w:r>
    </w:p>
    <w:p>
      <w:pPr>
        <w:pStyle w:val="BodyText"/>
        <w:ind w:left="595"/>
        <w:spacing w:before="195" w:line="219" w:lineRule="auto"/>
        <w:rPr>
          <w:sz w:val="24"/>
          <w:szCs w:val="24"/>
        </w:rPr>
      </w:pPr>
      <w:r>
        <w:rPr>
          <w:sz w:val="24"/>
          <w:szCs w:val="24"/>
          <w:spacing w:val="-4"/>
        </w:rPr>
        <w:t>3、事故概率分析</w:t>
      </w:r>
    </w:p>
    <w:p>
      <w:pPr>
        <w:pStyle w:val="BodyText"/>
        <w:ind w:left="134" w:right="123" w:firstLine="460"/>
        <w:spacing w:before="154" w:line="362" w:lineRule="auto"/>
        <w:rPr>
          <w:sz w:val="24"/>
          <w:szCs w:val="24"/>
        </w:rPr>
      </w:pPr>
      <w:r>
        <w:rPr>
          <w:sz w:val="24"/>
          <w:szCs w:val="24"/>
          <w:spacing w:val="-1"/>
        </w:rPr>
        <w:t>项目运营过程中主要风险为化学物质泄漏，进</w:t>
      </w:r>
      <w:r>
        <w:rPr>
          <w:sz w:val="24"/>
          <w:szCs w:val="24"/>
          <w:spacing w:val="-2"/>
        </w:rPr>
        <w:t>而发生火灾、爆炸等事故，泄漏事</w:t>
      </w:r>
      <w:r>
        <w:rPr>
          <w:sz w:val="24"/>
          <w:szCs w:val="24"/>
        </w:rPr>
        <w:t xml:space="preserve"> </w:t>
      </w:r>
      <w:r>
        <w:rPr>
          <w:sz w:val="24"/>
          <w:szCs w:val="24"/>
          <w:spacing w:val="-2"/>
        </w:rPr>
        <w:t>故主要为容器、管道、泵体、压缩机、装卸臂和装卸软管的泄漏和破裂，根据《建设</w:t>
      </w:r>
      <w:r>
        <w:rPr>
          <w:sz w:val="24"/>
          <w:szCs w:val="24"/>
          <w:spacing w:val="4"/>
        </w:rPr>
        <w:t xml:space="preserve"> </w:t>
      </w:r>
      <w:r>
        <w:rPr>
          <w:sz w:val="24"/>
          <w:szCs w:val="24"/>
          <w:spacing w:val="-3"/>
        </w:rPr>
        <w:t>项目环境风险评价技术导则》</w:t>
      </w:r>
      <w:r>
        <w:rPr>
          <w:sz w:val="24"/>
          <w:szCs w:val="24"/>
          <w:spacing w:val="112"/>
        </w:rPr>
        <w:t xml:space="preserve"> </w:t>
      </w:r>
      <w:r>
        <w:rPr>
          <w:sz w:val="24"/>
          <w:szCs w:val="24"/>
          <w:spacing w:val="-3"/>
        </w:rPr>
        <w:t>(HJ169-2018)</w:t>
      </w:r>
      <w:r>
        <w:rPr>
          <w:sz w:val="24"/>
          <w:szCs w:val="24"/>
          <w:spacing w:val="52"/>
        </w:rPr>
        <w:t xml:space="preserve"> </w:t>
      </w:r>
      <w:r>
        <w:rPr>
          <w:sz w:val="24"/>
          <w:szCs w:val="24"/>
          <w:spacing w:val="-3"/>
        </w:rPr>
        <w:t>附</w:t>
      </w:r>
      <w:r>
        <w:rPr>
          <w:sz w:val="24"/>
          <w:szCs w:val="24"/>
          <w:spacing w:val="-4"/>
        </w:rPr>
        <w:t>录</w:t>
      </w:r>
      <w:r>
        <w:rPr>
          <w:rFonts w:ascii="Times New Roman" w:hAnsi="Times New Roman" w:eastAsia="Times New Roman" w:cs="Times New Roman"/>
          <w:sz w:val="24"/>
          <w:szCs w:val="24"/>
          <w:spacing w:val="-4"/>
        </w:rPr>
        <w:t>E,   </w:t>
      </w:r>
      <w:r>
        <w:rPr>
          <w:sz w:val="24"/>
          <w:szCs w:val="24"/>
          <w:spacing w:val="-4"/>
        </w:rPr>
        <w:t>不同部件类型泄漏概率统计进</w:t>
      </w:r>
    </w:p>
    <w:p>
      <w:pPr>
        <w:pStyle w:val="BodyText"/>
        <w:ind w:left="134"/>
        <w:spacing w:line="219" w:lineRule="auto"/>
        <w:rPr>
          <w:sz w:val="24"/>
          <w:szCs w:val="24"/>
        </w:rPr>
      </w:pPr>
      <w:r>
        <w:rPr>
          <w:sz w:val="24"/>
          <w:szCs w:val="24"/>
          <w:spacing w:val="-8"/>
        </w:rPr>
        <w:t>行分析，见表6.2-1。</w:t>
      </w:r>
    </w:p>
    <w:p>
      <w:pPr>
        <w:pStyle w:val="BodyText"/>
        <w:ind w:left="3448"/>
        <w:spacing w:before="182" w:line="219" w:lineRule="auto"/>
        <w:rPr>
          <w:sz w:val="24"/>
          <w:szCs w:val="24"/>
        </w:rPr>
      </w:pPr>
      <w:r>
        <w:rPr>
          <w:sz w:val="24"/>
          <w:szCs w:val="24"/>
          <w:b/>
          <w:bCs/>
          <w:spacing w:val="-9"/>
        </w:rPr>
        <w:t>表6.2-1</w:t>
      </w:r>
      <w:r>
        <w:rPr>
          <w:sz w:val="24"/>
          <w:szCs w:val="24"/>
          <w:spacing w:val="-9"/>
        </w:rPr>
        <w:t xml:space="preserve">  </w:t>
      </w:r>
      <w:r>
        <w:rPr>
          <w:sz w:val="24"/>
          <w:szCs w:val="24"/>
          <w:b/>
          <w:bCs/>
          <w:spacing w:val="-9"/>
        </w:rPr>
        <w:t>泄漏频率表</w:t>
      </w:r>
    </w:p>
    <w:p>
      <w:pPr>
        <w:spacing w:line="163" w:lineRule="exact"/>
        <w:rPr/>
      </w:pPr>
      <w:r/>
    </w:p>
    <w:tbl>
      <w:tblPr>
        <w:tblStyle w:val="TableNormal"/>
        <w:tblW w:w="90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81"/>
        <w:gridCol w:w="3636"/>
        <w:gridCol w:w="2242"/>
      </w:tblGrid>
      <w:tr>
        <w:trPr>
          <w:trHeight w:val="394" w:hRule="atLeast"/>
        </w:trPr>
        <w:tc>
          <w:tcPr>
            <w:tcW w:w="3181" w:type="dxa"/>
            <w:vAlign w:val="top"/>
          </w:tcPr>
          <w:p>
            <w:pPr>
              <w:pStyle w:val="TableText"/>
              <w:ind w:left="1185"/>
              <w:spacing w:before="103" w:line="219" w:lineRule="auto"/>
              <w:rPr>
                <w:sz w:val="20"/>
                <w:szCs w:val="20"/>
              </w:rPr>
            </w:pPr>
            <w:r>
              <w:rPr>
                <w:sz w:val="20"/>
                <w:szCs w:val="20"/>
                <w:spacing w:val="3"/>
              </w:rPr>
              <w:t>部件类型</w:t>
            </w:r>
          </w:p>
        </w:tc>
        <w:tc>
          <w:tcPr>
            <w:tcW w:w="3636" w:type="dxa"/>
            <w:vAlign w:val="top"/>
          </w:tcPr>
          <w:p>
            <w:pPr>
              <w:pStyle w:val="TableText"/>
              <w:ind w:left="1413"/>
              <w:spacing w:before="103" w:line="219" w:lineRule="auto"/>
              <w:rPr>
                <w:sz w:val="20"/>
                <w:szCs w:val="20"/>
              </w:rPr>
            </w:pPr>
            <w:r>
              <w:rPr>
                <w:sz w:val="20"/>
                <w:szCs w:val="20"/>
                <w:spacing w:val="-3"/>
              </w:rPr>
              <w:t>泄漏模式</w:t>
            </w:r>
          </w:p>
        </w:tc>
        <w:tc>
          <w:tcPr>
            <w:tcW w:w="2242" w:type="dxa"/>
            <w:vAlign w:val="top"/>
          </w:tcPr>
          <w:p>
            <w:pPr>
              <w:pStyle w:val="TableText"/>
              <w:ind w:left="717"/>
              <w:spacing w:before="103" w:line="219" w:lineRule="auto"/>
              <w:rPr>
                <w:sz w:val="20"/>
                <w:szCs w:val="20"/>
              </w:rPr>
            </w:pPr>
            <w:r>
              <w:rPr>
                <w:sz w:val="20"/>
                <w:szCs w:val="20"/>
                <w:spacing w:val="2"/>
              </w:rPr>
              <w:t>泄漏频率</w:t>
            </w:r>
          </w:p>
        </w:tc>
      </w:tr>
      <w:tr>
        <w:trPr>
          <w:trHeight w:val="819" w:hRule="atLeast"/>
        </w:trPr>
        <w:tc>
          <w:tcPr>
            <w:tcW w:w="3181" w:type="dxa"/>
            <w:vAlign w:val="top"/>
          </w:tcPr>
          <w:p>
            <w:pPr>
              <w:spacing w:line="242" w:lineRule="auto"/>
              <w:rPr>
                <w:rFonts w:ascii="Arial"/>
                <w:sz w:val="21"/>
              </w:rPr>
            </w:pPr>
            <w:r/>
          </w:p>
          <w:p>
            <w:pPr>
              <w:pStyle w:val="TableText"/>
              <w:ind w:left="134"/>
              <w:spacing w:before="65" w:line="219" w:lineRule="auto"/>
              <w:rPr>
                <w:sz w:val="20"/>
                <w:szCs w:val="20"/>
              </w:rPr>
            </w:pPr>
            <w:r>
              <w:rPr>
                <w:sz w:val="20"/>
                <w:szCs w:val="20"/>
                <w:spacing w:val="-1"/>
              </w:rPr>
              <w:t>反应器/工艺储罐/气体储罐/塔器</w:t>
            </w:r>
          </w:p>
        </w:tc>
        <w:tc>
          <w:tcPr>
            <w:tcW w:w="3636" w:type="dxa"/>
            <w:vAlign w:val="top"/>
          </w:tcPr>
          <w:p>
            <w:pPr>
              <w:pStyle w:val="TableText"/>
              <w:ind w:left="914"/>
              <w:spacing w:before="49" w:line="219" w:lineRule="auto"/>
              <w:rPr>
                <w:sz w:val="20"/>
                <w:szCs w:val="20"/>
              </w:rPr>
            </w:pPr>
            <w:r>
              <w:rPr>
                <w:sz w:val="20"/>
                <w:szCs w:val="20"/>
                <w:spacing w:val="1"/>
              </w:rPr>
              <w:t>泄漏孔径为10</w:t>
            </w:r>
            <w:r>
              <w:rPr>
                <w:sz w:val="20"/>
                <w:szCs w:val="20"/>
              </w:rPr>
              <w:t>mm</w:t>
            </w:r>
            <w:r>
              <w:rPr>
                <w:sz w:val="20"/>
                <w:szCs w:val="20"/>
                <w:spacing w:val="1"/>
              </w:rPr>
              <w:t>孔径</w:t>
            </w:r>
          </w:p>
          <w:p>
            <w:pPr>
              <w:pStyle w:val="TableText"/>
              <w:ind w:left="964"/>
              <w:spacing w:before="42" w:line="219" w:lineRule="auto"/>
              <w:rPr>
                <w:sz w:val="20"/>
                <w:szCs w:val="20"/>
              </w:rPr>
            </w:pPr>
            <w:r>
              <w:rPr>
                <w:sz w:val="20"/>
                <w:szCs w:val="20"/>
                <w:spacing w:val="1"/>
              </w:rPr>
              <w:t>10</w:t>
            </w:r>
            <w:r>
              <w:rPr>
                <w:sz w:val="20"/>
                <w:szCs w:val="20"/>
              </w:rPr>
              <w:t>min</w:t>
            </w:r>
            <w:r>
              <w:rPr>
                <w:sz w:val="20"/>
                <w:szCs w:val="20"/>
                <w:spacing w:val="1"/>
              </w:rPr>
              <w:t>内储罐泄漏完</w:t>
            </w:r>
          </w:p>
          <w:p>
            <w:pPr>
              <w:pStyle w:val="TableText"/>
              <w:ind w:left="1313"/>
              <w:spacing w:before="32" w:line="194" w:lineRule="auto"/>
              <w:rPr>
                <w:sz w:val="20"/>
                <w:szCs w:val="20"/>
              </w:rPr>
            </w:pPr>
            <w:r>
              <w:rPr>
                <w:sz w:val="20"/>
                <w:szCs w:val="20"/>
                <w:spacing w:val="-2"/>
              </w:rPr>
              <w:t>储罐全破裂</w:t>
            </w:r>
          </w:p>
        </w:tc>
        <w:tc>
          <w:tcPr>
            <w:tcW w:w="2242" w:type="dxa"/>
            <w:vAlign w:val="top"/>
          </w:tcPr>
          <w:p>
            <w:pPr>
              <w:pStyle w:val="TableText"/>
              <w:ind w:left="517"/>
              <w:spacing w:before="54" w:line="278" w:lineRule="exact"/>
              <w:rPr>
                <w:sz w:val="20"/>
                <w:szCs w:val="20"/>
              </w:rPr>
            </w:pPr>
            <w:r>
              <w:rPr>
                <w:sz w:val="20"/>
                <w:szCs w:val="20"/>
                <w:spacing w:val="-3"/>
                <w:position w:val="5"/>
              </w:rPr>
              <w:t>1.00×10-4/a</w:t>
            </w:r>
          </w:p>
          <w:p>
            <w:pPr>
              <w:pStyle w:val="TableText"/>
              <w:ind w:left="517"/>
              <w:spacing w:line="223" w:lineRule="auto"/>
              <w:rPr>
                <w:sz w:val="20"/>
                <w:szCs w:val="20"/>
              </w:rPr>
            </w:pPr>
            <w:r>
              <w:rPr>
                <w:sz w:val="20"/>
                <w:szCs w:val="20"/>
                <w:spacing w:val="-2"/>
              </w:rPr>
              <w:t>5.00×10-6/a</w:t>
            </w:r>
          </w:p>
          <w:p>
            <w:pPr>
              <w:pStyle w:val="TableText"/>
              <w:ind w:left="517"/>
              <w:spacing w:before="36" w:line="183" w:lineRule="auto"/>
              <w:rPr>
                <w:sz w:val="20"/>
                <w:szCs w:val="20"/>
              </w:rPr>
            </w:pPr>
            <w:r>
              <w:rPr>
                <w:sz w:val="20"/>
                <w:szCs w:val="20"/>
                <w:spacing w:val="-2"/>
              </w:rPr>
              <w:t>5.00×10-6/a</w:t>
            </w:r>
          </w:p>
        </w:tc>
      </w:tr>
      <w:tr>
        <w:trPr>
          <w:trHeight w:val="829" w:hRule="atLeast"/>
        </w:trPr>
        <w:tc>
          <w:tcPr>
            <w:tcW w:w="3181" w:type="dxa"/>
            <w:vAlign w:val="top"/>
          </w:tcPr>
          <w:p>
            <w:pPr>
              <w:spacing w:line="253" w:lineRule="auto"/>
              <w:rPr>
                <w:rFonts w:ascii="Arial"/>
                <w:sz w:val="21"/>
              </w:rPr>
            </w:pPr>
            <w:r/>
          </w:p>
          <w:p>
            <w:pPr>
              <w:pStyle w:val="TableText"/>
              <w:ind w:left="885"/>
              <w:spacing w:before="65" w:line="219" w:lineRule="auto"/>
              <w:rPr>
                <w:sz w:val="20"/>
                <w:szCs w:val="20"/>
              </w:rPr>
            </w:pPr>
            <w:r>
              <w:rPr>
                <w:sz w:val="20"/>
                <w:szCs w:val="20"/>
                <w:spacing w:val="1"/>
              </w:rPr>
              <w:t>常压单包容储罐</w:t>
            </w:r>
          </w:p>
        </w:tc>
        <w:tc>
          <w:tcPr>
            <w:tcW w:w="3636" w:type="dxa"/>
            <w:vAlign w:val="top"/>
          </w:tcPr>
          <w:p>
            <w:pPr>
              <w:pStyle w:val="TableText"/>
              <w:ind w:left="914"/>
              <w:spacing w:before="50" w:line="219" w:lineRule="auto"/>
              <w:rPr>
                <w:sz w:val="20"/>
                <w:szCs w:val="20"/>
              </w:rPr>
            </w:pPr>
            <w:r>
              <w:rPr>
                <w:sz w:val="20"/>
                <w:szCs w:val="20"/>
                <w:spacing w:val="1"/>
              </w:rPr>
              <w:t>泄漏孔径为10</w:t>
            </w:r>
            <w:r>
              <w:rPr>
                <w:sz w:val="20"/>
                <w:szCs w:val="20"/>
              </w:rPr>
              <w:t>mm</w:t>
            </w:r>
            <w:r>
              <w:rPr>
                <w:sz w:val="20"/>
                <w:szCs w:val="20"/>
                <w:spacing w:val="1"/>
              </w:rPr>
              <w:t>孔径</w:t>
            </w:r>
          </w:p>
          <w:p>
            <w:pPr>
              <w:pStyle w:val="TableText"/>
              <w:ind w:left="964"/>
              <w:spacing w:before="42" w:line="219" w:lineRule="auto"/>
              <w:rPr>
                <w:sz w:val="20"/>
                <w:szCs w:val="20"/>
              </w:rPr>
            </w:pPr>
            <w:r>
              <w:rPr>
                <w:sz w:val="20"/>
                <w:szCs w:val="20"/>
                <w:spacing w:val="1"/>
              </w:rPr>
              <w:t>10</w:t>
            </w:r>
            <w:r>
              <w:rPr>
                <w:sz w:val="20"/>
                <w:szCs w:val="20"/>
              </w:rPr>
              <w:t>min</w:t>
            </w:r>
            <w:r>
              <w:rPr>
                <w:sz w:val="20"/>
                <w:szCs w:val="20"/>
                <w:spacing w:val="1"/>
              </w:rPr>
              <w:t>内储罐泄漏完</w:t>
            </w:r>
          </w:p>
          <w:p>
            <w:pPr>
              <w:pStyle w:val="TableText"/>
              <w:ind w:left="1313"/>
              <w:spacing w:before="32" w:line="202" w:lineRule="auto"/>
              <w:rPr>
                <w:sz w:val="20"/>
                <w:szCs w:val="20"/>
              </w:rPr>
            </w:pPr>
            <w:r>
              <w:rPr>
                <w:sz w:val="20"/>
                <w:szCs w:val="20"/>
                <w:spacing w:val="-2"/>
              </w:rPr>
              <w:t>储罐全破裂</w:t>
            </w:r>
          </w:p>
        </w:tc>
        <w:tc>
          <w:tcPr>
            <w:tcW w:w="2242" w:type="dxa"/>
            <w:vAlign w:val="top"/>
          </w:tcPr>
          <w:p>
            <w:pPr>
              <w:pStyle w:val="TableText"/>
              <w:ind w:left="517"/>
              <w:spacing w:before="65" w:line="270" w:lineRule="exact"/>
              <w:rPr>
                <w:sz w:val="20"/>
                <w:szCs w:val="20"/>
              </w:rPr>
            </w:pPr>
            <w:r>
              <w:rPr>
                <w:sz w:val="20"/>
                <w:szCs w:val="20"/>
                <w:spacing w:val="-3"/>
                <w:position w:val="5"/>
              </w:rPr>
              <w:t>1.00×10-4/a</w:t>
            </w:r>
          </w:p>
          <w:p>
            <w:pPr>
              <w:pStyle w:val="TableText"/>
              <w:ind w:left="568"/>
              <w:spacing w:line="224" w:lineRule="auto"/>
              <w:rPr>
                <w:sz w:val="20"/>
                <w:szCs w:val="20"/>
              </w:rPr>
            </w:pPr>
            <w:r>
              <w:rPr>
                <w:sz w:val="20"/>
                <w:szCs w:val="20"/>
                <w:spacing w:val="-2"/>
              </w:rPr>
              <w:t>5.00×10-/a</w:t>
            </w:r>
          </w:p>
          <w:p>
            <w:pPr>
              <w:pStyle w:val="TableText"/>
              <w:ind w:left="568"/>
              <w:spacing w:before="36" w:line="188" w:lineRule="auto"/>
              <w:rPr>
                <w:sz w:val="20"/>
                <w:szCs w:val="20"/>
              </w:rPr>
            </w:pPr>
            <w:r>
              <w:rPr>
                <w:sz w:val="20"/>
                <w:szCs w:val="20"/>
                <w:spacing w:val="-2"/>
              </w:rPr>
              <w:t>5.00×10-/a</w:t>
            </w:r>
          </w:p>
        </w:tc>
      </w:tr>
      <w:tr>
        <w:trPr>
          <w:trHeight w:val="809" w:hRule="atLeast"/>
        </w:trPr>
        <w:tc>
          <w:tcPr>
            <w:tcW w:w="3181" w:type="dxa"/>
            <w:vAlign w:val="top"/>
          </w:tcPr>
          <w:p>
            <w:pPr>
              <w:spacing w:line="244" w:lineRule="auto"/>
              <w:rPr>
                <w:rFonts w:ascii="Arial"/>
                <w:sz w:val="21"/>
              </w:rPr>
            </w:pPr>
            <w:r/>
          </w:p>
          <w:p>
            <w:pPr>
              <w:pStyle w:val="TableText"/>
              <w:ind w:left="885"/>
              <w:spacing w:before="65" w:line="219" w:lineRule="auto"/>
              <w:rPr>
                <w:sz w:val="20"/>
                <w:szCs w:val="20"/>
              </w:rPr>
            </w:pPr>
            <w:r>
              <w:rPr>
                <w:sz w:val="20"/>
                <w:szCs w:val="20"/>
                <w:spacing w:val="1"/>
              </w:rPr>
              <w:t>常压双包容储罐</w:t>
            </w:r>
          </w:p>
        </w:tc>
        <w:tc>
          <w:tcPr>
            <w:tcW w:w="3636" w:type="dxa"/>
            <w:vAlign w:val="top"/>
          </w:tcPr>
          <w:p>
            <w:pPr>
              <w:pStyle w:val="TableText"/>
              <w:ind w:left="914"/>
              <w:spacing w:before="41" w:line="219" w:lineRule="auto"/>
              <w:rPr>
                <w:sz w:val="20"/>
                <w:szCs w:val="20"/>
              </w:rPr>
            </w:pPr>
            <w:r>
              <w:rPr>
                <w:sz w:val="20"/>
                <w:szCs w:val="20"/>
                <w:spacing w:val="1"/>
              </w:rPr>
              <w:t>泄漏孔径为10</w:t>
            </w:r>
            <w:r>
              <w:rPr>
                <w:sz w:val="20"/>
                <w:szCs w:val="20"/>
              </w:rPr>
              <w:t>mm</w:t>
            </w:r>
            <w:r>
              <w:rPr>
                <w:sz w:val="20"/>
                <w:szCs w:val="20"/>
                <w:spacing w:val="1"/>
              </w:rPr>
              <w:t>孔径</w:t>
            </w:r>
          </w:p>
          <w:p>
            <w:pPr>
              <w:pStyle w:val="TableText"/>
              <w:ind w:left="964"/>
              <w:spacing w:before="42" w:line="219" w:lineRule="auto"/>
              <w:rPr>
                <w:sz w:val="20"/>
                <w:szCs w:val="20"/>
              </w:rPr>
            </w:pPr>
            <w:r>
              <w:rPr>
                <w:sz w:val="20"/>
                <w:szCs w:val="20"/>
                <w:spacing w:val="1"/>
              </w:rPr>
              <w:t>10</w:t>
            </w:r>
            <w:r>
              <w:rPr>
                <w:sz w:val="20"/>
                <w:szCs w:val="20"/>
              </w:rPr>
              <w:t>min</w:t>
            </w:r>
            <w:r>
              <w:rPr>
                <w:sz w:val="20"/>
                <w:szCs w:val="20"/>
                <w:spacing w:val="1"/>
              </w:rPr>
              <w:t>内储罐泄漏完</w:t>
            </w:r>
          </w:p>
          <w:p>
            <w:pPr>
              <w:pStyle w:val="TableText"/>
              <w:ind w:left="1313"/>
              <w:spacing w:before="32" w:line="192" w:lineRule="auto"/>
              <w:rPr>
                <w:sz w:val="20"/>
                <w:szCs w:val="20"/>
              </w:rPr>
            </w:pPr>
            <w:r>
              <w:rPr>
                <w:sz w:val="20"/>
                <w:szCs w:val="20"/>
                <w:spacing w:val="-2"/>
              </w:rPr>
              <w:t>储罐全破裂</w:t>
            </w:r>
          </w:p>
        </w:tc>
        <w:tc>
          <w:tcPr>
            <w:tcW w:w="2242" w:type="dxa"/>
            <w:vAlign w:val="top"/>
          </w:tcPr>
          <w:p>
            <w:pPr>
              <w:pStyle w:val="TableText"/>
              <w:ind w:left="517"/>
              <w:spacing w:before="56" w:line="267" w:lineRule="exact"/>
              <w:rPr>
                <w:sz w:val="20"/>
                <w:szCs w:val="20"/>
              </w:rPr>
            </w:pPr>
            <w:r>
              <w:rPr>
                <w:sz w:val="20"/>
                <w:szCs w:val="20"/>
                <w:spacing w:val="-3"/>
                <w:position w:val="4"/>
              </w:rPr>
              <w:t>1.00×10-4/a</w:t>
            </w:r>
          </w:p>
          <w:p>
            <w:pPr>
              <w:pStyle w:val="TableText"/>
              <w:ind w:left="517"/>
              <w:spacing w:line="222" w:lineRule="auto"/>
              <w:rPr>
                <w:sz w:val="20"/>
                <w:szCs w:val="20"/>
              </w:rPr>
            </w:pPr>
            <w:r>
              <w:rPr>
                <w:sz w:val="20"/>
                <w:szCs w:val="20"/>
                <w:spacing w:val="-3"/>
              </w:rPr>
              <w:t>1.25×10-8/a</w:t>
            </w:r>
          </w:p>
          <w:p>
            <w:pPr>
              <w:pStyle w:val="TableText"/>
              <w:ind w:left="517"/>
              <w:spacing w:before="35" w:line="183" w:lineRule="auto"/>
              <w:rPr>
                <w:sz w:val="20"/>
                <w:szCs w:val="20"/>
              </w:rPr>
            </w:pPr>
            <w:r>
              <w:rPr>
                <w:sz w:val="20"/>
                <w:szCs w:val="20"/>
                <w:spacing w:val="-3"/>
              </w:rPr>
              <w:t>1.25×10-8/a</w:t>
            </w:r>
          </w:p>
        </w:tc>
      </w:tr>
      <w:tr>
        <w:trPr>
          <w:trHeight w:val="389" w:hRule="atLeast"/>
        </w:trPr>
        <w:tc>
          <w:tcPr>
            <w:tcW w:w="3181" w:type="dxa"/>
            <w:vAlign w:val="top"/>
          </w:tcPr>
          <w:p>
            <w:pPr>
              <w:pStyle w:val="TableText"/>
              <w:ind w:left="885"/>
              <w:spacing w:before="102" w:line="219" w:lineRule="auto"/>
              <w:rPr>
                <w:sz w:val="20"/>
                <w:szCs w:val="20"/>
              </w:rPr>
            </w:pPr>
            <w:r>
              <w:rPr>
                <w:sz w:val="20"/>
                <w:szCs w:val="20"/>
                <w:spacing w:val="1"/>
              </w:rPr>
              <w:t>常压全包容储罐</w:t>
            </w:r>
          </w:p>
        </w:tc>
        <w:tc>
          <w:tcPr>
            <w:tcW w:w="3636" w:type="dxa"/>
            <w:vAlign w:val="top"/>
          </w:tcPr>
          <w:p>
            <w:pPr>
              <w:pStyle w:val="TableText"/>
              <w:ind w:left="1313"/>
              <w:spacing w:before="102" w:line="219" w:lineRule="auto"/>
              <w:rPr>
                <w:sz w:val="20"/>
                <w:szCs w:val="20"/>
              </w:rPr>
            </w:pPr>
            <w:r>
              <w:rPr>
                <w:sz w:val="20"/>
                <w:szCs w:val="20"/>
                <w:spacing w:val="-2"/>
              </w:rPr>
              <w:t>储罐全破裂</w:t>
            </w:r>
          </w:p>
        </w:tc>
        <w:tc>
          <w:tcPr>
            <w:tcW w:w="2242" w:type="dxa"/>
            <w:vAlign w:val="top"/>
          </w:tcPr>
          <w:p>
            <w:pPr>
              <w:pStyle w:val="TableText"/>
              <w:ind w:left="517"/>
              <w:spacing w:before="108" w:line="224" w:lineRule="auto"/>
              <w:rPr>
                <w:sz w:val="20"/>
                <w:szCs w:val="20"/>
              </w:rPr>
            </w:pPr>
            <w:r>
              <w:rPr>
                <w:sz w:val="20"/>
                <w:szCs w:val="20"/>
                <w:spacing w:val="-3"/>
              </w:rPr>
              <w:t>1.00×10-8/a</w:t>
            </w:r>
          </w:p>
        </w:tc>
      </w:tr>
      <w:tr>
        <w:trPr>
          <w:trHeight w:val="539" w:hRule="atLeast"/>
        </w:trPr>
        <w:tc>
          <w:tcPr>
            <w:tcW w:w="3181" w:type="dxa"/>
            <w:vAlign w:val="top"/>
          </w:tcPr>
          <w:p>
            <w:pPr>
              <w:pStyle w:val="TableText"/>
              <w:ind w:left="784"/>
              <w:spacing w:before="173" w:line="219" w:lineRule="auto"/>
              <w:rPr>
                <w:sz w:val="20"/>
                <w:szCs w:val="20"/>
              </w:rPr>
            </w:pPr>
            <w:r>
              <w:rPr>
                <w:sz w:val="20"/>
                <w:szCs w:val="20"/>
                <w:spacing w:val="1"/>
              </w:rPr>
              <w:t>内径≤75</w:t>
            </w:r>
            <w:r>
              <w:rPr>
                <w:sz w:val="20"/>
                <w:szCs w:val="20"/>
              </w:rPr>
              <w:t>mm</w:t>
            </w:r>
            <w:r>
              <w:rPr>
                <w:sz w:val="20"/>
                <w:szCs w:val="20"/>
                <w:spacing w:val="1"/>
              </w:rPr>
              <w:t>的管道</w:t>
            </w:r>
          </w:p>
        </w:tc>
        <w:tc>
          <w:tcPr>
            <w:tcW w:w="3636" w:type="dxa"/>
            <w:vAlign w:val="top"/>
          </w:tcPr>
          <w:p>
            <w:pPr>
              <w:pStyle w:val="TableText"/>
              <w:ind w:left="964"/>
              <w:spacing w:before="42" w:line="281" w:lineRule="exact"/>
              <w:rPr>
                <w:sz w:val="20"/>
                <w:szCs w:val="20"/>
              </w:rPr>
            </w:pPr>
            <w:r>
              <w:rPr>
                <w:sz w:val="20"/>
                <w:szCs w:val="20"/>
                <w:spacing w:val="1"/>
                <w:position w:val="5"/>
              </w:rPr>
              <w:t>泄漏孔径为10%孔径</w:t>
            </w:r>
          </w:p>
          <w:p>
            <w:pPr>
              <w:pStyle w:val="TableText"/>
              <w:ind w:left="1313"/>
              <w:spacing w:line="190" w:lineRule="auto"/>
              <w:rPr>
                <w:sz w:val="20"/>
                <w:szCs w:val="20"/>
              </w:rPr>
            </w:pPr>
            <w:r>
              <w:rPr>
                <w:sz w:val="20"/>
                <w:szCs w:val="20"/>
                <w:spacing w:val="2"/>
              </w:rPr>
              <w:t>全管径泄漏</w:t>
            </w:r>
          </w:p>
        </w:tc>
        <w:tc>
          <w:tcPr>
            <w:tcW w:w="2242" w:type="dxa"/>
            <w:vAlign w:val="top"/>
          </w:tcPr>
          <w:p>
            <w:pPr>
              <w:pStyle w:val="TableText"/>
              <w:ind w:left="367" w:right="386" w:firstLine="49"/>
              <w:spacing w:before="65" w:line="214" w:lineRule="auto"/>
              <w:rPr>
                <w:sz w:val="20"/>
                <w:szCs w:val="20"/>
              </w:rPr>
            </w:pPr>
            <w:r>
              <w:rPr>
                <w:sz w:val="20"/>
                <w:szCs w:val="20"/>
                <w:spacing w:val="-1"/>
              </w:rPr>
              <w:t>5.00×10-/(ma)</w:t>
            </w:r>
            <w:r>
              <w:rPr>
                <w:sz w:val="20"/>
                <w:szCs w:val="20"/>
              </w:rPr>
              <w:t xml:space="preserve"> </w:t>
            </w:r>
            <w:r>
              <w:rPr>
                <w:sz w:val="20"/>
                <w:szCs w:val="20"/>
                <w:spacing w:val="-2"/>
              </w:rPr>
              <w:t>1.00×10-/(m*a)</w:t>
            </w:r>
          </w:p>
        </w:tc>
      </w:tr>
      <w:tr>
        <w:trPr>
          <w:trHeight w:val="549" w:hRule="atLeast"/>
        </w:trPr>
        <w:tc>
          <w:tcPr>
            <w:tcW w:w="3181" w:type="dxa"/>
            <w:vAlign w:val="top"/>
          </w:tcPr>
          <w:p>
            <w:pPr>
              <w:pStyle w:val="TableText"/>
              <w:ind w:left="484"/>
              <w:spacing w:before="184" w:line="219" w:lineRule="auto"/>
              <w:rPr>
                <w:sz w:val="20"/>
                <w:szCs w:val="20"/>
              </w:rPr>
            </w:pPr>
            <w:r>
              <w:rPr>
                <w:sz w:val="20"/>
                <w:szCs w:val="20"/>
              </w:rPr>
              <w:t>75mm&lt;内径≤150mm的管道</w:t>
            </w:r>
          </w:p>
        </w:tc>
        <w:tc>
          <w:tcPr>
            <w:tcW w:w="3636" w:type="dxa"/>
            <w:vAlign w:val="top"/>
          </w:tcPr>
          <w:p>
            <w:pPr>
              <w:pStyle w:val="TableText"/>
              <w:ind w:left="964"/>
              <w:spacing w:before="64"/>
              <w:rPr>
                <w:sz w:val="20"/>
                <w:szCs w:val="20"/>
              </w:rPr>
            </w:pPr>
            <w:r>
              <w:rPr>
                <w:sz w:val="20"/>
                <w:szCs w:val="20"/>
                <w:spacing w:val="1"/>
              </w:rPr>
              <w:t>泄漏孔径为10%孔径</w:t>
            </w:r>
          </w:p>
          <w:p>
            <w:pPr>
              <w:pStyle w:val="TableText"/>
              <w:ind w:left="1313"/>
              <w:spacing w:line="198" w:lineRule="auto"/>
              <w:rPr>
                <w:sz w:val="20"/>
                <w:szCs w:val="20"/>
              </w:rPr>
            </w:pPr>
            <w:r>
              <w:rPr>
                <w:sz w:val="20"/>
                <w:szCs w:val="20"/>
                <w:spacing w:val="2"/>
              </w:rPr>
              <w:t>全管径泄漏</w:t>
            </w:r>
          </w:p>
        </w:tc>
        <w:tc>
          <w:tcPr>
            <w:tcW w:w="2242" w:type="dxa"/>
            <w:vAlign w:val="top"/>
          </w:tcPr>
          <w:p>
            <w:pPr>
              <w:pStyle w:val="TableText"/>
              <w:ind w:left="318" w:right="325" w:firstLine="149"/>
              <w:spacing w:before="66" w:line="218" w:lineRule="auto"/>
              <w:rPr>
                <w:sz w:val="20"/>
                <w:szCs w:val="20"/>
              </w:rPr>
            </w:pPr>
            <w:r>
              <w:rPr>
                <w:sz w:val="20"/>
                <w:szCs w:val="20"/>
                <w:spacing w:val="-1"/>
              </w:rPr>
              <w:t>2.00×10/(ma)</w:t>
            </w:r>
            <w:r>
              <w:rPr>
                <w:sz w:val="20"/>
                <w:szCs w:val="20"/>
              </w:rPr>
              <w:t xml:space="preserve">  </w:t>
            </w:r>
            <w:r>
              <w:rPr>
                <w:sz w:val="20"/>
                <w:szCs w:val="20"/>
                <w:spacing w:val="-1"/>
              </w:rPr>
              <w:t>3.00×10-7/(m*a)</w:t>
            </w:r>
          </w:p>
        </w:tc>
      </w:tr>
      <w:tr>
        <w:trPr>
          <w:trHeight w:val="539" w:hRule="atLeast"/>
        </w:trPr>
        <w:tc>
          <w:tcPr>
            <w:tcW w:w="3181" w:type="dxa"/>
            <w:vAlign w:val="top"/>
          </w:tcPr>
          <w:p>
            <w:pPr>
              <w:pStyle w:val="TableText"/>
              <w:ind w:left="784"/>
              <w:spacing w:before="175" w:line="219" w:lineRule="auto"/>
              <w:rPr>
                <w:sz w:val="20"/>
                <w:szCs w:val="20"/>
              </w:rPr>
            </w:pPr>
            <w:r>
              <w:rPr>
                <w:sz w:val="20"/>
                <w:szCs w:val="20"/>
                <w:spacing w:val="1"/>
              </w:rPr>
              <w:t>内径&gt;150</w:t>
            </w:r>
            <w:r>
              <w:rPr>
                <w:sz w:val="20"/>
                <w:szCs w:val="20"/>
              </w:rPr>
              <w:t>mm</w:t>
            </w:r>
            <w:r>
              <w:rPr>
                <w:sz w:val="20"/>
                <w:szCs w:val="20"/>
                <w:spacing w:val="1"/>
              </w:rPr>
              <w:t>的管道</w:t>
            </w:r>
          </w:p>
        </w:tc>
        <w:tc>
          <w:tcPr>
            <w:tcW w:w="3636" w:type="dxa"/>
            <w:vAlign w:val="top"/>
          </w:tcPr>
          <w:p>
            <w:pPr>
              <w:pStyle w:val="TableText"/>
              <w:ind w:left="1313" w:right="168" w:hanging="1100"/>
              <w:spacing w:before="45" w:line="223" w:lineRule="auto"/>
              <w:rPr>
                <w:sz w:val="20"/>
                <w:szCs w:val="20"/>
              </w:rPr>
            </w:pPr>
            <w:r>
              <w:rPr>
                <w:sz w:val="20"/>
                <w:szCs w:val="20"/>
                <w:spacing w:val="33"/>
              </w:rPr>
              <w:t>泄漏孔径为10%孔径(最大50</w:t>
            </w:r>
            <w:r>
              <w:rPr>
                <w:sz w:val="20"/>
                <w:szCs w:val="20"/>
              </w:rPr>
              <w:t>mm</w:t>
            </w:r>
            <w:r>
              <w:rPr>
                <w:sz w:val="20"/>
                <w:szCs w:val="20"/>
                <w:spacing w:val="33"/>
              </w:rPr>
              <w:t>)</w:t>
            </w:r>
            <w:r>
              <w:rPr>
                <w:sz w:val="20"/>
                <w:szCs w:val="20"/>
                <w:spacing w:val="14"/>
              </w:rPr>
              <w:t xml:space="preserve"> </w:t>
            </w:r>
            <w:r>
              <w:rPr>
                <w:sz w:val="20"/>
                <w:szCs w:val="20"/>
                <w:spacing w:val="2"/>
              </w:rPr>
              <w:t>全管径泄漏</w:t>
            </w:r>
          </w:p>
        </w:tc>
        <w:tc>
          <w:tcPr>
            <w:tcW w:w="2242" w:type="dxa"/>
            <w:vAlign w:val="top"/>
          </w:tcPr>
          <w:p>
            <w:pPr>
              <w:pStyle w:val="TableText"/>
              <w:ind w:left="318" w:right="336" w:firstLine="99"/>
              <w:spacing w:before="58" w:line="217" w:lineRule="auto"/>
              <w:rPr>
                <w:sz w:val="20"/>
                <w:szCs w:val="20"/>
              </w:rPr>
            </w:pPr>
            <w:r>
              <w:rPr>
                <w:sz w:val="20"/>
                <w:szCs w:val="20"/>
                <w:spacing w:val="-1"/>
              </w:rPr>
              <w:t>2.40×10-(m'a)</w:t>
            </w:r>
            <w:r>
              <w:rPr>
                <w:sz w:val="20"/>
                <w:szCs w:val="20"/>
              </w:rPr>
              <w:t xml:space="preserve">  </w:t>
            </w:r>
            <w:r>
              <w:rPr>
                <w:sz w:val="20"/>
                <w:szCs w:val="20"/>
                <w:spacing w:val="-2"/>
              </w:rPr>
              <w:t>1.00×10-7/(m*a)</w:t>
            </w:r>
          </w:p>
        </w:tc>
      </w:tr>
      <w:tr>
        <w:trPr>
          <w:trHeight w:val="809" w:hRule="atLeast"/>
        </w:trPr>
        <w:tc>
          <w:tcPr>
            <w:tcW w:w="3181" w:type="dxa"/>
            <w:vAlign w:val="top"/>
          </w:tcPr>
          <w:p>
            <w:pPr>
              <w:spacing w:line="248" w:lineRule="auto"/>
              <w:rPr>
                <w:rFonts w:ascii="Arial"/>
                <w:sz w:val="21"/>
              </w:rPr>
            </w:pPr>
            <w:r/>
          </w:p>
          <w:p>
            <w:pPr>
              <w:pStyle w:val="TableText"/>
              <w:ind w:left="984"/>
              <w:spacing w:before="65" w:line="219" w:lineRule="auto"/>
              <w:rPr>
                <w:sz w:val="20"/>
                <w:szCs w:val="20"/>
              </w:rPr>
            </w:pPr>
            <w:r>
              <w:rPr>
                <w:sz w:val="20"/>
                <w:szCs w:val="20"/>
                <w:spacing w:val="-2"/>
              </w:rPr>
              <w:t>泵体和压缩机</w:t>
            </w:r>
          </w:p>
        </w:tc>
        <w:tc>
          <w:tcPr>
            <w:tcW w:w="3636" w:type="dxa"/>
            <w:vAlign w:val="top"/>
          </w:tcPr>
          <w:p>
            <w:pPr>
              <w:pStyle w:val="TableText"/>
              <w:ind w:left="213"/>
              <w:spacing w:before="55" w:line="219" w:lineRule="auto"/>
              <w:rPr>
                <w:sz w:val="20"/>
                <w:szCs w:val="20"/>
              </w:rPr>
            </w:pPr>
            <w:r>
              <w:rPr>
                <w:sz w:val="20"/>
                <w:szCs w:val="20"/>
                <w:spacing w:val="-1"/>
              </w:rPr>
              <w:t>泵体和压缩机最大连接管泄漏孔径为</w:t>
            </w:r>
          </w:p>
          <w:p>
            <w:pPr>
              <w:pStyle w:val="TableText"/>
              <w:ind w:left="763"/>
              <w:spacing w:before="44" w:line="219" w:lineRule="auto"/>
              <w:rPr>
                <w:sz w:val="20"/>
                <w:szCs w:val="20"/>
              </w:rPr>
            </w:pPr>
            <w:r>
              <w:rPr>
                <w:sz w:val="20"/>
                <w:szCs w:val="20"/>
                <w:spacing w:val="20"/>
                <w:w w:val="113"/>
              </w:rPr>
              <w:t>10%孔径(最大50</w:t>
            </w:r>
            <w:r>
              <w:rPr>
                <w:sz w:val="20"/>
                <w:szCs w:val="20"/>
              </w:rPr>
              <w:t>mm</w:t>
            </w:r>
            <w:r>
              <w:rPr>
                <w:sz w:val="20"/>
                <w:szCs w:val="20"/>
                <w:spacing w:val="20"/>
                <w:w w:val="113"/>
              </w:rPr>
              <w:t>)</w:t>
            </w:r>
          </w:p>
          <w:p>
            <w:pPr>
              <w:pStyle w:val="TableText"/>
              <w:ind w:left="213"/>
              <w:spacing w:before="31" w:line="179" w:lineRule="auto"/>
              <w:rPr>
                <w:sz w:val="20"/>
                <w:szCs w:val="20"/>
              </w:rPr>
            </w:pPr>
            <w:r>
              <w:rPr>
                <w:sz w:val="20"/>
                <w:szCs w:val="20"/>
              </w:rPr>
              <w:t>泵体和压缩机最大连接管全管径泄漏</w:t>
            </w:r>
          </w:p>
        </w:tc>
        <w:tc>
          <w:tcPr>
            <w:tcW w:w="2242" w:type="dxa"/>
            <w:vAlign w:val="top"/>
          </w:tcPr>
          <w:p>
            <w:pPr>
              <w:pStyle w:val="TableText"/>
              <w:ind w:left="568"/>
              <w:spacing w:before="71" w:line="520" w:lineRule="exact"/>
              <w:rPr>
                <w:sz w:val="20"/>
                <w:szCs w:val="20"/>
              </w:rPr>
            </w:pPr>
            <w:r>
              <w:rPr>
                <w:sz w:val="20"/>
                <w:szCs w:val="20"/>
                <w:spacing w:val="-2"/>
                <w:position w:val="25"/>
              </w:rPr>
              <w:t>5.00×104/a</w:t>
            </w:r>
          </w:p>
          <w:p>
            <w:pPr>
              <w:pStyle w:val="TableText"/>
              <w:ind w:left="517"/>
              <w:spacing w:line="191" w:lineRule="auto"/>
              <w:rPr>
                <w:sz w:val="20"/>
                <w:szCs w:val="20"/>
              </w:rPr>
            </w:pPr>
            <w:r>
              <w:rPr>
                <w:sz w:val="20"/>
                <w:szCs w:val="20"/>
                <w:spacing w:val="-3"/>
              </w:rPr>
              <w:t>1.00×10-4/a</w:t>
            </w:r>
          </w:p>
        </w:tc>
      </w:tr>
      <w:tr>
        <w:trPr>
          <w:trHeight w:val="829" w:hRule="atLeast"/>
        </w:trPr>
        <w:tc>
          <w:tcPr>
            <w:tcW w:w="3181" w:type="dxa"/>
            <w:vAlign w:val="top"/>
          </w:tcPr>
          <w:p>
            <w:pPr>
              <w:spacing w:line="259" w:lineRule="auto"/>
              <w:rPr>
                <w:rFonts w:ascii="Arial"/>
                <w:sz w:val="21"/>
              </w:rPr>
            </w:pPr>
            <w:r/>
          </w:p>
          <w:p>
            <w:pPr>
              <w:pStyle w:val="TableText"/>
              <w:ind w:left="1284"/>
              <w:spacing w:before="65" w:line="219" w:lineRule="auto"/>
              <w:rPr>
                <w:sz w:val="20"/>
                <w:szCs w:val="20"/>
              </w:rPr>
            </w:pPr>
            <w:r>
              <w:rPr>
                <w:sz w:val="20"/>
                <w:szCs w:val="20"/>
                <w:spacing w:val="4"/>
              </w:rPr>
              <w:t>装卸臂</w:t>
            </w:r>
          </w:p>
        </w:tc>
        <w:tc>
          <w:tcPr>
            <w:tcW w:w="3636" w:type="dxa"/>
            <w:vAlign w:val="top"/>
          </w:tcPr>
          <w:p>
            <w:pPr>
              <w:pStyle w:val="TableText"/>
              <w:ind w:left="364"/>
              <w:spacing w:before="66" w:line="219" w:lineRule="auto"/>
              <w:rPr>
                <w:sz w:val="20"/>
                <w:szCs w:val="20"/>
              </w:rPr>
            </w:pPr>
            <w:r>
              <w:rPr>
                <w:sz w:val="20"/>
                <w:szCs w:val="20"/>
                <w:spacing w:val="-1"/>
              </w:rPr>
              <w:t>装卸臂连接管泄漏孔径为10%孔径</w:t>
            </w:r>
          </w:p>
          <w:p>
            <w:pPr>
              <w:pStyle w:val="TableText"/>
              <w:ind w:left="1214"/>
              <w:spacing w:before="24" w:line="219" w:lineRule="auto"/>
              <w:rPr>
                <w:sz w:val="20"/>
                <w:szCs w:val="20"/>
              </w:rPr>
            </w:pPr>
            <w:r>
              <w:rPr>
                <w:sz w:val="20"/>
                <w:szCs w:val="20"/>
                <w:spacing w:val="30"/>
              </w:rPr>
              <w:t>(最大50mm)</w:t>
            </w:r>
          </w:p>
          <w:p>
            <w:pPr>
              <w:pStyle w:val="TableText"/>
              <w:ind w:left="1013"/>
              <w:spacing w:before="41" w:line="196" w:lineRule="auto"/>
              <w:rPr>
                <w:sz w:val="20"/>
                <w:szCs w:val="20"/>
              </w:rPr>
            </w:pPr>
            <w:r>
              <w:rPr>
                <w:sz w:val="20"/>
                <w:szCs w:val="20"/>
                <w:spacing w:val="1"/>
              </w:rPr>
              <w:t>装卸臂全管径泄漏</w:t>
            </w:r>
          </w:p>
        </w:tc>
        <w:tc>
          <w:tcPr>
            <w:tcW w:w="2242" w:type="dxa"/>
            <w:vAlign w:val="top"/>
          </w:tcPr>
          <w:p>
            <w:pPr>
              <w:pStyle w:val="TableText"/>
              <w:ind w:left="517"/>
              <w:spacing w:before="92" w:line="510" w:lineRule="exact"/>
              <w:rPr>
                <w:sz w:val="20"/>
                <w:szCs w:val="20"/>
              </w:rPr>
            </w:pPr>
            <w:r>
              <w:rPr>
                <w:sz w:val="20"/>
                <w:szCs w:val="20"/>
                <w:spacing w:val="-2"/>
                <w:position w:val="24"/>
              </w:rPr>
              <w:t>3.00×10-7/h</w:t>
            </w:r>
          </w:p>
          <w:p>
            <w:pPr>
              <w:pStyle w:val="TableText"/>
              <w:ind w:left="517"/>
              <w:spacing w:line="199" w:lineRule="auto"/>
              <w:rPr>
                <w:sz w:val="20"/>
                <w:szCs w:val="20"/>
              </w:rPr>
            </w:pPr>
            <w:r>
              <w:rPr>
                <w:sz w:val="20"/>
                <w:szCs w:val="20"/>
                <w:spacing w:val="-2"/>
              </w:rPr>
              <w:t>3.00×10-8/h</w:t>
            </w:r>
          </w:p>
        </w:tc>
      </w:tr>
      <w:tr>
        <w:trPr>
          <w:trHeight w:val="814" w:hRule="atLeast"/>
        </w:trPr>
        <w:tc>
          <w:tcPr>
            <w:tcW w:w="3181" w:type="dxa"/>
            <w:vAlign w:val="top"/>
          </w:tcPr>
          <w:p>
            <w:pPr>
              <w:spacing w:line="251" w:lineRule="auto"/>
              <w:rPr>
                <w:rFonts w:ascii="Arial"/>
                <w:sz w:val="21"/>
              </w:rPr>
            </w:pPr>
            <w:r/>
          </w:p>
          <w:p>
            <w:pPr>
              <w:pStyle w:val="TableText"/>
              <w:ind w:left="1185"/>
              <w:spacing w:before="65" w:line="219" w:lineRule="auto"/>
              <w:rPr>
                <w:sz w:val="20"/>
                <w:szCs w:val="20"/>
              </w:rPr>
            </w:pPr>
            <w:r>
              <w:rPr>
                <w:sz w:val="20"/>
                <w:szCs w:val="20"/>
                <w:spacing w:val="-2"/>
              </w:rPr>
              <w:t>装卸软管</w:t>
            </w:r>
          </w:p>
        </w:tc>
        <w:tc>
          <w:tcPr>
            <w:tcW w:w="3636" w:type="dxa"/>
            <w:vAlign w:val="top"/>
          </w:tcPr>
          <w:p>
            <w:pPr>
              <w:pStyle w:val="TableText"/>
              <w:ind w:left="263"/>
              <w:spacing w:before="48" w:line="219" w:lineRule="auto"/>
              <w:rPr>
                <w:sz w:val="20"/>
                <w:szCs w:val="20"/>
              </w:rPr>
            </w:pPr>
            <w:r>
              <w:rPr>
                <w:sz w:val="20"/>
                <w:szCs w:val="20"/>
                <w:spacing w:val="-1"/>
              </w:rPr>
              <w:t>装卸软管连接管泄漏孔径为10%孔径</w:t>
            </w:r>
          </w:p>
          <w:p>
            <w:pPr>
              <w:pStyle w:val="TableText"/>
              <w:ind w:left="1214"/>
              <w:spacing w:before="42" w:line="219" w:lineRule="auto"/>
              <w:rPr>
                <w:sz w:val="20"/>
                <w:szCs w:val="20"/>
              </w:rPr>
            </w:pPr>
            <w:r>
              <w:rPr>
                <w:sz w:val="20"/>
                <w:szCs w:val="20"/>
                <w:spacing w:val="30"/>
              </w:rPr>
              <w:t>(最大50mm)</w:t>
            </w:r>
          </w:p>
          <w:p>
            <w:pPr>
              <w:pStyle w:val="TableText"/>
              <w:ind w:left="914"/>
              <w:spacing w:before="32" w:line="190" w:lineRule="auto"/>
              <w:rPr>
                <w:sz w:val="20"/>
                <w:szCs w:val="20"/>
              </w:rPr>
            </w:pPr>
            <w:r>
              <w:rPr>
                <w:sz w:val="20"/>
                <w:szCs w:val="20"/>
                <w:spacing w:val="1"/>
              </w:rPr>
              <w:t>装卸软管全管径泄漏</w:t>
            </w:r>
          </w:p>
        </w:tc>
        <w:tc>
          <w:tcPr>
            <w:tcW w:w="2242" w:type="dxa"/>
            <w:vAlign w:val="top"/>
          </w:tcPr>
          <w:p>
            <w:pPr>
              <w:pStyle w:val="TableText"/>
              <w:ind w:left="517"/>
              <w:spacing w:before="83" w:line="510" w:lineRule="exact"/>
              <w:rPr>
                <w:sz w:val="20"/>
                <w:szCs w:val="20"/>
              </w:rPr>
            </w:pPr>
            <w:r>
              <w:rPr>
                <w:sz w:val="20"/>
                <w:szCs w:val="20"/>
                <w:spacing w:val="-1"/>
                <w:position w:val="24"/>
              </w:rPr>
              <w:t>4.00×10-5/h</w:t>
            </w:r>
          </w:p>
          <w:p>
            <w:pPr>
              <w:pStyle w:val="TableText"/>
              <w:ind w:left="568"/>
              <w:spacing w:line="194" w:lineRule="auto"/>
              <w:rPr>
                <w:sz w:val="20"/>
                <w:szCs w:val="20"/>
              </w:rPr>
            </w:pPr>
            <w:r>
              <w:rPr>
                <w:sz w:val="20"/>
                <w:szCs w:val="20"/>
                <w:spacing w:val="-1"/>
              </w:rPr>
              <w:t>4.00×10-/h</w:t>
            </w:r>
          </w:p>
        </w:tc>
      </w:tr>
    </w:tbl>
    <w:p>
      <w:pPr>
        <w:pStyle w:val="BodyText"/>
        <w:ind w:left="624"/>
        <w:spacing w:before="75" w:line="219" w:lineRule="auto"/>
        <w:rPr>
          <w:sz w:val="22"/>
          <w:szCs w:val="22"/>
        </w:rPr>
      </w:pPr>
      <w:r>
        <w:rPr>
          <w:sz w:val="22"/>
          <w:szCs w:val="22"/>
          <w:spacing w:val="-1"/>
        </w:rPr>
        <w:t>4、最大可信事故确定及概率</w:t>
      </w:r>
    </w:p>
    <w:p>
      <w:pPr>
        <w:pStyle w:val="BodyText"/>
        <w:ind w:left="595"/>
        <w:spacing w:before="191" w:line="214" w:lineRule="auto"/>
        <w:rPr>
          <w:sz w:val="24"/>
          <w:szCs w:val="24"/>
        </w:rPr>
      </w:pPr>
      <w:r>
        <w:rPr>
          <w:sz w:val="24"/>
          <w:szCs w:val="24"/>
          <w:spacing w:val="-1"/>
        </w:rPr>
        <w:t>项目三元材料为500kg</w:t>
      </w:r>
      <w:r>
        <w:rPr>
          <w:sz w:val="24"/>
          <w:szCs w:val="24"/>
          <w:spacing w:val="-42"/>
        </w:rPr>
        <w:t xml:space="preserve"> </w:t>
      </w:r>
      <w:r>
        <w:rPr>
          <w:sz w:val="24"/>
          <w:szCs w:val="24"/>
          <w:spacing w:val="-1"/>
        </w:rPr>
        <w:t>铁桶或纸桶内塑料袋包装，若包装桶</w:t>
      </w:r>
      <w:r>
        <w:rPr>
          <w:sz w:val="24"/>
          <w:szCs w:val="24"/>
          <w:spacing w:val="-2"/>
        </w:rPr>
        <w:t>破损或倾倒则可能发</w:t>
      </w:r>
    </w:p>
    <w:p>
      <w:pPr>
        <w:spacing w:line="214" w:lineRule="auto"/>
        <w:sectPr>
          <w:footerReference w:type="default" r:id="rId188"/>
          <w:pgSz w:w="11900" w:h="16840"/>
          <w:pgMar w:top="1249" w:right="1425" w:bottom="988" w:left="1405" w:header="0" w:footer="849" w:gutter="0"/>
        </w:sectPr>
        <w:rPr>
          <w:sz w:val="24"/>
          <w:szCs w:val="24"/>
        </w:rPr>
      </w:pPr>
    </w:p>
    <w:p>
      <w:pPr>
        <w:pStyle w:val="BodyText"/>
        <w:ind w:left="134"/>
        <w:spacing w:before="45" w:line="470" w:lineRule="exact"/>
        <w:rPr>
          <w:sz w:val="23"/>
          <w:szCs w:val="23"/>
        </w:rPr>
      </w:pPr>
      <w:r>
        <w:rPr>
          <w:sz w:val="23"/>
          <w:szCs w:val="23"/>
          <w:spacing w:val="8"/>
          <w:position w:val="18"/>
        </w:rPr>
        <w:t>生泄漏。三元材料极难溶于水，若发生泄漏后及时清扫，则发生污染水环境、土壤环</w:t>
      </w:r>
    </w:p>
    <w:p>
      <w:pPr>
        <w:pStyle w:val="BodyText"/>
        <w:ind w:left="134"/>
        <w:spacing w:before="1" w:line="217" w:lineRule="auto"/>
        <w:rPr>
          <w:sz w:val="23"/>
          <w:szCs w:val="23"/>
        </w:rPr>
      </w:pPr>
      <w:r>
        <w:rPr>
          <w:sz w:val="23"/>
          <w:szCs w:val="23"/>
          <w:spacing w:val="7"/>
        </w:rPr>
        <w:t>境的概率较低，本评价主要分析其防治措施。</w:t>
      </w:r>
    </w:p>
    <w:p>
      <w:pPr>
        <w:pStyle w:val="BodyText"/>
        <w:spacing w:before="178" w:line="481" w:lineRule="exact"/>
        <w:jc w:val="right"/>
        <w:rPr>
          <w:sz w:val="23"/>
          <w:szCs w:val="23"/>
        </w:rPr>
      </w:pPr>
      <w:r>
        <w:rPr>
          <w:sz w:val="23"/>
          <w:szCs w:val="23"/>
          <w:spacing w:val="7"/>
          <w:position w:val="19"/>
        </w:rPr>
        <w:t>根据危险化学品危险性及生产设施风险识别结果，结合火灾爆</w:t>
      </w:r>
      <w:r>
        <w:rPr>
          <w:sz w:val="23"/>
          <w:szCs w:val="23"/>
          <w:spacing w:val="6"/>
          <w:position w:val="19"/>
        </w:rPr>
        <w:t>炸及泄漏风险类型，</w:t>
      </w:r>
    </w:p>
    <w:p>
      <w:pPr>
        <w:pStyle w:val="BodyText"/>
        <w:ind w:left="134"/>
        <w:spacing w:line="218" w:lineRule="auto"/>
        <w:rPr>
          <w:sz w:val="23"/>
          <w:szCs w:val="23"/>
        </w:rPr>
      </w:pPr>
      <w:r>
        <w:rPr>
          <w:sz w:val="23"/>
          <w:szCs w:val="23"/>
          <w:spacing w:val="7"/>
        </w:rPr>
        <w:t>本项目选择泄漏量较大，且具有可燃性的物质作为最大可信事</w:t>
      </w:r>
      <w:r>
        <w:rPr>
          <w:sz w:val="23"/>
          <w:szCs w:val="23"/>
          <w:spacing w:val="6"/>
        </w:rPr>
        <w:t>故设定，见表6.2-2。</w:t>
      </w:r>
    </w:p>
    <w:p>
      <w:pPr>
        <w:pStyle w:val="BodyText"/>
        <w:ind w:left="3064"/>
        <w:spacing w:before="198" w:line="219" w:lineRule="auto"/>
        <w:rPr>
          <w:sz w:val="23"/>
          <w:szCs w:val="23"/>
        </w:rPr>
      </w:pPr>
      <w:r>
        <w:rPr>
          <w:sz w:val="23"/>
          <w:szCs w:val="23"/>
          <w:spacing w:val="6"/>
        </w:rPr>
        <w:t>表6.2-2</w:t>
      </w:r>
      <w:r>
        <w:rPr>
          <w:sz w:val="23"/>
          <w:szCs w:val="23"/>
          <w:spacing w:val="108"/>
        </w:rPr>
        <w:t xml:space="preserve"> </w:t>
      </w:r>
      <w:r>
        <w:rPr>
          <w:sz w:val="23"/>
          <w:szCs w:val="23"/>
          <w:spacing w:val="6"/>
        </w:rPr>
        <w:t>项目最大可信事故设定</w:t>
      </w:r>
    </w:p>
    <w:p>
      <w:pPr>
        <w:spacing w:line="142" w:lineRule="exact"/>
        <w:rPr/>
      </w:pPr>
      <w:r/>
    </w:p>
    <w:tbl>
      <w:tblPr>
        <w:tblStyle w:val="TableNormal"/>
        <w:tblW w:w="906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43"/>
        <w:gridCol w:w="1698"/>
        <w:gridCol w:w="2047"/>
        <w:gridCol w:w="1828"/>
        <w:gridCol w:w="1953"/>
      </w:tblGrid>
      <w:tr>
        <w:trPr>
          <w:trHeight w:val="390" w:hRule="atLeast"/>
        </w:trPr>
        <w:tc>
          <w:tcPr>
            <w:tcW w:w="1543" w:type="dxa"/>
            <w:vAlign w:val="top"/>
          </w:tcPr>
          <w:p>
            <w:pPr>
              <w:pStyle w:val="TableText"/>
              <w:ind w:left="285"/>
              <w:spacing w:before="94" w:line="220" w:lineRule="auto"/>
              <w:rPr>
                <w:sz w:val="21"/>
                <w:szCs w:val="21"/>
              </w:rPr>
            </w:pPr>
            <w:r>
              <w:rPr>
                <w:sz w:val="21"/>
                <w:szCs w:val="21"/>
                <w:spacing w:val="2"/>
              </w:rPr>
              <w:t>装置/单元</w:t>
            </w:r>
          </w:p>
        </w:tc>
        <w:tc>
          <w:tcPr>
            <w:tcW w:w="1698" w:type="dxa"/>
            <w:vAlign w:val="top"/>
          </w:tcPr>
          <w:p>
            <w:pPr>
              <w:pStyle w:val="TableText"/>
              <w:ind w:left="631"/>
              <w:spacing w:before="94" w:line="221" w:lineRule="auto"/>
              <w:rPr>
                <w:sz w:val="21"/>
                <w:szCs w:val="21"/>
              </w:rPr>
            </w:pPr>
            <w:r>
              <w:rPr>
                <w:sz w:val="21"/>
                <w:szCs w:val="21"/>
                <w:spacing w:val="4"/>
              </w:rPr>
              <w:t>设备</w:t>
            </w:r>
          </w:p>
        </w:tc>
        <w:tc>
          <w:tcPr>
            <w:tcW w:w="2047" w:type="dxa"/>
            <w:vAlign w:val="top"/>
          </w:tcPr>
          <w:p>
            <w:pPr>
              <w:pStyle w:val="TableText"/>
              <w:ind w:left="803"/>
              <w:spacing w:before="94" w:line="220" w:lineRule="auto"/>
              <w:rPr>
                <w:sz w:val="21"/>
                <w:szCs w:val="21"/>
              </w:rPr>
            </w:pPr>
            <w:r>
              <w:rPr>
                <w:sz w:val="21"/>
                <w:szCs w:val="21"/>
                <w:spacing w:val="-3"/>
              </w:rPr>
              <w:t>事故</w:t>
            </w:r>
          </w:p>
        </w:tc>
        <w:tc>
          <w:tcPr>
            <w:tcW w:w="1828" w:type="dxa"/>
            <w:vAlign w:val="top"/>
          </w:tcPr>
          <w:p>
            <w:pPr>
              <w:pStyle w:val="TableText"/>
              <w:ind w:left="486"/>
              <w:spacing w:before="94" w:line="220" w:lineRule="auto"/>
              <w:rPr>
                <w:sz w:val="21"/>
                <w:szCs w:val="21"/>
              </w:rPr>
            </w:pPr>
            <w:r>
              <w:rPr>
                <w:sz w:val="21"/>
                <w:szCs w:val="21"/>
                <w:spacing w:val="5"/>
              </w:rPr>
              <w:t>危险物质</w:t>
            </w:r>
          </w:p>
        </w:tc>
        <w:tc>
          <w:tcPr>
            <w:tcW w:w="1953" w:type="dxa"/>
            <w:vAlign w:val="top"/>
          </w:tcPr>
          <w:p>
            <w:pPr>
              <w:pStyle w:val="TableText"/>
              <w:ind w:left="338"/>
              <w:spacing w:before="93" w:line="219" w:lineRule="auto"/>
              <w:rPr>
                <w:sz w:val="21"/>
                <w:szCs w:val="21"/>
              </w:rPr>
            </w:pPr>
            <w:r>
              <w:rPr>
                <w:sz w:val="21"/>
                <w:szCs w:val="21"/>
                <w:spacing w:val="-2"/>
              </w:rPr>
              <w:t>最大可信事故</w:t>
            </w:r>
          </w:p>
        </w:tc>
      </w:tr>
      <w:tr>
        <w:trPr>
          <w:trHeight w:val="539" w:hRule="atLeast"/>
        </w:trPr>
        <w:tc>
          <w:tcPr>
            <w:tcW w:w="1543" w:type="dxa"/>
            <w:vAlign w:val="top"/>
          </w:tcPr>
          <w:p>
            <w:pPr>
              <w:pStyle w:val="TableText"/>
              <w:ind w:left="274" w:right="139" w:hanging="140"/>
              <w:spacing w:before="23" w:line="222" w:lineRule="auto"/>
              <w:rPr>
                <w:sz w:val="21"/>
                <w:szCs w:val="21"/>
              </w:rPr>
            </w:pPr>
            <w:r>
              <w:rPr>
                <w:sz w:val="21"/>
                <w:szCs w:val="21"/>
                <w:spacing w:val="-1"/>
              </w:rPr>
              <w:t>N-甲基吡咯烷</w:t>
            </w:r>
            <w:r>
              <w:rPr>
                <w:sz w:val="21"/>
                <w:szCs w:val="21"/>
                <w:spacing w:val="4"/>
              </w:rPr>
              <w:t xml:space="preserve"> </w:t>
            </w:r>
            <w:r>
              <w:rPr>
                <w:sz w:val="21"/>
                <w:szCs w:val="21"/>
                <w:spacing w:val="-11"/>
              </w:rPr>
              <w:t>酮</w:t>
            </w:r>
            <w:r>
              <w:rPr>
                <w:sz w:val="21"/>
                <w:szCs w:val="21"/>
                <w:spacing w:val="2"/>
              </w:rPr>
              <w:t xml:space="preserve"> </w:t>
            </w:r>
            <w:r>
              <w:rPr>
                <w:sz w:val="21"/>
                <w:szCs w:val="21"/>
                <w:spacing w:val="-11"/>
              </w:rPr>
              <w:t>(</w:t>
            </w:r>
            <w:r>
              <w:rPr>
                <w:sz w:val="21"/>
                <w:szCs w:val="21"/>
                <w:spacing w:val="-44"/>
              </w:rPr>
              <w:t xml:space="preserve"> </w:t>
            </w:r>
            <w:r>
              <w:rPr>
                <w:sz w:val="21"/>
                <w:szCs w:val="21"/>
                <w:spacing w:val="-11"/>
              </w:rPr>
              <w:t>N</w:t>
            </w:r>
            <w:r>
              <w:rPr>
                <w:sz w:val="21"/>
                <w:szCs w:val="21"/>
                <w:spacing w:val="-43"/>
              </w:rPr>
              <w:t xml:space="preserve"> </w:t>
            </w:r>
            <w:r>
              <w:rPr>
                <w:sz w:val="21"/>
                <w:szCs w:val="21"/>
                <w:spacing w:val="-11"/>
              </w:rPr>
              <w:t>M</w:t>
            </w:r>
            <w:r>
              <w:rPr>
                <w:sz w:val="21"/>
                <w:szCs w:val="21"/>
                <w:spacing w:val="-40"/>
              </w:rPr>
              <w:t xml:space="preserve"> </w:t>
            </w:r>
            <w:r>
              <w:rPr>
                <w:sz w:val="21"/>
                <w:szCs w:val="21"/>
                <w:spacing w:val="-11"/>
              </w:rPr>
              <w:t>P</w:t>
            </w:r>
            <w:r>
              <w:rPr>
                <w:sz w:val="21"/>
                <w:szCs w:val="21"/>
                <w:spacing w:val="-36"/>
              </w:rPr>
              <w:t xml:space="preserve"> </w:t>
            </w:r>
            <w:r>
              <w:rPr>
                <w:sz w:val="21"/>
                <w:szCs w:val="21"/>
                <w:spacing w:val="-11"/>
              </w:rPr>
              <w:t>)</w:t>
            </w:r>
          </w:p>
        </w:tc>
        <w:tc>
          <w:tcPr>
            <w:tcW w:w="1698" w:type="dxa"/>
            <w:vAlign w:val="top"/>
          </w:tcPr>
          <w:p>
            <w:pPr>
              <w:pStyle w:val="TableText"/>
              <w:ind w:left="631"/>
              <w:spacing w:before="173" w:line="219" w:lineRule="auto"/>
              <w:rPr>
                <w:sz w:val="21"/>
                <w:szCs w:val="21"/>
              </w:rPr>
            </w:pPr>
            <w:r>
              <w:rPr>
                <w:sz w:val="21"/>
                <w:szCs w:val="21"/>
                <w:spacing w:val="-2"/>
              </w:rPr>
              <w:t>储罐</w:t>
            </w:r>
          </w:p>
        </w:tc>
        <w:tc>
          <w:tcPr>
            <w:tcW w:w="2047" w:type="dxa"/>
            <w:vAlign w:val="top"/>
          </w:tcPr>
          <w:p>
            <w:pPr>
              <w:pStyle w:val="TableText"/>
              <w:ind w:left="73"/>
              <w:spacing w:before="173" w:line="219" w:lineRule="auto"/>
              <w:rPr>
                <w:sz w:val="21"/>
                <w:szCs w:val="21"/>
              </w:rPr>
            </w:pPr>
            <w:r>
              <w:rPr>
                <w:sz w:val="21"/>
                <w:szCs w:val="21"/>
                <w:spacing w:val="1"/>
              </w:rPr>
              <w:t>管线破裂、阀门泄漏</w:t>
            </w:r>
          </w:p>
        </w:tc>
        <w:tc>
          <w:tcPr>
            <w:tcW w:w="1828" w:type="dxa"/>
            <w:vAlign w:val="top"/>
          </w:tcPr>
          <w:p>
            <w:pPr>
              <w:pStyle w:val="TableText"/>
              <w:ind w:left="746"/>
              <w:spacing w:before="228" w:line="182" w:lineRule="auto"/>
              <w:rPr>
                <w:sz w:val="21"/>
                <w:szCs w:val="21"/>
              </w:rPr>
            </w:pPr>
            <w:r>
              <w:rPr>
                <w:sz w:val="21"/>
                <w:szCs w:val="21"/>
                <w:spacing w:val="-1"/>
              </w:rPr>
              <w:t>NMP</w:t>
            </w:r>
          </w:p>
        </w:tc>
        <w:tc>
          <w:tcPr>
            <w:tcW w:w="1953" w:type="dxa"/>
            <w:vAlign w:val="top"/>
          </w:tcPr>
          <w:p>
            <w:pPr>
              <w:pStyle w:val="TableText"/>
              <w:ind w:left="548" w:right="142" w:hanging="420"/>
              <w:spacing w:before="44" w:line="213" w:lineRule="auto"/>
              <w:rPr>
                <w:sz w:val="21"/>
                <w:szCs w:val="21"/>
              </w:rPr>
            </w:pPr>
            <w:r>
              <w:rPr>
                <w:sz w:val="21"/>
                <w:szCs w:val="21"/>
                <w:spacing w:val="-2"/>
              </w:rPr>
              <w:t>物质泄漏导致进入</w:t>
            </w:r>
            <w:r>
              <w:rPr>
                <w:sz w:val="21"/>
                <w:szCs w:val="21"/>
                <w:spacing w:val="6"/>
              </w:rPr>
              <w:t xml:space="preserve"> </w:t>
            </w:r>
            <w:r>
              <w:rPr>
                <w:sz w:val="21"/>
                <w:szCs w:val="21"/>
                <w:spacing w:val="-3"/>
              </w:rPr>
              <w:t>大气环境</w:t>
            </w:r>
          </w:p>
        </w:tc>
      </w:tr>
    </w:tbl>
    <w:p>
      <w:pPr>
        <w:pStyle w:val="BodyText"/>
        <w:ind w:left="124" w:right="170" w:firstLine="490"/>
        <w:spacing w:before="140" w:line="382" w:lineRule="auto"/>
        <w:jc w:val="both"/>
        <w:rPr>
          <w:sz w:val="23"/>
          <w:szCs w:val="23"/>
        </w:rPr>
      </w:pPr>
      <w:r>
        <w:rPr>
          <w:sz w:val="23"/>
          <w:szCs w:val="23"/>
          <w:spacing w:val="10"/>
        </w:rPr>
        <w:t>根据表6.2-1,</w:t>
      </w:r>
      <w:r>
        <w:rPr>
          <w:sz w:val="23"/>
          <w:szCs w:val="23"/>
          <w:spacing w:val="-38"/>
        </w:rPr>
        <w:t xml:space="preserve"> </w:t>
      </w:r>
      <w:r>
        <w:rPr>
          <w:rFonts w:ascii="Times New Roman" w:hAnsi="Times New Roman" w:eastAsia="Times New Roman" w:cs="Times New Roman"/>
          <w:sz w:val="23"/>
          <w:szCs w:val="23"/>
          <w:spacing w:val="10"/>
        </w:rPr>
        <w:t>N-</w:t>
      </w:r>
      <w:r>
        <w:rPr>
          <w:sz w:val="23"/>
          <w:szCs w:val="23"/>
          <w:spacing w:val="10"/>
        </w:rPr>
        <w:t>甲基吡咯烷酮</w:t>
      </w:r>
      <w:r>
        <w:rPr>
          <w:sz w:val="23"/>
          <w:szCs w:val="23"/>
          <w:spacing w:val="-19"/>
        </w:rPr>
        <w:t xml:space="preserve"> </w:t>
      </w:r>
      <w:r>
        <w:rPr>
          <w:rFonts w:ascii="Times New Roman" w:hAnsi="Times New Roman" w:eastAsia="Times New Roman" w:cs="Times New Roman"/>
          <w:sz w:val="23"/>
          <w:szCs w:val="23"/>
          <w:spacing w:val="10"/>
        </w:rPr>
        <w:t>(</w:t>
      </w:r>
      <w:r>
        <w:rPr>
          <w:rFonts w:ascii="Times New Roman" w:hAnsi="Times New Roman" w:eastAsia="Times New Roman" w:cs="Times New Roman"/>
          <w:sz w:val="23"/>
          <w:szCs w:val="23"/>
        </w:rPr>
        <w:t>NMP</w:t>
      </w:r>
      <w:r>
        <w:rPr>
          <w:rFonts w:ascii="Times New Roman" w:hAnsi="Times New Roman" w:eastAsia="Times New Roman" w:cs="Times New Roman"/>
          <w:sz w:val="23"/>
          <w:szCs w:val="23"/>
          <w:spacing w:val="10"/>
        </w:rPr>
        <w:t>)    </w:t>
      </w:r>
      <w:r>
        <w:rPr>
          <w:sz w:val="23"/>
          <w:szCs w:val="23"/>
          <w:spacing w:val="10"/>
        </w:rPr>
        <w:t>储罐泄漏孔径为10</w:t>
      </w:r>
      <w:r>
        <w:rPr>
          <w:rFonts w:ascii="Times New Roman" w:hAnsi="Times New Roman" w:eastAsia="Times New Roman" w:cs="Times New Roman"/>
          <w:sz w:val="23"/>
          <w:szCs w:val="23"/>
        </w:rPr>
        <w:t>mm</w:t>
      </w:r>
      <w:r>
        <w:rPr>
          <w:rFonts w:ascii="Times New Roman" w:hAnsi="Times New Roman" w:eastAsia="Times New Roman" w:cs="Times New Roman"/>
          <w:sz w:val="23"/>
          <w:szCs w:val="23"/>
          <w:spacing w:val="27"/>
        </w:rPr>
        <w:t xml:space="preserve"> </w:t>
      </w:r>
      <w:r>
        <w:rPr>
          <w:sz w:val="23"/>
          <w:szCs w:val="23"/>
          <w:spacing w:val="10"/>
        </w:rPr>
        <w:t>孔径的发生概率</w:t>
      </w:r>
      <w:r>
        <w:rPr>
          <w:sz w:val="23"/>
          <w:szCs w:val="23"/>
        </w:rPr>
        <w:t xml:space="preserve"> </w:t>
      </w:r>
      <w:r>
        <w:rPr>
          <w:sz w:val="23"/>
          <w:szCs w:val="23"/>
          <w:spacing w:val="10"/>
        </w:rPr>
        <w:t>为1.00×10*,10</w:t>
      </w:r>
      <w:r>
        <w:rPr>
          <w:sz w:val="23"/>
          <w:szCs w:val="23"/>
        </w:rPr>
        <w:t>min</w:t>
      </w:r>
      <w:r>
        <w:rPr>
          <w:sz w:val="23"/>
          <w:szCs w:val="23"/>
          <w:spacing w:val="10"/>
        </w:rPr>
        <w:t>内储罐泄漏完储罐全破裂发生概率为5.00×10-6。根</w:t>
      </w:r>
      <w:r>
        <w:rPr>
          <w:sz w:val="23"/>
          <w:szCs w:val="23"/>
          <w:spacing w:val="9"/>
        </w:rPr>
        <w:t>据《环境风</w:t>
      </w:r>
      <w:r>
        <w:rPr>
          <w:sz w:val="23"/>
          <w:szCs w:val="23"/>
        </w:rPr>
        <w:t xml:space="preserve"> </w:t>
      </w:r>
      <w:r>
        <w:rPr>
          <w:sz w:val="23"/>
          <w:szCs w:val="23"/>
          <w:spacing w:val="9"/>
        </w:rPr>
        <w:t>险评价实用技术和方法》</w:t>
      </w:r>
      <w:r>
        <w:rPr>
          <w:sz w:val="23"/>
          <w:szCs w:val="23"/>
          <w:spacing w:val="112"/>
        </w:rPr>
        <w:t xml:space="preserve"> </w:t>
      </w:r>
      <w:r>
        <w:rPr>
          <w:sz w:val="23"/>
          <w:szCs w:val="23"/>
          <w:spacing w:val="9"/>
        </w:rPr>
        <w:t>(胡二邦主编)中统计数据，目前国内化工装置典型事故风</w:t>
      </w:r>
      <w:r>
        <w:rPr>
          <w:sz w:val="23"/>
          <w:szCs w:val="23"/>
        </w:rPr>
        <w:t xml:space="preserve"> </w:t>
      </w:r>
      <w:r>
        <w:rPr>
          <w:sz w:val="23"/>
          <w:szCs w:val="23"/>
          <w:spacing w:val="3"/>
        </w:rPr>
        <w:t>险概率在1×10-5/年左右，本工程发生风</w:t>
      </w:r>
      <w:r>
        <w:rPr>
          <w:sz w:val="23"/>
          <w:szCs w:val="23"/>
          <w:spacing w:val="2"/>
        </w:rPr>
        <w:t>险事故的原因和概率应与国内现有装置接近，</w:t>
      </w:r>
    </w:p>
    <w:p>
      <w:pPr>
        <w:pStyle w:val="BodyText"/>
        <w:ind w:left="144"/>
        <w:spacing w:before="1" w:line="218" w:lineRule="auto"/>
        <w:rPr>
          <w:sz w:val="23"/>
          <w:szCs w:val="23"/>
        </w:rPr>
      </w:pPr>
      <w:r>
        <w:rPr>
          <w:sz w:val="23"/>
          <w:szCs w:val="23"/>
          <w:spacing w:val="-6"/>
        </w:rPr>
        <w:t>故本工程风险事故概率为1×10-5/年。</w:t>
      </w:r>
    </w:p>
    <w:p>
      <w:pPr>
        <w:pStyle w:val="BodyText"/>
        <w:ind w:left="124"/>
        <w:spacing w:before="229" w:line="201" w:lineRule="auto"/>
        <w:rPr>
          <w:sz w:val="23"/>
          <w:szCs w:val="23"/>
        </w:rPr>
      </w:pPr>
      <w:r>
        <w:rPr>
          <w:sz w:val="26"/>
          <w:szCs w:val="26"/>
          <w:spacing w:val="-15"/>
        </w:rPr>
        <w:t>6.2.2</w:t>
      </w:r>
      <w:r>
        <w:rPr>
          <w:sz w:val="26"/>
          <w:szCs w:val="26"/>
          <w:spacing w:val="-38"/>
        </w:rPr>
        <w:t xml:space="preserve"> </w:t>
      </w:r>
      <w:r>
        <w:rPr>
          <w:sz w:val="23"/>
          <w:szCs w:val="23"/>
          <w:spacing w:val="-15"/>
        </w:rPr>
        <w:t>泄</w:t>
      </w:r>
      <w:r>
        <w:rPr>
          <w:sz w:val="23"/>
          <w:szCs w:val="23"/>
          <w:spacing w:val="-43"/>
        </w:rPr>
        <w:t xml:space="preserve"> </w:t>
      </w:r>
      <w:r>
        <w:rPr>
          <w:sz w:val="23"/>
          <w:szCs w:val="23"/>
          <w:spacing w:val="-15"/>
        </w:rPr>
        <w:t>漏</w:t>
      </w:r>
      <w:r>
        <w:rPr>
          <w:sz w:val="23"/>
          <w:szCs w:val="23"/>
          <w:spacing w:val="-43"/>
        </w:rPr>
        <w:t xml:space="preserve"> </w:t>
      </w:r>
      <w:r>
        <w:rPr>
          <w:sz w:val="23"/>
          <w:szCs w:val="23"/>
          <w:spacing w:val="-15"/>
        </w:rPr>
        <w:t>事</w:t>
      </w:r>
      <w:r>
        <w:rPr>
          <w:sz w:val="23"/>
          <w:szCs w:val="23"/>
          <w:spacing w:val="-40"/>
        </w:rPr>
        <w:t xml:space="preserve"> </w:t>
      </w:r>
      <w:r>
        <w:rPr>
          <w:sz w:val="23"/>
          <w:szCs w:val="23"/>
          <w:spacing w:val="-15"/>
        </w:rPr>
        <w:t>故</w:t>
      </w:r>
      <w:r>
        <w:rPr>
          <w:sz w:val="23"/>
          <w:szCs w:val="23"/>
          <w:spacing w:val="-44"/>
        </w:rPr>
        <w:t xml:space="preserve"> </w:t>
      </w:r>
      <w:r>
        <w:rPr>
          <w:sz w:val="23"/>
          <w:szCs w:val="23"/>
          <w:spacing w:val="-15"/>
        </w:rPr>
        <w:t>源</w:t>
      </w:r>
      <w:r>
        <w:rPr>
          <w:sz w:val="23"/>
          <w:szCs w:val="23"/>
          <w:spacing w:val="-37"/>
        </w:rPr>
        <w:t xml:space="preserve"> </w:t>
      </w:r>
      <w:r>
        <w:rPr>
          <w:sz w:val="23"/>
          <w:szCs w:val="23"/>
          <w:spacing w:val="-15"/>
        </w:rPr>
        <w:t>强</w:t>
      </w:r>
    </w:p>
    <w:p>
      <w:pPr>
        <w:pStyle w:val="BodyText"/>
        <w:ind w:left="134" w:right="109" w:firstLine="490"/>
        <w:spacing w:before="47" w:line="377" w:lineRule="auto"/>
        <w:jc w:val="both"/>
        <w:rPr>
          <w:sz w:val="23"/>
          <w:szCs w:val="23"/>
        </w:rPr>
      </w:pPr>
      <w:r>
        <w:rPr>
          <w:sz w:val="23"/>
          <w:szCs w:val="23"/>
          <w:spacing w:val="8"/>
        </w:rPr>
        <w:t>泄漏液体的蒸发可分为闪蒸蒸发、热量蒸发和质量蒸发三种，其蒸发总量为</w:t>
      </w:r>
      <w:r>
        <w:rPr>
          <w:sz w:val="23"/>
          <w:szCs w:val="23"/>
          <w:spacing w:val="7"/>
        </w:rPr>
        <w:t>这三</w:t>
      </w:r>
      <w:r>
        <w:rPr>
          <w:sz w:val="23"/>
          <w:szCs w:val="23"/>
        </w:rPr>
        <w:t xml:space="preserve"> </w:t>
      </w:r>
      <w:r>
        <w:rPr>
          <w:sz w:val="23"/>
          <w:szCs w:val="23"/>
          <w:spacing w:val="7"/>
        </w:rPr>
        <w:t>种蒸发量之和。由于</w:t>
      </w:r>
      <w:r>
        <w:rPr>
          <w:sz w:val="23"/>
          <w:szCs w:val="23"/>
        </w:rPr>
        <w:t>NMP</w:t>
      </w:r>
      <w:r>
        <w:rPr>
          <w:sz w:val="23"/>
          <w:szCs w:val="23"/>
          <w:spacing w:val="7"/>
        </w:rPr>
        <w:t xml:space="preserve">  常温下为液态，常温贮存，其沸点远高于环境温度，因此，</w:t>
      </w:r>
      <w:r>
        <w:rPr>
          <w:sz w:val="23"/>
          <w:szCs w:val="23"/>
          <w:spacing w:val="10"/>
        </w:rPr>
        <w:t xml:space="preserve"> </w:t>
      </w:r>
      <w:r>
        <w:rPr>
          <w:sz w:val="23"/>
          <w:szCs w:val="23"/>
          <w:spacing w:val="11"/>
        </w:rPr>
        <w:t>当储罐发生泄漏时，泄漏的物质将在储罐围堰形成液池，因</w:t>
      </w:r>
      <w:r>
        <w:rPr>
          <w:rFonts w:ascii="Times New Roman" w:hAnsi="Times New Roman" w:eastAsia="Times New Roman" w:cs="Times New Roman"/>
          <w:sz w:val="23"/>
          <w:szCs w:val="23"/>
        </w:rPr>
        <w:t>NMP</w:t>
      </w:r>
      <w:r>
        <w:rPr>
          <w:rFonts w:ascii="Times New Roman" w:hAnsi="Times New Roman" w:eastAsia="Times New Roman" w:cs="Times New Roman"/>
          <w:sz w:val="23"/>
          <w:szCs w:val="23"/>
          <w:spacing w:val="48"/>
          <w:w w:val="101"/>
        </w:rPr>
        <w:t xml:space="preserve"> </w:t>
      </w:r>
      <w:r>
        <w:rPr>
          <w:sz w:val="23"/>
          <w:szCs w:val="23"/>
          <w:spacing w:val="11"/>
        </w:rPr>
        <w:t>挥发度低，故不计</w:t>
      </w:r>
    </w:p>
    <w:p>
      <w:pPr>
        <w:pStyle w:val="BodyText"/>
        <w:ind w:left="154"/>
        <w:spacing w:before="1" w:line="219" w:lineRule="auto"/>
        <w:rPr>
          <w:sz w:val="23"/>
          <w:szCs w:val="23"/>
        </w:rPr>
      </w:pPr>
      <w:r>
        <w:rPr>
          <w:sz w:val="23"/>
          <w:szCs w:val="23"/>
          <w:spacing w:val="7"/>
        </w:rPr>
        <w:t>算其蒸发部分，故只计算</w:t>
      </w:r>
      <w:r>
        <w:rPr>
          <w:rFonts w:ascii="Times New Roman" w:hAnsi="Times New Roman" w:eastAsia="Times New Roman" w:cs="Times New Roman"/>
          <w:sz w:val="23"/>
          <w:szCs w:val="23"/>
        </w:rPr>
        <w:t>NMP</w:t>
      </w:r>
      <w:r>
        <w:rPr>
          <w:rFonts w:ascii="Times New Roman" w:hAnsi="Times New Roman" w:eastAsia="Times New Roman" w:cs="Times New Roman"/>
          <w:sz w:val="23"/>
          <w:szCs w:val="23"/>
          <w:spacing w:val="56"/>
        </w:rPr>
        <w:t xml:space="preserve"> </w:t>
      </w:r>
      <w:r>
        <w:rPr>
          <w:sz w:val="23"/>
          <w:szCs w:val="23"/>
          <w:spacing w:val="7"/>
        </w:rPr>
        <w:t>的泄漏量。</w:t>
      </w:r>
    </w:p>
    <w:p>
      <w:pPr>
        <w:pStyle w:val="BodyText"/>
        <w:ind w:left="555"/>
        <w:spacing w:before="187" w:line="219" w:lineRule="auto"/>
        <w:rPr>
          <w:sz w:val="23"/>
          <w:szCs w:val="23"/>
        </w:rPr>
      </w:pPr>
      <w:r>
        <w:rPr>
          <w:sz w:val="23"/>
          <w:szCs w:val="23"/>
          <w:spacing w:val="4"/>
        </w:rPr>
        <w:t>泄漏速率按液体泄漏速率公式计算：</w:t>
      </w:r>
    </w:p>
    <w:p>
      <w:pPr>
        <w:ind w:firstLine="3744"/>
        <w:spacing w:before="177" w:line="560" w:lineRule="exact"/>
        <w:rPr/>
      </w:pPr>
      <w:r>
        <w:rPr>
          <w:position w:val="-11"/>
        </w:rPr>
        <w:drawing>
          <wp:inline distT="0" distB="0" distL="0" distR="0">
            <wp:extent cx="1498604" cy="355662"/>
            <wp:effectExtent l="0" t="0" r="0" b="0"/>
            <wp:docPr id="28" name="IM 28"/>
            <wp:cNvGraphicFramePr/>
            <a:graphic>
              <a:graphicData uri="http://schemas.openxmlformats.org/drawingml/2006/picture">
                <pic:pic>
                  <pic:nvPicPr>
                    <pic:cNvPr id="28" name="IM 28"/>
                    <pic:cNvPicPr/>
                  </pic:nvPicPr>
                  <pic:blipFill>
                    <a:blip r:embed="rId190"/>
                    <a:stretch>
                      <a:fillRect/>
                    </a:stretch>
                  </pic:blipFill>
                  <pic:spPr>
                    <a:xfrm rot="0">
                      <a:off x="0" y="0"/>
                      <a:ext cx="1498604" cy="355662"/>
                    </a:xfrm>
                    <a:prstGeom prst="rect">
                      <a:avLst/>
                    </a:prstGeom>
                  </pic:spPr>
                </pic:pic>
              </a:graphicData>
            </a:graphic>
          </wp:inline>
        </w:drawing>
      </w:r>
    </w:p>
    <w:p>
      <w:pPr>
        <w:pStyle w:val="BodyText"/>
        <w:ind w:left="545"/>
        <w:spacing w:before="233" w:line="212" w:lineRule="auto"/>
        <w:rPr>
          <w:rFonts w:ascii="Times New Roman" w:hAnsi="Times New Roman" w:eastAsia="Times New Roman" w:cs="Times New Roman"/>
          <w:sz w:val="23"/>
          <w:szCs w:val="23"/>
        </w:rPr>
      </w:pPr>
      <w:r>
        <w:rPr>
          <w:sz w:val="23"/>
          <w:szCs w:val="23"/>
          <w:spacing w:val="-5"/>
        </w:rPr>
        <w:t>式中： </w:t>
      </w:r>
      <w:r>
        <w:rPr>
          <w:rFonts w:ascii="Times New Roman" w:hAnsi="Times New Roman" w:eastAsia="Times New Roman" w:cs="Times New Roman"/>
          <w:sz w:val="23"/>
          <w:szCs w:val="23"/>
          <w:spacing w:val="-5"/>
        </w:rPr>
        <w:t>Qt——</w:t>
      </w:r>
      <w:r>
        <w:rPr>
          <w:sz w:val="23"/>
          <w:szCs w:val="23"/>
          <w:spacing w:val="-5"/>
        </w:rPr>
        <w:t>液体泄漏速率， </w:t>
      </w:r>
      <w:r>
        <w:rPr>
          <w:rFonts w:ascii="Times New Roman" w:hAnsi="Times New Roman" w:eastAsia="Times New Roman" w:cs="Times New Roman"/>
          <w:sz w:val="23"/>
          <w:szCs w:val="23"/>
          <w:spacing w:val="-5"/>
        </w:rPr>
        <w:t>kg/s;</w:t>
      </w:r>
    </w:p>
    <w:p>
      <w:pPr>
        <w:pStyle w:val="BodyText"/>
        <w:ind w:left="1274"/>
        <w:spacing w:before="193" w:line="219" w:lineRule="auto"/>
        <w:rPr>
          <w:sz w:val="23"/>
          <w:szCs w:val="23"/>
        </w:rPr>
      </w:pPr>
      <w:r>
        <w:rPr>
          <w:sz w:val="23"/>
          <w:szCs w:val="23"/>
        </w:rPr>
        <w:t>Ca——液体泄漏系数，常用0.6-0.64;</w:t>
      </w:r>
    </w:p>
    <w:p>
      <w:pPr>
        <w:pStyle w:val="BodyText"/>
        <w:ind w:left="1324"/>
        <w:spacing w:before="181" w:line="345"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position w:val="8"/>
        </w:rPr>
        <w:t>A——</w:t>
      </w:r>
      <w:r>
        <w:rPr>
          <w:sz w:val="23"/>
          <w:szCs w:val="23"/>
          <w:spacing w:val="-4"/>
          <w:position w:val="8"/>
        </w:rPr>
        <w:t>裂口面积，</w:t>
      </w:r>
      <w:r>
        <w:rPr>
          <w:sz w:val="23"/>
          <w:szCs w:val="23"/>
          <w:spacing w:val="-41"/>
          <w:position w:val="8"/>
        </w:rPr>
        <w:t xml:space="preserve"> </w:t>
      </w:r>
      <w:r>
        <w:rPr>
          <w:rFonts w:ascii="Times New Roman" w:hAnsi="Times New Roman" w:eastAsia="Times New Roman" w:cs="Times New Roman"/>
          <w:sz w:val="23"/>
          <w:szCs w:val="23"/>
          <w:spacing w:val="-4"/>
          <w:position w:val="8"/>
        </w:rPr>
        <w:t>m²;</w:t>
      </w:r>
    </w:p>
    <w:p>
      <w:pPr>
        <w:pStyle w:val="BodyText"/>
        <w:ind w:left="1274"/>
        <w:spacing w:before="1" w:line="218" w:lineRule="auto"/>
        <w:rPr>
          <w:sz w:val="23"/>
          <w:szCs w:val="23"/>
        </w:rPr>
      </w:pPr>
      <w:r>
        <w:rPr>
          <w:sz w:val="23"/>
          <w:szCs w:val="23"/>
          <w:spacing w:val="-1"/>
        </w:rPr>
        <w:t>P——</w:t>
      </w:r>
      <w:r>
        <w:rPr>
          <w:sz w:val="23"/>
          <w:szCs w:val="23"/>
          <w:spacing w:val="-75"/>
        </w:rPr>
        <w:t xml:space="preserve"> </w:t>
      </w:r>
      <w:r>
        <w:rPr>
          <w:sz w:val="23"/>
          <w:szCs w:val="23"/>
          <w:spacing w:val="-1"/>
        </w:rPr>
        <w:t>容器内介质压力；</w:t>
      </w:r>
    </w:p>
    <w:p>
      <w:pPr>
        <w:pStyle w:val="BodyText"/>
        <w:ind w:left="1324"/>
        <w:spacing w:before="188" w:line="444" w:lineRule="exact"/>
        <w:rPr>
          <w:sz w:val="23"/>
          <w:szCs w:val="23"/>
        </w:rPr>
      </w:pPr>
      <w:r>
        <w:rPr>
          <w:rFonts w:ascii="Times New Roman" w:hAnsi="Times New Roman" w:eastAsia="Times New Roman" w:cs="Times New Roman"/>
          <w:sz w:val="23"/>
          <w:szCs w:val="23"/>
          <w:spacing w:val="-3"/>
          <w:position w:val="16"/>
        </w:rPr>
        <w:t>P₀——</w:t>
      </w:r>
      <w:r>
        <w:rPr>
          <w:rFonts w:ascii="Times New Roman" w:hAnsi="Times New Roman" w:eastAsia="Times New Roman" w:cs="Times New Roman"/>
          <w:sz w:val="23"/>
          <w:szCs w:val="23"/>
          <w:spacing w:val="-29"/>
          <w:position w:val="16"/>
        </w:rPr>
        <w:t xml:space="preserve"> </w:t>
      </w:r>
      <w:r>
        <w:rPr>
          <w:sz w:val="23"/>
          <w:szCs w:val="23"/>
          <w:spacing w:val="-3"/>
          <w:position w:val="16"/>
        </w:rPr>
        <w:t>环境压力；</w:t>
      </w:r>
    </w:p>
    <w:p>
      <w:pPr>
        <w:pStyle w:val="BodyText"/>
        <w:ind w:left="1214"/>
        <w:spacing w:line="212" w:lineRule="auto"/>
        <w:rPr>
          <w:sz w:val="23"/>
          <w:szCs w:val="23"/>
        </w:rPr>
      </w:pPr>
      <w:r>
        <w:rPr>
          <w:rFonts w:ascii="Times New Roman" w:hAnsi="Times New Roman" w:eastAsia="Times New Roman" w:cs="Times New Roman"/>
          <w:sz w:val="23"/>
          <w:szCs w:val="23"/>
          <w:spacing w:val="-3"/>
        </w:rPr>
        <w:t>p——</w:t>
      </w:r>
      <w:r>
        <w:rPr>
          <w:rFonts w:ascii="Times New Roman" w:hAnsi="Times New Roman" w:eastAsia="Times New Roman" w:cs="Times New Roman"/>
          <w:sz w:val="23"/>
          <w:szCs w:val="23"/>
          <w:spacing w:val="20"/>
        </w:rPr>
        <w:t xml:space="preserve"> </w:t>
      </w:r>
      <w:r>
        <w:rPr>
          <w:sz w:val="23"/>
          <w:szCs w:val="23"/>
          <w:spacing w:val="-3"/>
        </w:rPr>
        <w:t>液体密度；</w:t>
      </w:r>
    </w:p>
    <w:p>
      <w:pPr>
        <w:pStyle w:val="BodyText"/>
        <w:ind w:left="1145"/>
        <w:spacing w:before="206" w:line="212" w:lineRule="auto"/>
        <w:rPr>
          <w:sz w:val="23"/>
          <w:szCs w:val="23"/>
        </w:rPr>
      </w:pPr>
      <w:r>
        <w:rPr>
          <w:rFonts w:ascii="Times New Roman" w:hAnsi="Times New Roman" w:eastAsia="Times New Roman" w:cs="Times New Roman"/>
          <w:sz w:val="23"/>
          <w:szCs w:val="23"/>
          <w:spacing w:val="-3"/>
        </w:rPr>
        <w:t>g——</w:t>
      </w:r>
      <w:r>
        <w:rPr>
          <w:rFonts w:ascii="Times New Roman" w:hAnsi="Times New Roman" w:eastAsia="Times New Roman" w:cs="Times New Roman"/>
          <w:sz w:val="23"/>
          <w:szCs w:val="23"/>
          <w:spacing w:val="-28"/>
        </w:rPr>
        <w:t xml:space="preserve"> </w:t>
      </w:r>
      <w:r>
        <w:rPr>
          <w:sz w:val="23"/>
          <w:szCs w:val="23"/>
          <w:spacing w:val="-3"/>
        </w:rPr>
        <w:t>重力加速度；</w:t>
      </w:r>
    </w:p>
    <w:p>
      <w:pPr>
        <w:pStyle w:val="BodyText"/>
        <w:ind w:left="1135"/>
        <w:spacing w:before="187" w:line="505"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position w:val="21"/>
        </w:rPr>
        <w:t>h—— </w:t>
      </w:r>
      <w:r>
        <w:rPr>
          <w:sz w:val="23"/>
          <w:szCs w:val="23"/>
          <w:spacing w:val="-1"/>
          <w:position w:val="21"/>
        </w:rPr>
        <w:t>裂口之上液位高度，</w:t>
      </w:r>
      <w:r>
        <w:rPr>
          <w:sz w:val="23"/>
          <w:szCs w:val="23"/>
          <w:spacing w:val="-26"/>
          <w:position w:val="21"/>
        </w:rPr>
        <w:t xml:space="preserve"> </w:t>
      </w:r>
      <w:r>
        <w:rPr>
          <w:rFonts w:ascii="Times New Roman" w:hAnsi="Times New Roman" w:eastAsia="Times New Roman" w:cs="Times New Roman"/>
          <w:sz w:val="23"/>
          <w:szCs w:val="23"/>
          <w:spacing w:val="-1"/>
          <w:position w:val="21"/>
        </w:rPr>
        <w:t>m;</w:t>
      </w:r>
    </w:p>
    <w:p>
      <w:pPr>
        <w:pStyle w:val="BodyText"/>
        <w:ind w:left="624"/>
        <w:spacing w:line="219" w:lineRule="auto"/>
        <w:rPr>
          <w:sz w:val="23"/>
          <w:szCs w:val="23"/>
        </w:rPr>
      </w:pPr>
      <w:r>
        <w:rPr>
          <w:sz w:val="23"/>
          <w:szCs w:val="23"/>
          <w:spacing w:val="3"/>
        </w:rPr>
        <w:t>泄漏事故源强计算结果见表6.2-3。</w:t>
      </w:r>
    </w:p>
    <w:p>
      <w:pPr>
        <w:spacing w:line="219" w:lineRule="auto"/>
        <w:sectPr>
          <w:footerReference w:type="default" r:id="rId189"/>
          <w:pgSz w:w="11900" w:h="16840"/>
          <w:pgMar w:top="1272" w:right="1355" w:bottom="1005" w:left="1405" w:header="0" w:footer="856" w:gutter="0"/>
        </w:sectPr>
        <w:rPr>
          <w:sz w:val="23"/>
          <w:szCs w:val="23"/>
        </w:rPr>
      </w:pPr>
    </w:p>
    <w:p>
      <w:pPr>
        <w:pStyle w:val="BodyText"/>
        <w:ind w:left="2484"/>
        <w:spacing w:before="46" w:line="219" w:lineRule="auto"/>
        <w:rPr>
          <w:sz w:val="23"/>
          <w:szCs w:val="23"/>
        </w:rPr>
      </w:pPr>
      <w:r>
        <w:rPr>
          <w:sz w:val="23"/>
          <w:szCs w:val="23"/>
          <w:spacing w:val="21"/>
        </w:rPr>
        <w:t>表6.2-3  </w:t>
      </w:r>
      <w:r>
        <w:rPr>
          <w:sz w:val="23"/>
          <w:szCs w:val="23"/>
        </w:rPr>
        <w:t>NMP</w:t>
      </w:r>
      <w:r>
        <w:rPr>
          <w:sz w:val="23"/>
          <w:szCs w:val="23"/>
          <w:spacing w:val="48"/>
        </w:rPr>
        <w:t xml:space="preserve">  </w:t>
      </w:r>
      <w:r>
        <w:rPr>
          <w:sz w:val="23"/>
          <w:szCs w:val="23"/>
          <w:spacing w:val="21"/>
        </w:rPr>
        <w:t>储罐泄漏源项强度</w:t>
      </w:r>
    </w:p>
    <w:p>
      <w:pPr>
        <w:spacing w:line="142" w:lineRule="exact"/>
        <w:rPr/>
      </w:pPr>
      <w:r/>
    </w:p>
    <w:tbl>
      <w:tblPr>
        <w:tblStyle w:val="TableNormal"/>
        <w:tblW w:w="88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64"/>
        <w:gridCol w:w="679"/>
        <w:gridCol w:w="1069"/>
        <w:gridCol w:w="1268"/>
        <w:gridCol w:w="1069"/>
        <w:gridCol w:w="979"/>
        <w:gridCol w:w="1039"/>
        <w:gridCol w:w="1229"/>
        <w:gridCol w:w="874"/>
      </w:tblGrid>
      <w:tr>
        <w:trPr>
          <w:trHeight w:val="549" w:hRule="atLeast"/>
        </w:trPr>
        <w:tc>
          <w:tcPr>
            <w:tcW w:w="664" w:type="dxa"/>
            <w:vAlign w:val="top"/>
          </w:tcPr>
          <w:p>
            <w:pPr>
              <w:pStyle w:val="TableText"/>
              <w:ind w:left="114"/>
              <w:spacing w:before="174" w:line="220" w:lineRule="auto"/>
              <w:rPr>
                <w:sz w:val="21"/>
                <w:szCs w:val="21"/>
              </w:rPr>
            </w:pPr>
            <w:r>
              <w:rPr>
                <w:sz w:val="21"/>
                <w:szCs w:val="21"/>
                <w:spacing w:val="6"/>
              </w:rPr>
              <w:t>源项</w:t>
            </w:r>
          </w:p>
        </w:tc>
        <w:tc>
          <w:tcPr>
            <w:tcW w:w="679" w:type="dxa"/>
            <w:vAlign w:val="top"/>
          </w:tcPr>
          <w:p>
            <w:pPr>
              <w:pStyle w:val="TableText"/>
              <w:ind w:left="220" w:right="114" w:hanging="99"/>
              <w:spacing w:before="24" w:line="225" w:lineRule="auto"/>
              <w:rPr>
                <w:sz w:val="21"/>
                <w:szCs w:val="21"/>
              </w:rPr>
            </w:pPr>
            <w:r>
              <w:rPr>
                <w:sz w:val="21"/>
                <w:szCs w:val="21"/>
                <w:spacing w:val="6"/>
              </w:rPr>
              <w:t>泄漏</w:t>
            </w:r>
            <w:r>
              <w:rPr>
                <w:sz w:val="21"/>
                <w:szCs w:val="21"/>
              </w:rPr>
              <w:t xml:space="preserve"> </w:t>
            </w:r>
            <w:r>
              <w:rPr>
                <w:sz w:val="21"/>
                <w:szCs w:val="21"/>
              </w:rPr>
              <w:t>物</w:t>
            </w:r>
          </w:p>
        </w:tc>
        <w:tc>
          <w:tcPr>
            <w:tcW w:w="1069" w:type="dxa"/>
            <w:vAlign w:val="top"/>
          </w:tcPr>
          <w:p>
            <w:pPr>
              <w:pStyle w:val="TableText"/>
              <w:ind w:left="261" w:right="103" w:hanging="159"/>
              <w:spacing w:before="33" w:line="222" w:lineRule="auto"/>
              <w:rPr>
                <w:sz w:val="21"/>
                <w:szCs w:val="21"/>
              </w:rPr>
            </w:pPr>
            <w:r>
              <w:rPr>
                <w:sz w:val="21"/>
                <w:szCs w:val="21"/>
                <w:spacing w:val="3"/>
              </w:rPr>
              <w:t>单个容积</w:t>
            </w:r>
            <w:r>
              <w:rPr>
                <w:sz w:val="21"/>
                <w:szCs w:val="21"/>
              </w:rPr>
              <w:t xml:space="preserve"> </w:t>
            </w:r>
            <w:r>
              <w:rPr>
                <w:sz w:val="21"/>
                <w:szCs w:val="21"/>
                <w:spacing w:val="-9"/>
              </w:rPr>
              <w:t>(m³)</w:t>
            </w:r>
          </w:p>
        </w:tc>
        <w:tc>
          <w:tcPr>
            <w:tcW w:w="1268" w:type="dxa"/>
            <w:vAlign w:val="top"/>
          </w:tcPr>
          <w:p>
            <w:pPr>
              <w:pStyle w:val="TableText"/>
              <w:ind w:left="362" w:right="194" w:hanging="159"/>
              <w:spacing w:before="45" w:line="217" w:lineRule="auto"/>
              <w:rPr>
                <w:sz w:val="21"/>
                <w:szCs w:val="21"/>
              </w:rPr>
            </w:pPr>
            <w:r>
              <w:rPr>
                <w:sz w:val="21"/>
                <w:szCs w:val="21"/>
                <w:spacing w:val="5"/>
              </w:rPr>
              <w:t>泄漏时间</w:t>
            </w:r>
            <w:r>
              <w:rPr>
                <w:sz w:val="21"/>
                <w:szCs w:val="21"/>
              </w:rPr>
              <w:t xml:space="preserve"> </w:t>
            </w:r>
            <w:r>
              <w:rPr>
                <w:sz w:val="21"/>
                <w:szCs w:val="21"/>
                <w:spacing w:val="-8"/>
              </w:rPr>
              <w:t>(min)</w:t>
            </w:r>
          </w:p>
        </w:tc>
        <w:tc>
          <w:tcPr>
            <w:tcW w:w="1069" w:type="dxa"/>
            <w:vAlign w:val="top"/>
          </w:tcPr>
          <w:p>
            <w:pPr>
              <w:pStyle w:val="TableText"/>
              <w:ind w:left="315" w:right="103" w:hanging="210"/>
              <w:spacing w:before="43" w:line="218" w:lineRule="auto"/>
              <w:rPr>
                <w:sz w:val="21"/>
                <w:szCs w:val="21"/>
              </w:rPr>
            </w:pPr>
            <w:r>
              <w:rPr>
                <w:sz w:val="21"/>
                <w:szCs w:val="21"/>
                <w:spacing w:val="2"/>
              </w:rPr>
              <w:t>泄漏孔径</w:t>
            </w:r>
            <w:r>
              <w:rPr>
                <w:sz w:val="21"/>
                <w:szCs w:val="21"/>
                <w:spacing w:val="1"/>
              </w:rPr>
              <w:t xml:space="preserve"> </w:t>
            </w:r>
            <w:r>
              <w:rPr>
                <w:sz w:val="21"/>
                <w:szCs w:val="21"/>
                <w:spacing w:val="-9"/>
              </w:rPr>
              <w:t>(mm)</w:t>
            </w:r>
          </w:p>
        </w:tc>
        <w:tc>
          <w:tcPr>
            <w:tcW w:w="979" w:type="dxa"/>
            <w:vAlign w:val="top"/>
          </w:tcPr>
          <w:p>
            <w:pPr>
              <w:pStyle w:val="TableText"/>
              <w:ind w:left="146" w:right="96" w:firstLine="19"/>
              <w:spacing w:before="43" w:line="218" w:lineRule="auto"/>
              <w:rPr>
                <w:sz w:val="21"/>
                <w:szCs w:val="21"/>
              </w:rPr>
            </w:pPr>
            <w:r>
              <w:rPr>
                <w:sz w:val="21"/>
                <w:szCs w:val="21"/>
                <w:spacing w:val="-4"/>
              </w:rPr>
              <w:t>液体液</w:t>
            </w:r>
            <w:r>
              <w:rPr>
                <w:sz w:val="21"/>
                <w:szCs w:val="21"/>
              </w:rPr>
              <w:t xml:space="preserve">  </w:t>
            </w:r>
            <w:r>
              <w:rPr>
                <w:sz w:val="21"/>
                <w:szCs w:val="21"/>
                <w:spacing w:val="-13"/>
                <w:w w:val="97"/>
              </w:rPr>
              <w:t>位</w:t>
            </w:r>
            <w:r>
              <w:rPr>
                <w:sz w:val="21"/>
                <w:szCs w:val="21"/>
                <w:spacing w:val="11"/>
              </w:rPr>
              <w:t xml:space="preserve"> </w:t>
            </w:r>
            <w:r>
              <w:rPr>
                <w:sz w:val="21"/>
                <w:szCs w:val="21"/>
                <w:spacing w:val="-13"/>
                <w:w w:val="97"/>
              </w:rPr>
              <w:t>(</w:t>
            </w:r>
            <w:r>
              <w:rPr>
                <w:sz w:val="21"/>
                <w:szCs w:val="21"/>
                <w:spacing w:val="-33"/>
              </w:rPr>
              <w:t xml:space="preserve"> </w:t>
            </w:r>
            <w:r>
              <w:rPr>
                <w:sz w:val="21"/>
                <w:szCs w:val="21"/>
                <w:spacing w:val="-13"/>
                <w:w w:val="97"/>
              </w:rPr>
              <w:t>m</w:t>
            </w:r>
            <w:r>
              <w:rPr>
                <w:sz w:val="21"/>
                <w:szCs w:val="21"/>
                <w:spacing w:val="-26"/>
              </w:rPr>
              <w:t xml:space="preserve"> </w:t>
            </w:r>
            <w:r>
              <w:rPr>
                <w:sz w:val="21"/>
                <w:szCs w:val="21"/>
                <w:spacing w:val="-13"/>
                <w:w w:val="97"/>
              </w:rPr>
              <w:t>)</w:t>
            </w:r>
          </w:p>
        </w:tc>
        <w:tc>
          <w:tcPr>
            <w:tcW w:w="1039" w:type="dxa"/>
            <w:vAlign w:val="top"/>
          </w:tcPr>
          <w:p>
            <w:pPr>
              <w:pStyle w:val="TableText"/>
              <w:ind w:left="197"/>
              <w:spacing w:before="24" w:line="292" w:lineRule="exact"/>
              <w:rPr>
                <w:sz w:val="21"/>
                <w:szCs w:val="21"/>
              </w:rPr>
            </w:pPr>
            <w:r>
              <w:rPr>
                <w:sz w:val="21"/>
                <w:szCs w:val="21"/>
                <w:spacing w:val="-3"/>
                <w:position w:val="5"/>
              </w:rPr>
              <w:t>泄漏量</w:t>
            </w:r>
          </w:p>
          <w:p>
            <w:pPr>
              <w:pStyle w:val="TableText"/>
              <w:ind w:left="197"/>
              <w:spacing w:line="195" w:lineRule="auto"/>
              <w:rPr>
                <w:sz w:val="21"/>
                <w:szCs w:val="21"/>
              </w:rPr>
            </w:pPr>
            <w:r>
              <w:rPr>
                <w:sz w:val="21"/>
                <w:szCs w:val="21"/>
                <w:spacing w:val="-7"/>
              </w:rPr>
              <w:t>(kg/s)</w:t>
            </w:r>
          </w:p>
        </w:tc>
        <w:tc>
          <w:tcPr>
            <w:tcW w:w="1229" w:type="dxa"/>
            <w:vAlign w:val="top"/>
          </w:tcPr>
          <w:p>
            <w:pPr>
              <w:pStyle w:val="TableText"/>
              <w:ind w:left="347" w:right="177" w:hanging="160"/>
              <w:spacing w:before="43" w:line="218" w:lineRule="auto"/>
              <w:rPr>
                <w:sz w:val="21"/>
                <w:szCs w:val="21"/>
              </w:rPr>
            </w:pPr>
            <w:r>
              <w:rPr>
                <w:sz w:val="21"/>
                <w:szCs w:val="21"/>
                <w:spacing w:val="3"/>
              </w:rPr>
              <w:t>液池面积</w:t>
            </w:r>
            <w:r>
              <w:rPr>
                <w:sz w:val="21"/>
                <w:szCs w:val="21"/>
              </w:rPr>
              <w:t xml:space="preserve"> </w:t>
            </w:r>
            <w:r>
              <w:rPr>
                <w:sz w:val="21"/>
                <w:szCs w:val="21"/>
                <w:spacing w:val="-9"/>
              </w:rPr>
              <w:t>(m²)</w:t>
            </w:r>
          </w:p>
        </w:tc>
        <w:tc>
          <w:tcPr>
            <w:tcW w:w="874" w:type="dxa"/>
            <w:vAlign w:val="top"/>
          </w:tcPr>
          <w:p>
            <w:pPr>
              <w:pStyle w:val="TableText"/>
              <w:ind w:left="218" w:right="126" w:hanging="100"/>
              <w:spacing w:before="24" w:line="226" w:lineRule="auto"/>
              <w:rPr>
                <w:sz w:val="21"/>
                <w:szCs w:val="21"/>
              </w:rPr>
            </w:pPr>
            <w:r>
              <w:rPr>
                <w:sz w:val="21"/>
                <w:szCs w:val="21"/>
                <w:spacing w:val="-4"/>
              </w:rPr>
              <w:t>泄漏量</w:t>
            </w:r>
            <w:r>
              <w:rPr>
                <w:sz w:val="21"/>
                <w:szCs w:val="21"/>
              </w:rPr>
              <w:t xml:space="preserve"> </w:t>
            </w:r>
            <w:r>
              <w:rPr>
                <w:sz w:val="21"/>
                <w:szCs w:val="21"/>
                <w:spacing w:val="-9"/>
              </w:rPr>
              <w:t>(kg)</w:t>
            </w:r>
          </w:p>
        </w:tc>
      </w:tr>
      <w:tr>
        <w:trPr>
          <w:trHeight w:val="520" w:hRule="atLeast"/>
        </w:trPr>
        <w:tc>
          <w:tcPr>
            <w:tcW w:w="664" w:type="dxa"/>
            <w:vAlign w:val="top"/>
          </w:tcPr>
          <w:p>
            <w:pPr>
              <w:pStyle w:val="TableText"/>
              <w:ind w:left="114" w:right="126" w:firstLine="50"/>
              <w:spacing w:before="80" w:line="189" w:lineRule="auto"/>
              <w:rPr>
                <w:sz w:val="21"/>
                <w:szCs w:val="21"/>
              </w:rPr>
            </w:pPr>
            <w:r>
              <w:rPr>
                <w:sz w:val="21"/>
                <w:szCs w:val="21"/>
                <w:spacing w:val="-1"/>
              </w:rPr>
              <w:t>NMP</w:t>
            </w:r>
            <w:r>
              <w:rPr>
                <w:sz w:val="21"/>
                <w:szCs w:val="21"/>
              </w:rPr>
              <w:t xml:space="preserve"> </w:t>
            </w:r>
            <w:r>
              <w:rPr>
                <w:sz w:val="21"/>
                <w:szCs w:val="21"/>
                <w:spacing w:val="-4"/>
              </w:rPr>
              <w:t>储罐</w:t>
            </w:r>
          </w:p>
        </w:tc>
        <w:tc>
          <w:tcPr>
            <w:tcW w:w="679" w:type="dxa"/>
            <w:vAlign w:val="top"/>
          </w:tcPr>
          <w:p>
            <w:pPr>
              <w:pStyle w:val="TableText"/>
              <w:ind w:left="171"/>
              <w:spacing w:before="219" w:line="182" w:lineRule="auto"/>
              <w:rPr>
                <w:sz w:val="21"/>
                <w:szCs w:val="21"/>
              </w:rPr>
            </w:pPr>
            <w:r>
              <w:rPr>
                <w:sz w:val="21"/>
                <w:szCs w:val="21"/>
                <w:spacing w:val="-1"/>
              </w:rPr>
              <w:t>NMP</w:t>
            </w:r>
          </w:p>
        </w:tc>
        <w:tc>
          <w:tcPr>
            <w:tcW w:w="1069" w:type="dxa"/>
            <w:vAlign w:val="top"/>
          </w:tcPr>
          <w:p>
            <w:pPr>
              <w:pStyle w:val="TableText"/>
              <w:ind w:left="261"/>
              <w:spacing w:before="217" w:line="184" w:lineRule="auto"/>
              <w:rPr>
                <w:sz w:val="21"/>
                <w:szCs w:val="21"/>
              </w:rPr>
            </w:pPr>
            <w:r>
              <w:rPr>
                <w:sz w:val="21"/>
                <w:szCs w:val="21"/>
                <w:spacing w:val="-4"/>
              </w:rPr>
              <w:t>101.7</w:t>
            </w:r>
          </w:p>
        </w:tc>
        <w:tc>
          <w:tcPr>
            <w:tcW w:w="1268" w:type="dxa"/>
            <w:vAlign w:val="top"/>
          </w:tcPr>
          <w:p>
            <w:pPr>
              <w:pStyle w:val="TableText"/>
              <w:ind w:left="523"/>
              <w:spacing w:before="217" w:line="184" w:lineRule="auto"/>
              <w:rPr>
                <w:sz w:val="21"/>
                <w:szCs w:val="21"/>
              </w:rPr>
            </w:pPr>
            <w:r>
              <w:rPr>
                <w:sz w:val="21"/>
                <w:szCs w:val="21"/>
                <w:spacing w:val="-6"/>
              </w:rPr>
              <w:t>10</w:t>
            </w:r>
          </w:p>
        </w:tc>
        <w:tc>
          <w:tcPr>
            <w:tcW w:w="1069" w:type="dxa"/>
            <w:vAlign w:val="top"/>
          </w:tcPr>
          <w:p>
            <w:pPr>
              <w:pStyle w:val="TableText"/>
              <w:ind w:left="425"/>
              <w:spacing w:before="217" w:line="184" w:lineRule="auto"/>
              <w:rPr>
                <w:sz w:val="21"/>
                <w:szCs w:val="21"/>
              </w:rPr>
            </w:pPr>
            <w:r>
              <w:rPr>
                <w:sz w:val="21"/>
                <w:szCs w:val="21"/>
                <w:spacing w:val="-6"/>
              </w:rPr>
              <w:t>10</w:t>
            </w:r>
          </w:p>
        </w:tc>
        <w:tc>
          <w:tcPr>
            <w:tcW w:w="979" w:type="dxa"/>
            <w:vAlign w:val="top"/>
          </w:tcPr>
          <w:p>
            <w:pPr>
              <w:pStyle w:val="TableText"/>
              <w:ind w:left="325"/>
              <w:spacing w:before="218" w:line="183" w:lineRule="auto"/>
              <w:rPr>
                <w:sz w:val="21"/>
                <w:szCs w:val="21"/>
              </w:rPr>
            </w:pPr>
            <w:r>
              <w:rPr>
                <w:sz w:val="21"/>
                <w:szCs w:val="21"/>
                <w:spacing w:val="-3"/>
              </w:rPr>
              <w:t>2.6</w:t>
            </w:r>
          </w:p>
        </w:tc>
        <w:tc>
          <w:tcPr>
            <w:tcW w:w="1039" w:type="dxa"/>
            <w:vAlign w:val="top"/>
          </w:tcPr>
          <w:p>
            <w:pPr>
              <w:pStyle w:val="TableText"/>
              <w:ind w:left="246"/>
              <w:spacing w:before="218" w:line="183" w:lineRule="auto"/>
              <w:rPr>
                <w:sz w:val="21"/>
                <w:szCs w:val="21"/>
              </w:rPr>
            </w:pPr>
            <w:r>
              <w:rPr>
                <w:sz w:val="21"/>
                <w:szCs w:val="21"/>
                <w:spacing w:val="-2"/>
              </w:rPr>
              <w:t>0.358</w:t>
            </w:r>
          </w:p>
        </w:tc>
        <w:tc>
          <w:tcPr>
            <w:tcW w:w="1229" w:type="dxa"/>
            <w:vAlign w:val="top"/>
          </w:tcPr>
          <w:p>
            <w:pPr>
              <w:pStyle w:val="TableText"/>
              <w:ind w:left="447"/>
              <w:spacing w:before="218" w:line="183" w:lineRule="auto"/>
              <w:rPr>
                <w:sz w:val="21"/>
                <w:szCs w:val="21"/>
              </w:rPr>
            </w:pPr>
            <w:r>
              <w:rPr>
                <w:sz w:val="21"/>
                <w:szCs w:val="21"/>
                <w:spacing w:val="-3"/>
              </w:rPr>
              <w:t>504</w:t>
            </w:r>
          </w:p>
        </w:tc>
        <w:tc>
          <w:tcPr>
            <w:tcW w:w="874" w:type="dxa"/>
            <w:vAlign w:val="top"/>
          </w:tcPr>
          <w:p>
            <w:pPr>
              <w:pStyle w:val="TableText"/>
              <w:ind w:left="169"/>
              <w:spacing w:before="217" w:line="184" w:lineRule="auto"/>
              <w:rPr>
                <w:sz w:val="21"/>
                <w:szCs w:val="21"/>
              </w:rPr>
            </w:pPr>
            <w:r>
              <w:rPr>
                <w:sz w:val="21"/>
                <w:szCs w:val="21"/>
                <w:spacing w:val="-2"/>
              </w:rPr>
              <w:t>214.8</w:t>
            </w:r>
          </w:p>
        </w:tc>
      </w:tr>
    </w:tbl>
    <w:p>
      <w:pPr>
        <w:pStyle w:val="BodyText"/>
        <w:ind w:left="535"/>
        <w:spacing w:before="41" w:line="473" w:lineRule="exact"/>
        <w:rPr>
          <w:sz w:val="25"/>
          <w:szCs w:val="25"/>
        </w:rPr>
      </w:pPr>
      <w:r>
        <w:rPr>
          <w:sz w:val="25"/>
          <w:szCs w:val="25"/>
          <w:position w:val="17"/>
        </w:rPr>
        <w:t>由于在NMP罐区内设有围堰用以收集事故情形下泄漏的NMP,NMP泄漏后在围堰</w:t>
      </w:r>
    </w:p>
    <w:p>
      <w:pPr>
        <w:pStyle w:val="BodyText"/>
        <w:ind w:left="54"/>
        <w:spacing w:line="219" w:lineRule="auto"/>
        <w:rPr>
          <w:sz w:val="23"/>
          <w:szCs w:val="23"/>
        </w:rPr>
      </w:pPr>
      <w:r>
        <w:rPr>
          <w:sz w:val="23"/>
          <w:szCs w:val="23"/>
          <w:spacing w:val="8"/>
        </w:rPr>
        <w:t>内形成液池，并随地表风的对流面而蒸发扩散。围堰收集面积为504m</w:t>
      </w:r>
      <w:r>
        <w:rPr>
          <w:sz w:val="23"/>
          <w:szCs w:val="23"/>
          <w:spacing w:val="7"/>
        </w:rPr>
        <w:t>²。</w:t>
      </w:r>
    </w:p>
    <w:p>
      <w:pPr>
        <w:pStyle w:val="BodyText"/>
        <w:ind w:left="34" w:right="226" w:firstLine="460"/>
        <w:spacing w:before="195" w:line="375" w:lineRule="auto"/>
        <w:rPr>
          <w:sz w:val="23"/>
          <w:szCs w:val="23"/>
        </w:rPr>
      </w:pPr>
      <w:r>
        <w:rPr>
          <w:rFonts w:ascii="Times New Roman" w:hAnsi="Times New Roman" w:eastAsia="Times New Roman" w:cs="Times New Roman"/>
          <w:sz w:val="23"/>
          <w:szCs w:val="23"/>
        </w:rPr>
        <w:t>NMP</w:t>
      </w:r>
      <w:r>
        <w:rPr>
          <w:rFonts w:ascii="Times New Roman" w:hAnsi="Times New Roman" w:eastAsia="Times New Roman" w:cs="Times New Roman"/>
          <w:sz w:val="23"/>
          <w:szCs w:val="23"/>
          <w:spacing w:val="16"/>
          <w:w w:val="101"/>
        </w:rPr>
        <w:t xml:space="preserve"> </w:t>
      </w:r>
      <w:r>
        <w:rPr>
          <w:sz w:val="23"/>
          <w:szCs w:val="23"/>
          <w:spacing w:val="6"/>
        </w:rPr>
        <w:t>储罐是在常温、常压条件下贮存的，发生泄漏时</w:t>
      </w:r>
      <w:r>
        <w:rPr>
          <w:sz w:val="23"/>
          <w:szCs w:val="23"/>
          <w:spacing w:val="5"/>
        </w:rPr>
        <w:t>，因物料温度与环境温度基</w:t>
      </w:r>
      <w:r>
        <w:rPr>
          <w:sz w:val="23"/>
          <w:szCs w:val="23"/>
        </w:rPr>
        <w:t xml:space="preserve"> </w:t>
      </w:r>
      <w:r>
        <w:rPr>
          <w:sz w:val="23"/>
          <w:szCs w:val="23"/>
          <w:spacing w:val="15"/>
        </w:rPr>
        <w:t>本相同，</w:t>
      </w:r>
      <w:r>
        <w:rPr>
          <w:sz w:val="23"/>
          <w:szCs w:val="23"/>
        </w:rPr>
        <w:t>NMP</w:t>
      </w:r>
      <w:r>
        <w:rPr>
          <w:sz w:val="23"/>
          <w:szCs w:val="23"/>
          <w:spacing w:val="15"/>
        </w:rPr>
        <w:t xml:space="preserve"> 沸点为203℃,不易挥发，因</w:t>
      </w:r>
      <w:r>
        <w:rPr>
          <w:sz w:val="23"/>
          <w:szCs w:val="23"/>
          <w:spacing w:val="14"/>
        </w:rPr>
        <w:t>此不会发生闪蒸和热量蒸发，即发生质量</w:t>
      </w:r>
      <w:r>
        <w:rPr>
          <w:sz w:val="23"/>
          <w:szCs w:val="23"/>
        </w:rPr>
        <w:t xml:space="preserve"> </w:t>
      </w:r>
      <w:r>
        <w:rPr>
          <w:sz w:val="23"/>
          <w:szCs w:val="23"/>
          <w:spacing w:val="7"/>
        </w:rPr>
        <w:t>蒸发。参考《建设项目环境风险评价技术导则》</w:t>
      </w:r>
      <w:r>
        <w:rPr>
          <w:sz w:val="23"/>
          <w:szCs w:val="23"/>
          <w:spacing w:val="8"/>
        </w:rPr>
        <w:t xml:space="preserve">  </w:t>
      </w:r>
      <w:r>
        <w:rPr>
          <w:sz w:val="23"/>
          <w:szCs w:val="23"/>
          <w:spacing w:val="7"/>
        </w:rPr>
        <w:t>(</w:t>
      </w:r>
      <w:r>
        <w:rPr>
          <w:sz w:val="23"/>
          <w:szCs w:val="23"/>
        </w:rPr>
        <w:t>HJ</w:t>
      </w:r>
      <w:r>
        <w:rPr>
          <w:sz w:val="23"/>
          <w:szCs w:val="23"/>
          <w:spacing w:val="7"/>
        </w:rPr>
        <w:t>169-2018),</w:t>
      </w:r>
      <w:r>
        <w:rPr>
          <w:sz w:val="23"/>
          <w:szCs w:val="23"/>
          <w:spacing w:val="3"/>
        </w:rPr>
        <w:t xml:space="preserve">   </w:t>
      </w:r>
      <w:r>
        <w:rPr>
          <w:sz w:val="23"/>
          <w:szCs w:val="23"/>
          <w:spacing w:val="7"/>
        </w:rPr>
        <w:t>质量蒸发速度Q3</w:t>
      </w:r>
    </w:p>
    <w:p>
      <w:pPr>
        <w:pStyle w:val="BodyText"/>
        <w:ind w:left="34"/>
        <w:spacing w:line="219" w:lineRule="auto"/>
        <w:rPr>
          <w:sz w:val="23"/>
          <w:szCs w:val="23"/>
        </w:rPr>
      </w:pPr>
      <w:r>
        <w:rPr>
          <w:sz w:val="23"/>
          <w:szCs w:val="23"/>
        </w:rPr>
        <w:t>按照下式计算：</w:t>
      </w:r>
    </w:p>
    <w:p>
      <w:pPr>
        <w:ind w:left="545"/>
        <w:spacing w:before="276" w:line="192"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O₃=a×p×M/(R×T₀)×u(²-0)(2</w:t>
      </w:r>
      <w:r>
        <w:rPr>
          <w:rFonts w:ascii="Times New Roman" w:hAnsi="Times New Roman" w:eastAsia="Times New Roman" w:cs="Times New Roman"/>
          <w:sz w:val="23"/>
          <w:szCs w:val="23"/>
          <w:spacing w:val="-1"/>
        </w:rPr>
        <w:t>+m)×r(4+)⁴2+m)</w:t>
      </w:r>
    </w:p>
    <w:p>
      <w:pPr>
        <w:spacing w:line="263" w:lineRule="auto"/>
        <w:rPr>
          <w:rFonts w:ascii="Arial"/>
          <w:sz w:val="21"/>
        </w:rPr>
      </w:pPr>
      <w:r/>
    </w:p>
    <w:p>
      <w:pPr>
        <w:pStyle w:val="BodyText"/>
        <w:ind w:left="525"/>
        <w:spacing w:before="75" w:line="220" w:lineRule="auto"/>
        <w:rPr>
          <w:sz w:val="23"/>
          <w:szCs w:val="23"/>
        </w:rPr>
      </w:pPr>
      <w:r>
        <w:rPr>
          <w:sz w:val="23"/>
          <w:szCs w:val="23"/>
          <w:spacing w:val="-15"/>
        </w:rPr>
        <w:t>式中：</w:t>
      </w:r>
    </w:p>
    <w:p>
      <w:pPr>
        <w:pStyle w:val="BodyText"/>
        <w:ind w:left="984"/>
        <w:spacing w:before="182" w:line="204" w:lineRule="auto"/>
        <w:rPr>
          <w:rFonts w:ascii="Times New Roman" w:hAnsi="Times New Roman" w:eastAsia="Times New Roman" w:cs="Times New Roman"/>
          <w:sz w:val="26"/>
          <w:szCs w:val="26"/>
        </w:rPr>
      </w:pPr>
      <w:r>
        <w:rPr>
          <w:rFonts w:ascii="Times New Roman" w:hAnsi="Times New Roman" w:eastAsia="Times New Roman" w:cs="Times New Roman"/>
          <w:sz w:val="26"/>
          <w:szCs w:val="26"/>
          <w:spacing w:val="-5"/>
        </w:rPr>
        <w:t>Q₃——</w:t>
      </w:r>
      <w:r>
        <w:rPr>
          <w:sz w:val="23"/>
          <w:szCs w:val="23"/>
          <w:spacing w:val="-5"/>
        </w:rPr>
        <w:t>质量蒸发速度，</w:t>
      </w:r>
      <w:r>
        <w:rPr>
          <w:sz w:val="23"/>
          <w:szCs w:val="23"/>
          <w:spacing w:val="-44"/>
        </w:rPr>
        <w:t xml:space="preserve"> </w:t>
      </w:r>
      <w:r>
        <w:rPr>
          <w:rFonts w:ascii="Times New Roman" w:hAnsi="Times New Roman" w:eastAsia="Times New Roman" w:cs="Times New Roman"/>
          <w:sz w:val="26"/>
          <w:szCs w:val="26"/>
          <w:spacing w:val="-5"/>
        </w:rPr>
        <w:t>kg/s;</w:t>
      </w:r>
    </w:p>
    <w:p>
      <w:pPr>
        <w:pStyle w:val="BodyText"/>
        <w:ind w:left="954"/>
        <w:spacing w:before="194" w:line="479" w:lineRule="exact"/>
        <w:rPr>
          <w:sz w:val="23"/>
          <w:szCs w:val="23"/>
        </w:rPr>
      </w:pPr>
      <w:r>
        <w:rPr>
          <w:rFonts w:ascii="Times New Roman" w:hAnsi="Times New Roman" w:eastAsia="Times New Roman" w:cs="Times New Roman"/>
          <w:sz w:val="23"/>
          <w:szCs w:val="23"/>
          <w:spacing w:val="4"/>
          <w:position w:val="19"/>
        </w:rPr>
        <w:t>a,n—— </w:t>
      </w:r>
      <w:r>
        <w:rPr>
          <w:sz w:val="23"/>
          <w:szCs w:val="23"/>
          <w:spacing w:val="4"/>
          <w:position w:val="19"/>
        </w:rPr>
        <w:t>大气稳定度系数，见表6.2</w:t>
      </w:r>
      <w:r>
        <w:rPr>
          <w:sz w:val="23"/>
          <w:szCs w:val="23"/>
          <w:spacing w:val="3"/>
          <w:position w:val="19"/>
        </w:rPr>
        <w:t>-4;</w:t>
      </w:r>
    </w:p>
    <w:p>
      <w:pPr>
        <w:pStyle w:val="BodyText"/>
        <w:ind w:left="954"/>
        <w:spacing w:line="212"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p——</w:t>
      </w:r>
      <w:r>
        <w:rPr>
          <w:rFonts w:ascii="Times New Roman" w:hAnsi="Times New Roman" w:eastAsia="Times New Roman" w:cs="Times New Roman"/>
          <w:sz w:val="23"/>
          <w:szCs w:val="23"/>
          <w:spacing w:val="-22"/>
        </w:rPr>
        <w:t xml:space="preserve"> </w:t>
      </w:r>
      <w:r>
        <w:rPr>
          <w:sz w:val="23"/>
          <w:szCs w:val="23"/>
          <w:spacing w:val="-4"/>
        </w:rPr>
        <w:t>液体表面蒸气压， </w:t>
      </w:r>
      <w:r>
        <w:rPr>
          <w:rFonts w:ascii="Times New Roman" w:hAnsi="Times New Roman" w:eastAsia="Times New Roman" w:cs="Times New Roman"/>
          <w:sz w:val="23"/>
          <w:szCs w:val="23"/>
          <w:spacing w:val="-4"/>
        </w:rPr>
        <w:t>Pa;</w:t>
      </w:r>
    </w:p>
    <w:p>
      <w:pPr>
        <w:pStyle w:val="BodyText"/>
        <w:ind w:left="1004"/>
        <w:spacing w:before="196" w:line="470"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7"/>
          <w:position w:val="18"/>
        </w:rPr>
        <w:t>R——</w:t>
      </w:r>
      <w:r>
        <w:rPr>
          <w:sz w:val="23"/>
          <w:szCs w:val="23"/>
          <w:spacing w:val="-7"/>
          <w:position w:val="18"/>
        </w:rPr>
        <w:t>气体常数； </w:t>
      </w:r>
      <w:r>
        <w:rPr>
          <w:rFonts w:ascii="Times New Roman" w:hAnsi="Times New Roman" w:eastAsia="Times New Roman" w:cs="Times New Roman"/>
          <w:sz w:val="23"/>
          <w:szCs w:val="23"/>
          <w:spacing w:val="-7"/>
          <w:position w:val="18"/>
        </w:rPr>
        <w:t>J/mol·k;</w:t>
      </w:r>
    </w:p>
    <w:p>
      <w:pPr>
        <w:pStyle w:val="BodyText"/>
        <w:ind w:left="984"/>
        <w:spacing w:before="1" w:line="212"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To——</w:t>
      </w:r>
      <w:r>
        <w:rPr>
          <w:sz w:val="23"/>
          <w:szCs w:val="23"/>
        </w:rPr>
        <w:t>环境温度，</w:t>
      </w:r>
      <w:r>
        <w:rPr>
          <w:rFonts w:ascii="Times New Roman" w:hAnsi="Times New Roman" w:eastAsia="Times New Roman" w:cs="Times New Roman"/>
          <w:sz w:val="23"/>
          <w:szCs w:val="23"/>
        </w:rPr>
        <w:t>k;</w:t>
      </w:r>
    </w:p>
    <w:p>
      <w:pPr>
        <w:pStyle w:val="BodyText"/>
        <w:ind w:left="984"/>
        <w:spacing w:before="185" w:line="212"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0"/>
        </w:rPr>
        <w:t>u——</w:t>
      </w:r>
      <w:r>
        <w:rPr>
          <w:sz w:val="23"/>
          <w:szCs w:val="23"/>
          <w:spacing w:val="-10"/>
        </w:rPr>
        <w:t>风</w:t>
      </w:r>
      <w:r>
        <w:rPr>
          <w:sz w:val="23"/>
          <w:szCs w:val="23"/>
          <w:spacing w:val="-42"/>
        </w:rPr>
        <w:t xml:space="preserve"> </w:t>
      </w:r>
      <w:r>
        <w:rPr>
          <w:sz w:val="23"/>
          <w:szCs w:val="23"/>
          <w:spacing w:val="-10"/>
        </w:rPr>
        <w:t>速</w:t>
      </w:r>
      <w:r>
        <w:rPr>
          <w:sz w:val="23"/>
          <w:szCs w:val="23"/>
          <w:spacing w:val="-56"/>
        </w:rPr>
        <w:t xml:space="preserve"> </w:t>
      </w:r>
      <w:r>
        <w:rPr>
          <w:sz w:val="23"/>
          <w:szCs w:val="23"/>
          <w:spacing w:val="-10"/>
        </w:rPr>
        <w:t>，</w:t>
      </w:r>
      <w:r>
        <w:rPr>
          <w:rFonts w:ascii="Times New Roman" w:hAnsi="Times New Roman" w:eastAsia="Times New Roman" w:cs="Times New Roman"/>
          <w:sz w:val="23"/>
          <w:szCs w:val="23"/>
          <w:spacing w:val="-10"/>
        </w:rPr>
        <w:t>m/s;</w:t>
      </w:r>
    </w:p>
    <w:p>
      <w:pPr>
        <w:pStyle w:val="BodyText"/>
        <w:ind w:left="994"/>
        <w:spacing w:before="231" w:line="219" w:lineRule="auto"/>
        <w:rPr>
          <w:sz w:val="23"/>
          <w:szCs w:val="23"/>
        </w:rPr>
      </w:pPr>
      <w:r>
        <w:rPr>
          <w:sz w:val="23"/>
          <w:szCs w:val="23"/>
        </w:rPr>
        <w:t>r——液池半径，m。</w:t>
      </w:r>
    </w:p>
    <w:p>
      <w:pPr>
        <w:pStyle w:val="BodyText"/>
        <w:ind w:left="2815"/>
        <w:spacing w:before="198" w:line="219" w:lineRule="auto"/>
        <w:rPr>
          <w:sz w:val="23"/>
          <w:szCs w:val="23"/>
        </w:rPr>
      </w:pPr>
      <w:r>
        <w:rPr>
          <w:sz w:val="23"/>
          <w:szCs w:val="23"/>
          <w:spacing w:val="22"/>
        </w:rPr>
        <w:t>表6.2-4  液池蒸发模式参数</w:t>
      </w:r>
    </w:p>
    <w:p>
      <w:pPr>
        <w:spacing w:line="142" w:lineRule="exact"/>
        <w:rPr/>
      </w:pPr>
      <w:r/>
    </w:p>
    <w:tbl>
      <w:tblPr>
        <w:tblStyle w:val="TableNormal"/>
        <w:tblW w:w="90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31"/>
        <w:gridCol w:w="3017"/>
        <w:gridCol w:w="3022"/>
      </w:tblGrid>
      <w:tr>
        <w:trPr>
          <w:trHeight w:val="392" w:hRule="atLeast"/>
        </w:trPr>
        <w:tc>
          <w:tcPr>
            <w:tcW w:w="3031" w:type="dxa"/>
            <w:vAlign w:val="top"/>
          </w:tcPr>
          <w:p>
            <w:pPr>
              <w:pStyle w:val="TableText"/>
              <w:ind w:left="1004"/>
              <w:spacing w:before="103" w:line="219" w:lineRule="auto"/>
              <w:rPr>
                <w:sz w:val="20"/>
                <w:szCs w:val="20"/>
              </w:rPr>
            </w:pPr>
            <w:r>
              <w:rPr>
                <w:sz w:val="20"/>
                <w:szCs w:val="20"/>
                <w:spacing w:val="-2"/>
              </w:rPr>
              <w:t>稳定度条件</w:t>
            </w:r>
          </w:p>
        </w:tc>
        <w:tc>
          <w:tcPr>
            <w:tcW w:w="3017" w:type="dxa"/>
            <w:vAlign w:val="top"/>
          </w:tcPr>
          <w:p>
            <w:pPr>
              <w:pStyle w:val="TableText"/>
              <w:ind w:left="1453"/>
              <w:spacing w:before="198" w:line="154" w:lineRule="exact"/>
              <w:rPr>
                <w:sz w:val="20"/>
                <w:szCs w:val="20"/>
              </w:rPr>
            </w:pPr>
            <w:r>
              <w:rPr>
                <w:sz w:val="20"/>
                <w:szCs w:val="20"/>
              </w:rPr>
              <w:t>n</w:t>
            </w:r>
          </w:p>
        </w:tc>
        <w:tc>
          <w:tcPr>
            <w:tcW w:w="3022" w:type="dxa"/>
            <w:vAlign w:val="top"/>
          </w:tcPr>
          <w:p>
            <w:pPr>
              <w:pStyle w:val="TableText"/>
              <w:ind w:left="1456"/>
              <w:spacing w:before="123" w:line="239" w:lineRule="auto"/>
              <w:rPr>
                <w:sz w:val="20"/>
                <w:szCs w:val="20"/>
              </w:rPr>
            </w:pPr>
            <w:r>
              <w:rPr>
                <w:sz w:val="20"/>
                <w:szCs w:val="20"/>
              </w:rPr>
              <w:t>a</w:t>
            </w:r>
          </w:p>
        </w:tc>
      </w:tr>
      <w:tr>
        <w:trPr>
          <w:trHeight w:val="398" w:hRule="atLeast"/>
        </w:trPr>
        <w:tc>
          <w:tcPr>
            <w:tcW w:w="3031" w:type="dxa"/>
            <w:vAlign w:val="top"/>
          </w:tcPr>
          <w:p>
            <w:pPr>
              <w:pStyle w:val="TableText"/>
              <w:ind w:left="954"/>
              <w:spacing w:before="98" w:line="216" w:lineRule="auto"/>
              <w:rPr>
                <w:sz w:val="20"/>
                <w:szCs w:val="20"/>
              </w:rPr>
            </w:pPr>
            <w:r>
              <w:rPr>
                <w:sz w:val="20"/>
                <w:szCs w:val="20"/>
                <w:spacing w:val="5"/>
              </w:rPr>
              <w:t>不稳定(A,B)</w:t>
            </w:r>
          </w:p>
        </w:tc>
        <w:tc>
          <w:tcPr>
            <w:tcW w:w="3017" w:type="dxa"/>
            <w:vAlign w:val="top"/>
          </w:tcPr>
          <w:p>
            <w:pPr>
              <w:pStyle w:val="TableText"/>
              <w:ind w:left="1354"/>
              <w:spacing w:before="152" w:line="183" w:lineRule="auto"/>
              <w:rPr>
                <w:sz w:val="20"/>
                <w:szCs w:val="20"/>
              </w:rPr>
            </w:pPr>
            <w:r>
              <w:rPr>
                <w:sz w:val="20"/>
                <w:szCs w:val="20"/>
                <w:spacing w:val="-3"/>
              </w:rPr>
              <w:t>0.2</w:t>
            </w:r>
          </w:p>
        </w:tc>
        <w:tc>
          <w:tcPr>
            <w:tcW w:w="3022" w:type="dxa"/>
            <w:vAlign w:val="top"/>
          </w:tcPr>
          <w:p>
            <w:pPr>
              <w:pStyle w:val="TableText"/>
              <w:ind w:left="1007"/>
              <w:spacing w:before="151" w:line="184" w:lineRule="auto"/>
              <w:rPr>
                <w:sz w:val="20"/>
                <w:szCs w:val="20"/>
              </w:rPr>
            </w:pPr>
            <w:r>
              <w:rPr>
                <w:sz w:val="20"/>
                <w:szCs w:val="20"/>
                <w:spacing w:val="-1"/>
              </w:rPr>
              <w:t>3.846×10-</w:t>
            </w:r>
          </w:p>
        </w:tc>
      </w:tr>
      <w:tr>
        <w:trPr>
          <w:trHeight w:val="387" w:hRule="atLeast"/>
        </w:trPr>
        <w:tc>
          <w:tcPr>
            <w:tcW w:w="3031" w:type="dxa"/>
            <w:vAlign w:val="top"/>
          </w:tcPr>
          <w:p>
            <w:pPr>
              <w:pStyle w:val="TableText"/>
              <w:ind w:left="1155"/>
              <w:spacing w:before="103" w:line="220" w:lineRule="auto"/>
              <w:rPr>
                <w:sz w:val="20"/>
                <w:szCs w:val="20"/>
              </w:rPr>
            </w:pPr>
            <w:r>
              <w:rPr>
                <w:sz w:val="20"/>
                <w:szCs w:val="20"/>
                <w:spacing w:val="8"/>
              </w:rPr>
              <w:t>中性(D)</w:t>
            </w:r>
          </w:p>
        </w:tc>
        <w:tc>
          <w:tcPr>
            <w:tcW w:w="3017" w:type="dxa"/>
            <w:vAlign w:val="top"/>
          </w:tcPr>
          <w:p>
            <w:pPr>
              <w:pStyle w:val="TableText"/>
              <w:ind w:left="1304"/>
              <w:spacing w:before="154" w:line="183" w:lineRule="auto"/>
              <w:rPr>
                <w:sz w:val="20"/>
                <w:szCs w:val="20"/>
              </w:rPr>
            </w:pPr>
            <w:r>
              <w:rPr>
                <w:sz w:val="20"/>
                <w:szCs w:val="20"/>
                <w:spacing w:val="-2"/>
              </w:rPr>
              <w:t>0.25</w:t>
            </w:r>
          </w:p>
        </w:tc>
        <w:tc>
          <w:tcPr>
            <w:tcW w:w="3022" w:type="dxa"/>
            <w:vAlign w:val="top"/>
          </w:tcPr>
          <w:p>
            <w:pPr>
              <w:pStyle w:val="TableText"/>
              <w:ind w:left="957"/>
              <w:spacing w:before="153" w:line="184" w:lineRule="auto"/>
              <w:rPr>
                <w:sz w:val="20"/>
                <w:szCs w:val="20"/>
              </w:rPr>
            </w:pPr>
            <w:r>
              <w:rPr>
                <w:sz w:val="20"/>
                <w:szCs w:val="20"/>
                <w:spacing w:val="-1"/>
              </w:rPr>
              <w:t>4.685×10-3</w:t>
            </w:r>
          </w:p>
        </w:tc>
      </w:tr>
      <w:tr>
        <w:trPr>
          <w:trHeight w:val="392" w:hRule="atLeast"/>
        </w:trPr>
        <w:tc>
          <w:tcPr>
            <w:tcW w:w="3031" w:type="dxa"/>
            <w:vAlign w:val="top"/>
          </w:tcPr>
          <w:p>
            <w:pPr>
              <w:pStyle w:val="TableText"/>
              <w:ind w:left="1055"/>
              <w:spacing w:before="103" w:line="216" w:lineRule="auto"/>
              <w:rPr>
                <w:sz w:val="20"/>
                <w:szCs w:val="20"/>
              </w:rPr>
            </w:pPr>
            <w:r>
              <w:rPr>
                <w:sz w:val="20"/>
                <w:szCs w:val="20"/>
                <w:spacing w:val="6"/>
              </w:rPr>
              <w:t>稳定(E,F)</w:t>
            </w:r>
          </w:p>
        </w:tc>
        <w:tc>
          <w:tcPr>
            <w:tcW w:w="3017" w:type="dxa"/>
            <w:vAlign w:val="top"/>
          </w:tcPr>
          <w:p>
            <w:pPr>
              <w:pStyle w:val="TableText"/>
              <w:ind w:left="1354"/>
              <w:spacing w:before="157" w:line="183" w:lineRule="auto"/>
              <w:rPr>
                <w:sz w:val="20"/>
                <w:szCs w:val="20"/>
              </w:rPr>
            </w:pPr>
            <w:r>
              <w:rPr>
                <w:sz w:val="20"/>
                <w:szCs w:val="20"/>
                <w:spacing w:val="-3"/>
              </w:rPr>
              <w:t>0.3</w:t>
            </w:r>
          </w:p>
        </w:tc>
        <w:tc>
          <w:tcPr>
            <w:tcW w:w="3022" w:type="dxa"/>
            <w:vAlign w:val="top"/>
          </w:tcPr>
          <w:p>
            <w:pPr>
              <w:pStyle w:val="TableText"/>
              <w:ind w:left="957"/>
              <w:spacing w:before="156" w:line="184" w:lineRule="auto"/>
              <w:rPr>
                <w:sz w:val="20"/>
                <w:szCs w:val="20"/>
              </w:rPr>
            </w:pPr>
            <w:r>
              <w:rPr>
                <w:sz w:val="20"/>
                <w:szCs w:val="20"/>
                <w:spacing w:val="-2"/>
              </w:rPr>
              <w:t>5.285×10-3</w:t>
            </w:r>
          </w:p>
        </w:tc>
      </w:tr>
    </w:tbl>
    <w:p>
      <w:pPr>
        <w:pStyle w:val="BodyText"/>
        <w:ind w:left="525"/>
        <w:spacing w:before="55" w:line="479" w:lineRule="exact"/>
        <w:rPr>
          <w:sz w:val="24"/>
          <w:szCs w:val="24"/>
        </w:rPr>
      </w:pPr>
      <w:r>
        <w:rPr>
          <w:sz w:val="24"/>
          <w:szCs w:val="24"/>
          <w:position w:val="18"/>
        </w:rPr>
        <w:t>根据上述公式计算出，NMP储罐泄漏质量蒸发事故排放源强如下表6.2-5所示。</w:t>
      </w:r>
    </w:p>
    <w:p>
      <w:pPr>
        <w:pStyle w:val="BodyText"/>
        <w:ind w:left="1945"/>
        <w:spacing w:before="1" w:line="219" w:lineRule="auto"/>
        <w:rPr>
          <w:sz w:val="23"/>
          <w:szCs w:val="23"/>
        </w:rPr>
      </w:pPr>
      <w:r>
        <w:rPr>
          <w:sz w:val="23"/>
          <w:szCs w:val="23"/>
          <w:spacing w:val="27"/>
        </w:rPr>
        <w:t>表6.2-5</w:t>
      </w:r>
      <w:r>
        <w:rPr>
          <w:sz w:val="23"/>
          <w:szCs w:val="23"/>
          <w:spacing w:val="18"/>
        </w:rPr>
        <w:t xml:space="preserve">  </w:t>
      </w:r>
      <w:r>
        <w:rPr>
          <w:sz w:val="23"/>
          <w:szCs w:val="23"/>
        </w:rPr>
        <w:t>NMP</w:t>
      </w:r>
      <w:r>
        <w:rPr>
          <w:sz w:val="23"/>
          <w:szCs w:val="23"/>
          <w:spacing w:val="39"/>
        </w:rPr>
        <w:t xml:space="preserve">  </w:t>
      </w:r>
      <w:r>
        <w:rPr>
          <w:sz w:val="23"/>
          <w:szCs w:val="23"/>
          <w:spacing w:val="27"/>
        </w:rPr>
        <w:t>储罐发生泄漏质量蒸发源强</w:t>
      </w:r>
    </w:p>
    <w:p>
      <w:pPr>
        <w:spacing w:line="142" w:lineRule="exact"/>
        <w:rPr/>
      </w:pPr>
      <w:r/>
    </w:p>
    <w:tbl>
      <w:tblPr>
        <w:tblStyle w:val="TableNormal"/>
        <w:tblW w:w="90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93"/>
        <w:gridCol w:w="1339"/>
        <w:gridCol w:w="1918"/>
        <w:gridCol w:w="1768"/>
        <w:gridCol w:w="2252"/>
      </w:tblGrid>
      <w:tr>
        <w:trPr>
          <w:trHeight w:val="538" w:hRule="atLeast"/>
        </w:trPr>
        <w:tc>
          <w:tcPr>
            <w:tcW w:w="1793" w:type="dxa"/>
            <w:vAlign w:val="top"/>
          </w:tcPr>
          <w:p>
            <w:pPr>
              <w:pStyle w:val="TableText"/>
              <w:ind w:left="684"/>
              <w:spacing w:before="173" w:line="220" w:lineRule="auto"/>
              <w:rPr>
                <w:sz w:val="20"/>
                <w:szCs w:val="20"/>
              </w:rPr>
            </w:pPr>
            <w:r>
              <w:rPr>
                <w:sz w:val="20"/>
                <w:szCs w:val="20"/>
                <w:spacing w:val="-2"/>
              </w:rPr>
              <w:t>事故</w:t>
            </w:r>
          </w:p>
        </w:tc>
        <w:tc>
          <w:tcPr>
            <w:tcW w:w="1339" w:type="dxa"/>
            <w:vAlign w:val="top"/>
          </w:tcPr>
          <w:p>
            <w:pPr>
              <w:pStyle w:val="TableText"/>
              <w:ind w:left="462"/>
              <w:spacing w:before="173" w:line="220" w:lineRule="auto"/>
              <w:rPr>
                <w:sz w:val="20"/>
                <w:szCs w:val="20"/>
              </w:rPr>
            </w:pPr>
            <w:r>
              <w:rPr>
                <w:sz w:val="20"/>
                <w:szCs w:val="20"/>
                <w:spacing w:val="-2"/>
              </w:rPr>
              <w:t>物料</w:t>
            </w:r>
          </w:p>
        </w:tc>
        <w:tc>
          <w:tcPr>
            <w:tcW w:w="1918" w:type="dxa"/>
            <w:vAlign w:val="top"/>
          </w:tcPr>
          <w:p>
            <w:pPr>
              <w:pStyle w:val="TableText"/>
              <w:ind w:left="303"/>
              <w:spacing w:before="173" w:line="220" w:lineRule="auto"/>
              <w:rPr>
                <w:sz w:val="20"/>
                <w:szCs w:val="20"/>
              </w:rPr>
            </w:pPr>
            <w:r>
              <w:rPr>
                <w:sz w:val="20"/>
                <w:szCs w:val="20"/>
                <w:spacing w:val="17"/>
              </w:rPr>
              <w:t>液池面积(m²)</w:t>
            </w:r>
          </w:p>
        </w:tc>
        <w:tc>
          <w:tcPr>
            <w:tcW w:w="1768" w:type="dxa"/>
            <w:vAlign w:val="top"/>
          </w:tcPr>
          <w:p>
            <w:pPr>
              <w:pStyle w:val="TableText"/>
              <w:ind w:left="275"/>
              <w:spacing w:before="43" w:line="220" w:lineRule="auto"/>
              <w:rPr>
                <w:sz w:val="20"/>
                <w:szCs w:val="20"/>
              </w:rPr>
            </w:pPr>
            <w:r>
              <w:rPr>
                <w:sz w:val="20"/>
                <w:szCs w:val="20"/>
                <w:spacing w:val="-2"/>
              </w:rPr>
              <w:t>液体表面风速</w:t>
            </w:r>
          </w:p>
          <w:p>
            <w:pPr>
              <w:pStyle w:val="TableText"/>
              <w:ind w:left="624"/>
              <w:spacing w:before="44" w:line="186" w:lineRule="auto"/>
              <w:rPr>
                <w:sz w:val="20"/>
                <w:szCs w:val="20"/>
              </w:rPr>
            </w:pPr>
            <w:r>
              <w:rPr>
                <w:sz w:val="20"/>
                <w:szCs w:val="20"/>
                <w:spacing w:val="-7"/>
              </w:rPr>
              <w:t>(m/s)</w:t>
            </w:r>
          </w:p>
        </w:tc>
        <w:tc>
          <w:tcPr>
            <w:tcW w:w="2252" w:type="dxa"/>
            <w:vAlign w:val="top"/>
          </w:tcPr>
          <w:p>
            <w:pPr>
              <w:pStyle w:val="TableText"/>
              <w:ind w:left="217"/>
              <w:spacing w:before="6" w:line="214" w:lineRule="auto"/>
              <w:rPr>
                <w:sz w:val="20"/>
                <w:szCs w:val="20"/>
              </w:rPr>
            </w:pPr>
            <w:r>
              <w:rPr>
                <w:sz w:val="20"/>
                <w:szCs w:val="20"/>
                <w:spacing w:val="4"/>
              </w:rPr>
              <w:t>质量蒸发速率(</w:t>
            </w:r>
            <w:r>
              <w:rPr>
                <w:sz w:val="20"/>
                <w:szCs w:val="20"/>
              </w:rPr>
              <w:t>kg</w:t>
            </w:r>
            <w:r>
              <w:rPr>
                <w:sz w:val="20"/>
                <w:szCs w:val="20"/>
                <w:spacing w:val="4"/>
              </w:rPr>
              <w:t>/s)</w:t>
            </w:r>
          </w:p>
          <w:p>
            <w:pPr>
              <w:pStyle w:val="TableText"/>
              <w:ind w:left="666"/>
              <w:spacing w:before="85" w:line="189" w:lineRule="auto"/>
              <w:rPr>
                <w:sz w:val="20"/>
                <w:szCs w:val="20"/>
              </w:rPr>
            </w:pPr>
            <w:r>
              <w:rPr>
                <w:sz w:val="20"/>
                <w:szCs w:val="20"/>
                <w:spacing w:val="7"/>
              </w:rPr>
              <w:t>稳定度(F)</w:t>
            </w:r>
          </w:p>
        </w:tc>
      </w:tr>
      <w:tr>
        <w:trPr>
          <w:trHeight w:val="272" w:hRule="atLeast"/>
        </w:trPr>
        <w:tc>
          <w:tcPr>
            <w:tcW w:w="1793" w:type="dxa"/>
            <w:vAlign w:val="top"/>
          </w:tcPr>
          <w:p>
            <w:pPr>
              <w:pStyle w:val="TableText"/>
              <w:ind w:left="215"/>
              <w:spacing w:before="45" w:line="200" w:lineRule="auto"/>
              <w:rPr>
                <w:sz w:val="20"/>
                <w:szCs w:val="20"/>
              </w:rPr>
            </w:pPr>
            <w:r>
              <w:rPr>
                <w:sz w:val="20"/>
                <w:szCs w:val="20"/>
              </w:rPr>
              <w:t>N</w:t>
            </w:r>
            <w:r>
              <w:rPr>
                <w:sz w:val="20"/>
                <w:szCs w:val="20"/>
                <w:spacing w:val="-57"/>
              </w:rPr>
              <w:t xml:space="preserve"> </w:t>
            </w:r>
            <w:r>
              <w:rPr>
                <w:sz w:val="20"/>
                <w:szCs w:val="20"/>
              </w:rPr>
              <w:t>MP</w:t>
            </w:r>
            <w:r>
              <w:rPr>
                <w:sz w:val="20"/>
                <w:szCs w:val="20"/>
                <w:spacing w:val="52"/>
              </w:rPr>
              <w:t>储罐泄漏</w:t>
            </w:r>
          </w:p>
        </w:tc>
        <w:tc>
          <w:tcPr>
            <w:tcW w:w="1339" w:type="dxa"/>
            <w:vAlign w:val="top"/>
          </w:tcPr>
          <w:p>
            <w:pPr>
              <w:pStyle w:val="TableText"/>
              <w:ind w:left="512"/>
              <w:spacing w:before="98" w:line="164" w:lineRule="exact"/>
              <w:rPr>
                <w:sz w:val="20"/>
                <w:szCs w:val="20"/>
              </w:rPr>
            </w:pPr>
            <w:r>
              <w:rPr>
                <w:sz w:val="20"/>
                <w:szCs w:val="20"/>
                <w:spacing w:val="-1"/>
                <w:position w:val="-2"/>
              </w:rPr>
              <w:t>NMP</w:t>
            </w:r>
          </w:p>
        </w:tc>
        <w:tc>
          <w:tcPr>
            <w:tcW w:w="1918" w:type="dxa"/>
            <w:vAlign w:val="top"/>
          </w:tcPr>
          <w:p>
            <w:pPr>
              <w:pStyle w:val="TableText"/>
              <w:ind w:left="802"/>
              <w:spacing w:before="96" w:line="166" w:lineRule="exact"/>
              <w:rPr>
                <w:sz w:val="20"/>
                <w:szCs w:val="20"/>
              </w:rPr>
            </w:pPr>
            <w:r>
              <w:rPr>
                <w:sz w:val="20"/>
                <w:szCs w:val="20"/>
                <w:spacing w:val="-3"/>
                <w:position w:val="-2"/>
              </w:rPr>
              <w:t>504</w:t>
            </w:r>
          </w:p>
        </w:tc>
        <w:tc>
          <w:tcPr>
            <w:tcW w:w="1768" w:type="dxa"/>
            <w:vAlign w:val="top"/>
          </w:tcPr>
          <w:p>
            <w:pPr>
              <w:pStyle w:val="TableText"/>
              <w:ind w:left="725"/>
              <w:spacing w:before="95" w:line="167" w:lineRule="exact"/>
              <w:rPr>
                <w:sz w:val="20"/>
                <w:szCs w:val="20"/>
              </w:rPr>
            </w:pPr>
            <w:r>
              <w:rPr>
                <w:sz w:val="20"/>
                <w:szCs w:val="20"/>
                <w:spacing w:val="-6"/>
                <w:position w:val="-2"/>
              </w:rPr>
              <w:t>1.5</w:t>
            </w:r>
          </w:p>
        </w:tc>
        <w:tc>
          <w:tcPr>
            <w:tcW w:w="2252" w:type="dxa"/>
            <w:vAlign w:val="top"/>
          </w:tcPr>
          <w:p>
            <w:pPr>
              <w:pStyle w:val="TableText"/>
              <w:ind w:left="817"/>
              <w:spacing w:before="95" w:line="167" w:lineRule="exact"/>
              <w:rPr>
                <w:sz w:val="20"/>
                <w:szCs w:val="20"/>
              </w:rPr>
            </w:pPr>
            <w:r>
              <w:rPr>
                <w:sz w:val="20"/>
                <w:szCs w:val="20"/>
                <w:spacing w:val="-2"/>
                <w:position w:val="-2"/>
              </w:rPr>
              <w:t>0.0014</w:t>
            </w:r>
          </w:p>
        </w:tc>
      </w:tr>
    </w:tbl>
    <w:p>
      <w:pPr>
        <w:rPr>
          <w:rFonts w:ascii="Arial"/>
          <w:sz w:val="21"/>
        </w:rPr>
      </w:pPr>
      <w:r/>
    </w:p>
    <w:p>
      <w:pPr>
        <w:sectPr>
          <w:footerReference w:type="default" r:id="rId191"/>
          <w:pgSz w:w="11900" w:h="16840"/>
          <w:pgMar w:top="1273" w:right="1314" w:bottom="1005" w:left="1504" w:header="0" w:footer="856" w:gutter="0"/>
        </w:sectPr>
        <w:rPr>
          <w:rFonts w:ascii="Arial" w:hAnsi="Arial" w:eastAsia="Arial" w:cs="Arial"/>
          <w:sz w:val="21"/>
          <w:szCs w:val="21"/>
        </w:rPr>
      </w:pPr>
    </w:p>
    <w:p>
      <w:pPr>
        <w:pStyle w:val="BodyText"/>
        <w:ind w:left="19"/>
        <w:spacing w:before="59" w:line="624" w:lineRule="exact"/>
        <w:rPr>
          <w:sz w:val="30"/>
          <w:szCs w:val="30"/>
        </w:rPr>
      </w:pPr>
      <w:r>
        <w:rPr>
          <w:sz w:val="30"/>
          <w:szCs w:val="30"/>
          <w:spacing w:val="9"/>
          <w:position w:val="24"/>
        </w:rPr>
        <w:t>7.环境风险预测与评价</w:t>
      </w:r>
    </w:p>
    <w:p>
      <w:pPr>
        <w:pStyle w:val="BodyText"/>
        <w:ind w:left="19"/>
        <w:spacing w:line="220" w:lineRule="auto"/>
        <w:rPr>
          <w:sz w:val="30"/>
          <w:szCs w:val="30"/>
        </w:rPr>
      </w:pPr>
      <w:r>
        <w:rPr>
          <w:sz w:val="30"/>
          <w:szCs w:val="30"/>
          <w:spacing w:val="15"/>
        </w:rPr>
        <w:t>7.1大气环境风险分析</w:t>
      </w:r>
    </w:p>
    <w:p>
      <w:pPr>
        <w:pStyle w:val="BodyText"/>
        <w:ind w:left="29"/>
        <w:spacing w:before="289" w:line="329" w:lineRule="exact"/>
        <w:rPr>
          <w:sz w:val="24"/>
          <w:szCs w:val="24"/>
        </w:rPr>
      </w:pPr>
      <w:r>
        <w:rPr>
          <w:sz w:val="24"/>
          <w:szCs w:val="24"/>
          <w:spacing w:val="18"/>
          <w:position w:val="6"/>
        </w:rPr>
        <w:t>7.</w:t>
      </w:r>
      <w:r>
        <w:rPr>
          <w:sz w:val="24"/>
          <w:szCs w:val="24"/>
          <w:spacing w:val="-51"/>
          <w:position w:val="6"/>
        </w:rPr>
        <w:t xml:space="preserve"> </w:t>
      </w:r>
      <w:r>
        <w:rPr>
          <w:sz w:val="24"/>
          <w:szCs w:val="24"/>
          <w:spacing w:val="18"/>
          <w:position w:val="6"/>
        </w:rPr>
        <w:t>1.</w:t>
      </w:r>
      <w:r>
        <w:rPr>
          <w:sz w:val="24"/>
          <w:szCs w:val="24"/>
          <w:spacing w:val="-63"/>
          <w:position w:val="6"/>
        </w:rPr>
        <w:t xml:space="preserve"> </w:t>
      </w:r>
      <w:r>
        <w:rPr>
          <w:sz w:val="24"/>
          <w:szCs w:val="24"/>
          <w:spacing w:val="18"/>
          <w:position w:val="6"/>
        </w:rPr>
        <w:t>1化学品泄漏风险预测</w:t>
      </w:r>
    </w:p>
    <w:p>
      <w:pPr>
        <w:pStyle w:val="BodyText"/>
        <w:ind w:left="629"/>
        <w:spacing w:line="219" w:lineRule="auto"/>
        <w:rPr>
          <w:sz w:val="23"/>
          <w:szCs w:val="23"/>
        </w:rPr>
      </w:pPr>
      <w:r>
        <w:rPr>
          <w:sz w:val="23"/>
          <w:szCs w:val="23"/>
          <w:spacing w:val="17"/>
        </w:rPr>
        <w:t>(1)气象条件的选择</w:t>
      </w:r>
    </w:p>
    <w:p>
      <w:pPr>
        <w:pStyle w:val="BodyText"/>
        <w:ind w:left="9" w:right="19" w:firstLine="500"/>
        <w:spacing w:before="193" w:line="372" w:lineRule="auto"/>
        <w:jc w:val="both"/>
        <w:rPr>
          <w:sz w:val="23"/>
          <w:szCs w:val="23"/>
        </w:rPr>
      </w:pPr>
      <w:r>
        <w:rPr>
          <w:sz w:val="23"/>
          <w:szCs w:val="23"/>
          <w:spacing w:val="7"/>
        </w:rPr>
        <w:t>考虑事故发生频率、危害程度及最大影响区域等，本报</w:t>
      </w:r>
      <w:r>
        <w:rPr>
          <w:sz w:val="23"/>
          <w:szCs w:val="23"/>
          <w:spacing w:val="6"/>
        </w:rPr>
        <w:t>告将最不利气象条件： </w:t>
      </w:r>
      <w:r>
        <w:rPr>
          <w:rFonts w:ascii="Times New Roman" w:hAnsi="Times New Roman" w:eastAsia="Times New Roman" w:cs="Times New Roman"/>
          <w:sz w:val="23"/>
          <w:szCs w:val="23"/>
          <w:spacing w:val="6"/>
        </w:rPr>
        <w:t>F</w:t>
      </w:r>
      <w:r>
        <w:rPr>
          <w:rFonts w:ascii="Times New Roman" w:hAnsi="Times New Roman" w:eastAsia="Times New Roman" w:cs="Times New Roman"/>
          <w:sz w:val="23"/>
          <w:szCs w:val="23"/>
        </w:rPr>
        <w:t xml:space="preserve"> </w:t>
      </w:r>
      <w:r>
        <w:rPr>
          <w:sz w:val="23"/>
          <w:szCs w:val="23"/>
          <w:spacing w:val="16"/>
        </w:rPr>
        <w:t>类稳定度，1.5</w:t>
      </w:r>
      <w:r>
        <w:rPr>
          <w:rFonts w:ascii="Times New Roman" w:hAnsi="Times New Roman" w:eastAsia="Times New Roman" w:cs="Times New Roman"/>
          <w:sz w:val="23"/>
          <w:szCs w:val="23"/>
          <w:spacing w:val="16"/>
        </w:rPr>
        <w:t>m/s</w:t>
      </w:r>
      <w:r>
        <w:rPr>
          <w:sz w:val="23"/>
          <w:szCs w:val="23"/>
          <w:spacing w:val="16"/>
        </w:rPr>
        <w:t>风速，温度25℃,相对湿度50%,作为泄漏预测的</w:t>
      </w:r>
      <w:r>
        <w:rPr>
          <w:sz w:val="23"/>
          <w:szCs w:val="23"/>
          <w:spacing w:val="15"/>
        </w:rPr>
        <w:t>气象条件，预测</w:t>
      </w:r>
      <w:r>
        <w:rPr>
          <w:sz w:val="23"/>
          <w:szCs w:val="23"/>
        </w:rPr>
        <w:t xml:space="preserve"> </w:t>
      </w:r>
      <w:r>
        <w:rPr>
          <w:rFonts w:ascii="Times New Roman" w:hAnsi="Times New Roman" w:eastAsia="Times New Roman" w:cs="Times New Roman"/>
          <w:sz w:val="23"/>
          <w:szCs w:val="23"/>
        </w:rPr>
        <w:t>NMP</w:t>
      </w:r>
      <w:r>
        <w:rPr>
          <w:sz w:val="23"/>
          <w:szCs w:val="23"/>
          <w:spacing w:val="11"/>
        </w:rPr>
        <w:t>储罐泄漏10</w:t>
      </w:r>
      <w:r>
        <w:rPr>
          <w:rFonts w:ascii="Times New Roman" w:hAnsi="Times New Roman" w:eastAsia="Times New Roman" w:cs="Times New Roman"/>
          <w:sz w:val="23"/>
          <w:szCs w:val="23"/>
        </w:rPr>
        <w:t>min</w:t>
      </w:r>
      <w:r>
        <w:rPr>
          <w:sz w:val="23"/>
          <w:szCs w:val="23"/>
          <w:spacing w:val="11"/>
        </w:rPr>
        <w:t>造成的下风向轴向落地浓度增量和各敏感点处的最大落地浓度增</w:t>
      </w:r>
    </w:p>
    <w:p>
      <w:pPr>
        <w:pStyle w:val="BodyText"/>
        <w:spacing w:line="225" w:lineRule="auto"/>
        <w:rPr>
          <w:sz w:val="23"/>
          <w:szCs w:val="23"/>
        </w:rPr>
      </w:pPr>
      <w:r>
        <w:rPr>
          <w:sz w:val="23"/>
          <w:szCs w:val="23"/>
          <w:spacing w:val="-2"/>
        </w:rPr>
        <w:t>量。</w:t>
      </w:r>
    </w:p>
    <w:p>
      <w:pPr>
        <w:pStyle w:val="BodyText"/>
        <w:ind w:left="629"/>
        <w:spacing w:before="190" w:line="218" w:lineRule="auto"/>
        <w:rPr>
          <w:sz w:val="23"/>
          <w:szCs w:val="23"/>
        </w:rPr>
      </w:pPr>
      <w:r>
        <w:rPr>
          <w:sz w:val="23"/>
          <w:szCs w:val="23"/>
          <w:spacing w:val="16"/>
        </w:rPr>
        <w:t>(2)泄漏预测评价指标</w:t>
      </w:r>
    </w:p>
    <w:p>
      <w:pPr>
        <w:pStyle w:val="BodyText"/>
        <w:ind w:left="19" w:right="8" w:firstLine="490"/>
        <w:spacing w:before="165" w:line="367" w:lineRule="auto"/>
        <w:rPr>
          <w:sz w:val="24"/>
          <w:szCs w:val="24"/>
        </w:rPr>
      </w:pPr>
      <w:r>
        <w:rPr>
          <w:sz w:val="24"/>
          <w:szCs w:val="24"/>
          <w:spacing w:val="1"/>
        </w:rPr>
        <w:t>根据“国家环境保护环境影响评价数值模拟重点实验室”</w:t>
      </w:r>
      <w:r>
        <w:rPr>
          <w:sz w:val="24"/>
          <w:szCs w:val="24"/>
          <w:spacing w:val="-22"/>
        </w:rPr>
        <w:t xml:space="preserve"> </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rPr>
        <w:t>www</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rPr>
        <w:t>lem</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rPr>
        <w:t>org</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rPr>
        <w:t>cn</w:t>
      </w:r>
      <w:r>
        <w:rPr>
          <w:rFonts w:ascii="Times New Roman" w:hAnsi="Times New Roman" w:eastAsia="Times New Roman" w:cs="Times New Roman"/>
          <w:sz w:val="24"/>
          <w:szCs w:val="24"/>
          <w:spacing w:val="1"/>
        </w:rPr>
        <w:t>)   </w:t>
      </w:r>
      <w:r>
        <w:rPr>
          <w:sz w:val="26"/>
          <w:szCs w:val="26"/>
          <w:spacing w:val="1"/>
        </w:rPr>
        <w:t>网</w:t>
      </w:r>
      <w:r>
        <w:rPr>
          <w:sz w:val="26"/>
          <w:szCs w:val="26"/>
        </w:rPr>
        <w:t xml:space="preserve"> </w:t>
      </w:r>
      <w:r>
        <w:rPr>
          <w:sz w:val="24"/>
          <w:szCs w:val="24"/>
          <w:spacing w:val="-1"/>
        </w:rPr>
        <w:t>站查询：</w:t>
      </w:r>
      <w:r>
        <w:rPr>
          <w:sz w:val="24"/>
          <w:szCs w:val="24"/>
          <w:spacing w:val="-34"/>
        </w:rPr>
        <w:t xml:space="preserve"> </w:t>
      </w:r>
      <w:r>
        <w:rPr>
          <w:rFonts w:ascii="Times New Roman" w:hAnsi="Times New Roman" w:eastAsia="Times New Roman" w:cs="Times New Roman"/>
          <w:sz w:val="26"/>
          <w:szCs w:val="26"/>
          <w:spacing w:val="-1"/>
        </w:rPr>
        <w:t>NMP</w:t>
      </w:r>
      <w:r>
        <w:rPr>
          <w:sz w:val="24"/>
          <w:szCs w:val="24"/>
          <w:spacing w:val="-1"/>
        </w:rPr>
        <w:t>毒性终点浓度值：毒性终点浓度-1为840.8</w:t>
      </w:r>
      <w:r>
        <w:rPr>
          <w:rFonts w:ascii="Times New Roman" w:hAnsi="Times New Roman" w:eastAsia="Times New Roman" w:cs="Times New Roman"/>
          <w:sz w:val="24"/>
          <w:szCs w:val="24"/>
          <w:spacing w:val="-1"/>
        </w:rPr>
        <w:t>mg/m³;   </w:t>
      </w:r>
      <w:r>
        <w:rPr>
          <w:sz w:val="24"/>
          <w:szCs w:val="24"/>
          <w:spacing w:val="-1"/>
        </w:rPr>
        <w:t>毒性终点浓度-2为</w:t>
      </w:r>
    </w:p>
    <w:p>
      <w:pPr>
        <w:pStyle w:val="BodyText"/>
        <w:ind w:left="9"/>
        <w:spacing w:before="1" w:line="183" w:lineRule="auto"/>
        <w:rPr>
          <w:sz w:val="23"/>
          <w:szCs w:val="23"/>
        </w:rPr>
      </w:pPr>
      <w:r>
        <w:rPr>
          <w:rFonts w:ascii="Times New Roman" w:hAnsi="Times New Roman" w:eastAsia="Times New Roman" w:cs="Times New Roman"/>
          <w:sz w:val="23"/>
          <w:szCs w:val="23"/>
          <w:spacing w:val="-3"/>
        </w:rPr>
        <w:t>141.6mg/m³</w:t>
      </w:r>
      <w:r>
        <w:rPr>
          <w:sz w:val="23"/>
          <w:szCs w:val="23"/>
          <w:spacing w:val="-3"/>
        </w:rPr>
        <w:t>。</w:t>
      </w:r>
    </w:p>
    <w:p>
      <w:pPr>
        <w:pStyle w:val="BodyText"/>
        <w:ind w:left="599"/>
        <w:spacing w:before="212" w:line="219" w:lineRule="auto"/>
        <w:rPr>
          <w:sz w:val="23"/>
          <w:szCs w:val="23"/>
        </w:rPr>
      </w:pPr>
      <w:r>
        <w:rPr>
          <w:sz w:val="23"/>
          <w:szCs w:val="23"/>
          <w:spacing w:val="20"/>
        </w:rPr>
        <w:t>(3)预测模式</w:t>
      </w:r>
    </w:p>
    <w:p>
      <w:pPr>
        <w:pStyle w:val="BodyText"/>
        <w:ind w:right="32"/>
        <w:spacing w:before="183" w:line="459" w:lineRule="exact"/>
        <w:jc w:val="right"/>
        <w:rPr>
          <w:sz w:val="23"/>
          <w:szCs w:val="23"/>
        </w:rPr>
      </w:pPr>
      <w:r>
        <w:rPr>
          <w:sz w:val="23"/>
          <w:szCs w:val="23"/>
          <w:spacing w:val="12"/>
          <w:position w:val="17"/>
        </w:rPr>
        <w:t>根据分析，距离罐区最近的大沙村约400</w:t>
      </w:r>
      <w:r>
        <w:rPr>
          <w:sz w:val="23"/>
          <w:szCs w:val="23"/>
          <w:spacing w:val="11"/>
          <w:position w:val="17"/>
        </w:rPr>
        <w:t>m,</w:t>
      </w:r>
      <w:r>
        <w:rPr>
          <w:sz w:val="23"/>
          <w:szCs w:val="23"/>
          <w:spacing w:val="78"/>
          <w:position w:val="17"/>
        </w:rPr>
        <w:t xml:space="preserve"> </w:t>
      </w:r>
      <w:r>
        <w:rPr>
          <w:sz w:val="23"/>
          <w:szCs w:val="23"/>
          <w:spacing w:val="11"/>
          <w:position w:val="17"/>
        </w:rPr>
        <w:t>根据附录G 估算，污染物到达大沙</w:t>
      </w:r>
    </w:p>
    <w:p>
      <w:pPr>
        <w:pStyle w:val="BodyText"/>
        <w:ind w:left="19"/>
        <w:spacing w:line="212" w:lineRule="auto"/>
        <w:rPr>
          <w:sz w:val="23"/>
          <w:szCs w:val="23"/>
        </w:rPr>
      </w:pPr>
      <w:r>
        <w:rPr>
          <w:sz w:val="23"/>
          <w:szCs w:val="23"/>
          <w:spacing w:val="5"/>
        </w:rPr>
        <w:t>村的时间约8.88</w:t>
      </w:r>
      <w:r>
        <w:rPr>
          <w:rFonts w:ascii="Times New Roman" w:hAnsi="Times New Roman" w:eastAsia="Times New Roman" w:cs="Times New Roman"/>
          <w:sz w:val="23"/>
          <w:szCs w:val="23"/>
        </w:rPr>
        <w:t>min</w:t>
      </w:r>
      <w:r>
        <w:rPr>
          <w:rFonts w:ascii="Times New Roman" w:hAnsi="Times New Roman" w:eastAsia="Times New Roman" w:cs="Times New Roman"/>
          <w:sz w:val="23"/>
          <w:szCs w:val="23"/>
          <w:spacing w:val="5"/>
        </w:rPr>
        <w:t>,   </w:t>
      </w:r>
      <w:r>
        <w:rPr>
          <w:sz w:val="23"/>
          <w:szCs w:val="23"/>
          <w:spacing w:val="5"/>
        </w:rPr>
        <w:t>小</w:t>
      </w:r>
      <w:r>
        <w:rPr>
          <w:sz w:val="23"/>
          <w:szCs w:val="23"/>
          <w:spacing w:val="-33"/>
        </w:rPr>
        <w:t xml:space="preserve"> </w:t>
      </w:r>
      <w:r>
        <w:rPr>
          <w:sz w:val="23"/>
          <w:szCs w:val="23"/>
          <w:spacing w:val="5"/>
        </w:rPr>
        <w:t>于</w:t>
      </w:r>
      <w:r>
        <w:rPr>
          <w:rFonts w:ascii="Times New Roman" w:hAnsi="Times New Roman" w:eastAsia="Times New Roman" w:cs="Times New Roman"/>
          <w:sz w:val="23"/>
          <w:szCs w:val="23"/>
        </w:rPr>
        <w:t>NMP</w:t>
      </w:r>
      <w:r>
        <w:rPr>
          <w:rFonts w:ascii="Times New Roman" w:hAnsi="Times New Roman" w:eastAsia="Times New Roman" w:cs="Times New Roman"/>
          <w:sz w:val="23"/>
          <w:szCs w:val="23"/>
          <w:spacing w:val="5"/>
        </w:rPr>
        <w:t xml:space="preserve">  </w:t>
      </w:r>
      <w:r>
        <w:rPr>
          <w:sz w:val="23"/>
          <w:szCs w:val="23"/>
          <w:spacing w:val="5"/>
        </w:rPr>
        <w:t>的排放时间，因此，按连续排放分析。</w:t>
      </w:r>
    </w:p>
    <w:p>
      <w:pPr>
        <w:pStyle w:val="BodyText"/>
        <w:ind w:right="37"/>
        <w:spacing w:before="219" w:line="446" w:lineRule="exact"/>
        <w:jc w:val="right"/>
        <w:rPr>
          <w:sz w:val="23"/>
          <w:szCs w:val="23"/>
        </w:rPr>
      </w:pPr>
      <w:r>
        <w:rPr>
          <w:sz w:val="23"/>
          <w:szCs w:val="23"/>
          <w:spacing w:val="1"/>
          <w:position w:val="16"/>
        </w:rPr>
        <w:t>采用《建设项目环境风险评价技术导则》</w:t>
      </w:r>
      <w:r>
        <w:rPr>
          <w:sz w:val="23"/>
          <w:szCs w:val="23"/>
          <w:spacing w:val="75"/>
          <w:position w:val="16"/>
        </w:rPr>
        <w:t xml:space="preserve"> </w:t>
      </w:r>
      <w:r>
        <w:rPr>
          <w:sz w:val="23"/>
          <w:szCs w:val="23"/>
          <w:spacing w:val="1"/>
          <w:position w:val="16"/>
        </w:rPr>
        <w:t>(</w:t>
      </w:r>
      <w:r>
        <w:rPr>
          <w:sz w:val="23"/>
          <w:szCs w:val="23"/>
          <w:position w:val="16"/>
        </w:rPr>
        <w:t>HJ</w:t>
      </w:r>
      <w:r>
        <w:rPr>
          <w:sz w:val="23"/>
          <w:szCs w:val="23"/>
          <w:spacing w:val="1"/>
          <w:position w:val="16"/>
        </w:rPr>
        <w:t>169-2018)</w:t>
      </w:r>
      <w:r>
        <w:rPr>
          <w:sz w:val="23"/>
          <w:szCs w:val="23"/>
          <w:spacing w:val="85"/>
          <w:position w:val="16"/>
        </w:rPr>
        <w:t xml:space="preserve"> </w:t>
      </w:r>
      <w:r>
        <w:rPr>
          <w:sz w:val="23"/>
          <w:szCs w:val="23"/>
          <w:spacing w:val="1"/>
          <w:position w:val="16"/>
        </w:rPr>
        <w:t>附</w:t>
      </w:r>
      <w:r>
        <w:rPr>
          <w:sz w:val="23"/>
          <w:szCs w:val="23"/>
          <w:spacing w:val="-38"/>
          <w:position w:val="16"/>
        </w:rPr>
        <w:t xml:space="preserve"> </w:t>
      </w:r>
      <w:r>
        <w:rPr>
          <w:sz w:val="23"/>
          <w:szCs w:val="23"/>
          <w:spacing w:val="1"/>
          <w:position w:val="16"/>
        </w:rPr>
        <w:t>录G</w:t>
      </w:r>
      <w:r>
        <w:rPr>
          <w:sz w:val="23"/>
          <w:szCs w:val="23"/>
          <w:position w:val="16"/>
        </w:rPr>
        <w:t xml:space="preserve"> 的推荐模式，采</w:t>
      </w:r>
    </w:p>
    <w:p>
      <w:pPr>
        <w:pStyle w:val="BodyText"/>
        <w:spacing w:line="212" w:lineRule="auto"/>
        <w:rPr>
          <w:sz w:val="23"/>
          <w:szCs w:val="23"/>
        </w:rPr>
      </w:pPr>
      <w:r>
        <w:rPr>
          <w:sz w:val="23"/>
          <w:szCs w:val="23"/>
          <w:spacing w:val="5"/>
        </w:rPr>
        <w:t>用理查德森数</w:t>
      </w:r>
      <w:r>
        <w:rPr>
          <w:rFonts w:ascii="Times New Roman" w:hAnsi="Times New Roman" w:eastAsia="Times New Roman" w:cs="Times New Roman"/>
          <w:sz w:val="23"/>
          <w:szCs w:val="23"/>
          <w:spacing w:val="5"/>
        </w:rPr>
        <w:t>(</w:t>
      </w:r>
      <w:r>
        <w:rPr>
          <w:rFonts w:ascii="Times New Roman" w:hAnsi="Times New Roman" w:eastAsia="Times New Roman" w:cs="Times New Roman"/>
          <w:sz w:val="23"/>
          <w:szCs w:val="23"/>
        </w:rPr>
        <w:t>Ri</w:t>
      </w:r>
      <w:r>
        <w:rPr>
          <w:rFonts w:ascii="Times New Roman" w:hAnsi="Times New Roman" w:eastAsia="Times New Roman" w:cs="Times New Roman"/>
          <w:sz w:val="23"/>
          <w:szCs w:val="23"/>
          <w:spacing w:val="5"/>
        </w:rPr>
        <w:t>)</w:t>
      </w:r>
      <w:r>
        <w:rPr>
          <w:sz w:val="23"/>
          <w:szCs w:val="23"/>
          <w:spacing w:val="5"/>
        </w:rPr>
        <w:t>作为标准判定烟团/烟羽是</w:t>
      </w:r>
      <w:r>
        <w:rPr>
          <w:sz w:val="23"/>
          <w:szCs w:val="23"/>
          <w:spacing w:val="4"/>
        </w:rPr>
        <w:t>否为重质气体。</w:t>
      </w:r>
    </w:p>
    <w:p>
      <w:pPr>
        <w:pStyle w:val="BodyText"/>
        <w:ind w:left="480"/>
        <w:spacing w:before="213" w:line="220" w:lineRule="auto"/>
        <w:rPr>
          <w:sz w:val="23"/>
          <w:szCs w:val="23"/>
        </w:rPr>
      </w:pPr>
      <w:r>
        <w:rPr>
          <w:sz w:val="23"/>
          <w:szCs w:val="23"/>
          <w:spacing w:val="-1"/>
        </w:rPr>
        <w:t>连续排放：</w:t>
      </w:r>
    </w:p>
    <w:p>
      <w:pPr>
        <w:ind w:firstLine="3359"/>
        <w:spacing w:before="195" w:line="790" w:lineRule="exact"/>
        <w:rPr/>
      </w:pPr>
      <w:r>
        <w:rPr>
          <w:position w:val="-15"/>
        </w:rPr>
        <w:drawing>
          <wp:inline distT="0" distB="0" distL="0" distR="0">
            <wp:extent cx="1549460" cy="501734"/>
            <wp:effectExtent l="0" t="0" r="0" b="0"/>
            <wp:docPr id="30" name="IM 30"/>
            <wp:cNvGraphicFramePr/>
            <a:graphic>
              <a:graphicData uri="http://schemas.openxmlformats.org/drawingml/2006/picture">
                <pic:pic>
                  <pic:nvPicPr>
                    <pic:cNvPr id="30" name="IM 30"/>
                    <pic:cNvPicPr/>
                  </pic:nvPicPr>
                  <pic:blipFill>
                    <a:blip r:embed="rId193"/>
                    <a:stretch>
                      <a:fillRect/>
                    </a:stretch>
                  </pic:blipFill>
                  <pic:spPr>
                    <a:xfrm rot="0">
                      <a:off x="0" y="0"/>
                      <a:ext cx="1549460" cy="501734"/>
                    </a:xfrm>
                    <a:prstGeom prst="rect">
                      <a:avLst/>
                    </a:prstGeom>
                  </pic:spPr>
                </pic:pic>
              </a:graphicData>
            </a:graphic>
          </wp:inline>
        </w:drawing>
      </w:r>
    </w:p>
    <w:p>
      <w:pPr>
        <w:pStyle w:val="BodyText"/>
        <w:ind w:left="500"/>
        <w:spacing w:before="214" w:line="450" w:lineRule="exact"/>
        <w:rPr>
          <w:sz w:val="23"/>
          <w:szCs w:val="23"/>
        </w:rPr>
      </w:pPr>
      <w:r>
        <w:rPr>
          <w:sz w:val="23"/>
          <w:szCs w:val="23"/>
          <w:spacing w:val="-1"/>
          <w:position w:val="17"/>
        </w:rPr>
        <w:t>式中： </w:t>
      </w:r>
      <w:r>
        <w:rPr>
          <w:rFonts w:ascii="Times New Roman" w:hAnsi="Times New Roman" w:eastAsia="Times New Roman" w:cs="Times New Roman"/>
          <w:sz w:val="23"/>
          <w:szCs w:val="23"/>
          <w:spacing w:val="-1"/>
          <w:position w:val="17"/>
        </w:rPr>
        <w:t>pre——</w:t>
      </w:r>
      <w:r>
        <w:rPr>
          <w:rFonts w:ascii="Times New Roman" w:hAnsi="Times New Roman" w:eastAsia="Times New Roman" w:cs="Times New Roman"/>
          <w:sz w:val="23"/>
          <w:szCs w:val="23"/>
          <w:spacing w:val="50"/>
          <w:w w:val="101"/>
          <w:position w:val="17"/>
        </w:rPr>
        <w:t xml:space="preserve"> </w:t>
      </w:r>
      <w:r>
        <w:rPr>
          <w:sz w:val="23"/>
          <w:szCs w:val="23"/>
          <w:spacing w:val="-1"/>
          <w:position w:val="17"/>
        </w:rPr>
        <w:t>排放物质进入大气的初始密度；</w:t>
      </w:r>
    </w:p>
    <w:p>
      <w:pPr>
        <w:pStyle w:val="BodyText"/>
        <w:ind w:left="1239"/>
        <w:spacing w:line="212" w:lineRule="auto"/>
        <w:rPr>
          <w:sz w:val="23"/>
          <w:szCs w:val="23"/>
        </w:rPr>
      </w:pPr>
      <w:r>
        <w:rPr>
          <w:rFonts w:ascii="Times New Roman" w:hAnsi="Times New Roman" w:eastAsia="Times New Roman" w:cs="Times New Roman"/>
          <w:sz w:val="23"/>
          <w:szCs w:val="23"/>
        </w:rPr>
        <w:t>pa</w:t>
      </w:r>
      <w:r>
        <w:rPr>
          <w:rFonts w:ascii="Times New Roman" w:hAnsi="Times New Roman" w:eastAsia="Times New Roman" w:cs="Times New Roman"/>
          <w:sz w:val="23"/>
          <w:szCs w:val="23"/>
          <w:spacing w:val="1"/>
        </w:rPr>
        <w:t>—— </w:t>
      </w:r>
      <w:r>
        <w:rPr>
          <w:sz w:val="23"/>
          <w:szCs w:val="23"/>
          <w:spacing w:val="1"/>
        </w:rPr>
        <w:t>环境空气密度；</w:t>
      </w:r>
    </w:p>
    <w:p>
      <w:pPr>
        <w:spacing w:line="205" w:lineRule="exact"/>
        <w:rPr/>
      </w:pPr>
      <w:r/>
    </w:p>
    <w:p>
      <w:pPr>
        <w:spacing w:line="205" w:lineRule="exact"/>
        <w:sectPr>
          <w:footerReference w:type="default" r:id="rId192"/>
          <w:pgSz w:w="11900" w:h="16840"/>
          <w:pgMar w:top="1269" w:right="1522" w:bottom="1005" w:left="1519" w:header="0" w:footer="856" w:gutter="0"/>
          <w:cols w:equalWidth="0" w:num="1">
            <w:col w:w="8858" w:space="0"/>
          </w:cols>
        </w:sectPr>
        <w:rPr/>
      </w:pPr>
    </w:p>
    <w:p>
      <w:pPr>
        <w:pStyle w:val="BodyText"/>
        <w:ind w:left="1180"/>
        <w:spacing w:before="46" w:line="461" w:lineRule="exact"/>
        <w:rPr>
          <w:sz w:val="23"/>
          <w:szCs w:val="23"/>
        </w:rPr>
      </w:pPr>
      <w:r>
        <w:rPr>
          <w:sz w:val="23"/>
          <w:szCs w:val="23"/>
          <w:spacing w:val="2"/>
          <w:position w:val="17"/>
        </w:rPr>
        <w:t>Q—— 连续排放烟羽的排放速率；</w:t>
      </w:r>
    </w:p>
    <w:p>
      <w:pPr>
        <w:pStyle w:val="BodyText"/>
        <w:ind w:left="1209"/>
        <w:spacing w:line="220" w:lineRule="auto"/>
        <w:rPr>
          <w:sz w:val="23"/>
          <w:szCs w:val="23"/>
        </w:rPr>
      </w:pPr>
      <w:r>
        <w:rPr>
          <w:rFonts w:ascii="Times New Roman" w:hAnsi="Times New Roman" w:eastAsia="Times New Roman" w:cs="Times New Roman"/>
          <w:sz w:val="23"/>
          <w:szCs w:val="23"/>
          <w:spacing w:val="-1"/>
        </w:rPr>
        <w:t>Dre——</w:t>
      </w:r>
      <w:r>
        <w:rPr>
          <w:sz w:val="23"/>
          <w:szCs w:val="23"/>
          <w:spacing w:val="-1"/>
        </w:rPr>
        <w:t>初始烟团宽度；</w:t>
      </w:r>
    </w:p>
    <w:p>
      <w:pPr>
        <w:pStyle w:val="BodyText"/>
        <w:ind w:left="1229"/>
        <w:spacing w:before="181" w:line="212" w:lineRule="auto"/>
        <w:rPr>
          <w:sz w:val="23"/>
          <w:szCs w:val="23"/>
        </w:rPr>
      </w:pPr>
      <w:r>
        <w:rPr>
          <w:rFonts w:ascii="Times New Roman" w:hAnsi="Times New Roman" w:eastAsia="Times New Roman" w:cs="Times New Roman"/>
          <w:sz w:val="23"/>
          <w:szCs w:val="23"/>
          <w:spacing w:val="2"/>
        </w:rPr>
        <w:t>U;——10m </w:t>
      </w:r>
      <w:r>
        <w:rPr>
          <w:sz w:val="23"/>
          <w:szCs w:val="23"/>
          <w:spacing w:val="2"/>
        </w:rPr>
        <w:t>高处风速。</w:t>
      </w:r>
    </w:p>
    <w:p>
      <w:pPr>
        <w:pStyle w:val="BodyText"/>
        <w:ind w:left="500"/>
        <w:spacing w:before="206" w:line="212" w:lineRule="auto"/>
        <w:rPr>
          <w:rFonts w:ascii="Times New Roman" w:hAnsi="Times New Roman" w:eastAsia="Times New Roman" w:cs="Times New Roman"/>
          <w:sz w:val="23"/>
          <w:szCs w:val="23"/>
        </w:rPr>
      </w:pPr>
      <w:r>
        <w:rPr>
          <w:sz w:val="23"/>
          <w:szCs w:val="23"/>
          <w:spacing w:val="4"/>
        </w:rPr>
        <w:t>根据估算：理查德森数</w:t>
      </w:r>
      <w:r>
        <w:rPr>
          <w:rFonts w:ascii="Times New Roman" w:hAnsi="Times New Roman" w:eastAsia="Times New Roman" w:cs="Times New Roman"/>
          <w:sz w:val="23"/>
          <w:szCs w:val="23"/>
        </w:rPr>
        <w:t>Ri</w:t>
      </w:r>
      <w:r>
        <w:rPr>
          <w:rFonts w:ascii="Times New Roman" w:hAnsi="Times New Roman" w:eastAsia="Times New Roman" w:cs="Times New Roman"/>
          <w:sz w:val="23"/>
          <w:szCs w:val="23"/>
          <w:spacing w:val="4"/>
        </w:rPr>
        <w:t>=0.045749,</w:t>
      </w:r>
      <w:r>
        <w:rPr>
          <w:rFonts w:ascii="Times New Roman" w:hAnsi="Times New Roman" w:eastAsia="Times New Roman" w:cs="Times New Roman"/>
          <w:sz w:val="23"/>
          <w:szCs w:val="23"/>
        </w:rPr>
        <w:t>Ri</w:t>
      </w:r>
      <w:r>
        <w:rPr>
          <w:rFonts w:ascii="Times New Roman" w:hAnsi="Times New Roman" w:eastAsia="Times New Roman" w:cs="Times New Roman"/>
          <w:sz w:val="23"/>
          <w:szCs w:val="23"/>
          <w:spacing w:val="4"/>
        </w:rPr>
        <w:t>&lt;1/6,</w:t>
      </w:r>
    </w:p>
    <w:p>
      <w:pPr>
        <w:pStyle w:val="BodyText"/>
        <w:ind w:left="19"/>
        <w:spacing w:before="201" w:line="219" w:lineRule="auto"/>
        <w:rPr>
          <w:sz w:val="23"/>
          <w:szCs w:val="23"/>
        </w:rPr>
      </w:pPr>
      <w:r>
        <w:rPr>
          <w:rFonts w:ascii="Times New Roman" w:hAnsi="Times New Roman" w:eastAsia="Times New Roman" w:cs="Times New Roman"/>
          <w:sz w:val="23"/>
          <w:szCs w:val="23"/>
          <w:spacing w:val="-20"/>
          <w:w w:val="97"/>
        </w:rPr>
        <w:t>AFTOX </w:t>
      </w:r>
      <w:r>
        <w:rPr>
          <w:sz w:val="23"/>
          <w:szCs w:val="23"/>
          <w:spacing w:val="-20"/>
          <w:w w:val="97"/>
        </w:rPr>
        <w:t>模式。</w:t>
      </w:r>
    </w:p>
    <w:p>
      <w:pPr>
        <w:pStyle w:val="BodyText"/>
        <w:ind w:left="619"/>
        <w:spacing w:before="207" w:line="220" w:lineRule="auto"/>
        <w:rPr>
          <w:sz w:val="23"/>
          <w:szCs w:val="23"/>
        </w:rPr>
      </w:pPr>
      <w:r>
        <w:rPr>
          <w:sz w:val="23"/>
          <w:szCs w:val="23"/>
          <w:spacing w:val="19"/>
        </w:rPr>
        <w:t>(4)预测结果</w:t>
      </w:r>
    </w:p>
    <w:p>
      <w:pPr>
        <w:pStyle w:val="BodyText"/>
        <w:ind w:left="510"/>
        <w:spacing w:before="176" w:line="184" w:lineRule="auto"/>
        <w:rPr>
          <w:sz w:val="23"/>
          <w:szCs w:val="23"/>
        </w:rPr>
      </w:pPr>
      <w:r>
        <w:rPr>
          <w:sz w:val="23"/>
          <w:szCs w:val="23"/>
          <w:spacing w:val="17"/>
        </w:rPr>
        <w:t>1)下风向最远距离</w:t>
      </w:r>
    </w:p>
    <w:p>
      <w:pPr>
        <w:spacing w:line="14" w:lineRule="auto"/>
        <w:rPr>
          <w:rFonts w:ascii="Arial"/>
          <w:sz w:val="2"/>
        </w:rPr>
      </w:pPr>
      <w:r>
        <w:rPr>
          <w:rFonts w:ascii="Arial" w:hAnsi="Arial" w:eastAsia="Arial" w:cs="Arial"/>
          <w:sz w:val="2"/>
          <w:szCs w:val="2"/>
        </w:rPr>
        <w:br w:type="column"/>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pStyle w:val="BodyText"/>
        <w:spacing w:before="75" w:line="219" w:lineRule="auto"/>
        <w:jc w:val="right"/>
        <w:rPr>
          <w:sz w:val="23"/>
          <w:szCs w:val="23"/>
        </w:rPr>
      </w:pPr>
      <w:r>
        <w:rPr>
          <w:sz w:val="23"/>
          <w:szCs w:val="23"/>
          <w:spacing w:val="10"/>
        </w:rPr>
        <w:t>为轻质气体。扩散计算建议采用</w:t>
      </w:r>
    </w:p>
    <w:p>
      <w:pPr>
        <w:spacing w:line="219" w:lineRule="auto"/>
        <w:sectPr>
          <w:type w:val="continuous"/>
          <w:pgSz w:w="11900" w:h="16840"/>
          <w:pgMar w:top="1269" w:right="1522" w:bottom="1005" w:left="1519" w:header="0" w:footer="856" w:gutter="0"/>
          <w:cols w:equalWidth="0" w:num="2">
            <w:col w:w="5391" w:space="100"/>
            <w:col w:w="3368" w:space="0"/>
          </w:cols>
        </w:sectPr>
        <w:rPr>
          <w:sz w:val="23"/>
          <w:szCs w:val="23"/>
        </w:rPr>
      </w:pPr>
    </w:p>
    <w:p>
      <w:pPr>
        <w:pStyle w:val="BodyText"/>
        <w:ind w:left="84" w:right="207" w:firstLine="500"/>
        <w:spacing w:before="46" w:line="372" w:lineRule="auto"/>
        <w:jc w:val="both"/>
        <w:rPr>
          <w:sz w:val="23"/>
          <w:szCs w:val="23"/>
        </w:rPr>
      </w:pPr>
      <w:r>
        <w:rPr>
          <w:sz w:val="23"/>
          <w:szCs w:val="23"/>
          <w:spacing w:val="9"/>
        </w:rPr>
        <w:t>采用</w:t>
      </w:r>
      <w:r>
        <w:rPr>
          <w:sz w:val="23"/>
          <w:szCs w:val="23"/>
          <w:spacing w:val="-67"/>
        </w:rPr>
        <w:t xml:space="preserve"> </w:t>
      </w:r>
      <w:r>
        <w:rPr>
          <w:rFonts w:ascii="Times New Roman" w:hAnsi="Times New Roman" w:eastAsia="Times New Roman" w:cs="Times New Roman"/>
          <w:sz w:val="23"/>
          <w:szCs w:val="23"/>
        </w:rPr>
        <w:t>AFTOX</w:t>
      </w:r>
      <w:r>
        <w:rPr>
          <w:rFonts w:ascii="Times New Roman" w:hAnsi="Times New Roman" w:eastAsia="Times New Roman" w:cs="Times New Roman"/>
          <w:sz w:val="23"/>
          <w:szCs w:val="23"/>
          <w:spacing w:val="-10"/>
        </w:rPr>
        <w:t xml:space="preserve"> </w:t>
      </w:r>
      <w:r>
        <w:rPr>
          <w:sz w:val="23"/>
          <w:szCs w:val="23"/>
          <w:spacing w:val="9"/>
        </w:rPr>
        <w:t>模型进行进一步预测计算可知，最不利气象条件(预测气象条</w:t>
      </w:r>
      <w:r>
        <w:rPr>
          <w:sz w:val="23"/>
          <w:szCs w:val="23"/>
          <w:spacing w:val="8"/>
        </w:rPr>
        <w:t>件为</w:t>
      </w:r>
      <w:r>
        <w:rPr>
          <w:rFonts w:ascii="Times New Roman" w:hAnsi="Times New Roman" w:eastAsia="Times New Roman" w:cs="Times New Roman"/>
          <w:sz w:val="23"/>
          <w:szCs w:val="23"/>
          <w:spacing w:val="8"/>
        </w:rPr>
        <w:t>F </w:t>
      </w:r>
      <w:r>
        <w:rPr>
          <w:sz w:val="23"/>
          <w:szCs w:val="23"/>
          <w:spacing w:val="2"/>
        </w:rPr>
        <w:t>类稳定度、1.5</w:t>
      </w:r>
      <w:r>
        <w:rPr>
          <w:rFonts w:ascii="Times New Roman" w:hAnsi="Times New Roman" w:eastAsia="Times New Roman" w:cs="Times New Roman"/>
          <w:sz w:val="23"/>
          <w:szCs w:val="23"/>
          <w:spacing w:val="2"/>
        </w:rPr>
        <w:t>m/s</w:t>
      </w:r>
      <w:r>
        <w:rPr>
          <w:rFonts w:ascii="Times New Roman" w:hAnsi="Times New Roman" w:eastAsia="Times New Roman" w:cs="Times New Roman"/>
          <w:sz w:val="23"/>
          <w:szCs w:val="23"/>
          <w:spacing w:val="32"/>
        </w:rPr>
        <w:t xml:space="preserve"> </w:t>
      </w:r>
      <w:r>
        <w:rPr>
          <w:sz w:val="23"/>
          <w:szCs w:val="23"/>
          <w:spacing w:val="2"/>
        </w:rPr>
        <w:t>风速、温度25℃、相对湿度50%)时，毒性终点浓度-1(840.8</w:t>
      </w:r>
      <w:r>
        <w:rPr>
          <w:rFonts w:ascii="Times New Roman" w:hAnsi="Times New Roman" w:eastAsia="Times New Roman" w:cs="Times New Roman"/>
          <w:sz w:val="23"/>
          <w:szCs w:val="23"/>
        </w:rPr>
        <w:t>mg</w:t>
      </w:r>
      <w:r>
        <w:rPr>
          <w:rFonts w:ascii="Times New Roman" w:hAnsi="Times New Roman" w:eastAsia="Times New Roman" w:cs="Times New Roman"/>
          <w:sz w:val="23"/>
          <w:szCs w:val="23"/>
          <w:spacing w:val="2"/>
        </w:rPr>
        <w:t>/m)</w:t>
      </w:r>
      <w:r>
        <w:rPr>
          <w:sz w:val="23"/>
          <w:szCs w:val="23"/>
          <w:spacing w:val="2"/>
        </w:rPr>
        <w:t>、</w:t>
      </w:r>
      <w:r>
        <w:rPr>
          <w:sz w:val="23"/>
          <w:szCs w:val="23"/>
        </w:rPr>
        <w:t xml:space="preserve"> </w:t>
      </w:r>
      <w:r>
        <w:rPr>
          <w:sz w:val="23"/>
          <w:szCs w:val="23"/>
          <w:spacing w:val="11"/>
        </w:rPr>
        <w:t>毒性终点浓度-2(141.6</w:t>
      </w:r>
      <w:r>
        <w:rPr>
          <w:rFonts w:ascii="Times New Roman" w:hAnsi="Times New Roman" w:eastAsia="Times New Roman" w:cs="Times New Roman"/>
          <w:sz w:val="23"/>
          <w:szCs w:val="23"/>
        </w:rPr>
        <w:t>mg</w:t>
      </w:r>
      <w:r>
        <w:rPr>
          <w:rFonts w:ascii="Times New Roman" w:hAnsi="Times New Roman" w:eastAsia="Times New Roman" w:cs="Times New Roman"/>
          <w:sz w:val="23"/>
          <w:szCs w:val="23"/>
          <w:spacing w:val="11"/>
        </w:rPr>
        <w:t>/m³) </w:t>
      </w:r>
      <w:r>
        <w:rPr>
          <w:sz w:val="23"/>
          <w:szCs w:val="23"/>
          <w:spacing w:val="11"/>
        </w:rPr>
        <w:t>对应的下风向最远距离均为0,即下风向各预测点浓度</w:t>
      </w:r>
    </w:p>
    <w:p>
      <w:pPr>
        <w:pStyle w:val="BodyText"/>
        <w:ind w:left="84"/>
        <w:spacing w:line="219" w:lineRule="auto"/>
        <w:rPr>
          <w:sz w:val="23"/>
          <w:szCs w:val="23"/>
        </w:rPr>
      </w:pPr>
      <w:r>
        <w:rPr>
          <w:sz w:val="23"/>
          <w:szCs w:val="23"/>
          <w:spacing w:val="4"/>
        </w:rPr>
        <w:t>均未达到毒性终点浓度。</w:t>
      </w:r>
    </w:p>
    <w:p>
      <w:pPr>
        <w:pStyle w:val="BodyText"/>
        <w:ind w:left="1578"/>
        <w:spacing w:before="193" w:line="219" w:lineRule="auto"/>
        <w:rPr>
          <w:sz w:val="23"/>
          <w:szCs w:val="23"/>
        </w:rPr>
      </w:pPr>
      <w:r>
        <w:rPr>
          <w:sz w:val="23"/>
          <w:szCs w:val="23"/>
          <w:b/>
          <w:bCs/>
          <w:spacing w:val="25"/>
        </w:rPr>
        <w:t>表7.1-1</w:t>
      </w:r>
      <w:r>
        <w:rPr>
          <w:sz w:val="23"/>
          <w:szCs w:val="23"/>
          <w:spacing w:val="25"/>
        </w:rPr>
        <w:t xml:space="preserve">  </w:t>
      </w:r>
      <w:r>
        <w:rPr>
          <w:rFonts w:ascii="Times New Roman" w:hAnsi="Times New Roman" w:eastAsia="Times New Roman" w:cs="Times New Roman"/>
          <w:sz w:val="23"/>
          <w:szCs w:val="23"/>
          <w:b/>
          <w:bCs/>
        </w:rPr>
        <w:t>NMP</w:t>
      </w:r>
      <w:r>
        <w:rPr>
          <w:rFonts w:ascii="Times New Roman" w:hAnsi="Times New Roman" w:eastAsia="Times New Roman" w:cs="Times New Roman"/>
          <w:sz w:val="23"/>
          <w:szCs w:val="23"/>
          <w:b/>
          <w:bCs/>
          <w:spacing w:val="26"/>
          <w:w w:val="101"/>
        </w:rPr>
        <w:t xml:space="preserve">  </w:t>
      </w:r>
      <w:r>
        <w:rPr>
          <w:sz w:val="23"/>
          <w:szCs w:val="23"/>
          <w:b/>
          <w:bCs/>
          <w:spacing w:val="25"/>
        </w:rPr>
        <w:t>储罐发生泄漏事故风险影响程度表</w:t>
      </w:r>
    </w:p>
    <w:p>
      <w:pPr>
        <w:spacing w:line="155" w:lineRule="exact"/>
        <w:rPr/>
      </w:pPr>
      <w:r/>
    </w:p>
    <w:tbl>
      <w:tblPr>
        <w:tblStyle w:val="TableNormal"/>
        <w:tblW w:w="896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572"/>
        <w:gridCol w:w="1398"/>
        <w:gridCol w:w="3226"/>
        <w:gridCol w:w="1773"/>
      </w:tblGrid>
      <w:tr>
        <w:trPr>
          <w:trHeight w:val="471" w:hRule="atLeast"/>
        </w:trPr>
        <w:tc>
          <w:tcPr>
            <w:tcW w:w="2572" w:type="dxa"/>
            <w:vAlign w:val="top"/>
          </w:tcPr>
          <w:p>
            <w:pPr>
              <w:pStyle w:val="TableText"/>
              <w:ind w:left="875"/>
              <w:spacing w:before="143" w:line="220" w:lineRule="auto"/>
              <w:rPr>
                <w:sz w:val="20"/>
                <w:szCs w:val="20"/>
              </w:rPr>
            </w:pPr>
            <w:r>
              <w:rPr>
                <w:sz w:val="20"/>
                <w:szCs w:val="20"/>
                <w:spacing w:val="-2"/>
              </w:rPr>
              <w:t>预测情形</w:t>
            </w:r>
          </w:p>
        </w:tc>
        <w:tc>
          <w:tcPr>
            <w:tcW w:w="1398" w:type="dxa"/>
            <w:vAlign w:val="top"/>
          </w:tcPr>
          <w:p>
            <w:pPr>
              <w:pStyle w:val="TableText"/>
              <w:ind w:left="192"/>
              <w:spacing w:before="136" w:line="214" w:lineRule="auto"/>
              <w:rPr>
                <w:sz w:val="20"/>
                <w:szCs w:val="20"/>
              </w:rPr>
            </w:pPr>
            <w:r>
              <w:rPr>
                <w:sz w:val="20"/>
                <w:szCs w:val="20"/>
                <w:spacing w:val="7"/>
              </w:rPr>
              <w:t>源强(</w:t>
            </w:r>
            <w:r>
              <w:rPr>
                <w:sz w:val="20"/>
                <w:szCs w:val="20"/>
              </w:rPr>
              <w:t>kg</w:t>
            </w:r>
            <w:r>
              <w:rPr>
                <w:sz w:val="20"/>
                <w:szCs w:val="20"/>
                <w:spacing w:val="7"/>
              </w:rPr>
              <w:t>/s)</w:t>
            </w:r>
          </w:p>
        </w:tc>
        <w:tc>
          <w:tcPr>
            <w:tcW w:w="3226" w:type="dxa"/>
            <w:vAlign w:val="top"/>
          </w:tcPr>
          <w:p>
            <w:pPr>
              <w:pStyle w:val="TableText"/>
              <w:ind w:left="1204"/>
              <w:spacing w:before="143" w:line="220" w:lineRule="auto"/>
              <w:rPr>
                <w:sz w:val="20"/>
                <w:szCs w:val="20"/>
              </w:rPr>
            </w:pPr>
            <w:r>
              <w:rPr>
                <w:sz w:val="20"/>
                <w:szCs w:val="20"/>
                <w:spacing w:val="2"/>
              </w:rPr>
              <w:t>危害浓度</w:t>
            </w:r>
          </w:p>
        </w:tc>
        <w:tc>
          <w:tcPr>
            <w:tcW w:w="1773" w:type="dxa"/>
            <w:vAlign w:val="top"/>
          </w:tcPr>
          <w:p>
            <w:pPr>
              <w:pStyle w:val="TableText"/>
              <w:ind w:left="179"/>
              <w:spacing w:before="12" w:line="206" w:lineRule="auto"/>
              <w:rPr>
                <w:sz w:val="20"/>
                <w:szCs w:val="20"/>
              </w:rPr>
            </w:pPr>
            <w:r>
              <w:rPr>
                <w:sz w:val="20"/>
                <w:szCs w:val="20"/>
                <w:spacing w:val="1"/>
              </w:rPr>
              <w:t>下风向最远距离</w:t>
            </w:r>
          </w:p>
          <w:p>
            <w:pPr>
              <w:pStyle w:val="TableText"/>
              <w:ind w:left="729"/>
              <w:spacing w:line="207" w:lineRule="auto"/>
              <w:rPr>
                <w:sz w:val="20"/>
                <w:szCs w:val="20"/>
              </w:rPr>
            </w:pPr>
            <w:r>
              <w:rPr>
                <w:sz w:val="20"/>
                <w:szCs w:val="20"/>
                <w:spacing w:val="-10"/>
              </w:rPr>
              <w:t>(m)</w:t>
            </w:r>
          </w:p>
        </w:tc>
      </w:tr>
      <w:tr>
        <w:trPr>
          <w:trHeight w:val="367" w:hRule="atLeast"/>
        </w:trPr>
        <w:tc>
          <w:tcPr>
            <w:tcW w:w="2572" w:type="dxa"/>
            <w:vAlign w:val="top"/>
            <w:vMerge w:val="restart"/>
            <w:tcBorders>
              <w:bottom w:val="nil"/>
            </w:tcBorders>
          </w:tcPr>
          <w:p>
            <w:pPr>
              <w:pStyle w:val="TableText"/>
              <w:ind w:left="225"/>
              <w:spacing w:before="272" w:line="219" w:lineRule="auto"/>
              <w:rPr>
                <w:sz w:val="20"/>
                <w:szCs w:val="20"/>
              </w:rPr>
            </w:pPr>
            <w:r>
              <w:rPr>
                <w:sz w:val="20"/>
                <w:szCs w:val="20"/>
                <w:spacing w:val="2"/>
              </w:rPr>
              <w:t>F稳定度，风速(1.5m/s)</w:t>
            </w:r>
          </w:p>
        </w:tc>
        <w:tc>
          <w:tcPr>
            <w:tcW w:w="1398" w:type="dxa"/>
            <w:vAlign w:val="top"/>
            <w:vMerge w:val="restart"/>
            <w:tcBorders>
              <w:bottom w:val="nil"/>
            </w:tcBorders>
          </w:tcPr>
          <w:p>
            <w:pPr>
              <w:spacing w:line="256" w:lineRule="auto"/>
              <w:rPr>
                <w:rFonts w:ascii="Arial"/>
                <w:sz w:val="21"/>
              </w:rPr>
            </w:pPr>
            <w:r/>
          </w:p>
          <w:p>
            <w:pPr>
              <w:pStyle w:val="TableText"/>
              <w:ind w:left="393"/>
              <w:spacing w:before="65" w:line="184" w:lineRule="auto"/>
              <w:rPr>
                <w:sz w:val="20"/>
                <w:szCs w:val="20"/>
              </w:rPr>
            </w:pPr>
            <w:r>
              <w:rPr>
                <w:sz w:val="20"/>
                <w:szCs w:val="20"/>
                <w:spacing w:val="-2"/>
              </w:rPr>
              <w:t>0.0014</w:t>
            </w:r>
          </w:p>
        </w:tc>
        <w:tc>
          <w:tcPr>
            <w:tcW w:w="3226" w:type="dxa"/>
            <w:vAlign w:val="top"/>
          </w:tcPr>
          <w:p>
            <w:pPr>
              <w:pStyle w:val="TableText"/>
              <w:ind w:left="254"/>
              <w:spacing w:before="85" w:line="214" w:lineRule="auto"/>
              <w:rPr>
                <w:sz w:val="20"/>
                <w:szCs w:val="20"/>
              </w:rPr>
            </w:pPr>
            <w:r>
              <w:rPr>
                <w:sz w:val="20"/>
                <w:szCs w:val="20"/>
                <w:spacing w:val="7"/>
              </w:rPr>
              <w:t>毒性终点浓度-1(840.8</w:t>
            </w:r>
            <w:r>
              <w:rPr>
                <w:sz w:val="20"/>
                <w:szCs w:val="20"/>
              </w:rPr>
              <w:t>mg</w:t>
            </w:r>
            <w:r>
              <w:rPr>
                <w:sz w:val="20"/>
                <w:szCs w:val="20"/>
                <w:spacing w:val="7"/>
              </w:rPr>
              <w:t>/m³)</w:t>
            </w:r>
          </w:p>
        </w:tc>
        <w:tc>
          <w:tcPr>
            <w:tcW w:w="1773" w:type="dxa"/>
            <w:vAlign w:val="top"/>
          </w:tcPr>
          <w:p>
            <w:pPr>
              <w:pStyle w:val="TableText"/>
              <w:ind w:left="829"/>
              <w:spacing w:before="143" w:line="183" w:lineRule="auto"/>
              <w:rPr>
                <w:sz w:val="20"/>
                <w:szCs w:val="20"/>
              </w:rPr>
            </w:pPr>
            <w:r>
              <w:rPr>
                <w:sz w:val="20"/>
                <w:szCs w:val="20"/>
              </w:rPr>
              <w:t>0</w:t>
            </w:r>
          </w:p>
        </w:tc>
      </w:tr>
      <w:tr>
        <w:trPr>
          <w:trHeight w:val="352" w:hRule="atLeast"/>
        </w:trPr>
        <w:tc>
          <w:tcPr>
            <w:tcW w:w="2572" w:type="dxa"/>
            <w:vAlign w:val="top"/>
            <w:vMerge w:val="continue"/>
            <w:tcBorders>
              <w:top w:val="nil"/>
            </w:tcBorders>
          </w:tcPr>
          <w:p>
            <w:pPr>
              <w:rPr>
                <w:rFonts w:ascii="Arial"/>
                <w:sz w:val="21"/>
              </w:rPr>
            </w:pPr>
            <w:r/>
          </w:p>
        </w:tc>
        <w:tc>
          <w:tcPr>
            <w:tcW w:w="1398" w:type="dxa"/>
            <w:vAlign w:val="top"/>
            <w:vMerge w:val="continue"/>
            <w:tcBorders>
              <w:top w:val="nil"/>
            </w:tcBorders>
          </w:tcPr>
          <w:p>
            <w:pPr>
              <w:rPr>
                <w:rFonts w:ascii="Arial"/>
                <w:sz w:val="21"/>
              </w:rPr>
            </w:pPr>
            <w:r/>
          </w:p>
        </w:tc>
        <w:tc>
          <w:tcPr>
            <w:tcW w:w="3226" w:type="dxa"/>
            <w:vAlign w:val="top"/>
          </w:tcPr>
          <w:p>
            <w:pPr>
              <w:pStyle w:val="TableText"/>
              <w:ind w:left="254"/>
              <w:spacing w:before="78" w:line="214" w:lineRule="auto"/>
              <w:rPr>
                <w:sz w:val="20"/>
                <w:szCs w:val="20"/>
              </w:rPr>
            </w:pPr>
            <w:r>
              <w:rPr>
                <w:sz w:val="20"/>
                <w:szCs w:val="20"/>
                <w:spacing w:val="7"/>
              </w:rPr>
              <w:t>毒性终点浓度-2(141.6</w:t>
            </w:r>
            <w:r>
              <w:rPr>
                <w:sz w:val="20"/>
                <w:szCs w:val="20"/>
              </w:rPr>
              <w:t>mg</w:t>
            </w:r>
            <w:r>
              <w:rPr>
                <w:sz w:val="20"/>
                <w:szCs w:val="20"/>
                <w:spacing w:val="7"/>
              </w:rPr>
              <w:t>/m³)</w:t>
            </w:r>
          </w:p>
        </w:tc>
        <w:tc>
          <w:tcPr>
            <w:tcW w:w="1773" w:type="dxa"/>
            <w:vAlign w:val="top"/>
          </w:tcPr>
          <w:p>
            <w:pPr>
              <w:pStyle w:val="TableText"/>
              <w:ind w:left="829"/>
              <w:spacing w:before="136" w:line="183" w:lineRule="auto"/>
              <w:rPr>
                <w:sz w:val="20"/>
                <w:szCs w:val="20"/>
              </w:rPr>
            </w:pPr>
            <w:r>
              <w:rPr>
                <w:sz w:val="20"/>
                <w:szCs w:val="20"/>
              </w:rPr>
              <w:t>0</w:t>
            </w:r>
          </w:p>
        </w:tc>
      </w:tr>
    </w:tbl>
    <w:p>
      <w:pPr>
        <w:pStyle w:val="BodyText"/>
        <w:ind w:left="585"/>
        <w:spacing w:before="74" w:line="219" w:lineRule="auto"/>
        <w:rPr>
          <w:sz w:val="22"/>
          <w:szCs w:val="22"/>
        </w:rPr>
      </w:pPr>
      <w:r>
        <w:rPr>
          <w:sz w:val="22"/>
          <w:szCs w:val="22"/>
        </w:rPr>
        <w:t>2)下风向不同距离处最大浓度</w:t>
      </w:r>
    </w:p>
    <w:p>
      <w:pPr>
        <w:pStyle w:val="BodyText"/>
        <w:ind w:left="84" w:right="234" w:firstLine="470"/>
        <w:spacing w:before="158" w:line="378" w:lineRule="auto"/>
        <w:rPr>
          <w:sz w:val="23"/>
          <w:szCs w:val="23"/>
        </w:rPr>
      </w:pPr>
      <w:r>
        <w:rPr>
          <w:sz w:val="23"/>
          <w:szCs w:val="23"/>
          <w:spacing w:val="9"/>
        </w:rPr>
        <w:t>采用</w:t>
      </w:r>
      <w:r>
        <w:rPr>
          <w:sz w:val="23"/>
          <w:szCs w:val="23"/>
          <w:spacing w:val="-37"/>
        </w:rPr>
        <w:t xml:space="preserve"> </w:t>
      </w:r>
      <w:r>
        <w:rPr>
          <w:rFonts w:ascii="Times New Roman" w:hAnsi="Times New Roman" w:eastAsia="Times New Roman" w:cs="Times New Roman"/>
          <w:sz w:val="23"/>
          <w:szCs w:val="23"/>
        </w:rPr>
        <w:t>AFTOX</w:t>
      </w:r>
      <w:r>
        <w:rPr>
          <w:rFonts w:ascii="Times New Roman" w:hAnsi="Times New Roman" w:eastAsia="Times New Roman" w:cs="Times New Roman"/>
          <w:sz w:val="23"/>
          <w:szCs w:val="23"/>
          <w:spacing w:val="28"/>
          <w:w w:val="101"/>
        </w:rPr>
        <w:t xml:space="preserve"> </w:t>
      </w:r>
      <w:r>
        <w:rPr>
          <w:sz w:val="23"/>
          <w:szCs w:val="23"/>
          <w:spacing w:val="9"/>
        </w:rPr>
        <w:t>模型进行进一步预测计算可知，最不利气象条件时，下风向不同距</w:t>
      </w:r>
      <w:r>
        <w:rPr>
          <w:sz w:val="23"/>
          <w:szCs w:val="23"/>
        </w:rPr>
        <w:t xml:space="preserve"> </w:t>
      </w:r>
      <w:r>
        <w:rPr>
          <w:sz w:val="23"/>
          <w:szCs w:val="23"/>
          <w:spacing w:val="7"/>
        </w:rPr>
        <w:t>离处</w:t>
      </w:r>
      <w:r>
        <w:rPr>
          <w:rFonts w:ascii="Times New Roman" w:hAnsi="Times New Roman" w:eastAsia="Times New Roman" w:cs="Times New Roman"/>
          <w:sz w:val="23"/>
          <w:szCs w:val="23"/>
        </w:rPr>
        <w:t>NMP</w:t>
      </w:r>
      <w:r>
        <w:rPr>
          <w:rFonts w:ascii="Times New Roman" w:hAnsi="Times New Roman" w:eastAsia="Times New Roman" w:cs="Times New Roman"/>
          <w:sz w:val="23"/>
          <w:szCs w:val="23"/>
          <w:spacing w:val="63"/>
        </w:rPr>
        <w:t xml:space="preserve"> </w:t>
      </w:r>
      <w:r>
        <w:rPr>
          <w:sz w:val="23"/>
          <w:szCs w:val="23"/>
          <w:spacing w:val="7"/>
        </w:rPr>
        <w:t>的最大浓度见表7.1-2,下风向最大浓度为23.5</w:t>
      </w:r>
      <w:r>
        <w:rPr>
          <w:rFonts w:ascii="Times New Roman" w:hAnsi="Times New Roman" w:eastAsia="Times New Roman" w:cs="Times New Roman"/>
          <w:sz w:val="23"/>
          <w:szCs w:val="23"/>
        </w:rPr>
        <w:t>mg</w:t>
      </w:r>
      <w:r>
        <w:rPr>
          <w:rFonts w:ascii="Times New Roman" w:hAnsi="Times New Roman" w:eastAsia="Times New Roman" w:cs="Times New Roman"/>
          <w:sz w:val="23"/>
          <w:szCs w:val="23"/>
          <w:spacing w:val="7"/>
        </w:rPr>
        <w:t>/m³,   </w:t>
      </w:r>
      <w:r>
        <w:rPr>
          <w:sz w:val="23"/>
          <w:szCs w:val="23"/>
          <w:spacing w:val="7"/>
        </w:rPr>
        <w:t>出现在0.11</w:t>
      </w:r>
      <w:r>
        <w:rPr>
          <w:rFonts w:ascii="Times New Roman" w:hAnsi="Times New Roman" w:eastAsia="Times New Roman" w:cs="Times New Roman"/>
          <w:sz w:val="23"/>
          <w:szCs w:val="23"/>
        </w:rPr>
        <w:t>min</w:t>
      </w:r>
      <w:r>
        <w:rPr>
          <w:rFonts w:ascii="Times New Roman" w:hAnsi="Times New Roman" w:eastAsia="Times New Roman" w:cs="Times New Roman"/>
          <w:sz w:val="23"/>
          <w:szCs w:val="23"/>
          <w:spacing w:val="-32"/>
        </w:rPr>
        <w:t xml:space="preserve"> </w:t>
      </w:r>
      <w:r>
        <w:rPr>
          <w:sz w:val="23"/>
          <w:szCs w:val="23"/>
          <w:spacing w:val="7"/>
        </w:rPr>
        <w:t>、距</w:t>
      </w:r>
    </w:p>
    <w:p>
      <w:pPr>
        <w:pStyle w:val="BodyText"/>
        <w:ind w:left="84"/>
        <w:spacing w:line="220" w:lineRule="auto"/>
        <w:rPr>
          <w:sz w:val="23"/>
          <w:szCs w:val="23"/>
        </w:rPr>
      </w:pPr>
      <w:r>
        <w:rPr>
          <w:sz w:val="23"/>
          <w:szCs w:val="23"/>
          <w:spacing w:val="7"/>
        </w:rPr>
        <w:t>污染物质泄漏点10</w:t>
      </w:r>
      <w:r>
        <w:rPr>
          <w:rFonts w:ascii="Times New Roman" w:hAnsi="Times New Roman" w:eastAsia="Times New Roman" w:cs="Times New Roman"/>
          <w:sz w:val="23"/>
          <w:szCs w:val="23"/>
          <w:spacing w:val="7"/>
        </w:rPr>
        <w:t>m </w:t>
      </w:r>
      <w:r>
        <w:rPr>
          <w:sz w:val="23"/>
          <w:szCs w:val="23"/>
          <w:spacing w:val="7"/>
        </w:rPr>
        <w:t>处。</w:t>
      </w:r>
    </w:p>
    <w:p>
      <w:pPr>
        <w:pStyle w:val="BodyText"/>
        <w:ind w:left="1488"/>
        <w:spacing w:before="202" w:line="219" w:lineRule="auto"/>
        <w:rPr>
          <w:sz w:val="23"/>
          <w:szCs w:val="23"/>
        </w:rPr>
      </w:pPr>
      <w:r>
        <w:rPr>
          <w:sz w:val="23"/>
          <w:szCs w:val="23"/>
          <w:b/>
          <w:bCs/>
          <w:spacing w:val="23"/>
        </w:rPr>
        <w:t>表7.1-2</w:t>
      </w:r>
      <w:r>
        <w:rPr>
          <w:sz w:val="23"/>
          <w:szCs w:val="23"/>
          <w:spacing w:val="23"/>
        </w:rPr>
        <w:t xml:space="preserve">  </w:t>
      </w:r>
      <w:r>
        <w:rPr>
          <w:rFonts w:ascii="Times New Roman" w:hAnsi="Times New Roman" w:eastAsia="Times New Roman" w:cs="Times New Roman"/>
          <w:sz w:val="23"/>
          <w:szCs w:val="23"/>
          <w:b/>
          <w:bCs/>
        </w:rPr>
        <w:t>NMP</w:t>
      </w:r>
      <w:r>
        <w:rPr>
          <w:rFonts w:ascii="Times New Roman" w:hAnsi="Times New Roman" w:eastAsia="Times New Roman" w:cs="Times New Roman"/>
          <w:sz w:val="23"/>
          <w:szCs w:val="23"/>
          <w:b/>
          <w:bCs/>
          <w:spacing w:val="23"/>
        </w:rPr>
        <w:t xml:space="preserve">  </w:t>
      </w:r>
      <w:r>
        <w:rPr>
          <w:sz w:val="23"/>
          <w:szCs w:val="23"/>
          <w:b/>
          <w:bCs/>
          <w:spacing w:val="23"/>
        </w:rPr>
        <w:t>下风向不同距离处最大浓度预测结果</w:t>
      </w:r>
    </w:p>
    <w:p>
      <w:pPr>
        <w:spacing w:line="146" w:lineRule="exact"/>
        <w:rPr/>
      </w:pPr>
      <w:r/>
    </w:p>
    <w:tbl>
      <w:tblPr>
        <w:tblStyle w:val="TableNormal"/>
        <w:tblW w:w="9060" w:type="dxa"/>
        <w:tblInd w:w="6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31"/>
        <w:gridCol w:w="3017"/>
        <w:gridCol w:w="3012"/>
      </w:tblGrid>
      <w:tr>
        <w:trPr>
          <w:trHeight w:val="305" w:hRule="atLeast"/>
        </w:trPr>
        <w:tc>
          <w:tcPr>
            <w:tcW w:w="3031" w:type="dxa"/>
            <w:vAlign w:val="top"/>
          </w:tcPr>
          <w:p>
            <w:pPr>
              <w:pStyle w:val="TableText"/>
              <w:ind w:left="1155"/>
              <w:spacing w:before="53" w:line="220" w:lineRule="auto"/>
              <w:rPr>
                <w:sz w:val="20"/>
                <w:szCs w:val="20"/>
              </w:rPr>
            </w:pPr>
            <w:r>
              <w:rPr>
                <w:sz w:val="20"/>
                <w:szCs w:val="20"/>
                <w:spacing w:val="8"/>
              </w:rPr>
              <w:t>距离(m)</w:t>
            </w:r>
          </w:p>
        </w:tc>
        <w:tc>
          <w:tcPr>
            <w:tcW w:w="3017" w:type="dxa"/>
            <w:vAlign w:val="top"/>
          </w:tcPr>
          <w:p>
            <w:pPr>
              <w:pStyle w:val="TableText"/>
              <w:ind w:left="653"/>
              <w:spacing w:before="53" w:line="220" w:lineRule="auto"/>
              <w:rPr>
                <w:sz w:val="20"/>
                <w:szCs w:val="20"/>
              </w:rPr>
            </w:pPr>
            <w:r>
              <w:rPr>
                <w:sz w:val="20"/>
                <w:szCs w:val="20"/>
                <w:spacing w:val="5"/>
              </w:rPr>
              <w:t>浓度出现时间(</w:t>
            </w:r>
            <w:r>
              <w:rPr>
                <w:sz w:val="20"/>
                <w:szCs w:val="20"/>
              </w:rPr>
              <w:t>min</w:t>
            </w:r>
            <w:r>
              <w:rPr>
                <w:sz w:val="20"/>
                <w:szCs w:val="20"/>
                <w:spacing w:val="5"/>
              </w:rPr>
              <w:t>)</w:t>
            </w:r>
          </w:p>
        </w:tc>
        <w:tc>
          <w:tcPr>
            <w:tcW w:w="3012" w:type="dxa"/>
            <w:vAlign w:val="top"/>
          </w:tcPr>
          <w:p>
            <w:pPr>
              <w:pStyle w:val="TableText"/>
              <w:ind w:left="697"/>
              <w:spacing w:before="46" w:line="214" w:lineRule="auto"/>
              <w:rPr>
                <w:sz w:val="20"/>
                <w:szCs w:val="20"/>
              </w:rPr>
            </w:pPr>
            <w:r>
              <w:rPr>
                <w:sz w:val="20"/>
                <w:szCs w:val="20"/>
                <w:spacing w:val="15"/>
              </w:rPr>
              <w:t>高峰浓度(</w:t>
            </w:r>
            <w:r>
              <w:rPr>
                <w:sz w:val="20"/>
                <w:szCs w:val="20"/>
              </w:rPr>
              <w:t>mg</w:t>
            </w:r>
            <w:r>
              <w:rPr>
                <w:sz w:val="20"/>
                <w:szCs w:val="20"/>
                <w:spacing w:val="15"/>
              </w:rPr>
              <w:t>/m³)</w:t>
            </w:r>
          </w:p>
        </w:tc>
      </w:tr>
      <w:tr>
        <w:trPr>
          <w:trHeight w:val="290" w:hRule="atLeast"/>
        </w:trPr>
        <w:tc>
          <w:tcPr>
            <w:tcW w:w="3031" w:type="dxa"/>
            <w:vAlign w:val="top"/>
          </w:tcPr>
          <w:p>
            <w:pPr>
              <w:pStyle w:val="TableText"/>
              <w:ind w:left="1105"/>
              <w:spacing w:before="99" w:line="167" w:lineRule="auto"/>
              <w:rPr>
                <w:sz w:val="20"/>
                <w:szCs w:val="20"/>
              </w:rPr>
            </w:pPr>
            <w:r>
              <w:rPr>
                <w:sz w:val="20"/>
                <w:szCs w:val="20"/>
                <w:spacing w:val="-3"/>
              </w:rPr>
              <w:t>1.00E+01</w:t>
            </w:r>
          </w:p>
        </w:tc>
        <w:tc>
          <w:tcPr>
            <w:tcW w:w="3017" w:type="dxa"/>
            <w:vAlign w:val="top"/>
          </w:tcPr>
          <w:p>
            <w:pPr>
              <w:pStyle w:val="TableText"/>
              <w:ind w:left="1104"/>
              <w:spacing w:before="99" w:line="167" w:lineRule="auto"/>
              <w:rPr>
                <w:sz w:val="20"/>
                <w:szCs w:val="20"/>
              </w:rPr>
            </w:pPr>
            <w:r>
              <w:rPr>
                <w:sz w:val="20"/>
                <w:szCs w:val="20"/>
                <w:spacing w:val="-3"/>
              </w:rPr>
              <w:t>1.11E-01</w:t>
            </w:r>
          </w:p>
        </w:tc>
        <w:tc>
          <w:tcPr>
            <w:tcW w:w="3012" w:type="dxa"/>
            <w:vAlign w:val="top"/>
          </w:tcPr>
          <w:p>
            <w:pPr>
              <w:pStyle w:val="TableText"/>
              <w:ind w:left="1096"/>
              <w:spacing w:before="99" w:line="167" w:lineRule="auto"/>
              <w:rPr>
                <w:sz w:val="20"/>
                <w:szCs w:val="20"/>
              </w:rPr>
            </w:pPr>
            <w:r>
              <w:rPr>
                <w:sz w:val="20"/>
                <w:szCs w:val="20"/>
                <w:spacing w:val="-2"/>
              </w:rPr>
              <w:t>2.35E+01</w:t>
            </w:r>
          </w:p>
        </w:tc>
      </w:tr>
      <w:tr>
        <w:trPr>
          <w:trHeight w:val="279" w:hRule="atLeast"/>
        </w:trPr>
        <w:tc>
          <w:tcPr>
            <w:tcW w:w="3031" w:type="dxa"/>
            <w:vAlign w:val="top"/>
          </w:tcPr>
          <w:p>
            <w:pPr>
              <w:pStyle w:val="TableText"/>
              <w:ind w:left="1105"/>
              <w:spacing w:before="89" w:line="166" w:lineRule="auto"/>
              <w:rPr>
                <w:sz w:val="20"/>
                <w:szCs w:val="20"/>
              </w:rPr>
            </w:pPr>
            <w:r>
              <w:rPr>
                <w:sz w:val="20"/>
                <w:szCs w:val="20"/>
                <w:spacing w:val="-2"/>
              </w:rPr>
              <w:t>2.00E+01</w:t>
            </w:r>
          </w:p>
        </w:tc>
        <w:tc>
          <w:tcPr>
            <w:tcW w:w="3017" w:type="dxa"/>
            <w:vAlign w:val="top"/>
          </w:tcPr>
          <w:p>
            <w:pPr>
              <w:pStyle w:val="TableText"/>
              <w:ind w:left="1104"/>
              <w:spacing w:before="89" w:line="166" w:lineRule="auto"/>
              <w:rPr>
                <w:sz w:val="20"/>
                <w:szCs w:val="20"/>
              </w:rPr>
            </w:pPr>
            <w:r>
              <w:rPr>
                <w:sz w:val="20"/>
                <w:szCs w:val="20"/>
                <w:spacing w:val="-2"/>
              </w:rPr>
              <w:t>2.22E-01</w:t>
            </w:r>
          </w:p>
        </w:tc>
        <w:tc>
          <w:tcPr>
            <w:tcW w:w="3012" w:type="dxa"/>
            <w:vAlign w:val="top"/>
          </w:tcPr>
          <w:p>
            <w:pPr>
              <w:pStyle w:val="TableText"/>
              <w:ind w:left="1096"/>
              <w:spacing w:before="89" w:line="166" w:lineRule="auto"/>
              <w:rPr>
                <w:sz w:val="20"/>
                <w:szCs w:val="20"/>
              </w:rPr>
            </w:pPr>
            <w:r>
              <w:rPr>
                <w:sz w:val="20"/>
                <w:szCs w:val="20"/>
                <w:spacing w:val="-2"/>
              </w:rPr>
              <w:t>2.15E+01</w:t>
            </w:r>
          </w:p>
        </w:tc>
      </w:tr>
      <w:tr>
        <w:trPr>
          <w:trHeight w:val="280" w:hRule="atLeast"/>
        </w:trPr>
        <w:tc>
          <w:tcPr>
            <w:tcW w:w="3031" w:type="dxa"/>
            <w:vAlign w:val="top"/>
          </w:tcPr>
          <w:p>
            <w:pPr>
              <w:pStyle w:val="TableText"/>
              <w:ind w:left="1105"/>
              <w:spacing w:before="90" w:line="166" w:lineRule="auto"/>
              <w:rPr>
                <w:sz w:val="20"/>
                <w:szCs w:val="20"/>
              </w:rPr>
            </w:pPr>
            <w:r>
              <w:rPr>
                <w:sz w:val="20"/>
                <w:szCs w:val="20"/>
                <w:spacing w:val="-2"/>
              </w:rPr>
              <w:t>3.00E+01</w:t>
            </w:r>
          </w:p>
        </w:tc>
        <w:tc>
          <w:tcPr>
            <w:tcW w:w="3017" w:type="dxa"/>
            <w:vAlign w:val="top"/>
          </w:tcPr>
          <w:p>
            <w:pPr>
              <w:pStyle w:val="TableText"/>
              <w:ind w:left="1104"/>
              <w:spacing w:before="90" w:line="166" w:lineRule="auto"/>
              <w:rPr>
                <w:sz w:val="20"/>
                <w:szCs w:val="20"/>
              </w:rPr>
            </w:pPr>
            <w:r>
              <w:rPr>
                <w:sz w:val="20"/>
                <w:szCs w:val="20"/>
                <w:spacing w:val="-2"/>
              </w:rPr>
              <w:t>3.33E-01</w:t>
            </w:r>
          </w:p>
        </w:tc>
        <w:tc>
          <w:tcPr>
            <w:tcW w:w="3012" w:type="dxa"/>
            <w:vAlign w:val="top"/>
          </w:tcPr>
          <w:p>
            <w:pPr>
              <w:pStyle w:val="TableText"/>
              <w:ind w:left="1096"/>
              <w:spacing w:before="90" w:line="166" w:lineRule="auto"/>
              <w:rPr>
                <w:sz w:val="20"/>
                <w:szCs w:val="20"/>
              </w:rPr>
            </w:pPr>
            <w:r>
              <w:rPr>
                <w:sz w:val="20"/>
                <w:szCs w:val="20"/>
                <w:spacing w:val="-3"/>
              </w:rPr>
              <w:t>1.63E+01</w:t>
            </w:r>
          </w:p>
        </w:tc>
      </w:tr>
      <w:tr>
        <w:trPr>
          <w:trHeight w:val="279" w:hRule="atLeast"/>
        </w:trPr>
        <w:tc>
          <w:tcPr>
            <w:tcW w:w="3031" w:type="dxa"/>
            <w:vAlign w:val="top"/>
          </w:tcPr>
          <w:p>
            <w:pPr>
              <w:pStyle w:val="TableText"/>
              <w:ind w:left="1105"/>
              <w:spacing w:before="90" w:line="165" w:lineRule="auto"/>
              <w:rPr>
                <w:sz w:val="20"/>
                <w:szCs w:val="20"/>
              </w:rPr>
            </w:pPr>
            <w:r>
              <w:rPr>
                <w:sz w:val="20"/>
                <w:szCs w:val="20"/>
                <w:spacing w:val="-1"/>
              </w:rPr>
              <w:t>4.00E+01</w:t>
            </w:r>
          </w:p>
        </w:tc>
        <w:tc>
          <w:tcPr>
            <w:tcW w:w="3017" w:type="dxa"/>
            <w:vAlign w:val="top"/>
          </w:tcPr>
          <w:p>
            <w:pPr>
              <w:pStyle w:val="TableText"/>
              <w:ind w:left="1104"/>
              <w:spacing w:before="90" w:line="165" w:lineRule="auto"/>
              <w:rPr>
                <w:sz w:val="20"/>
                <w:szCs w:val="20"/>
              </w:rPr>
            </w:pPr>
            <w:r>
              <w:rPr>
                <w:sz w:val="20"/>
                <w:szCs w:val="20"/>
                <w:spacing w:val="-1"/>
              </w:rPr>
              <w:t>4.44E-01</w:t>
            </w:r>
          </w:p>
        </w:tc>
        <w:tc>
          <w:tcPr>
            <w:tcW w:w="3012" w:type="dxa"/>
            <w:vAlign w:val="top"/>
          </w:tcPr>
          <w:p>
            <w:pPr>
              <w:pStyle w:val="TableText"/>
              <w:ind w:left="1096"/>
              <w:spacing w:before="90" w:line="165" w:lineRule="auto"/>
              <w:rPr>
                <w:sz w:val="20"/>
                <w:szCs w:val="20"/>
              </w:rPr>
            </w:pPr>
            <w:r>
              <w:rPr>
                <w:sz w:val="20"/>
                <w:szCs w:val="20"/>
                <w:spacing w:val="-3"/>
              </w:rPr>
              <w:t>1.26E+01</w:t>
            </w:r>
          </w:p>
        </w:tc>
      </w:tr>
      <w:tr>
        <w:trPr>
          <w:trHeight w:val="289" w:hRule="atLeast"/>
        </w:trPr>
        <w:tc>
          <w:tcPr>
            <w:tcW w:w="3031" w:type="dxa"/>
            <w:vAlign w:val="top"/>
          </w:tcPr>
          <w:p>
            <w:pPr>
              <w:pStyle w:val="TableText"/>
              <w:ind w:left="1105"/>
              <w:spacing w:before="101" w:line="164" w:lineRule="auto"/>
              <w:rPr>
                <w:sz w:val="20"/>
                <w:szCs w:val="20"/>
              </w:rPr>
            </w:pPr>
            <w:r>
              <w:rPr>
                <w:sz w:val="20"/>
                <w:szCs w:val="20"/>
                <w:spacing w:val="-2"/>
              </w:rPr>
              <w:t>5.00E+01</w:t>
            </w:r>
          </w:p>
        </w:tc>
        <w:tc>
          <w:tcPr>
            <w:tcW w:w="3017" w:type="dxa"/>
            <w:vAlign w:val="top"/>
          </w:tcPr>
          <w:p>
            <w:pPr>
              <w:pStyle w:val="TableText"/>
              <w:ind w:left="1104"/>
              <w:spacing w:before="101" w:line="164" w:lineRule="auto"/>
              <w:rPr>
                <w:sz w:val="20"/>
                <w:szCs w:val="20"/>
              </w:rPr>
            </w:pPr>
            <w:r>
              <w:rPr>
                <w:sz w:val="20"/>
                <w:szCs w:val="20"/>
                <w:spacing w:val="-2"/>
              </w:rPr>
              <w:t>5.55E-01</w:t>
            </w:r>
          </w:p>
        </w:tc>
        <w:tc>
          <w:tcPr>
            <w:tcW w:w="3012" w:type="dxa"/>
            <w:vAlign w:val="top"/>
          </w:tcPr>
          <w:p>
            <w:pPr>
              <w:pStyle w:val="TableText"/>
              <w:ind w:left="1096"/>
              <w:spacing w:before="101" w:line="164" w:lineRule="auto"/>
              <w:rPr>
                <w:sz w:val="20"/>
                <w:szCs w:val="20"/>
              </w:rPr>
            </w:pPr>
            <w:r>
              <w:rPr>
                <w:sz w:val="20"/>
                <w:szCs w:val="20"/>
                <w:spacing w:val="-3"/>
              </w:rPr>
              <w:t>1.01E+01</w:t>
            </w:r>
          </w:p>
        </w:tc>
      </w:tr>
      <w:tr>
        <w:trPr>
          <w:trHeight w:val="300" w:hRule="atLeast"/>
        </w:trPr>
        <w:tc>
          <w:tcPr>
            <w:tcW w:w="3031" w:type="dxa"/>
            <w:vAlign w:val="top"/>
          </w:tcPr>
          <w:p>
            <w:pPr>
              <w:pStyle w:val="TableText"/>
              <w:ind w:left="1105"/>
              <w:spacing w:before="102" w:line="173" w:lineRule="auto"/>
              <w:rPr>
                <w:sz w:val="20"/>
                <w:szCs w:val="20"/>
              </w:rPr>
            </w:pPr>
            <w:r>
              <w:rPr>
                <w:sz w:val="20"/>
                <w:szCs w:val="20"/>
                <w:spacing w:val="-2"/>
              </w:rPr>
              <w:t>6.00E+01</w:t>
            </w:r>
          </w:p>
        </w:tc>
        <w:tc>
          <w:tcPr>
            <w:tcW w:w="3017" w:type="dxa"/>
            <w:vAlign w:val="top"/>
          </w:tcPr>
          <w:p>
            <w:pPr>
              <w:pStyle w:val="TableText"/>
              <w:ind w:left="1104"/>
              <w:spacing w:before="102" w:line="173" w:lineRule="auto"/>
              <w:rPr>
                <w:sz w:val="20"/>
                <w:szCs w:val="20"/>
              </w:rPr>
            </w:pPr>
            <w:r>
              <w:rPr>
                <w:sz w:val="20"/>
                <w:szCs w:val="20"/>
                <w:spacing w:val="-2"/>
              </w:rPr>
              <w:t>6.66E-01</w:t>
            </w:r>
          </w:p>
        </w:tc>
        <w:tc>
          <w:tcPr>
            <w:tcW w:w="3012" w:type="dxa"/>
            <w:vAlign w:val="top"/>
          </w:tcPr>
          <w:p>
            <w:pPr>
              <w:pStyle w:val="TableText"/>
              <w:ind w:left="1096"/>
              <w:spacing w:before="102" w:line="173" w:lineRule="auto"/>
              <w:rPr>
                <w:sz w:val="20"/>
                <w:szCs w:val="20"/>
              </w:rPr>
            </w:pPr>
            <w:r>
              <w:rPr>
                <w:sz w:val="20"/>
                <w:szCs w:val="20"/>
                <w:spacing w:val="-2"/>
              </w:rPr>
              <w:t>8.27E+00</w:t>
            </w:r>
          </w:p>
        </w:tc>
      </w:tr>
      <w:tr>
        <w:trPr>
          <w:trHeight w:val="280" w:hRule="atLeast"/>
        </w:trPr>
        <w:tc>
          <w:tcPr>
            <w:tcW w:w="3031" w:type="dxa"/>
            <w:vAlign w:val="top"/>
          </w:tcPr>
          <w:p>
            <w:pPr>
              <w:pStyle w:val="TableText"/>
              <w:ind w:left="1105"/>
              <w:spacing w:before="92" w:line="164" w:lineRule="auto"/>
              <w:rPr>
                <w:sz w:val="20"/>
                <w:szCs w:val="20"/>
              </w:rPr>
            </w:pPr>
            <w:r>
              <w:rPr>
                <w:sz w:val="20"/>
                <w:szCs w:val="20"/>
                <w:spacing w:val="-2"/>
              </w:rPr>
              <w:t>7.00E+01</w:t>
            </w:r>
          </w:p>
        </w:tc>
        <w:tc>
          <w:tcPr>
            <w:tcW w:w="3017" w:type="dxa"/>
            <w:vAlign w:val="top"/>
          </w:tcPr>
          <w:p>
            <w:pPr>
              <w:pStyle w:val="TableText"/>
              <w:ind w:left="1104"/>
              <w:spacing w:before="92" w:line="164" w:lineRule="auto"/>
              <w:rPr>
                <w:sz w:val="20"/>
                <w:szCs w:val="20"/>
              </w:rPr>
            </w:pPr>
            <w:r>
              <w:rPr>
                <w:sz w:val="20"/>
                <w:szCs w:val="20"/>
                <w:spacing w:val="-2"/>
              </w:rPr>
              <w:t>7.77E-01</w:t>
            </w:r>
          </w:p>
        </w:tc>
        <w:tc>
          <w:tcPr>
            <w:tcW w:w="3012" w:type="dxa"/>
            <w:vAlign w:val="top"/>
          </w:tcPr>
          <w:p>
            <w:pPr>
              <w:pStyle w:val="TableText"/>
              <w:ind w:left="1096"/>
              <w:spacing w:before="92" w:line="164" w:lineRule="auto"/>
              <w:rPr>
                <w:sz w:val="20"/>
                <w:szCs w:val="20"/>
              </w:rPr>
            </w:pPr>
            <w:r>
              <w:rPr>
                <w:sz w:val="20"/>
                <w:szCs w:val="20"/>
                <w:spacing w:val="-2"/>
              </w:rPr>
              <w:t>6.93E+00</w:t>
            </w:r>
          </w:p>
        </w:tc>
      </w:tr>
      <w:tr>
        <w:trPr>
          <w:trHeight w:val="279" w:hRule="atLeast"/>
        </w:trPr>
        <w:tc>
          <w:tcPr>
            <w:tcW w:w="3031" w:type="dxa"/>
            <w:vAlign w:val="top"/>
          </w:tcPr>
          <w:p>
            <w:pPr>
              <w:pStyle w:val="TableText"/>
              <w:ind w:left="1105"/>
              <w:spacing w:before="92" w:line="163" w:lineRule="auto"/>
              <w:rPr>
                <w:sz w:val="20"/>
                <w:szCs w:val="20"/>
              </w:rPr>
            </w:pPr>
            <w:r>
              <w:rPr>
                <w:sz w:val="20"/>
                <w:szCs w:val="20"/>
                <w:spacing w:val="-2"/>
              </w:rPr>
              <w:t>8.00E+01</w:t>
            </w:r>
          </w:p>
        </w:tc>
        <w:tc>
          <w:tcPr>
            <w:tcW w:w="3017" w:type="dxa"/>
            <w:vAlign w:val="top"/>
          </w:tcPr>
          <w:p>
            <w:pPr>
              <w:pStyle w:val="TableText"/>
              <w:ind w:left="1104"/>
              <w:spacing w:before="92" w:line="163" w:lineRule="auto"/>
              <w:rPr>
                <w:sz w:val="20"/>
                <w:szCs w:val="20"/>
              </w:rPr>
            </w:pPr>
            <w:r>
              <w:rPr>
                <w:sz w:val="20"/>
                <w:szCs w:val="20"/>
                <w:spacing w:val="-2"/>
              </w:rPr>
              <w:t>8.88E-01</w:t>
            </w:r>
          </w:p>
        </w:tc>
        <w:tc>
          <w:tcPr>
            <w:tcW w:w="3012" w:type="dxa"/>
            <w:vAlign w:val="top"/>
          </w:tcPr>
          <w:p>
            <w:pPr>
              <w:pStyle w:val="TableText"/>
              <w:ind w:left="1096"/>
              <w:spacing w:before="92" w:line="163" w:lineRule="auto"/>
              <w:rPr>
                <w:sz w:val="20"/>
                <w:szCs w:val="20"/>
              </w:rPr>
            </w:pPr>
            <w:r>
              <w:rPr>
                <w:sz w:val="20"/>
                <w:szCs w:val="20"/>
                <w:spacing w:val="-2"/>
              </w:rPr>
              <w:t>5.91E+00</w:t>
            </w:r>
          </w:p>
        </w:tc>
      </w:tr>
      <w:tr>
        <w:trPr>
          <w:trHeight w:val="280" w:hRule="atLeast"/>
        </w:trPr>
        <w:tc>
          <w:tcPr>
            <w:tcW w:w="3031" w:type="dxa"/>
            <w:vAlign w:val="top"/>
          </w:tcPr>
          <w:p>
            <w:pPr>
              <w:pStyle w:val="TableText"/>
              <w:ind w:left="1105"/>
              <w:spacing w:before="93" w:line="163" w:lineRule="auto"/>
              <w:rPr>
                <w:sz w:val="20"/>
                <w:szCs w:val="20"/>
              </w:rPr>
            </w:pPr>
            <w:r>
              <w:rPr>
                <w:sz w:val="20"/>
                <w:szCs w:val="20"/>
                <w:spacing w:val="-2"/>
              </w:rPr>
              <w:t>9.00E+01</w:t>
            </w:r>
          </w:p>
        </w:tc>
        <w:tc>
          <w:tcPr>
            <w:tcW w:w="3017" w:type="dxa"/>
            <w:vAlign w:val="top"/>
          </w:tcPr>
          <w:p>
            <w:pPr>
              <w:pStyle w:val="TableText"/>
              <w:ind w:left="1104"/>
              <w:spacing w:before="93" w:line="163" w:lineRule="auto"/>
              <w:rPr>
                <w:sz w:val="20"/>
                <w:szCs w:val="20"/>
              </w:rPr>
            </w:pPr>
            <w:r>
              <w:rPr>
                <w:sz w:val="20"/>
                <w:szCs w:val="20"/>
                <w:spacing w:val="-2"/>
              </w:rPr>
              <w:t>9.99E-01</w:t>
            </w:r>
          </w:p>
        </w:tc>
        <w:tc>
          <w:tcPr>
            <w:tcW w:w="3012" w:type="dxa"/>
            <w:vAlign w:val="top"/>
          </w:tcPr>
          <w:p>
            <w:pPr>
              <w:pStyle w:val="TableText"/>
              <w:ind w:left="1096"/>
              <w:spacing w:before="93" w:line="163" w:lineRule="auto"/>
              <w:rPr>
                <w:sz w:val="20"/>
                <w:szCs w:val="20"/>
              </w:rPr>
            </w:pPr>
            <w:r>
              <w:rPr>
                <w:sz w:val="20"/>
                <w:szCs w:val="20"/>
                <w:spacing w:val="-2"/>
              </w:rPr>
              <w:t>5.12E+00</w:t>
            </w:r>
          </w:p>
        </w:tc>
      </w:tr>
      <w:tr>
        <w:trPr>
          <w:trHeight w:val="290" w:hRule="atLeast"/>
        </w:trPr>
        <w:tc>
          <w:tcPr>
            <w:tcW w:w="3031" w:type="dxa"/>
            <w:vAlign w:val="top"/>
          </w:tcPr>
          <w:p>
            <w:pPr>
              <w:pStyle w:val="TableText"/>
              <w:ind w:left="1105"/>
              <w:spacing w:before="103" w:line="163" w:lineRule="auto"/>
              <w:rPr>
                <w:sz w:val="20"/>
                <w:szCs w:val="20"/>
              </w:rPr>
            </w:pPr>
            <w:r>
              <w:rPr>
                <w:sz w:val="20"/>
                <w:szCs w:val="20"/>
                <w:spacing w:val="-3"/>
              </w:rPr>
              <w:t>1.00E+02</w:t>
            </w:r>
          </w:p>
        </w:tc>
        <w:tc>
          <w:tcPr>
            <w:tcW w:w="3017" w:type="dxa"/>
            <w:vAlign w:val="top"/>
          </w:tcPr>
          <w:p>
            <w:pPr>
              <w:pStyle w:val="TableText"/>
              <w:ind w:left="1104"/>
              <w:spacing w:before="103" w:line="163" w:lineRule="auto"/>
              <w:rPr>
                <w:sz w:val="20"/>
                <w:szCs w:val="20"/>
              </w:rPr>
            </w:pPr>
            <w:r>
              <w:rPr>
                <w:sz w:val="20"/>
                <w:szCs w:val="20"/>
                <w:spacing w:val="-3"/>
              </w:rPr>
              <w:t>1.11E+00</w:t>
            </w:r>
          </w:p>
        </w:tc>
        <w:tc>
          <w:tcPr>
            <w:tcW w:w="3012" w:type="dxa"/>
            <w:vAlign w:val="top"/>
          </w:tcPr>
          <w:p>
            <w:pPr>
              <w:pStyle w:val="TableText"/>
              <w:ind w:left="1096"/>
              <w:spacing w:before="103" w:line="163" w:lineRule="auto"/>
              <w:rPr>
                <w:sz w:val="20"/>
                <w:szCs w:val="20"/>
              </w:rPr>
            </w:pPr>
            <w:r>
              <w:rPr>
                <w:sz w:val="20"/>
                <w:szCs w:val="20"/>
                <w:spacing w:val="-1"/>
              </w:rPr>
              <w:t>4.48E+00</w:t>
            </w:r>
          </w:p>
        </w:tc>
      </w:tr>
      <w:tr>
        <w:trPr>
          <w:trHeight w:val="280" w:hRule="atLeast"/>
        </w:trPr>
        <w:tc>
          <w:tcPr>
            <w:tcW w:w="3031" w:type="dxa"/>
            <w:vAlign w:val="top"/>
          </w:tcPr>
          <w:p>
            <w:pPr>
              <w:pStyle w:val="TableText"/>
              <w:ind w:left="1105"/>
              <w:spacing w:before="93" w:line="163" w:lineRule="auto"/>
              <w:rPr>
                <w:sz w:val="20"/>
                <w:szCs w:val="20"/>
              </w:rPr>
            </w:pPr>
            <w:r>
              <w:rPr>
                <w:sz w:val="20"/>
                <w:szCs w:val="20"/>
                <w:spacing w:val="-3"/>
              </w:rPr>
              <w:t>1.10E+02</w:t>
            </w:r>
          </w:p>
        </w:tc>
        <w:tc>
          <w:tcPr>
            <w:tcW w:w="3017" w:type="dxa"/>
            <w:vAlign w:val="top"/>
          </w:tcPr>
          <w:p>
            <w:pPr>
              <w:pStyle w:val="TableText"/>
              <w:ind w:left="1104"/>
              <w:spacing w:before="93" w:line="163" w:lineRule="auto"/>
              <w:rPr>
                <w:sz w:val="20"/>
                <w:szCs w:val="20"/>
              </w:rPr>
            </w:pPr>
            <w:r>
              <w:rPr>
                <w:sz w:val="20"/>
                <w:szCs w:val="20"/>
                <w:spacing w:val="-3"/>
              </w:rPr>
              <w:t>1.22E+00</w:t>
            </w:r>
          </w:p>
        </w:tc>
        <w:tc>
          <w:tcPr>
            <w:tcW w:w="3012" w:type="dxa"/>
            <w:vAlign w:val="top"/>
          </w:tcPr>
          <w:p>
            <w:pPr>
              <w:pStyle w:val="TableText"/>
              <w:ind w:left="1096"/>
              <w:spacing w:before="93" w:line="163" w:lineRule="auto"/>
              <w:rPr>
                <w:sz w:val="20"/>
                <w:szCs w:val="20"/>
              </w:rPr>
            </w:pPr>
            <w:r>
              <w:rPr>
                <w:sz w:val="20"/>
                <w:szCs w:val="20"/>
                <w:spacing w:val="-2"/>
              </w:rPr>
              <w:t>3.96E+00</w:t>
            </w:r>
          </w:p>
        </w:tc>
      </w:tr>
      <w:tr>
        <w:trPr>
          <w:trHeight w:val="289" w:hRule="atLeast"/>
        </w:trPr>
        <w:tc>
          <w:tcPr>
            <w:tcW w:w="3031" w:type="dxa"/>
            <w:vAlign w:val="top"/>
          </w:tcPr>
          <w:p>
            <w:pPr>
              <w:pStyle w:val="TableText"/>
              <w:ind w:left="1105"/>
              <w:spacing w:before="103" w:line="162" w:lineRule="auto"/>
              <w:rPr>
                <w:sz w:val="20"/>
                <w:szCs w:val="20"/>
              </w:rPr>
            </w:pPr>
            <w:r>
              <w:rPr>
                <w:sz w:val="20"/>
                <w:szCs w:val="20"/>
                <w:spacing w:val="-3"/>
              </w:rPr>
              <w:t>1.20E+02</w:t>
            </w:r>
          </w:p>
        </w:tc>
        <w:tc>
          <w:tcPr>
            <w:tcW w:w="3017" w:type="dxa"/>
            <w:vAlign w:val="top"/>
          </w:tcPr>
          <w:p>
            <w:pPr>
              <w:pStyle w:val="TableText"/>
              <w:ind w:left="1104"/>
              <w:spacing w:before="103" w:line="162" w:lineRule="auto"/>
              <w:rPr>
                <w:sz w:val="20"/>
                <w:szCs w:val="20"/>
              </w:rPr>
            </w:pPr>
            <w:r>
              <w:rPr>
                <w:sz w:val="20"/>
                <w:szCs w:val="20"/>
                <w:spacing w:val="-3"/>
              </w:rPr>
              <w:t>1.33E+00</w:t>
            </w:r>
          </w:p>
        </w:tc>
        <w:tc>
          <w:tcPr>
            <w:tcW w:w="3012" w:type="dxa"/>
            <w:vAlign w:val="top"/>
          </w:tcPr>
          <w:p>
            <w:pPr>
              <w:pStyle w:val="TableText"/>
              <w:ind w:left="1096"/>
              <w:spacing w:before="103" w:line="162" w:lineRule="auto"/>
              <w:rPr>
                <w:sz w:val="20"/>
                <w:szCs w:val="20"/>
              </w:rPr>
            </w:pPr>
            <w:r>
              <w:rPr>
                <w:sz w:val="20"/>
                <w:szCs w:val="20"/>
                <w:spacing w:val="-2"/>
              </w:rPr>
              <w:t>3.54E+00</w:t>
            </w:r>
          </w:p>
        </w:tc>
      </w:tr>
      <w:tr>
        <w:trPr>
          <w:trHeight w:val="290" w:hRule="atLeast"/>
        </w:trPr>
        <w:tc>
          <w:tcPr>
            <w:tcW w:w="3031" w:type="dxa"/>
            <w:vAlign w:val="top"/>
          </w:tcPr>
          <w:p>
            <w:pPr>
              <w:pStyle w:val="TableText"/>
              <w:ind w:left="1105"/>
              <w:spacing w:before="104" w:line="162" w:lineRule="auto"/>
              <w:rPr>
                <w:sz w:val="20"/>
                <w:szCs w:val="20"/>
              </w:rPr>
            </w:pPr>
            <w:r>
              <w:rPr>
                <w:sz w:val="20"/>
                <w:szCs w:val="20"/>
                <w:spacing w:val="-3"/>
              </w:rPr>
              <w:t>1.30E+02</w:t>
            </w:r>
          </w:p>
        </w:tc>
        <w:tc>
          <w:tcPr>
            <w:tcW w:w="3017" w:type="dxa"/>
            <w:vAlign w:val="top"/>
          </w:tcPr>
          <w:p>
            <w:pPr>
              <w:pStyle w:val="TableText"/>
              <w:ind w:left="1104"/>
              <w:spacing w:before="104" w:line="162" w:lineRule="auto"/>
              <w:rPr>
                <w:sz w:val="20"/>
                <w:szCs w:val="20"/>
              </w:rPr>
            </w:pPr>
            <w:r>
              <w:rPr>
                <w:sz w:val="20"/>
                <w:szCs w:val="20"/>
                <w:spacing w:val="-3"/>
              </w:rPr>
              <w:t>1.44E+00</w:t>
            </w:r>
          </w:p>
        </w:tc>
        <w:tc>
          <w:tcPr>
            <w:tcW w:w="3012" w:type="dxa"/>
            <w:vAlign w:val="top"/>
          </w:tcPr>
          <w:p>
            <w:pPr>
              <w:pStyle w:val="TableText"/>
              <w:ind w:left="1096"/>
              <w:spacing w:before="104" w:line="162" w:lineRule="auto"/>
              <w:rPr>
                <w:sz w:val="20"/>
                <w:szCs w:val="20"/>
              </w:rPr>
            </w:pPr>
            <w:r>
              <w:rPr>
                <w:sz w:val="20"/>
                <w:szCs w:val="20"/>
                <w:spacing w:val="-2"/>
              </w:rPr>
              <w:t>3.18E+00</w:t>
            </w:r>
          </w:p>
        </w:tc>
      </w:tr>
      <w:tr>
        <w:trPr>
          <w:trHeight w:val="280" w:hRule="atLeast"/>
        </w:trPr>
        <w:tc>
          <w:tcPr>
            <w:tcW w:w="3031" w:type="dxa"/>
            <w:vAlign w:val="top"/>
          </w:tcPr>
          <w:p>
            <w:pPr>
              <w:pStyle w:val="TableText"/>
              <w:ind w:left="1105"/>
              <w:spacing w:before="94" w:line="162" w:lineRule="auto"/>
              <w:rPr>
                <w:sz w:val="20"/>
                <w:szCs w:val="20"/>
              </w:rPr>
            </w:pPr>
            <w:r>
              <w:rPr>
                <w:sz w:val="20"/>
                <w:szCs w:val="20"/>
                <w:spacing w:val="-3"/>
              </w:rPr>
              <w:t>1.40E+02</w:t>
            </w:r>
          </w:p>
        </w:tc>
        <w:tc>
          <w:tcPr>
            <w:tcW w:w="3017" w:type="dxa"/>
            <w:vAlign w:val="top"/>
          </w:tcPr>
          <w:p>
            <w:pPr>
              <w:pStyle w:val="TableText"/>
              <w:ind w:left="1104"/>
              <w:spacing w:before="94" w:line="162" w:lineRule="auto"/>
              <w:rPr>
                <w:sz w:val="20"/>
                <w:szCs w:val="20"/>
              </w:rPr>
            </w:pPr>
            <w:r>
              <w:rPr>
                <w:sz w:val="20"/>
                <w:szCs w:val="20"/>
                <w:spacing w:val="-3"/>
              </w:rPr>
              <w:t>1.55E+00</w:t>
            </w:r>
          </w:p>
        </w:tc>
        <w:tc>
          <w:tcPr>
            <w:tcW w:w="3012" w:type="dxa"/>
            <w:vAlign w:val="top"/>
          </w:tcPr>
          <w:p>
            <w:pPr>
              <w:pStyle w:val="TableText"/>
              <w:ind w:left="1096"/>
              <w:spacing w:before="94" w:line="162" w:lineRule="auto"/>
              <w:rPr>
                <w:sz w:val="20"/>
                <w:szCs w:val="20"/>
              </w:rPr>
            </w:pPr>
            <w:r>
              <w:rPr>
                <w:sz w:val="20"/>
                <w:szCs w:val="20"/>
                <w:spacing w:val="-2"/>
              </w:rPr>
              <w:t>2.88E+00</w:t>
            </w:r>
          </w:p>
        </w:tc>
      </w:tr>
      <w:tr>
        <w:trPr>
          <w:trHeight w:val="289" w:hRule="atLeast"/>
        </w:trPr>
        <w:tc>
          <w:tcPr>
            <w:tcW w:w="3031" w:type="dxa"/>
            <w:vAlign w:val="top"/>
          </w:tcPr>
          <w:p>
            <w:pPr>
              <w:pStyle w:val="TableText"/>
              <w:ind w:left="1105"/>
              <w:spacing w:before="104" w:line="161" w:lineRule="auto"/>
              <w:rPr>
                <w:sz w:val="20"/>
                <w:szCs w:val="20"/>
              </w:rPr>
            </w:pPr>
            <w:r>
              <w:rPr>
                <w:sz w:val="20"/>
                <w:szCs w:val="20"/>
                <w:spacing w:val="-3"/>
              </w:rPr>
              <w:t>1.50E+02</w:t>
            </w:r>
          </w:p>
        </w:tc>
        <w:tc>
          <w:tcPr>
            <w:tcW w:w="3017" w:type="dxa"/>
            <w:vAlign w:val="top"/>
          </w:tcPr>
          <w:p>
            <w:pPr>
              <w:pStyle w:val="TableText"/>
              <w:ind w:left="1104"/>
              <w:spacing w:before="104" w:line="161" w:lineRule="auto"/>
              <w:rPr>
                <w:sz w:val="20"/>
                <w:szCs w:val="20"/>
              </w:rPr>
            </w:pPr>
            <w:r>
              <w:rPr>
                <w:sz w:val="20"/>
                <w:szCs w:val="20"/>
                <w:spacing w:val="-3"/>
              </w:rPr>
              <w:t>1.67E+00</w:t>
            </w:r>
          </w:p>
        </w:tc>
        <w:tc>
          <w:tcPr>
            <w:tcW w:w="3012" w:type="dxa"/>
            <w:vAlign w:val="top"/>
          </w:tcPr>
          <w:p>
            <w:pPr>
              <w:pStyle w:val="TableText"/>
              <w:ind w:left="1096"/>
              <w:spacing w:before="104" w:line="161" w:lineRule="auto"/>
              <w:rPr>
                <w:sz w:val="20"/>
                <w:szCs w:val="20"/>
              </w:rPr>
            </w:pPr>
            <w:r>
              <w:rPr>
                <w:sz w:val="20"/>
                <w:szCs w:val="20"/>
                <w:spacing w:val="-2"/>
              </w:rPr>
              <w:t>2.62E+00</w:t>
            </w:r>
          </w:p>
        </w:tc>
      </w:tr>
      <w:tr>
        <w:trPr>
          <w:trHeight w:val="280" w:hRule="atLeast"/>
        </w:trPr>
        <w:tc>
          <w:tcPr>
            <w:tcW w:w="3031" w:type="dxa"/>
            <w:vAlign w:val="top"/>
          </w:tcPr>
          <w:p>
            <w:pPr>
              <w:pStyle w:val="TableText"/>
              <w:ind w:left="1105"/>
              <w:spacing w:before="95" w:line="161" w:lineRule="auto"/>
              <w:rPr>
                <w:sz w:val="20"/>
                <w:szCs w:val="20"/>
              </w:rPr>
            </w:pPr>
            <w:r>
              <w:rPr>
                <w:sz w:val="20"/>
                <w:szCs w:val="20"/>
                <w:spacing w:val="-3"/>
              </w:rPr>
              <w:t>1.60E+02</w:t>
            </w:r>
          </w:p>
        </w:tc>
        <w:tc>
          <w:tcPr>
            <w:tcW w:w="3017" w:type="dxa"/>
            <w:vAlign w:val="top"/>
          </w:tcPr>
          <w:p>
            <w:pPr>
              <w:pStyle w:val="TableText"/>
              <w:ind w:left="1104"/>
              <w:spacing w:before="95" w:line="161" w:lineRule="auto"/>
              <w:rPr>
                <w:sz w:val="20"/>
                <w:szCs w:val="20"/>
              </w:rPr>
            </w:pPr>
            <w:r>
              <w:rPr>
                <w:sz w:val="20"/>
                <w:szCs w:val="20"/>
                <w:spacing w:val="-3"/>
              </w:rPr>
              <w:t>1.78E+00</w:t>
            </w:r>
          </w:p>
        </w:tc>
        <w:tc>
          <w:tcPr>
            <w:tcW w:w="3012" w:type="dxa"/>
            <w:vAlign w:val="top"/>
          </w:tcPr>
          <w:p>
            <w:pPr>
              <w:pStyle w:val="TableText"/>
              <w:ind w:left="1096"/>
              <w:spacing w:before="95" w:line="161" w:lineRule="auto"/>
              <w:rPr>
                <w:sz w:val="20"/>
                <w:szCs w:val="20"/>
              </w:rPr>
            </w:pPr>
            <w:r>
              <w:rPr>
                <w:sz w:val="20"/>
                <w:szCs w:val="20"/>
                <w:spacing w:val="-2"/>
              </w:rPr>
              <w:t>2.39E+00</w:t>
            </w:r>
          </w:p>
        </w:tc>
      </w:tr>
      <w:tr>
        <w:trPr>
          <w:trHeight w:val="280" w:hRule="atLeast"/>
        </w:trPr>
        <w:tc>
          <w:tcPr>
            <w:tcW w:w="3031" w:type="dxa"/>
            <w:vAlign w:val="top"/>
          </w:tcPr>
          <w:p>
            <w:pPr>
              <w:pStyle w:val="TableText"/>
              <w:ind w:left="1105"/>
              <w:spacing w:before="95" w:line="161" w:lineRule="auto"/>
              <w:rPr>
                <w:sz w:val="20"/>
                <w:szCs w:val="20"/>
              </w:rPr>
            </w:pPr>
            <w:r>
              <w:rPr>
                <w:sz w:val="20"/>
                <w:szCs w:val="20"/>
                <w:spacing w:val="-3"/>
              </w:rPr>
              <w:t>1.70E+02</w:t>
            </w:r>
          </w:p>
        </w:tc>
        <w:tc>
          <w:tcPr>
            <w:tcW w:w="3017" w:type="dxa"/>
            <w:vAlign w:val="top"/>
          </w:tcPr>
          <w:p>
            <w:pPr>
              <w:pStyle w:val="TableText"/>
              <w:ind w:left="1104"/>
              <w:spacing w:before="95" w:line="161" w:lineRule="auto"/>
              <w:rPr>
                <w:sz w:val="20"/>
                <w:szCs w:val="20"/>
              </w:rPr>
            </w:pPr>
            <w:r>
              <w:rPr>
                <w:sz w:val="20"/>
                <w:szCs w:val="20"/>
                <w:spacing w:val="-3"/>
              </w:rPr>
              <w:t>1.89E+00</w:t>
            </w:r>
          </w:p>
        </w:tc>
        <w:tc>
          <w:tcPr>
            <w:tcW w:w="3012" w:type="dxa"/>
            <w:vAlign w:val="top"/>
          </w:tcPr>
          <w:p>
            <w:pPr>
              <w:pStyle w:val="TableText"/>
              <w:ind w:left="1096"/>
              <w:spacing w:before="95" w:line="161" w:lineRule="auto"/>
              <w:rPr>
                <w:sz w:val="20"/>
                <w:szCs w:val="20"/>
              </w:rPr>
            </w:pPr>
            <w:r>
              <w:rPr>
                <w:sz w:val="20"/>
                <w:szCs w:val="20"/>
                <w:spacing w:val="-2"/>
              </w:rPr>
              <w:t>2.20E+00</w:t>
            </w:r>
          </w:p>
        </w:tc>
      </w:tr>
      <w:tr>
        <w:trPr>
          <w:trHeight w:val="289" w:hRule="atLeast"/>
        </w:trPr>
        <w:tc>
          <w:tcPr>
            <w:tcW w:w="3031" w:type="dxa"/>
            <w:vAlign w:val="top"/>
          </w:tcPr>
          <w:p>
            <w:pPr>
              <w:pStyle w:val="TableText"/>
              <w:ind w:left="1105"/>
              <w:spacing w:before="104" w:line="161" w:lineRule="auto"/>
              <w:rPr>
                <w:sz w:val="20"/>
                <w:szCs w:val="20"/>
              </w:rPr>
            </w:pPr>
            <w:r>
              <w:rPr>
                <w:sz w:val="20"/>
                <w:szCs w:val="20"/>
                <w:spacing w:val="-3"/>
              </w:rPr>
              <w:t>1.80E+02</w:t>
            </w:r>
          </w:p>
        </w:tc>
        <w:tc>
          <w:tcPr>
            <w:tcW w:w="3017" w:type="dxa"/>
            <w:vAlign w:val="top"/>
          </w:tcPr>
          <w:p>
            <w:pPr>
              <w:pStyle w:val="TableText"/>
              <w:ind w:left="1104"/>
              <w:spacing w:before="105" w:line="160" w:lineRule="auto"/>
              <w:rPr>
                <w:sz w:val="20"/>
                <w:szCs w:val="20"/>
              </w:rPr>
            </w:pPr>
            <w:r>
              <w:rPr>
                <w:sz w:val="20"/>
                <w:szCs w:val="20"/>
                <w:spacing w:val="-2"/>
              </w:rPr>
              <w:t>2.00E+00</w:t>
            </w:r>
          </w:p>
        </w:tc>
        <w:tc>
          <w:tcPr>
            <w:tcW w:w="3012" w:type="dxa"/>
            <w:vAlign w:val="top"/>
          </w:tcPr>
          <w:p>
            <w:pPr>
              <w:pStyle w:val="TableText"/>
              <w:ind w:left="1096"/>
              <w:spacing w:before="105" w:line="160" w:lineRule="auto"/>
              <w:rPr>
                <w:sz w:val="20"/>
                <w:szCs w:val="20"/>
              </w:rPr>
            </w:pPr>
            <w:r>
              <w:rPr>
                <w:sz w:val="20"/>
                <w:szCs w:val="20"/>
                <w:spacing w:val="-2"/>
              </w:rPr>
              <w:t>2.03E+00</w:t>
            </w:r>
          </w:p>
        </w:tc>
      </w:tr>
      <w:tr>
        <w:trPr>
          <w:trHeight w:val="280" w:hRule="atLeast"/>
        </w:trPr>
        <w:tc>
          <w:tcPr>
            <w:tcW w:w="3031" w:type="dxa"/>
            <w:vAlign w:val="top"/>
          </w:tcPr>
          <w:p>
            <w:pPr>
              <w:pStyle w:val="TableText"/>
              <w:ind w:left="1105"/>
              <w:spacing w:before="95" w:line="161" w:lineRule="auto"/>
              <w:rPr>
                <w:sz w:val="20"/>
                <w:szCs w:val="20"/>
              </w:rPr>
            </w:pPr>
            <w:r>
              <w:rPr>
                <w:sz w:val="20"/>
                <w:szCs w:val="20"/>
                <w:spacing w:val="-3"/>
              </w:rPr>
              <w:t>1.90E+02</w:t>
            </w:r>
          </w:p>
        </w:tc>
        <w:tc>
          <w:tcPr>
            <w:tcW w:w="3017" w:type="dxa"/>
            <w:vAlign w:val="top"/>
          </w:tcPr>
          <w:p>
            <w:pPr>
              <w:pStyle w:val="TableText"/>
              <w:ind w:left="1104"/>
              <w:spacing w:before="95" w:line="161" w:lineRule="auto"/>
              <w:rPr>
                <w:sz w:val="20"/>
                <w:szCs w:val="20"/>
              </w:rPr>
            </w:pPr>
            <w:r>
              <w:rPr>
                <w:sz w:val="20"/>
                <w:szCs w:val="20"/>
                <w:spacing w:val="-2"/>
              </w:rPr>
              <w:t>2.11E+00</w:t>
            </w:r>
          </w:p>
        </w:tc>
        <w:tc>
          <w:tcPr>
            <w:tcW w:w="3012" w:type="dxa"/>
            <w:vAlign w:val="top"/>
          </w:tcPr>
          <w:p>
            <w:pPr>
              <w:pStyle w:val="TableText"/>
              <w:ind w:left="1096"/>
              <w:spacing w:before="95" w:line="161" w:lineRule="auto"/>
              <w:rPr>
                <w:sz w:val="20"/>
                <w:szCs w:val="20"/>
              </w:rPr>
            </w:pPr>
            <w:r>
              <w:rPr>
                <w:sz w:val="20"/>
                <w:szCs w:val="20"/>
                <w:spacing w:val="-3"/>
              </w:rPr>
              <w:t>1.88E+00</w:t>
            </w:r>
          </w:p>
        </w:tc>
      </w:tr>
      <w:tr>
        <w:trPr>
          <w:trHeight w:val="300" w:hRule="atLeast"/>
        </w:trPr>
        <w:tc>
          <w:tcPr>
            <w:tcW w:w="3031" w:type="dxa"/>
            <w:vAlign w:val="top"/>
          </w:tcPr>
          <w:p>
            <w:pPr>
              <w:pStyle w:val="TableText"/>
              <w:ind w:left="1105"/>
              <w:spacing w:before="106" w:line="169" w:lineRule="auto"/>
              <w:rPr>
                <w:sz w:val="20"/>
                <w:szCs w:val="20"/>
              </w:rPr>
            </w:pPr>
            <w:r>
              <w:rPr>
                <w:sz w:val="20"/>
                <w:szCs w:val="20"/>
                <w:spacing w:val="-2"/>
              </w:rPr>
              <w:t>2.00E+02</w:t>
            </w:r>
          </w:p>
        </w:tc>
        <w:tc>
          <w:tcPr>
            <w:tcW w:w="3017" w:type="dxa"/>
            <w:vAlign w:val="top"/>
          </w:tcPr>
          <w:p>
            <w:pPr>
              <w:pStyle w:val="TableText"/>
              <w:ind w:left="1104"/>
              <w:spacing w:before="106" w:line="169" w:lineRule="auto"/>
              <w:rPr>
                <w:sz w:val="20"/>
                <w:szCs w:val="20"/>
              </w:rPr>
            </w:pPr>
            <w:r>
              <w:rPr>
                <w:sz w:val="20"/>
                <w:szCs w:val="20"/>
                <w:spacing w:val="-2"/>
              </w:rPr>
              <w:t>2.22E+00</w:t>
            </w:r>
          </w:p>
        </w:tc>
        <w:tc>
          <w:tcPr>
            <w:tcW w:w="3012" w:type="dxa"/>
            <w:vAlign w:val="top"/>
          </w:tcPr>
          <w:p>
            <w:pPr>
              <w:pStyle w:val="TableText"/>
              <w:ind w:left="1096"/>
              <w:spacing w:before="105" w:line="170" w:lineRule="auto"/>
              <w:rPr>
                <w:sz w:val="20"/>
                <w:szCs w:val="20"/>
              </w:rPr>
            </w:pPr>
            <w:r>
              <w:rPr>
                <w:sz w:val="20"/>
                <w:szCs w:val="20"/>
                <w:spacing w:val="-3"/>
              </w:rPr>
              <w:t>1.75E+00</w:t>
            </w:r>
          </w:p>
        </w:tc>
      </w:tr>
      <w:tr>
        <w:trPr>
          <w:trHeight w:val="279" w:hRule="atLeast"/>
        </w:trPr>
        <w:tc>
          <w:tcPr>
            <w:tcW w:w="3031" w:type="dxa"/>
            <w:vAlign w:val="top"/>
          </w:tcPr>
          <w:p>
            <w:pPr>
              <w:pStyle w:val="TableText"/>
              <w:ind w:left="1105"/>
              <w:spacing w:before="95" w:line="160" w:lineRule="auto"/>
              <w:rPr>
                <w:sz w:val="20"/>
                <w:szCs w:val="20"/>
              </w:rPr>
            </w:pPr>
            <w:r>
              <w:rPr>
                <w:sz w:val="20"/>
                <w:szCs w:val="20"/>
                <w:spacing w:val="-2"/>
              </w:rPr>
              <w:t>2.10E+02</w:t>
            </w:r>
          </w:p>
        </w:tc>
        <w:tc>
          <w:tcPr>
            <w:tcW w:w="3017" w:type="dxa"/>
            <w:vAlign w:val="top"/>
          </w:tcPr>
          <w:p>
            <w:pPr>
              <w:pStyle w:val="TableText"/>
              <w:ind w:left="1104"/>
              <w:spacing w:before="96" w:line="159" w:lineRule="auto"/>
              <w:rPr>
                <w:sz w:val="20"/>
                <w:szCs w:val="20"/>
              </w:rPr>
            </w:pPr>
            <w:r>
              <w:rPr>
                <w:sz w:val="20"/>
                <w:szCs w:val="20"/>
                <w:spacing w:val="-2"/>
              </w:rPr>
              <w:t>2.33E+00</w:t>
            </w:r>
          </w:p>
        </w:tc>
        <w:tc>
          <w:tcPr>
            <w:tcW w:w="3012" w:type="dxa"/>
            <w:vAlign w:val="top"/>
          </w:tcPr>
          <w:p>
            <w:pPr>
              <w:pStyle w:val="TableText"/>
              <w:ind w:left="1096"/>
              <w:spacing w:before="95" w:line="160" w:lineRule="auto"/>
              <w:rPr>
                <w:sz w:val="20"/>
                <w:szCs w:val="20"/>
              </w:rPr>
            </w:pPr>
            <w:r>
              <w:rPr>
                <w:sz w:val="20"/>
                <w:szCs w:val="20"/>
                <w:spacing w:val="-3"/>
              </w:rPr>
              <w:t>1.63E+00</w:t>
            </w:r>
          </w:p>
        </w:tc>
      </w:tr>
      <w:tr>
        <w:trPr>
          <w:trHeight w:val="280" w:hRule="atLeast"/>
        </w:trPr>
        <w:tc>
          <w:tcPr>
            <w:tcW w:w="3031" w:type="dxa"/>
            <w:vAlign w:val="top"/>
          </w:tcPr>
          <w:p>
            <w:pPr>
              <w:pStyle w:val="TableText"/>
              <w:ind w:left="1105"/>
              <w:spacing w:before="97" w:line="159" w:lineRule="auto"/>
              <w:rPr>
                <w:sz w:val="20"/>
                <w:szCs w:val="20"/>
              </w:rPr>
            </w:pPr>
            <w:r>
              <w:rPr>
                <w:sz w:val="20"/>
                <w:szCs w:val="20"/>
                <w:spacing w:val="-2"/>
              </w:rPr>
              <w:t>2.20E+02</w:t>
            </w:r>
          </w:p>
        </w:tc>
        <w:tc>
          <w:tcPr>
            <w:tcW w:w="3017" w:type="dxa"/>
            <w:vAlign w:val="top"/>
          </w:tcPr>
          <w:p>
            <w:pPr>
              <w:pStyle w:val="TableText"/>
              <w:ind w:left="1104"/>
              <w:spacing w:before="97" w:line="159" w:lineRule="auto"/>
              <w:rPr>
                <w:sz w:val="20"/>
                <w:szCs w:val="20"/>
              </w:rPr>
            </w:pPr>
            <w:r>
              <w:rPr>
                <w:sz w:val="20"/>
                <w:szCs w:val="20"/>
                <w:spacing w:val="-2"/>
              </w:rPr>
              <w:t>2.44E+00</w:t>
            </w:r>
          </w:p>
        </w:tc>
        <w:tc>
          <w:tcPr>
            <w:tcW w:w="3012" w:type="dxa"/>
            <w:vAlign w:val="top"/>
          </w:tcPr>
          <w:p>
            <w:pPr>
              <w:pStyle w:val="TableText"/>
              <w:ind w:left="1096"/>
              <w:spacing w:before="96" w:line="160" w:lineRule="auto"/>
              <w:rPr>
                <w:sz w:val="20"/>
                <w:szCs w:val="20"/>
              </w:rPr>
            </w:pPr>
            <w:r>
              <w:rPr>
                <w:sz w:val="20"/>
                <w:szCs w:val="20"/>
                <w:spacing w:val="-3"/>
              </w:rPr>
              <w:t>1.52E+00</w:t>
            </w:r>
          </w:p>
        </w:tc>
      </w:tr>
      <w:tr>
        <w:trPr>
          <w:trHeight w:val="290" w:hRule="atLeast"/>
        </w:trPr>
        <w:tc>
          <w:tcPr>
            <w:tcW w:w="3031" w:type="dxa"/>
            <w:vAlign w:val="top"/>
          </w:tcPr>
          <w:p>
            <w:pPr>
              <w:pStyle w:val="TableText"/>
              <w:ind w:left="1105"/>
              <w:spacing w:before="107" w:line="159" w:lineRule="auto"/>
              <w:rPr>
                <w:sz w:val="20"/>
                <w:szCs w:val="20"/>
              </w:rPr>
            </w:pPr>
            <w:r>
              <w:rPr>
                <w:sz w:val="20"/>
                <w:szCs w:val="20"/>
                <w:spacing w:val="-2"/>
              </w:rPr>
              <w:t>2.30E+02</w:t>
            </w:r>
          </w:p>
        </w:tc>
        <w:tc>
          <w:tcPr>
            <w:tcW w:w="3017" w:type="dxa"/>
            <w:vAlign w:val="top"/>
          </w:tcPr>
          <w:p>
            <w:pPr>
              <w:pStyle w:val="TableText"/>
              <w:ind w:left="1104"/>
              <w:spacing w:before="107" w:line="159" w:lineRule="auto"/>
              <w:rPr>
                <w:sz w:val="20"/>
                <w:szCs w:val="20"/>
              </w:rPr>
            </w:pPr>
            <w:r>
              <w:rPr>
                <w:sz w:val="20"/>
                <w:szCs w:val="20"/>
                <w:spacing w:val="-2"/>
              </w:rPr>
              <w:t>2.55E+00</w:t>
            </w:r>
          </w:p>
        </w:tc>
        <w:tc>
          <w:tcPr>
            <w:tcW w:w="3012" w:type="dxa"/>
            <w:vAlign w:val="top"/>
          </w:tcPr>
          <w:p>
            <w:pPr>
              <w:pStyle w:val="TableText"/>
              <w:ind w:left="1096"/>
              <w:spacing w:before="106" w:line="160" w:lineRule="auto"/>
              <w:rPr>
                <w:sz w:val="20"/>
                <w:szCs w:val="20"/>
              </w:rPr>
            </w:pPr>
            <w:r>
              <w:rPr>
                <w:sz w:val="20"/>
                <w:szCs w:val="20"/>
                <w:spacing w:val="-3"/>
              </w:rPr>
              <w:t>1.43E+00</w:t>
            </w:r>
          </w:p>
        </w:tc>
      </w:tr>
      <w:tr>
        <w:trPr>
          <w:trHeight w:val="279" w:hRule="atLeast"/>
        </w:trPr>
        <w:tc>
          <w:tcPr>
            <w:tcW w:w="3031" w:type="dxa"/>
            <w:vAlign w:val="top"/>
          </w:tcPr>
          <w:p>
            <w:pPr>
              <w:pStyle w:val="TableText"/>
              <w:ind w:left="1105"/>
              <w:spacing w:before="97" w:line="158" w:lineRule="auto"/>
              <w:rPr>
                <w:sz w:val="20"/>
                <w:szCs w:val="20"/>
              </w:rPr>
            </w:pPr>
            <w:r>
              <w:rPr>
                <w:sz w:val="20"/>
                <w:szCs w:val="20"/>
                <w:spacing w:val="-2"/>
              </w:rPr>
              <w:t>2.40E+02</w:t>
            </w:r>
          </w:p>
        </w:tc>
        <w:tc>
          <w:tcPr>
            <w:tcW w:w="3017" w:type="dxa"/>
            <w:vAlign w:val="top"/>
          </w:tcPr>
          <w:p>
            <w:pPr>
              <w:pStyle w:val="TableText"/>
              <w:ind w:left="1104"/>
              <w:spacing w:before="97" w:line="158" w:lineRule="auto"/>
              <w:rPr>
                <w:sz w:val="20"/>
                <w:szCs w:val="20"/>
              </w:rPr>
            </w:pPr>
            <w:r>
              <w:rPr>
                <w:sz w:val="20"/>
                <w:szCs w:val="20"/>
                <w:spacing w:val="-2"/>
              </w:rPr>
              <w:t>2.66E+00</w:t>
            </w:r>
          </w:p>
        </w:tc>
        <w:tc>
          <w:tcPr>
            <w:tcW w:w="3012" w:type="dxa"/>
            <w:vAlign w:val="top"/>
          </w:tcPr>
          <w:p>
            <w:pPr>
              <w:pStyle w:val="TableText"/>
              <w:ind w:left="1096"/>
              <w:spacing w:before="96" w:line="159" w:lineRule="auto"/>
              <w:rPr>
                <w:sz w:val="20"/>
                <w:szCs w:val="20"/>
              </w:rPr>
            </w:pPr>
            <w:r>
              <w:rPr>
                <w:sz w:val="20"/>
                <w:szCs w:val="20"/>
                <w:spacing w:val="-3"/>
              </w:rPr>
              <w:t>1.34E+00</w:t>
            </w:r>
          </w:p>
        </w:tc>
      </w:tr>
      <w:tr>
        <w:trPr>
          <w:trHeight w:val="280" w:hRule="atLeast"/>
        </w:trPr>
        <w:tc>
          <w:tcPr>
            <w:tcW w:w="3031" w:type="dxa"/>
            <w:vAlign w:val="top"/>
          </w:tcPr>
          <w:p>
            <w:pPr>
              <w:pStyle w:val="TableText"/>
              <w:ind w:left="1105"/>
              <w:spacing w:before="98" w:line="158" w:lineRule="auto"/>
              <w:rPr>
                <w:sz w:val="20"/>
                <w:szCs w:val="20"/>
              </w:rPr>
            </w:pPr>
            <w:r>
              <w:rPr>
                <w:sz w:val="20"/>
                <w:szCs w:val="20"/>
                <w:spacing w:val="-2"/>
              </w:rPr>
              <w:t>2.50E+02</w:t>
            </w:r>
          </w:p>
        </w:tc>
        <w:tc>
          <w:tcPr>
            <w:tcW w:w="3017" w:type="dxa"/>
            <w:vAlign w:val="top"/>
          </w:tcPr>
          <w:p>
            <w:pPr>
              <w:pStyle w:val="TableText"/>
              <w:ind w:left="1104"/>
              <w:spacing w:before="98" w:line="158" w:lineRule="auto"/>
              <w:rPr>
                <w:sz w:val="20"/>
                <w:szCs w:val="20"/>
              </w:rPr>
            </w:pPr>
            <w:r>
              <w:rPr>
                <w:sz w:val="20"/>
                <w:szCs w:val="20"/>
                <w:spacing w:val="-2"/>
              </w:rPr>
              <w:t>2.78E+00</w:t>
            </w:r>
          </w:p>
        </w:tc>
        <w:tc>
          <w:tcPr>
            <w:tcW w:w="3012" w:type="dxa"/>
            <w:vAlign w:val="top"/>
          </w:tcPr>
          <w:p>
            <w:pPr>
              <w:pStyle w:val="TableText"/>
              <w:ind w:left="1096"/>
              <w:spacing w:before="97" w:line="159" w:lineRule="auto"/>
              <w:rPr>
                <w:sz w:val="20"/>
                <w:szCs w:val="20"/>
              </w:rPr>
            </w:pPr>
            <w:r>
              <w:rPr>
                <w:sz w:val="20"/>
                <w:szCs w:val="20"/>
                <w:spacing w:val="-3"/>
              </w:rPr>
              <w:t>1.26E+00</w:t>
            </w:r>
          </w:p>
        </w:tc>
      </w:tr>
      <w:tr>
        <w:trPr>
          <w:trHeight w:val="284" w:hRule="atLeast"/>
        </w:trPr>
        <w:tc>
          <w:tcPr>
            <w:tcW w:w="3031" w:type="dxa"/>
            <w:vAlign w:val="top"/>
          </w:tcPr>
          <w:p>
            <w:pPr>
              <w:pStyle w:val="TableText"/>
              <w:ind w:left="1105"/>
              <w:spacing w:before="98" w:line="162" w:lineRule="auto"/>
              <w:rPr>
                <w:sz w:val="20"/>
                <w:szCs w:val="20"/>
              </w:rPr>
            </w:pPr>
            <w:r>
              <w:rPr>
                <w:sz w:val="20"/>
                <w:szCs w:val="20"/>
                <w:spacing w:val="-2"/>
              </w:rPr>
              <w:t>2.60E+02</w:t>
            </w:r>
          </w:p>
        </w:tc>
        <w:tc>
          <w:tcPr>
            <w:tcW w:w="3017" w:type="dxa"/>
            <w:vAlign w:val="top"/>
          </w:tcPr>
          <w:p>
            <w:pPr>
              <w:pStyle w:val="TableText"/>
              <w:ind w:left="1104"/>
              <w:spacing w:before="98" w:line="162" w:lineRule="auto"/>
              <w:rPr>
                <w:sz w:val="20"/>
                <w:szCs w:val="20"/>
              </w:rPr>
            </w:pPr>
            <w:r>
              <w:rPr>
                <w:sz w:val="20"/>
                <w:szCs w:val="20"/>
                <w:spacing w:val="-2"/>
              </w:rPr>
              <w:t>2.89E+00</w:t>
            </w:r>
          </w:p>
        </w:tc>
        <w:tc>
          <w:tcPr>
            <w:tcW w:w="3012" w:type="dxa"/>
            <w:vAlign w:val="top"/>
          </w:tcPr>
          <w:p>
            <w:pPr>
              <w:pStyle w:val="TableText"/>
              <w:ind w:left="1096"/>
              <w:spacing w:before="98" w:line="162" w:lineRule="auto"/>
              <w:rPr>
                <w:sz w:val="20"/>
                <w:szCs w:val="20"/>
              </w:rPr>
            </w:pPr>
            <w:r>
              <w:rPr>
                <w:sz w:val="20"/>
                <w:szCs w:val="20"/>
                <w:spacing w:val="-3"/>
              </w:rPr>
              <w:t>1.19E+00</w:t>
            </w:r>
          </w:p>
        </w:tc>
      </w:tr>
    </w:tbl>
    <w:p>
      <w:pPr>
        <w:rPr>
          <w:rFonts w:ascii="Arial"/>
          <w:sz w:val="21"/>
        </w:rPr>
      </w:pPr>
      <w:r/>
    </w:p>
    <w:p>
      <w:pPr>
        <w:sectPr>
          <w:footerReference w:type="default" r:id="rId194"/>
          <w:pgSz w:w="11900" w:h="16840"/>
          <w:pgMar w:top="1272" w:right="1324" w:bottom="1005" w:left="1445" w:header="0" w:footer="856" w:gutter="0"/>
        </w:sectPr>
        <w:rPr>
          <w:rFonts w:ascii="Arial" w:hAnsi="Arial" w:eastAsia="Arial" w:cs="Arial"/>
          <w:sz w:val="21"/>
          <w:szCs w:val="21"/>
        </w:rPr>
      </w:pPr>
    </w:p>
    <w:tbl>
      <w:tblPr>
        <w:tblStyle w:val="TableNormal"/>
        <w:tblW w:w="90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31"/>
        <w:gridCol w:w="3017"/>
        <w:gridCol w:w="3022"/>
      </w:tblGrid>
      <w:tr>
        <w:trPr>
          <w:trHeight w:val="282" w:hRule="atLeast"/>
        </w:trPr>
        <w:tc>
          <w:tcPr>
            <w:tcW w:w="3031" w:type="dxa"/>
            <w:vAlign w:val="top"/>
          </w:tcPr>
          <w:p>
            <w:pPr>
              <w:pStyle w:val="TableText"/>
              <w:ind w:left="1105"/>
              <w:spacing w:before="94" w:line="164" w:lineRule="auto"/>
              <w:rPr>
                <w:sz w:val="20"/>
                <w:szCs w:val="20"/>
              </w:rPr>
            </w:pPr>
            <w:r>
              <w:rPr>
                <w:sz w:val="20"/>
                <w:szCs w:val="20"/>
                <w:spacing w:val="-2"/>
              </w:rPr>
              <w:t>2.70E+02</w:t>
            </w:r>
          </w:p>
        </w:tc>
        <w:tc>
          <w:tcPr>
            <w:tcW w:w="3017" w:type="dxa"/>
            <w:vAlign w:val="top"/>
          </w:tcPr>
          <w:p>
            <w:pPr>
              <w:pStyle w:val="TableText"/>
              <w:ind w:left="1104"/>
              <w:spacing w:before="94" w:line="164" w:lineRule="auto"/>
              <w:rPr>
                <w:sz w:val="20"/>
                <w:szCs w:val="20"/>
              </w:rPr>
            </w:pPr>
            <w:r>
              <w:rPr>
                <w:sz w:val="20"/>
                <w:szCs w:val="20"/>
                <w:spacing w:val="-2"/>
              </w:rPr>
              <w:t>3.00E+00</w:t>
            </w:r>
          </w:p>
        </w:tc>
        <w:tc>
          <w:tcPr>
            <w:tcW w:w="3022" w:type="dxa"/>
            <w:vAlign w:val="top"/>
          </w:tcPr>
          <w:p>
            <w:pPr>
              <w:pStyle w:val="TableText"/>
              <w:ind w:left="1106"/>
              <w:spacing w:before="94" w:line="164" w:lineRule="auto"/>
              <w:rPr>
                <w:sz w:val="20"/>
                <w:szCs w:val="20"/>
              </w:rPr>
            </w:pPr>
            <w:r>
              <w:rPr>
                <w:sz w:val="20"/>
                <w:szCs w:val="20"/>
                <w:spacing w:val="-3"/>
              </w:rPr>
              <w:t>1.13E+00</w:t>
            </w:r>
          </w:p>
        </w:tc>
      </w:tr>
      <w:tr>
        <w:trPr>
          <w:trHeight w:val="288" w:hRule="atLeast"/>
        </w:trPr>
        <w:tc>
          <w:tcPr>
            <w:tcW w:w="3031" w:type="dxa"/>
            <w:vAlign w:val="top"/>
          </w:tcPr>
          <w:p>
            <w:pPr>
              <w:pStyle w:val="TableText"/>
              <w:ind w:left="1105"/>
              <w:spacing w:before="102" w:line="162" w:lineRule="auto"/>
              <w:rPr>
                <w:sz w:val="20"/>
                <w:szCs w:val="20"/>
              </w:rPr>
            </w:pPr>
            <w:r>
              <w:rPr>
                <w:sz w:val="20"/>
                <w:szCs w:val="20"/>
                <w:spacing w:val="-2"/>
              </w:rPr>
              <w:t>2.80E+02</w:t>
            </w:r>
          </w:p>
        </w:tc>
        <w:tc>
          <w:tcPr>
            <w:tcW w:w="3017" w:type="dxa"/>
            <w:vAlign w:val="top"/>
          </w:tcPr>
          <w:p>
            <w:pPr>
              <w:pStyle w:val="TableText"/>
              <w:ind w:left="1104"/>
              <w:spacing w:before="102" w:line="162" w:lineRule="auto"/>
              <w:rPr>
                <w:sz w:val="20"/>
                <w:szCs w:val="20"/>
              </w:rPr>
            </w:pPr>
            <w:r>
              <w:rPr>
                <w:sz w:val="20"/>
                <w:szCs w:val="20"/>
                <w:spacing w:val="-2"/>
              </w:rPr>
              <w:t>3.11E+00</w:t>
            </w:r>
          </w:p>
        </w:tc>
        <w:tc>
          <w:tcPr>
            <w:tcW w:w="3022" w:type="dxa"/>
            <w:vAlign w:val="top"/>
          </w:tcPr>
          <w:p>
            <w:pPr>
              <w:pStyle w:val="TableText"/>
              <w:ind w:left="1106"/>
              <w:spacing w:before="102" w:line="162" w:lineRule="auto"/>
              <w:rPr>
                <w:sz w:val="20"/>
                <w:szCs w:val="20"/>
              </w:rPr>
            </w:pPr>
            <w:r>
              <w:rPr>
                <w:sz w:val="20"/>
                <w:szCs w:val="20"/>
                <w:spacing w:val="-3"/>
              </w:rPr>
              <w:t>1.07E+00</w:t>
            </w:r>
          </w:p>
        </w:tc>
      </w:tr>
      <w:tr>
        <w:trPr>
          <w:trHeight w:val="278" w:hRule="atLeast"/>
        </w:trPr>
        <w:tc>
          <w:tcPr>
            <w:tcW w:w="3031" w:type="dxa"/>
            <w:vAlign w:val="top"/>
          </w:tcPr>
          <w:p>
            <w:pPr>
              <w:pStyle w:val="TableText"/>
              <w:ind w:left="1105"/>
              <w:spacing w:before="94" w:line="160" w:lineRule="auto"/>
              <w:rPr>
                <w:sz w:val="20"/>
                <w:szCs w:val="20"/>
              </w:rPr>
            </w:pPr>
            <w:r>
              <w:rPr>
                <w:sz w:val="20"/>
                <w:szCs w:val="20"/>
                <w:spacing w:val="-2"/>
              </w:rPr>
              <w:t>2.90E+02</w:t>
            </w:r>
          </w:p>
        </w:tc>
        <w:tc>
          <w:tcPr>
            <w:tcW w:w="3017" w:type="dxa"/>
            <w:vAlign w:val="top"/>
          </w:tcPr>
          <w:p>
            <w:pPr>
              <w:pStyle w:val="TableText"/>
              <w:ind w:left="1104"/>
              <w:spacing w:before="94" w:line="160" w:lineRule="auto"/>
              <w:rPr>
                <w:sz w:val="20"/>
                <w:szCs w:val="20"/>
              </w:rPr>
            </w:pPr>
            <w:r>
              <w:rPr>
                <w:sz w:val="20"/>
                <w:szCs w:val="20"/>
                <w:spacing w:val="-2"/>
              </w:rPr>
              <w:t>3.22E+00</w:t>
            </w:r>
          </w:p>
        </w:tc>
        <w:tc>
          <w:tcPr>
            <w:tcW w:w="3022" w:type="dxa"/>
            <w:vAlign w:val="top"/>
          </w:tcPr>
          <w:p>
            <w:pPr>
              <w:pStyle w:val="TableText"/>
              <w:ind w:left="1106"/>
              <w:spacing w:before="93" w:line="161" w:lineRule="auto"/>
              <w:rPr>
                <w:sz w:val="20"/>
                <w:szCs w:val="20"/>
              </w:rPr>
            </w:pPr>
            <w:r>
              <w:rPr>
                <w:sz w:val="20"/>
                <w:szCs w:val="20"/>
                <w:spacing w:val="-3"/>
              </w:rPr>
              <w:t>1.01E+00</w:t>
            </w:r>
          </w:p>
        </w:tc>
      </w:tr>
      <w:tr>
        <w:trPr>
          <w:trHeight w:val="282" w:hRule="atLeast"/>
        </w:trPr>
        <w:tc>
          <w:tcPr>
            <w:tcW w:w="3031" w:type="dxa"/>
            <w:vAlign w:val="top"/>
          </w:tcPr>
          <w:p>
            <w:pPr>
              <w:pStyle w:val="TableText"/>
              <w:ind w:left="1105"/>
              <w:spacing w:before="96" w:line="162" w:lineRule="auto"/>
              <w:rPr>
                <w:sz w:val="20"/>
                <w:szCs w:val="20"/>
              </w:rPr>
            </w:pPr>
            <w:r>
              <w:rPr>
                <w:sz w:val="20"/>
                <w:szCs w:val="20"/>
                <w:spacing w:val="-2"/>
              </w:rPr>
              <w:t>3.00E+02</w:t>
            </w:r>
          </w:p>
        </w:tc>
        <w:tc>
          <w:tcPr>
            <w:tcW w:w="3017" w:type="dxa"/>
            <w:vAlign w:val="top"/>
          </w:tcPr>
          <w:p>
            <w:pPr>
              <w:pStyle w:val="TableText"/>
              <w:ind w:left="1104"/>
              <w:spacing w:before="96" w:line="162" w:lineRule="auto"/>
              <w:rPr>
                <w:sz w:val="20"/>
                <w:szCs w:val="20"/>
              </w:rPr>
            </w:pPr>
            <w:r>
              <w:rPr>
                <w:sz w:val="20"/>
                <w:szCs w:val="20"/>
                <w:spacing w:val="-2"/>
              </w:rPr>
              <w:t>3.33E+00</w:t>
            </w:r>
          </w:p>
        </w:tc>
        <w:tc>
          <w:tcPr>
            <w:tcW w:w="3022" w:type="dxa"/>
            <w:vAlign w:val="top"/>
          </w:tcPr>
          <w:p>
            <w:pPr>
              <w:pStyle w:val="TableText"/>
              <w:ind w:left="1106"/>
              <w:spacing w:before="96" w:line="162" w:lineRule="auto"/>
              <w:rPr>
                <w:sz w:val="20"/>
                <w:szCs w:val="20"/>
              </w:rPr>
            </w:pPr>
            <w:r>
              <w:rPr>
                <w:sz w:val="20"/>
                <w:szCs w:val="20"/>
                <w:spacing w:val="-2"/>
              </w:rPr>
              <w:t>9.62E-01</w:t>
            </w:r>
          </w:p>
        </w:tc>
      </w:tr>
    </w:tbl>
    <w:p>
      <w:pPr>
        <w:pStyle w:val="BodyText"/>
        <w:ind w:left="515"/>
        <w:spacing w:before="74" w:line="220" w:lineRule="auto"/>
        <w:rPr>
          <w:sz w:val="22"/>
          <w:szCs w:val="22"/>
        </w:rPr>
      </w:pPr>
      <w:r>
        <w:rPr>
          <w:sz w:val="22"/>
          <w:szCs w:val="22"/>
          <w:spacing w:val="1"/>
        </w:rPr>
        <w:t>3)关心点影响情况</w:t>
      </w:r>
    </w:p>
    <w:p>
      <w:pPr>
        <w:pStyle w:val="BodyText"/>
        <w:ind w:left="485"/>
        <w:spacing w:before="177" w:line="470" w:lineRule="exact"/>
        <w:rPr>
          <w:sz w:val="24"/>
          <w:szCs w:val="24"/>
        </w:rPr>
      </w:pPr>
      <w:r>
        <w:rPr>
          <w:rFonts w:ascii="Times New Roman" w:hAnsi="Times New Roman" w:eastAsia="Times New Roman" w:cs="Times New Roman"/>
          <w:sz w:val="24"/>
          <w:szCs w:val="24"/>
          <w:position w:val="17"/>
        </w:rPr>
        <w:t>NMP</w:t>
      </w:r>
      <w:r>
        <w:rPr>
          <w:rFonts w:ascii="Times New Roman" w:hAnsi="Times New Roman" w:eastAsia="Times New Roman" w:cs="Times New Roman"/>
          <w:sz w:val="24"/>
          <w:szCs w:val="24"/>
          <w:spacing w:val="-6"/>
          <w:position w:val="17"/>
        </w:rPr>
        <w:t xml:space="preserve"> </w:t>
      </w:r>
      <w:r>
        <w:rPr>
          <w:sz w:val="24"/>
          <w:szCs w:val="24"/>
          <w:spacing w:val="3"/>
          <w:position w:val="17"/>
        </w:rPr>
        <w:t>储罐泄漏事故风险下风向各预测点浓度均未达到毒性终点浓度，各关心点</w:t>
      </w:r>
    </w:p>
    <w:p>
      <w:pPr>
        <w:pStyle w:val="BodyText"/>
        <w:ind w:left="24"/>
        <w:spacing w:line="219" w:lineRule="auto"/>
        <w:rPr>
          <w:sz w:val="24"/>
          <w:szCs w:val="24"/>
        </w:rPr>
      </w:pPr>
      <w:r>
        <w:rPr>
          <w:sz w:val="24"/>
          <w:szCs w:val="24"/>
          <w:spacing w:val="-4"/>
        </w:rPr>
        <w:t>的预测浓度均未超过毒性终点浓度。</w:t>
      </w:r>
    </w:p>
    <w:p>
      <w:pPr>
        <w:pStyle w:val="BodyText"/>
        <w:ind w:left="28"/>
        <w:spacing w:before="183" w:line="219" w:lineRule="auto"/>
        <w:outlineLvl w:val="6"/>
        <w:rPr>
          <w:sz w:val="28"/>
          <w:szCs w:val="28"/>
        </w:rPr>
      </w:pPr>
      <w:r>
        <w:rPr>
          <w:sz w:val="28"/>
          <w:szCs w:val="28"/>
          <w:b/>
          <w:bCs/>
          <w:spacing w:val="-12"/>
        </w:rPr>
        <w:t>7.1.2事故伴生/次生污染影响分析</w:t>
      </w:r>
    </w:p>
    <w:p>
      <w:pPr>
        <w:pStyle w:val="BodyText"/>
        <w:ind w:left="644"/>
        <w:spacing w:before="10" w:line="220" w:lineRule="auto"/>
        <w:rPr>
          <w:sz w:val="24"/>
          <w:szCs w:val="24"/>
        </w:rPr>
      </w:pPr>
      <w:r>
        <w:rPr>
          <w:sz w:val="24"/>
          <w:szCs w:val="24"/>
          <w:spacing w:val="12"/>
        </w:rPr>
        <w:t>(1)泄漏源项</w:t>
      </w:r>
    </w:p>
    <w:p>
      <w:pPr>
        <w:pStyle w:val="BodyText"/>
        <w:ind w:left="485"/>
        <w:spacing w:before="192" w:line="460" w:lineRule="exact"/>
        <w:rPr>
          <w:sz w:val="24"/>
          <w:szCs w:val="24"/>
        </w:rPr>
      </w:pPr>
      <w:r>
        <w:rPr>
          <w:sz w:val="24"/>
          <w:szCs w:val="24"/>
          <w:spacing w:val="-1"/>
          <w:position w:val="16"/>
        </w:rPr>
        <w:t>根据本项目物料性质，</w:t>
      </w:r>
      <w:r>
        <w:rPr>
          <w:rFonts w:ascii="Times New Roman" w:hAnsi="Times New Roman" w:eastAsia="Times New Roman" w:cs="Times New Roman"/>
          <w:sz w:val="24"/>
          <w:szCs w:val="24"/>
          <w:spacing w:val="-1"/>
          <w:position w:val="16"/>
        </w:rPr>
        <w:t>NMP </w:t>
      </w:r>
      <w:r>
        <w:rPr>
          <w:sz w:val="24"/>
          <w:szCs w:val="24"/>
          <w:spacing w:val="-1"/>
          <w:position w:val="16"/>
        </w:rPr>
        <w:t>泄漏后，若处理不当可能引发火灾。假设</w:t>
      </w:r>
      <w:r>
        <w:rPr>
          <w:rFonts w:ascii="Times New Roman" w:hAnsi="Times New Roman" w:eastAsia="Times New Roman" w:cs="Times New Roman"/>
          <w:sz w:val="24"/>
          <w:szCs w:val="24"/>
          <w:spacing w:val="-1"/>
          <w:position w:val="16"/>
        </w:rPr>
        <w:t>NMP </w:t>
      </w:r>
      <w:r>
        <w:rPr>
          <w:sz w:val="24"/>
          <w:szCs w:val="24"/>
          <w:spacing w:val="-1"/>
          <w:position w:val="16"/>
        </w:rPr>
        <w:t>储罐</w:t>
      </w:r>
    </w:p>
    <w:p>
      <w:pPr>
        <w:pStyle w:val="BodyText"/>
        <w:ind w:left="24"/>
        <w:spacing w:before="1" w:line="218" w:lineRule="auto"/>
        <w:rPr>
          <w:sz w:val="24"/>
          <w:szCs w:val="24"/>
        </w:rPr>
      </w:pPr>
      <w:r>
        <w:rPr>
          <w:sz w:val="24"/>
          <w:szCs w:val="24"/>
          <w:spacing w:val="1"/>
        </w:rPr>
        <w:t>泄漏，并引发火灾，泄漏的物质着火后发生燃烧，不完全燃烧将产生一定量的</w:t>
      </w:r>
      <w:r>
        <w:rPr>
          <w:sz w:val="24"/>
          <w:szCs w:val="24"/>
        </w:rPr>
        <w:t>CO</w:t>
      </w:r>
      <w:r>
        <w:rPr>
          <w:sz w:val="24"/>
          <w:szCs w:val="24"/>
          <w:spacing w:val="1"/>
        </w:rPr>
        <w:t>。</w:t>
      </w:r>
    </w:p>
    <w:p>
      <w:pPr>
        <w:pStyle w:val="BodyText"/>
        <w:ind w:left="24"/>
        <w:spacing w:before="175" w:line="219" w:lineRule="auto"/>
        <w:rPr>
          <w:sz w:val="24"/>
          <w:szCs w:val="24"/>
        </w:rPr>
      </w:pPr>
      <w:r>
        <w:rPr>
          <w:sz w:val="24"/>
          <w:szCs w:val="24"/>
          <w:spacing w:val="5"/>
        </w:rPr>
        <w:t>假设发生火灾事故时，泄漏的</w:t>
      </w:r>
      <w:r>
        <w:rPr>
          <w:rFonts w:ascii="Times New Roman" w:hAnsi="Times New Roman" w:eastAsia="Times New Roman" w:cs="Times New Roman"/>
          <w:sz w:val="24"/>
          <w:szCs w:val="24"/>
        </w:rPr>
        <w:t>NMP</w:t>
      </w:r>
      <w:r>
        <w:rPr>
          <w:rFonts w:ascii="Times New Roman" w:hAnsi="Times New Roman" w:eastAsia="Times New Roman" w:cs="Times New Roman"/>
          <w:sz w:val="24"/>
          <w:szCs w:val="24"/>
          <w:spacing w:val="20"/>
        </w:rPr>
        <w:t xml:space="preserve"> </w:t>
      </w:r>
      <w:r>
        <w:rPr>
          <w:sz w:val="24"/>
          <w:szCs w:val="24"/>
          <w:spacing w:val="5"/>
        </w:rPr>
        <w:t>燃烧，其中6%不完全燃烧生成</w:t>
      </w:r>
      <w:r>
        <w:rPr>
          <w:rFonts w:ascii="Times New Roman" w:hAnsi="Times New Roman" w:eastAsia="Times New Roman" w:cs="Times New Roman"/>
          <w:sz w:val="24"/>
          <w:szCs w:val="24"/>
        </w:rPr>
        <w:t>CO</w:t>
      </w:r>
      <w:r>
        <w:rPr>
          <w:rFonts w:ascii="Times New Roman" w:hAnsi="Times New Roman" w:eastAsia="Times New Roman" w:cs="Times New Roman"/>
          <w:sz w:val="24"/>
          <w:szCs w:val="24"/>
          <w:spacing w:val="35"/>
          <w:w w:val="101"/>
        </w:rPr>
        <w:t xml:space="preserve"> </w:t>
      </w:r>
      <w:r>
        <w:rPr>
          <w:sz w:val="24"/>
          <w:szCs w:val="24"/>
          <w:spacing w:val="5"/>
        </w:rPr>
        <w:t>计算。</w:t>
      </w:r>
    </w:p>
    <w:p>
      <w:pPr>
        <w:pStyle w:val="BodyText"/>
        <w:ind w:left="485"/>
        <w:spacing w:before="181" w:line="474" w:lineRule="exact"/>
        <w:rPr>
          <w:sz w:val="24"/>
          <w:szCs w:val="24"/>
        </w:rPr>
      </w:pPr>
      <w:r>
        <w:rPr>
          <w:sz w:val="24"/>
          <w:szCs w:val="24"/>
          <w:spacing w:val="-5"/>
          <w:position w:val="18"/>
        </w:rPr>
        <w:t>根据《建设项目环境风险评价技术导则》</w:t>
      </w:r>
      <w:r>
        <w:rPr>
          <w:sz w:val="24"/>
          <w:szCs w:val="24"/>
          <w:spacing w:val="111"/>
          <w:position w:val="18"/>
        </w:rPr>
        <w:t xml:space="preserve"> </w:t>
      </w:r>
      <w:r>
        <w:rPr>
          <w:sz w:val="24"/>
          <w:szCs w:val="24"/>
          <w:spacing w:val="-5"/>
          <w:position w:val="18"/>
        </w:rPr>
        <w:t>(H</w:t>
      </w:r>
      <w:r>
        <w:rPr>
          <w:sz w:val="24"/>
          <w:szCs w:val="24"/>
          <w:spacing w:val="-6"/>
          <w:position w:val="18"/>
        </w:rPr>
        <w:t>J169-2018)</w:t>
      </w:r>
      <w:r>
        <w:rPr>
          <w:sz w:val="24"/>
          <w:szCs w:val="24"/>
          <w:spacing w:val="61"/>
          <w:position w:val="18"/>
        </w:rPr>
        <w:t xml:space="preserve"> </w:t>
      </w:r>
      <w:r>
        <w:rPr>
          <w:sz w:val="24"/>
          <w:szCs w:val="24"/>
          <w:spacing w:val="-6"/>
          <w:position w:val="18"/>
        </w:rPr>
        <w:t>附录</w:t>
      </w:r>
      <w:r>
        <w:rPr>
          <w:rFonts w:ascii="Times New Roman" w:hAnsi="Times New Roman" w:eastAsia="Times New Roman" w:cs="Times New Roman"/>
          <w:sz w:val="24"/>
          <w:szCs w:val="24"/>
          <w:spacing w:val="-6"/>
          <w:position w:val="18"/>
        </w:rPr>
        <w:t>F,</w:t>
      </w:r>
      <w:r>
        <w:rPr>
          <w:rFonts w:ascii="Times New Roman" w:hAnsi="Times New Roman" w:eastAsia="Times New Roman" w:cs="Times New Roman"/>
          <w:sz w:val="24"/>
          <w:szCs w:val="24"/>
          <w:spacing w:val="25"/>
          <w:position w:val="18"/>
        </w:rPr>
        <w:t xml:space="preserve">  </w:t>
      </w:r>
      <w:r>
        <w:rPr>
          <w:sz w:val="24"/>
          <w:szCs w:val="24"/>
          <w:spacing w:val="-6"/>
          <w:position w:val="18"/>
        </w:rPr>
        <w:t>火灾伴生/次生</w:t>
      </w:r>
    </w:p>
    <w:p>
      <w:pPr>
        <w:pStyle w:val="BodyText"/>
        <w:ind w:left="24"/>
        <w:spacing w:before="1" w:line="217" w:lineRule="auto"/>
        <w:rPr>
          <w:sz w:val="24"/>
          <w:szCs w:val="24"/>
        </w:rPr>
      </w:pPr>
      <w:r>
        <w:rPr>
          <w:sz w:val="24"/>
          <w:szCs w:val="24"/>
          <w:spacing w:val="-4"/>
        </w:rPr>
        <w:t>产生的一氧化碳产生量可按下式进行估算：</w:t>
      </w:r>
    </w:p>
    <w:p>
      <w:pPr>
        <w:ind w:left="3954"/>
        <w:spacing w:before="224"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Gco=2330qCQ</w:t>
      </w:r>
    </w:p>
    <w:p>
      <w:pPr>
        <w:pStyle w:val="BodyText"/>
        <w:ind w:left="485"/>
        <w:spacing w:before="141" w:line="21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8"/>
        </w:rPr>
        <w:t>Gco——CO</w:t>
      </w:r>
      <w:r>
        <w:rPr>
          <w:sz w:val="24"/>
          <w:szCs w:val="24"/>
          <w:spacing w:val="-8"/>
        </w:rPr>
        <w:t>产生量，</w:t>
      </w:r>
      <w:r>
        <w:rPr>
          <w:sz w:val="24"/>
          <w:szCs w:val="24"/>
          <w:spacing w:val="-29"/>
        </w:rPr>
        <w:t xml:space="preserve"> </w:t>
      </w:r>
      <w:r>
        <w:rPr>
          <w:rFonts w:ascii="Times New Roman" w:hAnsi="Times New Roman" w:eastAsia="Times New Roman" w:cs="Times New Roman"/>
          <w:sz w:val="24"/>
          <w:szCs w:val="24"/>
          <w:spacing w:val="-8"/>
        </w:rPr>
        <w:t>kg/s;</w:t>
      </w:r>
    </w:p>
    <w:p>
      <w:pPr>
        <w:pStyle w:val="BodyText"/>
        <w:ind w:left="485"/>
        <w:spacing w:before="222" w:line="443" w:lineRule="exact"/>
        <w:rPr>
          <w:sz w:val="24"/>
          <w:szCs w:val="24"/>
        </w:rPr>
      </w:pPr>
      <w:r>
        <w:rPr>
          <w:rFonts w:ascii="Times New Roman" w:hAnsi="Times New Roman" w:eastAsia="Times New Roman" w:cs="Times New Roman"/>
          <w:sz w:val="24"/>
          <w:szCs w:val="24"/>
          <w:spacing w:val="-2"/>
          <w:position w:val="15"/>
        </w:rPr>
        <w:t>C——</w:t>
      </w:r>
      <w:r>
        <w:rPr>
          <w:sz w:val="24"/>
          <w:szCs w:val="24"/>
          <w:spacing w:val="-2"/>
          <w:position w:val="15"/>
        </w:rPr>
        <w:t>物质中碳的含量，取60.6%;</w:t>
      </w:r>
    </w:p>
    <w:p>
      <w:pPr>
        <w:pStyle w:val="BodyText"/>
        <w:ind w:left="485"/>
        <w:spacing w:line="212" w:lineRule="auto"/>
        <w:rPr>
          <w:sz w:val="24"/>
          <w:szCs w:val="24"/>
        </w:rPr>
      </w:pPr>
      <w:r>
        <w:rPr>
          <w:rFonts w:ascii="Times New Roman" w:hAnsi="Times New Roman" w:eastAsia="Times New Roman" w:cs="Times New Roman"/>
          <w:sz w:val="24"/>
          <w:szCs w:val="24"/>
          <w:spacing w:val="2"/>
        </w:rPr>
        <w:t>q——</w:t>
      </w:r>
      <w:r>
        <w:rPr>
          <w:rFonts w:ascii="Times New Roman" w:hAnsi="Times New Roman" w:eastAsia="Times New Roman" w:cs="Times New Roman"/>
          <w:sz w:val="24"/>
          <w:szCs w:val="24"/>
          <w:spacing w:val="-45"/>
        </w:rPr>
        <w:t xml:space="preserve"> </w:t>
      </w:r>
      <w:r>
        <w:rPr>
          <w:sz w:val="24"/>
          <w:szCs w:val="24"/>
          <w:spacing w:val="2"/>
        </w:rPr>
        <w:t>燃烧不完全系数，按6%取值；</w:t>
      </w:r>
    </w:p>
    <w:p>
      <w:pPr>
        <w:pStyle w:val="BodyText"/>
        <w:ind w:left="485"/>
        <w:spacing w:before="199" w:line="21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Q——</w:t>
      </w:r>
      <w:r>
        <w:rPr>
          <w:sz w:val="24"/>
          <w:szCs w:val="24"/>
          <w:spacing w:val="-5"/>
        </w:rPr>
        <w:t>参与燃烧的物质量， </w:t>
      </w:r>
      <w:r>
        <w:rPr>
          <w:rFonts w:ascii="Times New Roman" w:hAnsi="Times New Roman" w:eastAsia="Times New Roman" w:cs="Times New Roman"/>
          <w:sz w:val="24"/>
          <w:szCs w:val="24"/>
          <w:spacing w:val="-5"/>
        </w:rPr>
        <w:t>t/s,   </w:t>
      </w:r>
      <w:r>
        <w:rPr>
          <w:sz w:val="24"/>
          <w:szCs w:val="24"/>
          <w:spacing w:val="-5"/>
        </w:rPr>
        <w:t>本项目为0.000358</w:t>
      </w:r>
      <w:r>
        <w:rPr>
          <w:rFonts w:ascii="Times New Roman" w:hAnsi="Times New Roman" w:eastAsia="Times New Roman" w:cs="Times New Roman"/>
          <w:sz w:val="24"/>
          <w:szCs w:val="24"/>
          <w:spacing w:val="-5"/>
        </w:rPr>
        <w:t>t/s;</w:t>
      </w:r>
    </w:p>
    <w:p>
      <w:pPr>
        <w:pStyle w:val="BodyText"/>
        <w:ind w:left="485"/>
        <w:spacing w:before="179" w:line="477" w:lineRule="exact"/>
        <w:rPr>
          <w:rFonts w:ascii="Times New Roman" w:hAnsi="Times New Roman" w:eastAsia="Times New Roman" w:cs="Times New Roman"/>
          <w:sz w:val="24"/>
          <w:szCs w:val="24"/>
        </w:rPr>
      </w:pPr>
      <w:r>
        <w:rPr>
          <w:sz w:val="24"/>
          <w:szCs w:val="24"/>
          <w:spacing w:val="1"/>
          <w:position w:val="18"/>
        </w:rPr>
        <w:t>经计算得， </w:t>
      </w:r>
      <w:r>
        <w:rPr>
          <w:rFonts w:ascii="Times New Roman" w:hAnsi="Times New Roman" w:eastAsia="Times New Roman" w:cs="Times New Roman"/>
          <w:sz w:val="24"/>
          <w:szCs w:val="24"/>
          <w:position w:val="18"/>
        </w:rPr>
        <w:t>CO</w:t>
      </w:r>
      <w:r>
        <w:rPr>
          <w:rFonts w:ascii="Times New Roman" w:hAnsi="Times New Roman" w:eastAsia="Times New Roman" w:cs="Times New Roman"/>
          <w:sz w:val="24"/>
          <w:szCs w:val="24"/>
          <w:spacing w:val="16"/>
          <w:position w:val="18"/>
        </w:rPr>
        <w:t xml:space="preserve"> </w:t>
      </w:r>
      <w:r>
        <w:rPr>
          <w:sz w:val="24"/>
          <w:szCs w:val="24"/>
          <w:spacing w:val="1"/>
          <w:position w:val="18"/>
        </w:rPr>
        <w:t>排放源强为0.030</w:t>
      </w:r>
      <w:r>
        <w:rPr>
          <w:rFonts w:ascii="Times New Roman" w:hAnsi="Times New Roman" w:eastAsia="Times New Roman" w:cs="Times New Roman"/>
          <w:sz w:val="24"/>
          <w:szCs w:val="24"/>
          <w:position w:val="18"/>
        </w:rPr>
        <w:t>kg</w:t>
      </w:r>
      <w:r>
        <w:rPr>
          <w:rFonts w:ascii="Times New Roman" w:hAnsi="Times New Roman" w:eastAsia="Times New Roman" w:cs="Times New Roman"/>
          <w:sz w:val="24"/>
          <w:szCs w:val="24"/>
          <w:spacing w:val="1"/>
          <w:position w:val="18"/>
        </w:rPr>
        <w:t>/s</w:t>
      </w:r>
      <w:r>
        <w:rPr>
          <w:rFonts w:ascii="Times New Roman" w:hAnsi="Times New Roman" w:eastAsia="Times New Roman" w:cs="Times New Roman"/>
          <w:sz w:val="24"/>
          <w:szCs w:val="24"/>
          <w:spacing w:val="-27"/>
          <w:position w:val="18"/>
        </w:rPr>
        <w:t xml:space="preserve"> </w:t>
      </w:r>
      <w:r>
        <w:rPr>
          <w:sz w:val="24"/>
          <w:szCs w:val="24"/>
          <w:spacing w:val="1"/>
          <w:position w:val="18"/>
        </w:rPr>
        <w:t>。假定火灾事故持续</w:t>
      </w:r>
      <w:r>
        <w:rPr>
          <w:sz w:val="24"/>
          <w:szCs w:val="24"/>
          <w:position w:val="18"/>
        </w:rPr>
        <w:t>按10</w:t>
      </w:r>
      <w:r>
        <w:rPr>
          <w:rFonts w:ascii="Times New Roman" w:hAnsi="Times New Roman" w:eastAsia="Times New Roman" w:cs="Times New Roman"/>
          <w:sz w:val="24"/>
          <w:szCs w:val="24"/>
          <w:position w:val="18"/>
        </w:rPr>
        <w:t>min</w:t>
      </w:r>
      <w:r>
        <w:rPr>
          <w:rFonts w:ascii="Times New Roman" w:hAnsi="Times New Roman" w:eastAsia="Times New Roman" w:cs="Times New Roman"/>
          <w:sz w:val="24"/>
          <w:szCs w:val="24"/>
          <w:spacing w:val="18"/>
          <w:w w:val="101"/>
          <w:position w:val="18"/>
        </w:rPr>
        <w:t xml:space="preserve"> </w:t>
      </w:r>
      <w:r>
        <w:rPr>
          <w:sz w:val="24"/>
          <w:szCs w:val="24"/>
          <w:position w:val="18"/>
        </w:rPr>
        <w:t>计，则</w:t>
      </w:r>
      <w:r>
        <w:rPr>
          <w:rFonts w:ascii="Times New Roman" w:hAnsi="Times New Roman" w:eastAsia="Times New Roman" w:cs="Times New Roman"/>
          <w:sz w:val="24"/>
          <w:szCs w:val="24"/>
          <w:position w:val="18"/>
        </w:rPr>
        <w:t>NMP</w:t>
      </w:r>
    </w:p>
    <w:p>
      <w:pPr>
        <w:pStyle w:val="BodyText"/>
        <w:ind w:left="24"/>
        <w:spacing w:before="1" w:line="218" w:lineRule="auto"/>
        <w:rPr>
          <w:sz w:val="24"/>
          <w:szCs w:val="24"/>
        </w:rPr>
      </w:pPr>
      <w:r>
        <w:rPr>
          <w:sz w:val="24"/>
          <w:szCs w:val="24"/>
          <w:spacing w:val="-2"/>
        </w:rPr>
        <w:t>储罐泄漏燃烧伴生排放</w:t>
      </w:r>
      <w:r>
        <w:rPr>
          <w:sz w:val="24"/>
          <w:szCs w:val="24"/>
          <w:spacing w:val="-53"/>
        </w:rPr>
        <w:t xml:space="preserve"> </w:t>
      </w:r>
      <w:r>
        <w:rPr>
          <w:rFonts w:ascii="Times New Roman" w:hAnsi="Times New Roman" w:eastAsia="Times New Roman" w:cs="Times New Roman"/>
          <w:sz w:val="24"/>
          <w:szCs w:val="24"/>
          <w:spacing w:val="-2"/>
        </w:rPr>
        <w:t>CO</w:t>
      </w:r>
      <w:r>
        <w:rPr>
          <w:rFonts w:ascii="Times New Roman" w:hAnsi="Times New Roman" w:eastAsia="Times New Roman" w:cs="Times New Roman"/>
          <w:sz w:val="24"/>
          <w:szCs w:val="24"/>
          <w:spacing w:val="16"/>
        </w:rPr>
        <w:t xml:space="preserve"> </w:t>
      </w:r>
      <w:r>
        <w:rPr>
          <w:sz w:val="24"/>
          <w:szCs w:val="24"/>
          <w:spacing w:val="-2"/>
        </w:rPr>
        <w:t>为0.018</w:t>
      </w:r>
      <w:r>
        <w:rPr>
          <w:rFonts w:ascii="Times New Roman" w:hAnsi="Times New Roman" w:eastAsia="Times New Roman" w:cs="Times New Roman"/>
          <w:sz w:val="24"/>
          <w:szCs w:val="24"/>
          <w:spacing w:val="-2"/>
        </w:rPr>
        <w:t>t</w:t>
      </w:r>
      <w:r>
        <w:rPr>
          <w:sz w:val="24"/>
          <w:szCs w:val="24"/>
          <w:spacing w:val="-2"/>
        </w:rPr>
        <w:t>。</w:t>
      </w:r>
    </w:p>
    <w:p>
      <w:pPr>
        <w:pStyle w:val="BodyText"/>
        <w:ind w:left="644"/>
        <w:spacing w:before="187" w:line="219" w:lineRule="auto"/>
        <w:rPr>
          <w:sz w:val="24"/>
          <w:szCs w:val="24"/>
        </w:rPr>
      </w:pPr>
      <w:r>
        <w:rPr>
          <w:sz w:val="24"/>
          <w:szCs w:val="24"/>
          <w:spacing w:val="11"/>
        </w:rPr>
        <w:t>(2)预测模式</w:t>
      </w:r>
    </w:p>
    <w:p>
      <w:pPr>
        <w:pStyle w:val="BodyText"/>
        <w:ind w:left="485"/>
        <w:spacing w:before="179" w:line="475" w:lineRule="exact"/>
        <w:rPr>
          <w:sz w:val="24"/>
          <w:szCs w:val="24"/>
        </w:rPr>
      </w:pPr>
      <w:r>
        <w:rPr>
          <w:sz w:val="24"/>
          <w:szCs w:val="24"/>
          <w:spacing w:val="-3"/>
          <w:position w:val="18"/>
        </w:rPr>
        <w:t>根据《建设项目环境风险评价技术导则》  (HJ169-2018)</w:t>
      </w:r>
      <w:r>
        <w:rPr>
          <w:sz w:val="24"/>
          <w:szCs w:val="24"/>
          <w:spacing w:val="62"/>
          <w:position w:val="18"/>
        </w:rPr>
        <w:t xml:space="preserve"> </w:t>
      </w:r>
      <w:r>
        <w:rPr>
          <w:sz w:val="24"/>
          <w:szCs w:val="24"/>
          <w:spacing w:val="-3"/>
          <w:position w:val="18"/>
        </w:rPr>
        <w:t>附录</w:t>
      </w:r>
      <w:r>
        <w:rPr>
          <w:rFonts w:ascii="Times New Roman" w:hAnsi="Times New Roman" w:eastAsia="Times New Roman" w:cs="Times New Roman"/>
          <w:sz w:val="24"/>
          <w:szCs w:val="24"/>
          <w:spacing w:val="-3"/>
          <w:position w:val="18"/>
        </w:rPr>
        <w:t>G,   </w:t>
      </w:r>
      <w:r>
        <w:rPr>
          <w:sz w:val="24"/>
          <w:szCs w:val="24"/>
          <w:spacing w:val="-3"/>
          <w:position w:val="18"/>
        </w:rPr>
        <w:t>一氧化碳烟团</w:t>
      </w:r>
    </w:p>
    <w:p>
      <w:pPr>
        <w:pStyle w:val="BodyText"/>
        <w:ind w:left="24"/>
        <w:spacing w:before="1" w:line="218" w:lineRule="auto"/>
        <w:rPr>
          <w:sz w:val="24"/>
          <w:szCs w:val="24"/>
        </w:rPr>
      </w:pPr>
      <w:r>
        <w:rPr>
          <w:sz w:val="24"/>
          <w:szCs w:val="24"/>
          <w:spacing w:val="-3"/>
        </w:rPr>
        <w:t>初始密度小于空气密度，扩散计算采用</w:t>
      </w:r>
      <w:r>
        <w:rPr>
          <w:rFonts w:ascii="Times New Roman" w:hAnsi="Times New Roman" w:eastAsia="Times New Roman" w:cs="Times New Roman"/>
          <w:sz w:val="24"/>
          <w:szCs w:val="24"/>
          <w:spacing w:val="-3"/>
        </w:rPr>
        <w:t>AFTOX</w:t>
      </w:r>
      <w:r>
        <w:rPr>
          <w:sz w:val="24"/>
          <w:szCs w:val="24"/>
          <w:spacing w:val="-3"/>
        </w:rPr>
        <w:t>模式。</w:t>
      </w:r>
    </w:p>
    <w:p>
      <w:pPr>
        <w:pStyle w:val="BodyText"/>
        <w:ind w:left="644"/>
        <w:spacing w:before="175" w:line="218" w:lineRule="auto"/>
        <w:rPr>
          <w:sz w:val="24"/>
          <w:szCs w:val="24"/>
        </w:rPr>
      </w:pPr>
      <w:r>
        <w:rPr>
          <w:sz w:val="24"/>
          <w:szCs w:val="24"/>
          <w:spacing w:val="6"/>
        </w:rPr>
        <w:t>(3)预测内容及评价指标</w:t>
      </w:r>
    </w:p>
    <w:p>
      <w:pPr>
        <w:pStyle w:val="BodyText"/>
        <w:ind w:left="485"/>
        <w:spacing w:before="198" w:line="470" w:lineRule="exact"/>
        <w:rPr>
          <w:sz w:val="24"/>
          <w:szCs w:val="24"/>
        </w:rPr>
      </w:pPr>
      <w:r>
        <w:rPr>
          <w:sz w:val="24"/>
          <w:szCs w:val="24"/>
          <w:spacing w:val="-4"/>
          <w:position w:val="17"/>
        </w:rPr>
        <w:t>预测</w:t>
      </w:r>
      <w:r>
        <w:rPr>
          <w:rFonts w:ascii="Times New Roman" w:hAnsi="Times New Roman" w:eastAsia="Times New Roman" w:cs="Times New Roman"/>
          <w:sz w:val="24"/>
          <w:szCs w:val="24"/>
          <w:spacing w:val="-4"/>
          <w:position w:val="17"/>
        </w:rPr>
        <w:t>F </w:t>
      </w:r>
      <w:r>
        <w:rPr>
          <w:sz w:val="24"/>
          <w:szCs w:val="24"/>
          <w:spacing w:val="-4"/>
          <w:position w:val="17"/>
        </w:rPr>
        <w:t>类大气稳定度，风速为1.5</w:t>
      </w:r>
      <w:r>
        <w:rPr>
          <w:rFonts w:ascii="Times New Roman" w:hAnsi="Times New Roman" w:eastAsia="Times New Roman" w:cs="Times New Roman"/>
          <w:sz w:val="24"/>
          <w:szCs w:val="24"/>
          <w:spacing w:val="-4"/>
          <w:position w:val="17"/>
        </w:rPr>
        <w:t>m/s</w:t>
      </w:r>
      <w:r>
        <w:rPr>
          <w:rFonts w:ascii="Times New Roman" w:hAnsi="Times New Roman" w:eastAsia="Times New Roman" w:cs="Times New Roman"/>
          <w:sz w:val="24"/>
          <w:szCs w:val="24"/>
          <w:spacing w:val="26"/>
          <w:position w:val="17"/>
        </w:rPr>
        <w:t xml:space="preserve"> </w:t>
      </w:r>
      <w:r>
        <w:rPr>
          <w:sz w:val="24"/>
          <w:szCs w:val="24"/>
          <w:spacing w:val="-4"/>
          <w:position w:val="17"/>
        </w:rPr>
        <w:t>的</w:t>
      </w:r>
      <w:r>
        <w:rPr>
          <w:sz w:val="24"/>
          <w:szCs w:val="24"/>
          <w:spacing w:val="-5"/>
          <w:position w:val="17"/>
        </w:rPr>
        <w:t>条件下，</w:t>
      </w:r>
      <w:r>
        <w:rPr>
          <w:rFonts w:ascii="Times New Roman" w:hAnsi="Times New Roman" w:eastAsia="Times New Roman" w:cs="Times New Roman"/>
          <w:sz w:val="24"/>
          <w:szCs w:val="24"/>
          <w:spacing w:val="-5"/>
          <w:position w:val="17"/>
        </w:rPr>
        <w:t>NMP </w:t>
      </w:r>
      <w:r>
        <w:rPr>
          <w:sz w:val="24"/>
          <w:szCs w:val="24"/>
          <w:spacing w:val="-5"/>
          <w:position w:val="17"/>
        </w:rPr>
        <w:t>储罐在发生泄漏、遇明火发</w:t>
      </w:r>
    </w:p>
    <w:p>
      <w:pPr>
        <w:pStyle w:val="BodyText"/>
        <w:ind w:left="24"/>
        <w:spacing w:line="219" w:lineRule="auto"/>
        <w:rPr>
          <w:sz w:val="24"/>
          <w:szCs w:val="24"/>
        </w:rPr>
      </w:pPr>
      <w:r>
        <w:rPr>
          <w:sz w:val="24"/>
          <w:szCs w:val="24"/>
          <w:spacing w:val="-10"/>
        </w:rPr>
        <w:t>生火灾衍生</w:t>
      </w:r>
      <w:r>
        <w:rPr>
          <w:sz w:val="24"/>
          <w:szCs w:val="24"/>
          <w:spacing w:val="-60"/>
        </w:rPr>
        <w:t xml:space="preserve"> </w:t>
      </w:r>
      <w:r>
        <w:rPr>
          <w:rFonts w:ascii="Times New Roman" w:hAnsi="Times New Roman" w:eastAsia="Times New Roman" w:cs="Times New Roman"/>
          <w:sz w:val="24"/>
          <w:szCs w:val="24"/>
          <w:spacing w:val="-10"/>
        </w:rPr>
        <w:t>CO </w:t>
      </w:r>
      <w:r>
        <w:rPr>
          <w:sz w:val="24"/>
          <w:szCs w:val="24"/>
          <w:spacing w:val="-10"/>
        </w:rPr>
        <w:t>次生环境影响程度。</w:t>
      </w:r>
    </w:p>
    <w:p>
      <w:pPr>
        <w:pStyle w:val="BodyText"/>
        <w:ind w:left="485"/>
        <w:spacing w:before="174" w:line="464" w:lineRule="exact"/>
        <w:rPr>
          <w:sz w:val="24"/>
          <w:szCs w:val="24"/>
        </w:rPr>
      </w:pPr>
      <w:r>
        <w:rPr>
          <w:sz w:val="24"/>
          <w:szCs w:val="24"/>
          <w:position w:val="17"/>
        </w:rPr>
        <w:t>评价标准选取HJ169-2018中附录</w:t>
      </w:r>
      <w:r>
        <w:rPr>
          <w:rFonts w:ascii="Times New Roman" w:hAnsi="Times New Roman" w:eastAsia="Times New Roman" w:cs="Times New Roman"/>
          <w:sz w:val="24"/>
          <w:szCs w:val="24"/>
          <w:position w:val="17"/>
        </w:rPr>
        <w:t>G</w:t>
      </w:r>
      <w:r>
        <w:rPr>
          <w:sz w:val="24"/>
          <w:szCs w:val="24"/>
          <w:position w:val="17"/>
        </w:rPr>
        <w:t>中的毒性终点浓度值： </w:t>
      </w:r>
      <w:r>
        <w:rPr>
          <w:rFonts w:ascii="Times New Roman" w:hAnsi="Times New Roman" w:eastAsia="Times New Roman" w:cs="Times New Roman"/>
          <w:sz w:val="24"/>
          <w:szCs w:val="24"/>
          <w:position w:val="17"/>
        </w:rPr>
        <w:t>CO</w:t>
      </w:r>
      <w:r>
        <w:rPr>
          <w:sz w:val="24"/>
          <w:szCs w:val="24"/>
          <w:position w:val="17"/>
        </w:rPr>
        <w:t>毒性终点浓度-1为</w:t>
      </w:r>
    </w:p>
    <w:p>
      <w:pPr>
        <w:pStyle w:val="BodyText"/>
        <w:ind w:left="24"/>
        <w:spacing w:line="212" w:lineRule="auto"/>
        <w:rPr>
          <w:sz w:val="24"/>
          <w:szCs w:val="24"/>
        </w:rPr>
      </w:pPr>
      <w:r>
        <w:rPr>
          <w:sz w:val="24"/>
          <w:szCs w:val="24"/>
          <w:spacing w:val="-2"/>
        </w:rPr>
        <w:t>380mg/m³;</w:t>
      </w:r>
      <w:r>
        <w:rPr>
          <w:sz w:val="24"/>
          <w:szCs w:val="24"/>
          <w:spacing w:val="38"/>
        </w:rPr>
        <w:t xml:space="preserve"> </w:t>
      </w:r>
      <w:r>
        <w:rPr>
          <w:sz w:val="24"/>
          <w:szCs w:val="24"/>
          <w:spacing w:val="-2"/>
        </w:rPr>
        <w:t>毒性终点浓度-2为95</w:t>
      </w:r>
      <w:r>
        <w:rPr>
          <w:rFonts w:ascii="Times New Roman" w:hAnsi="Times New Roman" w:eastAsia="Times New Roman" w:cs="Times New Roman"/>
          <w:sz w:val="24"/>
          <w:szCs w:val="24"/>
          <w:spacing w:val="-2"/>
        </w:rPr>
        <w:t>mg/m³</w:t>
      </w:r>
      <w:r>
        <w:rPr>
          <w:sz w:val="24"/>
          <w:szCs w:val="24"/>
          <w:spacing w:val="-2"/>
        </w:rPr>
        <w:t>。</w:t>
      </w:r>
    </w:p>
    <w:p>
      <w:pPr>
        <w:pStyle w:val="BodyText"/>
        <w:ind w:left="644"/>
        <w:spacing w:before="183" w:line="220" w:lineRule="auto"/>
        <w:rPr>
          <w:sz w:val="24"/>
          <w:szCs w:val="24"/>
        </w:rPr>
      </w:pPr>
      <w:r>
        <w:rPr>
          <w:sz w:val="24"/>
          <w:szCs w:val="24"/>
          <w:spacing w:val="12"/>
        </w:rPr>
        <w:t>(4)预测结果</w:t>
      </w:r>
    </w:p>
    <w:p>
      <w:pPr>
        <w:pStyle w:val="BodyText"/>
        <w:ind w:left="485"/>
        <w:spacing w:before="183" w:line="219" w:lineRule="auto"/>
        <w:rPr>
          <w:sz w:val="24"/>
          <w:szCs w:val="24"/>
        </w:rPr>
      </w:pPr>
      <w:r>
        <w:rPr>
          <w:sz w:val="24"/>
          <w:szCs w:val="24"/>
          <w:spacing w:val="6"/>
        </w:rPr>
        <w:t>1)下风向最远距离</w:t>
      </w:r>
    </w:p>
    <w:p>
      <w:pPr>
        <w:spacing w:line="219" w:lineRule="auto"/>
        <w:sectPr>
          <w:footerReference w:type="default" r:id="rId195"/>
          <w:pgSz w:w="11900" w:h="16840"/>
          <w:pgMar w:top="1275" w:right="1314" w:bottom="988" w:left="1504" w:header="0" w:footer="849" w:gutter="0"/>
        </w:sectPr>
        <w:rPr>
          <w:sz w:val="24"/>
          <w:szCs w:val="24"/>
        </w:rPr>
      </w:pPr>
    </w:p>
    <w:p>
      <w:pPr>
        <w:pStyle w:val="BodyText"/>
        <w:ind w:left="94" w:right="150" w:firstLine="480"/>
        <w:spacing w:before="44" w:line="375" w:lineRule="auto"/>
        <w:jc w:val="both"/>
        <w:rPr>
          <w:sz w:val="23"/>
          <w:szCs w:val="23"/>
        </w:rPr>
      </w:pPr>
      <w:r>
        <w:rPr>
          <w:sz w:val="23"/>
          <w:szCs w:val="23"/>
          <w:spacing w:val="9"/>
        </w:rPr>
        <w:t>采用</w:t>
      </w:r>
      <w:r>
        <w:rPr>
          <w:sz w:val="23"/>
          <w:szCs w:val="23"/>
          <w:spacing w:val="-58"/>
        </w:rPr>
        <w:t xml:space="preserve"> </w:t>
      </w:r>
      <w:r>
        <w:rPr>
          <w:rFonts w:ascii="Times New Roman" w:hAnsi="Times New Roman" w:eastAsia="Times New Roman" w:cs="Times New Roman"/>
          <w:sz w:val="23"/>
          <w:szCs w:val="23"/>
        </w:rPr>
        <w:t>AFTOX</w:t>
      </w:r>
      <w:r>
        <w:rPr>
          <w:rFonts w:ascii="Times New Roman" w:hAnsi="Times New Roman" w:eastAsia="Times New Roman" w:cs="Times New Roman"/>
          <w:sz w:val="23"/>
          <w:szCs w:val="23"/>
          <w:spacing w:val="-9"/>
        </w:rPr>
        <w:t xml:space="preserve"> </w:t>
      </w:r>
      <w:r>
        <w:rPr>
          <w:sz w:val="23"/>
          <w:szCs w:val="23"/>
          <w:spacing w:val="9"/>
        </w:rPr>
        <w:t>模型进行进一步预测计算可知，最不利气象条件(预测气象条件为</w:t>
      </w:r>
      <w:r>
        <w:rPr>
          <w:rFonts w:ascii="Times New Roman" w:hAnsi="Times New Roman" w:eastAsia="Times New Roman" w:cs="Times New Roman"/>
          <w:sz w:val="23"/>
          <w:szCs w:val="23"/>
          <w:spacing w:val="9"/>
        </w:rPr>
        <w:t>F</w:t>
      </w:r>
      <w:r>
        <w:rPr>
          <w:rFonts w:ascii="Times New Roman" w:hAnsi="Times New Roman" w:eastAsia="Times New Roman" w:cs="Times New Roman"/>
          <w:sz w:val="23"/>
          <w:szCs w:val="23"/>
        </w:rPr>
        <w:t xml:space="preserve">   </w:t>
      </w:r>
      <w:r>
        <w:rPr>
          <w:sz w:val="23"/>
          <w:szCs w:val="23"/>
          <w:spacing w:val="7"/>
        </w:rPr>
        <w:t>类稳定度、1.5</w:t>
      </w:r>
      <w:r>
        <w:rPr>
          <w:rFonts w:ascii="Times New Roman" w:hAnsi="Times New Roman" w:eastAsia="Times New Roman" w:cs="Times New Roman"/>
          <w:sz w:val="23"/>
          <w:szCs w:val="23"/>
          <w:spacing w:val="7"/>
        </w:rPr>
        <w:t>m/s</w:t>
      </w:r>
      <w:r>
        <w:rPr>
          <w:rFonts w:ascii="Times New Roman" w:hAnsi="Times New Roman" w:eastAsia="Times New Roman" w:cs="Times New Roman"/>
          <w:sz w:val="23"/>
          <w:szCs w:val="23"/>
          <w:spacing w:val="22"/>
          <w:w w:val="101"/>
        </w:rPr>
        <w:t xml:space="preserve"> </w:t>
      </w:r>
      <w:r>
        <w:rPr>
          <w:sz w:val="23"/>
          <w:szCs w:val="23"/>
          <w:spacing w:val="7"/>
        </w:rPr>
        <w:t>风速、温度25℃、相对湿度50%)时，毒性终点浓度-1(380</w:t>
      </w:r>
      <w:r>
        <w:rPr>
          <w:rFonts w:ascii="Times New Roman" w:hAnsi="Times New Roman" w:eastAsia="Times New Roman" w:cs="Times New Roman"/>
          <w:sz w:val="23"/>
          <w:szCs w:val="23"/>
        </w:rPr>
        <w:t>mg</w:t>
      </w:r>
      <w:r>
        <w:rPr>
          <w:rFonts w:ascii="Times New Roman" w:hAnsi="Times New Roman" w:eastAsia="Times New Roman" w:cs="Times New Roman"/>
          <w:sz w:val="23"/>
          <w:szCs w:val="23"/>
          <w:spacing w:val="6"/>
        </w:rPr>
        <w:t>/m³)</w:t>
      </w:r>
      <w:r>
        <w:rPr>
          <w:sz w:val="23"/>
          <w:szCs w:val="23"/>
          <w:spacing w:val="6"/>
        </w:rPr>
        <w:t>、</w:t>
      </w:r>
      <w:r>
        <w:rPr>
          <w:sz w:val="23"/>
          <w:szCs w:val="23"/>
        </w:rPr>
        <w:t xml:space="preserve"> </w:t>
      </w:r>
      <w:r>
        <w:rPr>
          <w:sz w:val="23"/>
          <w:szCs w:val="23"/>
          <w:spacing w:val="6"/>
        </w:rPr>
        <w:t>毒性终点浓度-2(95</w:t>
      </w:r>
      <w:r>
        <w:rPr>
          <w:rFonts w:ascii="Times New Roman" w:hAnsi="Times New Roman" w:eastAsia="Times New Roman" w:cs="Times New Roman"/>
          <w:sz w:val="23"/>
          <w:szCs w:val="23"/>
        </w:rPr>
        <w:t>mg</w:t>
      </w:r>
      <w:r>
        <w:rPr>
          <w:rFonts w:ascii="Times New Roman" w:hAnsi="Times New Roman" w:eastAsia="Times New Roman" w:cs="Times New Roman"/>
          <w:sz w:val="23"/>
          <w:szCs w:val="23"/>
          <w:spacing w:val="6"/>
        </w:rPr>
        <w:t>/m³)</w:t>
      </w:r>
      <w:r>
        <w:rPr>
          <w:rFonts w:ascii="Times New Roman" w:hAnsi="Times New Roman" w:eastAsia="Times New Roman" w:cs="Times New Roman"/>
          <w:sz w:val="23"/>
          <w:szCs w:val="23"/>
          <w:spacing w:val="54"/>
        </w:rPr>
        <w:t xml:space="preserve"> </w:t>
      </w:r>
      <w:r>
        <w:rPr>
          <w:sz w:val="23"/>
          <w:szCs w:val="23"/>
          <w:spacing w:val="6"/>
        </w:rPr>
        <w:t>对应的下风向最远距离分别为40m、120m。</w:t>
      </w:r>
      <w:r>
        <w:rPr>
          <w:sz w:val="23"/>
          <w:szCs w:val="23"/>
          <w:spacing w:val="64"/>
        </w:rPr>
        <w:t xml:space="preserve"> </w:t>
      </w:r>
      <w:r>
        <w:rPr>
          <w:sz w:val="23"/>
          <w:szCs w:val="23"/>
          <w:spacing w:val="6"/>
        </w:rPr>
        <w:t>下风向达到不</w:t>
      </w:r>
    </w:p>
    <w:p>
      <w:pPr>
        <w:pStyle w:val="BodyText"/>
        <w:ind w:left="94"/>
        <w:spacing w:line="219" w:lineRule="auto"/>
        <w:rPr>
          <w:sz w:val="23"/>
          <w:szCs w:val="23"/>
        </w:rPr>
      </w:pPr>
      <w:r>
        <w:rPr>
          <w:sz w:val="23"/>
          <w:szCs w:val="23"/>
          <w:spacing w:val="5"/>
        </w:rPr>
        <w:t>同毒性终点浓度的最大影响区域见图7.1-1。</w:t>
      </w:r>
    </w:p>
    <w:p>
      <w:pPr>
        <w:pStyle w:val="BodyText"/>
        <w:ind w:left="828"/>
        <w:spacing w:before="193" w:line="219" w:lineRule="auto"/>
        <w:rPr>
          <w:sz w:val="23"/>
          <w:szCs w:val="23"/>
        </w:rPr>
      </w:pPr>
      <w:r>
        <w:rPr>
          <w:sz w:val="23"/>
          <w:szCs w:val="23"/>
          <w:b/>
          <w:bCs/>
          <w:spacing w:val="23"/>
        </w:rPr>
        <w:t>表7.1-3</w:t>
      </w:r>
      <w:r>
        <w:rPr>
          <w:sz w:val="23"/>
          <w:szCs w:val="23"/>
          <w:spacing w:val="23"/>
        </w:rPr>
        <w:t xml:space="preserve">  </w:t>
      </w:r>
      <w:r>
        <w:rPr>
          <w:rFonts w:ascii="Times New Roman" w:hAnsi="Times New Roman" w:eastAsia="Times New Roman" w:cs="Times New Roman"/>
          <w:sz w:val="23"/>
          <w:szCs w:val="23"/>
          <w:b/>
          <w:bCs/>
        </w:rPr>
        <w:t>NMP</w:t>
      </w:r>
      <w:r>
        <w:rPr>
          <w:rFonts w:ascii="Times New Roman" w:hAnsi="Times New Roman" w:eastAsia="Times New Roman" w:cs="Times New Roman"/>
          <w:sz w:val="23"/>
          <w:szCs w:val="23"/>
          <w:b/>
          <w:bCs/>
          <w:spacing w:val="23"/>
        </w:rPr>
        <w:t xml:space="preserve">  </w:t>
      </w:r>
      <w:r>
        <w:rPr>
          <w:sz w:val="23"/>
          <w:szCs w:val="23"/>
          <w:b/>
          <w:bCs/>
          <w:spacing w:val="23"/>
        </w:rPr>
        <w:t>储罐泄漏发生火灾衍生</w:t>
      </w:r>
      <w:r>
        <w:rPr>
          <w:sz w:val="23"/>
          <w:szCs w:val="23"/>
          <w:spacing w:val="-12"/>
        </w:rPr>
        <w:t xml:space="preserve"> </w:t>
      </w:r>
      <w:r>
        <w:rPr>
          <w:rFonts w:ascii="Times New Roman" w:hAnsi="Times New Roman" w:eastAsia="Times New Roman" w:cs="Times New Roman"/>
          <w:sz w:val="23"/>
          <w:szCs w:val="23"/>
          <w:b/>
          <w:bCs/>
        </w:rPr>
        <w:t>CO</w:t>
      </w:r>
      <w:r>
        <w:rPr>
          <w:rFonts w:ascii="Times New Roman" w:hAnsi="Times New Roman" w:eastAsia="Times New Roman" w:cs="Times New Roman"/>
          <w:sz w:val="23"/>
          <w:szCs w:val="23"/>
          <w:b/>
          <w:bCs/>
          <w:spacing w:val="1"/>
        </w:rPr>
        <w:t xml:space="preserve">  </w:t>
      </w:r>
      <w:r>
        <w:rPr>
          <w:sz w:val="23"/>
          <w:szCs w:val="23"/>
          <w:b/>
          <w:bCs/>
          <w:spacing w:val="23"/>
        </w:rPr>
        <w:t>事故风险影</w:t>
      </w:r>
      <w:r>
        <w:rPr>
          <w:sz w:val="23"/>
          <w:szCs w:val="23"/>
          <w:b/>
          <w:bCs/>
          <w:spacing w:val="22"/>
        </w:rPr>
        <w:t>响程度表</w:t>
      </w:r>
    </w:p>
    <w:p>
      <w:pPr>
        <w:spacing w:line="136" w:lineRule="exact"/>
        <w:rPr/>
      </w:pPr>
      <w:r/>
    </w:p>
    <w:tbl>
      <w:tblPr>
        <w:tblStyle w:val="TableNormal"/>
        <w:tblW w:w="897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572"/>
        <w:gridCol w:w="1388"/>
        <w:gridCol w:w="3226"/>
        <w:gridCol w:w="1793"/>
      </w:tblGrid>
      <w:tr>
        <w:trPr>
          <w:trHeight w:val="480" w:hRule="atLeast"/>
        </w:trPr>
        <w:tc>
          <w:tcPr>
            <w:tcW w:w="2572" w:type="dxa"/>
            <w:vAlign w:val="top"/>
          </w:tcPr>
          <w:p>
            <w:pPr>
              <w:pStyle w:val="TableText"/>
              <w:ind w:left="875"/>
              <w:spacing w:before="143" w:line="220" w:lineRule="auto"/>
              <w:rPr>
                <w:sz w:val="20"/>
                <w:szCs w:val="20"/>
              </w:rPr>
            </w:pPr>
            <w:r>
              <w:rPr>
                <w:sz w:val="20"/>
                <w:szCs w:val="20"/>
                <w:spacing w:val="-2"/>
              </w:rPr>
              <w:t>预测情形</w:t>
            </w:r>
          </w:p>
        </w:tc>
        <w:tc>
          <w:tcPr>
            <w:tcW w:w="1388" w:type="dxa"/>
            <w:vAlign w:val="top"/>
          </w:tcPr>
          <w:p>
            <w:pPr>
              <w:pStyle w:val="TableText"/>
              <w:ind w:left="182"/>
              <w:spacing w:before="136" w:line="214" w:lineRule="auto"/>
              <w:rPr>
                <w:sz w:val="20"/>
                <w:szCs w:val="20"/>
              </w:rPr>
            </w:pPr>
            <w:r>
              <w:rPr>
                <w:sz w:val="20"/>
                <w:szCs w:val="20"/>
                <w:spacing w:val="7"/>
              </w:rPr>
              <w:t>源强(</w:t>
            </w:r>
            <w:r>
              <w:rPr>
                <w:sz w:val="20"/>
                <w:szCs w:val="20"/>
              </w:rPr>
              <w:t>kg</w:t>
            </w:r>
            <w:r>
              <w:rPr>
                <w:sz w:val="20"/>
                <w:szCs w:val="20"/>
                <w:spacing w:val="7"/>
              </w:rPr>
              <w:t>/s)</w:t>
            </w:r>
          </w:p>
        </w:tc>
        <w:tc>
          <w:tcPr>
            <w:tcW w:w="3226" w:type="dxa"/>
            <w:vAlign w:val="top"/>
          </w:tcPr>
          <w:p>
            <w:pPr>
              <w:pStyle w:val="TableText"/>
              <w:ind w:left="1204"/>
              <w:spacing w:before="143" w:line="220" w:lineRule="auto"/>
              <w:rPr>
                <w:sz w:val="20"/>
                <w:szCs w:val="20"/>
              </w:rPr>
            </w:pPr>
            <w:r>
              <w:rPr>
                <w:sz w:val="20"/>
                <w:szCs w:val="20"/>
                <w:spacing w:val="2"/>
              </w:rPr>
              <w:t>危害浓度</w:t>
            </w:r>
          </w:p>
        </w:tc>
        <w:tc>
          <w:tcPr>
            <w:tcW w:w="1793" w:type="dxa"/>
            <w:vAlign w:val="top"/>
          </w:tcPr>
          <w:p>
            <w:pPr>
              <w:pStyle w:val="TableText"/>
              <w:ind w:left="189"/>
              <w:spacing w:before="42" w:line="197" w:lineRule="auto"/>
              <w:rPr>
                <w:sz w:val="20"/>
                <w:szCs w:val="20"/>
              </w:rPr>
            </w:pPr>
            <w:r>
              <w:rPr>
                <w:sz w:val="20"/>
                <w:szCs w:val="20"/>
                <w:spacing w:val="1"/>
              </w:rPr>
              <w:t>下风向最远距离</w:t>
            </w:r>
          </w:p>
          <w:p>
            <w:pPr>
              <w:pStyle w:val="TableText"/>
              <w:ind w:left="739"/>
              <w:spacing w:line="197" w:lineRule="auto"/>
              <w:rPr>
                <w:sz w:val="20"/>
                <w:szCs w:val="20"/>
              </w:rPr>
            </w:pPr>
            <w:r>
              <w:rPr>
                <w:sz w:val="20"/>
                <w:szCs w:val="20"/>
                <w:spacing w:val="-10"/>
              </w:rPr>
              <w:t>(m)</w:t>
            </w:r>
          </w:p>
        </w:tc>
      </w:tr>
      <w:tr>
        <w:trPr>
          <w:trHeight w:val="367" w:hRule="atLeast"/>
        </w:trPr>
        <w:tc>
          <w:tcPr>
            <w:tcW w:w="2572" w:type="dxa"/>
            <w:vAlign w:val="top"/>
            <w:vMerge w:val="restart"/>
            <w:tcBorders>
              <w:bottom w:val="nil"/>
            </w:tcBorders>
          </w:tcPr>
          <w:p>
            <w:pPr>
              <w:pStyle w:val="TableText"/>
              <w:ind w:left="225"/>
              <w:spacing w:before="273" w:line="219" w:lineRule="auto"/>
              <w:rPr>
                <w:sz w:val="20"/>
                <w:szCs w:val="20"/>
              </w:rPr>
            </w:pPr>
            <w:r>
              <w:rPr>
                <w:sz w:val="20"/>
                <w:szCs w:val="20"/>
                <w:spacing w:val="2"/>
              </w:rPr>
              <w:t>F稳定度，风速(1.5m/s)</w:t>
            </w:r>
          </w:p>
        </w:tc>
        <w:tc>
          <w:tcPr>
            <w:tcW w:w="1388" w:type="dxa"/>
            <w:vAlign w:val="top"/>
            <w:vMerge w:val="restart"/>
            <w:tcBorders>
              <w:bottom w:val="nil"/>
            </w:tcBorders>
          </w:tcPr>
          <w:p>
            <w:pPr>
              <w:spacing w:line="258" w:lineRule="auto"/>
              <w:rPr>
                <w:rFonts w:ascii="Arial"/>
                <w:sz w:val="21"/>
              </w:rPr>
            </w:pPr>
            <w:r/>
          </w:p>
          <w:p>
            <w:pPr>
              <w:pStyle w:val="TableText"/>
              <w:ind w:left="432"/>
              <w:spacing w:before="65" w:line="183" w:lineRule="auto"/>
              <w:rPr>
                <w:sz w:val="20"/>
                <w:szCs w:val="20"/>
              </w:rPr>
            </w:pPr>
            <w:r>
              <w:rPr>
                <w:sz w:val="20"/>
                <w:szCs w:val="20"/>
                <w:spacing w:val="-2"/>
              </w:rPr>
              <w:t>0.030</w:t>
            </w:r>
          </w:p>
        </w:tc>
        <w:tc>
          <w:tcPr>
            <w:tcW w:w="3226" w:type="dxa"/>
            <w:vAlign w:val="top"/>
          </w:tcPr>
          <w:p>
            <w:pPr>
              <w:pStyle w:val="TableText"/>
              <w:ind w:left="455"/>
              <w:spacing w:before="86" w:line="214" w:lineRule="auto"/>
              <w:rPr>
                <w:sz w:val="20"/>
                <w:szCs w:val="20"/>
              </w:rPr>
            </w:pPr>
            <w:r>
              <w:rPr>
                <w:sz w:val="20"/>
                <w:szCs w:val="20"/>
                <w:spacing w:val="2"/>
              </w:rPr>
              <w:t>毒性终点浓度-1(380</w:t>
            </w:r>
            <w:r>
              <w:rPr>
                <w:sz w:val="20"/>
                <w:szCs w:val="20"/>
              </w:rPr>
              <w:t>mg</w:t>
            </w:r>
            <w:r>
              <w:rPr>
                <w:sz w:val="20"/>
                <w:szCs w:val="20"/>
                <w:spacing w:val="2"/>
              </w:rPr>
              <w:t>/m)</w:t>
            </w:r>
          </w:p>
        </w:tc>
        <w:tc>
          <w:tcPr>
            <w:tcW w:w="1793" w:type="dxa"/>
            <w:vAlign w:val="top"/>
          </w:tcPr>
          <w:p>
            <w:pPr>
              <w:pStyle w:val="TableText"/>
              <w:ind w:left="789"/>
              <w:spacing w:before="144" w:line="183" w:lineRule="auto"/>
              <w:rPr>
                <w:sz w:val="20"/>
                <w:szCs w:val="20"/>
              </w:rPr>
            </w:pPr>
            <w:r>
              <w:rPr>
                <w:sz w:val="20"/>
                <w:szCs w:val="20"/>
                <w:spacing w:val="-2"/>
              </w:rPr>
              <w:t>40</w:t>
            </w:r>
          </w:p>
        </w:tc>
      </w:tr>
      <w:tr>
        <w:trPr>
          <w:trHeight w:val="352" w:hRule="atLeast"/>
        </w:trPr>
        <w:tc>
          <w:tcPr>
            <w:tcW w:w="2572" w:type="dxa"/>
            <w:vAlign w:val="top"/>
            <w:vMerge w:val="continue"/>
            <w:tcBorders>
              <w:top w:val="nil"/>
            </w:tcBorders>
          </w:tcPr>
          <w:p>
            <w:pPr>
              <w:rPr>
                <w:rFonts w:ascii="Arial"/>
                <w:sz w:val="21"/>
              </w:rPr>
            </w:pPr>
            <w:r/>
          </w:p>
        </w:tc>
        <w:tc>
          <w:tcPr>
            <w:tcW w:w="1388" w:type="dxa"/>
            <w:vAlign w:val="top"/>
            <w:vMerge w:val="continue"/>
            <w:tcBorders>
              <w:top w:val="nil"/>
            </w:tcBorders>
          </w:tcPr>
          <w:p>
            <w:pPr>
              <w:rPr>
                <w:rFonts w:ascii="Arial"/>
                <w:sz w:val="21"/>
              </w:rPr>
            </w:pPr>
            <w:r/>
          </w:p>
        </w:tc>
        <w:tc>
          <w:tcPr>
            <w:tcW w:w="3226" w:type="dxa"/>
            <w:vAlign w:val="top"/>
          </w:tcPr>
          <w:p>
            <w:pPr>
              <w:pStyle w:val="TableText"/>
              <w:ind w:left="405"/>
              <w:spacing w:before="79" w:line="214" w:lineRule="auto"/>
              <w:rPr>
                <w:sz w:val="20"/>
                <w:szCs w:val="20"/>
              </w:rPr>
            </w:pPr>
            <w:r>
              <w:rPr>
                <w:sz w:val="20"/>
                <w:szCs w:val="20"/>
                <w:spacing w:val="9"/>
              </w:rPr>
              <w:t>毒性终点浓度-2(95</w:t>
            </w:r>
            <w:r>
              <w:rPr>
                <w:sz w:val="20"/>
                <w:szCs w:val="20"/>
              </w:rPr>
              <w:t>mg</w:t>
            </w:r>
            <w:r>
              <w:rPr>
                <w:sz w:val="20"/>
                <w:szCs w:val="20"/>
                <w:spacing w:val="9"/>
              </w:rPr>
              <w:t>/m³)</w:t>
            </w:r>
          </w:p>
        </w:tc>
        <w:tc>
          <w:tcPr>
            <w:tcW w:w="1793" w:type="dxa"/>
            <w:vAlign w:val="top"/>
          </w:tcPr>
          <w:p>
            <w:pPr>
              <w:pStyle w:val="TableText"/>
              <w:ind w:left="739"/>
              <w:spacing w:before="136" w:line="184" w:lineRule="auto"/>
              <w:rPr>
                <w:sz w:val="20"/>
                <w:szCs w:val="20"/>
              </w:rPr>
            </w:pPr>
            <w:r>
              <w:rPr>
                <w:sz w:val="20"/>
                <w:szCs w:val="20"/>
                <w:spacing w:val="-6"/>
              </w:rPr>
              <w:t>120</w:t>
            </w:r>
          </w:p>
        </w:tc>
      </w:tr>
    </w:tbl>
    <w:p>
      <w:pPr>
        <w:spacing w:line="372" w:lineRule="auto"/>
        <w:rPr>
          <w:rFonts w:ascii="Arial"/>
          <w:sz w:val="21"/>
        </w:rPr>
      </w:pPr>
      <w:r/>
    </w:p>
    <w:p>
      <w:pPr>
        <w:pStyle w:val="BodyText"/>
        <w:ind w:firstLine="64"/>
        <w:spacing w:line="5350" w:lineRule="exact"/>
        <w:rPr/>
      </w:pPr>
      <w:r>
        <w:rPr>
          <w:position w:val="-107"/>
        </w:rPr>
        <w:pict>
          <v:group id="_x0000_s100" style="mso-position-vertical-relative:line;mso-position-horizontal-relative:char;width:436pt;height:267.55pt;" filled="false" stroked="false" coordsize="8720,5350" coordorigin="0,0">
            <v:shape id="_x0000_s102" style="position:absolute;left:0;top:0;width:8720;height:5350;" filled="false" stroked="false" type="#_x0000_t75">
              <v:imagedata o:title="" r:id="rId197"/>
            </v:shape>
            <v:shape id="_x0000_s104" style="position:absolute;left:-20;top:-20;width:8760;height:5390;" filled="false" stroked="false" type="#_x0000_t202">
              <v:fill on="false"/>
              <v:stroke on="false"/>
              <v:path/>
              <v:imagedata o:title=""/>
              <o:lock v:ext="edit" aspectratio="false"/>
              <v:textbox inset="0mm,0mm,0mm,0mm">
                <w:txbxContent>
                  <w:p>
                    <w:pPr>
                      <w:ind w:left="109"/>
                      <w:spacing w:before="75" w:line="206" w:lineRule="auto"/>
                      <w:rPr>
                        <w:rFonts w:ascii="SimSun" w:hAnsi="SimSun" w:eastAsia="SimSun" w:cs="SimSun"/>
                        <w:sz w:val="23"/>
                        <w:szCs w:val="23"/>
                      </w:rPr>
                    </w:pPr>
                    <w:r>
                      <w:rPr>
                        <w:rFonts w:ascii="SimSun" w:hAnsi="SimSun" w:eastAsia="SimSun" w:cs="SimSun"/>
                        <w:sz w:val="23"/>
                        <w:szCs w:val="23"/>
                        <w:color w:val="FFFFFF"/>
                        <w:spacing w:val="-27"/>
                        <w:w w:val="95"/>
                      </w:rPr>
                      <w:t>-mcm:</w:t>
                    </w:r>
                    <w:r>
                      <w:rPr>
                        <w:rFonts w:ascii="LiSu" w:hAnsi="LiSu" w:eastAsia="LiSu" w:cs="LiSu"/>
                        <w:sz w:val="23"/>
                        <w:szCs w:val="23"/>
                        <w:color w:val="FFFFFF"/>
                        <w:spacing w:val="-27"/>
                        <w:w w:val="95"/>
                      </w:rPr>
                      <w:t>优</w:t>
                    </w:r>
                    <w:r>
                      <w:rPr>
                        <w:rFonts w:ascii="LiSu" w:hAnsi="LiSu" w:eastAsia="LiSu" w:cs="LiSu"/>
                        <w:sz w:val="23"/>
                        <w:szCs w:val="23"/>
                        <w:color w:val="FFFFFF"/>
                        <w:spacing w:val="-27"/>
                        <w:w w:val="95"/>
                      </w:rPr>
                      <w:t xml:space="preserve">   </w:t>
                    </w:r>
                    <w:r>
                      <w:rPr>
                        <w:rFonts w:ascii="LiSu" w:hAnsi="LiSu" w:eastAsia="LiSu" w:cs="LiSu"/>
                        <w:sz w:val="23"/>
                        <w:szCs w:val="23"/>
                        <w:color w:val="FFFFFF"/>
                        <w:spacing w:val="-27"/>
                        <w:w w:val="95"/>
                      </w:rPr>
                      <w:t>-</w:t>
                    </w:r>
                    <w:r>
                      <w:rPr>
                        <w:rFonts w:ascii="SimSun" w:hAnsi="SimSun" w:eastAsia="SimSun" w:cs="SimSun"/>
                        <w:sz w:val="23"/>
                        <w:szCs w:val="23"/>
                        <w:color w:val="FFFFFF"/>
                        <w:spacing w:val="-27"/>
                        <w:w w:val="95"/>
                      </w:rPr>
                      <w:t>m</w:t>
                    </w:r>
                    <w:r>
                      <w:rPr>
                        <w:rFonts w:ascii="LiSu" w:hAnsi="LiSu" w:eastAsia="LiSu" w:cs="LiSu"/>
                        <w:sz w:val="23"/>
                        <w:szCs w:val="23"/>
                        <w:color w:val="FFFFFF"/>
                        <w:spacing w:val="-27"/>
                        <w:w w:val="95"/>
                      </w:rPr>
                      <w:t>化：</w:t>
                    </w:r>
                    <w:r>
                      <w:rPr>
                        <w:rFonts w:ascii="SimSun" w:hAnsi="SimSun" w:eastAsia="SimSun" w:cs="SimSun"/>
                        <w:sz w:val="23"/>
                        <w:szCs w:val="23"/>
                        <w:color w:val="FFFFFF"/>
                        <w:spacing w:val="-27"/>
                        <w:w w:val="95"/>
                      </w:rPr>
                      <w:t>cumt wmw,</w:t>
                    </w:r>
                    <w:r>
                      <w:rPr>
                        <w:rFonts w:ascii="SimSun" w:hAnsi="SimSun" w:eastAsia="SimSun" w:cs="SimSun"/>
                        <w:sz w:val="23"/>
                        <w:szCs w:val="23"/>
                        <w:color w:val="FFFFFF"/>
                        <w:spacing w:val="-28"/>
                        <w:w w:val="95"/>
                      </w:rPr>
                      <w:t>rtiau tn tomar tnrn):62  </w:t>
                    </w:r>
                    <w:r>
                      <w:rPr>
                        <w:rFonts w:ascii="LiSu" w:hAnsi="LiSu" w:eastAsia="LiSu" w:cs="LiSu"/>
                        <w:sz w:val="23"/>
                        <w:szCs w:val="23"/>
                        <w:color w:val="FFFFFF"/>
                        <w:spacing w:val="-28"/>
                        <w:w w:val="95"/>
                      </w:rPr>
                      <w:t>大**</w:t>
                    </w:r>
                    <w:r>
                      <w:rPr>
                        <w:rFonts w:ascii="SimSun" w:hAnsi="SimSun" w:eastAsia="SimSun" w:cs="SimSun"/>
                        <w:sz w:val="23"/>
                        <w:szCs w:val="23"/>
                        <w:color w:val="FFFFFF"/>
                        <w:spacing w:val="-28"/>
                        <w:w w:val="95"/>
                      </w:rPr>
                      <w:t>R</w:t>
                    </w:r>
                  </w:p>
                  <w:p>
                    <w:pPr>
                      <w:ind w:left="109"/>
                      <w:spacing w:line="191"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*-2%T**</w:t>
                    </w:r>
                  </w:p>
                  <w:p>
                    <w:pPr>
                      <w:ind w:left="109"/>
                      <w:spacing w:before="29" w:line="218" w:lineRule="auto"/>
                      <w:rPr>
                        <w:rFonts w:ascii="SimSun" w:hAnsi="SimSun" w:eastAsia="SimSun" w:cs="SimSun"/>
                        <w:sz w:val="17"/>
                        <w:szCs w:val="17"/>
                      </w:rPr>
                    </w:pPr>
                    <w:r>
                      <w:rPr>
                        <w:rFonts w:ascii="SimSun" w:hAnsi="SimSun" w:eastAsia="SimSun" w:cs="SimSun"/>
                        <w:sz w:val="23"/>
                        <w:szCs w:val="23"/>
                        <w:color w:val="FFFFFF"/>
                        <w:spacing w:val="-26"/>
                        <w:position w:val="3"/>
                      </w:rPr>
                      <w:t>""</w:t>
                    </w:r>
                    <w:r>
                      <w:rPr>
                        <w:rFonts w:ascii="SimSun" w:hAnsi="SimSun" w:eastAsia="SimSun" w:cs="SimSun"/>
                        <w:sz w:val="23"/>
                        <w:szCs w:val="23"/>
                        <w:color w:val="FFFFFF"/>
                        <w:spacing w:val="10"/>
                        <w:position w:val="3"/>
                      </w:rPr>
                      <w:t xml:space="preserve">       </w:t>
                    </w:r>
                    <w:r>
                      <w:rPr>
                        <w:rFonts w:ascii="SimSun" w:hAnsi="SimSun" w:eastAsia="SimSun" w:cs="SimSun"/>
                        <w:sz w:val="23"/>
                        <w:szCs w:val="23"/>
                        <w:spacing w:val="-26"/>
                        <w:position w:val="-1"/>
                      </w:rPr>
                      <w:t>警"</w:t>
                    </w:r>
                    <w:r>
                      <w:rPr>
                        <w:rFonts w:ascii="SimSun" w:hAnsi="SimSun" w:eastAsia="SimSun" w:cs="SimSun"/>
                        <w:sz w:val="23"/>
                        <w:szCs w:val="23"/>
                        <w:spacing w:val="10"/>
                        <w:position w:val="-1"/>
                      </w:rPr>
                      <w:t xml:space="preserve">     </w:t>
                    </w:r>
                    <w:r>
                      <w:rPr>
                        <w:rFonts w:ascii="SimSun" w:hAnsi="SimSun" w:eastAsia="SimSun" w:cs="SimSun"/>
                        <w:sz w:val="17"/>
                        <w:szCs w:val="17"/>
                        <w:color w:val="18606B"/>
                        <w:spacing w:val="-26"/>
                        <w:position w:val="5"/>
                      </w:rPr>
                      <w:t>大</w:t>
                    </w:r>
                  </w:p>
                </w:txbxContent>
              </v:textbox>
            </v:shape>
          </v:group>
        </w:pict>
      </w:r>
    </w:p>
    <w:p>
      <w:pPr>
        <w:pStyle w:val="BodyText"/>
        <w:ind w:left="1978"/>
        <w:spacing w:before="257" w:line="222" w:lineRule="auto"/>
        <w:rPr>
          <w:sz w:val="23"/>
          <w:szCs w:val="23"/>
        </w:rPr>
      </w:pPr>
      <w:r>
        <w:rPr>
          <w:rFonts w:ascii="SimHei" w:hAnsi="SimHei" w:eastAsia="SimHei" w:cs="SimHei"/>
          <w:sz w:val="23"/>
          <w:szCs w:val="23"/>
          <w:b/>
          <w:bCs/>
          <w:spacing w:val="5"/>
        </w:rPr>
        <w:t>图7.1-</w:t>
      </w:r>
      <w:r>
        <w:rPr>
          <w:sz w:val="23"/>
          <w:szCs w:val="23"/>
          <w:b/>
          <w:bCs/>
          <w:spacing w:val="5"/>
        </w:rPr>
        <w:t>1</w:t>
      </w:r>
      <w:r>
        <w:rPr>
          <w:sz w:val="23"/>
          <w:szCs w:val="23"/>
          <w:spacing w:val="5"/>
        </w:rPr>
        <w:t xml:space="preserve">  </w:t>
      </w:r>
      <w:r>
        <w:rPr>
          <w:sz w:val="23"/>
          <w:szCs w:val="23"/>
          <w:b/>
          <w:bCs/>
          <w:spacing w:val="5"/>
        </w:rPr>
        <w:t>最不利气象条件下风向</w:t>
      </w:r>
      <w:r>
        <w:rPr>
          <w:rFonts w:ascii="Times New Roman" w:hAnsi="Times New Roman" w:eastAsia="Times New Roman" w:cs="Times New Roman"/>
          <w:sz w:val="23"/>
          <w:szCs w:val="23"/>
          <w:b/>
          <w:bCs/>
        </w:rPr>
        <w:t>CO</w:t>
      </w:r>
      <w:r>
        <w:rPr>
          <w:rFonts w:ascii="Times New Roman" w:hAnsi="Times New Roman" w:eastAsia="Times New Roman" w:cs="Times New Roman"/>
          <w:sz w:val="23"/>
          <w:szCs w:val="23"/>
          <w:b/>
          <w:bCs/>
          <w:spacing w:val="-16"/>
        </w:rPr>
        <w:t xml:space="preserve"> </w:t>
      </w:r>
      <w:r>
        <w:rPr>
          <w:sz w:val="23"/>
          <w:szCs w:val="23"/>
          <w:b/>
          <w:bCs/>
          <w:spacing w:val="5"/>
        </w:rPr>
        <w:t>最大影响范围图</w:t>
      </w:r>
    </w:p>
    <w:p>
      <w:pPr>
        <w:pStyle w:val="BodyText"/>
        <w:ind w:left="575"/>
        <w:spacing w:before="266" w:line="219" w:lineRule="auto"/>
        <w:rPr>
          <w:sz w:val="23"/>
          <w:szCs w:val="23"/>
        </w:rPr>
      </w:pPr>
      <w:r>
        <w:rPr>
          <w:sz w:val="23"/>
          <w:szCs w:val="23"/>
          <w:spacing w:val="15"/>
        </w:rPr>
        <w:t>2)下风向不同距离处最大浓度</w:t>
      </w:r>
    </w:p>
    <w:p>
      <w:pPr>
        <w:pStyle w:val="BodyText"/>
        <w:ind w:left="94" w:right="221" w:firstLine="480"/>
        <w:spacing w:before="186" w:line="378" w:lineRule="auto"/>
        <w:rPr>
          <w:sz w:val="23"/>
          <w:szCs w:val="23"/>
        </w:rPr>
      </w:pPr>
      <w:r>
        <w:rPr>
          <w:sz w:val="23"/>
          <w:szCs w:val="23"/>
          <w:spacing w:val="5"/>
        </w:rPr>
        <w:t>采用</w:t>
      </w:r>
      <w:r>
        <w:rPr>
          <w:rFonts w:ascii="Times New Roman" w:hAnsi="Times New Roman" w:eastAsia="Times New Roman" w:cs="Times New Roman"/>
          <w:sz w:val="23"/>
          <w:szCs w:val="23"/>
        </w:rPr>
        <w:t>AFTOX</w:t>
      </w:r>
      <w:r>
        <w:rPr>
          <w:rFonts w:ascii="Times New Roman" w:hAnsi="Times New Roman" w:eastAsia="Times New Roman" w:cs="Times New Roman"/>
          <w:sz w:val="23"/>
          <w:szCs w:val="23"/>
          <w:spacing w:val="-2"/>
        </w:rPr>
        <w:t xml:space="preserve"> </w:t>
      </w:r>
      <w:r>
        <w:rPr>
          <w:sz w:val="23"/>
          <w:szCs w:val="23"/>
          <w:spacing w:val="5"/>
        </w:rPr>
        <w:t>模型进行进一步预测计算可知，最不利气象条件时，下风向不同距离</w:t>
      </w:r>
      <w:r>
        <w:rPr>
          <w:sz w:val="23"/>
          <w:szCs w:val="23"/>
        </w:rPr>
        <w:t xml:space="preserve"> </w:t>
      </w:r>
      <w:r>
        <w:rPr>
          <w:sz w:val="23"/>
          <w:szCs w:val="23"/>
          <w:spacing w:val="13"/>
        </w:rPr>
        <w:t>处</w:t>
      </w:r>
      <w:r>
        <w:rPr>
          <w:rFonts w:ascii="Times New Roman" w:hAnsi="Times New Roman" w:eastAsia="Times New Roman" w:cs="Times New Roman"/>
          <w:sz w:val="23"/>
          <w:szCs w:val="23"/>
        </w:rPr>
        <w:t>CO</w:t>
      </w:r>
      <w:r>
        <w:rPr>
          <w:sz w:val="23"/>
          <w:szCs w:val="23"/>
          <w:spacing w:val="13"/>
        </w:rPr>
        <w:t>的最大浓度见表7.1-4,下风向最大浓度为761</w:t>
      </w:r>
      <w:r>
        <w:rPr>
          <w:rFonts w:ascii="Times New Roman" w:hAnsi="Times New Roman" w:eastAsia="Times New Roman" w:cs="Times New Roman"/>
          <w:sz w:val="23"/>
          <w:szCs w:val="23"/>
        </w:rPr>
        <w:t>mg</w:t>
      </w:r>
      <w:r>
        <w:rPr>
          <w:rFonts w:ascii="Times New Roman" w:hAnsi="Times New Roman" w:eastAsia="Times New Roman" w:cs="Times New Roman"/>
          <w:sz w:val="23"/>
          <w:szCs w:val="23"/>
          <w:spacing w:val="13"/>
        </w:rPr>
        <w:t>/m²,  </w:t>
      </w:r>
      <w:r>
        <w:rPr>
          <w:sz w:val="23"/>
          <w:szCs w:val="23"/>
          <w:spacing w:val="13"/>
        </w:rPr>
        <w:t>出现在0.11</w:t>
      </w:r>
      <w:r>
        <w:rPr>
          <w:rFonts w:ascii="Times New Roman" w:hAnsi="Times New Roman" w:eastAsia="Times New Roman" w:cs="Times New Roman"/>
          <w:sz w:val="23"/>
          <w:szCs w:val="23"/>
        </w:rPr>
        <w:t>min</w:t>
      </w:r>
      <w:r>
        <w:rPr>
          <w:rFonts w:ascii="Times New Roman" w:hAnsi="Times New Roman" w:eastAsia="Times New Roman" w:cs="Times New Roman"/>
          <w:sz w:val="23"/>
          <w:szCs w:val="23"/>
          <w:spacing w:val="-26"/>
        </w:rPr>
        <w:t xml:space="preserve"> </w:t>
      </w:r>
      <w:r>
        <w:rPr>
          <w:sz w:val="23"/>
          <w:szCs w:val="23"/>
          <w:spacing w:val="13"/>
        </w:rPr>
        <w:t>、距污染</w:t>
      </w:r>
    </w:p>
    <w:p>
      <w:pPr>
        <w:pStyle w:val="BodyText"/>
        <w:ind w:left="94"/>
        <w:spacing w:line="220" w:lineRule="auto"/>
        <w:rPr>
          <w:sz w:val="23"/>
          <w:szCs w:val="23"/>
        </w:rPr>
      </w:pPr>
      <w:r>
        <w:rPr>
          <w:sz w:val="23"/>
          <w:szCs w:val="23"/>
          <w:spacing w:val="10"/>
        </w:rPr>
        <w:t>物质泄漏点10</w:t>
      </w:r>
      <w:r>
        <w:rPr>
          <w:rFonts w:ascii="Times New Roman" w:hAnsi="Times New Roman" w:eastAsia="Times New Roman" w:cs="Times New Roman"/>
          <w:sz w:val="23"/>
          <w:szCs w:val="23"/>
          <w:spacing w:val="10"/>
        </w:rPr>
        <w:t>m</w:t>
      </w:r>
      <w:r>
        <w:rPr>
          <w:rFonts w:ascii="Times New Roman" w:hAnsi="Times New Roman" w:eastAsia="Times New Roman" w:cs="Times New Roman"/>
          <w:sz w:val="23"/>
          <w:szCs w:val="23"/>
          <w:spacing w:val="-10"/>
        </w:rPr>
        <w:t xml:space="preserve"> </w:t>
      </w:r>
      <w:r>
        <w:rPr>
          <w:sz w:val="23"/>
          <w:szCs w:val="23"/>
          <w:spacing w:val="10"/>
        </w:rPr>
        <w:t>处。</w:t>
      </w:r>
    </w:p>
    <w:p>
      <w:pPr>
        <w:pStyle w:val="BodyText"/>
        <w:ind w:left="1588"/>
        <w:spacing w:before="202" w:line="219" w:lineRule="auto"/>
        <w:rPr>
          <w:sz w:val="23"/>
          <w:szCs w:val="23"/>
        </w:rPr>
      </w:pPr>
      <w:r>
        <w:rPr>
          <w:sz w:val="23"/>
          <w:szCs w:val="23"/>
          <w:b/>
          <w:bCs/>
          <w:spacing w:val="22"/>
        </w:rPr>
        <w:t>表7.1-4</w:t>
      </w:r>
      <w:r>
        <w:rPr>
          <w:sz w:val="23"/>
          <w:szCs w:val="23"/>
          <w:spacing w:val="22"/>
        </w:rPr>
        <w:t xml:space="preserve">  </w:t>
      </w:r>
      <w:r>
        <w:rPr>
          <w:rFonts w:ascii="Times New Roman" w:hAnsi="Times New Roman" w:eastAsia="Times New Roman" w:cs="Times New Roman"/>
          <w:sz w:val="23"/>
          <w:szCs w:val="23"/>
          <w:b/>
          <w:bCs/>
        </w:rPr>
        <w:t>CO</w:t>
      </w:r>
      <w:r>
        <w:rPr>
          <w:rFonts w:ascii="Times New Roman" w:hAnsi="Times New Roman" w:eastAsia="Times New Roman" w:cs="Times New Roman"/>
          <w:sz w:val="23"/>
          <w:szCs w:val="23"/>
          <w:b/>
          <w:bCs/>
          <w:spacing w:val="22"/>
        </w:rPr>
        <w:t xml:space="preserve">  </w:t>
      </w:r>
      <w:r>
        <w:rPr>
          <w:sz w:val="23"/>
          <w:szCs w:val="23"/>
          <w:b/>
          <w:bCs/>
          <w:spacing w:val="22"/>
        </w:rPr>
        <w:t>下风向不同距离处最大浓度预测结果</w:t>
      </w:r>
    </w:p>
    <w:p>
      <w:pPr>
        <w:spacing w:line="146" w:lineRule="exact"/>
        <w:rPr/>
      </w:pPr>
      <w:r/>
    </w:p>
    <w:tbl>
      <w:tblPr>
        <w:tblStyle w:val="TableNormal"/>
        <w:tblW w:w="9070" w:type="dxa"/>
        <w:tblInd w:w="6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41"/>
        <w:gridCol w:w="3007"/>
        <w:gridCol w:w="3022"/>
      </w:tblGrid>
      <w:tr>
        <w:trPr>
          <w:trHeight w:val="293" w:hRule="atLeast"/>
        </w:trPr>
        <w:tc>
          <w:tcPr>
            <w:tcW w:w="3041" w:type="dxa"/>
            <w:vAlign w:val="top"/>
          </w:tcPr>
          <w:p>
            <w:pPr>
              <w:pStyle w:val="TableText"/>
              <w:ind w:left="1145"/>
              <w:spacing w:before="44" w:line="210" w:lineRule="auto"/>
              <w:rPr>
                <w:sz w:val="21"/>
                <w:szCs w:val="21"/>
              </w:rPr>
            </w:pPr>
            <w:r>
              <w:rPr>
                <w:sz w:val="21"/>
                <w:szCs w:val="21"/>
                <w:spacing w:val="8"/>
              </w:rPr>
              <w:t>距离(m)</w:t>
            </w:r>
          </w:p>
        </w:tc>
        <w:tc>
          <w:tcPr>
            <w:tcW w:w="3007" w:type="dxa"/>
            <w:vAlign w:val="top"/>
          </w:tcPr>
          <w:p>
            <w:pPr>
              <w:pStyle w:val="TableText"/>
              <w:ind w:left="603"/>
              <w:spacing w:before="44" w:line="210" w:lineRule="auto"/>
              <w:rPr>
                <w:sz w:val="21"/>
                <w:szCs w:val="21"/>
              </w:rPr>
            </w:pPr>
            <w:r>
              <w:rPr>
                <w:sz w:val="21"/>
                <w:szCs w:val="21"/>
                <w:spacing w:val="5"/>
              </w:rPr>
              <w:t>浓度出现时间(</w:t>
            </w:r>
            <w:r>
              <w:rPr>
                <w:sz w:val="21"/>
                <w:szCs w:val="21"/>
              </w:rPr>
              <w:t>min</w:t>
            </w:r>
            <w:r>
              <w:rPr>
                <w:sz w:val="21"/>
                <w:szCs w:val="21"/>
                <w:spacing w:val="5"/>
              </w:rPr>
              <w:t>)</w:t>
            </w:r>
          </w:p>
        </w:tc>
        <w:tc>
          <w:tcPr>
            <w:tcW w:w="3022" w:type="dxa"/>
            <w:vAlign w:val="top"/>
          </w:tcPr>
          <w:p>
            <w:pPr>
              <w:pStyle w:val="TableText"/>
              <w:ind w:left="667"/>
              <w:spacing w:before="36" w:line="214" w:lineRule="auto"/>
              <w:rPr>
                <w:sz w:val="21"/>
                <w:szCs w:val="21"/>
              </w:rPr>
            </w:pPr>
            <w:r>
              <w:rPr>
                <w:sz w:val="21"/>
                <w:szCs w:val="21"/>
                <w:spacing w:val="16"/>
              </w:rPr>
              <w:t>高峰浓度(</w:t>
            </w:r>
            <w:r>
              <w:rPr>
                <w:sz w:val="21"/>
                <w:szCs w:val="21"/>
              </w:rPr>
              <w:t>mg</w:t>
            </w:r>
            <w:r>
              <w:rPr>
                <w:sz w:val="21"/>
                <w:szCs w:val="21"/>
                <w:spacing w:val="16"/>
              </w:rPr>
              <w:t>/m³)</w:t>
            </w:r>
          </w:p>
        </w:tc>
      </w:tr>
      <w:tr>
        <w:trPr>
          <w:trHeight w:val="278" w:hRule="atLeast"/>
        </w:trPr>
        <w:tc>
          <w:tcPr>
            <w:tcW w:w="3041" w:type="dxa"/>
            <w:vAlign w:val="top"/>
          </w:tcPr>
          <w:p>
            <w:pPr>
              <w:pStyle w:val="TableText"/>
              <w:ind w:left="1095"/>
              <w:spacing w:before="93" w:line="174" w:lineRule="exact"/>
              <w:rPr>
                <w:sz w:val="21"/>
                <w:szCs w:val="21"/>
              </w:rPr>
            </w:pPr>
            <w:r>
              <w:rPr>
                <w:sz w:val="21"/>
                <w:szCs w:val="21"/>
                <w:spacing w:val="-3"/>
                <w:position w:val="-2"/>
              </w:rPr>
              <w:t>1.00E+01</w:t>
            </w:r>
          </w:p>
        </w:tc>
        <w:tc>
          <w:tcPr>
            <w:tcW w:w="3007" w:type="dxa"/>
            <w:vAlign w:val="top"/>
          </w:tcPr>
          <w:p>
            <w:pPr>
              <w:pStyle w:val="TableText"/>
              <w:ind w:left="1074"/>
              <w:spacing w:before="93" w:line="174" w:lineRule="exact"/>
              <w:rPr>
                <w:sz w:val="21"/>
                <w:szCs w:val="21"/>
              </w:rPr>
            </w:pPr>
            <w:r>
              <w:rPr>
                <w:sz w:val="21"/>
                <w:szCs w:val="21"/>
                <w:spacing w:val="-3"/>
                <w:position w:val="-2"/>
              </w:rPr>
              <w:t>1.11E-01</w:t>
            </w:r>
          </w:p>
        </w:tc>
        <w:tc>
          <w:tcPr>
            <w:tcW w:w="3022" w:type="dxa"/>
            <w:vAlign w:val="top"/>
          </w:tcPr>
          <w:p>
            <w:pPr>
              <w:pStyle w:val="TableText"/>
              <w:ind w:left="1087"/>
              <w:spacing w:before="93" w:line="174" w:lineRule="exact"/>
              <w:rPr>
                <w:sz w:val="21"/>
                <w:szCs w:val="21"/>
              </w:rPr>
            </w:pPr>
            <w:r>
              <w:rPr>
                <w:sz w:val="21"/>
                <w:szCs w:val="21"/>
                <w:spacing w:val="-3"/>
                <w:position w:val="-2"/>
              </w:rPr>
              <w:t>1.01E+03</w:t>
            </w:r>
          </w:p>
        </w:tc>
      </w:tr>
      <w:tr>
        <w:trPr>
          <w:trHeight w:val="288" w:hRule="atLeast"/>
        </w:trPr>
        <w:tc>
          <w:tcPr>
            <w:tcW w:w="3041" w:type="dxa"/>
            <w:vAlign w:val="top"/>
          </w:tcPr>
          <w:p>
            <w:pPr>
              <w:pStyle w:val="TableText"/>
              <w:ind w:left="1095"/>
              <w:spacing w:before="96" w:line="160" w:lineRule="auto"/>
              <w:rPr>
                <w:sz w:val="21"/>
                <w:szCs w:val="21"/>
              </w:rPr>
            </w:pPr>
            <w:r>
              <w:rPr>
                <w:sz w:val="21"/>
                <w:szCs w:val="21"/>
                <w:spacing w:val="-2"/>
              </w:rPr>
              <w:t>2.00E+01</w:t>
            </w:r>
          </w:p>
        </w:tc>
        <w:tc>
          <w:tcPr>
            <w:tcW w:w="3007" w:type="dxa"/>
            <w:vAlign w:val="top"/>
          </w:tcPr>
          <w:p>
            <w:pPr>
              <w:pStyle w:val="TableText"/>
              <w:ind w:left="1074"/>
              <w:spacing w:before="96" w:line="160" w:lineRule="auto"/>
              <w:rPr>
                <w:sz w:val="21"/>
                <w:szCs w:val="21"/>
              </w:rPr>
            </w:pPr>
            <w:r>
              <w:rPr>
                <w:sz w:val="21"/>
                <w:szCs w:val="21"/>
                <w:spacing w:val="-2"/>
              </w:rPr>
              <w:t>2.22E-01</w:t>
            </w:r>
          </w:p>
        </w:tc>
        <w:tc>
          <w:tcPr>
            <w:tcW w:w="3022" w:type="dxa"/>
            <w:vAlign w:val="top"/>
          </w:tcPr>
          <w:p>
            <w:pPr>
              <w:pStyle w:val="TableText"/>
              <w:ind w:left="1087"/>
              <w:spacing w:before="97" w:line="159" w:lineRule="auto"/>
              <w:rPr>
                <w:sz w:val="21"/>
                <w:szCs w:val="21"/>
              </w:rPr>
            </w:pPr>
            <w:r>
              <w:rPr>
                <w:sz w:val="21"/>
                <w:szCs w:val="21"/>
                <w:spacing w:val="-2"/>
              </w:rPr>
              <w:t>7.90E+02</w:t>
            </w:r>
          </w:p>
        </w:tc>
      </w:tr>
      <w:tr>
        <w:trPr>
          <w:trHeight w:val="278" w:hRule="atLeast"/>
        </w:trPr>
        <w:tc>
          <w:tcPr>
            <w:tcW w:w="3041" w:type="dxa"/>
            <w:vAlign w:val="top"/>
          </w:tcPr>
          <w:p>
            <w:pPr>
              <w:pStyle w:val="TableText"/>
              <w:ind w:left="1095"/>
              <w:spacing w:before="98" w:line="170" w:lineRule="exact"/>
              <w:rPr>
                <w:sz w:val="21"/>
                <w:szCs w:val="21"/>
              </w:rPr>
            </w:pPr>
            <w:r>
              <w:rPr>
                <w:sz w:val="21"/>
                <w:szCs w:val="21"/>
                <w:spacing w:val="-2"/>
                <w:position w:val="-2"/>
              </w:rPr>
              <w:t>3.00E+01</w:t>
            </w:r>
          </w:p>
        </w:tc>
        <w:tc>
          <w:tcPr>
            <w:tcW w:w="3007" w:type="dxa"/>
            <w:vAlign w:val="top"/>
          </w:tcPr>
          <w:p>
            <w:pPr>
              <w:pStyle w:val="TableText"/>
              <w:ind w:left="1074"/>
              <w:spacing w:before="98" w:line="170" w:lineRule="exact"/>
              <w:rPr>
                <w:sz w:val="21"/>
                <w:szCs w:val="21"/>
              </w:rPr>
            </w:pPr>
            <w:r>
              <w:rPr>
                <w:sz w:val="21"/>
                <w:szCs w:val="21"/>
                <w:spacing w:val="-2"/>
                <w:position w:val="-2"/>
              </w:rPr>
              <w:t>3.33E-01</w:t>
            </w:r>
          </w:p>
        </w:tc>
        <w:tc>
          <w:tcPr>
            <w:tcW w:w="3022" w:type="dxa"/>
            <w:vAlign w:val="top"/>
          </w:tcPr>
          <w:p>
            <w:pPr>
              <w:pStyle w:val="TableText"/>
              <w:ind w:left="1087"/>
              <w:spacing w:before="98" w:line="170" w:lineRule="exact"/>
              <w:rPr>
                <w:sz w:val="21"/>
                <w:szCs w:val="21"/>
              </w:rPr>
            </w:pPr>
            <w:r>
              <w:rPr>
                <w:sz w:val="21"/>
                <w:szCs w:val="21"/>
                <w:spacing w:val="-2"/>
                <w:position w:val="-2"/>
              </w:rPr>
              <w:t>5.79E+02</w:t>
            </w:r>
          </w:p>
        </w:tc>
      </w:tr>
      <w:tr>
        <w:trPr>
          <w:trHeight w:val="283" w:hRule="atLeast"/>
        </w:trPr>
        <w:tc>
          <w:tcPr>
            <w:tcW w:w="3041" w:type="dxa"/>
            <w:vAlign w:val="top"/>
          </w:tcPr>
          <w:p>
            <w:pPr>
              <w:pStyle w:val="TableText"/>
              <w:ind w:left="1095"/>
              <w:spacing w:before="100" w:line="173" w:lineRule="exact"/>
              <w:rPr>
                <w:sz w:val="21"/>
                <w:szCs w:val="21"/>
              </w:rPr>
            </w:pPr>
            <w:r>
              <w:rPr>
                <w:sz w:val="21"/>
                <w:szCs w:val="21"/>
                <w:spacing w:val="-1"/>
                <w:position w:val="-2"/>
              </w:rPr>
              <w:t>4.00E+01</w:t>
            </w:r>
          </w:p>
        </w:tc>
        <w:tc>
          <w:tcPr>
            <w:tcW w:w="3007" w:type="dxa"/>
            <w:vAlign w:val="top"/>
          </w:tcPr>
          <w:p>
            <w:pPr>
              <w:pStyle w:val="TableText"/>
              <w:ind w:left="1074"/>
              <w:spacing w:before="100" w:line="173" w:lineRule="exact"/>
              <w:rPr>
                <w:sz w:val="21"/>
                <w:szCs w:val="21"/>
              </w:rPr>
            </w:pPr>
            <w:r>
              <w:rPr>
                <w:sz w:val="21"/>
                <w:szCs w:val="21"/>
                <w:spacing w:val="-1"/>
                <w:position w:val="-2"/>
              </w:rPr>
              <w:t>4.44E-01</w:t>
            </w:r>
          </w:p>
        </w:tc>
        <w:tc>
          <w:tcPr>
            <w:tcW w:w="3022" w:type="dxa"/>
            <w:vAlign w:val="top"/>
          </w:tcPr>
          <w:p>
            <w:pPr>
              <w:pStyle w:val="TableText"/>
              <w:ind w:left="1087"/>
              <w:spacing w:before="100" w:line="173" w:lineRule="exact"/>
              <w:rPr>
                <w:sz w:val="21"/>
                <w:szCs w:val="21"/>
              </w:rPr>
            </w:pPr>
            <w:r>
              <w:rPr>
                <w:sz w:val="21"/>
                <w:szCs w:val="21"/>
                <w:spacing w:val="-1"/>
                <w:position w:val="-2"/>
              </w:rPr>
              <w:t>4.41E+02</w:t>
            </w:r>
          </w:p>
        </w:tc>
      </w:tr>
    </w:tbl>
    <w:p>
      <w:pPr>
        <w:rPr>
          <w:rFonts w:ascii="Arial"/>
          <w:sz w:val="21"/>
        </w:rPr>
      </w:pPr>
      <w:r/>
    </w:p>
    <w:p>
      <w:pPr>
        <w:sectPr>
          <w:footerReference w:type="default" r:id="rId196"/>
          <w:pgSz w:w="11900" w:h="16840"/>
          <w:pgMar w:top="1272" w:right="1314" w:bottom="1005" w:left="1445" w:header="0" w:footer="856" w:gutter="0"/>
        </w:sectPr>
        <w:rPr>
          <w:rFonts w:ascii="Arial" w:hAnsi="Arial" w:eastAsia="Arial" w:cs="Arial"/>
          <w:sz w:val="21"/>
          <w:szCs w:val="21"/>
        </w:rPr>
      </w:pPr>
    </w:p>
    <w:tbl>
      <w:tblPr>
        <w:tblStyle w:val="TableNormal"/>
        <w:tblW w:w="90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22"/>
        <w:gridCol w:w="3026"/>
        <w:gridCol w:w="3012"/>
      </w:tblGrid>
      <w:tr>
        <w:trPr>
          <w:trHeight w:val="294" w:hRule="atLeast"/>
        </w:trPr>
        <w:tc>
          <w:tcPr>
            <w:tcW w:w="3022" w:type="dxa"/>
            <w:vAlign w:val="top"/>
          </w:tcPr>
          <w:p>
            <w:pPr>
              <w:pStyle w:val="TableText"/>
              <w:ind w:left="1105"/>
              <w:spacing w:before="104" w:line="166" w:lineRule="auto"/>
              <w:rPr>
                <w:sz w:val="20"/>
                <w:szCs w:val="20"/>
              </w:rPr>
            </w:pPr>
            <w:r>
              <w:rPr>
                <w:sz w:val="20"/>
                <w:szCs w:val="20"/>
                <w:spacing w:val="-2"/>
              </w:rPr>
              <w:t>5.00E+01</w:t>
            </w:r>
          </w:p>
        </w:tc>
        <w:tc>
          <w:tcPr>
            <w:tcW w:w="3026" w:type="dxa"/>
            <w:vAlign w:val="top"/>
          </w:tcPr>
          <w:p>
            <w:pPr>
              <w:pStyle w:val="TableText"/>
              <w:ind w:left="1103"/>
              <w:spacing w:before="104" w:line="166" w:lineRule="auto"/>
              <w:rPr>
                <w:sz w:val="20"/>
                <w:szCs w:val="20"/>
              </w:rPr>
            </w:pPr>
            <w:r>
              <w:rPr>
                <w:sz w:val="20"/>
                <w:szCs w:val="20"/>
                <w:spacing w:val="-2"/>
              </w:rPr>
              <w:t>5.55E-01</w:t>
            </w:r>
          </w:p>
        </w:tc>
        <w:tc>
          <w:tcPr>
            <w:tcW w:w="3012" w:type="dxa"/>
            <w:vAlign w:val="top"/>
          </w:tcPr>
          <w:p>
            <w:pPr>
              <w:pStyle w:val="TableText"/>
              <w:ind w:left="1096"/>
              <w:spacing w:before="104" w:line="166" w:lineRule="auto"/>
              <w:rPr>
                <w:sz w:val="20"/>
                <w:szCs w:val="20"/>
              </w:rPr>
            </w:pPr>
            <w:r>
              <w:rPr>
                <w:sz w:val="20"/>
                <w:szCs w:val="20"/>
                <w:spacing w:val="-2"/>
              </w:rPr>
              <w:t>3.45E+02</w:t>
            </w:r>
          </w:p>
        </w:tc>
      </w:tr>
      <w:tr>
        <w:trPr>
          <w:trHeight w:val="280" w:hRule="atLeast"/>
        </w:trPr>
        <w:tc>
          <w:tcPr>
            <w:tcW w:w="3022" w:type="dxa"/>
            <w:vAlign w:val="top"/>
          </w:tcPr>
          <w:p>
            <w:pPr>
              <w:pStyle w:val="TableText"/>
              <w:ind w:left="1105"/>
              <w:spacing w:before="90" w:line="166" w:lineRule="auto"/>
              <w:rPr>
                <w:sz w:val="20"/>
                <w:szCs w:val="20"/>
              </w:rPr>
            </w:pPr>
            <w:r>
              <w:rPr>
                <w:sz w:val="20"/>
                <w:szCs w:val="20"/>
                <w:spacing w:val="-2"/>
              </w:rPr>
              <w:t>6.00E+01</w:t>
            </w:r>
          </w:p>
        </w:tc>
        <w:tc>
          <w:tcPr>
            <w:tcW w:w="3026" w:type="dxa"/>
            <w:vAlign w:val="top"/>
          </w:tcPr>
          <w:p>
            <w:pPr>
              <w:pStyle w:val="TableText"/>
              <w:ind w:left="1103"/>
              <w:spacing w:before="90" w:line="166" w:lineRule="auto"/>
              <w:rPr>
                <w:sz w:val="20"/>
                <w:szCs w:val="20"/>
              </w:rPr>
            </w:pPr>
            <w:r>
              <w:rPr>
                <w:sz w:val="20"/>
                <w:szCs w:val="20"/>
                <w:spacing w:val="-2"/>
              </w:rPr>
              <w:t>6.66E-01</w:t>
            </w:r>
          </w:p>
        </w:tc>
        <w:tc>
          <w:tcPr>
            <w:tcW w:w="3012" w:type="dxa"/>
            <w:vAlign w:val="top"/>
          </w:tcPr>
          <w:p>
            <w:pPr>
              <w:pStyle w:val="TableText"/>
              <w:ind w:left="1096"/>
              <w:spacing w:before="90" w:line="166" w:lineRule="auto"/>
              <w:rPr>
                <w:sz w:val="20"/>
                <w:szCs w:val="20"/>
              </w:rPr>
            </w:pPr>
            <w:r>
              <w:rPr>
                <w:sz w:val="20"/>
                <w:szCs w:val="20"/>
                <w:spacing w:val="-2"/>
              </w:rPr>
              <w:t>2.76E+02</w:t>
            </w:r>
          </w:p>
        </w:tc>
      </w:tr>
      <w:tr>
        <w:trPr>
          <w:trHeight w:val="280" w:hRule="atLeast"/>
        </w:trPr>
        <w:tc>
          <w:tcPr>
            <w:tcW w:w="3022" w:type="dxa"/>
            <w:vAlign w:val="top"/>
          </w:tcPr>
          <w:p>
            <w:pPr>
              <w:pStyle w:val="TableText"/>
              <w:ind w:left="1105"/>
              <w:spacing w:before="90" w:line="166" w:lineRule="auto"/>
              <w:rPr>
                <w:sz w:val="20"/>
                <w:szCs w:val="20"/>
              </w:rPr>
            </w:pPr>
            <w:r>
              <w:rPr>
                <w:sz w:val="20"/>
                <w:szCs w:val="20"/>
                <w:spacing w:val="-2"/>
              </w:rPr>
              <w:t>7.00E+01</w:t>
            </w:r>
          </w:p>
        </w:tc>
        <w:tc>
          <w:tcPr>
            <w:tcW w:w="3026" w:type="dxa"/>
            <w:vAlign w:val="top"/>
          </w:tcPr>
          <w:p>
            <w:pPr>
              <w:pStyle w:val="TableText"/>
              <w:ind w:left="1103"/>
              <w:spacing w:before="90" w:line="166" w:lineRule="auto"/>
              <w:rPr>
                <w:sz w:val="20"/>
                <w:szCs w:val="20"/>
              </w:rPr>
            </w:pPr>
            <w:r>
              <w:rPr>
                <w:sz w:val="20"/>
                <w:szCs w:val="20"/>
                <w:spacing w:val="-2"/>
              </w:rPr>
              <w:t>7.77E-01</w:t>
            </w:r>
          </w:p>
        </w:tc>
        <w:tc>
          <w:tcPr>
            <w:tcW w:w="3012" w:type="dxa"/>
            <w:vAlign w:val="top"/>
          </w:tcPr>
          <w:p>
            <w:pPr>
              <w:pStyle w:val="TableText"/>
              <w:ind w:left="1096"/>
              <w:spacing w:before="90" w:line="166" w:lineRule="auto"/>
              <w:rPr>
                <w:sz w:val="20"/>
                <w:szCs w:val="20"/>
              </w:rPr>
            </w:pPr>
            <w:r>
              <w:rPr>
                <w:sz w:val="20"/>
                <w:szCs w:val="20"/>
                <w:spacing w:val="-2"/>
              </w:rPr>
              <w:t>2.26E+02</w:t>
            </w:r>
          </w:p>
        </w:tc>
      </w:tr>
      <w:tr>
        <w:trPr>
          <w:trHeight w:val="300" w:hRule="atLeast"/>
        </w:trPr>
        <w:tc>
          <w:tcPr>
            <w:tcW w:w="3022" w:type="dxa"/>
            <w:vAlign w:val="top"/>
          </w:tcPr>
          <w:p>
            <w:pPr>
              <w:pStyle w:val="TableText"/>
              <w:ind w:left="1105"/>
              <w:spacing w:before="100" w:line="175" w:lineRule="auto"/>
              <w:rPr>
                <w:sz w:val="20"/>
                <w:szCs w:val="20"/>
              </w:rPr>
            </w:pPr>
            <w:r>
              <w:rPr>
                <w:sz w:val="20"/>
                <w:szCs w:val="20"/>
                <w:spacing w:val="-2"/>
              </w:rPr>
              <w:t>8.00E+01</w:t>
            </w:r>
          </w:p>
        </w:tc>
        <w:tc>
          <w:tcPr>
            <w:tcW w:w="3026" w:type="dxa"/>
            <w:vAlign w:val="top"/>
          </w:tcPr>
          <w:p>
            <w:pPr>
              <w:pStyle w:val="TableText"/>
              <w:ind w:left="1103"/>
              <w:spacing w:before="100" w:line="175" w:lineRule="auto"/>
              <w:rPr>
                <w:sz w:val="20"/>
                <w:szCs w:val="20"/>
              </w:rPr>
            </w:pPr>
            <w:r>
              <w:rPr>
                <w:sz w:val="20"/>
                <w:szCs w:val="20"/>
                <w:spacing w:val="-2"/>
              </w:rPr>
              <w:t>8.88E-01</w:t>
            </w:r>
          </w:p>
        </w:tc>
        <w:tc>
          <w:tcPr>
            <w:tcW w:w="3012" w:type="dxa"/>
            <w:vAlign w:val="top"/>
          </w:tcPr>
          <w:p>
            <w:pPr>
              <w:pStyle w:val="TableText"/>
              <w:ind w:left="1096"/>
              <w:spacing w:before="100" w:line="175" w:lineRule="auto"/>
              <w:rPr>
                <w:sz w:val="20"/>
                <w:szCs w:val="20"/>
              </w:rPr>
            </w:pPr>
            <w:r>
              <w:rPr>
                <w:sz w:val="20"/>
                <w:szCs w:val="20"/>
                <w:spacing w:val="-3"/>
              </w:rPr>
              <w:t>1.88E+02</w:t>
            </w:r>
          </w:p>
        </w:tc>
      </w:tr>
      <w:tr>
        <w:trPr>
          <w:trHeight w:val="279" w:hRule="atLeast"/>
        </w:trPr>
        <w:tc>
          <w:tcPr>
            <w:tcW w:w="3022" w:type="dxa"/>
            <w:vAlign w:val="top"/>
          </w:tcPr>
          <w:p>
            <w:pPr>
              <w:pStyle w:val="TableText"/>
              <w:ind w:left="1105"/>
              <w:spacing w:before="90" w:line="165" w:lineRule="auto"/>
              <w:rPr>
                <w:sz w:val="20"/>
                <w:szCs w:val="20"/>
              </w:rPr>
            </w:pPr>
            <w:r>
              <w:rPr>
                <w:sz w:val="20"/>
                <w:szCs w:val="20"/>
                <w:spacing w:val="-2"/>
              </w:rPr>
              <w:t>9.00E+01</w:t>
            </w:r>
          </w:p>
        </w:tc>
        <w:tc>
          <w:tcPr>
            <w:tcW w:w="3026" w:type="dxa"/>
            <w:vAlign w:val="top"/>
          </w:tcPr>
          <w:p>
            <w:pPr>
              <w:pStyle w:val="TableText"/>
              <w:ind w:left="1103"/>
              <w:spacing w:before="90" w:line="165" w:lineRule="auto"/>
              <w:rPr>
                <w:sz w:val="20"/>
                <w:szCs w:val="20"/>
              </w:rPr>
            </w:pPr>
            <w:r>
              <w:rPr>
                <w:sz w:val="20"/>
                <w:szCs w:val="20"/>
                <w:spacing w:val="-2"/>
              </w:rPr>
              <w:t>9.99E-01</w:t>
            </w:r>
          </w:p>
        </w:tc>
        <w:tc>
          <w:tcPr>
            <w:tcW w:w="3012" w:type="dxa"/>
            <w:vAlign w:val="top"/>
          </w:tcPr>
          <w:p>
            <w:pPr>
              <w:pStyle w:val="TableText"/>
              <w:ind w:left="1096"/>
              <w:spacing w:before="90" w:line="165" w:lineRule="auto"/>
              <w:rPr>
                <w:sz w:val="20"/>
                <w:szCs w:val="20"/>
              </w:rPr>
            </w:pPr>
            <w:r>
              <w:rPr>
                <w:sz w:val="20"/>
                <w:szCs w:val="20"/>
                <w:spacing w:val="-3"/>
              </w:rPr>
              <w:t>1.59E+02</w:t>
            </w:r>
          </w:p>
        </w:tc>
      </w:tr>
      <w:tr>
        <w:trPr>
          <w:trHeight w:val="280" w:hRule="atLeast"/>
        </w:trPr>
        <w:tc>
          <w:tcPr>
            <w:tcW w:w="3022" w:type="dxa"/>
            <w:vAlign w:val="top"/>
          </w:tcPr>
          <w:p>
            <w:pPr>
              <w:pStyle w:val="TableText"/>
              <w:ind w:left="1105"/>
              <w:spacing w:before="91" w:line="165" w:lineRule="auto"/>
              <w:rPr>
                <w:sz w:val="20"/>
                <w:szCs w:val="20"/>
              </w:rPr>
            </w:pPr>
            <w:r>
              <w:rPr>
                <w:sz w:val="20"/>
                <w:szCs w:val="20"/>
                <w:spacing w:val="-3"/>
              </w:rPr>
              <w:t>1.00E+02</w:t>
            </w:r>
          </w:p>
        </w:tc>
        <w:tc>
          <w:tcPr>
            <w:tcW w:w="3026" w:type="dxa"/>
            <w:vAlign w:val="top"/>
          </w:tcPr>
          <w:p>
            <w:pPr>
              <w:pStyle w:val="TableText"/>
              <w:ind w:left="1103"/>
              <w:spacing w:before="91" w:line="165" w:lineRule="auto"/>
              <w:rPr>
                <w:sz w:val="20"/>
                <w:szCs w:val="20"/>
              </w:rPr>
            </w:pPr>
            <w:r>
              <w:rPr>
                <w:sz w:val="20"/>
                <w:szCs w:val="20"/>
                <w:spacing w:val="-3"/>
              </w:rPr>
              <w:t>1.11E+00</w:t>
            </w:r>
          </w:p>
        </w:tc>
        <w:tc>
          <w:tcPr>
            <w:tcW w:w="3012" w:type="dxa"/>
            <w:vAlign w:val="top"/>
          </w:tcPr>
          <w:p>
            <w:pPr>
              <w:pStyle w:val="TableText"/>
              <w:ind w:left="1096"/>
              <w:spacing w:before="91" w:line="165" w:lineRule="auto"/>
              <w:rPr>
                <w:sz w:val="20"/>
                <w:szCs w:val="20"/>
              </w:rPr>
            </w:pPr>
            <w:r>
              <w:rPr>
                <w:sz w:val="20"/>
                <w:szCs w:val="20"/>
                <w:spacing w:val="-3"/>
              </w:rPr>
              <w:t>1.37E+02</w:t>
            </w:r>
          </w:p>
        </w:tc>
      </w:tr>
      <w:tr>
        <w:trPr>
          <w:trHeight w:val="290" w:hRule="atLeast"/>
        </w:trPr>
        <w:tc>
          <w:tcPr>
            <w:tcW w:w="3022" w:type="dxa"/>
            <w:vAlign w:val="top"/>
          </w:tcPr>
          <w:p>
            <w:pPr>
              <w:pStyle w:val="TableText"/>
              <w:ind w:left="1105"/>
              <w:spacing w:before="101" w:line="165" w:lineRule="auto"/>
              <w:rPr>
                <w:sz w:val="20"/>
                <w:szCs w:val="20"/>
              </w:rPr>
            </w:pPr>
            <w:r>
              <w:rPr>
                <w:sz w:val="20"/>
                <w:szCs w:val="20"/>
                <w:spacing w:val="-3"/>
              </w:rPr>
              <w:t>1.10E+02</w:t>
            </w:r>
          </w:p>
        </w:tc>
        <w:tc>
          <w:tcPr>
            <w:tcW w:w="3026" w:type="dxa"/>
            <w:vAlign w:val="top"/>
          </w:tcPr>
          <w:p>
            <w:pPr>
              <w:pStyle w:val="TableText"/>
              <w:ind w:left="1103"/>
              <w:spacing w:before="101" w:line="165" w:lineRule="auto"/>
              <w:rPr>
                <w:sz w:val="20"/>
                <w:szCs w:val="20"/>
              </w:rPr>
            </w:pPr>
            <w:r>
              <w:rPr>
                <w:sz w:val="20"/>
                <w:szCs w:val="20"/>
                <w:spacing w:val="-3"/>
              </w:rPr>
              <w:t>1.22E+00</w:t>
            </w:r>
          </w:p>
        </w:tc>
        <w:tc>
          <w:tcPr>
            <w:tcW w:w="3012" w:type="dxa"/>
            <w:vAlign w:val="top"/>
          </w:tcPr>
          <w:p>
            <w:pPr>
              <w:pStyle w:val="TableText"/>
              <w:ind w:left="1096"/>
              <w:spacing w:before="101" w:line="165" w:lineRule="auto"/>
              <w:rPr>
                <w:sz w:val="20"/>
                <w:szCs w:val="20"/>
              </w:rPr>
            </w:pPr>
            <w:r>
              <w:rPr>
                <w:sz w:val="20"/>
                <w:szCs w:val="20"/>
                <w:spacing w:val="-3"/>
              </w:rPr>
              <w:t>1.19E+02</w:t>
            </w:r>
          </w:p>
        </w:tc>
      </w:tr>
      <w:tr>
        <w:trPr>
          <w:trHeight w:val="279" w:hRule="atLeast"/>
        </w:trPr>
        <w:tc>
          <w:tcPr>
            <w:tcW w:w="3022" w:type="dxa"/>
            <w:vAlign w:val="top"/>
          </w:tcPr>
          <w:p>
            <w:pPr>
              <w:pStyle w:val="TableText"/>
              <w:ind w:left="1105"/>
              <w:spacing w:before="91" w:line="164" w:lineRule="auto"/>
              <w:rPr>
                <w:sz w:val="20"/>
                <w:szCs w:val="20"/>
              </w:rPr>
            </w:pPr>
            <w:r>
              <w:rPr>
                <w:sz w:val="20"/>
                <w:szCs w:val="20"/>
                <w:spacing w:val="-3"/>
              </w:rPr>
              <w:t>1.20E+02</w:t>
            </w:r>
          </w:p>
        </w:tc>
        <w:tc>
          <w:tcPr>
            <w:tcW w:w="3026" w:type="dxa"/>
            <w:vAlign w:val="top"/>
          </w:tcPr>
          <w:p>
            <w:pPr>
              <w:pStyle w:val="TableText"/>
              <w:ind w:left="1103"/>
              <w:spacing w:before="91" w:line="164" w:lineRule="auto"/>
              <w:rPr>
                <w:sz w:val="20"/>
                <w:szCs w:val="20"/>
              </w:rPr>
            </w:pPr>
            <w:r>
              <w:rPr>
                <w:sz w:val="20"/>
                <w:szCs w:val="20"/>
                <w:spacing w:val="-3"/>
              </w:rPr>
              <w:t>1.33E+00</w:t>
            </w:r>
          </w:p>
        </w:tc>
        <w:tc>
          <w:tcPr>
            <w:tcW w:w="3012" w:type="dxa"/>
            <w:vAlign w:val="top"/>
          </w:tcPr>
          <w:p>
            <w:pPr>
              <w:pStyle w:val="TableText"/>
              <w:ind w:left="1096"/>
              <w:spacing w:before="91" w:line="164" w:lineRule="auto"/>
              <w:rPr>
                <w:sz w:val="20"/>
                <w:szCs w:val="20"/>
              </w:rPr>
            </w:pPr>
            <w:r>
              <w:rPr>
                <w:sz w:val="20"/>
                <w:szCs w:val="20"/>
                <w:spacing w:val="-3"/>
              </w:rPr>
              <w:t>1.04E+02</w:t>
            </w:r>
          </w:p>
        </w:tc>
      </w:tr>
      <w:tr>
        <w:trPr>
          <w:trHeight w:val="279" w:hRule="atLeast"/>
        </w:trPr>
        <w:tc>
          <w:tcPr>
            <w:tcW w:w="3022" w:type="dxa"/>
            <w:vAlign w:val="top"/>
          </w:tcPr>
          <w:p>
            <w:pPr>
              <w:pStyle w:val="TableText"/>
              <w:ind w:left="1105"/>
              <w:spacing w:before="92" w:line="163" w:lineRule="auto"/>
              <w:rPr>
                <w:sz w:val="20"/>
                <w:szCs w:val="20"/>
              </w:rPr>
            </w:pPr>
            <w:r>
              <w:rPr>
                <w:sz w:val="20"/>
                <w:szCs w:val="20"/>
                <w:spacing w:val="-3"/>
              </w:rPr>
              <w:t>1.30E+02</w:t>
            </w:r>
          </w:p>
        </w:tc>
        <w:tc>
          <w:tcPr>
            <w:tcW w:w="3026" w:type="dxa"/>
            <w:vAlign w:val="top"/>
          </w:tcPr>
          <w:p>
            <w:pPr>
              <w:pStyle w:val="TableText"/>
              <w:ind w:left="1103"/>
              <w:spacing w:before="92" w:line="163" w:lineRule="auto"/>
              <w:rPr>
                <w:sz w:val="20"/>
                <w:szCs w:val="20"/>
              </w:rPr>
            </w:pPr>
            <w:r>
              <w:rPr>
                <w:sz w:val="20"/>
                <w:szCs w:val="20"/>
                <w:spacing w:val="-3"/>
              </w:rPr>
              <w:t>1.44E+00</w:t>
            </w:r>
          </w:p>
        </w:tc>
        <w:tc>
          <w:tcPr>
            <w:tcW w:w="3012" w:type="dxa"/>
            <w:vAlign w:val="top"/>
          </w:tcPr>
          <w:p>
            <w:pPr>
              <w:pStyle w:val="TableText"/>
              <w:ind w:left="1096"/>
              <w:spacing w:before="92" w:line="163" w:lineRule="auto"/>
              <w:rPr>
                <w:sz w:val="20"/>
                <w:szCs w:val="20"/>
              </w:rPr>
            </w:pPr>
            <w:r>
              <w:rPr>
                <w:sz w:val="20"/>
                <w:szCs w:val="20"/>
                <w:spacing w:val="-2"/>
              </w:rPr>
              <w:t>9.21E+01</w:t>
            </w:r>
          </w:p>
        </w:tc>
      </w:tr>
      <w:tr>
        <w:trPr>
          <w:trHeight w:val="300" w:hRule="atLeast"/>
        </w:trPr>
        <w:tc>
          <w:tcPr>
            <w:tcW w:w="3022" w:type="dxa"/>
            <w:vAlign w:val="top"/>
          </w:tcPr>
          <w:p>
            <w:pPr>
              <w:pStyle w:val="TableText"/>
              <w:ind w:left="1105"/>
              <w:spacing w:before="102" w:line="173" w:lineRule="auto"/>
              <w:rPr>
                <w:sz w:val="20"/>
                <w:szCs w:val="20"/>
              </w:rPr>
            </w:pPr>
            <w:r>
              <w:rPr>
                <w:sz w:val="20"/>
                <w:szCs w:val="20"/>
                <w:spacing w:val="-3"/>
              </w:rPr>
              <w:t>1.40E+02</w:t>
            </w:r>
          </w:p>
        </w:tc>
        <w:tc>
          <w:tcPr>
            <w:tcW w:w="3026" w:type="dxa"/>
            <w:vAlign w:val="top"/>
          </w:tcPr>
          <w:p>
            <w:pPr>
              <w:pStyle w:val="TableText"/>
              <w:ind w:left="1103"/>
              <w:spacing w:before="102" w:line="173" w:lineRule="auto"/>
              <w:rPr>
                <w:sz w:val="20"/>
                <w:szCs w:val="20"/>
              </w:rPr>
            </w:pPr>
            <w:r>
              <w:rPr>
                <w:sz w:val="20"/>
                <w:szCs w:val="20"/>
                <w:spacing w:val="-3"/>
              </w:rPr>
              <w:t>1.55E+00</w:t>
            </w:r>
          </w:p>
        </w:tc>
        <w:tc>
          <w:tcPr>
            <w:tcW w:w="3012" w:type="dxa"/>
            <w:vAlign w:val="top"/>
          </w:tcPr>
          <w:p>
            <w:pPr>
              <w:pStyle w:val="TableText"/>
              <w:ind w:left="1096"/>
              <w:spacing w:before="102" w:line="173" w:lineRule="auto"/>
              <w:rPr>
                <w:sz w:val="20"/>
                <w:szCs w:val="20"/>
              </w:rPr>
            </w:pPr>
            <w:r>
              <w:rPr>
                <w:sz w:val="20"/>
                <w:szCs w:val="20"/>
                <w:spacing w:val="-2"/>
              </w:rPr>
              <w:t>8.21E+01</w:t>
            </w:r>
          </w:p>
        </w:tc>
      </w:tr>
      <w:tr>
        <w:trPr>
          <w:trHeight w:val="279" w:hRule="atLeast"/>
        </w:trPr>
        <w:tc>
          <w:tcPr>
            <w:tcW w:w="3022" w:type="dxa"/>
            <w:vAlign w:val="top"/>
          </w:tcPr>
          <w:p>
            <w:pPr>
              <w:pStyle w:val="TableText"/>
              <w:ind w:left="1105"/>
              <w:spacing w:before="92" w:line="163" w:lineRule="auto"/>
              <w:rPr>
                <w:sz w:val="20"/>
                <w:szCs w:val="20"/>
              </w:rPr>
            </w:pPr>
            <w:r>
              <w:rPr>
                <w:sz w:val="20"/>
                <w:szCs w:val="20"/>
                <w:spacing w:val="-3"/>
              </w:rPr>
              <w:t>1.50E+02</w:t>
            </w:r>
          </w:p>
        </w:tc>
        <w:tc>
          <w:tcPr>
            <w:tcW w:w="3026" w:type="dxa"/>
            <w:vAlign w:val="top"/>
          </w:tcPr>
          <w:p>
            <w:pPr>
              <w:pStyle w:val="TableText"/>
              <w:ind w:left="1103"/>
              <w:spacing w:before="92" w:line="163" w:lineRule="auto"/>
              <w:rPr>
                <w:sz w:val="20"/>
                <w:szCs w:val="20"/>
              </w:rPr>
            </w:pPr>
            <w:r>
              <w:rPr>
                <w:sz w:val="20"/>
                <w:szCs w:val="20"/>
                <w:spacing w:val="-3"/>
              </w:rPr>
              <w:t>1.67E+00</w:t>
            </w:r>
          </w:p>
        </w:tc>
        <w:tc>
          <w:tcPr>
            <w:tcW w:w="3012" w:type="dxa"/>
            <w:vAlign w:val="top"/>
          </w:tcPr>
          <w:p>
            <w:pPr>
              <w:pStyle w:val="TableText"/>
              <w:ind w:left="1096"/>
              <w:spacing w:before="92" w:line="163" w:lineRule="auto"/>
              <w:rPr>
                <w:sz w:val="20"/>
                <w:szCs w:val="20"/>
              </w:rPr>
            </w:pPr>
            <w:r>
              <w:rPr>
                <w:sz w:val="20"/>
                <w:szCs w:val="20"/>
                <w:spacing w:val="-2"/>
              </w:rPr>
              <w:t>7.38E+01</w:t>
            </w:r>
          </w:p>
        </w:tc>
      </w:tr>
      <w:tr>
        <w:trPr>
          <w:trHeight w:val="289" w:hRule="atLeast"/>
        </w:trPr>
        <w:tc>
          <w:tcPr>
            <w:tcW w:w="3022" w:type="dxa"/>
            <w:vAlign w:val="top"/>
          </w:tcPr>
          <w:p>
            <w:pPr>
              <w:pStyle w:val="TableText"/>
              <w:ind w:left="1105"/>
              <w:spacing w:before="103" w:line="162" w:lineRule="auto"/>
              <w:rPr>
                <w:sz w:val="20"/>
                <w:szCs w:val="20"/>
              </w:rPr>
            </w:pPr>
            <w:r>
              <w:rPr>
                <w:sz w:val="20"/>
                <w:szCs w:val="20"/>
                <w:spacing w:val="-3"/>
              </w:rPr>
              <w:t>1.60E+02</w:t>
            </w:r>
          </w:p>
        </w:tc>
        <w:tc>
          <w:tcPr>
            <w:tcW w:w="3026" w:type="dxa"/>
            <w:vAlign w:val="top"/>
          </w:tcPr>
          <w:p>
            <w:pPr>
              <w:pStyle w:val="TableText"/>
              <w:ind w:left="1103"/>
              <w:spacing w:before="103" w:line="162" w:lineRule="auto"/>
              <w:rPr>
                <w:sz w:val="20"/>
                <w:szCs w:val="20"/>
              </w:rPr>
            </w:pPr>
            <w:r>
              <w:rPr>
                <w:sz w:val="20"/>
                <w:szCs w:val="20"/>
                <w:spacing w:val="-3"/>
              </w:rPr>
              <w:t>1.78E+00</w:t>
            </w:r>
          </w:p>
        </w:tc>
        <w:tc>
          <w:tcPr>
            <w:tcW w:w="3012" w:type="dxa"/>
            <w:vAlign w:val="top"/>
          </w:tcPr>
          <w:p>
            <w:pPr>
              <w:pStyle w:val="TableText"/>
              <w:ind w:left="1096"/>
              <w:spacing w:before="103" w:line="162" w:lineRule="auto"/>
              <w:rPr>
                <w:sz w:val="20"/>
                <w:szCs w:val="20"/>
              </w:rPr>
            </w:pPr>
            <w:r>
              <w:rPr>
                <w:sz w:val="20"/>
                <w:szCs w:val="20"/>
                <w:spacing w:val="-2"/>
              </w:rPr>
              <w:t>6.67E+01</w:t>
            </w:r>
          </w:p>
        </w:tc>
      </w:tr>
      <w:tr>
        <w:trPr>
          <w:trHeight w:val="279" w:hRule="atLeast"/>
        </w:trPr>
        <w:tc>
          <w:tcPr>
            <w:tcW w:w="3022" w:type="dxa"/>
            <w:vAlign w:val="top"/>
          </w:tcPr>
          <w:p>
            <w:pPr>
              <w:pStyle w:val="TableText"/>
              <w:ind w:left="1105"/>
              <w:spacing w:before="94" w:line="161" w:lineRule="auto"/>
              <w:rPr>
                <w:sz w:val="20"/>
                <w:szCs w:val="20"/>
              </w:rPr>
            </w:pPr>
            <w:r>
              <w:rPr>
                <w:sz w:val="20"/>
                <w:szCs w:val="20"/>
                <w:spacing w:val="-3"/>
              </w:rPr>
              <w:t>1.70E+02</w:t>
            </w:r>
          </w:p>
        </w:tc>
        <w:tc>
          <w:tcPr>
            <w:tcW w:w="3026" w:type="dxa"/>
            <w:vAlign w:val="top"/>
          </w:tcPr>
          <w:p>
            <w:pPr>
              <w:pStyle w:val="TableText"/>
              <w:ind w:left="1103"/>
              <w:spacing w:before="94" w:line="161" w:lineRule="auto"/>
              <w:rPr>
                <w:sz w:val="20"/>
                <w:szCs w:val="20"/>
              </w:rPr>
            </w:pPr>
            <w:r>
              <w:rPr>
                <w:sz w:val="20"/>
                <w:szCs w:val="20"/>
                <w:spacing w:val="-3"/>
              </w:rPr>
              <w:t>1.89E+00</w:t>
            </w:r>
          </w:p>
        </w:tc>
        <w:tc>
          <w:tcPr>
            <w:tcW w:w="3012" w:type="dxa"/>
            <w:vAlign w:val="top"/>
          </w:tcPr>
          <w:p>
            <w:pPr>
              <w:pStyle w:val="TableText"/>
              <w:ind w:left="1096"/>
              <w:spacing w:before="94" w:line="161" w:lineRule="auto"/>
              <w:rPr>
                <w:sz w:val="20"/>
                <w:szCs w:val="20"/>
              </w:rPr>
            </w:pPr>
            <w:r>
              <w:rPr>
                <w:sz w:val="20"/>
                <w:szCs w:val="20"/>
                <w:spacing w:val="-2"/>
              </w:rPr>
              <w:t>6.06E+01</w:t>
            </w:r>
          </w:p>
        </w:tc>
      </w:tr>
      <w:tr>
        <w:trPr>
          <w:trHeight w:val="280" w:hRule="atLeast"/>
        </w:trPr>
        <w:tc>
          <w:tcPr>
            <w:tcW w:w="3022" w:type="dxa"/>
            <w:vAlign w:val="top"/>
          </w:tcPr>
          <w:p>
            <w:pPr>
              <w:pStyle w:val="TableText"/>
              <w:ind w:left="1105"/>
              <w:spacing w:before="95" w:line="161" w:lineRule="auto"/>
              <w:rPr>
                <w:sz w:val="20"/>
                <w:szCs w:val="20"/>
              </w:rPr>
            </w:pPr>
            <w:r>
              <w:rPr>
                <w:sz w:val="20"/>
                <w:szCs w:val="20"/>
                <w:spacing w:val="-3"/>
              </w:rPr>
              <w:t>1.80E+02</w:t>
            </w:r>
          </w:p>
        </w:tc>
        <w:tc>
          <w:tcPr>
            <w:tcW w:w="3026" w:type="dxa"/>
            <w:vAlign w:val="top"/>
          </w:tcPr>
          <w:p>
            <w:pPr>
              <w:pStyle w:val="TableText"/>
              <w:ind w:left="1103"/>
              <w:spacing w:before="96" w:line="160" w:lineRule="auto"/>
              <w:rPr>
                <w:sz w:val="20"/>
                <w:szCs w:val="20"/>
              </w:rPr>
            </w:pPr>
            <w:r>
              <w:rPr>
                <w:sz w:val="20"/>
                <w:szCs w:val="20"/>
                <w:spacing w:val="-2"/>
              </w:rPr>
              <w:t>2.00E+00</w:t>
            </w:r>
          </w:p>
        </w:tc>
        <w:tc>
          <w:tcPr>
            <w:tcW w:w="3012" w:type="dxa"/>
            <w:vAlign w:val="top"/>
          </w:tcPr>
          <w:p>
            <w:pPr>
              <w:pStyle w:val="TableText"/>
              <w:ind w:left="1096"/>
              <w:spacing w:before="95" w:line="161" w:lineRule="auto"/>
              <w:rPr>
                <w:sz w:val="20"/>
                <w:szCs w:val="20"/>
              </w:rPr>
            </w:pPr>
            <w:r>
              <w:rPr>
                <w:sz w:val="20"/>
                <w:szCs w:val="20"/>
                <w:spacing w:val="-2"/>
              </w:rPr>
              <w:t>5.53E+01</w:t>
            </w:r>
          </w:p>
        </w:tc>
      </w:tr>
      <w:tr>
        <w:trPr>
          <w:trHeight w:val="280" w:hRule="atLeast"/>
        </w:trPr>
        <w:tc>
          <w:tcPr>
            <w:tcW w:w="3022" w:type="dxa"/>
            <w:vAlign w:val="top"/>
          </w:tcPr>
          <w:p>
            <w:pPr>
              <w:pStyle w:val="TableText"/>
              <w:ind w:left="1105"/>
              <w:spacing w:before="95" w:line="161" w:lineRule="auto"/>
              <w:rPr>
                <w:sz w:val="20"/>
                <w:szCs w:val="20"/>
              </w:rPr>
            </w:pPr>
            <w:r>
              <w:rPr>
                <w:sz w:val="20"/>
                <w:szCs w:val="20"/>
                <w:spacing w:val="-3"/>
              </w:rPr>
              <w:t>1.90E+02</w:t>
            </w:r>
          </w:p>
        </w:tc>
        <w:tc>
          <w:tcPr>
            <w:tcW w:w="3026" w:type="dxa"/>
            <w:vAlign w:val="top"/>
          </w:tcPr>
          <w:p>
            <w:pPr>
              <w:pStyle w:val="TableText"/>
              <w:ind w:left="1103"/>
              <w:spacing w:before="95" w:line="161" w:lineRule="auto"/>
              <w:rPr>
                <w:sz w:val="20"/>
                <w:szCs w:val="20"/>
              </w:rPr>
            </w:pPr>
            <w:r>
              <w:rPr>
                <w:sz w:val="20"/>
                <w:szCs w:val="20"/>
                <w:spacing w:val="-2"/>
              </w:rPr>
              <w:t>2.11E+00</w:t>
            </w:r>
          </w:p>
        </w:tc>
        <w:tc>
          <w:tcPr>
            <w:tcW w:w="3012" w:type="dxa"/>
            <w:vAlign w:val="top"/>
          </w:tcPr>
          <w:p>
            <w:pPr>
              <w:pStyle w:val="TableText"/>
              <w:ind w:left="1096"/>
              <w:spacing w:before="95" w:line="161" w:lineRule="auto"/>
              <w:rPr>
                <w:sz w:val="20"/>
                <w:szCs w:val="20"/>
              </w:rPr>
            </w:pPr>
            <w:r>
              <w:rPr>
                <w:sz w:val="20"/>
                <w:szCs w:val="20"/>
                <w:spacing w:val="-2"/>
              </w:rPr>
              <w:t>5.08E+01</w:t>
            </w:r>
          </w:p>
        </w:tc>
      </w:tr>
      <w:tr>
        <w:trPr>
          <w:trHeight w:val="299" w:hRule="atLeast"/>
        </w:trPr>
        <w:tc>
          <w:tcPr>
            <w:tcW w:w="3022" w:type="dxa"/>
            <w:vAlign w:val="top"/>
          </w:tcPr>
          <w:p>
            <w:pPr>
              <w:pStyle w:val="TableText"/>
              <w:ind w:left="1105"/>
              <w:spacing w:before="107" w:line="168" w:lineRule="auto"/>
              <w:rPr>
                <w:sz w:val="20"/>
                <w:szCs w:val="20"/>
              </w:rPr>
            </w:pPr>
            <w:r>
              <w:rPr>
                <w:sz w:val="20"/>
                <w:szCs w:val="20"/>
                <w:spacing w:val="-2"/>
              </w:rPr>
              <w:t>2.00E+02</w:t>
            </w:r>
          </w:p>
        </w:tc>
        <w:tc>
          <w:tcPr>
            <w:tcW w:w="3026" w:type="dxa"/>
            <w:vAlign w:val="top"/>
          </w:tcPr>
          <w:p>
            <w:pPr>
              <w:pStyle w:val="TableText"/>
              <w:ind w:left="1103"/>
              <w:spacing w:before="107" w:line="168" w:lineRule="auto"/>
              <w:rPr>
                <w:sz w:val="20"/>
                <w:szCs w:val="20"/>
              </w:rPr>
            </w:pPr>
            <w:r>
              <w:rPr>
                <w:sz w:val="20"/>
                <w:szCs w:val="20"/>
                <w:spacing w:val="-2"/>
              </w:rPr>
              <w:t>2.22E+00</w:t>
            </w:r>
          </w:p>
        </w:tc>
        <w:tc>
          <w:tcPr>
            <w:tcW w:w="3012" w:type="dxa"/>
            <w:vAlign w:val="top"/>
          </w:tcPr>
          <w:p>
            <w:pPr>
              <w:pStyle w:val="TableText"/>
              <w:ind w:left="1096"/>
              <w:spacing w:before="105" w:line="169" w:lineRule="auto"/>
              <w:rPr>
                <w:sz w:val="20"/>
                <w:szCs w:val="20"/>
              </w:rPr>
            </w:pPr>
            <w:r>
              <w:rPr>
                <w:sz w:val="20"/>
                <w:szCs w:val="20"/>
                <w:spacing w:val="-1"/>
              </w:rPr>
              <w:t>4.68E+01</w:t>
            </w:r>
          </w:p>
        </w:tc>
      </w:tr>
      <w:tr>
        <w:trPr>
          <w:trHeight w:val="290" w:hRule="atLeast"/>
        </w:trPr>
        <w:tc>
          <w:tcPr>
            <w:tcW w:w="3022" w:type="dxa"/>
            <w:vAlign w:val="top"/>
          </w:tcPr>
          <w:p>
            <w:pPr>
              <w:pStyle w:val="TableText"/>
              <w:ind w:left="1105"/>
              <w:spacing w:before="106" w:line="160" w:lineRule="auto"/>
              <w:rPr>
                <w:sz w:val="20"/>
                <w:szCs w:val="20"/>
              </w:rPr>
            </w:pPr>
            <w:r>
              <w:rPr>
                <w:sz w:val="20"/>
                <w:szCs w:val="20"/>
                <w:spacing w:val="-2"/>
              </w:rPr>
              <w:t>2.10E+02</w:t>
            </w:r>
          </w:p>
        </w:tc>
        <w:tc>
          <w:tcPr>
            <w:tcW w:w="3026" w:type="dxa"/>
            <w:vAlign w:val="top"/>
          </w:tcPr>
          <w:p>
            <w:pPr>
              <w:pStyle w:val="TableText"/>
              <w:ind w:left="1103"/>
              <w:spacing w:before="107" w:line="159" w:lineRule="auto"/>
              <w:rPr>
                <w:sz w:val="20"/>
                <w:szCs w:val="20"/>
              </w:rPr>
            </w:pPr>
            <w:r>
              <w:rPr>
                <w:sz w:val="20"/>
                <w:szCs w:val="20"/>
                <w:spacing w:val="-2"/>
              </w:rPr>
              <w:t>2.33E+00</w:t>
            </w:r>
          </w:p>
        </w:tc>
        <w:tc>
          <w:tcPr>
            <w:tcW w:w="3012" w:type="dxa"/>
            <w:vAlign w:val="top"/>
          </w:tcPr>
          <w:p>
            <w:pPr>
              <w:pStyle w:val="TableText"/>
              <w:ind w:left="1096"/>
              <w:spacing w:before="106" w:line="160" w:lineRule="auto"/>
              <w:rPr>
                <w:sz w:val="20"/>
                <w:szCs w:val="20"/>
              </w:rPr>
            </w:pPr>
            <w:r>
              <w:rPr>
                <w:sz w:val="20"/>
                <w:szCs w:val="20"/>
                <w:spacing w:val="-1"/>
              </w:rPr>
              <w:t>4.33E+01</w:t>
            </w:r>
          </w:p>
        </w:tc>
      </w:tr>
      <w:tr>
        <w:trPr>
          <w:trHeight w:val="280" w:hRule="atLeast"/>
        </w:trPr>
        <w:tc>
          <w:tcPr>
            <w:tcW w:w="3022" w:type="dxa"/>
            <w:vAlign w:val="top"/>
          </w:tcPr>
          <w:p>
            <w:pPr>
              <w:pStyle w:val="TableText"/>
              <w:ind w:left="1105"/>
              <w:spacing w:before="97" w:line="159" w:lineRule="auto"/>
              <w:rPr>
                <w:sz w:val="20"/>
                <w:szCs w:val="20"/>
              </w:rPr>
            </w:pPr>
            <w:r>
              <w:rPr>
                <w:sz w:val="20"/>
                <w:szCs w:val="20"/>
                <w:spacing w:val="-2"/>
              </w:rPr>
              <w:t>2.20E+02</w:t>
            </w:r>
          </w:p>
        </w:tc>
        <w:tc>
          <w:tcPr>
            <w:tcW w:w="3026" w:type="dxa"/>
            <w:vAlign w:val="top"/>
          </w:tcPr>
          <w:p>
            <w:pPr>
              <w:pStyle w:val="TableText"/>
              <w:ind w:left="1103"/>
              <w:spacing w:before="97" w:line="159" w:lineRule="auto"/>
              <w:rPr>
                <w:sz w:val="20"/>
                <w:szCs w:val="20"/>
              </w:rPr>
            </w:pPr>
            <w:r>
              <w:rPr>
                <w:sz w:val="20"/>
                <w:szCs w:val="20"/>
                <w:spacing w:val="-2"/>
              </w:rPr>
              <w:t>2.44E+00</w:t>
            </w:r>
          </w:p>
        </w:tc>
        <w:tc>
          <w:tcPr>
            <w:tcW w:w="3012" w:type="dxa"/>
            <w:vAlign w:val="top"/>
          </w:tcPr>
          <w:p>
            <w:pPr>
              <w:pStyle w:val="TableText"/>
              <w:ind w:left="1096"/>
              <w:spacing w:before="96" w:line="160" w:lineRule="auto"/>
              <w:rPr>
                <w:sz w:val="20"/>
                <w:szCs w:val="20"/>
              </w:rPr>
            </w:pPr>
            <w:r>
              <w:rPr>
                <w:sz w:val="20"/>
                <w:szCs w:val="20"/>
                <w:spacing w:val="-1"/>
              </w:rPr>
              <w:t>4.01E+01</w:t>
            </w:r>
          </w:p>
        </w:tc>
      </w:tr>
      <w:tr>
        <w:trPr>
          <w:trHeight w:val="280" w:hRule="atLeast"/>
        </w:trPr>
        <w:tc>
          <w:tcPr>
            <w:tcW w:w="3022" w:type="dxa"/>
            <w:vAlign w:val="top"/>
          </w:tcPr>
          <w:p>
            <w:pPr>
              <w:pStyle w:val="TableText"/>
              <w:ind w:left="1105"/>
              <w:spacing w:before="97" w:line="159" w:lineRule="auto"/>
              <w:rPr>
                <w:sz w:val="20"/>
                <w:szCs w:val="20"/>
              </w:rPr>
            </w:pPr>
            <w:r>
              <w:rPr>
                <w:sz w:val="20"/>
                <w:szCs w:val="20"/>
                <w:spacing w:val="-2"/>
              </w:rPr>
              <w:t>2.30E+02</w:t>
            </w:r>
          </w:p>
        </w:tc>
        <w:tc>
          <w:tcPr>
            <w:tcW w:w="3026" w:type="dxa"/>
            <w:vAlign w:val="top"/>
          </w:tcPr>
          <w:p>
            <w:pPr>
              <w:pStyle w:val="TableText"/>
              <w:ind w:left="1103"/>
              <w:spacing w:before="97" w:line="159" w:lineRule="auto"/>
              <w:rPr>
                <w:sz w:val="20"/>
                <w:szCs w:val="20"/>
              </w:rPr>
            </w:pPr>
            <w:r>
              <w:rPr>
                <w:sz w:val="20"/>
                <w:szCs w:val="20"/>
                <w:spacing w:val="-2"/>
              </w:rPr>
              <w:t>2.55E+00</w:t>
            </w:r>
          </w:p>
        </w:tc>
        <w:tc>
          <w:tcPr>
            <w:tcW w:w="3012" w:type="dxa"/>
            <w:vAlign w:val="top"/>
          </w:tcPr>
          <w:p>
            <w:pPr>
              <w:pStyle w:val="TableText"/>
              <w:ind w:left="1096"/>
              <w:spacing w:before="96" w:line="160" w:lineRule="auto"/>
              <w:rPr>
                <w:sz w:val="20"/>
                <w:szCs w:val="20"/>
              </w:rPr>
            </w:pPr>
            <w:r>
              <w:rPr>
                <w:sz w:val="20"/>
                <w:szCs w:val="20"/>
                <w:spacing w:val="-2"/>
              </w:rPr>
              <w:t>3.74E+01</w:t>
            </w:r>
          </w:p>
        </w:tc>
      </w:tr>
      <w:tr>
        <w:trPr>
          <w:trHeight w:val="280" w:hRule="atLeast"/>
        </w:trPr>
        <w:tc>
          <w:tcPr>
            <w:tcW w:w="3022" w:type="dxa"/>
            <w:vAlign w:val="top"/>
          </w:tcPr>
          <w:p>
            <w:pPr>
              <w:pStyle w:val="TableText"/>
              <w:ind w:left="1105"/>
              <w:spacing w:before="97" w:line="159" w:lineRule="auto"/>
              <w:rPr>
                <w:sz w:val="20"/>
                <w:szCs w:val="20"/>
              </w:rPr>
            </w:pPr>
            <w:r>
              <w:rPr>
                <w:sz w:val="20"/>
                <w:szCs w:val="20"/>
                <w:spacing w:val="-2"/>
              </w:rPr>
              <w:t>2.40E+02</w:t>
            </w:r>
          </w:p>
        </w:tc>
        <w:tc>
          <w:tcPr>
            <w:tcW w:w="3026" w:type="dxa"/>
            <w:vAlign w:val="top"/>
          </w:tcPr>
          <w:p>
            <w:pPr>
              <w:pStyle w:val="TableText"/>
              <w:ind w:left="1103"/>
              <w:spacing w:before="97" w:line="159" w:lineRule="auto"/>
              <w:rPr>
                <w:sz w:val="20"/>
                <w:szCs w:val="20"/>
              </w:rPr>
            </w:pPr>
            <w:r>
              <w:rPr>
                <w:sz w:val="20"/>
                <w:szCs w:val="20"/>
                <w:spacing w:val="-2"/>
              </w:rPr>
              <w:t>2.66E+00</w:t>
            </w:r>
          </w:p>
        </w:tc>
        <w:tc>
          <w:tcPr>
            <w:tcW w:w="3012" w:type="dxa"/>
            <w:vAlign w:val="top"/>
          </w:tcPr>
          <w:p>
            <w:pPr>
              <w:pStyle w:val="TableText"/>
              <w:ind w:left="1096"/>
              <w:spacing w:before="96" w:line="160" w:lineRule="auto"/>
              <w:rPr>
                <w:sz w:val="20"/>
                <w:szCs w:val="20"/>
              </w:rPr>
            </w:pPr>
            <w:r>
              <w:rPr>
                <w:sz w:val="20"/>
                <w:szCs w:val="20"/>
                <w:spacing w:val="-2"/>
              </w:rPr>
              <w:t>3.49E+01</w:t>
            </w:r>
          </w:p>
        </w:tc>
      </w:tr>
      <w:tr>
        <w:trPr>
          <w:trHeight w:val="290" w:hRule="atLeast"/>
        </w:trPr>
        <w:tc>
          <w:tcPr>
            <w:tcW w:w="3022" w:type="dxa"/>
            <w:vAlign w:val="top"/>
          </w:tcPr>
          <w:p>
            <w:pPr>
              <w:pStyle w:val="TableText"/>
              <w:ind w:left="1105"/>
              <w:spacing w:before="107" w:line="159" w:lineRule="auto"/>
              <w:rPr>
                <w:sz w:val="20"/>
                <w:szCs w:val="20"/>
              </w:rPr>
            </w:pPr>
            <w:r>
              <w:rPr>
                <w:sz w:val="20"/>
                <w:szCs w:val="20"/>
                <w:spacing w:val="-2"/>
              </w:rPr>
              <w:t>2.50E+02</w:t>
            </w:r>
          </w:p>
        </w:tc>
        <w:tc>
          <w:tcPr>
            <w:tcW w:w="3026" w:type="dxa"/>
            <w:vAlign w:val="top"/>
          </w:tcPr>
          <w:p>
            <w:pPr>
              <w:pStyle w:val="TableText"/>
              <w:ind w:left="1103"/>
              <w:spacing w:before="107" w:line="159" w:lineRule="auto"/>
              <w:rPr>
                <w:sz w:val="20"/>
                <w:szCs w:val="20"/>
              </w:rPr>
            </w:pPr>
            <w:r>
              <w:rPr>
                <w:sz w:val="20"/>
                <w:szCs w:val="20"/>
                <w:spacing w:val="-2"/>
              </w:rPr>
              <w:t>2.78E+00</w:t>
            </w:r>
          </w:p>
        </w:tc>
        <w:tc>
          <w:tcPr>
            <w:tcW w:w="3012" w:type="dxa"/>
            <w:vAlign w:val="top"/>
          </w:tcPr>
          <w:p>
            <w:pPr>
              <w:pStyle w:val="TableText"/>
              <w:ind w:left="1096"/>
              <w:spacing w:before="106" w:line="160" w:lineRule="auto"/>
              <w:rPr>
                <w:sz w:val="20"/>
                <w:szCs w:val="20"/>
              </w:rPr>
            </w:pPr>
            <w:r>
              <w:rPr>
                <w:sz w:val="20"/>
                <w:szCs w:val="20"/>
                <w:spacing w:val="-2"/>
              </w:rPr>
              <w:t>3.26E+01</w:t>
            </w:r>
          </w:p>
        </w:tc>
      </w:tr>
      <w:tr>
        <w:trPr>
          <w:trHeight w:val="289" w:hRule="atLeast"/>
        </w:trPr>
        <w:tc>
          <w:tcPr>
            <w:tcW w:w="3022" w:type="dxa"/>
            <w:vAlign w:val="top"/>
          </w:tcPr>
          <w:p>
            <w:pPr>
              <w:pStyle w:val="TableText"/>
              <w:ind w:left="1105"/>
              <w:spacing w:before="107" w:line="158" w:lineRule="auto"/>
              <w:rPr>
                <w:sz w:val="20"/>
                <w:szCs w:val="20"/>
              </w:rPr>
            </w:pPr>
            <w:r>
              <w:rPr>
                <w:sz w:val="20"/>
                <w:szCs w:val="20"/>
                <w:spacing w:val="-2"/>
              </w:rPr>
              <w:t>2.60E+02</w:t>
            </w:r>
          </w:p>
        </w:tc>
        <w:tc>
          <w:tcPr>
            <w:tcW w:w="3026" w:type="dxa"/>
            <w:vAlign w:val="top"/>
          </w:tcPr>
          <w:p>
            <w:pPr>
              <w:pStyle w:val="TableText"/>
              <w:ind w:left="1103"/>
              <w:spacing w:before="107" w:line="158" w:lineRule="auto"/>
              <w:rPr>
                <w:sz w:val="20"/>
                <w:szCs w:val="20"/>
              </w:rPr>
            </w:pPr>
            <w:r>
              <w:rPr>
                <w:sz w:val="20"/>
                <w:szCs w:val="20"/>
                <w:spacing w:val="-2"/>
              </w:rPr>
              <w:t>2.89E+00</w:t>
            </w:r>
          </w:p>
        </w:tc>
        <w:tc>
          <w:tcPr>
            <w:tcW w:w="3012" w:type="dxa"/>
            <w:vAlign w:val="top"/>
          </w:tcPr>
          <w:p>
            <w:pPr>
              <w:pStyle w:val="TableText"/>
              <w:ind w:left="1096"/>
              <w:spacing w:before="106" w:line="159" w:lineRule="auto"/>
              <w:rPr>
                <w:sz w:val="20"/>
                <w:szCs w:val="20"/>
              </w:rPr>
            </w:pPr>
            <w:r>
              <w:rPr>
                <w:sz w:val="20"/>
                <w:szCs w:val="20"/>
                <w:spacing w:val="-2"/>
              </w:rPr>
              <w:t>3.06E+01</w:t>
            </w:r>
          </w:p>
        </w:tc>
      </w:tr>
      <w:tr>
        <w:trPr>
          <w:trHeight w:val="290" w:hRule="atLeast"/>
        </w:trPr>
        <w:tc>
          <w:tcPr>
            <w:tcW w:w="3022" w:type="dxa"/>
            <w:vAlign w:val="top"/>
          </w:tcPr>
          <w:p>
            <w:pPr>
              <w:pStyle w:val="TableText"/>
              <w:ind w:left="1105"/>
              <w:spacing w:before="108" w:line="158" w:lineRule="auto"/>
              <w:rPr>
                <w:sz w:val="20"/>
                <w:szCs w:val="20"/>
              </w:rPr>
            </w:pPr>
            <w:r>
              <w:rPr>
                <w:sz w:val="20"/>
                <w:szCs w:val="20"/>
                <w:spacing w:val="-2"/>
              </w:rPr>
              <w:t>2.70E+02</w:t>
            </w:r>
          </w:p>
        </w:tc>
        <w:tc>
          <w:tcPr>
            <w:tcW w:w="3026" w:type="dxa"/>
            <w:vAlign w:val="top"/>
          </w:tcPr>
          <w:p>
            <w:pPr>
              <w:pStyle w:val="TableText"/>
              <w:ind w:left="1103"/>
              <w:spacing w:before="108" w:line="158" w:lineRule="auto"/>
              <w:rPr>
                <w:sz w:val="20"/>
                <w:szCs w:val="20"/>
              </w:rPr>
            </w:pPr>
            <w:r>
              <w:rPr>
                <w:sz w:val="20"/>
                <w:szCs w:val="20"/>
                <w:spacing w:val="-2"/>
              </w:rPr>
              <w:t>3.00E+00</w:t>
            </w:r>
          </w:p>
        </w:tc>
        <w:tc>
          <w:tcPr>
            <w:tcW w:w="3012" w:type="dxa"/>
            <w:vAlign w:val="top"/>
          </w:tcPr>
          <w:p>
            <w:pPr>
              <w:pStyle w:val="TableText"/>
              <w:ind w:left="1096"/>
              <w:spacing w:before="107" w:line="159" w:lineRule="auto"/>
              <w:rPr>
                <w:sz w:val="20"/>
                <w:szCs w:val="20"/>
              </w:rPr>
            </w:pPr>
            <w:r>
              <w:rPr>
                <w:sz w:val="20"/>
                <w:szCs w:val="20"/>
                <w:spacing w:val="-2"/>
              </w:rPr>
              <w:t>2.88E+01</w:t>
            </w:r>
          </w:p>
        </w:tc>
      </w:tr>
      <w:tr>
        <w:trPr>
          <w:trHeight w:val="280" w:hRule="atLeast"/>
        </w:trPr>
        <w:tc>
          <w:tcPr>
            <w:tcW w:w="3022" w:type="dxa"/>
            <w:vAlign w:val="top"/>
          </w:tcPr>
          <w:p>
            <w:pPr>
              <w:pStyle w:val="TableText"/>
              <w:ind w:left="1105"/>
              <w:spacing w:before="98" w:line="158" w:lineRule="auto"/>
              <w:rPr>
                <w:sz w:val="20"/>
                <w:szCs w:val="20"/>
              </w:rPr>
            </w:pPr>
            <w:r>
              <w:rPr>
                <w:sz w:val="20"/>
                <w:szCs w:val="20"/>
                <w:spacing w:val="-2"/>
              </w:rPr>
              <w:t>2.80E+02</w:t>
            </w:r>
          </w:p>
        </w:tc>
        <w:tc>
          <w:tcPr>
            <w:tcW w:w="3026" w:type="dxa"/>
            <w:vAlign w:val="top"/>
          </w:tcPr>
          <w:p>
            <w:pPr>
              <w:pStyle w:val="TableText"/>
              <w:ind w:left="1103"/>
              <w:spacing w:before="97" w:line="159" w:lineRule="auto"/>
              <w:rPr>
                <w:sz w:val="20"/>
                <w:szCs w:val="20"/>
              </w:rPr>
            </w:pPr>
            <w:r>
              <w:rPr>
                <w:sz w:val="20"/>
                <w:szCs w:val="20"/>
                <w:spacing w:val="-2"/>
              </w:rPr>
              <w:t>3.11E+00</w:t>
            </w:r>
          </w:p>
        </w:tc>
        <w:tc>
          <w:tcPr>
            <w:tcW w:w="3012" w:type="dxa"/>
            <w:vAlign w:val="top"/>
          </w:tcPr>
          <w:p>
            <w:pPr>
              <w:pStyle w:val="TableText"/>
              <w:ind w:left="1096"/>
              <w:spacing w:before="97" w:line="159" w:lineRule="auto"/>
              <w:rPr>
                <w:sz w:val="20"/>
                <w:szCs w:val="20"/>
              </w:rPr>
            </w:pPr>
            <w:r>
              <w:rPr>
                <w:sz w:val="20"/>
                <w:szCs w:val="20"/>
                <w:spacing w:val="-2"/>
              </w:rPr>
              <w:t>2.71E+01</w:t>
            </w:r>
          </w:p>
        </w:tc>
      </w:tr>
      <w:tr>
        <w:trPr>
          <w:trHeight w:val="279" w:hRule="atLeast"/>
        </w:trPr>
        <w:tc>
          <w:tcPr>
            <w:tcW w:w="3022" w:type="dxa"/>
            <w:vAlign w:val="top"/>
          </w:tcPr>
          <w:p>
            <w:pPr>
              <w:pStyle w:val="TableText"/>
              <w:ind w:left="1105"/>
              <w:spacing w:before="98" w:line="157" w:lineRule="auto"/>
              <w:rPr>
                <w:sz w:val="20"/>
                <w:szCs w:val="20"/>
              </w:rPr>
            </w:pPr>
            <w:r>
              <w:rPr>
                <w:sz w:val="20"/>
                <w:szCs w:val="20"/>
                <w:spacing w:val="-2"/>
              </w:rPr>
              <w:t>2.90E+02</w:t>
            </w:r>
          </w:p>
        </w:tc>
        <w:tc>
          <w:tcPr>
            <w:tcW w:w="3026" w:type="dxa"/>
            <w:vAlign w:val="top"/>
          </w:tcPr>
          <w:p>
            <w:pPr>
              <w:pStyle w:val="TableText"/>
              <w:ind w:left="1103"/>
              <w:spacing w:before="98" w:line="157" w:lineRule="auto"/>
              <w:rPr>
                <w:sz w:val="20"/>
                <w:szCs w:val="20"/>
              </w:rPr>
            </w:pPr>
            <w:r>
              <w:rPr>
                <w:sz w:val="20"/>
                <w:szCs w:val="20"/>
                <w:spacing w:val="-2"/>
              </w:rPr>
              <w:t>3.22E+00</w:t>
            </w:r>
          </w:p>
        </w:tc>
        <w:tc>
          <w:tcPr>
            <w:tcW w:w="3012" w:type="dxa"/>
            <w:vAlign w:val="top"/>
          </w:tcPr>
          <w:p>
            <w:pPr>
              <w:pStyle w:val="TableText"/>
              <w:ind w:left="1096"/>
              <w:spacing w:before="97" w:line="158" w:lineRule="auto"/>
              <w:rPr>
                <w:sz w:val="20"/>
                <w:szCs w:val="20"/>
              </w:rPr>
            </w:pPr>
            <w:r>
              <w:rPr>
                <w:sz w:val="20"/>
                <w:szCs w:val="20"/>
                <w:spacing w:val="-2"/>
              </w:rPr>
              <w:t>2.56E+01</w:t>
            </w:r>
          </w:p>
        </w:tc>
      </w:tr>
      <w:tr>
        <w:trPr>
          <w:trHeight w:val="284" w:hRule="atLeast"/>
        </w:trPr>
        <w:tc>
          <w:tcPr>
            <w:tcW w:w="3022" w:type="dxa"/>
            <w:vAlign w:val="top"/>
          </w:tcPr>
          <w:p>
            <w:pPr>
              <w:pStyle w:val="TableText"/>
              <w:ind w:left="1105"/>
              <w:spacing w:before="99" w:line="161" w:lineRule="auto"/>
              <w:rPr>
                <w:sz w:val="20"/>
                <w:szCs w:val="20"/>
              </w:rPr>
            </w:pPr>
            <w:r>
              <w:rPr>
                <w:sz w:val="20"/>
                <w:szCs w:val="20"/>
                <w:spacing w:val="-2"/>
              </w:rPr>
              <w:t>3.00E+02</w:t>
            </w:r>
          </w:p>
        </w:tc>
        <w:tc>
          <w:tcPr>
            <w:tcW w:w="3026" w:type="dxa"/>
            <w:vAlign w:val="top"/>
          </w:tcPr>
          <w:p>
            <w:pPr>
              <w:pStyle w:val="TableText"/>
              <w:ind w:left="1103"/>
              <w:spacing w:before="99" w:line="161" w:lineRule="auto"/>
              <w:rPr>
                <w:sz w:val="20"/>
                <w:szCs w:val="20"/>
              </w:rPr>
            </w:pPr>
            <w:r>
              <w:rPr>
                <w:sz w:val="20"/>
                <w:szCs w:val="20"/>
                <w:spacing w:val="-2"/>
              </w:rPr>
              <w:t>3.33E+00</w:t>
            </w:r>
          </w:p>
        </w:tc>
        <w:tc>
          <w:tcPr>
            <w:tcW w:w="3012" w:type="dxa"/>
            <w:vAlign w:val="top"/>
          </w:tcPr>
          <w:p>
            <w:pPr>
              <w:pStyle w:val="TableText"/>
              <w:ind w:left="1096"/>
              <w:spacing w:before="98" w:line="162" w:lineRule="auto"/>
              <w:rPr>
                <w:sz w:val="20"/>
                <w:szCs w:val="20"/>
              </w:rPr>
            </w:pPr>
            <w:r>
              <w:rPr>
                <w:sz w:val="20"/>
                <w:szCs w:val="20"/>
                <w:spacing w:val="-2"/>
              </w:rPr>
              <w:t>2.42E+01</w:t>
            </w:r>
          </w:p>
        </w:tc>
      </w:tr>
    </w:tbl>
    <w:p>
      <w:pPr>
        <w:pStyle w:val="BodyText"/>
        <w:ind w:left="505"/>
        <w:spacing w:before="55" w:line="220" w:lineRule="auto"/>
        <w:rPr>
          <w:sz w:val="23"/>
          <w:szCs w:val="23"/>
        </w:rPr>
      </w:pPr>
      <w:r>
        <w:rPr>
          <w:sz w:val="23"/>
          <w:szCs w:val="23"/>
          <w:spacing w:val="19"/>
        </w:rPr>
        <w:t>3)关心点影响情况</w:t>
      </w:r>
    </w:p>
    <w:p>
      <w:pPr>
        <w:pStyle w:val="BodyText"/>
        <w:ind w:left="24" w:right="221" w:firstLine="480"/>
        <w:spacing w:before="185" w:line="377" w:lineRule="auto"/>
        <w:rPr>
          <w:sz w:val="23"/>
          <w:szCs w:val="23"/>
        </w:rPr>
      </w:pPr>
      <w:r>
        <w:rPr>
          <w:sz w:val="23"/>
          <w:szCs w:val="23"/>
          <w:spacing w:val="15"/>
        </w:rPr>
        <w:t>根据图7.</w:t>
      </w:r>
      <w:r>
        <w:rPr>
          <w:sz w:val="23"/>
          <w:szCs w:val="23"/>
          <w:spacing w:val="-52"/>
        </w:rPr>
        <w:t xml:space="preserve"> </w:t>
      </w:r>
      <w:r>
        <w:rPr>
          <w:sz w:val="23"/>
          <w:szCs w:val="23"/>
          <w:spacing w:val="15"/>
        </w:rPr>
        <w:t>1-</w:t>
      </w:r>
      <w:r>
        <w:rPr>
          <w:sz w:val="23"/>
          <w:szCs w:val="23"/>
          <w:spacing w:val="-61"/>
        </w:rPr>
        <w:t xml:space="preserve"> </w:t>
      </w:r>
      <w:r>
        <w:rPr>
          <w:sz w:val="23"/>
          <w:szCs w:val="23"/>
          <w:spacing w:val="15"/>
        </w:rPr>
        <w:t>1可知，</w:t>
      </w:r>
      <w:r>
        <w:rPr>
          <w:sz w:val="23"/>
          <w:szCs w:val="23"/>
          <w:spacing w:val="-35"/>
        </w:rPr>
        <w:t xml:space="preserve"> </w:t>
      </w:r>
      <w:r>
        <w:rPr>
          <w:rFonts w:ascii="Times New Roman" w:hAnsi="Times New Roman" w:eastAsia="Times New Roman" w:cs="Times New Roman"/>
          <w:sz w:val="23"/>
          <w:szCs w:val="23"/>
        </w:rPr>
        <w:t>NMP</w:t>
      </w:r>
      <w:r>
        <w:rPr>
          <w:rFonts w:ascii="Times New Roman" w:hAnsi="Times New Roman" w:eastAsia="Times New Roman" w:cs="Times New Roman"/>
          <w:sz w:val="23"/>
          <w:szCs w:val="23"/>
          <w:spacing w:val="51"/>
          <w:w w:val="101"/>
        </w:rPr>
        <w:t xml:space="preserve"> </w:t>
      </w:r>
      <w:r>
        <w:rPr>
          <w:sz w:val="23"/>
          <w:szCs w:val="23"/>
          <w:spacing w:val="15"/>
        </w:rPr>
        <w:t>储罐泄漏发生火灾衍生</w:t>
      </w:r>
      <w:r>
        <w:rPr>
          <w:sz w:val="23"/>
          <w:szCs w:val="23"/>
          <w:spacing w:val="-26"/>
        </w:rPr>
        <w:t xml:space="preserve"> </w:t>
      </w:r>
      <w:r>
        <w:rPr>
          <w:rFonts w:ascii="Times New Roman" w:hAnsi="Times New Roman" w:eastAsia="Times New Roman" w:cs="Times New Roman"/>
          <w:sz w:val="23"/>
          <w:szCs w:val="23"/>
        </w:rPr>
        <w:t>CO</w:t>
      </w:r>
      <w:r>
        <w:rPr>
          <w:rFonts w:ascii="Times New Roman" w:hAnsi="Times New Roman" w:eastAsia="Times New Roman" w:cs="Times New Roman"/>
          <w:sz w:val="23"/>
          <w:szCs w:val="23"/>
          <w:spacing w:val="52"/>
        </w:rPr>
        <w:t xml:space="preserve"> </w:t>
      </w:r>
      <w:r>
        <w:rPr>
          <w:sz w:val="23"/>
          <w:szCs w:val="23"/>
          <w:spacing w:val="15"/>
        </w:rPr>
        <w:t>事故风险毒性终点浓度</w:t>
      </w:r>
      <w:r>
        <w:rPr>
          <w:sz w:val="23"/>
          <w:szCs w:val="23"/>
        </w:rPr>
        <w:t xml:space="preserve"> </w:t>
      </w:r>
      <w:r>
        <w:rPr>
          <w:rFonts w:ascii="Times New Roman" w:hAnsi="Times New Roman" w:eastAsia="Times New Roman" w:cs="Times New Roman"/>
          <w:sz w:val="23"/>
          <w:szCs w:val="23"/>
          <w:spacing w:val="5"/>
        </w:rPr>
        <w:t>-1(380</w:t>
      </w:r>
      <w:r>
        <w:rPr>
          <w:rFonts w:ascii="Times New Roman" w:hAnsi="Times New Roman" w:eastAsia="Times New Roman" w:cs="Times New Roman"/>
          <w:sz w:val="23"/>
          <w:szCs w:val="23"/>
        </w:rPr>
        <w:t>mg</w:t>
      </w:r>
      <w:r>
        <w:rPr>
          <w:rFonts w:ascii="Times New Roman" w:hAnsi="Times New Roman" w:eastAsia="Times New Roman" w:cs="Times New Roman"/>
          <w:sz w:val="23"/>
          <w:szCs w:val="23"/>
          <w:spacing w:val="5"/>
        </w:rPr>
        <w:t>/m³)</w:t>
      </w:r>
      <w:r>
        <w:rPr>
          <w:rFonts w:ascii="Times New Roman" w:hAnsi="Times New Roman" w:eastAsia="Times New Roman" w:cs="Times New Roman"/>
          <w:sz w:val="23"/>
          <w:szCs w:val="23"/>
          <w:spacing w:val="-23"/>
        </w:rPr>
        <w:t xml:space="preserve"> </w:t>
      </w:r>
      <w:r>
        <w:rPr>
          <w:sz w:val="23"/>
          <w:szCs w:val="23"/>
          <w:spacing w:val="5"/>
        </w:rPr>
        <w:t>、</w:t>
      </w:r>
      <w:r>
        <w:rPr>
          <w:sz w:val="23"/>
          <w:szCs w:val="23"/>
          <w:spacing w:val="-40"/>
        </w:rPr>
        <w:t xml:space="preserve"> </w:t>
      </w:r>
      <w:r>
        <w:rPr>
          <w:sz w:val="23"/>
          <w:szCs w:val="23"/>
          <w:spacing w:val="5"/>
        </w:rPr>
        <w:t>毒性终点浓度-2(95</w:t>
      </w:r>
      <w:r>
        <w:rPr>
          <w:rFonts w:ascii="Times New Roman" w:hAnsi="Times New Roman" w:eastAsia="Times New Roman" w:cs="Times New Roman"/>
          <w:sz w:val="23"/>
          <w:szCs w:val="23"/>
        </w:rPr>
        <w:t>mg</w:t>
      </w:r>
      <w:r>
        <w:rPr>
          <w:rFonts w:ascii="Times New Roman" w:hAnsi="Times New Roman" w:eastAsia="Times New Roman" w:cs="Times New Roman"/>
          <w:sz w:val="23"/>
          <w:szCs w:val="23"/>
          <w:spacing w:val="5"/>
        </w:rPr>
        <w:t>/m³)   </w:t>
      </w:r>
      <w:r>
        <w:rPr>
          <w:sz w:val="23"/>
          <w:szCs w:val="23"/>
          <w:spacing w:val="5"/>
        </w:rPr>
        <w:t>最远距离在厂区内部，各关心点的预测浓</w:t>
      </w:r>
    </w:p>
    <w:p>
      <w:pPr>
        <w:pStyle w:val="BodyText"/>
        <w:ind w:left="24"/>
        <w:spacing w:line="219" w:lineRule="auto"/>
        <w:rPr>
          <w:sz w:val="23"/>
          <w:szCs w:val="23"/>
        </w:rPr>
      </w:pPr>
      <w:r>
        <w:rPr>
          <w:sz w:val="23"/>
          <w:szCs w:val="23"/>
          <w:spacing w:val="3"/>
        </w:rPr>
        <w:t>度均未超过毒性终点浓度。</w:t>
      </w:r>
    </w:p>
    <w:p>
      <w:pPr>
        <w:pStyle w:val="BodyText"/>
        <w:ind w:left="28"/>
        <w:spacing w:before="195" w:line="220" w:lineRule="auto"/>
        <w:outlineLvl w:val="6"/>
        <w:rPr>
          <w:sz w:val="27"/>
          <w:szCs w:val="27"/>
        </w:rPr>
      </w:pPr>
      <w:r>
        <w:rPr>
          <w:sz w:val="27"/>
          <w:szCs w:val="27"/>
          <w:b/>
          <w:bCs/>
          <w:spacing w:val="-5"/>
        </w:rPr>
        <w:t>7.1.3预测结果分析</w:t>
      </w:r>
    </w:p>
    <w:p>
      <w:pPr>
        <w:pStyle w:val="BodyText"/>
        <w:ind w:left="644"/>
        <w:spacing w:before="40" w:line="221" w:lineRule="auto"/>
        <w:rPr>
          <w:sz w:val="23"/>
          <w:szCs w:val="23"/>
        </w:rPr>
      </w:pPr>
      <w:r>
        <w:rPr>
          <w:sz w:val="23"/>
          <w:szCs w:val="23"/>
          <w:spacing w:val="-6"/>
        </w:rPr>
        <w:t>(1)NMP   泄漏</w:t>
      </w:r>
    </w:p>
    <w:p>
      <w:pPr>
        <w:pStyle w:val="BodyText"/>
        <w:ind w:left="505"/>
        <w:spacing w:before="157" w:line="516" w:lineRule="exact"/>
        <w:rPr>
          <w:sz w:val="23"/>
          <w:szCs w:val="23"/>
        </w:rPr>
      </w:pPr>
      <w:r>
        <w:rPr>
          <w:sz w:val="23"/>
          <w:szCs w:val="23"/>
          <w:spacing w:val="5"/>
          <w:position w:val="22"/>
        </w:rPr>
        <w:t>根据表7.1-1可知，</w:t>
      </w:r>
      <w:r>
        <w:rPr>
          <w:sz w:val="23"/>
          <w:szCs w:val="23"/>
          <w:spacing w:val="-22"/>
          <w:position w:val="22"/>
        </w:rPr>
        <w:t xml:space="preserve"> </w:t>
      </w:r>
      <w:r>
        <w:rPr>
          <w:rFonts w:ascii="Times New Roman" w:hAnsi="Times New Roman" w:eastAsia="Times New Roman" w:cs="Times New Roman"/>
          <w:sz w:val="23"/>
          <w:szCs w:val="23"/>
          <w:position w:val="22"/>
        </w:rPr>
        <w:t>NMP</w:t>
      </w:r>
      <w:r>
        <w:rPr>
          <w:rFonts w:ascii="Times New Roman" w:hAnsi="Times New Roman" w:eastAsia="Times New Roman" w:cs="Times New Roman"/>
          <w:sz w:val="23"/>
          <w:szCs w:val="23"/>
          <w:spacing w:val="-9"/>
          <w:position w:val="22"/>
        </w:rPr>
        <w:t xml:space="preserve"> </w:t>
      </w:r>
      <w:r>
        <w:rPr>
          <w:sz w:val="23"/>
          <w:szCs w:val="23"/>
          <w:spacing w:val="5"/>
          <w:position w:val="22"/>
        </w:rPr>
        <w:t>泄漏时，在</w:t>
      </w:r>
      <w:r>
        <w:rPr>
          <w:rFonts w:ascii="Times New Roman" w:hAnsi="Times New Roman" w:eastAsia="Times New Roman" w:cs="Times New Roman"/>
          <w:sz w:val="23"/>
          <w:szCs w:val="23"/>
          <w:spacing w:val="5"/>
          <w:position w:val="22"/>
        </w:rPr>
        <w:t>F</w:t>
      </w:r>
      <w:r>
        <w:rPr>
          <w:sz w:val="23"/>
          <w:szCs w:val="23"/>
          <w:spacing w:val="5"/>
          <w:position w:val="22"/>
        </w:rPr>
        <w:t>稳定度，风速(1.5</w:t>
      </w:r>
      <w:r>
        <w:rPr>
          <w:rFonts w:ascii="Times New Roman" w:hAnsi="Times New Roman" w:eastAsia="Times New Roman" w:cs="Times New Roman"/>
          <w:sz w:val="23"/>
          <w:szCs w:val="23"/>
          <w:spacing w:val="5"/>
          <w:position w:val="22"/>
        </w:rPr>
        <w:t>m/s)   </w:t>
      </w:r>
      <w:r>
        <w:rPr>
          <w:sz w:val="23"/>
          <w:szCs w:val="23"/>
          <w:spacing w:val="5"/>
          <w:position w:val="22"/>
        </w:rPr>
        <w:t>下</w:t>
      </w:r>
      <w:r>
        <w:rPr>
          <w:sz w:val="23"/>
          <w:szCs w:val="23"/>
          <w:spacing w:val="4"/>
          <w:position w:val="22"/>
        </w:rPr>
        <w:t>，周边敏感目标</w:t>
      </w:r>
    </w:p>
    <w:p>
      <w:pPr>
        <w:pStyle w:val="BodyText"/>
        <w:ind w:left="24"/>
        <w:spacing w:before="1" w:line="219" w:lineRule="auto"/>
        <w:rPr>
          <w:sz w:val="23"/>
          <w:szCs w:val="23"/>
        </w:rPr>
      </w:pPr>
      <w:r>
        <w:rPr>
          <w:sz w:val="23"/>
          <w:szCs w:val="23"/>
          <w:spacing w:val="5"/>
        </w:rPr>
        <w:t>均不在相应考量指标浓度范围内。</w:t>
      </w:r>
    </w:p>
    <w:p>
      <w:pPr>
        <w:pStyle w:val="BodyText"/>
        <w:ind w:left="644"/>
        <w:spacing w:before="177" w:line="219" w:lineRule="auto"/>
        <w:rPr>
          <w:sz w:val="23"/>
          <w:szCs w:val="23"/>
        </w:rPr>
      </w:pPr>
      <w:r>
        <w:rPr>
          <w:sz w:val="23"/>
          <w:szCs w:val="23"/>
          <w:spacing w:val="18"/>
        </w:rPr>
        <w:t>(2)火灾伴生</w:t>
      </w:r>
      <w:r>
        <w:rPr>
          <w:rFonts w:ascii="Times New Roman" w:hAnsi="Times New Roman" w:eastAsia="Times New Roman" w:cs="Times New Roman"/>
          <w:sz w:val="23"/>
          <w:szCs w:val="23"/>
        </w:rPr>
        <w:t>CO</w:t>
      </w:r>
      <w:r>
        <w:rPr>
          <w:sz w:val="23"/>
          <w:szCs w:val="23"/>
          <w:spacing w:val="18"/>
        </w:rPr>
        <w:t>排放</w:t>
      </w:r>
    </w:p>
    <w:p>
      <w:pPr>
        <w:pStyle w:val="BodyText"/>
        <w:ind w:left="505"/>
        <w:spacing w:before="186" w:line="491" w:lineRule="exact"/>
        <w:rPr>
          <w:sz w:val="23"/>
          <w:szCs w:val="23"/>
        </w:rPr>
      </w:pPr>
      <w:r>
        <w:rPr>
          <w:sz w:val="23"/>
          <w:szCs w:val="23"/>
          <w:spacing w:val="6"/>
          <w:position w:val="20"/>
        </w:rPr>
        <w:t>根据表7.1-3可知，项目</w:t>
      </w:r>
      <w:r>
        <w:rPr>
          <w:rFonts w:ascii="Times New Roman" w:hAnsi="Times New Roman" w:eastAsia="Times New Roman" w:cs="Times New Roman"/>
          <w:sz w:val="23"/>
          <w:szCs w:val="23"/>
          <w:position w:val="20"/>
        </w:rPr>
        <w:t>NMP</w:t>
      </w:r>
      <w:r>
        <w:rPr>
          <w:rFonts w:ascii="Times New Roman" w:hAnsi="Times New Roman" w:eastAsia="Times New Roman" w:cs="Times New Roman"/>
          <w:sz w:val="23"/>
          <w:szCs w:val="23"/>
          <w:spacing w:val="-18"/>
          <w:position w:val="20"/>
        </w:rPr>
        <w:t xml:space="preserve"> </w:t>
      </w:r>
      <w:r>
        <w:rPr>
          <w:sz w:val="23"/>
          <w:szCs w:val="23"/>
          <w:spacing w:val="6"/>
          <w:position w:val="20"/>
        </w:rPr>
        <w:t>储罐燃烧发生火灾产生</w:t>
      </w:r>
      <w:r>
        <w:rPr>
          <w:rFonts w:ascii="Times New Roman" w:hAnsi="Times New Roman" w:eastAsia="Times New Roman" w:cs="Times New Roman"/>
          <w:sz w:val="23"/>
          <w:szCs w:val="23"/>
          <w:position w:val="20"/>
        </w:rPr>
        <w:t>CO</w:t>
      </w:r>
      <w:r>
        <w:rPr>
          <w:rFonts w:ascii="Times New Roman" w:hAnsi="Times New Roman" w:eastAsia="Times New Roman" w:cs="Times New Roman"/>
          <w:sz w:val="23"/>
          <w:szCs w:val="23"/>
          <w:spacing w:val="-19"/>
          <w:position w:val="20"/>
        </w:rPr>
        <w:t xml:space="preserve"> </w:t>
      </w:r>
      <w:r>
        <w:rPr>
          <w:sz w:val="23"/>
          <w:szCs w:val="23"/>
          <w:spacing w:val="6"/>
          <w:position w:val="20"/>
        </w:rPr>
        <w:t>排放，周边敏感</w:t>
      </w:r>
      <w:r>
        <w:rPr>
          <w:sz w:val="23"/>
          <w:szCs w:val="23"/>
          <w:spacing w:val="5"/>
          <w:position w:val="20"/>
        </w:rPr>
        <w:t>目标均不</w:t>
      </w:r>
    </w:p>
    <w:p>
      <w:pPr>
        <w:pStyle w:val="BodyText"/>
        <w:ind w:left="24"/>
        <w:spacing w:line="219" w:lineRule="auto"/>
        <w:rPr>
          <w:sz w:val="23"/>
          <w:szCs w:val="23"/>
        </w:rPr>
      </w:pPr>
      <w:r>
        <w:rPr>
          <w:sz w:val="23"/>
          <w:szCs w:val="23"/>
          <w:spacing w:val="4"/>
        </w:rPr>
        <w:t>在相应考量指标浓度范围内。</w:t>
      </w:r>
    </w:p>
    <w:p>
      <w:pPr>
        <w:pStyle w:val="BodyText"/>
        <w:ind w:left="505"/>
        <w:spacing w:before="187" w:line="219" w:lineRule="auto"/>
        <w:rPr>
          <w:sz w:val="23"/>
          <w:szCs w:val="23"/>
        </w:rPr>
      </w:pPr>
      <w:r>
        <w:rPr>
          <w:sz w:val="23"/>
          <w:szCs w:val="23"/>
          <w:spacing w:val="7"/>
        </w:rPr>
        <w:t>可见，项目应做好风险防范措施，避免化学品发生泄漏事故。</w:t>
      </w:r>
    </w:p>
    <w:p>
      <w:pPr>
        <w:pStyle w:val="BodyText"/>
        <w:ind w:left="29"/>
        <w:spacing w:before="196" w:line="219" w:lineRule="auto"/>
        <w:outlineLvl w:val="6"/>
        <w:rPr>
          <w:sz w:val="31"/>
          <w:szCs w:val="31"/>
        </w:rPr>
      </w:pPr>
      <w:r>
        <w:rPr>
          <w:sz w:val="31"/>
          <w:szCs w:val="31"/>
          <w:b/>
          <w:bCs/>
          <w:spacing w:val="3"/>
        </w:rPr>
        <w:t>7.2地表水环境风险分析</w:t>
      </w:r>
    </w:p>
    <w:p>
      <w:pPr>
        <w:spacing w:line="219" w:lineRule="auto"/>
        <w:sectPr>
          <w:footerReference w:type="default" r:id="rId198"/>
          <w:pgSz w:w="11900" w:h="16840"/>
          <w:pgMar w:top="1265" w:right="1324" w:bottom="988" w:left="1504" w:header="0" w:footer="849" w:gutter="0"/>
        </w:sectPr>
        <w:rPr>
          <w:sz w:val="31"/>
          <w:szCs w:val="31"/>
        </w:rPr>
      </w:pPr>
    </w:p>
    <w:p>
      <w:pPr>
        <w:pStyle w:val="BodyText"/>
        <w:ind w:left="470"/>
        <w:spacing w:before="48" w:line="220" w:lineRule="auto"/>
        <w:rPr>
          <w:sz w:val="24"/>
          <w:szCs w:val="24"/>
        </w:rPr>
      </w:pPr>
      <w:r>
        <w:rPr>
          <w:sz w:val="24"/>
          <w:szCs w:val="24"/>
          <w:spacing w:val="-4"/>
        </w:rPr>
        <w:t>1、NMP</w:t>
      </w:r>
      <w:r>
        <w:rPr>
          <w:sz w:val="24"/>
          <w:szCs w:val="24"/>
          <w:spacing w:val="91"/>
        </w:rPr>
        <w:t xml:space="preserve"> </w:t>
      </w:r>
      <w:r>
        <w:rPr>
          <w:sz w:val="24"/>
          <w:szCs w:val="24"/>
          <w:spacing w:val="-4"/>
        </w:rPr>
        <w:t>泄漏风险分析</w:t>
      </w:r>
    </w:p>
    <w:p>
      <w:pPr>
        <w:pStyle w:val="BodyText"/>
        <w:ind w:right="17" w:firstLine="470"/>
        <w:spacing w:before="181" w:line="362" w:lineRule="auto"/>
        <w:rPr>
          <w:rFonts w:ascii="Times New Roman" w:hAnsi="Times New Roman" w:eastAsia="Times New Roman" w:cs="Times New Roman"/>
          <w:sz w:val="24"/>
          <w:szCs w:val="24"/>
        </w:rPr>
      </w:pPr>
      <w:r>
        <w:rPr>
          <w:sz w:val="24"/>
          <w:szCs w:val="24"/>
          <w:spacing w:val="-2"/>
        </w:rPr>
        <w:t>项目</w:t>
      </w:r>
      <w:r>
        <w:rPr>
          <w:rFonts w:ascii="Times New Roman" w:hAnsi="Times New Roman" w:eastAsia="Times New Roman" w:cs="Times New Roman"/>
          <w:sz w:val="24"/>
          <w:szCs w:val="24"/>
          <w:spacing w:val="-2"/>
        </w:rPr>
        <w:t>NMP </w:t>
      </w:r>
      <w:r>
        <w:rPr>
          <w:sz w:val="24"/>
          <w:szCs w:val="24"/>
          <w:spacing w:val="-2"/>
        </w:rPr>
        <w:t>罐区内储存的</w:t>
      </w:r>
      <w:r>
        <w:rPr>
          <w:rFonts w:ascii="Times New Roman" w:hAnsi="Times New Roman" w:eastAsia="Times New Roman" w:cs="Times New Roman"/>
          <w:sz w:val="24"/>
          <w:szCs w:val="24"/>
          <w:spacing w:val="-2"/>
        </w:rPr>
        <w:t>NMP</w:t>
      </w:r>
      <w:r>
        <w:rPr>
          <w:rFonts w:ascii="Times New Roman" w:hAnsi="Times New Roman" w:eastAsia="Times New Roman" w:cs="Times New Roman"/>
          <w:sz w:val="24"/>
          <w:szCs w:val="24"/>
          <w:spacing w:val="17"/>
          <w:w w:val="101"/>
        </w:rPr>
        <w:t xml:space="preserve"> </w:t>
      </w:r>
      <w:r>
        <w:rPr>
          <w:sz w:val="24"/>
          <w:szCs w:val="24"/>
          <w:spacing w:val="-2"/>
        </w:rPr>
        <w:t>或废</w:t>
      </w:r>
      <w:r>
        <w:rPr>
          <w:rFonts w:ascii="Times New Roman" w:hAnsi="Times New Roman" w:eastAsia="Times New Roman" w:cs="Times New Roman"/>
          <w:sz w:val="24"/>
          <w:szCs w:val="24"/>
          <w:spacing w:val="-2"/>
        </w:rPr>
        <w:t>NM</w:t>
      </w:r>
      <w:r>
        <w:rPr>
          <w:rFonts w:ascii="Times New Roman" w:hAnsi="Times New Roman" w:eastAsia="Times New Roman" w:cs="Times New Roman"/>
          <w:sz w:val="24"/>
          <w:szCs w:val="24"/>
          <w:spacing w:val="-3"/>
        </w:rPr>
        <w:t>P</w:t>
      </w:r>
      <w:r>
        <w:rPr>
          <w:rFonts w:ascii="Times New Roman" w:hAnsi="Times New Roman" w:eastAsia="Times New Roman" w:cs="Times New Roman"/>
          <w:sz w:val="24"/>
          <w:szCs w:val="24"/>
          <w:spacing w:val="17"/>
        </w:rPr>
        <w:t xml:space="preserve"> </w:t>
      </w:r>
      <w:r>
        <w:rPr>
          <w:sz w:val="24"/>
          <w:szCs w:val="24"/>
          <w:spacing w:val="-3"/>
        </w:rPr>
        <w:t>为101.7</w:t>
      </w:r>
      <w:r>
        <w:rPr>
          <w:rFonts w:ascii="Times New Roman" w:hAnsi="Times New Roman" w:eastAsia="Times New Roman" w:cs="Times New Roman"/>
          <w:sz w:val="24"/>
          <w:szCs w:val="24"/>
          <w:spacing w:val="-3"/>
        </w:rPr>
        <w:t>m³/</w:t>
      </w:r>
      <w:r>
        <w:rPr>
          <w:sz w:val="24"/>
          <w:szCs w:val="24"/>
          <w:spacing w:val="-3"/>
        </w:rPr>
        <w:t>罐。</w:t>
      </w:r>
      <w:r>
        <w:rPr>
          <w:sz w:val="24"/>
          <w:szCs w:val="24"/>
          <w:spacing w:val="-34"/>
        </w:rPr>
        <w:t xml:space="preserve"> </w:t>
      </w:r>
      <w:r>
        <w:rPr>
          <w:sz w:val="24"/>
          <w:szCs w:val="24"/>
          <w:spacing w:val="-3"/>
        </w:rPr>
        <w:t>一般情况下，</w:t>
      </w:r>
      <w:r>
        <w:rPr>
          <w:rFonts w:ascii="Times New Roman" w:hAnsi="Times New Roman" w:eastAsia="Times New Roman" w:cs="Times New Roman"/>
          <w:sz w:val="24"/>
          <w:szCs w:val="24"/>
          <w:spacing w:val="-3"/>
        </w:rPr>
        <w:t>NMP</w:t>
      </w:r>
      <w:r>
        <w:rPr>
          <w:rFonts w:ascii="Times New Roman" w:hAnsi="Times New Roman" w:eastAsia="Times New Roman" w:cs="Times New Roman"/>
          <w:sz w:val="24"/>
          <w:szCs w:val="24"/>
          <w:spacing w:val="37"/>
          <w:w w:val="101"/>
        </w:rPr>
        <w:t xml:space="preserve"> </w:t>
      </w:r>
      <w:r>
        <w:rPr>
          <w:sz w:val="24"/>
          <w:szCs w:val="24"/>
          <w:spacing w:val="-3"/>
        </w:rPr>
        <w:t>罐区</w:t>
      </w:r>
      <w:r>
        <w:rPr>
          <w:sz w:val="24"/>
          <w:szCs w:val="24"/>
        </w:rPr>
        <w:t xml:space="preserve"> </w:t>
      </w:r>
      <w:r>
        <w:rPr>
          <w:sz w:val="24"/>
          <w:szCs w:val="24"/>
          <w:spacing w:val="2"/>
        </w:rPr>
        <w:t>的储罐不会同时发生泄漏事件，按单个罐发生完全泄漏事件，</w:t>
      </w:r>
      <w:r>
        <w:rPr>
          <w:sz w:val="24"/>
          <w:szCs w:val="24"/>
          <w:spacing w:val="1"/>
        </w:rPr>
        <w:t>泄漏量最大约100m³, </w:t>
      </w:r>
      <w:r>
        <w:rPr>
          <w:sz w:val="24"/>
          <w:szCs w:val="24"/>
          <w:spacing w:val="-3"/>
        </w:rPr>
        <w:t>项 目</w:t>
      </w:r>
      <w:r>
        <w:rPr>
          <w:rFonts w:ascii="Times New Roman" w:hAnsi="Times New Roman" w:eastAsia="Times New Roman" w:cs="Times New Roman"/>
          <w:sz w:val="24"/>
          <w:szCs w:val="24"/>
          <w:spacing w:val="-3"/>
        </w:rPr>
        <w:t>NMP </w:t>
      </w:r>
      <w:r>
        <w:rPr>
          <w:sz w:val="24"/>
          <w:szCs w:val="24"/>
          <w:spacing w:val="-3"/>
        </w:rPr>
        <w:t>罐区</w:t>
      </w:r>
      <w:r>
        <w:rPr>
          <w:rFonts w:ascii="Times New Roman" w:hAnsi="Times New Roman" w:eastAsia="Times New Roman" w:cs="Times New Roman"/>
          <w:sz w:val="24"/>
          <w:szCs w:val="24"/>
          <w:spacing w:val="-3"/>
        </w:rPr>
        <w:t>C</w:t>
      </w:r>
      <w:r>
        <w:rPr>
          <w:rFonts w:ascii="Times New Roman" w:hAnsi="Times New Roman" w:eastAsia="Times New Roman" w:cs="Times New Roman"/>
          <w:sz w:val="24"/>
          <w:szCs w:val="24"/>
          <w:spacing w:val="34"/>
          <w:w w:val="101"/>
        </w:rPr>
        <w:t xml:space="preserve"> </w:t>
      </w:r>
      <w:r>
        <w:rPr>
          <w:sz w:val="24"/>
          <w:szCs w:val="24"/>
          <w:spacing w:val="-3"/>
        </w:rPr>
        <w:t>设有1.5</w:t>
      </w:r>
      <w:r>
        <w:rPr>
          <w:rFonts w:ascii="Times New Roman" w:hAnsi="Times New Roman" w:eastAsia="Times New Roman" w:cs="Times New Roman"/>
          <w:sz w:val="24"/>
          <w:szCs w:val="24"/>
          <w:spacing w:val="-3"/>
        </w:rPr>
        <w:t>m</w:t>
      </w:r>
      <w:r>
        <w:rPr>
          <w:sz w:val="24"/>
          <w:szCs w:val="24"/>
          <w:spacing w:val="-3"/>
        </w:rPr>
        <w:t>高的围堰，扣除储罐的体积，围堰内可容纳量约为349</w:t>
      </w:r>
      <w:r>
        <w:rPr>
          <w:rFonts w:ascii="Times New Roman" w:hAnsi="Times New Roman" w:eastAsia="Times New Roman" w:cs="Times New Roman"/>
          <w:sz w:val="24"/>
          <w:szCs w:val="24"/>
          <w:spacing w:val="-3"/>
        </w:rPr>
        <w:t>m³,</w:t>
      </w:r>
    </w:p>
    <w:p>
      <w:pPr>
        <w:pStyle w:val="BodyText"/>
        <w:spacing w:line="219" w:lineRule="auto"/>
        <w:rPr>
          <w:sz w:val="24"/>
          <w:szCs w:val="24"/>
        </w:rPr>
      </w:pPr>
      <w:r>
        <w:rPr>
          <w:sz w:val="24"/>
          <w:szCs w:val="24"/>
          <w:spacing w:val="-5"/>
        </w:rPr>
        <w:t>可完全将泄漏的</w:t>
      </w:r>
      <w:r>
        <w:rPr>
          <w:sz w:val="24"/>
          <w:szCs w:val="24"/>
          <w:spacing w:val="-59"/>
        </w:rPr>
        <w:t xml:space="preserve"> </w:t>
      </w:r>
      <w:r>
        <w:rPr>
          <w:rFonts w:ascii="Times New Roman" w:hAnsi="Times New Roman" w:eastAsia="Times New Roman" w:cs="Times New Roman"/>
          <w:sz w:val="24"/>
          <w:szCs w:val="24"/>
          <w:spacing w:val="-5"/>
        </w:rPr>
        <w:t>NMP </w:t>
      </w:r>
      <w:r>
        <w:rPr>
          <w:sz w:val="24"/>
          <w:szCs w:val="24"/>
          <w:spacing w:val="-5"/>
        </w:rPr>
        <w:t>滞留于围堰内。</w:t>
      </w:r>
    </w:p>
    <w:p>
      <w:pPr>
        <w:pStyle w:val="BodyText"/>
        <w:ind w:firstLine="470"/>
        <w:spacing w:before="164" w:line="355" w:lineRule="auto"/>
        <w:rPr>
          <w:sz w:val="24"/>
          <w:szCs w:val="24"/>
        </w:rPr>
      </w:pPr>
      <w:r>
        <w:rPr>
          <w:sz w:val="24"/>
          <w:szCs w:val="24"/>
          <w:spacing w:val="-2"/>
        </w:rPr>
        <w:t>罐区按重点防渗区要求建设，只要及时将泄漏出的废液收集至转移罐内，并进行</w:t>
      </w:r>
      <w:r>
        <w:rPr>
          <w:sz w:val="24"/>
          <w:szCs w:val="24"/>
          <w:spacing w:val="1"/>
        </w:rPr>
        <w:t xml:space="preserve"> </w:t>
      </w:r>
      <w:r>
        <w:rPr>
          <w:sz w:val="24"/>
          <w:szCs w:val="24"/>
          <w:spacing w:val="-2"/>
        </w:rPr>
        <w:t>清洗，清洗废水进入阳极废水处理设施内处理，则项目罐区泄漏不会对地表水环境产</w:t>
      </w:r>
    </w:p>
    <w:p>
      <w:pPr>
        <w:pStyle w:val="BodyText"/>
        <w:spacing w:line="221" w:lineRule="auto"/>
        <w:rPr>
          <w:sz w:val="24"/>
          <w:szCs w:val="24"/>
        </w:rPr>
      </w:pPr>
      <w:r>
        <w:rPr>
          <w:sz w:val="24"/>
          <w:szCs w:val="24"/>
          <w:spacing w:val="-10"/>
        </w:rPr>
        <w:t>生不利影响。</w:t>
      </w:r>
    </w:p>
    <w:p>
      <w:pPr>
        <w:pStyle w:val="BodyText"/>
        <w:ind w:left="470"/>
        <w:spacing w:before="199" w:line="219" w:lineRule="auto"/>
        <w:rPr>
          <w:sz w:val="24"/>
          <w:szCs w:val="24"/>
        </w:rPr>
      </w:pP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spacing w:val="-20"/>
        </w:rPr>
        <w:t xml:space="preserve"> </w:t>
      </w:r>
      <w:r>
        <w:rPr>
          <w:sz w:val="24"/>
          <w:szCs w:val="24"/>
          <w:spacing w:val="-4"/>
        </w:rPr>
        <w:t>、</w:t>
      </w:r>
      <w:r>
        <w:rPr>
          <w:rFonts w:ascii="Times New Roman" w:hAnsi="Times New Roman" w:eastAsia="Times New Roman" w:cs="Times New Roman"/>
          <w:sz w:val="24"/>
          <w:szCs w:val="24"/>
          <w:spacing w:val="-4"/>
        </w:rPr>
        <w:t>NMP </w:t>
      </w:r>
      <w:r>
        <w:rPr>
          <w:sz w:val="24"/>
          <w:szCs w:val="24"/>
          <w:spacing w:val="-4"/>
        </w:rPr>
        <w:t>泄漏产生消防废水分析</w:t>
      </w:r>
    </w:p>
    <w:p>
      <w:pPr>
        <w:pStyle w:val="BodyText"/>
        <w:ind w:right="7" w:firstLine="470"/>
        <w:spacing w:before="173" w:line="362" w:lineRule="auto"/>
        <w:rPr>
          <w:sz w:val="24"/>
          <w:szCs w:val="24"/>
        </w:rPr>
      </w:pPr>
      <w:r>
        <w:rPr>
          <w:sz w:val="24"/>
          <w:szCs w:val="24"/>
          <w:spacing w:val="2"/>
        </w:rPr>
        <w:t>若</w:t>
      </w:r>
      <w:r>
        <w:rPr>
          <w:rFonts w:ascii="Times New Roman" w:hAnsi="Times New Roman" w:eastAsia="Times New Roman" w:cs="Times New Roman"/>
          <w:sz w:val="24"/>
          <w:szCs w:val="24"/>
        </w:rPr>
        <w:t>NMP</w:t>
      </w:r>
      <w:r>
        <w:rPr>
          <w:rFonts w:ascii="Times New Roman" w:hAnsi="Times New Roman" w:eastAsia="Times New Roman" w:cs="Times New Roman"/>
          <w:sz w:val="24"/>
          <w:szCs w:val="24"/>
          <w:spacing w:val="17"/>
          <w:w w:val="101"/>
        </w:rPr>
        <w:t xml:space="preserve"> </w:t>
      </w:r>
      <w:r>
        <w:rPr>
          <w:sz w:val="24"/>
          <w:szCs w:val="24"/>
          <w:spacing w:val="2"/>
        </w:rPr>
        <w:t>泄漏遇明火发生火灾，应立即启动应急预案，第</w:t>
      </w:r>
      <w:r>
        <w:rPr>
          <w:sz w:val="24"/>
          <w:szCs w:val="24"/>
          <w:spacing w:val="1"/>
        </w:rPr>
        <w:t>一时间关闭罐区范围内</w:t>
      </w:r>
      <w:r>
        <w:rPr>
          <w:sz w:val="24"/>
          <w:szCs w:val="24"/>
        </w:rPr>
        <w:t xml:space="preserve"> </w:t>
      </w:r>
      <w:r>
        <w:rPr>
          <w:sz w:val="24"/>
          <w:szCs w:val="24"/>
          <w:spacing w:val="-2"/>
        </w:rPr>
        <w:t>雨水管阀门和厂区与市政雨水接口的阀门，将消防废水用泵抽至围堰内暂存，防止消</w:t>
      </w:r>
      <w:r>
        <w:rPr>
          <w:sz w:val="24"/>
          <w:szCs w:val="24"/>
          <w:spacing w:val="6"/>
        </w:rPr>
        <w:t xml:space="preserve"> </w:t>
      </w:r>
      <w:r>
        <w:rPr>
          <w:sz w:val="24"/>
          <w:szCs w:val="24"/>
          <w:spacing w:val="-2"/>
        </w:rPr>
        <w:t>防废水通过雨水管网进入自然水体。收集的消防废水通过污水泵泵入污水处理站处理</w:t>
      </w:r>
    </w:p>
    <w:p>
      <w:pPr>
        <w:pStyle w:val="BodyText"/>
        <w:spacing w:before="1" w:line="219" w:lineRule="auto"/>
        <w:rPr>
          <w:sz w:val="24"/>
          <w:szCs w:val="24"/>
        </w:rPr>
      </w:pPr>
      <w:r>
        <w:rPr>
          <w:sz w:val="24"/>
          <w:szCs w:val="24"/>
          <w:spacing w:val="-5"/>
        </w:rPr>
        <w:t>达标后，进入市政污水管网排放。</w:t>
      </w:r>
    </w:p>
    <w:p>
      <w:pPr>
        <w:pStyle w:val="BodyText"/>
        <w:ind w:left="4"/>
        <w:spacing w:before="184" w:line="219" w:lineRule="auto"/>
        <w:outlineLvl w:val="6"/>
        <w:rPr>
          <w:sz w:val="32"/>
          <w:szCs w:val="32"/>
        </w:rPr>
      </w:pPr>
      <w:r>
        <w:rPr>
          <w:sz w:val="32"/>
          <w:szCs w:val="32"/>
          <w:b/>
          <w:bCs/>
          <w:spacing w:val="-5"/>
        </w:rPr>
        <w:t>7.3地下水、土壤环境风险分析</w:t>
      </w:r>
    </w:p>
    <w:p>
      <w:pPr>
        <w:pStyle w:val="BodyText"/>
        <w:ind w:right="24" w:firstLine="470"/>
        <w:spacing w:before="231" w:line="362" w:lineRule="auto"/>
        <w:rPr>
          <w:sz w:val="24"/>
          <w:szCs w:val="24"/>
        </w:rPr>
      </w:pPr>
      <w:r>
        <w:rPr>
          <w:sz w:val="24"/>
          <w:szCs w:val="24"/>
          <w:spacing w:val="-2"/>
        </w:rPr>
        <w:t>项目所用的三元材料为含有重金属镍、钴、锰的化合物，主要是储存、生</w:t>
      </w:r>
      <w:r>
        <w:rPr>
          <w:sz w:val="24"/>
          <w:szCs w:val="24"/>
          <w:spacing w:val="-3"/>
        </w:rPr>
        <w:t>产过程</w:t>
      </w:r>
      <w:r>
        <w:rPr>
          <w:sz w:val="24"/>
          <w:szCs w:val="24"/>
        </w:rPr>
        <w:t xml:space="preserve"> </w:t>
      </w:r>
      <w:r>
        <w:rPr>
          <w:sz w:val="24"/>
          <w:szCs w:val="24"/>
          <w:spacing w:val="-2"/>
        </w:rPr>
        <w:t>若产生涉重金属废水、废渣未得到及进收集处理，而进入地表水或土壤</w:t>
      </w:r>
      <w:r>
        <w:rPr>
          <w:sz w:val="24"/>
          <w:szCs w:val="24"/>
          <w:spacing w:val="-3"/>
        </w:rPr>
        <w:t>中，将产生重</w:t>
      </w:r>
    </w:p>
    <w:p>
      <w:pPr>
        <w:pStyle w:val="BodyText"/>
        <w:spacing w:line="220" w:lineRule="auto"/>
        <w:rPr>
          <w:sz w:val="24"/>
          <w:szCs w:val="24"/>
        </w:rPr>
      </w:pPr>
      <w:r>
        <w:rPr>
          <w:sz w:val="24"/>
          <w:szCs w:val="24"/>
          <w:spacing w:val="-8"/>
        </w:rPr>
        <w:t>金属污染。</w:t>
      </w:r>
    </w:p>
    <w:p>
      <w:pPr>
        <w:pStyle w:val="BodyText"/>
        <w:ind w:firstLine="470"/>
        <w:spacing w:before="171" w:line="362" w:lineRule="auto"/>
        <w:rPr>
          <w:sz w:val="24"/>
          <w:szCs w:val="24"/>
        </w:rPr>
      </w:pPr>
      <w:r>
        <w:rPr>
          <w:sz w:val="24"/>
          <w:szCs w:val="24"/>
          <w:spacing w:val="-1"/>
        </w:rPr>
        <w:t>三元材料在储存过程中若发生破包泄漏，应先</w:t>
      </w:r>
      <w:r>
        <w:rPr>
          <w:sz w:val="24"/>
          <w:szCs w:val="24"/>
          <w:spacing w:val="-2"/>
        </w:rPr>
        <w:t>进行干式清扫，再用拖把或抹布等</w:t>
      </w:r>
      <w:r>
        <w:rPr>
          <w:sz w:val="24"/>
          <w:szCs w:val="24"/>
        </w:rPr>
        <w:t xml:space="preserve"> </w:t>
      </w:r>
      <w:r>
        <w:rPr>
          <w:sz w:val="24"/>
          <w:szCs w:val="24"/>
          <w:spacing w:val="-2"/>
        </w:rPr>
        <w:t>擦拭，清洗拖把或抹布的废水应纳入阴极废水处理系统中处理。不得直接用大量水冲</w:t>
      </w:r>
    </w:p>
    <w:p>
      <w:pPr>
        <w:pStyle w:val="BodyText"/>
        <w:spacing w:before="1" w:line="219" w:lineRule="auto"/>
        <w:rPr>
          <w:sz w:val="24"/>
          <w:szCs w:val="24"/>
        </w:rPr>
      </w:pPr>
      <w:r>
        <w:rPr>
          <w:sz w:val="24"/>
          <w:szCs w:val="24"/>
          <w:spacing w:val="-2"/>
        </w:rPr>
        <w:t>洗，以免含重金属污水无法进行有效收集或处理而排放。</w:t>
      </w:r>
    </w:p>
    <w:p>
      <w:pPr>
        <w:pStyle w:val="BodyText"/>
        <w:ind w:right="21"/>
        <w:spacing w:before="185" w:line="470" w:lineRule="exact"/>
        <w:jc w:val="right"/>
        <w:rPr>
          <w:sz w:val="24"/>
          <w:szCs w:val="24"/>
        </w:rPr>
      </w:pPr>
      <w:r>
        <w:rPr>
          <w:sz w:val="24"/>
          <w:szCs w:val="24"/>
          <w:spacing w:val="-2"/>
          <w:position w:val="17"/>
        </w:rPr>
        <w:t>生产车间若发生物料散落时，也应参照以上方式处理。生产线产生的含重金属废</w:t>
      </w:r>
    </w:p>
    <w:p>
      <w:pPr>
        <w:pStyle w:val="BodyText"/>
        <w:spacing w:line="219" w:lineRule="auto"/>
        <w:rPr>
          <w:sz w:val="24"/>
          <w:szCs w:val="24"/>
        </w:rPr>
      </w:pPr>
      <w:r>
        <w:rPr>
          <w:sz w:val="24"/>
          <w:szCs w:val="24"/>
          <w:spacing w:val="-2"/>
        </w:rPr>
        <w:t>水均应进入阴极废水处理系统中处理后达标排</w:t>
      </w:r>
      <w:r>
        <w:rPr>
          <w:sz w:val="24"/>
          <w:szCs w:val="24"/>
          <w:spacing w:val="-3"/>
        </w:rPr>
        <w:t>放。</w:t>
      </w:r>
    </w:p>
    <w:p>
      <w:pPr>
        <w:pStyle w:val="BodyText"/>
        <w:ind w:right="22"/>
        <w:spacing w:before="174" w:line="461" w:lineRule="exact"/>
        <w:jc w:val="right"/>
        <w:rPr>
          <w:sz w:val="24"/>
          <w:szCs w:val="24"/>
        </w:rPr>
      </w:pPr>
      <w:r>
        <w:rPr>
          <w:sz w:val="24"/>
          <w:szCs w:val="24"/>
          <w:spacing w:val="-2"/>
          <w:position w:val="16"/>
        </w:rPr>
        <w:t>只要建设单位做好物料的贮存管理工作，则三元材料在贮存、使用过程中产生含</w:t>
      </w:r>
    </w:p>
    <w:p>
      <w:pPr>
        <w:pStyle w:val="BodyText"/>
        <w:spacing w:line="219" w:lineRule="auto"/>
        <w:rPr>
          <w:sz w:val="24"/>
          <w:szCs w:val="24"/>
        </w:rPr>
      </w:pPr>
      <w:r>
        <w:rPr>
          <w:sz w:val="24"/>
          <w:szCs w:val="24"/>
          <w:spacing w:val="-2"/>
        </w:rPr>
        <w:t>重金属废水、废液，对周边地下水、土壤影响较小。</w:t>
      </w:r>
    </w:p>
    <w:p>
      <w:pPr>
        <w:pStyle w:val="BodyText"/>
        <w:ind w:left="4"/>
        <w:spacing w:before="194" w:line="219" w:lineRule="auto"/>
        <w:outlineLvl w:val="6"/>
        <w:rPr>
          <w:sz w:val="32"/>
          <w:szCs w:val="32"/>
        </w:rPr>
      </w:pPr>
      <w:r>
        <w:rPr>
          <w:sz w:val="32"/>
          <w:szCs w:val="32"/>
          <w:b/>
          <w:bCs/>
          <w:spacing w:val="-4"/>
        </w:rPr>
        <w:t>7.4</w:t>
      </w:r>
      <w:r>
        <w:rPr>
          <w:sz w:val="32"/>
          <w:szCs w:val="32"/>
          <w:spacing w:val="-4"/>
        </w:rPr>
        <w:t xml:space="preserve"> </w:t>
      </w:r>
      <w:r>
        <w:rPr>
          <w:sz w:val="32"/>
          <w:szCs w:val="32"/>
          <w:b/>
          <w:bCs/>
          <w:spacing w:val="-4"/>
        </w:rPr>
        <w:t>NMP</w:t>
      </w:r>
      <w:r>
        <w:rPr>
          <w:sz w:val="32"/>
          <w:szCs w:val="32"/>
          <w:spacing w:val="-60"/>
        </w:rPr>
        <w:t xml:space="preserve"> </w:t>
      </w:r>
      <w:r>
        <w:rPr>
          <w:sz w:val="32"/>
          <w:szCs w:val="32"/>
          <w:b/>
          <w:bCs/>
          <w:spacing w:val="-4"/>
        </w:rPr>
        <w:t>泄漏对污水处理厂的影响分析</w:t>
      </w:r>
    </w:p>
    <w:p>
      <w:pPr>
        <w:pStyle w:val="BodyText"/>
        <w:ind w:right="17" w:firstLine="470"/>
        <w:spacing w:before="250" w:line="354" w:lineRule="auto"/>
        <w:rPr>
          <w:rFonts w:ascii="Times New Roman" w:hAnsi="Times New Roman" w:eastAsia="Times New Roman" w:cs="Times New Roman"/>
          <w:sz w:val="24"/>
          <w:szCs w:val="24"/>
        </w:rPr>
      </w:pPr>
      <w:r>
        <w:rPr>
          <w:sz w:val="24"/>
          <w:szCs w:val="24"/>
          <w:spacing w:val="-5"/>
        </w:rPr>
        <w:t>项 目</w:t>
      </w:r>
      <w:r>
        <w:rPr>
          <w:rFonts w:ascii="Times New Roman" w:hAnsi="Times New Roman" w:eastAsia="Times New Roman" w:cs="Times New Roman"/>
          <w:sz w:val="24"/>
          <w:szCs w:val="24"/>
          <w:spacing w:val="-5"/>
        </w:rPr>
        <w:t>NMP </w:t>
      </w:r>
      <w:r>
        <w:rPr>
          <w:sz w:val="24"/>
          <w:szCs w:val="24"/>
          <w:spacing w:val="-5"/>
        </w:rPr>
        <w:t>罐区内储存的</w:t>
      </w:r>
      <w:r>
        <w:rPr>
          <w:rFonts w:ascii="Times New Roman" w:hAnsi="Times New Roman" w:eastAsia="Times New Roman" w:cs="Times New Roman"/>
          <w:sz w:val="24"/>
          <w:szCs w:val="24"/>
          <w:spacing w:val="-5"/>
        </w:rPr>
        <w:t>NMP </w:t>
      </w:r>
      <w:r>
        <w:rPr>
          <w:sz w:val="24"/>
          <w:szCs w:val="24"/>
          <w:spacing w:val="-5"/>
        </w:rPr>
        <w:t>或废</w:t>
      </w:r>
      <w:r>
        <w:rPr>
          <w:rFonts w:ascii="Times New Roman" w:hAnsi="Times New Roman" w:eastAsia="Times New Roman" w:cs="Times New Roman"/>
          <w:sz w:val="24"/>
          <w:szCs w:val="24"/>
          <w:spacing w:val="-5"/>
        </w:rPr>
        <w:t>NMP</w:t>
      </w:r>
      <w:r>
        <w:rPr>
          <w:rFonts w:ascii="Times New Roman" w:hAnsi="Times New Roman" w:eastAsia="Times New Roman" w:cs="Times New Roman"/>
          <w:sz w:val="24"/>
          <w:szCs w:val="24"/>
          <w:spacing w:val="17"/>
        </w:rPr>
        <w:t xml:space="preserve"> </w:t>
      </w:r>
      <w:r>
        <w:rPr>
          <w:sz w:val="24"/>
          <w:szCs w:val="24"/>
          <w:spacing w:val="-5"/>
        </w:rPr>
        <w:t>为101.7</w:t>
      </w:r>
      <w:r>
        <w:rPr>
          <w:rFonts w:ascii="Times New Roman" w:hAnsi="Times New Roman" w:eastAsia="Times New Roman" w:cs="Times New Roman"/>
          <w:sz w:val="24"/>
          <w:szCs w:val="24"/>
          <w:spacing w:val="-5"/>
        </w:rPr>
        <w:t>m³/</w:t>
      </w:r>
      <w:r>
        <w:rPr>
          <w:sz w:val="24"/>
          <w:szCs w:val="24"/>
          <w:spacing w:val="-5"/>
        </w:rPr>
        <w:t>罐。 一般情</w:t>
      </w:r>
      <w:r>
        <w:rPr>
          <w:sz w:val="24"/>
          <w:szCs w:val="24"/>
          <w:spacing w:val="-6"/>
        </w:rPr>
        <w:t>况下，</w:t>
      </w:r>
      <w:r>
        <w:rPr>
          <w:rFonts w:ascii="Times New Roman" w:hAnsi="Times New Roman" w:eastAsia="Times New Roman" w:cs="Times New Roman"/>
          <w:sz w:val="24"/>
          <w:szCs w:val="24"/>
          <w:spacing w:val="-6"/>
        </w:rPr>
        <w:t>NMP</w:t>
      </w:r>
      <w:r>
        <w:rPr>
          <w:rFonts w:ascii="Times New Roman" w:hAnsi="Times New Roman" w:eastAsia="Times New Roman" w:cs="Times New Roman"/>
          <w:sz w:val="24"/>
          <w:szCs w:val="24"/>
          <w:spacing w:val="27"/>
        </w:rPr>
        <w:t xml:space="preserve"> </w:t>
      </w:r>
      <w:r>
        <w:rPr>
          <w:sz w:val="24"/>
          <w:szCs w:val="24"/>
          <w:spacing w:val="-6"/>
        </w:rPr>
        <w:t>罐区</w:t>
      </w:r>
      <w:r>
        <w:rPr>
          <w:sz w:val="24"/>
          <w:szCs w:val="24"/>
        </w:rPr>
        <w:t xml:space="preserve"> </w:t>
      </w:r>
      <w:r>
        <w:rPr>
          <w:sz w:val="24"/>
          <w:szCs w:val="24"/>
        </w:rPr>
        <w:t>的储罐不会同时发生泄漏事件，按单个罐发生完全泄漏事件，泄漏量最大</w:t>
      </w:r>
      <w:r>
        <w:rPr>
          <w:sz w:val="24"/>
          <w:szCs w:val="24"/>
          <w:spacing w:val="-1"/>
        </w:rPr>
        <w:t>约100</w:t>
      </w:r>
      <w:r>
        <w:rPr>
          <w:rFonts w:ascii="Times New Roman" w:hAnsi="Times New Roman" w:eastAsia="Times New Roman" w:cs="Times New Roman"/>
          <w:sz w:val="24"/>
          <w:szCs w:val="24"/>
          <w:spacing w:val="-1"/>
        </w:rPr>
        <w:t>m³,    </w:t>
      </w:r>
      <w:r>
        <w:rPr>
          <w:sz w:val="24"/>
          <w:szCs w:val="24"/>
        </w:rPr>
        <w:t>项目</w:t>
      </w:r>
      <w:r>
        <w:rPr>
          <w:rFonts w:ascii="Times New Roman" w:hAnsi="Times New Roman" w:eastAsia="Times New Roman" w:cs="Times New Roman"/>
          <w:sz w:val="24"/>
          <w:szCs w:val="24"/>
        </w:rPr>
        <w:t>NMP </w:t>
      </w:r>
      <w:r>
        <w:rPr>
          <w:sz w:val="24"/>
          <w:szCs w:val="24"/>
        </w:rPr>
        <w:t>罐区</w:t>
      </w:r>
      <w:r>
        <w:rPr>
          <w:rFonts w:ascii="Times New Roman" w:hAnsi="Times New Roman" w:eastAsia="Times New Roman" w:cs="Times New Roman"/>
          <w:sz w:val="24"/>
          <w:szCs w:val="24"/>
        </w:rPr>
        <w:t>C</w:t>
      </w:r>
      <w:r>
        <w:rPr>
          <w:rFonts w:ascii="Times New Roman" w:hAnsi="Times New Roman" w:eastAsia="Times New Roman" w:cs="Times New Roman"/>
          <w:sz w:val="24"/>
          <w:szCs w:val="24"/>
          <w:spacing w:val="19"/>
        </w:rPr>
        <w:t xml:space="preserve"> </w:t>
      </w:r>
      <w:r>
        <w:rPr>
          <w:sz w:val="24"/>
          <w:szCs w:val="24"/>
        </w:rPr>
        <w:t>设有1.5</w:t>
      </w:r>
      <w:r>
        <w:rPr>
          <w:rFonts w:ascii="Times New Roman" w:hAnsi="Times New Roman" w:eastAsia="Times New Roman" w:cs="Times New Roman"/>
          <w:sz w:val="24"/>
          <w:szCs w:val="24"/>
        </w:rPr>
        <w:t>m</w:t>
      </w:r>
      <w:r>
        <w:rPr>
          <w:sz w:val="24"/>
          <w:szCs w:val="24"/>
        </w:rPr>
        <w:t>高的围堰，扣除储罐的体</w:t>
      </w:r>
      <w:r>
        <w:rPr>
          <w:sz w:val="24"/>
          <w:szCs w:val="24"/>
          <w:spacing w:val="-1"/>
        </w:rPr>
        <w:t>积，围堰内可容纳量约为349</w:t>
      </w:r>
      <w:r>
        <w:rPr>
          <w:rFonts w:ascii="Times New Roman" w:hAnsi="Times New Roman" w:eastAsia="Times New Roman" w:cs="Times New Roman"/>
          <w:sz w:val="24"/>
          <w:szCs w:val="24"/>
          <w:spacing w:val="-1"/>
        </w:rPr>
        <w:t>m³,</w:t>
      </w:r>
    </w:p>
    <w:p>
      <w:pPr>
        <w:pStyle w:val="BodyText"/>
        <w:spacing w:before="1" w:line="218" w:lineRule="auto"/>
        <w:jc w:val="right"/>
        <w:rPr>
          <w:sz w:val="24"/>
          <w:szCs w:val="24"/>
        </w:rPr>
      </w:pPr>
      <w:r>
        <w:rPr>
          <w:sz w:val="24"/>
          <w:szCs w:val="24"/>
          <w:spacing w:val="-1"/>
        </w:rPr>
        <w:t>可完全将泄漏的</w:t>
      </w:r>
      <w:r>
        <w:rPr>
          <w:rFonts w:ascii="Times New Roman" w:hAnsi="Times New Roman" w:eastAsia="Times New Roman" w:cs="Times New Roman"/>
          <w:sz w:val="24"/>
          <w:szCs w:val="24"/>
          <w:spacing w:val="-1"/>
        </w:rPr>
        <w:t>NMP </w:t>
      </w:r>
      <w:r>
        <w:rPr>
          <w:sz w:val="24"/>
          <w:szCs w:val="24"/>
          <w:spacing w:val="-1"/>
        </w:rPr>
        <w:t>或废</w:t>
      </w:r>
      <w:r>
        <w:rPr>
          <w:rFonts w:ascii="Times New Roman" w:hAnsi="Times New Roman" w:eastAsia="Times New Roman" w:cs="Times New Roman"/>
          <w:sz w:val="24"/>
          <w:szCs w:val="24"/>
          <w:spacing w:val="-1"/>
        </w:rPr>
        <w:t>NMP</w:t>
      </w:r>
      <w:r>
        <w:rPr>
          <w:rFonts w:ascii="Times New Roman" w:hAnsi="Times New Roman" w:eastAsia="Times New Roman" w:cs="Times New Roman"/>
          <w:sz w:val="24"/>
          <w:szCs w:val="24"/>
          <w:spacing w:val="20"/>
          <w:w w:val="101"/>
        </w:rPr>
        <w:t xml:space="preserve"> </w:t>
      </w:r>
      <w:r>
        <w:rPr>
          <w:sz w:val="24"/>
          <w:szCs w:val="24"/>
          <w:spacing w:val="-1"/>
        </w:rPr>
        <w:t>滞留于围堰内，不会进入厂区污水管网进而影响霞浦</w:t>
      </w:r>
    </w:p>
    <w:p>
      <w:pPr>
        <w:spacing w:line="218" w:lineRule="auto"/>
        <w:sectPr>
          <w:footerReference w:type="default" r:id="rId199"/>
          <w:pgSz w:w="11900" w:h="16840"/>
          <w:pgMar w:top="1252" w:right="1544" w:bottom="1005" w:left="1529" w:header="0" w:footer="856" w:gutter="0"/>
        </w:sectPr>
        <w:rPr>
          <w:sz w:val="24"/>
          <w:szCs w:val="24"/>
        </w:rPr>
      </w:pPr>
    </w:p>
    <w:p>
      <w:pPr>
        <w:pStyle w:val="BodyText"/>
        <w:ind w:left="9"/>
        <w:spacing w:before="46" w:line="219" w:lineRule="auto"/>
        <w:rPr>
          <w:sz w:val="23"/>
          <w:szCs w:val="23"/>
        </w:rPr>
      </w:pPr>
      <w:r>
        <w:rPr>
          <w:sz w:val="23"/>
          <w:szCs w:val="23"/>
          <w:spacing w:val="3"/>
        </w:rPr>
        <w:t>县污水处理厂的正常运行。</w:t>
      </w:r>
    </w:p>
    <w:p>
      <w:pPr>
        <w:pStyle w:val="BodyText"/>
        <w:ind w:left="9"/>
        <w:spacing w:before="200" w:line="220" w:lineRule="auto"/>
        <w:rPr>
          <w:sz w:val="30"/>
          <w:szCs w:val="30"/>
        </w:rPr>
      </w:pPr>
      <w:r>
        <w:rPr>
          <w:sz w:val="30"/>
          <w:szCs w:val="30"/>
          <w:spacing w:val="16"/>
        </w:rPr>
        <w:t>7.5后果综述及风险可接受分析</w:t>
      </w:r>
    </w:p>
    <w:p>
      <w:pPr>
        <w:pStyle w:val="BodyText"/>
        <w:ind w:right="10"/>
        <w:spacing w:before="255" w:line="216" w:lineRule="auto"/>
        <w:jc w:val="right"/>
        <w:rPr>
          <w:sz w:val="23"/>
          <w:szCs w:val="23"/>
        </w:rPr>
      </w:pPr>
      <w:r>
        <w:rPr>
          <w:sz w:val="23"/>
          <w:szCs w:val="23"/>
          <w:spacing w:val="3"/>
        </w:rPr>
        <w:t>根据《建设项目环境风险评价技术导则》</w:t>
      </w:r>
      <w:r>
        <w:rPr>
          <w:sz w:val="23"/>
          <w:szCs w:val="23"/>
          <w:spacing w:val="95"/>
        </w:rPr>
        <w:t xml:space="preserve"> </w:t>
      </w:r>
      <w:r>
        <w:rPr>
          <w:sz w:val="23"/>
          <w:szCs w:val="23"/>
          <w:spacing w:val="3"/>
        </w:rPr>
        <w:t>(</w:t>
      </w:r>
      <w:r>
        <w:rPr>
          <w:sz w:val="23"/>
          <w:szCs w:val="23"/>
        </w:rPr>
        <w:t>HJ</w:t>
      </w:r>
      <w:r>
        <w:rPr>
          <w:sz w:val="23"/>
          <w:szCs w:val="23"/>
          <w:spacing w:val="3"/>
        </w:rPr>
        <w:t>169-2018),</w:t>
      </w:r>
      <w:r>
        <w:rPr>
          <w:sz w:val="23"/>
          <w:szCs w:val="23"/>
          <w:spacing w:val="42"/>
        </w:rPr>
        <w:t xml:space="preserve">  </w:t>
      </w:r>
      <w:r>
        <w:rPr>
          <w:sz w:val="23"/>
          <w:szCs w:val="23"/>
          <w:spacing w:val="3"/>
        </w:rPr>
        <w:t>风险值是风</w:t>
      </w:r>
      <w:r>
        <w:rPr>
          <w:sz w:val="23"/>
          <w:szCs w:val="23"/>
          <w:spacing w:val="2"/>
        </w:rPr>
        <w:t>险评价表</w:t>
      </w:r>
    </w:p>
    <w:p>
      <w:pPr>
        <w:pStyle w:val="BodyText"/>
        <w:ind w:left="9"/>
        <w:spacing w:before="184" w:line="219" w:lineRule="auto"/>
        <w:rPr>
          <w:sz w:val="23"/>
          <w:szCs w:val="23"/>
        </w:rPr>
      </w:pPr>
      <w:r>
        <w:rPr>
          <w:sz w:val="23"/>
          <w:szCs w:val="23"/>
          <w:spacing w:val="7"/>
        </w:rPr>
        <w:t>征量，包括事故的发生概率和事故的危害程度，定义</w:t>
      </w:r>
      <w:r>
        <w:rPr>
          <w:sz w:val="23"/>
          <w:szCs w:val="23"/>
          <w:spacing w:val="6"/>
        </w:rPr>
        <w:t>为：</w:t>
      </w:r>
    </w:p>
    <w:p>
      <w:pPr>
        <w:spacing w:line="263" w:lineRule="auto"/>
        <w:rPr>
          <w:rFonts w:ascii="Arial"/>
          <w:sz w:val="21"/>
        </w:rPr>
      </w:pPr>
      <w:r/>
    </w:p>
    <w:p>
      <w:pPr>
        <w:ind w:firstLine="959"/>
        <w:spacing w:line="452" w:lineRule="exact"/>
        <w:rPr/>
      </w:pPr>
      <w:r>
        <w:rPr>
          <w:position w:val="-9"/>
        </w:rPr>
        <w:drawing>
          <wp:inline distT="0" distB="0" distL="0" distR="0">
            <wp:extent cx="3492778" cy="287241"/>
            <wp:effectExtent l="0" t="0" r="0" b="0"/>
            <wp:docPr id="32" name="IM 32"/>
            <wp:cNvGraphicFramePr/>
            <a:graphic>
              <a:graphicData uri="http://schemas.openxmlformats.org/drawingml/2006/picture">
                <pic:pic>
                  <pic:nvPicPr>
                    <pic:cNvPr id="32" name="IM 32"/>
                    <pic:cNvPicPr/>
                  </pic:nvPicPr>
                  <pic:blipFill>
                    <a:blip r:embed="rId201"/>
                    <a:stretch>
                      <a:fillRect/>
                    </a:stretch>
                  </pic:blipFill>
                  <pic:spPr>
                    <a:xfrm rot="0">
                      <a:off x="0" y="0"/>
                      <a:ext cx="3492778" cy="287241"/>
                    </a:xfrm>
                    <a:prstGeom prst="rect">
                      <a:avLst/>
                    </a:prstGeom>
                  </pic:spPr>
                </pic:pic>
              </a:graphicData>
            </a:graphic>
          </wp:inline>
        </w:drawing>
      </w:r>
    </w:p>
    <w:p>
      <w:pPr>
        <w:spacing w:line="300" w:lineRule="auto"/>
        <w:rPr>
          <w:rFonts w:ascii="Arial"/>
          <w:sz w:val="21"/>
        </w:rPr>
      </w:pPr>
      <w:r/>
    </w:p>
    <w:p>
      <w:pPr>
        <w:ind w:left="4479"/>
        <w:spacing w:before="47" w:line="188" w:lineRule="auto"/>
        <w:rPr>
          <w:rFonts w:ascii="Times New Roman" w:hAnsi="Times New Roman" w:eastAsia="Times New Roman" w:cs="Times New Roman"/>
          <w:sz w:val="16"/>
          <w:szCs w:val="16"/>
        </w:rPr>
      </w:pPr>
      <w:r>
        <w:rPr>
          <w:rFonts w:ascii="Times New Roman" w:hAnsi="Times New Roman" w:eastAsia="Times New Roman" w:cs="Times New Roman"/>
          <w:sz w:val="16"/>
          <w:szCs w:val="16"/>
          <w:spacing w:val="-1"/>
        </w:rPr>
        <w:t>R=P×C</w:t>
      </w:r>
    </w:p>
    <w:p>
      <w:pPr>
        <w:pStyle w:val="BodyText"/>
        <w:ind w:left="740"/>
        <w:spacing w:before="227" w:line="219" w:lineRule="auto"/>
        <w:rPr>
          <w:sz w:val="23"/>
          <w:szCs w:val="23"/>
        </w:rPr>
      </w:pPr>
      <w:r>
        <w:rPr>
          <w:sz w:val="23"/>
          <w:szCs w:val="23"/>
          <w:spacing w:val="-10"/>
        </w:rPr>
        <w:t>式中：</w:t>
      </w:r>
      <w:r>
        <w:rPr>
          <w:sz w:val="23"/>
          <w:szCs w:val="23"/>
          <w:spacing w:val="-35"/>
        </w:rPr>
        <w:t xml:space="preserve"> </w:t>
      </w:r>
      <w:r>
        <w:rPr>
          <w:rFonts w:ascii="Times New Roman" w:hAnsi="Times New Roman" w:eastAsia="Times New Roman" w:cs="Times New Roman"/>
          <w:sz w:val="23"/>
          <w:szCs w:val="23"/>
          <w:spacing w:val="-10"/>
        </w:rPr>
        <w:t>R—</w:t>
      </w:r>
      <w:r>
        <w:rPr>
          <w:sz w:val="23"/>
          <w:szCs w:val="23"/>
          <w:spacing w:val="-10"/>
        </w:rPr>
        <w:t>风险值；</w:t>
      </w:r>
    </w:p>
    <w:p>
      <w:pPr>
        <w:pStyle w:val="BodyText"/>
        <w:ind w:left="1450"/>
        <w:spacing w:before="207" w:line="470" w:lineRule="exact"/>
        <w:rPr>
          <w:sz w:val="23"/>
          <w:szCs w:val="23"/>
        </w:rPr>
      </w:pPr>
      <w:r>
        <w:rPr>
          <w:rFonts w:ascii="Times New Roman" w:hAnsi="Times New Roman" w:eastAsia="Times New Roman" w:cs="Times New Roman"/>
          <w:sz w:val="23"/>
          <w:szCs w:val="23"/>
          <w:spacing w:val="16"/>
          <w:position w:val="18"/>
        </w:rPr>
        <w:t>P—</w:t>
      </w:r>
      <w:r>
        <w:rPr>
          <w:sz w:val="23"/>
          <w:szCs w:val="23"/>
          <w:spacing w:val="16"/>
          <w:position w:val="18"/>
        </w:rPr>
        <w:t>最大可信事故概率(事件数/单位时间);</w:t>
      </w:r>
    </w:p>
    <w:p>
      <w:pPr>
        <w:pStyle w:val="BodyText"/>
        <w:ind w:left="1440"/>
        <w:spacing w:line="219" w:lineRule="auto"/>
        <w:rPr>
          <w:sz w:val="23"/>
          <w:szCs w:val="23"/>
        </w:rPr>
      </w:pPr>
      <w:r>
        <w:rPr>
          <w:sz w:val="23"/>
          <w:szCs w:val="23"/>
          <w:spacing w:val="16"/>
        </w:rPr>
        <w:t>C—</w:t>
      </w:r>
      <w:r>
        <w:rPr>
          <w:sz w:val="23"/>
          <w:szCs w:val="23"/>
          <w:spacing w:val="-49"/>
        </w:rPr>
        <w:t xml:space="preserve"> </w:t>
      </w:r>
      <w:r>
        <w:rPr>
          <w:sz w:val="23"/>
          <w:szCs w:val="23"/>
          <w:spacing w:val="16"/>
        </w:rPr>
        <w:t>最大可信事故造成的危害(损害/事件);</w:t>
      </w:r>
    </w:p>
    <w:p>
      <w:pPr>
        <w:pStyle w:val="BodyText"/>
        <w:ind w:left="500"/>
        <w:spacing w:before="177" w:line="219" w:lineRule="auto"/>
        <w:rPr>
          <w:sz w:val="23"/>
          <w:szCs w:val="23"/>
        </w:rPr>
      </w:pPr>
      <w:r>
        <w:rPr>
          <w:sz w:val="23"/>
          <w:szCs w:val="23"/>
          <w:spacing w:val="16"/>
        </w:rPr>
        <w:t>在具体计算中，按照下式计算事故风险值(死</w:t>
      </w:r>
      <w:r>
        <w:rPr>
          <w:sz w:val="23"/>
          <w:szCs w:val="23"/>
          <w:spacing w:val="15"/>
        </w:rPr>
        <w:t>亡/年):</w:t>
      </w:r>
    </w:p>
    <w:p>
      <w:pPr>
        <w:pStyle w:val="BodyText"/>
        <w:spacing w:before="207" w:line="470" w:lineRule="exact"/>
        <w:jc w:val="right"/>
        <w:rPr>
          <w:sz w:val="23"/>
          <w:szCs w:val="23"/>
        </w:rPr>
      </w:pPr>
      <w:r>
        <w:rPr>
          <w:sz w:val="23"/>
          <w:szCs w:val="23"/>
          <w:spacing w:val="17"/>
          <w:position w:val="18"/>
        </w:rPr>
        <w:t>风险值(死亡/年)=半致死百分率区人口数×50%×事故发生概率×出现不利天</w:t>
      </w:r>
    </w:p>
    <w:p>
      <w:pPr>
        <w:pStyle w:val="BodyText"/>
        <w:ind w:left="19"/>
        <w:spacing w:line="219" w:lineRule="auto"/>
        <w:rPr>
          <w:sz w:val="23"/>
          <w:szCs w:val="23"/>
        </w:rPr>
      </w:pPr>
      <w:r>
        <w:rPr>
          <w:sz w:val="23"/>
          <w:szCs w:val="23"/>
          <w:spacing w:val="-3"/>
        </w:rPr>
        <w:t>气概率</w:t>
      </w:r>
    </w:p>
    <w:p>
      <w:pPr>
        <w:pStyle w:val="BodyText"/>
        <w:ind w:left="19" w:right="7" w:firstLine="470"/>
        <w:spacing w:before="175" w:line="382" w:lineRule="auto"/>
        <w:rPr>
          <w:sz w:val="23"/>
          <w:szCs w:val="23"/>
        </w:rPr>
      </w:pPr>
      <w:r>
        <w:rPr>
          <w:sz w:val="23"/>
          <w:szCs w:val="23"/>
          <w:spacing w:val="17"/>
        </w:rPr>
        <w:t>根据分析可知，项目</w:t>
      </w:r>
      <w:r>
        <w:rPr>
          <w:rFonts w:ascii="Times New Roman" w:hAnsi="Times New Roman" w:eastAsia="Times New Roman" w:cs="Times New Roman"/>
          <w:sz w:val="23"/>
          <w:szCs w:val="23"/>
        </w:rPr>
        <w:t>NMP</w:t>
      </w:r>
      <w:r>
        <w:rPr>
          <w:rFonts w:ascii="Times New Roman" w:hAnsi="Times New Roman" w:eastAsia="Times New Roman" w:cs="Times New Roman"/>
          <w:sz w:val="23"/>
          <w:szCs w:val="23"/>
          <w:spacing w:val="-18"/>
        </w:rPr>
        <w:t xml:space="preserve"> </w:t>
      </w:r>
      <w:r>
        <w:rPr>
          <w:sz w:val="23"/>
          <w:szCs w:val="23"/>
          <w:spacing w:val="17"/>
        </w:rPr>
        <w:t>发生泄漏在发生火灾爆炸事故时，在</w:t>
      </w:r>
      <w:r>
        <w:rPr>
          <w:rFonts w:ascii="Times New Roman" w:hAnsi="Times New Roman" w:eastAsia="Times New Roman" w:cs="Times New Roman"/>
          <w:sz w:val="23"/>
          <w:szCs w:val="23"/>
          <w:spacing w:val="17"/>
        </w:rPr>
        <w:t>F</w:t>
      </w:r>
      <w:r>
        <w:rPr>
          <w:sz w:val="23"/>
          <w:szCs w:val="23"/>
          <w:spacing w:val="17"/>
        </w:rPr>
        <w:t>稳定度、</w:t>
      </w:r>
      <w:r>
        <w:rPr>
          <w:sz w:val="23"/>
          <w:szCs w:val="23"/>
          <w:spacing w:val="16"/>
        </w:rPr>
        <w:t>风速</w:t>
      </w:r>
      <w:r>
        <w:rPr>
          <w:sz w:val="23"/>
          <w:szCs w:val="23"/>
        </w:rPr>
        <w:t xml:space="preserve"> </w:t>
      </w:r>
      <w:r>
        <w:rPr>
          <w:rFonts w:ascii="Times New Roman" w:hAnsi="Times New Roman" w:eastAsia="Times New Roman" w:cs="Times New Roman"/>
          <w:sz w:val="23"/>
          <w:szCs w:val="23"/>
          <w:spacing w:val="7"/>
        </w:rPr>
        <w:t>1.5m/s</w:t>
      </w:r>
      <w:r>
        <w:rPr>
          <w:sz w:val="23"/>
          <w:szCs w:val="23"/>
          <w:spacing w:val="7"/>
        </w:rPr>
        <w:t>情况下，各敏感目标均不会发生</w:t>
      </w:r>
      <w:r>
        <w:rPr>
          <w:rFonts w:ascii="Times New Roman" w:hAnsi="Times New Roman" w:eastAsia="Times New Roman" w:cs="Times New Roman"/>
          <w:sz w:val="23"/>
          <w:szCs w:val="23"/>
        </w:rPr>
        <w:t>CO</w:t>
      </w:r>
      <w:r>
        <w:rPr>
          <w:sz w:val="23"/>
          <w:szCs w:val="23"/>
          <w:spacing w:val="7"/>
        </w:rPr>
        <w:t>浓度超</w:t>
      </w:r>
      <w:r>
        <w:rPr>
          <w:sz w:val="23"/>
          <w:szCs w:val="23"/>
          <w:spacing w:val="6"/>
        </w:rPr>
        <w:t>过半致死浓度</w:t>
      </w:r>
      <w:r>
        <w:rPr>
          <w:rFonts w:ascii="Times New Roman" w:hAnsi="Times New Roman" w:eastAsia="Times New Roman" w:cs="Times New Roman"/>
          <w:sz w:val="23"/>
          <w:szCs w:val="23"/>
        </w:rPr>
        <w:t>LCso</w:t>
      </w:r>
      <w:r>
        <w:rPr>
          <w:sz w:val="23"/>
          <w:szCs w:val="23"/>
          <w:spacing w:val="6"/>
        </w:rPr>
        <w:t>情况。可见，项目</w:t>
      </w:r>
    </w:p>
    <w:p>
      <w:pPr>
        <w:pStyle w:val="BodyText"/>
        <w:ind w:left="9"/>
        <w:spacing w:before="1" w:line="219" w:lineRule="auto"/>
        <w:rPr>
          <w:sz w:val="23"/>
          <w:szCs w:val="23"/>
        </w:rPr>
      </w:pPr>
      <w:r>
        <w:rPr>
          <w:sz w:val="23"/>
          <w:szCs w:val="23"/>
          <w:spacing w:val="3"/>
        </w:rPr>
        <w:t>风险值处于可接受水平。</w:t>
      </w:r>
    </w:p>
    <w:p>
      <w:pPr>
        <w:pStyle w:val="BodyText"/>
        <w:ind w:left="9"/>
        <w:spacing w:before="209" w:line="220" w:lineRule="auto"/>
        <w:rPr>
          <w:sz w:val="27"/>
          <w:szCs w:val="27"/>
        </w:rPr>
      </w:pPr>
      <w:r>
        <w:rPr>
          <w:sz w:val="27"/>
          <w:szCs w:val="27"/>
          <w:spacing w:val="15"/>
        </w:rPr>
        <w:t>8.风险防范措施</w:t>
      </w:r>
    </w:p>
    <w:p>
      <w:pPr>
        <w:pStyle w:val="BodyText"/>
        <w:spacing w:before="256" w:line="219" w:lineRule="auto"/>
        <w:rPr>
          <w:sz w:val="27"/>
          <w:szCs w:val="27"/>
        </w:rPr>
      </w:pPr>
      <w:r>
        <w:rPr>
          <w:sz w:val="27"/>
          <w:szCs w:val="27"/>
          <w:spacing w:val="3"/>
        </w:rPr>
        <w:t>8.1</w:t>
      </w:r>
      <w:r>
        <w:rPr>
          <w:sz w:val="27"/>
          <w:szCs w:val="27"/>
          <w:spacing w:val="-47"/>
        </w:rPr>
        <w:t xml:space="preserve"> </w:t>
      </w:r>
      <w:r>
        <w:rPr>
          <w:sz w:val="27"/>
          <w:szCs w:val="27"/>
          <w:spacing w:val="3"/>
        </w:rPr>
        <w:t>总平布置、建筑安全防范措施</w:t>
      </w:r>
    </w:p>
    <w:p>
      <w:pPr>
        <w:pStyle w:val="BodyText"/>
        <w:ind w:right="12"/>
        <w:spacing w:before="220" w:line="470" w:lineRule="exact"/>
        <w:jc w:val="right"/>
        <w:rPr>
          <w:sz w:val="23"/>
          <w:szCs w:val="23"/>
        </w:rPr>
      </w:pPr>
      <w:r>
        <w:rPr>
          <w:sz w:val="23"/>
          <w:szCs w:val="23"/>
          <w:spacing w:val="14"/>
          <w:position w:val="18"/>
        </w:rPr>
        <w:t>(1)在生产区、管理区之间预留消防通道，且避开厂区内主要人流通道，保持</w:t>
      </w:r>
    </w:p>
    <w:p>
      <w:pPr>
        <w:pStyle w:val="BodyText"/>
        <w:spacing w:line="219" w:lineRule="auto"/>
        <w:rPr>
          <w:sz w:val="23"/>
          <w:szCs w:val="23"/>
        </w:rPr>
      </w:pPr>
      <w:r>
        <w:rPr>
          <w:sz w:val="23"/>
          <w:szCs w:val="23"/>
          <w:spacing w:val="8"/>
        </w:rPr>
        <w:t>通道的畅通无阻，便于消防车迅速通往生产车间。</w:t>
      </w:r>
    </w:p>
    <w:p>
      <w:pPr>
        <w:pStyle w:val="BodyText"/>
        <w:ind w:left="9" w:firstLine="599"/>
        <w:spacing w:before="187" w:line="375" w:lineRule="auto"/>
        <w:rPr>
          <w:sz w:val="23"/>
          <w:szCs w:val="23"/>
        </w:rPr>
      </w:pPr>
      <w:r>
        <w:rPr>
          <w:sz w:val="23"/>
          <w:szCs w:val="23"/>
          <w:spacing w:val="7"/>
        </w:rPr>
        <w:t>(2)生产装置区、工业污水处理站、</w:t>
      </w:r>
      <w:r>
        <w:rPr>
          <w:rFonts w:ascii="Times New Roman" w:hAnsi="Times New Roman" w:eastAsia="Times New Roman" w:cs="Times New Roman"/>
          <w:sz w:val="23"/>
          <w:szCs w:val="23"/>
        </w:rPr>
        <w:t>NMP</w:t>
      </w:r>
      <w:r>
        <w:rPr>
          <w:rFonts w:ascii="Times New Roman" w:hAnsi="Times New Roman" w:eastAsia="Times New Roman" w:cs="Times New Roman"/>
          <w:sz w:val="23"/>
          <w:szCs w:val="23"/>
          <w:spacing w:val="44"/>
        </w:rPr>
        <w:t xml:space="preserve"> </w:t>
      </w:r>
      <w:r>
        <w:rPr>
          <w:sz w:val="23"/>
          <w:szCs w:val="23"/>
          <w:spacing w:val="7"/>
        </w:rPr>
        <w:t>储</w:t>
      </w:r>
      <w:r>
        <w:rPr>
          <w:sz w:val="23"/>
          <w:szCs w:val="23"/>
          <w:spacing w:val="-45"/>
        </w:rPr>
        <w:t xml:space="preserve"> </w:t>
      </w:r>
      <w:r>
        <w:rPr>
          <w:sz w:val="23"/>
          <w:szCs w:val="23"/>
          <w:spacing w:val="7"/>
        </w:rPr>
        <w:t>罐</w:t>
      </w:r>
      <w:r>
        <w:rPr>
          <w:sz w:val="23"/>
          <w:szCs w:val="23"/>
          <w:spacing w:val="-30"/>
        </w:rPr>
        <w:t xml:space="preserve"> </w:t>
      </w:r>
      <w:r>
        <w:rPr>
          <w:sz w:val="23"/>
          <w:szCs w:val="23"/>
          <w:spacing w:val="7"/>
        </w:rPr>
        <w:t>区</w:t>
      </w:r>
      <w:r>
        <w:rPr>
          <w:rFonts w:ascii="Times New Roman" w:hAnsi="Times New Roman" w:eastAsia="Times New Roman" w:cs="Times New Roman"/>
          <w:sz w:val="23"/>
          <w:szCs w:val="23"/>
          <w:spacing w:val="7"/>
        </w:rPr>
        <w:t>C </w:t>
      </w:r>
      <w:r>
        <w:rPr>
          <w:sz w:val="23"/>
          <w:szCs w:val="23"/>
          <w:spacing w:val="7"/>
        </w:rPr>
        <w:t>及周边均为硬化地面，并采</w:t>
      </w:r>
      <w:r>
        <w:rPr>
          <w:sz w:val="23"/>
          <w:szCs w:val="23"/>
        </w:rPr>
        <w:t xml:space="preserve"> </w:t>
      </w:r>
      <w:r>
        <w:rPr>
          <w:sz w:val="23"/>
          <w:szCs w:val="23"/>
          <w:spacing w:val="11"/>
        </w:rPr>
        <w:t>取相应的防渗措施，其中工业污水处理站、</w:t>
      </w:r>
      <w:r>
        <w:rPr>
          <w:rFonts w:ascii="Times New Roman" w:hAnsi="Times New Roman" w:eastAsia="Times New Roman" w:cs="Times New Roman"/>
          <w:sz w:val="23"/>
          <w:szCs w:val="23"/>
        </w:rPr>
        <w:t>NMP</w:t>
      </w:r>
      <w:r>
        <w:rPr>
          <w:rFonts w:ascii="Times New Roman" w:hAnsi="Times New Roman" w:eastAsia="Times New Roman" w:cs="Times New Roman"/>
          <w:sz w:val="23"/>
          <w:szCs w:val="23"/>
          <w:spacing w:val="38"/>
        </w:rPr>
        <w:t xml:space="preserve"> </w:t>
      </w:r>
      <w:r>
        <w:rPr>
          <w:sz w:val="23"/>
          <w:szCs w:val="23"/>
          <w:spacing w:val="11"/>
        </w:rPr>
        <w:t>储罐区</w:t>
      </w:r>
      <w:r>
        <w:rPr>
          <w:sz w:val="23"/>
          <w:szCs w:val="23"/>
          <w:spacing w:val="-65"/>
        </w:rPr>
        <w:t xml:space="preserve"> </w:t>
      </w:r>
      <w:r>
        <w:rPr>
          <w:rFonts w:ascii="Times New Roman" w:hAnsi="Times New Roman" w:eastAsia="Times New Roman" w:cs="Times New Roman"/>
          <w:sz w:val="23"/>
          <w:szCs w:val="23"/>
          <w:spacing w:val="11"/>
        </w:rPr>
        <w:t>C </w:t>
      </w:r>
      <w:r>
        <w:rPr>
          <w:sz w:val="23"/>
          <w:szCs w:val="23"/>
          <w:spacing w:val="11"/>
        </w:rPr>
        <w:t>为重点防渗区，防渗性能</w:t>
      </w:r>
      <w:r>
        <w:rPr>
          <w:sz w:val="23"/>
          <w:szCs w:val="23"/>
        </w:rPr>
        <w:t xml:space="preserve"> </w:t>
      </w:r>
      <w:r>
        <w:rPr>
          <w:sz w:val="23"/>
          <w:szCs w:val="23"/>
          <w:spacing w:val="10"/>
        </w:rPr>
        <w:t>不应低于6.0</w:t>
      </w:r>
      <w:r>
        <w:rPr>
          <w:rFonts w:ascii="Times New Roman" w:hAnsi="Times New Roman" w:eastAsia="Times New Roman" w:cs="Times New Roman"/>
          <w:sz w:val="23"/>
          <w:szCs w:val="23"/>
          <w:spacing w:val="10"/>
        </w:rPr>
        <w:t>m</w:t>
      </w:r>
      <w:r>
        <w:rPr>
          <w:sz w:val="23"/>
          <w:szCs w:val="23"/>
          <w:spacing w:val="10"/>
        </w:rPr>
        <w:t>厚渗透系数为1.0×107</w:t>
      </w:r>
      <w:r>
        <w:rPr>
          <w:rFonts w:ascii="Times New Roman" w:hAnsi="Times New Roman" w:eastAsia="Times New Roman" w:cs="Times New Roman"/>
          <w:sz w:val="23"/>
          <w:szCs w:val="23"/>
        </w:rPr>
        <w:t>cm</w:t>
      </w:r>
      <w:r>
        <w:rPr>
          <w:rFonts w:ascii="Times New Roman" w:hAnsi="Times New Roman" w:eastAsia="Times New Roman" w:cs="Times New Roman"/>
          <w:sz w:val="23"/>
          <w:szCs w:val="23"/>
          <w:spacing w:val="10"/>
        </w:rPr>
        <w:t>/s</w:t>
      </w:r>
      <w:r>
        <w:rPr>
          <w:rFonts w:ascii="Times New Roman" w:hAnsi="Times New Roman" w:eastAsia="Times New Roman" w:cs="Times New Roman"/>
          <w:sz w:val="23"/>
          <w:szCs w:val="23"/>
          <w:spacing w:val="27"/>
        </w:rPr>
        <w:t xml:space="preserve"> </w:t>
      </w:r>
      <w:r>
        <w:rPr>
          <w:sz w:val="23"/>
          <w:szCs w:val="23"/>
          <w:spacing w:val="10"/>
        </w:rPr>
        <w:t>黏土层；生产厂房为一般防渗</w:t>
      </w:r>
      <w:r>
        <w:rPr>
          <w:sz w:val="23"/>
          <w:szCs w:val="23"/>
          <w:spacing w:val="9"/>
        </w:rPr>
        <w:t>区，防渗性</w:t>
      </w:r>
      <w:r>
        <w:rPr>
          <w:sz w:val="23"/>
          <w:szCs w:val="23"/>
        </w:rPr>
        <w:t xml:space="preserve"> </w:t>
      </w:r>
      <w:r>
        <w:rPr>
          <w:sz w:val="23"/>
          <w:szCs w:val="23"/>
          <w:spacing w:val="8"/>
        </w:rPr>
        <w:t>能不应低于1.5</w:t>
      </w:r>
      <w:r>
        <w:rPr>
          <w:rFonts w:ascii="Times New Roman" w:hAnsi="Times New Roman" w:eastAsia="Times New Roman" w:cs="Times New Roman"/>
          <w:sz w:val="23"/>
          <w:szCs w:val="23"/>
          <w:spacing w:val="8"/>
        </w:rPr>
        <w:t>m </w:t>
      </w:r>
      <w:r>
        <w:rPr>
          <w:sz w:val="23"/>
          <w:szCs w:val="23"/>
          <w:spacing w:val="8"/>
        </w:rPr>
        <w:t>厚渗透系数为1.0×107</w:t>
      </w:r>
      <w:r>
        <w:rPr>
          <w:rFonts w:ascii="Times New Roman" w:hAnsi="Times New Roman" w:eastAsia="Times New Roman" w:cs="Times New Roman"/>
          <w:sz w:val="23"/>
          <w:szCs w:val="23"/>
        </w:rPr>
        <w:t>cm</w:t>
      </w:r>
      <w:r>
        <w:rPr>
          <w:rFonts w:ascii="Times New Roman" w:hAnsi="Times New Roman" w:eastAsia="Times New Roman" w:cs="Times New Roman"/>
          <w:sz w:val="23"/>
          <w:szCs w:val="23"/>
          <w:spacing w:val="8"/>
        </w:rPr>
        <w:t>/s</w:t>
      </w:r>
      <w:r>
        <w:rPr>
          <w:rFonts w:ascii="Times New Roman" w:hAnsi="Times New Roman" w:eastAsia="Times New Roman" w:cs="Times New Roman"/>
          <w:sz w:val="23"/>
          <w:szCs w:val="23"/>
          <w:spacing w:val="60"/>
          <w:w w:val="101"/>
        </w:rPr>
        <w:t xml:space="preserve"> </w:t>
      </w:r>
      <w:r>
        <w:rPr>
          <w:sz w:val="23"/>
          <w:szCs w:val="23"/>
          <w:spacing w:val="8"/>
        </w:rPr>
        <w:t>黏土层。确保发生事故时，灭火时产生</w:t>
      </w:r>
    </w:p>
    <w:p>
      <w:pPr>
        <w:pStyle w:val="BodyText"/>
        <w:ind w:left="9"/>
        <w:spacing w:before="1" w:line="218" w:lineRule="auto"/>
        <w:rPr>
          <w:sz w:val="23"/>
          <w:szCs w:val="23"/>
        </w:rPr>
      </w:pPr>
      <w:r>
        <w:rPr>
          <w:sz w:val="23"/>
          <w:szCs w:val="23"/>
          <w:spacing w:val="8"/>
        </w:rPr>
        <w:t>的废水可完全被收集处理，不会通过渗透和地表径流污染地下水和地表水。</w:t>
      </w:r>
    </w:p>
    <w:p>
      <w:pPr>
        <w:pStyle w:val="BodyText"/>
        <w:ind w:right="15"/>
        <w:spacing w:before="197" w:line="461" w:lineRule="exact"/>
        <w:jc w:val="right"/>
        <w:rPr>
          <w:sz w:val="23"/>
          <w:szCs w:val="23"/>
        </w:rPr>
      </w:pPr>
      <w:r>
        <w:rPr>
          <w:sz w:val="23"/>
          <w:szCs w:val="23"/>
          <w:spacing w:val="14"/>
          <w:position w:val="17"/>
        </w:rPr>
        <w:t>(3)采用的电气设备、电缆线路均为防爆型产品；各类储存容器及管线的材质</w:t>
      </w:r>
    </w:p>
    <w:p>
      <w:pPr>
        <w:pStyle w:val="BodyText"/>
        <w:spacing w:before="1" w:line="219" w:lineRule="auto"/>
        <w:rPr>
          <w:sz w:val="23"/>
          <w:szCs w:val="23"/>
        </w:rPr>
      </w:pPr>
      <w:r>
        <w:rPr>
          <w:sz w:val="23"/>
          <w:szCs w:val="23"/>
          <w:spacing w:val="7"/>
        </w:rPr>
        <w:t>选择、加工质量必须符合要求，强化日常维护检查。</w:t>
      </w:r>
    </w:p>
    <w:p>
      <w:pPr>
        <w:pStyle w:val="BodyText"/>
        <w:ind w:left="9"/>
        <w:spacing w:before="199" w:line="220" w:lineRule="auto"/>
        <w:rPr>
          <w:sz w:val="27"/>
          <w:szCs w:val="27"/>
        </w:rPr>
      </w:pPr>
      <w:r>
        <w:rPr>
          <w:sz w:val="27"/>
          <w:szCs w:val="27"/>
          <w:spacing w:val="-4"/>
        </w:rPr>
        <w:t>8.2 电气安全防范措施</w:t>
      </w:r>
    </w:p>
    <w:p>
      <w:pPr>
        <w:pStyle w:val="BodyText"/>
        <w:ind w:left="649"/>
        <w:spacing w:before="216" w:line="219" w:lineRule="auto"/>
        <w:rPr>
          <w:sz w:val="23"/>
          <w:szCs w:val="23"/>
        </w:rPr>
      </w:pPr>
      <w:r>
        <w:rPr>
          <w:sz w:val="23"/>
          <w:szCs w:val="23"/>
          <w:spacing w:val="23"/>
        </w:rPr>
        <w:t>(1)电气设备选型合理，符合国家有关规范标准要求，</w:t>
      </w:r>
      <w:r>
        <w:rPr>
          <w:sz w:val="23"/>
          <w:szCs w:val="23"/>
          <w:spacing w:val="22"/>
        </w:rPr>
        <w:t>安装使用正确。</w:t>
      </w:r>
    </w:p>
    <w:p>
      <w:pPr>
        <w:spacing w:line="219" w:lineRule="auto"/>
        <w:sectPr>
          <w:footerReference w:type="default" r:id="rId200"/>
          <w:pgSz w:w="11900" w:h="16840"/>
          <w:pgMar w:top="1273" w:right="1528" w:bottom="1005" w:left="1529" w:header="0" w:footer="856" w:gutter="0"/>
        </w:sectPr>
        <w:rPr>
          <w:sz w:val="23"/>
          <w:szCs w:val="23"/>
        </w:rPr>
      </w:pPr>
    </w:p>
    <w:p>
      <w:pPr>
        <w:pStyle w:val="BodyText"/>
        <w:ind w:left="580"/>
        <w:spacing w:before="47" w:line="470" w:lineRule="exact"/>
        <w:rPr>
          <w:sz w:val="24"/>
          <w:szCs w:val="24"/>
        </w:rPr>
      </w:pPr>
      <w:r>
        <w:rPr>
          <w:sz w:val="24"/>
          <w:szCs w:val="24"/>
          <w:spacing w:val="4"/>
          <w:position w:val="17"/>
        </w:rPr>
        <w:t>(2)非电工人员严禁安装、接拆电气用电设备及用电装置。严格对不同的环境</w:t>
      </w:r>
    </w:p>
    <w:p>
      <w:pPr>
        <w:pStyle w:val="BodyText"/>
        <w:spacing w:line="219" w:lineRule="auto"/>
        <w:rPr>
          <w:sz w:val="24"/>
          <w:szCs w:val="24"/>
        </w:rPr>
      </w:pPr>
      <w:r>
        <w:rPr>
          <w:sz w:val="24"/>
          <w:szCs w:val="24"/>
          <w:spacing w:val="-8"/>
        </w:rPr>
        <w:t>下的安全电压进行检查。</w:t>
      </w:r>
    </w:p>
    <w:p>
      <w:pPr>
        <w:pStyle w:val="BodyText"/>
        <w:ind w:left="580"/>
        <w:spacing w:before="184" w:line="460" w:lineRule="exact"/>
        <w:rPr>
          <w:sz w:val="24"/>
          <w:szCs w:val="24"/>
        </w:rPr>
      </w:pPr>
      <w:r>
        <w:rPr>
          <w:sz w:val="24"/>
          <w:szCs w:val="24"/>
          <w:spacing w:val="-1"/>
          <w:position w:val="16"/>
        </w:rPr>
        <w:t>(3)设备的金属外壳采用保护接地措施，并</w:t>
      </w:r>
      <w:r>
        <w:rPr>
          <w:sz w:val="24"/>
          <w:szCs w:val="24"/>
          <w:spacing w:val="-2"/>
          <w:position w:val="16"/>
        </w:rPr>
        <w:t>设置防雷、防静电设施，在有触电危</w:t>
      </w:r>
    </w:p>
    <w:p>
      <w:pPr>
        <w:pStyle w:val="BodyText"/>
        <w:spacing w:line="219" w:lineRule="auto"/>
        <w:rPr>
          <w:sz w:val="24"/>
          <w:szCs w:val="24"/>
        </w:rPr>
      </w:pPr>
      <w:r>
        <w:rPr>
          <w:sz w:val="24"/>
          <w:szCs w:val="24"/>
          <w:spacing w:val="-20"/>
        </w:rPr>
        <w:t>险的处所设置醒目的文字或图形标志。</w:t>
      </w:r>
    </w:p>
    <w:p>
      <w:pPr>
        <w:pStyle w:val="BodyText"/>
        <w:ind w:left="649"/>
        <w:spacing w:before="194" w:line="219" w:lineRule="auto"/>
        <w:rPr>
          <w:sz w:val="24"/>
          <w:szCs w:val="24"/>
        </w:rPr>
      </w:pPr>
      <w:r>
        <w:rPr>
          <w:sz w:val="24"/>
          <w:szCs w:val="24"/>
          <w:spacing w:val="21"/>
        </w:rPr>
        <w:t>(4)配电室必须设置挡鼠板及金属网，以</w:t>
      </w:r>
      <w:r>
        <w:rPr>
          <w:sz w:val="24"/>
          <w:szCs w:val="24"/>
          <w:spacing w:val="20"/>
        </w:rPr>
        <w:t>防飞行物、小动物进入室内。</w:t>
      </w:r>
    </w:p>
    <w:p>
      <w:pPr>
        <w:pStyle w:val="BodyText"/>
        <w:ind w:firstLine="659"/>
        <w:spacing w:before="164" w:line="362" w:lineRule="auto"/>
        <w:rPr>
          <w:sz w:val="24"/>
          <w:szCs w:val="24"/>
        </w:rPr>
      </w:pPr>
      <w:r>
        <w:rPr>
          <w:sz w:val="24"/>
          <w:szCs w:val="24"/>
          <w:spacing w:val="12"/>
        </w:rPr>
        <w:t>(5)电气线路应避开可能受到机械损伤、振动、污染、腐蚀及受热的地方；</w:t>
      </w:r>
      <w:r>
        <w:rPr>
          <w:sz w:val="24"/>
          <w:szCs w:val="24"/>
          <w:spacing w:val="11"/>
        </w:rPr>
        <w:t xml:space="preserve"> </w:t>
      </w:r>
      <w:r>
        <w:rPr>
          <w:sz w:val="24"/>
          <w:szCs w:val="24"/>
          <w:spacing w:val="18"/>
        </w:rPr>
        <w:t>否则，应采取防护措施。固定敷设的电力电缆应采用铠</w:t>
      </w:r>
      <w:r>
        <w:rPr>
          <w:sz w:val="24"/>
          <w:szCs w:val="24"/>
          <w:spacing w:val="17"/>
        </w:rPr>
        <w:t>装电缆。固定敷设的照 </w:t>
      </w:r>
      <w:r>
        <w:rPr>
          <w:sz w:val="24"/>
          <w:szCs w:val="24"/>
          <w:spacing w:val="18"/>
        </w:rPr>
        <w:t>明、通讯、信号和控制电缆可采用铠装电缆和塑料护套电缆。非固定敷设的电</w:t>
      </w:r>
    </w:p>
    <w:p>
      <w:pPr>
        <w:pStyle w:val="BodyText"/>
        <w:spacing w:before="1" w:line="218" w:lineRule="auto"/>
        <w:rPr>
          <w:sz w:val="24"/>
          <w:szCs w:val="24"/>
        </w:rPr>
      </w:pPr>
      <w:r>
        <w:rPr>
          <w:sz w:val="24"/>
          <w:szCs w:val="24"/>
          <w:spacing w:val="17"/>
        </w:rPr>
        <w:t>缆应采用非塑性橡胶护套电缆。不同用途的电缆应分开敷设。</w:t>
      </w:r>
    </w:p>
    <w:p>
      <w:pPr>
        <w:pStyle w:val="BodyText"/>
        <w:ind w:left="4"/>
        <w:spacing w:before="194" w:line="219" w:lineRule="auto"/>
        <w:outlineLvl w:val="6"/>
        <w:rPr>
          <w:sz w:val="28"/>
          <w:szCs w:val="28"/>
        </w:rPr>
      </w:pPr>
      <w:r>
        <w:rPr>
          <w:sz w:val="28"/>
          <w:szCs w:val="28"/>
          <w:b/>
          <w:bCs/>
          <w:spacing w:val="-4"/>
        </w:rPr>
        <w:t>8.3工艺技术设计安全防范措施</w:t>
      </w:r>
    </w:p>
    <w:p>
      <w:pPr>
        <w:pStyle w:val="BodyText"/>
        <w:ind w:left="480"/>
        <w:spacing w:before="210" w:line="419" w:lineRule="exact"/>
        <w:rPr>
          <w:sz w:val="24"/>
          <w:szCs w:val="24"/>
        </w:rPr>
      </w:pPr>
      <w:r>
        <w:rPr>
          <w:sz w:val="24"/>
          <w:szCs w:val="24"/>
          <w:spacing w:val="-2"/>
          <w:position w:val="13"/>
        </w:rPr>
        <w:t>生产操作过程中，加强安全管理，制定有效的事故防范措施。</w:t>
      </w:r>
      <w:r>
        <w:rPr>
          <w:sz w:val="24"/>
          <w:szCs w:val="24"/>
          <w:spacing w:val="-3"/>
          <w:position w:val="13"/>
        </w:rPr>
        <w:t>进行事故措施和事</w:t>
      </w:r>
    </w:p>
    <w:p>
      <w:pPr>
        <w:pStyle w:val="BodyText"/>
        <w:spacing w:before="1" w:line="218" w:lineRule="auto"/>
        <w:jc w:val="right"/>
        <w:rPr>
          <w:sz w:val="24"/>
          <w:szCs w:val="24"/>
        </w:rPr>
      </w:pPr>
      <w:r>
        <w:rPr>
          <w:sz w:val="24"/>
          <w:szCs w:val="24"/>
          <w:spacing w:val="-6"/>
        </w:rPr>
        <w:t>故应急处理的技能培训，使职工掌握紧急救援的知识。建</w:t>
      </w:r>
      <w:r>
        <w:rPr>
          <w:sz w:val="24"/>
          <w:szCs w:val="24"/>
          <w:spacing w:val="-7"/>
        </w:rPr>
        <w:t>议做好以下几个方面的工作：</w:t>
      </w:r>
    </w:p>
    <w:p>
      <w:pPr>
        <w:pStyle w:val="BodyText"/>
        <w:ind w:left="580"/>
        <w:spacing w:before="147" w:line="219" w:lineRule="auto"/>
        <w:rPr>
          <w:sz w:val="24"/>
          <w:szCs w:val="24"/>
        </w:rPr>
      </w:pPr>
      <w:r>
        <w:rPr>
          <w:sz w:val="24"/>
          <w:szCs w:val="24"/>
          <w:spacing w:val="12"/>
        </w:rPr>
        <w:t>(1)规范管理</w:t>
      </w:r>
    </w:p>
    <w:p>
      <w:pPr>
        <w:pStyle w:val="BodyText"/>
        <w:ind w:left="480"/>
        <w:spacing w:before="152" w:line="217" w:lineRule="auto"/>
        <w:rPr>
          <w:sz w:val="24"/>
          <w:szCs w:val="24"/>
        </w:rPr>
      </w:pPr>
      <w:r>
        <w:rPr>
          <w:sz w:val="24"/>
          <w:szCs w:val="24"/>
          <w:spacing w:val="-2"/>
        </w:rPr>
        <w:t>①严格执行国家、行业有关劳动安全卫生的法规和标准规范。</w:t>
      </w:r>
    </w:p>
    <w:p>
      <w:pPr>
        <w:pStyle w:val="BodyText"/>
        <w:ind w:left="480"/>
        <w:spacing w:before="168" w:line="445" w:lineRule="exact"/>
        <w:rPr>
          <w:sz w:val="24"/>
          <w:szCs w:val="24"/>
        </w:rPr>
      </w:pPr>
      <w:r>
        <w:rPr>
          <w:sz w:val="24"/>
          <w:szCs w:val="24"/>
          <w:spacing w:val="-2"/>
          <w:position w:val="15"/>
        </w:rPr>
        <w:t>②尽量采用技术先进和安全可靠的设备，并按国家有关规定在车间内设置必要的</w:t>
      </w:r>
    </w:p>
    <w:p>
      <w:pPr>
        <w:pStyle w:val="BodyText"/>
        <w:spacing w:before="1" w:line="220" w:lineRule="auto"/>
        <w:rPr>
          <w:sz w:val="24"/>
          <w:szCs w:val="24"/>
        </w:rPr>
      </w:pPr>
      <w:r>
        <w:rPr>
          <w:sz w:val="24"/>
          <w:szCs w:val="24"/>
          <w:spacing w:val="-10"/>
        </w:rPr>
        <w:t>安全卫生设施。</w:t>
      </w:r>
    </w:p>
    <w:p>
      <w:pPr>
        <w:pStyle w:val="BodyText"/>
        <w:ind w:left="480"/>
        <w:spacing w:before="138" w:line="217" w:lineRule="auto"/>
        <w:rPr>
          <w:sz w:val="24"/>
          <w:szCs w:val="24"/>
        </w:rPr>
      </w:pPr>
      <w:r>
        <w:rPr>
          <w:sz w:val="24"/>
          <w:szCs w:val="24"/>
          <w:spacing w:val="-3"/>
        </w:rPr>
        <w:t>③在生产区、仓库区等设置灭火设施。</w:t>
      </w:r>
    </w:p>
    <w:p>
      <w:pPr>
        <w:pStyle w:val="BodyText"/>
        <w:ind w:left="480"/>
        <w:spacing w:before="148" w:line="443" w:lineRule="exact"/>
        <w:rPr>
          <w:sz w:val="24"/>
          <w:szCs w:val="24"/>
        </w:rPr>
      </w:pPr>
      <w:r>
        <w:rPr>
          <w:sz w:val="24"/>
          <w:szCs w:val="24"/>
          <w:spacing w:val="-2"/>
          <w:position w:val="15"/>
        </w:rPr>
        <w:t>④在生产岗位设置事故柜和急救器材、防护面罩、护目镜、胶皮手</w:t>
      </w:r>
      <w:r>
        <w:rPr>
          <w:sz w:val="24"/>
          <w:szCs w:val="24"/>
          <w:spacing w:val="-3"/>
          <w:position w:val="15"/>
        </w:rPr>
        <w:t>套、耳塞等防</w:t>
      </w:r>
    </w:p>
    <w:p>
      <w:pPr>
        <w:pStyle w:val="BodyText"/>
        <w:spacing w:line="219" w:lineRule="auto"/>
        <w:rPr>
          <w:sz w:val="24"/>
          <w:szCs w:val="24"/>
        </w:rPr>
      </w:pPr>
      <w:r>
        <w:rPr>
          <w:sz w:val="24"/>
          <w:szCs w:val="24"/>
          <w:spacing w:val="-5"/>
        </w:rPr>
        <w:t>护、急救用具、用品。</w:t>
      </w:r>
    </w:p>
    <w:p>
      <w:pPr>
        <w:pStyle w:val="BodyText"/>
        <w:ind w:left="580"/>
        <w:spacing w:before="155" w:line="219" w:lineRule="auto"/>
        <w:rPr>
          <w:sz w:val="24"/>
          <w:szCs w:val="24"/>
        </w:rPr>
      </w:pPr>
      <w:r>
        <w:rPr>
          <w:sz w:val="24"/>
          <w:szCs w:val="24"/>
          <w:spacing w:val="7"/>
        </w:rPr>
        <w:t>(2)提高认识、完善制度、严格检查</w:t>
      </w:r>
    </w:p>
    <w:p>
      <w:pPr>
        <w:pStyle w:val="BodyText"/>
        <w:ind w:right="70" w:firstLine="480"/>
        <w:spacing w:before="144" w:line="331" w:lineRule="auto"/>
        <w:rPr>
          <w:sz w:val="24"/>
          <w:szCs w:val="24"/>
        </w:rPr>
      </w:pPr>
      <w:r>
        <w:rPr>
          <w:sz w:val="24"/>
          <w:szCs w:val="24"/>
          <w:spacing w:val="-2"/>
        </w:rPr>
        <w:t>企业领导应该提高对突发性事故的警觉和认识，做到警钟长鸣。企业建立安</w:t>
      </w:r>
      <w:r>
        <w:rPr>
          <w:sz w:val="24"/>
          <w:szCs w:val="24"/>
          <w:spacing w:val="-3"/>
        </w:rPr>
        <w:t>全与</w:t>
      </w:r>
      <w:r>
        <w:rPr>
          <w:sz w:val="24"/>
          <w:szCs w:val="24"/>
        </w:rPr>
        <w:t xml:space="preserve"> </w:t>
      </w:r>
      <w:r>
        <w:rPr>
          <w:sz w:val="24"/>
          <w:szCs w:val="24"/>
          <w:spacing w:val="-2"/>
        </w:rPr>
        <w:t>环保科，并由企业领导直接领导，全权负责。主要负责、检查和监督全厂的安</w:t>
      </w:r>
      <w:r>
        <w:rPr>
          <w:sz w:val="24"/>
          <w:szCs w:val="24"/>
          <w:spacing w:val="-3"/>
        </w:rPr>
        <w:t>全生产</w:t>
      </w:r>
      <w:r>
        <w:rPr>
          <w:sz w:val="24"/>
          <w:szCs w:val="24"/>
        </w:rPr>
        <w:t xml:space="preserve"> </w:t>
      </w:r>
      <w:r>
        <w:rPr>
          <w:sz w:val="24"/>
          <w:szCs w:val="24"/>
          <w:spacing w:val="-2"/>
        </w:rPr>
        <w:t>和环保设施的正常运转情况。对安全和环保应建立严格的防范措施，</w:t>
      </w:r>
      <w:r>
        <w:rPr>
          <w:sz w:val="24"/>
          <w:szCs w:val="24"/>
          <w:spacing w:val="-3"/>
        </w:rPr>
        <w:t>制定严格的管理</w:t>
      </w:r>
    </w:p>
    <w:p>
      <w:pPr>
        <w:pStyle w:val="BodyText"/>
        <w:spacing w:line="218" w:lineRule="auto"/>
        <w:rPr>
          <w:sz w:val="24"/>
          <w:szCs w:val="24"/>
        </w:rPr>
      </w:pPr>
      <w:r>
        <w:rPr>
          <w:sz w:val="24"/>
          <w:szCs w:val="24"/>
          <w:spacing w:val="-2"/>
        </w:rPr>
        <w:t>规章制度，列出潜在危险的过程、设备等清单，严格执行设备</w:t>
      </w:r>
      <w:r>
        <w:rPr>
          <w:sz w:val="24"/>
          <w:szCs w:val="24"/>
          <w:spacing w:val="-3"/>
        </w:rPr>
        <w:t>检验制度。</w:t>
      </w:r>
    </w:p>
    <w:p>
      <w:pPr>
        <w:pStyle w:val="BodyText"/>
        <w:ind w:left="580"/>
        <w:spacing w:before="177" w:line="219" w:lineRule="auto"/>
        <w:rPr>
          <w:sz w:val="24"/>
          <w:szCs w:val="24"/>
        </w:rPr>
      </w:pPr>
      <w:r>
        <w:rPr>
          <w:sz w:val="24"/>
          <w:szCs w:val="24"/>
          <w:spacing w:val="4"/>
        </w:rPr>
        <w:t>(3)加强技术培训，提高职工安全意识</w:t>
      </w:r>
    </w:p>
    <w:p>
      <w:pPr>
        <w:pStyle w:val="BodyText"/>
        <w:ind w:left="480"/>
        <w:spacing w:before="155" w:line="426" w:lineRule="exact"/>
        <w:rPr>
          <w:sz w:val="24"/>
          <w:szCs w:val="24"/>
        </w:rPr>
      </w:pPr>
      <w:r>
        <w:rPr>
          <w:sz w:val="24"/>
          <w:szCs w:val="24"/>
          <w:spacing w:val="-2"/>
          <w:position w:val="13"/>
        </w:rPr>
        <w:t>对生产操作工人必须进行上岗前专业技术培训，严格管理，提高职工安</w:t>
      </w:r>
      <w:r>
        <w:rPr>
          <w:sz w:val="24"/>
          <w:szCs w:val="24"/>
          <w:spacing w:val="-3"/>
          <w:position w:val="13"/>
        </w:rPr>
        <w:t>全环保意</w:t>
      </w:r>
    </w:p>
    <w:p>
      <w:pPr>
        <w:pStyle w:val="BodyText"/>
        <w:spacing w:before="1" w:line="223" w:lineRule="auto"/>
        <w:rPr>
          <w:sz w:val="24"/>
          <w:szCs w:val="24"/>
        </w:rPr>
      </w:pPr>
      <w:r>
        <w:rPr>
          <w:sz w:val="24"/>
          <w:szCs w:val="24"/>
          <w:spacing w:val="-12"/>
        </w:rPr>
        <w:t>识。</w:t>
      </w:r>
    </w:p>
    <w:p>
      <w:pPr>
        <w:pStyle w:val="BodyText"/>
        <w:ind w:left="580"/>
        <w:spacing w:before="134" w:line="219" w:lineRule="auto"/>
        <w:rPr>
          <w:sz w:val="24"/>
          <w:szCs w:val="24"/>
        </w:rPr>
      </w:pPr>
      <w:r>
        <w:rPr>
          <w:sz w:val="24"/>
          <w:szCs w:val="24"/>
          <w:spacing w:val="5"/>
        </w:rPr>
        <w:t>(4)提高事故应急处理的能力</w:t>
      </w:r>
    </w:p>
    <w:p>
      <w:pPr>
        <w:pStyle w:val="BodyText"/>
        <w:ind w:right="78" w:firstLine="480"/>
        <w:spacing w:before="156" w:line="338" w:lineRule="auto"/>
        <w:rPr>
          <w:sz w:val="24"/>
          <w:szCs w:val="24"/>
        </w:rPr>
      </w:pPr>
      <w:r>
        <w:rPr>
          <w:sz w:val="24"/>
          <w:szCs w:val="24"/>
          <w:spacing w:val="-2"/>
        </w:rPr>
        <w:t>企业对具有高危害设备设置保险措施，对车间可设置消防装</w:t>
      </w:r>
      <w:r>
        <w:rPr>
          <w:sz w:val="24"/>
          <w:szCs w:val="24"/>
          <w:spacing w:val="-3"/>
        </w:rPr>
        <w:t>置等必备设施，并辅</w:t>
      </w:r>
      <w:r>
        <w:rPr>
          <w:sz w:val="24"/>
          <w:szCs w:val="24"/>
        </w:rPr>
        <w:t xml:space="preserve"> </w:t>
      </w:r>
      <w:r>
        <w:rPr>
          <w:sz w:val="24"/>
          <w:szCs w:val="24"/>
          <w:spacing w:val="-2"/>
        </w:rPr>
        <w:t>以适当通讯工具，定期进行安全环保宣传教育以及紧急事故模拟演习</w:t>
      </w:r>
      <w:r>
        <w:rPr>
          <w:sz w:val="24"/>
          <w:szCs w:val="24"/>
          <w:spacing w:val="-3"/>
        </w:rPr>
        <w:t>，提高事故应变</w:t>
      </w:r>
    </w:p>
    <w:p>
      <w:pPr>
        <w:pStyle w:val="BodyText"/>
        <w:spacing w:line="219" w:lineRule="auto"/>
        <w:rPr>
          <w:sz w:val="24"/>
          <w:szCs w:val="24"/>
        </w:rPr>
      </w:pPr>
      <w:r>
        <w:rPr>
          <w:sz w:val="24"/>
          <w:szCs w:val="24"/>
          <w:spacing w:val="-12"/>
        </w:rPr>
        <w:t>能力。</w:t>
      </w:r>
    </w:p>
    <w:p>
      <w:pPr>
        <w:spacing w:line="219" w:lineRule="auto"/>
        <w:sectPr>
          <w:footerReference w:type="default" r:id="rId202"/>
          <w:pgSz w:w="11900" w:h="16840"/>
          <w:pgMar w:top="1251" w:right="1489" w:bottom="1005" w:left="1529" w:header="0" w:footer="856" w:gutter="0"/>
        </w:sectPr>
        <w:rPr>
          <w:sz w:val="24"/>
          <w:szCs w:val="24"/>
        </w:rPr>
      </w:pPr>
    </w:p>
    <w:p>
      <w:pPr>
        <w:pStyle w:val="BodyText"/>
        <w:ind w:left="3"/>
        <w:spacing w:before="48" w:line="219" w:lineRule="auto"/>
        <w:outlineLvl w:val="6"/>
        <w:rPr>
          <w:sz w:val="24"/>
          <w:szCs w:val="24"/>
        </w:rPr>
      </w:pPr>
      <w:r>
        <w:rPr>
          <w:sz w:val="24"/>
          <w:szCs w:val="24"/>
          <w:b/>
          <w:bCs/>
          <w:spacing w:val="27"/>
        </w:rPr>
        <w:t>8</w:t>
      </w:r>
      <w:r>
        <w:rPr>
          <w:sz w:val="24"/>
          <w:szCs w:val="24"/>
          <w:spacing w:val="-61"/>
        </w:rPr>
        <w:t xml:space="preserve"> </w:t>
      </w:r>
      <w:r>
        <w:rPr>
          <w:sz w:val="24"/>
          <w:szCs w:val="24"/>
          <w:b/>
          <w:bCs/>
          <w:spacing w:val="27"/>
        </w:rPr>
        <w:t>.4消防及火灾防范措施</w:t>
      </w:r>
    </w:p>
    <w:p>
      <w:pPr>
        <w:pStyle w:val="BodyText"/>
        <w:ind w:left="140" w:right="180" w:firstLine="329"/>
        <w:spacing w:before="237" w:line="354" w:lineRule="auto"/>
        <w:rPr>
          <w:sz w:val="24"/>
          <w:szCs w:val="24"/>
        </w:rPr>
      </w:pPr>
      <w:r>
        <w:rPr>
          <w:sz w:val="24"/>
          <w:szCs w:val="24"/>
          <w:spacing w:val="28"/>
        </w:rPr>
        <w:t>为了防范火灾风险，企业应当严格执行《石油化工企业设计防火规范》</w:t>
      </w:r>
      <w:r>
        <w:rPr>
          <w:sz w:val="24"/>
          <w:szCs w:val="24"/>
          <w:spacing w:val="11"/>
        </w:rPr>
        <w:t xml:space="preserve"> </w:t>
      </w:r>
      <w:r>
        <w:rPr>
          <w:sz w:val="24"/>
          <w:szCs w:val="24"/>
          <w:spacing w:val="-4"/>
        </w:rPr>
        <w:t>(GB50160-2008)、</w:t>
      </w:r>
      <w:r>
        <w:rPr>
          <w:sz w:val="24"/>
          <w:szCs w:val="24"/>
          <w:spacing w:val="31"/>
        </w:rPr>
        <w:t xml:space="preserve">  </w:t>
      </w:r>
      <w:r>
        <w:rPr>
          <w:sz w:val="24"/>
          <w:szCs w:val="24"/>
          <w:spacing w:val="-4"/>
        </w:rPr>
        <w:t>《建筑设计防火规范》</w:t>
      </w:r>
      <w:r>
        <w:rPr>
          <w:sz w:val="24"/>
          <w:szCs w:val="24"/>
          <w:spacing w:val="100"/>
        </w:rPr>
        <w:t xml:space="preserve"> </w:t>
      </w:r>
      <w:r>
        <w:rPr>
          <w:sz w:val="24"/>
          <w:szCs w:val="24"/>
          <w:spacing w:val="-4"/>
        </w:rPr>
        <w:t>(GB50016-2</w:t>
      </w:r>
      <w:r>
        <w:rPr>
          <w:sz w:val="24"/>
          <w:szCs w:val="24"/>
          <w:spacing w:val="-5"/>
        </w:rPr>
        <w:t>014)</w:t>
      </w:r>
      <w:r>
        <w:rPr>
          <w:sz w:val="24"/>
          <w:szCs w:val="24"/>
          <w:spacing w:val="111"/>
        </w:rPr>
        <w:t xml:space="preserve"> </w:t>
      </w:r>
      <w:r>
        <w:rPr>
          <w:sz w:val="24"/>
          <w:szCs w:val="24"/>
          <w:spacing w:val="-5"/>
        </w:rPr>
        <w:t>等的有关规定，按照</w:t>
      </w:r>
    </w:p>
    <w:p>
      <w:pPr>
        <w:pStyle w:val="BodyText"/>
        <w:spacing w:line="219" w:lineRule="auto"/>
        <w:rPr>
          <w:sz w:val="24"/>
          <w:szCs w:val="24"/>
        </w:rPr>
      </w:pPr>
      <w:r>
        <w:rPr>
          <w:sz w:val="24"/>
          <w:szCs w:val="24"/>
          <w:spacing w:val="-2"/>
        </w:rPr>
        <w:t>消防部门的要求，进一步落实和加强消防设施建设，杜绝任何火灾事故的发生。</w:t>
      </w:r>
    </w:p>
    <w:p>
      <w:pPr>
        <w:pStyle w:val="BodyText"/>
        <w:ind w:right="109" w:firstLine="470"/>
        <w:spacing w:before="183" w:line="362" w:lineRule="auto"/>
        <w:rPr>
          <w:sz w:val="24"/>
          <w:szCs w:val="24"/>
        </w:rPr>
      </w:pPr>
      <w:r>
        <w:rPr>
          <w:sz w:val="24"/>
          <w:szCs w:val="24"/>
          <w:spacing w:val="-8"/>
        </w:rPr>
        <w:t>(1)采用无泄漏输送泵及密封性良好的阀门，输送管道采用焊接，杜</w:t>
      </w:r>
      <w:r>
        <w:rPr>
          <w:sz w:val="24"/>
          <w:szCs w:val="24"/>
          <w:spacing w:val="-9"/>
        </w:rPr>
        <w:t>绝跑、冒、滴、</w:t>
      </w:r>
      <w:r>
        <w:rPr>
          <w:sz w:val="24"/>
          <w:szCs w:val="24"/>
        </w:rPr>
        <w:t xml:space="preserve"> </w:t>
      </w:r>
      <w:r>
        <w:rPr>
          <w:sz w:val="24"/>
          <w:szCs w:val="24"/>
          <w:spacing w:val="-2"/>
        </w:rPr>
        <w:t>漏，在高温季节，在条件可行的情况下，应采用喷淋降温储存，降低火灾、爆炸事故</w:t>
      </w:r>
    </w:p>
    <w:p>
      <w:pPr>
        <w:pStyle w:val="BodyText"/>
        <w:spacing w:line="219" w:lineRule="auto"/>
        <w:rPr>
          <w:sz w:val="24"/>
          <w:szCs w:val="24"/>
        </w:rPr>
      </w:pPr>
      <w:r>
        <w:rPr>
          <w:sz w:val="24"/>
          <w:szCs w:val="24"/>
          <w:spacing w:val="-12"/>
        </w:rPr>
        <w:t>的概率。</w:t>
      </w:r>
    </w:p>
    <w:p>
      <w:pPr>
        <w:pStyle w:val="BodyText"/>
        <w:spacing w:before="174" w:line="460" w:lineRule="exact"/>
        <w:jc w:val="right"/>
        <w:rPr>
          <w:sz w:val="24"/>
          <w:szCs w:val="24"/>
        </w:rPr>
      </w:pPr>
      <w:r>
        <w:rPr>
          <w:sz w:val="24"/>
          <w:szCs w:val="24"/>
          <w:spacing w:val="-5"/>
          <w:position w:val="16"/>
        </w:rPr>
        <w:t>(2)所有电器设备都应按照有关要求采用相应的防爆型电</w:t>
      </w:r>
      <w:r>
        <w:rPr>
          <w:sz w:val="24"/>
          <w:szCs w:val="24"/>
          <w:spacing w:val="-6"/>
          <w:position w:val="16"/>
        </w:rPr>
        <w:t>气设备，并有完善的防雷、</w:t>
      </w:r>
    </w:p>
    <w:p>
      <w:pPr>
        <w:pStyle w:val="BodyText"/>
        <w:spacing w:before="1" w:line="218" w:lineRule="auto"/>
        <w:rPr>
          <w:sz w:val="24"/>
          <w:szCs w:val="24"/>
        </w:rPr>
      </w:pPr>
      <w:r>
        <w:rPr>
          <w:sz w:val="24"/>
          <w:szCs w:val="24"/>
          <w:spacing w:val="-7"/>
        </w:rPr>
        <w:t>防静电接地设施。</w:t>
      </w:r>
    </w:p>
    <w:p>
      <w:pPr>
        <w:pStyle w:val="BodyText"/>
        <w:ind w:left="470"/>
        <w:spacing w:before="197" w:line="219" w:lineRule="auto"/>
        <w:rPr>
          <w:sz w:val="24"/>
          <w:szCs w:val="24"/>
        </w:rPr>
      </w:pPr>
      <w:r>
        <w:rPr>
          <w:sz w:val="24"/>
          <w:szCs w:val="24"/>
          <w:spacing w:val="-13"/>
        </w:rPr>
        <w:t>(3)配备完善的消防系统。</w:t>
      </w:r>
    </w:p>
    <w:p>
      <w:pPr>
        <w:pStyle w:val="BodyText"/>
        <w:ind w:left="470"/>
        <w:spacing w:before="174" w:line="471" w:lineRule="exact"/>
        <w:rPr>
          <w:sz w:val="24"/>
          <w:szCs w:val="24"/>
        </w:rPr>
      </w:pPr>
      <w:r>
        <w:rPr>
          <w:sz w:val="24"/>
          <w:szCs w:val="24"/>
          <w:spacing w:val="-5"/>
          <w:position w:val="17"/>
        </w:rPr>
        <w:t>(4)加强对操作人员的教育，制定严格操作规程和环境管理的规章制度，公司员工</w:t>
      </w:r>
    </w:p>
    <w:p>
      <w:pPr>
        <w:pStyle w:val="BodyText"/>
        <w:spacing w:before="1" w:line="219" w:lineRule="auto"/>
        <w:rPr>
          <w:sz w:val="24"/>
          <w:szCs w:val="24"/>
        </w:rPr>
      </w:pPr>
      <w:r>
        <w:rPr>
          <w:sz w:val="24"/>
          <w:szCs w:val="24"/>
          <w:spacing w:val="-2"/>
        </w:rPr>
        <w:t>上岗前必须进行严格的消防知识培训，经常维护，并保持设备的良好。</w:t>
      </w:r>
    </w:p>
    <w:p>
      <w:pPr>
        <w:pStyle w:val="BodyText"/>
        <w:ind w:left="470"/>
        <w:spacing w:before="164" w:line="490" w:lineRule="exact"/>
        <w:rPr>
          <w:sz w:val="24"/>
          <w:szCs w:val="24"/>
        </w:rPr>
      </w:pPr>
      <w:r>
        <w:rPr>
          <w:sz w:val="24"/>
          <w:szCs w:val="24"/>
          <w:spacing w:val="-8"/>
          <w:position w:val="18"/>
        </w:rPr>
        <w:t>(5)根据风险分析结果，项目主要风险是泄</w:t>
      </w:r>
      <w:r>
        <w:rPr>
          <w:sz w:val="24"/>
          <w:szCs w:val="24"/>
          <w:spacing w:val="-9"/>
          <w:position w:val="18"/>
        </w:rPr>
        <w:t>漏、遇明火发生火灾，因此在电解液仓、</w:t>
      </w:r>
    </w:p>
    <w:p>
      <w:pPr>
        <w:pStyle w:val="BodyText"/>
        <w:spacing w:before="1" w:line="219" w:lineRule="auto"/>
        <w:rPr>
          <w:sz w:val="24"/>
          <w:szCs w:val="24"/>
        </w:rPr>
      </w:pPr>
      <w:r>
        <w:rPr>
          <w:rFonts w:ascii="Times New Roman" w:hAnsi="Times New Roman" w:eastAsia="Times New Roman" w:cs="Times New Roman"/>
          <w:sz w:val="24"/>
          <w:szCs w:val="24"/>
          <w:spacing w:val="-2"/>
        </w:rPr>
        <w:t>NMP</w:t>
      </w:r>
      <w:r>
        <w:rPr>
          <w:rFonts w:ascii="Times New Roman" w:hAnsi="Times New Roman" w:eastAsia="Times New Roman" w:cs="Times New Roman"/>
          <w:sz w:val="24"/>
          <w:szCs w:val="24"/>
        </w:rPr>
        <w:t xml:space="preserve"> </w:t>
      </w:r>
      <w:r>
        <w:rPr>
          <w:sz w:val="24"/>
          <w:szCs w:val="24"/>
          <w:spacing w:val="-2"/>
        </w:rPr>
        <w:t>罐区、各生产区应设置禁火区，严格管理厂区内的用火。</w:t>
      </w:r>
    </w:p>
    <w:p>
      <w:pPr>
        <w:pStyle w:val="BodyText"/>
        <w:ind w:right="194" w:firstLine="470"/>
        <w:spacing w:before="163" w:line="362" w:lineRule="auto"/>
        <w:rPr>
          <w:sz w:val="24"/>
          <w:szCs w:val="24"/>
        </w:rPr>
      </w:pPr>
      <w:r>
        <w:rPr>
          <w:sz w:val="24"/>
          <w:szCs w:val="24"/>
          <w:spacing w:val="-10"/>
        </w:rPr>
        <w:t>(6)配备烟感报警器及联动系统，</w:t>
      </w:r>
      <w:r>
        <w:rPr>
          <w:sz w:val="24"/>
          <w:szCs w:val="24"/>
          <w:spacing w:val="70"/>
        </w:rPr>
        <w:t xml:space="preserve"> </w:t>
      </w:r>
      <w:r>
        <w:rPr>
          <w:sz w:val="24"/>
          <w:szCs w:val="24"/>
          <w:spacing w:val="-10"/>
        </w:rPr>
        <w:t>一旦发生火灾，燃烟达到一定浓度，便发出声光</w:t>
      </w:r>
      <w:r>
        <w:rPr>
          <w:sz w:val="24"/>
          <w:szCs w:val="24"/>
        </w:rPr>
        <w:t xml:space="preserve"> </w:t>
      </w:r>
      <w:r>
        <w:rPr>
          <w:sz w:val="24"/>
          <w:szCs w:val="24"/>
          <w:spacing w:val="-1"/>
        </w:rPr>
        <w:t>信号报警，以提示尽快进行排险处理，在报警的同时，应与消防</w:t>
      </w:r>
      <w:r>
        <w:rPr>
          <w:sz w:val="24"/>
          <w:szCs w:val="24"/>
          <w:spacing w:val="-2"/>
        </w:rPr>
        <w:t>水泵、喷淋冷却水、</w:t>
      </w:r>
    </w:p>
    <w:p>
      <w:pPr>
        <w:pStyle w:val="BodyText"/>
        <w:spacing w:before="1" w:line="219" w:lineRule="auto"/>
        <w:rPr>
          <w:sz w:val="24"/>
          <w:szCs w:val="24"/>
        </w:rPr>
      </w:pPr>
      <w:r>
        <w:rPr>
          <w:sz w:val="24"/>
          <w:szCs w:val="24"/>
          <w:spacing w:val="-5"/>
        </w:rPr>
        <w:t>固定灭火系统和通讯等设施联动。</w:t>
      </w:r>
    </w:p>
    <w:p>
      <w:pPr>
        <w:pStyle w:val="BodyText"/>
        <w:ind w:left="470"/>
        <w:spacing w:before="183" w:line="463" w:lineRule="exact"/>
        <w:rPr>
          <w:sz w:val="24"/>
          <w:szCs w:val="24"/>
        </w:rPr>
      </w:pPr>
      <w:r>
        <w:rPr>
          <w:sz w:val="24"/>
          <w:szCs w:val="24"/>
          <w:spacing w:val="-5"/>
          <w:position w:val="16"/>
        </w:rPr>
        <w:t>(7)公司安全环保部分管负责风险防范，配合地方政府制定完整的火灾爆炸事故应</w:t>
      </w:r>
    </w:p>
    <w:p>
      <w:pPr>
        <w:pStyle w:val="BodyText"/>
        <w:spacing w:line="220" w:lineRule="auto"/>
        <w:rPr>
          <w:sz w:val="24"/>
          <w:szCs w:val="24"/>
        </w:rPr>
      </w:pPr>
      <w:r>
        <w:rPr>
          <w:sz w:val="24"/>
          <w:szCs w:val="24"/>
          <w:spacing w:val="-6"/>
        </w:rPr>
        <w:t>急措施。</w:t>
      </w:r>
    </w:p>
    <w:p>
      <w:pPr>
        <w:pStyle w:val="BodyText"/>
        <w:ind w:right="211" w:firstLine="470"/>
        <w:spacing w:before="182" w:line="358" w:lineRule="auto"/>
        <w:rPr>
          <w:sz w:val="24"/>
          <w:szCs w:val="24"/>
        </w:rPr>
      </w:pPr>
      <w:r>
        <w:rPr>
          <w:sz w:val="24"/>
          <w:szCs w:val="24"/>
          <w:spacing w:val="-5"/>
        </w:rPr>
        <w:t>(8)制定事故应急救援预案，配备应急救援人员和必要的应急救援器材、设备，并</w:t>
      </w:r>
      <w:r>
        <w:rPr>
          <w:sz w:val="24"/>
          <w:szCs w:val="24"/>
          <w:spacing w:val="4"/>
        </w:rPr>
        <w:t xml:space="preserve"> </w:t>
      </w:r>
      <w:r>
        <w:rPr>
          <w:sz w:val="24"/>
          <w:szCs w:val="24"/>
          <w:spacing w:val="-2"/>
        </w:rPr>
        <w:t>定期组织演练。事故应急救援预案应当报区负责危险化学品安全监督管理综合工作的</w:t>
      </w:r>
    </w:p>
    <w:p>
      <w:pPr>
        <w:pStyle w:val="BodyText"/>
        <w:spacing w:line="219" w:lineRule="auto"/>
        <w:rPr>
          <w:sz w:val="24"/>
          <w:szCs w:val="24"/>
        </w:rPr>
      </w:pPr>
      <w:r>
        <w:rPr>
          <w:sz w:val="24"/>
          <w:szCs w:val="24"/>
          <w:spacing w:val="-8"/>
        </w:rPr>
        <w:t>部门备案。</w:t>
      </w:r>
    </w:p>
    <w:p>
      <w:pPr>
        <w:pStyle w:val="BodyText"/>
        <w:ind w:left="3"/>
        <w:spacing w:before="223" w:line="220" w:lineRule="auto"/>
        <w:outlineLvl w:val="6"/>
        <w:rPr>
          <w:sz w:val="24"/>
          <w:szCs w:val="24"/>
        </w:rPr>
      </w:pPr>
      <w:r>
        <w:rPr>
          <w:sz w:val="24"/>
          <w:szCs w:val="24"/>
          <w:b/>
          <w:bCs/>
          <w:spacing w:val="24"/>
        </w:rPr>
        <w:t>8</w:t>
      </w:r>
      <w:r>
        <w:rPr>
          <w:sz w:val="24"/>
          <w:szCs w:val="24"/>
          <w:spacing w:val="-65"/>
        </w:rPr>
        <w:t xml:space="preserve"> </w:t>
      </w:r>
      <w:r>
        <w:rPr>
          <w:sz w:val="24"/>
          <w:szCs w:val="24"/>
          <w:b/>
          <w:bCs/>
          <w:spacing w:val="24"/>
        </w:rPr>
        <w:t>.</w:t>
      </w:r>
      <w:r>
        <w:rPr>
          <w:sz w:val="24"/>
          <w:szCs w:val="24"/>
          <w:spacing w:val="-68"/>
        </w:rPr>
        <w:t xml:space="preserve"> </w:t>
      </w:r>
      <w:r>
        <w:rPr>
          <w:sz w:val="24"/>
          <w:szCs w:val="24"/>
          <w:b/>
          <w:bCs/>
          <w:spacing w:val="24"/>
        </w:rPr>
        <w:t>5事故应急池容积量分析</w:t>
      </w:r>
    </w:p>
    <w:p>
      <w:pPr>
        <w:pStyle w:val="BodyText"/>
        <w:ind w:left="470"/>
        <w:spacing w:before="211" w:line="485" w:lineRule="exact"/>
        <w:rPr>
          <w:sz w:val="24"/>
          <w:szCs w:val="24"/>
        </w:rPr>
      </w:pPr>
      <w:r>
        <w:rPr>
          <w:sz w:val="24"/>
          <w:szCs w:val="24"/>
          <w:spacing w:val="4"/>
          <w:position w:val="19"/>
        </w:rPr>
        <w:t>因本项目为改扩建项目，且正、负极材料储存依托现</w:t>
      </w:r>
      <w:r>
        <w:rPr>
          <w:sz w:val="24"/>
          <w:szCs w:val="24"/>
          <w:spacing w:val="3"/>
          <w:position w:val="19"/>
        </w:rPr>
        <w:t>有工程的原料仓</w:t>
      </w:r>
      <w:r>
        <w:rPr>
          <w:rFonts w:ascii="Times New Roman" w:hAnsi="Times New Roman" w:eastAsia="Times New Roman" w:cs="Times New Roman"/>
          <w:sz w:val="24"/>
          <w:szCs w:val="24"/>
          <w:spacing w:val="3"/>
          <w:position w:val="19"/>
        </w:rPr>
        <w:t>X7,   </w:t>
      </w:r>
      <w:r>
        <w:rPr>
          <w:sz w:val="24"/>
          <w:szCs w:val="24"/>
          <w:spacing w:val="3"/>
          <w:position w:val="19"/>
        </w:rPr>
        <w:t>故以</w:t>
      </w:r>
    </w:p>
    <w:p>
      <w:pPr>
        <w:pStyle w:val="BodyText"/>
        <w:spacing w:before="1" w:line="219" w:lineRule="auto"/>
        <w:rPr>
          <w:sz w:val="24"/>
          <w:szCs w:val="24"/>
        </w:rPr>
      </w:pPr>
      <w:r>
        <w:rPr>
          <w:sz w:val="24"/>
          <w:szCs w:val="24"/>
          <w:spacing w:val="-7"/>
        </w:rPr>
        <w:t>下事故池容积计算为全厂，具体如下：</w:t>
      </w:r>
    </w:p>
    <w:p>
      <w:pPr>
        <w:pStyle w:val="BodyText"/>
        <w:ind w:left="470"/>
        <w:spacing w:before="185" w:line="450" w:lineRule="exact"/>
        <w:rPr>
          <w:sz w:val="24"/>
          <w:szCs w:val="24"/>
        </w:rPr>
      </w:pPr>
      <w:r>
        <w:rPr>
          <w:sz w:val="24"/>
          <w:szCs w:val="24"/>
          <w:spacing w:val="-7"/>
          <w:position w:val="15"/>
        </w:rPr>
        <w:t>根据《消防给水及消火栓系统技术规范》</w:t>
      </w:r>
      <w:r>
        <w:rPr>
          <w:sz w:val="24"/>
          <w:szCs w:val="24"/>
          <w:spacing w:val="76"/>
          <w:position w:val="15"/>
        </w:rPr>
        <w:t xml:space="preserve"> </w:t>
      </w:r>
      <w:r>
        <w:rPr>
          <w:sz w:val="24"/>
          <w:szCs w:val="24"/>
          <w:spacing w:val="-7"/>
          <w:position w:val="15"/>
        </w:rPr>
        <w:t>(GB50974-2014)、</w:t>
      </w:r>
      <w:r>
        <w:rPr>
          <w:sz w:val="24"/>
          <w:szCs w:val="24"/>
          <w:spacing w:val="31"/>
          <w:position w:val="15"/>
        </w:rPr>
        <w:t xml:space="preserve">  </w:t>
      </w:r>
      <w:r>
        <w:rPr>
          <w:sz w:val="24"/>
          <w:szCs w:val="24"/>
          <w:spacing w:val="-7"/>
          <w:position w:val="15"/>
        </w:rPr>
        <w:t>《化工建设项目环</w:t>
      </w:r>
    </w:p>
    <w:p>
      <w:pPr>
        <w:pStyle w:val="BodyText"/>
        <w:spacing w:line="219" w:lineRule="auto"/>
        <w:rPr>
          <w:sz w:val="24"/>
          <w:szCs w:val="24"/>
        </w:rPr>
      </w:pPr>
      <w:r>
        <w:rPr>
          <w:sz w:val="24"/>
          <w:szCs w:val="24"/>
          <w:spacing w:val="-5"/>
        </w:rPr>
        <w:t>境保护工程设计标准》</w:t>
      </w:r>
      <w:r>
        <w:rPr>
          <w:sz w:val="24"/>
          <w:szCs w:val="24"/>
          <w:spacing w:val="30"/>
        </w:rPr>
        <w:t xml:space="preserve"> </w:t>
      </w:r>
      <w:r>
        <w:rPr>
          <w:sz w:val="24"/>
          <w:szCs w:val="24"/>
          <w:spacing w:val="-5"/>
        </w:rPr>
        <w:t>(GB/T50483-2019) 相关</w:t>
      </w:r>
      <w:r>
        <w:rPr>
          <w:sz w:val="24"/>
          <w:szCs w:val="24"/>
          <w:spacing w:val="-6"/>
        </w:rPr>
        <w:t>要求，进行事故池总有效容积的计算。</w:t>
      </w:r>
    </w:p>
    <w:p>
      <w:pPr>
        <w:spacing w:line="265" w:lineRule="auto"/>
        <w:rPr>
          <w:rFonts w:ascii="Arial"/>
          <w:sz w:val="21"/>
        </w:rPr>
      </w:pPr>
      <w:r/>
    </w:p>
    <w:p>
      <w:pPr>
        <w:pStyle w:val="BodyText"/>
        <w:ind w:left="3369"/>
        <w:spacing w:before="43" w:line="222" w:lineRule="auto"/>
        <w:rPr>
          <w:rFonts w:ascii="Calibri" w:hAnsi="Calibri" w:eastAsia="Calibri" w:cs="Calibri"/>
          <w:sz w:val="13"/>
          <w:szCs w:val="13"/>
        </w:rPr>
      </w:pPr>
      <w:r>
        <w:rPr>
          <w:sz w:val="13"/>
          <w:szCs w:val="13"/>
          <w:spacing w:val="-1"/>
        </w:rPr>
        <w:t>V  </w:t>
      </w:r>
      <w:r>
        <w:rPr>
          <w:rFonts w:ascii="SimHei" w:hAnsi="SimHei" w:eastAsia="SimHei" w:cs="SimHei"/>
          <w:sz w:val="13"/>
          <w:szCs w:val="13"/>
          <w:spacing w:val="-1"/>
        </w:rPr>
        <w:t>应急池=</w:t>
      </w:r>
      <w:r>
        <w:rPr>
          <w:sz w:val="13"/>
          <w:szCs w:val="13"/>
          <w:spacing w:val="-1"/>
        </w:rPr>
        <w:t>(V</w:t>
      </w:r>
      <w:r>
        <w:rPr>
          <w:rFonts w:ascii="Calibri" w:hAnsi="Calibri" w:eastAsia="Calibri" w:cs="Calibri"/>
          <w:sz w:val="13"/>
          <w:szCs w:val="13"/>
          <w:spacing w:val="-1"/>
        </w:rPr>
        <w:t>₁</w:t>
      </w:r>
      <w:r>
        <w:rPr>
          <w:sz w:val="13"/>
          <w:szCs w:val="13"/>
          <w:spacing w:val="-1"/>
        </w:rPr>
        <w:t>+V</w:t>
      </w:r>
      <w:r>
        <w:rPr>
          <w:rFonts w:ascii="Calibri" w:hAnsi="Calibri" w:eastAsia="Calibri" w:cs="Calibri"/>
          <w:sz w:val="13"/>
          <w:szCs w:val="13"/>
          <w:spacing w:val="-1"/>
        </w:rPr>
        <w:t>₂</w:t>
      </w:r>
      <w:r>
        <w:rPr>
          <w:sz w:val="13"/>
          <w:szCs w:val="13"/>
          <w:spacing w:val="-1"/>
        </w:rPr>
        <w:t>+V          </w:t>
      </w:r>
      <w:r>
        <w:rPr>
          <w:rFonts w:ascii="SimHei" w:hAnsi="SimHei" w:eastAsia="SimHei" w:cs="SimHei"/>
          <w:sz w:val="13"/>
          <w:szCs w:val="13"/>
          <w:spacing w:val="-1"/>
        </w:rPr>
        <w:t>雨</w:t>
      </w:r>
      <w:r>
        <w:rPr>
          <w:rFonts w:ascii="SimHei" w:hAnsi="SimHei" w:eastAsia="SimHei" w:cs="SimHei"/>
          <w:sz w:val="13"/>
          <w:szCs w:val="13"/>
          <w:spacing w:val="-1"/>
        </w:rPr>
        <w:t xml:space="preserve"> </w:t>
      </w:r>
      <w:r>
        <w:rPr>
          <w:rFonts w:ascii="SimHei" w:hAnsi="SimHei" w:eastAsia="SimHei" w:cs="SimHei"/>
          <w:sz w:val="13"/>
          <w:szCs w:val="13"/>
          <w:spacing w:val="-1"/>
        </w:rPr>
        <w:t>)</w:t>
      </w:r>
      <w:r>
        <w:rPr>
          <w:sz w:val="13"/>
          <w:szCs w:val="13"/>
          <w:spacing w:val="-1"/>
        </w:rPr>
        <w:t>m</w:t>
      </w:r>
      <w:r>
        <w:rPr>
          <w:sz w:val="13"/>
          <w:szCs w:val="13"/>
          <w:spacing w:val="-2"/>
        </w:rPr>
        <w:t>ax-V</w:t>
      </w:r>
      <w:r>
        <w:rPr>
          <w:rFonts w:ascii="Calibri" w:hAnsi="Calibri" w:eastAsia="Calibri" w:cs="Calibri"/>
          <w:sz w:val="13"/>
          <w:szCs w:val="13"/>
          <w:spacing w:val="-2"/>
        </w:rPr>
        <w:t>₃</w:t>
      </w:r>
    </w:p>
    <w:p>
      <w:pPr>
        <w:pStyle w:val="BodyText"/>
        <w:ind w:left="470"/>
        <w:spacing w:before="189" w:line="444" w:lineRule="exact"/>
        <w:rPr>
          <w:sz w:val="24"/>
          <w:szCs w:val="24"/>
        </w:rPr>
      </w:pPr>
      <w:r>
        <w:rPr>
          <w:sz w:val="24"/>
          <w:szCs w:val="24"/>
          <w:spacing w:val="5"/>
          <w:position w:val="15"/>
        </w:rPr>
        <w:t>V</w:t>
      </w:r>
      <w:r>
        <w:rPr>
          <w:rFonts w:ascii="Calibri" w:hAnsi="Calibri" w:eastAsia="Calibri" w:cs="Calibri"/>
          <w:sz w:val="24"/>
          <w:szCs w:val="24"/>
          <w:spacing w:val="5"/>
          <w:position w:val="15"/>
        </w:rPr>
        <w:t>₁</w:t>
      </w:r>
      <w:r>
        <w:rPr>
          <w:sz w:val="24"/>
          <w:szCs w:val="24"/>
          <w:spacing w:val="5"/>
          <w:position w:val="15"/>
        </w:rPr>
        <w:t>—</w:t>
      </w:r>
      <w:r>
        <w:rPr>
          <w:sz w:val="24"/>
          <w:szCs w:val="24"/>
          <w:spacing w:val="-45"/>
          <w:position w:val="15"/>
        </w:rPr>
        <w:t xml:space="preserve"> </w:t>
      </w:r>
      <w:r>
        <w:rPr>
          <w:sz w:val="24"/>
          <w:szCs w:val="24"/>
          <w:spacing w:val="5"/>
          <w:position w:val="15"/>
        </w:rPr>
        <w:t>为收集系统范围内发生事故的最大容</w:t>
      </w:r>
      <w:r>
        <w:rPr>
          <w:sz w:val="24"/>
          <w:szCs w:val="24"/>
          <w:spacing w:val="4"/>
          <w:position w:val="15"/>
        </w:rPr>
        <w:t>积的一台设备(装置)或贮罐的物料贮</w:t>
      </w:r>
    </w:p>
    <w:p>
      <w:pPr>
        <w:pStyle w:val="BodyText"/>
        <w:spacing w:before="1" w:line="212" w:lineRule="auto"/>
        <w:rPr>
          <w:rFonts w:ascii="Times New Roman" w:hAnsi="Times New Roman" w:eastAsia="Times New Roman" w:cs="Times New Roman"/>
          <w:sz w:val="24"/>
          <w:szCs w:val="24"/>
        </w:rPr>
      </w:pPr>
      <w:r>
        <w:rPr>
          <w:sz w:val="24"/>
          <w:szCs w:val="24"/>
          <w:spacing w:val="-23"/>
          <w:w w:val="98"/>
        </w:rPr>
        <w:t>量</w:t>
      </w:r>
      <w:r>
        <w:rPr>
          <w:sz w:val="24"/>
          <w:szCs w:val="24"/>
          <w:spacing w:val="-33"/>
        </w:rPr>
        <w:t xml:space="preserve"> </w:t>
      </w:r>
      <w:r>
        <w:rPr>
          <w:sz w:val="24"/>
          <w:szCs w:val="24"/>
          <w:spacing w:val="-23"/>
          <w:w w:val="98"/>
        </w:rPr>
        <w:t>，</w:t>
      </w:r>
      <w:r>
        <w:rPr>
          <w:rFonts w:ascii="Times New Roman" w:hAnsi="Times New Roman" w:eastAsia="Times New Roman" w:cs="Times New Roman"/>
          <w:sz w:val="24"/>
          <w:szCs w:val="24"/>
          <w:spacing w:val="-23"/>
          <w:w w:val="98"/>
        </w:rPr>
        <w:t>m³;</w:t>
      </w:r>
    </w:p>
    <w:p>
      <w:pPr>
        <w:spacing w:line="212" w:lineRule="auto"/>
        <w:sectPr>
          <w:footerReference w:type="default" r:id="rId203"/>
          <w:pgSz w:w="11900" w:h="16840"/>
          <w:pgMar w:top="1288" w:right="1340" w:bottom="1005" w:left="1529" w:header="0" w:footer="856" w:gutter="0"/>
        </w:sectPr>
        <w:rPr>
          <w:rFonts w:ascii="Times New Roman" w:hAnsi="Times New Roman" w:eastAsia="Times New Roman" w:cs="Times New Roman"/>
          <w:sz w:val="24"/>
          <w:szCs w:val="24"/>
        </w:rPr>
      </w:pPr>
    </w:p>
    <w:p>
      <w:pPr>
        <w:pStyle w:val="BodyText"/>
        <w:ind w:right="130" w:firstLine="470"/>
        <w:spacing w:before="48" w:line="346" w:lineRule="auto"/>
        <w:jc w:val="both"/>
        <w:rPr>
          <w:sz w:val="24"/>
          <w:szCs w:val="24"/>
        </w:rPr>
      </w:pPr>
      <w:r>
        <w:rPr>
          <w:rFonts w:ascii="Arial" w:hAnsi="Arial" w:eastAsia="Arial" w:cs="Arial"/>
          <w:sz w:val="24"/>
          <w:szCs w:val="24"/>
          <w:spacing w:val="-2"/>
        </w:rPr>
        <w:t>V:</w:t>
      </w:r>
      <w:r>
        <w:rPr>
          <w:rFonts w:ascii="Arial" w:hAnsi="Arial" w:eastAsia="Arial" w:cs="Arial"/>
          <w:sz w:val="24"/>
          <w:szCs w:val="24"/>
          <w:u w:val="single" w:color="auto"/>
          <w:spacing w:val="-2"/>
        </w:rPr>
        <w:t xml:space="preserve">        </w:t>
      </w:r>
      <w:r>
        <w:rPr>
          <w:sz w:val="24"/>
          <w:szCs w:val="24"/>
          <w:spacing w:val="-2"/>
        </w:rPr>
        <w:t>发生事故储罐或装置的消防用水量，包括扑灭火灾所需</w:t>
      </w:r>
      <w:r>
        <w:rPr>
          <w:sz w:val="24"/>
          <w:szCs w:val="24"/>
          <w:spacing w:val="-3"/>
        </w:rPr>
        <w:t>用水量和保护临近</w:t>
      </w:r>
      <w:r>
        <w:rPr>
          <w:sz w:val="24"/>
          <w:szCs w:val="24"/>
        </w:rPr>
        <w:t xml:space="preserve"> </w:t>
      </w:r>
      <w:r>
        <w:rPr>
          <w:sz w:val="24"/>
          <w:szCs w:val="24"/>
          <w:spacing w:val="-7"/>
        </w:rPr>
        <w:t>设备或储罐的喷淋水量，</w:t>
      </w:r>
      <w:r>
        <w:rPr>
          <w:rFonts w:ascii="Times New Roman" w:hAnsi="Times New Roman" w:eastAsia="Times New Roman" w:cs="Times New Roman"/>
          <w:sz w:val="24"/>
          <w:szCs w:val="24"/>
          <w:spacing w:val="-7"/>
        </w:rPr>
        <w:t>m³</w:t>
      </w:r>
      <w:r>
        <w:rPr>
          <w:sz w:val="24"/>
          <w:szCs w:val="24"/>
          <w:spacing w:val="-7"/>
        </w:rPr>
        <w:t>(根据《消防给水及消火栓系统技术规范》(GB50974-2014)</w:t>
      </w:r>
    </w:p>
    <w:p>
      <w:pPr>
        <w:pStyle w:val="BodyText"/>
        <w:spacing w:line="219" w:lineRule="auto"/>
        <w:rPr>
          <w:sz w:val="24"/>
          <w:szCs w:val="24"/>
        </w:rPr>
      </w:pPr>
      <w:r>
        <w:rPr>
          <w:sz w:val="24"/>
          <w:szCs w:val="24"/>
          <w:spacing w:val="8"/>
        </w:rPr>
        <w:t>等有关规定确定):</w:t>
      </w:r>
    </w:p>
    <w:p>
      <w:pPr>
        <w:ind w:left="4050"/>
        <w:spacing w:before="243"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V₂=ZQt</w:t>
      </w:r>
    </w:p>
    <w:p>
      <w:pPr>
        <w:pStyle w:val="BodyText"/>
        <w:ind w:left="959"/>
        <w:spacing w:before="202" w:line="359" w:lineRule="auto"/>
        <w:rPr>
          <w:sz w:val="24"/>
          <w:szCs w:val="24"/>
        </w:rPr>
      </w:pPr>
      <w:r>
        <w:rPr>
          <w:rFonts w:ascii="Times New Roman" w:hAnsi="Times New Roman" w:eastAsia="Times New Roman" w:cs="Times New Roman"/>
          <w:sz w:val="24"/>
          <w:szCs w:val="24"/>
          <w:spacing w:val="-4"/>
        </w:rPr>
        <w:t>Q;</w:t>
      </w:r>
      <w:r>
        <w:rPr>
          <w:rFonts w:ascii="Times New Roman" w:hAnsi="Times New Roman" w:eastAsia="Times New Roman" w:cs="Times New Roman"/>
          <w:sz w:val="24"/>
          <w:szCs w:val="24"/>
          <w:spacing w:val="-41"/>
        </w:rPr>
        <w:t xml:space="preserve"> </w:t>
      </w:r>
      <w:r>
        <w:rPr>
          <w:rFonts w:ascii="Times New Roman" w:hAnsi="Times New Roman" w:eastAsia="Times New Roman" w:cs="Times New Roman"/>
          <w:sz w:val="24"/>
          <w:szCs w:val="24"/>
          <w:u w:val="single" w:color="auto"/>
          <w:spacing w:val="1"/>
        </w:rPr>
        <w:t xml:space="preserve">          </w:t>
      </w:r>
      <w:r>
        <w:rPr>
          <w:rFonts w:ascii="Times New Roman" w:hAnsi="Times New Roman" w:eastAsia="Times New Roman" w:cs="Times New Roman"/>
          <w:sz w:val="24"/>
          <w:szCs w:val="24"/>
          <w:spacing w:val="-50"/>
        </w:rPr>
        <w:t xml:space="preserve"> </w:t>
      </w:r>
      <w:r>
        <w:rPr>
          <w:sz w:val="24"/>
          <w:szCs w:val="24"/>
          <w:spacing w:val="-4"/>
        </w:rPr>
        <w:t>发生事故的储罐或装置的同时使用的消</w:t>
      </w:r>
      <w:r>
        <w:rPr>
          <w:sz w:val="24"/>
          <w:szCs w:val="24"/>
          <w:spacing w:val="-5"/>
        </w:rPr>
        <w:t>防设施给水流量；</w:t>
      </w:r>
    </w:p>
    <w:p>
      <w:pPr>
        <w:pStyle w:val="BodyText"/>
        <w:ind w:left="969"/>
        <w:spacing w:line="21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 x——</w:t>
      </w:r>
      <w:r>
        <w:rPr>
          <w:sz w:val="24"/>
          <w:szCs w:val="24"/>
        </w:rPr>
        <w:t>消防设施对应的设计消防历时</w:t>
      </w:r>
      <w:r>
        <w:rPr>
          <w:rFonts w:ascii="Times New Roman" w:hAnsi="Times New Roman" w:eastAsia="Times New Roman" w:cs="Times New Roman"/>
          <w:sz w:val="24"/>
          <w:szCs w:val="24"/>
        </w:rPr>
        <w:t>h;</w:t>
      </w:r>
    </w:p>
    <w:p>
      <w:pPr>
        <w:pStyle w:val="BodyText"/>
        <w:ind w:left="470"/>
        <w:spacing w:before="182" w:line="37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V</w:t>
      </w:r>
      <w:r>
        <w:rPr>
          <w:rFonts w:ascii="Times New Roman" w:hAnsi="Times New Roman" w:eastAsia="Times New Roman" w:cs="Times New Roman"/>
          <w:sz w:val="24"/>
          <w:szCs w:val="24"/>
          <w:spacing w:val="49"/>
        </w:rPr>
        <w:t xml:space="preserve"> </w:t>
      </w:r>
      <w:r>
        <w:rPr>
          <w:rFonts w:ascii="Times New Roman" w:hAnsi="Times New Roman" w:eastAsia="Times New Roman" w:cs="Times New Roman"/>
          <w:sz w:val="24"/>
          <w:szCs w:val="24"/>
          <w:u w:val="single" w:color="auto"/>
          <w:spacing w:val="5"/>
        </w:rPr>
        <w:t xml:space="preserve">         </w:t>
      </w:r>
      <w:r>
        <w:rPr>
          <w:rFonts w:ascii="Times New Roman" w:hAnsi="Times New Roman" w:eastAsia="Times New Roman" w:cs="Times New Roman"/>
          <w:sz w:val="24"/>
          <w:szCs w:val="24"/>
          <w:spacing w:val="-35"/>
        </w:rPr>
        <w:t xml:space="preserve"> </w:t>
      </w:r>
      <w:r>
        <w:rPr>
          <w:sz w:val="24"/>
          <w:szCs w:val="24"/>
          <w:spacing w:val="-3"/>
        </w:rPr>
        <w:t>发生事故时可能进入该收集系统的降雨量，</w:t>
      </w:r>
      <w:r>
        <w:rPr>
          <w:rFonts w:ascii="Times New Roman" w:hAnsi="Times New Roman" w:eastAsia="Times New Roman" w:cs="Times New Roman"/>
          <w:sz w:val="24"/>
          <w:szCs w:val="24"/>
          <w:spacing w:val="-3"/>
        </w:rPr>
        <w:t>m³</w:t>
      </w:r>
      <w:r>
        <w:rPr>
          <w:rFonts w:ascii="Times New Roman" w:hAnsi="Times New Roman" w:eastAsia="Times New Roman" w:cs="Times New Roman"/>
          <w:sz w:val="24"/>
          <w:szCs w:val="24"/>
          <w:spacing w:val="-28"/>
        </w:rPr>
        <w:t xml:space="preserve"> </w:t>
      </w:r>
      <w:r>
        <w:rPr>
          <w:sz w:val="24"/>
          <w:szCs w:val="24"/>
          <w:spacing w:val="-3"/>
        </w:rPr>
        <w:t>。</w:t>
      </w:r>
      <w:r>
        <w:rPr>
          <w:rFonts w:ascii="Times New Roman" w:hAnsi="Times New Roman" w:eastAsia="Times New Roman" w:cs="Times New Roman"/>
          <w:sz w:val="24"/>
          <w:szCs w:val="24"/>
          <w:spacing w:val="-3"/>
        </w:rPr>
        <w:t>Vm=10qF,  </w:t>
      </w:r>
      <w:r>
        <w:rPr>
          <w:sz w:val="24"/>
          <w:szCs w:val="24"/>
          <w:spacing w:val="-3"/>
        </w:rPr>
        <w:t>其中</w:t>
      </w:r>
      <w:r>
        <w:rPr>
          <w:sz w:val="24"/>
          <w:szCs w:val="24"/>
          <w:spacing w:val="-39"/>
        </w:rPr>
        <w:t xml:space="preserve"> </w:t>
      </w:r>
      <w:r>
        <w:rPr>
          <w:rFonts w:ascii="Times New Roman" w:hAnsi="Times New Roman" w:eastAsia="Times New Roman" w:cs="Times New Roman"/>
          <w:sz w:val="24"/>
          <w:szCs w:val="24"/>
          <w:spacing w:val="-3"/>
        </w:rPr>
        <w:t>q</w:t>
      </w:r>
      <w:r>
        <w:rPr>
          <w:rFonts w:ascii="Times New Roman" w:hAnsi="Times New Roman" w:eastAsia="Times New Roman" w:cs="Times New Roman"/>
          <w:sz w:val="24"/>
          <w:szCs w:val="24"/>
          <w:spacing w:val="-4"/>
        </w:rPr>
        <w:t>=qa/n,</w:t>
      </w:r>
    </w:p>
    <w:p>
      <w:pPr>
        <w:pStyle w:val="BodyText"/>
        <w:spacing w:before="1" w:line="219" w:lineRule="auto"/>
        <w:rPr>
          <w:sz w:val="24"/>
          <w:szCs w:val="24"/>
        </w:rPr>
      </w:pPr>
      <w:r>
        <w:rPr>
          <w:sz w:val="24"/>
          <w:szCs w:val="24"/>
          <w:spacing w:val="-7"/>
        </w:rPr>
        <w:t>日平均降雨量；</w:t>
      </w:r>
      <w:r>
        <w:rPr>
          <w:rFonts w:ascii="Times New Roman" w:hAnsi="Times New Roman" w:eastAsia="Times New Roman" w:cs="Times New Roman"/>
          <w:sz w:val="24"/>
          <w:szCs w:val="24"/>
          <w:spacing w:val="-7"/>
        </w:rPr>
        <w:t>F:   </w:t>
      </w:r>
      <w:r>
        <w:rPr>
          <w:sz w:val="24"/>
          <w:szCs w:val="24"/>
          <w:spacing w:val="-7"/>
        </w:rPr>
        <w:t>必须进入事故池的雨水汇水面积， </w:t>
      </w:r>
      <w:r>
        <w:rPr>
          <w:rFonts w:ascii="Times New Roman" w:hAnsi="Times New Roman" w:eastAsia="Times New Roman" w:cs="Times New Roman"/>
          <w:sz w:val="24"/>
          <w:szCs w:val="24"/>
          <w:spacing w:val="-7"/>
        </w:rPr>
        <w:t>ha</w:t>
      </w:r>
      <w:r>
        <w:rPr>
          <w:sz w:val="24"/>
          <w:szCs w:val="24"/>
          <w:spacing w:val="-7"/>
        </w:rPr>
        <w:t>。</w:t>
      </w:r>
    </w:p>
    <w:p>
      <w:pPr>
        <w:pStyle w:val="BodyText"/>
        <w:ind w:left="470"/>
        <w:spacing w:before="185" w:line="366" w:lineRule="auto"/>
        <w:rPr>
          <w:sz w:val="24"/>
          <w:szCs w:val="24"/>
        </w:rPr>
      </w:pPr>
      <w:r>
        <w:rPr>
          <w:rFonts w:ascii="Times New Roman" w:hAnsi="Times New Roman" w:eastAsia="Times New Roman" w:cs="Times New Roman"/>
          <w:sz w:val="24"/>
          <w:szCs w:val="24"/>
          <w:spacing w:val="-7"/>
        </w:rPr>
        <w:t>V:</w:t>
      </w:r>
      <w:r>
        <w:rPr>
          <w:rFonts w:ascii="Times New Roman" w:hAnsi="Times New Roman" w:eastAsia="Times New Roman" w:cs="Times New Roman"/>
          <w:sz w:val="24"/>
          <w:szCs w:val="24"/>
          <w:u w:val="single" w:color="auto"/>
          <w:spacing w:val="-7"/>
        </w:rPr>
        <w:t xml:space="preserve">         </w:t>
      </w:r>
      <w:r>
        <w:rPr>
          <w:sz w:val="24"/>
          <w:szCs w:val="24"/>
          <w:spacing w:val="-7"/>
        </w:rPr>
        <w:t>发生事故时相关围堰、环沟、管道等可以暂存事故废水的设施的有效容积，</w:t>
      </w:r>
    </w:p>
    <w:p>
      <w:pPr>
        <w:spacing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m³;</w:t>
      </w:r>
    </w:p>
    <w:p>
      <w:pPr>
        <w:pStyle w:val="BodyText"/>
        <w:ind w:right="20" w:firstLine="470"/>
        <w:spacing w:before="216" w:line="368" w:lineRule="auto"/>
        <w:rPr>
          <w:sz w:val="24"/>
          <w:szCs w:val="24"/>
        </w:rPr>
      </w:pPr>
      <w:r>
        <w:rPr>
          <w:sz w:val="24"/>
          <w:szCs w:val="24"/>
          <w:spacing w:val="3"/>
        </w:rPr>
        <w:t>对凹版车间、凹版设施房(含锅炉房)、污水</w:t>
      </w:r>
      <w:r>
        <w:rPr>
          <w:sz w:val="24"/>
          <w:szCs w:val="24"/>
          <w:spacing w:val="2"/>
        </w:rPr>
        <w:t>处理站、</w:t>
      </w:r>
      <w:r>
        <w:rPr>
          <w:rFonts w:ascii="Times New Roman" w:hAnsi="Times New Roman" w:eastAsia="Times New Roman" w:cs="Times New Roman"/>
          <w:sz w:val="24"/>
          <w:szCs w:val="24"/>
        </w:rPr>
        <w:t>NMP</w:t>
      </w:r>
      <w:r>
        <w:rPr>
          <w:rFonts w:ascii="Times New Roman" w:hAnsi="Times New Roman" w:eastAsia="Times New Roman" w:cs="Times New Roman"/>
          <w:sz w:val="24"/>
          <w:szCs w:val="24"/>
          <w:spacing w:val="2"/>
        </w:rPr>
        <w:t xml:space="preserve"> </w:t>
      </w:r>
      <w:r>
        <w:rPr>
          <w:sz w:val="24"/>
          <w:szCs w:val="24"/>
          <w:spacing w:val="2"/>
        </w:rPr>
        <w:t>罐区</w:t>
      </w:r>
      <w:r>
        <w:rPr>
          <w:sz w:val="24"/>
          <w:szCs w:val="24"/>
          <w:spacing w:val="-38"/>
        </w:rPr>
        <w:t xml:space="preserve"> </w:t>
      </w:r>
      <w:r>
        <w:rPr>
          <w:rFonts w:ascii="Times New Roman" w:hAnsi="Times New Roman" w:eastAsia="Times New Roman" w:cs="Times New Roman"/>
          <w:sz w:val="24"/>
          <w:szCs w:val="24"/>
          <w:spacing w:val="2"/>
        </w:rPr>
        <w:t>C</w:t>
      </w:r>
      <w:r>
        <w:rPr>
          <w:sz w:val="24"/>
          <w:szCs w:val="24"/>
          <w:spacing w:val="2"/>
        </w:rPr>
        <w:t>、危废仓库等</w:t>
      </w:r>
      <w:r>
        <w:rPr>
          <w:sz w:val="24"/>
          <w:szCs w:val="24"/>
        </w:rPr>
        <w:t xml:space="preserve">  </w:t>
      </w:r>
      <w:r>
        <w:rPr>
          <w:sz w:val="24"/>
          <w:szCs w:val="24"/>
          <w:spacing w:val="1"/>
        </w:rPr>
        <w:t>区域进行应急池计算，结果表明，凹版车间、凹版设施房(含锅炉房)、污水处理站、</w:t>
      </w:r>
      <w:r>
        <w:rPr>
          <w:sz w:val="24"/>
          <w:szCs w:val="24"/>
          <w:spacing w:val="10"/>
        </w:rPr>
        <w:t xml:space="preserve"> </w:t>
      </w:r>
      <w:r>
        <w:rPr>
          <w:rFonts w:ascii="Times New Roman" w:hAnsi="Times New Roman" w:eastAsia="Times New Roman" w:cs="Times New Roman"/>
          <w:sz w:val="24"/>
          <w:szCs w:val="24"/>
        </w:rPr>
        <w:t>NMP</w:t>
      </w:r>
      <w:r>
        <w:rPr>
          <w:rFonts w:ascii="Times New Roman" w:hAnsi="Times New Roman" w:eastAsia="Times New Roman" w:cs="Times New Roman"/>
          <w:sz w:val="24"/>
          <w:szCs w:val="24"/>
          <w:spacing w:val="-23"/>
        </w:rPr>
        <w:t xml:space="preserve"> </w:t>
      </w:r>
      <w:r>
        <w:rPr>
          <w:sz w:val="24"/>
          <w:szCs w:val="24"/>
          <w:spacing w:val="12"/>
        </w:rPr>
        <w:t>及废</w:t>
      </w:r>
      <w:r>
        <w:rPr>
          <w:sz w:val="24"/>
          <w:szCs w:val="24"/>
          <w:spacing w:val="-52"/>
        </w:rPr>
        <w:t xml:space="preserve"> </w:t>
      </w:r>
      <w:r>
        <w:rPr>
          <w:rFonts w:ascii="Times New Roman" w:hAnsi="Times New Roman" w:eastAsia="Times New Roman" w:cs="Times New Roman"/>
          <w:sz w:val="24"/>
          <w:szCs w:val="24"/>
        </w:rPr>
        <w:t>NMP</w:t>
      </w:r>
      <w:r>
        <w:rPr>
          <w:rFonts w:ascii="Times New Roman" w:hAnsi="Times New Roman" w:eastAsia="Times New Roman" w:cs="Times New Roman"/>
          <w:sz w:val="24"/>
          <w:szCs w:val="24"/>
          <w:spacing w:val="27"/>
        </w:rPr>
        <w:t xml:space="preserve"> </w:t>
      </w:r>
      <w:r>
        <w:rPr>
          <w:sz w:val="24"/>
          <w:szCs w:val="24"/>
          <w:spacing w:val="12"/>
        </w:rPr>
        <w:t>罐区</w:t>
      </w:r>
      <w:r>
        <w:rPr>
          <w:sz w:val="24"/>
          <w:szCs w:val="24"/>
          <w:spacing w:val="-29"/>
        </w:rPr>
        <w:t xml:space="preserve"> </w:t>
      </w:r>
      <w:r>
        <w:rPr>
          <w:rFonts w:ascii="Times New Roman" w:hAnsi="Times New Roman" w:eastAsia="Times New Roman" w:cs="Times New Roman"/>
          <w:sz w:val="24"/>
          <w:szCs w:val="24"/>
          <w:spacing w:val="12"/>
        </w:rPr>
        <w:t>C</w:t>
      </w:r>
      <w:r>
        <w:rPr>
          <w:rFonts w:ascii="Times New Roman" w:hAnsi="Times New Roman" w:eastAsia="Times New Roman" w:cs="Times New Roman"/>
          <w:sz w:val="24"/>
          <w:szCs w:val="24"/>
          <w:spacing w:val="-34"/>
        </w:rPr>
        <w:t xml:space="preserve"> </w:t>
      </w:r>
      <w:r>
        <w:rPr>
          <w:sz w:val="24"/>
          <w:szCs w:val="24"/>
          <w:spacing w:val="12"/>
        </w:rPr>
        <w:t>、危废仓库等区域需要设置事故应急</w:t>
      </w:r>
      <w:r>
        <w:rPr>
          <w:sz w:val="24"/>
          <w:szCs w:val="24"/>
          <w:spacing w:val="11"/>
        </w:rPr>
        <w:t>池的最小有效容积为</w:t>
      </w:r>
    </w:p>
    <w:p>
      <w:pPr>
        <w:pStyle w:val="BodyText"/>
        <w:spacing w:line="237" w:lineRule="auto"/>
        <w:rPr>
          <w:sz w:val="24"/>
          <w:szCs w:val="24"/>
        </w:rPr>
      </w:pPr>
      <w:r>
        <w:rPr>
          <w:sz w:val="24"/>
          <w:szCs w:val="24"/>
          <w:spacing w:val="-10"/>
        </w:rPr>
        <w:t>160.21m³。</w:t>
      </w:r>
    </w:p>
    <w:p>
      <w:pPr>
        <w:pStyle w:val="BodyText"/>
        <w:ind w:right="119" w:firstLine="470"/>
        <w:spacing w:before="121" w:line="366" w:lineRule="auto"/>
        <w:rPr>
          <w:sz w:val="24"/>
          <w:szCs w:val="24"/>
        </w:rPr>
      </w:pPr>
      <w:r>
        <w:rPr>
          <w:sz w:val="24"/>
          <w:szCs w:val="24"/>
          <w:spacing w:val="7"/>
        </w:rPr>
        <w:t>污水处理站新建50</w:t>
      </w:r>
      <w:r>
        <w:rPr>
          <w:rFonts w:ascii="Times New Roman" w:hAnsi="Times New Roman" w:eastAsia="Times New Roman" w:cs="Times New Roman"/>
          <w:sz w:val="24"/>
          <w:szCs w:val="24"/>
          <w:spacing w:val="7"/>
        </w:rPr>
        <w:t>m³</w:t>
      </w:r>
      <w:r>
        <w:rPr>
          <w:sz w:val="24"/>
          <w:szCs w:val="24"/>
          <w:spacing w:val="7"/>
        </w:rPr>
        <w:t>的事故应急池，全厂事故池总容积为300</w:t>
      </w:r>
      <w:r>
        <w:rPr>
          <w:rFonts w:ascii="Times New Roman" w:hAnsi="Times New Roman" w:eastAsia="Times New Roman" w:cs="Times New Roman"/>
          <w:sz w:val="24"/>
          <w:szCs w:val="24"/>
          <w:spacing w:val="7"/>
        </w:rPr>
        <w:t>m³;</w:t>
      </w:r>
      <w:r>
        <w:rPr>
          <w:rFonts w:ascii="Times New Roman" w:hAnsi="Times New Roman" w:eastAsia="Times New Roman" w:cs="Times New Roman"/>
          <w:sz w:val="24"/>
          <w:szCs w:val="24"/>
          <w:spacing w:val="34"/>
          <w:w w:val="101"/>
        </w:rPr>
        <w:t xml:space="preserve">  </w:t>
      </w:r>
      <w:r>
        <w:rPr>
          <w:sz w:val="24"/>
          <w:szCs w:val="24"/>
          <w:spacing w:val="7"/>
        </w:rPr>
        <w:t>危废仓库区</w:t>
      </w:r>
      <w:r>
        <w:rPr>
          <w:sz w:val="24"/>
          <w:szCs w:val="24"/>
        </w:rPr>
        <w:t xml:space="preserve"> </w:t>
      </w:r>
      <w:r>
        <w:rPr>
          <w:sz w:val="24"/>
          <w:szCs w:val="24"/>
          <w:spacing w:val="4"/>
        </w:rPr>
        <w:t>域四周设置导流沟并配置了1个容积为1.5</w:t>
      </w:r>
      <w:r>
        <w:rPr>
          <w:rFonts w:ascii="Times New Roman" w:hAnsi="Times New Roman" w:eastAsia="Times New Roman" w:cs="Times New Roman"/>
          <w:sz w:val="24"/>
          <w:szCs w:val="24"/>
          <w:spacing w:val="4"/>
        </w:rPr>
        <w:t>m³</w:t>
      </w:r>
      <w:r>
        <w:rPr>
          <w:sz w:val="24"/>
          <w:szCs w:val="24"/>
          <w:spacing w:val="4"/>
        </w:rPr>
        <w:t>的事故应急池。事故应急池容积可满足 </w:t>
      </w:r>
      <w:r>
        <w:rPr>
          <w:sz w:val="24"/>
          <w:szCs w:val="24"/>
          <w:spacing w:val="-2"/>
        </w:rPr>
        <w:t>事故应急需求，并且区域周边均已设置了沟槽、管道、应急阀门，事故时可连接至应</w:t>
      </w:r>
    </w:p>
    <w:p>
      <w:pPr>
        <w:pStyle w:val="BodyText"/>
        <w:spacing w:line="219" w:lineRule="auto"/>
        <w:rPr>
          <w:sz w:val="24"/>
          <w:szCs w:val="24"/>
        </w:rPr>
      </w:pPr>
      <w:r>
        <w:rPr>
          <w:sz w:val="24"/>
          <w:szCs w:val="24"/>
          <w:spacing w:val="-10"/>
        </w:rPr>
        <w:t>急池内。</w:t>
      </w:r>
    </w:p>
    <w:p>
      <w:pPr>
        <w:pStyle w:val="BodyText"/>
        <w:ind w:left="3"/>
        <w:spacing w:before="212" w:line="219" w:lineRule="auto"/>
        <w:outlineLvl w:val="6"/>
        <w:rPr>
          <w:sz w:val="24"/>
          <w:szCs w:val="24"/>
        </w:rPr>
      </w:pPr>
      <w:r>
        <w:rPr>
          <w:sz w:val="24"/>
          <w:szCs w:val="24"/>
          <w:b/>
          <w:bCs/>
          <w:spacing w:val="28"/>
        </w:rPr>
        <w:t>8</w:t>
      </w:r>
      <w:r>
        <w:rPr>
          <w:sz w:val="24"/>
          <w:szCs w:val="24"/>
          <w:spacing w:val="-55"/>
        </w:rPr>
        <w:t xml:space="preserve"> </w:t>
      </w:r>
      <w:r>
        <w:rPr>
          <w:sz w:val="24"/>
          <w:szCs w:val="24"/>
          <w:b/>
          <w:bCs/>
          <w:spacing w:val="28"/>
        </w:rPr>
        <w:t>.</w:t>
      </w:r>
      <w:r>
        <w:rPr>
          <w:sz w:val="24"/>
          <w:szCs w:val="24"/>
          <w:spacing w:val="-68"/>
        </w:rPr>
        <w:t xml:space="preserve"> </w:t>
      </w:r>
      <w:r>
        <w:rPr>
          <w:sz w:val="24"/>
          <w:szCs w:val="24"/>
          <w:b/>
          <w:bCs/>
          <w:spacing w:val="28"/>
        </w:rPr>
        <w:t>6地下水、土壤环境污染风险防范</w:t>
      </w:r>
    </w:p>
    <w:p>
      <w:pPr>
        <w:pStyle w:val="BodyText"/>
        <w:ind w:firstLine="470"/>
        <w:spacing w:before="227" w:line="354" w:lineRule="auto"/>
        <w:rPr>
          <w:sz w:val="24"/>
          <w:szCs w:val="24"/>
        </w:rPr>
      </w:pPr>
      <w:r>
        <w:rPr>
          <w:sz w:val="24"/>
          <w:szCs w:val="24"/>
          <w:spacing w:val="-1"/>
        </w:rPr>
        <w:t>严格按照国家相关规范要求，对工艺、管道、</w:t>
      </w:r>
      <w:r>
        <w:rPr>
          <w:sz w:val="24"/>
          <w:szCs w:val="24"/>
          <w:spacing w:val="-2"/>
        </w:rPr>
        <w:t>设备、污染储存及处理构筑物采取</w:t>
      </w:r>
      <w:r>
        <w:rPr>
          <w:sz w:val="24"/>
          <w:szCs w:val="24"/>
        </w:rPr>
        <w:t xml:space="preserve">  </w:t>
      </w:r>
      <w:r>
        <w:rPr>
          <w:sz w:val="24"/>
          <w:szCs w:val="24"/>
          <w:spacing w:val="-2"/>
        </w:rPr>
        <w:t>相应的措施，以防止和降低污染物的跑、滴、漏，将环境风险事故降低到最低。优化</w:t>
      </w:r>
      <w:r>
        <w:rPr>
          <w:sz w:val="24"/>
          <w:szCs w:val="24"/>
          <w:spacing w:val="6"/>
        </w:rPr>
        <w:t xml:space="preserve">  </w:t>
      </w:r>
      <w:r>
        <w:rPr>
          <w:sz w:val="24"/>
          <w:szCs w:val="24"/>
          <w:spacing w:val="-4"/>
        </w:rPr>
        <w:t>排水系统设计，工艺废水、初期雨水等在厂</w:t>
      </w:r>
      <w:r>
        <w:rPr>
          <w:sz w:val="24"/>
          <w:szCs w:val="24"/>
          <w:spacing w:val="-5"/>
        </w:rPr>
        <w:t>界内收集并经过管线送至污水处理站处理。</w:t>
      </w:r>
      <w:r>
        <w:rPr>
          <w:sz w:val="24"/>
          <w:szCs w:val="24"/>
        </w:rPr>
        <w:t xml:space="preserve"> </w:t>
      </w:r>
      <w:r>
        <w:rPr>
          <w:sz w:val="24"/>
          <w:szCs w:val="24"/>
          <w:spacing w:val="-1"/>
        </w:rPr>
        <w:t>管线敷设尽量采用“可视化”原则，即管道尽可能地</w:t>
      </w:r>
      <w:r>
        <w:rPr>
          <w:sz w:val="24"/>
          <w:szCs w:val="24"/>
          <w:spacing w:val="-2"/>
        </w:rPr>
        <w:t>上敷设，做到污染物“早发现、</w:t>
      </w:r>
      <w:r>
        <w:rPr>
          <w:sz w:val="24"/>
          <w:szCs w:val="24"/>
        </w:rPr>
        <w:t xml:space="preserve">  </w:t>
      </w:r>
      <w:r>
        <w:rPr>
          <w:sz w:val="24"/>
          <w:szCs w:val="24"/>
          <w:spacing w:val="2"/>
        </w:rPr>
        <w:t>早处理”,以减少由于埋地管道泄漏而可能造成的地</w:t>
      </w:r>
      <w:r>
        <w:rPr>
          <w:sz w:val="24"/>
          <w:szCs w:val="24"/>
          <w:spacing w:val="1"/>
        </w:rPr>
        <w:t>下水、土壤污染。同时应将污水</w:t>
      </w:r>
    </w:p>
    <w:p>
      <w:pPr>
        <w:pStyle w:val="BodyText"/>
        <w:spacing w:before="1" w:line="219" w:lineRule="auto"/>
        <w:rPr>
          <w:sz w:val="24"/>
          <w:szCs w:val="24"/>
        </w:rPr>
      </w:pPr>
      <w:r>
        <w:rPr>
          <w:sz w:val="24"/>
          <w:szCs w:val="24"/>
          <w:spacing w:val="-2"/>
        </w:rPr>
        <w:t>处理设施、危险废物仓库、罐区作为重点污染防治区。</w:t>
      </w:r>
    </w:p>
    <w:p>
      <w:pPr>
        <w:pStyle w:val="BodyText"/>
        <w:ind w:left="3"/>
        <w:spacing w:before="262" w:line="219" w:lineRule="auto"/>
        <w:outlineLvl w:val="6"/>
        <w:rPr>
          <w:sz w:val="24"/>
          <w:szCs w:val="24"/>
        </w:rPr>
      </w:pPr>
      <w:r>
        <w:rPr>
          <w:sz w:val="24"/>
          <w:szCs w:val="24"/>
          <w:b/>
          <w:bCs/>
          <w:spacing w:val="28"/>
        </w:rPr>
        <w:t>8</w:t>
      </w:r>
      <w:r>
        <w:rPr>
          <w:sz w:val="24"/>
          <w:szCs w:val="24"/>
          <w:spacing w:val="-61"/>
        </w:rPr>
        <w:t xml:space="preserve"> </w:t>
      </w:r>
      <w:r>
        <w:rPr>
          <w:sz w:val="24"/>
          <w:szCs w:val="24"/>
          <w:b/>
          <w:bCs/>
          <w:spacing w:val="28"/>
        </w:rPr>
        <w:t>.</w:t>
      </w:r>
      <w:r>
        <w:rPr>
          <w:sz w:val="24"/>
          <w:szCs w:val="24"/>
          <w:spacing w:val="-66"/>
        </w:rPr>
        <w:t xml:space="preserve"> </w:t>
      </w:r>
      <w:r>
        <w:rPr>
          <w:sz w:val="24"/>
          <w:szCs w:val="24"/>
          <w:b/>
          <w:bCs/>
          <w:spacing w:val="28"/>
        </w:rPr>
        <w:t>7事故工况下包络线范围内的管控要求</w:t>
      </w:r>
    </w:p>
    <w:p>
      <w:pPr>
        <w:pStyle w:val="BodyText"/>
        <w:ind w:left="470"/>
        <w:spacing w:before="199" w:line="219" w:lineRule="auto"/>
        <w:rPr>
          <w:sz w:val="24"/>
          <w:szCs w:val="24"/>
        </w:rPr>
      </w:pPr>
      <w:r>
        <w:rPr>
          <w:sz w:val="24"/>
          <w:szCs w:val="24"/>
          <w:spacing w:val="-1"/>
        </w:rPr>
        <w:t>根据分析可知，项目可燃物料泄漏发生火灾时，对周</w:t>
      </w:r>
      <w:r>
        <w:rPr>
          <w:sz w:val="24"/>
          <w:szCs w:val="24"/>
          <w:spacing w:val="-2"/>
        </w:rPr>
        <w:t>边环境有一定影响，因此一</w:t>
      </w:r>
    </w:p>
    <w:p>
      <w:pPr>
        <w:pStyle w:val="BodyText"/>
        <w:spacing w:before="194" w:line="470" w:lineRule="exact"/>
        <w:rPr>
          <w:sz w:val="24"/>
          <w:szCs w:val="24"/>
        </w:rPr>
      </w:pPr>
      <w:r>
        <w:rPr>
          <w:sz w:val="24"/>
          <w:szCs w:val="24"/>
          <w:spacing w:val="-1"/>
          <w:position w:val="17"/>
        </w:rPr>
        <w:t>旦发生事故时，应及时疏散厂区及周边民众，参</w:t>
      </w:r>
      <w:r>
        <w:rPr>
          <w:sz w:val="24"/>
          <w:szCs w:val="24"/>
          <w:spacing w:val="-2"/>
          <w:position w:val="17"/>
        </w:rPr>
        <w:t>与抢险的人员应做好人员防护。</w:t>
      </w:r>
    </w:p>
    <w:p>
      <w:pPr>
        <w:pStyle w:val="BodyText"/>
        <w:ind w:left="629"/>
        <w:spacing w:line="218" w:lineRule="auto"/>
        <w:rPr>
          <w:sz w:val="24"/>
          <w:szCs w:val="24"/>
        </w:rPr>
      </w:pPr>
      <w:r>
        <w:rPr>
          <w:sz w:val="24"/>
          <w:szCs w:val="24"/>
          <w:spacing w:val="2"/>
        </w:rPr>
        <w:t>(1)现场抢险人员采取个人防护措施。</w:t>
      </w:r>
    </w:p>
    <w:p>
      <w:pPr>
        <w:pStyle w:val="BodyText"/>
        <w:ind w:left="629"/>
        <w:spacing w:before="177" w:line="219" w:lineRule="auto"/>
        <w:rPr>
          <w:sz w:val="24"/>
          <w:szCs w:val="24"/>
        </w:rPr>
      </w:pPr>
      <w:r>
        <w:rPr>
          <w:sz w:val="24"/>
          <w:szCs w:val="24"/>
          <w:spacing w:val="3"/>
        </w:rPr>
        <w:t>(2)根据事故情况，在安全区外设立警戒区域。</w:t>
      </w:r>
    </w:p>
    <w:p>
      <w:pPr>
        <w:spacing w:line="219" w:lineRule="auto"/>
        <w:sectPr>
          <w:footerReference w:type="default" r:id="rId204"/>
          <w:pgSz w:w="11900" w:h="16840"/>
          <w:pgMar w:top="1271" w:right="1429" w:bottom="1005" w:left="1519" w:header="0" w:footer="856" w:gutter="0"/>
        </w:sectPr>
        <w:rPr>
          <w:sz w:val="24"/>
          <w:szCs w:val="24"/>
        </w:rPr>
      </w:pPr>
    </w:p>
    <w:p>
      <w:pPr>
        <w:pStyle w:val="BodyText"/>
        <w:ind w:left="619"/>
        <w:spacing w:before="47" w:line="482" w:lineRule="exact"/>
        <w:rPr>
          <w:sz w:val="24"/>
          <w:szCs w:val="24"/>
        </w:rPr>
      </w:pPr>
      <w:r>
        <w:rPr>
          <w:sz w:val="24"/>
          <w:szCs w:val="24"/>
          <w:spacing w:val="5"/>
          <w:position w:val="18"/>
        </w:rPr>
        <w:t>(3)对突发环境事件现场进行保护，禁止无关人员进入警戒区域</w:t>
      </w:r>
      <w:r>
        <w:rPr>
          <w:sz w:val="24"/>
          <w:szCs w:val="24"/>
          <w:spacing w:val="4"/>
          <w:position w:val="18"/>
        </w:rPr>
        <w:t>，维护现场治</w:t>
      </w:r>
    </w:p>
    <w:p>
      <w:pPr>
        <w:pStyle w:val="BodyText"/>
        <w:spacing w:before="1" w:line="220" w:lineRule="auto"/>
        <w:rPr>
          <w:sz w:val="24"/>
          <w:szCs w:val="24"/>
        </w:rPr>
      </w:pPr>
      <w:r>
        <w:rPr>
          <w:sz w:val="24"/>
          <w:szCs w:val="24"/>
          <w:spacing w:val="-10"/>
        </w:rPr>
        <w:t>安秩序。</w:t>
      </w:r>
    </w:p>
    <w:p>
      <w:pPr>
        <w:pStyle w:val="BodyText"/>
        <w:ind w:left="619"/>
        <w:spacing w:before="170" w:line="462" w:lineRule="exact"/>
        <w:rPr>
          <w:sz w:val="24"/>
          <w:szCs w:val="24"/>
        </w:rPr>
      </w:pPr>
      <w:r>
        <w:rPr>
          <w:sz w:val="24"/>
          <w:szCs w:val="24"/>
          <w:spacing w:val="5"/>
          <w:position w:val="16"/>
        </w:rPr>
        <w:t>(4)事故现场周边区域的道路禁止任何车辆和</w:t>
      </w:r>
      <w:r>
        <w:rPr>
          <w:sz w:val="24"/>
          <w:szCs w:val="24"/>
          <w:spacing w:val="4"/>
          <w:position w:val="16"/>
        </w:rPr>
        <w:t>人员进入，并负责指明道路绕行</w:t>
      </w:r>
    </w:p>
    <w:p>
      <w:pPr>
        <w:pStyle w:val="BodyText"/>
        <w:spacing w:before="1" w:line="220" w:lineRule="auto"/>
        <w:rPr>
          <w:sz w:val="24"/>
          <w:szCs w:val="24"/>
        </w:rPr>
      </w:pPr>
      <w:r>
        <w:rPr>
          <w:sz w:val="24"/>
          <w:szCs w:val="24"/>
          <w:spacing w:val="-11"/>
        </w:rPr>
        <w:t>方向。</w:t>
      </w:r>
    </w:p>
    <w:p>
      <w:pPr>
        <w:pStyle w:val="BodyText"/>
        <w:ind w:left="619"/>
        <w:spacing w:before="191" w:line="467" w:lineRule="exact"/>
        <w:rPr>
          <w:sz w:val="24"/>
          <w:szCs w:val="24"/>
        </w:rPr>
      </w:pPr>
      <w:r>
        <w:rPr>
          <w:sz w:val="24"/>
          <w:szCs w:val="24"/>
          <w:spacing w:val="6"/>
          <w:position w:val="17"/>
        </w:rPr>
        <w:t>(5)人员紧急疏散、撤离措施</w:t>
      </w:r>
    </w:p>
    <w:p>
      <w:pPr>
        <w:pStyle w:val="BodyText"/>
        <w:ind w:left="480"/>
        <w:spacing w:line="217" w:lineRule="auto"/>
        <w:rPr>
          <w:sz w:val="24"/>
          <w:szCs w:val="24"/>
        </w:rPr>
      </w:pPr>
      <w:r>
        <w:rPr>
          <w:sz w:val="24"/>
          <w:szCs w:val="24"/>
          <w:spacing w:val="-3"/>
        </w:rPr>
        <w:t>①厂区内人员的撤离</w:t>
      </w:r>
    </w:p>
    <w:p>
      <w:pPr>
        <w:pStyle w:val="BodyText"/>
        <w:ind w:left="480"/>
        <w:spacing w:before="170" w:line="480" w:lineRule="exact"/>
        <w:rPr>
          <w:sz w:val="24"/>
          <w:szCs w:val="24"/>
        </w:rPr>
      </w:pPr>
      <w:r>
        <w:rPr>
          <w:sz w:val="24"/>
          <w:szCs w:val="24"/>
          <w:spacing w:val="-2"/>
          <w:position w:val="18"/>
        </w:rPr>
        <w:t>厂区内人员自行撤离到上风口处，各单元组长组织各自单元人员有秩序地疏散，</w:t>
      </w:r>
    </w:p>
    <w:p>
      <w:pPr>
        <w:pStyle w:val="BodyText"/>
        <w:spacing w:before="1" w:line="219" w:lineRule="auto"/>
        <w:rPr>
          <w:sz w:val="24"/>
          <w:szCs w:val="24"/>
        </w:rPr>
      </w:pPr>
      <w:r>
        <w:rPr>
          <w:sz w:val="24"/>
          <w:szCs w:val="24"/>
          <w:spacing w:val="-1"/>
        </w:rPr>
        <w:t>疏散顺序从最危险地段人员先开始，相互兼顾照应，并根</w:t>
      </w:r>
      <w:r>
        <w:rPr>
          <w:sz w:val="24"/>
          <w:szCs w:val="24"/>
          <w:spacing w:val="-2"/>
        </w:rPr>
        <w:t>据风向指明集合地点。</w:t>
      </w:r>
    </w:p>
    <w:p>
      <w:pPr>
        <w:pStyle w:val="BodyText"/>
        <w:ind w:left="480"/>
        <w:spacing w:before="172" w:line="217" w:lineRule="auto"/>
        <w:rPr>
          <w:sz w:val="24"/>
          <w:szCs w:val="24"/>
        </w:rPr>
      </w:pPr>
      <w:r>
        <w:rPr>
          <w:sz w:val="24"/>
          <w:szCs w:val="24"/>
          <w:spacing w:val="-1"/>
        </w:rPr>
        <w:t>②周边区域的单位、村民疏散的方式、方法</w:t>
      </w:r>
    </w:p>
    <w:p>
      <w:pPr>
        <w:pStyle w:val="BodyText"/>
        <w:ind w:firstLine="480"/>
        <w:spacing w:before="180" w:line="354" w:lineRule="auto"/>
        <w:rPr>
          <w:sz w:val="24"/>
          <w:szCs w:val="24"/>
        </w:rPr>
      </w:pPr>
      <w:r>
        <w:rPr>
          <w:sz w:val="24"/>
          <w:szCs w:val="24"/>
          <w:spacing w:val="-3"/>
        </w:rPr>
        <w:t>当事故危及周边企业时，由厂区应急指挥中心向政府以及周边单位书面发</w:t>
      </w:r>
      <w:r>
        <w:rPr>
          <w:sz w:val="24"/>
          <w:szCs w:val="24"/>
          <w:spacing w:val="-4"/>
        </w:rPr>
        <w:t>送警报。</w:t>
      </w:r>
      <w:r>
        <w:rPr>
          <w:sz w:val="24"/>
          <w:szCs w:val="24"/>
        </w:rPr>
        <w:t xml:space="preserve"> </w:t>
      </w:r>
      <w:r>
        <w:rPr>
          <w:sz w:val="24"/>
          <w:szCs w:val="24"/>
          <w:spacing w:val="-2"/>
        </w:rPr>
        <w:t>事态严重紧急时，通过厂区应急指挥中心直接联系政府以及周边单位负责人，提出要</w:t>
      </w:r>
    </w:p>
    <w:p>
      <w:pPr>
        <w:pStyle w:val="BodyText"/>
        <w:spacing w:line="219" w:lineRule="auto"/>
        <w:rPr>
          <w:sz w:val="24"/>
          <w:szCs w:val="24"/>
        </w:rPr>
      </w:pPr>
      <w:r>
        <w:rPr>
          <w:sz w:val="24"/>
          <w:szCs w:val="24"/>
          <w:spacing w:val="-4"/>
        </w:rPr>
        <w:t>求组织撤离疏散或者请求援助。</w:t>
      </w:r>
    </w:p>
    <w:p>
      <w:pPr>
        <w:pStyle w:val="BodyText"/>
        <w:ind w:left="480"/>
        <w:spacing w:before="203" w:line="217" w:lineRule="auto"/>
        <w:rPr>
          <w:sz w:val="24"/>
          <w:szCs w:val="24"/>
        </w:rPr>
      </w:pPr>
      <w:r>
        <w:rPr>
          <w:sz w:val="24"/>
          <w:szCs w:val="24"/>
          <w:spacing w:val="-1"/>
        </w:rPr>
        <w:t>③人员疏散、撤离必须是有组织，有秩序进行</w:t>
      </w:r>
      <w:r>
        <w:rPr>
          <w:sz w:val="24"/>
          <w:szCs w:val="24"/>
          <w:spacing w:val="-2"/>
        </w:rPr>
        <w:t>，避免发生踩踏等二次事故。</w:t>
      </w:r>
    </w:p>
    <w:p>
      <w:pPr>
        <w:pStyle w:val="BodyText"/>
        <w:ind w:left="4"/>
        <w:spacing w:before="179" w:line="220" w:lineRule="auto"/>
        <w:outlineLvl w:val="6"/>
        <w:rPr>
          <w:sz w:val="28"/>
          <w:szCs w:val="28"/>
        </w:rPr>
      </w:pPr>
      <w:r>
        <w:rPr>
          <w:sz w:val="28"/>
          <w:szCs w:val="28"/>
          <w:b/>
          <w:bCs/>
          <w:spacing w:val="-4"/>
        </w:rPr>
        <w:t>8.8三级环境风险防控措施</w:t>
      </w:r>
    </w:p>
    <w:p>
      <w:pPr>
        <w:pStyle w:val="BodyText"/>
        <w:ind w:right="186" w:firstLine="480"/>
        <w:spacing w:before="207" w:line="362" w:lineRule="auto"/>
        <w:jc w:val="both"/>
        <w:rPr>
          <w:sz w:val="24"/>
          <w:szCs w:val="24"/>
        </w:rPr>
      </w:pPr>
      <w:r>
        <w:rPr>
          <w:sz w:val="24"/>
          <w:szCs w:val="24"/>
          <w:spacing w:val="-5"/>
        </w:rPr>
        <w:t>根据国家环境保护总局环发[2005]152号文件，在进一步完善环境风险应急措施过</w:t>
      </w:r>
      <w:r>
        <w:rPr>
          <w:sz w:val="24"/>
          <w:szCs w:val="24"/>
          <w:spacing w:val="18"/>
        </w:rPr>
        <w:t xml:space="preserve"> </w:t>
      </w:r>
      <w:r>
        <w:rPr>
          <w:sz w:val="24"/>
          <w:szCs w:val="24"/>
          <w:spacing w:val="-7"/>
        </w:rPr>
        <w:t>程中，本项目将应急防范措施分为三级防控体系，</w:t>
      </w:r>
      <w:r>
        <w:rPr>
          <w:sz w:val="24"/>
          <w:szCs w:val="24"/>
          <w:spacing w:val="81"/>
        </w:rPr>
        <w:t xml:space="preserve"> </w:t>
      </w:r>
      <w:r>
        <w:rPr>
          <w:sz w:val="24"/>
          <w:szCs w:val="24"/>
          <w:spacing w:val="-7"/>
        </w:rPr>
        <w:t>一级防控措施是以车间或设施为防</w:t>
      </w:r>
    </w:p>
    <w:p>
      <w:pPr>
        <w:pStyle w:val="BodyText"/>
        <w:spacing w:line="220" w:lineRule="auto"/>
        <w:rPr>
          <w:sz w:val="24"/>
          <w:szCs w:val="24"/>
        </w:rPr>
      </w:pPr>
      <w:r>
        <w:rPr>
          <w:sz w:val="24"/>
          <w:szCs w:val="24"/>
          <w:spacing w:val="-1"/>
        </w:rPr>
        <w:t>控点；二级防控措施是以厂区为防控点；三级防控措</w:t>
      </w:r>
      <w:r>
        <w:rPr>
          <w:sz w:val="24"/>
          <w:szCs w:val="24"/>
          <w:spacing w:val="-2"/>
        </w:rPr>
        <w:t>施是以园区为防控点。</w:t>
      </w:r>
    </w:p>
    <w:p>
      <w:pPr>
        <w:pStyle w:val="BodyText"/>
        <w:ind w:left="619"/>
        <w:spacing w:before="184" w:line="219" w:lineRule="auto"/>
        <w:rPr>
          <w:sz w:val="24"/>
          <w:szCs w:val="24"/>
        </w:rPr>
      </w:pPr>
      <w:r>
        <w:rPr>
          <w:sz w:val="24"/>
          <w:szCs w:val="24"/>
          <w:spacing w:val="3"/>
        </w:rPr>
        <w:t>(1)第一级防控为仓储单元、生产单元。</w:t>
      </w:r>
    </w:p>
    <w:p>
      <w:pPr>
        <w:pStyle w:val="BodyText"/>
        <w:ind w:left="480"/>
        <w:spacing w:before="195" w:line="451" w:lineRule="exact"/>
        <w:rPr>
          <w:sz w:val="24"/>
          <w:szCs w:val="24"/>
        </w:rPr>
      </w:pPr>
      <w:r>
        <w:rPr>
          <w:sz w:val="24"/>
          <w:szCs w:val="24"/>
          <w:position w:val="15"/>
        </w:rPr>
        <w:t>厂区原料仓库均设有防溢坡，</w:t>
      </w:r>
      <w:r>
        <w:rPr>
          <w:sz w:val="24"/>
          <w:szCs w:val="24"/>
          <w:spacing w:val="-40"/>
          <w:position w:val="15"/>
        </w:rPr>
        <w:t xml:space="preserve"> </w:t>
      </w:r>
      <w:r>
        <w:rPr>
          <w:sz w:val="24"/>
          <w:szCs w:val="24"/>
          <w:position w:val="15"/>
        </w:rPr>
        <w:t>NMP  罐区设有围堰，均可防止泄漏物料流溢</w:t>
      </w:r>
      <w:r>
        <w:rPr>
          <w:sz w:val="24"/>
          <w:szCs w:val="24"/>
          <w:spacing w:val="-1"/>
          <w:position w:val="15"/>
        </w:rPr>
        <w:t>至仓</w:t>
      </w:r>
    </w:p>
    <w:p>
      <w:pPr>
        <w:pStyle w:val="BodyText"/>
        <w:spacing w:line="220" w:lineRule="auto"/>
        <w:rPr>
          <w:sz w:val="24"/>
          <w:szCs w:val="24"/>
        </w:rPr>
      </w:pPr>
      <w:r>
        <w:rPr>
          <w:sz w:val="24"/>
          <w:szCs w:val="24"/>
          <w:spacing w:val="-5"/>
        </w:rPr>
        <w:t>储单位外，为一级防控体系。</w:t>
      </w:r>
    </w:p>
    <w:p>
      <w:pPr>
        <w:pStyle w:val="BodyText"/>
        <w:ind w:left="480"/>
        <w:spacing w:before="183" w:line="460" w:lineRule="exact"/>
        <w:rPr>
          <w:sz w:val="24"/>
          <w:szCs w:val="24"/>
        </w:rPr>
      </w:pPr>
      <w:r>
        <w:rPr>
          <w:sz w:val="24"/>
          <w:szCs w:val="24"/>
          <w:spacing w:val="-2"/>
          <w:position w:val="16"/>
        </w:rPr>
        <w:t>根据相关规范，罐区围堰内设置集水沟槽、集水池，发生事故时事故废液可收集</w:t>
      </w:r>
    </w:p>
    <w:p>
      <w:pPr>
        <w:pStyle w:val="BodyText"/>
        <w:spacing w:line="219" w:lineRule="auto"/>
        <w:rPr>
          <w:sz w:val="24"/>
          <w:szCs w:val="24"/>
        </w:rPr>
      </w:pPr>
      <w:r>
        <w:rPr>
          <w:sz w:val="24"/>
          <w:szCs w:val="24"/>
          <w:spacing w:val="-12"/>
        </w:rPr>
        <w:t>在围堰内。</w:t>
      </w:r>
    </w:p>
    <w:p>
      <w:pPr>
        <w:pStyle w:val="BodyText"/>
        <w:ind w:left="619"/>
        <w:spacing w:before="195" w:line="219" w:lineRule="auto"/>
        <w:rPr>
          <w:sz w:val="24"/>
          <w:szCs w:val="24"/>
        </w:rPr>
      </w:pPr>
      <w:r>
        <w:rPr>
          <w:sz w:val="24"/>
          <w:szCs w:val="24"/>
          <w:spacing w:val="4"/>
        </w:rPr>
        <w:t>(2)二级防控——厂内事故应急池池和雨水排放系统</w:t>
      </w:r>
    </w:p>
    <w:p>
      <w:pPr>
        <w:pStyle w:val="BodyText"/>
        <w:ind w:right="149" w:firstLine="480"/>
        <w:spacing w:before="174" w:line="362" w:lineRule="auto"/>
        <w:jc w:val="both"/>
        <w:rPr>
          <w:sz w:val="24"/>
          <w:szCs w:val="24"/>
        </w:rPr>
      </w:pPr>
      <w:r>
        <w:rPr>
          <w:sz w:val="24"/>
          <w:szCs w:val="24"/>
          <w:spacing w:val="2"/>
        </w:rPr>
        <w:t>厂区生产废水污水站设置一个有效容积300</w:t>
      </w:r>
      <w:r>
        <w:rPr>
          <w:rFonts w:ascii="Times New Roman" w:hAnsi="Times New Roman" w:eastAsia="Times New Roman" w:cs="Times New Roman"/>
          <w:sz w:val="24"/>
          <w:szCs w:val="24"/>
          <w:spacing w:val="2"/>
        </w:rPr>
        <w:t>m³</w:t>
      </w:r>
      <w:r>
        <w:rPr>
          <w:sz w:val="24"/>
          <w:szCs w:val="24"/>
          <w:spacing w:val="2"/>
        </w:rPr>
        <w:t>事故应急池以及厂区内雨水管，为</w:t>
      </w:r>
      <w:r>
        <w:rPr>
          <w:sz w:val="24"/>
          <w:szCs w:val="24"/>
          <w:spacing w:val="6"/>
        </w:rPr>
        <w:t xml:space="preserve"> </w:t>
      </w:r>
      <w:r>
        <w:rPr>
          <w:sz w:val="24"/>
          <w:szCs w:val="24"/>
          <w:spacing w:val="-6"/>
        </w:rPr>
        <w:t>二级防控体系。</w:t>
      </w:r>
      <w:r>
        <w:rPr>
          <w:sz w:val="24"/>
          <w:szCs w:val="24"/>
          <w:spacing w:val="50"/>
        </w:rPr>
        <w:t xml:space="preserve"> </w:t>
      </w:r>
      <w:r>
        <w:rPr>
          <w:sz w:val="24"/>
          <w:szCs w:val="24"/>
          <w:spacing w:val="-6"/>
        </w:rPr>
        <w:t>一旦发生火灾，关闭通向市政雨水管道的总阀门，开启通向应急池的</w:t>
      </w:r>
    </w:p>
    <w:p>
      <w:pPr>
        <w:pStyle w:val="BodyText"/>
        <w:spacing w:line="219" w:lineRule="auto"/>
        <w:rPr>
          <w:sz w:val="24"/>
          <w:szCs w:val="24"/>
        </w:rPr>
      </w:pPr>
      <w:r>
        <w:rPr>
          <w:sz w:val="24"/>
          <w:szCs w:val="24"/>
          <w:spacing w:val="-4"/>
        </w:rPr>
        <w:t>阀门或泵，使消防废水进入事故收集池。</w:t>
      </w:r>
    </w:p>
    <w:p>
      <w:pPr>
        <w:pStyle w:val="BodyText"/>
        <w:ind w:left="619"/>
        <w:spacing w:before="186" w:line="449" w:lineRule="exact"/>
        <w:rPr>
          <w:sz w:val="24"/>
          <w:szCs w:val="24"/>
        </w:rPr>
      </w:pPr>
      <w:r>
        <w:rPr>
          <w:sz w:val="24"/>
          <w:szCs w:val="24"/>
          <w:spacing w:val="6"/>
          <w:position w:val="15"/>
        </w:rPr>
        <w:t>(3)三级防控——园区事故应急池</w:t>
      </w:r>
    </w:p>
    <w:p>
      <w:pPr>
        <w:pStyle w:val="BodyText"/>
        <w:ind w:left="480"/>
        <w:spacing w:before="1" w:line="219" w:lineRule="auto"/>
        <w:rPr>
          <w:sz w:val="24"/>
          <w:szCs w:val="24"/>
        </w:rPr>
      </w:pPr>
      <w:r>
        <w:rPr>
          <w:sz w:val="24"/>
          <w:szCs w:val="24"/>
          <w:spacing w:val="-7"/>
        </w:rPr>
        <w:t>第三级防控为园区/区域应急设施。</w:t>
      </w:r>
    </w:p>
    <w:p>
      <w:pPr>
        <w:pStyle w:val="BodyText"/>
        <w:ind w:left="480"/>
        <w:spacing w:before="175" w:line="490" w:lineRule="exact"/>
        <w:rPr>
          <w:sz w:val="24"/>
          <w:szCs w:val="24"/>
        </w:rPr>
      </w:pPr>
      <w:r>
        <w:rPr>
          <w:sz w:val="24"/>
          <w:szCs w:val="24"/>
          <w:spacing w:val="-2"/>
          <w:position w:val="19"/>
        </w:rPr>
        <w:t>若厂区内的二级防控无法满足收集事故废水时，则应上报上级</w:t>
      </w:r>
      <w:r>
        <w:rPr>
          <w:sz w:val="24"/>
          <w:szCs w:val="24"/>
          <w:spacing w:val="-3"/>
          <w:position w:val="19"/>
        </w:rPr>
        <w:t>管理部门和霞浦县</w:t>
      </w:r>
    </w:p>
    <w:p>
      <w:pPr>
        <w:pStyle w:val="BodyText"/>
        <w:spacing w:line="219" w:lineRule="auto"/>
        <w:rPr>
          <w:sz w:val="24"/>
          <w:szCs w:val="24"/>
        </w:rPr>
      </w:pPr>
      <w:r>
        <w:rPr>
          <w:sz w:val="24"/>
          <w:szCs w:val="24"/>
          <w:spacing w:val="-1"/>
        </w:rPr>
        <w:t>污水处理厂，将事故应急池内的废水用槽车抽运至霞浦县污水处</w:t>
      </w:r>
      <w:r>
        <w:rPr>
          <w:sz w:val="24"/>
          <w:szCs w:val="24"/>
          <w:spacing w:val="-2"/>
        </w:rPr>
        <w:t>理厂的事故应急池。</w:t>
      </w:r>
    </w:p>
    <w:p>
      <w:pPr>
        <w:spacing w:line="219" w:lineRule="auto"/>
        <w:sectPr>
          <w:footerReference w:type="default" r:id="rId205"/>
          <w:pgSz w:w="11900" w:h="16840"/>
          <w:pgMar w:top="1251" w:right="1370" w:bottom="1005" w:left="1519" w:header="0" w:footer="856" w:gutter="0"/>
        </w:sectPr>
        <w:rPr>
          <w:sz w:val="24"/>
          <w:szCs w:val="24"/>
        </w:rPr>
      </w:pPr>
    </w:p>
    <w:p>
      <w:pPr>
        <w:pStyle w:val="BodyText"/>
        <w:spacing w:before="47" w:line="219" w:lineRule="auto"/>
        <w:rPr>
          <w:sz w:val="24"/>
          <w:szCs w:val="24"/>
        </w:rPr>
      </w:pPr>
      <w:r>
        <w:rPr>
          <w:sz w:val="24"/>
          <w:szCs w:val="24"/>
          <w:spacing w:val="-1"/>
        </w:rPr>
        <w:t>霞浦县污水处理厂的事故池作为本项目的第三</w:t>
      </w:r>
      <w:r>
        <w:rPr>
          <w:sz w:val="24"/>
          <w:szCs w:val="24"/>
          <w:spacing w:val="-2"/>
        </w:rPr>
        <w:t>级防线，防止事故废水流入海域。</w:t>
      </w:r>
    </w:p>
    <w:p>
      <w:pPr>
        <w:pStyle w:val="BodyText"/>
        <w:spacing w:before="176" w:line="460" w:lineRule="exact"/>
        <w:jc w:val="right"/>
        <w:rPr>
          <w:sz w:val="24"/>
          <w:szCs w:val="24"/>
        </w:rPr>
      </w:pPr>
      <w:r>
        <w:rPr>
          <w:sz w:val="24"/>
          <w:szCs w:val="24"/>
          <w:spacing w:val="-7"/>
          <w:position w:val="16"/>
        </w:rPr>
        <w:t>项目厂区各雨水排放口均设置阀门，当发生事故时，关闭涉及区域的雨水管阀门，</w:t>
      </w:r>
    </w:p>
    <w:p>
      <w:pPr>
        <w:pStyle w:val="BodyText"/>
        <w:spacing w:line="219" w:lineRule="auto"/>
        <w:rPr>
          <w:sz w:val="24"/>
          <w:szCs w:val="24"/>
        </w:rPr>
      </w:pPr>
      <w:r>
        <w:rPr>
          <w:sz w:val="24"/>
          <w:szCs w:val="24"/>
          <w:spacing w:val="-4"/>
        </w:rPr>
        <w:t>阻断事故废水进入市政雨水管途径。</w:t>
      </w:r>
    </w:p>
    <w:p>
      <w:pPr>
        <w:pStyle w:val="BodyText"/>
        <w:ind w:left="4"/>
        <w:spacing w:before="186" w:line="221" w:lineRule="auto"/>
        <w:outlineLvl w:val="6"/>
        <w:rPr>
          <w:sz w:val="28"/>
          <w:szCs w:val="28"/>
        </w:rPr>
      </w:pPr>
      <w:r>
        <w:rPr>
          <w:sz w:val="28"/>
          <w:szCs w:val="28"/>
          <w:b/>
          <w:bCs/>
          <w:spacing w:val="-5"/>
        </w:rPr>
        <w:t>8.9应急处置</w:t>
      </w:r>
    </w:p>
    <w:p>
      <w:pPr>
        <w:pStyle w:val="BodyText"/>
        <w:ind w:left="4"/>
        <w:spacing w:before="212" w:line="221" w:lineRule="auto"/>
        <w:outlineLvl w:val="6"/>
        <w:rPr>
          <w:sz w:val="28"/>
          <w:szCs w:val="28"/>
        </w:rPr>
      </w:pPr>
      <w:r>
        <w:rPr>
          <w:sz w:val="28"/>
          <w:szCs w:val="28"/>
          <w:b/>
          <w:bCs/>
          <w:spacing w:val="-5"/>
        </w:rPr>
        <w:t>8.9.1NMP</w:t>
      </w:r>
      <w:r>
        <w:rPr>
          <w:sz w:val="28"/>
          <w:szCs w:val="28"/>
          <w:spacing w:val="-5"/>
        </w:rPr>
        <w:t xml:space="preserve"> </w:t>
      </w:r>
      <w:r>
        <w:rPr>
          <w:sz w:val="28"/>
          <w:szCs w:val="28"/>
          <w:b/>
          <w:bCs/>
          <w:spacing w:val="-5"/>
        </w:rPr>
        <w:t>泄漏应急处置</w:t>
      </w:r>
    </w:p>
    <w:p>
      <w:pPr>
        <w:pStyle w:val="BodyText"/>
        <w:ind w:left="490"/>
        <w:spacing w:before="25" w:line="461" w:lineRule="exact"/>
        <w:rPr>
          <w:sz w:val="24"/>
          <w:szCs w:val="24"/>
        </w:rPr>
      </w:pPr>
      <w:r>
        <w:rPr>
          <w:sz w:val="24"/>
          <w:szCs w:val="24"/>
          <w:spacing w:val="2"/>
          <w:position w:val="16"/>
        </w:rPr>
        <w:t>项目</w:t>
      </w:r>
      <w:r>
        <w:rPr>
          <w:rFonts w:ascii="Times New Roman" w:hAnsi="Times New Roman" w:eastAsia="Times New Roman" w:cs="Times New Roman"/>
          <w:sz w:val="24"/>
          <w:szCs w:val="24"/>
          <w:position w:val="16"/>
        </w:rPr>
        <w:t>NMP</w:t>
      </w:r>
      <w:r>
        <w:rPr>
          <w:rFonts w:ascii="Times New Roman" w:hAnsi="Times New Roman" w:eastAsia="Times New Roman" w:cs="Times New Roman"/>
          <w:sz w:val="24"/>
          <w:szCs w:val="24"/>
          <w:spacing w:val="2"/>
          <w:position w:val="16"/>
        </w:rPr>
        <w:t xml:space="preserve"> </w:t>
      </w:r>
      <w:r>
        <w:rPr>
          <w:sz w:val="24"/>
          <w:szCs w:val="24"/>
          <w:spacing w:val="2"/>
          <w:position w:val="16"/>
        </w:rPr>
        <w:t>存储于专用储罐。危险化学品贮存和使用过程发生泄漏时，应采取的</w:t>
      </w:r>
    </w:p>
    <w:p>
      <w:pPr>
        <w:pStyle w:val="BodyText"/>
        <w:spacing w:line="220" w:lineRule="auto"/>
        <w:rPr>
          <w:sz w:val="24"/>
          <w:szCs w:val="24"/>
        </w:rPr>
      </w:pPr>
      <w:r>
        <w:rPr>
          <w:sz w:val="24"/>
          <w:szCs w:val="24"/>
          <w:spacing w:val="-12"/>
        </w:rPr>
        <w:t>应急措施如下：</w:t>
      </w:r>
    </w:p>
    <w:p>
      <w:pPr>
        <w:pStyle w:val="BodyText"/>
        <w:ind w:right="59"/>
        <w:spacing w:before="183" w:line="480" w:lineRule="exact"/>
        <w:jc w:val="right"/>
        <w:rPr>
          <w:sz w:val="24"/>
          <w:szCs w:val="24"/>
        </w:rPr>
      </w:pPr>
      <w:r>
        <w:rPr>
          <w:sz w:val="24"/>
          <w:szCs w:val="24"/>
          <w:spacing w:val="2"/>
          <w:position w:val="18"/>
        </w:rPr>
        <w:t>(1)若车间</w:t>
      </w:r>
      <w:r>
        <w:rPr>
          <w:rFonts w:ascii="Times New Roman" w:hAnsi="Times New Roman" w:eastAsia="Times New Roman" w:cs="Times New Roman"/>
          <w:sz w:val="24"/>
          <w:szCs w:val="24"/>
          <w:position w:val="18"/>
        </w:rPr>
        <w:t>NMP</w:t>
      </w:r>
      <w:r>
        <w:rPr>
          <w:rFonts w:ascii="Times New Roman" w:hAnsi="Times New Roman" w:eastAsia="Times New Roman" w:cs="Times New Roman"/>
          <w:sz w:val="24"/>
          <w:szCs w:val="24"/>
          <w:spacing w:val="17"/>
          <w:position w:val="18"/>
        </w:rPr>
        <w:t xml:space="preserve"> </w:t>
      </w:r>
      <w:r>
        <w:rPr>
          <w:sz w:val="24"/>
          <w:szCs w:val="24"/>
          <w:spacing w:val="2"/>
          <w:position w:val="18"/>
        </w:rPr>
        <w:t>输送管道发生破损泄漏先关闭进料阀门，用砂土或吸</w:t>
      </w:r>
      <w:r>
        <w:rPr>
          <w:sz w:val="24"/>
          <w:szCs w:val="24"/>
          <w:spacing w:val="1"/>
          <w:position w:val="18"/>
        </w:rPr>
        <w:t>附棉将泄</w:t>
      </w:r>
    </w:p>
    <w:p>
      <w:pPr>
        <w:pStyle w:val="BodyText"/>
        <w:spacing w:before="1" w:line="219" w:lineRule="auto"/>
        <w:rPr>
          <w:sz w:val="24"/>
          <w:szCs w:val="24"/>
        </w:rPr>
      </w:pPr>
      <w:r>
        <w:rPr>
          <w:sz w:val="24"/>
          <w:szCs w:val="24"/>
        </w:rPr>
        <w:t>漏的</w:t>
      </w:r>
      <w:r>
        <w:rPr>
          <w:rFonts w:ascii="Times New Roman" w:hAnsi="Times New Roman" w:eastAsia="Times New Roman" w:cs="Times New Roman"/>
          <w:sz w:val="24"/>
          <w:szCs w:val="24"/>
        </w:rPr>
        <w:t>NMP </w:t>
      </w:r>
      <w:r>
        <w:rPr>
          <w:sz w:val="24"/>
          <w:szCs w:val="24"/>
        </w:rPr>
        <w:t>吸收收集，通知抢险救援组对泄漏管道进行检修排查。</w:t>
      </w:r>
    </w:p>
    <w:p>
      <w:pPr>
        <w:pStyle w:val="BodyText"/>
        <w:ind w:right="58"/>
        <w:spacing w:before="166" w:line="478" w:lineRule="exact"/>
        <w:jc w:val="right"/>
        <w:rPr>
          <w:sz w:val="24"/>
          <w:szCs w:val="24"/>
        </w:rPr>
      </w:pPr>
      <w:r>
        <w:rPr>
          <w:sz w:val="24"/>
          <w:szCs w:val="24"/>
          <w:spacing w:val="2"/>
          <w:position w:val="18"/>
        </w:rPr>
        <w:t>(2)若转运过程发生</w:t>
      </w:r>
      <w:r>
        <w:rPr>
          <w:rFonts w:ascii="Times New Roman" w:hAnsi="Times New Roman" w:eastAsia="Times New Roman" w:cs="Times New Roman"/>
          <w:sz w:val="24"/>
          <w:szCs w:val="24"/>
          <w:position w:val="18"/>
        </w:rPr>
        <w:t>NMP</w:t>
      </w:r>
      <w:r>
        <w:rPr>
          <w:rFonts w:ascii="Times New Roman" w:hAnsi="Times New Roman" w:eastAsia="Times New Roman" w:cs="Times New Roman"/>
          <w:sz w:val="24"/>
          <w:szCs w:val="24"/>
          <w:spacing w:val="17"/>
          <w:w w:val="101"/>
          <w:position w:val="18"/>
        </w:rPr>
        <w:t xml:space="preserve"> </w:t>
      </w:r>
      <w:r>
        <w:rPr>
          <w:sz w:val="24"/>
          <w:szCs w:val="24"/>
          <w:spacing w:val="2"/>
          <w:position w:val="18"/>
        </w:rPr>
        <w:t>泄漏，卸装区均设围堰及导流沟，出现泄漏</w:t>
      </w:r>
      <w:r>
        <w:rPr>
          <w:sz w:val="24"/>
          <w:szCs w:val="24"/>
          <w:spacing w:val="1"/>
          <w:position w:val="18"/>
        </w:rPr>
        <w:t>时，可用</w:t>
      </w:r>
    </w:p>
    <w:p>
      <w:pPr>
        <w:pStyle w:val="BodyText"/>
        <w:spacing w:before="1" w:line="218" w:lineRule="auto"/>
        <w:rPr>
          <w:sz w:val="24"/>
          <w:szCs w:val="24"/>
        </w:rPr>
      </w:pPr>
      <w:r>
        <w:rPr>
          <w:sz w:val="24"/>
          <w:szCs w:val="24"/>
          <w:spacing w:val="-2"/>
        </w:rPr>
        <w:t>砂土或吸附棉吸收和覆盖泄漏物，或将泄漏液引至罐区应急池。</w:t>
      </w:r>
    </w:p>
    <w:p>
      <w:pPr>
        <w:pStyle w:val="BodyText"/>
        <w:ind w:right="72" w:firstLine="609"/>
        <w:spacing w:before="175" w:line="362" w:lineRule="auto"/>
        <w:rPr>
          <w:sz w:val="24"/>
          <w:szCs w:val="24"/>
        </w:rPr>
      </w:pPr>
      <w:r>
        <w:rPr>
          <w:sz w:val="24"/>
          <w:szCs w:val="24"/>
          <w:spacing w:val="4"/>
        </w:rPr>
        <w:t>(3)若</w:t>
      </w:r>
      <w:r>
        <w:rPr>
          <w:rFonts w:ascii="Times New Roman" w:hAnsi="Times New Roman" w:eastAsia="Times New Roman" w:cs="Times New Roman"/>
          <w:sz w:val="24"/>
          <w:szCs w:val="24"/>
        </w:rPr>
        <w:t>NMP</w:t>
      </w:r>
      <w:r>
        <w:rPr>
          <w:rFonts w:ascii="Times New Roman" w:hAnsi="Times New Roman" w:eastAsia="Times New Roman" w:cs="Times New Roman"/>
          <w:sz w:val="24"/>
          <w:szCs w:val="24"/>
          <w:spacing w:val="4"/>
        </w:rPr>
        <w:t xml:space="preserve"> </w:t>
      </w:r>
      <w:r>
        <w:rPr>
          <w:sz w:val="24"/>
          <w:szCs w:val="24"/>
          <w:spacing w:val="4"/>
        </w:rPr>
        <w:t>储罐发生破损导致</w:t>
      </w:r>
      <w:r>
        <w:rPr>
          <w:sz w:val="24"/>
          <w:szCs w:val="24"/>
          <w:spacing w:val="-42"/>
        </w:rPr>
        <w:t xml:space="preserve"> </w:t>
      </w:r>
      <w:r>
        <w:rPr>
          <w:rFonts w:ascii="Times New Roman" w:hAnsi="Times New Roman" w:eastAsia="Times New Roman" w:cs="Times New Roman"/>
          <w:sz w:val="24"/>
          <w:szCs w:val="24"/>
        </w:rPr>
        <w:t>NMP</w:t>
      </w:r>
      <w:r>
        <w:rPr>
          <w:rFonts w:ascii="Times New Roman" w:hAnsi="Times New Roman" w:eastAsia="Times New Roman" w:cs="Times New Roman"/>
          <w:sz w:val="24"/>
          <w:szCs w:val="24"/>
          <w:spacing w:val="4"/>
        </w:rPr>
        <w:t xml:space="preserve"> </w:t>
      </w:r>
      <w:r>
        <w:rPr>
          <w:sz w:val="24"/>
          <w:szCs w:val="24"/>
          <w:spacing w:val="4"/>
        </w:rPr>
        <w:t>泄漏，泄漏液可</w:t>
      </w:r>
      <w:r>
        <w:rPr>
          <w:sz w:val="24"/>
          <w:szCs w:val="24"/>
          <w:spacing w:val="3"/>
        </w:rPr>
        <w:t>暂存于罐区围堰内。若少</w:t>
      </w:r>
      <w:r>
        <w:rPr>
          <w:sz w:val="24"/>
          <w:szCs w:val="24"/>
        </w:rPr>
        <w:t xml:space="preserve"> </w:t>
      </w:r>
      <w:r>
        <w:rPr>
          <w:sz w:val="24"/>
          <w:szCs w:val="24"/>
          <w:spacing w:val="-2"/>
        </w:rPr>
        <w:t>量泄漏可用吸附棉吸收处置；若大量泄漏，则泄漏液随导流沟流入围堰内收集池中，</w:t>
      </w:r>
    </w:p>
    <w:p>
      <w:pPr>
        <w:pStyle w:val="BodyText"/>
        <w:spacing w:before="1" w:line="219" w:lineRule="auto"/>
        <w:rPr>
          <w:sz w:val="24"/>
          <w:szCs w:val="24"/>
        </w:rPr>
      </w:pPr>
      <w:r>
        <w:rPr>
          <w:sz w:val="24"/>
          <w:szCs w:val="24"/>
          <w:spacing w:val="-2"/>
        </w:rPr>
        <w:t>用泵抽至转移罐内，而后转交有相应资质的公司进行处理。</w:t>
      </w:r>
    </w:p>
    <w:p>
      <w:pPr>
        <w:pStyle w:val="BodyText"/>
        <w:ind w:left="609"/>
        <w:spacing w:before="175" w:line="219" w:lineRule="auto"/>
        <w:rPr>
          <w:sz w:val="24"/>
          <w:szCs w:val="24"/>
        </w:rPr>
      </w:pPr>
      <w:r>
        <w:rPr>
          <w:sz w:val="24"/>
          <w:szCs w:val="24"/>
          <w:spacing w:val="2"/>
        </w:rPr>
        <w:t>(4)收集的泄漏液及收集物均当做危险废物交由有相应资质公司处置。</w:t>
      </w:r>
    </w:p>
    <w:p>
      <w:pPr>
        <w:pStyle w:val="BodyText"/>
        <w:ind w:left="609"/>
        <w:spacing w:before="185" w:line="464" w:lineRule="exact"/>
        <w:rPr>
          <w:sz w:val="24"/>
          <w:szCs w:val="24"/>
        </w:rPr>
      </w:pPr>
      <w:r>
        <w:rPr>
          <w:sz w:val="24"/>
          <w:szCs w:val="24"/>
          <w:spacing w:val="4"/>
          <w:position w:val="16"/>
        </w:rPr>
        <w:t>(5)泄漏物处理完成后，用大量清水冲洗地面，清洗废水收集后进入污水处理</w:t>
      </w:r>
    </w:p>
    <w:p>
      <w:pPr>
        <w:pStyle w:val="BodyText"/>
        <w:spacing w:line="222" w:lineRule="auto"/>
        <w:rPr>
          <w:sz w:val="24"/>
          <w:szCs w:val="24"/>
        </w:rPr>
      </w:pPr>
      <w:r>
        <w:rPr>
          <w:sz w:val="24"/>
          <w:szCs w:val="24"/>
          <w:spacing w:val="-9"/>
        </w:rPr>
        <w:t>站处理。</w:t>
      </w:r>
    </w:p>
    <w:p>
      <w:pPr>
        <w:pStyle w:val="BodyText"/>
        <w:ind w:left="3"/>
        <w:spacing w:before="196" w:line="220" w:lineRule="auto"/>
        <w:outlineLvl w:val="6"/>
        <w:rPr>
          <w:sz w:val="28"/>
          <w:szCs w:val="28"/>
        </w:rPr>
      </w:pPr>
      <w:r>
        <w:rPr>
          <w:sz w:val="28"/>
          <w:szCs w:val="28"/>
          <w:b/>
          <w:bCs/>
          <w:spacing w:val="-8"/>
        </w:rPr>
        <w:t>8.9.2废气事故排放应急处置</w:t>
      </w:r>
    </w:p>
    <w:p>
      <w:pPr>
        <w:pStyle w:val="BodyText"/>
        <w:ind w:left="609"/>
        <w:spacing w:before="16" w:line="461" w:lineRule="exact"/>
        <w:rPr>
          <w:sz w:val="24"/>
          <w:szCs w:val="24"/>
        </w:rPr>
      </w:pPr>
      <w:r>
        <w:rPr>
          <w:sz w:val="24"/>
          <w:szCs w:val="24"/>
          <w:spacing w:val="4"/>
          <w:position w:val="16"/>
        </w:rPr>
        <w:t>(1)向车间主管报告，并告知应急指挥部，相应工位需停产，并通知废气处理</w:t>
      </w:r>
    </w:p>
    <w:p>
      <w:pPr>
        <w:pStyle w:val="BodyText"/>
        <w:spacing w:before="1" w:line="219" w:lineRule="auto"/>
        <w:rPr>
          <w:sz w:val="24"/>
          <w:szCs w:val="24"/>
        </w:rPr>
      </w:pPr>
      <w:r>
        <w:rPr>
          <w:sz w:val="24"/>
          <w:szCs w:val="24"/>
          <w:spacing w:val="-7"/>
        </w:rPr>
        <w:t>设施负责人员前往修复。</w:t>
      </w:r>
    </w:p>
    <w:p>
      <w:pPr>
        <w:pStyle w:val="BodyText"/>
        <w:ind w:left="609"/>
        <w:spacing w:before="185" w:line="479" w:lineRule="exact"/>
        <w:rPr>
          <w:sz w:val="24"/>
          <w:szCs w:val="24"/>
        </w:rPr>
      </w:pPr>
      <w:r>
        <w:rPr>
          <w:sz w:val="24"/>
          <w:szCs w:val="24"/>
          <w:spacing w:val="8"/>
          <w:position w:val="18"/>
        </w:rPr>
        <w:t>(2)抢险救援人员必须正确穿戴好防护用品(脸部和呼吸系统防护、身体防护</w:t>
      </w:r>
    </w:p>
    <w:p>
      <w:pPr>
        <w:pStyle w:val="BodyText"/>
        <w:spacing w:before="1" w:line="218" w:lineRule="auto"/>
        <w:rPr>
          <w:sz w:val="24"/>
          <w:szCs w:val="24"/>
        </w:rPr>
      </w:pPr>
      <w:r>
        <w:rPr>
          <w:sz w:val="24"/>
          <w:szCs w:val="24"/>
          <w:spacing w:val="6"/>
        </w:rPr>
        <w:t>和手脚防护等)。</w:t>
      </w:r>
    </w:p>
    <w:p>
      <w:pPr>
        <w:pStyle w:val="BodyText"/>
        <w:ind w:left="609"/>
        <w:spacing w:before="186" w:line="460" w:lineRule="exact"/>
        <w:rPr>
          <w:sz w:val="24"/>
          <w:szCs w:val="24"/>
        </w:rPr>
      </w:pPr>
      <w:r>
        <w:rPr>
          <w:sz w:val="24"/>
          <w:szCs w:val="24"/>
          <w:spacing w:val="5"/>
          <w:position w:val="16"/>
        </w:rPr>
        <w:t>(3)抢险救援组抵达现场后，组织人员查找超标排放的原因</w:t>
      </w:r>
      <w:r>
        <w:rPr>
          <w:sz w:val="24"/>
          <w:szCs w:val="24"/>
          <w:spacing w:val="4"/>
          <w:position w:val="16"/>
        </w:rPr>
        <w:t>，并进行设备维护</w:t>
      </w:r>
    </w:p>
    <w:p>
      <w:pPr>
        <w:pStyle w:val="BodyText"/>
        <w:spacing w:before="1" w:line="219" w:lineRule="auto"/>
        <w:rPr>
          <w:sz w:val="24"/>
          <w:szCs w:val="24"/>
        </w:rPr>
      </w:pPr>
      <w:r>
        <w:rPr>
          <w:sz w:val="24"/>
          <w:szCs w:val="24"/>
          <w:spacing w:val="-7"/>
        </w:rPr>
        <w:t>和更换，同时做好记录。</w:t>
      </w:r>
    </w:p>
    <w:p>
      <w:pPr>
        <w:pStyle w:val="BodyText"/>
        <w:ind w:left="609"/>
        <w:spacing w:before="175" w:line="458" w:lineRule="exact"/>
        <w:rPr>
          <w:sz w:val="24"/>
          <w:szCs w:val="24"/>
        </w:rPr>
      </w:pPr>
      <w:r>
        <w:rPr>
          <w:sz w:val="24"/>
          <w:szCs w:val="24"/>
          <w:spacing w:val="5"/>
          <w:position w:val="16"/>
        </w:rPr>
        <w:t>(4)应急小组组长根据抢险救援组排查原</w:t>
      </w:r>
      <w:r>
        <w:rPr>
          <w:sz w:val="24"/>
          <w:szCs w:val="24"/>
          <w:spacing w:val="4"/>
          <w:position w:val="16"/>
        </w:rPr>
        <w:t>因，确认事故发生的原因，形成事故</w:t>
      </w:r>
    </w:p>
    <w:p>
      <w:pPr>
        <w:pStyle w:val="BodyText"/>
        <w:spacing w:before="1" w:line="217" w:lineRule="auto"/>
        <w:rPr>
          <w:sz w:val="24"/>
          <w:szCs w:val="24"/>
        </w:rPr>
      </w:pPr>
      <w:r>
        <w:rPr>
          <w:sz w:val="24"/>
          <w:szCs w:val="24"/>
          <w:spacing w:val="-3"/>
        </w:rPr>
        <w:t>调查报告，上报公司应急指挥部。</w:t>
      </w:r>
    </w:p>
    <w:p>
      <w:pPr>
        <w:pStyle w:val="BodyText"/>
        <w:ind w:left="3"/>
        <w:spacing w:before="187" w:line="219" w:lineRule="auto"/>
        <w:outlineLvl w:val="6"/>
        <w:rPr>
          <w:sz w:val="28"/>
          <w:szCs w:val="28"/>
        </w:rPr>
      </w:pPr>
      <w:r>
        <w:rPr>
          <w:sz w:val="28"/>
          <w:szCs w:val="28"/>
          <w:b/>
          <w:bCs/>
          <w:spacing w:val="-10"/>
        </w:rPr>
        <w:t>8.9.3废水事故排放应急处置</w:t>
      </w:r>
    </w:p>
    <w:p>
      <w:pPr>
        <w:pStyle w:val="BodyText"/>
        <w:ind w:left="609"/>
        <w:spacing w:before="210" w:line="219" w:lineRule="auto"/>
        <w:rPr>
          <w:sz w:val="24"/>
          <w:szCs w:val="24"/>
        </w:rPr>
      </w:pPr>
      <w:r>
        <w:rPr>
          <w:sz w:val="24"/>
          <w:szCs w:val="24"/>
          <w:spacing w:val="9"/>
        </w:rPr>
        <w:t>(1)污水处理站事故</w:t>
      </w:r>
    </w:p>
    <w:p>
      <w:pPr>
        <w:pStyle w:val="BodyText"/>
        <w:ind w:right="57"/>
        <w:spacing w:before="182" w:line="483" w:lineRule="exact"/>
        <w:jc w:val="right"/>
        <w:rPr>
          <w:sz w:val="24"/>
          <w:szCs w:val="24"/>
        </w:rPr>
      </w:pPr>
      <w:r>
        <w:rPr>
          <w:sz w:val="24"/>
          <w:szCs w:val="24"/>
          <w:spacing w:val="-2"/>
          <w:position w:val="18"/>
        </w:rPr>
        <w:t>①废水处理系统发生故障，应立即关闭废水进出口阀门，阻止对厂区外环境地表</w:t>
      </w:r>
    </w:p>
    <w:p>
      <w:pPr>
        <w:pStyle w:val="BodyText"/>
        <w:spacing w:line="219" w:lineRule="auto"/>
        <w:rPr>
          <w:sz w:val="24"/>
          <w:szCs w:val="24"/>
        </w:rPr>
      </w:pPr>
      <w:r>
        <w:rPr>
          <w:sz w:val="24"/>
          <w:szCs w:val="24"/>
          <w:spacing w:val="-6"/>
        </w:rPr>
        <w:t>水影响的扩大。</w:t>
      </w:r>
    </w:p>
    <w:p>
      <w:pPr>
        <w:spacing w:line="219" w:lineRule="auto"/>
        <w:sectPr>
          <w:footerReference w:type="default" r:id="rId206"/>
          <w:pgSz w:w="11900" w:h="16840"/>
          <w:pgMar w:top="1260" w:right="1479" w:bottom="1005" w:left="1529" w:header="0" w:footer="856" w:gutter="0"/>
        </w:sectPr>
        <w:rPr>
          <w:sz w:val="24"/>
          <w:szCs w:val="24"/>
        </w:rPr>
      </w:pPr>
    </w:p>
    <w:p>
      <w:pPr>
        <w:pStyle w:val="BodyText"/>
        <w:ind w:left="490"/>
        <w:spacing w:before="48" w:line="217" w:lineRule="auto"/>
        <w:rPr>
          <w:sz w:val="24"/>
          <w:szCs w:val="24"/>
        </w:rPr>
      </w:pPr>
      <w:r>
        <w:rPr>
          <w:sz w:val="24"/>
          <w:szCs w:val="24"/>
          <w:spacing w:val="-2"/>
        </w:rPr>
        <w:t>②通知相关生产车间等停止生产，防止废水继续进入污水处理站。</w:t>
      </w:r>
    </w:p>
    <w:p>
      <w:pPr>
        <w:pStyle w:val="BodyText"/>
        <w:ind w:left="490"/>
        <w:spacing w:before="197" w:line="453" w:lineRule="exact"/>
        <w:rPr>
          <w:sz w:val="24"/>
          <w:szCs w:val="24"/>
        </w:rPr>
      </w:pPr>
      <w:r>
        <w:rPr>
          <w:sz w:val="24"/>
          <w:szCs w:val="24"/>
          <w:spacing w:val="-2"/>
          <w:position w:val="16"/>
        </w:rPr>
        <w:t>③组织应急抢险组对废水泄漏的输送管道、废水贮存池、污水处理站等进行抢险</w:t>
      </w:r>
    </w:p>
    <w:p>
      <w:pPr>
        <w:pStyle w:val="BodyText"/>
        <w:spacing w:line="219" w:lineRule="auto"/>
        <w:rPr>
          <w:sz w:val="24"/>
          <w:szCs w:val="24"/>
        </w:rPr>
      </w:pPr>
      <w:r>
        <w:rPr>
          <w:sz w:val="24"/>
          <w:szCs w:val="24"/>
          <w:spacing w:val="-2"/>
        </w:rPr>
        <w:t>抢修，及时封堵泄漏点，并对废水处理设施全面检查，排除隐患。</w:t>
      </w:r>
    </w:p>
    <w:p>
      <w:pPr>
        <w:pStyle w:val="BodyText"/>
        <w:ind w:left="490"/>
        <w:spacing w:before="192" w:line="472" w:lineRule="exact"/>
        <w:rPr>
          <w:sz w:val="24"/>
          <w:szCs w:val="24"/>
        </w:rPr>
      </w:pPr>
      <w:r>
        <w:rPr>
          <w:sz w:val="24"/>
          <w:szCs w:val="24"/>
          <w:spacing w:val="-2"/>
          <w:position w:val="17"/>
        </w:rPr>
        <w:t>④将收集的废水及时转移至事故应急池，避免继续进入外环境；待生产废水泄漏</w:t>
      </w:r>
    </w:p>
    <w:p>
      <w:pPr>
        <w:pStyle w:val="BodyText"/>
        <w:spacing w:line="219" w:lineRule="auto"/>
        <w:rPr>
          <w:sz w:val="24"/>
          <w:szCs w:val="24"/>
        </w:rPr>
      </w:pPr>
      <w:r>
        <w:rPr>
          <w:sz w:val="24"/>
          <w:szCs w:val="24"/>
          <w:spacing w:val="-2"/>
        </w:rPr>
        <w:t>事件处置完成后，再处理应急事故水池内废水，处理达标后排放。</w:t>
      </w:r>
    </w:p>
    <w:p>
      <w:pPr>
        <w:pStyle w:val="BodyText"/>
        <w:ind w:left="619"/>
        <w:spacing w:before="165" w:line="219" w:lineRule="auto"/>
        <w:rPr>
          <w:sz w:val="24"/>
          <w:szCs w:val="24"/>
        </w:rPr>
      </w:pPr>
      <w:r>
        <w:rPr>
          <w:sz w:val="24"/>
          <w:szCs w:val="24"/>
          <w:spacing w:val="9"/>
        </w:rPr>
        <w:t>(2)废水管道破损</w:t>
      </w:r>
    </w:p>
    <w:p>
      <w:pPr>
        <w:pStyle w:val="BodyText"/>
        <w:spacing w:before="192" w:line="460" w:lineRule="exact"/>
        <w:jc w:val="right"/>
        <w:rPr>
          <w:sz w:val="24"/>
          <w:szCs w:val="24"/>
        </w:rPr>
      </w:pPr>
      <w:r>
        <w:rPr>
          <w:sz w:val="24"/>
          <w:szCs w:val="24"/>
          <w:spacing w:val="-5"/>
          <w:position w:val="16"/>
        </w:rPr>
        <w:t>①当发现废水管道破损废水泄漏时，立即关闭车间废水排</w:t>
      </w:r>
      <w:r>
        <w:rPr>
          <w:sz w:val="24"/>
          <w:szCs w:val="24"/>
          <w:spacing w:val="-6"/>
          <w:position w:val="16"/>
        </w:rPr>
        <w:t>放阀门，通知当班主管。</w:t>
      </w:r>
    </w:p>
    <w:p>
      <w:pPr>
        <w:pStyle w:val="BodyText"/>
        <w:ind w:left="490"/>
        <w:spacing w:line="217" w:lineRule="auto"/>
        <w:rPr>
          <w:sz w:val="24"/>
          <w:szCs w:val="24"/>
        </w:rPr>
      </w:pPr>
      <w:r>
        <w:rPr>
          <w:sz w:val="24"/>
          <w:szCs w:val="24"/>
          <w:spacing w:val="-2"/>
        </w:rPr>
        <w:t>②通知相关生产车间停止生产，防止废水继续产生。</w:t>
      </w:r>
    </w:p>
    <w:p>
      <w:pPr>
        <w:pStyle w:val="BodyText"/>
        <w:ind w:right="20" w:firstLine="490"/>
        <w:spacing w:before="189" w:line="355" w:lineRule="auto"/>
        <w:jc w:val="both"/>
        <w:rPr>
          <w:sz w:val="24"/>
          <w:szCs w:val="24"/>
        </w:rPr>
      </w:pPr>
      <w:r>
        <w:rPr>
          <w:sz w:val="24"/>
          <w:szCs w:val="24"/>
          <w:spacing w:val="-6"/>
        </w:rPr>
        <w:t>③用沙袋对已泄漏的废水堵截，防止扩散至雨水管道；用沙对泄漏废水进行吸收，</w:t>
      </w:r>
      <w:r>
        <w:rPr>
          <w:sz w:val="24"/>
          <w:szCs w:val="24"/>
          <w:spacing w:val="4"/>
        </w:rPr>
        <w:t xml:space="preserve"> </w:t>
      </w:r>
      <w:r>
        <w:rPr>
          <w:sz w:val="24"/>
          <w:szCs w:val="24"/>
          <w:spacing w:val="-2"/>
        </w:rPr>
        <w:t>收集的含废水沙作为危险废物交由资质公司处置，冲洗废水转至污水处理站处理达标</w:t>
      </w:r>
    </w:p>
    <w:p>
      <w:pPr>
        <w:pStyle w:val="BodyText"/>
        <w:spacing w:line="220" w:lineRule="auto"/>
        <w:rPr>
          <w:sz w:val="24"/>
          <w:szCs w:val="24"/>
        </w:rPr>
      </w:pPr>
      <w:r>
        <w:rPr>
          <w:sz w:val="24"/>
          <w:szCs w:val="24"/>
          <w:spacing w:val="-9"/>
        </w:rPr>
        <w:t>后排放。</w:t>
      </w:r>
    </w:p>
    <w:p>
      <w:pPr>
        <w:pStyle w:val="BodyText"/>
        <w:ind w:left="490"/>
        <w:spacing w:before="190" w:line="473" w:lineRule="exact"/>
        <w:rPr>
          <w:sz w:val="24"/>
          <w:szCs w:val="24"/>
        </w:rPr>
      </w:pPr>
      <w:r>
        <w:rPr>
          <w:sz w:val="24"/>
          <w:szCs w:val="24"/>
          <w:spacing w:val="-2"/>
          <w:position w:val="17"/>
        </w:rPr>
        <w:t>④若废水已泄漏至雨水管道，立即关闭雨水排放口阀门，利用水泵将截留在雨水</w:t>
      </w:r>
    </w:p>
    <w:p>
      <w:pPr>
        <w:pStyle w:val="BodyText"/>
        <w:spacing w:line="219" w:lineRule="auto"/>
        <w:rPr>
          <w:sz w:val="24"/>
          <w:szCs w:val="24"/>
        </w:rPr>
      </w:pPr>
      <w:r>
        <w:rPr>
          <w:sz w:val="24"/>
          <w:szCs w:val="24"/>
          <w:spacing w:val="-2"/>
        </w:rPr>
        <w:t>管道中的废水以及冲洗废水抽至污水处理站处理达标后排放。</w:t>
      </w:r>
    </w:p>
    <w:p>
      <w:pPr>
        <w:pStyle w:val="BodyText"/>
        <w:ind w:left="3"/>
        <w:spacing w:before="174" w:line="220" w:lineRule="auto"/>
        <w:outlineLvl w:val="6"/>
        <w:rPr>
          <w:sz w:val="28"/>
          <w:szCs w:val="28"/>
        </w:rPr>
      </w:pPr>
      <w:r>
        <w:rPr>
          <w:sz w:val="28"/>
          <w:szCs w:val="28"/>
          <w:b/>
          <w:bCs/>
          <w:spacing w:val="-8"/>
        </w:rPr>
        <w:t>8.9.4危险废物泄漏应急处置</w:t>
      </w:r>
    </w:p>
    <w:p>
      <w:pPr>
        <w:pStyle w:val="BodyText"/>
        <w:ind w:right="19"/>
        <w:spacing w:before="207" w:line="480" w:lineRule="exact"/>
        <w:jc w:val="right"/>
        <w:rPr>
          <w:sz w:val="24"/>
          <w:szCs w:val="24"/>
        </w:rPr>
      </w:pPr>
      <w:r>
        <w:rPr>
          <w:sz w:val="24"/>
          <w:szCs w:val="24"/>
          <w:spacing w:val="1"/>
          <w:position w:val="18"/>
        </w:rPr>
        <w:t>(1)现场人员立即通知主管人员发生泄漏</w:t>
      </w:r>
      <w:r>
        <w:rPr>
          <w:sz w:val="24"/>
          <w:szCs w:val="24"/>
          <w:position w:val="18"/>
        </w:rPr>
        <w:t>事件，如果允许，扶正泄漏的物料桶，</w:t>
      </w:r>
    </w:p>
    <w:p>
      <w:pPr>
        <w:pStyle w:val="BodyText"/>
        <w:spacing w:line="218" w:lineRule="auto"/>
        <w:rPr>
          <w:sz w:val="24"/>
          <w:szCs w:val="24"/>
        </w:rPr>
      </w:pPr>
      <w:r>
        <w:rPr>
          <w:sz w:val="24"/>
          <w:szCs w:val="24"/>
          <w:spacing w:val="-2"/>
        </w:rPr>
        <w:t>并在泄漏点附近用沙袋筑坝，防止泄漏的物料流入雨水沟。</w:t>
      </w:r>
    </w:p>
    <w:p>
      <w:pPr>
        <w:pStyle w:val="BodyText"/>
        <w:ind w:left="619"/>
        <w:spacing w:before="176" w:line="470" w:lineRule="exact"/>
        <w:rPr>
          <w:sz w:val="24"/>
          <w:szCs w:val="24"/>
        </w:rPr>
      </w:pPr>
      <w:r>
        <w:rPr>
          <w:sz w:val="24"/>
          <w:szCs w:val="24"/>
          <w:spacing w:val="4"/>
          <w:position w:val="17"/>
        </w:rPr>
        <w:t>(2)现场人员穿戴好个人防护用品。防护用品在存放点附近的物资储备柜内。</w:t>
      </w:r>
    </w:p>
    <w:p>
      <w:pPr>
        <w:pStyle w:val="BodyText"/>
        <w:spacing w:before="1" w:line="218" w:lineRule="auto"/>
        <w:rPr>
          <w:sz w:val="24"/>
          <w:szCs w:val="24"/>
        </w:rPr>
      </w:pPr>
      <w:r>
        <w:rPr>
          <w:sz w:val="24"/>
          <w:szCs w:val="24"/>
          <w:spacing w:val="-2"/>
        </w:rPr>
        <w:t>用破布将泄漏的物料桶堵住，将破损危废桶中的物料转移到其他空桶内。</w:t>
      </w:r>
    </w:p>
    <w:p>
      <w:pPr>
        <w:pStyle w:val="BodyText"/>
        <w:ind w:left="619"/>
        <w:spacing w:before="185" w:line="219" w:lineRule="auto"/>
        <w:rPr>
          <w:sz w:val="24"/>
          <w:szCs w:val="24"/>
        </w:rPr>
      </w:pPr>
      <w:r>
        <w:rPr>
          <w:sz w:val="24"/>
          <w:szCs w:val="24"/>
          <w:spacing w:val="2"/>
        </w:rPr>
        <w:t>(3)现场人员用吸附棉收集清理已经泄漏的物料，并且清洗地面。</w:t>
      </w:r>
    </w:p>
    <w:p>
      <w:pPr>
        <w:pStyle w:val="BodyText"/>
        <w:ind w:left="619"/>
        <w:spacing w:before="166" w:line="491" w:lineRule="exact"/>
        <w:rPr>
          <w:sz w:val="24"/>
          <w:szCs w:val="24"/>
        </w:rPr>
      </w:pPr>
      <w:r>
        <w:rPr>
          <w:sz w:val="24"/>
          <w:szCs w:val="24"/>
          <w:spacing w:val="5"/>
          <w:position w:val="19"/>
        </w:rPr>
        <w:t>(4)使用过的破布、沙袋须回收统一交由有资质的公司处置；清洗废</w:t>
      </w:r>
      <w:r>
        <w:rPr>
          <w:sz w:val="24"/>
          <w:szCs w:val="24"/>
          <w:spacing w:val="4"/>
          <w:position w:val="19"/>
        </w:rPr>
        <w:t>水转至污</w:t>
      </w:r>
    </w:p>
    <w:p>
      <w:pPr>
        <w:pStyle w:val="BodyText"/>
        <w:spacing w:line="219" w:lineRule="auto"/>
        <w:rPr>
          <w:sz w:val="24"/>
          <w:szCs w:val="24"/>
        </w:rPr>
      </w:pPr>
      <w:r>
        <w:rPr>
          <w:sz w:val="24"/>
          <w:szCs w:val="24"/>
          <w:spacing w:val="-2"/>
        </w:rPr>
        <w:t>水处理站处理达标后排放或交由有资质的单位处理。</w:t>
      </w:r>
    </w:p>
    <w:p>
      <w:pPr>
        <w:pStyle w:val="BodyText"/>
        <w:ind w:left="3"/>
        <w:spacing w:before="181" w:line="218" w:lineRule="auto"/>
        <w:outlineLvl w:val="6"/>
        <w:rPr>
          <w:sz w:val="28"/>
          <w:szCs w:val="28"/>
        </w:rPr>
      </w:pPr>
      <w:r>
        <w:rPr>
          <w:sz w:val="28"/>
          <w:szCs w:val="28"/>
          <w:b/>
          <w:bCs/>
          <w:spacing w:val="-8"/>
        </w:rPr>
        <w:t>8.9.5火灾、爆炸衍生环境事故应急处置</w:t>
      </w:r>
    </w:p>
    <w:p>
      <w:pPr>
        <w:pStyle w:val="BodyText"/>
        <w:ind w:right="108" w:firstLine="619"/>
        <w:spacing w:before="201" w:line="355" w:lineRule="auto"/>
        <w:jc w:val="both"/>
        <w:rPr>
          <w:sz w:val="24"/>
          <w:szCs w:val="24"/>
        </w:rPr>
      </w:pPr>
      <w:r>
        <w:rPr>
          <w:sz w:val="24"/>
          <w:szCs w:val="24"/>
          <w:spacing w:val="5"/>
        </w:rPr>
        <w:t>(1)现场发生火灾时，第一发现人员应立刻向应急指挥部报告，并</w:t>
      </w:r>
      <w:r>
        <w:rPr>
          <w:sz w:val="24"/>
          <w:szCs w:val="24"/>
          <w:spacing w:val="4"/>
        </w:rPr>
        <w:t>及时切断事</w:t>
      </w:r>
      <w:r>
        <w:rPr>
          <w:sz w:val="24"/>
          <w:szCs w:val="24"/>
        </w:rPr>
        <w:t xml:space="preserve"> </w:t>
      </w:r>
      <w:r>
        <w:rPr>
          <w:sz w:val="24"/>
          <w:szCs w:val="24"/>
          <w:spacing w:val="-1"/>
        </w:rPr>
        <w:t>故现场电源，停止生产，在保证人身安全的前提下，</w:t>
      </w:r>
      <w:r>
        <w:rPr>
          <w:sz w:val="24"/>
          <w:szCs w:val="24"/>
          <w:spacing w:val="-2"/>
        </w:rPr>
        <w:t>最大程度的控制火势蔓延，召集</w:t>
      </w:r>
    </w:p>
    <w:p>
      <w:pPr>
        <w:pStyle w:val="BodyText"/>
        <w:spacing w:line="219" w:lineRule="auto"/>
        <w:rPr>
          <w:sz w:val="24"/>
          <w:szCs w:val="24"/>
        </w:rPr>
      </w:pPr>
      <w:r>
        <w:rPr>
          <w:sz w:val="24"/>
          <w:szCs w:val="24"/>
          <w:spacing w:val="-6"/>
        </w:rPr>
        <w:t>现场其他员工共同灭火。</w:t>
      </w:r>
    </w:p>
    <w:p>
      <w:pPr>
        <w:pStyle w:val="BodyText"/>
        <w:ind w:right="108" w:firstLine="619"/>
        <w:spacing w:before="194" w:line="362" w:lineRule="auto"/>
        <w:jc w:val="both"/>
        <w:rPr>
          <w:sz w:val="24"/>
          <w:szCs w:val="24"/>
        </w:rPr>
      </w:pPr>
      <w:r>
        <w:rPr>
          <w:sz w:val="24"/>
          <w:szCs w:val="24"/>
          <w:spacing w:val="5"/>
        </w:rPr>
        <w:t>(2)相关人员立即关闭雨水阀门，并确认雨水总排口阀门处于关闭</w:t>
      </w:r>
      <w:r>
        <w:rPr>
          <w:sz w:val="24"/>
          <w:szCs w:val="24"/>
          <w:spacing w:val="4"/>
        </w:rPr>
        <w:t>状态，防止</w:t>
      </w:r>
      <w:r>
        <w:rPr>
          <w:sz w:val="24"/>
          <w:szCs w:val="24"/>
        </w:rPr>
        <w:t xml:space="preserve"> </w:t>
      </w:r>
      <w:r>
        <w:rPr>
          <w:sz w:val="24"/>
          <w:szCs w:val="24"/>
          <w:spacing w:val="-2"/>
        </w:rPr>
        <w:t>洗消废水通过雨水管网流入外环境。同时用应急抽水泵、铺设管道将洗消废水抽至污</w:t>
      </w:r>
    </w:p>
    <w:p>
      <w:pPr>
        <w:pStyle w:val="BodyText"/>
        <w:spacing w:line="219" w:lineRule="auto"/>
        <w:rPr>
          <w:sz w:val="24"/>
          <w:szCs w:val="24"/>
        </w:rPr>
      </w:pPr>
      <w:r>
        <w:rPr>
          <w:sz w:val="24"/>
          <w:szCs w:val="24"/>
          <w:spacing w:val="-1"/>
        </w:rPr>
        <w:t>水处理站中事故应急池暂存，经处理达标后排放，或者委托有资质单位统一处理。</w:t>
      </w:r>
    </w:p>
    <w:p>
      <w:pPr>
        <w:pStyle w:val="BodyText"/>
        <w:ind w:left="4"/>
        <w:spacing w:before="194" w:line="220" w:lineRule="auto"/>
        <w:outlineLvl w:val="6"/>
        <w:rPr>
          <w:sz w:val="28"/>
          <w:szCs w:val="28"/>
        </w:rPr>
      </w:pPr>
      <w:r>
        <w:rPr>
          <w:sz w:val="28"/>
          <w:szCs w:val="28"/>
          <w:b/>
          <w:bCs/>
          <w:spacing w:val="4"/>
        </w:rPr>
        <w:t>9.应急预案</w:t>
      </w:r>
    </w:p>
    <w:p>
      <w:pPr>
        <w:spacing w:line="220" w:lineRule="auto"/>
        <w:sectPr>
          <w:footerReference w:type="default" r:id="rId207"/>
          <w:pgSz w:w="11900" w:h="16840"/>
          <w:pgMar w:top="1249" w:right="1439" w:bottom="988" w:left="1519" w:header="0" w:footer="849" w:gutter="0"/>
        </w:sectPr>
        <w:rPr>
          <w:sz w:val="28"/>
          <w:szCs w:val="28"/>
        </w:rPr>
      </w:pPr>
    </w:p>
    <w:p>
      <w:pPr>
        <w:pStyle w:val="BodyText"/>
        <w:ind w:left="4"/>
        <w:spacing w:before="56" w:line="219" w:lineRule="auto"/>
        <w:outlineLvl w:val="6"/>
        <w:rPr>
          <w:sz w:val="28"/>
          <w:szCs w:val="28"/>
        </w:rPr>
      </w:pPr>
      <w:r>
        <w:rPr>
          <w:sz w:val="28"/>
          <w:szCs w:val="28"/>
          <w:b/>
          <w:bCs/>
          <w:spacing w:val="-5"/>
        </w:rPr>
        <w:t>9.1应急预案编制要求</w:t>
      </w:r>
    </w:p>
    <w:p>
      <w:pPr>
        <w:pStyle w:val="BodyText"/>
        <w:ind w:right="10" w:firstLine="480"/>
        <w:spacing w:before="230" w:line="354" w:lineRule="auto"/>
        <w:rPr>
          <w:sz w:val="24"/>
          <w:szCs w:val="24"/>
        </w:rPr>
      </w:pPr>
      <w:r>
        <w:rPr>
          <w:sz w:val="24"/>
          <w:szCs w:val="24"/>
          <w:spacing w:val="-4"/>
        </w:rPr>
        <w:t>根据《福建省环保厅关于规范突发环境事件应急预案管理工作的通知》</w:t>
      </w:r>
      <w:r>
        <w:rPr>
          <w:sz w:val="24"/>
          <w:szCs w:val="24"/>
          <w:spacing w:val="77"/>
        </w:rPr>
        <w:t xml:space="preserve"> </w:t>
      </w:r>
      <w:r>
        <w:rPr>
          <w:sz w:val="24"/>
          <w:szCs w:val="24"/>
          <w:spacing w:val="-4"/>
        </w:rPr>
        <w:t>(闽环保</w:t>
      </w:r>
      <w:r>
        <w:rPr>
          <w:sz w:val="24"/>
          <w:szCs w:val="24"/>
        </w:rPr>
        <w:t xml:space="preserve"> </w:t>
      </w:r>
      <w:r>
        <w:rPr>
          <w:sz w:val="24"/>
          <w:szCs w:val="24"/>
          <w:spacing w:val="2"/>
        </w:rPr>
        <w:t>应急[2013]17号)规定，拟建项目</w:t>
      </w:r>
      <w:r>
        <w:rPr>
          <w:sz w:val="24"/>
          <w:szCs w:val="24"/>
          <w:spacing w:val="1"/>
        </w:rPr>
        <w:t>环境应急预案的管理、编制、评估、备案具体要求</w:t>
      </w:r>
    </w:p>
    <w:p>
      <w:pPr>
        <w:pStyle w:val="BodyText"/>
        <w:spacing w:line="220" w:lineRule="auto"/>
        <w:rPr>
          <w:sz w:val="24"/>
          <w:szCs w:val="24"/>
        </w:rPr>
      </w:pPr>
      <w:r>
        <w:rPr>
          <w:sz w:val="24"/>
          <w:szCs w:val="24"/>
          <w:spacing w:val="-16"/>
        </w:rPr>
        <w:t>如下：</w:t>
      </w:r>
    </w:p>
    <w:p>
      <w:pPr>
        <w:pStyle w:val="BodyText"/>
        <w:ind w:right="9" w:firstLine="480"/>
        <w:spacing w:before="192" w:line="354" w:lineRule="auto"/>
        <w:rPr>
          <w:sz w:val="24"/>
          <w:szCs w:val="24"/>
        </w:rPr>
      </w:pPr>
      <w:r>
        <w:rPr>
          <w:sz w:val="24"/>
          <w:szCs w:val="24"/>
          <w:spacing w:val="-2"/>
        </w:rPr>
        <w:t>国家重点监控企业、省级重点监控企业、市级重点监控企业，较大及较大以上环</w:t>
      </w:r>
      <w:r>
        <w:rPr>
          <w:sz w:val="24"/>
          <w:szCs w:val="24"/>
          <w:spacing w:val="11"/>
        </w:rPr>
        <w:t xml:space="preserve"> </w:t>
      </w:r>
      <w:r>
        <w:rPr>
          <w:sz w:val="24"/>
          <w:szCs w:val="24"/>
          <w:spacing w:val="-2"/>
        </w:rPr>
        <w:t>境风险企业，涉重金属企业，尾矿库企业，生产、贮存、经营、使用、运输危</w:t>
      </w:r>
      <w:r>
        <w:rPr>
          <w:sz w:val="24"/>
          <w:szCs w:val="24"/>
          <w:spacing w:val="-3"/>
        </w:rPr>
        <w:t>险物品</w:t>
      </w:r>
      <w:r>
        <w:rPr>
          <w:sz w:val="24"/>
          <w:szCs w:val="24"/>
        </w:rPr>
        <w:t xml:space="preserve"> </w:t>
      </w:r>
      <w:r>
        <w:rPr>
          <w:sz w:val="24"/>
          <w:szCs w:val="24"/>
          <w:spacing w:val="-2"/>
        </w:rPr>
        <w:t>的企业事业单位，产生、收集、贮存、运输、利用、处置危险废物</w:t>
      </w:r>
      <w:r>
        <w:rPr>
          <w:sz w:val="24"/>
          <w:szCs w:val="24"/>
          <w:spacing w:val="-3"/>
        </w:rPr>
        <w:t>的企业事业单位，</w:t>
      </w:r>
    </w:p>
    <w:p>
      <w:pPr>
        <w:pStyle w:val="BodyText"/>
        <w:spacing w:line="219" w:lineRule="auto"/>
        <w:rPr>
          <w:sz w:val="24"/>
          <w:szCs w:val="24"/>
        </w:rPr>
      </w:pPr>
      <w:r>
        <w:rPr>
          <w:sz w:val="24"/>
          <w:szCs w:val="24"/>
          <w:spacing w:val="-2"/>
        </w:rPr>
        <w:t>以及其他可能发生突发环境事件的企业事业单位，应当编制环境</w:t>
      </w:r>
      <w:r>
        <w:rPr>
          <w:sz w:val="24"/>
          <w:szCs w:val="24"/>
          <w:spacing w:val="-3"/>
        </w:rPr>
        <w:t>应急预案。</w:t>
      </w:r>
    </w:p>
    <w:p>
      <w:pPr>
        <w:pStyle w:val="BodyText"/>
        <w:ind w:firstLine="480"/>
        <w:spacing w:before="183" w:line="354" w:lineRule="auto"/>
        <w:rPr>
          <w:sz w:val="24"/>
          <w:szCs w:val="24"/>
        </w:rPr>
      </w:pPr>
      <w:r>
        <w:rPr>
          <w:sz w:val="24"/>
          <w:szCs w:val="24"/>
          <w:spacing w:val="5"/>
        </w:rPr>
        <w:t>环境应急预案可由责任单位自主编制或委托具备环境应急预案专业编制能力的</w:t>
      </w:r>
      <w:r>
        <w:rPr>
          <w:sz w:val="24"/>
          <w:szCs w:val="24"/>
          <w:spacing w:val="17"/>
        </w:rPr>
        <w:t xml:space="preserve"> </w:t>
      </w:r>
      <w:r>
        <w:rPr>
          <w:sz w:val="24"/>
          <w:szCs w:val="24"/>
          <w:spacing w:val="-2"/>
        </w:rPr>
        <w:t>单位编制。责任单位应针对可能发生的突发环境事件类别，结合企业内所涉及的各部</w:t>
      </w:r>
      <w:r>
        <w:rPr>
          <w:sz w:val="24"/>
          <w:szCs w:val="24"/>
          <w:spacing w:val="16"/>
        </w:rPr>
        <w:t xml:space="preserve"> </w:t>
      </w:r>
      <w:r>
        <w:rPr>
          <w:sz w:val="24"/>
          <w:szCs w:val="24"/>
          <w:spacing w:val="-2"/>
        </w:rPr>
        <w:t>门相关职责，成立以企业主要负责人为组长的应急预案编制工</w:t>
      </w:r>
      <w:r>
        <w:rPr>
          <w:sz w:val="24"/>
          <w:szCs w:val="24"/>
          <w:spacing w:val="-3"/>
        </w:rPr>
        <w:t>作组，制定应急预案编</w:t>
      </w:r>
      <w:r>
        <w:rPr>
          <w:sz w:val="24"/>
          <w:szCs w:val="24"/>
        </w:rPr>
        <w:t xml:space="preserve"> </w:t>
      </w:r>
      <w:r>
        <w:rPr>
          <w:sz w:val="24"/>
          <w:szCs w:val="24"/>
          <w:spacing w:val="-2"/>
        </w:rPr>
        <w:t>制任务、职责分工和工作计划。应急预案编制工作组包括应急预案涉及各部门的工作</w:t>
      </w:r>
      <w:r>
        <w:rPr>
          <w:sz w:val="24"/>
          <w:szCs w:val="24"/>
          <w:spacing w:val="18"/>
        </w:rPr>
        <w:t xml:space="preserve"> </w:t>
      </w:r>
      <w:r>
        <w:rPr>
          <w:sz w:val="24"/>
          <w:szCs w:val="24"/>
          <w:spacing w:val="-2"/>
        </w:rPr>
        <w:t>人员、重点岗位的一线操作人员、环境应急管理和专业技术方面的专家等。不具备上</w:t>
      </w:r>
      <w:r>
        <w:rPr>
          <w:sz w:val="24"/>
          <w:szCs w:val="24"/>
          <w:spacing w:val="13"/>
        </w:rPr>
        <w:t xml:space="preserve"> </w:t>
      </w:r>
      <w:r>
        <w:rPr>
          <w:sz w:val="24"/>
          <w:szCs w:val="24"/>
          <w:spacing w:val="-1"/>
        </w:rPr>
        <w:t>述专业人员或专家的单位可委托具有环境影响评价、环</w:t>
      </w:r>
      <w:r>
        <w:rPr>
          <w:sz w:val="24"/>
          <w:szCs w:val="24"/>
          <w:spacing w:val="-2"/>
        </w:rPr>
        <w:t>境工程设计或工程咨询乙级以</w:t>
      </w:r>
      <w:r>
        <w:rPr>
          <w:sz w:val="24"/>
          <w:szCs w:val="24"/>
        </w:rPr>
        <w:t xml:space="preserve"> </w:t>
      </w:r>
      <w:r>
        <w:rPr>
          <w:sz w:val="24"/>
          <w:szCs w:val="24"/>
          <w:spacing w:val="-1"/>
        </w:rPr>
        <w:t>上资质的专业技术服务机构参与编制。企业如委托具</w:t>
      </w:r>
      <w:r>
        <w:rPr>
          <w:sz w:val="24"/>
          <w:szCs w:val="24"/>
          <w:spacing w:val="-2"/>
        </w:rPr>
        <w:t>备环境应急预案专业编制能力的</w:t>
      </w:r>
    </w:p>
    <w:p>
      <w:pPr>
        <w:pStyle w:val="BodyText"/>
        <w:spacing w:line="219" w:lineRule="auto"/>
        <w:rPr>
          <w:sz w:val="24"/>
          <w:szCs w:val="24"/>
        </w:rPr>
      </w:pPr>
      <w:r>
        <w:rPr>
          <w:sz w:val="24"/>
          <w:szCs w:val="24"/>
          <w:spacing w:val="-2"/>
        </w:rPr>
        <w:t>单位进行编制，编制工作组的组长仍为企业的主要负责人，并对环境应急预案负责。</w:t>
      </w:r>
    </w:p>
    <w:p>
      <w:pPr>
        <w:pStyle w:val="BodyText"/>
        <w:ind w:left="4"/>
        <w:spacing w:before="253" w:line="219" w:lineRule="auto"/>
        <w:outlineLvl w:val="6"/>
        <w:rPr>
          <w:sz w:val="28"/>
          <w:szCs w:val="28"/>
        </w:rPr>
      </w:pPr>
      <w:r>
        <w:rPr>
          <w:sz w:val="28"/>
          <w:szCs w:val="28"/>
          <w:b/>
          <w:bCs/>
          <w:spacing w:val="-5"/>
        </w:rPr>
        <w:t>9.2环境应急预案内容</w:t>
      </w:r>
    </w:p>
    <w:p>
      <w:pPr>
        <w:pStyle w:val="BodyText"/>
        <w:ind w:right="7"/>
        <w:spacing w:before="190" w:line="480" w:lineRule="exact"/>
        <w:jc w:val="right"/>
        <w:rPr>
          <w:sz w:val="24"/>
          <w:szCs w:val="24"/>
        </w:rPr>
      </w:pPr>
      <w:r>
        <w:rPr>
          <w:sz w:val="24"/>
          <w:szCs w:val="24"/>
          <w:spacing w:val="-2"/>
          <w:position w:val="18"/>
        </w:rPr>
        <w:t>环境应急预案应包括综合环境应急预案和重点岗位现场处置预案，根据应急预案</w:t>
      </w:r>
    </w:p>
    <w:p>
      <w:pPr>
        <w:pStyle w:val="BodyText"/>
        <w:spacing w:line="219" w:lineRule="auto"/>
        <w:rPr>
          <w:sz w:val="24"/>
          <w:szCs w:val="24"/>
        </w:rPr>
      </w:pPr>
      <w:r>
        <w:rPr>
          <w:sz w:val="24"/>
          <w:szCs w:val="24"/>
          <w:spacing w:val="-3"/>
        </w:rPr>
        <w:t>的侧重内容和复杂程度，可增加专项环境应急预案。</w:t>
      </w:r>
    </w:p>
    <w:p>
      <w:pPr>
        <w:pStyle w:val="BodyText"/>
        <w:ind w:right="10"/>
        <w:spacing w:before="174" w:line="471" w:lineRule="exact"/>
        <w:jc w:val="right"/>
        <w:rPr>
          <w:sz w:val="24"/>
          <w:szCs w:val="24"/>
        </w:rPr>
      </w:pPr>
      <w:r>
        <w:rPr>
          <w:sz w:val="24"/>
          <w:szCs w:val="24"/>
          <w:spacing w:val="-2"/>
          <w:position w:val="17"/>
        </w:rPr>
        <w:t>综合环境应急预案应当包括本单位的应急组织机构及其职责、预防和预警工作机</w:t>
      </w:r>
    </w:p>
    <w:p>
      <w:pPr>
        <w:pStyle w:val="BodyText"/>
        <w:spacing w:before="1" w:line="219" w:lineRule="auto"/>
        <w:rPr>
          <w:sz w:val="24"/>
          <w:szCs w:val="24"/>
        </w:rPr>
      </w:pPr>
      <w:r>
        <w:rPr>
          <w:sz w:val="24"/>
          <w:szCs w:val="24"/>
          <w:spacing w:val="-2"/>
        </w:rPr>
        <w:t>制、应急响应程序、应急保障措施和应急培训及演练等内容。</w:t>
      </w:r>
    </w:p>
    <w:p>
      <w:pPr>
        <w:pStyle w:val="BodyText"/>
        <w:ind w:right="8" w:firstLine="480"/>
        <w:spacing w:before="176" w:line="361" w:lineRule="auto"/>
        <w:rPr>
          <w:sz w:val="24"/>
          <w:szCs w:val="24"/>
        </w:rPr>
      </w:pPr>
      <w:r>
        <w:rPr>
          <w:sz w:val="24"/>
          <w:szCs w:val="24"/>
          <w:spacing w:val="-2"/>
        </w:rPr>
        <w:t>重点岗位现场处置预案是针对具体的装置、场所或设施、岗位制定的具体应急处</w:t>
      </w:r>
      <w:r>
        <w:rPr>
          <w:sz w:val="24"/>
          <w:szCs w:val="24"/>
          <w:spacing w:val="9"/>
        </w:rPr>
        <w:t xml:space="preserve"> </w:t>
      </w:r>
      <w:r>
        <w:rPr>
          <w:sz w:val="24"/>
          <w:szCs w:val="24"/>
          <w:spacing w:val="-2"/>
        </w:rPr>
        <w:t>置措施，主要内容包括：岗位事件情景假设和特征、应急处置程序、每一步的应急措</w:t>
      </w:r>
    </w:p>
    <w:p>
      <w:pPr>
        <w:pStyle w:val="BodyText"/>
        <w:spacing w:line="219" w:lineRule="auto"/>
        <w:rPr>
          <w:sz w:val="24"/>
          <w:szCs w:val="24"/>
        </w:rPr>
      </w:pPr>
      <w:r>
        <w:rPr>
          <w:sz w:val="24"/>
          <w:szCs w:val="24"/>
          <w:spacing w:val="-1"/>
        </w:rPr>
        <w:t>施、责任人员以及注意事项等，应急措施应</w:t>
      </w:r>
      <w:r>
        <w:rPr>
          <w:sz w:val="24"/>
          <w:szCs w:val="24"/>
          <w:spacing w:val="-2"/>
        </w:rPr>
        <w:t>明确，具有很强的操作性。</w:t>
      </w:r>
    </w:p>
    <w:p>
      <w:pPr>
        <w:pStyle w:val="BodyText"/>
        <w:ind w:left="480"/>
        <w:spacing w:before="175" w:line="480" w:lineRule="exact"/>
        <w:rPr>
          <w:sz w:val="24"/>
          <w:szCs w:val="24"/>
        </w:rPr>
      </w:pPr>
      <w:r>
        <w:rPr>
          <w:sz w:val="24"/>
          <w:szCs w:val="24"/>
          <w:spacing w:val="-2"/>
          <w:position w:val="18"/>
        </w:rPr>
        <w:t>专项环境应急预案主要从水污染、大气污染等方面分别制定应对方案。</w:t>
      </w:r>
    </w:p>
    <w:p>
      <w:pPr>
        <w:pStyle w:val="BodyText"/>
        <w:ind w:left="480"/>
        <w:spacing w:line="219" w:lineRule="auto"/>
        <w:rPr>
          <w:sz w:val="24"/>
          <w:szCs w:val="24"/>
        </w:rPr>
      </w:pPr>
      <w:r>
        <w:rPr>
          <w:sz w:val="24"/>
          <w:szCs w:val="24"/>
          <w:spacing w:val="-8"/>
        </w:rPr>
        <w:t>具体内容见下表。</w:t>
      </w:r>
    </w:p>
    <w:p>
      <w:pPr>
        <w:spacing w:line="219" w:lineRule="auto"/>
        <w:sectPr>
          <w:footerReference w:type="default" r:id="rId208"/>
          <w:pgSz w:w="11900" w:h="16840"/>
          <w:pgMar w:top="1241" w:right="1538" w:bottom="1005" w:left="1529" w:header="0" w:footer="856" w:gutter="0"/>
        </w:sectPr>
        <w:rPr>
          <w:sz w:val="24"/>
          <w:szCs w:val="24"/>
        </w:rPr>
      </w:pPr>
    </w:p>
    <w:p>
      <w:pPr>
        <w:pStyle w:val="BodyText"/>
        <w:ind w:left="2243"/>
        <w:spacing w:before="48" w:line="219" w:lineRule="auto"/>
        <w:rPr>
          <w:sz w:val="24"/>
          <w:szCs w:val="24"/>
        </w:rPr>
      </w:pPr>
      <w:r>
        <w:rPr>
          <w:sz w:val="24"/>
          <w:szCs w:val="24"/>
          <w:b/>
          <w:bCs/>
          <w:spacing w:val="15"/>
        </w:rPr>
        <w:t>表9.2-1</w:t>
      </w:r>
      <w:r>
        <w:rPr>
          <w:sz w:val="24"/>
          <w:szCs w:val="24"/>
          <w:spacing w:val="15"/>
        </w:rPr>
        <w:t xml:space="preserve">  </w:t>
      </w:r>
      <w:r>
        <w:rPr>
          <w:sz w:val="24"/>
          <w:szCs w:val="24"/>
          <w:b/>
          <w:bCs/>
          <w:spacing w:val="15"/>
        </w:rPr>
        <w:t>综合环境应急预案编制要点</w:t>
      </w:r>
    </w:p>
    <w:p>
      <w:pPr>
        <w:spacing w:line="173" w:lineRule="exact"/>
        <w:rPr/>
      </w:pPr>
      <w:r/>
    </w:p>
    <w:tbl>
      <w:tblPr>
        <w:tblStyle w:val="TableNormal"/>
        <w:tblW w:w="8720" w:type="dxa"/>
        <w:tblInd w:w="4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14"/>
        <w:gridCol w:w="2178"/>
        <w:gridCol w:w="5928"/>
      </w:tblGrid>
      <w:tr>
        <w:trPr>
          <w:trHeight w:val="414" w:hRule="atLeast"/>
        </w:trPr>
        <w:tc>
          <w:tcPr>
            <w:tcW w:w="614" w:type="dxa"/>
            <w:vAlign w:val="top"/>
          </w:tcPr>
          <w:p>
            <w:pPr>
              <w:pStyle w:val="TableText"/>
              <w:ind w:left="95"/>
              <w:spacing w:before="114" w:line="221" w:lineRule="auto"/>
              <w:rPr>
                <w:sz w:val="20"/>
                <w:szCs w:val="20"/>
              </w:rPr>
            </w:pPr>
            <w:r>
              <w:rPr>
                <w:sz w:val="20"/>
                <w:szCs w:val="20"/>
                <w:spacing w:val="-2"/>
              </w:rPr>
              <w:t>序号</w:t>
            </w:r>
          </w:p>
        </w:tc>
        <w:tc>
          <w:tcPr>
            <w:tcW w:w="2178" w:type="dxa"/>
            <w:vAlign w:val="top"/>
          </w:tcPr>
          <w:p>
            <w:pPr>
              <w:pStyle w:val="TableText"/>
              <w:ind w:left="731"/>
              <w:spacing w:before="113" w:line="220" w:lineRule="auto"/>
              <w:rPr>
                <w:sz w:val="20"/>
                <w:szCs w:val="20"/>
              </w:rPr>
            </w:pPr>
            <w:r>
              <w:rPr>
                <w:sz w:val="20"/>
                <w:szCs w:val="20"/>
                <w:spacing w:val="-3"/>
              </w:rPr>
              <w:t>项    目</w:t>
            </w:r>
          </w:p>
        </w:tc>
        <w:tc>
          <w:tcPr>
            <w:tcW w:w="5928" w:type="dxa"/>
            <w:vAlign w:val="top"/>
          </w:tcPr>
          <w:p>
            <w:pPr>
              <w:pStyle w:val="TableText"/>
              <w:ind w:left="2453"/>
              <w:spacing w:before="113" w:line="219" w:lineRule="auto"/>
              <w:rPr>
                <w:sz w:val="20"/>
                <w:szCs w:val="20"/>
              </w:rPr>
            </w:pPr>
            <w:r>
              <w:rPr>
                <w:sz w:val="20"/>
                <w:szCs w:val="20"/>
                <w:spacing w:val="1"/>
              </w:rPr>
              <w:t>内容及要求</w:t>
            </w:r>
          </w:p>
        </w:tc>
      </w:tr>
      <w:tr>
        <w:trPr>
          <w:trHeight w:val="619" w:hRule="atLeast"/>
        </w:trPr>
        <w:tc>
          <w:tcPr>
            <w:tcW w:w="614" w:type="dxa"/>
            <w:vAlign w:val="top"/>
          </w:tcPr>
          <w:p>
            <w:pPr>
              <w:pStyle w:val="TableText"/>
              <w:ind w:left="245"/>
              <w:spacing w:before="259" w:line="184" w:lineRule="auto"/>
              <w:rPr>
                <w:sz w:val="20"/>
                <w:szCs w:val="20"/>
              </w:rPr>
            </w:pPr>
            <w:r>
              <w:rPr>
                <w:sz w:val="20"/>
                <w:szCs w:val="20"/>
              </w:rPr>
              <w:t>1</w:t>
            </w:r>
          </w:p>
        </w:tc>
        <w:tc>
          <w:tcPr>
            <w:tcW w:w="2178" w:type="dxa"/>
            <w:vAlign w:val="top"/>
          </w:tcPr>
          <w:p>
            <w:pPr>
              <w:pStyle w:val="TableText"/>
              <w:ind w:left="880"/>
              <w:spacing w:before="209" w:line="220" w:lineRule="auto"/>
              <w:rPr>
                <w:sz w:val="20"/>
                <w:szCs w:val="20"/>
              </w:rPr>
            </w:pPr>
            <w:r>
              <w:rPr>
                <w:sz w:val="20"/>
                <w:szCs w:val="20"/>
                <w:spacing w:val="9"/>
              </w:rPr>
              <w:t>总则</w:t>
            </w:r>
          </w:p>
        </w:tc>
        <w:tc>
          <w:tcPr>
            <w:tcW w:w="5928" w:type="dxa"/>
            <w:vAlign w:val="top"/>
          </w:tcPr>
          <w:p>
            <w:pPr>
              <w:pStyle w:val="TableText"/>
              <w:ind w:left="2753" w:right="148" w:hanging="2600"/>
              <w:spacing w:before="68" w:line="239" w:lineRule="auto"/>
              <w:rPr>
                <w:sz w:val="20"/>
                <w:szCs w:val="20"/>
              </w:rPr>
            </w:pPr>
            <w:r>
              <w:rPr>
                <w:sz w:val="20"/>
                <w:szCs w:val="20"/>
              </w:rPr>
              <w:t>包含编制目的、编制依据、适用范围、事件分类及分级和工作原</w:t>
            </w:r>
            <w:r>
              <w:rPr>
                <w:sz w:val="20"/>
                <w:szCs w:val="20"/>
                <w:spacing w:val="15"/>
              </w:rPr>
              <w:t xml:space="preserve"> </w:t>
            </w:r>
            <w:r>
              <w:rPr>
                <w:sz w:val="20"/>
                <w:szCs w:val="20"/>
                <w:spacing w:val="4"/>
              </w:rPr>
              <w:t>则等</w:t>
            </w:r>
          </w:p>
        </w:tc>
      </w:tr>
      <w:tr>
        <w:trPr>
          <w:trHeight w:val="629" w:hRule="atLeast"/>
        </w:trPr>
        <w:tc>
          <w:tcPr>
            <w:tcW w:w="614" w:type="dxa"/>
            <w:vAlign w:val="top"/>
          </w:tcPr>
          <w:p>
            <w:pPr>
              <w:pStyle w:val="TableText"/>
              <w:ind w:left="245"/>
              <w:spacing w:before="271" w:line="183" w:lineRule="auto"/>
              <w:rPr>
                <w:sz w:val="20"/>
                <w:szCs w:val="20"/>
              </w:rPr>
            </w:pPr>
            <w:r>
              <w:rPr>
                <w:sz w:val="20"/>
                <w:szCs w:val="20"/>
              </w:rPr>
              <w:t>2</w:t>
            </w:r>
          </w:p>
        </w:tc>
        <w:tc>
          <w:tcPr>
            <w:tcW w:w="2178" w:type="dxa"/>
            <w:vAlign w:val="top"/>
          </w:tcPr>
          <w:p>
            <w:pPr>
              <w:pStyle w:val="TableText"/>
              <w:ind w:left="980" w:right="94" w:hanging="899"/>
              <w:spacing w:before="101" w:line="226" w:lineRule="auto"/>
              <w:rPr>
                <w:sz w:val="20"/>
                <w:szCs w:val="20"/>
              </w:rPr>
            </w:pPr>
            <w:r>
              <w:rPr>
                <w:sz w:val="20"/>
                <w:szCs w:val="20"/>
                <w:spacing w:val="-1"/>
              </w:rPr>
              <w:t>应急组织指挥体系与职</w:t>
            </w:r>
            <w:r>
              <w:rPr>
                <w:sz w:val="20"/>
                <w:szCs w:val="20"/>
                <w:spacing w:val="1"/>
              </w:rPr>
              <w:t xml:space="preserve"> </w:t>
            </w:r>
            <w:r>
              <w:rPr>
                <w:sz w:val="20"/>
                <w:szCs w:val="20"/>
              </w:rPr>
              <w:t>责</w:t>
            </w:r>
          </w:p>
        </w:tc>
        <w:tc>
          <w:tcPr>
            <w:tcW w:w="5928" w:type="dxa"/>
            <w:vAlign w:val="top"/>
          </w:tcPr>
          <w:p>
            <w:pPr>
              <w:pStyle w:val="TableText"/>
              <w:ind w:left="1053"/>
              <w:spacing w:before="218" w:line="219" w:lineRule="auto"/>
              <w:rPr>
                <w:sz w:val="20"/>
                <w:szCs w:val="20"/>
              </w:rPr>
            </w:pPr>
            <w:r>
              <w:rPr>
                <w:sz w:val="20"/>
                <w:szCs w:val="20"/>
              </w:rPr>
              <w:t>内部应急组织机构与职责、外部指挥与协调</w:t>
            </w:r>
          </w:p>
        </w:tc>
      </w:tr>
      <w:tr>
        <w:trPr>
          <w:trHeight w:val="409" w:hRule="atLeast"/>
        </w:trPr>
        <w:tc>
          <w:tcPr>
            <w:tcW w:w="614" w:type="dxa"/>
            <w:vAlign w:val="top"/>
          </w:tcPr>
          <w:p>
            <w:pPr>
              <w:pStyle w:val="TableText"/>
              <w:ind w:left="245"/>
              <w:spacing w:before="162" w:line="183" w:lineRule="auto"/>
              <w:rPr>
                <w:sz w:val="20"/>
                <w:szCs w:val="20"/>
              </w:rPr>
            </w:pPr>
            <w:r>
              <w:rPr>
                <w:sz w:val="20"/>
                <w:szCs w:val="20"/>
              </w:rPr>
              <w:t>3</w:t>
            </w:r>
          </w:p>
        </w:tc>
        <w:tc>
          <w:tcPr>
            <w:tcW w:w="2178" w:type="dxa"/>
            <w:vAlign w:val="top"/>
          </w:tcPr>
          <w:p>
            <w:pPr>
              <w:pStyle w:val="TableText"/>
              <w:ind w:left="580"/>
              <w:spacing w:before="111" w:line="220" w:lineRule="auto"/>
              <w:rPr>
                <w:sz w:val="20"/>
                <w:szCs w:val="20"/>
              </w:rPr>
            </w:pPr>
            <w:r>
              <w:rPr>
                <w:sz w:val="20"/>
                <w:szCs w:val="20"/>
                <w:spacing w:val="-2"/>
              </w:rPr>
              <w:t>预防与预警</w:t>
            </w:r>
          </w:p>
        </w:tc>
        <w:tc>
          <w:tcPr>
            <w:tcW w:w="5928" w:type="dxa"/>
            <w:vAlign w:val="top"/>
          </w:tcPr>
          <w:p>
            <w:pPr>
              <w:pStyle w:val="TableText"/>
              <w:ind w:left="953"/>
              <w:spacing w:before="111" w:line="219" w:lineRule="auto"/>
              <w:rPr>
                <w:sz w:val="20"/>
                <w:szCs w:val="20"/>
              </w:rPr>
            </w:pPr>
            <w:r>
              <w:rPr>
                <w:sz w:val="20"/>
                <w:szCs w:val="20"/>
                <w:spacing w:val="-1"/>
              </w:rPr>
              <w:t>预防措施、管理制度，预警条件、措施及解除</w:t>
            </w:r>
          </w:p>
        </w:tc>
      </w:tr>
      <w:tr>
        <w:trPr>
          <w:trHeight w:val="409" w:hRule="atLeast"/>
        </w:trPr>
        <w:tc>
          <w:tcPr>
            <w:tcW w:w="614" w:type="dxa"/>
            <w:vAlign w:val="top"/>
          </w:tcPr>
          <w:p>
            <w:pPr>
              <w:pStyle w:val="TableText"/>
              <w:ind w:left="245"/>
              <w:spacing w:before="163" w:line="183" w:lineRule="auto"/>
              <w:rPr>
                <w:sz w:val="20"/>
                <w:szCs w:val="20"/>
              </w:rPr>
            </w:pPr>
            <w:r>
              <w:rPr>
                <w:sz w:val="20"/>
                <w:szCs w:val="20"/>
              </w:rPr>
              <w:t>4</w:t>
            </w:r>
          </w:p>
        </w:tc>
        <w:tc>
          <w:tcPr>
            <w:tcW w:w="2178" w:type="dxa"/>
            <w:vAlign w:val="top"/>
          </w:tcPr>
          <w:p>
            <w:pPr>
              <w:pStyle w:val="TableText"/>
              <w:ind w:left="681"/>
              <w:spacing w:before="114" w:line="221" w:lineRule="auto"/>
              <w:rPr>
                <w:sz w:val="20"/>
                <w:szCs w:val="20"/>
              </w:rPr>
            </w:pPr>
            <w:r>
              <w:rPr>
                <w:sz w:val="20"/>
                <w:szCs w:val="20"/>
                <w:spacing w:val="-2"/>
              </w:rPr>
              <w:t>应急处置</w:t>
            </w:r>
          </w:p>
        </w:tc>
        <w:tc>
          <w:tcPr>
            <w:tcW w:w="5928" w:type="dxa"/>
            <w:vAlign w:val="top"/>
          </w:tcPr>
          <w:p>
            <w:pPr>
              <w:pStyle w:val="TableText"/>
              <w:ind w:left="1553"/>
              <w:spacing w:before="112" w:line="220" w:lineRule="auto"/>
              <w:rPr>
                <w:sz w:val="20"/>
                <w:szCs w:val="20"/>
              </w:rPr>
            </w:pPr>
            <w:r>
              <w:rPr>
                <w:sz w:val="20"/>
                <w:szCs w:val="20"/>
              </w:rPr>
              <w:t>响应分级、响应程序、应急处置</w:t>
            </w:r>
          </w:p>
        </w:tc>
      </w:tr>
      <w:tr>
        <w:trPr>
          <w:trHeight w:val="420" w:hRule="atLeast"/>
        </w:trPr>
        <w:tc>
          <w:tcPr>
            <w:tcW w:w="614" w:type="dxa"/>
            <w:vAlign w:val="top"/>
          </w:tcPr>
          <w:p>
            <w:pPr>
              <w:pStyle w:val="TableText"/>
              <w:ind w:left="245"/>
              <w:spacing w:before="165" w:line="182" w:lineRule="auto"/>
              <w:rPr>
                <w:sz w:val="20"/>
                <w:szCs w:val="20"/>
              </w:rPr>
            </w:pPr>
            <w:r>
              <w:rPr>
                <w:sz w:val="20"/>
                <w:szCs w:val="20"/>
              </w:rPr>
              <w:t>5</w:t>
            </w:r>
          </w:p>
        </w:tc>
        <w:tc>
          <w:tcPr>
            <w:tcW w:w="2178" w:type="dxa"/>
            <w:vAlign w:val="top"/>
          </w:tcPr>
          <w:p>
            <w:pPr>
              <w:pStyle w:val="TableText"/>
              <w:ind w:left="681"/>
              <w:spacing w:before="115" w:line="221" w:lineRule="auto"/>
              <w:rPr>
                <w:sz w:val="20"/>
                <w:szCs w:val="20"/>
              </w:rPr>
            </w:pPr>
            <w:r>
              <w:rPr>
                <w:sz w:val="20"/>
                <w:szCs w:val="20"/>
                <w:spacing w:val="-2"/>
              </w:rPr>
              <w:t>应急终止</w:t>
            </w:r>
          </w:p>
        </w:tc>
        <w:tc>
          <w:tcPr>
            <w:tcW w:w="5928" w:type="dxa"/>
            <w:vAlign w:val="top"/>
          </w:tcPr>
          <w:p>
            <w:pPr>
              <w:pStyle w:val="TableText"/>
              <w:ind w:left="1553"/>
              <w:spacing w:before="113" w:line="219" w:lineRule="auto"/>
              <w:rPr>
                <w:sz w:val="20"/>
                <w:szCs w:val="20"/>
              </w:rPr>
            </w:pPr>
            <w:r>
              <w:rPr>
                <w:sz w:val="20"/>
                <w:szCs w:val="20"/>
              </w:rPr>
              <w:t>应急终止条件、程序及后续工作</w:t>
            </w:r>
          </w:p>
        </w:tc>
      </w:tr>
      <w:tr>
        <w:trPr>
          <w:trHeight w:val="419" w:hRule="atLeast"/>
        </w:trPr>
        <w:tc>
          <w:tcPr>
            <w:tcW w:w="614" w:type="dxa"/>
            <w:vAlign w:val="top"/>
          </w:tcPr>
          <w:p>
            <w:pPr>
              <w:pStyle w:val="TableText"/>
              <w:ind w:left="245"/>
              <w:spacing w:before="164" w:line="183" w:lineRule="auto"/>
              <w:rPr>
                <w:sz w:val="20"/>
                <w:szCs w:val="20"/>
              </w:rPr>
            </w:pPr>
            <w:r>
              <w:rPr>
                <w:sz w:val="20"/>
                <w:szCs w:val="20"/>
              </w:rPr>
              <w:t>6</w:t>
            </w:r>
          </w:p>
        </w:tc>
        <w:tc>
          <w:tcPr>
            <w:tcW w:w="2178" w:type="dxa"/>
            <w:vAlign w:val="top"/>
          </w:tcPr>
          <w:p>
            <w:pPr>
              <w:pStyle w:val="TableText"/>
              <w:ind w:left="681"/>
              <w:spacing w:before="113" w:line="220" w:lineRule="auto"/>
              <w:rPr>
                <w:sz w:val="20"/>
                <w:szCs w:val="20"/>
              </w:rPr>
            </w:pPr>
            <w:r>
              <w:rPr>
                <w:sz w:val="20"/>
                <w:szCs w:val="20"/>
                <w:spacing w:val="-2"/>
              </w:rPr>
              <w:t>后期处置</w:t>
            </w:r>
          </w:p>
        </w:tc>
        <w:tc>
          <w:tcPr>
            <w:tcW w:w="5928" w:type="dxa"/>
            <w:vAlign w:val="top"/>
          </w:tcPr>
          <w:p>
            <w:pPr>
              <w:pStyle w:val="TableText"/>
              <w:ind w:left="1153"/>
              <w:spacing w:before="111" w:line="218" w:lineRule="auto"/>
              <w:rPr>
                <w:sz w:val="20"/>
                <w:szCs w:val="20"/>
              </w:rPr>
            </w:pPr>
            <w:r>
              <w:rPr>
                <w:sz w:val="20"/>
                <w:szCs w:val="20"/>
              </w:rPr>
              <w:t>善后处置、环境恢复与重建，评估与总结</w:t>
            </w:r>
          </w:p>
        </w:tc>
      </w:tr>
      <w:tr>
        <w:trPr>
          <w:trHeight w:val="539" w:hRule="atLeast"/>
        </w:trPr>
        <w:tc>
          <w:tcPr>
            <w:tcW w:w="614" w:type="dxa"/>
            <w:vAlign w:val="top"/>
          </w:tcPr>
          <w:p>
            <w:pPr>
              <w:pStyle w:val="TableText"/>
              <w:ind w:left="245"/>
              <w:spacing w:before="226" w:line="182" w:lineRule="auto"/>
              <w:rPr>
                <w:sz w:val="20"/>
                <w:szCs w:val="20"/>
              </w:rPr>
            </w:pPr>
            <w:r>
              <w:rPr>
                <w:sz w:val="20"/>
                <w:szCs w:val="20"/>
              </w:rPr>
              <w:t>7</w:t>
            </w:r>
          </w:p>
        </w:tc>
        <w:tc>
          <w:tcPr>
            <w:tcW w:w="2178" w:type="dxa"/>
            <w:vAlign w:val="top"/>
          </w:tcPr>
          <w:p>
            <w:pPr>
              <w:pStyle w:val="TableText"/>
              <w:ind w:left="681"/>
              <w:spacing w:before="174" w:line="219" w:lineRule="auto"/>
              <w:rPr>
                <w:sz w:val="20"/>
                <w:szCs w:val="20"/>
              </w:rPr>
            </w:pPr>
            <w:r>
              <w:rPr>
                <w:sz w:val="20"/>
                <w:szCs w:val="20"/>
                <w:spacing w:val="-2"/>
              </w:rPr>
              <w:t>应急保障</w:t>
            </w:r>
          </w:p>
        </w:tc>
        <w:tc>
          <w:tcPr>
            <w:tcW w:w="5928" w:type="dxa"/>
            <w:vAlign w:val="top"/>
          </w:tcPr>
          <w:p>
            <w:pPr>
              <w:pStyle w:val="TableText"/>
              <w:ind w:left="903" w:right="154" w:hanging="440"/>
              <w:spacing w:before="24" w:line="233" w:lineRule="auto"/>
              <w:rPr>
                <w:sz w:val="20"/>
                <w:szCs w:val="20"/>
              </w:rPr>
            </w:pPr>
            <w:r>
              <w:rPr>
                <w:sz w:val="20"/>
                <w:szCs w:val="20"/>
                <w:spacing w:val="4"/>
              </w:rPr>
              <w:t>包括人力资源保障、资金保障、物资保障、医疗</w:t>
            </w:r>
            <w:r>
              <w:rPr>
                <w:sz w:val="20"/>
                <w:szCs w:val="20"/>
                <w:spacing w:val="3"/>
              </w:rPr>
              <w:t>卫生保障、</w:t>
            </w:r>
            <w:r>
              <w:rPr>
                <w:sz w:val="20"/>
                <w:szCs w:val="20"/>
              </w:rPr>
              <w:t xml:space="preserve"> </w:t>
            </w:r>
            <w:r>
              <w:rPr>
                <w:sz w:val="20"/>
                <w:szCs w:val="20"/>
              </w:rPr>
              <w:t>交通运输保障、通信与信息保障、科技支撑等。</w:t>
            </w:r>
          </w:p>
        </w:tc>
      </w:tr>
      <w:tr>
        <w:trPr>
          <w:trHeight w:val="429" w:hRule="atLeast"/>
        </w:trPr>
        <w:tc>
          <w:tcPr>
            <w:tcW w:w="614" w:type="dxa"/>
            <w:vAlign w:val="top"/>
          </w:tcPr>
          <w:p>
            <w:pPr>
              <w:pStyle w:val="TableText"/>
              <w:ind w:left="245"/>
              <w:spacing w:before="176" w:line="183" w:lineRule="auto"/>
              <w:rPr>
                <w:sz w:val="20"/>
                <w:szCs w:val="20"/>
              </w:rPr>
            </w:pPr>
            <w:r>
              <w:rPr>
                <w:sz w:val="20"/>
                <w:szCs w:val="20"/>
              </w:rPr>
              <w:t>8</w:t>
            </w:r>
          </w:p>
        </w:tc>
        <w:tc>
          <w:tcPr>
            <w:tcW w:w="2178" w:type="dxa"/>
            <w:vAlign w:val="top"/>
          </w:tcPr>
          <w:p>
            <w:pPr>
              <w:pStyle w:val="TableText"/>
              <w:ind w:left="681"/>
              <w:spacing w:before="125" w:line="219" w:lineRule="auto"/>
              <w:rPr>
                <w:sz w:val="20"/>
                <w:szCs w:val="20"/>
              </w:rPr>
            </w:pPr>
            <w:r>
              <w:rPr>
                <w:sz w:val="20"/>
                <w:szCs w:val="20"/>
                <w:spacing w:val="-2"/>
              </w:rPr>
              <w:t>监督管理</w:t>
            </w:r>
          </w:p>
        </w:tc>
        <w:tc>
          <w:tcPr>
            <w:tcW w:w="5928" w:type="dxa"/>
            <w:vAlign w:val="top"/>
          </w:tcPr>
          <w:p>
            <w:pPr>
              <w:pStyle w:val="TableText"/>
              <w:ind w:left="1253"/>
              <w:spacing w:before="125" w:line="219" w:lineRule="auto"/>
              <w:rPr>
                <w:sz w:val="20"/>
                <w:szCs w:val="20"/>
              </w:rPr>
            </w:pPr>
            <w:r>
              <w:rPr>
                <w:sz w:val="20"/>
                <w:szCs w:val="20"/>
              </w:rPr>
              <w:t>应急演练计划、宣教培训、责任与奖惩</w:t>
            </w:r>
          </w:p>
        </w:tc>
      </w:tr>
      <w:tr>
        <w:trPr>
          <w:trHeight w:val="409" w:hRule="atLeast"/>
        </w:trPr>
        <w:tc>
          <w:tcPr>
            <w:tcW w:w="614" w:type="dxa"/>
            <w:vAlign w:val="top"/>
          </w:tcPr>
          <w:p>
            <w:pPr>
              <w:pStyle w:val="TableText"/>
              <w:ind w:left="245"/>
              <w:spacing w:before="167" w:line="183" w:lineRule="auto"/>
              <w:rPr>
                <w:sz w:val="20"/>
                <w:szCs w:val="20"/>
              </w:rPr>
            </w:pPr>
            <w:r>
              <w:rPr>
                <w:sz w:val="20"/>
                <w:szCs w:val="20"/>
              </w:rPr>
              <w:t>9</w:t>
            </w:r>
          </w:p>
        </w:tc>
        <w:tc>
          <w:tcPr>
            <w:tcW w:w="2178" w:type="dxa"/>
            <w:vAlign w:val="top"/>
          </w:tcPr>
          <w:p>
            <w:pPr>
              <w:pStyle w:val="TableText"/>
              <w:ind w:left="880"/>
              <w:spacing w:before="114" w:line="219" w:lineRule="auto"/>
              <w:rPr>
                <w:sz w:val="20"/>
                <w:szCs w:val="20"/>
              </w:rPr>
            </w:pPr>
            <w:r>
              <w:rPr>
                <w:sz w:val="20"/>
                <w:szCs w:val="20"/>
                <w:spacing w:val="9"/>
              </w:rPr>
              <w:t>附则</w:t>
            </w:r>
          </w:p>
        </w:tc>
        <w:tc>
          <w:tcPr>
            <w:tcW w:w="5928" w:type="dxa"/>
            <w:vAlign w:val="top"/>
          </w:tcPr>
          <w:p>
            <w:pPr>
              <w:pStyle w:val="TableText"/>
              <w:ind w:left="1253"/>
              <w:spacing w:before="116" w:line="219" w:lineRule="auto"/>
              <w:rPr>
                <w:sz w:val="20"/>
                <w:szCs w:val="20"/>
              </w:rPr>
            </w:pPr>
            <w:r>
              <w:rPr>
                <w:sz w:val="20"/>
                <w:szCs w:val="20"/>
                <w:spacing w:val="-1"/>
              </w:rPr>
              <w:t>包含名词术语、预案解释、修订情况等</w:t>
            </w:r>
          </w:p>
        </w:tc>
      </w:tr>
      <w:tr>
        <w:trPr>
          <w:trHeight w:val="424" w:hRule="atLeast"/>
        </w:trPr>
        <w:tc>
          <w:tcPr>
            <w:tcW w:w="614" w:type="dxa"/>
            <w:vAlign w:val="top"/>
          </w:tcPr>
          <w:p>
            <w:pPr>
              <w:pStyle w:val="TableText"/>
              <w:ind w:left="195"/>
              <w:spacing w:before="167" w:line="184" w:lineRule="auto"/>
              <w:rPr>
                <w:sz w:val="20"/>
                <w:szCs w:val="20"/>
              </w:rPr>
            </w:pPr>
            <w:r>
              <w:rPr>
                <w:sz w:val="20"/>
                <w:szCs w:val="20"/>
                <w:spacing w:val="-6"/>
              </w:rPr>
              <w:t>10</w:t>
            </w:r>
          </w:p>
        </w:tc>
        <w:tc>
          <w:tcPr>
            <w:tcW w:w="2178" w:type="dxa"/>
            <w:vAlign w:val="top"/>
          </w:tcPr>
          <w:p>
            <w:pPr>
              <w:pStyle w:val="TableText"/>
              <w:ind w:left="880"/>
              <w:spacing w:before="115" w:line="219" w:lineRule="auto"/>
              <w:rPr>
                <w:sz w:val="20"/>
                <w:szCs w:val="20"/>
              </w:rPr>
            </w:pPr>
            <w:r>
              <w:rPr>
                <w:sz w:val="20"/>
                <w:szCs w:val="20"/>
                <w:spacing w:val="4"/>
              </w:rPr>
              <w:t>附件</w:t>
            </w:r>
          </w:p>
        </w:tc>
        <w:tc>
          <w:tcPr>
            <w:tcW w:w="5928" w:type="dxa"/>
            <w:vAlign w:val="top"/>
          </w:tcPr>
          <w:p>
            <w:pPr>
              <w:pStyle w:val="TableText"/>
              <w:ind w:left="953"/>
              <w:spacing w:before="115" w:line="219" w:lineRule="auto"/>
              <w:rPr>
                <w:sz w:val="20"/>
                <w:szCs w:val="20"/>
              </w:rPr>
            </w:pPr>
            <w:r>
              <w:rPr>
                <w:sz w:val="20"/>
                <w:szCs w:val="20"/>
              </w:rPr>
              <w:t>与应急事故有关的多种附件材料的准备和形成</w:t>
            </w:r>
          </w:p>
        </w:tc>
      </w:tr>
    </w:tbl>
    <w:p>
      <w:pPr>
        <w:pStyle w:val="BodyText"/>
        <w:ind w:right="188" w:firstLine="490"/>
        <w:spacing w:before="84" w:line="354" w:lineRule="auto"/>
        <w:jc w:val="both"/>
        <w:rPr>
          <w:sz w:val="24"/>
          <w:szCs w:val="24"/>
        </w:rPr>
      </w:pPr>
      <w:r>
        <w:rPr>
          <w:sz w:val="24"/>
          <w:szCs w:val="24"/>
          <w:spacing w:val="-2"/>
        </w:rPr>
        <w:t>通过风险防范措施的设立和应急预案的建立，可有最大限度防止风险事故的发生</w:t>
      </w:r>
      <w:r>
        <w:rPr>
          <w:sz w:val="24"/>
          <w:szCs w:val="24"/>
        </w:rPr>
        <w:t xml:space="preserve"> </w:t>
      </w:r>
      <w:r>
        <w:rPr>
          <w:sz w:val="24"/>
          <w:szCs w:val="24"/>
          <w:spacing w:val="-2"/>
        </w:rPr>
        <w:t>和有效处置，建设项目所发生的环境风险可以控制在较低的水平，建设项目的事故风</w:t>
      </w:r>
    </w:p>
    <w:p>
      <w:pPr>
        <w:pStyle w:val="BodyText"/>
        <w:spacing w:line="219" w:lineRule="auto"/>
        <w:rPr>
          <w:sz w:val="24"/>
          <w:szCs w:val="24"/>
        </w:rPr>
      </w:pPr>
      <w:r>
        <w:rPr>
          <w:sz w:val="24"/>
          <w:szCs w:val="24"/>
          <w:spacing w:val="-6"/>
        </w:rPr>
        <w:t>险属于可接受水平。</w:t>
      </w:r>
    </w:p>
    <w:p>
      <w:pPr>
        <w:pStyle w:val="BodyText"/>
        <w:ind w:left="3"/>
        <w:spacing w:before="221" w:line="219" w:lineRule="auto"/>
        <w:outlineLvl w:val="6"/>
        <w:rPr>
          <w:sz w:val="24"/>
          <w:szCs w:val="24"/>
        </w:rPr>
      </w:pPr>
      <w:r>
        <w:rPr>
          <w:sz w:val="24"/>
          <w:szCs w:val="24"/>
          <w:b/>
          <w:bCs/>
          <w:spacing w:val="20"/>
        </w:rPr>
        <w:t>9</w:t>
      </w:r>
      <w:r>
        <w:rPr>
          <w:sz w:val="24"/>
          <w:szCs w:val="24"/>
          <w:spacing w:val="-65"/>
        </w:rPr>
        <w:t xml:space="preserve"> </w:t>
      </w:r>
      <w:r>
        <w:rPr>
          <w:sz w:val="24"/>
          <w:szCs w:val="24"/>
          <w:b/>
          <w:bCs/>
          <w:spacing w:val="20"/>
        </w:rPr>
        <w:t>.</w:t>
      </w:r>
      <w:r>
        <w:rPr>
          <w:sz w:val="24"/>
          <w:szCs w:val="24"/>
          <w:spacing w:val="-67"/>
        </w:rPr>
        <w:t xml:space="preserve"> </w:t>
      </w:r>
      <w:r>
        <w:rPr>
          <w:sz w:val="24"/>
          <w:szCs w:val="24"/>
          <w:b/>
          <w:bCs/>
          <w:spacing w:val="20"/>
        </w:rPr>
        <w:t>3编制的时限要求</w:t>
      </w:r>
    </w:p>
    <w:p>
      <w:pPr>
        <w:pStyle w:val="BodyText"/>
        <w:ind w:left="490"/>
        <w:spacing w:before="218" w:line="479" w:lineRule="exact"/>
        <w:rPr>
          <w:sz w:val="24"/>
          <w:szCs w:val="24"/>
        </w:rPr>
      </w:pPr>
      <w:r>
        <w:rPr>
          <w:sz w:val="24"/>
          <w:szCs w:val="24"/>
          <w:spacing w:val="1"/>
          <w:position w:val="18"/>
        </w:rPr>
        <w:t>已经建成投产或通过环境保护竣工验收的企业事业单位，应在1年内完成环境应</w:t>
      </w:r>
    </w:p>
    <w:p>
      <w:pPr>
        <w:pStyle w:val="BodyText"/>
        <w:spacing w:before="1" w:line="217" w:lineRule="auto"/>
        <w:rPr>
          <w:sz w:val="24"/>
          <w:szCs w:val="24"/>
        </w:rPr>
      </w:pPr>
      <w:r>
        <w:rPr>
          <w:sz w:val="24"/>
          <w:szCs w:val="24"/>
          <w:spacing w:val="-7"/>
        </w:rPr>
        <w:t>急预案编制、评估和备案。</w:t>
      </w:r>
    </w:p>
    <w:p>
      <w:pPr>
        <w:pStyle w:val="BodyText"/>
        <w:ind w:left="490"/>
        <w:spacing w:before="178" w:line="459" w:lineRule="exact"/>
        <w:rPr>
          <w:sz w:val="24"/>
          <w:szCs w:val="24"/>
        </w:rPr>
      </w:pPr>
      <w:r>
        <w:rPr>
          <w:sz w:val="24"/>
          <w:szCs w:val="24"/>
          <w:spacing w:val="5"/>
          <w:position w:val="16"/>
        </w:rPr>
        <w:t>未建成投产和今后新、扩(改)建项目的企业事业单位，应在项目建成</w:t>
      </w:r>
      <w:r>
        <w:rPr>
          <w:sz w:val="24"/>
          <w:szCs w:val="24"/>
          <w:spacing w:val="4"/>
          <w:position w:val="16"/>
        </w:rPr>
        <w:t>试投产前</w:t>
      </w:r>
    </w:p>
    <w:p>
      <w:pPr>
        <w:pStyle w:val="BodyText"/>
        <w:spacing w:before="1" w:line="217" w:lineRule="auto"/>
        <w:rPr>
          <w:sz w:val="24"/>
          <w:szCs w:val="24"/>
        </w:rPr>
      </w:pPr>
      <w:r>
        <w:rPr>
          <w:sz w:val="24"/>
          <w:szCs w:val="24"/>
          <w:spacing w:val="-5"/>
        </w:rPr>
        <w:t>完成环境应急预案修订、评估和备案。</w:t>
      </w:r>
    </w:p>
    <w:p>
      <w:pPr>
        <w:pStyle w:val="BodyText"/>
        <w:ind w:right="185" w:firstLine="490"/>
        <w:spacing w:before="188" w:line="354" w:lineRule="auto"/>
        <w:rPr>
          <w:sz w:val="24"/>
          <w:szCs w:val="24"/>
        </w:rPr>
      </w:pPr>
      <w:r>
        <w:rPr>
          <w:sz w:val="24"/>
          <w:szCs w:val="24"/>
          <w:spacing w:val="8"/>
        </w:rPr>
        <w:t>现有工程厂区的突发环境事件应急预案于2023年3月17日在宁德市</w:t>
      </w:r>
      <w:r>
        <w:rPr>
          <w:sz w:val="24"/>
          <w:szCs w:val="24"/>
          <w:spacing w:val="7"/>
        </w:rPr>
        <w:t>霞浦生态环</w:t>
      </w:r>
      <w:r>
        <w:rPr>
          <w:sz w:val="24"/>
          <w:szCs w:val="24"/>
        </w:rPr>
        <w:t xml:space="preserve"> </w:t>
      </w:r>
      <w:r>
        <w:rPr>
          <w:sz w:val="24"/>
          <w:szCs w:val="24"/>
          <w:spacing w:val="-1"/>
        </w:rPr>
        <w:t>境局进行了备案，备案编号：350921-2023-003-M。 本项目</w:t>
      </w:r>
      <w:r>
        <w:rPr>
          <w:sz w:val="24"/>
          <w:szCs w:val="24"/>
          <w:spacing w:val="-2"/>
        </w:rPr>
        <w:t>属于改扩建项目，应在项</w:t>
      </w:r>
      <w:r>
        <w:rPr>
          <w:sz w:val="24"/>
          <w:szCs w:val="24"/>
        </w:rPr>
        <w:t xml:space="preserve"> </w:t>
      </w:r>
      <w:r>
        <w:rPr>
          <w:sz w:val="24"/>
          <w:szCs w:val="24"/>
          <w:spacing w:val="-3"/>
        </w:rPr>
        <w:t>目建成试投产前对厂区的突发环境事件应急预案进行修编，将本项目内容纳入其中，</w:t>
      </w:r>
    </w:p>
    <w:p>
      <w:pPr>
        <w:pStyle w:val="BodyText"/>
        <w:spacing w:line="219" w:lineRule="auto"/>
        <w:rPr>
          <w:sz w:val="24"/>
          <w:szCs w:val="24"/>
        </w:rPr>
      </w:pPr>
      <w:r>
        <w:rPr>
          <w:sz w:val="24"/>
          <w:szCs w:val="24"/>
          <w:spacing w:val="-5"/>
        </w:rPr>
        <w:t>并在宁德市霞浦生态环境局进行备案。</w:t>
      </w:r>
    </w:p>
    <w:p>
      <w:pPr>
        <w:pStyle w:val="BodyText"/>
        <w:ind w:left="3"/>
        <w:spacing w:before="280" w:line="218" w:lineRule="auto"/>
        <w:outlineLvl w:val="6"/>
        <w:rPr>
          <w:sz w:val="24"/>
          <w:szCs w:val="24"/>
        </w:rPr>
      </w:pPr>
      <w:r>
        <w:rPr>
          <w:sz w:val="24"/>
          <w:szCs w:val="24"/>
          <w:b/>
          <w:bCs/>
          <w:spacing w:val="-11"/>
        </w:rPr>
        <w:t>10.评</w:t>
      </w:r>
      <w:r>
        <w:rPr>
          <w:sz w:val="24"/>
          <w:szCs w:val="24"/>
          <w:spacing w:val="-37"/>
        </w:rPr>
        <w:t xml:space="preserve"> </w:t>
      </w:r>
      <w:r>
        <w:rPr>
          <w:sz w:val="24"/>
          <w:szCs w:val="24"/>
          <w:b/>
          <w:bCs/>
          <w:spacing w:val="-11"/>
        </w:rPr>
        <w:t>价</w:t>
      </w:r>
      <w:r>
        <w:rPr>
          <w:sz w:val="24"/>
          <w:szCs w:val="24"/>
          <w:spacing w:val="-35"/>
        </w:rPr>
        <w:t xml:space="preserve"> </w:t>
      </w:r>
      <w:r>
        <w:rPr>
          <w:sz w:val="24"/>
          <w:szCs w:val="24"/>
          <w:b/>
          <w:bCs/>
          <w:spacing w:val="-11"/>
        </w:rPr>
        <w:t>结</w:t>
      </w:r>
      <w:r>
        <w:rPr>
          <w:sz w:val="24"/>
          <w:szCs w:val="24"/>
          <w:spacing w:val="-38"/>
        </w:rPr>
        <w:t xml:space="preserve"> </w:t>
      </w:r>
      <w:r>
        <w:rPr>
          <w:sz w:val="24"/>
          <w:szCs w:val="24"/>
          <w:b/>
          <w:bCs/>
          <w:spacing w:val="-11"/>
        </w:rPr>
        <w:t>论</w:t>
      </w:r>
      <w:r>
        <w:rPr>
          <w:sz w:val="24"/>
          <w:szCs w:val="24"/>
          <w:spacing w:val="-36"/>
        </w:rPr>
        <w:t xml:space="preserve"> </w:t>
      </w:r>
      <w:r>
        <w:rPr>
          <w:sz w:val="24"/>
          <w:szCs w:val="24"/>
          <w:b/>
          <w:bCs/>
          <w:spacing w:val="-11"/>
        </w:rPr>
        <w:t>与</w:t>
      </w:r>
      <w:r>
        <w:rPr>
          <w:sz w:val="24"/>
          <w:szCs w:val="24"/>
          <w:spacing w:val="-37"/>
        </w:rPr>
        <w:t xml:space="preserve"> </w:t>
      </w:r>
      <w:r>
        <w:rPr>
          <w:sz w:val="24"/>
          <w:szCs w:val="24"/>
          <w:b/>
          <w:bCs/>
          <w:spacing w:val="-11"/>
        </w:rPr>
        <w:t>建</w:t>
      </w:r>
      <w:r>
        <w:rPr>
          <w:sz w:val="24"/>
          <w:szCs w:val="24"/>
          <w:spacing w:val="-38"/>
        </w:rPr>
        <w:t xml:space="preserve"> </w:t>
      </w:r>
      <w:r>
        <w:rPr>
          <w:sz w:val="24"/>
          <w:szCs w:val="24"/>
          <w:b/>
          <w:bCs/>
          <w:spacing w:val="-11"/>
        </w:rPr>
        <w:t>议</w:t>
      </w:r>
    </w:p>
    <w:p>
      <w:pPr>
        <w:pStyle w:val="BodyText"/>
        <w:ind w:firstLine="490"/>
        <w:spacing w:before="220" w:line="362" w:lineRule="auto"/>
        <w:jc w:val="both"/>
        <w:rPr>
          <w:sz w:val="24"/>
          <w:szCs w:val="24"/>
        </w:rPr>
      </w:pPr>
      <w:r>
        <w:rPr>
          <w:sz w:val="24"/>
          <w:szCs w:val="24"/>
          <w:spacing w:val="-3"/>
        </w:rPr>
        <w:t>本项目存在一定的环境风险隐患，但通过风险防范措</w:t>
      </w:r>
      <w:r>
        <w:rPr>
          <w:sz w:val="24"/>
          <w:szCs w:val="24"/>
          <w:spacing w:val="-4"/>
        </w:rPr>
        <w:t>施的设立和应急预案的建立，</w:t>
      </w:r>
      <w:r>
        <w:rPr>
          <w:sz w:val="24"/>
          <w:szCs w:val="24"/>
        </w:rPr>
        <w:t xml:space="preserve"> </w:t>
      </w:r>
      <w:r>
        <w:rPr>
          <w:sz w:val="24"/>
          <w:szCs w:val="24"/>
          <w:spacing w:val="-2"/>
        </w:rPr>
        <w:t>可有最大限度防止风险事故的发生和有效处置，建设项目所发生的环境风</w:t>
      </w:r>
      <w:r>
        <w:rPr>
          <w:sz w:val="24"/>
          <w:szCs w:val="24"/>
          <w:spacing w:val="-3"/>
        </w:rPr>
        <w:t>险可以控制</w:t>
      </w:r>
    </w:p>
    <w:p>
      <w:pPr>
        <w:pStyle w:val="BodyText"/>
        <w:spacing w:before="1" w:line="219" w:lineRule="auto"/>
        <w:rPr>
          <w:sz w:val="24"/>
          <w:szCs w:val="24"/>
        </w:rPr>
      </w:pPr>
      <w:r>
        <w:rPr>
          <w:sz w:val="24"/>
          <w:szCs w:val="24"/>
          <w:spacing w:val="-2"/>
        </w:rPr>
        <w:t>在较低的水平，建设项目的事故风险属于可接受水平。</w:t>
      </w:r>
    </w:p>
    <w:p>
      <w:pPr>
        <w:spacing w:line="219" w:lineRule="auto"/>
        <w:sectPr>
          <w:footerReference w:type="default" r:id="rId209"/>
          <w:pgSz w:w="11900" w:h="16840"/>
          <w:pgMar w:top="1258" w:right="1359" w:bottom="1005" w:left="1529" w:header="0" w:footer="856" w:gutter="0"/>
        </w:sectPr>
        <w:rPr>
          <w:sz w:val="24"/>
          <w:szCs w:val="24"/>
        </w:rPr>
      </w:pPr>
    </w:p>
    <w:p>
      <w:pPr>
        <w:pStyle w:val="BodyText"/>
        <w:ind w:left="89"/>
        <w:spacing w:before="59" w:line="218" w:lineRule="auto"/>
        <w:outlineLvl w:val="6"/>
        <w:rPr>
          <w:sz w:val="30"/>
          <w:szCs w:val="30"/>
        </w:rPr>
      </w:pPr>
      <w:r>
        <w:rPr>
          <w:sz w:val="30"/>
          <w:szCs w:val="30"/>
          <w:b/>
          <w:bCs/>
          <w:spacing w:val="-14"/>
        </w:rPr>
        <w:t>11.环境风险评价自查表</w:t>
      </w:r>
    </w:p>
    <w:p>
      <w:pPr>
        <w:pStyle w:val="BodyText"/>
        <w:ind w:left="2658"/>
        <w:spacing w:before="204" w:line="218" w:lineRule="auto"/>
        <w:rPr>
          <w:sz w:val="25"/>
          <w:szCs w:val="25"/>
        </w:rPr>
      </w:pPr>
      <w:r>
        <w:rPr>
          <w:sz w:val="25"/>
          <w:szCs w:val="25"/>
          <w:b/>
          <w:bCs/>
          <w:spacing w:val="4"/>
        </w:rPr>
        <w:t>表11.1-1</w:t>
      </w:r>
      <w:r>
        <w:rPr>
          <w:sz w:val="25"/>
          <w:szCs w:val="25"/>
          <w:spacing w:val="4"/>
        </w:rPr>
        <w:t xml:space="preserve">  </w:t>
      </w:r>
      <w:r>
        <w:rPr>
          <w:sz w:val="25"/>
          <w:szCs w:val="25"/>
          <w:b/>
          <w:bCs/>
          <w:spacing w:val="4"/>
        </w:rPr>
        <w:t>环境风险评价自查表</w:t>
      </w:r>
    </w:p>
    <w:p>
      <w:pPr>
        <w:spacing w:line="135" w:lineRule="exact"/>
        <w:rPr/>
      </w:pPr>
      <w:r/>
    </w:p>
    <w:tbl>
      <w:tblPr>
        <w:tblStyle w:val="TableNormal"/>
        <w:tblW w:w="88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94"/>
        <w:gridCol w:w="1259"/>
        <w:gridCol w:w="379"/>
        <w:gridCol w:w="719"/>
        <w:gridCol w:w="360"/>
        <w:gridCol w:w="829"/>
        <w:gridCol w:w="280"/>
        <w:gridCol w:w="839"/>
        <w:gridCol w:w="140"/>
        <w:gridCol w:w="469"/>
        <w:gridCol w:w="479"/>
        <w:gridCol w:w="420"/>
        <w:gridCol w:w="220"/>
        <w:gridCol w:w="380"/>
        <w:gridCol w:w="1493"/>
      </w:tblGrid>
      <w:tr>
        <w:trPr>
          <w:trHeight w:val="434" w:hRule="atLeast"/>
        </w:trPr>
        <w:tc>
          <w:tcPr>
            <w:tcW w:w="1853" w:type="dxa"/>
            <w:vAlign w:val="top"/>
            <w:gridSpan w:val="2"/>
          </w:tcPr>
          <w:p>
            <w:pPr>
              <w:pStyle w:val="TableText"/>
              <w:ind w:left="495"/>
              <w:spacing w:before="113" w:line="219" w:lineRule="auto"/>
              <w:rPr>
                <w:sz w:val="21"/>
                <w:szCs w:val="21"/>
              </w:rPr>
            </w:pPr>
            <w:r>
              <w:rPr>
                <w:sz w:val="21"/>
                <w:szCs w:val="21"/>
                <w:spacing w:val="2"/>
              </w:rPr>
              <w:t>工作内容</w:t>
            </w:r>
          </w:p>
        </w:tc>
        <w:tc>
          <w:tcPr>
            <w:tcW w:w="7007" w:type="dxa"/>
            <w:vAlign w:val="top"/>
            <w:gridSpan w:val="13"/>
          </w:tcPr>
          <w:p>
            <w:pPr>
              <w:pStyle w:val="TableText"/>
              <w:ind w:left="3072"/>
              <w:spacing w:before="113" w:line="219" w:lineRule="auto"/>
              <w:rPr>
                <w:sz w:val="21"/>
                <w:szCs w:val="21"/>
              </w:rPr>
            </w:pPr>
            <w:r>
              <w:rPr>
                <w:sz w:val="21"/>
                <w:szCs w:val="21"/>
                <w:spacing w:val="-2"/>
              </w:rPr>
              <w:t>完成情况</w:t>
            </w:r>
          </w:p>
        </w:tc>
      </w:tr>
      <w:tr>
        <w:trPr>
          <w:trHeight w:val="340" w:hRule="atLeast"/>
        </w:trPr>
        <w:tc>
          <w:tcPr>
            <w:tcW w:w="594" w:type="dxa"/>
            <w:vAlign w:val="top"/>
            <w:vMerge w:val="restart"/>
            <w:tcBorders>
              <w:bottom w:val="nil"/>
            </w:tcBorders>
          </w:tcPr>
          <w:p>
            <w:pPr>
              <w:spacing w:line="288" w:lineRule="auto"/>
              <w:rPr>
                <w:rFonts w:ascii="Arial"/>
                <w:sz w:val="21"/>
              </w:rPr>
            </w:pPr>
            <w:r/>
          </w:p>
          <w:p>
            <w:pPr>
              <w:spacing w:line="288" w:lineRule="auto"/>
              <w:rPr>
                <w:rFonts w:ascii="Arial"/>
                <w:sz w:val="21"/>
              </w:rPr>
            </w:pPr>
            <w:r/>
          </w:p>
          <w:p>
            <w:pPr>
              <w:spacing w:line="289" w:lineRule="auto"/>
              <w:rPr>
                <w:rFonts w:ascii="Arial"/>
                <w:sz w:val="21"/>
              </w:rPr>
            </w:pPr>
            <w:r/>
          </w:p>
          <w:p>
            <w:pPr>
              <w:spacing w:line="289" w:lineRule="auto"/>
              <w:rPr>
                <w:rFonts w:ascii="Arial"/>
                <w:sz w:val="21"/>
              </w:rPr>
            </w:pPr>
            <w:r/>
          </w:p>
          <w:p>
            <w:pPr>
              <w:pStyle w:val="TableText"/>
              <w:ind w:left="74" w:right="78"/>
              <w:spacing w:before="69" w:line="261" w:lineRule="auto"/>
              <w:rPr>
                <w:sz w:val="21"/>
                <w:szCs w:val="21"/>
              </w:rPr>
            </w:pPr>
            <w:r>
              <w:rPr>
                <w:sz w:val="21"/>
                <w:szCs w:val="21"/>
                <w:spacing w:val="-5"/>
              </w:rPr>
              <w:t>风险</w:t>
            </w:r>
            <w:r>
              <w:rPr>
                <w:sz w:val="21"/>
                <w:szCs w:val="21"/>
              </w:rPr>
              <w:t xml:space="preserve"> </w:t>
            </w:r>
            <w:r>
              <w:rPr>
                <w:sz w:val="21"/>
                <w:szCs w:val="21"/>
                <w:spacing w:val="5"/>
              </w:rPr>
              <w:t>调查</w:t>
            </w:r>
          </w:p>
        </w:tc>
        <w:tc>
          <w:tcPr>
            <w:tcW w:w="1259" w:type="dxa"/>
            <w:vAlign w:val="top"/>
            <w:vMerge w:val="restart"/>
            <w:tcBorders>
              <w:bottom w:val="nil"/>
            </w:tcBorders>
          </w:tcPr>
          <w:p>
            <w:pPr>
              <w:pStyle w:val="TableText"/>
              <w:ind w:left="201"/>
              <w:spacing w:before="260" w:line="220" w:lineRule="auto"/>
              <w:rPr>
                <w:sz w:val="21"/>
                <w:szCs w:val="21"/>
              </w:rPr>
            </w:pPr>
            <w:r>
              <w:rPr>
                <w:sz w:val="21"/>
                <w:szCs w:val="21"/>
                <w:spacing w:val="5"/>
              </w:rPr>
              <w:t>危险物质</w:t>
            </w:r>
          </w:p>
        </w:tc>
        <w:tc>
          <w:tcPr>
            <w:tcW w:w="1098" w:type="dxa"/>
            <w:vAlign w:val="top"/>
            <w:gridSpan w:val="2"/>
          </w:tcPr>
          <w:p>
            <w:pPr>
              <w:pStyle w:val="TableText"/>
              <w:ind w:left="331"/>
              <w:spacing w:before="121" w:line="183" w:lineRule="auto"/>
              <w:rPr>
                <w:sz w:val="21"/>
                <w:szCs w:val="21"/>
              </w:rPr>
            </w:pPr>
            <w:r>
              <w:rPr>
                <w:sz w:val="21"/>
                <w:szCs w:val="21"/>
                <w:spacing w:val="5"/>
              </w:rPr>
              <w:t>名称</w:t>
            </w:r>
          </w:p>
        </w:tc>
        <w:tc>
          <w:tcPr>
            <w:tcW w:w="1189" w:type="dxa"/>
            <w:vAlign w:val="top"/>
            <w:gridSpan w:val="2"/>
          </w:tcPr>
          <w:p>
            <w:pPr>
              <w:pStyle w:val="TableText"/>
              <w:ind w:left="274"/>
              <w:spacing w:before="120" w:line="184" w:lineRule="auto"/>
              <w:rPr>
                <w:sz w:val="21"/>
                <w:szCs w:val="21"/>
              </w:rPr>
            </w:pPr>
            <w:r>
              <w:rPr>
                <w:sz w:val="21"/>
                <w:szCs w:val="21"/>
                <w:spacing w:val="4"/>
              </w:rPr>
              <w:t>天然气</w:t>
            </w:r>
          </w:p>
        </w:tc>
        <w:tc>
          <w:tcPr>
            <w:tcW w:w="1119" w:type="dxa"/>
            <w:vAlign w:val="top"/>
            <w:gridSpan w:val="2"/>
          </w:tcPr>
          <w:p>
            <w:pPr>
              <w:pStyle w:val="TableText"/>
              <w:ind w:left="394"/>
              <w:spacing w:before="155" w:line="175" w:lineRule="exact"/>
              <w:rPr>
                <w:sz w:val="21"/>
                <w:szCs w:val="21"/>
              </w:rPr>
            </w:pPr>
            <w:r>
              <w:rPr>
                <w:sz w:val="21"/>
                <w:szCs w:val="21"/>
                <w:spacing w:val="-1"/>
                <w:position w:val="-2"/>
              </w:rPr>
              <w:t>NMP</w:t>
            </w:r>
          </w:p>
        </w:tc>
        <w:tc>
          <w:tcPr>
            <w:tcW w:w="1088" w:type="dxa"/>
            <w:vAlign w:val="top"/>
            <w:gridSpan w:val="3"/>
          </w:tcPr>
          <w:p>
            <w:pPr>
              <w:pStyle w:val="TableText"/>
              <w:ind w:left="185"/>
              <w:spacing w:before="120" w:line="184" w:lineRule="auto"/>
              <w:rPr>
                <w:sz w:val="21"/>
                <w:szCs w:val="21"/>
              </w:rPr>
            </w:pPr>
            <w:r>
              <w:rPr>
                <w:sz w:val="21"/>
                <w:szCs w:val="21"/>
                <w:spacing w:val="-3"/>
              </w:rPr>
              <w:t>废</w:t>
            </w:r>
            <w:r>
              <w:rPr>
                <w:sz w:val="21"/>
                <w:szCs w:val="21"/>
                <w:spacing w:val="-40"/>
              </w:rPr>
              <w:t xml:space="preserve"> </w:t>
            </w:r>
            <w:r>
              <w:rPr>
                <w:sz w:val="21"/>
                <w:szCs w:val="21"/>
                <w:spacing w:val="-3"/>
              </w:rPr>
              <w:t>N</w:t>
            </w:r>
            <w:r>
              <w:rPr>
                <w:sz w:val="21"/>
                <w:szCs w:val="21"/>
                <w:spacing w:val="-40"/>
              </w:rPr>
              <w:t xml:space="preserve"> </w:t>
            </w:r>
            <w:r>
              <w:rPr>
                <w:sz w:val="21"/>
                <w:szCs w:val="21"/>
                <w:spacing w:val="-3"/>
              </w:rPr>
              <w:t>M</w:t>
            </w:r>
            <w:r>
              <w:rPr>
                <w:sz w:val="21"/>
                <w:szCs w:val="21"/>
                <w:spacing w:val="-36"/>
              </w:rPr>
              <w:t xml:space="preserve"> </w:t>
            </w:r>
            <w:r>
              <w:rPr>
                <w:sz w:val="21"/>
                <w:szCs w:val="21"/>
                <w:spacing w:val="-3"/>
              </w:rPr>
              <w:t>P</w:t>
            </w:r>
          </w:p>
        </w:tc>
        <w:tc>
          <w:tcPr>
            <w:tcW w:w="640" w:type="dxa"/>
            <w:vAlign w:val="top"/>
            <w:gridSpan w:val="2"/>
          </w:tcPr>
          <w:p>
            <w:pPr>
              <w:rPr>
                <w:rFonts w:ascii="Arial"/>
                <w:sz w:val="21"/>
              </w:rPr>
            </w:pPr>
            <w:r/>
          </w:p>
        </w:tc>
        <w:tc>
          <w:tcPr>
            <w:tcW w:w="380" w:type="dxa"/>
            <w:vAlign w:val="top"/>
          </w:tcPr>
          <w:p>
            <w:pPr>
              <w:rPr>
                <w:rFonts w:ascii="Arial"/>
                <w:sz w:val="21"/>
              </w:rPr>
            </w:pPr>
            <w:r/>
          </w:p>
        </w:tc>
        <w:tc>
          <w:tcPr>
            <w:tcW w:w="1493" w:type="dxa"/>
            <w:vAlign w:val="top"/>
          </w:tcPr>
          <w:p>
            <w:pPr>
              <w:rPr>
                <w:rFonts w:ascii="Arial"/>
                <w:sz w:val="21"/>
              </w:rPr>
            </w:pPr>
            <w:r/>
          </w:p>
        </w:tc>
      </w:tr>
      <w:tr>
        <w:trPr>
          <w:trHeight w:val="369" w:hRule="atLeast"/>
        </w:trPr>
        <w:tc>
          <w:tcPr>
            <w:tcW w:w="594" w:type="dxa"/>
            <w:vAlign w:val="top"/>
            <w:vMerge w:val="continue"/>
            <w:tcBorders>
              <w:top w:val="nil"/>
              <w:bottom w:val="nil"/>
            </w:tcBorders>
          </w:tcPr>
          <w:p>
            <w:pPr>
              <w:rPr>
                <w:rFonts w:ascii="Arial"/>
                <w:sz w:val="21"/>
              </w:rPr>
            </w:pPr>
            <w:r/>
          </w:p>
        </w:tc>
        <w:tc>
          <w:tcPr>
            <w:tcW w:w="1259" w:type="dxa"/>
            <w:vAlign w:val="top"/>
            <w:vMerge w:val="continue"/>
            <w:tcBorders>
              <w:top w:val="nil"/>
            </w:tcBorders>
          </w:tcPr>
          <w:p>
            <w:pPr>
              <w:rPr>
                <w:rFonts w:ascii="Arial"/>
                <w:sz w:val="21"/>
              </w:rPr>
            </w:pPr>
            <w:r/>
          </w:p>
        </w:tc>
        <w:tc>
          <w:tcPr>
            <w:tcW w:w="1098" w:type="dxa"/>
            <w:vAlign w:val="top"/>
            <w:gridSpan w:val="2"/>
          </w:tcPr>
          <w:p>
            <w:pPr>
              <w:pStyle w:val="TableText"/>
              <w:ind w:left="11"/>
              <w:spacing w:before="129" w:line="202" w:lineRule="auto"/>
              <w:rPr>
                <w:sz w:val="21"/>
                <w:szCs w:val="21"/>
              </w:rPr>
            </w:pPr>
            <w:r>
              <w:rPr>
                <w:sz w:val="21"/>
                <w:szCs w:val="21"/>
                <w:spacing w:val="2"/>
              </w:rPr>
              <w:t>存在总量/t</w:t>
            </w:r>
          </w:p>
        </w:tc>
        <w:tc>
          <w:tcPr>
            <w:tcW w:w="1189" w:type="dxa"/>
            <w:vAlign w:val="top"/>
            <w:gridSpan w:val="2"/>
          </w:tcPr>
          <w:p>
            <w:pPr>
              <w:pStyle w:val="TableText"/>
              <w:ind w:left="373"/>
              <w:spacing w:before="193" w:line="166" w:lineRule="exact"/>
              <w:rPr>
                <w:sz w:val="21"/>
                <w:szCs w:val="21"/>
              </w:rPr>
            </w:pPr>
            <w:r>
              <w:rPr>
                <w:sz w:val="21"/>
                <w:szCs w:val="21"/>
                <w:spacing w:val="-2"/>
                <w:position w:val="-2"/>
              </w:rPr>
              <w:t>0.32</w:t>
            </w:r>
          </w:p>
        </w:tc>
        <w:tc>
          <w:tcPr>
            <w:tcW w:w="1119" w:type="dxa"/>
            <w:vAlign w:val="top"/>
            <w:gridSpan w:val="2"/>
          </w:tcPr>
          <w:p>
            <w:pPr>
              <w:pStyle w:val="TableText"/>
              <w:ind w:left="394"/>
              <w:spacing w:before="183" w:line="176" w:lineRule="exact"/>
              <w:rPr>
                <w:sz w:val="21"/>
                <w:szCs w:val="21"/>
              </w:rPr>
            </w:pPr>
            <w:r>
              <w:rPr>
                <w:sz w:val="21"/>
                <w:szCs w:val="21"/>
                <w:spacing w:val="-3"/>
                <w:position w:val="-2"/>
              </w:rPr>
              <w:t>200</w:t>
            </w:r>
          </w:p>
        </w:tc>
        <w:tc>
          <w:tcPr>
            <w:tcW w:w="1088" w:type="dxa"/>
            <w:vAlign w:val="top"/>
            <w:gridSpan w:val="3"/>
          </w:tcPr>
          <w:p>
            <w:pPr>
              <w:pStyle w:val="TableText"/>
              <w:ind w:left="376"/>
              <w:spacing w:before="203" w:line="156" w:lineRule="exact"/>
              <w:rPr>
                <w:sz w:val="21"/>
                <w:szCs w:val="21"/>
              </w:rPr>
            </w:pPr>
            <w:r>
              <w:rPr>
                <w:sz w:val="21"/>
                <w:szCs w:val="21"/>
                <w:spacing w:val="-3"/>
                <w:position w:val="-3"/>
              </w:rPr>
              <w:t>200</w:t>
            </w:r>
          </w:p>
        </w:tc>
        <w:tc>
          <w:tcPr>
            <w:tcW w:w="640" w:type="dxa"/>
            <w:vAlign w:val="top"/>
            <w:gridSpan w:val="2"/>
          </w:tcPr>
          <w:p>
            <w:pPr>
              <w:rPr>
                <w:rFonts w:ascii="Arial"/>
                <w:sz w:val="21"/>
              </w:rPr>
            </w:pPr>
            <w:r/>
          </w:p>
        </w:tc>
        <w:tc>
          <w:tcPr>
            <w:tcW w:w="380" w:type="dxa"/>
            <w:vAlign w:val="top"/>
          </w:tcPr>
          <w:p>
            <w:pPr>
              <w:rPr>
                <w:rFonts w:ascii="Arial"/>
                <w:sz w:val="21"/>
              </w:rPr>
            </w:pPr>
            <w:r/>
          </w:p>
        </w:tc>
        <w:tc>
          <w:tcPr>
            <w:tcW w:w="1493" w:type="dxa"/>
            <w:vAlign w:val="top"/>
          </w:tcPr>
          <w:p>
            <w:pPr>
              <w:rPr>
                <w:rFonts w:ascii="Arial"/>
                <w:sz w:val="21"/>
              </w:rPr>
            </w:pPr>
            <w:r/>
          </w:p>
        </w:tc>
      </w:tr>
      <w:tr>
        <w:trPr>
          <w:trHeight w:val="350" w:hRule="atLeast"/>
        </w:trPr>
        <w:tc>
          <w:tcPr>
            <w:tcW w:w="594" w:type="dxa"/>
            <w:vAlign w:val="top"/>
            <w:vMerge w:val="continue"/>
            <w:tcBorders>
              <w:top w:val="nil"/>
              <w:bottom w:val="nil"/>
            </w:tcBorders>
          </w:tcPr>
          <w:p>
            <w:pPr>
              <w:rPr>
                <w:rFonts w:ascii="Arial"/>
                <w:sz w:val="21"/>
              </w:rPr>
            </w:pPr>
            <w:r/>
          </w:p>
        </w:tc>
        <w:tc>
          <w:tcPr>
            <w:tcW w:w="1259" w:type="dxa"/>
            <w:vAlign w:val="top"/>
            <w:vMerge w:val="restart"/>
            <w:tcBorders>
              <w:bottom w:val="nil"/>
            </w:tcBorders>
          </w:tcPr>
          <w:p>
            <w:pPr>
              <w:spacing w:line="308" w:lineRule="auto"/>
              <w:rPr>
                <w:rFonts w:ascii="Arial"/>
                <w:sz w:val="21"/>
              </w:rPr>
            </w:pPr>
            <w:r/>
          </w:p>
          <w:p>
            <w:pPr>
              <w:spacing w:line="309" w:lineRule="auto"/>
              <w:rPr>
                <w:rFonts w:ascii="Arial"/>
                <w:sz w:val="21"/>
              </w:rPr>
            </w:pPr>
            <w:r/>
          </w:p>
          <w:p>
            <w:pPr>
              <w:spacing w:line="309" w:lineRule="auto"/>
              <w:rPr>
                <w:rFonts w:ascii="Arial"/>
                <w:sz w:val="21"/>
              </w:rPr>
            </w:pPr>
            <w:r/>
          </w:p>
          <w:p>
            <w:pPr>
              <w:pStyle w:val="TableText"/>
              <w:ind w:left="90"/>
              <w:spacing w:before="69" w:line="219" w:lineRule="auto"/>
              <w:rPr>
                <w:sz w:val="21"/>
                <w:szCs w:val="21"/>
              </w:rPr>
            </w:pPr>
            <w:r>
              <w:rPr>
                <w:sz w:val="21"/>
                <w:szCs w:val="21"/>
                <w:spacing w:val="-2"/>
              </w:rPr>
              <w:t>环境敏感性</w:t>
            </w:r>
          </w:p>
        </w:tc>
        <w:tc>
          <w:tcPr>
            <w:tcW w:w="1098" w:type="dxa"/>
            <w:vAlign w:val="top"/>
            <w:gridSpan w:val="2"/>
            <w:vMerge w:val="restart"/>
            <w:tcBorders>
              <w:bottom w:val="nil"/>
            </w:tcBorders>
          </w:tcPr>
          <w:p>
            <w:pPr>
              <w:pStyle w:val="TableText"/>
              <w:ind w:left="331"/>
              <w:spacing w:before="251" w:line="220" w:lineRule="auto"/>
              <w:rPr>
                <w:sz w:val="21"/>
                <w:szCs w:val="21"/>
              </w:rPr>
            </w:pPr>
            <w:r>
              <w:rPr>
                <w:sz w:val="21"/>
                <w:szCs w:val="21"/>
                <w:spacing w:val="6"/>
              </w:rPr>
              <w:t>大气</w:t>
            </w:r>
          </w:p>
        </w:tc>
        <w:tc>
          <w:tcPr>
            <w:tcW w:w="3396" w:type="dxa"/>
            <w:vAlign w:val="top"/>
            <w:gridSpan w:val="7"/>
          </w:tcPr>
          <w:p>
            <w:pPr>
              <w:pStyle w:val="TableText"/>
              <w:ind w:left="63"/>
              <w:spacing w:before="70" w:line="219" w:lineRule="auto"/>
              <w:rPr>
                <w:sz w:val="21"/>
                <w:szCs w:val="21"/>
              </w:rPr>
            </w:pPr>
            <w:r>
              <w:rPr>
                <w:sz w:val="21"/>
                <w:szCs w:val="21"/>
                <w:spacing w:val="1"/>
              </w:rPr>
              <w:t>500m范围内人口数大于1000  人</w:t>
            </w:r>
          </w:p>
        </w:tc>
        <w:tc>
          <w:tcPr>
            <w:tcW w:w="2513" w:type="dxa"/>
            <w:vAlign w:val="top"/>
            <w:gridSpan w:val="4"/>
          </w:tcPr>
          <w:p>
            <w:pPr>
              <w:pStyle w:val="TableText"/>
              <w:ind w:left="197"/>
              <w:spacing w:before="70" w:line="219" w:lineRule="auto"/>
              <w:rPr>
                <w:sz w:val="21"/>
                <w:szCs w:val="21"/>
              </w:rPr>
            </w:pPr>
            <w:r>
              <w:rPr>
                <w:sz w:val="21"/>
                <w:szCs w:val="21"/>
                <w:spacing w:val="1"/>
              </w:rPr>
              <w:t>5</w:t>
            </w:r>
            <w:r>
              <w:rPr>
                <w:sz w:val="21"/>
                <w:szCs w:val="21"/>
              </w:rPr>
              <w:t>km</w:t>
            </w:r>
            <w:r>
              <w:rPr>
                <w:sz w:val="21"/>
                <w:szCs w:val="21"/>
                <w:spacing w:val="1"/>
              </w:rPr>
              <w:t>范围内人口数   人</w:t>
            </w:r>
          </w:p>
        </w:tc>
      </w:tr>
      <w:tr>
        <w:trPr>
          <w:trHeight w:val="350" w:hRule="atLeast"/>
        </w:trPr>
        <w:tc>
          <w:tcPr>
            <w:tcW w:w="594" w:type="dxa"/>
            <w:vAlign w:val="top"/>
            <w:vMerge w:val="continue"/>
            <w:tcBorders>
              <w:top w:val="nil"/>
              <w:bottom w:val="nil"/>
            </w:tcBorders>
          </w:tcPr>
          <w:p>
            <w:pPr>
              <w:rPr>
                <w:rFonts w:ascii="Arial"/>
                <w:sz w:val="21"/>
              </w:rPr>
            </w:pPr>
            <w:r/>
          </w:p>
        </w:tc>
        <w:tc>
          <w:tcPr>
            <w:tcW w:w="1259" w:type="dxa"/>
            <w:vAlign w:val="top"/>
            <w:vMerge w:val="continue"/>
            <w:tcBorders>
              <w:top w:val="nil"/>
              <w:bottom w:val="nil"/>
            </w:tcBorders>
          </w:tcPr>
          <w:p>
            <w:pPr>
              <w:rPr>
                <w:rFonts w:ascii="Arial"/>
                <w:sz w:val="21"/>
              </w:rPr>
            </w:pPr>
            <w:r/>
          </w:p>
        </w:tc>
        <w:tc>
          <w:tcPr>
            <w:tcW w:w="1098" w:type="dxa"/>
            <w:vAlign w:val="top"/>
            <w:gridSpan w:val="2"/>
            <w:vMerge w:val="continue"/>
            <w:tcBorders>
              <w:top w:val="nil"/>
            </w:tcBorders>
          </w:tcPr>
          <w:p>
            <w:pPr>
              <w:rPr>
                <w:rFonts w:ascii="Arial"/>
                <w:sz w:val="21"/>
              </w:rPr>
            </w:pPr>
            <w:r/>
          </w:p>
        </w:tc>
        <w:tc>
          <w:tcPr>
            <w:tcW w:w="4416" w:type="dxa"/>
            <w:vAlign w:val="top"/>
            <w:gridSpan w:val="10"/>
          </w:tcPr>
          <w:p>
            <w:pPr>
              <w:pStyle w:val="TableText"/>
              <w:ind w:left="123"/>
              <w:spacing w:before="130" w:line="184" w:lineRule="auto"/>
              <w:rPr>
                <w:sz w:val="21"/>
                <w:szCs w:val="21"/>
              </w:rPr>
            </w:pPr>
            <w:r>
              <w:rPr>
                <w:sz w:val="21"/>
                <w:szCs w:val="21"/>
                <w:spacing w:val="2"/>
              </w:rPr>
              <w:t>每公里管段周边200m范围内人口数(最大)</w:t>
            </w:r>
          </w:p>
        </w:tc>
        <w:tc>
          <w:tcPr>
            <w:tcW w:w="1493" w:type="dxa"/>
            <w:vAlign w:val="top"/>
          </w:tcPr>
          <w:p>
            <w:pPr>
              <w:pStyle w:val="TableText"/>
              <w:ind w:left="638"/>
              <w:spacing w:before="134" w:line="181" w:lineRule="auto"/>
              <w:rPr>
                <w:sz w:val="21"/>
                <w:szCs w:val="21"/>
              </w:rPr>
            </w:pPr>
            <w:r>
              <w:rPr>
                <w:sz w:val="21"/>
                <w:szCs w:val="21"/>
              </w:rPr>
              <w:t>人</w:t>
            </w:r>
          </w:p>
        </w:tc>
      </w:tr>
      <w:tr>
        <w:trPr>
          <w:trHeight w:val="380" w:hRule="atLeast"/>
        </w:trPr>
        <w:tc>
          <w:tcPr>
            <w:tcW w:w="594" w:type="dxa"/>
            <w:vAlign w:val="top"/>
            <w:vMerge w:val="continue"/>
            <w:tcBorders>
              <w:top w:val="nil"/>
              <w:bottom w:val="nil"/>
            </w:tcBorders>
          </w:tcPr>
          <w:p>
            <w:pPr>
              <w:rPr>
                <w:rFonts w:ascii="Arial"/>
                <w:sz w:val="21"/>
              </w:rPr>
            </w:pPr>
            <w:r/>
          </w:p>
        </w:tc>
        <w:tc>
          <w:tcPr>
            <w:tcW w:w="1259" w:type="dxa"/>
            <w:vAlign w:val="top"/>
            <w:vMerge w:val="continue"/>
            <w:tcBorders>
              <w:top w:val="nil"/>
              <w:bottom w:val="nil"/>
            </w:tcBorders>
          </w:tcPr>
          <w:p>
            <w:pPr>
              <w:rPr>
                <w:rFonts w:ascii="Arial"/>
                <w:sz w:val="21"/>
              </w:rPr>
            </w:pPr>
            <w:r/>
          </w:p>
        </w:tc>
        <w:tc>
          <w:tcPr>
            <w:tcW w:w="1098" w:type="dxa"/>
            <w:vAlign w:val="top"/>
            <w:gridSpan w:val="2"/>
            <w:vMerge w:val="restart"/>
            <w:tcBorders>
              <w:bottom w:val="nil"/>
            </w:tcBorders>
          </w:tcPr>
          <w:p>
            <w:pPr>
              <w:pStyle w:val="TableText"/>
              <w:ind w:left="222"/>
              <w:spacing w:before="270" w:line="219" w:lineRule="auto"/>
              <w:rPr>
                <w:sz w:val="21"/>
                <w:szCs w:val="21"/>
              </w:rPr>
            </w:pPr>
            <w:r>
              <w:rPr>
                <w:sz w:val="21"/>
                <w:szCs w:val="21"/>
                <w:spacing w:val="-2"/>
              </w:rPr>
              <w:t>地表水</w:t>
            </w:r>
          </w:p>
        </w:tc>
        <w:tc>
          <w:tcPr>
            <w:tcW w:w="2308" w:type="dxa"/>
            <w:vAlign w:val="top"/>
            <w:gridSpan w:val="4"/>
          </w:tcPr>
          <w:p>
            <w:pPr>
              <w:pStyle w:val="TableText"/>
              <w:ind w:left="304"/>
              <w:spacing w:before="140" w:line="202" w:lineRule="auto"/>
              <w:rPr>
                <w:sz w:val="21"/>
                <w:szCs w:val="21"/>
              </w:rPr>
            </w:pPr>
            <w:r>
              <w:rPr>
                <w:sz w:val="21"/>
                <w:szCs w:val="21"/>
                <w:spacing w:val="-1"/>
              </w:rPr>
              <w:t>地表水功能敏感性</w:t>
            </w:r>
          </w:p>
        </w:tc>
        <w:tc>
          <w:tcPr>
            <w:tcW w:w="1088" w:type="dxa"/>
            <w:vAlign w:val="top"/>
            <w:gridSpan w:val="3"/>
          </w:tcPr>
          <w:p>
            <w:pPr>
              <w:pStyle w:val="TableText"/>
              <w:ind w:left="326"/>
              <w:spacing w:before="161" w:line="183" w:lineRule="auto"/>
              <w:rPr>
                <w:sz w:val="21"/>
                <w:szCs w:val="21"/>
              </w:rPr>
            </w:pPr>
            <w:r>
              <w:rPr>
                <w:sz w:val="21"/>
                <w:szCs w:val="21"/>
                <w:spacing w:val="-1"/>
              </w:rPr>
              <w:t>F1□</w:t>
            </w:r>
          </w:p>
        </w:tc>
        <w:tc>
          <w:tcPr>
            <w:tcW w:w="1020" w:type="dxa"/>
            <w:vAlign w:val="top"/>
            <w:gridSpan w:val="3"/>
          </w:tcPr>
          <w:p>
            <w:pPr>
              <w:pStyle w:val="TableText"/>
              <w:ind w:left="297"/>
              <w:spacing w:before="161" w:line="183" w:lineRule="auto"/>
              <w:rPr>
                <w:sz w:val="21"/>
                <w:szCs w:val="21"/>
              </w:rPr>
            </w:pPr>
            <w:r>
              <w:rPr>
                <w:sz w:val="21"/>
                <w:szCs w:val="21"/>
                <w:spacing w:val="-1"/>
              </w:rPr>
              <w:t>F2□</w:t>
            </w:r>
          </w:p>
        </w:tc>
        <w:tc>
          <w:tcPr>
            <w:tcW w:w="1493" w:type="dxa"/>
            <w:vAlign w:val="top"/>
          </w:tcPr>
          <w:p>
            <w:pPr>
              <w:pStyle w:val="TableText"/>
              <w:ind w:left="528"/>
              <w:spacing w:before="172" w:line="174" w:lineRule="auto"/>
              <w:rPr>
                <w:sz w:val="21"/>
                <w:szCs w:val="21"/>
              </w:rPr>
            </w:pPr>
            <w:r>
              <w:rPr>
                <w:sz w:val="21"/>
                <w:szCs w:val="21"/>
                <w:spacing w:val="-2"/>
              </w:rPr>
              <w:t>F3</w:t>
            </w:r>
            <w:r>
              <w:rPr>
                <w:sz w:val="21"/>
                <w:szCs w:val="21"/>
                <w:spacing w:val="-45"/>
              </w:rPr>
              <w:t xml:space="preserve"> </w:t>
            </w:r>
            <w:r>
              <w:rPr>
                <w:sz w:val="21"/>
                <w:szCs w:val="21"/>
                <w:spacing w:val="-2"/>
              </w:rPr>
              <w:t>√</w:t>
            </w:r>
          </w:p>
        </w:tc>
      </w:tr>
      <w:tr>
        <w:trPr>
          <w:trHeight w:val="349" w:hRule="atLeast"/>
        </w:trPr>
        <w:tc>
          <w:tcPr>
            <w:tcW w:w="594" w:type="dxa"/>
            <w:vAlign w:val="top"/>
            <w:vMerge w:val="continue"/>
            <w:tcBorders>
              <w:top w:val="nil"/>
              <w:bottom w:val="nil"/>
            </w:tcBorders>
          </w:tcPr>
          <w:p>
            <w:pPr>
              <w:rPr>
                <w:rFonts w:ascii="Arial"/>
                <w:sz w:val="21"/>
              </w:rPr>
            </w:pPr>
            <w:r/>
          </w:p>
        </w:tc>
        <w:tc>
          <w:tcPr>
            <w:tcW w:w="1259" w:type="dxa"/>
            <w:vAlign w:val="top"/>
            <w:vMerge w:val="continue"/>
            <w:tcBorders>
              <w:top w:val="nil"/>
              <w:bottom w:val="nil"/>
            </w:tcBorders>
          </w:tcPr>
          <w:p>
            <w:pPr>
              <w:rPr>
                <w:rFonts w:ascii="Arial"/>
                <w:sz w:val="21"/>
              </w:rPr>
            </w:pPr>
            <w:r/>
          </w:p>
        </w:tc>
        <w:tc>
          <w:tcPr>
            <w:tcW w:w="1098" w:type="dxa"/>
            <w:vAlign w:val="top"/>
            <w:gridSpan w:val="2"/>
            <w:vMerge w:val="continue"/>
            <w:tcBorders>
              <w:top w:val="nil"/>
            </w:tcBorders>
          </w:tcPr>
          <w:p>
            <w:pPr>
              <w:rPr>
                <w:rFonts w:ascii="Arial"/>
                <w:sz w:val="21"/>
              </w:rPr>
            </w:pPr>
            <w:r/>
          </w:p>
        </w:tc>
        <w:tc>
          <w:tcPr>
            <w:tcW w:w="2308" w:type="dxa"/>
            <w:vAlign w:val="top"/>
            <w:gridSpan w:val="4"/>
          </w:tcPr>
          <w:p>
            <w:pPr>
              <w:pStyle w:val="TableText"/>
              <w:ind w:left="304"/>
              <w:spacing w:before="130" w:line="183" w:lineRule="auto"/>
              <w:rPr>
                <w:sz w:val="21"/>
                <w:szCs w:val="21"/>
              </w:rPr>
            </w:pPr>
            <w:r>
              <w:rPr>
                <w:sz w:val="21"/>
                <w:szCs w:val="21"/>
                <w:spacing w:val="1"/>
              </w:rPr>
              <w:t>环境敏感目标分级</w:t>
            </w:r>
          </w:p>
        </w:tc>
        <w:tc>
          <w:tcPr>
            <w:tcW w:w="1088" w:type="dxa"/>
            <w:vAlign w:val="top"/>
            <w:gridSpan w:val="3"/>
          </w:tcPr>
          <w:p>
            <w:pPr>
              <w:pStyle w:val="TableText"/>
              <w:ind w:left="326"/>
              <w:spacing w:before="151" w:line="165" w:lineRule="auto"/>
              <w:rPr>
                <w:sz w:val="21"/>
                <w:szCs w:val="21"/>
              </w:rPr>
            </w:pPr>
            <w:r>
              <w:rPr>
                <w:sz w:val="21"/>
                <w:szCs w:val="21"/>
                <w:spacing w:val="-2"/>
              </w:rPr>
              <w:t>S1□</w:t>
            </w:r>
          </w:p>
        </w:tc>
        <w:tc>
          <w:tcPr>
            <w:tcW w:w="1020" w:type="dxa"/>
            <w:vAlign w:val="top"/>
            <w:gridSpan w:val="3"/>
          </w:tcPr>
          <w:p>
            <w:pPr>
              <w:pStyle w:val="TableText"/>
              <w:ind w:left="297"/>
              <w:spacing w:before="151" w:line="165" w:lineRule="auto"/>
              <w:rPr>
                <w:sz w:val="21"/>
                <w:szCs w:val="21"/>
              </w:rPr>
            </w:pPr>
            <w:r>
              <w:rPr>
                <w:sz w:val="21"/>
                <w:szCs w:val="21"/>
                <w:spacing w:val="-2"/>
              </w:rPr>
              <w:t>S2□</w:t>
            </w:r>
          </w:p>
        </w:tc>
        <w:tc>
          <w:tcPr>
            <w:tcW w:w="1493" w:type="dxa"/>
            <w:vAlign w:val="top"/>
          </w:tcPr>
          <w:p>
            <w:pPr>
              <w:pStyle w:val="TableText"/>
              <w:ind w:left="477"/>
              <w:spacing w:before="151" w:line="165" w:lineRule="auto"/>
              <w:rPr>
                <w:sz w:val="21"/>
                <w:szCs w:val="21"/>
              </w:rPr>
            </w:pPr>
            <w:r>
              <w:rPr>
                <w:sz w:val="21"/>
                <w:szCs w:val="21"/>
                <w:spacing w:val="-4"/>
              </w:rPr>
              <w:t>S3</w:t>
            </w:r>
            <w:r>
              <w:rPr>
                <w:sz w:val="21"/>
                <w:szCs w:val="21"/>
                <w:spacing w:val="3"/>
              </w:rPr>
              <w:t xml:space="preserve">  </w:t>
            </w:r>
            <w:r>
              <w:rPr>
                <w:sz w:val="21"/>
                <w:szCs w:val="21"/>
                <w:spacing w:val="-4"/>
              </w:rPr>
              <w:t>√</w:t>
            </w:r>
          </w:p>
        </w:tc>
      </w:tr>
      <w:tr>
        <w:trPr>
          <w:trHeight w:val="350" w:hRule="atLeast"/>
        </w:trPr>
        <w:tc>
          <w:tcPr>
            <w:tcW w:w="594" w:type="dxa"/>
            <w:vAlign w:val="top"/>
            <w:vMerge w:val="continue"/>
            <w:tcBorders>
              <w:top w:val="nil"/>
              <w:bottom w:val="nil"/>
            </w:tcBorders>
          </w:tcPr>
          <w:p>
            <w:pPr>
              <w:rPr>
                <w:rFonts w:ascii="Arial"/>
                <w:sz w:val="21"/>
              </w:rPr>
            </w:pPr>
            <w:r/>
          </w:p>
        </w:tc>
        <w:tc>
          <w:tcPr>
            <w:tcW w:w="1259" w:type="dxa"/>
            <w:vAlign w:val="top"/>
            <w:vMerge w:val="continue"/>
            <w:tcBorders>
              <w:top w:val="nil"/>
              <w:bottom w:val="nil"/>
            </w:tcBorders>
          </w:tcPr>
          <w:p>
            <w:pPr>
              <w:rPr>
                <w:rFonts w:ascii="Arial"/>
                <w:sz w:val="21"/>
              </w:rPr>
            </w:pPr>
            <w:r/>
          </w:p>
        </w:tc>
        <w:tc>
          <w:tcPr>
            <w:tcW w:w="1098" w:type="dxa"/>
            <w:vAlign w:val="top"/>
            <w:gridSpan w:val="2"/>
            <w:vMerge w:val="restart"/>
            <w:tcBorders>
              <w:bottom w:val="nil"/>
            </w:tcBorders>
          </w:tcPr>
          <w:p>
            <w:pPr>
              <w:pStyle w:val="TableText"/>
              <w:ind w:left="222"/>
              <w:spacing w:before="261" w:line="219" w:lineRule="auto"/>
              <w:rPr>
                <w:sz w:val="21"/>
                <w:szCs w:val="21"/>
              </w:rPr>
            </w:pPr>
            <w:r>
              <w:rPr>
                <w:sz w:val="21"/>
                <w:szCs w:val="21"/>
                <w:spacing w:val="-2"/>
              </w:rPr>
              <w:t>地下水</w:t>
            </w:r>
          </w:p>
        </w:tc>
        <w:tc>
          <w:tcPr>
            <w:tcW w:w="2308" w:type="dxa"/>
            <w:vAlign w:val="top"/>
            <w:gridSpan w:val="4"/>
          </w:tcPr>
          <w:p>
            <w:pPr>
              <w:pStyle w:val="TableText"/>
              <w:ind w:left="304"/>
              <w:spacing w:before="131" w:line="183" w:lineRule="auto"/>
              <w:rPr>
                <w:sz w:val="21"/>
                <w:szCs w:val="21"/>
              </w:rPr>
            </w:pPr>
            <w:r>
              <w:rPr>
                <w:sz w:val="21"/>
                <w:szCs w:val="21"/>
                <w:spacing w:val="-1"/>
              </w:rPr>
              <w:t>地下水功能敏感性</w:t>
            </w:r>
          </w:p>
        </w:tc>
        <w:tc>
          <w:tcPr>
            <w:tcW w:w="1088" w:type="dxa"/>
            <w:vAlign w:val="top"/>
            <w:gridSpan w:val="3"/>
          </w:tcPr>
          <w:p>
            <w:pPr>
              <w:pStyle w:val="TableText"/>
              <w:ind w:left="326"/>
              <w:spacing w:before="152" w:line="165" w:lineRule="auto"/>
              <w:rPr>
                <w:sz w:val="21"/>
                <w:szCs w:val="21"/>
              </w:rPr>
            </w:pPr>
            <w:r>
              <w:rPr>
                <w:sz w:val="21"/>
                <w:szCs w:val="21"/>
                <w:spacing w:val="-1"/>
              </w:rPr>
              <w:t>G1□</w:t>
            </w:r>
          </w:p>
        </w:tc>
        <w:tc>
          <w:tcPr>
            <w:tcW w:w="1020" w:type="dxa"/>
            <w:vAlign w:val="top"/>
            <w:gridSpan w:val="3"/>
          </w:tcPr>
          <w:p>
            <w:pPr>
              <w:pStyle w:val="TableText"/>
              <w:ind w:left="297"/>
              <w:spacing w:before="152" w:line="165" w:lineRule="auto"/>
              <w:rPr>
                <w:sz w:val="21"/>
                <w:szCs w:val="21"/>
              </w:rPr>
            </w:pPr>
            <w:r>
              <w:rPr>
                <w:sz w:val="21"/>
                <w:szCs w:val="21"/>
                <w:spacing w:val="-1"/>
              </w:rPr>
              <w:t>G2□</w:t>
            </w:r>
          </w:p>
        </w:tc>
        <w:tc>
          <w:tcPr>
            <w:tcW w:w="1493" w:type="dxa"/>
            <w:vAlign w:val="top"/>
          </w:tcPr>
          <w:p>
            <w:pPr>
              <w:pStyle w:val="TableText"/>
              <w:ind w:left="528"/>
              <w:spacing w:before="152" w:line="165" w:lineRule="auto"/>
              <w:rPr>
                <w:sz w:val="21"/>
                <w:szCs w:val="21"/>
              </w:rPr>
            </w:pPr>
            <w:r>
              <w:rPr>
                <w:sz w:val="21"/>
                <w:szCs w:val="21"/>
                <w:spacing w:val="-2"/>
              </w:rPr>
              <w:t>G3</w:t>
            </w:r>
            <w:r>
              <w:rPr>
                <w:sz w:val="21"/>
                <w:szCs w:val="21"/>
                <w:spacing w:val="-46"/>
              </w:rPr>
              <w:t xml:space="preserve"> </w:t>
            </w:r>
            <w:r>
              <w:rPr>
                <w:sz w:val="21"/>
                <w:szCs w:val="21"/>
                <w:spacing w:val="-2"/>
              </w:rPr>
              <w:t>√</w:t>
            </w:r>
          </w:p>
        </w:tc>
      </w:tr>
      <w:tr>
        <w:trPr>
          <w:trHeight w:val="370" w:hRule="atLeast"/>
        </w:trPr>
        <w:tc>
          <w:tcPr>
            <w:tcW w:w="594" w:type="dxa"/>
            <w:vAlign w:val="top"/>
            <w:vMerge w:val="continue"/>
            <w:tcBorders>
              <w:top w:val="nil"/>
            </w:tcBorders>
          </w:tcPr>
          <w:p>
            <w:pPr>
              <w:rPr>
                <w:rFonts w:ascii="Arial"/>
                <w:sz w:val="21"/>
              </w:rPr>
            </w:pPr>
            <w:r/>
          </w:p>
        </w:tc>
        <w:tc>
          <w:tcPr>
            <w:tcW w:w="1259" w:type="dxa"/>
            <w:vAlign w:val="top"/>
            <w:vMerge w:val="continue"/>
            <w:tcBorders>
              <w:top w:val="nil"/>
            </w:tcBorders>
          </w:tcPr>
          <w:p>
            <w:pPr>
              <w:rPr>
                <w:rFonts w:ascii="Arial"/>
                <w:sz w:val="21"/>
              </w:rPr>
            </w:pPr>
            <w:r/>
          </w:p>
        </w:tc>
        <w:tc>
          <w:tcPr>
            <w:tcW w:w="1098" w:type="dxa"/>
            <w:vAlign w:val="top"/>
            <w:gridSpan w:val="2"/>
            <w:vMerge w:val="continue"/>
            <w:tcBorders>
              <w:top w:val="nil"/>
            </w:tcBorders>
          </w:tcPr>
          <w:p>
            <w:pPr>
              <w:rPr>
                <w:rFonts w:ascii="Arial"/>
                <w:sz w:val="21"/>
              </w:rPr>
            </w:pPr>
            <w:r/>
          </w:p>
        </w:tc>
        <w:tc>
          <w:tcPr>
            <w:tcW w:w="2308" w:type="dxa"/>
            <w:vAlign w:val="top"/>
            <w:gridSpan w:val="4"/>
          </w:tcPr>
          <w:p>
            <w:pPr>
              <w:pStyle w:val="TableText"/>
              <w:ind w:left="413"/>
              <w:spacing w:before="141" w:line="192" w:lineRule="auto"/>
              <w:rPr>
                <w:sz w:val="21"/>
                <w:szCs w:val="21"/>
              </w:rPr>
            </w:pPr>
            <w:r>
              <w:rPr>
                <w:sz w:val="21"/>
                <w:szCs w:val="21"/>
                <w:spacing w:val="-2"/>
              </w:rPr>
              <w:t>包气带防污性能</w:t>
            </w:r>
          </w:p>
        </w:tc>
        <w:tc>
          <w:tcPr>
            <w:tcW w:w="1088" w:type="dxa"/>
            <w:vAlign w:val="top"/>
            <w:gridSpan w:val="3"/>
          </w:tcPr>
          <w:p>
            <w:pPr>
              <w:pStyle w:val="TableText"/>
              <w:ind w:left="326"/>
              <w:spacing w:before="162" w:line="174" w:lineRule="auto"/>
              <w:rPr>
                <w:sz w:val="21"/>
                <w:szCs w:val="21"/>
              </w:rPr>
            </w:pPr>
            <w:r>
              <w:rPr>
                <w:sz w:val="21"/>
                <w:szCs w:val="21"/>
                <w:spacing w:val="-1"/>
              </w:rPr>
              <w:t>D1□</w:t>
            </w:r>
          </w:p>
        </w:tc>
        <w:tc>
          <w:tcPr>
            <w:tcW w:w="1020" w:type="dxa"/>
            <w:vAlign w:val="top"/>
            <w:gridSpan w:val="3"/>
          </w:tcPr>
          <w:p>
            <w:pPr>
              <w:pStyle w:val="TableText"/>
              <w:ind w:left="297"/>
              <w:spacing w:before="162" w:line="174" w:lineRule="auto"/>
              <w:rPr>
                <w:sz w:val="21"/>
                <w:szCs w:val="21"/>
              </w:rPr>
            </w:pPr>
            <w:r>
              <w:rPr>
                <w:sz w:val="21"/>
                <w:szCs w:val="21"/>
                <w:spacing w:val="-2"/>
              </w:rPr>
              <w:t>D2</w:t>
            </w:r>
            <w:r>
              <w:rPr>
                <w:sz w:val="21"/>
                <w:szCs w:val="21"/>
                <w:spacing w:val="-45"/>
              </w:rPr>
              <w:t xml:space="preserve"> </w:t>
            </w:r>
            <w:r>
              <w:rPr>
                <w:sz w:val="21"/>
                <w:szCs w:val="21"/>
                <w:spacing w:val="-2"/>
              </w:rPr>
              <w:t>√</w:t>
            </w:r>
          </w:p>
        </w:tc>
        <w:tc>
          <w:tcPr>
            <w:tcW w:w="1493" w:type="dxa"/>
            <w:vAlign w:val="top"/>
          </w:tcPr>
          <w:p>
            <w:pPr>
              <w:pStyle w:val="TableText"/>
              <w:ind w:left="528"/>
              <w:spacing w:before="162" w:line="174" w:lineRule="auto"/>
              <w:rPr>
                <w:sz w:val="21"/>
                <w:szCs w:val="21"/>
              </w:rPr>
            </w:pPr>
            <w:r>
              <w:rPr>
                <w:sz w:val="21"/>
                <w:szCs w:val="21"/>
                <w:spacing w:val="-1"/>
              </w:rPr>
              <w:t>D3□</w:t>
            </w:r>
          </w:p>
        </w:tc>
      </w:tr>
      <w:tr>
        <w:trPr>
          <w:trHeight w:val="349" w:hRule="atLeast"/>
        </w:trPr>
        <w:tc>
          <w:tcPr>
            <w:tcW w:w="1853" w:type="dxa"/>
            <w:vAlign w:val="top"/>
            <w:gridSpan w:val="2"/>
            <w:vMerge w:val="restart"/>
            <w:tcBorders>
              <w:bottom w:val="nil"/>
            </w:tcBorders>
          </w:tcPr>
          <w:p>
            <w:pPr>
              <w:spacing w:line="243" w:lineRule="auto"/>
              <w:rPr>
                <w:rFonts w:ascii="Arial"/>
                <w:sz w:val="21"/>
              </w:rPr>
            </w:pPr>
            <w:r/>
          </w:p>
          <w:p>
            <w:pPr>
              <w:pStyle w:val="TableText"/>
              <w:ind w:left="703" w:right="96" w:hanging="629"/>
              <w:spacing w:before="68" w:line="268" w:lineRule="auto"/>
              <w:rPr>
                <w:sz w:val="21"/>
                <w:szCs w:val="21"/>
              </w:rPr>
            </w:pPr>
            <w:r>
              <w:rPr>
                <w:sz w:val="21"/>
                <w:szCs w:val="21"/>
                <w:spacing w:val="-2"/>
              </w:rPr>
              <w:t>物质及工艺系统危</w:t>
            </w:r>
            <w:r>
              <w:rPr>
                <w:sz w:val="21"/>
                <w:szCs w:val="21"/>
                <w:spacing w:val="6"/>
              </w:rPr>
              <w:t xml:space="preserve"> </w:t>
            </w:r>
            <w:r>
              <w:rPr>
                <w:sz w:val="21"/>
                <w:szCs w:val="21"/>
                <w:spacing w:val="4"/>
              </w:rPr>
              <w:t>险性</w:t>
            </w:r>
          </w:p>
        </w:tc>
        <w:tc>
          <w:tcPr>
            <w:tcW w:w="1098" w:type="dxa"/>
            <w:vAlign w:val="top"/>
            <w:gridSpan w:val="2"/>
          </w:tcPr>
          <w:p>
            <w:pPr>
              <w:pStyle w:val="TableText"/>
              <w:ind w:left="382"/>
              <w:spacing w:before="71" w:line="219" w:lineRule="auto"/>
              <w:rPr>
                <w:sz w:val="21"/>
                <w:szCs w:val="21"/>
              </w:rPr>
            </w:pPr>
            <w:r>
              <w:rPr>
                <w:sz w:val="21"/>
                <w:szCs w:val="21"/>
                <w:spacing w:val="-2"/>
              </w:rPr>
              <w:t>Q值</w:t>
            </w:r>
          </w:p>
        </w:tc>
        <w:tc>
          <w:tcPr>
            <w:tcW w:w="1469" w:type="dxa"/>
            <w:vAlign w:val="top"/>
            <w:gridSpan w:val="3"/>
          </w:tcPr>
          <w:p>
            <w:pPr>
              <w:pStyle w:val="TableText"/>
              <w:ind w:left="463"/>
              <w:spacing w:before="117" w:line="195" w:lineRule="auto"/>
              <w:rPr>
                <w:sz w:val="21"/>
                <w:szCs w:val="21"/>
              </w:rPr>
            </w:pPr>
            <w:r>
              <w:rPr>
                <w:sz w:val="21"/>
                <w:szCs w:val="21"/>
                <w:spacing w:val="-1"/>
              </w:rPr>
              <w:t>Q&lt;1□</w:t>
            </w:r>
          </w:p>
        </w:tc>
        <w:tc>
          <w:tcPr>
            <w:tcW w:w="1448" w:type="dxa"/>
            <w:vAlign w:val="top"/>
            <w:gridSpan w:val="3"/>
          </w:tcPr>
          <w:p>
            <w:pPr>
              <w:pStyle w:val="TableText"/>
              <w:ind w:left="265"/>
              <w:spacing w:before="117" w:line="195" w:lineRule="auto"/>
              <w:rPr>
                <w:sz w:val="21"/>
                <w:szCs w:val="21"/>
              </w:rPr>
            </w:pPr>
            <w:r>
              <w:rPr>
                <w:sz w:val="21"/>
                <w:szCs w:val="21"/>
                <w:spacing w:val="-3"/>
              </w:rPr>
              <w:t>1≤Q&lt;10□</w:t>
            </w:r>
          </w:p>
        </w:tc>
        <w:tc>
          <w:tcPr>
            <w:tcW w:w="1499" w:type="dxa"/>
            <w:vAlign w:val="top"/>
            <w:gridSpan w:val="4"/>
          </w:tcPr>
          <w:p>
            <w:pPr>
              <w:pStyle w:val="TableText"/>
              <w:ind w:left="146"/>
              <w:spacing w:before="137" w:line="177" w:lineRule="auto"/>
              <w:rPr>
                <w:sz w:val="21"/>
                <w:szCs w:val="21"/>
              </w:rPr>
            </w:pPr>
            <w:r>
              <w:rPr>
                <w:sz w:val="21"/>
                <w:szCs w:val="21"/>
                <w:spacing w:val="-3"/>
              </w:rPr>
              <w:t>10≤Q&lt;100</w:t>
            </w:r>
            <w:r>
              <w:rPr>
                <w:sz w:val="21"/>
                <w:szCs w:val="21"/>
                <w:spacing w:val="-43"/>
              </w:rPr>
              <w:t xml:space="preserve"> </w:t>
            </w:r>
            <w:r>
              <w:rPr>
                <w:sz w:val="21"/>
                <w:szCs w:val="21"/>
                <w:spacing w:val="-3"/>
              </w:rPr>
              <w:t>√</w:t>
            </w:r>
          </w:p>
        </w:tc>
        <w:tc>
          <w:tcPr>
            <w:tcW w:w="1493" w:type="dxa"/>
            <w:vAlign w:val="top"/>
          </w:tcPr>
          <w:p>
            <w:pPr>
              <w:pStyle w:val="TableText"/>
              <w:ind w:left="367"/>
              <w:spacing w:before="117" w:line="195" w:lineRule="auto"/>
              <w:rPr>
                <w:sz w:val="21"/>
                <w:szCs w:val="21"/>
              </w:rPr>
            </w:pPr>
            <w:r>
              <w:rPr>
                <w:sz w:val="21"/>
                <w:szCs w:val="21"/>
                <w:spacing w:val="-1"/>
              </w:rPr>
              <w:t>Q&gt;100□</w:t>
            </w:r>
          </w:p>
        </w:tc>
      </w:tr>
      <w:tr>
        <w:trPr>
          <w:trHeight w:val="360" w:hRule="atLeast"/>
        </w:trPr>
        <w:tc>
          <w:tcPr>
            <w:tcW w:w="1853" w:type="dxa"/>
            <w:vAlign w:val="top"/>
            <w:gridSpan w:val="2"/>
            <w:vMerge w:val="continue"/>
            <w:tcBorders>
              <w:top w:val="nil"/>
              <w:bottom w:val="nil"/>
            </w:tcBorders>
          </w:tcPr>
          <w:p>
            <w:pPr>
              <w:rPr>
                <w:rFonts w:ascii="Arial"/>
                <w:sz w:val="21"/>
              </w:rPr>
            </w:pPr>
            <w:r/>
          </w:p>
        </w:tc>
        <w:tc>
          <w:tcPr>
            <w:tcW w:w="1098" w:type="dxa"/>
            <w:vAlign w:val="top"/>
            <w:gridSpan w:val="2"/>
          </w:tcPr>
          <w:p>
            <w:pPr>
              <w:pStyle w:val="TableText"/>
              <w:ind w:left="382"/>
              <w:spacing w:before="132" w:line="191" w:lineRule="auto"/>
              <w:rPr>
                <w:sz w:val="21"/>
                <w:szCs w:val="21"/>
              </w:rPr>
            </w:pPr>
            <w:r>
              <w:rPr>
                <w:sz w:val="21"/>
                <w:szCs w:val="21"/>
                <w:spacing w:val="-1"/>
              </w:rPr>
              <w:t>M值</w:t>
            </w:r>
          </w:p>
        </w:tc>
        <w:tc>
          <w:tcPr>
            <w:tcW w:w="2308" w:type="dxa"/>
            <w:vAlign w:val="top"/>
            <w:gridSpan w:val="4"/>
          </w:tcPr>
          <w:p>
            <w:pPr>
              <w:pStyle w:val="TableText"/>
              <w:ind w:left="933"/>
              <w:spacing w:before="163" w:line="164" w:lineRule="auto"/>
              <w:rPr>
                <w:sz w:val="21"/>
                <w:szCs w:val="21"/>
              </w:rPr>
            </w:pPr>
            <w:r>
              <w:rPr>
                <w:sz w:val="21"/>
                <w:szCs w:val="21"/>
                <w:spacing w:val="-1"/>
              </w:rPr>
              <w:t>M1□</w:t>
            </w:r>
          </w:p>
        </w:tc>
        <w:tc>
          <w:tcPr>
            <w:tcW w:w="1088" w:type="dxa"/>
            <w:vAlign w:val="top"/>
            <w:gridSpan w:val="3"/>
          </w:tcPr>
          <w:p>
            <w:pPr>
              <w:pStyle w:val="TableText"/>
              <w:ind w:left="326"/>
              <w:spacing w:before="153" w:line="173" w:lineRule="auto"/>
              <w:rPr>
                <w:sz w:val="21"/>
                <w:szCs w:val="21"/>
              </w:rPr>
            </w:pPr>
            <w:r>
              <w:rPr>
                <w:sz w:val="21"/>
                <w:szCs w:val="21"/>
                <w:spacing w:val="-1"/>
              </w:rPr>
              <w:t>M2□</w:t>
            </w:r>
          </w:p>
        </w:tc>
        <w:tc>
          <w:tcPr>
            <w:tcW w:w="1020" w:type="dxa"/>
            <w:vAlign w:val="top"/>
            <w:gridSpan w:val="3"/>
          </w:tcPr>
          <w:p>
            <w:pPr>
              <w:pStyle w:val="TableText"/>
              <w:ind w:left="297"/>
              <w:spacing w:before="163" w:line="164" w:lineRule="auto"/>
              <w:rPr>
                <w:sz w:val="21"/>
                <w:szCs w:val="21"/>
              </w:rPr>
            </w:pPr>
            <w:r>
              <w:rPr>
                <w:sz w:val="21"/>
                <w:szCs w:val="21"/>
                <w:spacing w:val="-1"/>
              </w:rPr>
              <w:t>M3□</w:t>
            </w:r>
          </w:p>
        </w:tc>
        <w:tc>
          <w:tcPr>
            <w:tcW w:w="1493" w:type="dxa"/>
            <w:vAlign w:val="top"/>
          </w:tcPr>
          <w:p>
            <w:pPr>
              <w:pStyle w:val="TableText"/>
              <w:ind w:left="528"/>
              <w:spacing w:before="163" w:line="164" w:lineRule="auto"/>
              <w:rPr>
                <w:sz w:val="21"/>
                <w:szCs w:val="21"/>
              </w:rPr>
            </w:pPr>
            <w:r>
              <w:rPr>
                <w:sz w:val="21"/>
                <w:szCs w:val="21"/>
                <w:spacing w:val="-1"/>
              </w:rPr>
              <w:t>M4</w:t>
            </w:r>
            <w:r>
              <w:rPr>
                <w:sz w:val="21"/>
                <w:szCs w:val="21"/>
                <w:spacing w:val="-45"/>
              </w:rPr>
              <w:t xml:space="preserve"> </w:t>
            </w:r>
            <w:r>
              <w:rPr>
                <w:sz w:val="21"/>
                <w:szCs w:val="21"/>
                <w:spacing w:val="-1"/>
              </w:rPr>
              <w:t>√</w:t>
            </w:r>
          </w:p>
        </w:tc>
      </w:tr>
      <w:tr>
        <w:trPr>
          <w:trHeight w:val="360" w:hRule="atLeast"/>
        </w:trPr>
        <w:tc>
          <w:tcPr>
            <w:tcW w:w="1853" w:type="dxa"/>
            <w:vAlign w:val="top"/>
            <w:gridSpan w:val="2"/>
            <w:vMerge w:val="continue"/>
            <w:tcBorders>
              <w:top w:val="nil"/>
            </w:tcBorders>
          </w:tcPr>
          <w:p>
            <w:pPr>
              <w:rPr>
                <w:rFonts w:ascii="Arial"/>
                <w:sz w:val="21"/>
              </w:rPr>
            </w:pPr>
            <w:r/>
          </w:p>
        </w:tc>
        <w:tc>
          <w:tcPr>
            <w:tcW w:w="1098" w:type="dxa"/>
            <w:vAlign w:val="top"/>
            <w:gridSpan w:val="2"/>
          </w:tcPr>
          <w:p>
            <w:pPr>
              <w:pStyle w:val="TableText"/>
              <w:ind w:left="382"/>
              <w:spacing w:before="122" w:line="200" w:lineRule="auto"/>
              <w:rPr>
                <w:sz w:val="21"/>
                <w:szCs w:val="21"/>
              </w:rPr>
            </w:pPr>
            <w:r>
              <w:rPr>
                <w:sz w:val="21"/>
                <w:szCs w:val="21"/>
                <w:spacing w:val="-1"/>
              </w:rPr>
              <w:t>P值</w:t>
            </w:r>
          </w:p>
        </w:tc>
        <w:tc>
          <w:tcPr>
            <w:tcW w:w="2308" w:type="dxa"/>
            <w:vAlign w:val="top"/>
            <w:gridSpan w:val="4"/>
          </w:tcPr>
          <w:p>
            <w:pPr>
              <w:pStyle w:val="TableText"/>
              <w:ind w:left="933"/>
              <w:spacing w:before="163" w:line="164" w:lineRule="auto"/>
              <w:rPr>
                <w:sz w:val="21"/>
                <w:szCs w:val="21"/>
              </w:rPr>
            </w:pPr>
            <w:r>
              <w:rPr>
                <w:sz w:val="21"/>
                <w:szCs w:val="21"/>
                <w:spacing w:val="-1"/>
              </w:rPr>
              <w:t>P1□</w:t>
            </w:r>
          </w:p>
        </w:tc>
        <w:tc>
          <w:tcPr>
            <w:tcW w:w="1088" w:type="dxa"/>
            <w:vAlign w:val="top"/>
            <w:gridSpan w:val="3"/>
          </w:tcPr>
          <w:p>
            <w:pPr>
              <w:pStyle w:val="TableText"/>
              <w:ind w:left="326"/>
              <w:spacing w:before="163" w:line="164" w:lineRule="auto"/>
              <w:rPr>
                <w:sz w:val="21"/>
                <w:szCs w:val="21"/>
              </w:rPr>
            </w:pPr>
            <w:r>
              <w:rPr>
                <w:sz w:val="21"/>
                <w:szCs w:val="21"/>
                <w:spacing w:val="-1"/>
              </w:rPr>
              <w:t>P2□</w:t>
            </w:r>
          </w:p>
        </w:tc>
        <w:tc>
          <w:tcPr>
            <w:tcW w:w="1020" w:type="dxa"/>
            <w:vAlign w:val="top"/>
            <w:gridSpan w:val="3"/>
          </w:tcPr>
          <w:p>
            <w:pPr>
              <w:pStyle w:val="TableText"/>
              <w:ind w:left="297"/>
              <w:spacing w:before="163" w:line="164" w:lineRule="auto"/>
              <w:rPr>
                <w:sz w:val="21"/>
                <w:szCs w:val="21"/>
              </w:rPr>
            </w:pPr>
            <w:r>
              <w:rPr>
                <w:sz w:val="21"/>
                <w:szCs w:val="21"/>
                <w:spacing w:val="-2"/>
              </w:rPr>
              <w:t>P3</w:t>
            </w:r>
            <w:r>
              <w:rPr>
                <w:sz w:val="21"/>
                <w:szCs w:val="21"/>
                <w:spacing w:val="-45"/>
              </w:rPr>
              <w:t xml:space="preserve"> </w:t>
            </w:r>
            <w:r>
              <w:rPr>
                <w:sz w:val="21"/>
                <w:szCs w:val="21"/>
                <w:spacing w:val="-2"/>
              </w:rPr>
              <w:t>√</w:t>
            </w:r>
          </w:p>
        </w:tc>
        <w:tc>
          <w:tcPr>
            <w:tcW w:w="1493" w:type="dxa"/>
            <w:vAlign w:val="top"/>
          </w:tcPr>
          <w:p>
            <w:pPr>
              <w:pStyle w:val="TableText"/>
              <w:ind w:left="528"/>
              <w:spacing w:before="163" w:line="164" w:lineRule="auto"/>
              <w:rPr>
                <w:sz w:val="21"/>
                <w:szCs w:val="21"/>
              </w:rPr>
            </w:pPr>
            <w:r>
              <w:rPr>
                <w:sz w:val="21"/>
                <w:szCs w:val="21"/>
                <w:spacing w:val="-1"/>
              </w:rPr>
              <w:t>P4□</w:t>
            </w:r>
          </w:p>
        </w:tc>
      </w:tr>
      <w:tr>
        <w:trPr>
          <w:trHeight w:val="349" w:hRule="atLeast"/>
        </w:trPr>
        <w:tc>
          <w:tcPr>
            <w:tcW w:w="1853" w:type="dxa"/>
            <w:vAlign w:val="top"/>
            <w:gridSpan w:val="2"/>
            <w:vMerge w:val="restart"/>
            <w:tcBorders>
              <w:bottom w:val="nil"/>
            </w:tcBorders>
          </w:tcPr>
          <w:p>
            <w:pPr>
              <w:spacing w:line="382" w:lineRule="auto"/>
              <w:rPr>
                <w:rFonts w:ascii="Arial"/>
                <w:sz w:val="21"/>
              </w:rPr>
            </w:pPr>
            <w:r/>
          </w:p>
          <w:p>
            <w:pPr>
              <w:pStyle w:val="TableText"/>
              <w:ind w:left="285"/>
              <w:spacing w:before="68" w:line="219" w:lineRule="auto"/>
              <w:rPr>
                <w:sz w:val="21"/>
                <w:szCs w:val="21"/>
              </w:rPr>
            </w:pPr>
            <w:r>
              <w:rPr>
                <w:sz w:val="21"/>
                <w:szCs w:val="21"/>
                <w:spacing w:val="2"/>
              </w:rPr>
              <w:t>环境敏感程度</w:t>
            </w:r>
          </w:p>
        </w:tc>
        <w:tc>
          <w:tcPr>
            <w:tcW w:w="1098" w:type="dxa"/>
            <w:vAlign w:val="top"/>
            <w:gridSpan w:val="2"/>
          </w:tcPr>
          <w:p>
            <w:pPr>
              <w:pStyle w:val="TableText"/>
              <w:ind w:left="331"/>
              <w:spacing w:before="122" w:line="190" w:lineRule="auto"/>
              <w:rPr>
                <w:sz w:val="21"/>
                <w:szCs w:val="21"/>
              </w:rPr>
            </w:pPr>
            <w:r>
              <w:rPr>
                <w:sz w:val="21"/>
                <w:szCs w:val="21"/>
                <w:spacing w:val="6"/>
              </w:rPr>
              <w:t>大气</w:t>
            </w:r>
          </w:p>
        </w:tc>
        <w:tc>
          <w:tcPr>
            <w:tcW w:w="2308" w:type="dxa"/>
            <w:vAlign w:val="top"/>
            <w:gridSpan w:val="4"/>
          </w:tcPr>
          <w:p>
            <w:pPr>
              <w:pStyle w:val="TableText"/>
              <w:ind w:left="933"/>
              <w:spacing w:before="153" w:line="163" w:lineRule="auto"/>
              <w:rPr>
                <w:sz w:val="21"/>
                <w:szCs w:val="21"/>
              </w:rPr>
            </w:pPr>
            <w:r>
              <w:rPr>
                <w:sz w:val="21"/>
                <w:szCs w:val="21"/>
                <w:spacing w:val="-2"/>
              </w:rPr>
              <w:t>E1</w:t>
            </w:r>
            <w:r>
              <w:rPr>
                <w:sz w:val="21"/>
                <w:szCs w:val="21"/>
                <w:spacing w:val="-46"/>
              </w:rPr>
              <w:t xml:space="preserve"> </w:t>
            </w:r>
            <w:r>
              <w:rPr>
                <w:sz w:val="21"/>
                <w:szCs w:val="21"/>
                <w:spacing w:val="-2"/>
              </w:rPr>
              <w:t>√</w:t>
            </w:r>
          </w:p>
        </w:tc>
        <w:tc>
          <w:tcPr>
            <w:tcW w:w="1728" w:type="dxa"/>
            <w:vAlign w:val="top"/>
            <w:gridSpan w:val="5"/>
          </w:tcPr>
          <w:p>
            <w:pPr>
              <w:pStyle w:val="TableText"/>
              <w:ind w:left="646"/>
              <w:spacing w:before="153" w:line="163" w:lineRule="auto"/>
              <w:rPr>
                <w:sz w:val="21"/>
                <w:szCs w:val="21"/>
              </w:rPr>
            </w:pPr>
            <w:r>
              <w:rPr>
                <w:sz w:val="21"/>
                <w:szCs w:val="21"/>
                <w:spacing w:val="-1"/>
              </w:rPr>
              <w:t>E2□</w:t>
            </w:r>
          </w:p>
        </w:tc>
        <w:tc>
          <w:tcPr>
            <w:tcW w:w="1873" w:type="dxa"/>
            <w:vAlign w:val="top"/>
            <w:gridSpan w:val="2"/>
          </w:tcPr>
          <w:p>
            <w:pPr>
              <w:pStyle w:val="TableText"/>
              <w:ind w:left="718"/>
              <w:spacing w:before="153" w:line="163" w:lineRule="auto"/>
              <w:rPr>
                <w:sz w:val="21"/>
                <w:szCs w:val="21"/>
              </w:rPr>
            </w:pPr>
            <w:r>
              <w:rPr>
                <w:sz w:val="21"/>
                <w:szCs w:val="21"/>
                <w:spacing w:val="-1"/>
              </w:rPr>
              <w:t>E3□</w:t>
            </w:r>
          </w:p>
        </w:tc>
      </w:tr>
      <w:tr>
        <w:trPr>
          <w:trHeight w:val="380" w:hRule="atLeast"/>
        </w:trPr>
        <w:tc>
          <w:tcPr>
            <w:tcW w:w="1853" w:type="dxa"/>
            <w:vAlign w:val="top"/>
            <w:gridSpan w:val="2"/>
            <w:vMerge w:val="continue"/>
            <w:tcBorders>
              <w:top w:val="nil"/>
              <w:bottom w:val="nil"/>
            </w:tcBorders>
          </w:tcPr>
          <w:p>
            <w:pPr>
              <w:rPr>
                <w:rFonts w:ascii="Arial"/>
                <w:sz w:val="21"/>
              </w:rPr>
            </w:pPr>
            <w:r/>
          </w:p>
        </w:tc>
        <w:tc>
          <w:tcPr>
            <w:tcW w:w="1098" w:type="dxa"/>
            <w:vAlign w:val="top"/>
            <w:gridSpan w:val="2"/>
          </w:tcPr>
          <w:p>
            <w:pPr>
              <w:pStyle w:val="TableText"/>
              <w:ind w:left="222"/>
              <w:spacing w:before="93" w:line="219" w:lineRule="auto"/>
              <w:rPr>
                <w:sz w:val="21"/>
                <w:szCs w:val="21"/>
              </w:rPr>
            </w:pPr>
            <w:r>
              <w:rPr>
                <w:sz w:val="21"/>
                <w:szCs w:val="21"/>
                <w:spacing w:val="-2"/>
              </w:rPr>
              <w:t>地表水</w:t>
            </w:r>
          </w:p>
        </w:tc>
        <w:tc>
          <w:tcPr>
            <w:tcW w:w="2308" w:type="dxa"/>
            <w:vAlign w:val="top"/>
            <w:gridSpan w:val="4"/>
          </w:tcPr>
          <w:p>
            <w:pPr>
              <w:pStyle w:val="TableText"/>
              <w:ind w:left="933"/>
              <w:spacing w:before="174" w:line="172" w:lineRule="auto"/>
              <w:rPr>
                <w:sz w:val="21"/>
                <w:szCs w:val="21"/>
              </w:rPr>
            </w:pPr>
            <w:r>
              <w:rPr>
                <w:sz w:val="21"/>
                <w:szCs w:val="21"/>
                <w:spacing w:val="-1"/>
              </w:rPr>
              <w:t>E1□</w:t>
            </w:r>
          </w:p>
        </w:tc>
        <w:tc>
          <w:tcPr>
            <w:tcW w:w="1728" w:type="dxa"/>
            <w:vAlign w:val="top"/>
            <w:gridSpan w:val="5"/>
          </w:tcPr>
          <w:p>
            <w:pPr>
              <w:pStyle w:val="TableText"/>
              <w:ind w:left="646"/>
              <w:spacing w:before="174" w:line="172" w:lineRule="auto"/>
              <w:rPr>
                <w:sz w:val="21"/>
                <w:szCs w:val="21"/>
              </w:rPr>
            </w:pPr>
            <w:r>
              <w:rPr>
                <w:sz w:val="21"/>
                <w:szCs w:val="21"/>
                <w:spacing w:val="-2"/>
              </w:rPr>
              <w:t>E2</w:t>
            </w:r>
            <w:r>
              <w:rPr>
                <w:sz w:val="21"/>
                <w:szCs w:val="21"/>
                <w:spacing w:val="-46"/>
              </w:rPr>
              <w:t xml:space="preserve"> </w:t>
            </w:r>
            <w:r>
              <w:rPr>
                <w:sz w:val="21"/>
                <w:szCs w:val="21"/>
                <w:spacing w:val="-2"/>
              </w:rPr>
              <w:t>√</w:t>
            </w:r>
          </w:p>
        </w:tc>
        <w:tc>
          <w:tcPr>
            <w:tcW w:w="1873" w:type="dxa"/>
            <w:vAlign w:val="top"/>
            <w:gridSpan w:val="2"/>
          </w:tcPr>
          <w:p>
            <w:pPr>
              <w:pStyle w:val="TableText"/>
              <w:ind w:left="718"/>
              <w:spacing w:before="174" w:line="172" w:lineRule="auto"/>
              <w:rPr>
                <w:sz w:val="21"/>
                <w:szCs w:val="21"/>
              </w:rPr>
            </w:pPr>
            <w:r>
              <w:rPr>
                <w:sz w:val="21"/>
                <w:szCs w:val="21"/>
                <w:spacing w:val="-1"/>
              </w:rPr>
              <w:t>E3□</w:t>
            </w:r>
          </w:p>
        </w:tc>
      </w:tr>
      <w:tr>
        <w:trPr>
          <w:trHeight w:val="350" w:hRule="atLeast"/>
        </w:trPr>
        <w:tc>
          <w:tcPr>
            <w:tcW w:w="1853" w:type="dxa"/>
            <w:vAlign w:val="top"/>
            <w:gridSpan w:val="2"/>
            <w:vMerge w:val="continue"/>
            <w:tcBorders>
              <w:top w:val="nil"/>
            </w:tcBorders>
          </w:tcPr>
          <w:p>
            <w:pPr>
              <w:rPr>
                <w:rFonts w:ascii="Arial"/>
                <w:sz w:val="21"/>
              </w:rPr>
            </w:pPr>
            <w:r/>
          </w:p>
        </w:tc>
        <w:tc>
          <w:tcPr>
            <w:tcW w:w="1098" w:type="dxa"/>
            <w:vAlign w:val="top"/>
            <w:gridSpan w:val="2"/>
          </w:tcPr>
          <w:p>
            <w:pPr>
              <w:pStyle w:val="TableText"/>
              <w:ind w:left="222"/>
              <w:spacing w:before="73" w:line="219" w:lineRule="auto"/>
              <w:rPr>
                <w:sz w:val="21"/>
                <w:szCs w:val="21"/>
              </w:rPr>
            </w:pPr>
            <w:r>
              <w:rPr>
                <w:sz w:val="21"/>
                <w:szCs w:val="21"/>
                <w:spacing w:val="-2"/>
              </w:rPr>
              <w:t>地下水</w:t>
            </w:r>
          </w:p>
        </w:tc>
        <w:tc>
          <w:tcPr>
            <w:tcW w:w="2308" w:type="dxa"/>
            <w:vAlign w:val="top"/>
            <w:gridSpan w:val="4"/>
          </w:tcPr>
          <w:p>
            <w:pPr>
              <w:pStyle w:val="TableText"/>
              <w:ind w:left="933"/>
              <w:spacing w:before="144" w:line="172" w:lineRule="auto"/>
              <w:rPr>
                <w:sz w:val="21"/>
                <w:szCs w:val="21"/>
              </w:rPr>
            </w:pPr>
            <w:r>
              <w:rPr>
                <w:sz w:val="21"/>
                <w:szCs w:val="21"/>
                <w:spacing w:val="-1"/>
              </w:rPr>
              <w:t>E1□</w:t>
            </w:r>
          </w:p>
        </w:tc>
        <w:tc>
          <w:tcPr>
            <w:tcW w:w="1728" w:type="dxa"/>
            <w:vAlign w:val="top"/>
            <w:gridSpan w:val="5"/>
          </w:tcPr>
          <w:p>
            <w:pPr>
              <w:pStyle w:val="TableText"/>
              <w:ind w:left="646"/>
              <w:spacing w:before="154" w:line="163" w:lineRule="auto"/>
              <w:rPr>
                <w:sz w:val="21"/>
                <w:szCs w:val="21"/>
              </w:rPr>
            </w:pPr>
            <w:r>
              <w:rPr>
                <w:sz w:val="21"/>
                <w:szCs w:val="21"/>
                <w:spacing w:val="-1"/>
              </w:rPr>
              <w:t>E2□</w:t>
            </w:r>
          </w:p>
        </w:tc>
        <w:tc>
          <w:tcPr>
            <w:tcW w:w="1873" w:type="dxa"/>
            <w:vAlign w:val="top"/>
            <w:gridSpan w:val="2"/>
          </w:tcPr>
          <w:p>
            <w:pPr>
              <w:pStyle w:val="TableText"/>
              <w:ind w:left="718"/>
              <w:spacing w:before="154" w:line="163" w:lineRule="auto"/>
              <w:rPr>
                <w:sz w:val="21"/>
                <w:szCs w:val="21"/>
              </w:rPr>
            </w:pPr>
            <w:r>
              <w:rPr>
                <w:sz w:val="21"/>
                <w:szCs w:val="21"/>
                <w:spacing w:val="-2"/>
              </w:rPr>
              <w:t>E3</w:t>
            </w:r>
            <w:r>
              <w:rPr>
                <w:sz w:val="21"/>
                <w:szCs w:val="21"/>
                <w:spacing w:val="-46"/>
              </w:rPr>
              <w:t xml:space="preserve"> </w:t>
            </w:r>
            <w:r>
              <w:rPr>
                <w:sz w:val="21"/>
                <w:szCs w:val="21"/>
                <w:spacing w:val="-2"/>
              </w:rPr>
              <w:t>√</w:t>
            </w:r>
          </w:p>
        </w:tc>
      </w:tr>
      <w:tr>
        <w:trPr>
          <w:trHeight w:val="420" w:hRule="atLeast"/>
        </w:trPr>
        <w:tc>
          <w:tcPr>
            <w:tcW w:w="1853" w:type="dxa"/>
            <w:vAlign w:val="top"/>
            <w:gridSpan w:val="2"/>
          </w:tcPr>
          <w:p>
            <w:pPr>
              <w:pStyle w:val="TableText"/>
              <w:ind w:left="285"/>
              <w:spacing w:before="113" w:line="219" w:lineRule="auto"/>
              <w:rPr>
                <w:sz w:val="21"/>
                <w:szCs w:val="21"/>
              </w:rPr>
            </w:pPr>
            <w:r>
              <w:rPr>
                <w:sz w:val="21"/>
                <w:szCs w:val="21"/>
                <w:spacing w:val="2"/>
              </w:rPr>
              <w:t>环境风险潜势</w:t>
            </w:r>
          </w:p>
        </w:tc>
        <w:tc>
          <w:tcPr>
            <w:tcW w:w="1098" w:type="dxa"/>
            <w:vAlign w:val="top"/>
            <w:gridSpan w:val="2"/>
          </w:tcPr>
          <w:p>
            <w:pPr>
              <w:pStyle w:val="TableText"/>
              <w:ind w:left="271"/>
              <w:spacing w:before="134" w:line="239" w:lineRule="auto"/>
              <w:rPr>
                <w:sz w:val="21"/>
                <w:szCs w:val="21"/>
              </w:rPr>
            </w:pPr>
            <w:r>
              <w:rPr>
                <w:sz w:val="21"/>
                <w:szCs w:val="21"/>
                <w:spacing w:val="-3"/>
              </w:rPr>
              <w:t>IV+□</w:t>
            </w:r>
          </w:p>
        </w:tc>
        <w:tc>
          <w:tcPr>
            <w:tcW w:w="1469" w:type="dxa"/>
            <w:vAlign w:val="top"/>
            <w:gridSpan w:val="3"/>
          </w:tcPr>
          <w:p>
            <w:pPr>
              <w:pStyle w:val="TableText"/>
              <w:ind w:left="514"/>
              <w:spacing w:before="134" w:line="239" w:lineRule="auto"/>
              <w:rPr>
                <w:sz w:val="21"/>
                <w:szCs w:val="21"/>
              </w:rPr>
            </w:pPr>
            <w:r>
              <w:rPr>
                <w:sz w:val="21"/>
                <w:szCs w:val="21"/>
                <w:spacing w:val="-4"/>
              </w:rPr>
              <w:t>IV□</w:t>
            </w:r>
          </w:p>
        </w:tc>
        <w:tc>
          <w:tcPr>
            <w:tcW w:w="839" w:type="dxa"/>
            <w:vAlign w:val="top"/>
          </w:tcPr>
          <w:p>
            <w:pPr>
              <w:pStyle w:val="TableText"/>
              <w:ind w:left="215"/>
              <w:spacing w:before="131" w:line="235" w:lineRule="auto"/>
              <w:rPr>
                <w:sz w:val="21"/>
                <w:szCs w:val="21"/>
              </w:rPr>
            </w:pPr>
            <w:r>
              <w:rPr>
                <w:sz w:val="21"/>
                <w:szCs w:val="21"/>
                <w:spacing w:val="-4"/>
              </w:rPr>
              <w:t>Ⅲ</w:t>
            </w:r>
            <w:r>
              <w:rPr>
                <w:sz w:val="21"/>
                <w:szCs w:val="21"/>
                <w:spacing w:val="-46"/>
              </w:rPr>
              <w:t xml:space="preserve"> </w:t>
            </w:r>
            <w:r>
              <w:rPr>
                <w:sz w:val="21"/>
                <w:szCs w:val="21"/>
                <w:spacing w:val="-4"/>
              </w:rPr>
              <w:t>√</w:t>
            </w:r>
          </w:p>
        </w:tc>
        <w:tc>
          <w:tcPr>
            <w:tcW w:w="1088" w:type="dxa"/>
            <w:vAlign w:val="top"/>
            <w:gridSpan w:val="3"/>
          </w:tcPr>
          <w:p>
            <w:pPr>
              <w:pStyle w:val="TableText"/>
              <w:ind w:left="326"/>
              <w:spacing w:before="131" w:line="235" w:lineRule="auto"/>
              <w:rPr>
                <w:sz w:val="21"/>
                <w:szCs w:val="21"/>
              </w:rPr>
            </w:pPr>
            <w:r>
              <w:rPr>
                <w:sz w:val="21"/>
                <w:szCs w:val="21"/>
                <w:spacing w:val="-12"/>
              </w:rPr>
              <w:t>Ⅱ□</w:t>
            </w:r>
          </w:p>
        </w:tc>
        <w:tc>
          <w:tcPr>
            <w:tcW w:w="2513" w:type="dxa"/>
            <w:vAlign w:val="top"/>
            <w:gridSpan w:val="4"/>
          </w:tcPr>
          <w:p>
            <w:pPr>
              <w:pStyle w:val="TableText"/>
              <w:ind w:left="1237"/>
              <w:spacing w:before="193" w:line="182" w:lineRule="auto"/>
              <w:rPr>
                <w:sz w:val="6"/>
                <w:szCs w:val="6"/>
              </w:rPr>
            </w:pPr>
            <w:r>
              <w:rPr>
                <w:sz w:val="6"/>
                <w:szCs w:val="6"/>
              </w:rPr>
              <w:t>T</w:t>
            </w:r>
          </w:p>
        </w:tc>
      </w:tr>
      <w:tr>
        <w:trPr>
          <w:trHeight w:val="399" w:hRule="atLeast"/>
        </w:trPr>
        <w:tc>
          <w:tcPr>
            <w:tcW w:w="1853" w:type="dxa"/>
            <w:vAlign w:val="top"/>
            <w:gridSpan w:val="2"/>
          </w:tcPr>
          <w:p>
            <w:pPr>
              <w:pStyle w:val="TableText"/>
              <w:ind w:left="495"/>
              <w:spacing w:before="152" w:line="208" w:lineRule="auto"/>
              <w:rPr>
                <w:sz w:val="21"/>
                <w:szCs w:val="21"/>
              </w:rPr>
            </w:pPr>
            <w:r>
              <w:rPr>
                <w:sz w:val="21"/>
                <w:szCs w:val="21"/>
                <w:spacing w:val="3"/>
              </w:rPr>
              <w:t>评价等级</w:t>
            </w:r>
          </w:p>
        </w:tc>
        <w:tc>
          <w:tcPr>
            <w:tcW w:w="2567" w:type="dxa"/>
            <w:vAlign w:val="top"/>
            <w:gridSpan w:val="5"/>
          </w:tcPr>
          <w:p>
            <w:pPr>
              <w:pStyle w:val="TableText"/>
              <w:ind w:left="961"/>
              <w:spacing w:before="106" w:line="221" w:lineRule="auto"/>
              <w:rPr>
                <w:sz w:val="21"/>
                <w:szCs w:val="21"/>
              </w:rPr>
            </w:pPr>
            <w:r>
              <w:rPr>
                <w:sz w:val="21"/>
                <w:szCs w:val="21"/>
                <w:spacing w:val="10"/>
              </w:rPr>
              <w:t>一级口</w:t>
            </w:r>
          </w:p>
        </w:tc>
        <w:tc>
          <w:tcPr>
            <w:tcW w:w="979" w:type="dxa"/>
            <w:vAlign w:val="top"/>
            <w:gridSpan w:val="2"/>
          </w:tcPr>
          <w:p>
            <w:pPr>
              <w:pStyle w:val="TableText"/>
              <w:ind w:left="174"/>
              <w:spacing w:before="106" w:line="221" w:lineRule="auto"/>
              <w:rPr>
                <w:sz w:val="21"/>
                <w:szCs w:val="21"/>
              </w:rPr>
            </w:pPr>
            <w:r>
              <w:rPr>
                <w:sz w:val="21"/>
                <w:szCs w:val="21"/>
                <w:spacing w:val="5"/>
              </w:rPr>
              <w:t>二级</w:t>
            </w:r>
            <w:r>
              <w:rPr>
                <w:sz w:val="21"/>
                <w:szCs w:val="21"/>
                <w:spacing w:val="-16"/>
              </w:rPr>
              <w:t xml:space="preserve"> </w:t>
            </w:r>
            <w:r>
              <w:rPr>
                <w:sz w:val="21"/>
                <w:szCs w:val="21"/>
                <w:spacing w:val="5"/>
              </w:rPr>
              <w:t>√</w:t>
            </w:r>
          </w:p>
        </w:tc>
        <w:tc>
          <w:tcPr>
            <w:tcW w:w="948" w:type="dxa"/>
            <w:vAlign w:val="top"/>
            <w:gridSpan w:val="2"/>
          </w:tcPr>
          <w:p>
            <w:pPr>
              <w:pStyle w:val="TableText"/>
              <w:ind w:left="176"/>
              <w:spacing w:before="155" w:line="205" w:lineRule="auto"/>
              <w:rPr>
                <w:sz w:val="21"/>
                <w:szCs w:val="21"/>
              </w:rPr>
            </w:pPr>
            <w:r>
              <w:rPr>
                <w:sz w:val="21"/>
                <w:szCs w:val="21"/>
                <w:spacing w:val="10"/>
              </w:rPr>
              <w:t>三级口</w:t>
            </w:r>
          </w:p>
        </w:tc>
        <w:tc>
          <w:tcPr>
            <w:tcW w:w="2513" w:type="dxa"/>
            <w:vAlign w:val="top"/>
            <w:gridSpan w:val="4"/>
          </w:tcPr>
          <w:p>
            <w:pPr>
              <w:pStyle w:val="TableText"/>
              <w:ind w:left="728"/>
              <w:spacing w:before="152" w:line="208" w:lineRule="auto"/>
              <w:rPr>
                <w:sz w:val="21"/>
                <w:szCs w:val="21"/>
              </w:rPr>
            </w:pPr>
            <w:r>
              <w:rPr>
                <w:sz w:val="21"/>
                <w:szCs w:val="21"/>
                <w:spacing w:val="6"/>
              </w:rPr>
              <w:t>简单分析口</w:t>
            </w:r>
          </w:p>
        </w:tc>
      </w:tr>
      <w:tr>
        <w:trPr>
          <w:trHeight w:val="380" w:hRule="atLeast"/>
        </w:trPr>
        <w:tc>
          <w:tcPr>
            <w:tcW w:w="594" w:type="dxa"/>
            <w:vAlign w:val="top"/>
            <w:vMerge w:val="restart"/>
            <w:tcBorders>
              <w:bottom w:val="nil"/>
            </w:tcBorders>
          </w:tcPr>
          <w:p>
            <w:pPr>
              <w:spacing w:line="255" w:lineRule="auto"/>
              <w:rPr>
                <w:rFonts w:ascii="Arial"/>
                <w:sz w:val="21"/>
              </w:rPr>
            </w:pPr>
            <w:r/>
          </w:p>
          <w:p>
            <w:pPr>
              <w:pStyle w:val="TableText"/>
              <w:ind w:left="74" w:right="71"/>
              <w:spacing w:before="68" w:line="264" w:lineRule="auto"/>
              <w:rPr>
                <w:sz w:val="21"/>
                <w:szCs w:val="21"/>
              </w:rPr>
            </w:pPr>
            <w:r>
              <w:rPr>
                <w:sz w:val="21"/>
                <w:szCs w:val="21"/>
                <w:spacing w:val="-5"/>
              </w:rPr>
              <w:t>风险</w:t>
            </w:r>
            <w:r>
              <w:rPr>
                <w:sz w:val="21"/>
                <w:szCs w:val="21"/>
              </w:rPr>
              <w:t xml:space="preserve"> </w:t>
            </w:r>
            <w:r>
              <w:rPr>
                <w:sz w:val="21"/>
                <w:szCs w:val="21"/>
                <w:spacing w:val="8"/>
              </w:rPr>
              <w:t>识别</w:t>
            </w:r>
          </w:p>
        </w:tc>
        <w:tc>
          <w:tcPr>
            <w:tcW w:w="1259" w:type="dxa"/>
            <w:vAlign w:val="top"/>
          </w:tcPr>
          <w:p>
            <w:pPr>
              <w:pStyle w:val="TableText"/>
              <w:ind w:left="90"/>
              <w:spacing w:before="145" w:line="197" w:lineRule="auto"/>
              <w:rPr>
                <w:sz w:val="21"/>
                <w:szCs w:val="21"/>
              </w:rPr>
            </w:pPr>
            <w:r>
              <w:rPr>
                <w:sz w:val="21"/>
                <w:szCs w:val="21"/>
                <w:spacing w:val="-2"/>
              </w:rPr>
              <w:t>物质危险性</w:t>
            </w:r>
          </w:p>
        </w:tc>
        <w:tc>
          <w:tcPr>
            <w:tcW w:w="2567" w:type="dxa"/>
            <w:vAlign w:val="top"/>
            <w:gridSpan w:val="5"/>
          </w:tcPr>
          <w:p>
            <w:pPr>
              <w:pStyle w:val="TableText"/>
              <w:ind w:left="752"/>
              <w:spacing w:before="155" w:line="189" w:lineRule="auto"/>
              <w:rPr>
                <w:sz w:val="21"/>
                <w:szCs w:val="21"/>
              </w:rPr>
            </w:pPr>
            <w:r>
              <w:rPr>
                <w:sz w:val="21"/>
                <w:szCs w:val="21"/>
                <w:spacing w:val="6"/>
              </w:rPr>
              <w:t>有毒有害口</w:t>
            </w:r>
          </w:p>
        </w:tc>
        <w:tc>
          <w:tcPr>
            <w:tcW w:w="4440" w:type="dxa"/>
            <w:vAlign w:val="top"/>
            <w:gridSpan w:val="8"/>
          </w:tcPr>
          <w:p>
            <w:pPr>
              <w:pStyle w:val="TableText"/>
              <w:ind w:left="1685"/>
              <w:spacing w:before="152" w:line="191" w:lineRule="auto"/>
              <w:rPr>
                <w:sz w:val="21"/>
                <w:szCs w:val="21"/>
              </w:rPr>
            </w:pPr>
            <w:r>
              <w:rPr>
                <w:sz w:val="21"/>
                <w:szCs w:val="21"/>
                <w:spacing w:val="5"/>
              </w:rPr>
              <w:t>易燃易爆</w:t>
            </w:r>
            <w:r>
              <w:rPr>
                <w:sz w:val="21"/>
                <w:szCs w:val="21"/>
                <w:spacing w:val="-27"/>
              </w:rPr>
              <w:t xml:space="preserve"> </w:t>
            </w:r>
            <w:r>
              <w:rPr>
                <w:sz w:val="21"/>
                <w:szCs w:val="21"/>
                <w:spacing w:val="5"/>
              </w:rPr>
              <w:t>√</w:t>
            </w:r>
          </w:p>
        </w:tc>
      </w:tr>
      <w:tr>
        <w:trPr>
          <w:trHeight w:val="350" w:hRule="atLeast"/>
        </w:trPr>
        <w:tc>
          <w:tcPr>
            <w:tcW w:w="594" w:type="dxa"/>
            <w:vAlign w:val="top"/>
            <w:vMerge w:val="continue"/>
            <w:tcBorders>
              <w:top w:val="nil"/>
              <w:bottom w:val="nil"/>
            </w:tcBorders>
          </w:tcPr>
          <w:p>
            <w:pPr>
              <w:rPr>
                <w:rFonts w:ascii="Arial"/>
                <w:sz w:val="21"/>
              </w:rPr>
            </w:pPr>
            <w:r/>
          </w:p>
        </w:tc>
        <w:tc>
          <w:tcPr>
            <w:tcW w:w="1638" w:type="dxa"/>
            <w:vAlign w:val="top"/>
            <w:gridSpan w:val="2"/>
          </w:tcPr>
          <w:p>
            <w:pPr>
              <w:pStyle w:val="TableText"/>
              <w:ind w:left="201"/>
              <w:spacing w:before="125" w:line="189" w:lineRule="auto"/>
              <w:rPr>
                <w:sz w:val="21"/>
                <w:szCs w:val="21"/>
              </w:rPr>
            </w:pPr>
            <w:r>
              <w:rPr>
                <w:sz w:val="21"/>
                <w:szCs w:val="21"/>
                <w:spacing w:val="2"/>
              </w:rPr>
              <w:t>环境风险类型</w:t>
            </w:r>
          </w:p>
        </w:tc>
        <w:tc>
          <w:tcPr>
            <w:tcW w:w="2188" w:type="dxa"/>
            <w:vAlign w:val="top"/>
            <w:gridSpan w:val="4"/>
          </w:tcPr>
          <w:p>
            <w:pPr>
              <w:pStyle w:val="TableText"/>
              <w:ind w:left="1003"/>
              <w:spacing w:before="126" w:line="188" w:lineRule="auto"/>
              <w:rPr>
                <w:sz w:val="21"/>
                <w:szCs w:val="21"/>
              </w:rPr>
            </w:pPr>
            <w:r>
              <w:rPr>
                <w:sz w:val="21"/>
                <w:szCs w:val="21"/>
                <w:spacing w:val="5"/>
              </w:rPr>
              <w:t>泄漏</w:t>
            </w:r>
            <w:r>
              <w:rPr>
                <w:sz w:val="21"/>
                <w:szCs w:val="21"/>
                <w:spacing w:val="-17"/>
              </w:rPr>
              <w:t xml:space="preserve"> </w:t>
            </w:r>
            <w:r>
              <w:rPr>
                <w:sz w:val="21"/>
                <w:szCs w:val="21"/>
                <w:spacing w:val="5"/>
              </w:rPr>
              <w:t>√</w:t>
            </w:r>
          </w:p>
        </w:tc>
        <w:tc>
          <w:tcPr>
            <w:tcW w:w="4440" w:type="dxa"/>
            <w:vAlign w:val="top"/>
            <w:gridSpan w:val="8"/>
          </w:tcPr>
          <w:p>
            <w:pPr>
              <w:pStyle w:val="TableText"/>
              <w:ind w:left="374"/>
              <w:spacing w:before="122" w:line="191" w:lineRule="auto"/>
              <w:rPr>
                <w:sz w:val="21"/>
                <w:szCs w:val="21"/>
              </w:rPr>
            </w:pPr>
            <w:r>
              <w:rPr>
                <w:sz w:val="21"/>
                <w:szCs w:val="21"/>
                <w:spacing w:val="2"/>
              </w:rPr>
              <w:t>火灾、爆炸引发伴生/次生污染物排放</w:t>
            </w:r>
            <w:r>
              <w:rPr>
                <w:sz w:val="21"/>
                <w:szCs w:val="21"/>
                <w:spacing w:val="-43"/>
              </w:rPr>
              <w:t xml:space="preserve"> </w:t>
            </w:r>
            <w:r>
              <w:rPr>
                <w:sz w:val="21"/>
                <w:szCs w:val="21"/>
                <w:spacing w:val="2"/>
              </w:rPr>
              <w:t>√</w:t>
            </w:r>
          </w:p>
        </w:tc>
      </w:tr>
      <w:tr>
        <w:trPr>
          <w:trHeight w:val="350" w:hRule="atLeast"/>
        </w:trPr>
        <w:tc>
          <w:tcPr>
            <w:tcW w:w="594" w:type="dxa"/>
            <w:vAlign w:val="top"/>
            <w:vMerge w:val="continue"/>
            <w:tcBorders>
              <w:top w:val="nil"/>
            </w:tcBorders>
          </w:tcPr>
          <w:p>
            <w:pPr>
              <w:rPr>
                <w:rFonts w:ascii="Arial"/>
                <w:sz w:val="21"/>
              </w:rPr>
            </w:pPr>
            <w:r/>
          </w:p>
        </w:tc>
        <w:tc>
          <w:tcPr>
            <w:tcW w:w="1259" w:type="dxa"/>
            <w:vAlign w:val="top"/>
          </w:tcPr>
          <w:p>
            <w:pPr>
              <w:pStyle w:val="TableText"/>
              <w:ind w:left="201"/>
              <w:spacing w:before="134" w:line="181" w:lineRule="auto"/>
              <w:rPr>
                <w:sz w:val="21"/>
                <w:szCs w:val="21"/>
              </w:rPr>
            </w:pPr>
            <w:r>
              <w:rPr>
                <w:sz w:val="21"/>
                <w:szCs w:val="21"/>
                <w:spacing w:val="-2"/>
              </w:rPr>
              <w:t>影响途径</w:t>
            </w:r>
          </w:p>
        </w:tc>
        <w:tc>
          <w:tcPr>
            <w:tcW w:w="2567" w:type="dxa"/>
            <w:vAlign w:val="top"/>
            <w:gridSpan w:val="5"/>
          </w:tcPr>
          <w:p>
            <w:pPr>
              <w:pStyle w:val="TableText"/>
              <w:ind w:left="961"/>
              <w:spacing w:before="135" w:line="180" w:lineRule="auto"/>
              <w:rPr>
                <w:sz w:val="21"/>
                <w:szCs w:val="21"/>
              </w:rPr>
            </w:pPr>
            <w:r>
              <w:rPr>
                <w:sz w:val="21"/>
                <w:szCs w:val="21"/>
                <w:spacing w:val="5"/>
              </w:rPr>
              <w:t>大气</w:t>
            </w:r>
            <w:r>
              <w:rPr>
                <w:sz w:val="21"/>
                <w:szCs w:val="21"/>
                <w:spacing w:val="-16"/>
              </w:rPr>
              <w:t xml:space="preserve"> </w:t>
            </w:r>
            <w:r>
              <w:rPr>
                <w:sz w:val="21"/>
                <w:szCs w:val="21"/>
                <w:spacing w:val="5"/>
              </w:rPr>
              <w:t>√</w:t>
            </w:r>
          </w:p>
        </w:tc>
        <w:tc>
          <w:tcPr>
            <w:tcW w:w="2347" w:type="dxa"/>
            <w:vAlign w:val="top"/>
            <w:gridSpan w:val="5"/>
          </w:tcPr>
          <w:p>
            <w:pPr>
              <w:pStyle w:val="TableText"/>
              <w:ind w:left="744"/>
              <w:spacing w:before="114" w:line="198" w:lineRule="auto"/>
              <w:rPr>
                <w:sz w:val="21"/>
                <w:szCs w:val="21"/>
              </w:rPr>
            </w:pPr>
            <w:r>
              <w:rPr>
                <w:sz w:val="21"/>
                <w:szCs w:val="21"/>
                <w:spacing w:val="7"/>
              </w:rPr>
              <w:t>地表水口</w:t>
            </w:r>
          </w:p>
        </w:tc>
        <w:tc>
          <w:tcPr>
            <w:tcW w:w="2093" w:type="dxa"/>
            <w:vAlign w:val="top"/>
            <w:gridSpan w:val="3"/>
          </w:tcPr>
          <w:p>
            <w:pPr>
              <w:pStyle w:val="TableText"/>
              <w:ind w:left="618"/>
              <w:spacing w:before="134" w:line="181" w:lineRule="auto"/>
              <w:rPr>
                <w:sz w:val="21"/>
                <w:szCs w:val="21"/>
              </w:rPr>
            </w:pPr>
            <w:r>
              <w:rPr>
                <w:sz w:val="21"/>
                <w:szCs w:val="21"/>
                <w:spacing w:val="7"/>
              </w:rPr>
              <w:t>地下水口</w:t>
            </w:r>
          </w:p>
        </w:tc>
      </w:tr>
      <w:tr>
        <w:trPr>
          <w:trHeight w:val="419" w:hRule="atLeast"/>
        </w:trPr>
        <w:tc>
          <w:tcPr>
            <w:tcW w:w="1853" w:type="dxa"/>
            <w:vAlign w:val="top"/>
            <w:gridSpan w:val="2"/>
          </w:tcPr>
          <w:p>
            <w:pPr>
              <w:pStyle w:val="TableText"/>
              <w:ind w:left="285"/>
              <w:spacing w:before="175" w:line="205" w:lineRule="auto"/>
              <w:rPr>
                <w:sz w:val="21"/>
                <w:szCs w:val="21"/>
              </w:rPr>
            </w:pPr>
            <w:r>
              <w:rPr>
                <w:sz w:val="21"/>
                <w:szCs w:val="21"/>
                <w:spacing w:val="-2"/>
              </w:rPr>
              <w:t>事故情形分析</w:t>
            </w:r>
          </w:p>
        </w:tc>
        <w:tc>
          <w:tcPr>
            <w:tcW w:w="1458" w:type="dxa"/>
            <w:vAlign w:val="top"/>
            <w:gridSpan w:val="3"/>
          </w:tcPr>
          <w:p>
            <w:pPr>
              <w:pStyle w:val="TableText"/>
              <w:ind w:left="92"/>
              <w:spacing w:before="115" w:line="220" w:lineRule="auto"/>
              <w:rPr>
                <w:sz w:val="21"/>
                <w:szCs w:val="21"/>
              </w:rPr>
            </w:pPr>
            <w:r>
              <w:rPr>
                <w:sz w:val="21"/>
                <w:szCs w:val="21"/>
                <w:spacing w:val="-2"/>
              </w:rPr>
              <w:t>源强设定方法</w:t>
            </w:r>
          </w:p>
        </w:tc>
        <w:tc>
          <w:tcPr>
            <w:tcW w:w="1109" w:type="dxa"/>
            <w:vAlign w:val="top"/>
            <w:gridSpan w:val="2"/>
          </w:tcPr>
          <w:p>
            <w:pPr>
              <w:pStyle w:val="TableText"/>
              <w:ind w:left="124"/>
              <w:spacing w:before="174" w:line="206" w:lineRule="auto"/>
              <w:rPr>
                <w:sz w:val="21"/>
                <w:szCs w:val="21"/>
              </w:rPr>
            </w:pPr>
            <w:r>
              <w:rPr>
                <w:sz w:val="21"/>
                <w:szCs w:val="21"/>
                <w:spacing w:val="6"/>
              </w:rPr>
              <w:t>计算法</w:t>
            </w:r>
            <w:r>
              <w:rPr>
                <w:sz w:val="21"/>
                <w:szCs w:val="21"/>
                <w:spacing w:val="-26"/>
              </w:rPr>
              <w:t xml:space="preserve"> </w:t>
            </w:r>
            <w:r>
              <w:rPr>
                <w:sz w:val="21"/>
                <w:szCs w:val="21"/>
                <w:spacing w:val="6"/>
              </w:rPr>
              <w:t>√</w:t>
            </w:r>
          </w:p>
        </w:tc>
        <w:tc>
          <w:tcPr>
            <w:tcW w:w="2347" w:type="dxa"/>
            <w:vAlign w:val="top"/>
            <w:gridSpan w:val="5"/>
          </w:tcPr>
          <w:p>
            <w:pPr>
              <w:pStyle w:val="TableText"/>
              <w:ind w:left="535"/>
              <w:spacing w:before="112" w:line="218" w:lineRule="auto"/>
              <w:rPr>
                <w:sz w:val="21"/>
                <w:szCs w:val="21"/>
              </w:rPr>
            </w:pPr>
            <w:r>
              <w:rPr>
                <w:sz w:val="21"/>
                <w:szCs w:val="21"/>
                <w:spacing w:val="5"/>
              </w:rPr>
              <w:t>经验估算法口</w:t>
            </w:r>
          </w:p>
        </w:tc>
        <w:tc>
          <w:tcPr>
            <w:tcW w:w="2093" w:type="dxa"/>
            <w:vAlign w:val="top"/>
            <w:gridSpan w:val="3"/>
          </w:tcPr>
          <w:p>
            <w:pPr>
              <w:pStyle w:val="TableText"/>
              <w:ind w:left="407"/>
              <w:spacing w:before="163" w:line="216" w:lineRule="auto"/>
              <w:rPr>
                <w:sz w:val="21"/>
                <w:szCs w:val="21"/>
              </w:rPr>
            </w:pPr>
            <w:r>
              <w:rPr>
                <w:sz w:val="21"/>
                <w:szCs w:val="21"/>
                <w:spacing w:val="5"/>
              </w:rPr>
              <w:t>其他估算法口</w:t>
            </w:r>
          </w:p>
        </w:tc>
      </w:tr>
      <w:tr>
        <w:trPr>
          <w:trHeight w:val="350" w:hRule="atLeast"/>
        </w:trPr>
        <w:tc>
          <w:tcPr>
            <w:tcW w:w="594" w:type="dxa"/>
            <w:vAlign w:val="top"/>
            <w:vMerge w:val="restart"/>
            <w:tcBorders>
              <w:bottom w:val="nil"/>
            </w:tcBorders>
          </w:tcPr>
          <w:p>
            <w:pPr>
              <w:spacing w:line="435" w:lineRule="auto"/>
              <w:rPr>
                <w:rFonts w:ascii="Arial"/>
                <w:sz w:val="21"/>
              </w:rPr>
            </w:pPr>
            <w:r/>
          </w:p>
          <w:p>
            <w:pPr>
              <w:pStyle w:val="TableText"/>
              <w:ind w:left="74"/>
              <w:spacing w:before="68" w:line="220" w:lineRule="auto"/>
              <w:rPr>
                <w:sz w:val="21"/>
                <w:szCs w:val="21"/>
              </w:rPr>
            </w:pPr>
            <w:r>
              <w:rPr>
                <w:sz w:val="21"/>
                <w:szCs w:val="21"/>
                <w:spacing w:val="-3"/>
              </w:rPr>
              <w:t>风险</w:t>
            </w:r>
          </w:p>
          <w:p>
            <w:pPr>
              <w:pStyle w:val="TableText"/>
              <w:ind w:left="74"/>
              <w:spacing w:before="109" w:line="220" w:lineRule="auto"/>
              <w:rPr>
                <w:sz w:val="21"/>
                <w:szCs w:val="21"/>
              </w:rPr>
            </w:pPr>
            <w:r>
              <w:rPr>
                <w:sz w:val="21"/>
                <w:szCs w:val="21"/>
                <w:spacing w:val="8"/>
              </w:rPr>
              <w:t>预测</w:t>
            </w:r>
          </w:p>
          <w:p>
            <w:pPr>
              <w:pStyle w:val="TableText"/>
              <w:ind w:left="74"/>
              <w:spacing w:before="119" w:line="220" w:lineRule="auto"/>
              <w:rPr>
                <w:sz w:val="21"/>
                <w:szCs w:val="21"/>
              </w:rPr>
            </w:pPr>
            <w:r>
              <w:rPr>
                <w:sz w:val="21"/>
                <w:szCs w:val="21"/>
                <w:spacing w:val="4"/>
              </w:rPr>
              <w:t>与评</w:t>
            </w:r>
          </w:p>
          <w:p>
            <w:pPr>
              <w:pStyle w:val="TableText"/>
              <w:ind w:left="185"/>
              <w:spacing w:before="107" w:line="218" w:lineRule="auto"/>
              <w:rPr>
                <w:sz w:val="21"/>
                <w:szCs w:val="21"/>
              </w:rPr>
            </w:pPr>
            <w:r>
              <w:rPr>
                <w:sz w:val="21"/>
                <w:szCs w:val="21"/>
              </w:rPr>
              <w:t>价</w:t>
            </w:r>
          </w:p>
        </w:tc>
        <w:tc>
          <w:tcPr>
            <w:tcW w:w="1259" w:type="dxa"/>
            <w:vAlign w:val="top"/>
            <w:vMerge w:val="restart"/>
            <w:tcBorders>
              <w:bottom w:val="nil"/>
            </w:tcBorders>
          </w:tcPr>
          <w:p>
            <w:pPr>
              <w:spacing w:line="385" w:lineRule="auto"/>
              <w:rPr>
                <w:rFonts w:ascii="Arial"/>
                <w:sz w:val="21"/>
              </w:rPr>
            </w:pPr>
            <w:r/>
          </w:p>
          <w:p>
            <w:pPr>
              <w:pStyle w:val="TableText"/>
              <w:ind w:left="410"/>
              <w:spacing w:before="68" w:line="220" w:lineRule="auto"/>
              <w:rPr>
                <w:sz w:val="21"/>
                <w:szCs w:val="21"/>
              </w:rPr>
            </w:pPr>
            <w:r>
              <w:rPr>
                <w:sz w:val="21"/>
                <w:szCs w:val="21"/>
                <w:spacing w:val="6"/>
              </w:rPr>
              <w:t>大气</w:t>
            </w:r>
          </w:p>
        </w:tc>
        <w:tc>
          <w:tcPr>
            <w:tcW w:w="1458" w:type="dxa"/>
            <w:vAlign w:val="top"/>
            <w:gridSpan w:val="3"/>
          </w:tcPr>
          <w:p>
            <w:pPr>
              <w:pStyle w:val="TableText"/>
              <w:ind w:left="301"/>
              <w:spacing w:before="75" w:line="219" w:lineRule="auto"/>
              <w:rPr>
                <w:sz w:val="21"/>
                <w:szCs w:val="21"/>
              </w:rPr>
            </w:pPr>
            <w:r>
              <w:rPr>
                <w:sz w:val="21"/>
                <w:szCs w:val="21"/>
                <w:spacing w:val="3"/>
              </w:rPr>
              <w:t>预测模型</w:t>
            </w:r>
          </w:p>
        </w:tc>
        <w:tc>
          <w:tcPr>
            <w:tcW w:w="1109" w:type="dxa"/>
            <w:vAlign w:val="top"/>
            <w:gridSpan w:val="2"/>
          </w:tcPr>
          <w:p>
            <w:pPr>
              <w:pStyle w:val="TableText"/>
              <w:ind w:left="333"/>
              <w:spacing w:before="168" w:line="172" w:lineRule="exact"/>
              <w:rPr>
                <w:sz w:val="21"/>
                <w:szCs w:val="21"/>
              </w:rPr>
            </w:pPr>
            <w:r>
              <w:rPr>
                <w:sz w:val="21"/>
                <w:szCs w:val="21"/>
                <w:spacing w:val="-2"/>
                <w:position w:val="-2"/>
              </w:rPr>
              <w:t>SLAB</w:t>
            </w:r>
          </w:p>
        </w:tc>
        <w:tc>
          <w:tcPr>
            <w:tcW w:w="2347" w:type="dxa"/>
            <w:vAlign w:val="top"/>
            <w:gridSpan w:val="5"/>
          </w:tcPr>
          <w:p>
            <w:pPr>
              <w:pStyle w:val="TableText"/>
              <w:ind w:left="925"/>
              <w:spacing w:before="156" w:line="238" w:lineRule="auto"/>
              <w:rPr>
                <w:sz w:val="14"/>
                <w:szCs w:val="14"/>
              </w:rPr>
            </w:pPr>
            <w:r>
              <w:rPr>
                <w:sz w:val="14"/>
                <w:szCs w:val="14"/>
                <w:spacing w:val="-1"/>
              </w:rPr>
              <w:t>AFTOX</w:t>
            </w:r>
            <w:r>
              <w:rPr>
                <w:sz w:val="14"/>
                <w:szCs w:val="14"/>
                <w:spacing w:val="-27"/>
              </w:rPr>
              <w:t xml:space="preserve"> </w:t>
            </w:r>
            <w:r>
              <w:rPr>
                <w:sz w:val="14"/>
                <w:szCs w:val="14"/>
                <w:spacing w:val="-1"/>
              </w:rPr>
              <w:t>√</w:t>
            </w:r>
          </w:p>
        </w:tc>
        <w:tc>
          <w:tcPr>
            <w:tcW w:w="2093" w:type="dxa"/>
            <w:vAlign w:val="top"/>
            <w:gridSpan w:val="3"/>
          </w:tcPr>
          <w:p>
            <w:pPr>
              <w:pStyle w:val="TableText"/>
              <w:ind w:left="727"/>
              <w:spacing w:before="136" w:line="179" w:lineRule="auto"/>
              <w:rPr>
                <w:sz w:val="21"/>
                <w:szCs w:val="21"/>
              </w:rPr>
            </w:pPr>
            <w:r>
              <w:rPr>
                <w:sz w:val="21"/>
                <w:szCs w:val="21"/>
                <w:spacing w:val="10"/>
              </w:rPr>
              <w:t>其他口</w:t>
            </w:r>
          </w:p>
        </w:tc>
      </w:tr>
      <w:tr>
        <w:trPr>
          <w:trHeight w:val="380" w:hRule="atLeast"/>
        </w:trPr>
        <w:tc>
          <w:tcPr>
            <w:tcW w:w="594" w:type="dxa"/>
            <w:vAlign w:val="top"/>
            <w:vMerge w:val="continue"/>
            <w:tcBorders>
              <w:top w:val="nil"/>
              <w:bottom w:val="nil"/>
            </w:tcBorders>
          </w:tcPr>
          <w:p>
            <w:pPr>
              <w:rPr>
                <w:rFonts w:ascii="Arial"/>
                <w:sz w:val="21"/>
              </w:rPr>
            </w:pPr>
            <w:r/>
          </w:p>
        </w:tc>
        <w:tc>
          <w:tcPr>
            <w:tcW w:w="1259" w:type="dxa"/>
            <w:vAlign w:val="top"/>
            <w:vMerge w:val="continue"/>
            <w:tcBorders>
              <w:top w:val="nil"/>
              <w:bottom w:val="nil"/>
            </w:tcBorders>
          </w:tcPr>
          <w:p>
            <w:pPr>
              <w:rPr>
                <w:rFonts w:ascii="Arial"/>
                <w:sz w:val="21"/>
              </w:rPr>
            </w:pPr>
            <w:r/>
          </w:p>
        </w:tc>
        <w:tc>
          <w:tcPr>
            <w:tcW w:w="1458" w:type="dxa"/>
            <w:vAlign w:val="top"/>
            <w:gridSpan w:val="3"/>
            <w:vMerge w:val="restart"/>
            <w:tcBorders>
              <w:bottom w:val="nil"/>
            </w:tcBorders>
          </w:tcPr>
          <w:p>
            <w:pPr>
              <w:pStyle w:val="TableText"/>
              <w:ind w:left="301"/>
              <w:spacing w:before="276" w:line="220" w:lineRule="auto"/>
              <w:rPr>
                <w:sz w:val="21"/>
                <w:szCs w:val="21"/>
              </w:rPr>
            </w:pPr>
            <w:r>
              <w:rPr>
                <w:sz w:val="21"/>
                <w:szCs w:val="21"/>
                <w:spacing w:val="3"/>
              </w:rPr>
              <w:t>预测结果</w:t>
            </w:r>
          </w:p>
        </w:tc>
        <w:tc>
          <w:tcPr>
            <w:tcW w:w="5549" w:type="dxa"/>
            <w:vAlign w:val="top"/>
            <w:gridSpan w:val="10"/>
          </w:tcPr>
          <w:p>
            <w:pPr>
              <w:pStyle w:val="TableText"/>
              <w:ind w:left="1034"/>
              <w:spacing w:before="165" w:line="180" w:lineRule="auto"/>
              <w:rPr>
                <w:sz w:val="21"/>
                <w:szCs w:val="21"/>
              </w:rPr>
            </w:pPr>
            <w:r>
              <w:rPr>
                <w:sz w:val="21"/>
                <w:szCs w:val="21"/>
                <w:spacing w:val="-1"/>
              </w:rPr>
              <w:t>大气毒性终点浓度-1最大影响范围40m</w:t>
            </w:r>
          </w:p>
        </w:tc>
      </w:tr>
      <w:tr>
        <w:trPr>
          <w:trHeight w:val="350" w:hRule="atLeast"/>
        </w:trPr>
        <w:tc>
          <w:tcPr>
            <w:tcW w:w="594" w:type="dxa"/>
            <w:vAlign w:val="top"/>
            <w:vMerge w:val="continue"/>
            <w:tcBorders>
              <w:top w:val="nil"/>
              <w:bottom w:val="nil"/>
            </w:tcBorders>
          </w:tcPr>
          <w:p>
            <w:pPr>
              <w:rPr>
                <w:rFonts w:ascii="Arial"/>
                <w:sz w:val="21"/>
              </w:rPr>
            </w:pPr>
            <w:r/>
          </w:p>
        </w:tc>
        <w:tc>
          <w:tcPr>
            <w:tcW w:w="1259" w:type="dxa"/>
            <w:vAlign w:val="top"/>
            <w:vMerge w:val="continue"/>
            <w:tcBorders>
              <w:top w:val="nil"/>
            </w:tcBorders>
          </w:tcPr>
          <w:p>
            <w:pPr>
              <w:rPr>
                <w:rFonts w:ascii="Arial"/>
                <w:sz w:val="21"/>
              </w:rPr>
            </w:pPr>
            <w:r/>
          </w:p>
        </w:tc>
        <w:tc>
          <w:tcPr>
            <w:tcW w:w="1458" w:type="dxa"/>
            <w:vAlign w:val="top"/>
            <w:gridSpan w:val="3"/>
            <w:vMerge w:val="continue"/>
            <w:tcBorders>
              <w:top w:val="nil"/>
            </w:tcBorders>
          </w:tcPr>
          <w:p>
            <w:pPr>
              <w:rPr>
                <w:rFonts w:ascii="Arial"/>
                <w:sz w:val="21"/>
              </w:rPr>
            </w:pPr>
            <w:r/>
          </w:p>
        </w:tc>
        <w:tc>
          <w:tcPr>
            <w:tcW w:w="5549" w:type="dxa"/>
            <w:vAlign w:val="top"/>
            <w:gridSpan w:val="10"/>
          </w:tcPr>
          <w:p>
            <w:pPr>
              <w:pStyle w:val="TableText"/>
              <w:ind w:left="983"/>
              <w:spacing w:before="135" w:line="180" w:lineRule="auto"/>
              <w:rPr>
                <w:sz w:val="21"/>
                <w:szCs w:val="21"/>
              </w:rPr>
            </w:pPr>
            <w:r>
              <w:rPr>
                <w:sz w:val="21"/>
                <w:szCs w:val="21"/>
                <w:spacing w:val="-1"/>
              </w:rPr>
              <w:t>大气毒性终点浓度-2最大影响范围120m</w:t>
            </w:r>
          </w:p>
        </w:tc>
      </w:tr>
      <w:tr>
        <w:trPr>
          <w:trHeight w:val="349" w:hRule="atLeast"/>
        </w:trPr>
        <w:tc>
          <w:tcPr>
            <w:tcW w:w="594" w:type="dxa"/>
            <w:vAlign w:val="top"/>
            <w:vMerge w:val="continue"/>
            <w:tcBorders>
              <w:top w:val="nil"/>
              <w:bottom w:val="nil"/>
            </w:tcBorders>
          </w:tcPr>
          <w:p>
            <w:pPr>
              <w:rPr>
                <w:rFonts w:ascii="Arial"/>
                <w:sz w:val="21"/>
              </w:rPr>
            </w:pPr>
            <w:r/>
          </w:p>
        </w:tc>
        <w:tc>
          <w:tcPr>
            <w:tcW w:w="1259" w:type="dxa"/>
            <w:vAlign w:val="top"/>
          </w:tcPr>
          <w:p>
            <w:pPr>
              <w:pStyle w:val="TableText"/>
              <w:ind w:left="300"/>
              <w:spacing w:before="75" w:line="219" w:lineRule="auto"/>
              <w:rPr>
                <w:sz w:val="21"/>
                <w:szCs w:val="21"/>
              </w:rPr>
            </w:pPr>
            <w:r>
              <w:rPr>
                <w:sz w:val="21"/>
                <w:szCs w:val="21"/>
                <w:spacing w:val="-2"/>
              </w:rPr>
              <w:t>地表水</w:t>
            </w:r>
          </w:p>
        </w:tc>
        <w:tc>
          <w:tcPr>
            <w:tcW w:w="7007" w:type="dxa"/>
            <w:vAlign w:val="top"/>
            <w:gridSpan w:val="13"/>
          </w:tcPr>
          <w:p>
            <w:pPr>
              <w:pStyle w:val="TableText"/>
              <w:ind w:left="1441"/>
              <w:spacing w:before="108" w:line="185" w:lineRule="auto"/>
              <w:rPr>
                <w:sz w:val="21"/>
                <w:szCs w:val="21"/>
              </w:rPr>
            </w:pPr>
            <w:r>
              <w:rPr>
                <w:sz w:val="21"/>
                <w:szCs w:val="21"/>
                <w:spacing w:val="-6"/>
              </w:rPr>
              <w:t>最近环境敏感目标</w:t>
            </w:r>
            <w:r>
              <w:rPr>
                <w:sz w:val="21"/>
                <w:szCs w:val="21"/>
                <w:spacing w:val="22"/>
              </w:rPr>
              <w:t xml:space="preserve">   </w:t>
            </w:r>
            <w:r>
              <w:rPr>
                <w:sz w:val="21"/>
                <w:szCs w:val="21"/>
                <w:spacing w:val="-6"/>
              </w:rPr>
              <w:t>_</w:t>
            </w:r>
            <w:r>
              <w:rPr>
                <w:sz w:val="21"/>
                <w:szCs w:val="21"/>
                <w:spacing w:val="-37"/>
              </w:rPr>
              <w:t xml:space="preserve"> </w:t>
            </w:r>
            <w:r>
              <w:rPr>
                <w:sz w:val="21"/>
                <w:szCs w:val="21"/>
                <w:spacing w:val="-6"/>
              </w:rPr>
              <w:t>,</w:t>
            </w:r>
            <w:r>
              <w:rPr>
                <w:sz w:val="21"/>
                <w:szCs w:val="21"/>
                <w:spacing w:val="-37"/>
              </w:rPr>
              <w:t xml:space="preserve"> </w:t>
            </w:r>
            <w:r>
              <w:rPr>
                <w:sz w:val="21"/>
                <w:szCs w:val="21"/>
                <w:spacing w:val="-6"/>
              </w:rPr>
              <w:t>到</w:t>
            </w:r>
            <w:r>
              <w:rPr>
                <w:sz w:val="21"/>
                <w:szCs w:val="21"/>
                <w:spacing w:val="-44"/>
              </w:rPr>
              <w:t xml:space="preserve"> </w:t>
            </w:r>
            <w:r>
              <w:rPr>
                <w:sz w:val="21"/>
                <w:szCs w:val="21"/>
                <w:spacing w:val="-6"/>
              </w:rPr>
              <w:t>达</w:t>
            </w:r>
            <w:r>
              <w:rPr>
                <w:sz w:val="21"/>
                <w:szCs w:val="21"/>
                <w:spacing w:val="-33"/>
              </w:rPr>
              <w:t xml:space="preserve"> </w:t>
            </w:r>
            <w:r>
              <w:rPr>
                <w:sz w:val="21"/>
                <w:szCs w:val="21"/>
                <w:spacing w:val="-6"/>
              </w:rPr>
              <w:t>时</w:t>
            </w:r>
            <w:r>
              <w:rPr>
                <w:sz w:val="21"/>
                <w:szCs w:val="21"/>
                <w:spacing w:val="-26"/>
              </w:rPr>
              <w:t xml:space="preserve"> </w:t>
            </w:r>
            <w:r>
              <w:rPr>
                <w:sz w:val="21"/>
                <w:szCs w:val="21"/>
                <w:spacing w:val="-6"/>
              </w:rPr>
              <w:t>间</w:t>
            </w:r>
            <w:r>
              <w:rPr>
                <w:sz w:val="21"/>
                <w:szCs w:val="21"/>
                <w:spacing w:val="16"/>
              </w:rPr>
              <w:t xml:space="preserve">     </w:t>
            </w:r>
            <w:r>
              <w:rPr>
                <w:sz w:val="21"/>
                <w:szCs w:val="21"/>
                <w:spacing w:val="-6"/>
                <w:position w:val="-2"/>
              </w:rPr>
              <w:t>h</w:t>
            </w:r>
          </w:p>
        </w:tc>
      </w:tr>
      <w:tr>
        <w:trPr>
          <w:trHeight w:val="370" w:hRule="atLeast"/>
        </w:trPr>
        <w:tc>
          <w:tcPr>
            <w:tcW w:w="594" w:type="dxa"/>
            <w:vAlign w:val="top"/>
            <w:vMerge w:val="continue"/>
            <w:tcBorders>
              <w:top w:val="nil"/>
              <w:bottom w:val="nil"/>
            </w:tcBorders>
          </w:tcPr>
          <w:p>
            <w:pPr>
              <w:rPr>
                <w:rFonts w:ascii="Arial"/>
                <w:sz w:val="21"/>
              </w:rPr>
            </w:pPr>
            <w:r/>
          </w:p>
        </w:tc>
        <w:tc>
          <w:tcPr>
            <w:tcW w:w="1259" w:type="dxa"/>
            <w:vAlign w:val="top"/>
            <w:vMerge w:val="restart"/>
            <w:tcBorders>
              <w:bottom w:val="nil"/>
            </w:tcBorders>
          </w:tcPr>
          <w:p>
            <w:pPr>
              <w:pStyle w:val="TableText"/>
              <w:ind w:left="300"/>
              <w:spacing w:before="276" w:line="219" w:lineRule="auto"/>
              <w:rPr>
                <w:sz w:val="21"/>
                <w:szCs w:val="21"/>
              </w:rPr>
            </w:pPr>
            <w:r>
              <w:rPr>
                <w:sz w:val="21"/>
                <w:szCs w:val="21"/>
                <w:spacing w:val="-2"/>
              </w:rPr>
              <w:t>地下水</w:t>
            </w:r>
          </w:p>
        </w:tc>
        <w:tc>
          <w:tcPr>
            <w:tcW w:w="7007" w:type="dxa"/>
            <w:vAlign w:val="top"/>
            <w:gridSpan w:val="13"/>
          </w:tcPr>
          <w:p>
            <w:pPr>
              <w:pStyle w:val="TableText"/>
              <w:ind w:left="2071"/>
              <w:spacing w:before="139" w:line="194" w:lineRule="auto"/>
              <w:rPr>
                <w:sz w:val="21"/>
                <w:szCs w:val="21"/>
              </w:rPr>
            </w:pPr>
            <w:r>
              <w:rPr>
                <w:sz w:val="21"/>
                <w:szCs w:val="21"/>
                <w:spacing w:val="-1"/>
              </w:rPr>
              <w:t>下游厂区边界到达时间</w:t>
            </w:r>
            <w:r>
              <w:rPr>
                <w:sz w:val="21"/>
                <w:szCs w:val="21"/>
                <w:spacing w:val="-94"/>
              </w:rPr>
              <w:t xml:space="preserve"> </w:t>
            </w:r>
            <w:r>
              <w:rPr>
                <w:sz w:val="21"/>
                <w:szCs w:val="21"/>
                <w:u w:val="single" w:color="auto"/>
                <w:spacing w:val="1"/>
              </w:rPr>
              <w:t xml:space="preserve">      </w:t>
            </w:r>
            <w:r>
              <w:rPr>
                <w:sz w:val="21"/>
                <w:szCs w:val="21"/>
                <w:spacing w:val="-90"/>
              </w:rPr>
              <w:t xml:space="preserve"> </w:t>
            </w:r>
            <w:r>
              <w:rPr>
                <w:sz w:val="21"/>
                <w:szCs w:val="21"/>
                <w:spacing w:val="-1"/>
              </w:rPr>
              <w:t>d</w:t>
            </w:r>
          </w:p>
        </w:tc>
      </w:tr>
      <w:tr>
        <w:trPr>
          <w:trHeight w:val="360" w:hRule="atLeast"/>
        </w:trPr>
        <w:tc>
          <w:tcPr>
            <w:tcW w:w="594" w:type="dxa"/>
            <w:vAlign w:val="top"/>
            <w:vMerge w:val="continue"/>
            <w:tcBorders>
              <w:top w:val="nil"/>
            </w:tcBorders>
          </w:tcPr>
          <w:p>
            <w:pPr>
              <w:rPr>
                <w:rFonts w:ascii="Arial"/>
                <w:sz w:val="21"/>
              </w:rPr>
            </w:pPr>
            <w:r/>
          </w:p>
        </w:tc>
        <w:tc>
          <w:tcPr>
            <w:tcW w:w="1259" w:type="dxa"/>
            <w:vAlign w:val="top"/>
            <w:vMerge w:val="continue"/>
            <w:tcBorders>
              <w:top w:val="nil"/>
            </w:tcBorders>
          </w:tcPr>
          <w:p>
            <w:pPr>
              <w:rPr>
                <w:rFonts w:ascii="Arial"/>
                <w:sz w:val="21"/>
              </w:rPr>
            </w:pPr>
            <w:r/>
          </w:p>
        </w:tc>
        <w:tc>
          <w:tcPr>
            <w:tcW w:w="7007" w:type="dxa"/>
            <w:vAlign w:val="top"/>
            <w:gridSpan w:val="13"/>
          </w:tcPr>
          <w:p>
            <w:pPr>
              <w:pStyle w:val="TableText"/>
              <w:ind w:left="1692"/>
              <w:spacing w:before="133" w:line="190" w:lineRule="auto"/>
              <w:rPr>
                <w:sz w:val="21"/>
                <w:szCs w:val="21"/>
              </w:rPr>
            </w:pPr>
            <w:r>
              <w:rPr>
                <w:sz w:val="21"/>
                <w:szCs w:val="21"/>
                <w:spacing w:val="1"/>
              </w:rPr>
              <w:t>最近环境敏感目标,到达时间</w:t>
            </w:r>
            <w:r>
              <w:rPr>
                <w:sz w:val="21"/>
                <w:szCs w:val="21"/>
                <w:spacing w:val="10"/>
              </w:rPr>
              <w:t xml:space="preserve">       </w:t>
            </w:r>
            <w:r>
              <w:rPr>
                <w:sz w:val="21"/>
                <w:szCs w:val="21"/>
                <w:spacing w:val="1"/>
              </w:rPr>
              <w:t>_d</w:t>
            </w:r>
          </w:p>
        </w:tc>
      </w:tr>
      <w:tr>
        <w:trPr>
          <w:trHeight w:val="1429" w:hRule="atLeast"/>
        </w:trPr>
        <w:tc>
          <w:tcPr>
            <w:tcW w:w="1853" w:type="dxa"/>
            <w:vAlign w:val="top"/>
            <w:gridSpan w:val="2"/>
          </w:tcPr>
          <w:p>
            <w:pPr>
              <w:spacing w:line="272" w:lineRule="auto"/>
              <w:rPr>
                <w:rFonts w:ascii="Arial"/>
                <w:sz w:val="21"/>
              </w:rPr>
            </w:pPr>
            <w:r/>
          </w:p>
          <w:p>
            <w:pPr>
              <w:spacing w:line="273" w:lineRule="auto"/>
              <w:rPr>
                <w:rFonts w:ascii="Arial"/>
                <w:sz w:val="21"/>
              </w:rPr>
            </w:pPr>
            <w:r/>
          </w:p>
          <w:p>
            <w:pPr>
              <w:pStyle w:val="TableText"/>
              <w:ind w:left="74"/>
              <w:spacing w:before="68" w:line="220" w:lineRule="auto"/>
              <w:rPr>
                <w:sz w:val="21"/>
                <w:szCs w:val="21"/>
              </w:rPr>
            </w:pPr>
            <w:r>
              <w:rPr>
                <w:sz w:val="21"/>
                <w:szCs w:val="21"/>
                <w:spacing w:val="-1"/>
              </w:rPr>
              <w:t>重点风险防范措施</w:t>
            </w:r>
          </w:p>
        </w:tc>
        <w:tc>
          <w:tcPr>
            <w:tcW w:w="7007" w:type="dxa"/>
            <w:vAlign w:val="top"/>
            <w:gridSpan w:val="13"/>
          </w:tcPr>
          <w:p>
            <w:pPr>
              <w:pStyle w:val="TableText"/>
              <w:ind w:left="182"/>
              <w:spacing w:before="126" w:line="219" w:lineRule="auto"/>
              <w:rPr>
                <w:sz w:val="21"/>
                <w:szCs w:val="21"/>
              </w:rPr>
            </w:pPr>
            <w:r>
              <w:rPr>
                <w:sz w:val="21"/>
                <w:szCs w:val="21"/>
                <w:spacing w:val="6"/>
              </w:rPr>
              <w:t>工业污水处理站新增50m³的事故池(全厂事故池总容积为300m³的);</w:t>
            </w:r>
            <w:r>
              <w:rPr>
                <w:sz w:val="21"/>
                <w:szCs w:val="21"/>
              </w:rPr>
              <w:t>NMP</w:t>
            </w:r>
          </w:p>
          <w:p>
            <w:pPr>
              <w:pStyle w:val="TableText"/>
              <w:ind w:left="241"/>
              <w:spacing w:before="107" w:line="216" w:lineRule="auto"/>
              <w:rPr>
                <w:sz w:val="21"/>
                <w:szCs w:val="21"/>
              </w:rPr>
            </w:pPr>
            <w:r>
              <w:rPr>
                <w:sz w:val="21"/>
                <w:szCs w:val="21"/>
                <w:spacing w:val="3"/>
              </w:rPr>
              <w:t>储罐区C设置围堰，高1.5m,有效容积349m³;设立完善</w:t>
            </w:r>
            <w:r>
              <w:rPr>
                <w:sz w:val="21"/>
                <w:szCs w:val="21"/>
                <w:spacing w:val="2"/>
              </w:rPr>
              <w:t>的事故收集系统，</w:t>
            </w:r>
          </w:p>
          <w:p>
            <w:pPr>
              <w:pStyle w:val="TableText"/>
              <w:spacing w:before="107" w:line="219" w:lineRule="auto"/>
              <w:jc w:val="right"/>
              <w:rPr>
                <w:sz w:val="21"/>
                <w:szCs w:val="21"/>
              </w:rPr>
            </w:pPr>
            <w:r>
              <w:rPr>
                <w:sz w:val="21"/>
                <w:szCs w:val="21"/>
                <w:spacing w:val="1"/>
              </w:rPr>
              <w:t>保证泄漏物料能迅速、安全地集中到事故池；事故水导排管网、事故水池、</w:t>
            </w:r>
          </w:p>
          <w:p>
            <w:pPr>
              <w:pStyle w:val="TableText"/>
              <w:ind w:left="2182"/>
              <w:spacing w:before="110" w:line="196" w:lineRule="auto"/>
              <w:rPr>
                <w:sz w:val="21"/>
                <w:szCs w:val="21"/>
              </w:rPr>
            </w:pPr>
            <w:r>
              <w:rPr>
                <w:sz w:val="21"/>
                <w:szCs w:val="21"/>
                <w:spacing w:val="-1"/>
              </w:rPr>
              <w:t>废水池按防渗要求进行防渗。</w:t>
            </w:r>
          </w:p>
        </w:tc>
      </w:tr>
      <w:tr>
        <w:trPr>
          <w:trHeight w:val="729" w:hRule="atLeast"/>
        </w:trPr>
        <w:tc>
          <w:tcPr>
            <w:tcW w:w="1853" w:type="dxa"/>
            <w:vAlign w:val="top"/>
            <w:gridSpan w:val="2"/>
          </w:tcPr>
          <w:p>
            <w:pPr>
              <w:pStyle w:val="TableText"/>
              <w:ind w:left="185"/>
              <w:spacing w:before="265" w:line="218" w:lineRule="auto"/>
              <w:rPr>
                <w:sz w:val="21"/>
                <w:szCs w:val="21"/>
              </w:rPr>
            </w:pPr>
            <w:r>
              <w:rPr>
                <w:sz w:val="21"/>
                <w:szCs w:val="21"/>
                <w:spacing w:val="-1"/>
              </w:rPr>
              <w:t>评价结论与建议</w:t>
            </w:r>
          </w:p>
        </w:tc>
        <w:tc>
          <w:tcPr>
            <w:tcW w:w="7007" w:type="dxa"/>
            <w:vAlign w:val="top"/>
            <w:gridSpan w:val="13"/>
          </w:tcPr>
          <w:p>
            <w:pPr>
              <w:pStyle w:val="TableText"/>
              <w:ind w:left="31"/>
              <w:spacing w:before="147" w:line="219" w:lineRule="auto"/>
              <w:rPr>
                <w:sz w:val="21"/>
                <w:szCs w:val="21"/>
              </w:rPr>
            </w:pPr>
            <w:r>
              <w:rPr>
                <w:sz w:val="21"/>
                <w:szCs w:val="21"/>
              </w:rPr>
              <w:t>通过严格的风险管理措施后，可以有效地控制或缓解危</w:t>
            </w:r>
            <w:r>
              <w:rPr>
                <w:sz w:val="21"/>
                <w:szCs w:val="21"/>
                <w:spacing w:val="-1"/>
              </w:rPr>
              <w:t>险化学品的使用的环</w:t>
            </w:r>
          </w:p>
          <w:p>
            <w:pPr>
              <w:pStyle w:val="TableText"/>
              <w:ind w:left="1551"/>
              <w:spacing w:before="109" w:line="187" w:lineRule="auto"/>
              <w:rPr>
                <w:sz w:val="21"/>
                <w:szCs w:val="21"/>
              </w:rPr>
            </w:pPr>
            <w:r>
              <w:rPr>
                <w:sz w:val="21"/>
                <w:szCs w:val="21"/>
                <w:spacing w:val="-1"/>
              </w:rPr>
              <w:t>境风险，本项目风险水平在可接受范围内。</w:t>
            </w:r>
          </w:p>
        </w:tc>
      </w:tr>
      <w:tr>
        <w:trPr>
          <w:trHeight w:val="414" w:hRule="atLeast"/>
        </w:trPr>
        <w:tc>
          <w:tcPr>
            <w:tcW w:w="8860" w:type="dxa"/>
            <w:vAlign w:val="top"/>
            <w:gridSpan w:val="15"/>
          </w:tcPr>
          <w:p>
            <w:pPr>
              <w:pStyle w:val="TableText"/>
              <w:ind w:left="44"/>
              <w:spacing w:before="178" w:line="198" w:lineRule="auto"/>
              <w:rPr>
                <w:sz w:val="21"/>
                <w:szCs w:val="21"/>
              </w:rPr>
            </w:pPr>
            <w:r>
              <w:rPr>
                <w:sz w:val="21"/>
                <w:szCs w:val="21"/>
                <w:spacing w:val="-20"/>
              </w:rPr>
              <w:t>注：    “口”为勾选项，     “”为填写项。</w:t>
            </w:r>
          </w:p>
        </w:tc>
      </w:tr>
    </w:tbl>
    <w:p>
      <w:pPr>
        <w:rPr>
          <w:rFonts w:ascii="Arial"/>
          <w:sz w:val="21"/>
        </w:rPr>
      </w:pPr>
      <w:r/>
    </w:p>
    <w:p>
      <w:pPr>
        <w:sectPr>
          <w:footerReference w:type="default" r:id="rId210"/>
          <w:pgSz w:w="11900" w:h="16840"/>
          <w:pgMar w:top="1255" w:right="1554" w:bottom="1005" w:left="1475" w:header="0" w:footer="856" w:gutter="0"/>
        </w:sectPr>
        <w:rPr>
          <w:rFonts w:ascii="Arial" w:hAnsi="Arial" w:eastAsia="Arial" w:cs="Arial"/>
          <w:sz w:val="21"/>
          <w:szCs w:val="21"/>
        </w:rPr>
      </w:pP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5" w:lineRule="auto"/>
        <w:rPr>
          <w:rFonts w:ascii="Arial"/>
          <w:sz w:val="21"/>
        </w:rPr>
      </w:pPr>
      <w:r/>
    </w:p>
    <w:p>
      <w:pPr>
        <w:pStyle w:val="BodyText"/>
        <w:ind w:left="1549"/>
        <w:spacing w:before="101" w:line="219" w:lineRule="auto"/>
        <w:rPr>
          <w:sz w:val="31"/>
          <w:szCs w:val="31"/>
        </w:rPr>
      </w:pPr>
      <w:r>
        <w:rPr>
          <w:sz w:val="31"/>
          <w:szCs w:val="31"/>
          <w:spacing w:val="-22"/>
        </w:rPr>
        <w:t>附图1 项目地理位置图</w:t>
      </w:r>
    </w:p>
    <w:p>
      <w:pPr>
        <w:spacing w:before="9"/>
        <w:rPr/>
      </w:pPr>
      <w:r/>
    </w:p>
    <w:p>
      <w:pPr>
        <w:sectPr>
          <w:footerReference w:type="default" r:id="rId211"/>
          <w:pgSz w:w="11900" w:h="16840"/>
          <w:pgMar w:top="0" w:right="0" w:bottom="981" w:left="0" w:header="0" w:footer="852" w:gutter="0"/>
          <w:cols w:equalWidth="0" w:num="1">
            <w:col w:w="11900" w:space="0"/>
          </w:cols>
        </w:sectPr>
        <w:rPr/>
      </w:pPr>
    </w:p>
    <w:p>
      <w:pPr>
        <w:pStyle w:val="BodyText"/>
        <w:ind w:left="1660"/>
        <w:spacing w:line="339" w:lineRule="exact"/>
        <w:rPr>
          <w:sz w:val="24"/>
          <w:szCs w:val="24"/>
        </w:rPr>
      </w:pPr>
      <w:r>
        <w:rPr>
          <w:sz w:val="24"/>
          <w:szCs w:val="24"/>
          <w:spacing w:val="2"/>
          <w:position w:val="7"/>
        </w:rPr>
        <w:t>霞浦县地图</w:t>
      </w:r>
    </w:p>
    <w:p>
      <w:pPr>
        <w:pStyle w:val="BodyText"/>
        <w:ind w:left="1750"/>
        <w:spacing w:line="198" w:lineRule="auto"/>
        <w:rPr>
          <w:sz w:val="24"/>
          <w:szCs w:val="24"/>
        </w:rPr>
      </w:pPr>
      <w:r>
        <w:rPr>
          <w:sz w:val="24"/>
          <w:szCs w:val="24"/>
          <w:position w:val="-4"/>
        </w:rPr>
        <w:drawing>
          <wp:inline distT="0" distB="0" distL="0" distR="0">
            <wp:extent cx="101559" cy="69828"/>
            <wp:effectExtent l="0" t="0" r="0" b="0"/>
            <wp:docPr id="36" name="IM 36"/>
            <wp:cNvGraphicFramePr/>
            <a:graphic>
              <a:graphicData uri="http://schemas.openxmlformats.org/drawingml/2006/picture">
                <pic:pic>
                  <pic:nvPicPr>
                    <pic:cNvPr id="36" name="IM 36"/>
                    <pic:cNvPicPr/>
                  </pic:nvPicPr>
                  <pic:blipFill>
                    <a:blip r:embed="rId212"/>
                    <a:stretch>
                      <a:fillRect/>
                    </a:stretch>
                  </pic:blipFill>
                  <pic:spPr>
                    <a:xfrm rot="0">
                      <a:off x="0" y="0"/>
                      <a:ext cx="101559" cy="69828"/>
                    </a:xfrm>
                    <a:prstGeom prst="rect">
                      <a:avLst/>
                    </a:prstGeom>
                  </pic:spPr>
                </pic:pic>
              </a:graphicData>
            </a:graphic>
          </wp:inline>
        </w:drawing>
      </w:r>
      <w:r>
        <w:rPr>
          <w:sz w:val="24"/>
          <w:szCs w:val="24"/>
          <w:spacing w:val="33"/>
        </w:rPr>
        <w:t xml:space="preserve">   </w:t>
      </w:r>
      <w:r>
        <w:rPr>
          <w:sz w:val="24"/>
          <w:szCs w:val="24"/>
          <w:spacing w:val="-27"/>
          <w:w w:val="97"/>
        </w:rPr>
        <w:t>畜溪镇</w:t>
      </w:r>
    </w:p>
    <w:p>
      <w:pPr>
        <w:ind w:left="1660"/>
        <w:spacing w:before="1" w:line="199" w:lineRule="auto"/>
        <w:rPr>
          <w:rFonts w:ascii="SimHei" w:hAnsi="SimHei" w:eastAsia="SimHei" w:cs="SimHei"/>
          <w:sz w:val="18"/>
          <w:szCs w:val="18"/>
        </w:rPr>
      </w:pPr>
      <w:r>
        <w:rPr>
          <w:rFonts w:ascii="SimHei" w:hAnsi="SimHei" w:eastAsia="SimHei" w:cs="SimHei"/>
          <w:sz w:val="18"/>
          <w:szCs w:val="18"/>
          <w:spacing w:val="-11"/>
        </w:rPr>
        <w:t>黄柏乡</w:t>
      </w:r>
    </w:p>
    <w:p>
      <w:pPr>
        <w:pStyle w:val="BodyText"/>
        <w:ind w:left="2000"/>
        <w:spacing w:before="85" w:line="230" w:lineRule="auto"/>
        <w:rPr>
          <w:rFonts w:ascii="STXinwei" w:hAnsi="STXinwei" w:eastAsia="STXinwei" w:cs="STXinwei"/>
          <w:sz w:val="18"/>
          <w:szCs w:val="18"/>
        </w:rPr>
      </w:pPr>
      <w:r>
        <w:rPr>
          <w:sz w:val="18"/>
          <w:szCs w:val="18"/>
          <w:color w:val="2476AD"/>
          <w:spacing w:val="-15"/>
        </w:rPr>
        <w:t>柘</w:t>
      </w:r>
      <w:r>
        <w:rPr>
          <w:sz w:val="18"/>
          <w:szCs w:val="18"/>
          <w:color w:val="2476AD"/>
          <w:spacing w:val="7"/>
        </w:rPr>
        <w:t xml:space="preserve">     </w:t>
      </w:r>
      <w:r>
        <w:rPr>
          <w:rFonts w:ascii="STXinwei" w:hAnsi="STXinwei" w:eastAsia="STXinwei" w:cs="STXinwei"/>
          <w:sz w:val="18"/>
          <w:szCs w:val="18"/>
          <w:color w:val="227C98"/>
          <w:spacing w:val="-15"/>
        </w:rPr>
        <w:t>荣</w:t>
      </w:r>
      <w:r>
        <w:rPr>
          <w:rFonts w:ascii="STXinwei" w:hAnsi="STXinwei" w:eastAsia="STXinwei" w:cs="STXinwei"/>
          <w:sz w:val="18"/>
          <w:szCs w:val="18"/>
          <w:color w:val="227C98"/>
          <w:spacing w:val="5"/>
        </w:rPr>
        <w:t xml:space="preserve">    </w:t>
      </w:r>
      <w:r>
        <w:rPr>
          <w:rFonts w:ascii="STXinwei" w:hAnsi="STXinwei" w:eastAsia="STXinwei" w:cs="STXinwei"/>
          <w:sz w:val="18"/>
          <w:szCs w:val="18"/>
          <w:color w:val="227C98"/>
          <w:spacing w:val="-15"/>
        </w:rPr>
        <w:t>～</w:t>
      </w:r>
      <w:r>
        <w:rPr>
          <w:rFonts w:ascii="STXinwei" w:hAnsi="STXinwei" w:eastAsia="STXinwei" w:cs="STXinwei"/>
          <w:sz w:val="18"/>
          <w:szCs w:val="18"/>
          <w:color w:val="227C98"/>
          <w:spacing w:val="5"/>
        </w:rPr>
        <w:t xml:space="preserve">    </w:t>
      </w:r>
      <w:r>
        <w:rPr>
          <w:rFonts w:ascii="STXinwei" w:hAnsi="STXinwei" w:eastAsia="STXinwei" w:cs="STXinwei"/>
          <w:sz w:val="18"/>
          <w:szCs w:val="18"/>
          <w:color w:val="227C98"/>
          <w:spacing w:val="-15"/>
        </w:rPr>
        <w:t>县</w:t>
      </w:r>
    </w:p>
    <w:p>
      <w:pPr>
        <w:ind w:left="3979"/>
        <w:spacing w:before="9" w:line="165" w:lineRule="auto"/>
        <w:rPr>
          <w:rFonts w:ascii="SimHei" w:hAnsi="SimHei" w:eastAsia="SimHei" w:cs="SimHei"/>
          <w:sz w:val="18"/>
          <w:szCs w:val="18"/>
        </w:rPr>
      </w:pPr>
      <w:r>
        <w:rPr>
          <w:rFonts w:ascii="SimHei" w:hAnsi="SimHei" w:eastAsia="SimHei" w:cs="SimHei"/>
          <w:sz w:val="18"/>
          <w:szCs w:val="18"/>
          <w:color w:val="FFFFFF"/>
          <w:spacing w:val="-23"/>
        </w:rPr>
        <w:t>太，</w:t>
      </w:r>
    </w:p>
    <w:p>
      <w:pPr>
        <w:pStyle w:val="BodyText"/>
        <w:ind w:left="2799"/>
        <w:spacing w:line="198" w:lineRule="auto"/>
        <w:rPr>
          <w:sz w:val="18"/>
          <w:szCs w:val="18"/>
        </w:rPr>
      </w:pPr>
      <w:r>
        <w:rPr>
          <w:sz w:val="18"/>
          <w:szCs w:val="18"/>
          <w:color w:val="AF6A1B"/>
          <w:spacing w:val="-26"/>
        </w:rPr>
        <w:t>●</w:t>
      </w:r>
      <w:r>
        <w:rPr>
          <w:sz w:val="18"/>
          <w:szCs w:val="18"/>
          <w:spacing w:val="-26"/>
        </w:rPr>
        <w:t>宅中乡</w:t>
      </w:r>
    </w:p>
    <w:p>
      <w:pPr>
        <w:spacing w:before="68"/>
        <w:rPr/>
      </w:pPr>
      <w:r/>
    </w:p>
    <w:tbl>
      <w:tblPr>
        <w:tblStyle w:val="TableNormal"/>
        <w:tblW w:w="1864" w:type="dxa"/>
        <w:tblInd w:w="2409"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846"/>
        <w:gridCol w:w="538"/>
        <w:gridCol w:w="480"/>
      </w:tblGrid>
      <w:tr>
        <w:trPr>
          <w:trHeight w:val="897" w:hRule="atLeast"/>
        </w:trPr>
        <w:tc>
          <w:tcPr>
            <w:tcW w:w="846" w:type="dxa"/>
            <w:vAlign w:val="top"/>
          </w:tcPr>
          <w:p>
            <w:pPr>
              <w:pStyle w:val="TableText"/>
              <w:ind w:left="270"/>
              <w:spacing w:line="445" w:lineRule="exact"/>
              <w:rPr>
                <w:rFonts w:ascii="Times New Roman" w:hAnsi="Times New Roman" w:eastAsia="Times New Roman" w:cs="Times New Roman"/>
                <w:sz w:val="24"/>
                <w:szCs w:val="24"/>
              </w:rPr>
            </w:pPr>
            <w:r>
              <w:rPr>
                <w:sz w:val="24"/>
                <w:szCs w:val="24"/>
                <w:color w:val="FFFFFF"/>
                <w:spacing w:val="-19"/>
                <w:w w:val="68"/>
                <w:position w:val="16"/>
              </w:rPr>
              <w:t>戴家山</w:t>
            </w:r>
            <w:r>
              <w:rPr>
                <w:rFonts w:ascii="Times New Roman" w:hAnsi="Times New Roman" w:eastAsia="Times New Roman" w:cs="Times New Roman"/>
                <w:sz w:val="24"/>
                <w:szCs w:val="24"/>
                <w:color w:val="FFFFFF"/>
                <w:spacing w:val="-19"/>
                <w:w w:val="68"/>
                <w:position w:val="16"/>
              </w:rPr>
              <w:t>g</w:t>
            </w:r>
          </w:p>
          <w:p>
            <w:pPr>
              <w:pStyle w:val="TableText"/>
              <w:spacing w:line="220" w:lineRule="auto"/>
              <w:rPr>
                <w:sz w:val="18"/>
                <w:szCs w:val="18"/>
              </w:rPr>
            </w:pPr>
            <w:r>
              <w:rPr>
                <w:sz w:val="18"/>
                <w:szCs w:val="18"/>
                <w:color w:val="FFFFFF"/>
                <w:spacing w:val="8"/>
              </w:rPr>
              <w:t>柏洋乡</w:t>
            </w:r>
          </w:p>
          <w:p>
            <w:pPr>
              <w:ind w:firstLine="109"/>
              <w:spacing w:before="87" w:line="139" w:lineRule="exact"/>
              <w:rPr/>
            </w:pPr>
            <w:r>
              <w:rPr>
                <w:position w:val="-2"/>
              </w:rPr>
              <w:drawing>
                <wp:inline distT="0" distB="0" distL="0" distR="0">
                  <wp:extent cx="171457" cy="88496"/>
                  <wp:effectExtent l="0" t="0" r="0" b="0"/>
                  <wp:docPr id="38" name="IM 38"/>
                  <wp:cNvGraphicFramePr/>
                  <a:graphic>
                    <a:graphicData uri="http://schemas.openxmlformats.org/drawingml/2006/picture">
                      <pic:pic>
                        <pic:nvPicPr>
                          <pic:cNvPr id="38" name="IM 38"/>
                          <pic:cNvPicPr/>
                        </pic:nvPicPr>
                        <pic:blipFill>
                          <a:blip r:embed="rId213"/>
                          <a:stretch>
                            <a:fillRect/>
                          </a:stretch>
                        </pic:blipFill>
                        <pic:spPr>
                          <a:xfrm rot="0">
                            <a:off x="0" y="0"/>
                            <a:ext cx="171457" cy="88496"/>
                          </a:xfrm>
                          <a:prstGeom prst="rect">
                            <a:avLst/>
                          </a:prstGeom>
                        </pic:spPr>
                      </pic:pic>
                    </a:graphicData>
                  </a:graphic>
                </wp:inline>
              </w:drawing>
            </w:r>
          </w:p>
        </w:tc>
        <w:tc>
          <w:tcPr>
            <w:tcW w:w="538" w:type="dxa"/>
            <w:vAlign w:val="top"/>
          </w:tcPr>
          <w:p>
            <w:pPr>
              <w:ind w:left="103"/>
              <w:spacing w:before="277" w:line="224" w:lineRule="auto"/>
              <w:rPr>
                <w:rFonts w:ascii="SimHei" w:hAnsi="SimHei" w:eastAsia="SimHei" w:cs="SimHei"/>
                <w:sz w:val="18"/>
                <w:szCs w:val="18"/>
              </w:rPr>
            </w:pPr>
            <w:r>
              <w:rPr>
                <w:rFonts w:ascii="SimHei" w:hAnsi="SimHei" w:eastAsia="SimHei" w:cs="SimHei"/>
                <w:sz w:val="18"/>
                <w:szCs w:val="18"/>
                <w:color w:val="18AE4A"/>
              </w:rPr>
              <w:t>姥</w:t>
            </w:r>
          </w:p>
          <w:p>
            <w:pPr>
              <w:pStyle w:val="TableText"/>
              <w:ind w:left="234"/>
              <w:spacing w:before="109" w:line="222" w:lineRule="auto"/>
              <w:rPr>
                <w:sz w:val="13"/>
                <w:szCs w:val="13"/>
              </w:rPr>
            </w:pPr>
            <w:r>
              <w:rPr>
                <w:sz w:val="13"/>
                <w:szCs w:val="13"/>
                <w:color w:val="FFFFFF"/>
                <w:spacing w:val="4"/>
              </w:rPr>
              <w:t>四宅</w:t>
            </w:r>
          </w:p>
        </w:tc>
        <w:tc>
          <w:tcPr>
            <w:tcW w:w="480" w:type="dxa"/>
            <w:vAlign w:val="top"/>
          </w:tcPr>
          <w:p>
            <w:pPr>
              <w:pStyle w:val="TableText"/>
              <w:spacing w:before="132" w:line="214" w:lineRule="auto"/>
              <w:jc w:val="right"/>
              <w:rPr>
                <w:sz w:val="31"/>
                <w:szCs w:val="31"/>
              </w:rPr>
            </w:pPr>
            <w:r>
              <w:rPr>
                <w:sz w:val="31"/>
                <w:szCs w:val="31"/>
                <w:color w:val="FFFFFF"/>
                <w:spacing w:val="-11"/>
              </w:rPr>
              <w:t>p详</w:t>
            </w:r>
          </w:p>
        </w:tc>
      </w:tr>
    </w:tbl>
    <w:p>
      <w:pPr>
        <w:spacing w:line="19" w:lineRule="exact"/>
        <w:rPr>
          <w:rFonts w:ascii="Arial"/>
          <w:sz w:val="2"/>
        </w:rPr>
      </w:pPr>
      <w:r/>
    </w:p>
    <w:p>
      <w:pPr>
        <w:spacing w:line="14" w:lineRule="auto"/>
        <w:rPr>
          <w:rFonts w:ascii="Arial"/>
          <w:sz w:val="2"/>
        </w:rPr>
      </w:pPr>
      <w:r>
        <w:rPr>
          <w:rFonts w:ascii="Arial" w:hAnsi="Arial" w:eastAsia="Arial" w:cs="Arial"/>
          <w:sz w:val="2"/>
          <w:szCs w:val="2"/>
        </w:rPr>
        <w:br w:type="column"/>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390" w:lineRule="exact"/>
        <w:rPr/>
      </w:pPr>
      <w:r>
        <w:rPr>
          <w:position w:val="-7"/>
        </w:rPr>
        <w:drawing>
          <wp:inline distT="0" distB="0" distL="0" distR="0">
            <wp:extent cx="387346" cy="247659"/>
            <wp:effectExtent l="0" t="0" r="0" b="0"/>
            <wp:docPr id="40" name="IM 40"/>
            <wp:cNvGraphicFramePr/>
            <a:graphic>
              <a:graphicData uri="http://schemas.openxmlformats.org/drawingml/2006/picture">
                <pic:pic>
                  <pic:nvPicPr>
                    <pic:cNvPr id="40" name="IM 40"/>
                    <pic:cNvPicPr/>
                  </pic:nvPicPr>
                  <pic:blipFill>
                    <a:blip r:embed="rId214"/>
                    <a:stretch>
                      <a:fillRect/>
                    </a:stretch>
                  </pic:blipFill>
                  <pic:spPr>
                    <a:xfrm rot="0">
                      <a:off x="0" y="0"/>
                      <a:ext cx="387346" cy="247659"/>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316" w:lineRule="auto"/>
        <w:rPr>
          <w:rFonts w:ascii="Arial"/>
          <w:sz w:val="21"/>
        </w:rPr>
      </w:pPr>
      <w:r/>
    </w:p>
    <w:p>
      <w:pPr>
        <w:spacing w:line="316" w:lineRule="auto"/>
        <w:rPr>
          <w:rFonts w:ascii="Arial"/>
          <w:sz w:val="21"/>
        </w:rPr>
      </w:pPr>
      <w:r/>
    </w:p>
    <w:p>
      <w:pPr>
        <w:spacing w:before="58" w:line="221" w:lineRule="auto"/>
        <w:rPr>
          <w:rFonts w:ascii="SimHei" w:hAnsi="SimHei" w:eastAsia="SimHei" w:cs="SimHei"/>
          <w:sz w:val="18"/>
          <w:szCs w:val="18"/>
        </w:rPr>
      </w:pPr>
      <w:r>
        <w:rPr>
          <w:rFonts w:ascii="SimHei" w:hAnsi="SimHei" w:eastAsia="SimHei" w:cs="SimHei"/>
          <w:sz w:val="18"/>
          <w:szCs w:val="18"/>
          <w:spacing w:val="-12"/>
          <w:w w:val="97"/>
        </w:rPr>
        <w:t>磷溪镇</w:t>
      </w:r>
      <w:r>
        <w:rPr>
          <w:rFonts w:ascii="SimHei" w:hAnsi="SimHei" w:eastAsia="SimHei" w:cs="SimHei"/>
          <w:sz w:val="18"/>
          <w:szCs w:val="18"/>
          <w:color w:val="A05820"/>
          <w:spacing w:val="-12"/>
          <w:w w:val="97"/>
        </w:rPr>
        <w:t>●</w:t>
      </w:r>
    </w:p>
    <w:p>
      <w:pPr>
        <w:spacing w:line="290" w:lineRule="auto"/>
        <w:rPr>
          <w:rFonts w:ascii="Arial"/>
          <w:sz w:val="21"/>
        </w:rPr>
      </w:pPr>
      <w:r/>
    </w:p>
    <w:p>
      <w:pPr>
        <w:pStyle w:val="BodyText"/>
        <w:ind w:left="259"/>
        <w:spacing w:before="78" w:line="221" w:lineRule="auto"/>
        <w:rPr>
          <w:sz w:val="24"/>
          <w:szCs w:val="24"/>
        </w:rPr>
      </w:pPr>
      <w:r>
        <w:rPr>
          <w:sz w:val="24"/>
          <w:szCs w:val="24"/>
          <w:color w:val="157593"/>
        </w:rPr>
        <w:t>福</w:t>
      </w:r>
    </w:p>
    <w:p>
      <w:pPr>
        <w:spacing w:line="294" w:lineRule="auto"/>
        <w:rPr>
          <w:rFonts w:ascii="Arial"/>
          <w:sz w:val="21"/>
        </w:rPr>
      </w:pPr>
      <w:r/>
    </w:p>
    <w:p>
      <w:pPr>
        <w:spacing w:line="294" w:lineRule="auto"/>
        <w:rPr>
          <w:rFonts w:ascii="Arial"/>
          <w:sz w:val="21"/>
        </w:rPr>
      </w:pPr>
      <w:r/>
    </w:p>
    <w:p>
      <w:pPr>
        <w:spacing w:line="295" w:lineRule="auto"/>
        <w:rPr>
          <w:rFonts w:ascii="Arial"/>
          <w:sz w:val="21"/>
        </w:rPr>
      </w:pPr>
      <w:r/>
    </w:p>
    <w:p>
      <w:pPr>
        <w:pStyle w:val="BodyText"/>
        <w:ind w:left="179"/>
        <w:spacing w:before="59" w:line="197" w:lineRule="auto"/>
        <w:rPr>
          <w:sz w:val="18"/>
          <w:szCs w:val="18"/>
        </w:rPr>
      </w:pPr>
      <w:r>
        <w:rPr>
          <w:sz w:val="18"/>
          <w:szCs w:val="18"/>
          <w:color w:val="AC2669"/>
          <w:spacing w:val="-4"/>
        </w:rPr>
        <w:t>精</w:t>
      </w:r>
      <w:r>
        <w:rPr>
          <w:sz w:val="18"/>
          <w:szCs w:val="18"/>
          <w:color w:val="AC2669"/>
          <w:spacing w:val="86"/>
        </w:rPr>
        <w:t xml:space="preserve"> </w:t>
      </w:r>
      <w:r>
        <w:rPr>
          <w:sz w:val="18"/>
          <w:szCs w:val="18"/>
          <w:color w:val="AC2669"/>
          <w:spacing w:val="-4"/>
        </w:rPr>
        <w:t>家</w:t>
      </w:r>
    </w:p>
    <w:p>
      <w:pPr>
        <w:spacing w:line="14" w:lineRule="auto"/>
        <w:rPr>
          <w:rFonts w:ascii="Arial"/>
          <w:sz w:val="2"/>
        </w:rPr>
      </w:pPr>
      <w:r>
        <w:rPr>
          <w:rFonts w:ascii="Arial" w:hAnsi="Arial" w:eastAsia="Arial" w:cs="Arial"/>
          <w:sz w:val="2"/>
          <w:szCs w:val="2"/>
        </w:rPr>
        <w:br w:type="column"/>
      </w:r>
    </w:p>
    <w:p>
      <w:pPr>
        <w:spacing w:line="103" w:lineRule="exact"/>
        <w:rPr/>
      </w:pPr>
      <w:r/>
    </w:p>
    <w:tbl>
      <w:tblPr>
        <w:tblStyle w:val="TableNormal"/>
        <w:tblW w:w="4014" w:type="dxa"/>
        <w:tblInd w:w="129"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070"/>
        <w:gridCol w:w="2944"/>
      </w:tblGrid>
      <w:tr>
        <w:trPr>
          <w:trHeight w:val="1685" w:hRule="atLeast"/>
        </w:trPr>
        <w:tc>
          <w:tcPr>
            <w:tcW w:w="1070" w:type="dxa"/>
            <w:vAlign w:val="top"/>
          </w:tcPr>
          <w:p>
            <w:pPr>
              <w:ind w:firstLine="170"/>
              <w:spacing w:before="235" w:line="154" w:lineRule="exact"/>
              <w:rPr/>
            </w:pPr>
            <w:r>
              <w:rPr>
                <w:position w:val="-3"/>
              </w:rPr>
              <w:drawing>
                <wp:inline distT="0" distB="0" distL="0" distR="0">
                  <wp:extent cx="101559" cy="97745"/>
                  <wp:effectExtent l="0" t="0" r="0" b="0"/>
                  <wp:docPr id="42" name="IM 42"/>
                  <wp:cNvGraphicFramePr/>
                  <a:graphic>
                    <a:graphicData uri="http://schemas.openxmlformats.org/drawingml/2006/picture">
                      <pic:pic>
                        <pic:nvPicPr>
                          <pic:cNvPr id="42" name="IM 42"/>
                          <pic:cNvPicPr/>
                        </pic:nvPicPr>
                        <pic:blipFill>
                          <a:blip r:embed="rId215"/>
                          <a:stretch>
                            <a:fillRect/>
                          </a:stretch>
                        </pic:blipFill>
                        <pic:spPr>
                          <a:xfrm rot="0">
                            <a:off x="0" y="0"/>
                            <a:ext cx="101559" cy="97745"/>
                          </a:xfrm>
                          <a:prstGeom prst="rect">
                            <a:avLst/>
                          </a:prstGeom>
                        </pic:spPr>
                      </pic:pic>
                    </a:graphicData>
                  </a:graphic>
                </wp:inline>
              </w:drawing>
            </w:r>
          </w:p>
          <w:p>
            <w:pPr>
              <w:spacing w:line="216" w:lineRule="auto"/>
              <w:rPr>
                <w:rFonts w:ascii="SimHei" w:hAnsi="SimHei" w:eastAsia="SimHei" w:cs="SimHei"/>
                <w:sz w:val="18"/>
                <w:szCs w:val="18"/>
              </w:rPr>
            </w:pPr>
            <w:r>
              <w:rPr>
                <w:rFonts w:ascii="SimHei" w:hAnsi="SimHei" w:eastAsia="SimHei" w:cs="SimHei"/>
                <w:sz w:val="18"/>
                <w:szCs w:val="18"/>
                <w:spacing w:val="-6"/>
              </w:rPr>
              <w:t>白琳镇</w:t>
            </w:r>
          </w:p>
          <w:p>
            <w:pPr>
              <w:pStyle w:val="TableText"/>
              <w:ind w:left="280"/>
              <w:spacing w:before="272" w:line="212" w:lineRule="auto"/>
              <w:rPr>
                <w:sz w:val="18"/>
                <w:szCs w:val="18"/>
              </w:rPr>
            </w:pPr>
            <w:r>
              <w:rPr>
                <w:sz w:val="18"/>
                <w:szCs w:val="18"/>
                <w:color w:val="FFFFFF"/>
                <w:spacing w:val="-27"/>
                <w:w w:val="98"/>
              </w:rPr>
              <w:t>大就山站”</w:t>
            </w:r>
          </w:p>
          <w:p>
            <w:pPr>
              <w:pStyle w:val="TableText"/>
              <w:ind w:left="69"/>
              <w:spacing w:line="194" w:lineRule="auto"/>
              <w:rPr>
                <w:sz w:val="13"/>
                <w:szCs w:val="13"/>
              </w:rPr>
            </w:pPr>
            <w:r>
              <w:rPr>
                <w:rFonts w:ascii="SimHei" w:hAnsi="SimHei" w:eastAsia="SimHei" w:cs="SimHei"/>
                <w:sz w:val="13"/>
                <w:szCs w:val="13"/>
                <w:color w:val="34D78B"/>
                <w:spacing w:val="-9"/>
                <w:w w:val="81"/>
              </w:rPr>
              <w:t>大第山</w:t>
            </w:r>
            <w:r>
              <w:rPr>
                <w:sz w:val="13"/>
                <w:szCs w:val="13"/>
                <w:color w:val="34D78B"/>
                <w:spacing w:val="-9"/>
                <w:w w:val="81"/>
              </w:rPr>
              <w:t>A</w:t>
            </w:r>
          </w:p>
          <w:p>
            <w:pPr>
              <w:ind w:left="520"/>
              <w:spacing w:line="234" w:lineRule="auto"/>
              <w:rPr>
                <w:rFonts w:ascii="STXinwei" w:hAnsi="STXinwei" w:eastAsia="STXinwei" w:cs="STXinwei"/>
                <w:sz w:val="18"/>
                <w:szCs w:val="18"/>
              </w:rPr>
            </w:pPr>
            <w:r>
              <w:rPr>
                <w:rFonts w:ascii="STXinwei" w:hAnsi="STXinwei" w:eastAsia="STXinwei" w:cs="STXinwei"/>
                <w:sz w:val="18"/>
                <w:szCs w:val="18"/>
                <w:color w:val="78A6BA"/>
                <w:spacing w:val="-17"/>
              </w:rPr>
              <w:t>鼎，</w:t>
            </w:r>
          </w:p>
        </w:tc>
        <w:tc>
          <w:tcPr>
            <w:tcW w:w="2944" w:type="dxa"/>
            <w:vAlign w:val="top"/>
          </w:tcPr>
          <w:p>
            <w:pPr>
              <w:pStyle w:val="TableText"/>
              <w:spacing w:line="218" w:lineRule="auto"/>
              <w:jc w:val="right"/>
              <w:rPr>
                <w:sz w:val="13"/>
                <w:szCs w:val="13"/>
              </w:rPr>
            </w:pPr>
            <w:r>
              <w:drawing>
                <wp:anchor distT="0" distB="0" distL="0" distR="0" simplePos="0" relativeHeight="252004352" behindDoc="0" locked="0" layoutInCell="1" allowOverlap="1">
                  <wp:simplePos x="0" y="0"/>
                  <wp:positionH relativeFrom="rightMargin">
                    <wp:posOffset>-1196352</wp:posOffset>
                  </wp:positionH>
                  <wp:positionV relativeFrom="topMargin">
                    <wp:posOffset>352497</wp:posOffset>
                  </wp:positionV>
                  <wp:extent cx="101634" cy="114312"/>
                  <wp:effectExtent l="0" t="0" r="0" b="0"/>
                  <wp:wrapNone/>
                  <wp:docPr id="44" name="IM 44"/>
                  <wp:cNvGraphicFramePr/>
                  <a:graphic>
                    <a:graphicData uri="http://schemas.openxmlformats.org/drawingml/2006/picture">
                      <pic:pic>
                        <pic:nvPicPr>
                          <pic:cNvPr id="44" name="IM 44"/>
                          <pic:cNvPicPr/>
                        </pic:nvPicPr>
                        <pic:blipFill>
                          <a:blip r:embed="rId216"/>
                          <a:stretch>
                            <a:fillRect/>
                          </a:stretch>
                        </pic:blipFill>
                        <pic:spPr>
                          <a:xfrm rot="0">
                            <a:off x="0" y="0"/>
                            <a:ext cx="101634" cy="114312"/>
                          </a:xfrm>
                          <a:prstGeom prst="rect">
                            <a:avLst/>
                          </a:prstGeom>
                        </pic:spPr>
                      </pic:pic>
                    </a:graphicData>
                  </a:graphic>
                </wp:anchor>
              </w:drawing>
            </w:r>
            <w:r>
              <w:rPr>
                <w:sz w:val="13"/>
                <w:szCs w:val="13"/>
                <w:spacing w:val="2"/>
              </w:rPr>
              <w:t>基本要表版</w:t>
            </w:r>
          </w:p>
          <w:p>
            <w:pPr>
              <w:ind w:left="1999"/>
              <w:spacing w:before="280" w:line="319" w:lineRule="exact"/>
              <w:rPr>
                <w:rFonts w:ascii="Times New Roman" w:hAnsi="Times New Roman" w:eastAsia="Times New Roman" w:cs="Times New Roman"/>
                <w:sz w:val="47"/>
                <w:szCs w:val="47"/>
              </w:rPr>
            </w:pPr>
            <w:r>
              <w:rPr>
                <w:rFonts w:ascii="Times New Roman" w:hAnsi="Times New Roman" w:eastAsia="Times New Roman" w:cs="Times New Roman"/>
                <w:sz w:val="47"/>
                <w:szCs w:val="47"/>
                <w:position w:val="-6"/>
              </w:rPr>
              <w:t>N</w:t>
            </w:r>
          </w:p>
          <w:p>
            <w:pPr>
              <w:ind w:left="890"/>
              <w:spacing w:line="223" w:lineRule="auto"/>
              <w:rPr>
                <w:rFonts w:ascii="SimHei" w:hAnsi="SimHei" w:eastAsia="SimHei" w:cs="SimHei"/>
                <w:sz w:val="13"/>
                <w:szCs w:val="13"/>
              </w:rPr>
            </w:pPr>
            <w:r>
              <w:rPr>
                <w:rFonts w:ascii="SimHei" w:hAnsi="SimHei" w:eastAsia="SimHei" w:cs="SimHei"/>
                <w:sz w:val="13"/>
                <w:szCs w:val="13"/>
                <w:spacing w:val="-4"/>
              </w:rPr>
              <w:t>店</w:t>
            </w:r>
            <w:r>
              <w:rPr>
                <w:rFonts w:ascii="SimHei" w:hAnsi="SimHei" w:eastAsia="SimHei" w:cs="SimHei"/>
                <w:sz w:val="13"/>
                <w:szCs w:val="13"/>
                <w:spacing w:val="7"/>
              </w:rPr>
              <w:t xml:space="preserve">  </w:t>
            </w:r>
            <w:r>
              <w:rPr>
                <w:rFonts w:ascii="SimHei" w:hAnsi="SimHei" w:eastAsia="SimHei" w:cs="SimHei"/>
                <w:sz w:val="13"/>
                <w:szCs w:val="13"/>
                <w:spacing w:val="-4"/>
              </w:rPr>
              <w:t>下</w:t>
            </w:r>
          </w:p>
          <w:p>
            <w:pPr>
              <w:ind w:left="700"/>
              <w:spacing w:before="244" w:line="223" w:lineRule="auto"/>
              <w:rPr>
                <w:rFonts w:ascii="STXinwei" w:hAnsi="STXinwei" w:eastAsia="STXinwei" w:cs="STXinwei"/>
                <w:sz w:val="18"/>
                <w:szCs w:val="18"/>
              </w:rPr>
            </w:pPr>
            <w:r>
              <w:rPr>
                <w:rFonts w:ascii="STXinwei" w:hAnsi="STXinwei" w:eastAsia="STXinwei" w:cs="STXinwei"/>
                <w:sz w:val="18"/>
                <w:szCs w:val="18"/>
                <w:color w:val="718C94"/>
              </w:rPr>
              <w:t>市</w:t>
            </w:r>
          </w:p>
          <w:p>
            <w:pPr>
              <w:ind w:left="169"/>
              <w:spacing w:before="126" w:line="176" w:lineRule="auto"/>
              <w:rPr>
                <w:rFonts w:ascii="SimHei" w:hAnsi="SimHei" w:eastAsia="SimHei" w:cs="SimHei"/>
                <w:sz w:val="18"/>
                <w:szCs w:val="18"/>
              </w:rPr>
            </w:pPr>
            <w:r>
              <w:rPr>
                <w:rFonts w:ascii="SimHei" w:hAnsi="SimHei" w:eastAsia="SimHei" w:cs="SimHei"/>
                <w:sz w:val="18"/>
                <w:szCs w:val="18"/>
                <w:spacing w:val="-15"/>
              </w:rPr>
              <w:t>太</w:t>
            </w:r>
            <w:r>
              <w:rPr>
                <w:rFonts w:ascii="SimHei" w:hAnsi="SimHei" w:eastAsia="SimHei" w:cs="SimHei"/>
                <w:sz w:val="18"/>
                <w:szCs w:val="18"/>
                <w:color w:val="1A4C6A"/>
                <w:spacing w:val="-15"/>
              </w:rPr>
              <w:t>姥山镇</w:t>
            </w:r>
          </w:p>
        </w:tc>
      </w:tr>
    </w:tbl>
    <w:p>
      <w:pPr>
        <w:pStyle w:val="BodyText"/>
        <w:ind w:left="49"/>
        <w:spacing w:before="274" w:line="176" w:lineRule="exact"/>
        <w:rPr>
          <w:sz w:val="13"/>
          <w:szCs w:val="13"/>
        </w:rPr>
      </w:pPr>
      <w:r>
        <w:rPr>
          <w:rFonts w:ascii="SimHei" w:hAnsi="SimHei" w:eastAsia="SimHei" w:cs="SimHei"/>
          <w:sz w:val="13"/>
          <w:szCs w:val="13"/>
          <w:spacing w:val="6"/>
          <w:position w:val="1"/>
        </w:rPr>
        <w:t>讲</w:t>
      </w:r>
      <w:r>
        <w:rPr>
          <w:sz w:val="13"/>
          <w:szCs w:val="13"/>
          <w:spacing w:val="6"/>
          <w:position w:val="1"/>
        </w:rPr>
        <w:t>头</w:t>
      </w:r>
    </w:p>
    <w:p>
      <w:pPr>
        <w:pStyle w:val="BodyText"/>
        <w:spacing w:before="139" w:line="219" w:lineRule="auto"/>
        <w:rPr>
          <w:sz w:val="24"/>
          <w:szCs w:val="24"/>
        </w:rPr>
      </w:pPr>
      <w:r>
        <w:pict>
          <v:shape id="_x0000_s106" style="position:absolute;margin-left:52.4965pt;margin-top:13.271pt;mso-position-vertical-relative:text;mso-position-horizontal-relative:text;width:21.85pt;height:12.8pt;z-index:252001280;" filled="false" stroked="false" type="#_x0000_t202">
            <v:fill on="false"/>
            <v:stroke on="false"/>
            <v:path/>
            <v:imagedata o:title=""/>
            <o:lock v:ext="edit" aspectratio="false"/>
            <v:textbox inset="0mm,0mm,0mm,0mm">
              <w:txbxContent>
                <w:p>
                  <w:pPr>
                    <w:ind w:right="3"/>
                    <w:spacing w:before="19" w:line="221" w:lineRule="auto"/>
                    <w:jc w:val="right"/>
                    <w:rPr>
                      <w:rFonts w:ascii="SimHei" w:hAnsi="SimHei" w:eastAsia="SimHei" w:cs="SimHei"/>
                      <w:sz w:val="18"/>
                      <w:szCs w:val="18"/>
                    </w:rPr>
                  </w:pPr>
                  <w:r>
                    <w:rPr>
                      <w:rFonts w:ascii="SimHei" w:hAnsi="SimHei" w:eastAsia="SimHei" w:cs="SimHei"/>
                      <w:sz w:val="18"/>
                      <w:szCs w:val="18"/>
                      <w:color w:val="5F7B88"/>
                      <w:spacing w:val="26"/>
                    </w:rPr>
                    <w:t>硖门</w:t>
                  </w:r>
                </w:p>
              </w:txbxContent>
            </v:textbox>
          </v:shape>
        </w:pict>
      </w:r>
      <w:r>
        <w:rPr>
          <w:sz w:val="24"/>
          <w:szCs w:val="24"/>
          <w:spacing w:val="-12"/>
          <w:w w:val="74"/>
        </w:rPr>
        <w:t>第伍4</w:t>
      </w:r>
    </w:p>
    <w:p>
      <w:pPr>
        <w:spacing w:line="219" w:lineRule="auto"/>
        <w:sectPr>
          <w:type w:val="continuous"/>
          <w:pgSz w:w="11900" w:h="16840"/>
          <w:pgMar w:top="0" w:right="0" w:bottom="981" w:left="0" w:header="0" w:footer="852" w:gutter="0"/>
          <w:cols w:equalWidth="0" w:num="4">
            <w:col w:w="4331" w:space="100"/>
            <w:col w:w="991" w:space="100"/>
            <w:col w:w="800" w:space="100"/>
            <w:col w:w="5480" w:space="0"/>
          </w:cols>
        </w:sectPr>
        <w:rPr>
          <w:sz w:val="24"/>
          <w:szCs w:val="24"/>
        </w:rPr>
      </w:pPr>
    </w:p>
    <w:p>
      <w:pPr>
        <w:spacing w:line="17" w:lineRule="exact"/>
        <w:rPr/>
      </w:pPr>
      <w:r/>
    </w:p>
    <w:p>
      <w:pPr>
        <w:spacing w:line="17" w:lineRule="exact"/>
        <w:sectPr>
          <w:type w:val="continuous"/>
          <w:pgSz w:w="11900" w:h="16840"/>
          <w:pgMar w:top="0" w:right="0" w:bottom="981" w:left="0" w:header="0" w:footer="852" w:gutter="0"/>
          <w:cols w:equalWidth="0" w:num="1">
            <w:col w:w="11900" w:space="0"/>
          </w:cols>
        </w:sectPr>
        <w:rPr/>
      </w:pPr>
    </w:p>
    <w:tbl>
      <w:tblPr>
        <w:tblStyle w:val="TableNormal"/>
        <w:tblW w:w="4668" w:type="dxa"/>
        <w:tblInd w:w="176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929"/>
        <w:gridCol w:w="2058"/>
        <w:gridCol w:w="1681"/>
      </w:tblGrid>
      <w:tr>
        <w:trPr>
          <w:trHeight w:val="485" w:hRule="atLeast"/>
        </w:trPr>
        <w:tc>
          <w:tcPr>
            <w:tcW w:w="929" w:type="dxa"/>
            <w:vAlign w:val="top"/>
            <w:vMerge w:val="restart"/>
            <w:tcBorders>
              <w:bottom w:val="nil"/>
            </w:tcBorders>
          </w:tcPr>
          <w:p>
            <w:pPr>
              <w:rPr>
                <w:rFonts w:ascii="Arial"/>
                <w:sz w:val="21"/>
              </w:rPr>
            </w:pPr>
            <w:r/>
          </w:p>
          <w:p>
            <w:pPr>
              <w:spacing w:before="80" w:line="194" w:lineRule="auto"/>
              <w:rPr>
                <w:rFonts w:ascii="STXinwei" w:hAnsi="STXinwei" w:eastAsia="STXinwei" w:cs="STXinwei"/>
                <w:sz w:val="24"/>
                <w:szCs w:val="24"/>
              </w:rPr>
            </w:pPr>
            <w:r>
              <w:rPr>
                <w:rFonts w:ascii="STXinwei" w:hAnsi="STXinwei" w:eastAsia="STXinwei" w:cs="STXinwei"/>
                <w:sz w:val="24"/>
                <w:szCs w:val="24"/>
                <w:color w:val="2184A8"/>
              </w:rPr>
              <w:t>福</w:t>
            </w:r>
          </w:p>
          <w:p>
            <w:pPr>
              <w:spacing w:line="316" w:lineRule="auto"/>
              <w:rPr>
                <w:rFonts w:ascii="Arial"/>
                <w:sz w:val="21"/>
              </w:rPr>
            </w:pPr>
            <w:r/>
          </w:p>
          <w:p>
            <w:pPr>
              <w:pStyle w:val="TableText"/>
              <w:spacing w:before="101" w:line="219" w:lineRule="auto"/>
              <w:jc w:val="right"/>
              <w:rPr>
                <w:sz w:val="31"/>
                <w:szCs w:val="31"/>
              </w:rPr>
            </w:pPr>
            <w:r>
              <w:rPr>
                <w:sz w:val="24"/>
                <w:szCs w:val="24"/>
                <w:color w:val="2A83A9"/>
                <w:spacing w:val="-24"/>
                <w:w w:val="79"/>
              </w:rPr>
              <w:t>安</w:t>
            </w:r>
            <w:r>
              <w:rPr>
                <w:sz w:val="31"/>
                <w:szCs w:val="31"/>
                <w:color w:val="B28355"/>
                <w:spacing w:val="-24"/>
                <w:w w:val="79"/>
              </w:rPr>
              <w:t>松罗系</w:t>
            </w:r>
          </w:p>
        </w:tc>
        <w:tc>
          <w:tcPr>
            <w:tcW w:w="2058" w:type="dxa"/>
            <w:vAlign w:val="top"/>
          </w:tcPr>
          <w:p>
            <w:pPr>
              <w:pStyle w:val="TableText"/>
              <w:ind w:left="700"/>
              <w:spacing w:before="169" w:line="219" w:lineRule="auto"/>
              <w:rPr>
                <w:sz w:val="13"/>
                <w:szCs w:val="13"/>
              </w:rPr>
            </w:pPr>
            <w:r>
              <w:pict>
                <v:shape id="_x0000_s108" style="position:absolute;margin-left:82.0518pt;margin-top:4.65677pt;mso-position-vertical-relative:text;mso-position-horizontal-relative:text;width:10.6pt;height:12.8pt;z-index:252020736;" filled="false" stroked="false" type="#_x0000_t202">
                  <v:fill on="false"/>
                  <v:stroke on="false"/>
                  <v:path/>
                  <v:imagedata o:title=""/>
                  <o:lock v:ext="edit" aspectratio="false"/>
                  <v:textbox inset="0mm,0mm,0mm,0mm">
                    <w:txbxContent>
                      <w:p>
                        <w:pPr>
                          <w:pStyle w:val="TableText"/>
                          <w:ind w:left="20"/>
                          <w:spacing w:before="19" w:line="221" w:lineRule="auto"/>
                          <w:rPr>
                            <w:sz w:val="18"/>
                            <w:szCs w:val="18"/>
                          </w:rPr>
                        </w:pPr>
                        <w:r>
                          <w:rPr>
                            <w:sz w:val="18"/>
                            <w:szCs w:val="18"/>
                            <w:color w:val="FFFFFF"/>
                          </w:rPr>
                          <w:t>香</w:t>
                        </w:r>
                      </w:p>
                    </w:txbxContent>
                  </v:textbox>
                </v:shape>
              </w:pict>
            </w:r>
            <w:r>
              <w:rPr>
                <w:sz w:val="13"/>
                <w:szCs w:val="13"/>
                <w:color w:val="FFFFFF"/>
                <w:spacing w:val="-3"/>
              </w:rPr>
              <w:t>东杞洋</w:t>
            </w:r>
          </w:p>
        </w:tc>
        <w:tc>
          <w:tcPr>
            <w:tcW w:w="1681" w:type="dxa"/>
            <w:vAlign w:val="top"/>
            <w:vMerge w:val="restart"/>
            <w:tcBorders>
              <w:bottom w:val="nil"/>
            </w:tcBorders>
          </w:tcPr>
          <w:p>
            <w:pPr>
              <w:pStyle w:val="TableText"/>
              <w:ind w:left="52"/>
              <w:spacing w:line="183" w:lineRule="auto"/>
              <w:rPr>
                <w:sz w:val="13"/>
                <w:szCs w:val="13"/>
              </w:rPr>
            </w:pPr>
            <w:r>
              <w:rPr>
                <w:sz w:val="13"/>
                <w:szCs w:val="13"/>
                <w:color w:val="FFFFFF"/>
                <w:spacing w:val="2"/>
              </w:rPr>
              <w:t>o上洋</w:t>
            </w:r>
          </w:p>
          <w:p>
            <w:pPr>
              <w:pStyle w:val="TableText"/>
              <w:ind w:left="873"/>
              <w:spacing w:line="181" w:lineRule="auto"/>
              <w:rPr>
                <w:rFonts w:ascii="STXinwei" w:hAnsi="STXinwei" w:eastAsia="STXinwei" w:cs="STXinwei"/>
                <w:sz w:val="14"/>
                <w:szCs w:val="14"/>
              </w:rPr>
            </w:pPr>
            <w:r>
              <w:rPr>
                <w:sz w:val="14"/>
                <w:szCs w:val="14"/>
                <w:color w:val="FFFFFF"/>
                <w:spacing w:val="11"/>
              </w:rPr>
              <w:t>P</w:t>
            </w:r>
            <w:r>
              <w:rPr>
                <w:rFonts w:ascii="STXinwei" w:hAnsi="STXinwei" w:eastAsia="STXinwei" w:cs="STXinwei"/>
                <w:sz w:val="14"/>
                <w:szCs w:val="14"/>
                <w:color w:val="FFFFFF"/>
                <w:spacing w:val="11"/>
              </w:rPr>
              <w:t>湖里</w:t>
            </w:r>
          </w:p>
          <w:p>
            <w:pPr>
              <w:pStyle w:val="TableText"/>
              <w:spacing w:before="125" w:line="197" w:lineRule="auto"/>
              <w:jc w:val="right"/>
              <w:rPr>
                <w:sz w:val="24"/>
                <w:szCs w:val="24"/>
              </w:rPr>
            </w:pPr>
            <w:r>
              <w:rPr>
                <w:sz w:val="24"/>
                <w:szCs w:val="24"/>
                <w:color w:val="FFFFFF"/>
                <w:spacing w:val="-22"/>
                <w:w w:val="93"/>
              </w:rPr>
              <w:t>粗</w:t>
            </w:r>
            <w:r>
              <w:rPr>
                <w:sz w:val="24"/>
                <w:szCs w:val="24"/>
                <w:color w:val="FFFFFF"/>
                <w:spacing w:val="-10"/>
                <w:w w:val="93"/>
              </w:rPr>
              <w:t>通</w:t>
            </w:r>
          </w:p>
          <w:p>
            <w:pPr>
              <w:pStyle w:val="TableText"/>
              <w:ind w:left="52"/>
              <w:spacing w:line="194" w:lineRule="auto"/>
              <w:rPr>
                <w:sz w:val="18"/>
                <w:szCs w:val="18"/>
              </w:rPr>
            </w:pPr>
            <w:r>
              <w:rPr>
                <w:sz w:val="18"/>
                <w:szCs w:val="18"/>
                <w:spacing w:val="-24"/>
              </w:rPr>
              <w:t>水门畲族乡</w:t>
            </w:r>
            <w:r>
              <w:rPr>
                <w:sz w:val="18"/>
                <w:szCs w:val="18"/>
                <w:color w:val="C6982F"/>
                <w:spacing w:val="-24"/>
              </w:rPr>
              <w:t>。</w:t>
            </w:r>
          </w:p>
          <w:p>
            <w:pPr>
              <w:pStyle w:val="TableText"/>
              <w:ind w:left="52"/>
              <w:spacing w:line="218" w:lineRule="auto"/>
              <w:rPr>
                <w:sz w:val="18"/>
                <w:szCs w:val="18"/>
              </w:rPr>
            </w:pPr>
            <w:r>
              <w:rPr>
                <w:sz w:val="18"/>
                <w:szCs w:val="18"/>
                <w:spacing w:val="-7"/>
              </w:rPr>
              <w:t>下</w:t>
            </w:r>
            <w:r>
              <w:rPr>
                <w:sz w:val="18"/>
                <w:szCs w:val="18"/>
                <w:spacing w:val="-11"/>
              </w:rPr>
              <w:t xml:space="preserve"> </w:t>
            </w:r>
            <w:r>
              <w:rPr>
                <w:sz w:val="18"/>
                <w:szCs w:val="18"/>
                <w:spacing w:val="-7"/>
              </w:rPr>
              <w:t>村</w:t>
            </w:r>
          </w:p>
        </w:tc>
      </w:tr>
      <w:tr>
        <w:trPr>
          <w:trHeight w:val="823" w:hRule="atLeast"/>
        </w:trPr>
        <w:tc>
          <w:tcPr>
            <w:tcW w:w="929" w:type="dxa"/>
            <w:vAlign w:val="top"/>
            <w:vMerge w:val="continue"/>
            <w:tcBorders>
              <w:top w:val="nil"/>
              <w:bottom w:val="nil"/>
            </w:tcBorders>
          </w:tcPr>
          <w:p>
            <w:pPr>
              <w:rPr>
                <w:rFonts w:ascii="Arial"/>
                <w:sz w:val="21"/>
              </w:rPr>
            </w:pPr>
            <w:r/>
          </w:p>
        </w:tc>
        <w:tc>
          <w:tcPr>
            <w:tcW w:w="2058" w:type="dxa"/>
            <w:vAlign w:val="top"/>
          </w:tcPr>
          <w:p>
            <w:pPr>
              <w:pStyle w:val="TableText"/>
              <w:ind w:left="410" w:right="52" w:hanging="96"/>
              <w:spacing w:before="186" w:line="261" w:lineRule="auto"/>
              <w:rPr>
                <w:rFonts w:ascii="SimHei" w:hAnsi="SimHei" w:eastAsia="SimHei" w:cs="SimHei"/>
                <w:sz w:val="18"/>
                <w:szCs w:val="18"/>
              </w:rPr>
            </w:pPr>
            <w:r>
              <w:rPr>
                <w:sz w:val="24"/>
                <w:szCs w:val="24"/>
                <w:b/>
                <w:bCs/>
                <w:spacing w:val="6"/>
              </w:rPr>
              <w:t>项目位置</w:t>
            </w:r>
            <w:r>
              <w:rPr>
                <w:sz w:val="24"/>
                <w:szCs w:val="24"/>
                <w:spacing w:val="36"/>
              </w:rPr>
              <w:t xml:space="preserve"> </w:t>
            </w:r>
            <w:r>
              <w:rPr>
                <w:rFonts w:ascii="STXinwei" w:hAnsi="STXinwei" w:eastAsia="STXinwei" w:cs="STXinwei"/>
                <w:sz w:val="18"/>
                <w:szCs w:val="18"/>
                <w:spacing w:val="6"/>
              </w:rPr>
              <w:t>坪园</w:t>
            </w:r>
            <w:r>
              <w:rPr>
                <w:rFonts w:ascii="STXinwei" w:hAnsi="STXinwei" w:eastAsia="STXinwei" w:cs="STXinwei"/>
                <w:sz w:val="18"/>
                <w:szCs w:val="18"/>
              </w:rPr>
              <w:t xml:space="preserve">     </w:t>
            </w:r>
            <w:r>
              <w:rPr>
                <w:sz w:val="18"/>
                <w:szCs w:val="18"/>
                <w:spacing w:val="-18"/>
                <w:w w:val="91"/>
                <w:position w:val="1"/>
              </w:rPr>
              <w:t>○郑洋</w:t>
            </w:r>
            <w:r>
              <w:rPr>
                <w:sz w:val="18"/>
                <w:szCs w:val="18"/>
                <w:spacing w:val="16"/>
                <w:position w:val="1"/>
              </w:rPr>
              <w:t xml:space="preserve">    </w:t>
            </w:r>
            <w:r>
              <w:rPr>
                <w:rFonts w:ascii="SimHei" w:hAnsi="SimHei" w:eastAsia="SimHei" w:cs="SimHei"/>
                <w:sz w:val="18"/>
                <w:szCs w:val="18"/>
                <w:color w:val="B07D19"/>
                <w:spacing w:val="-18"/>
                <w:w w:val="91"/>
                <w:position w:val="-1"/>
              </w:rPr>
              <w:t>崇</w:t>
            </w:r>
            <w:r>
              <w:rPr>
                <w:rFonts w:ascii="SimHei" w:hAnsi="SimHei" w:eastAsia="SimHei" w:cs="SimHei"/>
                <w:sz w:val="18"/>
                <w:szCs w:val="18"/>
                <w:spacing w:val="-18"/>
                <w:w w:val="91"/>
                <w:position w:val="-1"/>
              </w:rPr>
              <w:t>儒</w:t>
            </w:r>
            <w:r>
              <w:rPr>
                <w:rFonts w:ascii="SimHei" w:hAnsi="SimHei" w:eastAsia="SimHei" w:cs="SimHei"/>
                <w:sz w:val="18"/>
                <w:szCs w:val="18"/>
                <w:color w:val="B07D19"/>
                <w:spacing w:val="-18"/>
                <w:w w:val="91"/>
                <w:position w:val="-1"/>
              </w:rPr>
              <w:t>奋</w:t>
            </w:r>
            <w:r>
              <w:rPr>
                <w:rFonts w:ascii="SimHei" w:hAnsi="SimHei" w:eastAsia="SimHei" w:cs="SimHei"/>
                <w:sz w:val="18"/>
                <w:szCs w:val="18"/>
                <w:spacing w:val="-18"/>
                <w:w w:val="91"/>
                <w:position w:val="-1"/>
              </w:rPr>
              <w:t>族乡</w:t>
            </w:r>
          </w:p>
        </w:tc>
        <w:tc>
          <w:tcPr>
            <w:tcW w:w="1681" w:type="dxa"/>
            <w:vAlign w:val="top"/>
            <w:vMerge w:val="continue"/>
            <w:tcBorders>
              <w:top w:val="nil"/>
            </w:tcBorders>
          </w:tcPr>
          <w:p>
            <w:pPr>
              <w:rPr>
                <w:rFonts w:ascii="Arial"/>
                <w:sz w:val="21"/>
              </w:rPr>
            </w:pPr>
            <w:r/>
          </w:p>
        </w:tc>
      </w:tr>
      <w:tr>
        <w:trPr>
          <w:trHeight w:val="202" w:hRule="atLeast"/>
        </w:trPr>
        <w:tc>
          <w:tcPr>
            <w:tcW w:w="929" w:type="dxa"/>
            <w:vAlign w:val="top"/>
            <w:vMerge w:val="continue"/>
            <w:tcBorders>
              <w:top w:val="nil"/>
            </w:tcBorders>
          </w:tcPr>
          <w:p>
            <w:pPr>
              <w:rPr>
                <w:rFonts w:ascii="Arial"/>
                <w:sz w:val="21"/>
              </w:rPr>
            </w:pPr>
            <w:r/>
          </w:p>
        </w:tc>
        <w:tc>
          <w:tcPr>
            <w:tcW w:w="3739" w:type="dxa"/>
            <w:vAlign w:val="top"/>
            <w:gridSpan w:val="2"/>
            <w:vMerge w:val="restart"/>
            <w:tcBorders>
              <w:bottom w:val="nil"/>
            </w:tcBorders>
          </w:tcPr>
          <w:p>
            <w:pPr>
              <w:pStyle w:val="TableText"/>
              <w:ind w:left="2110"/>
              <w:spacing w:before="72" w:line="219" w:lineRule="auto"/>
              <w:rPr>
                <w:sz w:val="18"/>
                <w:szCs w:val="18"/>
              </w:rPr>
            </w:pPr>
            <w:r>
              <w:pict>
                <v:shape id="_x0000_s110" style="position:absolute;margin-left:0.548645pt;margin-top:1.82133pt;mso-position-vertical-relative:text;mso-position-horizontal-relative:text;width:18.85pt;height:16.35pt;z-index:252016640;" filled="false" stroked="false" type="#_x0000_t202">
                  <v:fill on="false"/>
                  <v:stroke on="false"/>
                  <v:path/>
                  <v:imagedata o:title=""/>
                  <o:lock v:ext="edit" aspectratio="false"/>
                  <v:textbox inset="0mm,0mm,0mm,0mm">
                    <w:txbxContent>
                      <w:p>
                        <w:pPr>
                          <w:pStyle w:val="TableText"/>
                          <w:spacing w:before="20" w:line="220" w:lineRule="auto"/>
                          <w:jc w:val="right"/>
                          <w:rPr>
                            <w:sz w:val="24"/>
                            <w:szCs w:val="24"/>
                          </w:rPr>
                        </w:pPr>
                        <w:r>
                          <w:rPr>
                            <w:sz w:val="24"/>
                            <w:szCs w:val="24"/>
                            <w:color w:val="FFFFFF"/>
                            <w:spacing w:val="-22"/>
                            <w:w w:val="79"/>
                          </w:rPr>
                          <w:t>里马</w:t>
                        </w:r>
                      </w:p>
                    </w:txbxContent>
                  </v:textbox>
                </v:shape>
              </w:pict>
            </w:r>
            <w:r>
              <w:pict>
                <v:shape id="_x0000_s112" style="position:absolute;margin-left:71.0502pt;margin-top:7.63652pt;mso-position-vertical-relative:text;mso-position-horizontal-relative:text;width:14.55pt;height:9.95pt;z-index:252024832;" filled="false" stroked="false" type="#_x0000_t202">
                  <v:fill on="false"/>
                  <v:stroke on="false"/>
                  <v:path/>
                  <v:imagedata o:title=""/>
                  <o:lock v:ext="edit" aspectratio="false"/>
                  <v:textbox inset="0mm,0mm,0mm,0mm">
                    <w:txbxContent>
                      <w:p>
                        <w:pPr>
                          <w:ind w:left="20"/>
                          <w:spacing w:before="20" w:line="224" w:lineRule="auto"/>
                          <w:rPr>
                            <w:rFonts w:ascii="SimHei" w:hAnsi="SimHei" w:eastAsia="SimHei" w:cs="SimHei"/>
                            <w:sz w:val="13"/>
                            <w:szCs w:val="13"/>
                          </w:rPr>
                        </w:pPr>
                        <w:r>
                          <w:rPr>
                            <w:rFonts w:ascii="SimHei" w:hAnsi="SimHei" w:eastAsia="SimHei" w:cs="SimHei"/>
                            <w:sz w:val="13"/>
                            <w:szCs w:val="13"/>
                            <w:spacing w:val="-3"/>
                          </w:rPr>
                          <w:t>临口</w:t>
                        </w:r>
                      </w:p>
                    </w:txbxContent>
                  </v:textbox>
                </v:shape>
              </w:pict>
            </w:r>
            <w:r>
              <w:drawing>
                <wp:anchor distT="0" distB="0" distL="0" distR="0" simplePos="0" relativeHeight="252002304" behindDoc="0" locked="0" layoutInCell="1" allowOverlap="1">
                  <wp:simplePos x="0" y="0"/>
                  <wp:positionH relativeFrom="rightMargin">
                    <wp:posOffset>-252757</wp:posOffset>
                  </wp:positionH>
                  <wp:positionV relativeFrom="topMargin">
                    <wp:posOffset>35799</wp:posOffset>
                  </wp:positionV>
                  <wp:extent cx="235006" cy="95170"/>
                  <wp:effectExtent l="0" t="0" r="0" b="0"/>
                  <wp:wrapNone/>
                  <wp:docPr id="46" name="IM 46"/>
                  <wp:cNvGraphicFramePr/>
                  <a:graphic>
                    <a:graphicData uri="http://schemas.openxmlformats.org/drawingml/2006/picture">
                      <pic:pic>
                        <pic:nvPicPr>
                          <pic:cNvPr id="46" name="IM 46"/>
                          <pic:cNvPicPr/>
                        </pic:nvPicPr>
                        <pic:blipFill>
                          <a:blip r:embed="rId217"/>
                          <a:stretch>
                            <a:fillRect/>
                          </a:stretch>
                        </pic:blipFill>
                        <pic:spPr>
                          <a:xfrm rot="0">
                            <a:off x="0" y="0"/>
                            <a:ext cx="235006" cy="95170"/>
                          </a:xfrm>
                          <a:prstGeom prst="rect">
                            <a:avLst/>
                          </a:prstGeom>
                        </pic:spPr>
                      </pic:pic>
                    </a:graphicData>
                  </a:graphic>
                </wp:anchor>
              </w:drawing>
            </w:r>
            <w:r>
              <w:rPr>
                <w:sz w:val="18"/>
                <w:szCs w:val="18"/>
                <w:spacing w:val="-5"/>
              </w:rPr>
              <w:t>置</w:t>
            </w:r>
            <w:r>
              <w:rPr>
                <w:sz w:val="18"/>
                <w:szCs w:val="18"/>
                <w:color w:val="2FA4CF"/>
                <w:spacing w:val="-5"/>
              </w:rPr>
              <w:t>浦站青</w:t>
            </w:r>
            <w:r>
              <w:rPr>
                <w:sz w:val="18"/>
                <w:szCs w:val="18"/>
                <w:spacing w:val="-5"/>
              </w:rPr>
              <w:t>岙</w:t>
            </w:r>
          </w:p>
        </w:tc>
      </w:tr>
      <w:tr>
        <w:trPr>
          <w:trHeight w:val="137" w:hRule="atLeast"/>
        </w:trPr>
        <w:tc>
          <w:tcPr>
            <w:tcW w:w="929" w:type="dxa"/>
            <w:vAlign w:val="top"/>
            <w:vMerge w:val="restart"/>
            <w:tcBorders>
              <w:bottom w:val="nil"/>
            </w:tcBorders>
          </w:tcPr>
          <w:p>
            <w:pPr>
              <w:pStyle w:val="TableText"/>
              <w:spacing w:before="204" w:line="219" w:lineRule="auto"/>
              <w:rPr>
                <w:sz w:val="24"/>
                <w:szCs w:val="24"/>
              </w:rPr>
            </w:pPr>
            <w:r>
              <w:pict>
                <v:shape id="_x0000_s114" style="position:absolute;margin-left:38.5021pt;margin-top:16.4261pt;mso-position-vertical-relative:text;mso-position-horizontal-relative:text;width:7.4pt;height:17.55pt;z-index:252019712;" filled="false" stroked="false" type="#_x0000_t202">
                  <v:fill on="false"/>
                  <v:stroke on="false"/>
                  <v:path/>
                  <v:imagedata o:title=""/>
                  <o:lock v:ext="edit" aspectratio="false"/>
                  <v:textbox inset="0mm,0mm,0mm,0mm">
                    <w:txbxContent>
                      <w:p>
                        <w:pPr>
                          <w:pStyle w:val="TableText"/>
                          <w:ind w:left="20"/>
                          <w:spacing w:before="19" w:line="239" w:lineRule="auto"/>
                          <w:rPr>
                            <w:sz w:val="24"/>
                            <w:szCs w:val="24"/>
                          </w:rPr>
                        </w:pPr>
                        <w:r>
                          <w:rPr>
                            <w:sz w:val="24"/>
                            <w:szCs w:val="24"/>
                            <w:color w:val="75725E"/>
                          </w:rPr>
                          <w:t>?</w:t>
                        </w:r>
                      </w:p>
                    </w:txbxContent>
                  </v:textbox>
                </v:shape>
              </w:pict>
            </w:r>
            <w:r>
              <w:rPr>
                <w:sz w:val="24"/>
                <w:szCs w:val="24"/>
                <w:color w:val="6E8C98"/>
              </w:rPr>
              <w:t>市</w:t>
            </w:r>
          </w:p>
        </w:tc>
        <w:tc>
          <w:tcPr>
            <w:tcW w:w="3739" w:type="dxa"/>
            <w:vAlign w:val="top"/>
            <w:gridSpan w:val="2"/>
            <w:vMerge w:val="continue"/>
            <w:tcBorders>
              <w:top w:val="nil"/>
            </w:tcBorders>
          </w:tcPr>
          <w:p>
            <w:pPr>
              <w:rPr>
                <w:rFonts w:ascii="Arial"/>
                <w:sz w:val="21"/>
              </w:rPr>
            </w:pPr>
            <w:r/>
          </w:p>
        </w:tc>
      </w:tr>
      <w:tr>
        <w:trPr>
          <w:trHeight w:val="419" w:hRule="atLeast"/>
        </w:trPr>
        <w:tc>
          <w:tcPr>
            <w:tcW w:w="929" w:type="dxa"/>
            <w:vAlign w:val="top"/>
            <w:vMerge w:val="continue"/>
            <w:tcBorders>
              <w:top w:val="nil"/>
              <w:bottom w:val="nil"/>
            </w:tcBorders>
          </w:tcPr>
          <w:p>
            <w:pPr>
              <w:rPr>
                <w:rFonts w:ascii="Arial"/>
                <w:sz w:val="21"/>
              </w:rPr>
            </w:pPr>
            <w:r/>
          </w:p>
        </w:tc>
        <w:tc>
          <w:tcPr>
            <w:tcW w:w="3739" w:type="dxa"/>
            <w:vAlign w:val="top"/>
            <w:gridSpan w:val="2"/>
          </w:tcPr>
          <w:p>
            <w:pPr>
              <w:pStyle w:val="TableText"/>
              <w:ind w:left="1760"/>
              <w:spacing w:before="34" w:line="201" w:lineRule="auto"/>
              <w:rPr>
                <w:sz w:val="18"/>
                <w:szCs w:val="18"/>
              </w:rPr>
            </w:pPr>
            <w:r>
              <w:pict>
                <v:shape id="_x0000_s116" style="position:absolute;margin-left:153.547pt;margin-top:8.66387pt;mso-position-vertical-relative:text;mso-position-horizontal-relative:text;width:22.8pt;height:9.75pt;z-index:252018688;" filled="false" stroked="false" type="#_x0000_t202">
                  <v:fill on="false"/>
                  <v:stroke on="false"/>
                  <v:path/>
                  <v:imagedata o:title=""/>
                  <o:lock v:ext="edit" aspectratio="false"/>
                  <v:textbox inset="0mm,0mm,0mm,0mm">
                    <w:txbxContent>
                      <w:p>
                        <w:pPr>
                          <w:pStyle w:val="TableText"/>
                          <w:ind w:left="20"/>
                          <w:spacing w:before="20" w:line="220" w:lineRule="auto"/>
                          <w:rPr>
                            <w:sz w:val="13"/>
                            <w:szCs w:val="13"/>
                          </w:rPr>
                        </w:pPr>
                        <w:r>
                          <w:rPr>
                            <w:sz w:val="13"/>
                            <w:szCs w:val="13"/>
                            <w:color w:val="FFFFFF"/>
                            <w:spacing w:val="-4"/>
                          </w:rPr>
                          <w:t>后</w:t>
                        </w:r>
                        <w:r>
                          <w:rPr>
                            <w:sz w:val="13"/>
                            <w:szCs w:val="13"/>
                            <w:color w:val="FFFFFF"/>
                            <w:spacing w:val="20"/>
                          </w:rPr>
                          <w:t xml:space="preserve">  </w:t>
                        </w:r>
                        <w:r>
                          <w:rPr>
                            <w:sz w:val="13"/>
                            <w:szCs w:val="13"/>
                            <w:color w:val="FFFFFF"/>
                            <w:spacing w:val="-4"/>
                          </w:rPr>
                          <w:t>岭</w:t>
                        </w:r>
                      </w:p>
                    </w:txbxContent>
                  </v:textbox>
                </v:shape>
              </w:pict>
            </w:r>
            <w:r>
              <w:rPr>
                <w:sz w:val="18"/>
                <w:szCs w:val="18"/>
                <w:color w:val="C55E65"/>
                <w:spacing w:val="-21"/>
                <w:w w:val="91"/>
              </w:rPr>
              <w:t>霞浦：</w:t>
            </w:r>
            <w:r>
              <w:rPr>
                <w:sz w:val="18"/>
                <w:szCs w:val="18"/>
                <w:color w:val="FFFFFF"/>
                <w:spacing w:val="-21"/>
                <w:w w:val="91"/>
              </w:rPr>
              <w:t>县</w:t>
            </w:r>
          </w:p>
          <w:p>
            <w:pPr>
              <w:pStyle w:val="TableText"/>
              <w:ind w:left="1270"/>
              <w:spacing w:line="182" w:lineRule="auto"/>
              <w:rPr>
                <w:sz w:val="13"/>
                <w:szCs w:val="13"/>
              </w:rPr>
            </w:pPr>
            <w:r>
              <w:pict>
                <v:shape id="_x0000_s118" style="position:absolute;margin-left:24.5509pt;margin-top:-2.6304pt;mso-position-vertical-relative:text;mso-position-horizontal-relative:text;width:21.75pt;height:12.05pt;z-index:252023808;" filled="false" stroked="false" type="#_x0000_t202">
                  <v:fill on="false"/>
                  <v:stroke on="false"/>
                  <v:path/>
                  <v:imagedata o:title=""/>
                  <o:lock v:ext="edit" aspectratio="false"/>
                  <v:textbox inset="0mm,0mm,0mm,0mm">
                    <w:txbxContent>
                      <w:p>
                        <w:pPr>
                          <w:ind w:left="20"/>
                          <w:spacing w:before="19" w:line="203" w:lineRule="auto"/>
                          <w:rPr>
                            <w:rFonts w:ascii="STXinwei" w:hAnsi="STXinwei" w:eastAsia="STXinwei" w:cs="STXinwei"/>
                            <w:sz w:val="18"/>
                            <w:szCs w:val="18"/>
                          </w:rPr>
                        </w:pPr>
                        <w:r>
                          <w:rPr>
                            <w:rFonts w:ascii="STXinwei" w:hAnsi="STXinwei" w:eastAsia="STXinwei" w:cs="STXinwei"/>
                            <w:sz w:val="18"/>
                            <w:szCs w:val="18"/>
                            <w:color w:val="FFFFFF"/>
                            <w:spacing w:val="-12"/>
                          </w:rPr>
                          <w:t>北</w:t>
                        </w:r>
                        <w:r>
                          <w:rPr>
                            <w:rFonts w:ascii="STXinwei" w:hAnsi="STXinwei" w:eastAsia="STXinwei" w:cs="STXinwei"/>
                            <w:sz w:val="18"/>
                            <w:szCs w:val="18"/>
                            <w:color w:val="FFFFFF"/>
                            <w:spacing w:val="3"/>
                          </w:rPr>
                          <w:t xml:space="preserve">   </w:t>
                        </w:r>
                        <w:r>
                          <w:rPr>
                            <w:rFonts w:ascii="STXinwei" w:hAnsi="STXinwei" w:eastAsia="STXinwei" w:cs="STXinwei"/>
                            <w:sz w:val="18"/>
                            <w:szCs w:val="18"/>
                            <w:color w:val="FFFFFF"/>
                            <w:spacing w:val="-12"/>
                          </w:rPr>
                          <w:t>2</w:t>
                        </w:r>
                      </w:p>
                    </w:txbxContent>
                  </v:textbox>
                </v:shape>
              </w:pict>
            </w:r>
            <w:r>
              <w:rPr>
                <w:sz w:val="18"/>
                <w:szCs w:val="18"/>
                <w:spacing w:val="-9"/>
                <w:w w:val="93"/>
                <w:position w:val="-1"/>
              </w:rPr>
              <w:t>松港访</w:t>
            </w:r>
            <w:r>
              <w:rPr>
                <w:sz w:val="18"/>
                <w:szCs w:val="18"/>
                <w:color w:val="9E6524"/>
                <w:spacing w:val="-9"/>
                <w:w w:val="93"/>
                <w:position w:val="-1"/>
              </w:rPr>
              <w:t>物</w:t>
            </w:r>
            <w:r>
              <w:rPr>
                <w:sz w:val="18"/>
                <w:szCs w:val="18"/>
                <w:color w:val="9E6524"/>
                <w:spacing w:val="23"/>
                <w:position w:val="-1"/>
              </w:rPr>
              <w:t xml:space="preserve">   </w:t>
            </w:r>
            <w:r>
              <w:rPr>
                <w:sz w:val="13"/>
                <w:szCs w:val="13"/>
                <w:spacing w:val="-9"/>
                <w:w w:val="93"/>
                <w:position w:val="4"/>
              </w:rPr>
              <w:t>儿</w:t>
            </w:r>
            <w:r>
              <w:rPr>
                <w:sz w:val="13"/>
                <w:szCs w:val="13"/>
                <w:spacing w:val="45"/>
                <w:position w:val="4"/>
              </w:rPr>
              <w:t xml:space="preserve"> </w:t>
            </w:r>
            <w:r>
              <w:rPr>
                <w:sz w:val="13"/>
                <w:szCs w:val="13"/>
                <w:spacing w:val="-9"/>
                <w:w w:val="93"/>
                <w:position w:val="4"/>
              </w:rPr>
              <w:t>%</w:t>
            </w:r>
            <w:r>
              <w:rPr>
                <w:sz w:val="13"/>
                <w:szCs w:val="13"/>
                <w:spacing w:val="41"/>
                <w:w w:val="101"/>
                <w:position w:val="4"/>
              </w:rPr>
              <w:t xml:space="preserve"> </w:t>
            </w:r>
            <w:r>
              <w:rPr>
                <w:sz w:val="13"/>
                <w:szCs w:val="13"/>
                <w:spacing w:val="-9"/>
                <w:w w:val="93"/>
                <w:position w:val="4"/>
              </w:rPr>
              <w:t>F</w:t>
            </w:r>
          </w:p>
        </w:tc>
      </w:tr>
      <w:tr>
        <w:trPr>
          <w:trHeight w:val="105" w:hRule="atLeast"/>
        </w:trPr>
        <w:tc>
          <w:tcPr>
            <w:tcW w:w="929" w:type="dxa"/>
            <w:vAlign w:val="top"/>
            <w:vMerge w:val="continue"/>
            <w:tcBorders>
              <w:top w:val="nil"/>
            </w:tcBorders>
          </w:tcPr>
          <w:p>
            <w:pPr>
              <w:rPr>
                <w:rFonts w:ascii="Arial"/>
                <w:sz w:val="21"/>
              </w:rPr>
            </w:pPr>
            <w:r/>
          </w:p>
        </w:tc>
        <w:tc>
          <w:tcPr>
            <w:tcW w:w="3739" w:type="dxa"/>
            <w:vAlign w:val="top"/>
            <w:gridSpan w:val="2"/>
            <w:vMerge w:val="restart"/>
            <w:tcBorders>
              <w:bottom w:val="nil"/>
            </w:tcBorders>
          </w:tcPr>
          <w:p>
            <w:pPr>
              <w:pStyle w:val="TableText"/>
              <w:ind w:left="650"/>
              <w:spacing w:before="5" w:line="230" w:lineRule="auto"/>
              <w:rPr>
                <w:sz w:val="18"/>
                <w:szCs w:val="18"/>
              </w:rPr>
            </w:pPr>
            <w:r>
              <w:pict>
                <v:shape id="_x0000_s120" style="position:absolute;margin-left:116.55pt;margin-top:4.26018pt;mso-position-vertical-relative:text;mso-position-horizontal-relative:text;width:35.95pt;height:12.7pt;z-index:252012544;" filled="false" stroked="false" type="#_x0000_t202">
                  <v:fill on="false"/>
                  <v:stroke on="false"/>
                  <v:path/>
                  <v:imagedata o:title=""/>
                  <o:lock v:ext="edit" aspectratio="false"/>
                  <v:textbox inset="0mm,0mm,0mm,0mm">
                    <w:txbxContent>
                      <w:p>
                        <w:pPr>
                          <w:pStyle w:val="TableText"/>
                          <w:ind w:left="20"/>
                          <w:spacing w:before="20" w:line="219" w:lineRule="auto"/>
                          <w:rPr>
                            <w:sz w:val="18"/>
                            <w:szCs w:val="18"/>
                          </w:rPr>
                        </w:pPr>
                        <w:r>
                          <w:rPr>
                            <w:sz w:val="18"/>
                            <w:szCs w:val="18"/>
                            <w:color w:val="FFFFFF"/>
                            <w:spacing w:val="-8"/>
                          </w:rPr>
                          <w:t>松山街道</w:t>
                        </w:r>
                      </w:p>
                    </w:txbxContent>
                  </v:textbox>
                </v:shape>
              </w:pict>
            </w:r>
            <w:r>
              <w:drawing>
                <wp:anchor distT="0" distB="0" distL="0" distR="0" simplePos="0" relativeHeight="251998208" behindDoc="0" locked="0" layoutInCell="1" allowOverlap="1">
                  <wp:simplePos x="0" y="0"/>
                  <wp:positionH relativeFrom="rightMargin">
                    <wp:posOffset>-2195835</wp:posOffset>
                  </wp:positionH>
                  <wp:positionV relativeFrom="topMargin">
                    <wp:posOffset>62405</wp:posOffset>
                  </wp:positionV>
                  <wp:extent cx="234931" cy="184140"/>
                  <wp:effectExtent l="0" t="0" r="0" b="0"/>
                  <wp:wrapNone/>
                  <wp:docPr id="48" name="IM 48"/>
                  <wp:cNvGraphicFramePr/>
                  <a:graphic>
                    <a:graphicData uri="http://schemas.openxmlformats.org/drawingml/2006/picture">
                      <pic:pic>
                        <pic:nvPicPr>
                          <pic:cNvPr id="48" name="IM 48"/>
                          <pic:cNvPicPr/>
                        </pic:nvPicPr>
                        <pic:blipFill>
                          <a:blip r:embed="rId218"/>
                          <a:stretch>
                            <a:fillRect/>
                          </a:stretch>
                        </pic:blipFill>
                        <pic:spPr>
                          <a:xfrm rot="0">
                            <a:off x="0" y="0"/>
                            <a:ext cx="234931" cy="184140"/>
                          </a:xfrm>
                          <a:prstGeom prst="rect">
                            <a:avLst/>
                          </a:prstGeom>
                        </pic:spPr>
                      </pic:pic>
                    </a:graphicData>
                  </a:graphic>
                </wp:anchor>
              </w:drawing>
            </w:r>
            <w:r>
              <w:rPr>
                <w:sz w:val="18"/>
                <w:szCs w:val="18"/>
                <w:color w:val="FFFFFF"/>
                <w:spacing w:val="-14"/>
              </w:rPr>
              <w:t>杨梅的a.松</w:t>
            </w:r>
            <w:r>
              <w:rPr>
                <w:sz w:val="18"/>
                <w:szCs w:val="18"/>
                <w:color w:val="FFFFFF"/>
                <w:spacing w:val="40"/>
              </w:rPr>
              <w:t xml:space="preserve"> </w:t>
            </w:r>
            <w:r>
              <w:rPr>
                <w:sz w:val="18"/>
                <w:szCs w:val="18"/>
                <w:color w:val="FFFFFF"/>
                <w:spacing w:val="-14"/>
              </w:rPr>
              <w:t>城</w:t>
            </w:r>
            <w:r>
              <w:rPr>
                <w:sz w:val="18"/>
                <w:szCs w:val="18"/>
                <w:color w:val="FFFFFF"/>
                <w:spacing w:val="35"/>
              </w:rPr>
              <w:t xml:space="preserve"> </w:t>
            </w:r>
            <w:r>
              <w:rPr>
                <w:sz w:val="18"/>
                <w:szCs w:val="18"/>
                <w:color w:val="FFFFFF"/>
                <w:spacing w:val="-14"/>
              </w:rPr>
              <w:t>街</w:t>
            </w:r>
          </w:p>
          <w:p>
            <w:pPr>
              <w:pStyle w:val="TableText"/>
              <w:ind w:left="3010"/>
              <w:spacing w:before="67" w:line="194" w:lineRule="auto"/>
              <w:rPr>
                <w:sz w:val="18"/>
                <w:szCs w:val="18"/>
              </w:rPr>
            </w:pPr>
            <w:r>
              <w:pict>
                <v:shape id="_x0000_s122" style="position:absolute;margin-left:8.05161pt;margin-top:8.44664pt;mso-position-vertical-relative:text;mso-position-horizontal-relative:text;width:47.05pt;height:26pt;z-index:252011520;" filled="false" stroked="false" type="#_x0000_t202">
                  <v:fill on="false"/>
                  <v:stroke on="false"/>
                  <v:path/>
                  <v:imagedata o:title=""/>
                  <o:lock v:ext="edit" aspectratio="false"/>
                  <v:textbox inset="0mm,0mm,0mm,0mm">
                    <w:txbxContent>
                      <w:p>
                        <w:pPr>
                          <w:pStyle w:val="TableText"/>
                          <w:ind w:left="248" w:right="20" w:hanging="229"/>
                          <w:spacing w:before="19" w:line="286" w:lineRule="auto"/>
                          <w:rPr>
                            <w:sz w:val="13"/>
                            <w:szCs w:val="13"/>
                          </w:rPr>
                        </w:pPr>
                        <w:r>
                          <w:rPr>
                            <w:rFonts w:ascii="SimHei" w:hAnsi="SimHei" w:eastAsia="SimHei" w:cs="SimHei"/>
                            <w:sz w:val="18"/>
                            <w:szCs w:val="18"/>
                            <w:position w:val="2"/>
                          </w:rPr>
                          <w:drawing>
                            <wp:inline distT="0" distB="0" distL="0" distR="0">
                              <wp:extent cx="88864" cy="95278"/>
                              <wp:effectExtent l="0" t="0" r="0" b="0"/>
                              <wp:docPr id="50" name="IM 50"/>
                              <wp:cNvGraphicFramePr/>
                              <a:graphic>
                                <a:graphicData uri="http://schemas.openxmlformats.org/drawingml/2006/picture">
                                  <pic:pic>
                                    <pic:nvPicPr>
                                      <pic:cNvPr id="50" name="IM 50"/>
                                      <pic:cNvPicPr/>
                                    </pic:nvPicPr>
                                    <pic:blipFill>
                                      <a:blip r:embed="rId219"/>
                                      <a:stretch>
                                        <a:fillRect/>
                                      </a:stretch>
                                    </pic:blipFill>
                                    <pic:spPr>
                                      <a:xfrm rot="0">
                                        <a:off x="0" y="0"/>
                                        <a:ext cx="88864" cy="95278"/>
                                      </a:xfrm>
                                      <a:prstGeom prst="rect">
                                        <a:avLst/>
                                      </a:prstGeom>
                                    </pic:spPr>
                                  </pic:pic>
                                </a:graphicData>
                              </a:graphic>
                            </wp:inline>
                          </w:drawing>
                        </w:r>
                        <w:r>
                          <w:rPr>
                            <w:rFonts w:ascii="SimHei" w:hAnsi="SimHei" w:eastAsia="SimHei" w:cs="SimHei"/>
                            <w:sz w:val="18"/>
                            <w:szCs w:val="18"/>
                            <w:spacing w:val="-19"/>
                            <w:w w:val="95"/>
                          </w:rPr>
                          <w:t>盐田蠢族乡</w:t>
                        </w:r>
                        <w:r>
                          <w:rPr>
                            <w:rFonts w:ascii="SimHei" w:hAnsi="SimHei" w:eastAsia="SimHei" w:cs="SimHei"/>
                            <w:sz w:val="18"/>
                            <w:szCs w:val="18"/>
                          </w:rPr>
                          <w:t xml:space="preserve"> </w:t>
                        </w:r>
                        <w:r>
                          <w:rPr>
                            <w:sz w:val="13"/>
                            <w:szCs w:val="13"/>
                            <w:spacing w:val="-4"/>
                          </w:rPr>
                          <w:t>○瓦窑头</w:t>
                        </w:r>
                      </w:p>
                    </w:txbxContent>
                  </v:textbox>
                </v:shape>
              </w:pict>
            </w:r>
            <w:r>
              <w:rPr>
                <w:sz w:val="18"/>
                <w:szCs w:val="18"/>
                <w:color w:val="60AEBB"/>
              </w:rPr>
              <w:t>福</w:t>
            </w:r>
          </w:p>
          <w:p>
            <w:pPr>
              <w:ind w:left="1290"/>
              <w:spacing w:before="87" w:line="221" w:lineRule="auto"/>
              <w:rPr>
                <w:rFonts w:ascii="SimHei" w:hAnsi="SimHei" w:eastAsia="SimHei" w:cs="SimHei"/>
                <w:sz w:val="18"/>
                <w:szCs w:val="18"/>
              </w:rPr>
            </w:pPr>
            <w:r>
              <w:pict>
                <v:shape id="_x0000_s124" style="position:absolute;margin-left:96.5519pt;margin-top:-1.00752pt;mso-position-vertical-relative:text;mso-position-horizontal-relative:text;width:12.25pt;height:8.5pt;z-index:252014592;" filled="false" stroked="false" type="#_x0000_t202">
                  <v:fill on="false"/>
                  <v:stroke on="false"/>
                  <v:path/>
                  <v:imagedata o:title=""/>
                  <o:lock v:ext="edit" aspectratio="false"/>
                  <v:textbox inset="0mm,0mm,0mm,0mm">
                    <w:txbxContent>
                      <w:p>
                        <w:pPr>
                          <w:pStyle w:val="TableText"/>
                          <w:spacing w:before="20" w:line="184" w:lineRule="auto"/>
                          <w:jc w:val="right"/>
                          <w:rPr>
                            <w:sz w:val="13"/>
                            <w:szCs w:val="13"/>
                          </w:rPr>
                        </w:pPr>
                        <w:r>
                          <w:rPr>
                            <w:sz w:val="13"/>
                            <w:szCs w:val="13"/>
                            <w:color w:val="FFFFFF"/>
                            <w:spacing w:val="-10"/>
                            <w:w w:val="84"/>
                          </w:rPr>
                          <w:t>长</w:t>
                        </w:r>
                        <w:r>
                          <w:rPr>
                            <w:sz w:val="13"/>
                            <w:szCs w:val="13"/>
                            <w:color w:val="FFFFFF"/>
                            <w:spacing w:val="-6"/>
                            <w:w w:val="84"/>
                          </w:rPr>
                          <w:t>湿</w:t>
                        </w:r>
                      </w:p>
                    </w:txbxContent>
                  </v:textbox>
                </v:shape>
              </w:pict>
            </w:r>
            <w:r>
              <w:rPr>
                <w:rFonts w:ascii="SimHei" w:hAnsi="SimHei" w:eastAsia="SimHei" w:cs="SimHei"/>
                <w:sz w:val="18"/>
                <w:szCs w:val="18"/>
                <w:spacing w:val="-17"/>
                <w:w w:val="90"/>
              </w:rPr>
              <w:t>○马洋</w:t>
            </w:r>
          </w:p>
          <w:p>
            <w:pPr>
              <w:pStyle w:val="TableText"/>
              <w:ind w:left="1540"/>
              <w:spacing w:before="71" w:line="337" w:lineRule="exact"/>
              <w:rPr>
                <w:sz w:val="24"/>
                <w:szCs w:val="24"/>
              </w:rPr>
            </w:pPr>
            <w:r>
              <w:rPr>
                <w:sz w:val="24"/>
                <w:szCs w:val="24"/>
                <w:color w:val="CEAC8A"/>
                <w:spacing w:val="-20"/>
                <w:w w:val="91"/>
                <w:position w:val="1"/>
              </w:rPr>
              <w:t>沙江镇</w:t>
            </w:r>
            <w:r>
              <w:rPr>
                <w:sz w:val="24"/>
                <w:szCs w:val="24"/>
                <w:color w:val="D06B28"/>
                <w:spacing w:val="-20"/>
                <w:w w:val="91"/>
                <w:position w:val="1"/>
              </w:rPr>
              <w:t>古</w:t>
            </w:r>
          </w:p>
        </w:tc>
      </w:tr>
      <w:tr>
        <w:trPr>
          <w:trHeight w:val="697" w:hRule="atLeast"/>
        </w:trPr>
        <w:tc>
          <w:tcPr>
            <w:tcW w:w="929" w:type="dxa"/>
            <w:vAlign w:val="top"/>
          </w:tcPr>
          <w:p>
            <w:pPr>
              <w:pStyle w:val="TableText"/>
              <w:spacing w:before="73" w:line="219" w:lineRule="auto"/>
              <w:rPr>
                <w:sz w:val="24"/>
                <w:szCs w:val="24"/>
              </w:rPr>
            </w:pPr>
            <w:r>
              <w:rPr>
                <w:sz w:val="24"/>
                <w:szCs w:val="24"/>
                <w:spacing w:val="-16"/>
                <w:w w:val="90"/>
              </w:rPr>
              <w:t>溪尾镇</w:t>
            </w:r>
          </w:p>
        </w:tc>
        <w:tc>
          <w:tcPr>
            <w:tcW w:w="3739" w:type="dxa"/>
            <w:vAlign w:val="top"/>
            <w:gridSpan w:val="2"/>
            <w:vMerge w:val="continue"/>
            <w:tcBorders>
              <w:top w:val="nil"/>
              <w:bottom w:val="nil"/>
            </w:tcBorders>
          </w:tcPr>
          <w:p>
            <w:pPr>
              <w:rPr>
                <w:rFonts w:ascii="Arial"/>
                <w:sz w:val="21"/>
              </w:rPr>
            </w:pPr>
            <w:r/>
          </w:p>
        </w:tc>
      </w:tr>
      <w:tr>
        <w:trPr>
          <w:trHeight w:val="438" w:hRule="atLeast"/>
        </w:trPr>
        <w:tc>
          <w:tcPr>
            <w:tcW w:w="929" w:type="dxa"/>
            <w:vAlign w:val="top"/>
            <w:vMerge w:val="restart"/>
            <w:tcBorders>
              <w:bottom w:val="nil"/>
            </w:tcBorders>
          </w:tcPr>
          <w:p>
            <w:pPr>
              <w:spacing w:line="324" w:lineRule="auto"/>
              <w:rPr>
                <w:rFonts w:ascii="Arial"/>
                <w:sz w:val="21"/>
              </w:rPr>
            </w:pPr>
            <w:r/>
          </w:p>
          <w:p>
            <w:pPr>
              <w:pStyle w:val="TableText"/>
              <w:ind w:left="389"/>
              <w:spacing w:before="58" w:line="221" w:lineRule="auto"/>
              <w:rPr>
                <w:sz w:val="18"/>
                <w:szCs w:val="18"/>
              </w:rPr>
            </w:pPr>
            <w:r>
              <w:rPr>
                <w:sz w:val="18"/>
                <w:szCs w:val="18"/>
              </w:rPr>
              <w:t>浒</w:t>
            </w:r>
          </w:p>
          <w:p>
            <w:pPr>
              <w:pStyle w:val="TableText"/>
              <w:ind w:left="439"/>
              <w:spacing w:before="186" w:line="220" w:lineRule="auto"/>
              <w:rPr>
                <w:sz w:val="24"/>
                <w:szCs w:val="24"/>
              </w:rPr>
            </w:pPr>
            <w:r>
              <w:rPr>
                <w:sz w:val="24"/>
                <w:szCs w:val="24"/>
                <w:color w:val="E1732A"/>
                <w:spacing w:val="-18"/>
              </w:rPr>
              <w:t>傅竹</w:t>
            </w:r>
          </w:p>
        </w:tc>
        <w:tc>
          <w:tcPr>
            <w:tcW w:w="3739" w:type="dxa"/>
            <w:vAlign w:val="top"/>
            <w:gridSpan w:val="2"/>
            <w:vMerge w:val="continue"/>
            <w:tcBorders>
              <w:top w:val="nil"/>
            </w:tcBorders>
          </w:tcPr>
          <w:p>
            <w:pPr>
              <w:rPr>
                <w:rFonts w:ascii="Arial"/>
                <w:sz w:val="21"/>
              </w:rPr>
            </w:pPr>
            <w:r/>
          </w:p>
        </w:tc>
      </w:tr>
      <w:tr>
        <w:trPr>
          <w:trHeight w:val="728" w:hRule="atLeast"/>
        </w:trPr>
        <w:tc>
          <w:tcPr>
            <w:tcW w:w="929" w:type="dxa"/>
            <w:vAlign w:val="top"/>
            <w:vMerge w:val="continue"/>
            <w:tcBorders>
              <w:top w:val="nil"/>
            </w:tcBorders>
          </w:tcPr>
          <w:p>
            <w:pPr>
              <w:rPr>
                <w:rFonts w:ascii="Arial"/>
                <w:sz w:val="21"/>
              </w:rPr>
            </w:pPr>
            <w:r/>
          </w:p>
        </w:tc>
        <w:tc>
          <w:tcPr>
            <w:tcW w:w="3739" w:type="dxa"/>
            <w:vAlign w:val="top"/>
            <w:gridSpan w:val="2"/>
          </w:tcPr>
          <w:p>
            <w:pPr>
              <w:pStyle w:val="TableText"/>
              <w:ind w:left="3090"/>
              <w:spacing w:before="41" w:line="152" w:lineRule="exact"/>
              <w:rPr>
                <w:sz w:val="24"/>
                <w:szCs w:val="24"/>
              </w:rPr>
            </w:pPr>
            <w:r>
              <w:rPr>
                <w:sz w:val="24"/>
                <w:szCs w:val="24"/>
                <w:position w:val="-4"/>
              </w:rPr>
              <w:t>5</w:t>
            </w:r>
          </w:p>
          <w:p>
            <w:pPr>
              <w:pStyle w:val="TableText"/>
              <w:ind w:left="590"/>
              <w:spacing w:line="202" w:lineRule="auto"/>
              <w:rPr>
                <w:rFonts w:ascii="Times New Roman" w:hAnsi="Times New Roman" w:eastAsia="Times New Roman" w:cs="Times New Roman"/>
                <w:sz w:val="24"/>
                <w:szCs w:val="24"/>
              </w:rPr>
            </w:pPr>
            <w:r>
              <w:rPr>
                <w:sz w:val="24"/>
                <w:szCs w:val="24"/>
                <w:spacing w:val="-14"/>
                <w:w w:val="99"/>
              </w:rPr>
              <w:t>厚</w:t>
            </w:r>
            <w:r>
              <w:rPr>
                <w:rFonts w:ascii="Times New Roman" w:hAnsi="Times New Roman" w:eastAsia="Times New Roman" w:cs="Times New Roman"/>
                <w:sz w:val="24"/>
                <w:szCs w:val="24"/>
                <w:spacing w:val="-14"/>
                <w:w w:val="99"/>
              </w:rPr>
              <w:t>o(ne</w:t>
            </w:r>
          </w:p>
          <w:p>
            <w:pPr>
              <w:pStyle w:val="TableText"/>
              <w:ind w:left="1290"/>
              <w:spacing w:before="78" w:line="187" w:lineRule="auto"/>
              <w:rPr>
                <w:rFonts w:ascii="SimHei" w:hAnsi="SimHei" w:eastAsia="SimHei" w:cs="SimHei"/>
                <w:sz w:val="13"/>
                <w:szCs w:val="13"/>
              </w:rPr>
            </w:pPr>
            <w:r>
              <w:rPr>
                <w:sz w:val="18"/>
                <w:szCs w:val="18"/>
                <w:color w:val="7FB4C8"/>
                <w:spacing w:val="-7"/>
              </w:rPr>
              <w:t>东</w:t>
            </w:r>
            <w:r>
              <w:rPr>
                <w:sz w:val="18"/>
                <w:szCs w:val="18"/>
                <w:color w:val="7FB4C8"/>
                <w:spacing w:val="12"/>
              </w:rPr>
              <w:t xml:space="preserve">      </w:t>
            </w:r>
            <w:r>
              <w:rPr>
                <w:rFonts w:ascii="SimHei" w:hAnsi="SimHei" w:eastAsia="SimHei" w:cs="SimHei"/>
                <w:sz w:val="13"/>
                <w:szCs w:val="13"/>
                <w:spacing w:val="-7"/>
                <w:position w:val="-1"/>
              </w:rPr>
              <w:t>珠</w:t>
            </w:r>
          </w:p>
        </w:tc>
      </w:tr>
    </w:tbl>
    <w:p>
      <w:pPr>
        <w:pStyle w:val="BodyText"/>
        <w:ind w:left="2799"/>
        <w:spacing w:before="35" w:line="218" w:lineRule="auto"/>
        <w:rPr>
          <w:sz w:val="13"/>
          <w:szCs w:val="13"/>
        </w:rPr>
      </w:pPr>
      <w:r>
        <w:pict>
          <v:shape id="_x0000_s126" style="position:absolute;margin-left:86.0009pt;margin-top:17.8212pt;mso-position-vertical-relative:text;mso-position-horizontal-relative:text;width:223.15pt;height:55.7pt;z-index:251997184;" filled="false" stroked="false" type="#_x0000_t202">
            <v:fill on="false"/>
            <v:stroke on="false"/>
            <v:path/>
            <v:imagedata o:title=""/>
            <o:lock v:ext="edit" aspectratio="false"/>
            <v:textbox inset="0mm,0mm,0mm,0mm">
              <w:txbxContent>
                <w:p>
                  <w:pPr>
                    <w:pStyle w:val="BodyText"/>
                    <w:ind w:left="479"/>
                    <w:spacing w:before="20" w:line="185" w:lineRule="auto"/>
                    <w:rPr>
                      <w:rFonts w:ascii="SimHei" w:hAnsi="SimHei" w:eastAsia="SimHei" w:cs="SimHei"/>
                      <w:sz w:val="13"/>
                      <w:szCs w:val="13"/>
                    </w:rPr>
                  </w:pPr>
                  <w:r>
                    <w:rPr>
                      <w:sz w:val="18"/>
                      <w:szCs w:val="18"/>
                      <w:color w:val="FFFFFF"/>
                      <w:spacing w:val="-17"/>
                    </w:rPr>
                    <w:t>青山</w:t>
                  </w:r>
                  <w:r>
                    <w:rPr>
                      <w:sz w:val="18"/>
                      <w:szCs w:val="18"/>
                      <w:color w:val="FFFFFF"/>
                    </w:rPr>
                    <w:t xml:space="preserve">                                 </w:t>
                  </w:r>
                  <w:r>
                    <w:rPr>
                      <w:rFonts w:ascii="SimHei" w:hAnsi="SimHei" w:eastAsia="SimHei" w:cs="SimHei"/>
                      <w:sz w:val="13"/>
                      <w:szCs w:val="13"/>
                      <w:spacing w:val="-17"/>
                      <w:position w:val="2"/>
                    </w:rPr>
                    <w:t>东</w:t>
                  </w:r>
                </w:p>
                <w:p>
                  <w:pPr>
                    <w:pStyle w:val="BodyText"/>
                    <w:ind w:left="1959"/>
                    <w:spacing w:before="258" w:line="219" w:lineRule="auto"/>
                    <w:rPr>
                      <w:sz w:val="13"/>
                      <w:szCs w:val="13"/>
                    </w:rPr>
                  </w:pPr>
                  <w:r>
                    <w:rPr>
                      <w:sz w:val="13"/>
                      <w:szCs w:val="13"/>
                      <w:color w:val="FFFFFF"/>
                      <w:spacing w:val="-4"/>
                    </w:rPr>
                    <w:t>东 安</w:t>
                  </w:r>
                </w:p>
                <w:p>
                  <w:pPr>
                    <w:pStyle w:val="BodyText"/>
                    <w:spacing w:before="120" w:line="204" w:lineRule="auto"/>
                    <w:jc w:val="right"/>
                    <w:rPr>
                      <w:rFonts w:ascii="STXinwei" w:hAnsi="STXinwei" w:eastAsia="STXinwei" w:cs="STXinwei"/>
                      <w:sz w:val="31"/>
                      <w:szCs w:val="31"/>
                    </w:rPr>
                  </w:pPr>
                  <w:r>
                    <w:rPr>
                      <w:rFonts w:ascii="SimHei" w:hAnsi="SimHei" w:eastAsia="SimHei" w:cs="SimHei"/>
                      <w:sz w:val="18"/>
                      <w:szCs w:val="18"/>
                      <w:color w:val="BBE3F8"/>
                      <w:spacing w:val="-14"/>
                      <w:position w:val="-8"/>
                    </w:rPr>
                    <w:t>港区</w:t>
                  </w:r>
                  <w:r>
                    <w:rPr>
                      <w:rFonts w:ascii="SimHei" w:hAnsi="SimHei" w:eastAsia="SimHei" w:cs="SimHei"/>
                      <w:sz w:val="18"/>
                      <w:szCs w:val="18"/>
                      <w:color w:val="BBE3F8"/>
                      <w:spacing w:val="-14"/>
                      <w:position w:val="-8"/>
                    </w:rPr>
                    <w:t xml:space="preserve">      </w:t>
                  </w:r>
                  <w:r>
                    <w:rPr>
                      <w:sz w:val="13"/>
                      <w:szCs w:val="13"/>
                      <w:color w:val="89A0AD"/>
                      <w:spacing w:val="-14"/>
                      <w:position w:val="11"/>
                    </w:rPr>
                    <w:t>长髓鸟    </w:t>
                  </w:r>
                  <w:r>
                    <w:rPr>
                      <w:sz w:val="13"/>
                      <w:szCs w:val="13"/>
                      <w:position w:val="-10"/>
                    </w:rPr>
                    <w:drawing>
                      <wp:inline distT="0" distB="0" distL="0" distR="0">
                        <wp:extent cx="165109" cy="127037"/>
                        <wp:effectExtent l="0" t="0" r="0" b="0"/>
                        <wp:docPr id="52" name="IM 52"/>
                        <wp:cNvGraphicFramePr/>
                        <a:graphic>
                          <a:graphicData uri="http://schemas.openxmlformats.org/drawingml/2006/picture">
                            <pic:pic>
                              <pic:nvPicPr>
                                <pic:cNvPr id="52" name="IM 52"/>
                                <pic:cNvPicPr/>
                              </pic:nvPicPr>
                              <pic:blipFill>
                                <a:blip r:embed="rId220"/>
                                <a:stretch>
                                  <a:fillRect/>
                                </a:stretch>
                              </pic:blipFill>
                              <pic:spPr>
                                <a:xfrm rot="0">
                                  <a:off x="0" y="0"/>
                                  <a:ext cx="165109" cy="127037"/>
                                </a:xfrm>
                                <a:prstGeom prst="rect">
                                  <a:avLst/>
                                </a:prstGeom>
                              </pic:spPr>
                            </pic:pic>
                          </a:graphicData>
                        </a:graphic>
                      </wp:inline>
                    </w:drawing>
                  </w:r>
                  <w:r>
                    <w:rPr>
                      <w:sz w:val="13"/>
                      <w:szCs w:val="13"/>
                      <w:color w:val="89A0AD"/>
                      <w:spacing w:val="1"/>
                      <w:position w:val="11"/>
                    </w:rPr>
                    <w:t xml:space="preserve">                             </w:t>
                  </w:r>
                  <w:r>
                    <w:rPr>
                      <w:sz w:val="13"/>
                      <w:szCs w:val="13"/>
                      <w:color w:val="89A0AD"/>
                      <w:position w:val="11"/>
                    </w:rPr>
                    <w:t xml:space="preserve">        </w:t>
                  </w:r>
                  <w:r>
                    <w:rPr>
                      <w:rFonts w:ascii="STXinwei" w:hAnsi="STXinwei" w:eastAsia="STXinwei" w:cs="STXinwei"/>
                      <w:sz w:val="31"/>
                      <w:szCs w:val="31"/>
                      <w:color w:val="FFFFFF"/>
                      <w:spacing w:val="-88"/>
                      <w:w w:val="77"/>
                    </w:rPr>
                    <w:t>问</w:t>
                  </w:r>
                  <w:r>
                    <w:rPr>
                      <w:rFonts w:ascii="STXinwei" w:hAnsi="STXinwei" w:eastAsia="STXinwei" w:cs="STXinwei"/>
                      <w:sz w:val="31"/>
                      <w:szCs w:val="31"/>
                      <w:color w:val="FFFFFF"/>
                      <w:spacing w:val="-4"/>
                      <w:w w:val="77"/>
                    </w:rPr>
                    <w:t>峡</w:t>
                  </w:r>
                </w:p>
              </w:txbxContent>
            </v:textbox>
          </v:shape>
        </w:pict>
      </w:r>
      <w:r>
        <w:rPr>
          <w:rFonts w:ascii="SimHei" w:hAnsi="SimHei" w:eastAsia="SimHei" w:cs="SimHei"/>
          <w:sz w:val="18"/>
          <w:szCs w:val="18"/>
          <w:spacing w:val="-3"/>
          <w:position w:val="-3"/>
        </w:rPr>
        <w:t>溪南镇</w:t>
      </w:r>
      <w:r>
        <w:rPr>
          <w:sz w:val="13"/>
          <w:szCs w:val="13"/>
          <w:spacing w:val="-3"/>
          <w:position w:val="15"/>
        </w:rPr>
        <w:t>○白露坑                       </w:t>
      </w:r>
      <w:r>
        <w:rPr>
          <w:sz w:val="24"/>
          <w:szCs w:val="24"/>
          <w:spacing w:val="-16"/>
          <w:w w:val="89"/>
        </w:rPr>
        <w:t>长春镇</w:t>
      </w:r>
      <w:r>
        <w:rPr>
          <w:sz w:val="13"/>
          <w:szCs w:val="13"/>
          <w:color w:val="FFFFFF"/>
          <w:spacing w:val="10"/>
          <w:position w:val="-11"/>
        </w:rPr>
        <w:t>烷殊网o</w:t>
      </w:r>
    </w:p>
    <w:p>
      <w:pPr>
        <w:pStyle w:val="BodyText"/>
        <w:ind w:left="1660"/>
        <w:spacing w:before="122" w:line="197" w:lineRule="auto"/>
        <w:rPr>
          <w:sz w:val="13"/>
          <w:szCs w:val="13"/>
        </w:rPr>
      </w:pPr>
      <w:r>
        <w:rPr>
          <w:sz w:val="18"/>
          <w:szCs w:val="18"/>
          <w:color w:val="8BBAD2"/>
          <w:spacing w:val="-21"/>
          <w:position w:val="-22"/>
        </w:rPr>
        <w:t>世     </w:t>
      </w:r>
      <w:r>
        <w:rPr>
          <w:sz w:val="31"/>
          <w:szCs w:val="31"/>
          <w:color w:val="FFFFFF"/>
          <w:spacing w:val="-21"/>
          <w:position w:val="-8"/>
        </w:rPr>
        <w:t>长</w:t>
      </w:r>
      <w:r>
        <w:rPr>
          <w:sz w:val="31"/>
          <w:szCs w:val="31"/>
          <w:color w:val="FFFFFF"/>
          <w:spacing w:val="50"/>
          <w:position w:val="-8"/>
        </w:rPr>
        <w:t xml:space="preserve">   </w:t>
      </w:r>
      <w:r>
        <w:rPr>
          <w:sz w:val="24"/>
          <w:szCs w:val="24"/>
          <w:spacing w:val="-21"/>
        </w:rPr>
        <w:t>西客</w:t>
      </w:r>
      <w:r>
        <w:rPr>
          <w:sz w:val="24"/>
          <w:szCs w:val="24"/>
          <w:spacing w:val="52"/>
        </w:rPr>
        <w:t xml:space="preserve">  </w:t>
      </w:r>
      <w:r>
        <w:rPr>
          <w:sz w:val="18"/>
          <w:szCs w:val="18"/>
          <w:color w:val="9BB4C3"/>
          <w:spacing w:val="-21"/>
          <w:position w:val="21"/>
        </w:rPr>
        <w:t>东安岛  </w:t>
      </w:r>
      <w:r>
        <w:rPr>
          <w:sz w:val="24"/>
          <w:szCs w:val="24"/>
          <w:color w:val="FFFFFF"/>
          <w:spacing w:val="-21"/>
          <w:position w:val="21"/>
        </w:rPr>
        <w:t>坞</w:t>
      </w:r>
      <w:r>
        <w:rPr>
          <w:sz w:val="18"/>
          <w:szCs w:val="18"/>
          <w:spacing w:val="-21"/>
          <w:position w:val="-28"/>
        </w:rPr>
        <w:t>二</w:t>
      </w:r>
      <w:r>
        <w:rPr>
          <w:sz w:val="18"/>
          <w:szCs w:val="18"/>
          <w:position w:val="-30"/>
        </w:rPr>
        <w:drawing>
          <wp:inline distT="0" distB="0" distL="0" distR="0">
            <wp:extent cx="88439" cy="179034"/>
            <wp:effectExtent l="0" t="0" r="0" b="0"/>
            <wp:docPr id="54" name="IM 54"/>
            <wp:cNvGraphicFramePr/>
            <a:graphic>
              <a:graphicData uri="http://schemas.openxmlformats.org/drawingml/2006/picture">
                <pic:pic>
                  <pic:nvPicPr>
                    <pic:cNvPr id="54" name="IM 54"/>
                    <pic:cNvPicPr/>
                  </pic:nvPicPr>
                  <pic:blipFill>
                    <a:blip r:embed="rId221"/>
                    <a:stretch>
                      <a:fillRect/>
                    </a:stretch>
                  </pic:blipFill>
                  <pic:spPr>
                    <a:xfrm rot="0">
                      <a:off x="0" y="0"/>
                      <a:ext cx="88439" cy="179034"/>
                    </a:xfrm>
                    <a:prstGeom prst="rect">
                      <a:avLst/>
                    </a:prstGeom>
                  </pic:spPr>
                </pic:pic>
              </a:graphicData>
            </a:graphic>
          </wp:inline>
        </w:drawing>
      </w:r>
      <w:r>
        <w:rPr>
          <w:sz w:val="18"/>
          <w:szCs w:val="18"/>
          <w:spacing w:val="15"/>
          <w:position w:val="-28"/>
        </w:rPr>
        <w:t xml:space="preserve">   </w:t>
      </w:r>
      <w:r>
        <w:rPr>
          <w:sz w:val="13"/>
          <w:szCs w:val="13"/>
          <w:color w:val="FFFFFF"/>
          <w:spacing w:val="-21"/>
          <w:position w:val="-6"/>
        </w:rPr>
        <w:t>法华(</w:t>
      </w:r>
    </w:p>
    <w:p>
      <w:pPr>
        <w:pStyle w:val="BodyText"/>
        <w:ind w:left="1760"/>
        <w:spacing w:before="178" w:line="390" w:lineRule="exact"/>
        <w:rPr>
          <w:sz w:val="18"/>
          <w:szCs w:val="18"/>
        </w:rPr>
      </w:pPr>
      <w:r>
        <w:rPr>
          <w:rFonts w:ascii="STXinwei" w:hAnsi="STXinwei" w:eastAsia="STXinwei" w:cs="STXinwei"/>
          <w:sz w:val="24"/>
          <w:szCs w:val="24"/>
          <w:color w:val="83B0C7"/>
          <w:spacing w:val="-6"/>
          <w:position w:val="5"/>
        </w:rPr>
        <w:t>蕉            </w:t>
      </w:r>
      <w:r>
        <w:rPr>
          <w:sz w:val="18"/>
          <w:szCs w:val="18"/>
          <w:color w:val="33BAEC"/>
          <w:spacing w:val="-6"/>
          <w:position w:val="4"/>
        </w:rPr>
        <w:t>)                    </w:t>
      </w:r>
      <w:r>
        <w:rPr>
          <w:rFonts w:ascii="SimHei" w:hAnsi="SimHei" w:eastAsia="SimHei" w:cs="SimHei"/>
          <w:sz w:val="13"/>
          <w:szCs w:val="13"/>
          <w:spacing w:val="-6"/>
          <w:position w:val="6"/>
        </w:rPr>
        <w:t>辛</w:t>
      </w:r>
      <w:r>
        <w:rPr>
          <w:rFonts w:ascii="SimHei" w:hAnsi="SimHei" w:eastAsia="SimHei" w:cs="SimHei"/>
          <w:sz w:val="13"/>
          <w:szCs w:val="13"/>
          <w:spacing w:val="-6"/>
          <w:position w:val="6"/>
        </w:rPr>
        <w:t xml:space="preserve"> </w:t>
      </w:r>
      <w:r>
        <w:rPr>
          <w:rFonts w:ascii="SimHei" w:hAnsi="SimHei" w:eastAsia="SimHei" w:cs="SimHei"/>
          <w:sz w:val="13"/>
          <w:szCs w:val="13"/>
          <w:spacing w:val="-7"/>
          <w:position w:val="6"/>
        </w:rPr>
        <w:t xml:space="preserve">   </w:t>
      </w:r>
      <w:r>
        <w:ruby>
          <w:rubyPr>
            <w:rubyAlign w:val="left"/>
            <w:hpsRaise w:val="8"/>
            <w:hps w:val="18"/>
            <w:hpsBaseText w:val="18"/>
          </w:rubyPr>
          <w:rt>
            <w:r>
              <w:rPr>
                <w:sz w:val="18"/>
                <w:szCs w:val="18"/>
                <w:color w:val="A25870"/>
                <w:w w:val="68"/>
                <w:position w:val="8"/>
              </w:rPr>
              <w:t>●东冲半</w:t>
            </w:r>
          </w:rt>
          <w:rubyBase>
            <w:r>
              <w:rPr>
                <w:rFonts w:ascii="STXinwei" w:hAnsi="STXinwei" w:eastAsia="STXinwei" w:cs="STXinwei"/>
                <w:sz w:val="18"/>
                <w:szCs w:val="18"/>
                <w:color w:val="40B9FF"/>
                <w:w w:val="96"/>
                <w:position w:val="-4"/>
              </w:rPr>
              <w:t>廷亭9</w:t>
            </w:r>
          </w:rubyBase>
        </w:ruby>
      </w:r>
      <w:r>
        <w:rPr>
          <w:sz w:val="18"/>
          <w:szCs w:val="18"/>
          <w:color w:val="A25870"/>
          <w:spacing w:val="-7"/>
          <w:position w:val="17"/>
        </w:rPr>
        <w:t>岛</w:t>
      </w:r>
    </w:p>
    <w:p>
      <w:pPr>
        <w:pStyle w:val="BodyText"/>
        <w:ind w:left="1889"/>
        <w:spacing w:before="1" w:line="205" w:lineRule="auto"/>
        <w:rPr>
          <w:sz w:val="24"/>
          <w:szCs w:val="24"/>
        </w:rPr>
      </w:pPr>
      <w:r>
        <w:rPr>
          <w:sz w:val="24"/>
          <w:szCs w:val="24"/>
          <w:color w:val="6A9AB2"/>
          <w:spacing w:val="-4"/>
          <w:position w:val="-6"/>
        </w:rPr>
        <w:t>城           </w:t>
      </w:r>
      <w:r>
        <w:rPr>
          <w:sz w:val="13"/>
          <w:szCs w:val="13"/>
          <w:color w:val="FFFFFF"/>
          <w:spacing w:val="-4"/>
          <w:position w:val="-4"/>
        </w:rPr>
        <w:t>大安</w:t>
      </w:r>
      <w:r>
        <w:rPr>
          <w:sz w:val="13"/>
          <w:szCs w:val="13"/>
          <w:color w:val="FFFFFF"/>
          <w:spacing w:val="2"/>
          <w:position w:val="-4"/>
        </w:rPr>
        <w:t xml:space="preserve">         </w:t>
      </w:r>
      <w:r>
        <w:rPr>
          <w:sz w:val="24"/>
          <w:szCs w:val="24"/>
          <w:color w:val="DC732D"/>
          <w:spacing w:val="-16"/>
          <w:w w:val="79"/>
          <w:position w:val="3"/>
        </w:rPr>
        <w:t>不</w:t>
      </w:r>
      <w:r>
        <w:rPr>
          <w:sz w:val="24"/>
          <w:szCs w:val="24"/>
          <w:spacing w:val="-16"/>
          <w:w w:val="79"/>
          <w:position w:val="3"/>
        </w:rPr>
        <w:t>浒镇</w:t>
      </w:r>
    </w:p>
    <w:p>
      <w:pPr>
        <w:spacing w:line="122" w:lineRule="auto"/>
        <w:rPr>
          <w:rFonts w:ascii="Arial"/>
          <w:sz w:val="2"/>
        </w:rPr>
      </w:pPr>
      <w:r>
        <w:rPr>
          <w:rFonts w:ascii="Arial"/>
          <w:sz w:val="2"/>
        </w:rPr>
      </w:r>
    </w:p>
    <w:tbl>
      <w:tblPr>
        <w:tblStyle w:val="TableNormal"/>
        <w:tblW w:w="4288" w:type="dxa"/>
        <w:tblInd w:w="176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830"/>
        <w:gridCol w:w="570"/>
        <w:gridCol w:w="1888"/>
      </w:tblGrid>
      <w:tr>
        <w:trPr>
          <w:trHeight w:val="1100" w:hRule="atLeast"/>
        </w:trPr>
        <w:tc>
          <w:tcPr>
            <w:tcW w:w="1830" w:type="dxa"/>
            <w:vAlign w:val="top"/>
          </w:tcPr>
          <w:p>
            <w:pPr>
              <w:pStyle w:val="TableText"/>
              <w:ind w:left="1239"/>
              <w:spacing w:before="179" w:line="194" w:lineRule="auto"/>
              <w:rPr>
                <w:sz w:val="13"/>
                <w:szCs w:val="13"/>
              </w:rPr>
            </w:pPr>
            <w:r>
              <w:pict>
                <v:shape id="_x0000_s128" style="position:absolute;margin-left:15.4993pt;margin-top:-0.982883pt;mso-position-vertical-relative:text;mso-position-horizontal-relative:text;width:10.35pt;height:16.6pt;z-index:252010496;" filled="false" stroked="false" type="#_x0000_t202">
                  <v:fill on="false"/>
                  <v:stroke on="false"/>
                  <v:path/>
                  <v:imagedata o:title=""/>
                  <o:lock v:ext="edit" aspectratio="false"/>
                  <v:textbox inset="0mm,0mm,0mm,0mm">
                    <w:txbxContent>
                      <w:p>
                        <w:pPr>
                          <w:pStyle w:val="TableText"/>
                          <w:spacing w:before="20" w:line="224" w:lineRule="auto"/>
                          <w:jc w:val="right"/>
                          <w:rPr>
                            <w:sz w:val="24"/>
                            <w:szCs w:val="24"/>
                          </w:rPr>
                        </w:pPr>
                        <w:r>
                          <w:rPr>
                            <w:sz w:val="24"/>
                            <w:szCs w:val="24"/>
                            <w:color w:val="95C5D7"/>
                            <w:spacing w:val="-34"/>
                            <w:w w:val="83"/>
                          </w:rPr>
                          <w:t>区</w:t>
                        </w:r>
                      </w:p>
                    </w:txbxContent>
                  </v:textbox>
                </v:shape>
              </w:pict>
            </w:r>
            <w:r>
              <w:rPr>
                <w:sz w:val="13"/>
                <w:szCs w:val="13"/>
                <w:color w:val="F6803D"/>
                <w:spacing w:val="5"/>
              </w:rPr>
              <w:t>四门桥</w:t>
            </w:r>
          </w:p>
          <w:p>
            <w:pPr>
              <w:ind w:left="240"/>
              <w:spacing w:line="194" w:lineRule="auto"/>
              <w:rPr>
                <w:rFonts w:ascii="LiSu" w:hAnsi="LiSu" w:eastAsia="LiSu" w:cs="LiSu"/>
                <w:sz w:val="13"/>
                <w:szCs w:val="13"/>
              </w:rPr>
            </w:pPr>
            <w:r>
              <w:rPr>
                <w:rFonts w:ascii="FangSong" w:hAnsi="FangSong" w:eastAsia="FangSong" w:cs="FangSong"/>
                <w:sz w:val="13"/>
                <w:szCs w:val="13"/>
                <w:spacing w:val="-2"/>
              </w:rPr>
              <w:t>中否平平大花是</w:t>
            </w:r>
            <w:r>
              <w:rPr>
                <w:rFonts w:ascii="LiSu" w:hAnsi="LiSu" w:eastAsia="LiSu" w:cs="LiSu"/>
                <w:sz w:val="13"/>
                <w:szCs w:val="13"/>
                <w:spacing w:val="-2"/>
              </w:rPr>
              <w:t>。</w:t>
            </w:r>
            <w:r>
              <w:rPr>
                <w:rFonts w:ascii="LiSu" w:hAnsi="LiSu" w:eastAsia="LiSu" w:cs="LiSu"/>
                <w:sz w:val="13"/>
                <w:szCs w:val="13"/>
                <w:spacing w:val="-27"/>
              </w:rPr>
              <w:t xml:space="preserve"> </w:t>
            </w:r>
            <w:r>
              <w:rPr>
                <w:rFonts w:ascii="LiSu" w:hAnsi="LiSu" w:eastAsia="LiSu" w:cs="LiSu"/>
                <w:sz w:val="13"/>
                <w:szCs w:val="13"/>
                <w:spacing w:val="-2"/>
              </w:rPr>
              <w:t>北</w:t>
            </w:r>
            <w:r>
              <w:rPr>
                <w:rFonts w:ascii="LiSu" w:hAnsi="LiSu" w:eastAsia="LiSu" w:cs="LiSu"/>
                <w:sz w:val="13"/>
                <w:szCs w:val="13"/>
                <w:spacing w:val="-31"/>
              </w:rPr>
              <w:t xml:space="preserve"> </w:t>
            </w:r>
            <w:r>
              <w:rPr>
                <w:rFonts w:ascii="LiSu" w:hAnsi="LiSu" w:eastAsia="LiSu" w:cs="LiSu"/>
                <w:sz w:val="13"/>
                <w:szCs w:val="13"/>
                <w:spacing w:val="-2"/>
              </w:rPr>
              <w:t>辟</w:t>
            </w:r>
            <w:r>
              <w:rPr>
                <w:rFonts w:ascii="LiSu" w:hAnsi="LiSu" w:eastAsia="LiSu" w:cs="LiSu"/>
                <w:sz w:val="13"/>
                <w:szCs w:val="13"/>
                <w:spacing w:val="-27"/>
              </w:rPr>
              <w:t xml:space="preserve"> </w:t>
            </w:r>
            <w:r>
              <w:rPr>
                <w:rFonts w:ascii="LiSu" w:hAnsi="LiSu" w:eastAsia="LiSu" w:cs="LiSu"/>
                <w:sz w:val="13"/>
                <w:szCs w:val="13"/>
                <w:spacing w:val="-2"/>
              </w:rPr>
              <w:t>乡</w:t>
            </w:r>
          </w:p>
          <w:p>
            <w:pPr>
              <w:ind w:left="49"/>
              <w:rPr>
                <w:rFonts w:ascii="STXinwei" w:hAnsi="STXinwei" w:eastAsia="STXinwei" w:cs="STXinwei"/>
                <w:sz w:val="18"/>
                <w:szCs w:val="18"/>
              </w:rPr>
            </w:pPr>
            <w:r>
              <w:rPr>
                <w:rFonts w:ascii="STXinwei" w:hAnsi="STXinwei" w:eastAsia="STXinwei" w:cs="STXinwei"/>
                <w:sz w:val="18"/>
                <w:szCs w:val="18"/>
                <w:color w:val="CD2DC7"/>
                <w:position w:val="-6"/>
              </w:rPr>
              <w:drawing>
                <wp:inline distT="0" distB="0" distL="0" distR="0">
                  <wp:extent cx="177804" cy="165106"/>
                  <wp:effectExtent l="0" t="0" r="0" b="0"/>
                  <wp:docPr id="56" name="IM 56"/>
                  <wp:cNvGraphicFramePr/>
                  <a:graphic>
                    <a:graphicData uri="http://schemas.openxmlformats.org/drawingml/2006/picture">
                      <pic:pic>
                        <pic:nvPicPr>
                          <pic:cNvPr id="56" name="IM 56"/>
                          <pic:cNvPicPr/>
                        </pic:nvPicPr>
                        <pic:blipFill>
                          <a:blip r:embed="rId222"/>
                          <a:stretch>
                            <a:fillRect/>
                          </a:stretch>
                        </pic:blipFill>
                        <pic:spPr>
                          <a:xfrm rot="0">
                            <a:off x="0" y="0"/>
                            <a:ext cx="177804" cy="165106"/>
                          </a:xfrm>
                          <a:prstGeom prst="rect">
                            <a:avLst/>
                          </a:prstGeom>
                        </pic:spPr>
                      </pic:pic>
                    </a:graphicData>
                  </a:graphic>
                </wp:inline>
              </w:drawing>
            </w:r>
            <w:r>
              <w:rPr>
                <w:rFonts w:ascii="STXinwei" w:hAnsi="STXinwei" w:eastAsia="STXinwei" w:cs="STXinwei"/>
                <w:sz w:val="18"/>
                <w:szCs w:val="18"/>
                <w:color w:val="CD2DC7"/>
                <w:spacing w:val="11"/>
              </w:rPr>
              <w:t xml:space="preserve">  </w:t>
            </w:r>
            <w:r>
              <w:rPr>
                <w:rFonts w:ascii="STXinwei" w:hAnsi="STXinwei" w:eastAsia="STXinwei" w:cs="STXinwei"/>
                <w:sz w:val="18"/>
                <w:szCs w:val="18"/>
                <w:color w:val="CD2DC7"/>
                <w:spacing w:val="-10"/>
              </w:rPr>
              <w:t>填</w:t>
            </w:r>
            <w:r>
              <w:rPr>
                <w:rFonts w:ascii="STXinwei" w:hAnsi="STXinwei" w:eastAsia="STXinwei" w:cs="STXinwei"/>
                <w:sz w:val="18"/>
                <w:szCs w:val="18"/>
                <w:color w:val="CD2DC7"/>
                <w:spacing w:val="3"/>
              </w:rPr>
              <w:t xml:space="preserve">       </w:t>
            </w:r>
            <w:r>
              <w:rPr>
                <w:rFonts w:ascii="STXinwei" w:hAnsi="STXinwei" w:eastAsia="STXinwei" w:cs="STXinwei"/>
                <w:sz w:val="18"/>
                <w:szCs w:val="18"/>
                <w:color w:val="CD2DC7"/>
                <w:spacing w:val="-10"/>
              </w:rPr>
              <w:t>列</w:t>
            </w:r>
          </w:p>
          <w:p>
            <w:pPr>
              <w:pStyle w:val="TableText"/>
              <w:spacing w:before="25" w:line="339" w:lineRule="exact"/>
              <w:rPr>
                <w:sz w:val="18"/>
                <w:szCs w:val="18"/>
              </w:rPr>
            </w:pPr>
            <w:r>
              <w:rPr>
                <w:rFonts w:ascii="SimHei" w:hAnsi="SimHei" w:eastAsia="SimHei" w:cs="SimHei"/>
                <w:sz w:val="24"/>
                <w:szCs w:val="24"/>
                <w:color w:val="7AA9BE"/>
                <w:spacing w:val="-20"/>
                <w:w w:val="54"/>
                <w:position w:val="2"/>
              </w:rPr>
              <w:t>罗</w:t>
            </w:r>
            <w:r>
              <w:rPr>
                <w:rFonts w:ascii="SimHei" w:hAnsi="SimHei" w:eastAsia="SimHei" w:cs="SimHei"/>
                <w:sz w:val="24"/>
                <w:szCs w:val="24"/>
                <w:color w:val="7AA9BE"/>
                <w:spacing w:val="13"/>
                <w:position w:val="2"/>
              </w:rPr>
              <w:t xml:space="preserve">       </w:t>
            </w:r>
            <w:r>
              <w:rPr>
                <w:rFonts w:ascii="SimHei" w:hAnsi="SimHei" w:eastAsia="SimHei" w:cs="SimHei"/>
                <w:sz w:val="13"/>
                <w:szCs w:val="13"/>
                <w:spacing w:val="-23"/>
                <w:w w:val="93"/>
                <w:position w:val="13"/>
              </w:rPr>
              <w:t>东冲</w:t>
            </w:r>
            <w:r>
              <w:rPr>
                <w:rFonts w:ascii="SimHei" w:hAnsi="SimHei" w:eastAsia="SimHei" w:cs="SimHei"/>
                <w:sz w:val="13"/>
                <w:szCs w:val="13"/>
                <w:spacing w:val="-23"/>
                <w:w w:val="93"/>
                <w:position w:val="13"/>
              </w:rPr>
              <w:t xml:space="preserve">   </w:t>
            </w:r>
            <w:r>
              <w:rPr>
                <w:sz w:val="18"/>
                <w:szCs w:val="18"/>
                <w:spacing w:val="-23"/>
                <w:w w:val="93"/>
                <w:position w:val="-2"/>
              </w:rPr>
              <w:t>下的G</w:t>
            </w:r>
          </w:p>
        </w:tc>
        <w:tc>
          <w:tcPr>
            <w:tcW w:w="570" w:type="dxa"/>
            <w:vAlign w:val="top"/>
          </w:tcPr>
          <w:p>
            <w:pPr>
              <w:pStyle w:val="TableText"/>
              <w:ind w:left="89"/>
              <w:spacing w:before="29" w:line="219" w:lineRule="auto"/>
              <w:rPr>
                <w:sz w:val="13"/>
                <w:szCs w:val="13"/>
              </w:rPr>
            </w:pPr>
            <w:r>
              <w:rPr>
                <w:sz w:val="13"/>
                <w:szCs w:val="13"/>
              </w:rPr>
              <w:t>岛</w:t>
            </w:r>
          </w:p>
          <w:p>
            <w:pPr>
              <w:pStyle w:val="TableText"/>
              <w:ind w:left="89"/>
              <w:spacing w:before="95" w:line="219" w:lineRule="auto"/>
              <w:rPr>
                <w:sz w:val="13"/>
                <w:szCs w:val="13"/>
              </w:rPr>
            </w:pPr>
            <w:r>
              <w:rPr>
                <w:sz w:val="13"/>
                <w:szCs w:val="13"/>
                <w:color w:val="FFFFFF"/>
                <w:spacing w:val="-2"/>
              </w:rPr>
              <w:t>池澳[</w:t>
            </w:r>
          </w:p>
        </w:tc>
        <w:tc>
          <w:tcPr>
            <w:tcW w:w="1888" w:type="dxa"/>
            <w:vAlign w:val="top"/>
          </w:tcPr>
          <w:p>
            <w:pPr>
              <w:spacing w:line="391" w:lineRule="auto"/>
              <w:rPr>
                <w:rFonts w:ascii="Arial"/>
                <w:sz w:val="21"/>
              </w:rPr>
            </w:pPr>
            <w:r/>
          </w:p>
          <w:p>
            <w:pPr>
              <w:ind w:firstLine="160"/>
              <w:spacing w:line="140" w:lineRule="exact"/>
              <w:rPr/>
            </w:pPr>
            <w:r>
              <w:rPr>
                <w:position w:val="-2"/>
              </w:rPr>
              <w:drawing>
                <wp:inline distT="0" distB="0" distL="0" distR="0">
                  <wp:extent cx="139643" cy="88969"/>
                  <wp:effectExtent l="0" t="0" r="0" b="0"/>
                  <wp:docPr id="58" name="IM 58"/>
                  <wp:cNvGraphicFramePr/>
                  <a:graphic>
                    <a:graphicData uri="http://schemas.openxmlformats.org/drawingml/2006/picture">
                      <pic:pic>
                        <pic:nvPicPr>
                          <pic:cNvPr id="58" name="IM 58"/>
                          <pic:cNvPicPr/>
                        </pic:nvPicPr>
                        <pic:blipFill>
                          <a:blip r:embed="rId223"/>
                          <a:stretch>
                            <a:fillRect/>
                          </a:stretch>
                        </pic:blipFill>
                        <pic:spPr>
                          <a:xfrm rot="0">
                            <a:off x="0" y="0"/>
                            <a:ext cx="139643" cy="88969"/>
                          </a:xfrm>
                          <a:prstGeom prst="rect">
                            <a:avLst/>
                          </a:prstGeom>
                        </pic:spPr>
                      </pic:pic>
                    </a:graphicData>
                  </a:graphic>
                </wp:inline>
              </w:drawing>
            </w:r>
          </w:p>
          <w:p>
            <w:pPr>
              <w:pStyle w:val="TableText"/>
              <w:ind w:left="639"/>
              <w:spacing w:before="35" w:line="220" w:lineRule="auto"/>
              <w:rPr>
                <w:sz w:val="13"/>
                <w:szCs w:val="13"/>
              </w:rPr>
            </w:pPr>
            <w:r>
              <w:rPr>
                <w:sz w:val="13"/>
                <w:szCs w:val="13"/>
                <w:color w:val="CCE8F9"/>
                <w:spacing w:val="-16"/>
              </w:rPr>
              <w:t>小四开嘉</w:t>
            </w:r>
          </w:p>
          <w:p>
            <w:pPr>
              <w:ind w:left="939"/>
              <w:spacing w:before="116" w:line="182" w:lineRule="auto"/>
              <w:rPr>
                <w:rFonts w:ascii="STXinwei" w:hAnsi="STXinwei" w:eastAsia="STXinwei" w:cs="STXinwei"/>
                <w:sz w:val="13"/>
                <w:szCs w:val="13"/>
              </w:rPr>
            </w:pPr>
            <w:r>
              <w:rPr>
                <w:rFonts w:ascii="STXinwei" w:hAnsi="STXinwei" w:eastAsia="STXinwei" w:cs="STXinwei"/>
                <w:sz w:val="13"/>
                <w:szCs w:val="13"/>
                <w:color w:val="FFFFFF"/>
                <w:spacing w:val="-16"/>
              </w:rPr>
              <w:t>口马数角</w:t>
            </w:r>
          </w:p>
          <w:p>
            <w:pPr>
              <w:spacing w:line="165" w:lineRule="auto"/>
              <w:jc w:val="right"/>
              <w:rPr>
                <w:rFonts w:ascii="STXinwei" w:hAnsi="STXinwei" w:eastAsia="STXinwei" w:cs="STXinwei"/>
                <w:sz w:val="13"/>
                <w:szCs w:val="13"/>
              </w:rPr>
            </w:pPr>
            <w:r>
              <w:rPr>
                <w:rFonts w:ascii="STXinwei" w:hAnsi="STXinwei" w:eastAsia="STXinwei" w:cs="STXinwei"/>
                <w:sz w:val="13"/>
                <w:szCs w:val="13"/>
                <w:spacing w:val="6"/>
              </w:rPr>
              <w:t>为种的</w:t>
            </w:r>
          </w:p>
        </w:tc>
      </w:tr>
    </w:tbl>
    <w:p>
      <w:pPr>
        <w:spacing w:line="14" w:lineRule="auto"/>
        <w:rPr>
          <w:rFonts w:ascii="Arial"/>
          <w:sz w:val="2"/>
        </w:rPr>
      </w:pPr>
      <w:r/>
    </w:p>
    <w:p>
      <w:pPr>
        <w:spacing w:line="14" w:lineRule="auto"/>
        <w:rPr>
          <w:rFonts w:ascii="Arial"/>
          <w:sz w:val="2"/>
        </w:rPr>
      </w:pPr>
      <w:r>
        <w:rPr>
          <w:rFonts w:ascii="Arial" w:hAnsi="Arial" w:eastAsia="Arial" w:cs="Arial"/>
          <w:sz w:val="2"/>
          <w:szCs w:val="2"/>
        </w:rPr>
        <w:br w:type="column"/>
      </w:r>
    </w:p>
    <w:tbl>
      <w:tblPr>
        <w:tblStyle w:val="TableNormal"/>
        <w:tblW w:w="3097" w:type="dxa"/>
        <w:tblInd w:w="79"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562"/>
        <w:gridCol w:w="1535"/>
      </w:tblGrid>
      <w:tr>
        <w:trPr>
          <w:trHeight w:val="2554" w:hRule="atLeast"/>
        </w:trPr>
        <w:tc>
          <w:tcPr>
            <w:tcW w:w="1562" w:type="dxa"/>
            <w:vAlign w:val="top"/>
          </w:tcPr>
          <w:p>
            <w:pPr>
              <w:pStyle w:val="TableText"/>
              <w:ind w:left="939"/>
              <w:spacing w:line="219" w:lineRule="auto"/>
              <w:rPr>
                <w:sz w:val="13"/>
                <w:szCs w:val="13"/>
              </w:rPr>
            </w:pPr>
            <w:r>
              <w:rPr>
                <w:sz w:val="13"/>
                <w:szCs w:val="13"/>
                <w:spacing w:val="-4"/>
              </w:rPr>
              <w:t>备</w:t>
            </w:r>
            <w:r>
              <w:rPr>
                <w:sz w:val="13"/>
                <w:szCs w:val="13"/>
                <w:spacing w:val="-19"/>
              </w:rPr>
              <w:t xml:space="preserve"> </w:t>
            </w:r>
            <w:r>
              <w:rPr>
                <w:sz w:val="13"/>
                <w:szCs w:val="13"/>
                <w:spacing w:val="-4"/>
              </w:rPr>
              <w:t>族</w:t>
            </w:r>
            <w:r>
              <w:rPr>
                <w:sz w:val="13"/>
                <w:szCs w:val="13"/>
                <w:spacing w:val="-12"/>
              </w:rPr>
              <w:t xml:space="preserve"> </w:t>
            </w:r>
            <w:r>
              <w:rPr>
                <w:sz w:val="13"/>
                <w:szCs w:val="13"/>
                <w:spacing w:val="-4"/>
              </w:rPr>
              <w:t>乡</w:t>
            </w:r>
          </w:p>
          <w:p>
            <w:pPr>
              <w:spacing w:line="255" w:lineRule="auto"/>
              <w:rPr>
                <w:rFonts w:ascii="Arial"/>
                <w:sz w:val="21"/>
              </w:rPr>
            </w:pPr>
            <w:r/>
          </w:p>
          <w:p>
            <w:pPr>
              <w:pStyle w:val="TableText"/>
              <w:ind w:left="689"/>
              <w:spacing w:before="59" w:line="219" w:lineRule="auto"/>
              <w:rPr>
                <w:sz w:val="18"/>
                <w:szCs w:val="18"/>
              </w:rPr>
            </w:pPr>
            <w:r>
              <w:pict>
                <v:shape id="_x0000_s130" style="position:absolute;margin-left:2.49866pt;margin-top:-5.41272pt;mso-position-vertical-relative:text;mso-position-horizontal-relative:text;width:34.55pt;height:16.3pt;z-index:252015616;" filled="false" stroked="false" type="#_x0000_t202">
                  <v:fill on="false"/>
                  <v:stroke on="false"/>
                  <v:path/>
                  <v:imagedata o:title=""/>
                  <o:lock v:ext="edit" aspectratio="false"/>
                  <v:textbox inset="0mm,0mm,0mm,0mm">
                    <w:txbxContent>
                      <w:p>
                        <w:pPr>
                          <w:pStyle w:val="TableText"/>
                          <w:spacing w:before="20" w:line="219" w:lineRule="auto"/>
                          <w:jc w:val="right"/>
                          <w:rPr>
                            <w:sz w:val="24"/>
                            <w:szCs w:val="24"/>
                          </w:rPr>
                        </w:pPr>
                        <w:r>
                          <w:rPr>
                            <w:sz w:val="24"/>
                            <w:szCs w:val="24"/>
                            <w:spacing w:val="-30"/>
                            <w:w w:val="80"/>
                          </w:rPr>
                          <w:t>习城镇。</w:t>
                        </w:r>
                      </w:p>
                    </w:txbxContent>
                  </v:textbox>
                </v:shape>
              </w:pict>
            </w:r>
            <w:r>
              <w:rPr>
                <w:sz w:val="18"/>
                <w:szCs w:val="18"/>
                <w:color w:val="BD9C92"/>
                <w:spacing w:val="-13"/>
                <w:w w:val="94"/>
              </w:rPr>
              <w:t>牙城</w:t>
            </w:r>
          </w:p>
          <w:p>
            <w:pPr>
              <w:pStyle w:val="TableText"/>
              <w:ind w:left="760"/>
              <w:spacing w:before="113" w:line="219" w:lineRule="auto"/>
              <w:rPr>
                <w:sz w:val="13"/>
                <w:szCs w:val="13"/>
              </w:rPr>
            </w:pPr>
            <w:r>
              <w:pict>
                <v:shape id="_x0000_s132" style="position:absolute;margin-left:-0.99997pt;margin-top:4.17154pt;mso-position-vertical-relative:text;mso-position-horizontal-relative:text;width:14.75pt;height:9.85pt;z-index:252022784;" filled="false" stroked="false" type="#_x0000_t202">
                  <v:fill on="false"/>
                  <v:stroke on="false"/>
                  <v:path/>
                  <v:imagedata o:title=""/>
                  <o:lock v:ext="edit" aspectratio="false"/>
                  <v:textbox inset="0mm,0mm,0mm,0mm">
                    <w:txbxContent>
                      <w:p>
                        <w:pPr>
                          <w:ind w:left="20"/>
                          <w:spacing w:before="19" w:line="222" w:lineRule="auto"/>
                          <w:rPr>
                            <w:rFonts w:ascii="SimHei" w:hAnsi="SimHei" w:eastAsia="SimHei" w:cs="SimHei"/>
                            <w:sz w:val="13"/>
                            <w:szCs w:val="13"/>
                          </w:rPr>
                        </w:pPr>
                        <w:r>
                          <w:rPr>
                            <w:rFonts w:ascii="SimHei" w:hAnsi="SimHei" w:eastAsia="SimHei" w:cs="SimHei"/>
                            <w:sz w:val="13"/>
                            <w:szCs w:val="13"/>
                            <w:spacing w:val="-2"/>
                          </w:rPr>
                          <w:t>风间</w:t>
                        </w:r>
                      </w:p>
                    </w:txbxContent>
                  </v:textbox>
                </v:shape>
              </w:pict>
            </w:r>
            <w:r>
              <w:rPr>
                <w:sz w:val="13"/>
                <w:szCs w:val="13"/>
                <w:spacing w:val="-6"/>
              </w:rPr>
              <w:t>青</w:t>
            </w:r>
            <w:r>
              <w:rPr>
                <w:sz w:val="13"/>
                <w:szCs w:val="13"/>
                <w:spacing w:val="-12"/>
              </w:rPr>
              <w:t xml:space="preserve"> </w:t>
            </w:r>
            <w:r>
              <w:rPr>
                <w:sz w:val="13"/>
                <w:szCs w:val="13"/>
                <w:spacing w:val="-6"/>
              </w:rPr>
              <w:t>官</w:t>
            </w:r>
            <w:r>
              <w:rPr>
                <w:sz w:val="13"/>
                <w:szCs w:val="13"/>
                <w:spacing w:val="-14"/>
              </w:rPr>
              <w:t xml:space="preserve"> </w:t>
            </w:r>
            <w:r>
              <w:rPr>
                <w:sz w:val="13"/>
                <w:szCs w:val="13"/>
                <w:spacing w:val="-6"/>
              </w:rPr>
              <w:t>司</w:t>
            </w:r>
          </w:p>
          <w:p>
            <w:pPr>
              <w:ind w:left="200"/>
              <w:spacing w:before="1" w:line="183" w:lineRule="exact"/>
              <w:rPr/>
            </w:pPr>
            <w:r>
              <w:rPr>
                <w:position w:val="-4"/>
              </w:rPr>
              <w:drawing>
                <wp:inline distT="0" distB="0" distL="0" distR="0">
                  <wp:extent cx="165109" cy="116185"/>
                  <wp:effectExtent l="0" t="0" r="0" b="0"/>
                  <wp:docPr id="60" name="IM 60"/>
                  <wp:cNvGraphicFramePr/>
                  <a:graphic>
                    <a:graphicData uri="http://schemas.openxmlformats.org/drawingml/2006/picture">
                      <pic:pic>
                        <pic:nvPicPr>
                          <pic:cNvPr id="60" name="IM 60"/>
                          <pic:cNvPicPr/>
                        </pic:nvPicPr>
                        <pic:blipFill>
                          <a:blip r:embed="rId224"/>
                          <a:stretch>
                            <a:fillRect/>
                          </a:stretch>
                        </pic:blipFill>
                        <pic:spPr>
                          <a:xfrm rot="0">
                            <a:off x="0" y="0"/>
                            <a:ext cx="165109" cy="116185"/>
                          </a:xfrm>
                          <a:prstGeom prst="rect">
                            <a:avLst/>
                          </a:prstGeom>
                        </pic:spPr>
                      </pic:pic>
                    </a:graphicData>
                  </a:graphic>
                </wp:inline>
              </w:drawing>
            </w:r>
          </w:p>
          <w:p>
            <w:pPr>
              <w:ind w:left="550"/>
              <w:spacing w:line="235" w:lineRule="auto"/>
              <w:rPr>
                <w:rFonts w:ascii="SimHei" w:hAnsi="SimHei" w:eastAsia="SimHei" w:cs="SimHei"/>
                <w:sz w:val="16"/>
                <w:szCs w:val="16"/>
              </w:rPr>
            </w:pPr>
            <w:r>
              <w:pict>
                <v:shape id="_x0000_s134" style="position:absolute;margin-left:2.49863pt;margin-top:-0.556319pt;mso-position-vertical-relative:text;mso-position-horizontal-relative:text;width:3.55pt;height:5.45pt;z-index:252013568;" filled="false" stroked="false" type="#_x0000_t202">
                  <v:fill on="false"/>
                  <v:stroke on="false"/>
                  <v:path/>
                  <v:imagedata o:title=""/>
                  <o:lock v:ext="edit" aspectratio="false"/>
                  <v:textbox inset="0mm,0mm,0mm,0mm">
                    <w:txbxContent>
                      <w:p>
                        <w:pPr>
                          <w:pStyle w:val="TableText"/>
                          <w:ind w:left="20"/>
                          <w:spacing w:before="19" w:line="182" w:lineRule="auto"/>
                          <w:rPr>
                            <w:sz w:val="7"/>
                            <w:szCs w:val="7"/>
                          </w:rPr>
                        </w:pPr>
                        <w:r>
                          <w:rPr>
                            <w:sz w:val="7"/>
                            <w:szCs w:val="7"/>
                            <w:color w:val="FFFFFF"/>
                          </w:rPr>
                          <w:t>5</w:t>
                        </w:r>
                      </w:p>
                    </w:txbxContent>
                  </v:textbox>
                </v:shape>
              </w:pict>
            </w:r>
            <w:r>
              <w:pict>
                <v:shape id="_x0000_s136" style="position:absolute;margin-left:-1pt;margin-top:11.4866pt;mso-position-vertical-relative:text;mso-position-horizontal-relative:text;width:18.5pt;height:12.85pt;z-index:252008448;" filled="false" stroked="false" type="#_x0000_t202">
                  <v:fill on="false"/>
                  <v:stroke on="false"/>
                  <v:path/>
                  <v:imagedata o:title=""/>
                  <o:lock v:ext="edit" aspectratio="false"/>
                  <v:textbox inset="0mm,0mm,0mm,0mm">
                    <w:txbxContent>
                      <w:p>
                        <w:pPr>
                          <w:ind w:left="20"/>
                          <w:spacing w:before="20"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color w:val="CBEDFA"/>
                            <w:spacing w:val="-1"/>
                          </w:rPr>
                          <w:t>4ns</w:t>
                        </w:r>
                      </w:p>
                    </w:txbxContent>
                  </v:textbox>
                </v:shape>
              </w:pict>
            </w:r>
            <w:r>
              <w:pict>
                <v:shape id="_x0000_s138" style="position:absolute;margin-left:60.999pt;margin-top:12.7334pt;mso-position-vertical-relative:text;mso-position-horizontal-relative:text;width:15.25pt;height:12.85pt;z-index:252017664;" filled="false" stroked="false" type="#_x0000_t202">
                  <v:fill on="false"/>
                  <v:stroke on="false"/>
                  <v:path/>
                  <v:imagedata o:title=""/>
                  <o:lock v:ext="edit" aspectratio="false"/>
                  <v:textbox inset="0mm,0mm,0mm,0mm">
                    <w:txbxContent>
                      <w:p>
                        <w:pPr>
                          <w:spacing w:before="20" w:line="222" w:lineRule="auto"/>
                          <w:jc w:val="right"/>
                          <w:rPr>
                            <w:rFonts w:ascii="SimHei" w:hAnsi="SimHei" w:eastAsia="SimHei" w:cs="SimHei"/>
                            <w:sz w:val="18"/>
                            <w:szCs w:val="18"/>
                          </w:rPr>
                        </w:pPr>
                        <w:r>
                          <w:rPr>
                            <w:rFonts w:ascii="SimHei" w:hAnsi="SimHei" w:eastAsia="SimHei" w:cs="SimHei"/>
                            <w:sz w:val="18"/>
                            <w:szCs w:val="18"/>
                            <w:color w:val="FFFFFF"/>
                            <w:spacing w:val="-16"/>
                            <w:w w:val="79"/>
                          </w:rPr>
                          <w:t>弹</w:t>
                        </w:r>
                        <w:r>
                          <w:rPr>
                            <w:rFonts w:ascii="SimHei" w:hAnsi="SimHei" w:eastAsia="SimHei" w:cs="SimHei"/>
                            <w:sz w:val="18"/>
                            <w:szCs w:val="18"/>
                            <w:color w:val="FFFFFF"/>
                            <w:spacing w:val="-6"/>
                            <w:w w:val="79"/>
                          </w:rPr>
                          <w:t>火</w:t>
                        </w:r>
                      </w:p>
                    </w:txbxContent>
                  </v:textbox>
                </v:shape>
              </w:pict>
            </w:r>
            <w:r>
              <w:rPr>
                <w:rFonts w:ascii="SimHei" w:hAnsi="SimHei" w:eastAsia="SimHei" w:cs="SimHei"/>
                <w:sz w:val="16"/>
                <w:szCs w:val="16"/>
                <w:spacing w:val="-2"/>
              </w:rPr>
              <w:t>三沙</w:t>
            </w:r>
            <w:r>
              <w:rPr>
                <w:rFonts w:ascii="SimHei" w:hAnsi="SimHei" w:eastAsia="SimHei" w:cs="SimHei"/>
                <w:sz w:val="16"/>
                <w:szCs w:val="16"/>
                <w:color w:val="BD7421"/>
                <w:spacing w:val="-2"/>
              </w:rPr>
              <w:t>镇</w:t>
            </w:r>
          </w:p>
          <w:p>
            <w:pPr>
              <w:pStyle w:val="TableText"/>
              <w:ind w:left="899"/>
              <w:spacing w:line="232" w:lineRule="auto"/>
              <w:rPr>
                <w:sz w:val="11"/>
                <w:szCs w:val="11"/>
              </w:rPr>
            </w:pPr>
            <w:r>
              <w:rPr>
                <w:sz w:val="11"/>
                <w:szCs w:val="11"/>
                <w:color w:val="E2AF7C"/>
              </w:rPr>
              <w:t>●</w:t>
            </w:r>
          </w:p>
          <w:p>
            <w:pPr>
              <w:pStyle w:val="TableText"/>
              <w:ind w:left="939"/>
              <w:spacing w:before="146" w:line="217" w:lineRule="auto"/>
              <w:rPr>
                <w:sz w:val="7"/>
                <w:szCs w:val="7"/>
              </w:rPr>
            </w:pPr>
            <w:r>
              <w:rPr>
                <w:sz w:val="7"/>
                <w:szCs w:val="7"/>
              </w:rPr>
              <w:t>④</w:t>
            </w:r>
          </w:p>
          <w:p>
            <w:pPr>
              <w:pStyle w:val="TableText"/>
              <w:ind w:left="820"/>
              <w:spacing w:before="2" w:line="221" w:lineRule="auto"/>
              <w:rPr>
                <w:sz w:val="13"/>
                <w:szCs w:val="13"/>
              </w:rPr>
            </w:pPr>
            <w:r>
              <w:rPr>
                <w:sz w:val="13"/>
                <w:szCs w:val="13"/>
                <w:color w:val="80ACC0"/>
                <w:spacing w:val="-14"/>
                <w:w w:val="99"/>
              </w:rPr>
              <w:t>三的浦</w:t>
            </w:r>
          </w:p>
          <w:p>
            <w:pPr>
              <w:pStyle w:val="TableText"/>
              <w:ind w:left="379"/>
              <w:spacing w:before="173" w:line="219" w:lineRule="auto"/>
              <w:rPr>
                <w:sz w:val="13"/>
                <w:szCs w:val="13"/>
              </w:rPr>
            </w:pPr>
            <w:r>
              <w:rPr>
                <w:sz w:val="13"/>
                <w:szCs w:val="13"/>
                <w:color w:val="C3DEF4"/>
                <w:spacing w:val="-13"/>
              </w:rPr>
              <w:t>机性行岛</w:t>
            </w:r>
          </w:p>
          <w:p>
            <w:pPr>
              <w:pStyle w:val="TableText"/>
              <w:ind w:left="69"/>
              <w:spacing w:before="122" w:line="177" w:lineRule="auto"/>
              <w:rPr>
                <w:sz w:val="24"/>
                <w:szCs w:val="24"/>
              </w:rPr>
            </w:pPr>
            <w:r>
              <w:rPr>
                <w:sz w:val="24"/>
                <w:szCs w:val="24"/>
                <w:color w:val="A0E4F5"/>
              </w:rPr>
              <w:t>湾</w:t>
            </w:r>
          </w:p>
        </w:tc>
        <w:tc>
          <w:tcPr>
            <w:tcW w:w="1535" w:type="dxa"/>
            <w:vAlign w:val="top"/>
          </w:tcPr>
          <w:p>
            <w:pPr>
              <w:spacing w:line="243" w:lineRule="auto"/>
              <w:rPr>
                <w:rFonts w:ascii="Arial"/>
                <w:sz w:val="21"/>
              </w:rPr>
            </w:pPr>
            <w:r/>
          </w:p>
          <w:p>
            <w:pPr>
              <w:spacing w:line="244" w:lineRule="auto"/>
              <w:rPr>
                <w:rFonts w:ascii="Arial"/>
                <w:sz w:val="21"/>
              </w:rPr>
            </w:pPr>
            <w:r/>
          </w:p>
          <w:p>
            <w:pPr>
              <w:ind w:left="57"/>
              <w:spacing w:before="58" w:line="221" w:lineRule="auto"/>
              <w:rPr>
                <w:rFonts w:ascii="SimHei" w:hAnsi="SimHei" w:eastAsia="SimHei" w:cs="SimHei"/>
                <w:sz w:val="18"/>
                <w:szCs w:val="18"/>
              </w:rPr>
            </w:pPr>
            <w:r>
              <w:rPr>
                <w:rFonts w:ascii="SimHei" w:hAnsi="SimHei" w:eastAsia="SimHei" w:cs="SimHei"/>
                <w:sz w:val="18"/>
                <w:szCs w:val="18"/>
                <w:color w:val="AAEAFA"/>
                <w:spacing w:val="-13"/>
              </w:rPr>
              <w:t>里山湾</w:t>
            </w:r>
          </w:p>
          <w:p>
            <w:pPr>
              <w:pStyle w:val="TableText"/>
              <w:ind w:left="688"/>
              <w:spacing w:before="44" w:line="171" w:lineRule="auto"/>
              <w:rPr>
                <w:sz w:val="18"/>
                <w:szCs w:val="18"/>
              </w:rPr>
            </w:pPr>
            <w:r>
              <w:rPr>
                <w:sz w:val="18"/>
                <w:szCs w:val="18"/>
                <w:color w:val="B1936C"/>
                <w:spacing w:val="-21"/>
                <w:w w:val="96"/>
              </w:rPr>
              <w:t>⑥箭山镇</w:t>
            </w:r>
          </w:p>
          <w:p>
            <w:pPr>
              <w:pStyle w:val="TableText"/>
              <w:ind w:left="188"/>
              <w:spacing w:line="208" w:lineRule="auto"/>
              <w:rPr>
                <w:sz w:val="18"/>
                <w:szCs w:val="18"/>
              </w:rPr>
            </w:pPr>
            <w:r>
              <w:pict>
                <v:shape id="_x0000_s140" style="position:absolute;margin-left:38.4006pt;margin-top:2.19309pt;mso-position-vertical-relative:text;mso-position-horizontal-relative:text;width:26.85pt;height:9.75pt;z-index:252009472;" filled="false" stroked="false" type="#_x0000_t202">
                  <v:fill on="false"/>
                  <v:stroke on="false"/>
                  <v:path/>
                  <v:imagedata o:title=""/>
                  <o:lock v:ext="edit" aspectratio="false"/>
                  <v:textbox inset="0mm,0mm,0mm,0mm">
                    <w:txbxContent>
                      <w:p>
                        <w:pPr>
                          <w:pStyle w:val="TableText"/>
                          <w:ind w:right="3"/>
                          <w:spacing w:before="20" w:line="220" w:lineRule="auto"/>
                          <w:jc w:val="right"/>
                          <w:rPr>
                            <w:sz w:val="13"/>
                            <w:szCs w:val="13"/>
                          </w:rPr>
                        </w:pPr>
                        <w:r>
                          <w:rPr>
                            <w:sz w:val="13"/>
                            <w:szCs w:val="13"/>
                            <w:color w:val="FFFFFF"/>
                            <w:spacing w:val="-4"/>
                          </w:rPr>
                          <w:t>大 箭</w:t>
                        </w:r>
                        <w:r>
                          <w:rPr>
                            <w:sz w:val="13"/>
                            <w:szCs w:val="13"/>
                            <w:color w:val="FFFFFF"/>
                            <w:spacing w:val="8"/>
                          </w:rPr>
                          <w:t xml:space="preserve"> </w:t>
                        </w:r>
                        <w:r>
                          <w:rPr>
                            <w:sz w:val="13"/>
                            <w:szCs w:val="13"/>
                            <w:color w:val="FFFFFF"/>
                            <w:spacing w:val="-4"/>
                          </w:rPr>
                          <w:t>山</w:t>
                        </w:r>
                      </w:p>
                    </w:txbxContent>
                  </v:textbox>
                </v:shape>
              </w:pict>
            </w:r>
            <w:r>
              <w:rPr>
                <w:sz w:val="18"/>
                <w:szCs w:val="18"/>
                <w:color w:val="92ADBD"/>
                <w:spacing w:val="-16"/>
              </w:rPr>
              <w:t>小重山</w:t>
            </w:r>
          </w:p>
          <w:p>
            <w:pPr>
              <w:spacing w:before="194" w:line="232" w:lineRule="auto"/>
              <w:jc w:val="right"/>
              <w:rPr>
                <w:rFonts w:ascii="STXinwei" w:hAnsi="STXinwei" w:eastAsia="STXinwei" w:cs="STXinwei"/>
                <w:sz w:val="18"/>
                <w:szCs w:val="18"/>
              </w:rPr>
            </w:pPr>
            <w:r>
              <w:pict>
                <v:shape id="_x0000_s142" style="position:absolute;margin-left:26.8992pt;margin-top:6.50472pt;mso-position-vertical-relative:text;mso-position-horizontal-relative:text;width:7.9pt;height:9.9pt;z-index:252021760;" filled="false" stroked="false" type="#_x0000_t202">
                  <v:fill on="false"/>
                  <v:stroke on="false"/>
                  <v:path/>
                  <v:imagedata o:title=""/>
                  <o:lock v:ext="edit" aspectratio="false"/>
                  <v:textbox inset="0mm,0mm,0mm,0mm">
                    <w:txbxContent>
                      <w:p>
                        <w:pPr>
                          <w:ind w:left="20"/>
                          <w:spacing w:before="20" w:line="223" w:lineRule="auto"/>
                          <w:rPr>
                            <w:rFonts w:ascii="SimHei" w:hAnsi="SimHei" w:eastAsia="SimHei" w:cs="SimHei"/>
                            <w:sz w:val="13"/>
                            <w:szCs w:val="13"/>
                          </w:rPr>
                        </w:pPr>
                        <w:r>
                          <w:rPr>
                            <w:rFonts w:ascii="SimHei" w:hAnsi="SimHei" w:eastAsia="SimHei" w:cs="SimHei"/>
                            <w:sz w:val="13"/>
                            <w:szCs w:val="13"/>
                            <w:color w:val="C4F0F9"/>
                          </w:rPr>
                          <w:t>的</w:t>
                        </w:r>
                      </w:p>
                    </w:txbxContent>
                  </v:textbox>
                </v:shape>
              </w:pict>
            </w:r>
            <w:r>
              <w:rPr>
                <w:rFonts w:ascii="STXinwei" w:hAnsi="STXinwei" w:eastAsia="STXinwei" w:cs="STXinwei"/>
                <w:sz w:val="18"/>
                <w:szCs w:val="18"/>
                <w:color w:val="8CA3B1"/>
                <w:spacing w:val="-31"/>
              </w:rPr>
              <w:t>福瑶列岛</w:t>
            </w:r>
          </w:p>
        </w:tc>
      </w:tr>
    </w:tbl>
    <w:p>
      <w:pPr>
        <w:spacing w:line="312" w:lineRule="auto"/>
        <w:rPr>
          <w:rFonts w:ascii="Arial"/>
          <w:sz w:val="21"/>
        </w:rPr>
      </w:pPr>
      <w:r/>
    </w:p>
    <w:p>
      <w:pPr>
        <w:spacing w:line="312" w:lineRule="auto"/>
        <w:rPr>
          <w:rFonts w:ascii="Arial"/>
          <w:sz w:val="21"/>
        </w:rPr>
      </w:pPr>
      <w:r/>
    </w:p>
    <w:p>
      <w:pPr>
        <w:spacing w:line="312" w:lineRule="auto"/>
        <w:rPr>
          <w:rFonts w:ascii="Arial"/>
          <w:sz w:val="21"/>
        </w:rPr>
      </w:pPr>
      <w:r/>
    </w:p>
    <w:p>
      <w:pPr>
        <w:pStyle w:val="BodyText"/>
        <w:ind w:left="59"/>
        <w:spacing w:before="42" w:line="219" w:lineRule="auto"/>
        <w:rPr>
          <w:sz w:val="13"/>
          <w:szCs w:val="13"/>
        </w:rPr>
      </w:pPr>
      <w:r>
        <w:pict>
          <v:shape id="_x0000_s144" style="position:absolute;margin-left:161.5pt;margin-top:-6.52576pt;mso-position-vertical-relative:text;mso-position-horizontal-relative:text;width:16.4pt;height:20.45pt;z-index:251999232;" filled="false" stroked="false" type="#_x0000_t202">
            <v:fill on="false"/>
            <v:stroke on="false"/>
            <v:path/>
            <v:imagedata o:title=""/>
            <o:lock v:ext="edit" aspectratio="false"/>
            <v:textbox inset="0mm,0mm,0mm,0mm">
              <w:txbxContent>
                <w:p>
                  <w:pPr>
                    <w:pStyle w:val="BodyText"/>
                    <w:spacing w:before="20" w:line="219" w:lineRule="auto"/>
                    <w:jc w:val="right"/>
                    <w:rPr>
                      <w:sz w:val="31"/>
                      <w:szCs w:val="31"/>
                    </w:rPr>
                  </w:pPr>
                  <w:r>
                    <w:rPr>
                      <w:sz w:val="31"/>
                      <w:szCs w:val="31"/>
                      <w:color w:val="60ACC4"/>
                      <w:spacing w:val="-23"/>
                    </w:rPr>
                    <w:t>东</w:t>
                  </w:r>
                </w:p>
              </w:txbxContent>
            </v:textbox>
          </v:shape>
        </w:pict>
      </w:r>
      <w:r>
        <w:rPr>
          <w:sz w:val="13"/>
          <w:szCs w:val="13"/>
        </w:rPr>
        <w:t>3的R</w:t>
      </w:r>
      <w:r>
        <w:rPr>
          <w:sz w:val="13"/>
          <w:szCs w:val="13"/>
          <w:spacing w:val="-7"/>
        </w:rPr>
        <w:t xml:space="preserve"> </w:t>
      </w:r>
      <w:r>
        <w:rPr>
          <w:sz w:val="13"/>
          <w:szCs w:val="13"/>
        </w:rPr>
        <w:t>高</w:t>
      </w:r>
    </w:p>
    <w:p>
      <w:pPr>
        <w:pStyle w:val="BodyText"/>
        <w:spacing w:before="6" w:line="219" w:lineRule="auto"/>
        <w:rPr>
          <w:sz w:val="13"/>
          <w:szCs w:val="13"/>
        </w:rPr>
      </w:pPr>
      <w:r>
        <w:rPr>
          <w:sz w:val="13"/>
          <w:szCs w:val="13"/>
          <w:color w:val="86A2B3"/>
          <w:spacing w:val="-9"/>
          <w:w w:val="94"/>
        </w:rPr>
        <w:t>&amp;老电人高</w:t>
      </w:r>
    </w:p>
    <w:p>
      <w:pPr>
        <w:spacing w:line="298" w:lineRule="auto"/>
        <w:rPr>
          <w:rFonts w:ascii="Arial"/>
          <w:sz w:val="21"/>
        </w:rPr>
      </w:pPr>
      <w:r/>
    </w:p>
    <w:p>
      <w:pPr>
        <w:spacing w:line="298" w:lineRule="auto"/>
        <w:rPr>
          <w:rFonts w:ascii="Arial"/>
          <w:sz w:val="21"/>
        </w:rPr>
      </w:pPr>
      <w:r/>
    </w:p>
    <w:p>
      <w:pPr>
        <w:ind w:firstLine="2899"/>
        <w:spacing w:before="1" w:line="190" w:lineRule="exact"/>
        <w:rPr/>
      </w:pPr>
      <w:r>
        <w:rPr>
          <w:position w:val="-3"/>
        </w:rPr>
        <w:drawing>
          <wp:inline distT="0" distB="0" distL="0" distR="0">
            <wp:extent cx="146067" cy="120621"/>
            <wp:effectExtent l="0" t="0" r="0" b="0"/>
            <wp:docPr id="62" name="IM 62"/>
            <wp:cNvGraphicFramePr/>
            <a:graphic>
              <a:graphicData uri="http://schemas.openxmlformats.org/drawingml/2006/picture">
                <pic:pic>
                  <pic:nvPicPr>
                    <pic:cNvPr id="62" name="IM 62"/>
                    <pic:cNvPicPr/>
                  </pic:nvPicPr>
                  <pic:blipFill>
                    <a:blip r:embed="rId225"/>
                    <a:stretch>
                      <a:fillRect/>
                    </a:stretch>
                  </pic:blipFill>
                  <pic:spPr>
                    <a:xfrm rot="0">
                      <a:off x="0" y="0"/>
                      <a:ext cx="146067" cy="120621"/>
                    </a:xfrm>
                    <a:prstGeom prst="rect">
                      <a:avLst/>
                    </a:prstGeom>
                  </pic:spPr>
                </pic:pic>
              </a:graphicData>
            </a:graphic>
          </wp:inline>
        </w:drawing>
      </w:r>
    </w:p>
    <w:p>
      <w:pPr>
        <w:pStyle w:val="BodyText"/>
        <w:ind w:left="2040"/>
        <w:spacing w:before="211" w:line="223" w:lineRule="auto"/>
        <w:rPr>
          <w:sz w:val="18"/>
          <w:szCs w:val="18"/>
        </w:rPr>
      </w:pPr>
      <w:r>
        <w:rPr>
          <w:sz w:val="18"/>
          <w:szCs w:val="18"/>
          <w:color w:val="FFFFFF"/>
          <w:spacing w:val="-17"/>
          <w:position w:val="1"/>
        </w:rPr>
        <w:t>四</w:t>
      </w:r>
      <w:r>
        <w:rPr>
          <w:sz w:val="18"/>
          <w:szCs w:val="18"/>
          <w:color w:val="FFFFFF"/>
          <w:spacing w:val="26"/>
          <w:w w:val="101"/>
          <w:position w:val="1"/>
        </w:rPr>
        <w:t xml:space="preserve">  </w:t>
      </w:r>
      <w:r>
        <w:rPr>
          <w:sz w:val="24"/>
          <w:szCs w:val="24"/>
          <w:color w:val="7C8C9B"/>
          <w:spacing w:val="-17"/>
        </w:rPr>
        <w:t>硼</w:t>
      </w:r>
      <w:r>
        <w:rPr>
          <w:sz w:val="24"/>
          <w:szCs w:val="24"/>
          <w:color w:val="7C8C9B"/>
          <w:spacing w:val="1"/>
        </w:rPr>
        <w:t xml:space="preserve">  </w:t>
      </w:r>
      <w:r>
        <w:rPr>
          <w:sz w:val="18"/>
          <w:szCs w:val="18"/>
          <w:color w:val="849AA6"/>
          <w:spacing w:val="-17"/>
          <w:position w:val="-1"/>
        </w:rPr>
        <w:t>列</w:t>
      </w:r>
      <w:r>
        <w:rPr>
          <w:sz w:val="18"/>
          <w:szCs w:val="18"/>
          <w:color w:val="849AA6"/>
          <w:spacing w:val="30"/>
          <w:position w:val="-1"/>
        </w:rPr>
        <w:t xml:space="preserve">  </w:t>
      </w:r>
      <w:r>
        <w:rPr>
          <w:sz w:val="18"/>
          <w:szCs w:val="18"/>
          <w:color w:val="8099A6"/>
          <w:spacing w:val="-17"/>
        </w:rPr>
        <w:t>岛</w:t>
      </w:r>
    </w:p>
    <w:p>
      <w:pPr>
        <w:spacing w:line="260" w:lineRule="auto"/>
        <w:rPr>
          <w:rFonts w:ascii="Arial"/>
          <w:sz w:val="21"/>
        </w:rPr>
      </w:pPr>
      <w:r/>
    </w:p>
    <w:p>
      <w:pPr>
        <w:pStyle w:val="BodyText"/>
        <w:ind w:left="1699"/>
        <w:spacing w:before="102" w:line="221" w:lineRule="auto"/>
        <w:rPr>
          <w:sz w:val="31"/>
          <w:szCs w:val="31"/>
        </w:rPr>
      </w:pPr>
      <w:r>
        <w:rPr>
          <w:sz w:val="31"/>
          <w:szCs w:val="31"/>
          <w:color w:val="509DB5"/>
        </w:rPr>
        <w:t>海</w:t>
      </w:r>
    </w:p>
    <w:p>
      <w:pPr>
        <w:pStyle w:val="BodyText"/>
        <w:ind w:left="459"/>
        <w:spacing w:before="252" w:line="219" w:lineRule="auto"/>
        <w:rPr>
          <w:sz w:val="18"/>
          <w:szCs w:val="18"/>
        </w:rPr>
      </w:pPr>
      <w:r>
        <w:pict>
          <v:shape id="_x0000_s146" style="position:absolute;margin-left:2.99844pt;margin-top:16.5967pt;mso-position-vertical-relative:text;mso-position-horizontal-relative:text;width:15.35pt;height:12.7pt;z-index:252003328;" filled="false" stroked="false" type="#_x0000_t202">
            <v:fill on="false"/>
            <v:stroke on="false"/>
            <v:path/>
            <v:imagedata o:title=""/>
            <o:lock v:ext="edit" aspectratio="false"/>
            <v:textbox inset="0mm,0mm,0mm,0mm">
              <w:txbxContent>
                <w:p>
                  <w:pPr>
                    <w:pStyle w:val="BodyText"/>
                    <w:spacing w:before="20" w:line="219" w:lineRule="auto"/>
                    <w:jc w:val="right"/>
                    <w:rPr>
                      <w:sz w:val="18"/>
                      <w:szCs w:val="18"/>
                    </w:rPr>
                  </w:pPr>
                  <w:r>
                    <w:rPr>
                      <w:sz w:val="18"/>
                      <w:szCs w:val="18"/>
                      <w:color w:val="FFFFFF"/>
                      <w:spacing w:val="-14"/>
                      <w:w w:val="80"/>
                    </w:rPr>
                    <w:t>文</w:t>
                  </w:r>
                  <w:r>
                    <w:rPr>
                      <w:sz w:val="18"/>
                      <w:szCs w:val="18"/>
                      <w:color w:val="FFFFFF"/>
                      <w:spacing w:val="-10"/>
                      <w:w w:val="80"/>
                    </w:rPr>
                    <w:t>澳</w:t>
                  </w:r>
                </w:p>
              </w:txbxContent>
            </v:textbox>
          </v:shape>
        </w:pict>
      </w:r>
      <w:r>
        <w:rPr>
          <w:sz w:val="18"/>
          <w:szCs w:val="18"/>
          <w:color w:val="97ADBB"/>
          <w:spacing w:val="-8"/>
        </w:rPr>
        <w:t>浮鹰岛</w:t>
      </w:r>
    </w:p>
    <w:p>
      <w:pPr>
        <w:spacing w:line="219" w:lineRule="auto"/>
        <w:sectPr>
          <w:type w:val="continuous"/>
          <w:pgSz w:w="11900" w:h="16840"/>
          <w:pgMar w:top="0" w:right="0" w:bottom="981" w:left="0" w:header="0" w:footer="852" w:gutter="0"/>
          <w:cols w:equalWidth="0" w:num="2">
            <w:col w:w="6429" w:space="41"/>
            <w:col w:w="5430" w:space="0"/>
          </w:cols>
        </w:sectPr>
        <w:rPr>
          <w:sz w:val="18"/>
          <w:szCs w:val="18"/>
        </w:rPr>
      </w:pPr>
    </w:p>
    <w:p>
      <w:pPr>
        <w:spacing w:line="40" w:lineRule="auto"/>
        <w:rPr>
          <w:rFonts w:ascii="Arial"/>
          <w:sz w:val="2"/>
        </w:rPr>
      </w:pPr>
      <w:r>
        <w:rPr>
          <w:rFonts w:ascii="Arial"/>
          <w:sz w:val="2"/>
        </w:rPr>
      </w:r>
    </w:p>
    <w:p>
      <w:pPr>
        <w:spacing w:line="40" w:lineRule="auto"/>
        <w:sectPr>
          <w:type w:val="continuous"/>
          <w:pgSz w:w="11900" w:h="16840"/>
          <w:pgMar w:top="0" w:right="0" w:bottom="981" w:left="0" w:header="0" w:footer="852" w:gutter="0"/>
          <w:cols w:equalWidth="0" w:num="1">
            <w:col w:w="11900" w:space="0"/>
          </w:cols>
        </w:sectPr>
        <w:rPr>
          <w:rFonts w:ascii="Arial" w:hAnsi="Arial" w:eastAsia="Arial" w:cs="Arial"/>
          <w:sz w:val="2"/>
          <w:szCs w:val="2"/>
        </w:rPr>
      </w:pPr>
    </w:p>
    <w:p>
      <w:pPr>
        <w:spacing w:line="327" w:lineRule="auto"/>
        <w:rPr>
          <w:rFonts w:ascii="Arial"/>
          <w:sz w:val="21"/>
        </w:rPr>
      </w:pPr>
      <w:r/>
    </w:p>
    <w:p>
      <w:pPr>
        <w:pStyle w:val="BodyText"/>
        <w:ind w:left="1839"/>
        <w:spacing w:before="59" w:line="222" w:lineRule="auto"/>
        <w:rPr>
          <w:sz w:val="18"/>
          <w:szCs w:val="18"/>
        </w:rPr>
      </w:pPr>
      <w:r>
        <w:rPr>
          <w:sz w:val="18"/>
          <w:szCs w:val="18"/>
          <w:color w:val="7D99A2"/>
        </w:rPr>
        <w:t>源</w:t>
      </w:r>
    </w:p>
    <w:p>
      <w:pPr>
        <w:spacing w:line="343" w:lineRule="auto"/>
        <w:rPr>
          <w:rFonts w:ascii="Arial"/>
          <w:sz w:val="21"/>
        </w:rPr>
      </w:pPr>
      <w:r/>
    </w:p>
    <w:p>
      <w:pPr>
        <w:pStyle w:val="BodyText"/>
        <w:ind w:left="1970"/>
        <w:spacing w:before="59" w:line="224" w:lineRule="auto"/>
        <w:rPr>
          <w:sz w:val="18"/>
          <w:szCs w:val="18"/>
        </w:rPr>
      </w:pPr>
      <w:r>
        <w:rPr>
          <w:sz w:val="18"/>
          <w:szCs w:val="18"/>
          <w:color w:val="85B5C4"/>
        </w:rPr>
        <w:t>县</w:t>
      </w:r>
    </w:p>
    <w:p>
      <w:pPr>
        <w:spacing w:line="318" w:lineRule="auto"/>
        <w:rPr>
          <w:rFonts w:ascii="Arial"/>
          <w:sz w:val="21"/>
        </w:rPr>
      </w:pPr>
      <w:r/>
    </w:p>
    <w:p>
      <w:pPr>
        <w:ind w:left="2199"/>
        <w:spacing w:before="81" w:line="205" w:lineRule="auto"/>
        <w:rPr>
          <w:rFonts w:ascii="STXinwei" w:hAnsi="STXinwei" w:eastAsia="STXinwei" w:cs="STXinwei"/>
          <w:sz w:val="24"/>
          <w:szCs w:val="24"/>
        </w:rPr>
      </w:pPr>
      <w:r>
        <w:pict>
          <v:shape id="_x0000_s148" style="position:absolute;margin-left:215.503pt;margin-top:8.35465pt;mso-position-vertical-relative:text;mso-position-horizontal-relative:text;width:9.55pt;height:11.2pt;z-index:252006400;" filled="false" stroked="false" type="#_x0000_t202">
            <v:fill on="false"/>
            <v:stroke on="false"/>
            <v:path/>
            <v:imagedata o:title=""/>
            <o:lock v:ext="edit" aspectratio="false"/>
            <v:textbox inset="0mm,0mm,0mm,0mm">
              <w:txbxContent>
                <w:p>
                  <w:pPr>
                    <w:spacing w:before="19" w:line="185" w:lineRule="auto"/>
                    <w:jc w:val="right"/>
                    <w:rPr>
                      <w:rFonts w:ascii="STXinwei" w:hAnsi="STXinwei" w:eastAsia="STXinwei" w:cs="STXinwei"/>
                      <w:sz w:val="18"/>
                      <w:szCs w:val="18"/>
                    </w:rPr>
                  </w:pPr>
                  <w:r>
                    <w:rPr>
                      <w:rFonts w:ascii="STXinwei" w:hAnsi="STXinwei" w:eastAsia="STXinwei" w:cs="STXinwei"/>
                      <w:sz w:val="18"/>
                      <w:szCs w:val="18"/>
                      <w:color w:val="9BC3D5"/>
                      <w:spacing w:val="-30"/>
                    </w:rPr>
                    <w:t>江</w:t>
                  </w:r>
                </w:p>
              </w:txbxContent>
            </v:textbox>
          </v:shape>
        </w:pict>
      </w:r>
      <w:r>
        <w:pict>
          <v:shape id="_x0000_s150" style="position:absolute;margin-left:115.001pt;margin-top:15.8556pt;mso-position-vertical-relative:text;mso-position-horizontal-relative:text;width:25.85pt;height:12.85pt;z-index:252000256;" filled="false" stroked="false" type="#_x0000_t202">
            <v:fill on="false"/>
            <v:stroke on="false"/>
            <v:path/>
            <v:imagedata o:title=""/>
            <o:lock v:ext="edit" aspectratio="false"/>
            <v:textbox inset="0mm,0mm,0mm,0mm">
              <w:txbxContent>
                <w:p>
                  <w:pPr>
                    <w:spacing w:before="20" w:line="222" w:lineRule="auto"/>
                    <w:jc w:val="right"/>
                    <w:rPr>
                      <w:rFonts w:ascii="SimHei" w:hAnsi="SimHei" w:eastAsia="SimHei" w:cs="SimHei"/>
                      <w:sz w:val="18"/>
                      <w:szCs w:val="18"/>
                    </w:rPr>
                  </w:pPr>
                  <w:r>
                    <w:rPr>
                      <w:rFonts w:ascii="SimHei" w:hAnsi="SimHei" w:eastAsia="SimHei" w:cs="SimHei"/>
                      <w:sz w:val="18"/>
                      <w:szCs w:val="18"/>
                      <w:spacing w:val="-29"/>
                    </w:rPr>
                    <w:t>下宫</w:t>
                  </w:r>
                  <w:r>
                    <w:rPr>
                      <w:rFonts w:ascii="SimHei" w:hAnsi="SimHei" w:eastAsia="SimHei" w:cs="SimHei"/>
                      <w:sz w:val="18"/>
                      <w:szCs w:val="18"/>
                      <w:spacing w:val="-8"/>
                    </w:rPr>
                    <w:t>镇</w:t>
                  </w:r>
                </w:p>
              </w:txbxContent>
            </v:textbox>
          </v:shape>
        </w:pict>
      </w:r>
      <w:r>
        <w:pict>
          <v:shape id="_x0000_s152" style="position:absolute;margin-left:206.5pt;margin-top:19.1693pt;mso-position-vertical-relative:text;mso-position-horizontal-relative:text;width:7.75pt;height:8.9pt;z-index:252007424;" filled="false" stroked="false" type="#_x0000_t202">
            <v:fill on="false"/>
            <v:stroke on="false"/>
            <v:path/>
            <v:imagedata o:title=""/>
            <o:lock v:ext="edit" aspectratio="false"/>
            <v:textbox inset="0mm,0mm,0mm,0mm">
              <w:txbxContent>
                <w:p>
                  <w:pPr>
                    <w:ind w:left="20"/>
                    <w:spacing w:before="20" w:line="192" w:lineRule="auto"/>
                    <w:rPr>
                      <w:rFonts w:ascii="STXinwei" w:hAnsi="STXinwei" w:eastAsia="STXinwei" w:cs="STXinwei"/>
                      <w:sz w:val="13"/>
                      <w:szCs w:val="13"/>
                    </w:rPr>
                  </w:pPr>
                  <w:r>
                    <w:rPr>
                      <w:rFonts w:ascii="STXinwei" w:hAnsi="STXinwei" w:eastAsia="STXinwei" w:cs="STXinwei"/>
                      <w:sz w:val="13"/>
                      <w:szCs w:val="13"/>
                      <w:color w:val="738D9F"/>
                    </w:rPr>
                    <w:t>幽</w:t>
                  </w:r>
                </w:p>
              </w:txbxContent>
            </v:textbox>
          </v:shape>
        </w:pict>
      </w:r>
      <w:r>
        <w:pict>
          <v:shape id="_x0000_s154" style="position:absolute;margin-left:194.999pt;margin-top:20.8343pt;mso-position-vertical-relative:text;mso-position-horizontal-relative:text;width:11.25pt;height:8.6pt;z-index:252005376;" filled="false" stroked="false" type="#_x0000_t202">
            <v:fill on="false"/>
            <v:stroke on="false"/>
            <v:path/>
            <v:imagedata o:title=""/>
            <o:lock v:ext="edit" aspectratio="false"/>
            <v:textbox inset="0mm,0mm,0mm,0mm">
              <w:txbxContent>
                <w:p>
                  <w:pPr>
                    <w:ind w:left="20"/>
                    <w:spacing w:before="20" w:line="187" w:lineRule="auto"/>
                    <w:tabs>
                      <w:tab w:val="left" w:pos="79"/>
                    </w:tabs>
                    <w:rPr>
                      <w:rFonts w:ascii="SimHei" w:hAnsi="SimHei" w:eastAsia="SimHei" w:cs="SimHei"/>
                      <w:sz w:val="13"/>
                      <w:szCs w:val="13"/>
                    </w:rPr>
                  </w:pPr>
                  <w:r>
                    <w:rPr>
                      <w:rFonts w:ascii="SimHei" w:hAnsi="SimHei" w:eastAsia="SimHei" w:cs="SimHei"/>
                      <w:sz w:val="13"/>
                      <w:szCs w:val="13"/>
                      <w:color w:val="6A8D9F"/>
                    </w:rPr>
                    <w:tab/>
                  </w:r>
                  <w:r>
                    <w:rPr>
                      <w:rFonts w:ascii="SimHei" w:hAnsi="SimHei" w:eastAsia="SimHei" w:cs="SimHei"/>
                      <w:sz w:val="13"/>
                      <w:szCs w:val="13"/>
                      <w:color w:val="6A8D9F"/>
                    </w:rPr>
                    <w:t>半</w:t>
                  </w:r>
                </w:p>
              </w:txbxContent>
            </v:textbox>
          </v:shape>
        </w:pict>
      </w:r>
      <w:r>
        <w:rPr>
          <w:rFonts w:ascii="SimHei" w:hAnsi="SimHei" w:eastAsia="SimHei" w:cs="SimHei"/>
          <w:sz w:val="18"/>
          <w:szCs w:val="18"/>
          <w:color w:val="AD7C29"/>
          <w:spacing w:val="-6"/>
          <w:w w:val="85"/>
          <w:position w:val="-14"/>
        </w:rPr>
        <w:t>●</w:t>
      </w:r>
      <w:r>
        <w:rPr>
          <w:rFonts w:ascii="SimHei" w:hAnsi="SimHei" w:eastAsia="SimHei" w:cs="SimHei"/>
          <w:sz w:val="18"/>
          <w:szCs w:val="18"/>
          <w:color w:val="AD7C29"/>
          <w:spacing w:val="8"/>
          <w:position w:val="-14"/>
        </w:rPr>
        <w:t xml:space="preserve">     </w:t>
      </w:r>
      <w:r>
        <w:rPr>
          <w:rFonts w:ascii="STXinwei" w:hAnsi="STXinwei" w:eastAsia="STXinwei" w:cs="STXinwei"/>
          <w:sz w:val="24"/>
          <w:szCs w:val="24"/>
          <w:color w:val="FFFFFF"/>
          <w:spacing w:val="-6"/>
          <w:w w:val="85"/>
          <w:position w:val="7"/>
        </w:rPr>
        <w:t>连</w:t>
      </w:r>
    </w:p>
    <w:p>
      <w:pPr>
        <w:pStyle w:val="BodyText"/>
        <w:ind w:left="3800"/>
        <w:spacing w:before="75" w:line="219" w:lineRule="auto"/>
        <w:rPr>
          <w:sz w:val="13"/>
          <w:szCs w:val="13"/>
        </w:rPr>
      </w:pPr>
      <w:r>
        <w:rPr>
          <w:sz w:val="13"/>
          <w:szCs w:val="13"/>
          <w:color w:val="2E8EBF"/>
        </w:rPr>
        <w:t>黄</w:t>
      </w:r>
    </w:p>
    <w:p>
      <w:pPr>
        <w:pStyle w:val="BodyText"/>
        <w:ind w:left="1660"/>
        <w:spacing w:before="89" w:line="184" w:lineRule="auto"/>
        <w:rPr>
          <w:sz w:val="18"/>
          <w:szCs w:val="18"/>
        </w:rPr>
      </w:pPr>
      <w:r>
        <w:rPr>
          <w:sz w:val="18"/>
          <w:szCs w:val="18"/>
          <w:spacing w:val="-23"/>
        </w:rPr>
        <w:t>审图号：闰S120221224号</w:t>
      </w:r>
    </w:p>
    <w:p>
      <w:pPr>
        <w:spacing w:line="14" w:lineRule="auto"/>
        <w:rPr>
          <w:rFonts w:ascii="Arial"/>
          <w:sz w:val="2"/>
        </w:rPr>
      </w:pPr>
      <w:r>
        <w:rPr>
          <w:rFonts w:ascii="Arial" w:hAnsi="Arial" w:eastAsia="Arial" w:cs="Arial"/>
          <w:sz w:val="2"/>
          <w:szCs w:val="2"/>
        </w:rPr>
        <w:br w:type="column"/>
      </w:r>
    </w:p>
    <w:p>
      <w:pPr>
        <w:pStyle w:val="BodyText"/>
        <w:spacing w:before="34" w:line="220" w:lineRule="auto"/>
        <w:rPr>
          <w:sz w:val="18"/>
          <w:szCs w:val="18"/>
        </w:rPr>
      </w:pPr>
      <w:r>
        <w:rPr>
          <w:rFonts w:ascii="LiSu" w:hAnsi="LiSu" w:eastAsia="LiSu" w:cs="LiSu"/>
          <w:sz w:val="18"/>
          <w:szCs w:val="18"/>
          <w:spacing w:val="-17"/>
        </w:rPr>
        <w:t>海岛乡</w:t>
      </w:r>
      <w:r>
        <w:rPr>
          <w:sz w:val="18"/>
          <w:szCs w:val="18"/>
          <w:spacing w:val="-17"/>
        </w:rPr>
        <w:t>●(西洋盘</w:t>
      </w:r>
    </w:p>
    <w:p>
      <w:pPr>
        <w:spacing w:line="281" w:lineRule="auto"/>
        <w:rPr>
          <w:rFonts w:ascii="Arial"/>
          <w:sz w:val="21"/>
        </w:rPr>
      </w:pPr>
      <w:r/>
    </w:p>
    <w:p>
      <w:pPr>
        <w:spacing w:line="281" w:lineRule="auto"/>
        <w:rPr>
          <w:rFonts w:ascii="Arial"/>
          <w:sz w:val="21"/>
        </w:rPr>
      </w:pPr>
      <w:r/>
    </w:p>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ind w:left="899"/>
        <w:spacing w:before="80" w:line="237" w:lineRule="auto"/>
        <w:rPr>
          <w:rFonts w:ascii="STXinwei" w:hAnsi="STXinwei" w:eastAsia="STXinwei" w:cs="STXinwei"/>
          <w:sz w:val="24"/>
          <w:szCs w:val="24"/>
        </w:rPr>
      </w:pPr>
      <w:r>
        <w:rPr>
          <w:rFonts w:ascii="STXinwei" w:hAnsi="STXinwei" w:eastAsia="STXinwei" w:cs="STXinwei"/>
          <w:sz w:val="24"/>
          <w:szCs w:val="24"/>
          <w:color w:val="98B4C3"/>
        </w:rPr>
        <w:t>县</w:t>
      </w:r>
    </w:p>
    <w:p>
      <w:pPr>
        <w:spacing w:line="14" w:lineRule="auto"/>
        <w:rPr>
          <w:rFonts w:ascii="Arial"/>
          <w:sz w:val="2"/>
        </w:rPr>
      </w:pPr>
      <w:r>
        <w:rPr>
          <w:rFonts w:ascii="Arial" w:hAnsi="Arial" w:eastAsia="Arial" w:cs="Arial"/>
          <w:sz w:val="2"/>
          <w:szCs w:val="2"/>
        </w:rPr>
        <w:br w:type="column"/>
      </w:r>
    </w:p>
    <w:p>
      <w:pPr>
        <w:pStyle w:val="BodyText"/>
        <w:ind w:left="760"/>
        <w:spacing w:before="35" w:line="221" w:lineRule="auto"/>
        <w:rPr>
          <w:sz w:val="18"/>
          <w:szCs w:val="18"/>
        </w:rPr>
      </w:pPr>
      <w:r>
        <w:rPr>
          <w:sz w:val="18"/>
          <w:szCs w:val="18"/>
          <w:spacing w:val="-13"/>
        </w:rPr>
        <w:t>图</w:t>
      </w:r>
      <w:r>
        <w:rPr>
          <w:sz w:val="18"/>
          <w:szCs w:val="18"/>
          <w:spacing w:val="14"/>
        </w:rPr>
        <w:t xml:space="preserve">   </w:t>
      </w:r>
      <w:r>
        <w:rPr>
          <w:sz w:val="18"/>
          <w:szCs w:val="18"/>
          <w:spacing w:val="-13"/>
        </w:rPr>
        <w:t>例</w:t>
      </w:r>
    </w:p>
    <w:p>
      <w:pPr>
        <w:pStyle w:val="BodyText"/>
        <w:ind w:left="39"/>
        <w:spacing w:before="61" w:line="216" w:lineRule="auto"/>
        <w:rPr>
          <w:sz w:val="13"/>
          <w:szCs w:val="13"/>
        </w:rPr>
      </w:pPr>
      <w:r>
        <w:rPr>
          <w:sz w:val="13"/>
          <w:szCs w:val="13"/>
          <w:spacing w:val="-9"/>
        </w:rPr>
        <w:t>县</w:t>
      </w:r>
      <w:r>
        <w:rPr>
          <w:sz w:val="13"/>
          <w:szCs w:val="13"/>
          <w:spacing w:val="-26"/>
        </w:rPr>
        <w:t xml:space="preserve"> </w:t>
      </w:r>
      <w:r>
        <w:rPr>
          <w:sz w:val="13"/>
          <w:szCs w:val="13"/>
          <w:spacing w:val="-9"/>
        </w:rPr>
        <w:t>级</w:t>
      </w:r>
      <w:r>
        <w:rPr>
          <w:sz w:val="13"/>
          <w:szCs w:val="13"/>
          <w:spacing w:val="-27"/>
        </w:rPr>
        <w:t xml:space="preserve"> </w:t>
      </w:r>
      <w:r>
        <w:rPr>
          <w:sz w:val="13"/>
          <w:szCs w:val="13"/>
          <w:spacing w:val="-9"/>
        </w:rPr>
        <w:t>行</w:t>
      </w:r>
      <w:r>
        <w:rPr>
          <w:sz w:val="13"/>
          <w:szCs w:val="13"/>
          <w:spacing w:val="-29"/>
        </w:rPr>
        <w:t xml:space="preserve"> </w:t>
      </w:r>
      <w:r>
        <w:rPr>
          <w:sz w:val="13"/>
          <w:szCs w:val="13"/>
          <w:spacing w:val="-9"/>
        </w:rPr>
        <w:t>政</w:t>
      </w:r>
      <w:r>
        <w:rPr>
          <w:sz w:val="13"/>
          <w:szCs w:val="13"/>
          <w:spacing w:val="-17"/>
        </w:rPr>
        <w:t xml:space="preserve"> </w:t>
      </w:r>
      <w:r>
        <w:rPr>
          <w:sz w:val="13"/>
          <w:szCs w:val="13"/>
          <w:spacing w:val="-9"/>
        </w:rPr>
        <w:t>中</w:t>
      </w:r>
      <w:r>
        <w:rPr>
          <w:sz w:val="13"/>
          <w:szCs w:val="13"/>
          <w:spacing w:val="-25"/>
        </w:rPr>
        <w:t xml:space="preserve"> </w:t>
      </w:r>
      <w:r>
        <w:rPr>
          <w:sz w:val="13"/>
          <w:szCs w:val="13"/>
          <w:spacing w:val="-9"/>
        </w:rPr>
        <w:t>心</w:t>
      </w:r>
      <w:r>
        <w:rPr>
          <w:sz w:val="13"/>
          <w:szCs w:val="13"/>
          <w:spacing w:val="6"/>
        </w:rPr>
        <w:t xml:space="preserve">          </w:t>
      </w:r>
      <w:r>
        <w:rPr>
          <w:sz w:val="13"/>
          <w:szCs w:val="13"/>
          <w:spacing w:val="-9"/>
        </w:rPr>
        <w:t>高速公路及出入口</w:t>
      </w:r>
    </w:p>
    <w:p>
      <w:pPr>
        <w:pStyle w:val="BodyText"/>
        <w:ind w:left="39"/>
        <w:spacing w:line="204" w:lineRule="auto"/>
        <w:rPr>
          <w:rFonts w:ascii="SimHei" w:hAnsi="SimHei" w:eastAsia="SimHei" w:cs="SimHei"/>
          <w:sz w:val="13"/>
          <w:szCs w:val="13"/>
        </w:rPr>
      </w:pPr>
      <w:r>
        <w:rPr>
          <w:sz w:val="18"/>
          <w:szCs w:val="18"/>
          <w:spacing w:val="-19"/>
        </w:rPr>
        <w:t>镇、乡、街道</w:t>
      </w:r>
      <w:r>
        <w:rPr>
          <w:sz w:val="18"/>
          <w:szCs w:val="18"/>
          <w:spacing w:val="12"/>
        </w:rPr>
        <w:t xml:space="preserve">       </w:t>
      </w:r>
      <w:r>
        <w:rPr>
          <w:sz w:val="13"/>
          <w:szCs w:val="13"/>
          <w:spacing w:val="-19"/>
          <w:position w:val="-1"/>
        </w:rPr>
        <w:t>国</w:t>
      </w:r>
      <w:r>
        <w:rPr>
          <w:sz w:val="13"/>
          <w:szCs w:val="13"/>
          <w:spacing w:val="22"/>
          <w:position w:val="-1"/>
        </w:rPr>
        <w:t xml:space="preserve">  </w:t>
      </w:r>
      <w:r>
        <w:rPr>
          <w:sz w:val="13"/>
          <w:szCs w:val="13"/>
          <w:spacing w:val="-19"/>
          <w:position w:val="-1"/>
        </w:rPr>
        <w:t>省</w:t>
      </w:r>
      <w:r>
        <w:rPr>
          <w:sz w:val="13"/>
          <w:szCs w:val="13"/>
          <w:spacing w:val="18"/>
          <w:position w:val="-1"/>
        </w:rPr>
        <w:t xml:space="preserve">  </w:t>
      </w:r>
      <w:r>
        <w:rPr>
          <w:sz w:val="13"/>
          <w:szCs w:val="13"/>
          <w:spacing w:val="-19"/>
          <w:position w:val="-1"/>
        </w:rPr>
        <w:t>干</w:t>
      </w:r>
      <w:r>
        <w:rPr>
          <w:sz w:val="13"/>
          <w:szCs w:val="13"/>
          <w:spacing w:val="2"/>
          <w:position w:val="-1"/>
        </w:rPr>
        <w:t xml:space="preserve">  </w:t>
      </w:r>
      <w:r>
        <w:rPr>
          <w:rFonts w:ascii="SimHei" w:hAnsi="SimHei" w:eastAsia="SimHei" w:cs="SimHei"/>
          <w:sz w:val="13"/>
          <w:szCs w:val="13"/>
          <w:color w:val="FFFFFF"/>
          <w:spacing w:val="-19"/>
        </w:rPr>
        <w:t>线</w:t>
      </w:r>
    </w:p>
    <w:p>
      <w:pPr>
        <w:pStyle w:val="BodyText"/>
        <w:ind w:left="39"/>
        <w:spacing w:before="1" w:line="215" w:lineRule="auto"/>
        <w:rPr>
          <w:sz w:val="13"/>
          <w:szCs w:val="13"/>
        </w:rPr>
      </w:pPr>
      <w:r>
        <w:rPr>
          <w:sz w:val="18"/>
          <w:szCs w:val="18"/>
          <w:spacing w:val="-10"/>
          <w:w w:val="98"/>
        </w:rPr>
        <w:t>村</w:t>
      </w:r>
      <w:r>
        <w:rPr>
          <w:sz w:val="18"/>
          <w:szCs w:val="18"/>
          <w:spacing w:val="9"/>
        </w:rPr>
        <w:t xml:space="preserve">       </w:t>
      </w:r>
      <w:r>
        <w:rPr>
          <w:rFonts w:ascii="SimHei" w:hAnsi="SimHei" w:eastAsia="SimHei" w:cs="SimHei"/>
          <w:sz w:val="13"/>
          <w:szCs w:val="13"/>
          <w:spacing w:val="-10"/>
          <w:w w:val="98"/>
        </w:rPr>
        <w:t>庄</w:t>
      </w:r>
      <w:r>
        <w:rPr>
          <w:rFonts w:ascii="SimHei" w:hAnsi="SimHei" w:eastAsia="SimHei" w:cs="SimHei"/>
          <w:sz w:val="13"/>
          <w:szCs w:val="13"/>
          <w:spacing w:val="4"/>
        </w:rPr>
        <w:t xml:space="preserve">          </w:t>
      </w:r>
      <w:r>
        <w:rPr>
          <w:sz w:val="13"/>
          <w:szCs w:val="13"/>
          <w:spacing w:val="-10"/>
          <w:w w:val="98"/>
        </w:rPr>
        <w:t>其</w:t>
      </w:r>
      <w:r>
        <w:rPr>
          <w:sz w:val="13"/>
          <w:szCs w:val="13"/>
          <w:spacing w:val="4"/>
        </w:rPr>
        <w:t xml:space="preserve">   </w:t>
      </w:r>
      <w:r>
        <w:rPr>
          <w:sz w:val="13"/>
          <w:szCs w:val="13"/>
          <w:spacing w:val="-10"/>
          <w:w w:val="98"/>
        </w:rPr>
        <w:t>她</w:t>
      </w:r>
      <w:r>
        <w:rPr>
          <w:sz w:val="13"/>
          <w:szCs w:val="13"/>
          <w:spacing w:val="3"/>
        </w:rPr>
        <w:t xml:space="preserve">   </w:t>
      </w:r>
      <w:r>
        <w:rPr>
          <w:sz w:val="13"/>
          <w:szCs w:val="13"/>
          <w:spacing w:val="-10"/>
          <w:w w:val="98"/>
        </w:rPr>
        <w:t>道</w:t>
      </w:r>
      <w:r>
        <w:rPr>
          <w:sz w:val="13"/>
          <w:szCs w:val="13"/>
          <w:spacing w:val="7"/>
        </w:rPr>
        <w:t xml:space="preserve"> </w:t>
      </w:r>
      <w:r>
        <w:rPr>
          <w:sz w:val="13"/>
          <w:szCs w:val="13"/>
          <w:spacing w:val="-10"/>
          <w:w w:val="98"/>
        </w:rPr>
        <w:t>路</w:t>
      </w:r>
    </w:p>
    <w:p>
      <w:pPr>
        <w:pStyle w:val="BodyText"/>
        <w:ind w:left="39"/>
        <w:spacing w:before="1" w:line="194" w:lineRule="auto"/>
        <w:rPr>
          <w:sz w:val="13"/>
          <w:szCs w:val="13"/>
        </w:rPr>
      </w:pPr>
      <w:r>
        <w:rPr>
          <w:rFonts w:ascii="SimHei" w:hAnsi="SimHei" w:eastAsia="SimHei" w:cs="SimHei"/>
          <w:sz w:val="13"/>
          <w:szCs w:val="13"/>
          <w:spacing w:val="-10"/>
          <w:position w:val="1"/>
        </w:rPr>
        <w:t>省</w:t>
      </w:r>
      <w:r>
        <w:rPr>
          <w:rFonts w:ascii="SimHei" w:hAnsi="SimHei" w:eastAsia="SimHei" w:cs="SimHei"/>
          <w:sz w:val="13"/>
          <w:szCs w:val="13"/>
          <w:spacing w:val="5"/>
          <w:position w:val="1"/>
        </w:rPr>
        <w:t xml:space="preserve">          </w:t>
      </w:r>
      <w:r>
        <w:rPr>
          <w:sz w:val="13"/>
          <w:szCs w:val="13"/>
          <w:spacing w:val="-10"/>
        </w:rPr>
        <w:t>界</w:t>
      </w:r>
      <w:r>
        <w:rPr>
          <w:sz w:val="13"/>
          <w:szCs w:val="13"/>
          <w:spacing w:val="5"/>
        </w:rPr>
        <w:t xml:space="preserve">          </w:t>
      </w:r>
      <w:r>
        <w:rPr>
          <w:sz w:val="18"/>
          <w:szCs w:val="18"/>
          <w:spacing w:val="-10"/>
        </w:rPr>
        <w:t>火   车</w:t>
      </w:r>
      <w:r>
        <w:rPr>
          <w:sz w:val="18"/>
          <w:szCs w:val="18"/>
          <w:spacing w:val="39"/>
        </w:rPr>
        <w:t xml:space="preserve">  </w:t>
      </w:r>
      <w:r>
        <w:rPr>
          <w:sz w:val="13"/>
          <w:szCs w:val="13"/>
          <w:spacing w:val="-10"/>
        </w:rPr>
        <w:t>站</w:t>
      </w:r>
    </w:p>
    <w:p>
      <w:pPr>
        <w:pStyle w:val="BodyText"/>
        <w:ind w:left="39"/>
        <w:spacing w:before="1" w:line="194" w:lineRule="auto"/>
        <w:rPr>
          <w:sz w:val="18"/>
          <w:szCs w:val="18"/>
        </w:rPr>
      </w:pPr>
      <w:r>
        <w:rPr>
          <w:sz w:val="13"/>
          <w:szCs w:val="13"/>
          <w:spacing w:val="-3"/>
          <w:position w:val="1"/>
        </w:rPr>
        <w:t>设   </w:t>
      </w:r>
      <w:r>
        <w:rPr>
          <w:rFonts w:ascii="STXinwei" w:hAnsi="STXinwei" w:eastAsia="STXinwei" w:cs="STXinwei"/>
          <w:sz w:val="13"/>
          <w:szCs w:val="13"/>
          <w:spacing w:val="-3"/>
        </w:rPr>
        <w:t>区</w:t>
      </w:r>
      <w:r>
        <w:rPr>
          <w:rFonts w:ascii="STXinwei" w:hAnsi="STXinwei" w:eastAsia="STXinwei" w:cs="STXinwei"/>
          <w:sz w:val="13"/>
          <w:szCs w:val="13"/>
          <w:spacing w:val="4"/>
        </w:rPr>
        <w:t xml:space="preserve">     </w:t>
      </w:r>
      <w:r>
        <w:rPr>
          <w:sz w:val="18"/>
          <w:szCs w:val="18"/>
          <w:spacing w:val="-3"/>
          <w:position w:val="-1"/>
        </w:rPr>
        <w:t>市</w:t>
      </w:r>
      <w:r>
        <w:rPr>
          <w:sz w:val="18"/>
          <w:szCs w:val="18"/>
          <w:spacing w:val="37"/>
          <w:position w:val="-1"/>
        </w:rPr>
        <w:t xml:space="preserve"> </w:t>
      </w:r>
      <w:r>
        <w:rPr>
          <w:sz w:val="13"/>
          <w:szCs w:val="13"/>
          <w:spacing w:val="-3"/>
        </w:rPr>
        <w:t>界     </w:t>
      </w:r>
      <w:r>
        <w:rPr>
          <w:sz w:val="13"/>
          <w:szCs w:val="13"/>
          <w:spacing w:val="-3"/>
          <w:position w:val="1"/>
        </w:rPr>
        <w:t>击    </w:t>
      </w:r>
      <w:r>
        <w:rPr>
          <w:sz w:val="18"/>
          <w:szCs w:val="18"/>
          <w:spacing w:val="-3"/>
        </w:rPr>
        <w:t>港口、码头</w:t>
      </w:r>
    </w:p>
    <w:p>
      <w:pPr>
        <w:pStyle w:val="BodyText"/>
        <w:ind w:left="39"/>
        <w:spacing w:line="188" w:lineRule="auto"/>
        <w:rPr>
          <w:sz w:val="18"/>
          <w:szCs w:val="18"/>
        </w:rPr>
      </w:pPr>
      <w:r>
        <w:rPr>
          <w:sz w:val="13"/>
          <w:szCs w:val="13"/>
          <w:spacing w:val="-9"/>
        </w:rPr>
        <w:t>县    </w:t>
      </w:r>
      <w:r>
        <w:rPr>
          <w:sz w:val="13"/>
          <w:szCs w:val="13"/>
          <w:spacing w:val="-9"/>
          <w:position w:val="1"/>
        </w:rPr>
        <w:t>级</w:t>
      </w:r>
      <w:r>
        <w:rPr>
          <w:sz w:val="13"/>
          <w:szCs w:val="13"/>
          <w:spacing w:val="18"/>
          <w:position w:val="1"/>
        </w:rPr>
        <w:t xml:space="preserve">    </w:t>
      </w:r>
      <w:r>
        <w:rPr>
          <w:rFonts w:ascii="SimHei" w:hAnsi="SimHei" w:eastAsia="SimHei" w:cs="SimHei"/>
          <w:sz w:val="13"/>
          <w:szCs w:val="13"/>
          <w:spacing w:val="-9"/>
          <w:position w:val="1"/>
        </w:rPr>
        <w:t>界</w:t>
      </w:r>
      <w:r>
        <w:rPr>
          <w:rFonts w:ascii="SimHei" w:hAnsi="SimHei" w:eastAsia="SimHei" w:cs="SimHei"/>
          <w:sz w:val="13"/>
          <w:szCs w:val="13"/>
          <w:spacing w:val="-9"/>
          <w:position w:val="1"/>
        </w:rPr>
        <w:t xml:space="preserve">    </w:t>
      </w:r>
      <w:r>
        <w:rPr>
          <w:sz w:val="18"/>
          <w:szCs w:val="18"/>
          <w:spacing w:val="-9"/>
        </w:rPr>
        <w:t>12</w:t>
      </w:r>
      <w:r>
        <w:rPr>
          <w:sz w:val="18"/>
          <w:szCs w:val="18"/>
          <w:spacing w:val="10"/>
        </w:rPr>
        <w:t xml:space="preserve">   </w:t>
      </w:r>
      <w:r>
        <w:rPr>
          <w:sz w:val="18"/>
          <w:szCs w:val="18"/>
          <w:spacing w:val="-9"/>
        </w:rPr>
        <w:t>山峰及其高程</w:t>
      </w:r>
    </w:p>
    <w:p>
      <w:pPr>
        <w:pStyle w:val="BodyText"/>
        <w:ind w:left="39"/>
        <w:spacing w:before="1" w:line="219" w:lineRule="auto"/>
        <w:rPr>
          <w:sz w:val="13"/>
          <w:szCs w:val="13"/>
        </w:rPr>
      </w:pPr>
      <w:r>
        <w:rPr>
          <w:sz w:val="13"/>
          <w:szCs w:val="13"/>
          <w:spacing w:val="-7"/>
        </w:rPr>
        <w:t>河流、水库、渠</w:t>
      </w:r>
      <w:r>
        <w:rPr>
          <w:sz w:val="13"/>
          <w:szCs w:val="13"/>
          <w:spacing w:val="4"/>
        </w:rPr>
        <w:t xml:space="preserve">     </w:t>
      </w:r>
      <w:r>
        <w:rPr>
          <w:sz w:val="18"/>
          <w:szCs w:val="18"/>
          <w:spacing w:val="-7"/>
          <w:position w:val="1"/>
        </w:rPr>
        <w:t>西   </w:t>
      </w:r>
      <w:r>
        <w:rPr>
          <w:sz w:val="13"/>
          <w:szCs w:val="13"/>
          <w:spacing w:val="-7"/>
          <w:position w:val="-1"/>
        </w:rPr>
        <w:t>自</w:t>
      </w:r>
      <w:r>
        <w:rPr>
          <w:sz w:val="13"/>
          <w:szCs w:val="13"/>
          <w:spacing w:val="25"/>
          <w:position w:val="-1"/>
        </w:rPr>
        <w:t xml:space="preserve"> </w:t>
      </w:r>
      <w:r>
        <w:rPr>
          <w:sz w:val="13"/>
          <w:szCs w:val="13"/>
          <w:spacing w:val="-7"/>
          <w:position w:val="-1"/>
        </w:rPr>
        <w:t>然</w:t>
      </w:r>
      <w:r>
        <w:rPr>
          <w:sz w:val="13"/>
          <w:szCs w:val="13"/>
          <w:spacing w:val="22"/>
          <w:w w:val="101"/>
          <w:position w:val="-1"/>
        </w:rPr>
        <w:t xml:space="preserve"> </w:t>
      </w:r>
      <w:r>
        <w:rPr>
          <w:sz w:val="13"/>
          <w:szCs w:val="13"/>
          <w:spacing w:val="-7"/>
          <w:position w:val="-1"/>
        </w:rPr>
        <w:t>保</w:t>
      </w:r>
      <w:r>
        <w:rPr>
          <w:sz w:val="13"/>
          <w:szCs w:val="13"/>
          <w:spacing w:val="22"/>
          <w:w w:val="101"/>
          <w:position w:val="-1"/>
        </w:rPr>
        <w:t xml:space="preserve"> </w:t>
      </w:r>
      <w:r>
        <w:rPr>
          <w:sz w:val="13"/>
          <w:szCs w:val="13"/>
          <w:spacing w:val="-7"/>
          <w:position w:val="-1"/>
        </w:rPr>
        <w:t>护</w:t>
      </w:r>
      <w:r>
        <w:rPr>
          <w:sz w:val="13"/>
          <w:szCs w:val="13"/>
          <w:spacing w:val="31"/>
          <w:position w:val="-1"/>
        </w:rPr>
        <w:t xml:space="preserve"> </w:t>
      </w:r>
      <w:r>
        <w:rPr>
          <w:sz w:val="13"/>
          <w:szCs w:val="13"/>
          <w:spacing w:val="-7"/>
          <w:position w:val="-1"/>
        </w:rPr>
        <w:t>区</w:t>
      </w:r>
    </w:p>
    <w:p>
      <w:pPr>
        <w:pStyle w:val="BodyText"/>
        <w:ind w:left="39"/>
        <w:spacing w:before="25" w:line="175" w:lineRule="exact"/>
        <w:rPr>
          <w:sz w:val="13"/>
          <w:szCs w:val="13"/>
        </w:rPr>
      </w:pPr>
      <w:r>
        <w:rPr>
          <w:sz w:val="13"/>
          <w:szCs w:val="13"/>
          <w:spacing w:val="-2"/>
          <w:position w:val="1"/>
        </w:rPr>
        <w:t>高</w:t>
      </w:r>
      <w:r>
        <w:rPr>
          <w:sz w:val="13"/>
          <w:szCs w:val="13"/>
          <w:spacing w:val="44"/>
          <w:w w:val="101"/>
          <w:position w:val="1"/>
        </w:rPr>
        <w:t xml:space="preserve"> </w:t>
      </w:r>
      <w:r>
        <w:rPr>
          <w:sz w:val="13"/>
          <w:szCs w:val="13"/>
          <w:spacing w:val="-2"/>
          <w:position w:val="1"/>
        </w:rPr>
        <w:t>快速</w:t>
      </w:r>
      <w:r>
        <w:rPr>
          <w:sz w:val="13"/>
          <w:szCs w:val="13"/>
          <w:spacing w:val="19"/>
          <w:position w:val="1"/>
        </w:rPr>
        <w:t xml:space="preserve"> </w:t>
      </w:r>
      <w:r>
        <w:rPr>
          <w:sz w:val="13"/>
          <w:szCs w:val="13"/>
          <w:spacing w:val="-2"/>
          <w:position w:val="1"/>
        </w:rPr>
        <w:t>铁</w:t>
      </w:r>
      <w:r>
        <w:rPr>
          <w:sz w:val="13"/>
          <w:szCs w:val="13"/>
          <w:spacing w:val="21"/>
          <w:position w:val="1"/>
        </w:rPr>
        <w:t xml:space="preserve"> </w:t>
      </w:r>
      <w:r>
        <w:rPr>
          <w:sz w:val="13"/>
          <w:szCs w:val="13"/>
          <w:spacing w:val="-2"/>
          <w:position w:val="1"/>
        </w:rPr>
        <w:t>路</w:t>
      </w:r>
      <w:r>
        <w:rPr>
          <w:sz w:val="13"/>
          <w:szCs w:val="13"/>
          <w:spacing w:val="2"/>
          <w:position w:val="1"/>
        </w:rPr>
        <w:t xml:space="preserve">     </w:t>
      </w:r>
      <w:r>
        <w:rPr>
          <w:sz w:val="7"/>
          <w:szCs w:val="7"/>
          <w:spacing w:val="-2"/>
          <w:position w:val="5"/>
        </w:rPr>
        <w:t>●         </w:t>
      </w:r>
      <w:r>
        <w:rPr>
          <w:sz w:val="13"/>
          <w:szCs w:val="13"/>
          <w:spacing w:val="-2"/>
          <w:position w:val="1"/>
        </w:rPr>
        <w:t>其</w:t>
      </w:r>
      <w:r>
        <w:rPr>
          <w:sz w:val="13"/>
          <w:szCs w:val="13"/>
          <w:spacing w:val="-20"/>
          <w:position w:val="1"/>
        </w:rPr>
        <w:t xml:space="preserve"> </w:t>
      </w:r>
      <w:r>
        <w:rPr>
          <w:sz w:val="13"/>
          <w:szCs w:val="13"/>
          <w:spacing w:val="-2"/>
          <w:position w:val="1"/>
        </w:rPr>
        <w:t>他</w:t>
      </w:r>
      <w:r>
        <w:rPr>
          <w:sz w:val="13"/>
          <w:szCs w:val="13"/>
          <w:spacing w:val="-20"/>
          <w:position w:val="1"/>
        </w:rPr>
        <w:t xml:space="preserve"> </w:t>
      </w:r>
      <w:r>
        <w:rPr>
          <w:sz w:val="13"/>
          <w:szCs w:val="13"/>
          <w:spacing w:val="-2"/>
          <w:position w:val="1"/>
        </w:rPr>
        <w:t>旅</w:t>
      </w:r>
      <w:r>
        <w:rPr>
          <w:sz w:val="13"/>
          <w:szCs w:val="13"/>
          <w:spacing w:val="-20"/>
          <w:position w:val="1"/>
        </w:rPr>
        <w:t xml:space="preserve"> </w:t>
      </w:r>
      <w:r>
        <w:rPr>
          <w:sz w:val="13"/>
          <w:szCs w:val="13"/>
          <w:spacing w:val="-2"/>
          <w:position w:val="1"/>
        </w:rPr>
        <w:t>游</w:t>
      </w:r>
      <w:r>
        <w:rPr>
          <w:sz w:val="13"/>
          <w:szCs w:val="13"/>
          <w:spacing w:val="-14"/>
          <w:position w:val="1"/>
        </w:rPr>
        <w:t xml:space="preserve"> </w:t>
      </w:r>
      <w:r>
        <w:rPr>
          <w:sz w:val="13"/>
          <w:szCs w:val="13"/>
          <w:spacing w:val="-2"/>
          <w:position w:val="1"/>
        </w:rPr>
        <w:t>资</w:t>
      </w:r>
      <w:r>
        <w:rPr>
          <w:sz w:val="13"/>
          <w:szCs w:val="13"/>
          <w:spacing w:val="-20"/>
          <w:position w:val="1"/>
        </w:rPr>
        <w:t xml:space="preserve"> </w:t>
      </w:r>
      <w:r>
        <w:rPr>
          <w:sz w:val="13"/>
          <w:szCs w:val="13"/>
          <w:spacing w:val="-2"/>
          <w:position w:val="1"/>
        </w:rPr>
        <w:t>源</w:t>
      </w:r>
    </w:p>
    <w:p>
      <w:pPr>
        <w:pStyle w:val="BodyText"/>
        <w:ind w:left="39"/>
        <w:spacing w:before="25" w:line="224" w:lineRule="auto"/>
        <w:rPr>
          <w:sz w:val="13"/>
          <w:szCs w:val="13"/>
        </w:rPr>
      </w:pPr>
      <w:r>
        <w:rPr>
          <w:sz w:val="13"/>
          <w:szCs w:val="13"/>
          <w:spacing w:val="-4"/>
        </w:rPr>
        <w:t>普</w:t>
      </w:r>
      <w:r>
        <w:rPr>
          <w:sz w:val="13"/>
          <w:szCs w:val="13"/>
          <w:spacing w:val="51"/>
        </w:rPr>
        <w:t xml:space="preserve"> </w:t>
      </w:r>
      <w:r>
        <w:rPr>
          <w:sz w:val="13"/>
          <w:szCs w:val="13"/>
          <w:spacing w:val="-4"/>
        </w:rPr>
        <w:t>速</w:t>
      </w:r>
      <w:r>
        <w:rPr>
          <w:sz w:val="13"/>
          <w:szCs w:val="13"/>
          <w:spacing w:val="3"/>
        </w:rPr>
        <w:t xml:space="preserve">   </w:t>
      </w:r>
      <w:r>
        <w:rPr>
          <w:rFonts w:ascii="SimHei" w:hAnsi="SimHei" w:eastAsia="SimHei" w:cs="SimHei"/>
          <w:sz w:val="13"/>
          <w:szCs w:val="13"/>
          <w:spacing w:val="-4"/>
        </w:rPr>
        <w:t>铁</w:t>
      </w:r>
      <w:r>
        <w:rPr>
          <w:rFonts w:ascii="SimHei" w:hAnsi="SimHei" w:eastAsia="SimHei" w:cs="SimHei"/>
          <w:sz w:val="13"/>
          <w:szCs w:val="13"/>
          <w:spacing w:val="2"/>
        </w:rPr>
        <w:t xml:space="preserve">  </w:t>
      </w:r>
      <w:r>
        <w:rPr>
          <w:sz w:val="13"/>
          <w:szCs w:val="13"/>
          <w:spacing w:val="-4"/>
        </w:rPr>
        <w:t>路</w:t>
      </w:r>
    </w:p>
    <w:p>
      <w:pPr>
        <w:spacing w:before="2"/>
        <w:rPr>
          <w:rFonts w:ascii="STXinwei" w:hAnsi="STXinwei" w:eastAsia="STXinwei" w:cs="STXinwei"/>
          <w:sz w:val="13"/>
          <w:szCs w:val="13"/>
        </w:rPr>
      </w:pPr>
      <w:r>
        <w:rPr>
          <w:rFonts w:ascii="SimHei" w:hAnsi="SimHei" w:eastAsia="SimHei" w:cs="SimHei"/>
          <w:sz w:val="13"/>
          <w:szCs w:val="13"/>
          <w:spacing w:val="-11"/>
          <w:position w:val="1"/>
        </w:rPr>
        <w:t>比例尺</w:t>
      </w:r>
      <w:r>
        <w:rPr>
          <w:rFonts w:ascii="SimHei" w:hAnsi="SimHei" w:eastAsia="SimHei" w:cs="SimHei"/>
          <w:sz w:val="13"/>
          <w:szCs w:val="13"/>
          <w:spacing w:val="53"/>
          <w:w w:val="101"/>
          <w:position w:val="1"/>
        </w:rPr>
        <w:t xml:space="preserve"> </w:t>
      </w:r>
      <w:r>
        <w:rPr>
          <w:rFonts w:ascii="SimHei" w:hAnsi="SimHei" w:eastAsia="SimHei" w:cs="SimHei"/>
          <w:sz w:val="13"/>
          <w:szCs w:val="13"/>
          <w:spacing w:val="-11"/>
          <w:position w:val="1"/>
        </w:rPr>
        <w:t>1:400600</w:t>
      </w:r>
      <w:r>
        <w:rPr>
          <w:rFonts w:ascii="SimHei" w:hAnsi="SimHei" w:eastAsia="SimHei" w:cs="SimHei"/>
          <w:sz w:val="13"/>
          <w:szCs w:val="13"/>
          <w:spacing w:val="-11"/>
          <w:position w:val="1"/>
        </w:rPr>
        <w:t xml:space="preserve">   </w:t>
      </w:r>
      <w:r>
        <w:rPr>
          <w:rFonts w:ascii="STXinwei" w:hAnsi="STXinwei" w:eastAsia="STXinwei" w:cs="STXinwei"/>
          <w:sz w:val="13"/>
          <w:szCs w:val="13"/>
          <w:spacing w:val="-11"/>
        </w:rPr>
        <w:t>注：资料截至2322年6月。</w:t>
      </w:r>
    </w:p>
    <w:p>
      <w:pPr>
        <w:pStyle w:val="BodyText"/>
        <w:ind w:left="240"/>
        <w:spacing w:before="188" w:line="188" w:lineRule="auto"/>
        <w:rPr>
          <w:sz w:val="13"/>
          <w:szCs w:val="13"/>
        </w:rPr>
      </w:pPr>
      <w:r>
        <w:rPr>
          <w:sz w:val="13"/>
          <w:szCs w:val="13"/>
          <w:spacing w:val="8"/>
        </w:rPr>
        <w:t>福建省制图院编制</w:t>
      </w:r>
      <w:r>
        <w:rPr>
          <w:sz w:val="13"/>
          <w:szCs w:val="13"/>
          <w:spacing w:val="31"/>
        </w:rPr>
        <w:t xml:space="preserve"> </w:t>
      </w:r>
      <w:r>
        <w:rPr>
          <w:sz w:val="13"/>
          <w:szCs w:val="13"/>
          <w:spacing w:val="8"/>
        </w:rPr>
        <w:t>稻建省白然资源厅监制</w:t>
      </w:r>
    </w:p>
    <w:p>
      <w:pPr>
        <w:spacing w:line="188" w:lineRule="auto"/>
        <w:sectPr>
          <w:type w:val="continuous"/>
          <w:pgSz w:w="11900" w:h="16840"/>
          <w:pgMar w:top="0" w:right="0" w:bottom="981" w:left="0" w:header="0" w:footer="852" w:gutter="0"/>
          <w:cols w:equalWidth="0" w:num="3">
            <w:col w:w="4700" w:space="100"/>
            <w:col w:w="2851" w:space="100"/>
            <w:col w:w="4151" w:space="0"/>
          </w:cols>
        </w:sectPr>
        <w:rPr>
          <w:sz w:val="13"/>
          <w:szCs w:val="13"/>
        </w:rPr>
      </w:pPr>
    </w:p>
    <w:p>
      <w:pPr>
        <w:pStyle w:val="BodyText"/>
        <w:spacing w:before="143" w:line="219" w:lineRule="auto"/>
        <w:rPr>
          <w:sz w:val="26"/>
          <w:szCs w:val="26"/>
        </w:rPr>
      </w:pPr>
      <w:r>
        <w:rPr>
          <w:sz w:val="26"/>
          <w:szCs w:val="26"/>
          <w:b/>
          <w:bCs/>
          <w:spacing w:val="4"/>
        </w:rPr>
        <w:t>附</w:t>
      </w:r>
      <w:r>
        <w:rPr>
          <w:sz w:val="26"/>
          <w:szCs w:val="26"/>
          <w:spacing w:val="-14"/>
        </w:rPr>
        <w:t xml:space="preserve"> </w:t>
      </w:r>
      <w:r>
        <w:rPr>
          <w:sz w:val="26"/>
          <w:szCs w:val="26"/>
          <w:b/>
          <w:bCs/>
          <w:spacing w:val="4"/>
        </w:rPr>
        <w:t>图</w:t>
      </w:r>
      <w:r>
        <w:rPr>
          <w:sz w:val="26"/>
          <w:szCs w:val="26"/>
          <w:spacing w:val="-47"/>
        </w:rPr>
        <w:t xml:space="preserve"> </w:t>
      </w:r>
      <w:r>
        <w:rPr>
          <w:sz w:val="26"/>
          <w:szCs w:val="26"/>
          <w:b/>
          <w:bCs/>
          <w:spacing w:val="4"/>
        </w:rPr>
        <w:t>2</w:t>
      </w:r>
      <w:r>
        <w:rPr>
          <w:sz w:val="26"/>
          <w:szCs w:val="26"/>
          <w:spacing w:val="4"/>
        </w:rPr>
        <w:t xml:space="preserve"> </w:t>
      </w:r>
      <w:r>
        <w:rPr>
          <w:sz w:val="26"/>
          <w:szCs w:val="26"/>
          <w:b/>
          <w:bCs/>
          <w:spacing w:val="4"/>
        </w:rPr>
        <w:t>项目周边环境示意图</w:t>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BodyText"/>
        <w:ind w:left="3456"/>
        <w:spacing w:before="65" w:line="221" w:lineRule="auto"/>
        <w:rPr>
          <w:sz w:val="20"/>
          <w:szCs w:val="20"/>
        </w:rPr>
      </w:pPr>
      <w:r>
        <w:drawing>
          <wp:anchor distT="0" distB="0" distL="0" distR="0" simplePos="0" relativeHeight="252025856" behindDoc="1" locked="0" layoutInCell="1" allowOverlap="1">
            <wp:simplePos x="0" y="0"/>
            <wp:positionH relativeFrom="column">
              <wp:posOffset>619887</wp:posOffset>
            </wp:positionH>
            <wp:positionV relativeFrom="paragraph">
              <wp:posOffset>-1919299</wp:posOffset>
            </wp:positionV>
            <wp:extent cx="7499387" cy="5645159"/>
            <wp:effectExtent l="0" t="0" r="0" b="0"/>
            <wp:wrapNone/>
            <wp:docPr id="64" name="IM 64"/>
            <wp:cNvGraphicFramePr/>
            <a:graphic>
              <a:graphicData uri="http://schemas.openxmlformats.org/drawingml/2006/picture">
                <pic:pic>
                  <pic:nvPicPr>
                    <pic:cNvPr id="64" name="IM 64"/>
                    <pic:cNvPicPr/>
                  </pic:nvPicPr>
                  <pic:blipFill>
                    <a:blip r:embed="rId227"/>
                    <a:stretch>
                      <a:fillRect/>
                    </a:stretch>
                  </pic:blipFill>
                  <pic:spPr>
                    <a:xfrm rot="0">
                      <a:off x="0" y="0"/>
                      <a:ext cx="7499387" cy="5645159"/>
                    </a:xfrm>
                    <a:prstGeom prst="rect">
                      <a:avLst/>
                    </a:prstGeom>
                  </pic:spPr>
                </pic:pic>
              </a:graphicData>
            </a:graphic>
          </wp:anchor>
        </w:drawing>
      </w:r>
      <w:r>
        <w:rPr>
          <w:sz w:val="20"/>
          <w:szCs w:val="20"/>
          <w:spacing w:val="19"/>
        </w:rPr>
        <w:t>福建庞大高</w:t>
      </w:r>
    </w:p>
    <w:p>
      <w:pPr>
        <w:pStyle w:val="BodyText"/>
        <w:ind w:left="3486"/>
        <w:spacing w:line="216" w:lineRule="auto"/>
        <w:rPr>
          <w:sz w:val="20"/>
          <w:szCs w:val="20"/>
        </w:rPr>
      </w:pPr>
      <w:r>
        <w:rPr>
          <w:sz w:val="20"/>
          <w:szCs w:val="20"/>
          <w:spacing w:val="7"/>
        </w:rPr>
        <w:t>科新型建筑</w:t>
      </w:r>
    </w:p>
    <w:p>
      <w:pPr>
        <w:pStyle w:val="BodyText"/>
        <w:ind w:left="3576"/>
        <w:spacing w:line="220" w:lineRule="auto"/>
        <w:rPr>
          <w:sz w:val="26"/>
          <w:szCs w:val="26"/>
        </w:rPr>
      </w:pPr>
      <w:r>
        <w:rPr>
          <w:sz w:val="26"/>
          <w:szCs w:val="26"/>
          <w:color w:val="FFFFFF"/>
          <w:spacing w:val="-3"/>
        </w:rPr>
        <w:t>料公司</w:t>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BodyText"/>
        <w:ind w:left="6286"/>
        <w:spacing w:before="65" w:line="220" w:lineRule="auto"/>
        <w:rPr>
          <w:sz w:val="20"/>
          <w:szCs w:val="20"/>
        </w:rPr>
      </w:pPr>
      <w:r>
        <w:rPr>
          <w:sz w:val="20"/>
          <w:szCs w:val="20"/>
          <w:color w:val="D1D155"/>
          <w:spacing w:val="-10"/>
        </w:rPr>
        <w:t>石雷洋私</w:t>
      </w:r>
    </w:p>
    <w:p>
      <w:pPr>
        <w:ind w:left="2898"/>
        <w:spacing w:before="108" w:line="222" w:lineRule="auto"/>
        <w:rPr>
          <w:rFonts w:ascii="SimHei" w:hAnsi="SimHei" w:eastAsia="SimHei" w:cs="SimHei"/>
          <w:sz w:val="20"/>
          <w:szCs w:val="20"/>
        </w:rPr>
      </w:pPr>
      <w:r>
        <w:rPr>
          <w:rFonts w:ascii="SimHei" w:hAnsi="SimHei" w:eastAsia="SimHei" w:cs="SimHei"/>
          <w:sz w:val="20"/>
          <w:szCs w:val="20"/>
          <w:b/>
          <w:bCs/>
          <w:spacing w:val="-11"/>
        </w:rPr>
        <w:t>图例：</w:t>
      </w:r>
    </w:p>
    <w:p>
      <w:pPr>
        <w:ind w:left="2896"/>
        <w:spacing w:before="70" w:line="222" w:lineRule="auto"/>
        <w:rPr>
          <w:rFonts w:ascii="SimHei" w:hAnsi="SimHei" w:eastAsia="SimHei" w:cs="SimHei"/>
          <w:sz w:val="20"/>
          <w:szCs w:val="20"/>
        </w:rPr>
      </w:pPr>
      <w:r>
        <w:rPr>
          <w:rFonts w:ascii="SimHei" w:hAnsi="SimHei" w:eastAsia="SimHei" w:cs="SimHei"/>
          <w:sz w:val="20"/>
          <w:szCs w:val="20"/>
          <w:color w:val="FD89A4"/>
          <w:spacing w:val="-4"/>
        </w:rPr>
        <w:t>○:</w:t>
      </w:r>
      <w:r>
        <w:rPr>
          <w:rFonts w:ascii="SimHei" w:hAnsi="SimHei" w:eastAsia="SimHei" w:cs="SimHei"/>
          <w:sz w:val="20"/>
          <w:szCs w:val="20"/>
          <w:color w:val="FD89A4"/>
          <w:spacing w:val="-58"/>
        </w:rPr>
        <w:t xml:space="preserve"> </w:t>
      </w:r>
      <w:r>
        <w:rPr>
          <w:rFonts w:ascii="SimHei" w:hAnsi="SimHei" w:eastAsia="SimHei" w:cs="SimHei"/>
          <w:sz w:val="20"/>
          <w:szCs w:val="20"/>
          <w:b/>
          <w:bCs/>
          <w:spacing w:val="-4"/>
        </w:rPr>
        <w:t>噪声监测点位</w:t>
      </w:r>
    </w:p>
    <w:p>
      <w:pPr>
        <w:ind w:left="2896"/>
        <w:spacing w:before="188" w:line="222" w:lineRule="auto"/>
        <w:rPr>
          <w:rFonts w:ascii="SimHei" w:hAnsi="SimHei" w:eastAsia="SimHei" w:cs="SimHei"/>
          <w:sz w:val="20"/>
          <w:szCs w:val="20"/>
        </w:rPr>
      </w:pPr>
      <w:r>
        <w:rPr>
          <w:rFonts w:ascii="SimHei" w:hAnsi="SimHei" w:eastAsia="SimHei" w:cs="SimHei"/>
          <w:sz w:val="20"/>
          <w:szCs w:val="20"/>
          <w:color w:val="0D00C7"/>
          <w:spacing w:val="-4"/>
        </w:rPr>
        <w:t>★:</w:t>
      </w:r>
      <w:r>
        <w:rPr>
          <w:rFonts w:ascii="SimHei" w:hAnsi="SimHei" w:eastAsia="SimHei" w:cs="SimHei"/>
          <w:sz w:val="20"/>
          <w:szCs w:val="20"/>
          <w:color w:val="0D00C7"/>
          <w:spacing w:val="85"/>
        </w:rPr>
        <w:t xml:space="preserve"> </w:t>
      </w:r>
      <w:r>
        <w:rPr>
          <w:rFonts w:ascii="SimHei" w:hAnsi="SimHei" w:eastAsia="SimHei" w:cs="SimHei"/>
          <w:sz w:val="20"/>
          <w:szCs w:val="20"/>
          <w:b/>
          <w:bCs/>
          <w:spacing w:val="-4"/>
        </w:rPr>
        <w:t>地下水监测点位</w:t>
      </w:r>
    </w:p>
    <w:p>
      <w:pPr>
        <w:pStyle w:val="BodyText"/>
        <w:ind w:left="3026"/>
        <w:spacing w:before="121" w:line="158" w:lineRule="auto"/>
        <w:rPr>
          <w:sz w:val="20"/>
          <w:szCs w:val="20"/>
        </w:rPr>
      </w:pPr>
      <w:r>
        <w:rPr>
          <w:sz w:val="20"/>
          <w:szCs w:val="20"/>
          <w:color w:val="74354E"/>
          <w:spacing w:val="-9"/>
        </w:rPr>
        <w:t>:</w:t>
      </w:r>
      <w:r>
        <w:rPr>
          <w:sz w:val="20"/>
          <w:szCs w:val="20"/>
          <w:color w:val="74354E"/>
          <w:spacing w:val="43"/>
        </w:rPr>
        <w:t xml:space="preserve"> </w:t>
      </w:r>
      <w:r>
        <w:rPr>
          <w:sz w:val="20"/>
          <w:szCs w:val="20"/>
          <w:b/>
          <w:bCs/>
          <w:spacing w:val="-9"/>
        </w:rPr>
        <w:t>大气监测点位</w:t>
      </w:r>
    </w:p>
    <w:p>
      <w:pPr>
        <w:pStyle w:val="BodyText"/>
        <w:ind w:left="1226"/>
        <w:spacing w:before="1" w:line="192" w:lineRule="auto"/>
        <w:rPr>
          <w:sz w:val="20"/>
          <w:szCs w:val="20"/>
        </w:rPr>
      </w:pPr>
      <w:r>
        <w:rPr>
          <w:sz w:val="20"/>
          <w:szCs w:val="20"/>
          <w:spacing w:val="-13"/>
        </w:rPr>
        <w:t>208米</w:t>
      </w:r>
    </w:p>
    <w:p>
      <w:pPr>
        <w:spacing w:line="192" w:lineRule="auto"/>
        <w:sectPr>
          <w:footerReference w:type="default" r:id="rId226"/>
          <w:pgSz w:w="16840" w:h="11900"/>
          <w:pgMar w:top="1011" w:right="2519" w:bottom="995" w:left="1533" w:header="0" w:footer="846" w:gutter="0"/>
        </w:sectPr>
        <w:rPr>
          <w:sz w:val="20"/>
          <w:szCs w:val="20"/>
        </w:rPr>
      </w:pPr>
    </w:p>
    <w:p>
      <w:pPr>
        <w:spacing w:line="14" w:lineRule="exact"/>
        <w:rPr/>
      </w:pPr>
      <w:r/>
    </w:p>
    <w:p>
      <w:pPr>
        <w:spacing w:line="14" w:lineRule="exact"/>
        <w:sectPr>
          <w:footerReference w:type="default" r:id="rId228"/>
          <w:pgSz w:w="11900" w:h="16840"/>
          <w:pgMar w:top="1431" w:right="679" w:bottom="1005" w:left="1734" w:header="0" w:footer="856" w:gutter="0"/>
          <w:cols w:equalWidth="0" w:num="1">
            <w:col w:w="9487" w:space="0"/>
          </w:cols>
        </w:sectPr>
        <w:rPr/>
      </w:pPr>
    </w:p>
    <w:p>
      <w:pPr>
        <w:pStyle w:val="BodyText"/>
        <w:spacing w:line="218" w:lineRule="auto"/>
        <w:rPr>
          <w:sz w:val="28"/>
          <w:szCs w:val="28"/>
        </w:rPr>
      </w:pPr>
      <w:r>
        <w:rPr>
          <w:sz w:val="28"/>
          <w:szCs w:val="28"/>
          <w:b/>
          <w:bCs/>
          <w:spacing w:val="9"/>
        </w:rPr>
        <w:t>附图3项目现场照片</w:t>
      </w:r>
    </w:p>
    <w:p>
      <w:pPr>
        <w:ind w:firstLine="5"/>
        <w:spacing w:before="232" w:line="3489" w:lineRule="exact"/>
        <w:rPr/>
      </w:pPr>
      <w:r>
        <w:rPr>
          <w:position w:val="-69"/>
        </w:rPr>
        <w:drawing>
          <wp:inline distT="0" distB="0" distL="0" distR="0">
            <wp:extent cx="2959125" cy="2216100"/>
            <wp:effectExtent l="0" t="0" r="0" b="0"/>
            <wp:docPr id="66" name="IM 66"/>
            <wp:cNvGraphicFramePr/>
            <a:graphic>
              <a:graphicData uri="http://schemas.openxmlformats.org/drawingml/2006/picture">
                <pic:pic>
                  <pic:nvPicPr>
                    <pic:cNvPr id="66" name="IM 66"/>
                    <pic:cNvPicPr/>
                  </pic:nvPicPr>
                  <pic:blipFill>
                    <a:blip r:embed="rId229"/>
                    <a:stretch>
                      <a:fillRect/>
                    </a:stretch>
                  </pic:blipFill>
                  <pic:spPr>
                    <a:xfrm rot="0">
                      <a:off x="0" y="0"/>
                      <a:ext cx="2959125" cy="2216100"/>
                    </a:xfrm>
                    <a:prstGeom prst="rect">
                      <a:avLst/>
                    </a:prstGeom>
                  </pic:spPr>
                </pic:pic>
              </a:graphicData>
            </a:graphic>
          </wp:inline>
        </w:drawing>
      </w:r>
    </w:p>
    <w:p>
      <w:pPr>
        <w:pStyle w:val="BodyText"/>
        <w:ind w:left="1179"/>
        <w:spacing w:before="166" w:line="219" w:lineRule="auto"/>
        <w:rPr>
          <w:sz w:val="28"/>
          <w:szCs w:val="28"/>
        </w:rPr>
      </w:pPr>
      <w:r>
        <w:rPr>
          <w:sz w:val="28"/>
          <w:szCs w:val="28"/>
          <w:b/>
          <w:bCs/>
          <w:spacing w:val="-10"/>
        </w:rPr>
        <w:t>本项目施工现场</w:t>
      </w:r>
    </w:p>
    <w:p>
      <w:pPr>
        <w:spacing w:line="284" w:lineRule="auto"/>
        <w:rPr>
          <w:rFonts w:ascii="Arial"/>
          <w:sz w:val="21"/>
        </w:rPr>
      </w:pPr>
      <w:r/>
    </w:p>
    <w:p>
      <w:pPr>
        <w:spacing w:line="284" w:lineRule="auto"/>
        <w:rPr>
          <w:rFonts w:ascii="Arial"/>
          <w:sz w:val="21"/>
        </w:rPr>
      </w:pPr>
      <w:r/>
    </w:p>
    <w:p>
      <w:pPr>
        <w:ind w:firstLine="135"/>
        <w:spacing w:before="1" w:line="3090" w:lineRule="exact"/>
        <w:rPr/>
      </w:pPr>
      <w:r>
        <w:rPr>
          <w:position w:val="-61"/>
        </w:rPr>
        <w:drawing>
          <wp:inline distT="0" distB="0" distL="0" distR="0">
            <wp:extent cx="2946430" cy="1962131"/>
            <wp:effectExtent l="0" t="0" r="0" b="0"/>
            <wp:docPr id="68" name="IM 68"/>
            <wp:cNvGraphicFramePr/>
            <a:graphic>
              <a:graphicData uri="http://schemas.openxmlformats.org/drawingml/2006/picture">
                <pic:pic>
                  <pic:nvPicPr>
                    <pic:cNvPr id="68" name="IM 68"/>
                    <pic:cNvPicPr/>
                  </pic:nvPicPr>
                  <pic:blipFill>
                    <a:blip r:embed="rId230"/>
                    <a:stretch>
                      <a:fillRect/>
                    </a:stretch>
                  </pic:blipFill>
                  <pic:spPr>
                    <a:xfrm rot="0">
                      <a:off x="0" y="0"/>
                      <a:ext cx="2946430" cy="1962131"/>
                    </a:xfrm>
                    <a:prstGeom prst="rect">
                      <a:avLst/>
                    </a:prstGeom>
                  </pic:spPr>
                </pic:pic>
              </a:graphicData>
            </a:graphic>
          </wp:inline>
        </w:drawing>
      </w:r>
    </w:p>
    <w:p>
      <w:pPr>
        <w:pStyle w:val="BodyText"/>
        <w:ind w:left="79"/>
        <w:spacing w:before="126" w:line="219" w:lineRule="auto"/>
        <w:rPr>
          <w:sz w:val="28"/>
          <w:szCs w:val="28"/>
        </w:rPr>
      </w:pPr>
      <w:r>
        <w:rPr>
          <w:sz w:val="28"/>
          <w:szCs w:val="28"/>
          <w:b/>
          <w:bCs/>
          <w:spacing w:val="-10"/>
        </w:rPr>
        <w:t>厂区南侧道路、石雷洋村</w:t>
      </w:r>
    </w:p>
    <w:p>
      <w:pPr>
        <w:ind w:firstLine="5"/>
        <w:spacing w:before="182" w:line="3370" w:lineRule="exact"/>
        <w:rPr/>
      </w:pPr>
      <w:r>
        <w:rPr>
          <w:position w:val="-67"/>
        </w:rPr>
        <w:drawing>
          <wp:inline distT="0" distB="0" distL="0" distR="0">
            <wp:extent cx="2838447" cy="2139963"/>
            <wp:effectExtent l="0" t="0" r="0" b="0"/>
            <wp:docPr id="70" name="IM 70"/>
            <wp:cNvGraphicFramePr/>
            <a:graphic>
              <a:graphicData uri="http://schemas.openxmlformats.org/drawingml/2006/picture">
                <pic:pic>
                  <pic:nvPicPr>
                    <pic:cNvPr id="70" name="IM 70"/>
                    <pic:cNvPicPr/>
                  </pic:nvPicPr>
                  <pic:blipFill>
                    <a:blip r:embed="rId231"/>
                    <a:stretch>
                      <a:fillRect/>
                    </a:stretch>
                  </pic:blipFill>
                  <pic:spPr>
                    <a:xfrm rot="0">
                      <a:off x="0" y="0"/>
                      <a:ext cx="2838447" cy="213996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89" w:lineRule="auto"/>
        <w:rPr>
          <w:rFonts w:ascii="Arial"/>
          <w:sz w:val="21"/>
        </w:rPr>
      </w:pPr>
      <w:r/>
    </w:p>
    <w:p>
      <w:pPr>
        <w:spacing w:line="289" w:lineRule="auto"/>
        <w:rPr>
          <w:rFonts w:ascii="Arial"/>
          <w:sz w:val="21"/>
        </w:rPr>
      </w:pPr>
      <w:r/>
    </w:p>
    <w:p>
      <w:pPr>
        <w:ind w:firstLine="39"/>
        <w:spacing w:line="3460" w:lineRule="exact"/>
        <w:rPr/>
      </w:pPr>
      <w:r>
        <w:rPr>
          <w:position w:val="-69"/>
        </w:rPr>
        <w:drawing>
          <wp:inline distT="0" distB="0" distL="0" distR="0">
            <wp:extent cx="2908346" cy="2197065"/>
            <wp:effectExtent l="0" t="0" r="0" b="0"/>
            <wp:docPr id="72" name="IM 72"/>
            <wp:cNvGraphicFramePr/>
            <a:graphic>
              <a:graphicData uri="http://schemas.openxmlformats.org/drawingml/2006/picture">
                <pic:pic>
                  <pic:nvPicPr>
                    <pic:cNvPr id="72" name="IM 72"/>
                    <pic:cNvPicPr/>
                  </pic:nvPicPr>
                  <pic:blipFill>
                    <a:blip r:embed="rId232"/>
                    <a:stretch>
                      <a:fillRect/>
                    </a:stretch>
                  </pic:blipFill>
                  <pic:spPr>
                    <a:xfrm rot="0">
                      <a:off x="0" y="0"/>
                      <a:ext cx="2908346" cy="2197065"/>
                    </a:xfrm>
                    <a:prstGeom prst="rect">
                      <a:avLst/>
                    </a:prstGeom>
                  </pic:spPr>
                </pic:pic>
              </a:graphicData>
            </a:graphic>
          </wp:inline>
        </w:drawing>
      </w:r>
    </w:p>
    <w:p>
      <w:pPr>
        <w:pStyle w:val="BodyText"/>
        <w:ind w:left="1813"/>
        <w:spacing w:before="177" w:line="219" w:lineRule="auto"/>
        <w:rPr>
          <w:sz w:val="28"/>
          <w:szCs w:val="28"/>
        </w:rPr>
      </w:pPr>
      <w:r>
        <w:rPr>
          <w:sz w:val="28"/>
          <w:szCs w:val="28"/>
          <w:b/>
          <w:bCs/>
          <w:spacing w:val="-7"/>
        </w:rPr>
        <w:t>东侧长富路</w:t>
      </w:r>
    </w:p>
    <w:p>
      <w:pPr>
        <w:ind w:firstLine="299"/>
        <w:spacing w:before="30" w:line="3620" w:lineRule="exact"/>
        <w:rPr/>
      </w:pPr>
      <w:r>
        <w:rPr>
          <w:position w:val="-72"/>
        </w:rPr>
        <w:drawing>
          <wp:inline distT="0" distB="0" distL="0" distR="0">
            <wp:extent cx="2762278" cy="2298653"/>
            <wp:effectExtent l="0" t="0" r="0" b="0"/>
            <wp:docPr id="74" name="IM 74"/>
            <wp:cNvGraphicFramePr/>
            <a:graphic>
              <a:graphicData uri="http://schemas.openxmlformats.org/drawingml/2006/picture">
                <pic:pic>
                  <pic:nvPicPr>
                    <pic:cNvPr id="74" name="IM 74"/>
                    <pic:cNvPicPr/>
                  </pic:nvPicPr>
                  <pic:blipFill>
                    <a:blip r:embed="rId233"/>
                    <a:stretch>
                      <a:fillRect/>
                    </a:stretch>
                  </pic:blipFill>
                  <pic:spPr>
                    <a:xfrm rot="0">
                      <a:off x="0" y="0"/>
                      <a:ext cx="2762278" cy="2298653"/>
                    </a:xfrm>
                    <a:prstGeom prst="rect">
                      <a:avLst/>
                    </a:prstGeom>
                  </pic:spPr>
                </pic:pic>
              </a:graphicData>
            </a:graphic>
          </wp:inline>
        </w:drawing>
      </w:r>
    </w:p>
    <w:p>
      <w:pPr>
        <w:pStyle w:val="BodyText"/>
        <w:ind w:left="313"/>
        <w:spacing w:before="136" w:line="219" w:lineRule="auto"/>
        <w:rPr>
          <w:sz w:val="28"/>
          <w:szCs w:val="28"/>
        </w:rPr>
      </w:pPr>
      <w:r>
        <w:rPr>
          <w:sz w:val="28"/>
          <w:szCs w:val="28"/>
          <w:b/>
          <w:bCs/>
          <w:spacing w:val="-8"/>
        </w:rPr>
        <w:t>厂区北侧道路、大沙村</w:t>
      </w:r>
    </w:p>
    <w:p>
      <w:pPr>
        <w:spacing w:before="132" w:line="3420" w:lineRule="exact"/>
        <w:rPr/>
      </w:pPr>
      <w:r>
        <w:rPr>
          <w:position w:val="-68"/>
        </w:rPr>
        <w:drawing>
          <wp:inline distT="0" distB="0" distL="0" distR="0">
            <wp:extent cx="2876532" cy="2171722"/>
            <wp:effectExtent l="0" t="0" r="0" b="0"/>
            <wp:docPr id="76" name="IM 76"/>
            <wp:cNvGraphicFramePr/>
            <a:graphic>
              <a:graphicData uri="http://schemas.openxmlformats.org/drawingml/2006/picture">
                <pic:pic>
                  <pic:nvPicPr>
                    <pic:cNvPr id="76" name="IM 76"/>
                    <pic:cNvPicPr/>
                  </pic:nvPicPr>
                  <pic:blipFill>
                    <a:blip r:embed="rId234"/>
                    <a:stretch>
                      <a:fillRect/>
                    </a:stretch>
                  </pic:blipFill>
                  <pic:spPr>
                    <a:xfrm rot="0">
                      <a:off x="0" y="0"/>
                      <a:ext cx="2876532" cy="2171722"/>
                    </a:xfrm>
                    <a:prstGeom prst="rect">
                      <a:avLst/>
                    </a:prstGeom>
                  </pic:spPr>
                </pic:pic>
              </a:graphicData>
            </a:graphic>
          </wp:inline>
        </w:drawing>
      </w:r>
    </w:p>
    <w:p>
      <w:pPr>
        <w:spacing w:line="3420" w:lineRule="exact"/>
        <w:sectPr>
          <w:type w:val="continuous"/>
          <w:pgSz w:w="11900" w:h="16840"/>
          <w:pgMar w:top="1431" w:right="679" w:bottom="1005" w:left="1734" w:header="0" w:footer="856" w:gutter="0"/>
          <w:cols w:equalWidth="0" w:num="2">
            <w:col w:w="4776" w:space="59"/>
            <w:col w:w="4651" w:space="0"/>
          </w:cols>
        </w:sectPr>
        <w:rPr/>
      </w:pPr>
    </w:p>
    <w:p>
      <w:pPr>
        <w:pStyle w:val="BodyText"/>
        <w:ind w:left="599"/>
        <w:spacing w:before="205" w:line="192" w:lineRule="auto"/>
        <w:rPr>
          <w:sz w:val="28"/>
          <w:szCs w:val="28"/>
        </w:rPr>
      </w:pPr>
      <w:r>
        <w:rPr>
          <w:sz w:val="28"/>
          <w:szCs w:val="28"/>
          <w:b/>
          <w:bCs/>
          <w:spacing w:val="-6"/>
        </w:rPr>
        <w:t>厂界西侧</w:t>
      </w:r>
      <w:r>
        <w:rPr>
          <w:sz w:val="28"/>
          <w:szCs w:val="28"/>
          <w:spacing w:val="-6"/>
        </w:rPr>
        <w:t xml:space="preserve">                           </w:t>
      </w:r>
      <w:r>
        <w:rPr>
          <w:sz w:val="28"/>
          <w:szCs w:val="28"/>
          <w:b/>
          <w:bCs/>
          <w:spacing w:val="-6"/>
        </w:rPr>
        <w:t>现有工程厂区-污水处理站附近</w:t>
      </w:r>
    </w:p>
    <w:p>
      <w:pPr>
        <w:spacing w:line="192" w:lineRule="auto"/>
        <w:sectPr>
          <w:type w:val="continuous"/>
          <w:pgSz w:w="11900" w:h="16840"/>
          <w:pgMar w:top="1431" w:right="679" w:bottom="1005" w:left="1734" w:header="0" w:footer="856" w:gutter="0"/>
          <w:cols w:equalWidth="0" w:num="1">
            <w:col w:w="9487" w:space="0"/>
          </w:cols>
        </w:sectPr>
        <w:rPr>
          <w:sz w:val="28"/>
          <w:szCs w:val="28"/>
        </w:rPr>
      </w:pPr>
    </w:p>
    <w:p>
      <w:pPr>
        <w:pStyle w:val="BodyText"/>
        <w:spacing w:before="167" w:line="219" w:lineRule="auto"/>
        <w:rPr>
          <w:sz w:val="28"/>
          <w:szCs w:val="28"/>
        </w:rPr>
      </w:pPr>
      <w:r>
        <w:drawing>
          <wp:anchor distT="0" distB="0" distL="0" distR="0" simplePos="0" relativeHeight="252085248" behindDoc="0" locked="0" layoutInCell="0" allowOverlap="1">
            <wp:simplePos x="0" y="0"/>
            <wp:positionH relativeFrom="page">
              <wp:posOffset>5207006</wp:posOffset>
            </wp:positionH>
            <wp:positionV relativeFrom="page">
              <wp:posOffset>4711679</wp:posOffset>
            </wp:positionV>
            <wp:extent cx="501614" cy="130203"/>
            <wp:effectExtent l="0" t="0" r="0" b="0"/>
            <wp:wrapNone/>
            <wp:docPr id="78" name="IM 78"/>
            <wp:cNvGraphicFramePr/>
            <a:graphic>
              <a:graphicData uri="http://schemas.openxmlformats.org/drawingml/2006/picture">
                <pic:pic>
                  <pic:nvPicPr>
                    <pic:cNvPr id="78" name="IM 78"/>
                    <pic:cNvPicPr/>
                  </pic:nvPicPr>
                  <pic:blipFill>
                    <a:blip r:embed="rId236"/>
                    <a:stretch>
                      <a:fillRect/>
                    </a:stretch>
                  </pic:blipFill>
                  <pic:spPr>
                    <a:xfrm rot="0">
                      <a:off x="0" y="0"/>
                      <a:ext cx="501614" cy="130203"/>
                    </a:xfrm>
                    <a:prstGeom prst="rect">
                      <a:avLst/>
                    </a:prstGeom>
                  </pic:spPr>
                </pic:pic>
              </a:graphicData>
            </a:graphic>
          </wp:anchor>
        </w:drawing>
      </w:r>
      <w:r>
        <w:rPr>
          <w:sz w:val="28"/>
          <w:szCs w:val="28"/>
          <w:spacing w:val="13"/>
        </w:rPr>
        <w:t>附图4环境保护目标图</w:t>
      </w:r>
    </w:p>
    <w:p>
      <w:pPr>
        <w:spacing w:before="8"/>
        <w:rPr/>
      </w:pPr>
      <w:r/>
    </w:p>
    <w:p>
      <w:pPr>
        <w:spacing w:before="8"/>
        <w:rPr/>
      </w:pPr>
      <w:r/>
    </w:p>
    <w:p>
      <w:pPr>
        <w:spacing w:before="7"/>
        <w:rPr/>
      </w:pPr>
      <w:r/>
    </w:p>
    <w:p>
      <w:pPr>
        <w:sectPr>
          <w:footerReference w:type="default" r:id="rId235"/>
          <w:pgSz w:w="17010" w:h="12140"/>
          <w:pgMar w:top="1031" w:right="2180" w:bottom="1105" w:left="1290" w:header="0" w:footer="956" w:gutter="0"/>
          <w:cols w:equalWidth="0" w:num="1">
            <w:col w:w="13540" w:space="0"/>
          </w:cols>
        </w:sectPr>
        <w:rPr/>
      </w:pPr>
    </w:p>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pStyle w:val="BodyText"/>
        <w:ind w:left="1799"/>
        <w:spacing w:before="91" w:line="218" w:lineRule="auto"/>
        <w:rPr>
          <w:sz w:val="28"/>
          <w:szCs w:val="28"/>
        </w:rPr>
      </w:pPr>
      <w:r>
        <w:drawing>
          <wp:anchor distT="0" distB="0" distL="0" distR="0" simplePos="0" relativeHeight="252084224" behindDoc="1" locked="0" layoutInCell="1" allowOverlap="1">
            <wp:simplePos x="0" y="0"/>
            <wp:positionH relativeFrom="column">
              <wp:posOffset>577872</wp:posOffset>
            </wp:positionH>
            <wp:positionV relativeFrom="paragraph">
              <wp:posOffset>-862315</wp:posOffset>
            </wp:positionV>
            <wp:extent cx="8020002" cy="5683309"/>
            <wp:effectExtent l="0" t="0" r="0" b="0"/>
            <wp:wrapNone/>
            <wp:docPr id="80" name="IM 80"/>
            <wp:cNvGraphicFramePr/>
            <a:graphic>
              <a:graphicData uri="http://schemas.openxmlformats.org/drawingml/2006/picture">
                <pic:pic>
                  <pic:nvPicPr>
                    <pic:cNvPr id="80" name="IM 80"/>
                    <pic:cNvPicPr/>
                  </pic:nvPicPr>
                  <pic:blipFill>
                    <a:blip r:embed="rId237"/>
                    <a:stretch>
                      <a:fillRect/>
                    </a:stretch>
                  </pic:blipFill>
                  <pic:spPr>
                    <a:xfrm rot="0">
                      <a:off x="0" y="0"/>
                      <a:ext cx="8020002" cy="5683309"/>
                    </a:xfrm>
                    <a:prstGeom prst="rect">
                      <a:avLst/>
                    </a:prstGeom>
                  </pic:spPr>
                </pic:pic>
              </a:graphicData>
            </a:graphic>
          </wp:anchor>
        </w:drawing>
      </w:r>
      <w:r>
        <w:rPr>
          <w:sz w:val="28"/>
          <w:szCs w:val="28"/>
          <w:spacing w:val="-18"/>
        </w:rPr>
        <w:t>环境风陵评价动班</w:t>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BodyText"/>
        <w:ind w:left="1879"/>
        <w:spacing w:before="69" w:line="142" w:lineRule="exact"/>
        <w:rPr>
          <w:sz w:val="21"/>
          <w:szCs w:val="21"/>
        </w:rPr>
      </w:pPr>
      <w:r>
        <w:rPr>
          <w:sz w:val="21"/>
          <w:szCs w:val="21"/>
          <w:position w:val="-3"/>
        </w:rPr>
        <w:t>-</w:t>
      </w:r>
    </w:p>
    <w:p>
      <w:pPr>
        <w:ind w:left="1579"/>
        <w:spacing w:before="242" w:line="177" w:lineRule="auto"/>
        <w:rPr>
          <w:rFonts w:ascii="SimHei" w:hAnsi="SimHei" w:eastAsia="SimHei" w:cs="SimHei"/>
          <w:sz w:val="28"/>
          <w:szCs w:val="28"/>
        </w:rPr>
      </w:pPr>
      <w:r>
        <w:rPr>
          <w:rFonts w:ascii="SimHei" w:hAnsi="SimHei" w:eastAsia="SimHei" w:cs="SimHei"/>
          <w:sz w:val="28"/>
          <w:szCs w:val="28"/>
          <w:color w:val="FFFFFF"/>
        </w:rPr>
        <w:t>二</w:t>
      </w:r>
    </w:p>
    <w:p>
      <w:pPr>
        <w:spacing w:line="274" w:lineRule="auto"/>
        <w:rPr>
          <w:rFonts w:ascii="Arial"/>
          <w:sz w:val="21"/>
        </w:rPr>
      </w:pPr>
      <w:r/>
    </w:p>
    <w:p>
      <w:pPr>
        <w:pStyle w:val="BodyText"/>
        <w:ind w:left="3859"/>
        <w:spacing w:before="49" w:line="220" w:lineRule="auto"/>
        <w:rPr>
          <w:sz w:val="15"/>
          <w:szCs w:val="15"/>
        </w:rPr>
      </w:pPr>
      <w:r>
        <w:rPr>
          <w:sz w:val="15"/>
          <w:szCs w:val="15"/>
          <w:color w:val="AE7C27"/>
          <w:spacing w:val="5"/>
        </w:rPr>
        <w:t>马清</w:t>
      </w:r>
      <w:r>
        <w:rPr>
          <w:sz w:val="15"/>
          <w:szCs w:val="15"/>
          <w:color w:val="FFFFFF"/>
          <w:spacing w:val="5"/>
        </w:rPr>
        <w:t>变</w:t>
      </w:r>
    </w:p>
    <w:p>
      <w:pPr>
        <w:spacing w:line="327" w:lineRule="auto"/>
        <w:rPr>
          <w:rFonts w:ascii="Arial"/>
          <w:sz w:val="21"/>
        </w:rPr>
      </w:pPr>
      <w:r/>
    </w:p>
    <w:p>
      <w:pPr>
        <w:ind w:firstLine="3694"/>
        <w:spacing w:before="1" w:line="210" w:lineRule="exact"/>
        <w:rPr/>
      </w:pPr>
      <w:r>
        <w:rPr>
          <w:position w:val="-4"/>
        </w:rPr>
        <w:drawing>
          <wp:inline distT="0" distB="0" distL="0" distR="0">
            <wp:extent cx="295309" cy="133325"/>
            <wp:effectExtent l="0" t="0" r="0" b="0"/>
            <wp:docPr id="82" name="IM 82"/>
            <wp:cNvGraphicFramePr/>
            <a:graphic>
              <a:graphicData uri="http://schemas.openxmlformats.org/drawingml/2006/picture">
                <pic:pic>
                  <pic:nvPicPr>
                    <pic:cNvPr id="82" name="IM 82"/>
                    <pic:cNvPicPr/>
                  </pic:nvPicPr>
                  <pic:blipFill>
                    <a:blip r:embed="rId238"/>
                    <a:stretch>
                      <a:fillRect/>
                    </a:stretch>
                  </pic:blipFill>
                  <pic:spPr>
                    <a:xfrm rot="0">
                      <a:off x="0" y="0"/>
                      <a:ext cx="295309" cy="133325"/>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70" w:lineRule="exact"/>
        <w:rPr/>
      </w:pPr>
      <w:r>
        <w:rPr>
          <w:position w:val="-5"/>
        </w:rPr>
        <w:drawing>
          <wp:inline distT="0" distB="0" distL="0" distR="0">
            <wp:extent cx="311186" cy="171446"/>
            <wp:effectExtent l="0" t="0" r="0" b="0"/>
            <wp:docPr id="84" name="IM 84"/>
            <wp:cNvGraphicFramePr/>
            <a:graphic>
              <a:graphicData uri="http://schemas.openxmlformats.org/drawingml/2006/picture">
                <pic:pic>
                  <pic:nvPicPr>
                    <pic:cNvPr id="84" name="IM 84"/>
                    <pic:cNvPicPr/>
                  </pic:nvPicPr>
                  <pic:blipFill>
                    <a:blip r:embed="rId239"/>
                    <a:stretch>
                      <a:fillRect/>
                    </a:stretch>
                  </pic:blipFill>
                  <pic:spPr>
                    <a:xfrm rot="0">
                      <a:off x="0" y="0"/>
                      <a:ext cx="311186" cy="171446"/>
                    </a:xfrm>
                    <a:prstGeom prst="rect">
                      <a:avLst/>
                    </a:prstGeom>
                  </pic:spPr>
                </pic:pic>
              </a:graphicData>
            </a:graphic>
          </wp:inline>
        </w:drawing>
      </w:r>
    </w:p>
    <w:p>
      <w:pPr>
        <w:spacing w:line="337" w:lineRule="auto"/>
        <w:rPr>
          <w:rFonts w:ascii="Arial"/>
          <w:sz w:val="21"/>
        </w:rPr>
      </w:pPr>
      <w:r/>
    </w:p>
    <w:p>
      <w:pPr>
        <w:ind w:firstLine="290"/>
        <w:spacing w:line="291" w:lineRule="exact"/>
        <w:rPr/>
      </w:pPr>
      <w:r>
        <w:rPr>
          <w:position w:val="-5"/>
        </w:rPr>
        <w:drawing>
          <wp:inline distT="0" distB="0" distL="0" distR="0">
            <wp:extent cx="247620" cy="184165"/>
            <wp:effectExtent l="0" t="0" r="0" b="0"/>
            <wp:docPr id="86" name="IM 86"/>
            <wp:cNvGraphicFramePr/>
            <a:graphic>
              <a:graphicData uri="http://schemas.openxmlformats.org/drawingml/2006/picture">
                <pic:pic>
                  <pic:nvPicPr>
                    <pic:cNvPr id="86" name="IM 86"/>
                    <pic:cNvPicPr/>
                  </pic:nvPicPr>
                  <pic:blipFill>
                    <a:blip r:embed="rId240"/>
                    <a:stretch>
                      <a:fillRect/>
                    </a:stretch>
                  </pic:blipFill>
                  <pic:spPr>
                    <a:xfrm rot="0">
                      <a:off x="0" y="0"/>
                      <a:ext cx="247620" cy="184165"/>
                    </a:xfrm>
                    <a:prstGeom prst="rect">
                      <a:avLst/>
                    </a:prstGeom>
                  </pic:spPr>
                </pic:pic>
              </a:graphicData>
            </a:graphic>
          </wp:inline>
        </w:drawing>
      </w:r>
    </w:p>
    <w:p>
      <w:pPr>
        <w:spacing w:before="140" w:line="228" w:lineRule="auto"/>
        <w:jc w:val="right"/>
        <w:rPr>
          <w:rFonts w:ascii="LiSu" w:hAnsi="LiSu" w:eastAsia="LiSu" w:cs="LiSu"/>
          <w:sz w:val="15"/>
          <w:szCs w:val="15"/>
        </w:rPr>
      </w:pPr>
      <w:r>
        <w:rPr>
          <w:rFonts w:ascii="LiSu" w:hAnsi="LiSu" w:eastAsia="LiSu" w:cs="LiSu"/>
          <w:sz w:val="15"/>
          <w:szCs w:val="15"/>
          <w:color w:val="0303C7"/>
          <w:spacing w:val="-3"/>
          <w:w w:val="95"/>
        </w:rPr>
        <w:t>●王方抹</w:t>
      </w:r>
    </w:p>
    <w:p>
      <w:pPr>
        <w:spacing w:line="14" w:lineRule="auto"/>
        <w:rPr>
          <w:rFonts w:ascii="Arial"/>
          <w:sz w:val="2"/>
        </w:rPr>
      </w:pPr>
      <w:r>
        <w:rPr>
          <w:rFonts w:ascii="Arial" w:hAnsi="Arial" w:eastAsia="Arial" w:cs="Arial"/>
          <w:sz w:val="2"/>
          <w:szCs w:val="2"/>
        </w:rPr>
        <w:br w:type="column"/>
      </w:r>
    </w:p>
    <w:p>
      <w:pPr>
        <w:spacing w:line="280" w:lineRule="auto"/>
        <w:rPr>
          <w:rFonts w:ascii="Arial"/>
          <w:sz w:val="21"/>
        </w:rPr>
      </w:pPr>
      <w:r/>
    </w:p>
    <w:p>
      <w:pPr>
        <w:ind w:left="1209"/>
        <w:spacing w:before="68" w:line="175" w:lineRule="auto"/>
        <w:rPr>
          <w:rFonts w:ascii="LiSu" w:hAnsi="LiSu" w:eastAsia="LiSu" w:cs="LiSu"/>
          <w:sz w:val="21"/>
          <w:szCs w:val="21"/>
        </w:rPr>
      </w:pPr>
      <w:r>
        <w:rPr>
          <w:rFonts w:ascii="LiSu" w:hAnsi="LiSu" w:eastAsia="LiSu" w:cs="LiSu"/>
          <w:sz w:val="21"/>
          <w:szCs w:val="21"/>
          <w:color w:val="FFFFFF"/>
          <w:spacing w:val="-8"/>
          <w:w w:val="99"/>
        </w:rPr>
        <w:t>龙青</w:t>
      </w:r>
    </w:p>
    <w:p>
      <w:pPr>
        <w:spacing w:line="461" w:lineRule="auto"/>
        <w:rPr>
          <w:rFonts w:ascii="Arial"/>
          <w:sz w:val="21"/>
        </w:rPr>
      </w:pPr>
      <w:r/>
    </w:p>
    <w:p>
      <w:pPr>
        <w:ind w:firstLine="1119"/>
        <w:spacing w:line="160" w:lineRule="exact"/>
        <w:rPr/>
      </w:pPr>
      <w:r>
        <w:rPr>
          <w:position w:val="-3"/>
        </w:rPr>
        <w:drawing>
          <wp:inline distT="0" distB="0" distL="0" distR="0">
            <wp:extent cx="247674" cy="101603"/>
            <wp:effectExtent l="0" t="0" r="0" b="0"/>
            <wp:docPr id="88" name="IM 88"/>
            <wp:cNvGraphicFramePr/>
            <a:graphic>
              <a:graphicData uri="http://schemas.openxmlformats.org/drawingml/2006/picture">
                <pic:pic>
                  <pic:nvPicPr>
                    <pic:cNvPr id="88" name="IM 88"/>
                    <pic:cNvPicPr/>
                  </pic:nvPicPr>
                  <pic:blipFill>
                    <a:blip r:embed="rId241"/>
                    <a:stretch>
                      <a:fillRect/>
                    </a:stretch>
                  </pic:blipFill>
                  <pic:spPr>
                    <a:xfrm rot="0">
                      <a:off x="0" y="0"/>
                      <a:ext cx="247674" cy="101603"/>
                    </a:xfrm>
                    <a:prstGeom prst="rect">
                      <a:avLst/>
                    </a:prstGeom>
                  </pic:spPr>
                </pic:pic>
              </a:graphicData>
            </a:graphic>
          </wp:inline>
        </w:drawing>
      </w:r>
    </w:p>
    <w:p>
      <w:pPr>
        <w:spacing w:line="459" w:lineRule="auto"/>
        <w:rPr>
          <w:rFonts w:ascii="Arial"/>
          <w:sz w:val="21"/>
        </w:rPr>
      </w:pPr>
      <w:r/>
    </w:p>
    <w:p>
      <w:pPr>
        <w:pStyle w:val="BodyText"/>
        <w:ind w:left="109"/>
        <w:spacing w:before="49" w:line="219" w:lineRule="auto"/>
        <w:rPr>
          <w:sz w:val="15"/>
          <w:szCs w:val="15"/>
        </w:rPr>
      </w:pPr>
      <w:r>
        <w:rPr>
          <w:sz w:val="15"/>
          <w:szCs w:val="15"/>
          <w:spacing w:val="-6"/>
        </w:rPr>
        <w:t>小</w:t>
      </w:r>
      <w:r>
        <w:rPr>
          <w:sz w:val="15"/>
          <w:szCs w:val="15"/>
          <w:spacing w:val="-10"/>
        </w:rPr>
        <w:t xml:space="preserve"> </w:t>
      </w:r>
      <w:r>
        <w:rPr>
          <w:sz w:val="15"/>
          <w:szCs w:val="15"/>
          <w:spacing w:val="-6"/>
        </w:rPr>
        <w:t>开</w:t>
      </w:r>
      <w:r>
        <w:rPr>
          <w:sz w:val="15"/>
          <w:szCs w:val="15"/>
          <w:spacing w:val="-11"/>
        </w:rPr>
        <w:t xml:space="preserve"> </w:t>
      </w:r>
      <w:r>
        <w:rPr>
          <w:sz w:val="15"/>
          <w:szCs w:val="15"/>
          <w:spacing w:val="-6"/>
        </w:rPr>
        <w:t>路</w:t>
      </w:r>
    </w:p>
    <w:p>
      <w:pPr>
        <w:spacing w:line="324" w:lineRule="auto"/>
        <w:rPr>
          <w:rFonts w:ascii="Arial"/>
          <w:sz w:val="21"/>
        </w:rPr>
      </w:pPr>
      <w:r/>
    </w:p>
    <w:p>
      <w:pPr>
        <w:spacing w:line="325" w:lineRule="auto"/>
        <w:rPr>
          <w:rFonts w:ascii="Arial"/>
          <w:sz w:val="21"/>
        </w:rPr>
      </w:pPr>
      <w:r/>
    </w:p>
    <w:p>
      <w:pPr>
        <w:pStyle w:val="BodyText"/>
        <w:ind w:left="989"/>
        <w:spacing w:before="50" w:line="219" w:lineRule="auto"/>
        <w:rPr>
          <w:sz w:val="15"/>
          <w:szCs w:val="15"/>
        </w:rPr>
      </w:pPr>
      <w:r>
        <w:rPr>
          <w:sz w:val="15"/>
          <w:szCs w:val="15"/>
          <w:color w:val="FFFFFF"/>
          <w:spacing w:val="-15"/>
        </w:rPr>
        <w:t>大内县</w:t>
      </w:r>
    </w:p>
    <w:p>
      <w:pPr>
        <w:ind w:left="589"/>
        <w:spacing w:before="174" w:line="180" w:lineRule="auto"/>
        <w:rPr>
          <w:rFonts w:ascii="SimHei" w:hAnsi="SimHei" w:eastAsia="SimHei" w:cs="SimHei"/>
          <w:sz w:val="28"/>
          <w:szCs w:val="28"/>
        </w:rPr>
      </w:pPr>
      <w:r>
        <w:rPr>
          <w:rFonts w:ascii="SimHei" w:hAnsi="SimHei" w:eastAsia="SimHei" w:cs="SimHei"/>
          <w:sz w:val="28"/>
          <w:szCs w:val="28"/>
          <w:color w:val="4F6F74"/>
        </w:rPr>
        <w:t>税</w:t>
      </w:r>
    </w:p>
    <w:p>
      <w:pPr>
        <w:spacing w:line="218" w:lineRule="exact"/>
        <w:rPr/>
      </w:pPr>
      <w:r>
        <w:rPr>
          <w:position w:val="-4"/>
        </w:rPr>
        <w:drawing>
          <wp:inline distT="0" distB="0" distL="0" distR="0">
            <wp:extent cx="412719" cy="138617"/>
            <wp:effectExtent l="0" t="0" r="0" b="0"/>
            <wp:docPr id="90" name="IM 90"/>
            <wp:cNvGraphicFramePr/>
            <a:graphic>
              <a:graphicData uri="http://schemas.openxmlformats.org/drawingml/2006/picture">
                <pic:pic>
                  <pic:nvPicPr>
                    <pic:cNvPr id="90" name="IM 90"/>
                    <pic:cNvPicPr/>
                  </pic:nvPicPr>
                  <pic:blipFill>
                    <a:blip r:embed="rId242"/>
                    <a:stretch>
                      <a:fillRect/>
                    </a:stretch>
                  </pic:blipFill>
                  <pic:spPr>
                    <a:xfrm rot="0">
                      <a:off x="0" y="0"/>
                      <a:ext cx="412719" cy="138617"/>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ind w:firstLine="4180"/>
        <w:spacing w:line="208" w:lineRule="exact"/>
        <w:rPr/>
      </w:pPr>
      <w:r>
        <w:rPr>
          <w:position w:val="-4"/>
        </w:rPr>
        <w:drawing>
          <wp:inline distT="0" distB="0" distL="0" distR="0">
            <wp:extent cx="177790" cy="132487"/>
            <wp:effectExtent l="0" t="0" r="0" b="0"/>
            <wp:docPr id="92" name="IM 92"/>
            <wp:cNvGraphicFramePr/>
            <a:graphic>
              <a:graphicData uri="http://schemas.openxmlformats.org/drawingml/2006/picture">
                <pic:pic>
                  <pic:nvPicPr>
                    <pic:cNvPr id="92" name="IM 92"/>
                    <pic:cNvPicPr/>
                  </pic:nvPicPr>
                  <pic:blipFill>
                    <a:blip r:embed="rId243"/>
                    <a:stretch>
                      <a:fillRect/>
                    </a:stretch>
                  </pic:blipFill>
                  <pic:spPr>
                    <a:xfrm rot="0">
                      <a:off x="0" y="0"/>
                      <a:ext cx="177790" cy="132487"/>
                    </a:xfrm>
                    <a:prstGeom prst="rect">
                      <a:avLst/>
                    </a:prstGeom>
                  </pic:spPr>
                </pic:pic>
              </a:graphicData>
            </a:graphic>
          </wp:inline>
        </w:drawing>
      </w:r>
    </w:p>
    <w:p>
      <w:pPr>
        <w:spacing w:line="320" w:lineRule="auto"/>
        <w:rPr>
          <w:rFonts w:ascii="Arial"/>
          <w:sz w:val="21"/>
        </w:rPr>
      </w:pPr>
      <w:r/>
    </w:p>
    <w:p>
      <w:pPr>
        <w:spacing w:line="320" w:lineRule="auto"/>
        <w:rPr>
          <w:rFonts w:ascii="Arial"/>
          <w:sz w:val="21"/>
        </w:rPr>
      </w:pPr>
      <w:r/>
    </w:p>
    <w:p>
      <w:pPr>
        <w:spacing w:before="1" w:line="270" w:lineRule="exact"/>
        <w:rPr/>
      </w:pPr>
      <w:r>
        <w:rPr>
          <w:position w:val="-5"/>
        </w:rPr>
        <w:drawing>
          <wp:inline distT="0" distB="0" distL="0" distR="0">
            <wp:extent cx="317505" cy="171445"/>
            <wp:effectExtent l="0" t="0" r="0" b="0"/>
            <wp:docPr id="94" name="IM 94"/>
            <wp:cNvGraphicFramePr/>
            <a:graphic>
              <a:graphicData uri="http://schemas.openxmlformats.org/drawingml/2006/picture">
                <pic:pic>
                  <pic:nvPicPr>
                    <pic:cNvPr id="94" name="IM 94"/>
                    <pic:cNvPicPr/>
                  </pic:nvPicPr>
                  <pic:blipFill>
                    <a:blip r:embed="rId244"/>
                    <a:stretch>
                      <a:fillRect/>
                    </a:stretch>
                  </pic:blipFill>
                  <pic:spPr>
                    <a:xfrm rot="0">
                      <a:off x="0" y="0"/>
                      <a:ext cx="317505" cy="171445"/>
                    </a:xfrm>
                    <a:prstGeom prst="rect">
                      <a:avLst/>
                    </a:prstGeom>
                  </pic:spPr>
                </pic:pic>
              </a:graphicData>
            </a:graphic>
          </wp:inline>
        </w:drawing>
      </w:r>
    </w:p>
    <w:p>
      <w:pPr>
        <w:spacing w:line="392" w:lineRule="auto"/>
        <w:rPr>
          <w:rFonts w:ascii="Arial"/>
          <w:sz w:val="21"/>
        </w:rPr>
      </w:pPr>
      <w:r/>
    </w:p>
    <w:p>
      <w:pPr>
        <w:ind w:firstLine="1480"/>
        <w:spacing w:line="170" w:lineRule="exact"/>
        <w:rPr/>
      </w:pPr>
      <w:r>
        <w:rPr>
          <w:position w:val="-3"/>
        </w:rPr>
        <w:drawing>
          <wp:inline distT="0" distB="0" distL="0" distR="0">
            <wp:extent cx="126915" cy="108001"/>
            <wp:effectExtent l="0" t="0" r="0" b="0"/>
            <wp:docPr id="96" name="IM 96"/>
            <wp:cNvGraphicFramePr/>
            <a:graphic>
              <a:graphicData uri="http://schemas.openxmlformats.org/drawingml/2006/picture">
                <pic:pic>
                  <pic:nvPicPr>
                    <pic:cNvPr id="96" name="IM 96"/>
                    <pic:cNvPicPr/>
                  </pic:nvPicPr>
                  <pic:blipFill>
                    <a:blip r:embed="rId245"/>
                    <a:stretch>
                      <a:fillRect/>
                    </a:stretch>
                  </pic:blipFill>
                  <pic:spPr>
                    <a:xfrm rot="0">
                      <a:off x="0" y="0"/>
                      <a:ext cx="126915" cy="108001"/>
                    </a:xfrm>
                    <a:prstGeom prst="rect">
                      <a:avLst/>
                    </a:prstGeom>
                  </pic:spPr>
                </pic:pic>
              </a:graphicData>
            </a:graphic>
          </wp:inline>
        </w:drawing>
      </w:r>
    </w:p>
    <w:p>
      <w:pPr>
        <w:ind w:left="729"/>
        <w:spacing w:before="245" w:line="221" w:lineRule="auto"/>
        <w:rPr>
          <w:rFonts w:ascii="SimHei" w:hAnsi="SimHei" w:eastAsia="SimHei" w:cs="SimHei"/>
          <w:sz w:val="15"/>
          <w:szCs w:val="15"/>
        </w:rPr>
      </w:pPr>
      <w:r>
        <w:rPr>
          <w:rFonts w:ascii="SimHei" w:hAnsi="SimHei" w:eastAsia="SimHei" w:cs="SimHei"/>
          <w:sz w:val="15"/>
          <w:szCs w:val="15"/>
          <w:color w:val="8E9AE7"/>
          <w:spacing w:val="-10"/>
          <w:w w:val="94"/>
        </w:rPr>
        <w:t>●沙头村</w:t>
      </w:r>
    </w:p>
    <w:p>
      <w:pPr>
        <w:pStyle w:val="BodyText"/>
        <w:ind w:left="309"/>
        <w:spacing w:before="305" w:line="221" w:lineRule="auto"/>
        <w:rPr>
          <w:sz w:val="21"/>
          <w:szCs w:val="21"/>
        </w:rPr>
      </w:pPr>
      <w:r>
        <w:rPr>
          <w:sz w:val="21"/>
          <w:szCs w:val="21"/>
          <w:color w:val="2227A2"/>
          <w:spacing w:val="-14"/>
          <w:w w:val="61"/>
        </w:rPr>
        <w:t>小</w:t>
      </w:r>
      <w:r>
        <w:rPr>
          <w:sz w:val="21"/>
          <w:szCs w:val="21"/>
          <w:color w:val="2227A2"/>
          <w:spacing w:val="105"/>
        </w:rPr>
        <w:t xml:space="preserve"> </w:t>
      </w:r>
      <w:r>
        <w:rPr>
          <w:sz w:val="21"/>
          <w:szCs w:val="21"/>
          <w:color w:val="2227A2"/>
          <w:spacing w:val="-14"/>
          <w:w w:val="61"/>
        </w:rPr>
        <w:t>冲</w:t>
      </w:r>
    </w:p>
    <w:p>
      <w:pPr>
        <w:ind w:left="1109"/>
        <w:spacing w:before="8" w:line="176" w:lineRule="auto"/>
        <w:rPr>
          <w:rFonts w:ascii="LiSu" w:hAnsi="LiSu" w:eastAsia="LiSu" w:cs="LiSu"/>
          <w:sz w:val="15"/>
          <w:szCs w:val="15"/>
        </w:rPr>
      </w:pPr>
      <w:r>
        <w:rPr>
          <w:rFonts w:ascii="LiSu" w:hAnsi="LiSu" w:eastAsia="LiSu" w:cs="LiSu"/>
          <w:sz w:val="15"/>
          <w:szCs w:val="15"/>
          <w:color w:val="FFFFFF"/>
          <w:spacing w:val="-3"/>
          <w:w w:val="97"/>
        </w:rPr>
        <w:t>市海新城</w:t>
      </w:r>
    </w:p>
    <w:p>
      <w:pPr>
        <w:pStyle w:val="BodyText"/>
        <w:ind w:left="2069"/>
        <w:spacing w:before="178" w:line="220" w:lineRule="auto"/>
        <w:rPr>
          <w:sz w:val="21"/>
          <w:szCs w:val="21"/>
        </w:rPr>
      </w:pPr>
      <w:r>
        <w:rPr>
          <w:sz w:val="21"/>
          <w:szCs w:val="21"/>
          <w:color w:val="402EE3"/>
          <w:spacing w:val="19"/>
        </w:rPr>
        <w:t>项目所在地</w:t>
      </w:r>
    </w:p>
    <w:p>
      <w:pPr>
        <w:spacing w:line="243" w:lineRule="auto"/>
        <w:rPr>
          <w:rFonts w:ascii="Arial"/>
          <w:sz w:val="21"/>
        </w:rPr>
      </w:pPr>
      <w:r/>
    </w:p>
    <w:p>
      <w:pPr>
        <w:pStyle w:val="BodyText"/>
        <w:ind w:left="2140"/>
        <w:spacing w:before="68" w:line="173" w:lineRule="exact"/>
        <w:rPr>
          <w:sz w:val="21"/>
          <w:szCs w:val="21"/>
        </w:rPr>
      </w:pPr>
      <w:r>
        <w:rPr>
          <w:sz w:val="21"/>
          <w:szCs w:val="21"/>
          <w:color w:val="6D8CE1"/>
          <w:spacing w:val="-2"/>
          <w:position w:val="-2"/>
        </w:rPr>
        <w:t>5000m</w:t>
      </w:r>
    </w:p>
    <w:p>
      <w:pPr>
        <w:spacing w:line="173" w:lineRule="exact"/>
        <w:sectPr>
          <w:type w:val="continuous"/>
          <w:pgSz w:w="17010" w:h="12140"/>
          <w:pgMar w:top="1031" w:right="2180" w:bottom="1105" w:left="1290" w:header="0" w:footer="956" w:gutter="0"/>
          <w:cols w:equalWidth="0" w:num="4">
            <w:col w:w="4770" w:space="100"/>
            <w:col w:w="821" w:space="100"/>
            <w:col w:w="1970" w:space="100"/>
            <w:col w:w="5680" w:space="0"/>
          </w:cols>
        </w:sectPr>
        <w:rPr>
          <w:sz w:val="21"/>
          <w:szCs w:val="21"/>
        </w:rPr>
      </w:pPr>
    </w:p>
    <w:p>
      <w:pPr>
        <w:pStyle w:val="BodyText"/>
        <w:ind w:left="1879"/>
        <w:spacing w:before="91" w:line="219" w:lineRule="auto"/>
        <w:rPr>
          <w:sz w:val="15"/>
          <w:szCs w:val="15"/>
        </w:rPr>
      </w:pPr>
      <w:r>
        <w:rPr>
          <w:sz w:val="15"/>
          <w:szCs w:val="15"/>
        </w:rPr>
        <w:t>付</w:t>
      </w:r>
    </w:p>
    <w:p>
      <w:pPr>
        <w:spacing w:line="360" w:lineRule="auto"/>
        <w:rPr>
          <w:rFonts w:ascii="Arial"/>
          <w:sz w:val="21"/>
        </w:rPr>
      </w:pPr>
      <w:r/>
    </w:p>
    <w:p>
      <w:pPr>
        <w:pStyle w:val="BodyText"/>
        <w:ind w:left="8540"/>
        <w:spacing w:before="49" w:line="219" w:lineRule="auto"/>
        <w:rPr>
          <w:sz w:val="15"/>
          <w:szCs w:val="15"/>
        </w:rPr>
      </w:pPr>
      <w:r>
        <w:pict>
          <v:shape id="_x0000_s156" style="position:absolute;margin-left:341.998pt;margin-top:0.405706pt;mso-position-vertical-relative:text;mso-position-horizontal-relative:text;width:24.4pt;height:8.95pt;z-index:252089344;" filled="false" stroked="false" type="#_x0000_t202">
            <v:fill on="false"/>
            <v:stroke on="false"/>
            <v:path/>
            <v:imagedata o:title=""/>
            <o:lock v:ext="edit" aspectratio="false"/>
            <v:textbox inset="0mm,0mm,0mm,0mm">
              <w:txbxContent>
                <w:p>
                  <w:pPr>
                    <w:ind w:left="20"/>
                    <w:spacing w:before="19" w:line="171" w:lineRule="auto"/>
                    <w:rPr>
                      <w:rFonts w:ascii="LiSu" w:hAnsi="LiSu" w:eastAsia="LiSu" w:cs="LiSu"/>
                      <w:sz w:val="15"/>
                      <w:szCs w:val="15"/>
                    </w:rPr>
                  </w:pPr>
                  <w:r>
                    <w:rPr>
                      <w:rFonts w:ascii="LiSu" w:hAnsi="LiSu" w:eastAsia="LiSu" w:cs="LiSu"/>
                      <w:sz w:val="15"/>
                      <w:szCs w:val="15"/>
                      <w:color w:val="BF8C28"/>
                      <w:spacing w:val="-1"/>
                    </w:rPr>
                    <w:t>石码内</w:t>
                  </w:r>
                </w:p>
              </w:txbxContent>
            </v:textbox>
          </v:shape>
        </w:pict>
      </w:r>
      <w:r>
        <w:rPr>
          <w:sz w:val="15"/>
          <w:szCs w:val="15"/>
          <w:spacing w:val="-5"/>
        </w:rPr>
        <w:t>●长沙村</w:t>
      </w:r>
    </w:p>
    <w:p>
      <w:pPr>
        <w:spacing w:line="388" w:lineRule="auto"/>
        <w:rPr>
          <w:rFonts w:ascii="Arial"/>
          <w:sz w:val="21"/>
        </w:rPr>
      </w:pPr>
      <w:r/>
    </w:p>
    <w:p>
      <w:pPr>
        <w:pStyle w:val="BodyText"/>
        <w:ind w:left="8110"/>
        <w:spacing w:before="69" w:line="183" w:lineRule="auto"/>
        <w:rPr>
          <w:sz w:val="21"/>
          <w:szCs w:val="21"/>
        </w:rPr>
      </w:pPr>
      <w:r>
        <w:pict>
          <v:shape id="_x0000_s158" style="position:absolute;margin-left:177.001pt;margin-top:0.964621pt;mso-position-vertical-relative:text;mso-position-horizontal-relative:text;width:24.4pt;height:8.9pt;z-index:252088320;" filled="false" stroked="false" type="#_x0000_t202">
            <v:fill on="false"/>
            <v:stroke on="false"/>
            <v:path/>
            <v:imagedata o:title=""/>
            <o:lock v:ext="edit" aspectratio="false"/>
            <v:textbox inset="0mm,0mm,0mm,0mm">
              <w:txbxContent>
                <w:p>
                  <w:pPr>
                    <w:ind w:left="20"/>
                    <w:spacing w:before="19" w:line="169" w:lineRule="auto"/>
                    <w:rPr>
                      <w:rFonts w:ascii="LiSu" w:hAnsi="LiSu" w:eastAsia="LiSu" w:cs="LiSu"/>
                      <w:sz w:val="15"/>
                      <w:szCs w:val="15"/>
                    </w:rPr>
                  </w:pPr>
                  <w:r>
                    <w:rPr>
                      <w:rFonts w:ascii="LiSu" w:hAnsi="LiSu" w:eastAsia="LiSu" w:cs="LiSu"/>
                      <w:sz w:val="15"/>
                      <w:szCs w:val="15"/>
                      <w:color w:val="9D771E"/>
                      <w:spacing w:val="-1"/>
                    </w:rPr>
                    <w:t>天地山</w:t>
                  </w:r>
                </w:p>
              </w:txbxContent>
            </v:textbox>
          </v:shape>
        </w:pict>
      </w:r>
      <w:r>
        <w:rPr>
          <w:sz w:val="21"/>
          <w:szCs w:val="21"/>
          <w:color w:val="5A7CC0"/>
          <w:spacing w:val="-2"/>
        </w:rPr>
        <w:t>5000m</w:t>
      </w:r>
    </w:p>
    <w:p>
      <w:pPr>
        <w:ind w:left="8659"/>
        <w:spacing w:before="25" w:line="210" w:lineRule="auto"/>
        <w:rPr>
          <w:rFonts w:ascii="SimHei" w:hAnsi="SimHei" w:eastAsia="SimHei" w:cs="SimHei"/>
          <w:sz w:val="15"/>
          <w:szCs w:val="15"/>
        </w:rPr>
      </w:pPr>
      <w:r>
        <w:rPr>
          <w:rFonts w:ascii="SimHei" w:hAnsi="SimHei" w:eastAsia="SimHei" w:cs="SimHei"/>
          <w:sz w:val="15"/>
          <w:szCs w:val="15"/>
          <w:color w:val="FFFFFF"/>
          <w:spacing w:val="-2"/>
        </w:rPr>
        <w:t>沙雄里村</w:t>
      </w:r>
    </w:p>
    <w:p>
      <w:pPr>
        <w:pStyle w:val="BodyText"/>
        <w:ind w:left="7540"/>
        <w:spacing w:line="220" w:lineRule="auto"/>
        <w:rPr>
          <w:sz w:val="15"/>
          <w:szCs w:val="15"/>
        </w:rPr>
      </w:pPr>
      <w:r>
        <w:pict>
          <v:shape id="_x0000_s160" style="position:absolute;margin-left:637.496pt;margin-top:-2.14381pt;mso-position-vertical-relative:text;mso-position-horizontal-relative:text;width:21.2pt;height:9.5pt;z-index:252090368;" filled="false" stroked="false" type="#_x0000_t202">
            <v:fill on="false"/>
            <v:stroke on="false"/>
            <v:path/>
            <v:imagedata o:title=""/>
            <o:lock v:ext="edit" aspectratio="false"/>
            <v:textbox inset="0mm,0mm,0mm,0mm">
              <w:txbxContent>
                <w:p>
                  <w:pPr>
                    <w:pStyle w:val="BodyText"/>
                    <w:ind w:left="20"/>
                    <w:spacing w:before="19" w:line="185" w:lineRule="auto"/>
                    <w:rPr>
                      <w:sz w:val="15"/>
                      <w:szCs w:val="15"/>
                    </w:rPr>
                  </w:pPr>
                  <w:r>
                    <w:rPr>
                      <w:rFonts w:ascii="LiSu" w:hAnsi="LiSu" w:eastAsia="LiSu" w:cs="LiSu"/>
                      <w:sz w:val="15"/>
                      <w:szCs w:val="15"/>
                      <w:spacing w:val="2"/>
                    </w:rPr>
                    <w:t>牛头</w:t>
                  </w:r>
                  <w:r>
                    <w:rPr>
                      <w:sz w:val="15"/>
                      <w:szCs w:val="15"/>
                      <w:spacing w:val="2"/>
                    </w:rPr>
                    <w:t>A</w:t>
                  </w:r>
                </w:p>
              </w:txbxContent>
            </v:textbox>
          </v:shape>
        </w:pict>
      </w:r>
      <w:r>
        <w:pict>
          <v:shape id="_x0000_s162" style="position:absolute;margin-left:196.001pt;margin-top:-1.48833pt;mso-position-vertical-relative:text;mso-position-horizontal-relative:text;width:15.35pt;height:18.95pt;z-index:252086272;" filled="false" stroked="false" type="#_x0000_t202">
            <v:fill on="false"/>
            <v:stroke on="false"/>
            <v:path/>
            <v:imagedata o:title=""/>
            <o:lock v:ext="edit" aspectratio="false"/>
            <v:textbox inset="0mm,0mm,0mm,0mm">
              <w:txbxContent>
                <w:p>
                  <w:pPr>
                    <w:pStyle w:val="BodyText"/>
                    <w:ind w:left="20"/>
                    <w:spacing w:before="19" w:line="223" w:lineRule="auto"/>
                    <w:rPr>
                      <w:sz w:val="28"/>
                      <w:szCs w:val="28"/>
                    </w:rPr>
                  </w:pPr>
                  <w:r>
                    <w:rPr>
                      <w:sz w:val="28"/>
                      <w:szCs w:val="28"/>
                      <w:color w:val="4F7682"/>
                    </w:rPr>
                    <w:t>可</w:t>
                  </w:r>
                </w:p>
              </w:txbxContent>
            </v:textbox>
          </v:shape>
        </w:pict>
      </w:r>
      <w:r>
        <w:pict>
          <v:shape id="_x0000_s164" style="position:absolute;margin-left:92.9972pt;margin-top:3.95146pt;mso-position-vertical-relative:text;mso-position-horizontal-relative:text;width:24.25pt;height:10.9pt;z-index:252087296;" filled="false" stroked="false" type="#_x0000_t202">
            <v:fill on="false"/>
            <v:stroke on="false"/>
            <v:path/>
            <v:imagedata o:title=""/>
            <o:lock v:ext="edit" aspectratio="false"/>
            <v:textbox inset="0mm,0mm,0mm,0mm">
              <w:txbxContent>
                <w:p>
                  <w:pPr>
                    <w:pStyle w:val="BodyText"/>
                    <w:ind w:left="20"/>
                    <w:spacing w:before="19" w:line="219" w:lineRule="auto"/>
                    <w:rPr>
                      <w:sz w:val="15"/>
                      <w:szCs w:val="15"/>
                    </w:rPr>
                  </w:pPr>
                  <w:r>
                    <w:rPr>
                      <w:sz w:val="15"/>
                      <w:szCs w:val="15"/>
                      <w:color w:val="D8C39B"/>
                      <w:spacing w:val="-2"/>
                    </w:rPr>
                    <w:t>糖章山</w:t>
                  </w:r>
                </w:p>
              </w:txbxContent>
            </v:textbox>
          </v:shape>
        </w:pict>
      </w:r>
      <w:r>
        <w:rPr>
          <w:sz w:val="15"/>
          <w:szCs w:val="15"/>
          <w:color w:val="858AD0"/>
          <w:spacing w:val="21"/>
        </w:rPr>
        <w:t>大基里中</w:t>
      </w:r>
    </w:p>
    <w:p>
      <w:pPr>
        <w:pStyle w:val="BodyText"/>
        <w:ind w:left="8969"/>
        <w:spacing w:before="213" w:line="219" w:lineRule="auto"/>
        <w:rPr>
          <w:sz w:val="21"/>
          <w:szCs w:val="21"/>
        </w:rPr>
      </w:pPr>
      <w:r>
        <w:rPr>
          <w:sz w:val="21"/>
          <w:szCs w:val="21"/>
          <w:color w:val="4646AF"/>
          <w:spacing w:val="-3"/>
        </w:rPr>
        <w:t>步商用</w:t>
      </w:r>
    </w:p>
    <w:p>
      <w:pPr>
        <w:ind w:firstLine="12190"/>
        <w:spacing w:before="162" w:line="210" w:lineRule="exact"/>
        <w:rPr/>
      </w:pPr>
      <w:r>
        <w:rPr>
          <w:position w:val="-4"/>
        </w:rPr>
        <w:drawing>
          <wp:inline distT="0" distB="0" distL="0" distR="0">
            <wp:extent cx="323825" cy="133364"/>
            <wp:effectExtent l="0" t="0" r="0" b="0"/>
            <wp:docPr id="98" name="IM 98"/>
            <wp:cNvGraphicFramePr/>
            <a:graphic>
              <a:graphicData uri="http://schemas.openxmlformats.org/drawingml/2006/picture">
                <pic:pic>
                  <pic:nvPicPr>
                    <pic:cNvPr id="98" name="IM 98"/>
                    <pic:cNvPicPr/>
                  </pic:nvPicPr>
                  <pic:blipFill>
                    <a:blip r:embed="rId246"/>
                    <a:stretch>
                      <a:fillRect/>
                    </a:stretch>
                  </pic:blipFill>
                  <pic:spPr>
                    <a:xfrm rot="0">
                      <a:off x="0" y="0"/>
                      <a:ext cx="323825" cy="133364"/>
                    </a:xfrm>
                    <a:prstGeom prst="rect">
                      <a:avLst/>
                    </a:prstGeom>
                  </pic:spPr>
                </pic:pic>
              </a:graphicData>
            </a:graphic>
          </wp:inline>
        </w:drawing>
      </w:r>
    </w:p>
    <w:p>
      <w:pPr>
        <w:ind w:left="10050"/>
        <w:spacing w:before="73" w:line="157" w:lineRule="auto"/>
        <w:rPr>
          <w:rFonts w:ascii="LiSu" w:hAnsi="LiSu" w:eastAsia="LiSu" w:cs="LiSu"/>
          <w:sz w:val="15"/>
          <w:szCs w:val="15"/>
        </w:rPr>
      </w:pPr>
      <w:r>
        <w:pict>
          <v:shape id="_x0000_s166" style="position:absolute;margin-left:163.997pt;margin-top:-0.287411pt;mso-position-vertical-relative:text;mso-position-horizontal-relative:text;width:7.3pt;height:11.3pt;z-index:252091392;" filled="false" stroked="false" type="#_x0000_t202">
            <v:fill on="false"/>
            <v:stroke on="false"/>
            <v:path/>
            <v:imagedata o:title=""/>
            <o:lock v:ext="edit" aspectratio="false"/>
            <v:textbox inset="0mm,0mm,0mm,0mm">
              <w:txbxContent>
                <w:p>
                  <w:pPr>
                    <w:pStyle w:val="BodyText"/>
                    <w:spacing w:before="19" w:line="229" w:lineRule="auto"/>
                    <w:jc w:val="right"/>
                    <w:rPr>
                      <w:sz w:val="15"/>
                      <w:szCs w:val="15"/>
                    </w:rPr>
                  </w:pPr>
                  <w:r>
                    <w:rPr>
                      <w:sz w:val="15"/>
                      <w:szCs w:val="15"/>
                      <w:color w:val="5F8694"/>
                      <w:spacing w:val="-10"/>
                      <w:w w:val="76"/>
                    </w:rPr>
                    <w:t>生</w:t>
                  </w:r>
                </w:p>
              </w:txbxContent>
            </v:textbox>
          </v:shape>
        </w:pict>
      </w:r>
      <w:r>
        <w:rPr>
          <w:rFonts w:ascii="LiSu" w:hAnsi="LiSu" w:eastAsia="LiSu" w:cs="LiSu"/>
          <w:sz w:val="15"/>
          <w:szCs w:val="15"/>
          <w:color w:val="A47D14"/>
          <w:spacing w:val="-11"/>
        </w:rPr>
        <w:t>白门山</w:t>
      </w:r>
    </w:p>
    <w:p>
      <w:pPr>
        <w:ind w:left="3339"/>
        <w:spacing w:line="210" w:lineRule="exact"/>
        <w:rPr/>
      </w:pPr>
      <w:r>
        <w:rPr>
          <w:position w:val="-4"/>
        </w:rPr>
        <w:drawing>
          <wp:inline distT="0" distB="0" distL="0" distR="0">
            <wp:extent cx="60325" cy="133363"/>
            <wp:effectExtent l="0" t="0" r="0" b="0"/>
            <wp:docPr id="100" name="IM 100"/>
            <wp:cNvGraphicFramePr/>
            <a:graphic>
              <a:graphicData uri="http://schemas.openxmlformats.org/drawingml/2006/picture">
                <pic:pic>
                  <pic:nvPicPr>
                    <pic:cNvPr id="100" name="IM 100"/>
                    <pic:cNvPicPr/>
                  </pic:nvPicPr>
                  <pic:blipFill>
                    <a:blip r:embed="rId247"/>
                    <a:stretch>
                      <a:fillRect/>
                    </a:stretch>
                  </pic:blipFill>
                  <pic:spPr>
                    <a:xfrm rot="0">
                      <a:off x="0" y="0"/>
                      <a:ext cx="60325" cy="133363"/>
                    </a:xfrm>
                    <a:prstGeom prst="rect">
                      <a:avLst/>
                    </a:prstGeom>
                  </pic:spPr>
                </pic:pic>
              </a:graphicData>
            </a:graphic>
          </wp:inline>
        </w:drawing>
      </w: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ind w:firstLine="12579"/>
        <w:spacing w:line="180" w:lineRule="exact"/>
        <w:rPr/>
      </w:pPr>
      <w:r>
        <w:rPr>
          <w:position w:val="-3"/>
        </w:rPr>
        <w:drawing>
          <wp:inline distT="0" distB="0" distL="0" distR="0">
            <wp:extent cx="266685" cy="114322"/>
            <wp:effectExtent l="0" t="0" r="0" b="0"/>
            <wp:docPr id="102" name="IM 102"/>
            <wp:cNvGraphicFramePr/>
            <a:graphic>
              <a:graphicData uri="http://schemas.openxmlformats.org/drawingml/2006/picture">
                <pic:pic>
                  <pic:nvPicPr>
                    <pic:cNvPr id="102" name="IM 102"/>
                    <pic:cNvPicPr/>
                  </pic:nvPicPr>
                  <pic:blipFill>
                    <a:blip r:embed="rId248"/>
                    <a:stretch>
                      <a:fillRect/>
                    </a:stretch>
                  </pic:blipFill>
                  <pic:spPr>
                    <a:xfrm rot="0">
                      <a:off x="0" y="0"/>
                      <a:ext cx="266685" cy="114322"/>
                    </a:xfrm>
                    <a:prstGeom prst="rect">
                      <a:avLst/>
                    </a:prstGeom>
                  </pic:spPr>
                </pic:pic>
              </a:graphicData>
            </a:graphic>
          </wp:inline>
        </w:drawing>
      </w:r>
    </w:p>
    <w:p>
      <w:pPr>
        <w:spacing w:line="180" w:lineRule="exact"/>
        <w:sectPr>
          <w:type w:val="continuous"/>
          <w:pgSz w:w="17010" w:h="12140"/>
          <w:pgMar w:top="1031" w:right="2180" w:bottom="1105" w:left="1290" w:header="0" w:footer="956" w:gutter="0"/>
          <w:cols w:equalWidth="0" w:num="1">
            <w:col w:w="13540" w:space="0"/>
          </w:cols>
        </w:sectPr>
        <w:rPr/>
      </w:pPr>
    </w:p>
    <w:p>
      <w:pPr>
        <w:pStyle w:val="BodyText"/>
        <w:spacing w:before="45" w:line="219" w:lineRule="auto"/>
        <w:rPr>
          <w:sz w:val="23"/>
          <w:szCs w:val="23"/>
        </w:rPr>
      </w:pPr>
      <w:r>
        <w:rPr>
          <w:sz w:val="23"/>
          <w:szCs w:val="23"/>
          <w:spacing w:val="11"/>
        </w:rPr>
        <w:t>附 图 1</w:t>
      </w:r>
      <w:r>
        <w:rPr>
          <w:sz w:val="23"/>
          <w:szCs w:val="23"/>
          <w:spacing w:val="-15"/>
        </w:rPr>
        <w:t xml:space="preserve"> </w:t>
      </w:r>
      <w:r>
        <w:rPr>
          <w:sz w:val="23"/>
          <w:szCs w:val="23"/>
          <w:spacing w:val="11"/>
        </w:rPr>
        <w:t>0  霞浦县福宁工业园区控制性详细规划土地利用现状图(2023修编)</w:t>
      </w:r>
    </w:p>
    <w:p>
      <w:pPr>
        <w:spacing w:line="289" w:lineRule="auto"/>
        <w:rPr>
          <w:rFonts w:ascii="Arial"/>
          <w:sz w:val="21"/>
        </w:rPr>
      </w:pPr>
      <w:r/>
    </w:p>
    <w:p>
      <w:pPr>
        <w:ind w:left="334"/>
        <w:spacing w:before="104" w:line="221" w:lineRule="auto"/>
        <w:rPr>
          <w:rFonts w:ascii="SimHei" w:hAnsi="SimHei" w:eastAsia="SimHei" w:cs="SimHei"/>
          <w:sz w:val="32"/>
          <w:szCs w:val="32"/>
        </w:rPr>
      </w:pPr>
      <w:r>
        <w:drawing>
          <wp:anchor distT="0" distB="0" distL="0" distR="0" simplePos="0" relativeHeight="252113920" behindDoc="1" locked="0" layoutInCell="1" allowOverlap="1">
            <wp:simplePos x="0" y="0"/>
            <wp:positionH relativeFrom="column">
              <wp:posOffset>57127</wp:posOffset>
            </wp:positionH>
            <wp:positionV relativeFrom="paragraph">
              <wp:posOffset>-45699</wp:posOffset>
            </wp:positionV>
            <wp:extent cx="5911903" cy="8401055"/>
            <wp:effectExtent l="0" t="0" r="0" b="0"/>
            <wp:wrapNone/>
            <wp:docPr id="104" name="IM 104"/>
            <wp:cNvGraphicFramePr/>
            <a:graphic>
              <a:graphicData uri="http://schemas.openxmlformats.org/drawingml/2006/picture">
                <pic:pic>
                  <pic:nvPicPr>
                    <pic:cNvPr id="104" name="IM 104"/>
                    <pic:cNvPicPr/>
                  </pic:nvPicPr>
                  <pic:blipFill>
                    <a:blip r:embed="rId250"/>
                    <a:stretch>
                      <a:fillRect/>
                    </a:stretch>
                  </pic:blipFill>
                  <pic:spPr>
                    <a:xfrm rot="0">
                      <a:off x="0" y="0"/>
                      <a:ext cx="5911903" cy="8401055"/>
                    </a:xfrm>
                    <a:prstGeom prst="rect">
                      <a:avLst/>
                    </a:prstGeom>
                  </pic:spPr>
                </pic:pic>
              </a:graphicData>
            </a:graphic>
          </wp:anchor>
        </w:drawing>
      </w:r>
      <w:r>
        <w:rPr>
          <w:rFonts w:ascii="SimHei" w:hAnsi="SimHei" w:eastAsia="SimHei" w:cs="SimHei"/>
          <w:sz w:val="32"/>
          <w:szCs w:val="32"/>
          <w:b/>
          <w:bCs/>
          <w:spacing w:val="-1"/>
        </w:rPr>
        <w:t>霞浦县福宁工业园区(福建省霞浦经济开发区)</w:t>
      </w:r>
    </w:p>
    <w:p>
      <w:pPr>
        <w:pStyle w:val="BodyText"/>
        <w:ind w:left="5994"/>
        <w:spacing w:before="60" w:line="219" w:lineRule="auto"/>
        <w:rPr>
          <w:sz w:val="32"/>
          <w:szCs w:val="32"/>
        </w:rPr>
      </w:pPr>
      <w:r>
        <w:rPr>
          <w:sz w:val="32"/>
          <w:szCs w:val="32"/>
          <w:b/>
          <w:bCs/>
          <w:spacing w:val="-2"/>
        </w:rPr>
        <w:t>控制性详细规划(修编)</w:t>
      </w:r>
    </w:p>
    <w:p>
      <w:pPr>
        <w:ind w:left="6783"/>
        <w:spacing w:before="297" w:line="222" w:lineRule="auto"/>
        <w:rPr>
          <w:rFonts w:ascii="SimHei" w:hAnsi="SimHei" w:eastAsia="SimHei" w:cs="SimHei"/>
          <w:sz w:val="27"/>
          <w:szCs w:val="27"/>
        </w:rPr>
      </w:pPr>
      <w:r>
        <w:rPr>
          <w:rFonts w:ascii="SimHei" w:hAnsi="SimHei" w:eastAsia="SimHei" w:cs="SimHei"/>
          <w:sz w:val="27"/>
          <w:szCs w:val="27"/>
          <w:b/>
          <w:bCs/>
          <w:spacing w:val="-5"/>
        </w:rPr>
        <w:t>土地利用现状图</w:t>
      </w:r>
    </w:p>
    <w:p>
      <w:pPr>
        <w:spacing w:line="305" w:lineRule="auto"/>
        <w:rPr>
          <w:rFonts w:ascii="Arial"/>
          <w:sz w:val="21"/>
        </w:rPr>
      </w:pPr>
      <w:r/>
    </w:p>
    <w:p>
      <w:pPr>
        <w:spacing w:line="305" w:lineRule="auto"/>
        <w:rPr>
          <w:rFonts w:ascii="Arial"/>
          <w:sz w:val="21"/>
        </w:rPr>
      </w:pPr>
      <w:r/>
    </w:p>
    <w:p>
      <w:pPr>
        <w:spacing w:line="306" w:lineRule="auto"/>
        <w:rPr>
          <w:rFonts w:ascii="Arial"/>
          <w:sz w:val="21"/>
        </w:rPr>
      </w:pPr>
      <w:r/>
    </w:p>
    <w:p>
      <w:pPr>
        <w:pStyle w:val="BodyText"/>
        <w:ind w:left="3550"/>
        <w:spacing w:before="55" w:line="219" w:lineRule="auto"/>
        <w:rPr>
          <w:sz w:val="17"/>
          <w:szCs w:val="17"/>
        </w:rPr>
      </w:pPr>
      <w:r>
        <w:rPr>
          <w:sz w:val="17"/>
          <w:szCs w:val="17"/>
          <w:spacing w:val="-2"/>
        </w:rPr>
        <w:t>赛下</w:t>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1010"/>
        <w:spacing w:before="75" w:line="222" w:lineRule="auto"/>
        <w:rPr>
          <w:rFonts w:ascii="SimHei" w:hAnsi="SimHei" w:eastAsia="SimHei" w:cs="SimHei"/>
          <w:sz w:val="23"/>
          <w:szCs w:val="23"/>
        </w:rPr>
      </w:pPr>
      <w:r>
        <w:rPr>
          <w:rFonts w:ascii="SimHei" w:hAnsi="SimHei" w:eastAsia="SimHei" w:cs="SimHei"/>
          <w:sz w:val="23"/>
          <w:szCs w:val="23"/>
          <w:spacing w:val="-14"/>
        </w:rPr>
        <w:t>本项目位置</w:t>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BodyText"/>
        <w:ind w:left="1770"/>
        <w:spacing w:before="75" w:line="219" w:lineRule="auto"/>
        <w:rPr>
          <w:sz w:val="23"/>
          <w:szCs w:val="23"/>
        </w:rPr>
      </w:pPr>
      <w:r>
        <w:rPr>
          <w:sz w:val="23"/>
          <w:szCs w:val="23"/>
          <w:spacing w:val="-11"/>
        </w:rPr>
        <w:t>时代一汽现有工程位贵</w:t>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pStyle w:val="BodyText"/>
        <w:ind w:left="689"/>
        <w:spacing w:before="74" w:line="214" w:lineRule="auto"/>
        <w:rPr>
          <w:sz w:val="23"/>
          <w:szCs w:val="23"/>
        </w:rPr>
      </w:pPr>
      <w:r>
        <w:rPr>
          <w:rFonts w:ascii="SimHei" w:hAnsi="SimHei" w:eastAsia="SimHei" w:cs="SimHei"/>
          <w:sz w:val="23"/>
          <w:szCs w:val="23"/>
          <w:spacing w:val="-20"/>
          <w:w w:val="97"/>
        </w:rPr>
        <w:t>建盟设计集团有限公司</w:t>
      </w:r>
      <w:r>
        <w:rPr>
          <w:rFonts w:ascii="SimHei" w:hAnsi="SimHei" w:eastAsia="SimHei" w:cs="SimHei"/>
          <w:sz w:val="23"/>
          <w:szCs w:val="23"/>
          <w:spacing w:val="8"/>
        </w:rPr>
        <w:t xml:space="preserve">   </w:t>
      </w:r>
      <w:r>
        <w:rPr>
          <w:sz w:val="23"/>
          <w:szCs w:val="23"/>
          <w:spacing w:val="-20"/>
          <w:w w:val="97"/>
        </w:rPr>
        <w:t>2023.04</w:t>
      </w:r>
      <w:r>
        <w:rPr>
          <w:sz w:val="23"/>
          <w:szCs w:val="23"/>
          <w:spacing w:val="3"/>
        </w:rPr>
        <w:t xml:space="preserve">                       </w:t>
      </w:r>
      <w:r>
        <w:rPr>
          <w:sz w:val="23"/>
          <w:szCs w:val="23"/>
          <w:spacing w:val="2"/>
        </w:rPr>
        <w:t xml:space="preserve">                   </w:t>
      </w:r>
      <w:r>
        <w:rPr>
          <w:sz w:val="23"/>
          <w:szCs w:val="23"/>
          <w:b/>
          <w:bCs/>
          <w:spacing w:val="-20"/>
          <w:w w:val="97"/>
          <w:position w:val="-4"/>
        </w:rPr>
        <w:t>06</w:t>
      </w:r>
    </w:p>
    <w:p>
      <w:pPr>
        <w:spacing w:line="214" w:lineRule="auto"/>
        <w:sectPr>
          <w:footerReference w:type="default" r:id="rId249"/>
          <w:pgSz w:w="11900" w:h="16840"/>
          <w:pgMar w:top="1302" w:right="979" w:bottom="987" w:left="1519" w:header="0" w:footer="849" w:gutter="0"/>
        </w:sectPr>
        <w:rPr>
          <w:sz w:val="23"/>
          <w:szCs w:val="23"/>
        </w:rPr>
      </w:pPr>
    </w:p>
    <w:p>
      <w:pPr>
        <w:spacing w:line="242" w:lineRule="auto"/>
        <w:rPr>
          <w:rFonts w:ascii="Arial"/>
          <w:sz w:val="21"/>
        </w:rPr>
      </w:pPr>
      <w:r>
        <mc:AlternateContent xmlns:mc="http://schemas.openxmlformats.org/markup-compatibility/2006">
          <mc:Choice Requires="wps">
            <w:drawing>
              <wp:anchor distT="0" distB="0" distL="0" distR="0" simplePos="0" relativeHeight="252144640" behindDoc="0" locked="0" layoutInCell="0" allowOverlap="1">
                <wp:simplePos x="0" y="0"/>
                <wp:positionH relativeFrom="page">
                  <wp:posOffset>1187543</wp:posOffset>
                </wp:positionH>
                <wp:positionV relativeFrom="page">
                  <wp:posOffset>8537764</wp:posOffset>
                </wp:positionV>
                <wp:extent cx="385445" cy="193039"/>
                <wp:effectExtent l="0" t="0" r="0" b="0"/>
                <wp:wrapNone/>
                <wp:docPr id="108" name="TextBox 108"/>
                <wp:cNvGraphicFramePr/>
                <a:graphic>
                  <a:graphicData uri="http://schemas.microsoft.com/office/word/2010/wordprocessingShape">
                    <wps:wsp>
                      <wps:cNvSpPr txBox="1"/>
                      <wps:spPr>
                        <a:xfrm rot="16200000">
                          <a:off x="1187543" y="8537764"/>
                          <a:ext cx="385445" cy="19303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BodyText"/>
                              <w:spacing w:before="56" w:line="220" w:lineRule="auto"/>
                              <w:jc w:val="right"/>
                              <w:rPr>
                                <w:sz w:val="19"/>
                                <w:szCs w:val="19"/>
                              </w:rPr>
                            </w:pPr>
                            <w:r>
                              <w:rPr>
                                <w:sz w:val="19"/>
                                <w:szCs w:val="19"/>
                                <w:spacing w:val="-19"/>
                              </w:rPr>
                              <w:t>倒</w:t>
                            </w:r>
                            <w:r>
                              <w:rPr>
                                <w:sz w:val="19"/>
                                <w:szCs w:val="19"/>
                                <w:spacing w:val="15"/>
                              </w:rPr>
                              <w:t xml:space="preserve">  </w:t>
                            </w:r>
                            <w:r>
                              <w:rPr>
                                <w:sz w:val="19"/>
                                <w:szCs w:val="19"/>
                                <w:spacing w:val="-17"/>
                              </w:rPr>
                              <w:t>图</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68" style="position:absolute;margin-left:93.5074pt;margin-top:672.265pt;mso-position-vertical-relative:page;mso-position-horizontal-relative:page;width:30.35pt;height:15.2pt;z-index:252144640;rotation:270;" o:allowincell="f" filled="false" stroked="false" type="#_x0000_t202">
                <v:fill on="false"/>
                <v:stroke on="false"/>
                <v:path/>
                <v:imagedata o:title=""/>
                <o:lock v:ext="edit" aspectratio="false"/>
                <v:textbox inset="0mm,0mm,0mm,0mm">
                  <w:txbxContent>
                    <w:p>
                      <w:pPr>
                        <w:pStyle w:val="BodyText"/>
                        <w:spacing w:before="56" w:line="220" w:lineRule="auto"/>
                        <w:jc w:val="right"/>
                        <w:rPr>
                          <w:sz w:val="19"/>
                          <w:szCs w:val="19"/>
                        </w:rPr>
                      </w:pPr>
                      <w:r>
                        <w:rPr>
                          <w:sz w:val="19"/>
                          <w:szCs w:val="19"/>
                          <w:spacing w:val="-19"/>
                        </w:rPr>
                        <w:t>倒</w:t>
                      </w:r>
                      <w:r>
                        <w:rPr>
                          <w:sz w:val="19"/>
                          <w:szCs w:val="19"/>
                          <w:spacing w:val="15"/>
                        </w:rPr>
                        <w:t xml:space="preserve">  </w:t>
                      </w:r>
                      <w:r>
                        <w:rPr>
                          <w:sz w:val="19"/>
                          <w:szCs w:val="19"/>
                          <w:spacing w:val="-17"/>
                        </w:rPr>
                        <w:t>图</w:t>
                      </w:r>
                    </w:p>
                  </w:txbxContent>
                </v:textbox>
              </v:shape>
            </w:pict>
          </mc:Fallback>
        </mc:AlternateContent>
      </w:r>
      <w:r>
        <w:pict>
          <v:shape id="_x0000_s170" style="position:absolute;margin-left:211.135pt;margin-top:676.656pt;mso-position-vertical-relative:page;mso-position-horizontal-relative:page;width:11.05pt;height:22.85pt;z-index:252147712;" o:allowincell="f" filled="false" stroked="false" type="#_x0000_t202">
            <v:fill on="false"/>
            <v:stroke on="false"/>
            <v:path/>
            <v:imagedata o:title=""/>
            <o:lock v:ext="edit" aspectratio="false"/>
            <v:textbox inset="0mm,0mm,0mm,0mm" style="layout-flow:vertical-ideographic;">
              <w:txbxContent>
                <w:p>
                  <w:pPr>
                    <w:pStyle w:val="BodyText"/>
                    <w:spacing w:before="20" w:line="198" w:lineRule="auto"/>
                    <w:jc w:val="right"/>
                    <w:rPr>
                      <w:rFonts w:ascii="STXinwei" w:hAnsi="STXinwei" w:eastAsia="STXinwei" w:cs="STXinwei"/>
                      <w:sz w:val="10"/>
                      <w:szCs w:val="10"/>
                    </w:rPr>
                  </w:pPr>
                  <w:r>
                    <w:rPr>
                      <w:sz w:val="15"/>
                      <w:szCs w:val="15"/>
                      <w:color w:val="FFFFFF"/>
                      <w:spacing w:val="-15"/>
                      <w:position w:val="1"/>
                    </w:rPr>
                    <w:t>重</w:t>
                  </w:r>
                  <w:r>
                    <w:rPr>
                      <w:sz w:val="15"/>
                      <w:szCs w:val="15"/>
                      <w:color w:val="FFFFFF"/>
                      <w:spacing w:val="-36"/>
                      <w:position w:val="1"/>
                    </w:rPr>
                    <w:t xml:space="preserve"> </w:t>
                  </w:r>
                  <w:r>
                    <w:rPr>
                      <w:sz w:val="10"/>
                      <w:szCs w:val="10"/>
                      <w:color w:val="C6F9FD"/>
                      <w:spacing w:val="-15"/>
                      <w:position w:val="-1"/>
                    </w:rPr>
                    <w:t>亚</w:t>
                  </w:r>
                  <w:r>
                    <w:rPr>
                      <w:sz w:val="10"/>
                      <w:szCs w:val="10"/>
                      <w:color w:val="C6F9FD"/>
                      <w:spacing w:val="15"/>
                      <w:w w:val="101"/>
                      <w:position w:val="-1"/>
                    </w:rPr>
                    <w:t xml:space="preserve"> </w:t>
                  </w:r>
                  <w:r>
                    <w:rPr>
                      <w:rFonts w:ascii="STXinwei" w:hAnsi="STXinwei" w:eastAsia="STXinwei" w:cs="STXinwei"/>
                      <w:sz w:val="10"/>
                      <w:szCs w:val="10"/>
                      <w:color w:val="FFFFFF"/>
                      <w:spacing w:val="-15"/>
                      <w:position w:val="-1"/>
                    </w:rPr>
                    <w:t>山</w:t>
                  </w:r>
                </w:p>
              </w:txbxContent>
            </v:textbox>
          </v:shape>
        </w:pict>
      </w: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BodyText"/>
        <w:ind w:left="1559"/>
        <w:spacing w:before="91" w:line="219" w:lineRule="auto"/>
        <w:rPr>
          <w:sz w:val="28"/>
          <w:szCs w:val="28"/>
        </w:rPr>
      </w:pPr>
      <w:r>
        <w:rPr>
          <w:sz w:val="28"/>
          <w:szCs w:val="28"/>
          <w:spacing w:val="3"/>
        </w:rPr>
        <w:t>附图13</w:t>
      </w:r>
      <w:r>
        <w:rPr>
          <w:sz w:val="28"/>
          <w:szCs w:val="28"/>
          <w:spacing w:val="132"/>
        </w:rPr>
        <w:t xml:space="preserve"> </w:t>
      </w:r>
      <w:r>
        <w:rPr>
          <w:sz w:val="28"/>
          <w:szCs w:val="28"/>
          <w:spacing w:val="3"/>
        </w:rPr>
        <w:t>霞浦县国土空间控制线规划图</w:t>
      </w:r>
    </w:p>
    <w:p>
      <w:pPr>
        <w:pStyle w:val="BodyText"/>
        <w:ind w:left="1814"/>
        <w:spacing w:before="216" w:line="210" w:lineRule="auto"/>
        <w:rPr>
          <w:sz w:val="31"/>
          <w:szCs w:val="31"/>
        </w:rPr>
      </w:pPr>
      <w:r>
        <w:rPr>
          <w:sz w:val="31"/>
          <w:szCs w:val="31"/>
          <w:b/>
          <w:bCs/>
          <w:spacing w:val="-17"/>
        </w:rPr>
        <w:t>霞浦县国土空间总体规划</w:t>
      </w:r>
      <w:r>
        <w:rPr>
          <w:sz w:val="31"/>
          <w:szCs w:val="31"/>
          <w:spacing w:val="-17"/>
        </w:rPr>
        <w:t xml:space="preserve"> (2021-20</w:t>
      </w:r>
      <w:r>
        <w:rPr>
          <w:sz w:val="31"/>
          <w:szCs w:val="31"/>
          <w:spacing w:val="-18"/>
        </w:rPr>
        <w:t>35年)</w:t>
      </w:r>
    </w:p>
    <w:p>
      <w:pPr>
        <w:pStyle w:val="BodyText"/>
        <w:ind w:left="7209"/>
        <w:spacing w:line="220" w:lineRule="auto"/>
        <w:rPr>
          <w:sz w:val="25"/>
          <w:szCs w:val="25"/>
        </w:rPr>
      </w:pPr>
      <w:r>
        <w:rPr>
          <w:sz w:val="25"/>
          <w:szCs w:val="25"/>
          <w:spacing w:val="-6"/>
        </w:rPr>
        <w:t>15-县域国土空间控制线规划图</w:t>
      </w:r>
    </w:p>
    <w:p>
      <w:pPr>
        <w:ind w:left="9529"/>
        <w:spacing w:before="285" w:line="196" w:lineRule="auto"/>
        <w:rPr>
          <w:rFonts w:ascii="Arial" w:hAnsi="Arial" w:eastAsia="Arial" w:cs="Arial"/>
          <w:sz w:val="31"/>
          <w:szCs w:val="31"/>
        </w:rPr>
      </w:pPr>
      <w:r>
        <w:rPr>
          <w:rFonts w:ascii="Arial" w:hAnsi="Arial" w:eastAsia="Arial" w:cs="Arial"/>
          <w:sz w:val="31"/>
          <w:szCs w:val="31"/>
        </w:rPr>
        <w:t>N</w:t>
      </w:r>
    </w:p>
    <w:p>
      <w:pPr>
        <w:spacing w:line="287" w:lineRule="auto"/>
        <w:rPr>
          <w:rFonts w:ascii="Arial"/>
          <w:sz w:val="21"/>
        </w:rPr>
      </w:pPr>
      <w:r/>
    </w:p>
    <w:p>
      <w:pPr>
        <w:spacing w:line="288" w:lineRule="auto"/>
        <w:rPr>
          <w:rFonts w:ascii="Arial"/>
          <w:sz w:val="21"/>
        </w:rPr>
      </w:pPr>
      <w:r/>
    </w:p>
    <w:p>
      <w:pPr>
        <w:spacing w:line="288" w:lineRule="auto"/>
        <w:rPr>
          <w:rFonts w:ascii="Arial"/>
          <w:sz w:val="21"/>
        </w:rPr>
      </w:pPr>
      <w:r/>
    </w:p>
    <w:p>
      <w:pPr>
        <w:pStyle w:val="BodyText"/>
        <w:ind w:left="10179"/>
        <w:spacing w:before="49" w:line="184" w:lineRule="auto"/>
        <w:rPr>
          <w:sz w:val="15"/>
          <w:szCs w:val="15"/>
        </w:rPr>
      </w:pPr>
      <w:r>
        <w:rPr>
          <w:sz w:val="15"/>
          <w:szCs w:val="15"/>
          <w:spacing w:val="-7"/>
        </w:rPr>
        <w:t>10。</w:t>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BodyText"/>
        <w:ind w:left="4465"/>
        <w:spacing w:before="127" w:line="220" w:lineRule="auto"/>
        <w:rPr>
          <w:sz w:val="39"/>
          <w:szCs w:val="39"/>
        </w:rPr>
      </w:pPr>
      <w:r>
        <w:rPr>
          <w:sz w:val="39"/>
          <w:szCs w:val="39"/>
          <w:b/>
          <w:bCs/>
          <w:spacing w:val="1"/>
        </w:rPr>
        <w:t>项目位置</w:t>
      </w:r>
    </w:p>
    <w:p>
      <w:pPr>
        <w:spacing w:before="4"/>
        <w:rPr/>
      </w:pPr>
      <w:r/>
    </w:p>
    <w:p>
      <w:pPr>
        <w:spacing w:before="4"/>
        <w:rPr/>
      </w:pPr>
      <w:r/>
    </w:p>
    <w:p>
      <w:pPr>
        <w:spacing w:before="4"/>
        <w:rPr/>
      </w:pPr>
      <w:r/>
    </w:p>
    <w:p>
      <w:pPr>
        <w:spacing w:before="3"/>
        <w:rPr/>
      </w:pPr>
      <w:r/>
    </w:p>
    <w:p>
      <w:pPr>
        <w:spacing w:before="3"/>
        <w:rPr/>
      </w:pPr>
      <w:r/>
    </w:p>
    <w:p>
      <w:pPr>
        <w:spacing w:before="3"/>
        <w:rPr/>
      </w:pPr>
      <w:r/>
    </w:p>
    <w:p>
      <w:pPr>
        <w:spacing w:before="3"/>
        <w:rPr/>
      </w:pPr>
      <w:r/>
    </w:p>
    <w:p>
      <w:pPr>
        <w:spacing w:before="3"/>
        <w:rPr/>
      </w:pPr>
      <w:r/>
    </w:p>
    <w:p>
      <w:pPr>
        <w:spacing w:before="3"/>
        <w:rPr/>
      </w:pPr>
      <w:r/>
    </w:p>
    <w:p>
      <w:pPr>
        <w:sectPr>
          <w:footerReference w:type="default" r:id="rId251"/>
          <w:pgSz w:w="11900" w:h="16840"/>
          <w:pgMar w:top="0" w:right="0" w:bottom="995" w:left="0" w:header="0" w:footer="846" w:gutter="0"/>
          <w:cols w:equalWidth="0" w:num="1">
            <w:col w:w="11900" w:space="0"/>
          </w:cols>
        </w:sectPr>
        <w:rPr/>
      </w:pPr>
    </w:p>
    <w:p>
      <w:pPr>
        <w:ind w:firstLine="2835"/>
        <w:spacing w:line="127" w:lineRule="exact"/>
        <w:rPr/>
      </w:pPr>
      <w:r>
        <w:rPr>
          <w:position w:val="-2"/>
        </w:rPr>
        <w:drawing>
          <wp:inline distT="0" distB="0" distL="0" distR="0">
            <wp:extent cx="393693" cy="80539"/>
            <wp:effectExtent l="0" t="0" r="0" b="0"/>
            <wp:docPr id="110" name="IM 110"/>
            <wp:cNvGraphicFramePr/>
            <a:graphic>
              <a:graphicData uri="http://schemas.openxmlformats.org/drawingml/2006/picture">
                <pic:pic>
                  <pic:nvPicPr>
                    <pic:cNvPr id="110" name="IM 110"/>
                    <pic:cNvPicPr/>
                  </pic:nvPicPr>
                  <pic:blipFill>
                    <a:blip r:embed="rId252"/>
                    <a:stretch>
                      <a:fillRect/>
                    </a:stretch>
                  </pic:blipFill>
                  <pic:spPr>
                    <a:xfrm rot="0">
                      <a:off x="0" y="0"/>
                      <a:ext cx="393693" cy="80539"/>
                    </a:xfrm>
                    <a:prstGeom prst="rect">
                      <a:avLst/>
                    </a:prstGeom>
                  </pic:spPr>
                </pic:pic>
              </a:graphicData>
            </a:graphic>
          </wp:inline>
        </w:drawing>
      </w:r>
    </w:p>
    <w:p>
      <w:pPr>
        <w:pStyle w:val="BodyText"/>
        <w:ind w:left="2940"/>
        <w:spacing w:line="212" w:lineRule="auto"/>
        <w:rPr>
          <w:sz w:val="18"/>
          <w:szCs w:val="18"/>
        </w:rPr>
      </w:pPr>
      <w:r>
        <w:rPr>
          <w:sz w:val="18"/>
          <w:szCs w:val="18"/>
          <w:spacing w:val="-9"/>
          <w:w w:val="75"/>
        </w:rPr>
        <w:t>生卷PE</w:t>
      </w:r>
    </w:p>
    <w:p>
      <w:pPr>
        <w:pStyle w:val="BodyText"/>
        <w:ind w:left="2940"/>
        <w:spacing w:line="218" w:lineRule="auto"/>
        <w:rPr>
          <w:sz w:val="10"/>
          <w:szCs w:val="10"/>
        </w:rPr>
      </w:pPr>
      <w:r>
        <w:rPr>
          <w:sz w:val="10"/>
          <w:szCs w:val="10"/>
          <w:spacing w:val="-4"/>
        </w:rPr>
        <w:t>承</w:t>
      </w:r>
      <w:r>
        <w:rPr>
          <w:sz w:val="10"/>
          <w:szCs w:val="10"/>
          <w:spacing w:val="-6"/>
        </w:rPr>
        <w:t xml:space="preserve"> </w:t>
      </w:r>
      <w:r>
        <w:rPr>
          <w:sz w:val="10"/>
          <w:szCs w:val="10"/>
          <w:spacing w:val="-4"/>
        </w:rPr>
        <w:t>2</w:t>
      </w:r>
      <w:r>
        <w:rPr>
          <w:sz w:val="10"/>
          <w:szCs w:val="10"/>
          <w:spacing w:val="-9"/>
        </w:rPr>
        <w:t xml:space="preserve"> </w:t>
      </w:r>
      <w:r>
        <w:rPr>
          <w:sz w:val="10"/>
          <w:szCs w:val="10"/>
          <w:spacing w:val="-4"/>
        </w:rPr>
        <w:t>本</w:t>
      </w:r>
      <w:r>
        <w:rPr>
          <w:sz w:val="10"/>
          <w:szCs w:val="10"/>
          <w:spacing w:val="-10"/>
        </w:rPr>
        <w:t xml:space="preserve"> </w:t>
      </w:r>
      <w:r>
        <w:rPr>
          <w:sz w:val="10"/>
          <w:szCs w:val="10"/>
          <w:spacing w:val="-4"/>
        </w:rPr>
        <w:t>*</w:t>
      </w:r>
      <w:r>
        <w:rPr>
          <w:sz w:val="10"/>
          <w:szCs w:val="10"/>
          <w:spacing w:val="2"/>
        </w:rPr>
        <w:t xml:space="preserve"> </w:t>
      </w:r>
      <w:r>
        <w:rPr>
          <w:sz w:val="10"/>
          <w:szCs w:val="10"/>
          <w:spacing w:val="-4"/>
        </w:rPr>
        <w:t>田</w:t>
      </w:r>
    </w:p>
    <w:p>
      <w:pPr>
        <w:ind w:firstLine="2950"/>
        <w:spacing w:before="68" w:line="90" w:lineRule="exact"/>
        <w:rPr/>
      </w:pPr>
      <w:r>
        <w:rPr>
          <w:position w:val="-1"/>
        </w:rPr>
        <w:drawing>
          <wp:inline distT="0" distB="0" distL="0" distR="0">
            <wp:extent cx="190499" cy="57102"/>
            <wp:effectExtent l="0" t="0" r="0" b="0"/>
            <wp:docPr id="112" name="IM 112"/>
            <wp:cNvGraphicFramePr/>
            <a:graphic>
              <a:graphicData uri="http://schemas.openxmlformats.org/drawingml/2006/picture">
                <pic:pic>
                  <pic:nvPicPr>
                    <pic:cNvPr id="112" name="IM 112"/>
                    <pic:cNvPicPr/>
                  </pic:nvPicPr>
                  <pic:blipFill>
                    <a:blip r:embed="rId253"/>
                    <a:stretch>
                      <a:fillRect/>
                    </a:stretch>
                  </pic:blipFill>
                  <pic:spPr>
                    <a:xfrm rot="0">
                      <a:off x="0" y="0"/>
                      <a:ext cx="190499" cy="57102"/>
                    </a:xfrm>
                    <a:prstGeom prst="rect">
                      <a:avLst/>
                    </a:prstGeom>
                  </pic:spPr>
                </pic:pic>
              </a:graphicData>
            </a:graphic>
          </wp:inline>
        </w:drawing>
      </w:r>
    </w:p>
    <w:p>
      <w:pPr>
        <w:ind w:left="2940"/>
        <w:spacing w:before="53" w:line="182" w:lineRule="exact"/>
        <w:rPr>
          <w:rFonts w:ascii="Times New Roman" w:hAnsi="Times New Roman" w:eastAsia="Times New Roman" w:cs="Times New Roman"/>
          <w:sz w:val="10"/>
          <w:szCs w:val="10"/>
        </w:rPr>
      </w:pPr>
      <w:r>
        <w:rPr>
          <w:rFonts w:ascii="Dotum" w:hAnsi="Dotum" w:eastAsia="Dotum" w:cs="Dotum"/>
          <w:sz w:val="10"/>
          <w:szCs w:val="10"/>
          <w:spacing w:val="-4"/>
          <w:position w:val="7"/>
        </w:rPr>
        <w:t>▶</w:t>
      </w:r>
      <w:r>
        <w:rPr>
          <w:rFonts w:ascii="Times New Roman" w:hAnsi="Times New Roman" w:eastAsia="Times New Roman" w:cs="Times New Roman"/>
          <w:sz w:val="10"/>
          <w:szCs w:val="10"/>
          <w:spacing w:val="-4"/>
          <w:position w:val="7"/>
        </w:rPr>
        <w:t>(M.E)</w:t>
      </w:r>
    </w:p>
    <w:p>
      <w:pPr>
        <w:pStyle w:val="BodyText"/>
        <w:ind w:left="2940"/>
        <w:spacing w:line="220" w:lineRule="auto"/>
        <w:rPr>
          <w:sz w:val="10"/>
          <w:szCs w:val="10"/>
        </w:rPr>
      </w:pPr>
      <w:r>
        <w:rPr>
          <w:sz w:val="10"/>
          <w:szCs w:val="10"/>
          <w:spacing w:val="-2"/>
        </w:rPr>
        <w:t>多储界</w:t>
      </w:r>
    </w:p>
    <w:p>
      <w:pPr>
        <w:pStyle w:val="BodyText"/>
        <w:ind w:left="2940"/>
        <w:spacing w:before="200" w:line="184" w:lineRule="auto"/>
        <w:rPr>
          <w:sz w:val="10"/>
          <w:szCs w:val="10"/>
        </w:rPr>
      </w:pPr>
      <w:r>
        <w:rPr>
          <w:sz w:val="10"/>
          <w:szCs w:val="10"/>
          <w:spacing w:val="-11"/>
        </w:rPr>
        <w:t>医土素面围第有</w:t>
      </w:r>
    </w:p>
    <w:p>
      <w:pPr>
        <w:spacing w:line="14" w:lineRule="auto"/>
        <w:rPr>
          <w:rFonts w:ascii="Arial"/>
          <w:sz w:val="2"/>
        </w:rPr>
      </w:pPr>
      <w:r>
        <w:rPr>
          <w:rFonts w:ascii="Arial" w:hAnsi="Arial" w:eastAsia="Arial" w:cs="Arial"/>
          <w:sz w:val="2"/>
          <w:szCs w:val="2"/>
        </w:rPr>
        <w:br w:type="column"/>
      </w:r>
    </w:p>
    <w:p>
      <w:pPr>
        <w:ind w:firstLine="260"/>
        <w:spacing w:before="179" w:line="130" w:lineRule="exact"/>
        <w:rPr/>
      </w:pPr>
      <w:r>
        <w:rPr>
          <w:position w:val="-2"/>
        </w:rPr>
        <w:drawing>
          <wp:inline distT="0" distB="0" distL="0" distR="0">
            <wp:extent cx="120677" cy="82553"/>
            <wp:effectExtent l="0" t="0" r="0" b="0"/>
            <wp:docPr id="114" name="IM 114"/>
            <wp:cNvGraphicFramePr/>
            <a:graphic>
              <a:graphicData uri="http://schemas.openxmlformats.org/drawingml/2006/picture">
                <pic:pic>
                  <pic:nvPicPr>
                    <pic:cNvPr id="114" name="IM 114"/>
                    <pic:cNvPicPr/>
                  </pic:nvPicPr>
                  <pic:blipFill>
                    <a:blip r:embed="rId254"/>
                    <a:stretch>
                      <a:fillRect/>
                    </a:stretch>
                  </pic:blipFill>
                  <pic:spPr>
                    <a:xfrm rot="0">
                      <a:off x="0" y="0"/>
                      <a:ext cx="120677" cy="82553"/>
                    </a:xfrm>
                    <a:prstGeom prst="rect">
                      <a:avLst/>
                    </a:prstGeom>
                  </pic:spPr>
                </pic:pic>
              </a:graphicData>
            </a:graphic>
          </wp:inline>
        </w:drawing>
      </w:r>
    </w:p>
    <w:p>
      <w:pPr>
        <w:pStyle w:val="BodyText"/>
        <w:ind w:left="250"/>
        <w:spacing w:before="44" w:line="220" w:lineRule="auto"/>
        <w:rPr>
          <w:sz w:val="10"/>
          <w:szCs w:val="10"/>
        </w:rPr>
      </w:pPr>
      <w:r>
        <w:rPr>
          <w:sz w:val="10"/>
          <w:szCs w:val="10"/>
          <w:spacing w:val="-7"/>
        </w:rPr>
        <w:t>8</w:t>
      </w:r>
      <w:r>
        <w:rPr>
          <w:sz w:val="10"/>
          <w:szCs w:val="10"/>
          <w:spacing w:val="6"/>
        </w:rPr>
        <w:t xml:space="preserve"> </w:t>
      </w:r>
      <w:r>
        <w:rPr>
          <w:sz w:val="10"/>
          <w:szCs w:val="10"/>
          <w:spacing w:val="-7"/>
        </w:rPr>
        <w:t>基</w:t>
      </w:r>
      <w:r>
        <w:rPr>
          <w:sz w:val="10"/>
          <w:szCs w:val="10"/>
          <w:spacing w:val="3"/>
        </w:rPr>
        <w:t xml:space="preserve"> </w:t>
      </w:r>
      <w:r>
        <w:rPr>
          <w:sz w:val="10"/>
          <w:szCs w:val="10"/>
          <w:spacing w:val="-7"/>
        </w:rPr>
        <w:t>核</w:t>
      </w:r>
      <w:r>
        <w:rPr>
          <w:sz w:val="10"/>
          <w:szCs w:val="10"/>
          <w:spacing w:val="19"/>
        </w:rPr>
        <w:t xml:space="preserve"> </w:t>
      </w:r>
      <w:r>
        <w:rPr>
          <w:sz w:val="10"/>
          <w:szCs w:val="10"/>
          <w:spacing w:val="-7"/>
        </w:rPr>
        <w:t>(</w:t>
      </w:r>
      <w:r>
        <w:rPr>
          <w:sz w:val="10"/>
          <w:szCs w:val="10"/>
          <w:spacing w:val="2"/>
        </w:rPr>
        <w:t xml:space="preserve"> </w:t>
      </w:r>
      <w:r>
        <w:rPr>
          <w:sz w:val="10"/>
          <w:szCs w:val="10"/>
          <w:spacing w:val="-7"/>
        </w:rPr>
        <w:t>法</w:t>
      </w:r>
      <w:r>
        <w:rPr>
          <w:sz w:val="10"/>
          <w:szCs w:val="10"/>
          <w:spacing w:val="2"/>
        </w:rPr>
        <w:t xml:space="preserve"> </w:t>
      </w:r>
      <w:r>
        <w:rPr>
          <w:sz w:val="10"/>
          <w:szCs w:val="10"/>
          <w:spacing w:val="-7"/>
        </w:rPr>
        <w:t>销</w:t>
      </w:r>
      <w:r>
        <w:rPr>
          <w:sz w:val="10"/>
          <w:szCs w:val="10"/>
          <w:spacing w:val="2"/>
        </w:rPr>
        <w:t xml:space="preserve"> </w:t>
      </w:r>
      <w:r>
        <w:rPr>
          <w:sz w:val="10"/>
          <w:szCs w:val="10"/>
          <w:spacing w:val="-7"/>
        </w:rPr>
        <w:t>)</w:t>
      </w:r>
    </w:p>
    <w:p>
      <w:pPr>
        <w:pStyle w:val="BodyText"/>
        <w:ind w:left="250"/>
        <w:spacing w:before="81" w:line="220" w:lineRule="auto"/>
        <w:rPr>
          <w:sz w:val="10"/>
          <w:szCs w:val="10"/>
        </w:rPr>
      </w:pPr>
      <w:r>
        <w:rPr>
          <w:sz w:val="10"/>
          <w:szCs w:val="10"/>
          <w:spacing w:val="-1"/>
        </w:rPr>
        <w:t>**</w:t>
      </w:r>
    </w:p>
    <w:p>
      <w:pPr>
        <w:ind w:left="540"/>
        <w:spacing w:line="228" w:lineRule="auto"/>
        <w:rPr>
          <w:rFonts w:ascii="STXinwei" w:hAnsi="STXinwei" w:eastAsia="STXinwei" w:cs="STXinwei"/>
          <w:sz w:val="10"/>
          <w:szCs w:val="10"/>
        </w:rPr>
      </w:pPr>
      <w:r>
        <w:rPr>
          <w:rFonts w:ascii="STXinwei" w:hAnsi="STXinwei" w:eastAsia="STXinwei" w:cs="STXinwei"/>
          <w:sz w:val="10"/>
          <w:szCs w:val="10"/>
          <w:spacing w:val="-3"/>
        </w:rPr>
        <w:t>大车结</w:t>
      </w:r>
    </w:p>
    <w:p>
      <w:pPr>
        <w:ind w:left="250"/>
        <w:spacing w:before="50" w:line="239" w:lineRule="auto"/>
        <w:rPr>
          <w:rFonts w:ascii="STXinwei" w:hAnsi="STXinwei" w:eastAsia="STXinwei" w:cs="STXinwei"/>
          <w:sz w:val="10"/>
          <w:szCs w:val="10"/>
        </w:rPr>
      </w:pPr>
      <w:r>
        <w:rPr>
          <w:rFonts w:ascii="STXinwei" w:hAnsi="STXinwei" w:eastAsia="STXinwei" w:cs="STXinwei"/>
          <w:sz w:val="10"/>
          <w:szCs w:val="10"/>
          <w:spacing w:val="12"/>
        </w:rPr>
        <w:t>82码失</w:t>
      </w:r>
    </w:p>
    <w:p>
      <w:pPr>
        <w:pStyle w:val="BodyText"/>
        <w:ind w:left="250"/>
        <w:spacing w:before="13" w:line="183" w:lineRule="auto"/>
        <w:rPr>
          <w:sz w:val="18"/>
          <w:szCs w:val="18"/>
        </w:rPr>
      </w:pPr>
      <w:r>
        <w:rPr>
          <w:sz w:val="18"/>
          <w:szCs w:val="18"/>
          <w:spacing w:val="-8"/>
        </w:rPr>
        <w:t>W389</w:t>
      </w:r>
    </w:p>
    <w:p>
      <w:pPr>
        <w:spacing w:line="183" w:lineRule="auto"/>
        <w:sectPr>
          <w:type w:val="continuous"/>
          <w:pgSz w:w="11900" w:h="16840"/>
          <w:pgMar w:top="0" w:right="0" w:bottom="995" w:left="0" w:header="0" w:footer="846" w:gutter="0"/>
          <w:cols w:equalWidth="0" w:num="2">
            <w:col w:w="4180" w:space="100"/>
            <w:col w:w="7621" w:space="0"/>
          </w:cols>
        </w:sectPr>
        <w:rPr>
          <w:sz w:val="18"/>
          <w:szCs w:val="18"/>
        </w:rPr>
      </w:pPr>
    </w:p>
    <w:p>
      <w:pPr>
        <w:spacing w:line="382" w:lineRule="auto"/>
        <w:rPr>
          <w:rFonts w:ascii="Arial"/>
          <w:sz w:val="21"/>
        </w:rPr>
      </w:pPr>
      <w:r/>
    </w:p>
    <w:p>
      <w:pPr>
        <w:pStyle w:val="BodyText"/>
        <w:ind w:left="8929"/>
        <w:spacing w:before="60" w:line="184" w:lineRule="auto"/>
        <w:rPr>
          <w:sz w:val="18"/>
          <w:szCs w:val="18"/>
        </w:rPr>
      </w:pPr>
      <w:r>
        <w:pict>
          <v:shape id="_x0000_s172" style="position:absolute;margin-left:89.4995pt;margin-top:4.87337pt;mso-position-vertical-relative:text;mso-position-horizontal-relative:text;width:54.05pt;height:19.45pt;z-index:252143616;" filled="false" stroked="false" type="#_x0000_t202">
            <v:fill on="false"/>
            <v:stroke on="false"/>
            <v:path/>
            <v:imagedata o:title=""/>
            <o:lock v:ext="edit" aspectratio="false"/>
            <v:textbox inset="0mm,0mm,0mm,0mm">
              <w:txbxContent>
                <w:p>
                  <w:pPr>
                    <w:pStyle w:val="BodyText"/>
                    <w:ind w:left="20" w:right="20"/>
                    <w:spacing w:before="19" w:line="215" w:lineRule="auto"/>
                    <w:rPr>
                      <w:sz w:val="15"/>
                      <w:szCs w:val="15"/>
                    </w:rPr>
                  </w:pPr>
                  <w:r>
                    <w:rPr>
                      <w:sz w:val="15"/>
                      <w:szCs w:val="15"/>
                      <w:spacing w:val="-2"/>
                    </w:rPr>
                    <w:t>霞浦县人民政府</w:t>
                  </w:r>
                  <w:r>
                    <w:rPr>
                      <w:sz w:val="15"/>
                      <w:szCs w:val="15"/>
                      <w:spacing w:val="3"/>
                    </w:rPr>
                    <w:t xml:space="preserve"> </w:t>
                  </w:r>
                  <w:r>
                    <w:rPr>
                      <w:sz w:val="15"/>
                      <w:szCs w:val="15"/>
                      <w:spacing w:val="-1"/>
                    </w:rPr>
                    <w:t>2023年6月</w:t>
                  </w:r>
                </w:p>
              </w:txbxContent>
            </v:textbox>
          </v:shape>
        </w:pict>
      </w:r>
      <w:r>
        <w:pict>
          <v:shape id="_x0000_s174" style="position:absolute;margin-left:292.502pt;margin-top:8.57086pt;mso-position-vertical-relative:text;mso-position-horizontal-relative:text;width:18.95pt;height:7pt;z-index:252146688;" filled="false" stroked="false" type="#_x0000_t202">
            <v:fill on="false"/>
            <v:stroke on="false"/>
            <v:path/>
            <v:imagedata o:title=""/>
            <o:lock v:ext="edit" aspectratio="false"/>
            <v:textbox inset="0mm,0mm,0mm,0mm">
              <w:txbxContent>
                <w:p>
                  <w:pPr>
                    <w:pStyle w:val="BodyText"/>
                    <w:ind w:left="20"/>
                    <w:spacing w:before="19" w:line="184" w:lineRule="auto"/>
                    <w:rPr>
                      <w:sz w:val="10"/>
                      <w:szCs w:val="10"/>
                    </w:rPr>
                  </w:pPr>
                  <w:r>
                    <w:rPr>
                      <w:sz w:val="10"/>
                      <w:szCs w:val="10"/>
                      <w:spacing w:val="-2"/>
                    </w:rPr>
                    <w:t>1:90000</w:t>
                  </w:r>
                </w:p>
              </w:txbxContent>
            </v:textbox>
          </v:shape>
        </w:pict>
      </w:r>
      <w:r>
        <w:rPr>
          <w:sz w:val="18"/>
          <w:szCs w:val="18"/>
          <w:spacing w:val="-21"/>
          <w:w w:val="94"/>
        </w:rPr>
        <w:t>霞浦县自然资源局</w:t>
      </w:r>
    </w:p>
    <w:p>
      <w:pPr>
        <w:pStyle w:val="BodyText"/>
        <w:ind w:left="6559"/>
        <w:spacing w:line="195" w:lineRule="auto"/>
        <w:rPr>
          <w:sz w:val="15"/>
          <w:szCs w:val="15"/>
        </w:rPr>
      </w:pPr>
      <w:r>
        <w:pict>
          <v:shape id="_x0000_s176" style="position:absolute;margin-left:143.002pt;margin-top:-1.03388pt;mso-position-vertical-relative:text;mso-position-horizontal-relative:text;width:18.15pt;height:10.95pt;z-index:252145664;" filled="false" stroked="false" type="#_x0000_t202">
            <v:fill on="false"/>
            <v:stroke on="false"/>
            <v:path/>
            <v:imagedata o:title=""/>
            <o:lock v:ext="edit" aspectratio="false"/>
            <v:textbox inset="0mm,0mm,0mm,0mm">
              <w:txbxContent>
                <w:p>
                  <w:pPr>
                    <w:pStyle w:val="BodyText"/>
                    <w:ind w:left="20"/>
                    <w:spacing w:before="20" w:line="219" w:lineRule="auto"/>
                    <w:rPr>
                      <w:sz w:val="15"/>
                      <w:szCs w:val="15"/>
                    </w:rPr>
                  </w:pPr>
                  <w:r>
                    <w:rPr>
                      <w:sz w:val="15"/>
                      <w:szCs w:val="15"/>
                      <w:spacing w:val="11"/>
                    </w:rPr>
                    <w:t>编制</w:t>
                  </w:r>
                </w:p>
              </w:txbxContent>
            </v:textbox>
          </v:shape>
        </w:pict>
      </w:r>
      <w:r>
        <w:rPr>
          <w:sz w:val="15"/>
          <w:szCs w:val="15"/>
          <w:spacing w:val="-7"/>
        </w:rPr>
        <w:t>福州市规划设计研究院集团有限公司/福建省地质测绘院</w:t>
      </w:r>
      <w:r>
        <w:rPr>
          <w:sz w:val="15"/>
          <w:szCs w:val="15"/>
          <w:spacing w:val="66"/>
          <w:w w:val="101"/>
        </w:rPr>
        <w:t xml:space="preserve"> </w:t>
      </w:r>
      <w:r>
        <w:rPr>
          <w:sz w:val="15"/>
          <w:szCs w:val="15"/>
          <w:spacing w:val="-8"/>
        </w:rPr>
        <w:t>制图</w:t>
      </w:r>
    </w:p>
    <w:p>
      <w:pPr>
        <w:spacing w:line="195" w:lineRule="auto"/>
        <w:sectPr>
          <w:type w:val="continuous"/>
          <w:pgSz w:w="11900" w:h="16840"/>
          <w:pgMar w:top="0" w:right="0" w:bottom="995" w:left="0" w:header="0" w:footer="846" w:gutter="0"/>
          <w:cols w:equalWidth="0" w:num="1">
            <w:col w:w="11900" w:space="0"/>
          </w:cols>
        </w:sectPr>
        <w:rPr>
          <w:sz w:val="15"/>
          <w:szCs w:val="15"/>
        </w:rPr>
      </w:pPr>
    </w:p>
    <w:p>
      <w:pPr>
        <w:spacing w:line="299" w:lineRule="auto"/>
        <w:rPr>
          <w:rFonts w:ascii="Arial"/>
          <w:sz w:val="21"/>
        </w:rPr>
      </w:pPr>
      <w:r/>
    </w:p>
    <w:p>
      <w:pPr>
        <w:pStyle w:val="BodyText"/>
        <w:spacing w:before="104" w:line="219" w:lineRule="auto"/>
        <w:rPr>
          <w:sz w:val="32"/>
          <w:szCs w:val="32"/>
        </w:rPr>
      </w:pPr>
      <w:r>
        <w:rPr>
          <w:sz w:val="32"/>
          <w:szCs w:val="32"/>
          <w:b/>
          <w:bCs/>
          <w:spacing w:val="6"/>
        </w:rPr>
        <w:t>附件(涉商业或个人信息，不予公开)</w:t>
      </w:r>
    </w:p>
    <w:sectPr>
      <w:footerReference w:type="default" r:id="rId255"/>
      <w:pgSz w:w="11900" w:h="16840"/>
      <w:pgMar w:top="1431" w:right="1785" w:bottom="987" w:left="1574" w:header="0" w:footer="849"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405"/>
      <w:spacing w:line="170" w:lineRule="auto"/>
      <w:rPr>
        <w:sz w:val="14"/>
        <w:szCs w:val="14"/>
      </w:rPr>
    </w:pPr>
    <w:r>
      <w:rPr>
        <w:sz w:val="14"/>
        <w:szCs w:val="14"/>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85"/>
      <w:spacing w:line="170" w:lineRule="auto"/>
      <w:rPr>
        <w:sz w:val="14"/>
        <w:szCs w:val="14"/>
      </w:rPr>
    </w:pPr>
    <w:r>
      <w:rPr>
        <w:sz w:val="14"/>
        <w:szCs w:val="14"/>
        <w:spacing w:val="-4"/>
      </w:rPr>
      <w:t>10</w:t>
    </w:r>
  </w:p>
</w:ftr>
</file>

<file path=word/footer1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864"/>
      <w:spacing w:line="170" w:lineRule="auto"/>
      <w:rPr>
        <w:sz w:val="14"/>
        <w:szCs w:val="14"/>
      </w:rPr>
    </w:pPr>
    <w:r>
      <w:rPr>
        <w:sz w:val="14"/>
        <w:szCs w:val="14"/>
        <w:spacing w:val="-4"/>
      </w:rPr>
      <w:t>100</w:t>
    </w:r>
  </w:p>
</w:ftr>
</file>

<file path=word/footer1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85"/>
      <w:spacing w:line="170" w:lineRule="auto"/>
      <w:rPr>
        <w:sz w:val="14"/>
        <w:szCs w:val="14"/>
      </w:rPr>
    </w:pPr>
    <w:r>
      <w:rPr>
        <w:sz w:val="14"/>
        <w:szCs w:val="14"/>
        <w:spacing w:val="-4"/>
      </w:rPr>
      <w:t>101</w:t>
    </w:r>
  </w:p>
</w:ftr>
</file>

<file path=word/footer1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75"/>
      <w:spacing w:line="170" w:lineRule="auto"/>
      <w:rPr>
        <w:sz w:val="14"/>
        <w:szCs w:val="14"/>
      </w:rPr>
    </w:pPr>
    <w:r>
      <w:rPr>
        <w:sz w:val="14"/>
        <w:szCs w:val="14"/>
        <w:spacing w:val="-4"/>
      </w:rPr>
      <w:t>102</w:t>
    </w:r>
  </w:p>
</w:ftr>
</file>

<file path=word/footer1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75"/>
      <w:spacing w:line="170" w:lineRule="auto"/>
      <w:rPr>
        <w:sz w:val="14"/>
        <w:szCs w:val="14"/>
      </w:rPr>
    </w:pPr>
    <w:r>
      <w:rPr>
        <w:sz w:val="14"/>
        <w:szCs w:val="14"/>
        <w:spacing w:val="-4"/>
      </w:rPr>
      <w:t>103</w:t>
    </w:r>
  </w:p>
</w:ftr>
</file>

<file path=word/footer1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986"/>
      <w:spacing w:line="169" w:lineRule="auto"/>
      <w:rPr>
        <w:sz w:val="13"/>
        <w:szCs w:val="13"/>
      </w:rPr>
    </w:pPr>
    <w:r>
      <w:rPr>
        <w:sz w:val="13"/>
        <w:szCs w:val="13"/>
        <w:b/>
        <w:bCs/>
        <w:spacing w:val="-5"/>
      </w:rPr>
      <w:t>104</w:t>
    </w:r>
  </w:p>
</w:ftr>
</file>

<file path=word/footer1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914"/>
      <w:spacing w:line="172" w:lineRule="auto"/>
      <w:rPr>
        <w:sz w:val="17"/>
        <w:szCs w:val="17"/>
      </w:rPr>
    </w:pPr>
    <w:r>
      <w:rPr>
        <w:sz w:val="17"/>
        <w:szCs w:val="17"/>
        <w:spacing w:val="-5"/>
      </w:rPr>
      <w:t>105</w:t>
    </w:r>
  </w:p>
</w:ftr>
</file>

<file path=word/footer1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20"/>
      <w:spacing w:line="170" w:lineRule="auto"/>
      <w:rPr>
        <w:sz w:val="14"/>
        <w:szCs w:val="14"/>
      </w:rPr>
    </w:pPr>
    <w:r>
      <w:rPr>
        <w:sz w:val="14"/>
        <w:szCs w:val="14"/>
        <w:spacing w:val="-4"/>
      </w:rPr>
      <w:t>106</w:t>
    </w:r>
  </w:p>
</w:ftr>
</file>

<file path=word/footer1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05"/>
      <w:spacing w:line="170" w:lineRule="auto"/>
      <w:rPr>
        <w:sz w:val="14"/>
        <w:szCs w:val="14"/>
      </w:rPr>
    </w:pPr>
    <w:r>
      <w:rPr>
        <w:sz w:val="14"/>
        <w:szCs w:val="14"/>
        <w:spacing w:val="-4"/>
      </w:rPr>
      <w:t>107</w:t>
    </w:r>
  </w:p>
</w:ftr>
</file>

<file path=word/footer1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05"/>
      <w:spacing w:line="170" w:lineRule="auto"/>
      <w:rPr>
        <w:sz w:val="14"/>
        <w:szCs w:val="14"/>
      </w:rPr>
    </w:pPr>
    <w:r>
      <w:rPr>
        <w:sz w:val="14"/>
        <w:szCs w:val="14"/>
        <w:spacing w:val="-4"/>
      </w:rPr>
      <w:t>108</w:t>
    </w:r>
  </w:p>
</w:ftr>
</file>

<file path=word/footer1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05"/>
      <w:spacing w:line="170" w:lineRule="auto"/>
      <w:rPr>
        <w:sz w:val="14"/>
        <w:szCs w:val="14"/>
      </w:rPr>
    </w:pPr>
    <w:r>
      <w:rPr>
        <w:sz w:val="14"/>
        <w:szCs w:val="14"/>
        <w:spacing w:val="-4"/>
      </w:rPr>
      <w:t>109</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55"/>
      <w:spacing w:line="170" w:lineRule="auto"/>
      <w:rPr>
        <w:sz w:val="14"/>
        <w:szCs w:val="14"/>
      </w:rPr>
    </w:pPr>
    <w:r>
      <w:rPr>
        <w:sz w:val="14"/>
        <w:szCs w:val="14"/>
        <w:spacing w:val="-4"/>
      </w:rPr>
      <w:t>11</w:t>
    </w:r>
  </w:p>
</w:ftr>
</file>

<file path=word/footer1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20"/>
      <w:spacing w:line="170" w:lineRule="auto"/>
      <w:rPr>
        <w:sz w:val="14"/>
        <w:szCs w:val="14"/>
      </w:rPr>
    </w:pPr>
    <w:r>
      <w:rPr>
        <w:sz w:val="14"/>
        <w:szCs w:val="14"/>
        <w:spacing w:val="-4"/>
      </w:rPr>
      <w:t>110</w:t>
    </w:r>
  </w:p>
</w:ftr>
</file>

<file path=word/footer1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05"/>
      <w:spacing w:line="170" w:lineRule="auto"/>
      <w:rPr>
        <w:sz w:val="14"/>
        <w:szCs w:val="14"/>
      </w:rPr>
    </w:pPr>
    <w:r>
      <w:rPr>
        <w:sz w:val="14"/>
        <w:szCs w:val="14"/>
        <w:spacing w:val="-4"/>
      </w:rPr>
      <w:t>111</w:t>
    </w:r>
  </w:p>
</w:ftr>
</file>

<file path=word/footer1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05"/>
      <w:spacing w:line="170" w:lineRule="auto"/>
      <w:rPr>
        <w:sz w:val="14"/>
        <w:szCs w:val="14"/>
      </w:rPr>
    </w:pPr>
    <w:r>
      <w:rPr>
        <w:sz w:val="14"/>
        <w:szCs w:val="14"/>
        <w:spacing w:val="-4"/>
      </w:rPr>
      <w:t>112</w:t>
    </w:r>
  </w:p>
</w:ftr>
</file>

<file path=word/footer1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25"/>
      <w:spacing w:line="170" w:lineRule="auto"/>
      <w:rPr>
        <w:sz w:val="14"/>
        <w:szCs w:val="14"/>
      </w:rPr>
    </w:pPr>
    <w:r>
      <w:rPr>
        <w:sz w:val="14"/>
        <w:szCs w:val="14"/>
        <w:spacing w:val="-4"/>
      </w:rPr>
      <w:t>113</w:t>
    </w:r>
  </w:p>
</w:ftr>
</file>

<file path=word/footer1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45"/>
      <w:spacing w:line="170" w:lineRule="auto"/>
      <w:rPr>
        <w:sz w:val="14"/>
        <w:szCs w:val="14"/>
      </w:rPr>
    </w:pPr>
    <w:r>
      <w:rPr>
        <w:sz w:val="14"/>
        <w:szCs w:val="14"/>
        <w:b/>
        <w:bCs/>
        <w:spacing w:val="-5"/>
      </w:rPr>
      <w:t>114</w:t>
    </w:r>
  </w:p>
</w:ftr>
</file>

<file path=word/footer1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15"/>
      <w:spacing w:line="170" w:lineRule="auto"/>
      <w:rPr>
        <w:sz w:val="14"/>
        <w:szCs w:val="14"/>
      </w:rPr>
    </w:pPr>
    <w:r>
      <w:rPr>
        <w:sz w:val="14"/>
        <w:szCs w:val="14"/>
        <w:spacing w:val="-4"/>
      </w:rPr>
      <w:t>115</w:t>
    </w:r>
  </w:p>
</w:ftr>
</file>

<file path=word/footer1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285"/>
      <w:spacing w:line="170" w:lineRule="auto"/>
      <w:rPr>
        <w:sz w:val="14"/>
        <w:szCs w:val="14"/>
      </w:rPr>
    </w:pPr>
    <w:r>
      <w:rPr>
        <w:sz w:val="14"/>
        <w:szCs w:val="14"/>
        <w:spacing w:val="-4"/>
      </w:rPr>
      <w:t>116</w:t>
    </w:r>
  </w:p>
</w:ftr>
</file>

<file path=word/footer1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275"/>
      <w:spacing w:line="170" w:lineRule="auto"/>
      <w:rPr>
        <w:sz w:val="14"/>
        <w:szCs w:val="14"/>
      </w:rPr>
    </w:pPr>
    <w:r>
      <w:rPr>
        <w:sz w:val="14"/>
        <w:szCs w:val="14"/>
        <w:spacing w:val="-4"/>
      </w:rPr>
      <w:t>117</w:t>
    </w:r>
  </w:p>
</w:ftr>
</file>

<file path=word/footer1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896"/>
      <w:spacing w:line="170" w:lineRule="auto"/>
      <w:rPr>
        <w:sz w:val="14"/>
        <w:szCs w:val="14"/>
      </w:rPr>
    </w:pPr>
    <w:r>
      <w:rPr>
        <w:sz w:val="14"/>
        <w:szCs w:val="14"/>
        <w:b/>
        <w:bCs/>
        <w:spacing w:val="-5"/>
      </w:rPr>
      <w:t>118</w:t>
    </w:r>
  </w:p>
</w:ftr>
</file>

<file path=word/footer1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886"/>
      <w:spacing w:line="170" w:lineRule="auto"/>
      <w:rPr>
        <w:sz w:val="14"/>
        <w:szCs w:val="14"/>
      </w:rPr>
    </w:pPr>
    <w:r>
      <w:rPr>
        <w:sz w:val="14"/>
        <w:szCs w:val="14"/>
        <w:b/>
        <w:bCs/>
        <w:spacing w:val="-5"/>
      </w:rPr>
      <w:t>119</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005"/>
      <w:spacing w:line="171" w:lineRule="auto"/>
      <w:rPr>
        <w:sz w:val="15"/>
        <w:szCs w:val="15"/>
      </w:rPr>
    </w:pPr>
    <w:r>
      <w:rPr>
        <w:sz w:val="15"/>
        <w:szCs w:val="15"/>
        <w:spacing w:val="-5"/>
      </w:rPr>
      <w:t>12</w:t>
    </w:r>
  </w:p>
</w:ftr>
</file>

<file path=word/footer1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448"/>
      <w:spacing w:line="172" w:lineRule="auto"/>
      <w:rPr>
        <w:sz w:val="17"/>
        <w:szCs w:val="17"/>
      </w:rPr>
    </w:pPr>
    <w:r>
      <w:rPr>
        <w:sz w:val="17"/>
        <w:szCs w:val="17"/>
        <w:spacing w:val="-5"/>
      </w:rPr>
      <w:t>120</w:t>
    </w:r>
  </w:p>
</w:ftr>
</file>

<file path=word/footer1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20"/>
      <w:spacing w:line="170" w:lineRule="auto"/>
      <w:rPr>
        <w:sz w:val="14"/>
        <w:szCs w:val="14"/>
      </w:rPr>
    </w:pPr>
    <w:r>
      <w:rPr>
        <w:sz w:val="14"/>
        <w:szCs w:val="14"/>
        <w:spacing w:val="-4"/>
      </w:rPr>
      <w:t>121</w:t>
    </w:r>
  </w:p>
</w:ftr>
</file>

<file path=word/footer1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10"/>
      <w:spacing w:line="172" w:lineRule="auto"/>
      <w:rPr>
        <w:sz w:val="17"/>
        <w:szCs w:val="17"/>
      </w:rPr>
    </w:pPr>
    <w:r>
      <w:rPr>
        <w:sz w:val="17"/>
        <w:szCs w:val="17"/>
        <w:spacing w:val="-5"/>
      </w:rPr>
      <w:t>122</w:t>
    </w:r>
  </w:p>
</w:ftr>
</file>

<file path=word/footer1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15"/>
      <w:spacing w:line="172" w:lineRule="auto"/>
      <w:rPr>
        <w:sz w:val="17"/>
        <w:szCs w:val="17"/>
      </w:rPr>
    </w:pPr>
    <w:r>
      <w:rPr>
        <w:sz w:val="17"/>
        <w:szCs w:val="17"/>
        <w:spacing w:val="-5"/>
      </w:rPr>
      <w:t>123</w:t>
    </w:r>
  </w:p>
</w:ftr>
</file>

<file path=word/footer1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955"/>
      <w:spacing w:line="170" w:lineRule="auto"/>
      <w:rPr>
        <w:sz w:val="14"/>
        <w:szCs w:val="14"/>
      </w:rPr>
    </w:pPr>
    <w:r>
      <w:rPr>
        <w:sz w:val="14"/>
        <w:szCs w:val="14"/>
        <w:spacing w:val="-4"/>
      </w:rPr>
      <w:t>124</w:t>
    </w:r>
  </w:p>
</w:ftr>
</file>

<file path=word/footer1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985"/>
      <w:spacing w:line="170" w:lineRule="auto"/>
      <w:rPr>
        <w:sz w:val="14"/>
        <w:szCs w:val="14"/>
      </w:rPr>
    </w:pPr>
    <w:r>
      <w:rPr>
        <w:sz w:val="14"/>
        <w:szCs w:val="14"/>
        <w:spacing w:val="-4"/>
      </w:rPr>
      <w:t>125</w:t>
    </w:r>
  </w:p>
</w:ftr>
</file>

<file path=word/footer1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985"/>
      <w:spacing w:line="170" w:lineRule="auto"/>
      <w:rPr>
        <w:sz w:val="14"/>
        <w:szCs w:val="14"/>
      </w:rPr>
    </w:pPr>
    <w:r>
      <w:rPr>
        <w:sz w:val="14"/>
        <w:szCs w:val="14"/>
        <w:spacing w:val="-4"/>
      </w:rPr>
      <w:t>126</w:t>
    </w:r>
  </w:p>
</w:ftr>
</file>

<file path=word/footer1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15"/>
      <w:spacing w:line="170" w:lineRule="auto"/>
      <w:rPr>
        <w:sz w:val="14"/>
        <w:szCs w:val="14"/>
      </w:rPr>
    </w:pPr>
    <w:r>
      <w:rPr>
        <w:sz w:val="14"/>
        <w:szCs w:val="14"/>
        <w:spacing w:val="-4"/>
      </w:rPr>
      <w:t>127</w:t>
    </w:r>
  </w:p>
</w:ftr>
</file>

<file path=word/footer1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05"/>
      <w:spacing w:line="172" w:lineRule="auto"/>
      <w:rPr>
        <w:sz w:val="17"/>
        <w:szCs w:val="17"/>
      </w:rPr>
    </w:pPr>
    <w:r>
      <w:rPr>
        <w:sz w:val="17"/>
        <w:szCs w:val="17"/>
        <w:spacing w:val="-5"/>
      </w:rPr>
      <w:t>128</w:t>
    </w:r>
  </w:p>
</w:ftr>
</file>

<file path=word/footer1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045"/>
      <w:spacing w:line="170" w:lineRule="auto"/>
      <w:rPr>
        <w:sz w:val="14"/>
        <w:szCs w:val="14"/>
      </w:rPr>
    </w:pPr>
    <w:r>
      <w:rPr>
        <w:sz w:val="14"/>
        <w:szCs w:val="14"/>
        <w:spacing w:val="-4"/>
      </w:rPr>
      <w:t>129</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005"/>
      <w:spacing w:line="171" w:lineRule="auto"/>
      <w:rPr>
        <w:sz w:val="15"/>
        <w:szCs w:val="15"/>
      </w:rPr>
    </w:pPr>
    <w:r>
      <w:rPr>
        <w:sz w:val="15"/>
        <w:szCs w:val="15"/>
        <w:spacing w:val="-5"/>
      </w:rPr>
      <w:t>13</w:t>
    </w:r>
  </w:p>
</w:ftr>
</file>

<file path=word/footer1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65"/>
      <w:spacing w:line="170" w:lineRule="auto"/>
      <w:rPr>
        <w:sz w:val="14"/>
        <w:szCs w:val="14"/>
      </w:rPr>
    </w:pPr>
    <w:r>
      <w:rPr>
        <w:sz w:val="14"/>
        <w:szCs w:val="14"/>
        <w:spacing w:val="-4"/>
      </w:rPr>
      <w:t>130</w:t>
    </w:r>
  </w:p>
</w:ftr>
</file>

<file path=word/footer1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75"/>
      <w:spacing w:line="170" w:lineRule="auto"/>
      <w:rPr>
        <w:sz w:val="14"/>
        <w:szCs w:val="14"/>
      </w:rPr>
    </w:pPr>
    <w:r>
      <w:rPr>
        <w:sz w:val="14"/>
        <w:szCs w:val="14"/>
        <w:spacing w:val="-4"/>
      </w:rPr>
      <w:t>131</w:t>
    </w:r>
  </w:p>
</w:ftr>
</file>

<file path=word/footer1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90"/>
      <w:spacing w:line="170" w:lineRule="auto"/>
      <w:rPr>
        <w:sz w:val="14"/>
        <w:szCs w:val="14"/>
      </w:rPr>
    </w:pPr>
    <w:r>
      <w:rPr>
        <w:sz w:val="14"/>
        <w:szCs w:val="14"/>
        <w:spacing w:val="-4"/>
      </w:rPr>
      <w:t>132</w:t>
    </w:r>
  </w:p>
</w:ftr>
</file>

<file path=word/footer1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75"/>
      <w:spacing w:line="170" w:lineRule="auto"/>
      <w:rPr>
        <w:sz w:val="14"/>
        <w:szCs w:val="14"/>
      </w:rPr>
    </w:pPr>
    <w:r>
      <w:rPr>
        <w:sz w:val="14"/>
        <w:szCs w:val="14"/>
        <w:spacing w:val="-4"/>
      </w:rPr>
      <w:t>133</w:t>
    </w:r>
  </w:p>
</w:ftr>
</file>

<file path=word/footer1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85"/>
      <w:spacing w:line="170" w:lineRule="auto"/>
      <w:rPr>
        <w:sz w:val="14"/>
        <w:szCs w:val="14"/>
      </w:rPr>
    </w:pPr>
    <w:r>
      <w:rPr>
        <w:sz w:val="14"/>
        <w:szCs w:val="14"/>
        <w:spacing w:val="-4"/>
      </w:rPr>
      <w:t>134</w:t>
    </w:r>
  </w:p>
</w:ftr>
</file>

<file path=word/footer1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75"/>
      <w:spacing w:line="170" w:lineRule="auto"/>
      <w:rPr>
        <w:sz w:val="14"/>
        <w:szCs w:val="14"/>
      </w:rPr>
    </w:pPr>
    <w:r>
      <w:rPr>
        <w:sz w:val="14"/>
        <w:szCs w:val="14"/>
        <w:spacing w:val="-4"/>
      </w:rPr>
      <w:t>135</w:t>
    </w:r>
  </w:p>
</w:ftr>
</file>

<file path=word/footer1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400"/>
      <w:spacing w:line="170" w:lineRule="auto"/>
      <w:rPr>
        <w:sz w:val="14"/>
        <w:szCs w:val="14"/>
      </w:rPr>
    </w:pPr>
    <w:r>
      <w:rPr>
        <w:sz w:val="14"/>
        <w:szCs w:val="14"/>
        <w:spacing w:val="-4"/>
      </w:rPr>
      <w:t>136</w:t>
    </w:r>
  </w:p>
</w:ftr>
</file>

<file path=word/footer1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75"/>
      <w:spacing w:line="170" w:lineRule="auto"/>
      <w:rPr>
        <w:sz w:val="14"/>
        <w:szCs w:val="14"/>
      </w:rPr>
    </w:pPr>
    <w:r>
      <w:rPr>
        <w:sz w:val="14"/>
        <w:szCs w:val="14"/>
        <w:spacing w:val="-4"/>
      </w:rPr>
      <w:t>137</w:t>
    </w:r>
  </w:p>
</w:ftr>
</file>

<file path=word/footer1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75"/>
      <w:spacing w:line="170" w:lineRule="auto"/>
      <w:rPr>
        <w:sz w:val="14"/>
        <w:szCs w:val="14"/>
      </w:rPr>
    </w:pPr>
    <w:r>
      <w:rPr>
        <w:sz w:val="14"/>
        <w:szCs w:val="14"/>
        <w:spacing w:val="-4"/>
      </w:rPr>
      <w:t>138</w:t>
    </w:r>
  </w:p>
</w:ftr>
</file>

<file path=word/footer1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75"/>
      <w:spacing w:line="170" w:lineRule="auto"/>
      <w:rPr>
        <w:sz w:val="14"/>
        <w:szCs w:val="14"/>
      </w:rPr>
    </w:pPr>
    <w:r>
      <w:rPr>
        <w:sz w:val="14"/>
        <w:szCs w:val="14"/>
        <w:spacing w:val="-4"/>
      </w:rPr>
      <w:t>139</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14"/>
      <w:spacing w:line="170" w:lineRule="auto"/>
      <w:rPr>
        <w:sz w:val="14"/>
        <w:szCs w:val="14"/>
      </w:rPr>
    </w:pPr>
    <w:r>
      <w:rPr>
        <w:sz w:val="14"/>
        <w:szCs w:val="14"/>
        <w:spacing w:val="-4"/>
      </w:rPr>
      <w:t>14</w:t>
    </w:r>
  </w:p>
</w:ftr>
</file>

<file path=word/footer1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95"/>
      <w:spacing w:line="170" w:lineRule="auto"/>
      <w:rPr>
        <w:sz w:val="14"/>
        <w:szCs w:val="14"/>
      </w:rPr>
    </w:pPr>
    <w:r>
      <w:rPr>
        <w:sz w:val="14"/>
        <w:szCs w:val="14"/>
        <w:spacing w:val="-4"/>
      </w:rPr>
      <w:t>140</w:t>
    </w:r>
  </w:p>
</w:ftr>
</file>

<file path=word/footer1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884"/>
      <w:spacing w:line="170" w:lineRule="auto"/>
      <w:rPr>
        <w:sz w:val="14"/>
        <w:szCs w:val="14"/>
      </w:rPr>
    </w:pPr>
    <w:r>
      <w:rPr>
        <w:sz w:val="14"/>
        <w:szCs w:val="14"/>
        <w:spacing w:val="-4"/>
      </w:rPr>
      <w:t>141</w:t>
    </w:r>
  </w:p>
</w:ftr>
</file>

<file path=word/footer1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875"/>
      <w:spacing w:line="170" w:lineRule="auto"/>
      <w:rPr>
        <w:sz w:val="14"/>
        <w:szCs w:val="14"/>
      </w:rPr>
    </w:pPr>
    <w:r>
      <w:rPr>
        <w:sz w:val="14"/>
        <w:szCs w:val="14"/>
        <w:spacing w:val="-4"/>
      </w:rPr>
      <w:t>142</w:t>
    </w:r>
  </w:p>
</w:ftr>
</file>

<file path=word/footer1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877"/>
      <w:spacing w:line="170" w:lineRule="auto"/>
      <w:rPr>
        <w:sz w:val="14"/>
        <w:szCs w:val="14"/>
      </w:rPr>
    </w:pPr>
    <w:r>
      <w:rPr>
        <w:sz w:val="14"/>
        <w:szCs w:val="14"/>
        <w:b/>
        <w:bCs/>
        <w:spacing w:val="-5"/>
      </w:rPr>
      <w:t>143</w:t>
    </w:r>
  </w:p>
</w:ftr>
</file>

<file path=word/footer1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15"/>
      <w:spacing w:line="170" w:lineRule="auto"/>
      <w:rPr>
        <w:sz w:val="14"/>
        <w:szCs w:val="14"/>
      </w:rPr>
    </w:pPr>
    <w:r>
      <w:rPr>
        <w:sz w:val="14"/>
        <w:szCs w:val="14"/>
        <w:spacing w:val="-4"/>
      </w:rPr>
      <w:t>144</w:t>
    </w:r>
  </w:p>
</w:ftr>
</file>

<file path=word/footer1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785"/>
      <w:spacing w:line="170" w:lineRule="auto"/>
      <w:rPr>
        <w:sz w:val="14"/>
        <w:szCs w:val="14"/>
      </w:rPr>
    </w:pPr>
    <w:r>
      <w:rPr>
        <w:sz w:val="14"/>
        <w:szCs w:val="14"/>
        <w:spacing w:val="-4"/>
      </w:rPr>
      <w:t>145</w:t>
    </w:r>
  </w:p>
</w:ftr>
</file>

<file path=word/footer1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795"/>
      <w:spacing w:line="170" w:lineRule="auto"/>
      <w:rPr>
        <w:sz w:val="14"/>
        <w:szCs w:val="14"/>
      </w:rPr>
    </w:pPr>
    <w:r>
      <w:rPr>
        <w:sz w:val="14"/>
        <w:szCs w:val="14"/>
        <w:spacing w:val="-4"/>
      </w:rPr>
      <w:t>146</w:t>
    </w:r>
  </w:p>
</w:ftr>
</file>

<file path=word/footer1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785"/>
      <w:spacing w:line="170" w:lineRule="auto"/>
      <w:rPr>
        <w:sz w:val="14"/>
        <w:szCs w:val="14"/>
      </w:rPr>
    </w:pPr>
    <w:r>
      <w:rPr>
        <w:sz w:val="14"/>
        <w:szCs w:val="14"/>
        <w:spacing w:val="-4"/>
      </w:rPr>
      <w:t>147</w:t>
    </w:r>
  </w:p>
</w:ftr>
</file>

<file path=word/footer1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1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9"/>
      <w:spacing w:line="17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14"/>
      <w:spacing w:line="170" w:lineRule="auto"/>
      <w:rPr>
        <w:sz w:val="14"/>
        <w:szCs w:val="14"/>
      </w:rPr>
    </w:pPr>
    <w:r>
      <w:rPr>
        <w:sz w:val="14"/>
        <w:szCs w:val="14"/>
        <w:spacing w:val="-4"/>
      </w:rPr>
      <w:t>15</w:t>
    </w:r>
  </w:p>
</w:ftr>
</file>

<file path=word/footer1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9"/>
      <w:spacing w:line="17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ftr>
</file>

<file path=word/footer1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289"/>
      <w:spacing w:line="170" w:lineRule="auto"/>
      <w:rPr>
        <w:sz w:val="14"/>
        <w:szCs w:val="14"/>
      </w:rPr>
    </w:pPr>
    <w:r>
      <w:rPr>
        <w:sz w:val="14"/>
        <w:szCs w:val="14"/>
      </w:rPr>
      <w:t>1</w:t>
    </w:r>
  </w:p>
</w:ftr>
</file>

<file path=word/footer1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289"/>
      <w:spacing w:line="170" w:lineRule="auto"/>
      <w:rPr>
        <w:sz w:val="15"/>
        <w:szCs w:val="15"/>
      </w:rPr>
    </w:pPr>
    <w:r>
      <w:rPr>
        <w:sz w:val="15"/>
        <w:szCs w:val="15"/>
      </w:rPr>
      <w:t>2</w:t>
    </w:r>
  </w:p>
</w:ftr>
</file>

<file path=word/footer1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269"/>
      <w:spacing w:line="170" w:lineRule="auto"/>
      <w:rPr>
        <w:sz w:val="15"/>
        <w:szCs w:val="15"/>
      </w:rPr>
    </w:pPr>
    <w:r>
      <w:rPr>
        <w:sz w:val="15"/>
        <w:szCs w:val="15"/>
      </w:rPr>
      <w:t>3</w:t>
    </w:r>
  </w:p>
</w:ftr>
</file>

<file path=word/footer1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269"/>
      <w:spacing w:line="172" w:lineRule="auto"/>
      <w:rPr>
        <w:sz w:val="17"/>
        <w:szCs w:val="17"/>
      </w:rPr>
    </w:pPr>
    <w:r>
      <w:rPr>
        <w:sz w:val="17"/>
        <w:szCs w:val="17"/>
      </w:rPr>
      <w:t>4</w:t>
    </w:r>
  </w:p>
</w:ftr>
</file>

<file path=word/footer1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95"/>
      <w:spacing w:line="168" w:lineRule="auto"/>
      <w:rPr>
        <w:sz w:val="14"/>
        <w:szCs w:val="14"/>
      </w:rPr>
    </w:pPr>
    <w:r>
      <w:rPr>
        <w:sz w:val="14"/>
        <w:szCs w:val="14"/>
      </w:rPr>
      <w:t>5</w:t>
    </w:r>
  </w:p>
</w:ftr>
</file>

<file path=word/footer1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95"/>
      <w:spacing w:line="169" w:lineRule="auto"/>
      <w:rPr>
        <w:sz w:val="14"/>
        <w:szCs w:val="14"/>
      </w:rPr>
    </w:pPr>
    <w:r>
      <w:rPr>
        <w:sz w:val="14"/>
        <w:szCs w:val="14"/>
      </w:rPr>
      <w:t>6</w:t>
    </w:r>
  </w:p>
</w:ftr>
</file>

<file path=word/footer1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95"/>
      <w:spacing w:line="168" w:lineRule="auto"/>
      <w:rPr>
        <w:sz w:val="14"/>
        <w:szCs w:val="14"/>
      </w:rPr>
    </w:pPr>
    <w:r>
      <w:rPr>
        <w:sz w:val="14"/>
        <w:szCs w:val="14"/>
      </w:rPr>
      <w:t>7</w:t>
    </w:r>
  </w:p>
</w:ftr>
</file>

<file path=word/footer1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035"/>
      <w:spacing w:line="169" w:lineRule="auto"/>
      <w:rPr>
        <w:sz w:val="14"/>
        <w:szCs w:val="14"/>
      </w:rPr>
    </w:pPr>
    <w:r>
      <w:rPr>
        <w:sz w:val="14"/>
        <w:szCs w:val="14"/>
      </w:rPr>
      <w:t>8</w:t>
    </w:r>
  </w:p>
</w:ftr>
</file>

<file path=word/footer1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035"/>
      <w:spacing w:line="168" w:lineRule="auto"/>
      <w:rPr>
        <w:sz w:val="13"/>
        <w:szCs w:val="13"/>
      </w:rPr>
    </w:pPr>
    <w:r>
      <w:rPr>
        <w:sz w:val="13"/>
        <w:szCs w:val="13"/>
      </w:rPr>
      <w:t>9</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14"/>
      <w:spacing w:line="170" w:lineRule="auto"/>
      <w:rPr>
        <w:sz w:val="14"/>
        <w:szCs w:val="14"/>
      </w:rPr>
    </w:pPr>
    <w:r>
      <w:rPr>
        <w:sz w:val="14"/>
        <w:szCs w:val="14"/>
        <w:spacing w:val="-4"/>
      </w:rPr>
      <w:t>16</w:t>
    </w:r>
  </w:p>
</w:ftr>
</file>

<file path=word/footer1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455"/>
      <w:spacing w:line="170" w:lineRule="auto"/>
      <w:rPr>
        <w:sz w:val="14"/>
        <w:szCs w:val="14"/>
      </w:rPr>
    </w:pPr>
    <w:r>
      <w:rPr>
        <w:sz w:val="14"/>
        <w:szCs w:val="14"/>
        <w:spacing w:val="-4"/>
      </w:rPr>
      <w:t>10</w:t>
    </w:r>
  </w:p>
</w:ftr>
</file>

<file path=word/footer1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455"/>
      <w:spacing w:line="170" w:lineRule="auto"/>
      <w:rPr>
        <w:sz w:val="14"/>
        <w:szCs w:val="14"/>
      </w:rPr>
    </w:pPr>
    <w:r>
      <w:rPr>
        <w:sz w:val="14"/>
        <w:szCs w:val="14"/>
        <w:spacing w:val="-4"/>
      </w:rPr>
      <w:t>11</w:t>
    </w:r>
  </w:p>
</w:ftr>
</file>

<file path=word/footer1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465"/>
      <w:spacing w:line="171" w:lineRule="auto"/>
      <w:rPr>
        <w:sz w:val="15"/>
        <w:szCs w:val="15"/>
      </w:rPr>
    </w:pPr>
    <w:r>
      <w:rPr>
        <w:sz w:val="15"/>
        <w:szCs w:val="15"/>
        <w:spacing w:val="-5"/>
      </w:rPr>
      <w:t>12</w:t>
    </w:r>
  </w:p>
</w:ftr>
</file>

<file path=word/footer1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465"/>
      <w:spacing w:line="170" w:lineRule="auto"/>
      <w:rPr>
        <w:sz w:val="14"/>
        <w:szCs w:val="14"/>
      </w:rPr>
    </w:pPr>
    <w:r>
      <w:rPr>
        <w:sz w:val="14"/>
        <w:szCs w:val="14"/>
        <w:spacing w:val="-4"/>
      </w:rPr>
      <w:t>13</w:t>
    </w:r>
  </w:p>
</w:ftr>
</file>

<file path=word/footer1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465"/>
      <w:spacing w:line="170" w:lineRule="auto"/>
      <w:rPr>
        <w:sz w:val="14"/>
        <w:szCs w:val="14"/>
      </w:rPr>
    </w:pPr>
    <w:r>
      <w:rPr>
        <w:sz w:val="14"/>
        <w:szCs w:val="14"/>
        <w:spacing w:val="-4"/>
      </w:rPr>
      <w:t>14</w:t>
    </w:r>
  </w:p>
</w:ftr>
</file>

<file path=word/footer1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40"/>
      <w:spacing w:line="170" w:lineRule="auto"/>
      <w:rPr>
        <w:sz w:val="14"/>
        <w:szCs w:val="14"/>
      </w:rPr>
    </w:pPr>
    <w:r>
      <w:rPr>
        <w:sz w:val="14"/>
        <w:szCs w:val="14"/>
        <w:spacing w:val="-4"/>
      </w:rPr>
      <w:t>15</w:t>
    </w:r>
  </w:p>
</w:ftr>
</file>

<file path=word/footer1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455"/>
      <w:spacing w:line="170" w:lineRule="auto"/>
      <w:rPr>
        <w:sz w:val="14"/>
        <w:szCs w:val="14"/>
      </w:rPr>
    </w:pPr>
    <w:r>
      <w:rPr>
        <w:sz w:val="14"/>
        <w:szCs w:val="14"/>
        <w:spacing w:val="-4"/>
      </w:rPr>
      <w:t>16</w:t>
    </w:r>
  </w:p>
</w:ftr>
</file>

<file path=word/footer1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465"/>
      <w:spacing w:line="170" w:lineRule="auto"/>
      <w:rPr>
        <w:sz w:val="14"/>
        <w:szCs w:val="14"/>
      </w:rPr>
    </w:pPr>
    <w:r>
      <w:rPr>
        <w:sz w:val="14"/>
        <w:szCs w:val="14"/>
        <w:spacing w:val="-4"/>
      </w:rPr>
      <w:t>17</w:t>
    </w:r>
  </w:p>
</w:ftr>
</file>

<file path=word/footer1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50"/>
      <w:spacing w:line="170" w:lineRule="auto"/>
      <w:rPr>
        <w:sz w:val="14"/>
        <w:szCs w:val="14"/>
      </w:rPr>
    </w:pPr>
    <w:r>
      <w:rPr>
        <w:sz w:val="14"/>
        <w:szCs w:val="14"/>
        <w:spacing w:val="-4"/>
      </w:rPr>
      <w:t>18</w:t>
    </w:r>
  </w:p>
</w:ftr>
</file>

<file path=word/footer1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20"/>
      <w:spacing w:line="170" w:lineRule="auto"/>
      <w:rPr>
        <w:sz w:val="14"/>
        <w:szCs w:val="14"/>
      </w:rPr>
    </w:pPr>
    <w:r>
      <w:rPr>
        <w:sz w:val="14"/>
        <w:szCs w:val="14"/>
        <w:spacing w:val="-4"/>
      </w:rPr>
      <w:t>19</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04"/>
      <w:spacing w:line="170" w:lineRule="auto"/>
      <w:rPr>
        <w:sz w:val="14"/>
        <w:szCs w:val="14"/>
      </w:rPr>
    </w:pPr>
    <w:r>
      <w:rPr>
        <w:sz w:val="14"/>
        <w:szCs w:val="14"/>
        <w:spacing w:val="-4"/>
      </w:rPr>
      <w:t>17</w:t>
    </w:r>
  </w:p>
</w:ftr>
</file>

<file path=word/footer1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435"/>
      <w:spacing w:line="169" w:lineRule="auto"/>
      <w:rPr>
        <w:sz w:val="14"/>
        <w:szCs w:val="14"/>
      </w:rPr>
    </w:pPr>
    <w:r>
      <w:rPr>
        <w:sz w:val="14"/>
        <w:szCs w:val="14"/>
        <w:spacing w:val="-2"/>
      </w:rPr>
      <w:t>20</w:t>
    </w:r>
  </w:p>
</w:ftr>
</file>

<file path=word/footer1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435"/>
      <w:spacing w:line="171" w:lineRule="auto"/>
      <w:rPr>
        <w:sz w:val="15"/>
        <w:szCs w:val="15"/>
      </w:rPr>
    </w:pPr>
    <w:r>
      <w:rPr>
        <w:sz w:val="15"/>
        <w:szCs w:val="15"/>
        <w:spacing w:val="-2"/>
      </w:rPr>
      <w:t>21</w:t>
    </w:r>
  </w:p>
</w:ftr>
</file>

<file path=word/footer1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35"/>
      <w:spacing w:line="170" w:lineRule="auto"/>
      <w:rPr>
        <w:sz w:val="15"/>
        <w:szCs w:val="15"/>
      </w:rPr>
    </w:pPr>
    <w:r>
      <w:rPr>
        <w:sz w:val="15"/>
        <w:szCs w:val="15"/>
        <w:spacing w:val="-2"/>
      </w:rPr>
      <w:t>22</w:t>
    </w:r>
  </w:p>
</w:ftr>
</file>

<file path=word/footer1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20"/>
      <w:spacing w:line="170" w:lineRule="auto"/>
      <w:rPr>
        <w:sz w:val="15"/>
        <w:szCs w:val="15"/>
      </w:rPr>
    </w:pPr>
    <w:r>
      <w:rPr>
        <w:sz w:val="15"/>
        <w:szCs w:val="15"/>
        <w:spacing w:val="-2"/>
      </w:rPr>
      <w:t>23</w:t>
    </w:r>
  </w:p>
</w:ftr>
</file>

<file path=word/footer1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405"/>
      <w:spacing w:line="170" w:lineRule="auto"/>
      <w:rPr>
        <w:sz w:val="15"/>
        <w:szCs w:val="15"/>
      </w:rPr>
    </w:pPr>
    <w:r>
      <w:rPr>
        <w:sz w:val="15"/>
        <w:szCs w:val="15"/>
        <w:spacing w:val="-2"/>
      </w:rPr>
      <w:t>24</w:t>
    </w:r>
  </w:p>
</w:ftr>
</file>

<file path=word/footer1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45"/>
      <w:spacing w:line="169" w:lineRule="auto"/>
      <w:rPr>
        <w:sz w:val="14"/>
        <w:szCs w:val="14"/>
      </w:rPr>
    </w:pPr>
    <w:r>
      <w:rPr>
        <w:sz w:val="14"/>
        <w:szCs w:val="14"/>
        <w:spacing w:val="-2"/>
      </w:rPr>
      <w:t>25</w:t>
    </w:r>
  </w:p>
</w:ftr>
</file>

<file path=word/footer1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95"/>
      <w:spacing w:line="170" w:lineRule="auto"/>
      <w:rPr>
        <w:sz w:val="15"/>
        <w:szCs w:val="15"/>
      </w:rPr>
    </w:pPr>
    <w:r>
      <w:rPr>
        <w:sz w:val="15"/>
        <w:szCs w:val="15"/>
        <w:spacing w:val="-2"/>
      </w:rPr>
      <w:t>26</w:t>
    </w:r>
  </w:p>
</w:ftr>
</file>

<file path=word/footer1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45"/>
      <w:spacing w:line="169" w:lineRule="auto"/>
      <w:rPr>
        <w:sz w:val="14"/>
        <w:szCs w:val="14"/>
      </w:rPr>
    </w:pPr>
    <w:r>
      <w:rPr>
        <w:sz w:val="14"/>
        <w:szCs w:val="14"/>
        <w:spacing w:val="-2"/>
      </w:rPr>
      <w:t>27</w:t>
    </w:r>
  </w:p>
</w:ftr>
</file>

<file path=word/footer1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20"/>
      <w:spacing w:line="170" w:lineRule="auto"/>
      <w:rPr>
        <w:sz w:val="15"/>
        <w:szCs w:val="15"/>
      </w:rPr>
    </w:pPr>
    <w:r>
      <w:rPr>
        <w:sz w:val="15"/>
        <w:szCs w:val="15"/>
        <w:spacing w:val="-2"/>
      </w:rPr>
      <w:t>28</w:t>
    </w:r>
  </w:p>
</w:ftr>
</file>

<file path=word/footer1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20"/>
      <w:spacing w:line="170" w:lineRule="auto"/>
      <w:rPr>
        <w:sz w:val="15"/>
        <w:szCs w:val="15"/>
      </w:rPr>
    </w:pPr>
    <w:r>
      <w:rPr>
        <w:sz w:val="15"/>
        <w:szCs w:val="15"/>
        <w:spacing w:val="-2"/>
      </w:rPr>
      <w:t>29</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24"/>
      <w:spacing w:line="170" w:lineRule="auto"/>
      <w:rPr>
        <w:sz w:val="14"/>
        <w:szCs w:val="14"/>
      </w:rPr>
    </w:pPr>
    <w:r>
      <w:rPr>
        <w:sz w:val="14"/>
        <w:szCs w:val="14"/>
        <w:spacing w:val="-4"/>
      </w:rPr>
      <w:t>18</w:t>
    </w:r>
  </w:p>
</w:ftr>
</file>

<file path=word/footer1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10"/>
      <w:spacing w:line="170" w:lineRule="auto"/>
      <w:rPr>
        <w:sz w:val="15"/>
        <w:szCs w:val="15"/>
      </w:rPr>
    </w:pPr>
    <w:r>
      <w:rPr>
        <w:sz w:val="15"/>
        <w:szCs w:val="15"/>
        <w:spacing w:val="-3"/>
      </w:rPr>
      <w:t>30</w:t>
    </w:r>
  </w:p>
</w:ftr>
</file>

<file path=word/footer1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20"/>
      <w:spacing w:line="171" w:lineRule="auto"/>
      <w:rPr>
        <w:sz w:val="15"/>
        <w:szCs w:val="15"/>
      </w:rPr>
    </w:pPr>
    <w:r>
      <w:rPr>
        <w:sz w:val="15"/>
        <w:szCs w:val="15"/>
        <w:spacing w:val="-3"/>
      </w:rPr>
      <w:t>31</w:t>
    </w:r>
  </w:p>
</w:ftr>
</file>

<file path=word/footer1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30"/>
      <w:spacing w:line="170" w:lineRule="auto"/>
      <w:rPr>
        <w:sz w:val="15"/>
        <w:szCs w:val="15"/>
      </w:rPr>
    </w:pPr>
    <w:r>
      <w:rPr>
        <w:sz w:val="15"/>
        <w:szCs w:val="15"/>
        <w:spacing w:val="-3"/>
      </w:rPr>
      <w:t>32</w:t>
    </w:r>
  </w:p>
</w:ftr>
</file>

<file path=word/footer1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30"/>
      <w:spacing w:line="170" w:lineRule="auto"/>
      <w:rPr>
        <w:sz w:val="15"/>
        <w:szCs w:val="15"/>
      </w:rPr>
    </w:pPr>
    <w:r>
      <w:rPr>
        <w:sz w:val="15"/>
        <w:szCs w:val="15"/>
        <w:spacing w:val="-3"/>
      </w:rPr>
      <w:t>33</w:t>
    </w:r>
  </w:p>
</w:ftr>
</file>

<file path=word/footer1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20"/>
      <w:spacing w:line="170" w:lineRule="auto"/>
      <w:rPr>
        <w:sz w:val="15"/>
        <w:szCs w:val="15"/>
      </w:rPr>
    </w:pPr>
    <w:r>
      <w:rPr>
        <w:sz w:val="15"/>
        <w:szCs w:val="15"/>
        <w:spacing w:val="-3"/>
      </w:rPr>
      <w:t>34</w:t>
    </w:r>
  </w:p>
</w:ftr>
</file>

<file path=word/footer1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30"/>
      <w:spacing w:line="169" w:lineRule="auto"/>
      <w:rPr>
        <w:sz w:val="14"/>
        <w:szCs w:val="14"/>
      </w:rPr>
    </w:pPr>
    <w:r>
      <w:rPr>
        <w:sz w:val="14"/>
        <w:szCs w:val="14"/>
        <w:spacing w:val="-3"/>
      </w:rPr>
      <w:t>35</w:t>
    </w:r>
  </w:p>
</w:ftr>
</file>

<file path=word/footer1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30"/>
      <w:spacing w:line="170" w:lineRule="auto"/>
      <w:rPr>
        <w:sz w:val="15"/>
        <w:szCs w:val="15"/>
      </w:rPr>
    </w:pPr>
    <w:r>
      <w:rPr>
        <w:sz w:val="15"/>
        <w:szCs w:val="15"/>
        <w:spacing w:val="-3"/>
      </w:rPr>
      <w:t>36</w:t>
    </w:r>
  </w:p>
</w:ftr>
</file>

<file path=word/footer1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20"/>
      <w:spacing w:line="170" w:lineRule="auto"/>
      <w:rPr>
        <w:sz w:val="15"/>
        <w:szCs w:val="15"/>
      </w:rPr>
    </w:pPr>
    <w:r>
      <w:rPr>
        <w:sz w:val="15"/>
        <w:szCs w:val="15"/>
        <w:spacing w:val="-3"/>
      </w:rPr>
      <w:t>37</w:t>
    </w:r>
  </w:p>
</w:ftr>
</file>

<file path=word/footer1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75"/>
      <w:spacing w:line="170" w:lineRule="auto"/>
      <w:rPr>
        <w:sz w:val="15"/>
        <w:szCs w:val="15"/>
      </w:rPr>
    </w:pPr>
    <w:r>
      <w:rPr>
        <w:sz w:val="15"/>
        <w:szCs w:val="15"/>
        <w:spacing w:val="-3"/>
      </w:rPr>
      <w:t>38</w:t>
    </w:r>
  </w:p>
</w:ftr>
</file>

<file path=word/footer1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910"/>
      <w:spacing w:line="169" w:lineRule="auto"/>
      <w:rPr>
        <w:sz w:val="13"/>
        <w:szCs w:val="13"/>
      </w:rPr>
    </w:pPr>
    <w:r>
      <w:drawing>
        <wp:anchor distT="0" distB="0" distL="0" distR="0" simplePos="0" relativeHeight="251658240" behindDoc="1" locked="0" layoutInCell="1" allowOverlap="1">
          <wp:simplePos x="0" y="0"/>
          <wp:positionH relativeFrom="column">
            <wp:posOffset>0</wp:posOffset>
          </wp:positionH>
          <wp:positionV relativeFrom="paragraph">
            <wp:posOffset>-10069815</wp:posOffset>
          </wp:positionV>
          <wp:extent cx="7556500" cy="10693400"/>
          <wp:effectExtent l="0" t="0" r="0" b="0"/>
          <wp:wrapNone/>
          <wp:docPr id="34" name="IM 34"/>
          <wp:cNvGraphicFramePr/>
          <a:graphic>
            <a:graphicData uri="http://schemas.openxmlformats.org/drawingml/2006/picture">
              <pic:pic>
                <pic:nvPicPr>
                  <pic:cNvPr id="34" name="IM 34"/>
                  <pic:cNvPicPr/>
                </pic:nvPicPr>
                <pic:blipFill>
                  <a:blip r:embed="rId1"/>
                  <a:stretch>
                    <a:fillRect/>
                  </a:stretch>
                </pic:blipFill>
                <pic:spPr>
                  <a:xfrm rot="0">
                    <a:off x="0" y="0"/>
                    <a:ext cx="7556500" cy="10693400"/>
                  </a:xfrm>
                  <a:prstGeom prst="rect">
                    <a:avLst/>
                  </a:prstGeom>
                </pic:spPr>
              </pic:pic>
            </a:graphicData>
          </a:graphic>
        </wp:anchor>
      </w:drawing>
    </w:r>
    <w:r>
      <w:rPr>
        <w:sz w:val="13"/>
        <w:szCs w:val="13"/>
      </w:rPr>
      <w:t>1</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14"/>
      <w:spacing w:line="170" w:lineRule="auto"/>
      <w:rPr>
        <w:sz w:val="14"/>
        <w:szCs w:val="14"/>
      </w:rPr>
    </w:pPr>
    <w:r>
      <w:rPr>
        <w:sz w:val="14"/>
        <w:szCs w:val="14"/>
        <w:spacing w:val="-4"/>
      </w:rPr>
      <w:t>19</w:t>
    </w:r>
  </w:p>
</w:ftr>
</file>

<file path=word/footer1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816"/>
      <w:spacing w:line="170" w:lineRule="auto"/>
      <w:rPr>
        <w:sz w:val="15"/>
        <w:szCs w:val="15"/>
      </w:rPr>
    </w:pPr>
    <w:r>
      <w:rPr>
        <w:sz w:val="15"/>
        <w:szCs w:val="15"/>
      </w:rPr>
      <w:t>2</w:t>
    </w:r>
  </w:p>
</w:ftr>
</file>

<file path=word/footer1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275"/>
      <w:spacing w:line="170" w:lineRule="auto"/>
      <w:rPr>
        <w:sz w:val="15"/>
        <w:szCs w:val="15"/>
      </w:rPr>
    </w:pPr>
    <w:r>
      <w:rPr>
        <w:sz w:val="15"/>
        <w:szCs w:val="15"/>
      </w:rPr>
      <w:t>3</w:t>
    </w:r>
  </w:p>
</w:ftr>
</file>

<file path=word/footer1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070"/>
      <w:spacing w:line="170" w:lineRule="auto"/>
      <w:rPr>
        <w:sz w:val="15"/>
        <w:szCs w:val="15"/>
      </w:rPr>
    </w:pPr>
    <w:r>
      <w:rPr>
        <w:sz w:val="15"/>
        <w:szCs w:val="15"/>
      </w:rPr>
      <w:t>4</w:t>
    </w:r>
  </w:p>
</w:ftr>
</file>

<file path=word/footer1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60"/>
      <w:spacing w:line="168" w:lineRule="auto"/>
      <w:rPr>
        <w:sz w:val="14"/>
        <w:szCs w:val="14"/>
      </w:rPr>
    </w:pPr>
    <w:r>
      <w:rPr>
        <w:sz w:val="14"/>
        <w:szCs w:val="14"/>
      </w:rPr>
      <w:t>5</w:t>
    </w:r>
  </w:p>
</w:ftr>
</file>

<file path=word/footer1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90"/>
      <w:spacing w:line="170" w:lineRule="auto"/>
      <w:rPr>
        <w:sz w:val="15"/>
        <w:szCs w:val="15"/>
      </w:rPr>
    </w:pPr>
    <w:r>
      <w:drawing>
        <wp:anchor distT="0" distB="0" distL="0" distR="0" simplePos="0" relativeHeight="251659264" behindDoc="1" locked="0" layoutInCell="1" allowOverlap="1">
          <wp:simplePos x="0" y="0"/>
          <wp:positionH relativeFrom="column">
            <wp:posOffset>0</wp:posOffset>
          </wp:positionH>
          <wp:positionV relativeFrom="paragraph">
            <wp:posOffset>-10061108</wp:posOffset>
          </wp:positionV>
          <wp:extent cx="7556500" cy="10693400"/>
          <wp:effectExtent l="0" t="0" r="0" b="0"/>
          <wp:wrapNone/>
          <wp:docPr id="106" name="IM 106"/>
          <wp:cNvGraphicFramePr/>
          <a:graphic>
            <a:graphicData uri="http://schemas.openxmlformats.org/drawingml/2006/picture">
              <pic:pic>
                <pic:nvPicPr>
                  <pic:cNvPr id="106" name="IM 106"/>
                  <pic:cNvPicPr/>
                </pic:nvPicPr>
                <pic:blipFill>
                  <a:blip r:embed="rId1"/>
                  <a:stretch>
                    <a:fillRect/>
                  </a:stretch>
                </pic:blipFill>
                <pic:spPr>
                  <a:xfrm rot="0">
                    <a:off x="0" y="0"/>
                    <a:ext cx="7556500" cy="10693400"/>
                  </a:xfrm>
                  <a:prstGeom prst="rect">
                    <a:avLst/>
                  </a:prstGeom>
                </pic:spPr>
              </pic:pic>
            </a:graphicData>
          </a:graphic>
        </wp:anchor>
      </w:drawing>
    </w:r>
    <w:r>
      <w:rPr>
        <w:sz w:val="15"/>
        <w:szCs w:val="15"/>
      </w:rPr>
      <w:t>6</w:t>
    </w:r>
  </w:p>
</w:ftr>
</file>

<file path=word/footer1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15"/>
      <w:spacing w:line="168" w:lineRule="auto"/>
      <w:rPr>
        <w:sz w:val="14"/>
        <w:szCs w:val="14"/>
      </w:rPr>
    </w:pPr>
    <w:r>
      <w:rPr>
        <w:sz w:val="14"/>
        <w:szCs w:val="14"/>
      </w:rPr>
      <w:t>7</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75"/>
      <w:spacing w:line="169" w:lineRule="auto"/>
      <w:rPr>
        <w:sz w:val="14"/>
        <w:szCs w:val="14"/>
      </w:rPr>
    </w:pPr>
    <w:r>
      <w:rPr>
        <w:sz w:val="14"/>
        <w:szCs w:val="14"/>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164"/>
      <w:spacing w:line="169" w:lineRule="auto"/>
      <w:rPr>
        <w:sz w:val="14"/>
        <w:szCs w:val="14"/>
      </w:rPr>
    </w:pPr>
    <w:r>
      <w:rPr>
        <w:sz w:val="14"/>
        <w:szCs w:val="14"/>
        <w:spacing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174"/>
      <w:spacing w:line="170" w:lineRule="auto"/>
      <w:rPr>
        <w:sz w:val="14"/>
        <w:szCs w:val="14"/>
      </w:rPr>
    </w:pPr>
    <w:r>
      <w:rPr>
        <w:sz w:val="14"/>
        <w:szCs w:val="14"/>
        <w:spacing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15"/>
      <w:spacing w:line="169" w:lineRule="auto"/>
      <w:rPr>
        <w:sz w:val="14"/>
        <w:szCs w:val="14"/>
      </w:rPr>
    </w:pPr>
    <w:r>
      <w:rPr>
        <w:sz w:val="14"/>
        <w:szCs w:val="14"/>
        <w:spacing w:val="-2"/>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985"/>
      <w:spacing w:line="169" w:lineRule="auto"/>
      <w:rPr>
        <w:sz w:val="14"/>
        <w:szCs w:val="14"/>
      </w:rPr>
    </w:pPr>
    <w:r>
      <w:rPr>
        <w:sz w:val="14"/>
        <w:szCs w:val="14"/>
        <w:spacing w:val="-2"/>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994"/>
      <w:spacing w:line="169" w:lineRule="auto"/>
      <w:rPr>
        <w:sz w:val="14"/>
        <w:szCs w:val="14"/>
      </w:rPr>
    </w:pPr>
    <w:r>
      <w:rPr>
        <w:sz w:val="14"/>
        <w:szCs w:val="14"/>
        <w:spacing w:val="-2"/>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994"/>
      <w:spacing w:line="169" w:lineRule="auto"/>
      <w:rPr>
        <w:sz w:val="14"/>
        <w:szCs w:val="14"/>
      </w:rPr>
    </w:pPr>
    <w:r>
      <w:rPr>
        <w:sz w:val="14"/>
        <w:szCs w:val="14"/>
        <w:spacing w:val="-2"/>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985"/>
      <w:spacing w:line="169" w:lineRule="auto"/>
      <w:rPr>
        <w:sz w:val="14"/>
        <w:szCs w:val="14"/>
      </w:rPr>
    </w:pPr>
    <w:r>
      <w:rPr>
        <w:sz w:val="14"/>
        <w:szCs w:val="14"/>
        <w:spacing w:val="-2"/>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985"/>
      <w:spacing w:line="169" w:lineRule="auto"/>
      <w:rPr>
        <w:sz w:val="14"/>
        <w:szCs w:val="14"/>
      </w:rPr>
    </w:pPr>
    <w:r>
      <w:rPr>
        <w:sz w:val="14"/>
        <w:szCs w:val="14"/>
        <w:spacing w:val="-2"/>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974"/>
      <w:spacing w:line="169" w:lineRule="auto"/>
      <w:rPr>
        <w:sz w:val="14"/>
        <w:szCs w:val="14"/>
      </w:rPr>
    </w:pPr>
    <w:r>
      <w:rPr>
        <w:sz w:val="14"/>
        <w:szCs w:val="14"/>
        <w:spacing w:val="-2"/>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976"/>
      <w:spacing w:line="169" w:lineRule="auto"/>
      <w:rPr>
        <w:sz w:val="14"/>
        <w:szCs w:val="14"/>
      </w:rPr>
    </w:pPr>
    <w:r>
      <w:rPr>
        <w:sz w:val="14"/>
        <w:szCs w:val="14"/>
        <w:b/>
        <w:bCs/>
        <w:spacing w:val="-4"/>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75"/>
      <w:spacing w:line="170" w:lineRule="auto"/>
      <w:rPr>
        <w:sz w:val="15"/>
        <w:szCs w:val="15"/>
      </w:rPr>
    </w:pPr>
    <w:r>
      <w:rPr>
        <w:sz w:val="15"/>
        <w:szCs w:val="15"/>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55"/>
      <w:spacing w:line="169" w:lineRule="auto"/>
      <w:rPr>
        <w:sz w:val="14"/>
        <w:szCs w:val="14"/>
      </w:rPr>
    </w:pPr>
    <w:r>
      <w:rPr>
        <w:sz w:val="14"/>
        <w:szCs w:val="14"/>
        <w:spacing w:val="-3"/>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405"/>
      <w:spacing w:line="170" w:lineRule="auto"/>
      <w:rPr>
        <w:sz w:val="14"/>
        <w:szCs w:val="14"/>
      </w:rPr>
    </w:pPr>
    <w:r>
      <w:rPr>
        <w:sz w:val="14"/>
        <w:szCs w:val="14"/>
        <w:spacing w:val="-3"/>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985"/>
      <w:spacing w:line="169" w:lineRule="auto"/>
      <w:rPr>
        <w:sz w:val="14"/>
        <w:szCs w:val="14"/>
      </w:rPr>
    </w:pPr>
    <w:r>
      <w:rPr>
        <w:sz w:val="14"/>
        <w:szCs w:val="14"/>
        <w:spacing w:val="-3"/>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987"/>
      <w:spacing w:line="169" w:lineRule="auto"/>
      <w:rPr>
        <w:sz w:val="14"/>
        <w:szCs w:val="14"/>
      </w:rPr>
    </w:pPr>
    <w:r>
      <w:rPr>
        <w:sz w:val="14"/>
        <w:szCs w:val="14"/>
        <w:b/>
        <w:bCs/>
        <w:spacing w:val="-4"/>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405"/>
      <w:spacing w:line="169" w:lineRule="auto"/>
      <w:rPr>
        <w:sz w:val="14"/>
        <w:szCs w:val="14"/>
      </w:rPr>
    </w:pPr>
    <w:r>
      <w:rPr>
        <w:sz w:val="14"/>
        <w:szCs w:val="14"/>
        <w:spacing w:val="-3"/>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405"/>
      <w:spacing w:line="169" w:lineRule="auto"/>
      <w:rPr>
        <w:sz w:val="14"/>
        <w:szCs w:val="14"/>
      </w:rPr>
    </w:pPr>
    <w:r>
      <w:rPr>
        <w:sz w:val="14"/>
        <w:szCs w:val="14"/>
        <w:spacing w:val="-3"/>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405"/>
      <w:spacing w:line="169" w:lineRule="auto"/>
      <w:rPr>
        <w:sz w:val="14"/>
        <w:szCs w:val="14"/>
      </w:rPr>
    </w:pPr>
    <w:r>
      <w:rPr>
        <w:sz w:val="14"/>
        <w:szCs w:val="14"/>
        <w:spacing w:val="-3"/>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985"/>
      <w:spacing w:line="169" w:lineRule="auto"/>
      <w:rPr>
        <w:sz w:val="14"/>
        <w:szCs w:val="14"/>
      </w:rPr>
    </w:pPr>
    <w:r>
      <w:rPr>
        <w:sz w:val="14"/>
        <w:szCs w:val="14"/>
        <w:spacing w:val="-3"/>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55"/>
      <w:spacing w:line="170" w:lineRule="auto"/>
      <w:rPr>
        <w:sz w:val="15"/>
        <w:szCs w:val="15"/>
      </w:rPr>
    </w:pPr>
    <w:r>
      <w:rPr>
        <w:sz w:val="15"/>
        <w:szCs w:val="15"/>
        <w:spacing w:val="-3"/>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55"/>
      <w:spacing w:line="170" w:lineRule="auto"/>
      <w:rPr>
        <w:sz w:val="15"/>
        <w:szCs w:val="15"/>
      </w:rPr>
    </w:pPr>
    <w:r>
      <w:rPr>
        <w:sz w:val="15"/>
        <w:szCs w:val="15"/>
        <w:spacing w:val="-3"/>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85"/>
      <w:spacing w:line="169" w:lineRule="auto"/>
      <w:rPr>
        <w:sz w:val="14"/>
        <w:szCs w:val="14"/>
      </w:rPr>
    </w:pPr>
    <w:r>
      <w:rPr>
        <w:sz w:val="14"/>
        <w:szCs w:val="14"/>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985"/>
      <w:spacing w:line="169" w:lineRule="auto"/>
      <w:rPr>
        <w:sz w:val="14"/>
        <w:szCs w:val="14"/>
      </w:rPr>
    </w:pPr>
    <w:r>
      <w:rPr>
        <w:sz w:val="14"/>
        <w:szCs w:val="14"/>
        <w:spacing w:val="-2"/>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415"/>
      <w:spacing w:line="170" w:lineRule="auto"/>
      <w:rPr>
        <w:sz w:val="14"/>
        <w:szCs w:val="14"/>
      </w:rPr>
    </w:pPr>
    <w:r>
      <w:rPr>
        <w:sz w:val="14"/>
        <w:szCs w:val="14"/>
        <w:spacing w:val="-2"/>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425"/>
      <w:spacing w:line="170" w:lineRule="auto"/>
      <w:rPr>
        <w:sz w:val="15"/>
        <w:szCs w:val="15"/>
      </w:rPr>
    </w:pPr>
    <w:r>
      <w:rPr>
        <w:sz w:val="15"/>
        <w:szCs w:val="15"/>
        <w:spacing w:val="-2"/>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95"/>
      <w:spacing w:line="170" w:lineRule="auto"/>
      <w:rPr>
        <w:sz w:val="15"/>
        <w:szCs w:val="15"/>
      </w:rPr>
    </w:pPr>
    <w:r>
      <w:rPr>
        <w:sz w:val="15"/>
        <w:szCs w:val="15"/>
        <w:spacing w:val="-2"/>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415"/>
      <w:spacing w:line="169" w:lineRule="auto"/>
      <w:rPr>
        <w:sz w:val="14"/>
        <w:szCs w:val="14"/>
      </w:rPr>
    </w:pPr>
    <w:r>
      <w:rPr>
        <w:sz w:val="14"/>
        <w:szCs w:val="14"/>
        <w:spacing w:val="-2"/>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974"/>
      <w:spacing w:line="169" w:lineRule="auto"/>
      <w:rPr>
        <w:sz w:val="14"/>
        <w:szCs w:val="14"/>
      </w:rPr>
    </w:pPr>
    <w:r>
      <w:rPr>
        <w:sz w:val="14"/>
        <w:szCs w:val="14"/>
        <w:spacing w:val="-2"/>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14"/>
      <w:spacing w:line="169" w:lineRule="auto"/>
      <w:rPr>
        <w:sz w:val="14"/>
        <w:szCs w:val="14"/>
      </w:rPr>
    </w:pPr>
    <w:r>
      <w:rPr>
        <w:sz w:val="14"/>
        <w:szCs w:val="14"/>
        <w:spacing w:val="-2"/>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39"/>
      <w:spacing w:line="170" w:lineRule="auto"/>
      <w:rPr>
        <w:sz w:val="15"/>
        <w:szCs w:val="15"/>
      </w:rPr>
    </w:pPr>
    <w:r>
      <w:rPr>
        <w:sz w:val="15"/>
        <w:szCs w:val="15"/>
        <w:spacing w:val="-2"/>
      </w:rPr>
      <w:t>47</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14"/>
      <w:spacing w:line="169" w:lineRule="auto"/>
      <w:rPr>
        <w:sz w:val="14"/>
        <w:szCs w:val="14"/>
      </w:rPr>
    </w:pPr>
    <w:r>
      <w:rPr>
        <w:sz w:val="14"/>
        <w:szCs w:val="14"/>
        <w:spacing w:val="-2"/>
      </w:rPr>
      <w:t>48</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985"/>
      <w:spacing w:line="169" w:lineRule="auto"/>
      <w:rPr>
        <w:sz w:val="14"/>
        <w:szCs w:val="14"/>
      </w:rPr>
    </w:pPr>
    <w:r>
      <w:rPr>
        <w:sz w:val="14"/>
        <w:szCs w:val="14"/>
        <w:spacing w:val="-2"/>
      </w:rPr>
      <w:t>49</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95"/>
      <w:spacing w:line="169" w:lineRule="auto"/>
      <w:rPr>
        <w:sz w:val="15"/>
        <w:szCs w:val="15"/>
      </w:rPr>
    </w:pPr>
    <w:r>
      <w:rPr>
        <w:sz w:val="15"/>
        <w:szCs w:val="15"/>
      </w:rPr>
      <w:t>5</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415"/>
      <w:spacing w:line="169" w:lineRule="auto"/>
      <w:rPr>
        <w:sz w:val="14"/>
        <w:szCs w:val="14"/>
      </w:rPr>
    </w:pPr>
    <w:r>
      <w:rPr>
        <w:sz w:val="14"/>
        <w:szCs w:val="14"/>
        <w:spacing w:val="-3"/>
      </w:rPr>
      <w:t>50</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935"/>
      <w:spacing w:line="172" w:lineRule="auto"/>
      <w:rPr>
        <w:sz w:val="16"/>
        <w:szCs w:val="16"/>
      </w:rPr>
    </w:pPr>
    <w:r>
      <w:rPr>
        <w:sz w:val="16"/>
        <w:szCs w:val="16"/>
        <w:spacing w:val="-3"/>
      </w:rPr>
      <w:t>51</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039"/>
      <w:spacing w:line="169" w:lineRule="auto"/>
      <w:rPr>
        <w:sz w:val="14"/>
        <w:szCs w:val="14"/>
      </w:rPr>
    </w:pPr>
    <w:r>
      <w:rPr>
        <w:sz w:val="14"/>
        <w:szCs w:val="14"/>
        <w:spacing w:val="-3"/>
      </w:rPr>
      <w:t>52</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985"/>
      <w:spacing w:line="169" w:lineRule="auto"/>
      <w:rPr>
        <w:sz w:val="14"/>
        <w:szCs w:val="14"/>
      </w:rPr>
    </w:pPr>
    <w:r>
      <w:rPr>
        <w:sz w:val="14"/>
        <w:szCs w:val="14"/>
        <w:spacing w:val="-3"/>
      </w:rPr>
      <w:t>53</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994"/>
      <w:spacing w:line="169" w:lineRule="auto"/>
      <w:rPr>
        <w:sz w:val="14"/>
        <w:szCs w:val="14"/>
      </w:rPr>
    </w:pPr>
    <w:r>
      <w:rPr>
        <w:sz w:val="14"/>
        <w:szCs w:val="14"/>
        <w:spacing w:val="-3"/>
      </w:rPr>
      <w:t>54</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994"/>
      <w:spacing w:line="168" w:lineRule="auto"/>
      <w:rPr>
        <w:sz w:val="14"/>
        <w:szCs w:val="14"/>
      </w:rPr>
    </w:pPr>
    <w:r>
      <w:rPr>
        <w:sz w:val="14"/>
        <w:szCs w:val="14"/>
        <w:spacing w:val="-3"/>
      </w:rPr>
      <w:t>55</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994"/>
      <w:spacing w:line="169" w:lineRule="auto"/>
      <w:rPr>
        <w:sz w:val="14"/>
        <w:szCs w:val="14"/>
      </w:rPr>
    </w:pPr>
    <w:r>
      <w:rPr>
        <w:sz w:val="14"/>
        <w:szCs w:val="14"/>
        <w:spacing w:val="-3"/>
      </w:rPr>
      <w:t>56</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994"/>
      <w:spacing w:line="168" w:lineRule="auto"/>
      <w:rPr>
        <w:sz w:val="14"/>
        <w:szCs w:val="14"/>
      </w:rPr>
    </w:pPr>
    <w:r>
      <w:rPr>
        <w:sz w:val="14"/>
        <w:szCs w:val="14"/>
        <w:spacing w:val="-3"/>
      </w:rPr>
      <w:t>57</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005"/>
      <w:spacing w:line="169" w:lineRule="auto"/>
      <w:rPr>
        <w:sz w:val="14"/>
        <w:szCs w:val="14"/>
      </w:rPr>
    </w:pPr>
    <w:r>
      <w:rPr>
        <w:sz w:val="14"/>
        <w:szCs w:val="14"/>
        <w:spacing w:val="-3"/>
      </w:rPr>
      <w:t>58</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994"/>
      <w:spacing w:line="169" w:lineRule="auto"/>
      <w:rPr>
        <w:sz w:val="14"/>
        <w:szCs w:val="14"/>
      </w:rPr>
    </w:pPr>
    <w:r>
      <w:rPr>
        <w:sz w:val="14"/>
        <w:szCs w:val="14"/>
        <w:spacing w:val="-3"/>
      </w:rPr>
      <w:t>59</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95"/>
      <w:spacing w:line="169" w:lineRule="auto"/>
      <w:rPr>
        <w:sz w:val="14"/>
        <w:szCs w:val="14"/>
      </w:rPr>
    </w:pPr>
    <w:r>
      <w:rPr>
        <w:sz w:val="14"/>
        <w:szCs w:val="14"/>
      </w:rPr>
      <w:t>6</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974"/>
      <w:spacing w:line="169" w:lineRule="auto"/>
      <w:rPr>
        <w:sz w:val="14"/>
        <w:szCs w:val="14"/>
      </w:rPr>
    </w:pPr>
    <w:r>
      <w:rPr>
        <w:sz w:val="14"/>
        <w:szCs w:val="14"/>
        <w:spacing w:val="-2"/>
      </w:rPr>
      <w:t>60</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985"/>
      <w:spacing w:line="170" w:lineRule="auto"/>
      <w:rPr>
        <w:sz w:val="14"/>
        <w:szCs w:val="14"/>
      </w:rPr>
    </w:pPr>
    <w:r>
      <w:rPr>
        <w:sz w:val="14"/>
        <w:szCs w:val="14"/>
        <w:spacing w:val="-2"/>
      </w:rPr>
      <w:t>61</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974"/>
      <w:spacing w:line="169" w:lineRule="auto"/>
      <w:rPr>
        <w:sz w:val="14"/>
        <w:szCs w:val="14"/>
      </w:rPr>
    </w:pPr>
    <w:r>
      <w:rPr>
        <w:sz w:val="14"/>
        <w:szCs w:val="14"/>
        <w:spacing w:val="-2"/>
      </w:rPr>
      <w:t>62</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45"/>
      <w:spacing w:line="169" w:lineRule="auto"/>
      <w:rPr>
        <w:sz w:val="14"/>
        <w:szCs w:val="14"/>
      </w:rPr>
    </w:pPr>
    <w:r>
      <w:rPr>
        <w:sz w:val="14"/>
        <w:szCs w:val="14"/>
        <w:spacing w:val="-2"/>
      </w:rPr>
      <w:t>63</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529"/>
      <w:spacing w:line="169" w:lineRule="auto"/>
      <w:rPr>
        <w:sz w:val="14"/>
        <w:szCs w:val="14"/>
      </w:rPr>
    </w:pPr>
    <w:r>
      <w:rPr>
        <w:sz w:val="14"/>
        <w:szCs w:val="14"/>
        <w:spacing w:val="-2"/>
      </w:rPr>
      <w:t>64</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95"/>
      <w:spacing w:line="169" w:lineRule="auto"/>
      <w:rPr>
        <w:sz w:val="14"/>
        <w:szCs w:val="14"/>
      </w:rPr>
    </w:pPr>
    <w:r>
      <w:rPr>
        <w:sz w:val="14"/>
        <w:szCs w:val="14"/>
        <w:spacing w:val="-2"/>
      </w:rPr>
      <w:t>65</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425"/>
      <w:spacing w:line="169" w:lineRule="auto"/>
      <w:rPr>
        <w:sz w:val="14"/>
        <w:szCs w:val="14"/>
      </w:rPr>
    </w:pPr>
    <w:r>
      <w:rPr>
        <w:sz w:val="14"/>
        <w:szCs w:val="14"/>
        <w:spacing w:val="-2"/>
      </w:rPr>
      <w:t>66</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005"/>
      <w:spacing w:line="169" w:lineRule="auto"/>
      <w:rPr>
        <w:sz w:val="14"/>
        <w:szCs w:val="14"/>
      </w:rPr>
    </w:pPr>
    <w:r>
      <w:rPr>
        <w:sz w:val="14"/>
        <w:szCs w:val="14"/>
        <w:spacing w:val="-2"/>
      </w:rPr>
      <w:t>67</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985"/>
      <w:spacing w:line="169" w:lineRule="auto"/>
      <w:rPr>
        <w:sz w:val="14"/>
        <w:szCs w:val="14"/>
      </w:rPr>
    </w:pPr>
    <w:r>
      <w:rPr>
        <w:sz w:val="14"/>
        <w:szCs w:val="14"/>
        <w:spacing w:val="-2"/>
      </w:rPr>
      <w:t>68</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976"/>
      <w:spacing w:line="169" w:lineRule="auto"/>
      <w:rPr>
        <w:sz w:val="14"/>
        <w:szCs w:val="14"/>
      </w:rPr>
    </w:pPr>
    <w:r>
      <w:rPr>
        <w:sz w:val="14"/>
        <w:szCs w:val="14"/>
        <w:b/>
        <w:bCs/>
        <w:spacing w:val="-4"/>
      </w:rPr>
      <w:t>69</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75"/>
      <w:spacing w:line="168" w:lineRule="auto"/>
      <w:rPr>
        <w:sz w:val="14"/>
        <w:szCs w:val="14"/>
      </w:rPr>
    </w:pPr>
    <w:r>
      <w:rPr>
        <w:sz w:val="14"/>
        <w:szCs w:val="14"/>
      </w:rPr>
      <w:t>7</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15"/>
      <w:spacing w:line="169" w:lineRule="auto"/>
      <w:rPr>
        <w:sz w:val="14"/>
        <w:szCs w:val="14"/>
      </w:rPr>
    </w:pPr>
    <w:r>
      <w:rPr>
        <w:sz w:val="14"/>
        <w:szCs w:val="14"/>
        <w:spacing w:val="-3"/>
      </w:rPr>
      <w:t>70</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25"/>
      <w:spacing w:line="170" w:lineRule="auto"/>
      <w:rPr>
        <w:sz w:val="14"/>
        <w:szCs w:val="14"/>
      </w:rPr>
    </w:pPr>
    <w:r>
      <w:rPr>
        <w:sz w:val="14"/>
        <w:szCs w:val="14"/>
        <w:spacing w:val="-3"/>
      </w:rPr>
      <w:t>71</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35"/>
      <w:spacing w:line="169" w:lineRule="auto"/>
      <w:rPr>
        <w:sz w:val="14"/>
        <w:szCs w:val="14"/>
      </w:rPr>
    </w:pPr>
    <w:r>
      <w:rPr>
        <w:sz w:val="14"/>
        <w:szCs w:val="14"/>
        <w:spacing w:val="-3"/>
      </w:rPr>
      <w:t>72</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25"/>
      <w:spacing w:line="169" w:lineRule="auto"/>
      <w:rPr>
        <w:sz w:val="14"/>
        <w:szCs w:val="14"/>
      </w:rPr>
    </w:pPr>
    <w:r>
      <w:rPr>
        <w:sz w:val="14"/>
        <w:szCs w:val="14"/>
        <w:spacing w:val="-3"/>
      </w:rPr>
      <w:t>73</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15"/>
      <w:spacing w:line="169" w:lineRule="auto"/>
      <w:rPr>
        <w:sz w:val="14"/>
        <w:szCs w:val="14"/>
      </w:rPr>
    </w:pPr>
    <w:r>
      <w:rPr>
        <w:sz w:val="14"/>
        <w:szCs w:val="14"/>
        <w:spacing w:val="-3"/>
      </w:rPr>
      <w:t>74</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15"/>
      <w:spacing w:line="168" w:lineRule="auto"/>
      <w:rPr>
        <w:sz w:val="14"/>
        <w:szCs w:val="14"/>
      </w:rPr>
    </w:pPr>
    <w:r>
      <w:rPr>
        <w:sz w:val="14"/>
        <w:szCs w:val="14"/>
        <w:spacing w:val="-3"/>
      </w:rPr>
      <w:t>75</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40"/>
      <w:spacing w:line="169" w:lineRule="auto"/>
      <w:rPr>
        <w:sz w:val="14"/>
        <w:szCs w:val="14"/>
      </w:rPr>
    </w:pPr>
    <w:r>
      <w:rPr>
        <w:sz w:val="14"/>
        <w:szCs w:val="14"/>
        <w:spacing w:val="-3"/>
      </w:rPr>
      <w:t>76</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415"/>
      <w:spacing w:line="168" w:lineRule="auto"/>
      <w:rPr>
        <w:sz w:val="14"/>
        <w:szCs w:val="14"/>
      </w:rPr>
    </w:pPr>
    <w:r>
      <w:rPr>
        <w:sz w:val="14"/>
        <w:szCs w:val="14"/>
        <w:spacing w:val="-3"/>
      </w:rPr>
      <w:t>77</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415"/>
      <w:spacing w:line="169" w:lineRule="auto"/>
      <w:rPr>
        <w:sz w:val="14"/>
        <w:szCs w:val="14"/>
      </w:rPr>
    </w:pPr>
    <w:r>
      <w:rPr>
        <w:sz w:val="14"/>
        <w:szCs w:val="14"/>
        <w:spacing w:val="-3"/>
      </w:rPr>
      <w:t>78</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415"/>
      <w:spacing w:line="169" w:lineRule="auto"/>
      <w:rPr>
        <w:sz w:val="14"/>
        <w:szCs w:val="14"/>
      </w:rPr>
    </w:pPr>
    <w:r>
      <w:rPr>
        <w:sz w:val="14"/>
        <w:szCs w:val="14"/>
        <w:spacing w:val="-3"/>
      </w:rPr>
      <w:t>79</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85"/>
      <w:spacing w:line="169" w:lineRule="auto"/>
      <w:rPr>
        <w:sz w:val="14"/>
        <w:szCs w:val="14"/>
      </w:rPr>
    </w:pPr>
    <w:r>
      <w:rPr>
        <w:sz w:val="14"/>
        <w:szCs w:val="14"/>
      </w:rPr>
      <w:t>8</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435"/>
      <w:spacing w:line="169" w:lineRule="auto"/>
      <w:rPr>
        <w:sz w:val="14"/>
        <w:szCs w:val="14"/>
      </w:rPr>
    </w:pPr>
    <w:r>
      <w:rPr>
        <w:sz w:val="14"/>
        <w:szCs w:val="14"/>
        <w:spacing w:val="-2"/>
      </w:rPr>
      <w:t>80</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405"/>
      <w:spacing w:line="170" w:lineRule="auto"/>
      <w:rPr>
        <w:sz w:val="14"/>
        <w:szCs w:val="14"/>
      </w:rPr>
    </w:pPr>
    <w:r>
      <w:rPr>
        <w:sz w:val="14"/>
        <w:szCs w:val="14"/>
        <w:spacing w:val="-2"/>
      </w:rPr>
      <w:t>81</w:t>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05"/>
      <w:spacing w:line="169" w:lineRule="auto"/>
      <w:rPr>
        <w:sz w:val="14"/>
        <w:szCs w:val="14"/>
      </w:rPr>
    </w:pPr>
    <w:r>
      <w:rPr>
        <w:sz w:val="14"/>
        <w:szCs w:val="14"/>
        <w:spacing w:val="-2"/>
      </w:rPr>
      <w:t>82</w:t>
    </w:r>
  </w:p>
</w:ftr>
</file>

<file path=word/footer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30"/>
      <w:spacing w:line="169" w:lineRule="auto"/>
      <w:rPr>
        <w:sz w:val="14"/>
        <w:szCs w:val="14"/>
      </w:rPr>
    </w:pPr>
    <w:r>
      <w:rPr>
        <w:sz w:val="14"/>
        <w:szCs w:val="14"/>
        <w:spacing w:val="-2"/>
      </w:rPr>
      <w:t>83</w:t>
    </w:r>
  </w:p>
</w:ftr>
</file>

<file path=word/footer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25"/>
      <w:spacing w:line="169" w:lineRule="auto"/>
      <w:rPr>
        <w:sz w:val="14"/>
        <w:szCs w:val="14"/>
      </w:rPr>
    </w:pPr>
    <w:r>
      <w:rPr>
        <w:sz w:val="14"/>
        <w:szCs w:val="14"/>
        <w:spacing w:val="-2"/>
      </w:rPr>
      <w:t>84</w:t>
    </w:r>
  </w:p>
</w:ftr>
</file>

<file path=word/footer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70"/>
      <w:spacing w:line="169" w:lineRule="auto"/>
      <w:rPr>
        <w:sz w:val="14"/>
        <w:szCs w:val="14"/>
      </w:rPr>
    </w:pPr>
    <w:r>
      <w:rPr>
        <w:sz w:val="14"/>
        <w:szCs w:val="14"/>
        <w:spacing w:val="-2"/>
      </w:rPr>
      <w:t>85</w:t>
    </w:r>
  </w:p>
</w:ftr>
</file>

<file path=word/footer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15"/>
      <w:spacing w:line="169" w:lineRule="auto"/>
      <w:rPr>
        <w:sz w:val="14"/>
        <w:szCs w:val="14"/>
      </w:rPr>
    </w:pPr>
    <w:r>
      <w:rPr>
        <w:sz w:val="14"/>
        <w:szCs w:val="14"/>
        <w:spacing w:val="-2"/>
      </w:rPr>
      <w:t>86</w:t>
    </w:r>
  </w:p>
</w:ftr>
</file>

<file path=word/footer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05"/>
      <w:spacing w:line="169" w:lineRule="auto"/>
      <w:rPr>
        <w:sz w:val="14"/>
        <w:szCs w:val="14"/>
      </w:rPr>
    </w:pPr>
    <w:r>
      <w:rPr>
        <w:sz w:val="14"/>
        <w:szCs w:val="14"/>
        <w:spacing w:val="-2"/>
      </w:rPr>
      <w:t>87</w:t>
    </w:r>
  </w:p>
</w:ftr>
</file>

<file path=word/footer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417"/>
      <w:spacing w:line="169" w:lineRule="auto"/>
      <w:rPr>
        <w:sz w:val="14"/>
        <w:szCs w:val="14"/>
      </w:rPr>
    </w:pPr>
    <w:r>
      <w:rPr>
        <w:sz w:val="14"/>
        <w:szCs w:val="14"/>
        <w:b/>
        <w:bCs/>
        <w:spacing w:val="-3"/>
      </w:rPr>
      <w:t>88</w:t>
    </w:r>
  </w:p>
</w:ftr>
</file>

<file path=word/footer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046"/>
      <w:spacing w:line="169" w:lineRule="auto"/>
      <w:rPr>
        <w:sz w:val="14"/>
        <w:szCs w:val="14"/>
      </w:rPr>
    </w:pPr>
    <w:r>
      <w:rPr>
        <w:sz w:val="14"/>
        <w:szCs w:val="14"/>
        <w:b/>
        <w:bCs/>
        <w:spacing w:val="-3"/>
      </w:rPr>
      <w:t>89</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420"/>
      <w:spacing w:line="169" w:lineRule="auto"/>
      <w:rPr>
        <w:sz w:val="14"/>
        <w:szCs w:val="14"/>
      </w:rPr>
    </w:pPr>
    <w:r>
      <w:rPr>
        <w:sz w:val="14"/>
        <w:szCs w:val="14"/>
      </w:rPr>
      <w:t>9</w:t>
    </w:r>
  </w:p>
</w:ftr>
</file>

<file path=word/footer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407"/>
      <w:spacing w:line="169" w:lineRule="auto"/>
      <w:rPr>
        <w:sz w:val="14"/>
        <w:szCs w:val="14"/>
      </w:rPr>
    </w:pPr>
    <w:r>
      <w:rPr>
        <w:sz w:val="14"/>
        <w:szCs w:val="14"/>
        <w:b/>
        <w:bCs/>
        <w:spacing w:val="-3"/>
      </w:rPr>
      <w:t>90</w:t>
    </w:r>
  </w:p>
</w:ftr>
</file>

<file path=word/footer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155"/>
      <w:spacing w:line="170" w:lineRule="auto"/>
      <w:rPr>
        <w:sz w:val="14"/>
        <w:szCs w:val="14"/>
      </w:rPr>
    </w:pPr>
    <w:r>
      <w:rPr>
        <w:sz w:val="14"/>
        <w:szCs w:val="14"/>
        <w:spacing w:val="-2"/>
      </w:rPr>
      <w:t>91</w:t>
    </w:r>
  </w:p>
</w:ftr>
</file>

<file path=word/footer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976"/>
      <w:spacing w:line="169" w:lineRule="auto"/>
      <w:rPr>
        <w:sz w:val="14"/>
        <w:szCs w:val="14"/>
      </w:rPr>
    </w:pPr>
    <w:r>
      <w:rPr>
        <w:sz w:val="14"/>
        <w:szCs w:val="14"/>
        <w:b/>
        <w:bCs/>
        <w:spacing w:val="-3"/>
      </w:rPr>
      <w:t>92</w:t>
    </w:r>
  </w:p>
</w:ftr>
</file>

<file path=word/footer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474"/>
      <w:spacing w:line="169" w:lineRule="auto"/>
      <w:rPr>
        <w:sz w:val="14"/>
        <w:szCs w:val="14"/>
      </w:rPr>
    </w:pPr>
    <w:r>
      <w:rPr>
        <w:sz w:val="14"/>
        <w:szCs w:val="14"/>
        <w:spacing w:val="-2"/>
      </w:rPr>
      <w:t>93</w:t>
    </w:r>
  </w:p>
</w:ftr>
</file>

<file path=word/footer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494"/>
      <w:spacing w:line="169" w:lineRule="auto"/>
      <w:rPr>
        <w:sz w:val="14"/>
        <w:szCs w:val="14"/>
      </w:rPr>
    </w:pPr>
    <w:r>
      <w:rPr>
        <w:sz w:val="14"/>
        <w:szCs w:val="14"/>
        <w:spacing w:val="-2"/>
      </w:rPr>
      <w:t>94</w:t>
    </w:r>
  </w:p>
</w:ftr>
</file>

<file path=word/footer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484"/>
      <w:spacing w:line="169" w:lineRule="auto"/>
      <w:rPr>
        <w:sz w:val="14"/>
        <w:szCs w:val="14"/>
      </w:rPr>
    </w:pPr>
    <w:r>
      <w:rPr>
        <w:sz w:val="14"/>
        <w:szCs w:val="14"/>
        <w:spacing w:val="-2"/>
      </w:rPr>
      <w:t>95</w:t>
    </w:r>
  </w:p>
</w:ftr>
</file>

<file path=word/footer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894"/>
      <w:spacing w:line="169" w:lineRule="auto"/>
      <w:rPr>
        <w:sz w:val="14"/>
        <w:szCs w:val="14"/>
      </w:rPr>
    </w:pPr>
    <w:r>
      <w:rPr>
        <w:sz w:val="14"/>
        <w:szCs w:val="14"/>
        <w:spacing w:val="-2"/>
      </w:rPr>
      <w:t>96</w:t>
    </w:r>
  </w:p>
</w:ftr>
</file>

<file path=word/footer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569"/>
      <w:spacing w:line="169" w:lineRule="auto"/>
      <w:rPr>
        <w:sz w:val="14"/>
        <w:szCs w:val="14"/>
      </w:rPr>
    </w:pPr>
    <w:r>
      <w:rPr>
        <w:sz w:val="14"/>
        <w:szCs w:val="14"/>
        <w:spacing w:val="-2"/>
      </w:rPr>
      <w:t>97</w:t>
    </w:r>
  </w:p>
</w:ftr>
</file>

<file path=word/footer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976"/>
      <w:spacing w:line="169" w:lineRule="auto"/>
      <w:rPr>
        <w:sz w:val="14"/>
        <w:szCs w:val="14"/>
      </w:rPr>
    </w:pPr>
    <w:r>
      <w:rPr>
        <w:sz w:val="14"/>
        <w:szCs w:val="14"/>
        <w:b/>
        <w:bCs/>
        <w:spacing w:val="-3"/>
      </w:rPr>
      <w:t>98</w:t>
    </w:r>
  </w:p>
</w:ftr>
</file>

<file path=word/footer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45"/>
      <w:spacing w:line="169" w:lineRule="auto"/>
      <w:rPr>
        <w:sz w:val="14"/>
        <w:szCs w:val="14"/>
      </w:rPr>
    </w:pPr>
    <w:r>
      <w:rPr>
        <w:sz w:val="14"/>
        <w:szCs w:val="14"/>
        <w:spacing w:val="-2"/>
      </w:rPr>
      <w:t>99</w:t>
    </w:r>
  </w:p>
</w:ft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34"/>
      <w:szCs w:val="34"/>
      <w:lang w:val="en-US" w:eastAsia="en-US" w:bidi="ar-SA"/>
    </w:rPr>
  </w:style>
  <w:style w:type="paragraph" w:styleId="TableText">
    <w:name w:val="Table Text"/>
    <w:basedOn w:val="Normal"/>
    <w:semiHidden/>
    <w:qFormat/>
    <w:pPr/>
    <w:rPr>
      <w:rFonts w:ascii="SimSun" w:hAnsi="SimSun" w:eastAsia="SimSun" w:cs="SimSun"/>
      <w:sz w:val="23"/>
      <w:szCs w:val="23"/>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89.xml"/><Relationship Id="rId98" Type="http://schemas.openxmlformats.org/officeDocument/2006/relationships/footer" Target="footer88.xml"/><Relationship Id="rId97" Type="http://schemas.openxmlformats.org/officeDocument/2006/relationships/footer" Target="footer87.xml"/><Relationship Id="rId96" Type="http://schemas.openxmlformats.org/officeDocument/2006/relationships/footer" Target="footer86.xml"/><Relationship Id="rId95" Type="http://schemas.openxmlformats.org/officeDocument/2006/relationships/footer" Target="footer85.xml"/><Relationship Id="rId94" Type="http://schemas.openxmlformats.org/officeDocument/2006/relationships/footer" Target="footer84.xml"/><Relationship Id="rId93" Type="http://schemas.openxmlformats.org/officeDocument/2006/relationships/footer" Target="footer83.xml"/><Relationship Id="rId92" Type="http://schemas.openxmlformats.org/officeDocument/2006/relationships/image" Target="media/image5.png"/><Relationship Id="rId91" Type="http://schemas.openxmlformats.org/officeDocument/2006/relationships/hyperlink" Target="5.2.3.3" TargetMode="External"/><Relationship Id="rId90" Type="http://schemas.openxmlformats.org/officeDocument/2006/relationships/hyperlink" Target="5.2.3.1" TargetMode="External"/><Relationship Id="rId9" Type="http://schemas.openxmlformats.org/officeDocument/2006/relationships/footer" Target="footer9.xml"/><Relationship Id="rId89" Type="http://schemas.openxmlformats.org/officeDocument/2006/relationships/footer" Target="footer82.xml"/><Relationship Id="rId88" Type="http://schemas.openxmlformats.org/officeDocument/2006/relationships/footer" Target="footer81.xml"/><Relationship Id="rId87" Type="http://schemas.openxmlformats.org/officeDocument/2006/relationships/footer" Target="footer80.xml"/><Relationship Id="rId86" Type="http://schemas.openxmlformats.org/officeDocument/2006/relationships/footer" Target="footer79.xml"/><Relationship Id="rId85" Type="http://schemas.openxmlformats.org/officeDocument/2006/relationships/image" Target="media/image4.png"/><Relationship Id="rId84" Type="http://schemas.openxmlformats.org/officeDocument/2006/relationships/footer" Target="footer78.xml"/><Relationship Id="rId83" Type="http://schemas.openxmlformats.org/officeDocument/2006/relationships/footer" Target="footer77.xml"/><Relationship Id="rId82" Type="http://schemas.openxmlformats.org/officeDocument/2006/relationships/footer" Target="footer76.xml"/><Relationship Id="rId81" Type="http://schemas.openxmlformats.org/officeDocument/2006/relationships/footer" Target="footer75.xml"/><Relationship Id="rId80" Type="http://schemas.openxmlformats.org/officeDocument/2006/relationships/footer" Target="footer74.xml"/><Relationship Id="rId8" Type="http://schemas.openxmlformats.org/officeDocument/2006/relationships/footer" Target="footer8.xml"/><Relationship Id="rId79" Type="http://schemas.openxmlformats.org/officeDocument/2006/relationships/footer" Target="footer73.xml"/><Relationship Id="rId78" Type="http://schemas.openxmlformats.org/officeDocument/2006/relationships/footer" Target="footer72.xml"/><Relationship Id="rId77" Type="http://schemas.openxmlformats.org/officeDocument/2006/relationships/footer" Target="footer71.xml"/><Relationship Id="rId76" Type="http://schemas.openxmlformats.org/officeDocument/2006/relationships/footer" Target="footer70.xml"/><Relationship Id="rId75" Type="http://schemas.openxmlformats.org/officeDocument/2006/relationships/footer" Target="footer69.xml"/><Relationship Id="rId74" Type="http://schemas.openxmlformats.org/officeDocument/2006/relationships/footer" Target="footer68.xml"/><Relationship Id="rId73" Type="http://schemas.openxmlformats.org/officeDocument/2006/relationships/footer" Target="footer67.xml"/><Relationship Id="rId72" Type="http://schemas.openxmlformats.org/officeDocument/2006/relationships/footer" Target="footer66.xml"/><Relationship Id="rId71" Type="http://schemas.openxmlformats.org/officeDocument/2006/relationships/footer" Target="footer65.xml"/><Relationship Id="rId70" Type="http://schemas.openxmlformats.org/officeDocument/2006/relationships/image" Target="media/image3.png"/><Relationship Id="rId7" Type="http://schemas.openxmlformats.org/officeDocument/2006/relationships/footer" Target="footer7.xml"/><Relationship Id="rId69" Type="http://schemas.openxmlformats.org/officeDocument/2006/relationships/footer" Target="footer64.xml"/><Relationship Id="rId68" Type="http://schemas.openxmlformats.org/officeDocument/2006/relationships/footer" Target="footer63.xml"/><Relationship Id="rId67" Type="http://schemas.openxmlformats.org/officeDocument/2006/relationships/footer" Target="footer62.xml"/><Relationship Id="rId66" Type="http://schemas.openxmlformats.org/officeDocument/2006/relationships/footer" Target="footer61.xml"/><Relationship Id="rId65" Type="http://schemas.openxmlformats.org/officeDocument/2006/relationships/footer" Target="footer60.xml"/><Relationship Id="rId64" Type="http://schemas.openxmlformats.org/officeDocument/2006/relationships/footer" Target="footer59.xml"/><Relationship Id="rId63" Type="http://schemas.openxmlformats.org/officeDocument/2006/relationships/footer" Target="footer58.xml"/><Relationship Id="rId62" Type="http://schemas.openxmlformats.org/officeDocument/2006/relationships/footer" Target="footer57.xml"/><Relationship Id="rId61" Type="http://schemas.openxmlformats.org/officeDocument/2006/relationships/footer" Target="footer56.xml"/><Relationship Id="rId60" Type="http://schemas.openxmlformats.org/officeDocument/2006/relationships/footer" Target="footer55.xml"/><Relationship Id="rId6" Type="http://schemas.openxmlformats.org/officeDocument/2006/relationships/footer" Target="footer6.xml"/><Relationship Id="rId59" Type="http://schemas.openxmlformats.org/officeDocument/2006/relationships/footer" Target="footer54.xml"/><Relationship Id="rId58" Type="http://schemas.openxmlformats.org/officeDocument/2006/relationships/footer" Target="footer53.xml"/><Relationship Id="rId57" Type="http://schemas.openxmlformats.org/officeDocument/2006/relationships/image" Target="media/image2.png"/><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hyperlink" Target="2.8.3.3" TargetMode="External"/><Relationship Id="rId53" Type="http://schemas.openxmlformats.org/officeDocument/2006/relationships/footer" Target="footer50.xml"/><Relationship Id="rId52" Type="http://schemas.openxmlformats.org/officeDocument/2006/relationships/footer" Target="footer49.xml"/><Relationship Id="rId51" Type="http://schemas.openxmlformats.org/officeDocument/2006/relationships/footer" Target="footer48.xml"/><Relationship Id="rId50" Type="http://schemas.openxmlformats.org/officeDocument/2006/relationships/image" Target="media/image1.jpeg"/><Relationship Id="rId5" Type="http://schemas.openxmlformats.org/officeDocument/2006/relationships/footer" Target="footer5.xml"/><Relationship Id="rId49" Type="http://schemas.openxmlformats.org/officeDocument/2006/relationships/footer" Target="footer47.xml"/><Relationship Id="rId48" Type="http://schemas.openxmlformats.org/officeDocument/2006/relationships/footer" Target="footer46.xml"/><Relationship Id="rId47" Type="http://schemas.openxmlformats.org/officeDocument/2006/relationships/footer" Target="footer45.xml"/><Relationship Id="rId46" Type="http://schemas.openxmlformats.org/officeDocument/2006/relationships/footer" Target="footer44.xml"/><Relationship Id="rId45" Type="http://schemas.openxmlformats.org/officeDocument/2006/relationships/footer" Target="footer43.xml"/><Relationship Id="rId44" Type="http://schemas.openxmlformats.org/officeDocument/2006/relationships/hyperlink" Target="2.8.3.2" TargetMode="External"/><Relationship Id="rId43" Type="http://schemas.openxmlformats.org/officeDocument/2006/relationships/footer" Target="footer42.xml"/><Relationship Id="rId42" Type="http://schemas.openxmlformats.org/officeDocument/2006/relationships/footer" Target="footer41.xml"/><Relationship Id="rId41" Type="http://schemas.openxmlformats.org/officeDocument/2006/relationships/footer" Target="footer40.xml"/><Relationship Id="rId40" Type="http://schemas.openxmlformats.org/officeDocument/2006/relationships/footer" Target="footer39.xml"/><Relationship Id="rId4" Type="http://schemas.openxmlformats.org/officeDocument/2006/relationships/footer" Target="footer4.xml"/><Relationship Id="rId39" Type="http://schemas.openxmlformats.org/officeDocument/2006/relationships/footer" Target="footer38.xml"/><Relationship Id="rId38" Type="http://schemas.openxmlformats.org/officeDocument/2006/relationships/footer" Target="footer37.xml"/><Relationship Id="rId37" Type="http://schemas.openxmlformats.org/officeDocument/2006/relationships/footer" Target="footer36.xml"/><Relationship Id="rId36" Type="http://schemas.openxmlformats.org/officeDocument/2006/relationships/footer" Target="footer35.xml"/><Relationship Id="rId35" Type="http://schemas.openxmlformats.org/officeDocument/2006/relationships/footer" Target="footer34.xml"/><Relationship Id="rId34" Type="http://schemas.openxmlformats.org/officeDocument/2006/relationships/footer" Target="footer33.xml"/><Relationship Id="rId33" Type="http://schemas.openxmlformats.org/officeDocument/2006/relationships/footer" Target="footer32.xml"/><Relationship Id="rId32" Type="http://schemas.openxmlformats.org/officeDocument/2006/relationships/footer" Target="footer31.xml"/><Relationship Id="rId31" Type="http://schemas.openxmlformats.org/officeDocument/2006/relationships/hyperlink" Target="2.8.3.1" TargetMode="External"/><Relationship Id="rId30" Type="http://schemas.openxmlformats.org/officeDocument/2006/relationships/footer" Target="footer30.xml"/><Relationship Id="rId3" Type="http://schemas.openxmlformats.org/officeDocument/2006/relationships/footer" Target="footer3.xml"/><Relationship Id="rId29" Type="http://schemas.openxmlformats.org/officeDocument/2006/relationships/footer" Target="footer29.xml"/><Relationship Id="rId28" Type="http://schemas.openxmlformats.org/officeDocument/2006/relationships/footer" Target="footer28.xml"/><Relationship Id="rId27" Type="http://schemas.openxmlformats.org/officeDocument/2006/relationships/footer" Target="footer27.xml"/><Relationship Id="rId26" Type="http://schemas.openxmlformats.org/officeDocument/2006/relationships/footer" Target="footer26.xml"/><Relationship Id="rId258" Type="http://schemas.openxmlformats.org/officeDocument/2006/relationships/fontTable" Target="fontTable.xml"/><Relationship Id="rId257" Type="http://schemas.openxmlformats.org/officeDocument/2006/relationships/styles" Target="styles.xml"/><Relationship Id="rId256" Type="http://schemas.openxmlformats.org/officeDocument/2006/relationships/settings" Target="settings.xml"/><Relationship Id="rId255" Type="http://schemas.openxmlformats.org/officeDocument/2006/relationships/footer" Target="footer195.xml"/><Relationship Id="rId254" Type="http://schemas.openxmlformats.org/officeDocument/2006/relationships/image" Target="media/image56.jpeg"/><Relationship Id="rId253" Type="http://schemas.openxmlformats.org/officeDocument/2006/relationships/image" Target="media/image55.jpeg"/><Relationship Id="rId252" Type="http://schemas.openxmlformats.org/officeDocument/2006/relationships/image" Target="media/image54.jpeg"/><Relationship Id="rId251" Type="http://schemas.openxmlformats.org/officeDocument/2006/relationships/footer" Target="footer194.xml"/><Relationship Id="rId250" Type="http://schemas.openxmlformats.org/officeDocument/2006/relationships/image" Target="media/image52.jpeg"/><Relationship Id="rId25" Type="http://schemas.openxmlformats.org/officeDocument/2006/relationships/footer" Target="footer25.xml"/><Relationship Id="rId249" Type="http://schemas.openxmlformats.org/officeDocument/2006/relationships/footer" Target="footer193.xml"/><Relationship Id="rId248" Type="http://schemas.openxmlformats.org/officeDocument/2006/relationships/image" Target="media/image51.jpeg"/><Relationship Id="rId247" Type="http://schemas.openxmlformats.org/officeDocument/2006/relationships/image" Target="media/image50.jpeg"/><Relationship Id="rId246" Type="http://schemas.openxmlformats.org/officeDocument/2006/relationships/image" Target="media/image49.jpeg"/><Relationship Id="rId245" Type="http://schemas.openxmlformats.org/officeDocument/2006/relationships/image" Target="media/image48.jpeg"/><Relationship Id="rId244" Type="http://schemas.openxmlformats.org/officeDocument/2006/relationships/image" Target="media/image47.jpeg"/><Relationship Id="rId243" Type="http://schemas.openxmlformats.org/officeDocument/2006/relationships/image" Target="media/image46.jpeg"/><Relationship Id="rId242" Type="http://schemas.openxmlformats.org/officeDocument/2006/relationships/image" Target="media/image45.jpeg"/><Relationship Id="rId241" Type="http://schemas.openxmlformats.org/officeDocument/2006/relationships/image" Target="media/image44.jpeg"/><Relationship Id="rId240" Type="http://schemas.openxmlformats.org/officeDocument/2006/relationships/image" Target="media/image43.jpeg"/><Relationship Id="rId24" Type="http://schemas.openxmlformats.org/officeDocument/2006/relationships/footer" Target="footer24.xml"/><Relationship Id="rId239" Type="http://schemas.openxmlformats.org/officeDocument/2006/relationships/image" Target="media/image42.jpeg"/><Relationship Id="rId238" Type="http://schemas.openxmlformats.org/officeDocument/2006/relationships/image" Target="media/image41.jpeg"/><Relationship Id="rId237" Type="http://schemas.openxmlformats.org/officeDocument/2006/relationships/image" Target="media/image40.jpeg"/><Relationship Id="rId236" Type="http://schemas.openxmlformats.org/officeDocument/2006/relationships/image" Target="media/image39.jpeg"/><Relationship Id="rId235" Type="http://schemas.openxmlformats.org/officeDocument/2006/relationships/footer" Target="footer192.xml"/><Relationship Id="rId234" Type="http://schemas.openxmlformats.org/officeDocument/2006/relationships/image" Target="media/image38.jpeg"/><Relationship Id="rId233" Type="http://schemas.openxmlformats.org/officeDocument/2006/relationships/image" Target="media/image37.jpeg"/><Relationship Id="rId232" Type="http://schemas.openxmlformats.org/officeDocument/2006/relationships/image" Target="media/image36.jpeg"/><Relationship Id="rId231" Type="http://schemas.openxmlformats.org/officeDocument/2006/relationships/image" Target="media/image35.jpeg"/><Relationship Id="rId230" Type="http://schemas.openxmlformats.org/officeDocument/2006/relationships/image" Target="media/image34.jpeg"/><Relationship Id="rId23" Type="http://schemas.openxmlformats.org/officeDocument/2006/relationships/footer" Target="footer23.xml"/><Relationship Id="rId229" Type="http://schemas.openxmlformats.org/officeDocument/2006/relationships/image" Target="media/image33.jpeg"/><Relationship Id="rId228" Type="http://schemas.openxmlformats.org/officeDocument/2006/relationships/footer" Target="footer191.xml"/><Relationship Id="rId227" Type="http://schemas.openxmlformats.org/officeDocument/2006/relationships/image" Target="media/image32.jpeg"/><Relationship Id="rId226" Type="http://schemas.openxmlformats.org/officeDocument/2006/relationships/footer" Target="footer190.xml"/><Relationship Id="rId225" Type="http://schemas.openxmlformats.org/officeDocument/2006/relationships/image" Target="media/image31.jpeg"/><Relationship Id="rId224" Type="http://schemas.openxmlformats.org/officeDocument/2006/relationships/image" Target="media/image30.jpeg"/><Relationship Id="rId223" Type="http://schemas.openxmlformats.org/officeDocument/2006/relationships/image" Target="media/image29.jpeg"/><Relationship Id="rId222" Type="http://schemas.openxmlformats.org/officeDocument/2006/relationships/image" Target="media/image28.jpeg"/><Relationship Id="rId221" Type="http://schemas.openxmlformats.org/officeDocument/2006/relationships/image" Target="media/image27.png"/><Relationship Id="rId220" Type="http://schemas.openxmlformats.org/officeDocument/2006/relationships/image" Target="media/image26.jpeg"/><Relationship Id="rId22" Type="http://schemas.openxmlformats.org/officeDocument/2006/relationships/footer" Target="footer22.xml"/><Relationship Id="rId219" Type="http://schemas.openxmlformats.org/officeDocument/2006/relationships/image" Target="media/image25.jpeg"/><Relationship Id="rId218" Type="http://schemas.openxmlformats.org/officeDocument/2006/relationships/image" Target="media/image24.jpeg"/><Relationship Id="rId217" Type="http://schemas.openxmlformats.org/officeDocument/2006/relationships/image" Target="media/image23.jpeg"/><Relationship Id="rId216" Type="http://schemas.openxmlformats.org/officeDocument/2006/relationships/image" Target="media/image22.jpeg"/><Relationship Id="rId215" Type="http://schemas.openxmlformats.org/officeDocument/2006/relationships/image" Target="media/image21.jpeg"/><Relationship Id="rId214" Type="http://schemas.openxmlformats.org/officeDocument/2006/relationships/image" Target="media/image20.jpeg"/><Relationship Id="rId213" Type="http://schemas.openxmlformats.org/officeDocument/2006/relationships/image" Target="media/image19.jpeg"/><Relationship Id="rId212" Type="http://schemas.openxmlformats.org/officeDocument/2006/relationships/image" Target="media/image18.jpeg"/><Relationship Id="rId211" Type="http://schemas.openxmlformats.org/officeDocument/2006/relationships/footer" Target="footer189.xml"/><Relationship Id="rId210" Type="http://schemas.openxmlformats.org/officeDocument/2006/relationships/footer" Target="footer188.xml"/><Relationship Id="rId21" Type="http://schemas.openxmlformats.org/officeDocument/2006/relationships/footer" Target="footer21.xml"/><Relationship Id="rId209" Type="http://schemas.openxmlformats.org/officeDocument/2006/relationships/footer" Target="footer187.xml"/><Relationship Id="rId208" Type="http://schemas.openxmlformats.org/officeDocument/2006/relationships/footer" Target="footer186.xml"/><Relationship Id="rId207" Type="http://schemas.openxmlformats.org/officeDocument/2006/relationships/footer" Target="footer185.xml"/><Relationship Id="rId206" Type="http://schemas.openxmlformats.org/officeDocument/2006/relationships/footer" Target="footer184.xml"/><Relationship Id="rId205" Type="http://schemas.openxmlformats.org/officeDocument/2006/relationships/footer" Target="footer183.xml"/><Relationship Id="rId204" Type="http://schemas.openxmlformats.org/officeDocument/2006/relationships/footer" Target="footer182.xml"/><Relationship Id="rId203" Type="http://schemas.openxmlformats.org/officeDocument/2006/relationships/footer" Target="footer181.xml"/><Relationship Id="rId202" Type="http://schemas.openxmlformats.org/officeDocument/2006/relationships/footer" Target="footer180.xml"/><Relationship Id="rId201" Type="http://schemas.openxmlformats.org/officeDocument/2006/relationships/image" Target="media/image16.png"/><Relationship Id="rId200" Type="http://schemas.openxmlformats.org/officeDocument/2006/relationships/footer" Target="footer179.xml"/><Relationship Id="rId20" Type="http://schemas.openxmlformats.org/officeDocument/2006/relationships/footer" Target="footer20.xml"/><Relationship Id="rId2" Type="http://schemas.openxmlformats.org/officeDocument/2006/relationships/footer" Target="footer2.xml"/><Relationship Id="rId199" Type="http://schemas.openxmlformats.org/officeDocument/2006/relationships/footer" Target="footer178.xml"/><Relationship Id="rId198" Type="http://schemas.openxmlformats.org/officeDocument/2006/relationships/footer" Target="footer177.xml"/><Relationship Id="rId197" Type="http://schemas.openxmlformats.org/officeDocument/2006/relationships/image" Target="media/image15.jpeg"/><Relationship Id="rId196" Type="http://schemas.openxmlformats.org/officeDocument/2006/relationships/footer" Target="footer176.xml"/><Relationship Id="rId195" Type="http://schemas.openxmlformats.org/officeDocument/2006/relationships/footer" Target="footer175.xml"/><Relationship Id="rId194" Type="http://schemas.openxmlformats.org/officeDocument/2006/relationships/footer" Target="footer174.xml"/><Relationship Id="rId193" Type="http://schemas.openxmlformats.org/officeDocument/2006/relationships/image" Target="media/image14.png"/><Relationship Id="rId192" Type="http://schemas.openxmlformats.org/officeDocument/2006/relationships/footer" Target="footer173.xml"/><Relationship Id="rId191" Type="http://schemas.openxmlformats.org/officeDocument/2006/relationships/footer" Target="footer172.xml"/><Relationship Id="rId190" Type="http://schemas.openxmlformats.org/officeDocument/2006/relationships/image" Target="media/image13.png"/><Relationship Id="rId19" Type="http://schemas.openxmlformats.org/officeDocument/2006/relationships/footer" Target="footer19.xml"/><Relationship Id="rId189" Type="http://schemas.openxmlformats.org/officeDocument/2006/relationships/footer" Target="footer171.xml"/><Relationship Id="rId188" Type="http://schemas.openxmlformats.org/officeDocument/2006/relationships/footer" Target="footer170.xml"/><Relationship Id="rId187" Type="http://schemas.openxmlformats.org/officeDocument/2006/relationships/image" Target="media/image12.jpeg"/><Relationship Id="rId186" Type="http://schemas.openxmlformats.org/officeDocument/2006/relationships/image" Target="media/image11.jpeg"/><Relationship Id="rId185" Type="http://schemas.openxmlformats.org/officeDocument/2006/relationships/footer" Target="footer169.xml"/><Relationship Id="rId184" Type="http://schemas.openxmlformats.org/officeDocument/2006/relationships/footer" Target="footer168.xml"/><Relationship Id="rId183" Type="http://schemas.openxmlformats.org/officeDocument/2006/relationships/footer" Target="footer167.xml"/><Relationship Id="rId182" Type="http://schemas.openxmlformats.org/officeDocument/2006/relationships/footer" Target="footer166.xml"/><Relationship Id="rId181" Type="http://schemas.openxmlformats.org/officeDocument/2006/relationships/footer" Target="footer165.xml"/><Relationship Id="rId180" Type="http://schemas.openxmlformats.org/officeDocument/2006/relationships/footer" Target="footer164.xml"/><Relationship Id="rId18" Type="http://schemas.openxmlformats.org/officeDocument/2006/relationships/footer" Target="footer18.xml"/><Relationship Id="rId179" Type="http://schemas.openxmlformats.org/officeDocument/2006/relationships/footer" Target="footer163.xml"/><Relationship Id="rId178" Type="http://schemas.openxmlformats.org/officeDocument/2006/relationships/footer" Target="footer162.xml"/><Relationship Id="rId177" Type="http://schemas.openxmlformats.org/officeDocument/2006/relationships/image" Target="media/image10.png"/><Relationship Id="rId176" Type="http://schemas.openxmlformats.org/officeDocument/2006/relationships/footer" Target="footer161.xml"/><Relationship Id="rId175" Type="http://schemas.openxmlformats.org/officeDocument/2006/relationships/footer" Target="footer160.xml"/><Relationship Id="rId174" Type="http://schemas.openxmlformats.org/officeDocument/2006/relationships/footer" Target="footer159.xml"/><Relationship Id="rId173" Type="http://schemas.openxmlformats.org/officeDocument/2006/relationships/footer" Target="footer158.xml"/><Relationship Id="rId172" Type="http://schemas.openxmlformats.org/officeDocument/2006/relationships/footer" Target="footer157.xml"/><Relationship Id="rId171" Type="http://schemas.openxmlformats.org/officeDocument/2006/relationships/footer" Target="footer156.xml"/><Relationship Id="rId170" Type="http://schemas.openxmlformats.org/officeDocument/2006/relationships/footer" Target="footer155.xml"/><Relationship Id="rId17" Type="http://schemas.openxmlformats.org/officeDocument/2006/relationships/footer" Target="footer17.xml"/><Relationship Id="rId169" Type="http://schemas.openxmlformats.org/officeDocument/2006/relationships/image" Target="media/image9.jpeg"/><Relationship Id="rId168" Type="http://schemas.openxmlformats.org/officeDocument/2006/relationships/footer" Target="footer154.xml"/><Relationship Id="rId167" Type="http://schemas.openxmlformats.org/officeDocument/2006/relationships/footer" Target="footer153.xml"/><Relationship Id="rId166" Type="http://schemas.openxmlformats.org/officeDocument/2006/relationships/footer" Target="footer152.xml"/><Relationship Id="rId165" Type="http://schemas.openxmlformats.org/officeDocument/2006/relationships/footer" Target="footer151.xml"/><Relationship Id="rId164" Type="http://schemas.openxmlformats.org/officeDocument/2006/relationships/footer" Target="footer150.xml"/><Relationship Id="rId163" Type="http://schemas.openxmlformats.org/officeDocument/2006/relationships/footer" Target="footer149.xml"/><Relationship Id="rId162" Type="http://schemas.openxmlformats.org/officeDocument/2006/relationships/footer" Target="footer148.xml"/><Relationship Id="rId161" Type="http://schemas.openxmlformats.org/officeDocument/2006/relationships/footer" Target="footer147.xml"/><Relationship Id="rId160" Type="http://schemas.openxmlformats.org/officeDocument/2006/relationships/footer" Target="footer146.xml"/><Relationship Id="rId16" Type="http://schemas.openxmlformats.org/officeDocument/2006/relationships/footer" Target="footer16.xml"/><Relationship Id="rId159" Type="http://schemas.openxmlformats.org/officeDocument/2006/relationships/footer" Target="footer145.xml"/><Relationship Id="rId158" Type="http://schemas.openxmlformats.org/officeDocument/2006/relationships/footer" Target="footer144.xml"/><Relationship Id="rId157" Type="http://schemas.openxmlformats.org/officeDocument/2006/relationships/footer" Target="footer143.xml"/><Relationship Id="rId156" Type="http://schemas.openxmlformats.org/officeDocument/2006/relationships/footer" Target="footer142.xml"/><Relationship Id="rId155" Type="http://schemas.openxmlformats.org/officeDocument/2006/relationships/footer" Target="footer141.xml"/><Relationship Id="rId154" Type="http://schemas.openxmlformats.org/officeDocument/2006/relationships/footer" Target="footer140.xml"/><Relationship Id="rId153" Type="http://schemas.openxmlformats.org/officeDocument/2006/relationships/footer" Target="footer139.xml"/><Relationship Id="rId152" Type="http://schemas.openxmlformats.org/officeDocument/2006/relationships/footer" Target="footer138.xml"/><Relationship Id="rId151" Type="http://schemas.openxmlformats.org/officeDocument/2006/relationships/footer" Target="footer137.xml"/><Relationship Id="rId150" Type="http://schemas.openxmlformats.org/officeDocument/2006/relationships/image" Target="media/image8.png"/><Relationship Id="rId15" Type="http://schemas.openxmlformats.org/officeDocument/2006/relationships/footer" Target="footer15.xml"/><Relationship Id="rId149" Type="http://schemas.openxmlformats.org/officeDocument/2006/relationships/footer" Target="footer136.xml"/><Relationship Id="rId148" Type="http://schemas.openxmlformats.org/officeDocument/2006/relationships/footer" Target="footer135.xml"/><Relationship Id="rId147" Type="http://schemas.openxmlformats.org/officeDocument/2006/relationships/footer" Target="footer134.xml"/><Relationship Id="rId146" Type="http://schemas.openxmlformats.org/officeDocument/2006/relationships/footer" Target="footer133.xml"/><Relationship Id="rId145" Type="http://schemas.openxmlformats.org/officeDocument/2006/relationships/footer" Target="footer132.xml"/><Relationship Id="rId144" Type="http://schemas.openxmlformats.org/officeDocument/2006/relationships/footer" Target="footer131.xml"/><Relationship Id="rId143" Type="http://schemas.openxmlformats.org/officeDocument/2006/relationships/footer" Target="footer130.xml"/><Relationship Id="rId142" Type="http://schemas.openxmlformats.org/officeDocument/2006/relationships/footer" Target="footer129.xml"/><Relationship Id="rId141" Type="http://schemas.openxmlformats.org/officeDocument/2006/relationships/footer" Target="footer128.xml"/><Relationship Id="rId140" Type="http://schemas.openxmlformats.org/officeDocument/2006/relationships/footer" Target="footer127.xml"/><Relationship Id="rId14" Type="http://schemas.openxmlformats.org/officeDocument/2006/relationships/footer" Target="footer14.xml"/><Relationship Id="rId139" Type="http://schemas.openxmlformats.org/officeDocument/2006/relationships/footer" Target="footer126.xml"/><Relationship Id="rId138" Type="http://schemas.openxmlformats.org/officeDocument/2006/relationships/footer" Target="footer125.xml"/><Relationship Id="rId137" Type="http://schemas.openxmlformats.org/officeDocument/2006/relationships/footer" Target="footer124.xml"/><Relationship Id="rId136" Type="http://schemas.openxmlformats.org/officeDocument/2006/relationships/footer" Target="footer123.xml"/><Relationship Id="rId135" Type="http://schemas.openxmlformats.org/officeDocument/2006/relationships/image" Target="media/image7.png"/><Relationship Id="rId134" Type="http://schemas.openxmlformats.org/officeDocument/2006/relationships/footer" Target="footer122.xml"/><Relationship Id="rId133" Type="http://schemas.openxmlformats.org/officeDocument/2006/relationships/footer" Target="footer121.xml"/><Relationship Id="rId132" Type="http://schemas.openxmlformats.org/officeDocument/2006/relationships/footer" Target="footer120.xml"/><Relationship Id="rId131" Type="http://schemas.openxmlformats.org/officeDocument/2006/relationships/footer" Target="footer119.xml"/><Relationship Id="rId130" Type="http://schemas.openxmlformats.org/officeDocument/2006/relationships/footer" Target="footer118.xml"/><Relationship Id="rId13" Type="http://schemas.openxmlformats.org/officeDocument/2006/relationships/footer" Target="footer13.xml"/><Relationship Id="rId129" Type="http://schemas.openxmlformats.org/officeDocument/2006/relationships/footer" Target="footer117.xml"/><Relationship Id="rId128" Type="http://schemas.openxmlformats.org/officeDocument/2006/relationships/footer" Target="footer116.xml"/><Relationship Id="rId127" Type="http://schemas.openxmlformats.org/officeDocument/2006/relationships/footer" Target="footer115.xml"/><Relationship Id="rId126" Type="http://schemas.openxmlformats.org/officeDocument/2006/relationships/footer" Target="footer114.xml"/><Relationship Id="rId125" Type="http://schemas.openxmlformats.org/officeDocument/2006/relationships/footer" Target="footer113.xml"/><Relationship Id="rId124" Type="http://schemas.openxmlformats.org/officeDocument/2006/relationships/footer" Target="footer112.xml"/><Relationship Id="rId123" Type="http://schemas.openxmlformats.org/officeDocument/2006/relationships/footer" Target="footer111.xml"/><Relationship Id="rId122" Type="http://schemas.openxmlformats.org/officeDocument/2006/relationships/image" Target="media/image6.png"/><Relationship Id="rId121" Type="http://schemas.openxmlformats.org/officeDocument/2006/relationships/footer" Target="footer110.xml"/><Relationship Id="rId120" Type="http://schemas.openxmlformats.org/officeDocument/2006/relationships/footer" Target="footer109.xml"/><Relationship Id="rId12" Type="http://schemas.openxmlformats.org/officeDocument/2006/relationships/footer" Target="footer12.xml"/><Relationship Id="rId119" Type="http://schemas.openxmlformats.org/officeDocument/2006/relationships/footer" Target="footer108.xml"/><Relationship Id="rId118" Type="http://schemas.openxmlformats.org/officeDocument/2006/relationships/footer" Target="footer107.xml"/><Relationship Id="rId117" Type="http://schemas.openxmlformats.org/officeDocument/2006/relationships/footer" Target="footer106.xml"/><Relationship Id="rId116" Type="http://schemas.openxmlformats.org/officeDocument/2006/relationships/footer" Target="footer105.xml"/><Relationship Id="rId115" Type="http://schemas.openxmlformats.org/officeDocument/2006/relationships/footer" Target="footer104.xml"/><Relationship Id="rId114" Type="http://schemas.openxmlformats.org/officeDocument/2006/relationships/footer" Target="footer103.xml"/><Relationship Id="rId113" Type="http://schemas.openxmlformats.org/officeDocument/2006/relationships/footer" Target="footer102.xml"/><Relationship Id="rId112" Type="http://schemas.openxmlformats.org/officeDocument/2006/relationships/footer" Target="footer101.xml"/><Relationship Id="rId111" Type="http://schemas.openxmlformats.org/officeDocument/2006/relationships/footer" Target="footer100.xml"/><Relationship Id="rId110" Type="http://schemas.openxmlformats.org/officeDocument/2006/relationships/footer" Target="footer99.xml"/><Relationship Id="rId11" Type="http://schemas.openxmlformats.org/officeDocument/2006/relationships/footer" Target="footer11.xml"/><Relationship Id="rId109" Type="http://schemas.openxmlformats.org/officeDocument/2006/relationships/footer" Target="footer98.xml"/><Relationship Id="rId108" Type="http://schemas.openxmlformats.org/officeDocument/2006/relationships/hyperlink" Target="8.7.5.1" TargetMode="External"/><Relationship Id="rId107" Type="http://schemas.openxmlformats.org/officeDocument/2006/relationships/footer" Target="footer97.xml"/><Relationship Id="rId106" Type="http://schemas.openxmlformats.org/officeDocument/2006/relationships/footer" Target="footer96.xml"/><Relationship Id="rId105" Type="http://schemas.openxmlformats.org/officeDocument/2006/relationships/footer" Target="footer95.xml"/><Relationship Id="rId104" Type="http://schemas.openxmlformats.org/officeDocument/2006/relationships/footer" Target="footer94.xml"/><Relationship Id="rId103" Type="http://schemas.openxmlformats.org/officeDocument/2006/relationships/footer" Target="footer93.xml"/><Relationship Id="rId102" Type="http://schemas.openxmlformats.org/officeDocument/2006/relationships/footer" Target="footer92.xml"/><Relationship Id="rId101" Type="http://schemas.openxmlformats.org/officeDocument/2006/relationships/footer" Target="footer91.xml"/><Relationship Id="rId100" Type="http://schemas.openxmlformats.org/officeDocument/2006/relationships/footer" Target="footer90.xml"/><Relationship Id="rId10" Type="http://schemas.openxmlformats.org/officeDocument/2006/relationships/footer" Target="footer10.xml"/><Relationship Id="rId1" Type="http://schemas.openxmlformats.org/officeDocument/2006/relationships/footer" Target="footer1.xml"/></Relationships>
</file>

<file path=word/_rels/footer189.xml.rels><?xml version="1.0" encoding="UTF-8" standalone="yes"?>
<Relationships xmlns="http://schemas.openxmlformats.org/package/2006/relationships"><Relationship Id="rId1" Type="http://schemas.openxmlformats.org/officeDocument/2006/relationships/image" Target="media/image17.jpeg"/></Relationships>
</file>

<file path=word/_rels/footer194.xml.rels><?xml version="1.0" encoding="UTF-8" standalone="yes"?>
<Relationships xmlns="http://schemas.openxmlformats.org/package/2006/relationships"><Relationship Id="rId1" Type="http://schemas.openxmlformats.org/officeDocument/2006/relationships/image" Target="media/image53.jpe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2024-04-18T17:07:34Z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2024-04-18T17:08:03</vt:filetime>
  </property>
  <property fmtid="{D5CDD505-2E9C-101B-9397-08002B2CF9AE}" pid="4" name="UsrData">
    <vt:lpwstr>6620e2b42c5135001f5008c2wl</vt:lpwstr>
  </property>
</Properties>
</file>